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Overlap w:val="never"/>
        <w:tblW w:w="9214" w:type="dxa"/>
        <w:tblLayout w:type="fixed"/>
        <w:tblLook w:val="0000" w:firstRow="0" w:lastRow="0" w:firstColumn="0" w:lastColumn="0" w:noHBand="0" w:noVBand="0"/>
      </w:tblPr>
      <w:tblGrid>
        <w:gridCol w:w="3969"/>
        <w:gridCol w:w="5245"/>
      </w:tblGrid>
      <w:tr w:rsidR="00D82062" w:rsidRPr="00945782" w14:paraId="61F933CF" w14:textId="77777777" w:rsidTr="00D17718">
        <w:trPr>
          <w:cantSplit/>
          <w:trHeight w:val="23"/>
        </w:trPr>
        <w:tc>
          <w:tcPr>
            <w:tcW w:w="3969" w:type="dxa"/>
            <w:vMerge w:val="restart"/>
            <w:tcMar>
              <w:left w:w="0" w:type="dxa"/>
            </w:tcMar>
          </w:tcPr>
          <w:p w14:paraId="6BA82D4F" w14:textId="3BBE2587" w:rsidR="00D82062" w:rsidRPr="00945782" w:rsidRDefault="00D82062" w:rsidP="00D82062">
            <w:pPr>
              <w:tabs>
                <w:tab w:val="clear" w:pos="1588"/>
                <w:tab w:val="clear" w:pos="1985"/>
                <w:tab w:val="left" w:pos="851"/>
                <w:tab w:val="center" w:pos="1930"/>
              </w:tabs>
              <w:spacing w:before="0" w:line="240" w:lineRule="atLeast"/>
              <w:rPr>
                <w:b/>
                <w:lang w:val="ru-RU"/>
              </w:rPr>
            </w:pPr>
            <w:bookmarkStart w:id="0" w:name="dmeeting" w:colFirst="0" w:colLast="0"/>
            <w:bookmarkStart w:id="1" w:name="dnum" w:colFirst="1" w:colLast="1"/>
            <w:bookmarkStart w:id="2" w:name="_Hlk133421839"/>
            <w:r w:rsidRPr="00945782">
              <w:rPr>
                <w:b/>
                <w:lang w:val="ru-RU"/>
              </w:rPr>
              <w:t>Пункт повестки дня: PL 3.1</w:t>
            </w:r>
          </w:p>
        </w:tc>
        <w:tc>
          <w:tcPr>
            <w:tcW w:w="5245" w:type="dxa"/>
          </w:tcPr>
          <w:p w14:paraId="2DDF136E" w14:textId="18A10CE1" w:rsidR="00D82062" w:rsidRPr="00945782" w:rsidRDefault="00D82062" w:rsidP="00D82062">
            <w:pPr>
              <w:tabs>
                <w:tab w:val="left" w:pos="851"/>
              </w:tabs>
              <w:spacing w:before="0" w:line="240" w:lineRule="atLeast"/>
              <w:jc w:val="right"/>
              <w:rPr>
                <w:b/>
                <w:lang w:val="ru-RU"/>
              </w:rPr>
            </w:pPr>
            <w:r w:rsidRPr="00945782">
              <w:rPr>
                <w:b/>
                <w:lang w:val="ru-RU"/>
              </w:rPr>
              <w:t>Документ C26/35-R</w:t>
            </w:r>
          </w:p>
        </w:tc>
      </w:tr>
      <w:tr w:rsidR="00D82062" w:rsidRPr="00945782" w14:paraId="24BCFB46" w14:textId="77777777" w:rsidTr="00D17718">
        <w:trPr>
          <w:cantSplit/>
        </w:trPr>
        <w:tc>
          <w:tcPr>
            <w:tcW w:w="3969" w:type="dxa"/>
            <w:vMerge/>
          </w:tcPr>
          <w:p w14:paraId="304565AA" w14:textId="77777777" w:rsidR="00D82062" w:rsidRPr="00945782" w:rsidRDefault="00D82062" w:rsidP="00D82062">
            <w:pPr>
              <w:tabs>
                <w:tab w:val="left" w:pos="851"/>
              </w:tabs>
              <w:spacing w:line="240" w:lineRule="atLeast"/>
              <w:rPr>
                <w:b/>
                <w:lang w:val="ru-RU"/>
              </w:rPr>
            </w:pPr>
            <w:bookmarkStart w:id="3" w:name="ddate" w:colFirst="1" w:colLast="1"/>
            <w:bookmarkEnd w:id="0"/>
            <w:bookmarkEnd w:id="1"/>
          </w:p>
        </w:tc>
        <w:tc>
          <w:tcPr>
            <w:tcW w:w="5245" w:type="dxa"/>
          </w:tcPr>
          <w:p w14:paraId="7159FFF3" w14:textId="0EA1007A" w:rsidR="00D82062" w:rsidRPr="00945782" w:rsidRDefault="00D82062" w:rsidP="00D82062">
            <w:pPr>
              <w:tabs>
                <w:tab w:val="left" w:pos="851"/>
              </w:tabs>
              <w:spacing w:before="0"/>
              <w:jc w:val="right"/>
              <w:rPr>
                <w:b/>
                <w:lang w:val="ru-RU"/>
              </w:rPr>
            </w:pPr>
            <w:r w:rsidRPr="00945782">
              <w:rPr>
                <w:b/>
                <w:lang w:val="ru-RU"/>
              </w:rPr>
              <w:t>23 марта 2026 года</w:t>
            </w:r>
          </w:p>
        </w:tc>
      </w:tr>
      <w:bookmarkEnd w:id="3"/>
      <w:tr w:rsidR="00D82062" w:rsidRPr="00945782" w14:paraId="7F5775BA" w14:textId="77777777" w:rsidTr="00D17718">
        <w:trPr>
          <w:cantSplit/>
          <w:trHeight w:val="23"/>
        </w:trPr>
        <w:tc>
          <w:tcPr>
            <w:tcW w:w="3969" w:type="dxa"/>
            <w:vMerge/>
          </w:tcPr>
          <w:p w14:paraId="010078C9" w14:textId="77777777" w:rsidR="00D82062" w:rsidRPr="00945782" w:rsidRDefault="00D82062" w:rsidP="00D82062">
            <w:pPr>
              <w:tabs>
                <w:tab w:val="left" w:pos="851"/>
              </w:tabs>
              <w:spacing w:line="240" w:lineRule="atLeast"/>
              <w:rPr>
                <w:b/>
                <w:lang w:val="ru-RU"/>
              </w:rPr>
            </w:pPr>
          </w:p>
        </w:tc>
        <w:tc>
          <w:tcPr>
            <w:tcW w:w="5245" w:type="dxa"/>
          </w:tcPr>
          <w:p w14:paraId="0A266E05" w14:textId="6714DE6B" w:rsidR="00D82062" w:rsidRPr="00945782" w:rsidRDefault="00D82062" w:rsidP="00D82062">
            <w:pPr>
              <w:tabs>
                <w:tab w:val="left" w:pos="851"/>
              </w:tabs>
              <w:spacing w:before="0" w:line="240" w:lineRule="atLeast"/>
              <w:jc w:val="right"/>
              <w:rPr>
                <w:b/>
                <w:lang w:val="ru-RU"/>
              </w:rPr>
            </w:pPr>
            <w:r w:rsidRPr="00945782">
              <w:rPr>
                <w:b/>
                <w:lang w:val="ru-RU"/>
              </w:rPr>
              <w:t>Оригинал: английский</w:t>
            </w:r>
          </w:p>
        </w:tc>
      </w:tr>
      <w:tr w:rsidR="00796BD3" w:rsidRPr="00945782" w14:paraId="2CABD1E1" w14:textId="77777777" w:rsidTr="00D17718">
        <w:trPr>
          <w:cantSplit/>
          <w:trHeight w:val="23"/>
        </w:trPr>
        <w:tc>
          <w:tcPr>
            <w:tcW w:w="3969" w:type="dxa"/>
          </w:tcPr>
          <w:p w14:paraId="594C69F3" w14:textId="77777777" w:rsidR="00796BD3" w:rsidRPr="00945782" w:rsidRDefault="00796BD3" w:rsidP="00D17718">
            <w:pPr>
              <w:tabs>
                <w:tab w:val="left" w:pos="851"/>
              </w:tabs>
              <w:spacing w:line="240" w:lineRule="atLeast"/>
              <w:rPr>
                <w:b/>
                <w:lang w:val="ru-RU"/>
              </w:rPr>
            </w:pPr>
            <w:bookmarkStart w:id="4" w:name="dorlang" w:colFirst="1" w:colLast="1"/>
          </w:p>
        </w:tc>
        <w:tc>
          <w:tcPr>
            <w:tcW w:w="5245" w:type="dxa"/>
          </w:tcPr>
          <w:p w14:paraId="63897DCB" w14:textId="77777777" w:rsidR="00796BD3" w:rsidRPr="00945782" w:rsidRDefault="00796BD3" w:rsidP="00D17718">
            <w:pPr>
              <w:tabs>
                <w:tab w:val="left" w:pos="851"/>
              </w:tabs>
              <w:spacing w:before="0" w:line="240" w:lineRule="atLeast"/>
              <w:jc w:val="right"/>
              <w:rPr>
                <w:b/>
                <w:lang w:val="ru-RU"/>
              </w:rPr>
            </w:pPr>
          </w:p>
        </w:tc>
      </w:tr>
      <w:tr w:rsidR="00796BD3" w:rsidRPr="00945782" w14:paraId="3BFC3126" w14:textId="77777777" w:rsidTr="00D17718">
        <w:trPr>
          <w:cantSplit/>
        </w:trPr>
        <w:tc>
          <w:tcPr>
            <w:tcW w:w="9214" w:type="dxa"/>
            <w:gridSpan w:val="2"/>
            <w:tcMar>
              <w:left w:w="0" w:type="dxa"/>
            </w:tcMar>
          </w:tcPr>
          <w:p w14:paraId="569F6540" w14:textId="77777777" w:rsidR="00796BD3" w:rsidRPr="00945782" w:rsidRDefault="0033025A" w:rsidP="00A405F9">
            <w:pPr>
              <w:pStyle w:val="Source"/>
              <w:framePr w:hSpace="0" w:wrap="auto" w:vAnchor="margin" w:hAnchor="text" w:xAlign="left" w:yAlign="inline"/>
              <w:suppressOverlap w:val="0"/>
            </w:pPr>
            <w:bookmarkStart w:id="5" w:name="dsource" w:colFirst="0" w:colLast="0"/>
            <w:bookmarkEnd w:id="4"/>
            <w:r w:rsidRPr="00945782">
              <w:t>Отчет Генерального секретаря</w:t>
            </w:r>
          </w:p>
        </w:tc>
      </w:tr>
      <w:tr w:rsidR="00796BD3" w:rsidRPr="008536AE" w14:paraId="0B686FF6" w14:textId="77777777" w:rsidTr="00D17718">
        <w:trPr>
          <w:cantSplit/>
        </w:trPr>
        <w:tc>
          <w:tcPr>
            <w:tcW w:w="9214" w:type="dxa"/>
            <w:gridSpan w:val="2"/>
            <w:tcMar>
              <w:left w:w="0" w:type="dxa"/>
            </w:tcMar>
          </w:tcPr>
          <w:p w14:paraId="54F66408" w14:textId="26C219C4" w:rsidR="00796BD3" w:rsidRPr="00945782" w:rsidRDefault="00D82062" w:rsidP="00A405F9">
            <w:pPr>
              <w:pStyle w:val="Subtitle"/>
              <w:framePr w:hSpace="0" w:wrap="auto" w:xAlign="left" w:yAlign="inline"/>
              <w:suppressOverlap w:val="0"/>
              <w:rPr>
                <w:sz w:val="32"/>
              </w:rPr>
            </w:pPr>
            <w:bookmarkStart w:id="6" w:name="dtitle1" w:colFirst="0" w:colLast="0"/>
            <w:bookmarkEnd w:id="5"/>
            <w:r w:rsidRPr="00945782">
              <w:rPr>
                <w:sz w:val="32"/>
              </w:rPr>
              <w:t>ОТЧЕТ О ВЫПОЛНЕНИИ СТРАТЕГИЧЕСКОГО ПЛАНА И О ДЕЯТЕЛЬНОСТИ СОЮЗА, ОКТЯБРЬ 2022 ГОДА – МАРТ 2026 ГОДА</w:t>
            </w:r>
          </w:p>
        </w:tc>
      </w:tr>
      <w:tr w:rsidR="00796BD3" w:rsidRPr="00945782" w14:paraId="0DDE24C6" w14:textId="77777777" w:rsidTr="00D17718">
        <w:trPr>
          <w:cantSplit/>
        </w:trPr>
        <w:tc>
          <w:tcPr>
            <w:tcW w:w="9214" w:type="dxa"/>
            <w:gridSpan w:val="2"/>
            <w:tcBorders>
              <w:top w:val="single" w:sz="4" w:space="0" w:color="auto"/>
              <w:bottom w:val="single" w:sz="4" w:space="0" w:color="auto"/>
            </w:tcBorders>
            <w:tcMar>
              <w:left w:w="0" w:type="dxa"/>
            </w:tcMar>
          </w:tcPr>
          <w:p w14:paraId="409BD6CE" w14:textId="77777777" w:rsidR="00796BD3" w:rsidRPr="00945782" w:rsidRDefault="0033025A" w:rsidP="00D17718">
            <w:pPr>
              <w:spacing w:before="160"/>
              <w:rPr>
                <w:b/>
                <w:bCs/>
                <w:sz w:val="24"/>
                <w:szCs w:val="24"/>
                <w:lang w:val="ru-RU"/>
              </w:rPr>
            </w:pPr>
            <w:r w:rsidRPr="00945782">
              <w:rPr>
                <w:b/>
                <w:bCs/>
                <w:sz w:val="24"/>
                <w:szCs w:val="24"/>
                <w:lang w:val="ru-RU"/>
              </w:rPr>
              <w:t>Назначение</w:t>
            </w:r>
          </w:p>
          <w:p w14:paraId="48A75B66" w14:textId="3867FC13" w:rsidR="00D82062" w:rsidRPr="00945782" w:rsidRDefault="00D82062" w:rsidP="00246C8E">
            <w:pPr>
              <w:jc w:val="both"/>
              <w:rPr>
                <w:lang w:val="ru-RU"/>
              </w:rPr>
            </w:pPr>
            <w:r w:rsidRPr="00945782">
              <w:rPr>
                <w:lang w:val="ru-RU"/>
              </w:rPr>
              <w:t>Настоящий отчет охватывает деятельность МСЭ с октября 2022 года по март 2026 года и должен лечь в основу четырехлетнего отчета Полномочной конференции МСЭ – ПК-26 (</w:t>
            </w:r>
            <w:hyperlink r:id="rId8" w:history="1">
              <w:r w:rsidRPr="00945782">
                <w:rPr>
                  <w:rStyle w:val="Hyperlink"/>
                  <w:lang w:val="ru-RU"/>
                </w:rPr>
                <w:t>Документ 20</w:t>
              </w:r>
            </w:hyperlink>
            <w:r w:rsidRPr="00945782">
              <w:rPr>
                <w:lang w:val="ru-RU"/>
              </w:rPr>
              <w:t>). В нем сообщается о ходе выполнения принятой ПК-22 Повестки дня "Соединим к 2030 году" в области глобального развития электросвязи/информационно-коммуникационных технологий, включая широкополосную связь, для обеспечения устойчивого развития (Резолюция 200 (Пересм. Бухарест, 2022 г.)). Он охватывает два последних года выполнения Стратегического плана на 2020–2023 годы и первые два года текущего Стратегического плана (СП) на 2024−2027 годы. Он соответствует структуре СП на 2024–2027 годы.</w:t>
            </w:r>
          </w:p>
          <w:p w14:paraId="576A2BAC" w14:textId="4FA3709D" w:rsidR="00D82062" w:rsidRPr="00945782" w:rsidRDefault="00D82062" w:rsidP="00246C8E">
            <w:pPr>
              <w:jc w:val="both"/>
              <w:rPr>
                <w:lang w:val="ru-RU"/>
              </w:rPr>
            </w:pPr>
            <w:r w:rsidRPr="00945782">
              <w:rPr>
                <w:lang w:val="ru-RU"/>
              </w:rPr>
              <w:t>Здесь объединены годовой отчет о деятельности (как того требует п. 102 Конвенции) и отчет о выполнении Стратегического плана (как того требуют п. 61 Конвенции и Резолюция</w:t>
            </w:r>
            <w:r w:rsidR="00DE7861" w:rsidRPr="00945782">
              <w:rPr>
                <w:lang w:val="ru-RU"/>
              </w:rPr>
              <w:t> </w:t>
            </w:r>
            <w:r w:rsidRPr="00945782">
              <w:rPr>
                <w:lang w:val="ru-RU"/>
              </w:rPr>
              <w:t>71 (Пересм. Бухарест, 2022 г.) Полномочной конференции).</w:t>
            </w:r>
          </w:p>
          <w:p w14:paraId="1F1A5A9A" w14:textId="77777777" w:rsidR="00D82062" w:rsidRPr="00945782" w:rsidRDefault="00D82062" w:rsidP="00246C8E">
            <w:pPr>
              <w:jc w:val="both"/>
              <w:rPr>
                <w:lang w:val="ru-RU"/>
              </w:rPr>
            </w:pPr>
            <w:r w:rsidRPr="00945782">
              <w:rPr>
                <w:lang w:val="ru-RU"/>
              </w:rPr>
              <w:t>Настоящий документ направлен на представление всей соответствующей деятельности в ориентированном на результаты, основанном на фактических данных и тематически структурированном виде с приведением аналитических диаграмм, отражающих общий прогресс в достижении стратегических целей МСЭ.</w:t>
            </w:r>
          </w:p>
          <w:p w14:paraId="511275C0" w14:textId="77777777" w:rsidR="00D82062" w:rsidRPr="00945782" w:rsidRDefault="00D82062" w:rsidP="00D82062">
            <w:pPr>
              <w:spacing w:before="160"/>
              <w:rPr>
                <w:b/>
                <w:bCs/>
                <w:sz w:val="24"/>
                <w:szCs w:val="24"/>
                <w:lang w:val="ru-RU"/>
              </w:rPr>
            </w:pPr>
            <w:r w:rsidRPr="00945782">
              <w:rPr>
                <w:b/>
                <w:bCs/>
                <w:sz w:val="24"/>
                <w:szCs w:val="24"/>
                <w:lang w:val="ru-RU"/>
              </w:rPr>
              <w:t>Необходимые действия Совета</w:t>
            </w:r>
          </w:p>
          <w:p w14:paraId="4C3C1C3E" w14:textId="77777777" w:rsidR="00D82062" w:rsidRPr="00945782" w:rsidRDefault="00D82062" w:rsidP="00D82062">
            <w:pPr>
              <w:rPr>
                <w:lang w:val="ru-RU"/>
              </w:rPr>
            </w:pPr>
            <w:r w:rsidRPr="00945782">
              <w:rPr>
                <w:lang w:val="ru-RU"/>
              </w:rPr>
              <w:t xml:space="preserve">Совету предлагается </w:t>
            </w:r>
            <w:r w:rsidRPr="00945782">
              <w:rPr>
                <w:b/>
                <w:bCs/>
                <w:lang w:val="ru-RU"/>
              </w:rPr>
              <w:t>утвердить</w:t>
            </w:r>
            <w:r w:rsidRPr="00945782">
              <w:rPr>
                <w:lang w:val="ru-RU"/>
              </w:rPr>
              <w:t xml:space="preserve"> данный отчет и </w:t>
            </w:r>
            <w:r w:rsidRPr="00945782">
              <w:rPr>
                <w:b/>
                <w:bCs/>
                <w:lang w:val="ru-RU"/>
              </w:rPr>
              <w:t>представить</w:t>
            </w:r>
            <w:r w:rsidRPr="00945782">
              <w:rPr>
                <w:lang w:val="ru-RU"/>
              </w:rPr>
              <w:t xml:space="preserve"> его ПК-26.</w:t>
            </w:r>
          </w:p>
          <w:p w14:paraId="39145A07" w14:textId="77777777" w:rsidR="00D82062" w:rsidRPr="00945782" w:rsidRDefault="00D82062" w:rsidP="00D82062">
            <w:pPr>
              <w:spacing w:before="160"/>
              <w:rPr>
                <w:b/>
                <w:bCs/>
                <w:sz w:val="24"/>
                <w:szCs w:val="24"/>
                <w:lang w:val="ru-RU"/>
              </w:rPr>
            </w:pPr>
            <w:r w:rsidRPr="00945782">
              <w:rPr>
                <w:b/>
                <w:bCs/>
                <w:sz w:val="24"/>
                <w:szCs w:val="24"/>
                <w:lang w:val="ru-RU"/>
              </w:rPr>
              <w:t>Соответствующая увязка со Стратегическим планом</w:t>
            </w:r>
          </w:p>
          <w:p w14:paraId="373E0030" w14:textId="77777777" w:rsidR="00D82062" w:rsidRPr="00945782" w:rsidRDefault="00D82062" w:rsidP="00246C8E">
            <w:pPr>
              <w:spacing w:before="160"/>
              <w:jc w:val="both"/>
              <w:rPr>
                <w:lang w:val="ru-RU"/>
              </w:rPr>
            </w:pPr>
            <w:r w:rsidRPr="00945782">
              <w:rPr>
                <w:lang w:val="ru-RU"/>
              </w:rPr>
              <w:t>В соответствии с поручением, содержащимся в Резолюции 71 (Пересм. Бухарест, 2022 г.) Полномочной конференции, в настоящем документе представлен ежегодный отчет Совету МСЭ о выполнении Стратегического плана и о деятельности МСЭ (сочетающий требования п. 102 Конвенции, т. е. ежегодный отчет о деятельности, и п. 61 Конвенции, т. е. отчет о выполнении Стратегического плана).</w:t>
            </w:r>
          </w:p>
          <w:p w14:paraId="67471E98" w14:textId="3D852089" w:rsidR="00796BD3" w:rsidRPr="00945782" w:rsidRDefault="00796BD3" w:rsidP="00D82062">
            <w:pPr>
              <w:spacing w:before="160"/>
              <w:rPr>
                <w:caps/>
                <w:sz w:val="20"/>
                <w:szCs w:val="18"/>
                <w:lang w:val="ru-RU"/>
              </w:rPr>
            </w:pPr>
            <w:r w:rsidRPr="00945782">
              <w:rPr>
                <w:sz w:val="20"/>
                <w:szCs w:val="18"/>
                <w:lang w:val="ru-RU"/>
              </w:rPr>
              <w:t>__________________</w:t>
            </w:r>
          </w:p>
          <w:p w14:paraId="2E6D9A2A" w14:textId="77777777" w:rsidR="00796BD3" w:rsidRPr="00945782" w:rsidRDefault="0033025A" w:rsidP="00D82062">
            <w:pPr>
              <w:spacing w:before="160"/>
              <w:rPr>
                <w:b/>
                <w:bCs/>
                <w:sz w:val="26"/>
                <w:szCs w:val="26"/>
                <w:lang w:val="ru-RU"/>
              </w:rPr>
            </w:pPr>
            <w:r w:rsidRPr="00945782">
              <w:rPr>
                <w:b/>
                <w:bCs/>
                <w:sz w:val="24"/>
                <w:szCs w:val="24"/>
                <w:lang w:val="ru-RU"/>
              </w:rPr>
              <w:t>Справочные материалы</w:t>
            </w:r>
          </w:p>
          <w:p w14:paraId="3DC01B25" w14:textId="4C86F60E" w:rsidR="00796BD3" w:rsidRPr="00945782" w:rsidRDefault="00D82062" w:rsidP="00D82062">
            <w:pPr>
              <w:spacing w:after="160"/>
              <w:rPr>
                <w:i/>
                <w:iCs/>
                <w:lang w:val="ru-RU"/>
              </w:rPr>
            </w:pPr>
            <w:r w:rsidRPr="00945782">
              <w:rPr>
                <w:i/>
                <w:iCs/>
                <w:lang w:val="ru-RU"/>
              </w:rPr>
              <w:t xml:space="preserve">Резолюции </w:t>
            </w:r>
            <w:hyperlink r:id="rId9" w:history="1">
              <w:r w:rsidRPr="00945782">
                <w:rPr>
                  <w:rStyle w:val="Hyperlink"/>
                  <w:i/>
                  <w:color w:val="0563C1"/>
                  <w:lang w:val="ru-RU"/>
                </w:rPr>
                <w:t>71</w:t>
              </w:r>
            </w:hyperlink>
            <w:r w:rsidRPr="00945782">
              <w:rPr>
                <w:i/>
                <w:iCs/>
                <w:lang w:val="ru-RU"/>
              </w:rPr>
              <w:t xml:space="preserve"> (Пересм. Бухарест, 2022 г.) и </w:t>
            </w:r>
            <w:hyperlink r:id="rId10" w:history="1">
              <w:r w:rsidRPr="00945782">
                <w:rPr>
                  <w:rStyle w:val="Hyperlink"/>
                  <w:i/>
                  <w:iCs/>
                  <w:lang w:val="ru-RU"/>
                </w:rPr>
                <w:t>200</w:t>
              </w:r>
            </w:hyperlink>
            <w:r w:rsidRPr="00945782">
              <w:rPr>
                <w:i/>
                <w:iCs/>
                <w:lang w:val="ru-RU"/>
              </w:rPr>
              <w:t xml:space="preserve"> (Пересм. Бухарест, 2022 г.) Полномочной конференции, а также </w:t>
            </w:r>
            <w:hyperlink r:id="rId11" w:history="1">
              <w:r w:rsidRPr="00945782">
                <w:rPr>
                  <w:rStyle w:val="Hyperlink"/>
                  <w:i/>
                  <w:iCs/>
                  <w:lang w:val="ru-RU"/>
                </w:rPr>
                <w:t>пп. 102 и 61</w:t>
              </w:r>
            </w:hyperlink>
            <w:r w:rsidRPr="00945782">
              <w:rPr>
                <w:i/>
                <w:iCs/>
                <w:lang w:val="ru-RU"/>
              </w:rPr>
              <w:t xml:space="preserve"> Конвенции.</w:t>
            </w:r>
          </w:p>
        </w:tc>
      </w:tr>
      <w:bookmarkEnd w:id="2"/>
      <w:bookmarkEnd w:id="6"/>
    </w:tbl>
    <w:p w14:paraId="1E357A9A" w14:textId="77777777" w:rsidR="00796BD3" w:rsidRPr="00945782" w:rsidRDefault="00796BD3" w:rsidP="00796BD3">
      <w:pPr>
        <w:rPr>
          <w:lang w:val="ru-RU"/>
        </w:rPr>
      </w:pPr>
    </w:p>
    <w:p w14:paraId="00FFA70A" w14:textId="77777777" w:rsidR="00165D06" w:rsidRPr="00945782" w:rsidRDefault="00165D06">
      <w:pPr>
        <w:tabs>
          <w:tab w:val="clear" w:pos="794"/>
          <w:tab w:val="clear" w:pos="1191"/>
          <w:tab w:val="clear" w:pos="1588"/>
          <w:tab w:val="clear" w:pos="1985"/>
        </w:tabs>
        <w:overflowPunct/>
        <w:autoSpaceDE/>
        <w:autoSpaceDN/>
        <w:adjustRightInd/>
        <w:spacing w:before="0"/>
        <w:textAlignment w:val="auto"/>
        <w:rPr>
          <w:lang w:val="ru-RU"/>
        </w:rPr>
      </w:pPr>
      <w:r w:rsidRPr="00945782">
        <w:rPr>
          <w:lang w:val="ru-RU"/>
        </w:rPr>
        <w:br w:type="page"/>
      </w:r>
    </w:p>
    <w:p w14:paraId="7DE9756F" w14:textId="77777777" w:rsidR="00D82062" w:rsidRPr="00945782" w:rsidRDefault="00D82062" w:rsidP="00D82062">
      <w:pPr>
        <w:pStyle w:val="Headingb"/>
        <w:rPr>
          <w:lang w:val="ru-RU"/>
        </w:rPr>
      </w:pPr>
      <w:r w:rsidRPr="00945782">
        <w:rPr>
          <w:lang w:val="ru-RU"/>
        </w:rPr>
        <w:lastRenderedPageBreak/>
        <w:t>Предисловие</w:t>
      </w:r>
    </w:p>
    <w:p w14:paraId="004B2BFF" w14:textId="77777777" w:rsidR="00D82062" w:rsidRPr="00945782" w:rsidRDefault="00D82062" w:rsidP="00246C8E">
      <w:pPr>
        <w:jc w:val="both"/>
        <w:rPr>
          <w:lang w:val="ru-RU"/>
        </w:rPr>
      </w:pPr>
      <w:r w:rsidRPr="00945782">
        <w:rPr>
          <w:lang w:val="ru-RU"/>
        </w:rPr>
        <w:t>Во всех регионах мира цифровая трансформация меняет уклад жизни, способы заработка и устройство целых обществ. Международный союз электросвязи (МСЭ) находится в авангарде этих глобальных изменений, работая во всех регионах и секторах для расширения возможностей и укрепления устойчивости.</w:t>
      </w:r>
    </w:p>
    <w:p w14:paraId="5EE39519" w14:textId="77777777" w:rsidR="00D82062" w:rsidRPr="00945782" w:rsidRDefault="00D82062" w:rsidP="00246C8E">
      <w:pPr>
        <w:jc w:val="both"/>
        <w:rPr>
          <w:lang w:val="ru-RU"/>
        </w:rPr>
      </w:pPr>
      <w:r w:rsidRPr="00945782">
        <w:rPr>
          <w:lang w:val="ru-RU"/>
        </w:rPr>
        <w:t>В период с октября 2022 года по март 2026 года произошли глубокие глобальные изменения, и мы демонстрировали нашу общую решимость содействовать обеспечению реальной возможности установления соединений для каждого человека в мире.</w:t>
      </w:r>
    </w:p>
    <w:p w14:paraId="5BDBDA84" w14:textId="77777777" w:rsidR="00D82062" w:rsidRPr="00945782" w:rsidRDefault="00D82062" w:rsidP="00246C8E">
      <w:pPr>
        <w:jc w:val="both"/>
        <w:rPr>
          <w:lang w:val="ru-RU"/>
        </w:rPr>
      </w:pPr>
      <w:r w:rsidRPr="00945782">
        <w:rPr>
          <w:lang w:val="ru-RU"/>
        </w:rPr>
        <w:t>За каждым достижением стоят человеческие истории: ребенок, впервые получивший доступ к онлайн-обучению, сообщества, восстановившие связь после разрушительных ураганов и циклонов, молодые женщины, открывающие онлайн-бизнес.</w:t>
      </w:r>
    </w:p>
    <w:p w14:paraId="1C5ADA8A" w14:textId="2D39F9CB" w:rsidR="00D82062" w:rsidRPr="00945782" w:rsidRDefault="00D82062" w:rsidP="00246C8E">
      <w:pPr>
        <w:jc w:val="both"/>
        <w:rPr>
          <w:lang w:val="ru-RU"/>
        </w:rPr>
      </w:pPr>
      <w:r w:rsidRPr="00945782">
        <w:rPr>
          <w:lang w:val="ru-RU"/>
        </w:rPr>
        <w:t>К концу 2025 года уровень использования интернета в мире достиг 74% – 6 млрд. человек, – т. е.</w:t>
      </w:r>
      <w:r w:rsidR="00226578" w:rsidRPr="00945782">
        <w:rPr>
          <w:lang w:val="ru-RU"/>
        </w:rPr>
        <w:t> </w:t>
      </w:r>
      <w:r w:rsidRPr="00945782">
        <w:rPr>
          <w:lang w:val="ru-RU"/>
        </w:rPr>
        <w:t>число людей, не имеющих доступа к интернету, сократилось до 2,2 млрд. Однако сохранялся разрыв: 93% пользователей в странах с высоким уровнем доходов и 23% – в странах с низким уровнем доходов, причем доля женщин, владеющих мобильным телефоном, на 10%</w:t>
      </w:r>
      <w:r w:rsidR="00DE7861" w:rsidRPr="00945782">
        <w:rPr>
          <w:lang w:val="ru-RU"/>
        </w:rPr>
        <w:t> </w:t>
      </w:r>
      <w:r w:rsidRPr="00945782">
        <w:rPr>
          <w:lang w:val="ru-RU"/>
        </w:rPr>
        <w:t>ниже доли мужчин, владеющих мобильным телефоном. Число стран, внедривших политику в области доступности ИКТ, выросло со 117 (по состоянию на конец 2022 г.) до 127 (по</w:t>
      </w:r>
      <w:r w:rsidR="00DE7861" w:rsidRPr="00945782">
        <w:rPr>
          <w:lang w:val="ru-RU"/>
        </w:rPr>
        <w:t> </w:t>
      </w:r>
      <w:r w:rsidRPr="00945782">
        <w:rPr>
          <w:lang w:val="ru-RU"/>
        </w:rPr>
        <w:t>состоянию на конец 2024 г.).</w:t>
      </w:r>
    </w:p>
    <w:p w14:paraId="647E98C7" w14:textId="77777777" w:rsidR="00D82062" w:rsidRPr="00945782" w:rsidRDefault="00D82062" w:rsidP="00246C8E">
      <w:pPr>
        <w:jc w:val="both"/>
        <w:rPr>
          <w:lang w:val="ru-RU"/>
        </w:rPr>
      </w:pPr>
      <w:r w:rsidRPr="00945782">
        <w:rPr>
          <w:lang w:val="ru-RU"/>
        </w:rPr>
        <w:t>Возможность установления соединений является ключевым фактором безопасности, достоинства и потенциала людей.</w:t>
      </w:r>
    </w:p>
    <w:p w14:paraId="67B7F06B" w14:textId="14243F5E" w:rsidR="00D82062" w:rsidRPr="00945782" w:rsidRDefault="00D82062" w:rsidP="00246C8E">
      <w:pPr>
        <w:jc w:val="both"/>
        <w:rPr>
          <w:lang w:val="ru-RU"/>
        </w:rPr>
      </w:pPr>
      <w:r w:rsidRPr="00945782">
        <w:rPr>
          <w:lang w:val="ru-RU"/>
        </w:rPr>
        <w:t>МСЭ обеспечил заключение важнейших глобальных соглашений по защите общего мирового ресурса радиочастотного спектра и спутниковых орбит. Разработанная МСЭ знаковая "</w:t>
      </w:r>
      <w:r w:rsidRPr="00945782">
        <w:rPr>
          <w:b/>
          <w:bCs/>
          <w:lang w:val="ru-RU"/>
        </w:rPr>
        <w:t>Основа IMT-2030</w:t>
      </w:r>
      <w:r w:rsidRPr="00945782">
        <w:rPr>
          <w:lang w:val="ru-RU"/>
        </w:rPr>
        <w:t xml:space="preserve">" </w:t>
      </w:r>
      <w:r w:rsidRPr="00945782">
        <w:rPr>
          <w:b/>
          <w:bCs/>
          <w:lang w:val="ru-RU"/>
        </w:rPr>
        <w:t>для сетей связи 6G</w:t>
      </w:r>
      <w:r w:rsidRPr="00945782">
        <w:rPr>
          <w:lang w:val="ru-RU"/>
        </w:rPr>
        <w:t xml:space="preserve"> служит нормативной и технической основой для развития передовых технологий установления соединений в следующем десятилетии.</w:t>
      </w:r>
    </w:p>
    <w:p w14:paraId="168F28D1" w14:textId="77777777" w:rsidR="00D82062" w:rsidRPr="00945782" w:rsidRDefault="00D82062" w:rsidP="00246C8E">
      <w:pPr>
        <w:jc w:val="both"/>
        <w:rPr>
          <w:lang w:val="ru-RU"/>
        </w:rPr>
      </w:pPr>
      <w:r w:rsidRPr="00945782">
        <w:rPr>
          <w:lang w:val="ru-RU"/>
        </w:rPr>
        <w:t>Находясь на переднем крае технологий, МСЭ разработал ключевые стандарты для квантовых технологий, что заложило основу для функционально совместимых решений, ориентированных на человека.</w:t>
      </w:r>
    </w:p>
    <w:p w14:paraId="0D1D9BA4" w14:textId="25A9EF6A" w:rsidR="00D82062" w:rsidRPr="00945782" w:rsidRDefault="00D82062" w:rsidP="00246C8E">
      <w:pPr>
        <w:jc w:val="both"/>
        <w:rPr>
          <w:lang w:val="ru-RU"/>
        </w:rPr>
      </w:pPr>
      <w:r w:rsidRPr="00945782">
        <w:rPr>
          <w:lang w:val="ru-RU"/>
        </w:rPr>
        <w:t>К 2025 году число обучающихся в Академии МСЭ достигло 83 000 человек, из которых 40% − женщины. Инициативой "Центры цифровой трансформации" в 2022–2025 годах было охвачено более 610</w:t>
      </w:r>
      <w:r w:rsidR="00C96096" w:rsidRPr="00945782">
        <w:rPr>
          <w:lang w:val="ru-RU"/>
        </w:rPr>
        <w:t> </w:t>
      </w:r>
      <w:r w:rsidRPr="00945782">
        <w:rPr>
          <w:lang w:val="ru-RU"/>
        </w:rPr>
        <w:t>000 человек, более половины из которых − женщины.</w:t>
      </w:r>
    </w:p>
    <w:p w14:paraId="43E8A185" w14:textId="77777777" w:rsidR="00D82062" w:rsidRPr="00945782" w:rsidRDefault="00D82062" w:rsidP="00246C8E">
      <w:pPr>
        <w:jc w:val="both"/>
        <w:rPr>
          <w:lang w:val="ru-RU"/>
        </w:rPr>
      </w:pPr>
      <w:r w:rsidRPr="00945782">
        <w:rPr>
          <w:lang w:val="ru-RU"/>
        </w:rPr>
        <w:t>Мы оказывали поддержку странам в разработке регулирования в области электронных отходов и объединяли цифровые компании вокруг более экологичных цифровых практик, включая прозрачную отчетность по выбросам и внедрение стандартов в области экологической устойчивости.</w:t>
      </w:r>
    </w:p>
    <w:p w14:paraId="4E8934F8" w14:textId="77777777" w:rsidR="00D82062" w:rsidRPr="00945782" w:rsidRDefault="00D82062" w:rsidP="00246C8E">
      <w:pPr>
        <w:jc w:val="both"/>
        <w:rPr>
          <w:lang w:val="ru-RU"/>
        </w:rPr>
      </w:pPr>
      <w:r w:rsidRPr="00945782">
        <w:rPr>
          <w:lang w:val="ru-RU"/>
        </w:rPr>
        <w:t>По итогам Полномочной конференции (ПК-22) в Бухаресте МСЭ усилил внимание к вопросам управления искусственным интеллектом и экологической устойчивости космической деятельности. На Всемирной конференции радиосвязи (ВКР-23) в Дубае была заложена основа для распределения спектра для эпохи спутниковой связи и 6G. В ходе Всемирной ассамблеи по стандартизации электросвязи (ВАСЭ-24) был достигнут прогресс в технических стандартах, чтобы они были доступны для всех. Совсем недавно в рамках Всемирной конференции по развитию электросвязи (ВКРЭ-25) в Баку эти глобальные рамочные механизмы были преобразованы в региональные планы действий, призванные обеспечить предоставление цифровых преимуществ людям и сообществам по всему миру.</w:t>
      </w:r>
    </w:p>
    <w:p w14:paraId="00C1FD24" w14:textId="77777777" w:rsidR="00D82062" w:rsidRPr="00945782" w:rsidRDefault="00D82062" w:rsidP="00246C8E">
      <w:pPr>
        <w:jc w:val="both"/>
        <w:rPr>
          <w:lang w:val="ru-RU"/>
        </w:rPr>
      </w:pPr>
      <w:r w:rsidRPr="00945782">
        <w:rPr>
          <w:lang w:val="ru-RU"/>
        </w:rPr>
        <w:t xml:space="preserve">Этот перечень успехов дополнило признание Генеральной Ассамблеей ООН итогов 20-летнего обзора выполнения решений Всемирной встречи на высшем уровне по вопросам информационного общества (ВВУИО) в качестве основы для построения цифрового будущего </w:t>
      </w:r>
      <w:r w:rsidRPr="00945782">
        <w:rPr>
          <w:lang w:val="ru-RU"/>
        </w:rPr>
        <w:lastRenderedPageBreak/>
        <w:t>для всех. В соответствующей резолюции ООН также подтверждается, что данные МСЭ являются "золотым стандартом" для отслеживания глобального цифрового прогресса.</w:t>
      </w:r>
    </w:p>
    <w:p w14:paraId="2D1908E6" w14:textId="77777777" w:rsidR="00D82062" w:rsidRPr="00945782" w:rsidRDefault="00D82062" w:rsidP="00246C8E">
      <w:pPr>
        <w:jc w:val="both"/>
        <w:rPr>
          <w:lang w:val="ru-RU"/>
        </w:rPr>
      </w:pPr>
      <w:r w:rsidRPr="00945782">
        <w:rPr>
          <w:lang w:val="ru-RU"/>
        </w:rPr>
        <w:t>В то же время мы расширили сообщества заинтересованных сторон и усилили инновационные партнерства по ключевым вопросам современности.</w:t>
      </w:r>
    </w:p>
    <w:p w14:paraId="34772996" w14:textId="7C3F207D" w:rsidR="00D82062" w:rsidRPr="00945782" w:rsidRDefault="00D82062" w:rsidP="00246C8E">
      <w:pPr>
        <w:jc w:val="both"/>
        <w:rPr>
          <w:lang w:val="ru-RU"/>
        </w:rPr>
      </w:pPr>
      <w:r w:rsidRPr="00945782">
        <w:rPr>
          <w:lang w:val="ru-RU"/>
        </w:rPr>
        <w:t>В 2025 году в Женеве состоялись организованный МСЭ в восьмой раз Глобальный саммит "ИИ</w:t>
      </w:r>
      <w:r w:rsidR="00226578" w:rsidRPr="00945782">
        <w:rPr>
          <w:lang w:val="ru-RU"/>
        </w:rPr>
        <w:t> </w:t>
      </w:r>
      <w:r w:rsidRPr="00945782">
        <w:rPr>
          <w:lang w:val="ru-RU"/>
        </w:rPr>
        <w:t>во благо" и мероприятие высокого уровня ВВУИО+20, общее число участников которых составило 11 000 человек. Виртуальное сообщество "ИИ во благо", в котором в период пандемии поддерживалось обсуждение вопросов, определяющих то, каким будет будущее, насчитывает уже 35 000 человек и продолжает расти, объединяя людей и идеи по всему миру.</w:t>
      </w:r>
    </w:p>
    <w:p w14:paraId="5A833027" w14:textId="77777777" w:rsidR="00D82062" w:rsidRPr="00945782" w:rsidRDefault="00D82062" w:rsidP="00246C8E">
      <w:pPr>
        <w:jc w:val="both"/>
        <w:rPr>
          <w:lang w:val="ru-RU"/>
        </w:rPr>
      </w:pPr>
      <w:r w:rsidRPr="00945782">
        <w:rPr>
          <w:lang w:val="ru-RU"/>
        </w:rPr>
        <w:t>МСЭ развивается вместе с технологиями уже более 160 лет − от телеграфа до искусственного интеллекта и квантовых технологий. Отметив свое 160-летие, мы закрепили свою современную роль в качестве учреждения ООН, отвечающего за цифровые технологии, способного обеспечивать взаимодействие человека и цифровой среды в приближающуюся эпоху прямой спутниковой связи с устройствами, 6G, пользовательского опыта, пока не поддающегося нашему воображению, а также связи за пределами Земли, в особенности связи на Луне.</w:t>
      </w:r>
    </w:p>
    <w:p w14:paraId="75DB2364" w14:textId="5D4DF0ED" w:rsidR="00D82062" w:rsidRPr="00945782" w:rsidRDefault="00D82062" w:rsidP="00246C8E">
      <w:pPr>
        <w:jc w:val="both"/>
        <w:rPr>
          <w:lang w:val="ru-RU"/>
        </w:rPr>
      </w:pPr>
      <w:r w:rsidRPr="00945782">
        <w:rPr>
          <w:lang w:val="ru-RU"/>
        </w:rPr>
        <w:t>Цифровая коалиция "Партнерства для подключения" (P2C), в рамках которой было получено 1060 обязательств на сумму более 80 млрд. долларов США в 149 странах, – это инициатива МСЭ, направленная на обеспечение возможности установления соединений в наименее подключенных регионах мира. В рамках инициативы Giga, реализуемой МСЭ и ЮНИСЕФ, были нанесены на карту более 2 млн. школ в более чем 140 странах и были выявлены наиболее заметные пробелы в обеспечении школ возможностью устанавливать соединения.</w:t>
      </w:r>
    </w:p>
    <w:p w14:paraId="72E9A5F7" w14:textId="77777777" w:rsidR="00D82062" w:rsidRPr="00945782" w:rsidRDefault="00D82062" w:rsidP="00246C8E">
      <w:pPr>
        <w:jc w:val="both"/>
        <w:rPr>
          <w:lang w:val="ru-RU"/>
        </w:rPr>
      </w:pPr>
      <w:r w:rsidRPr="00945782">
        <w:rPr>
          <w:lang w:val="ru-RU"/>
        </w:rPr>
        <w:t>Что касается области инфраструктуры, наш новый консультативный орган по устойчивости подводных кабелей, в который входят 42 члена, способствует сотрудничеству, направленному на защиту физической магистрали, обеспечивающей глобальную связь.</w:t>
      </w:r>
    </w:p>
    <w:p w14:paraId="0890F1A4" w14:textId="77777777" w:rsidR="00D82062" w:rsidRPr="00945782" w:rsidRDefault="00D82062" w:rsidP="00246C8E">
      <w:pPr>
        <w:jc w:val="both"/>
        <w:rPr>
          <w:lang w:val="ru-RU"/>
        </w:rPr>
      </w:pPr>
      <w:r w:rsidRPr="00945782">
        <w:rPr>
          <w:lang w:val="ru-RU"/>
        </w:rPr>
        <w:t>В целом мы оцениваем стоимость обеспечения универсальной реальной возможности установления соединений к 2030 году в 2,6–2,8 трлн. долларов США: на развитие инфраструктуры при параллельном повышении цифровых навыков, обеспечении приемлемости в ценовом отношении и предоставлении странам проработанных вариантов политики.</w:t>
      </w:r>
    </w:p>
    <w:p w14:paraId="3B92CC43" w14:textId="77777777" w:rsidR="00D82062" w:rsidRPr="00945782" w:rsidRDefault="00D82062" w:rsidP="00246C8E">
      <w:pPr>
        <w:jc w:val="both"/>
        <w:rPr>
          <w:lang w:val="ru-RU"/>
        </w:rPr>
      </w:pPr>
      <w:r w:rsidRPr="00945782">
        <w:rPr>
          <w:lang w:val="ru-RU"/>
        </w:rPr>
        <w:t>Для достижения универсальной реальной возможности установления соединений требуются решимость, доверие и сотрудничество.</w:t>
      </w:r>
    </w:p>
    <w:p w14:paraId="09B2FC36" w14:textId="77777777" w:rsidR="00D82062" w:rsidRPr="00945782" w:rsidRDefault="00D82062" w:rsidP="00246C8E">
      <w:pPr>
        <w:jc w:val="both"/>
        <w:rPr>
          <w:lang w:val="ru-RU"/>
        </w:rPr>
      </w:pPr>
      <w:r w:rsidRPr="00945782">
        <w:rPr>
          <w:lang w:val="ru-RU"/>
        </w:rPr>
        <w:t>Достижения, отраженные в настоящем отчете, являются результатом усилий членов, партнеров и сотрудников МСЭ и демонстрируют, чего можно достичь, когда мировое сообщество объединяет усилия ради общей цели.</w:t>
      </w:r>
    </w:p>
    <w:p w14:paraId="32825D3D" w14:textId="77777777" w:rsidR="00D82062" w:rsidRPr="00945782" w:rsidRDefault="00D82062" w:rsidP="00246C8E">
      <w:pPr>
        <w:jc w:val="both"/>
        <w:rPr>
          <w:lang w:val="ru-RU"/>
        </w:rPr>
      </w:pPr>
      <w:r w:rsidRPr="00945782">
        <w:rPr>
          <w:lang w:val="ru-RU"/>
        </w:rPr>
        <w:t>Общий импульс имеет ключевое значение сейчас, когда мы переходим к следующему этапу реализации нашего Стратегического плана.</w:t>
      </w:r>
    </w:p>
    <w:p w14:paraId="4E3FBAC9" w14:textId="77777777" w:rsidR="00D82062" w:rsidRPr="00945782" w:rsidRDefault="00D82062" w:rsidP="00246C8E">
      <w:pPr>
        <w:jc w:val="both"/>
        <w:rPr>
          <w:lang w:val="ru-RU"/>
        </w:rPr>
      </w:pPr>
      <w:r w:rsidRPr="00945782">
        <w:rPr>
          <w:lang w:val="ru-RU"/>
        </w:rPr>
        <w:t>Давайте вместе сделаем так, чтобы каждый человек, где бы он ни находился, мог в полной мере воспользоваться преимуществами цифровой трансформации.</w:t>
      </w:r>
    </w:p>
    <w:p w14:paraId="1C4D0DB4" w14:textId="2FAAB1A5" w:rsidR="00D82062" w:rsidRPr="00945782" w:rsidRDefault="00D82062" w:rsidP="00D82062">
      <w:pPr>
        <w:spacing w:before="480"/>
        <w:rPr>
          <w:lang w:val="ru-RU"/>
        </w:rPr>
      </w:pPr>
      <w:r w:rsidRPr="00945782">
        <w:rPr>
          <w:lang w:val="ru-RU"/>
        </w:rPr>
        <w:t>Дорин Богдан-Мартин</w:t>
      </w:r>
      <w:r w:rsidRPr="00945782">
        <w:rPr>
          <w:lang w:val="ru-RU"/>
        </w:rPr>
        <w:br/>
        <w:t>Генеральный секретарь МСЭ</w:t>
      </w:r>
    </w:p>
    <w:p w14:paraId="0591B8B8" w14:textId="77777777" w:rsidR="00D82062" w:rsidRPr="00945782" w:rsidRDefault="00D82062" w:rsidP="00D82062">
      <w:pPr>
        <w:rPr>
          <w:rFonts w:asciiTheme="minorHAnsi" w:hAnsiTheme="minorHAnsi" w:cstheme="minorHAnsi"/>
          <w:szCs w:val="22"/>
          <w:lang w:val="ru-RU"/>
        </w:rPr>
      </w:pPr>
      <w:r w:rsidRPr="00945782">
        <w:rPr>
          <w:rFonts w:asciiTheme="minorHAnsi" w:hAnsiTheme="minorHAnsi" w:cstheme="minorHAnsi"/>
          <w:szCs w:val="22"/>
          <w:lang w:val="ru-RU"/>
        </w:rPr>
        <w:br w:type="page"/>
      </w:r>
    </w:p>
    <w:p w14:paraId="1483D22B" w14:textId="1CAA0131" w:rsidR="001A0787" w:rsidRPr="00945782" w:rsidRDefault="001A0787" w:rsidP="001A0787">
      <w:pPr>
        <w:tabs>
          <w:tab w:val="clear" w:pos="794"/>
          <w:tab w:val="clear" w:pos="1191"/>
          <w:tab w:val="clear" w:pos="1588"/>
          <w:tab w:val="clear" w:pos="1985"/>
        </w:tabs>
        <w:overflowPunct/>
        <w:autoSpaceDE/>
        <w:autoSpaceDN/>
        <w:adjustRightInd/>
        <w:spacing w:before="0"/>
        <w:jc w:val="center"/>
        <w:textAlignment w:val="auto"/>
        <w:rPr>
          <w:b/>
          <w:bCs/>
          <w:lang w:val="ru-RU"/>
        </w:rPr>
      </w:pPr>
      <w:bookmarkStart w:id="7" w:name="_Toc227062838"/>
      <w:r w:rsidRPr="00945782">
        <w:rPr>
          <w:b/>
          <w:bCs/>
          <w:lang w:val="ru-RU"/>
        </w:rPr>
        <w:lastRenderedPageBreak/>
        <w:t>Содержание</w:t>
      </w:r>
    </w:p>
    <w:p w14:paraId="2FF109AE" w14:textId="0C54C1AE" w:rsidR="001A0787" w:rsidRPr="00945782" w:rsidRDefault="001A0787" w:rsidP="001A0787">
      <w:pPr>
        <w:tabs>
          <w:tab w:val="clear" w:pos="794"/>
          <w:tab w:val="clear" w:pos="1191"/>
          <w:tab w:val="clear" w:pos="1588"/>
          <w:tab w:val="clear" w:pos="1985"/>
        </w:tabs>
        <w:overflowPunct/>
        <w:autoSpaceDE/>
        <w:autoSpaceDN/>
        <w:adjustRightInd/>
        <w:spacing w:before="0"/>
        <w:jc w:val="right"/>
        <w:textAlignment w:val="auto"/>
        <w:rPr>
          <w:lang w:val="ru-RU"/>
        </w:rPr>
      </w:pPr>
      <w:r w:rsidRPr="00945782">
        <w:rPr>
          <w:b/>
          <w:bCs/>
          <w:lang w:val="ru-RU"/>
        </w:rPr>
        <w:t>Стр</w:t>
      </w:r>
      <w:r w:rsidRPr="00945782">
        <w:rPr>
          <w:lang w:val="ru-RU"/>
        </w:rPr>
        <w:t>.</w:t>
      </w:r>
    </w:p>
    <w:p w14:paraId="293BD6A0" w14:textId="073194A5" w:rsidR="001A0787" w:rsidRPr="00945782" w:rsidRDefault="001A0787" w:rsidP="001A0787">
      <w:pPr>
        <w:pStyle w:val="TOC1"/>
        <w:tabs>
          <w:tab w:val="clear" w:pos="964"/>
          <w:tab w:val="clear" w:pos="7938"/>
          <w:tab w:val="left" w:pos="709"/>
          <w:tab w:val="left" w:leader="dot" w:pos="8222"/>
        </w:tabs>
        <w:ind w:left="709" w:right="851" w:hanging="709"/>
        <w:rPr>
          <w:rFonts w:eastAsiaTheme="minorEastAsia" w:cs="Calibri"/>
          <w:kern w:val="2"/>
          <w:sz w:val="22"/>
          <w:szCs w:val="22"/>
          <w:lang w:val="ru-RU" w:eastAsia="en-GB"/>
          <w14:ligatures w14:val="standardContextual"/>
        </w:rPr>
      </w:pPr>
      <w:r w:rsidRPr="00945782">
        <w:rPr>
          <w:rFonts w:cs="Calibri"/>
          <w:sz w:val="22"/>
          <w:szCs w:val="22"/>
          <w:lang w:val="ru-RU"/>
        </w:rPr>
        <w:fldChar w:fldCharType="begin"/>
      </w:r>
      <w:r w:rsidRPr="00945782">
        <w:rPr>
          <w:rFonts w:cs="Calibri"/>
          <w:sz w:val="22"/>
          <w:szCs w:val="22"/>
          <w:lang w:val="ru-RU"/>
        </w:rPr>
        <w:instrText xml:space="preserve"> TOC \o "1-2" \t "Heading 3,3" </w:instrText>
      </w:r>
      <w:r w:rsidRPr="00945782">
        <w:rPr>
          <w:rFonts w:cs="Calibri"/>
          <w:sz w:val="22"/>
          <w:szCs w:val="22"/>
          <w:lang w:val="ru-RU"/>
        </w:rPr>
        <w:fldChar w:fldCharType="separate"/>
      </w:r>
      <w:r w:rsidRPr="00945782">
        <w:rPr>
          <w:rFonts w:cs="Calibri"/>
          <w:sz w:val="22"/>
          <w:szCs w:val="22"/>
          <w:lang w:val="ru-RU"/>
        </w:rPr>
        <w:t>i)</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Резюме</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_Toc227850226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w:t>
      </w:r>
      <w:r w:rsidRPr="00945782">
        <w:rPr>
          <w:rFonts w:cs="Calibri"/>
          <w:sz w:val="22"/>
          <w:szCs w:val="22"/>
          <w:lang w:val="ru-RU"/>
        </w:rPr>
        <w:fldChar w:fldCharType="end"/>
      </w:r>
    </w:p>
    <w:p w14:paraId="77A576E9" w14:textId="051163E2" w:rsidR="001A0787" w:rsidRPr="00945782" w:rsidRDefault="001A0787" w:rsidP="001A0787">
      <w:pPr>
        <w:pStyle w:val="TOC1"/>
        <w:tabs>
          <w:tab w:val="clear" w:pos="964"/>
          <w:tab w:val="clear" w:pos="7938"/>
          <w:tab w:val="left" w:pos="709"/>
          <w:tab w:val="left" w:leader="dot" w:pos="8222"/>
        </w:tabs>
        <w:ind w:left="709" w:right="851" w:hanging="709"/>
        <w:rPr>
          <w:rFonts w:cs="Calibri"/>
          <w:sz w:val="22"/>
          <w:szCs w:val="22"/>
          <w:lang w:val="ru-RU"/>
        </w:rPr>
      </w:pPr>
      <w:r w:rsidRPr="00945782">
        <w:rPr>
          <w:rFonts w:cs="Calibri"/>
          <w:sz w:val="22"/>
          <w:szCs w:val="22"/>
          <w:lang w:val="ru-RU"/>
        </w:rPr>
        <w:t>ii)</w:t>
      </w:r>
      <w:r w:rsidRPr="00945782">
        <w:rPr>
          <w:rFonts w:cs="Calibri"/>
          <w:sz w:val="22"/>
          <w:szCs w:val="22"/>
          <w:lang w:val="ru-RU"/>
        </w:rPr>
        <w:tab/>
        <w:t>Основные идеи и выводы за период 2022–2025 годов</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_Toc227850227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13</w:t>
      </w:r>
      <w:r w:rsidRPr="00945782">
        <w:rPr>
          <w:rFonts w:cs="Calibri"/>
          <w:sz w:val="22"/>
          <w:szCs w:val="22"/>
          <w:lang w:val="ru-RU"/>
        </w:rPr>
        <w:fldChar w:fldCharType="end"/>
      </w:r>
    </w:p>
    <w:p w14:paraId="21CFD117" w14:textId="0888D99F" w:rsidR="001A0787" w:rsidRPr="00945782" w:rsidRDefault="001A0787" w:rsidP="001A0787">
      <w:pPr>
        <w:pStyle w:val="TOC1"/>
        <w:tabs>
          <w:tab w:val="clear" w:pos="964"/>
          <w:tab w:val="clear" w:pos="7938"/>
          <w:tab w:val="left" w:pos="709"/>
          <w:tab w:val="left" w:leader="dot" w:pos="8222"/>
        </w:tabs>
        <w:ind w:left="709" w:right="851" w:hanging="709"/>
        <w:rPr>
          <w:rFonts w:cs="Calibri"/>
          <w:sz w:val="22"/>
          <w:szCs w:val="22"/>
          <w:lang w:val="ru-RU"/>
        </w:rPr>
      </w:pPr>
      <w:r w:rsidRPr="00945782">
        <w:rPr>
          <w:rFonts w:cs="Calibri"/>
          <w:sz w:val="22"/>
          <w:szCs w:val="22"/>
          <w:lang w:val="ru-RU"/>
        </w:rPr>
        <w:t>1</w:t>
      </w:r>
      <w:r w:rsidRPr="00945782">
        <w:rPr>
          <w:rFonts w:cs="Calibri"/>
          <w:sz w:val="22"/>
          <w:szCs w:val="22"/>
          <w:lang w:val="ru-RU"/>
        </w:rPr>
        <w:tab/>
        <w:t>Введение</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_Toc227850228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18</w:t>
      </w:r>
      <w:r w:rsidRPr="00945782">
        <w:rPr>
          <w:rFonts w:cs="Calibri"/>
          <w:sz w:val="22"/>
          <w:szCs w:val="22"/>
          <w:lang w:val="ru-RU"/>
        </w:rPr>
        <w:fldChar w:fldCharType="end"/>
      </w:r>
    </w:p>
    <w:p w14:paraId="3C95305A" w14:textId="7EC9387C" w:rsidR="001A0787" w:rsidRPr="00945782" w:rsidRDefault="001A0787" w:rsidP="001A0787">
      <w:pPr>
        <w:pStyle w:val="TOC1"/>
        <w:tabs>
          <w:tab w:val="clear" w:pos="964"/>
          <w:tab w:val="clear" w:pos="7938"/>
          <w:tab w:val="left" w:pos="709"/>
          <w:tab w:val="left" w:leader="dot" w:pos="8222"/>
        </w:tabs>
        <w:ind w:left="709" w:right="851" w:hanging="709"/>
        <w:rPr>
          <w:rFonts w:cs="Calibri"/>
          <w:sz w:val="22"/>
          <w:szCs w:val="22"/>
          <w:lang w:val="ru-RU"/>
        </w:rPr>
      </w:pPr>
      <w:r w:rsidRPr="00945782">
        <w:rPr>
          <w:rFonts w:cs="Calibri"/>
          <w:sz w:val="22"/>
          <w:szCs w:val="22"/>
          <w:lang w:val="ru-RU"/>
        </w:rPr>
        <w:t>2</w:t>
      </w:r>
      <w:r w:rsidRPr="00945782">
        <w:rPr>
          <w:rFonts w:cs="Calibri"/>
          <w:sz w:val="22"/>
          <w:szCs w:val="22"/>
          <w:lang w:val="ru-RU"/>
        </w:rPr>
        <w:tab/>
        <w:t>Предусмотренные Уставом глобальные конференции 2022–2025 годов</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_Toc227850229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19</w:t>
      </w:r>
      <w:r w:rsidRPr="00945782">
        <w:rPr>
          <w:rFonts w:cs="Calibri"/>
          <w:sz w:val="22"/>
          <w:szCs w:val="22"/>
          <w:lang w:val="ru-RU"/>
        </w:rPr>
        <w:fldChar w:fldCharType="end"/>
      </w:r>
    </w:p>
    <w:p w14:paraId="426CD419" w14:textId="6BA6F31B"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2.1</w:t>
      </w:r>
      <w:r w:rsidRPr="00945782">
        <w:rPr>
          <w:rFonts w:cs="Calibri"/>
          <w:sz w:val="22"/>
          <w:szCs w:val="22"/>
          <w:lang w:val="ru-RU"/>
        </w:rPr>
        <w:tab/>
        <w:t>Полномочная конференция МСЭ (ПК-22)</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_Toc227850230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19</w:t>
      </w:r>
      <w:r w:rsidRPr="00945782">
        <w:rPr>
          <w:rFonts w:cs="Calibri"/>
          <w:sz w:val="22"/>
          <w:szCs w:val="22"/>
          <w:lang w:val="ru-RU"/>
        </w:rPr>
        <w:fldChar w:fldCharType="end"/>
      </w:r>
    </w:p>
    <w:p w14:paraId="64119008" w14:textId="18CC2B54"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2.1.1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Выборы в МСЭ</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_Toc227850231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19</w:t>
      </w:r>
      <w:r w:rsidRPr="00945782">
        <w:rPr>
          <w:rFonts w:cs="Calibri"/>
          <w:sz w:val="22"/>
          <w:szCs w:val="22"/>
          <w:lang w:val="ru-RU"/>
        </w:rPr>
        <w:fldChar w:fldCharType="end"/>
      </w:r>
    </w:p>
    <w:p w14:paraId="10CF71A7" w14:textId="5766AB72"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2.2</w:t>
      </w:r>
      <w:r w:rsidRPr="00945782">
        <w:rPr>
          <w:rFonts w:cs="Calibri"/>
          <w:sz w:val="22"/>
          <w:szCs w:val="22"/>
          <w:lang w:val="ru-RU"/>
        </w:rPr>
        <w:tab/>
        <w:t>ВКР-23 и АР-23</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_Toc227850232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20</w:t>
      </w:r>
      <w:r w:rsidRPr="00945782">
        <w:rPr>
          <w:rFonts w:cs="Calibri"/>
          <w:sz w:val="22"/>
          <w:szCs w:val="22"/>
          <w:lang w:val="ru-RU"/>
        </w:rPr>
        <w:fldChar w:fldCharType="end"/>
      </w:r>
    </w:p>
    <w:p w14:paraId="0147D8FB" w14:textId="0A90284C"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2.2.1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Всемирная конференция радиосвязи 2023 года</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_Toc227850233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20</w:t>
      </w:r>
      <w:r w:rsidRPr="00945782">
        <w:rPr>
          <w:rFonts w:cs="Calibri"/>
          <w:sz w:val="22"/>
          <w:szCs w:val="22"/>
          <w:lang w:val="ru-RU"/>
        </w:rPr>
        <w:fldChar w:fldCharType="end"/>
      </w:r>
    </w:p>
    <w:p w14:paraId="3C5BC956" w14:textId="463C18CC"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2.2.2</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Ассамблея радиосвязи 2023 года</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_Toc227850234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20</w:t>
      </w:r>
      <w:r w:rsidRPr="00945782">
        <w:rPr>
          <w:rFonts w:cs="Calibri"/>
          <w:sz w:val="22"/>
          <w:szCs w:val="22"/>
          <w:lang w:val="ru-RU"/>
        </w:rPr>
        <w:fldChar w:fldCharType="end"/>
      </w:r>
    </w:p>
    <w:p w14:paraId="2847ABE8" w14:textId="5241ED5E"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2.3</w:t>
      </w:r>
      <w:r w:rsidRPr="00945782">
        <w:rPr>
          <w:rFonts w:cs="Calibri"/>
          <w:sz w:val="22"/>
          <w:szCs w:val="22"/>
          <w:lang w:val="ru-RU"/>
        </w:rPr>
        <w:tab/>
        <w:t>Всемирная ассамблея по стандартизации электросвязи 2024 года</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_Toc227850235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21</w:t>
      </w:r>
      <w:r w:rsidRPr="00945782">
        <w:rPr>
          <w:rFonts w:cs="Calibri"/>
          <w:sz w:val="22"/>
          <w:szCs w:val="22"/>
          <w:lang w:val="ru-RU"/>
        </w:rPr>
        <w:fldChar w:fldCharType="end"/>
      </w:r>
    </w:p>
    <w:p w14:paraId="609AA30B" w14:textId="0ABB65ED"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2.4</w:t>
      </w:r>
      <w:r w:rsidRPr="00945782">
        <w:rPr>
          <w:rFonts w:cs="Calibri"/>
          <w:sz w:val="22"/>
          <w:szCs w:val="22"/>
          <w:lang w:val="ru-RU"/>
        </w:rPr>
        <w:tab/>
        <w:t>Всемирная конференция по развитию электросвязи 2025 года</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_Toc227850236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22</w:t>
      </w:r>
      <w:r w:rsidRPr="00945782">
        <w:rPr>
          <w:rFonts w:cs="Calibri"/>
          <w:sz w:val="22"/>
          <w:szCs w:val="22"/>
          <w:lang w:val="ru-RU"/>
        </w:rPr>
        <w:fldChar w:fldCharType="end"/>
      </w:r>
    </w:p>
    <w:p w14:paraId="276DCCF1" w14:textId="41C70298" w:rsidR="001A0787" w:rsidRPr="00945782" w:rsidRDefault="001A0787" w:rsidP="001A0787">
      <w:pPr>
        <w:pStyle w:val="TOC1"/>
        <w:tabs>
          <w:tab w:val="clear" w:pos="964"/>
          <w:tab w:val="clear" w:pos="7938"/>
          <w:tab w:val="left" w:pos="709"/>
          <w:tab w:val="left" w:leader="dot" w:pos="8222"/>
        </w:tabs>
        <w:ind w:left="709" w:right="851" w:hanging="709"/>
        <w:rPr>
          <w:rFonts w:eastAsiaTheme="minorEastAsia" w:cs="Calibri"/>
          <w:kern w:val="2"/>
          <w:sz w:val="22"/>
          <w:szCs w:val="22"/>
          <w:lang w:val="ru-RU" w:eastAsia="en-GB"/>
          <w14:ligatures w14:val="standardContextual"/>
        </w:rPr>
      </w:pPr>
      <w:r w:rsidRPr="00945782">
        <w:rPr>
          <w:rFonts w:cs="Calibri"/>
          <w:sz w:val="22"/>
          <w:szCs w:val="22"/>
          <w:lang w:val="ru-RU"/>
        </w:rPr>
        <w:t>3</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Воздействие работы МСЭ</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_Toc227850237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24</w:t>
      </w:r>
      <w:r w:rsidRPr="00945782">
        <w:rPr>
          <w:rFonts w:cs="Calibri"/>
          <w:sz w:val="22"/>
          <w:szCs w:val="22"/>
          <w:lang w:val="ru-RU"/>
        </w:rPr>
        <w:fldChar w:fldCharType="end"/>
      </w:r>
    </w:p>
    <w:p w14:paraId="3A5BFB43" w14:textId="0D95AAD2"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3.1</w:t>
      </w:r>
      <w:r w:rsidRPr="00945782">
        <w:rPr>
          <w:rFonts w:cs="Calibri"/>
          <w:sz w:val="22"/>
          <w:szCs w:val="22"/>
          <w:lang w:val="ru-RU"/>
        </w:rPr>
        <w:tab/>
        <w:t>Стратегический план на 2020–2023 года (окончательные результаты)</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_Toc227850238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24</w:t>
      </w:r>
      <w:r w:rsidRPr="00945782">
        <w:rPr>
          <w:rFonts w:cs="Calibri"/>
          <w:sz w:val="22"/>
          <w:szCs w:val="22"/>
          <w:lang w:val="ru-RU"/>
        </w:rPr>
        <w:fldChar w:fldCharType="end"/>
      </w:r>
    </w:p>
    <w:p w14:paraId="75C31EA4" w14:textId="1B790A87" w:rsidR="001A0787" w:rsidRPr="00945782" w:rsidRDefault="001A0787" w:rsidP="001A0787">
      <w:pPr>
        <w:pStyle w:val="TOC1"/>
        <w:tabs>
          <w:tab w:val="clear" w:pos="964"/>
          <w:tab w:val="clear" w:pos="7938"/>
          <w:tab w:val="left" w:pos="1418"/>
          <w:tab w:val="left" w:leader="dot" w:pos="8222"/>
        </w:tabs>
        <w:spacing w:before="80"/>
        <w:ind w:left="1418" w:right="851" w:hanging="709"/>
        <w:rPr>
          <w:rFonts w:eastAsiaTheme="minorEastAsia" w:cs="Calibri"/>
          <w:kern w:val="2"/>
          <w:sz w:val="22"/>
          <w:szCs w:val="22"/>
          <w:lang w:val="ru-RU" w:eastAsia="en-GB"/>
          <w14:ligatures w14:val="standardContextual"/>
        </w:rPr>
      </w:pPr>
      <w:r w:rsidRPr="00945782">
        <w:rPr>
          <w:rFonts w:cs="Calibri"/>
          <w:sz w:val="22"/>
          <w:szCs w:val="22"/>
          <w:lang w:val="ru-RU"/>
        </w:rPr>
        <w:t>3.2</w:t>
      </w:r>
      <w:r w:rsidRPr="00945782">
        <w:rPr>
          <w:rFonts w:cs="Calibri"/>
          <w:sz w:val="22"/>
          <w:szCs w:val="22"/>
          <w:lang w:val="ru-RU"/>
        </w:rPr>
        <w:tab/>
        <w:t>Воздействие деятельности МСЭ в период 2024–2025 годов (первые два года реализации Стратегического плана на 2024–2027 гг.)</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_Toc227850239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25</w:t>
      </w:r>
      <w:r w:rsidRPr="00945782">
        <w:rPr>
          <w:rFonts w:cs="Calibri"/>
          <w:sz w:val="22"/>
          <w:szCs w:val="22"/>
          <w:lang w:val="ru-RU"/>
        </w:rPr>
        <w:fldChar w:fldCharType="end"/>
      </w:r>
    </w:p>
    <w:p w14:paraId="597B6998" w14:textId="03BD97E6"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3.2.1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Универсальная возможность установления соединений</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_Toc227850240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26</w:t>
      </w:r>
      <w:r w:rsidRPr="00945782">
        <w:rPr>
          <w:rFonts w:cs="Calibri"/>
          <w:sz w:val="22"/>
          <w:szCs w:val="22"/>
          <w:lang w:val="ru-RU"/>
        </w:rPr>
        <w:fldChar w:fldCharType="end"/>
      </w:r>
    </w:p>
    <w:p w14:paraId="6E8EDB56" w14:textId="1036072A"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3.2.2</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Устойчивая цифровая трансформация</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_Toc227850241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33</w:t>
      </w:r>
      <w:r w:rsidRPr="00945782">
        <w:rPr>
          <w:rFonts w:cs="Calibri"/>
          <w:sz w:val="22"/>
          <w:szCs w:val="22"/>
          <w:lang w:val="ru-RU"/>
        </w:rPr>
        <w:fldChar w:fldCharType="end"/>
      </w:r>
    </w:p>
    <w:p w14:paraId="79815A64" w14:textId="066C9FAB" w:rsidR="001A0787" w:rsidRPr="00945782" w:rsidRDefault="001A0787" w:rsidP="001A0787">
      <w:pPr>
        <w:pStyle w:val="TOC1"/>
        <w:tabs>
          <w:tab w:val="clear" w:pos="964"/>
          <w:tab w:val="clear" w:pos="7938"/>
          <w:tab w:val="left" w:pos="709"/>
          <w:tab w:val="left" w:leader="dot" w:pos="8222"/>
        </w:tabs>
        <w:ind w:left="709" w:right="851" w:hanging="709"/>
        <w:rPr>
          <w:rFonts w:eastAsiaTheme="minorEastAsia" w:cs="Calibri"/>
          <w:kern w:val="2"/>
          <w:sz w:val="22"/>
          <w:szCs w:val="22"/>
          <w:lang w:val="ru-RU" w:eastAsia="en-GB"/>
          <w14:ligatures w14:val="standardContextual"/>
        </w:rPr>
      </w:pPr>
      <w:r w:rsidRPr="00945782">
        <w:rPr>
          <w:rFonts w:cs="Calibri"/>
          <w:sz w:val="22"/>
          <w:szCs w:val="22"/>
          <w:lang w:val="ru-RU"/>
        </w:rPr>
        <w:t>4</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Продукты и услуги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_Toc227850242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39</w:t>
      </w:r>
      <w:r w:rsidRPr="00945782">
        <w:rPr>
          <w:rFonts w:cs="Calibri"/>
          <w:sz w:val="22"/>
          <w:szCs w:val="22"/>
          <w:lang w:val="ru-RU"/>
        </w:rPr>
        <w:fldChar w:fldCharType="end"/>
      </w:r>
    </w:p>
    <w:p w14:paraId="72759ABF" w14:textId="64FE2F62"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4.1</w:t>
      </w:r>
      <w:r w:rsidRPr="00945782">
        <w:rPr>
          <w:rFonts w:cs="Calibri"/>
          <w:sz w:val="22"/>
          <w:szCs w:val="22"/>
          <w:lang w:val="ru-RU"/>
        </w:rPr>
        <w:tab/>
        <w:t>Разработка и применение административных регламентов МСЭ</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_Toc227850243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39</w:t>
      </w:r>
      <w:r w:rsidRPr="00945782">
        <w:rPr>
          <w:rFonts w:cs="Calibri"/>
          <w:sz w:val="22"/>
          <w:szCs w:val="22"/>
          <w:lang w:val="ru-RU"/>
        </w:rPr>
        <w:fldChar w:fldCharType="end"/>
      </w:r>
    </w:p>
    <w:p w14:paraId="24BE8B4C" w14:textId="3BE1EAEC"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4.1.1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Регламент радиосвязи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_Toc227850244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39</w:t>
      </w:r>
      <w:r w:rsidRPr="00945782">
        <w:rPr>
          <w:rFonts w:cs="Calibri"/>
          <w:sz w:val="22"/>
          <w:szCs w:val="22"/>
          <w:lang w:val="ru-RU"/>
        </w:rPr>
        <w:fldChar w:fldCharType="end"/>
      </w:r>
    </w:p>
    <w:p w14:paraId="3CF2AA77" w14:textId="78B110E4"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4.2</w:t>
      </w:r>
      <w:r w:rsidRPr="00945782">
        <w:rPr>
          <w:rFonts w:cs="Calibri"/>
          <w:sz w:val="22"/>
          <w:szCs w:val="22"/>
          <w:lang w:val="ru-RU"/>
        </w:rPr>
        <w:tab/>
        <w:t>Распределение ресурсов и управление ими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_Toc227850245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40</w:t>
      </w:r>
      <w:r w:rsidRPr="00945782">
        <w:rPr>
          <w:rFonts w:cs="Calibri"/>
          <w:sz w:val="22"/>
          <w:szCs w:val="22"/>
          <w:lang w:val="ru-RU"/>
        </w:rPr>
        <w:fldChar w:fldCharType="end"/>
      </w:r>
    </w:p>
    <w:p w14:paraId="4482787D" w14:textId="3FA00372"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4.2.1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Использование спектра космическими и наземными службами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_Toc227850246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40</w:t>
      </w:r>
      <w:r w:rsidRPr="00945782">
        <w:rPr>
          <w:rFonts w:cs="Calibri"/>
          <w:sz w:val="22"/>
          <w:szCs w:val="22"/>
          <w:lang w:val="ru-RU"/>
        </w:rPr>
        <w:fldChar w:fldCharType="end"/>
      </w:r>
    </w:p>
    <w:p w14:paraId="5C552468" w14:textId="581BDAA6"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4.2.2</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Ресурсы нумерации, наименования, адресации и идентификации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_Toc227850247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42</w:t>
      </w:r>
      <w:r w:rsidRPr="00945782">
        <w:rPr>
          <w:rFonts w:cs="Calibri"/>
          <w:sz w:val="22"/>
          <w:szCs w:val="22"/>
          <w:lang w:val="ru-RU"/>
        </w:rPr>
        <w:fldChar w:fldCharType="end"/>
      </w:r>
    </w:p>
    <w:p w14:paraId="4962912F" w14:textId="66CCC12D"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4.3</w:t>
      </w:r>
      <w:r w:rsidRPr="00945782">
        <w:rPr>
          <w:rFonts w:cs="Calibri"/>
          <w:sz w:val="22"/>
          <w:szCs w:val="22"/>
          <w:lang w:val="ru-RU"/>
        </w:rPr>
        <w:tab/>
        <w:t>Разработка международных стандартов</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_Toc227850248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43</w:t>
      </w:r>
      <w:r w:rsidRPr="00945782">
        <w:rPr>
          <w:rFonts w:cs="Calibri"/>
          <w:sz w:val="22"/>
          <w:szCs w:val="22"/>
          <w:lang w:val="ru-RU"/>
        </w:rPr>
        <w:fldChar w:fldCharType="end"/>
      </w:r>
    </w:p>
    <w:p w14:paraId="65688506" w14:textId="04B9CBD1"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4.3.1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Рекомендации МСЭ-Т и связанные с ними публикации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_Toc227850249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43</w:t>
      </w:r>
      <w:r w:rsidRPr="00945782">
        <w:rPr>
          <w:rFonts w:cs="Calibri"/>
          <w:sz w:val="22"/>
          <w:szCs w:val="22"/>
          <w:lang w:val="ru-RU"/>
        </w:rPr>
        <w:fldChar w:fldCharType="end"/>
      </w:r>
    </w:p>
    <w:p w14:paraId="75C425EC" w14:textId="6710A5E9"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4.3.2</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Рекомендации МСЭ-R</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_Toc227850250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45</w:t>
      </w:r>
      <w:r w:rsidRPr="00945782">
        <w:rPr>
          <w:rFonts w:cs="Calibri"/>
          <w:sz w:val="22"/>
          <w:szCs w:val="22"/>
          <w:lang w:val="ru-RU"/>
        </w:rPr>
        <w:fldChar w:fldCharType="end"/>
      </w:r>
    </w:p>
    <w:p w14:paraId="00EFBA69" w14:textId="204DE32B"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4.3.3</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Преодоление разрыва в стандартизации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_Toc227850251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45</w:t>
      </w:r>
      <w:r w:rsidRPr="00945782">
        <w:rPr>
          <w:rFonts w:cs="Calibri"/>
          <w:sz w:val="22"/>
          <w:szCs w:val="22"/>
          <w:lang w:val="ru-RU"/>
        </w:rPr>
        <w:fldChar w:fldCharType="end"/>
      </w:r>
    </w:p>
    <w:p w14:paraId="07CF0260" w14:textId="3E8F737A"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4.4</w:t>
      </w:r>
      <w:r w:rsidRPr="00945782">
        <w:rPr>
          <w:rFonts w:cs="Calibri"/>
          <w:sz w:val="22"/>
          <w:szCs w:val="22"/>
          <w:lang w:val="ru-RU"/>
        </w:rPr>
        <w:tab/>
        <w:t>Разработка политических принципов и продуктов знаний</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_Toc227850252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47</w:t>
      </w:r>
      <w:r w:rsidRPr="00945782">
        <w:rPr>
          <w:rFonts w:cs="Calibri"/>
          <w:sz w:val="22"/>
          <w:szCs w:val="22"/>
          <w:lang w:val="ru-RU"/>
        </w:rPr>
        <w:fldChar w:fldCharType="end"/>
      </w:r>
    </w:p>
    <w:p w14:paraId="2B9AC125" w14:textId="17A20B12"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4.4.1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Кибербезопасность: укрепление доверия и безопасности в ИКТ</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_Toc227850253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48</w:t>
      </w:r>
      <w:r w:rsidRPr="00945782">
        <w:rPr>
          <w:rFonts w:cs="Calibri"/>
          <w:sz w:val="22"/>
          <w:szCs w:val="22"/>
          <w:lang w:val="ru-RU"/>
        </w:rPr>
        <w:fldChar w:fldCharType="end"/>
      </w:r>
    </w:p>
    <w:p w14:paraId="6AF0641F" w14:textId="13BB686E"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4.4.2</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Появляющиеся технологии: формирование рамок для трансформации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_Toc227850254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49</w:t>
      </w:r>
      <w:r w:rsidRPr="00945782">
        <w:rPr>
          <w:rFonts w:cs="Calibri"/>
          <w:sz w:val="22"/>
          <w:szCs w:val="22"/>
          <w:lang w:val="ru-RU"/>
        </w:rPr>
        <w:fldChar w:fldCharType="end"/>
      </w:r>
    </w:p>
    <w:p w14:paraId="233DD9E2" w14:textId="769A2CF3"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4.5</w:t>
      </w:r>
      <w:r w:rsidRPr="00945782">
        <w:rPr>
          <w:rFonts w:cs="Calibri"/>
          <w:sz w:val="22"/>
          <w:szCs w:val="22"/>
          <w:lang w:val="ru-RU"/>
        </w:rPr>
        <w:tab/>
        <w:t>Предоставление данных и статистики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_Toc227850255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54</w:t>
      </w:r>
      <w:r w:rsidRPr="00945782">
        <w:rPr>
          <w:rFonts w:cs="Calibri"/>
          <w:sz w:val="22"/>
          <w:szCs w:val="22"/>
          <w:lang w:val="ru-RU"/>
        </w:rPr>
        <w:fldChar w:fldCharType="end"/>
      </w:r>
    </w:p>
    <w:p w14:paraId="16DC8274" w14:textId="1D9BA1C8"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4.6</w:t>
      </w:r>
      <w:r w:rsidRPr="00945782">
        <w:rPr>
          <w:rFonts w:cs="Calibri"/>
          <w:sz w:val="22"/>
          <w:szCs w:val="22"/>
          <w:lang w:val="ru-RU"/>
        </w:rPr>
        <w:tab/>
        <w:t>Развитие потенциала и цифровые навыки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_Toc227850256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54</w:t>
      </w:r>
      <w:r w:rsidRPr="00945782">
        <w:rPr>
          <w:rFonts w:cs="Calibri"/>
          <w:sz w:val="22"/>
          <w:szCs w:val="22"/>
          <w:lang w:val="ru-RU"/>
        </w:rPr>
        <w:fldChar w:fldCharType="end"/>
      </w:r>
    </w:p>
    <w:p w14:paraId="24855D55" w14:textId="39661E0D"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4.7</w:t>
      </w:r>
      <w:r w:rsidRPr="00945782">
        <w:rPr>
          <w:rFonts w:cs="Calibri"/>
          <w:sz w:val="22"/>
          <w:szCs w:val="22"/>
          <w:lang w:val="ru-RU"/>
        </w:rPr>
        <w:tab/>
        <w:t>Предоставление технической помощи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_Toc227850257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57</w:t>
      </w:r>
      <w:r w:rsidRPr="00945782">
        <w:rPr>
          <w:rFonts w:cs="Calibri"/>
          <w:sz w:val="22"/>
          <w:szCs w:val="22"/>
          <w:lang w:val="ru-RU"/>
        </w:rPr>
        <w:fldChar w:fldCharType="end"/>
      </w:r>
    </w:p>
    <w:p w14:paraId="769A3EDB" w14:textId="77777777" w:rsidR="001A0787" w:rsidRPr="00945782" w:rsidRDefault="001A0787" w:rsidP="001A0787">
      <w:pPr>
        <w:tabs>
          <w:tab w:val="clear" w:pos="794"/>
          <w:tab w:val="clear" w:pos="1191"/>
          <w:tab w:val="clear" w:pos="1588"/>
          <w:tab w:val="clear" w:pos="1985"/>
        </w:tabs>
        <w:overflowPunct/>
        <w:autoSpaceDE/>
        <w:autoSpaceDN/>
        <w:adjustRightInd/>
        <w:spacing w:before="0"/>
        <w:jc w:val="right"/>
        <w:textAlignment w:val="auto"/>
        <w:rPr>
          <w:lang w:val="ru-RU"/>
        </w:rPr>
      </w:pPr>
      <w:r w:rsidRPr="00945782">
        <w:rPr>
          <w:b/>
          <w:bCs/>
          <w:lang w:val="ru-RU"/>
        </w:rPr>
        <w:lastRenderedPageBreak/>
        <w:t>Стр</w:t>
      </w:r>
      <w:r w:rsidRPr="00945782">
        <w:rPr>
          <w:lang w:val="ru-RU"/>
        </w:rPr>
        <w:t>.</w:t>
      </w:r>
    </w:p>
    <w:p w14:paraId="2B5A3A68" w14:textId="7E9BC875"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4.8</w:t>
      </w:r>
      <w:r w:rsidRPr="00945782">
        <w:rPr>
          <w:rFonts w:cs="Calibri"/>
          <w:sz w:val="22"/>
          <w:szCs w:val="22"/>
          <w:lang w:val="ru-RU"/>
        </w:rPr>
        <w:tab/>
        <w:t>Платформы для созыва мероприятий</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_Toc227850258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60</w:t>
      </w:r>
      <w:r w:rsidRPr="00945782">
        <w:rPr>
          <w:rFonts w:cs="Calibri"/>
          <w:sz w:val="22"/>
          <w:szCs w:val="22"/>
          <w:lang w:val="ru-RU"/>
        </w:rPr>
        <w:fldChar w:fldCharType="end"/>
      </w:r>
    </w:p>
    <w:p w14:paraId="3F7F67EC" w14:textId="3798DE7A"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4.8.1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Процесс ВВУИО</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_Toc227850259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60</w:t>
      </w:r>
      <w:r w:rsidRPr="00945782">
        <w:rPr>
          <w:rFonts w:cs="Calibri"/>
          <w:sz w:val="22"/>
          <w:szCs w:val="22"/>
          <w:lang w:val="ru-RU"/>
        </w:rPr>
        <w:fldChar w:fldCharType="end"/>
      </w:r>
    </w:p>
    <w:p w14:paraId="15C28ECC" w14:textId="23C7807C"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4.8.2</w:t>
      </w:r>
      <w:r w:rsidRPr="00945782">
        <w:rPr>
          <w:rFonts w:cs="Calibri"/>
          <w:sz w:val="22"/>
          <w:szCs w:val="22"/>
          <w:lang w:val="ru-RU"/>
        </w:rPr>
        <w:tab/>
        <w:t>"ИИ во благо"</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_Toc227850260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62</w:t>
      </w:r>
      <w:r w:rsidRPr="00945782">
        <w:rPr>
          <w:rFonts w:cs="Calibri"/>
          <w:sz w:val="22"/>
          <w:szCs w:val="22"/>
          <w:lang w:val="ru-RU"/>
        </w:rPr>
        <w:fldChar w:fldCharType="end"/>
      </w:r>
    </w:p>
    <w:p w14:paraId="63ECD537" w14:textId="567D6639"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4.8.3</w:t>
      </w:r>
      <w:r w:rsidRPr="00945782">
        <w:rPr>
          <w:rFonts w:cs="Calibri"/>
          <w:sz w:val="22"/>
          <w:szCs w:val="22"/>
          <w:lang w:val="ru-RU"/>
        </w:rPr>
        <w:tab/>
        <w:t>Глобальный симпозиум по стандартам</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_Toc227850261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63</w:t>
      </w:r>
      <w:r w:rsidRPr="00945782">
        <w:rPr>
          <w:rFonts w:cs="Calibri"/>
          <w:sz w:val="22"/>
          <w:szCs w:val="22"/>
          <w:lang w:val="ru-RU"/>
        </w:rPr>
        <w:fldChar w:fldCharType="end"/>
      </w:r>
    </w:p>
    <w:p w14:paraId="0FBC8629" w14:textId="395D972D"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4.8.4</w:t>
      </w:r>
      <w:r w:rsidRPr="00945782">
        <w:rPr>
          <w:rFonts w:cs="Calibri"/>
          <w:sz w:val="22"/>
          <w:szCs w:val="22"/>
          <w:lang w:val="ru-RU"/>
        </w:rPr>
        <w:tab/>
        <w:t>Глобальный симпозиум для регуляторных органов</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_Toc227850262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63</w:t>
      </w:r>
      <w:r w:rsidRPr="00945782">
        <w:rPr>
          <w:rFonts w:cs="Calibri"/>
          <w:sz w:val="22"/>
          <w:szCs w:val="22"/>
          <w:lang w:val="ru-RU"/>
        </w:rPr>
        <w:fldChar w:fldCharType="end"/>
      </w:r>
    </w:p>
    <w:p w14:paraId="4E738AF1" w14:textId="36D23590"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4.8.5</w:t>
      </w:r>
      <w:r w:rsidRPr="00945782">
        <w:rPr>
          <w:rFonts w:cs="Calibri"/>
          <w:sz w:val="22"/>
          <w:szCs w:val="22"/>
          <w:lang w:val="ru-RU"/>
        </w:rPr>
        <w:tab/>
        <w:t>Вовлечение академического сообщества в деятельность МСЭ</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_Toc227850263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64</w:t>
      </w:r>
      <w:r w:rsidRPr="00945782">
        <w:rPr>
          <w:rFonts w:cs="Calibri"/>
          <w:sz w:val="22"/>
          <w:szCs w:val="22"/>
          <w:lang w:val="ru-RU"/>
        </w:rPr>
        <w:fldChar w:fldCharType="end"/>
      </w:r>
    </w:p>
    <w:p w14:paraId="41A6144B" w14:textId="6DECF725" w:rsidR="001A0787" w:rsidRPr="00945782" w:rsidRDefault="001A0787" w:rsidP="001A0787">
      <w:pPr>
        <w:pStyle w:val="TOC1"/>
        <w:tabs>
          <w:tab w:val="clear" w:pos="964"/>
          <w:tab w:val="clear" w:pos="7938"/>
          <w:tab w:val="left" w:pos="709"/>
          <w:tab w:val="left" w:leader="dot" w:pos="8222"/>
        </w:tabs>
        <w:ind w:left="709" w:right="851" w:hanging="709"/>
        <w:rPr>
          <w:rFonts w:eastAsiaTheme="minorEastAsia" w:cs="Calibri"/>
          <w:kern w:val="2"/>
          <w:sz w:val="22"/>
          <w:szCs w:val="22"/>
          <w:lang w:val="ru-RU" w:eastAsia="en-GB"/>
          <w14:ligatures w14:val="standardContextual"/>
        </w:rPr>
      </w:pPr>
      <w:r w:rsidRPr="00945782">
        <w:rPr>
          <w:rFonts w:cs="Calibri"/>
          <w:sz w:val="22"/>
          <w:szCs w:val="22"/>
          <w:lang w:val="ru-RU"/>
        </w:rPr>
        <w:t>5</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Средства достижения целей</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_Toc227850264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68</w:t>
      </w:r>
      <w:r w:rsidRPr="00945782">
        <w:rPr>
          <w:rFonts w:cs="Calibri"/>
          <w:sz w:val="22"/>
          <w:szCs w:val="22"/>
          <w:lang w:val="ru-RU"/>
        </w:rPr>
        <w:fldChar w:fldCharType="end"/>
      </w:r>
    </w:p>
    <w:p w14:paraId="1B656BCC" w14:textId="50B94084"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5.1</w:t>
      </w:r>
      <w:r w:rsidRPr="00945782">
        <w:rPr>
          <w:rFonts w:cs="Calibri"/>
          <w:sz w:val="22"/>
          <w:szCs w:val="22"/>
          <w:lang w:val="ru-RU"/>
        </w:rPr>
        <w:tab/>
        <w:t>Подход, ориентированный на членов МСЭ</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_Toc227850265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68</w:t>
      </w:r>
      <w:r w:rsidRPr="00945782">
        <w:rPr>
          <w:rFonts w:cs="Calibri"/>
          <w:sz w:val="22"/>
          <w:szCs w:val="22"/>
          <w:lang w:val="ru-RU"/>
        </w:rPr>
        <w:fldChar w:fldCharType="end"/>
      </w:r>
    </w:p>
    <w:p w14:paraId="1CE52FD4" w14:textId="263B6C5F"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5.2</w:t>
      </w:r>
      <w:r w:rsidRPr="00945782">
        <w:rPr>
          <w:rFonts w:cs="Calibri"/>
          <w:sz w:val="22"/>
          <w:szCs w:val="22"/>
          <w:lang w:val="ru-RU"/>
        </w:rPr>
        <w:tab/>
        <w:t>Региональное присутствие</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_Toc227850266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69</w:t>
      </w:r>
      <w:r w:rsidRPr="00945782">
        <w:rPr>
          <w:rFonts w:cs="Calibri"/>
          <w:sz w:val="22"/>
          <w:szCs w:val="22"/>
          <w:lang w:val="ru-RU"/>
        </w:rPr>
        <w:fldChar w:fldCharType="end"/>
      </w:r>
    </w:p>
    <w:p w14:paraId="1F688CC4" w14:textId="11773BBD"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5.3</w:t>
      </w:r>
      <w:r w:rsidRPr="00945782">
        <w:rPr>
          <w:rFonts w:cs="Calibri"/>
          <w:sz w:val="22"/>
          <w:szCs w:val="22"/>
          <w:lang w:val="ru-RU"/>
        </w:rPr>
        <w:tab/>
        <w:t>Вовлечение всех членов общества</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_Toc227850267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70</w:t>
      </w:r>
      <w:r w:rsidRPr="00945782">
        <w:rPr>
          <w:rFonts w:cs="Calibri"/>
          <w:sz w:val="22"/>
          <w:szCs w:val="22"/>
          <w:lang w:val="ru-RU"/>
        </w:rPr>
        <w:fldChar w:fldCharType="end"/>
      </w:r>
    </w:p>
    <w:p w14:paraId="08ED1040" w14:textId="5A47D9B1"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5.3.1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Гендерное равенство</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_Toc227850268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71</w:t>
      </w:r>
      <w:r w:rsidRPr="00945782">
        <w:rPr>
          <w:rFonts w:cs="Calibri"/>
          <w:sz w:val="22"/>
          <w:szCs w:val="22"/>
          <w:lang w:val="ru-RU"/>
        </w:rPr>
        <w:fldChar w:fldCharType="end"/>
      </w:r>
    </w:p>
    <w:p w14:paraId="099520F3" w14:textId="6B0C8499"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5.3.2</w:t>
      </w:r>
      <w:r w:rsidRPr="00945782">
        <w:rPr>
          <w:rFonts w:cs="Calibri"/>
          <w:sz w:val="22"/>
          <w:szCs w:val="22"/>
          <w:lang w:val="ru-RU"/>
        </w:rPr>
        <w:tab/>
        <w:t>Расширение возможностей молодежи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_Toc227850269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75</w:t>
      </w:r>
      <w:r w:rsidRPr="00945782">
        <w:rPr>
          <w:rFonts w:cs="Calibri"/>
          <w:sz w:val="22"/>
          <w:szCs w:val="22"/>
          <w:lang w:val="ru-RU"/>
        </w:rPr>
        <w:fldChar w:fldCharType="end"/>
      </w:r>
    </w:p>
    <w:p w14:paraId="391DB882" w14:textId="7151D2AF"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5.3.3</w:t>
      </w:r>
      <w:r w:rsidRPr="00945782">
        <w:rPr>
          <w:rFonts w:cs="Calibri"/>
          <w:sz w:val="22"/>
          <w:szCs w:val="22"/>
          <w:lang w:val="ru-RU"/>
        </w:rPr>
        <w:tab/>
        <w:t>Доступность ИКТ/цифровая доступность</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_Toc227850270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77</w:t>
      </w:r>
      <w:r w:rsidRPr="00945782">
        <w:rPr>
          <w:rFonts w:cs="Calibri"/>
          <w:sz w:val="22"/>
          <w:szCs w:val="22"/>
          <w:lang w:val="ru-RU"/>
        </w:rPr>
        <w:fldChar w:fldCharType="end"/>
      </w:r>
    </w:p>
    <w:p w14:paraId="443C2FD7" w14:textId="28376CB3" w:rsidR="001A0787" w:rsidRPr="00945782" w:rsidRDefault="001A0787" w:rsidP="001A0787">
      <w:pPr>
        <w:pStyle w:val="TOC1"/>
        <w:tabs>
          <w:tab w:val="clear" w:pos="964"/>
          <w:tab w:val="clear" w:pos="7938"/>
          <w:tab w:val="left" w:pos="2268"/>
          <w:tab w:val="left" w:leader="dot" w:pos="8222"/>
        </w:tabs>
        <w:spacing w:before="80"/>
        <w:ind w:left="2268" w:right="851" w:hanging="850"/>
        <w:rPr>
          <w:rFonts w:cs="Calibri"/>
          <w:sz w:val="22"/>
          <w:szCs w:val="22"/>
          <w:lang w:val="ru-RU"/>
        </w:rPr>
      </w:pPr>
      <w:r w:rsidRPr="00945782">
        <w:rPr>
          <w:rFonts w:cs="Calibri"/>
          <w:sz w:val="22"/>
          <w:szCs w:val="22"/>
          <w:lang w:val="ru-RU"/>
        </w:rPr>
        <w:t>5.3.4</w:t>
      </w:r>
      <w:r w:rsidRPr="00945782">
        <w:rPr>
          <w:rFonts w:cs="Calibri"/>
          <w:sz w:val="22"/>
          <w:szCs w:val="22"/>
          <w:lang w:val="ru-RU"/>
        </w:rPr>
        <w:tab/>
        <w:t>Решения для сельских, отдаленных и коренных сообществ</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_Toc227850271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79</w:t>
      </w:r>
      <w:r w:rsidRPr="00945782">
        <w:rPr>
          <w:rFonts w:cs="Calibri"/>
          <w:sz w:val="22"/>
          <w:szCs w:val="22"/>
          <w:lang w:val="ru-RU"/>
        </w:rPr>
        <w:fldChar w:fldCharType="end"/>
      </w:r>
    </w:p>
    <w:p w14:paraId="54041210" w14:textId="123F79FC"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5.3.5</w:t>
      </w:r>
      <w:r w:rsidRPr="00945782">
        <w:rPr>
          <w:rFonts w:cs="Calibri"/>
          <w:sz w:val="22"/>
          <w:szCs w:val="22"/>
          <w:lang w:val="ru-RU"/>
        </w:rPr>
        <w:tab/>
        <w:t>Поддержка стареющего населения</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_Toc227850272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80</w:t>
      </w:r>
      <w:r w:rsidRPr="00945782">
        <w:rPr>
          <w:rFonts w:cs="Calibri"/>
          <w:sz w:val="22"/>
          <w:szCs w:val="22"/>
          <w:lang w:val="ru-RU"/>
        </w:rPr>
        <w:fldChar w:fldCharType="end"/>
      </w:r>
    </w:p>
    <w:p w14:paraId="3B35CA2D" w14:textId="68AB649B"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5.4</w:t>
      </w:r>
      <w:r w:rsidRPr="00945782">
        <w:rPr>
          <w:rFonts w:cs="Calibri"/>
          <w:sz w:val="22"/>
          <w:szCs w:val="22"/>
          <w:lang w:val="ru-RU"/>
        </w:rPr>
        <w:tab/>
        <w:t>Приверженность экологической устойчивости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_Toc227850273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81</w:t>
      </w:r>
      <w:r w:rsidRPr="00945782">
        <w:rPr>
          <w:rFonts w:cs="Calibri"/>
          <w:sz w:val="22"/>
          <w:szCs w:val="22"/>
          <w:lang w:val="ru-RU"/>
        </w:rPr>
        <w:fldChar w:fldCharType="end"/>
      </w:r>
    </w:p>
    <w:p w14:paraId="1999FC70" w14:textId="52A39581" w:rsidR="001A0787" w:rsidRPr="00945782" w:rsidRDefault="001A0787" w:rsidP="001A0787">
      <w:pPr>
        <w:pStyle w:val="TOC1"/>
        <w:tabs>
          <w:tab w:val="clear" w:pos="964"/>
          <w:tab w:val="clear" w:pos="7938"/>
          <w:tab w:val="left" w:pos="1418"/>
          <w:tab w:val="left" w:leader="dot" w:pos="8222"/>
        </w:tabs>
        <w:spacing w:before="80"/>
        <w:ind w:left="1418" w:right="851" w:hanging="709"/>
        <w:rPr>
          <w:rFonts w:cs="Calibri"/>
          <w:sz w:val="22"/>
          <w:szCs w:val="22"/>
          <w:lang w:val="ru-RU"/>
        </w:rPr>
      </w:pPr>
      <w:r w:rsidRPr="00945782">
        <w:rPr>
          <w:rFonts w:cs="Calibri"/>
          <w:sz w:val="22"/>
          <w:szCs w:val="22"/>
          <w:lang w:val="ru-RU"/>
        </w:rPr>
        <w:t>5.5</w:t>
      </w:r>
      <w:r w:rsidRPr="00945782">
        <w:rPr>
          <w:rFonts w:cs="Calibri"/>
          <w:sz w:val="22"/>
          <w:szCs w:val="22"/>
          <w:lang w:val="ru-RU"/>
        </w:rPr>
        <w:tab/>
        <w:t>Партнерства и международное сотрудничество</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_Toc227850274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85</w:t>
      </w:r>
      <w:r w:rsidRPr="00945782">
        <w:rPr>
          <w:rFonts w:cs="Calibri"/>
          <w:sz w:val="22"/>
          <w:szCs w:val="22"/>
          <w:lang w:val="ru-RU"/>
        </w:rPr>
        <w:fldChar w:fldCharType="end"/>
      </w:r>
    </w:p>
    <w:p w14:paraId="4376113B" w14:textId="2D3E85E6" w:rsidR="001A0787" w:rsidRPr="00945782" w:rsidRDefault="001A0787" w:rsidP="001A0787">
      <w:pPr>
        <w:pStyle w:val="TOC1"/>
        <w:tabs>
          <w:tab w:val="clear" w:pos="964"/>
          <w:tab w:val="clear" w:pos="7938"/>
          <w:tab w:val="left" w:pos="2268"/>
          <w:tab w:val="left" w:leader="dot" w:pos="8222"/>
        </w:tabs>
        <w:spacing w:before="80"/>
        <w:ind w:left="2268" w:right="851" w:hanging="850"/>
        <w:rPr>
          <w:rFonts w:eastAsiaTheme="minorEastAsia" w:cs="Calibri"/>
          <w:kern w:val="2"/>
          <w:sz w:val="22"/>
          <w:szCs w:val="22"/>
          <w:lang w:val="ru-RU" w:eastAsia="en-GB"/>
          <w14:ligatures w14:val="standardContextual"/>
        </w:rPr>
      </w:pPr>
      <w:r w:rsidRPr="00945782">
        <w:rPr>
          <w:rFonts w:cs="Calibri"/>
          <w:sz w:val="22"/>
          <w:szCs w:val="22"/>
          <w:lang w:val="ru-RU"/>
        </w:rPr>
        <w:t>5.5.1</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Сотрудничество с системой ООН и другими международными межправительственными процессами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_Toc227850275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97</w:t>
      </w:r>
      <w:r w:rsidRPr="00945782">
        <w:rPr>
          <w:rFonts w:cs="Calibri"/>
          <w:sz w:val="22"/>
          <w:szCs w:val="22"/>
          <w:lang w:val="ru-RU"/>
        </w:rPr>
        <w:fldChar w:fldCharType="end"/>
      </w:r>
    </w:p>
    <w:p w14:paraId="237FD549" w14:textId="739B70AD" w:rsidR="001A0787" w:rsidRPr="00945782" w:rsidRDefault="001A0787" w:rsidP="001A0787">
      <w:pPr>
        <w:pStyle w:val="TOC1"/>
        <w:tabs>
          <w:tab w:val="clear" w:pos="964"/>
          <w:tab w:val="clear" w:pos="7938"/>
          <w:tab w:val="left" w:pos="1418"/>
          <w:tab w:val="left" w:leader="dot" w:pos="8222"/>
        </w:tabs>
        <w:spacing w:before="80"/>
        <w:ind w:left="1418" w:right="851" w:hanging="709"/>
        <w:rPr>
          <w:rFonts w:eastAsiaTheme="minorEastAsia" w:cs="Calibri"/>
          <w:kern w:val="2"/>
          <w:sz w:val="22"/>
          <w:szCs w:val="22"/>
          <w:lang w:val="ru-RU" w:eastAsia="en-GB"/>
          <w14:ligatures w14:val="standardContextual"/>
        </w:rPr>
      </w:pPr>
      <w:r w:rsidRPr="00945782">
        <w:rPr>
          <w:rFonts w:cs="Calibri"/>
          <w:sz w:val="22"/>
          <w:szCs w:val="22"/>
          <w:lang w:val="ru-RU"/>
        </w:rPr>
        <w:t>5.6</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Мобилизация ресурсов</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_Toc227850276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99</w:t>
      </w:r>
      <w:r w:rsidRPr="00945782">
        <w:rPr>
          <w:rFonts w:cs="Calibri"/>
          <w:sz w:val="22"/>
          <w:szCs w:val="22"/>
          <w:lang w:val="ru-RU"/>
        </w:rPr>
        <w:fldChar w:fldCharType="end"/>
      </w:r>
    </w:p>
    <w:p w14:paraId="7A26049E" w14:textId="27E0BC10" w:rsidR="001A0787" w:rsidRPr="00945782" w:rsidRDefault="001A0787" w:rsidP="001A0787">
      <w:pPr>
        <w:pStyle w:val="TOC1"/>
        <w:tabs>
          <w:tab w:val="clear" w:pos="964"/>
          <w:tab w:val="clear" w:pos="7938"/>
          <w:tab w:val="left" w:pos="1418"/>
          <w:tab w:val="left" w:leader="dot" w:pos="8222"/>
        </w:tabs>
        <w:spacing w:before="80"/>
        <w:ind w:left="1418" w:right="851" w:hanging="709"/>
        <w:rPr>
          <w:rFonts w:eastAsiaTheme="minorEastAsia" w:cs="Calibri"/>
          <w:kern w:val="2"/>
          <w:sz w:val="22"/>
          <w:szCs w:val="22"/>
          <w:lang w:val="ru-RU" w:eastAsia="en-GB"/>
          <w14:ligatures w14:val="standardContextual"/>
        </w:rPr>
      </w:pPr>
      <w:r w:rsidRPr="00945782">
        <w:rPr>
          <w:rFonts w:cs="Calibri"/>
          <w:sz w:val="22"/>
          <w:szCs w:val="22"/>
          <w:lang w:val="ru-RU"/>
        </w:rPr>
        <w:t>5.7</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Процесс трансформации: достижение организационной эффективности</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_Toc227850277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100</w:t>
      </w:r>
      <w:r w:rsidRPr="00945782">
        <w:rPr>
          <w:rFonts w:cs="Calibri"/>
          <w:sz w:val="22"/>
          <w:szCs w:val="22"/>
          <w:lang w:val="ru-RU"/>
        </w:rPr>
        <w:fldChar w:fldCharType="end"/>
      </w:r>
    </w:p>
    <w:p w14:paraId="1F8C1CF5" w14:textId="060C7B3E" w:rsidR="001A0787" w:rsidRPr="00945782" w:rsidRDefault="001A0787" w:rsidP="001A0787">
      <w:pPr>
        <w:pStyle w:val="TOC1"/>
        <w:tabs>
          <w:tab w:val="clear" w:pos="964"/>
          <w:tab w:val="clear" w:pos="7938"/>
          <w:tab w:val="left" w:pos="1418"/>
          <w:tab w:val="left" w:leader="dot" w:pos="8222"/>
        </w:tabs>
        <w:spacing w:before="80"/>
        <w:ind w:left="1418" w:right="851" w:hanging="709"/>
        <w:rPr>
          <w:rFonts w:eastAsiaTheme="minorEastAsia" w:cs="Calibri"/>
          <w:kern w:val="2"/>
          <w:sz w:val="22"/>
          <w:szCs w:val="22"/>
          <w:lang w:val="ru-RU" w:eastAsia="en-GB"/>
          <w14:ligatures w14:val="standardContextual"/>
        </w:rPr>
      </w:pPr>
      <w:r w:rsidRPr="00945782">
        <w:rPr>
          <w:rFonts w:cs="Calibri"/>
          <w:sz w:val="22"/>
          <w:szCs w:val="22"/>
          <w:lang w:val="ru-RU"/>
        </w:rPr>
        <w:t>5.8</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Людские ресурсы</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_Toc227850278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101</w:t>
      </w:r>
      <w:r w:rsidRPr="00945782">
        <w:rPr>
          <w:rFonts w:cs="Calibri"/>
          <w:sz w:val="22"/>
          <w:szCs w:val="22"/>
          <w:lang w:val="ru-RU"/>
        </w:rPr>
        <w:fldChar w:fldCharType="end"/>
      </w:r>
    </w:p>
    <w:p w14:paraId="5D3FAAB5" w14:textId="332A6CF5" w:rsidR="001A0787" w:rsidRPr="00945782" w:rsidRDefault="001A0787" w:rsidP="001A0787">
      <w:pPr>
        <w:pStyle w:val="TOC1"/>
        <w:tabs>
          <w:tab w:val="clear" w:pos="964"/>
          <w:tab w:val="clear" w:pos="7938"/>
          <w:tab w:val="left" w:pos="1418"/>
          <w:tab w:val="left" w:leader="dot" w:pos="8222"/>
        </w:tabs>
        <w:spacing w:before="80"/>
        <w:ind w:left="1418" w:right="851" w:hanging="709"/>
        <w:rPr>
          <w:rFonts w:eastAsiaTheme="minorEastAsia" w:cs="Calibri"/>
          <w:kern w:val="2"/>
          <w:sz w:val="22"/>
          <w:szCs w:val="22"/>
          <w:lang w:val="ru-RU" w:eastAsia="en-GB"/>
          <w14:ligatures w14:val="standardContextual"/>
        </w:rPr>
      </w:pPr>
      <w:r w:rsidRPr="00945782">
        <w:rPr>
          <w:rFonts w:cs="Calibri"/>
          <w:sz w:val="22"/>
          <w:szCs w:val="22"/>
          <w:lang w:val="ru-RU"/>
        </w:rPr>
        <w:t>5.9</w:t>
      </w:r>
      <w:r w:rsidRPr="00945782">
        <w:rPr>
          <w:rFonts w:eastAsiaTheme="minorEastAsia" w:cs="Calibri"/>
          <w:kern w:val="2"/>
          <w:sz w:val="22"/>
          <w:szCs w:val="22"/>
          <w:lang w:val="ru-RU" w:eastAsia="en-GB"/>
          <w14:ligatures w14:val="standardContextual"/>
        </w:rPr>
        <w:tab/>
      </w:r>
      <w:r w:rsidRPr="00945782">
        <w:rPr>
          <w:rFonts w:cs="Calibri"/>
          <w:sz w:val="22"/>
          <w:szCs w:val="22"/>
          <w:lang w:val="ru-RU"/>
        </w:rPr>
        <w:t xml:space="preserve">Статус выполнения </w:t>
      </w:r>
      <w:r w:rsidR="00226578" w:rsidRPr="00945782">
        <w:rPr>
          <w:rFonts w:cs="Calibri"/>
          <w:sz w:val="22"/>
          <w:szCs w:val="22"/>
          <w:lang w:val="ru-RU"/>
        </w:rPr>
        <w:t xml:space="preserve">Резолюций </w:t>
      </w:r>
      <w:r w:rsidRPr="00945782">
        <w:rPr>
          <w:rFonts w:cs="Calibri"/>
          <w:sz w:val="22"/>
          <w:szCs w:val="22"/>
          <w:lang w:val="ru-RU"/>
        </w:rPr>
        <w:t>ПК</w:t>
      </w:r>
      <w:r w:rsidRPr="00945782">
        <w:rPr>
          <w:rFonts w:cs="Calibri"/>
          <w:sz w:val="22"/>
          <w:szCs w:val="22"/>
          <w:lang w:val="ru-RU"/>
        </w:rPr>
        <w:tab/>
      </w:r>
      <w:r w:rsidRPr="00945782">
        <w:rPr>
          <w:rFonts w:cs="Calibri"/>
          <w:sz w:val="22"/>
          <w:szCs w:val="22"/>
          <w:lang w:val="ru-RU"/>
        </w:rPr>
        <w:tab/>
      </w:r>
      <w:r w:rsidRPr="00945782">
        <w:rPr>
          <w:rFonts w:cs="Calibri"/>
          <w:sz w:val="22"/>
          <w:szCs w:val="22"/>
          <w:lang w:val="ru-RU"/>
        </w:rPr>
        <w:fldChar w:fldCharType="begin"/>
      </w:r>
      <w:r w:rsidRPr="00945782">
        <w:rPr>
          <w:rFonts w:cs="Calibri"/>
          <w:sz w:val="22"/>
          <w:szCs w:val="22"/>
          <w:lang w:val="ru-RU"/>
        </w:rPr>
        <w:instrText xml:space="preserve"> PAGEREF _Toc227850279 \h </w:instrText>
      </w:r>
      <w:r w:rsidRPr="00945782">
        <w:rPr>
          <w:rFonts w:cs="Calibri"/>
          <w:sz w:val="22"/>
          <w:szCs w:val="22"/>
          <w:lang w:val="ru-RU"/>
        </w:rPr>
      </w:r>
      <w:r w:rsidRPr="00945782">
        <w:rPr>
          <w:rFonts w:cs="Calibri"/>
          <w:sz w:val="22"/>
          <w:szCs w:val="22"/>
          <w:lang w:val="ru-RU"/>
        </w:rPr>
        <w:fldChar w:fldCharType="separate"/>
      </w:r>
      <w:r w:rsidRPr="00945782">
        <w:rPr>
          <w:rFonts w:cs="Calibri"/>
          <w:sz w:val="22"/>
          <w:szCs w:val="22"/>
          <w:lang w:val="ru-RU"/>
        </w:rPr>
        <w:t>104</w:t>
      </w:r>
      <w:r w:rsidRPr="00945782">
        <w:rPr>
          <w:rFonts w:cs="Calibri"/>
          <w:sz w:val="22"/>
          <w:szCs w:val="22"/>
          <w:lang w:val="ru-RU"/>
        </w:rPr>
        <w:fldChar w:fldCharType="end"/>
      </w:r>
    </w:p>
    <w:p w14:paraId="6B0B46AC" w14:textId="49A9FAB8" w:rsidR="001A0787" w:rsidRPr="00945782" w:rsidRDefault="001A0787">
      <w:pPr>
        <w:tabs>
          <w:tab w:val="clear" w:pos="794"/>
          <w:tab w:val="clear" w:pos="1191"/>
          <w:tab w:val="clear" w:pos="1588"/>
          <w:tab w:val="clear" w:pos="1985"/>
        </w:tabs>
        <w:overflowPunct/>
        <w:autoSpaceDE/>
        <w:autoSpaceDN/>
        <w:adjustRightInd/>
        <w:spacing w:before="0"/>
        <w:textAlignment w:val="auto"/>
        <w:rPr>
          <w:b/>
          <w:sz w:val="26"/>
          <w:lang w:val="ru-RU"/>
        </w:rPr>
      </w:pPr>
      <w:r w:rsidRPr="00945782">
        <w:rPr>
          <w:rFonts w:cs="Calibri"/>
          <w:szCs w:val="22"/>
          <w:lang w:val="ru-RU"/>
        </w:rPr>
        <w:fldChar w:fldCharType="end"/>
      </w:r>
      <w:r w:rsidRPr="00945782">
        <w:rPr>
          <w:lang w:val="ru-RU"/>
        </w:rPr>
        <w:br w:type="page"/>
      </w:r>
    </w:p>
    <w:p w14:paraId="38C7BD31" w14:textId="709A5066" w:rsidR="00D82062" w:rsidRPr="00945782" w:rsidRDefault="00D82062" w:rsidP="00C96096">
      <w:pPr>
        <w:pStyle w:val="Heading1"/>
        <w:rPr>
          <w:lang w:val="ru-RU"/>
        </w:rPr>
      </w:pPr>
      <w:bookmarkStart w:id="8" w:name="_Toc227850226"/>
      <w:r w:rsidRPr="00945782">
        <w:rPr>
          <w:lang w:val="ru-RU"/>
        </w:rPr>
        <w:lastRenderedPageBreak/>
        <w:t>i</w:t>
      </w:r>
      <w:r w:rsidR="00C96096" w:rsidRPr="00945782">
        <w:rPr>
          <w:lang w:val="ru-RU"/>
        </w:rPr>
        <w:t>)</w:t>
      </w:r>
      <w:r w:rsidR="00C96096" w:rsidRPr="00945782">
        <w:rPr>
          <w:lang w:val="ru-RU"/>
        </w:rPr>
        <w:tab/>
      </w:r>
      <w:r w:rsidRPr="00945782">
        <w:rPr>
          <w:lang w:val="ru-RU"/>
        </w:rPr>
        <w:t>Резюме</w:t>
      </w:r>
      <w:bookmarkEnd w:id="7"/>
      <w:bookmarkEnd w:id="8"/>
    </w:p>
    <w:p w14:paraId="61B1DE3C" w14:textId="7F8201AB" w:rsidR="00D82062" w:rsidRPr="00945782" w:rsidRDefault="00D82062" w:rsidP="00C96096">
      <w:pPr>
        <w:rPr>
          <w:lang w:val="ru-RU"/>
        </w:rPr>
      </w:pPr>
      <w:r w:rsidRPr="00945782">
        <w:rPr>
          <w:lang w:val="ru-RU"/>
        </w:rPr>
        <w:t>Настоящий отчет содержит обзор выполнения стратегических планов и деятельности Международного союза электросвязи (МСЭ) за период с октября 2022 года по март 2026</w:t>
      </w:r>
      <w:r w:rsidR="00C96096" w:rsidRPr="00945782">
        <w:rPr>
          <w:lang w:val="ru-RU"/>
        </w:rPr>
        <w:t> </w:t>
      </w:r>
      <w:r w:rsidRPr="00945782">
        <w:rPr>
          <w:lang w:val="ru-RU"/>
        </w:rPr>
        <w:t>года. Он охватывает завершение четырехлетнего Стратегического плана Организации на 2020</w:t>
      </w:r>
      <w:r w:rsidR="00C96096" w:rsidRPr="00945782">
        <w:rPr>
          <w:lang w:val="ru-RU"/>
        </w:rPr>
        <w:t>−</w:t>
      </w:r>
      <w:r w:rsidRPr="00945782">
        <w:rPr>
          <w:lang w:val="ru-RU"/>
        </w:rPr>
        <w:t>2023</w:t>
      </w:r>
      <w:r w:rsidR="00C96096" w:rsidRPr="00945782">
        <w:rPr>
          <w:lang w:val="ru-RU"/>
        </w:rPr>
        <w:t> </w:t>
      </w:r>
      <w:r w:rsidRPr="00945782">
        <w:rPr>
          <w:lang w:val="ru-RU"/>
        </w:rPr>
        <w:t>годы (</w:t>
      </w:r>
      <w:hyperlink r:id="rId12" w:history="1">
        <w:r w:rsidRPr="00945782">
          <w:rPr>
            <w:rStyle w:val="Hyperlink"/>
            <w:rFonts w:asciiTheme="minorHAnsi" w:hAnsiTheme="minorHAnsi" w:cstheme="minorHAnsi"/>
            <w:szCs w:val="22"/>
            <w:lang w:val="ru-RU"/>
          </w:rPr>
          <w:t>Резолюция 71 (Пересм. Дубай, 2018 г.)</w:t>
        </w:r>
      </w:hyperlink>
      <w:r w:rsidRPr="00945782">
        <w:rPr>
          <w:lang w:val="ru-RU"/>
        </w:rPr>
        <w:t>) и прогресс, достигнутый за первые два года реализации Стратегического плана на 2024–2027 годы (</w:t>
      </w:r>
      <w:hyperlink r:id="rId13" w:history="1">
        <w:r w:rsidRPr="00945782">
          <w:rPr>
            <w:rStyle w:val="Hyperlink"/>
            <w:rFonts w:asciiTheme="minorHAnsi" w:hAnsiTheme="minorHAnsi" w:cstheme="minorHAnsi"/>
            <w:szCs w:val="22"/>
            <w:lang w:val="ru-RU"/>
          </w:rPr>
          <w:t>Резолюция 71 (Пересм. Бухарест, 2022 г.)</w:t>
        </w:r>
      </w:hyperlink>
      <w:r w:rsidRPr="00945782">
        <w:rPr>
          <w:lang w:val="ru-RU"/>
        </w:rPr>
        <w:t>).</w:t>
      </w:r>
    </w:p>
    <w:p w14:paraId="7FA7910A" w14:textId="77777777" w:rsidR="00D82062" w:rsidRPr="00945782" w:rsidRDefault="00D82062" w:rsidP="00C96096">
      <w:pPr>
        <w:rPr>
          <w:lang w:val="ru-RU"/>
        </w:rPr>
      </w:pPr>
      <w:r w:rsidRPr="00945782">
        <w:rPr>
          <w:lang w:val="ru-RU"/>
        </w:rPr>
        <w:t>В течение последнего по времени отчетного периода МСЭ продвигал амбициозную повестку дня, направленную на обеспечение для всех людей во всем мире возможности установления соединений и получения устойчивых преимуществ от цифровых технологий. Этот почти четырехлетний период характеризовался ускоренным технологическим развитием, расширением партнерств и углублением организационной трансформации, направленной на повышение эффективности и усиление воздействия МСЭ в долгосрочной перспективе.</w:t>
      </w:r>
    </w:p>
    <w:p w14:paraId="5A742664" w14:textId="07E06B9E" w:rsidR="00D82062" w:rsidRPr="00945782" w:rsidRDefault="00D82062" w:rsidP="00C96096">
      <w:pPr>
        <w:rPr>
          <w:lang w:val="ru-RU"/>
        </w:rPr>
      </w:pPr>
      <w:r w:rsidRPr="00945782">
        <w:rPr>
          <w:lang w:val="ru-RU"/>
        </w:rPr>
        <w:t>Во всем мире возможность установления интернет-соединений продолжала расширяться: уровень использования вырос примерно с 67% в 2022 году до почти 74% населения мира к 2025 году. Однако за этим ростом скрывается значительное и сохраняющееся неравенство. К 2025 году лишь 23% населения стран с низким уровнем доходов пользовались интернетом, в</w:t>
      </w:r>
      <w:r w:rsidR="00B37B6D" w:rsidRPr="00945782">
        <w:rPr>
          <w:lang w:val="ru-RU"/>
        </w:rPr>
        <w:t> </w:t>
      </w:r>
      <w:r w:rsidRPr="00945782">
        <w:rPr>
          <w:lang w:val="ru-RU"/>
        </w:rPr>
        <w:t>то время как в странах с высоким уровнем доходов этот показатель составил 94%. Значительные различия сохраняются также между городским населением (85% интернет-пользователей) и сельским населением (58% интернет-пользователей).</w:t>
      </w:r>
    </w:p>
    <w:p w14:paraId="34F1AA9D" w14:textId="74750AD1" w:rsidR="00D82062" w:rsidRPr="00945782" w:rsidRDefault="00D82062" w:rsidP="00C96096">
      <w:pPr>
        <w:rPr>
          <w:lang w:val="ru-RU"/>
        </w:rPr>
      </w:pPr>
      <w:r w:rsidRPr="00945782">
        <w:rPr>
          <w:lang w:val="ru-RU"/>
        </w:rPr>
        <w:t>Сохраняется и гендерный разрыв в доступе к цифровым технологиям и пользовании ими, особенно в наименее развитых странах мира. В целом по миру в 2025 году интернетом пользовались 77% мужчин и 71% женщин. Число мужчин, пользующихся интернетом, превышало число женщин примерно на 280 млн, несмотря на почти 45-процентный рост уровня использования интернета как среди женщин, так и среди мужчин за период с 2019</w:t>
      </w:r>
      <w:r w:rsidR="00C96096" w:rsidRPr="00945782">
        <w:rPr>
          <w:lang w:val="ru-RU"/>
        </w:rPr>
        <w:t> </w:t>
      </w:r>
      <w:r w:rsidRPr="00945782">
        <w:rPr>
          <w:lang w:val="ru-RU"/>
        </w:rPr>
        <w:t>года. При этом молодежь остается в авангарде освоения цифровых технологий: в 2025 году интернетом пользовались 82% молодых людей в возрасте 15–24 лет, в то время как для остальной части населения этот показатель составил 72%.</w:t>
      </w:r>
    </w:p>
    <w:p w14:paraId="362B0C2C" w14:textId="77777777" w:rsidR="00D82062" w:rsidRPr="00945782" w:rsidRDefault="00D82062" w:rsidP="00C96096">
      <w:pPr>
        <w:rPr>
          <w:lang w:val="ru-RU"/>
        </w:rPr>
      </w:pPr>
      <w:r w:rsidRPr="00945782">
        <w:rPr>
          <w:lang w:val="ru-RU"/>
        </w:rPr>
        <w:t>Приемлемость цифровых технологий в ценовом отношении повысилась во всем мире: в период 2022–2025 годов медианная стоимость подвижной широкополосной связи снизилась с 2% до 1,4%, а стоимость фиксированной широкополосной связи – с 3,1% до 2,5% валового национального дохода (ВНД) на душу населения. Несмотря на эти достижения, миллиарды людей по-прежнему не имеют доступа к приемлемым в ценовом отношении услугам, базовых цифровых навыков, доступа к устройствам и уверенности в безопасности онлайновой среды.</w:t>
      </w:r>
    </w:p>
    <w:p w14:paraId="2C7EC43C" w14:textId="77777777" w:rsidR="00D82062" w:rsidRPr="00945782" w:rsidRDefault="00D82062" w:rsidP="00C96096">
      <w:pPr>
        <w:pStyle w:val="Headingb"/>
        <w:rPr>
          <w:lang w:val="ru-RU"/>
        </w:rPr>
      </w:pPr>
      <w:r w:rsidRPr="00945782">
        <w:rPr>
          <w:lang w:val="ru-RU"/>
        </w:rPr>
        <w:t>Глобальные уставные конференции</w:t>
      </w:r>
    </w:p>
    <w:p w14:paraId="163AF9E1" w14:textId="77777777" w:rsidR="00D82062" w:rsidRPr="00945782" w:rsidRDefault="00D82062" w:rsidP="00C96096">
      <w:pPr>
        <w:rPr>
          <w:lang w:val="ru-RU"/>
        </w:rPr>
      </w:pPr>
      <w:r w:rsidRPr="00945782">
        <w:rPr>
          <w:lang w:val="ru-RU"/>
        </w:rPr>
        <w:t>В течение рассматриваемого периода состоялись пять уставных конференций МСЭ, определивших направление политики и дискуссий по вопросам технологий и объединивших членов и партнеров вокруг общих целей в области координации использования спектра, стандартизации технологий и развития цифровой среды.</w:t>
      </w:r>
    </w:p>
    <w:p w14:paraId="6F90FC89" w14:textId="07CA7B70" w:rsidR="00D82062" w:rsidRPr="00945782" w:rsidRDefault="00D82062" w:rsidP="00C96096">
      <w:pPr>
        <w:rPr>
          <w:lang w:val="ru-RU"/>
        </w:rPr>
      </w:pPr>
      <w:r w:rsidRPr="00945782">
        <w:rPr>
          <w:lang w:val="ru-RU"/>
        </w:rPr>
        <w:t>Полномочная конференция (</w:t>
      </w:r>
      <w:hyperlink r:id="rId14" w:history="1">
        <w:r w:rsidRPr="00945782">
          <w:rPr>
            <w:rStyle w:val="Hyperlink"/>
            <w:rFonts w:asciiTheme="minorHAnsi" w:hAnsiTheme="minorHAnsi" w:cstheme="minorHAnsi"/>
            <w:szCs w:val="22"/>
            <w:lang w:val="ru-RU"/>
          </w:rPr>
          <w:t>ПК-22</w:t>
        </w:r>
      </w:hyperlink>
      <w:r w:rsidRPr="00945782">
        <w:rPr>
          <w:lang w:val="ru-RU"/>
        </w:rPr>
        <w:t>) в Бухаресте (Румыния) задала стратегическое направление деятельности МСЭ на предстоящий период посредством Стратегического плана на 2024</w:t>
      </w:r>
      <w:r w:rsidR="00C96096" w:rsidRPr="00945782">
        <w:rPr>
          <w:lang w:val="ru-RU"/>
        </w:rPr>
        <w:t>−</w:t>
      </w:r>
      <w:r w:rsidRPr="00945782">
        <w:rPr>
          <w:lang w:val="ru-RU"/>
        </w:rPr>
        <w:t>2027</w:t>
      </w:r>
      <w:r w:rsidR="00C96096" w:rsidRPr="00945782">
        <w:rPr>
          <w:lang w:val="ru-RU"/>
        </w:rPr>
        <w:t> </w:t>
      </w:r>
      <w:r w:rsidRPr="00945782">
        <w:rPr>
          <w:lang w:val="ru-RU"/>
        </w:rPr>
        <w:t>годы. В ходе конференции были внесены изменения в 56 резолюций, были приняты шесть новых резолюций и было положено начало крупным направлениям работы в области искусственного интеллекта (ИИ), устойчивости космической деятельности, гендерного равенства, борьбы с изменением климата, готовности к пандемиям и "умных" городов. Кроме того, произошло историческое событие: на должность Генерального секретаря МСЭ была впервые избрана женщина.</w:t>
      </w:r>
    </w:p>
    <w:p w14:paraId="2834FEC5" w14:textId="77777777" w:rsidR="00D82062" w:rsidRPr="00945782" w:rsidRDefault="00D82062" w:rsidP="00C96096">
      <w:pPr>
        <w:rPr>
          <w:lang w:val="ru-RU"/>
        </w:rPr>
      </w:pPr>
      <w:r w:rsidRPr="00945782">
        <w:rPr>
          <w:lang w:val="ru-RU"/>
        </w:rPr>
        <w:lastRenderedPageBreak/>
        <w:t>В ходе следующих уставных конференций в период до 2025 года были укреплены и обновлены различные виды деятельности в рамках секторов.</w:t>
      </w:r>
    </w:p>
    <w:p w14:paraId="141E8DBB" w14:textId="77777777" w:rsidR="00D82062" w:rsidRPr="00945782" w:rsidRDefault="00D82062" w:rsidP="00C96096">
      <w:pPr>
        <w:rPr>
          <w:lang w:val="ru-RU"/>
        </w:rPr>
      </w:pPr>
      <w:r w:rsidRPr="00945782">
        <w:rPr>
          <w:lang w:val="ru-RU"/>
        </w:rPr>
        <w:t>В ходе Всемирной конференции радиосвязи (</w:t>
      </w:r>
      <w:hyperlink r:id="rId15" w:history="1">
        <w:r w:rsidRPr="00945782">
          <w:rPr>
            <w:rStyle w:val="Hyperlink"/>
            <w:rFonts w:asciiTheme="minorHAnsi" w:hAnsiTheme="minorHAnsi" w:cstheme="minorHAnsi"/>
            <w:szCs w:val="22"/>
            <w:lang w:val="ru-RU"/>
          </w:rPr>
          <w:t>ВКР-23</w:t>
        </w:r>
      </w:hyperlink>
      <w:r w:rsidRPr="00945782">
        <w:rPr>
          <w:lang w:val="ru-RU"/>
        </w:rPr>
        <w:t>) в Дубае (Объединенные Арабские Эмираты) были рассмотрены более 30 пунктов повестки дня, охватывающих международную подвижную электросвязь (IMT), спутниковые, морские и воздушные службы. Предшествовавшая ей Ассамблея радиосвязи (</w:t>
      </w:r>
      <w:hyperlink r:id="rId16" w:history="1">
        <w:r w:rsidRPr="00945782">
          <w:rPr>
            <w:rStyle w:val="Hyperlink"/>
            <w:rFonts w:asciiTheme="minorHAnsi" w:hAnsiTheme="minorHAnsi" w:cstheme="minorHAnsi"/>
            <w:szCs w:val="22"/>
            <w:lang w:val="ru-RU"/>
          </w:rPr>
          <w:t>АР-23</w:t>
        </w:r>
      </w:hyperlink>
      <w:r w:rsidRPr="00945782">
        <w:rPr>
          <w:lang w:val="ru-RU"/>
        </w:rPr>
        <w:t>) утвердила "Основу IMT-2030" (основу для ожидаемых сетей связи 6G) и приняла новые резолюции по вопросам гендерного равенства, широкополосной связи и устойчивого использования спектра. Вместе эти конференции укрепили деятельность Сектора радиосвязи МСЭ (МСЭ-R), обеспечили защиту существующих служб, закрепили распределение частот для систем следующего поколения и подтвердили возрастающее значение космоса и спутников для глобальной связи.</w:t>
      </w:r>
    </w:p>
    <w:p w14:paraId="73300151" w14:textId="59F6D549" w:rsidR="00D82062" w:rsidRPr="00945782" w:rsidRDefault="00D82062" w:rsidP="00C96096">
      <w:pPr>
        <w:rPr>
          <w:lang w:val="ru-RU"/>
        </w:rPr>
      </w:pPr>
      <w:r w:rsidRPr="00945782">
        <w:rPr>
          <w:lang w:val="ru-RU"/>
        </w:rPr>
        <w:t>На Всемирной ассамблее по стандартизации электросвязи (</w:t>
      </w:r>
      <w:hyperlink r:id="rId17" w:history="1">
        <w:r w:rsidRPr="00945782">
          <w:rPr>
            <w:rStyle w:val="Hyperlink"/>
            <w:rFonts w:asciiTheme="minorHAnsi" w:hAnsiTheme="minorHAnsi" w:cstheme="minorHAnsi"/>
            <w:szCs w:val="22"/>
            <w:lang w:val="ru-RU"/>
          </w:rPr>
          <w:t>ВАСЭ-24</w:t>
        </w:r>
      </w:hyperlink>
      <w:r w:rsidRPr="00945782">
        <w:rPr>
          <w:lang w:val="ru-RU"/>
        </w:rPr>
        <w:t>) в Нью-Дели (Индия) особое внимание было уделено вопросам ИИ, связи в чрезвычайных ситуациях и другим быстро развивающимся цифровым приоритетам. По итогам конференции была обновлена структура Сектора стандартизации электросвязи МСЭ (МСЭ-T) и учреждена новая, 21</w:t>
      </w:r>
      <w:r w:rsidR="00C96096" w:rsidRPr="00945782">
        <w:rPr>
          <w:rFonts w:ascii="Cambria Math" w:hAnsi="Cambria Math"/>
          <w:lang w:val="ru-RU"/>
        </w:rPr>
        <w:t>‑</w:t>
      </w:r>
      <w:r w:rsidRPr="00945782">
        <w:rPr>
          <w:lang w:val="ru-RU"/>
        </w:rPr>
        <w:t>я</w:t>
      </w:r>
      <w:r w:rsidR="00C96096" w:rsidRPr="00945782">
        <w:rPr>
          <w:lang w:val="ru-RU"/>
        </w:rPr>
        <w:t> </w:t>
      </w:r>
      <w:r w:rsidRPr="00945782">
        <w:rPr>
          <w:lang w:val="ru-RU"/>
        </w:rPr>
        <w:t>Исследовательская комиссия МСЭ-Т по вопросам мультимедиа, доставки контента и кабельных технологий. Приуроченный к ВАСЭ "фестиваль стандартов" продемонстрировал инновационность и межотраслевое сотрудничество в духе целей ООН в области цифрового взаимодействия.</w:t>
      </w:r>
    </w:p>
    <w:p w14:paraId="13AF7E15" w14:textId="77777777" w:rsidR="00D82062" w:rsidRPr="00945782" w:rsidRDefault="00D82062" w:rsidP="00C96096">
      <w:pPr>
        <w:rPr>
          <w:lang w:val="ru-RU"/>
        </w:rPr>
      </w:pPr>
      <w:r w:rsidRPr="00945782">
        <w:rPr>
          <w:lang w:val="ru-RU"/>
        </w:rPr>
        <w:t>Всемирная конференция по развитию электросвязи (</w:t>
      </w:r>
      <w:hyperlink r:id="rId18" w:history="1">
        <w:r w:rsidRPr="00945782">
          <w:rPr>
            <w:rStyle w:val="Hyperlink"/>
            <w:rFonts w:asciiTheme="minorHAnsi" w:hAnsiTheme="minorHAnsi" w:cstheme="minorHAnsi"/>
            <w:szCs w:val="22"/>
            <w:lang w:val="ru-RU"/>
          </w:rPr>
          <w:t>ВКРЭ-25</w:t>
        </w:r>
      </w:hyperlink>
      <w:r w:rsidRPr="00945782">
        <w:rPr>
          <w:lang w:val="ru-RU"/>
        </w:rPr>
        <w:t>) приняла Бакинскую декларацию и направленный на долгосрочную перспективу Бакинский план действий, в которых закрепила приоритеты Сектора развития электросвязи МСЭ (МСЭ-D) на 2026–2029 годы. На конференции были также утверждены новые региональные инициативы для Африки, Северной и Южной Америки, арабских государств, Азиатско-Тихоокеанского региона, Содружества Независимых Государств (СНГ) и Европы, направленные на решение наиболее актуальных задач цифрового развития в каждом из этих регионов. Благодаря этим инициативам МСЭ располагает возможностями для мобилизации ресурсов и формирования партнерств, ускоряющих цифровую трансформацию, сокращающих сохраняющиеся разрывы в возможностях установления соединений и поддерживающих уязвимые сообщества, включая наименее развитые страны (НРС), развивающиеся страны, не имеющие выхода к морю (ЛЛДС), и малые островные развивающиеся государства (СИДС), посредством реализации конкретных проектов в области развития, ориентированных на достижение результатов.</w:t>
      </w:r>
    </w:p>
    <w:p w14:paraId="4E84B6A2" w14:textId="77777777" w:rsidR="00D82062" w:rsidRPr="00945782" w:rsidRDefault="00D82062" w:rsidP="00C96096">
      <w:pPr>
        <w:pStyle w:val="Headingb"/>
        <w:rPr>
          <w:lang w:val="ru-RU"/>
        </w:rPr>
      </w:pPr>
      <w:r w:rsidRPr="00945782">
        <w:rPr>
          <w:lang w:val="ru-RU"/>
        </w:rPr>
        <w:t>Результаты и воздействие Стратегического плана</w:t>
      </w:r>
    </w:p>
    <w:p w14:paraId="545F37DF" w14:textId="77777777" w:rsidR="00D82062" w:rsidRPr="00945782" w:rsidRDefault="00D82062" w:rsidP="00C96096">
      <w:pPr>
        <w:rPr>
          <w:lang w:val="ru-RU"/>
        </w:rPr>
      </w:pPr>
      <w:r w:rsidRPr="00945782">
        <w:rPr>
          <w:lang w:val="ru-RU"/>
        </w:rPr>
        <w:t>Реализация Стратегического плана на 2020–2023 годы помогла странам по всему миру расширить доступ к интернету, повысить его приемлемость в ценовом отношении, укрепить кибербезопасность и развить меры политики в области инноваций. В последовавшем за ним плане на 2024–2027 годы широкий спектр направлений деятельности МСЭ был сгруппирован вокруг двух общих целей: универсальной возможности установления соединений и устойчивой цифровой трансформации. Различные направления работы призваны оказать помощь странам в повышении качества соединений, их доступности и приемлемости в ценовом отношении, а также в повышении доступности устройств, развитии навыков, обеспечении доступности и безопасности – всем том, из чего складывается реальная возможность установления соединений.</w:t>
      </w:r>
    </w:p>
    <w:p w14:paraId="63EF49BD" w14:textId="77777777" w:rsidR="00D82062" w:rsidRPr="00945782" w:rsidRDefault="00D82062" w:rsidP="00C96096">
      <w:pPr>
        <w:rPr>
          <w:lang w:val="ru-RU"/>
        </w:rPr>
      </w:pPr>
      <w:r w:rsidRPr="00945782">
        <w:rPr>
          <w:lang w:val="ru-RU"/>
        </w:rPr>
        <w:t xml:space="preserve">За указанный отчетный период МСЭ зафиксировал прогресс в области приемлемости в ценовом отношении, а также в области владения устройствами и систем данных. Сотрудничество с Организацией Объединенных Наций по вопросам образования, науки и культуры (ЮНЕСКО) позволило повысить качество оценки цифрового развития и наличия у школ более чем в 200 странах возможности устанавливать соединения. МСЭ также поддерживает инициативу Giga (см. раздел </w:t>
      </w:r>
      <w:hyperlink w:anchor="_5.5_Партнерства_и" w:history="1">
        <w:r w:rsidRPr="00945782">
          <w:rPr>
            <w:rStyle w:val="Hyperlink"/>
            <w:rFonts w:asciiTheme="minorHAnsi" w:hAnsiTheme="minorHAnsi" w:cstheme="minorHAnsi"/>
            <w:szCs w:val="22"/>
            <w:lang w:val="ru-RU"/>
          </w:rPr>
          <w:t>5.5</w:t>
        </w:r>
      </w:hyperlink>
      <w:r w:rsidRPr="00945782">
        <w:rPr>
          <w:lang w:val="ru-RU"/>
        </w:rPr>
        <w:t xml:space="preserve">) – совместную инициативу с Детским фондом </w:t>
      </w:r>
      <w:r w:rsidRPr="00945782">
        <w:rPr>
          <w:lang w:val="ru-RU"/>
        </w:rPr>
        <w:lastRenderedPageBreak/>
        <w:t>Организации Объединенных Наций (ЮНИСЕФ), имеющую целью подключение каждой школы в мире к интернету.</w:t>
      </w:r>
    </w:p>
    <w:p w14:paraId="6DECCECB" w14:textId="77DC4C6F" w:rsidR="00D82062" w:rsidRPr="00945782" w:rsidRDefault="00D82062" w:rsidP="00C96096">
      <w:pPr>
        <w:rPr>
          <w:lang w:val="ru-RU"/>
        </w:rPr>
      </w:pPr>
      <w:r w:rsidRPr="00945782">
        <w:rPr>
          <w:lang w:val="ru-RU"/>
        </w:rPr>
        <w:t>Продолжал расширяться потенциал в области кибербезопасности: число стран, создавших национальные группы реагирования на компьютерные инциденты (CIRT), выросло со 109 в 2020 году до 132 к 2024 году, а число стран, утвердивших национальные стратегии кибербезопасности, за тот же период выросло со 107 до 127. Значительно возросло число стран, принявших национальную политику в области доступности для лиц с ограниченными возможностями: число стран, реализующих национальные программы обеспечения доступности информационно-коммуникационных технологий (ИКТ), к концу 2024 года достигло</w:t>
      </w:r>
      <w:r w:rsidR="00C96096" w:rsidRPr="00945782">
        <w:rPr>
          <w:lang w:val="ru-RU"/>
        </w:rPr>
        <w:t> </w:t>
      </w:r>
      <w:r w:rsidRPr="00945782">
        <w:rPr>
          <w:lang w:val="ru-RU"/>
        </w:rPr>
        <w:t>127.</w:t>
      </w:r>
    </w:p>
    <w:p w14:paraId="30C63A9B" w14:textId="77777777" w:rsidR="00D82062" w:rsidRPr="00945782" w:rsidRDefault="00D82062" w:rsidP="00C96096">
      <w:pPr>
        <w:rPr>
          <w:lang w:val="ru-RU"/>
        </w:rPr>
      </w:pPr>
      <w:r w:rsidRPr="00945782">
        <w:rPr>
          <w:lang w:val="ru-RU"/>
        </w:rPr>
        <w:t>В период 2022–2025 годов МСЭ оказал помощь шести странам Восточной Африки в разработке регулирования в области электронных отходов и соответствующих систем данных. Одновременно с этим он содействовал разработке новых международных стандартов в области расширенной ответственности производителей и устойчивых государственных закупок.</w:t>
      </w:r>
    </w:p>
    <w:p w14:paraId="3FC325B3" w14:textId="77777777" w:rsidR="00D82062" w:rsidRPr="00945782" w:rsidRDefault="00D82062" w:rsidP="00C96096">
      <w:pPr>
        <w:rPr>
          <w:lang w:val="ru-RU"/>
        </w:rPr>
      </w:pPr>
      <w:r w:rsidRPr="00945782">
        <w:rPr>
          <w:lang w:val="ru-RU"/>
        </w:rPr>
        <w:t>За тот же период 28 стран получили поддержку МСЭ в разработке национальных планов электросвязи в чрезвычайных ситуациях для укрепления глобальной готовности к бедствиям. МСЭ также оказал помощь в области электросвязи в чрезвычайных ситуациях в связи с крупными стихийными бедствиями, предоставив оборудование и оказав техническую поддержку пострадавшим сообществам в ответ на ураган "Джулия" и циклон "Фредди".</w:t>
      </w:r>
    </w:p>
    <w:p w14:paraId="3C8A1241" w14:textId="4AF121A9" w:rsidR="00D82062" w:rsidRPr="00945782" w:rsidRDefault="00D82062" w:rsidP="00C96096">
      <w:pPr>
        <w:rPr>
          <w:lang w:val="ru-RU"/>
        </w:rPr>
      </w:pPr>
      <w:r w:rsidRPr="00945782">
        <w:rPr>
          <w:lang w:val="ru-RU"/>
        </w:rPr>
        <w:t>Организация сыграла ключевую роль в инициативе Генерального секретаря ООН "Раннее предупреждение для всех" (запущенной на КС-27 в 2022 г.), которая направлена на достижение к 2027 году охвата своевременными предупреждениями о бедствиях всего населения мира. В</w:t>
      </w:r>
      <w:r w:rsidR="00C96096" w:rsidRPr="00945782">
        <w:rPr>
          <w:lang w:val="ru-RU"/>
        </w:rPr>
        <w:t> </w:t>
      </w:r>
      <w:r w:rsidRPr="00945782">
        <w:rPr>
          <w:lang w:val="ru-RU"/>
        </w:rPr>
        <w:t>рамках данной инициативы МСЭ совместно со Всемирной метеорологической организацией (ВМО), Управлением Организации Объединенных Наций по снижению риска бедствий (УСРБ ООН) и Международной федерацией обществ Красного Креста и Красного Полумесяца (МФКК) сформировал ключевую подгруппу по ИИ для совершенствования систем раннего предупреждения.</w:t>
      </w:r>
    </w:p>
    <w:p w14:paraId="17EB135E" w14:textId="346B001A" w:rsidR="00D82062" w:rsidRPr="00945782" w:rsidRDefault="00D82062" w:rsidP="00C96096">
      <w:pPr>
        <w:pStyle w:val="Headingb"/>
        <w:rPr>
          <w:lang w:val="ru-RU"/>
        </w:rPr>
      </w:pPr>
      <w:r w:rsidRPr="00945782">
        <w:rPr>
          <w:lang w:val="ru-RU"/>
        </w:rPr>
        <w:t>Лидерство в области технологических стандартов</w:t>
      </w:r>
    </w:p>
    <w:p w14:paraId="3052C921" w14:textId="59710746" w:rsidR="00D82062" w:rsidRPr="00945782" w:rsidRDefault="00D82062" w:rsidP="00C96096">
      <w:pPr>
        <w:rPr>
          <w:lang w:val="ru-RU"/>
        </w:rPr>
      </w:pPr>
      <w:r w:rsidRPr="00945782">
        <w:rPr>
          <w:lang w:val="ru-RU"/>
        </w:rPr>
        <w:t>МСЭ укрепил свою роль в качестве ведущей организации по стандартизации благодаря новым направлениям работы, ориентированным на вызовы и возможности, обусловленные новыми и развивающимися технологиями. Он способствовал формированию области квантовых информационных технологий посредством таких инициатив, как разработанная в 2023</w:t>
      </w:r>
      <w:r w:rsidR="00C96096" w:rsidRPr="00945782">
        <w:rPr>
          <w:lang w:val="ru-RU"/>
        </w:rPr>
        <w:t>−</w:t>
      </w:r>
      <w:r w:rsidRPr="00945782">
        <w:rPr>
          <w:lang w:val="ru-RU"/>
        </w:rPr>
        <w:t>2024</w:t>
      </w:r>
      <w:r w:rsidR="00C96096" w:rsidRPr="00945782">
        <w:rPr>
          <w:lang w:val="ru-RU"/>
        </w:rPr>
        <w:t> </w:t>
      </w:r>
      <w:r w:rsidRPr="00945782">
        <w:rPr>
          <w:lang w:val="ru-RU"/>
        </w:rPr>
        <w:t>годах База данных стандартов по квантовым технологиям, а также принятию исследовательскими комиссиями МСЭ-Т новых Рекомендаций в области обеспечения квантовой безопасности.</w:t>
      </w:r>
    </w:p>
    <w:p w14:paraId="72FAB181" w14:textId="0BDC1D74" w:rsidR="00D82062" w:rsidRPr="00945782" w:rsidRDefault="00D82062" w:rsidP="00C96096">
      <w:pPr>
        <w:rPr>
          <w:lang w:val="ru-RU"/>
        </w:rPr>
      </w:pPr>
      <w:r w:rsidRPr="00945782">
        <w:rPr>
          <w:lang w:val="ru-RU"/>
        </w:rPr>
        <w:t xml:space="preserve">В рамках провозглашенного Организацией Объединенных Наций Международного года квантовой науки и технологий (2025 г.) МСЭ содействовал повышению глобальной осведомленности и запустил собственную инициативу </w:t>
      </w:r>
      <w:hyperlink r:id="rId19" w:history="1">
        <w:r w:rsidRPr="00945782">
          <w:rPr>
            <w:rStyle w:val="Hyperlink"/>
            <w:rFonts w:asciiTheme="minorHAnsi" w:hAnsiTheme="minorHAnsi" w:cstheme="minorHAnsi"/>
            <w:szCs w:val="22"/>
            <w:lang w:val="ru-RU"/>
          </w:rPr>
          <w:t>"Квантовые технологии во благо"</w:t>
        </w:r>
      </w:hyperlink>
      <w:r w:rsidRPr="00945782">
        <w:rPr>
          <w:lang w:val="ru-RU"/>
        </w:rPr>
        <w:t>, в</w:t>
      </w:r>
      <w:r w:rsidR="0000794E" w:rsidRPr="00945782">
        <w:rPr>
          <w:lang w:val="ru-RU"/>
        </w:rPr>
        <w:t> </w:t>
      </w:r>
      <w:r w:rsidRPr="00945782">
        <w:rPr>
          <w:lang w:val="ru-RU"/>
        </w:rPr>
        <w:t>рамках которой особое внимание было уделено потенциальным преимуществам использования таких технологий и необходимости устранения связанных с ними рисков.</w:t>
      </w:r>
    </w:p>
    <w:p w14:paraId="16789CC0" w14:textId="77777777" w:rsidR="00D82062" w:rsidRPr="00945782" w:rsidRDefault="00D82062" w:rsidP="00C96096">
      <w:pPr>
        <w:rPr>
          <w:lang w:val="ru-RU"/>
        </w:rPr>
      </w:pPr>
      <w:r w:rsidRPr="00945782">
        <w:rPr>
          <w:lang w:val="ru-RU"/>
        </w:rPr>
        <w:t>Более 17 000 человек приняли участие в работе созданной под эгидой МСЭ оперативной группы по виртуальным мирам и метавселенной, действовавшей до середины 2024 года и подготовившей более 50 технических итоговых документов, что легло в основу новой инициативы – Глобальной инициативы по виртуальным мирам и ИИ. Кроме того, созданная и начавшая работу в 2025 году Группа по совместной координационной деятельности МСЭ-Т по стандартизации метавселенной (</w:t>
      </w:r>
      <w:hyperlink r:id="rId20" w:history="1">
        <w:r w:rsidRPr="00945782">
          <w:rPr>
            <w:rStyle w:val="Hyperlink"/>
            <w:rFonts w:asciiTheme="minorHAnsi" w:hAnsiTheme="minorHAnsi" w:cstheme="minorHAnsi"/>
            <w:szCs w:val="22"/>
            <w:lang w:val="ru-RU"/>
          </w:rPr>
          <w:t>JCA-MV</w:t>
        </w:r>
      </w:hyperlink>
      <w:r w:rsidRPr="00945782">
        <w:rPr>
          <w:lang w:val="ru-RU"/>
        </w:rPr>
        <w:t xml:space="preserve">) координирует деятельность МСЭ-Т по стандартизации метавселенной и укрепляет сотрудничество с внешними организациями по стандартизации. </w:t>
      </w:r>
      <w:r w:rsidRPr="00945782">
        <w:rPr>
          <w:lang w:val="ru-RU"/>
        </w:rPr>
        <w:lastRenderedPageBreak/>
        <w:t>Одновременно с этим был достигнут прогресс в развитии рамочных структур в области интернета вещей, цифровых двойников и "умных" городов.</w:t>
      </w:r>
    </w:p>
    <w:p w14:paraId="2C222108" w14:textId="77777777" w:rsidR="00D82062" w:rsidRPr="00945782" w:rsidRDefault="00D82062" w:rsidP="00C96096">
      <w:pPr>
        <w:rPr>
          <w:rFonts w:asciiTheme="minorHAnsi" w:hAnsiTheme="minorHAnsi" w:cstheme="minorHAnsi"/>
          <w:szCs w:val="22"/>
          <w:lang w:val="ru-RU"/>
        </w:rPr>
      </w:pPr>
      <w:r w:rsidRPr="00945782">
        <w:rPr>
          <w:rFonts w:asciiTheme="minorHAnsi" w:hAnsiTheme="minorHAnsi" w:cstheme="minorHAnsi"/>
          <w:szCs w:val="22"/>
          <w:lang w:val="ru-RU"/>
        </w:rPr>
        <w:t xml:space="preserve">МСЭ также сотрудничал с другими учреждениями ООН, с тем чтобы заложить основы ответственного использования ИИ в целом ряде областей применения. Так, </w:t>
      </w:r>
      <w:hyperlink r:id="rId21" w:history="1">
        <w:r w:rsidRPr="00945782">
          <w:rPr>
            <w:rStyle w:val="Hyperlink"/>
            <w:rFonts w:asciiTheme="minorHAnsi" w:hAnsiTheme="minorHAnsi" w:cstheme="minorHAnsi"/>
            <w:szCs w:val="22"/>
            <w:lang w:val="ru-RU"/>
          </w:rPr>
          <w:t>Оперативная группа МСЭ–ФАО по ИИ для сельского хозяйства</w:t>
        </w:r>
      </w:hyperlink>
      <w:r w:rsidRPr="00945782">
        <w:rPr>
          <w:rFonts w:asciiTheme="minorHAnsi" w:hAnsiTheme="minorHAnsi" w:cstheme="minorHAnsi"/>
          <w:szCs w:val="22"/>
          <w:lang w:val="ru-RU"/>
        </w:rPr>
        <w:t xml:space="preserve"> (возглавляемая совместно с Продовольственной и сельскохозяйственной организацией ООН – ФАО) подготовила руководящие указания по точному земледелию и продовольственным системам, устойчивым к изменению климата.</w:t>
      </w:r>
    </w:p>
    <w:p w14:paraId="3459FAFC" w14:textId="77777777" w:rsidR="00D82062" w:rsidRPr="00945782" w:rsidRDefault="00D82062" w:rsidP="00C96096">
      <w:pPr>
        <w:rPr>
          <w:rFonts w:asciiTheme="minorHAnsi" w:hAnsiTheme="minorHAnsi" w:cstheme="minorHAnsi"/>
          <w:szCs w:val="22"/>
          <w:lang w:val="ru-RU"/>
        </w:rPr>
      </w:pPr>
      <w:hyperlink r:id="rId22" w:history="1">
        <w:r w:rsidRPr="00945782">
          <w:rPr>
            <w:rStyle w:val="Hyperlink"/>
            <w:rFonts w:asciiTheme="minorHAnsi" w:hAnsiTheme="minorHAnsi" w:cstheme="minorHAnsi"/>
            <w:szCs w:val="22"/>
            <w:lang w:val="ru-RU"/>
          </w:rPr>
          <w:t>Глобальная инициатива МСЭ–ВОЗ–ВОИС по ИИ для здравоохранения</w:t>
        </w:r>
      </w:hyperlink>
      <w:r w:rsidRPr="00945782">
        <w:rPr>
          <w:rFonts w:asciiTheme="minorHAnsi" w:hAnsiTheme="minorHAnsi" w:cstheme="minorHAnsi"/>
          <w:szCs w:val="22"/>
          <w:lang w:val="ru-RU"/>
        </w:rPr>
        <w:t xml:space="preserve"> разработала надежные рамочные механизмы оценки для поддержки безопасного и основанного на фактических данных внедрения ИИ в клиническую практику, которые сопровождаются эталонными примерами реализации, демонстрирующими, каким образом эти стандарты могут быть применены на практике и адаптированы национальными регулятивными органами в области медицины. Эти усилия дополнительно подкрепляются целевой поддержкой, направленной на расширение участия стран с низким и средним уровнем доходов.</w:t>
      </w:r>
    </w:p>
    <w:p w14:paraId="7AFE6F88" w14:textId="77777777" w:rsidR="00D82062" w:rsidRPr="00945782" w:rsidRDefault="00D82062" w:rsidP="00C96096">
      <w:pPr>
        <w:pStyle w:val="Headingb"/>
        <w:rPr>
          <w:lang w:val="ru-RU"/>
        </w:rPr>
      </w:pPr>
      <w:r w:rsidRPr="00945782">
        <w:rPr>
          <w:lang w:val="ru-RU"/>
        </w:rPr>
        <w:t>Продукты и услуги, способствующие цифровому развитию</w:t>
      </w:r>
    </w:p>
    <w:p w14:paraId="0E09BA62" w14:textId="77777777" w:rsidR="00D82062" w:rsidRPr="00945782" w:rsidRDefault="00D82062" w:rsidP="00C96096">
      <w:pPr>
        <w:rPr>
          <w:lang w:val="ru-RU"/>
        </w:rPr>
      </w:pPr>
      <w:r w:rsidRPr="00945782">
        <w:rPr>
          <w:lang w:val="ru-RU"/>
        </w:rPr>
        <w:t xml:space="preserve">МСЭ продолжал выступать в качестве надежного глобального источника статистических данных и аналитики в области ИКТ, выпуская ключевые публикации, такие как </w:t>
      </w:r>
      <w:hyperlink r:id="rId23" w:history="1">
        <w:r w:rsidRPr="00945782">
          <w:rPr>
            <w:rStyle w:val="Hyperlink"/>
            <w:rFonts w:asciiTheme="minorHAnsi" w:hAnsiTheme="minorHAnsi" w:cstheme="minorHAnsi"/>
            <w:szCs w:val="22"/>
            <w:lang w:val="ru-RU"/>
          </w:rPr>
          <w:t>"Факты и цифры"</w:t>
        </w:r>
      </w:hyperlink>
      <w:r w:rsidRPr="00945782">
        <w:rPr>
          <w:lang w:val="ru-RU"/>
        </w:rPr>
        <w:t xml:space="preserve"> и </w:t>
      </w:r>
      <w:hyperlink r:id="rId24" w:history="1">
        <w:r w:rsidRPr="00945782">
          <w:rPr>
            <w:rStyle w:val="Hyperlink"/>
            <w:rFonts w:asciiTheme="minorHAnsi" w:hAnsiTheme="minorHAnsi" w:cstheme="minorHAnsi"/>
            <w:szCs w:val="22"/>
            <w:lang w:val="ru-RU"/>
          </w:rPr>
          <w:t>Отчет МСЭ о глобальной возможности установления соединений</w:t>
        </w:r>
      </w:hyperlink>
      <w:r w:rsidRPr="00945782">
        <w:rPr>
          <w:lang w:val="ru-RU"/>
        </w:rPr>
        <w:t>. Организация укрепила статистические стандарты, расширила методики работы с большими данными и усилила международное сотрудничество через такие платформы, как Партнерство по измерению ИКТ в целях развития. Эта деятельность служит основой для разработки политики, основанной на фактических данных, и позволяет странам отслеживать прогресс в достижении целей в области возможности установления соединений и расширения охвата цифровыми технологиями.</w:t>
      </w:r>
    </w:p>
    <w:p w14:paraId="263FEC63" w14:textId="306D93E0" w:rsidR="00D82062" w:rsidRPr="00945782" w:rsidRDefault="00D82062" w:rsidP="00C96096">
      <w:pPr>
        <w:rPr>
          <w:lang w:val="ru-RU"/>
        </w:rPr>
      </w:pPr>
      <w:r w:rsidRPr="00945782">
        <w:rPr>
          <w:lang w:val="ru-RU"/>
        </w:rPr>
        <w:t xml:space="preserve">В течение отчетного периода значительно выросли показатели развития потенциала. Число участников программ </w:t>
      </w:r>
      <w:hyperlink r:id="rId25" w:history="1">
        <w:r w:rsidRPr="00945782">
          <w:rPr>
            <w:rStyle w:val="Hyperlink"/>
            <w:rFonts w:asciiTheme="minorHAnsi" w:hAnsiTheme="minorHAnsi" w:cstheme="minorHAnsi"/>
            <w:szCs w:val="22"/>
            <w:lang w:val="ru-RU"/>
          </w:rPr>
          <w:t>Академии МСЭ</w:t>
        </w:r>
      </w:hyperlink>
      <w:r w:rsidRPr="00945782">
        <w:rPr>
          <w:lang w:val="ru-RU"/>
        </w:rPr>
        <w:t xml:space="preserve"> увеличилось примерно с 26 000 обучающихся в 2022</w:t>
      </w:r>
      <w:r w:rsidR="00C96096" w:rsidRPr="00945782">
        <w:rPr>
          <w:lang w:val="ru-RU"/>
        </w:rPr>
        <w:t> </w:t>
      </w:r>
      <w:r w:rsidRPr="00945782">
        <w:rPr>
          <w:lang w:val="ru-RU"/>
        </w:rPr>
        <w:t>году до более чем 83 000 в 2025 году, при этом доля женщин составила 40%. Ежегодно проводилось около 150 курсов, и за период с 2023 года программы сертификации были пройдены более 17 500 раз.</w:t>
      </w:r>
    </w:p>
    <w:p w14:paraId="7D5C60F0" w14:textId="77777777" w:rsidR="00D82062" w:rsidRPr="00945782" w:rsidRDefault="00D82062" w:rsidP="00C96096">
      <w:pPr>
        <w:rPr>
          <w:lang w:val="ru-RU"/>
        </w:rPr>
      </w:pPr>
      <w:r w:rsidRPr="00945782">
        <w:rPr>
          <w:lang w:val="ru-RU"/>
        </w:rPr>
        <w:t xml:space="preserve">В мероприятиях </w:t>
      </w:r>
      <w:hyperlink r:id="rId26" w:history="1">
        <w:r w:rsidRPr="00945782">
          <w:rPr>
            <w:rStyle w:val="Hyperlink"/>
            <w:rFonts w:asciiTheme="minorHAnsi" w:hAnsiTheme="minorHAnsi" w:cstheme="minorHAnsi"/>
            <w:szCs w:val="22"/>
            <w:lang w:val="ru-RU"/>
          </w:rPr>
          <w:t>Центров цифровой трансформации, организованных МСЭ совместно с компанией Cisco</w:t>
        </w:r>
      </w:hyperlink>
      <w:r w:rsidRPr="00945782">
        <w:rPr>
          <w:lang w:val="ru-RU"/>
        </w:rPr>
        <w:t xml:space="preserve">, приняли участие более 610 000 человек по всему миру, более половины из которых – женщины, в то время как </w:t>
      </w:r>
      <w:hyperlink r:id="rId27" w:history="1">
        <w:r w:rsidRPr="00945782">
          <w:rPr>
            <w:rStyle w:val="Hyperlink"/>
            <w:rFonts w:asciiTheme="minorHAnsi" w:hAnsiTheme="minorHAnsi" w:cstheme="minorHAnsi"/>
            <w:szCs w:val="22"/>
            <w:lang w:val="ru-RU"/>
          </w:rPr>
          <w:t>Форум МСЭ по цифровым навыкам</w:t>
        </w:r>
      </w:hyperlink>
      <w:r w:rsidRPr="00945782">
        <w:rPr>
          <w:lang w:val="ru-RU"/>
        </w:rPr>
        <w:t xml:space="preserve"> и публикация </w:t>
      </w:r>
      <w:hyperlink r:id="rId28" w:history="1">
        <w:r w:rsidRPr="00945782">
          <w:rPr>
            <w:rStyle w:val="Hyperlink"/>
            <w:rFonts w:asciiTheme="minorHAnsi" w:hAnsiTheme="minorHAnsi" w:cstheme="minorHAnsi"/>
            <w:szCs w:val="22"/>
            <w:lang w:val="ru-RU"/>
          </w:rPr>
          <w:t>комплекта материалов по цифровым навыкам</w:t>
        </w:r>
      </w:hyperlink>
      <w:r w:rsidRPr="00945782">
        <w:rPr>
          <w:lang w:val="ru-RU"/>
        </w:rPr>
        <w:t xml:space="preserve"> способствовали дополнительному укреплению потенциала на уровне стран. Эти инициативы непосредственно способствовали развитию навыков рабочей силы и укреплению институционального потенциала в развивающихся странах.</w:t>
      </w:r>
    </w:p>
    <w:p w14:paraId="5BFFC242" w14:textId="7372B7E1" w:rsidR="00D82062" w:rsidRPr="00945782" w:rsidRDefault="00D82062" w:rsidP="00C96096">
      <w:pPr>
        <w:rPr>
          <w:lang w:val="ru-RU"/>
        </w:rPr>
      </w:pPr>
      <w:r w:rsidRPr="00945782">
        <w:rPr>
          <w:lang w:val="ru-RU"/>
        </w:rPr>
        <w:t>Только в 2025 году МСЭ реализовал или содействовал реализации через Бюро развития электросвязи (БРЭ) 106 проектов на общую сумму 79,7 млн. швейцарских франков, причем 26</w:t>
      </w:r>
      <w:r w:rsidR="00C96096" w:rsidRPr="00945782">
        <w:rPr>
          <w:lang w:val="ru-RU"/>
        </w:rPr>
        <w:t> </w:t>
      </w:r>
      <w:r w:rsidRPr="00945782">
        <w:rPr>
          <w:lang w:val="ru-RU"/>
        </w:rPr>
        <w:t>из этих проектов были новыми. Бóльшая часть нового финансирования поступила от внешних партнеров, что отражает растущее доверие к потенциалу МСЭ в области реализации проектов. Все проекты соответствовали Кигалийскому плану действий на 2023–2025 годы и отвечали национальным и региональным приоритетам, связанным, в частности, с возможностью установления соединений, политическими рамками и цифровой трансформацией.</w:t>
      </w:r>
    </w:p>
    <w:p w14:paraId="7DCC4D8B" w14:textId="77777777" w:rsidR="00D82062" w:rsidRPr="00945782" w:rsidRDefault="00D82062" w:rsidP="00C96096">
      <w:pPr>
        <w:rPr>
          <w:rFonts w:asciiTheme="minorHAnsi" w:hAnsiTheme="minorHAnsi" w:cstheme="minorHAnsi"/>
          <w:szCs w:val="22"/>
          <w:lang w:val="ru-RU"/>
        </w:rPr>
      </w:pPr>
      <w:r w:rsidRPr="00945782">
        <w:rPr>
          <w:rFonts w:asciiTheme="minorHAnsi" w:hAnsiTheme="minorHAnsi" w:cstheme="minorHAnsi"/>
          <w:szCs w:val="22"/>
          <w:lang w:val="ru-RU"/>
        </w:rPr>
        <w:t>В период 2022–2025 годов МСЭ оказал помощь шести странам Восточной Африки в разработке регулирования в области электронных отходов и систем данных. Он также продвигал международные стандарты в области расширенной ответственности производителей и устойчивых государственных закупок.</w:t>
      </w:r>
    </w:p>
    <w:p w14:paraId="21C7B918" w14:textId="77777777" w:rsidR="00D82062" w:rsidRPr="00945782" w:rsidRDefault="00D82062" w:rsidP="00C96096">
      <w:pPr>
        <w:rPr>
          <w:lang w:val="ru-RU"/>
        </w:rPr>
      </w:pPr>
      <w:r w:rsidRPr="00945782">
        <w:rPr>
          <w:lang w:val="ru-RU"/>
        </w:rPr>
        <w:lastRenderedPageBreak/>
        <w:t>В тот же период МСЭ предоставлял помощь в области связи в чрезвычайных ситуациях в условиях крупных стихийных бедствий, в частности предоставив оборудование и оказав поддержку в рамках реагирования на ураган "Джулия" и циклон "Фредди".</w:t>
      </w:r>
    </w:p>
    <w:p w14:paraId="607B757C" w14:textId="77777777" w:rsidR="00D82062" w:rsidRPr="00945782" w:rsidRDefault="00D82062" w:rsidP="00C96096">
      <w:pPr>
        <w:pStyle w:val="Headingb"/>
        <w:rPr>
          <w:lang w:val="ru-RU"/>
        </w:rPr>
      </w:pPr>
      <w:r w:rsidRPr="00945782">
        <w:rPr>
          <w:lang w:val="ru-RU"/>
        </w:rPr>
        <w:t>Глобальные платформы и партнерства</w:t>
      </w:r>
    </w:p>
    <w:p w14:paraId="7B56F055" w14:textId="77777777" w:rsidR="00D82062" w:rsidRPr="00945782" w:rsidRDefault="00D82062" w:rsidP="00C96096">
      <w:pPr>
        <w:rPr>
          <w:lang w:val="ru-RU"/>
        </w:rPr>
      </w:pPr>
      <w:r w:rsidRPr="00945782">
        <w:rPr>
          <w:lang w:val="ru-RU"/>
        </w:rPr>
        <w:t>МСЭ обеспечивал расширение взаимодействия с заинтересованными сторонами и государственно-частных партнерств посредством многосторонних платформ и инициатив, ориентированных на конкретные вопросы, вызовы и возможности в целях формирования более благоприятного глобального цифрового будущего.</w:t>
      </w:r>
    </w:p>
    <w:p w14:paraId="514EE85C" w14:textId="77777777" w:rsidR="00D82062" w:rsidRPr="00945782" w:rsidRDefault="00D82062" w:rsidP="00C96096">
      <w:pPr>
        <w:rPr>
          <w:lang w:val="ru-RU"/>
        </w:rPr>
      </w:pPr>
      <w:hyperlink r:id="rId29" w:history="1">
        <w:r w:rsidRPr="00945782">
          <w:rPr>
            <w:rStyle w:val="Hyperlink"/>
            <w:rFonts w:asciiTheme="minorHAnsi" w:hAnsiTheme="minorHAnsi" w:cstheme="minorHAnsi"/>
            <w:szCs w:val="22"/>
            <w:lang w:val="ru-RU"/>
          </w:rPr>
          <w:t>Всемирная встреча на высшем уровне по вопросам информационного общества (ВВУИО)</w:t>
        </w:r>
      </w:hyperlink>
      <w:r w:rsidRPr="00945782">
        <w:rPr>
          <w:lang w:val="ru-RU"/>
        </w:rPr>
        <w:t xml:space="preserve"> остается ключевым механизмом цифрового сотрудничества под эгидой ООН, поддержку деятельности которого обеспечивают ежегодный Форум ВВУИО и сопутствующие мероприятия, организуемые МСЭ. Аналитическая база данных ВВУИО содержит более 21 000 инициатив, направленных на ответственное цифровое развитие в интересах всех, и насчитывающих свыше 2,2 млн. заинтересованных сторон.</w:t>
      </w:r>
    </w:p>
    <w:p w14:paraId="5B34F872" w14:textId="77777777" w:rsidR="00D82062" w:rsidRPr="00945782" w:rsidRDefault="00D82062" w:rsidP="00C96096">
      <w:pPr>
        <w:rPr>
          <w:lang w:val="ru-RU"/>
        </w:rPr>
      </w:pPr>
      <w:r w:rsidRPr="00945782">
        <w:rPr>
          <w:lang w:val="ru-RU"/>
        </w:rPr>
        <w:t xml:space="preserve">В период 2022–2025 годов продолжала расширяться инициатива </w:t>
      </w:r>
      <w:hyperlink r:id="rId30" w:history="1">
        <w:r w:rsidRPr="00945782">
          <w:rPr>
            <w:rStyle w:val="Hyperlink"/>
            <w:rFonts w:asciiTheme="minorHAnsi" w:hAnsiTheme="minorHAnsi" w:cstheme="minorHAnsi"/>
            <w:szCs w:val="22"/>
            <w:lang w:val="ru-RU"/>
          </w:rPr>
          <w:t>"ИИ во благо"</w:t>
        </w:r>
      </w:hyperlink>
      <w:r w:rsidRPr="00945782">
        <w:rPr>
          <w:lang w:val="ru-RU"/>
        </w:rPr>
        <w:t>: число членов созданного в рамках нее онлайн-сообщества на базе ИИ "Нейронная сеть" превысило 35 000 человек, а общее число участников онлайн-мероприятий составило более 137 000. Проводимые МСЭ флагманские глобальные саммиты "ИИ во благо" закрепили свою роль в качестве основной платформы в рамках системы ООН для демонстрации передовых решений в области ИИ: число очных участников мероприятия 2025 года, проводившегося параллельно с мероприятием высокого уровня ВВУИО+20 и проходившего на крупнейшей конференционной площадке Женевы, составило 11 000 человек.</w:t>
      </w:r>
    </w:p>
    <w:p w14:paraId="1A2C2441" w14:textId="77777777" w:rsidR="00D82062" w:rsidRPr="00945782" w:rsidRDefault="00D82062" w:rsidP="00C96096">
      <w:pPr>
        <w:rPr>
          <w:lang w:val="ru-RU"/>
        </w:rPr>
      </w:pPr>
      <w:r w:rsidRPr="00945782">
        <w:rPr>
          <w:lang w:val="ru-RU"/>
        </w:rPr>
        <w:t>Используя этот импульс, МСЭ инициировал новые направления в рамках "ИИ во благо", такие как Коалиция по навыкам в области ИИ и региональные акселераторы воздействия "ИИ во благо". В программах глобальных саммитов 2024 и 2025 годов были предусмотрены специальные Дни управления ИИ, в рамках которых на высоком уровне обсуждался переход от принципов к практике в условиях стремления различных рынков и обществ масштабировать внедрение этичного и ответственного ИИ.</w:t>
      </w:r>
    </w:p>
    <w:p w14:paraId="2A77883D" w14:textId="017C94D3" w:rsidR="00D82062" w:rsidRPr="00945782" w:rsidRDefault="00D82062" w:rsidP="00C96096">
      <w:pPr>
        <w:rPr>
          <w:lang w:val="ru-RU"/>
        </w:rPr>
      </w:pPr>
      <w:r w:rsidRPr="00945782">
        <w:rPr>
          <w:lang w:val="ru-RU"/>
        </w:rPr>
        <w:t xml:space="preserve">В ходе ВАСЭ-24 в Нью-Дели партнеры по </w:t>
      </w:r>
      <w:hyperlink r:id="rId31" w:history="1">
        <w:r w:rsidRPr="00945782">
          <w:rPr>
            <w:rStyle w:val="Hyperlink"/>
            <w:rFonts w:asciiTheme="minorHAnsi" w:hAnsiTheme="minorHAnsi" w:cstheme="minorHAnsi"/>
            <w:szCs w:val="22"/>
            <w:lang w:val="ru-RU"/>
          </w:rPr>
          <w:t>Всемирному сотрудничеству по стандартам</w:t>
        </w:r>
      </w:hyperlink>
      <w:r w:rsidRPr="00945782">
        <w:rPr>
          <w:lang w:val="ru-RU"/>
        </w:rPr>
        <w:t xml:space="preserve"> – МСЭ совместно с Международной организацией по стандартизации (ИСО) и Международной электротехнической комиссией (МЭК) – анонсировали новый Международный саммит по стандартам в области ИИ, на саммите "ИИ во благо" в 2025 году они представили всеобъемлющую базу данных по обмену стандартами в области ИИ, а в декабре 2025</w:t>
      </w:r>
      <w:r w:rsidR="00C96096" w:rsidRPr="00945782">
        <w:rPr>
          <w:lang w:val="ru-RU"/>
        </w:rPr>
        <w:t> </w:t>
      </w:r>
      <w:r w:rsidRPr="00945782">
        <w:rPr>
          <w:lang w:val="ru-RU"/>
        </w:rPr>
        <w:t>года подтвердили свою твердую приверженность сотрудничеству в области ответственного ИИ посредством совместного Сеульского заявления, сделанного в ходе второго Международного саммита по стандартам ИИ.</w:t>
      </w:r>
    </w:p>
    <w:p w14:paraId="46B24F98" w14:textId="478D5381" w:rsidR="00D82062" w:rsidRPr="00945782" w:rsidRDefault="00D82062" w:rsidP="00C96096">
      <w:pPr>
        <w:rPr>
          <w:lang w:val="ru-RU"/>
        </w:rPr>
      </w:pPr>
      <w:r w:rsidRPr="00945782">
        <w:rPr>
          <w:lang w:val="ru-RU"/>
        </w:rPr>
        <w:t xml:space="preserve">Продолжилась мобилизация ресурсов и усилий в рамках флагманских партнерств. По линии инициативы </w:t>
      </w:r>
      <w:hyperlink r:id="rId32" w:history="1">
        <w:r w:rsidRPr="00945782">
          <w:rPr>
            <w:rStyle w:val="Hyperlink"/>
            <w:rFonts w:asciiTheme="minorHAnsi" w:hAnsiTheme="minorHAnsi" w:cstheme="minorHAnsi"/>
            <w:szCs w:val="22"/>
            <w:lang w:val="ru-RU"/>
          </w:rPr>
          <w:t>"Партнерства для подключения"</w:t>
        </w:r>
      </w:hyperlink>
      <w:r w:rsidRPr="00945782">
        <w:rPr>
          <w:lang w:val="ru-RU"/>
        </w:rPr>
        <w:t xml:space="preserve"> было получено более 1060 обязательств на сумму свыше 80 млрд. долларов США в рамках цели в 100 млрд. долларов США в 2026 году. В</w:t>
      </w:r>
      <w:r w:rsidR="00C96096" w:rsidRPr="00945782">
        <w:rPr>
          <w:lang w:val="ru-RU"/>
        </w:rPr>
        <w:t> </w:t>
      </w:r>
      <w:r w:rsidRPr="00945782">
        <w:rPr>
          <w:lang w:val="ru-RU"/>
        </w:rPr>
        <w:t xml:space="preserve">рамках инициативы </w:t>
      </w:r>
      <w:hyperlink r:id="rId33" w:history="1">
        <w:r w:rsidRPr="00945782">
          <w:rPr>
            <w:rStyle w:val="Hyperlink"/>
            <w:rFonts w:asciiTheme="minorHAnsi" w:hAnsiTheme="minorHAnsi" w:cstheme="minorHAnsi"/>
            <w:szCs w:val="22"/>
            <w:lang w:val="ru-RU"/>
          </w:rPr>
          <w:t>Giga</w:t>
        </w:r>
      </w:hyperlink>
      <w:r w:rsidRPr="00945782">
        <w:rPr>
          <w:lang w:val="ru-RU"/>
        </w:rPr>
        <w:t xml:space="preserve"> более 2 млн. школ в более чем 140 странах были нанесены на карту в рамках усилий по обеспечению универсальной возможности установления соединений для школ. </w:t>
      </w:r>
      <w:hyperlink r:id="rId34" w:history="1">
        <w:r w:rsidRPr="00945782">
          <w:rPr>
            <w:rStyle w:val="Hyperlink"/>
            <w:rFonts w:asciiTheme="minorHAnsi" w:hAnsiTheme="minorHAnsi" w:cstheme="minorHAnsi"/>
            <w:szCs w:val="22"/>
            <w:lang w:val="ru-RU"/>
          </w:rPr>
          <w:t>Комиссия по широкополосной связи</w:t>
        </w:r>
      </w:hyperlink>
      <w:r w:rsidRPr="00945782">
        <w:rPr>
          <w:lang w:val="ru-RU"/>
        </w:rPr>
        <w:t xml:space="preserve"> расширила свою аудиторию, а </w:t>
      </w:r>
      <w:hyperlink r:id="rId35" w:history="1">
        <w:r w:rsidRPr="00945782">
          <w:rPr>
            <w:rStyle w:val="Hyperlink"/>
            <w:rFonts w:asciiTheme="minorHAnsi" w:hAnsiTheme="minorHAnsi" w:cstheme="minorHAnsi"/>
            <w:szCs w:val="22"/>
            <w:lang w:val="ru-RU"/>
          </w:rPr>
          <w:t>Глобальное партнерство "РАВНЫЕ</w:t>
        </w:r>
        <w:r w:rsidRPr="00945782">
          <w:rPr>
            <w:rStyle w:val="Hyperlink"/>
            <w:lang w:val="ru-RU"/>
          </w:rPr>
          <w:t>"</w:t>
        </w:r>
      </w:hyperlink>
      <w:r w:rsidRPr="00945782">
        <w:rPr>
          <w:lang w:val="ru-RU"/>
        </w:rPr>
        <w:t xml:space="preserve"> способствовало продвижению равенства для женщин посредством инициатив в области цифровых навыков и расширения прав и возможностей.</w:t>
      </w:r>
    </w:p>
    <w:p w14:paraId="41A46657" w14:textId="77777777" w:rsidR="00D82062" w:rsidRPr="00945782" w:rsidRDefault="00D82062" w:rsidP="00C96096">
      <w:pPr>
        <w:rPr>
          <w:lang w:val="ru-RU"/>
        </w:rPr>
      </w:pPr>
      <w:r w:rsidRPr="00945782">
        <w:rPr>
          <w:lang w:val="ru-RU"/>
        </w:rPr>
        <w:t xml:space="preserve">МСЭ мобилизовал партнеров для трека </w:t>
      </w:r>
      <w:hyperlink r:id="rId36" w:history="1">
        <w:r w:rsidRPr="00945782">
          <w:rPr>
            <w:rStyle w:val="Hyperlink"/>
            <w:rFonts w:asciiTheme="minorHAnsi" w:hAnsiTheme="minorHAnsi" w:cstheme="minorHAnsi"/>
            <w:szCs w:val="22"/>
            <w:lang w:val="ru-RU"/>
          </w:rPr>
          <w:t>"Зеленая цифровая кампания"</w:t>
        </w:r>
      </w:hyperlink>
      <w:r w:rsidRPr="00945782">
        <w:rPr>
          <w:lang w:val="ru-RU"/>
        </w:rPr>
        <w:t xml:space="preserve"> (см. раздел </w:t>
      </w:r>
      <w:hyperlink w:anchor="_5.5_Партнерства_и" w:history="1">
        <w:r w:rsidRPr="00945782">
          <w:rPr>
            <w:rStyle w:val="Hyperlink"/>
            <w:rFonts w:asciiTheme="minorHAnsi" w:hAnsiTheme="minorHAnsi" w:cstheme="minorHAnsi"/>
            <w:szCs w:val="22"/>
            <w:lang w:val="ru-RU"/>
          </w:rPr>
          <w:t>5.5</w:t>
        </w:r>
      </w:hyperlink>
      <w:r w:rsidRPr="00945782">
        <w:rPr>
          <w:lang w:val="ru-RU"/>
        </w:rPr>
        <w:t xml:space="preserve">) в рамках всех последовательных конференций ООН по изменению климата, начиная с КС-28, состоявшейся в Дубае в 2023 году. Центр действий "Зеленой цифровой кампании", начавший свою работу на КС-30 в Бразилии, призван поддерживать углубленный анализ воздействия на </w:t>
      </w:r>
      <w:r w:rsidRPr="00945782">
        <w:rPr>
          <w:lang w:val="ru-RU"/>
        </w:rPr>
        <w:lastRenderedPageBreak/>
        <w:t>окружающую среду и оказывать развивающимся странам помощь в использовании таких технологий, как ИИ, для борьбы с изменением климата. Другие аналитические исследования, проведенные МСЭ и партнерами, позволили выявить тенденции в выбросах парниковых газов крупнейшими цифровыми компаниями, укрепив доказательную базу для эффективной декарбонизации отрасли.</w:t>
      </w:r>
    </w:p>
    <w:p w14:paraId="5AF6F590" w14:textId="77777777" w:rsidR="00D82062" w:rsidRPr="00945782" w:rsidRDefault="00D82062" w:rsidP="00C96096">
      <w:pPr>
        <w:rPr>
          <w:lang w:val="ru-RU"/>
        </w:rPr>
      </w:pPr>
      <w:r w:rsidRPr="00945782">
        <w:rPr>
          <w:lang w:val="ru-RU"/>
        </w:rPr>
        <w:t xml:space="preserve">В 2024 году совместно с Международным комитетом по защите кабелей был создан Международный консультативный орган по устойчивости подводных кабелей, призванный обеспечивать обмен примерами передовой практики и их распространение среди правительств и представителей отрасли для повышения устойчивости кабелей во всем мире. На </w:t>
      </w:r>
      <w:hyperlink r:id="rId37" w:history="1">
        <w:r w:rsidRPr="00945782">
          <w:rPr>
            <w:rStyle w:val="Hyperlink"/>
            <w:rFonts w:asciiTheme="minorHAnsi" w:hAnsiTheme="minorHAnsi" w:cstheme="minorHAnsi"/>
            <w:szCs w:val="22"/>
            <w:lang w:val="ru-RU"/>
          </w:rPr>
          <w:t>саммите 2025 года в Абудже</w:t>
        </w:r>
      </w:hyperlink>
      <w:r w:rsidRPr="00945782">
        <w:rPr>
          <w:lang w:val="ru-RU"/>
        </w:rPr>
        <w:t xml:space="preserve"> были созданы три рабочие группы для решения вопросов в области управления рисками, обеспечения возможности установления соединений и разнообразия маршрутов, а также своевременного развертывания и ремонта кабелей.</w:t>
      </w:r>
    </w:p>
    <w:p w14:paraId="4F378CF9" w14:textId="0DBCEB05" w:rsidR="00D82062" w:rsidRPr="00945782" w:rsidRDefault="00D82062" w:rsidP="00C96096">
      <w:pPr>
        <w:rPr>
          <w:lang w:val="ru-RU"/>
        </w:rPr>
      </w:pPr>
      <w:r w:rsidRPr="00945782">
        <w:rPr>
          <w:lang w:val="ru-RU"/>
        </w:rPr>
        <w:t xml:space="preserve">На втором саммите по устойчивости подводных кабелей, состоявшемся 2–3 февраля </w:t>
      </w:r>
      <w:hyperlink r:id="rId38" w:history="1">
        <w:r w:rsidRPr="00945782">
          <w:rPr>
            <w:rStyle w:val="Hyperlink"/>
            <w:rFonts w:asciiTheme="minorHAnsi" w:hAnsiTheme="minorHAnsi" w:cstheme="minorHAnsi"/>
            <w:szCs w:val="22"/>
            <w:lang w:val="ru-RU"/>
          </w:rPr>
          <w:t>2026</w:t>
        </w:r>
        <w:r w:rsidR="00C96096"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года в Порту</w:t>
        </w:r>
      </w:hyperlink>
      <w:r w:rsidRPr="00945782">
        <w:rPr>
          <w:lang w:val="ru-RU"/>
        </w:rPr>
        <w:t>, Португалия, Консультативный орган утвердил рекомендации рабочих групп и поддержал декларацию Порту, тем самым усилив международные усилия по укреплению инфраструктуры подводных кабелей.</w:t>
      </w:r>
    </w:p>
    <w:p w14:paraId="2128095F" w14:textId="77777777" w:rsidR="00D82062" w:rsidRPr="00945782" w:rsidRDefault="00D82062" w:rsidP="00C96096">
      <w:pPr>
        <w:rPr>
          <w:lang w:val="ru-RU"/>
        </w:rPr>
      </w:pPr>
      <w:r w:rsidRPr="00945782">
        <w:rPr>
          <w:lang w:val="ru-RU"/>
        </w:rPr>
        <w:t>Согласно оценкам Инициативы по инвестициям в цифровую инфраструктуру (DIII), реализуемой МСЭ совместно с многосторонними банками развития (МБР), обеспечение универсальной возможности установления соединений потребует инвестиций в объеме 1,6 трлн. долларов США к 2030 году, причем эта сумма охватывает только физическую инфраструктуру. В Плане действий "Соединяя человечество" (2025 г.), подготовленном в партнерстве с Королевством Саудовская Аравия, общая стоимость оценивается в 2,6–2,8 трлн. долларов США с учетом спроса, навыков, приемлемости в ценовом отношении и политики. Инициатива "Катализатор DII", реализуемая МСЭ совместно с ЮНКТАД и МБР, мобилизует партнеров для ускорения перспективных в финансовом плане инвестиций в цифровую инфраструктуру на глобальном уровне.</w:t>
      </w:r>
    </w:p>
    <w:p w14:paraId="17FC3DFB" w14:textId="77777777" w:rsidR="00D82062" w:rsidRPr="00945782" w:rsidRDefault="00D82062" w:rsidP="00C96096">
      <w:pPr>
        <w:pStyle w:val="Headingb"/>
        <w:rPr>
          <w:lang w:val="ru-RU"/>
        </w:rPr>
      </w:pPr>
      <w:r w:rsidRPr="00945782">
        <w:rPr>
          <w:lang w:val="ru-RU"/>
        </w:rPr>
        <w:t>Подготовка к будущему</w:t>
      </w:r>
    </w:p>
    <w:p w14:paraId="42E29010" w14:textId="77777777" w:rsidR="00D82062" w:rsidRPr="00945782" w:rsidRDefault="00D82062" w:rsidP="00C96096">
      <w:pPr>
        <w:rPr>
          <w:lang w:val="ru-RU"/>
        </w:rPr>
      </w:pPr>
      <w:r w:rsidRPr="00945782">
        <w:rPr>
          <w:lang w:val="ru-RU"/>
        </w:rPr>
        <w:t xml:space="preserve">С 2023 года в МСЭ осуществляется комплексная внутренняя трансформация, направленная на укрепление институционального управления, подотчетности и операционной эффективности. </w:t>
      </w:r>
    </w:p>
    <w:p w14:paraId="08BD9367" w14:textId="77777777" w:rsidR="00D82062" w:rsidRPr="00945782" w:rsidRDefault="00D82062" w:rsidP="00C96096">
      <w:pPr>
        <w:rPr>
          <w:lang w:val="ru-RU"/>
        </w:rPr>
      </w:pPr>
      <w:r w:rsidRPr="00945782">
        <w:rPr>
          <w:lang w:val="ru-RU"/>
        </w:rPr>
        <w:t>Финансовое оздоровление включало преобразование устойчивых бюджетных дефицитов в стабильные профициты, устранение недостатков в управлении финансовой деятельностью и восстановление надлежащего хода внешнего аудита, а также переработку проекта нового здания штаб-квартиры в целях обеспечения его соответствия бюджету при одновременном учете будущих потребностей МСЭ.</w:t>
      </w:r>
    </w:p>
    <w:p w14:paraId="6BCC84DF" w14:textId="77777777" w:rsidR="00D82062" w:rsidRPr="00945782" w:rsidRDefault="00D82062" w:rsidP="00C96096">
      <w:pPr>
        <w:rPr>
          <w:lang w:val="ru-RU"/>
        </w:rPr>
      </w:pPr>
      <w:r w:rsidRPr="00945782">
        <w:rPr>
          <w:lang w:val="ru-RU"/>
        </w:rPr>
        <w:t>К ключевым достижениям относятся также создание Подразделения по надзору и должности омбудсмена, пересмотр процессов оперативного планирования, обеспечение полного соответствия международным стандартам бухгалтерского учета в государственном секторе, а также прогресс в реформах казначейской деятельности и управления людскими ресурсами.</w:t>
      </w:r>
    </w:p>
    <w:p w14:paraId="20125088" w14:textId="77777777" w:rsidR="00D82062" w:rsidRPr="00945782" w:rsidRDefault="00D82062" w:rsidP="00C96096">
      <w:pPr>
        <w:rPr>
          <w:lang w:val="ru-RU"/>
        </w:rPr>
      </w:pPr>
      <w:r w:rsidRPr="00945782">
        <w:rPr>
          <w:lang w:val="ru-RU"/>
        </w:rPr>
        <w:t>Модернизация управления людскими ресурсами была сосредоточена на обучении, управлении эффективностью деятельности, развитии лидерства, гендерном паритете, психическом здоровье и гибком графике работы. В МСЭ были также утверждены общеорганизационные руководящие принципы по ответственному использованию генеративного ИИ, и был назначен директор по информационным технологиям для ускорения цифровой модернизации.</w:t>
      </w:r>
    </w:p>
    <w:p w14:paraId="79A82C12" w14:textId="77777777" w:rsidR="00D82062" w:rsidRPr="00945782" w:rsidRDefault="00D82062" w:rsidP="00C96096">
      <w:pPr>
        <w:rPr>
          <w:lang w:val="ru-RU"/>
        </w:rPr>
      </w:pPr>
      <w:r w:rsidRPr="00945782">
        <w:rPr>
          <w:lang w:val="ru-RU"/>
        </w:rPr>
        <w:t>В новой, принятой в 2024 году стратегии мобилизации ресурсов основное внимание было уделено укреплению взаимодействия с членами, совершенствованию продуктов и услуг и увеличению объема добровольных взносов.</w:t>
      </w:r>
    </w:p>
    <w:p w14:paraId="43AFB75C" w14:textId="77777777" w:rsidR="00D82062" w:rsidRPr="00945782" w:rsidRDefault="00D82062" w:rsidP="00C96096">
      <w:pPr>
        <w:rPr>
          <w:lang w:val="ru-RU"/>
        </w:rPr>
      </w:pPr>
      <w:r w:rsidRPr="00945782">
        <w:rPr>
          <w:lang w:val="ru-RU"/>
        </w:rPr>
        <w:lastRenderedPageBreak/>
        <w:t>К особым приоритетам относились: модернизация процедур регистрации спутниковых сетей, расширение линейки цифровых продуктов, совершенствование моделей получения доходов от мероприятий и разработка новой стратегии партнерств для обеспечения как можно большего воздействия деятельности МСЭ при сохранении институциональной целостности.</w:t>
      </w:r>
    </w:p>
    <w:p w14:paraId="471A11F9" w14:textId="77777777" w:rsidR="00D82062" w:rsidRPr="00945782" w:rsidRDefault="00D82062" w:rsidP="00C96096">
      <w:pPr>
        <w:rPr>
          <w:lang w:val="ru-RU"/>
        </w:rPr>
      </w:pPr>
      <w:r w:rsidRPr="00945782">
        <w:rPr>
          <w:lang w:val="ru-RU"/>
        </w:rPr>
        <w:t>К середине срока реализации действующего Стратегического плана организация достигла более устойчивых позиций для реагирования на текущие и возникающие глобальные вызовы. В дальнейшем МСЭ продолжает развиваться одновременно с технологиями и оказывать поддержку странам и сообществам в качестве международной платформы для технического сотрудничества, обеспечивая реальное и долгосрочное воздействие для всех.</w:t>
      </w:r>
    </w:p>
    <w:p w14:paraId="4E305738" w14:textId="77777777" w:rsidR="00D82062" w:rsidRPr="00945782" w:rsidRDefault="00D82062" w:rsidP="00C96096">
      <w:pPr>
        <w:rPr>
          <w:lang w:val="ru-RU"/>
        </w:rPr>
      </w:pPr>
      <w:r w:rsidRPr="00945782">
        <w:rPr>
          <w:lang w:val="ru-RU"/>
        </w:rPr>
        <w:br w:type="page"/>
      </w:r>
    </w:p>
    <w:p w14:paraId="2F8EF069" w14:textId="1579925B" w:rsidR="00D82062" w:rsidRPr="00945782" w:rsidRDefault="00D82062" w:rsidP="00D82062">
      <w:pPr>
        <w:pStyle w:val="Heading1"/>
        <w:rPr>
          <w:lang w:val="ru-RU"/>
        </w:rPr>
      </w:pPr>
      <w:bookmarkStart w:id="9" w:name="_Toc227062839"/>
      <w:bookmarkStart w:id="10" w:name="_Toc227850227"/>
      <w:r w:rsidRPr="00945782">
        <w:rPr>
          <w:lang w:val="ru-RU"/>
        </w:rPr>
        <w:lastRenderedPageBreak/>
        <w:t>ii</w:t>
      </w:r>
      <w:r w:rsidR="00C96096" w:rsidRPr="00945782">
        <w:rPr>
          <w:lang w:val="ru-RU"/>
        </w:rPr>
        <w:t>)</w:t>
      </w:r>
      <w:r w:rsidR="00C96096" w:rsidRPr="00945782">
        <w:rPr>
          <w:lang w:val="ru-RU"/>
        </w:rPr>
        <w:tab/>
      </w:r>
      <w:r w:rsidRPr="00945782">
        <w:rPr>
          <w:lang w:val="ru-RU"/>
        </w:rPr>
        <w:t>Основные идеи и выводы за период 2022–2025 годов</w:t>
      </w:r>
      <w:bookmarkEnd w:id="9"/>
      <w:bookmarkEnd w:id="10"/>
    </w:p>
    <w:p w14:paraId="19A9C9A8" w14:textId="77777777" w:rsidR="00D82062" w:rsidRPr="00945782" w:rsidRDefault="00D82062" w:rsidP="00C96096">
      <w:pPr>
        <w:pStyle w:val="Headingb"/>
        <w:rPr>
          <w:lang w:val="ru-RU"/>
        </w:rPr>
      </w:pPr>
      <w:r w:rsidRPr="00945782">
        <w:rPr>
          <w:lang w:val="ru-RU"/>
        </w:rPr>
        <w:t>Ключевые итоги и основные выводы</w:t>
      </w:r>
    </w:p>
    <w:p w14:paraId="21A9FFE2" w14:textId="77777777" w:rsidR="00D82062" w:rsidRPr="00945782" w:rsidRDefault="00D82062" w:rsidP="00C96096">
      <w:pPr>
        <w:pStyle w:val="Headingb"/>
        <w:rPr>
          <w:lang w:val="ru-RU"/>
        </w:rPr>
      </w:pPr>
      <w:r w:rsidRPr="00945782">
        <w:rPr>
          <w:lang w:val="ru-RU"/>
        </w:rPr>
        <w:t>Возможность установления соединений, приемлемость в ценовом отношении и цифровые тенденции</w:t>
      </w:r>
    </w:p>
    <w:p w14:paraId="11CA5061" w14:textId="79654D3E" w:rsidR="00D82062" w:rsidRPr="00945782" w:rsidRDefault="00D82062" w:rsidP="00C96096">
      <w:pPr>
        <w:pStyle w:val="enumlev1"/>
        <w:rPr>
          <w:lang w:val="ru-RU"/>
        </w:rPr>
      </w:pPr>
      <w:r w:rsidRPr="00945782">
        <w:rPr>
          <w:lang w:val="ru-RU"/>
        </w:rPr>
        <w:t>•</w:t>
      </w:r>
      <w:r w:rsidRPr="00945782">
        <w:rPr>
          <w:lang w:val="ru-RU"/>
        </w:rPr>
        <w:tab/>
        <w:t xml:space="preserve">Доля пользователей интернета в мире выросла с </w:t>
      </w:r>
      <w:r w:rsidRPr="00945782">
        <w:rPr>
          <w:b/>
          <w:bCs/>
          <w:lang w:val="ru-RU"/>
        </w:rPr>
        <w:t>67% в 2022 году</w:t>
      </w:r>
      <w:r w:rsidRPr="00945782">
        <w:rPr>
          <w:lang w:val="ru-RU"/>
        </w:rPr>
        <w:t xml:space="preserve"> </w:t>
      </w:r>
      <w:r w:rsidRPr="00945782">
        <w:rPr>
          <w:b/>
          <w:bCs/>
          <w:lang w:val="ru-RU"/>
        </w:rPr>
        <w:t>до</w:t>
      </w:r>
      <w:r w:rsidRPr="00945782">
        <w:rPr>
          <w:lang w:val="ru-RU"/>
        </w:rPr>
        <w:t xml:space="preserve"> </w:t>
      </w:r>
      <w:r w:rsidRPr="00945782">
        <w:rPr>
          <w:b/>
          <w:bCs/>
          <w:lang w:val="ru-RU"/>
        </w:rPr>
        <w:t>74% в 2025 году</w:t>
      </w:r>
      <w:r w:rsidRPr="00945782">
        <w:rPr>
          <w:lang w:val="ru-RU"/>
        </w:rPr>
        <w:t xml:space="preserve"> (с</w:t>
      </w:r>
      <w:r w:rsidR="00C96096" w:rsidRPr="00945782">
        <w:rPr>
          <w:lang w:val="ru-RU"/>
        </w:rPr>
        <w:t> </w:t>
      </w:r>
      <w:r w:rsidRPr="00945782">
        <w:rPr>
          <w:lang w:val="ru-RU"/>
        </w:rPr>
        <w:t xml:space="preserve">5,4 до 6 млрд. пользователей), при этом </w:t>
      </w:r>
      <w:r w:rsidRPr="00945782">
        <w:rPr>
          <w:b/>
          <w:bCs/>
          <w:lang w:val="ru-RU"/>
        </w:rPr>
        <w:t>2,2 млрд. человек</w:t>
      </w:r>
      <w:r w:rsidRPr="00945782">
        <w:rPr>
          <w:lang w:val="ru-RU"/>
        </w:rPr>
        <w:t xml:space="preserve"> по-прежнему </w:t>
      </w:r>
      <w:r w:rsidRPr="00945782">
        <w:rPr>
          <w:b/>
          <w:bCs/>
          <w:lang w:val="ru-RU"/>
        </w:rPr>
        <w:t>не имеют доступа к интернету</w:t>
      </w:r>
      <w:r w:rsidRPr="00945782">
        <w:rPr>
          <w:lang w:val="ru-RU"/>
        </w:rPr>
        <w:t>.</w:t>
      </w:r>
    </w:p>
    <w:p w14:paraId="197A5376" w14:textId="77777777" w:rsidR="00D82062" w:rsidRPr="00945782" w:rsidRDefault="00D82062" w:rsidP="00C96096">
      <w:pPr>
        <w:pStyle w:val="enumlev1"/>
        <w:rPr>
          <w:lang w:val="ru-RU"/>
        </w:rPr>
      </w:pPr>
      <w:r w:rsidRPr="00945782">
        <w:rPr>
          <w:lang w:val="ru-RU"/>
        </w:rPr>
        <w:t>•</w:t>
      </w:r>
      <w:r w:rsidRPr="00945782">
        <w:rPr>
          <w:lang w:val="ru-RU"/>
        </w:rPr>
        <w:tab/>
        <w:t xml:space="preserve">Сохраняется разрыв в возможностях установления соединений: </w:t>
      </w:r>
      <w:r w:rsidRPr="00945782">
        <w:rPr>
          <w:b/>
          <w:bCs/>
          <w:lang w:val="ru-RU"/>
        </w:rPr>
        <w:t>94%</w:t>
      </w:r>
      <w:r w:rsidRPr="00945782">
        <w:rPr>
          <w:lang w:val="ru-RU"/>
        </w:rPr>
        <w:t xml:space="preserve"> населения пользуются интернетом в странах с высоким уровнем доходов по сравнению с </w:t>
      </w:r>
      <w:r w:rsidRPr="00945782">
        <w:rPr>
          <w:b/>
          <w:bCs/>
          <w:lang w:val="ru-RU"/>
        </w:rPr>
        <w:t>23%</w:t>
      </w:r>
      <w:r w:rsidRPr="00945782">
        <w:rPr>
          <w:lang w:val="ru-RU"/>
        </w:rPr>
        <w:t xml:space="preserve"> в странах с низким уровнем доходов.</w:t>
      </w:r>
    </w:p>
    <w:p w14:paraId="04E08E84" w14:textId="77777777" w:rsidR="00D82062" w:rsidRPr="00945782" w:rsidRDefault="00D82062" w:rsidP="00C96096">
      <w:pPr>
        <w:pStyle w:val="enumlev1"/>
        <w:rPr>
          <w:lang w:val="ru-RU"/>
        </w:rPr>
      </w:pPr>
      <w:r w:rsidRPr="00945782">
        <w:rPr>
          <w:lang w:val="ru-RU"/>
        </w:rPr>
        <w:t>•</w:t>
      </w:r>
      <w:r w:rsidRPr="00945782">
        <w:rPr>
          <w:lang w:val="ru-RU"/>
        </w:rPr>
        <w:tab/>
        <w:t xml:space="preserve">Медианная стоимость подвижной широкополосной связи снизилась с </w:t>
      </w:r>
      <w:r w:rsidRPr="00945782">
        <w:rPr>
          <w:b/>
          <w:bCs/>
          <w:lang w:val="ru-RU"/>
        </w:rPr>
        <w:t>2,0% до 1,4% валового национального дохода (ВНД) на душу населения</w:t>
      </w:r>
      <w:r w:rsidRPr="00945782">
        <w:rPr>
          <w:lang w:val="ru-RU"/>
        </w:rPr>
        <w:t xml:space="preserve">, а фиксированной широкополосной связи − с </w:t>
      </w:r>
      <w:r w:rsidRPr="00945782">
        <w:rPr>
          <w:b/>
          <w:bCs/>
          <w:lang w:val="ru-RU"/>
        </w:rPr>
        <w:t>3,1% до 2,5%</w:t>
      </w:r>
      <w:r w:rsidRPr="00945782">
        <w:rPr>
          <w:lang w:val="ru-RU"/>
        </w:rPr>
        <w:t xml:space="preserve"> (2022–2025 гг.).</w:t>
      </w:r>
    </w:p>
    <w:p w14:paraId="35C81DB8" w14:textId="638695E9" w:rsidR="00D82062" w:rsidRPr="00945782" w:rsidRDefault="00D82062" w:rsidP="00C96096">
      <w:pPr>
        <w:pStyle w:val="enumlev1"/>
        <w:rPr>
          <w:lang w:val="ru-RU"/>
        </w:rPr>
      </w:pPr>
      <w:r w:rsidRPr="00945782">
        <w:rPr>
          <w:lang w:val="ru-RU"/>
        </w:rPr>
        <w:t>•</w:t>
      </w:r>
      <w:r w:rsidRPr="00945782">
        <w:rPr>
          <w:lang w:val="ru-RU"/>
        </w:rPr>
        <w:tab/>
      </w:r>
      <w:r w:rsidRPr="00945782">
        <w:rPr>
          <w:b/>
          <w:bCs/>
          <w:lang w:val="ru-RU"/>
        </w:rPr>
        <w:t>Охват сетью 5G достиг 55%</w:t>
      </w:r>
      <w:r w:rsidRPr="00945782">
        <w:rPr>
          <w:lang w:val="ru-RU"/>
        </w:rPr>
        <w:t xml:space="preserve"> населения мира в 2025 году по сравнению с 39% в</w:t>
      </w:r>
      <w:r w:rsidR="00C96096" w:rsidRPr="00945782">
        <w:rPr>
          <w:lang w:val="ru-RU"/>
        </w:rPr>
        <w:t> </w:t>
      </w:r>
      <w:r w:rsidRPr="00945782">
        <w:rPr>
          <w:lang w:val="ru-RU"/>
        </w:rPr>
        <w:t>2022</w:t>
      </w:r>
      <w:r w:rsidR="00C96096" w:rsidRPr="00945782">
        <w:rPr>
          <w:lang w:val="ru-RU"/>
        </w:rPr>
        <w:t> </w:t>
      </w:r>
      <w:r w:rsidRPr="00945782">
        <w:rPr>
          <w:lang w:val="ru-RU"/>
        </w:rPr>
        <w:t xml:space="preserve">году, однако в странах с низким уровнем доходов этот показатель составляет лишь </w:t>
      </w:r>
      <w:r w:rsidRPr="00945782">
        <w:rPr>
          <w:b/>
          <w:bCs/>
          <w:lang w:val="ru-RU"/>
        </w:rPr>
        <w:t>4%</w:t>
      </w:r>
      <w:r w:rsidRPr="00945782">
        <w:rPr>
          <w:lang w:val="ru-RU"/>
        </w:rPr>
        <w:t>.</w:t>
      </w:r>
    </w:p>
    <w:p w14:paraId="5928E56C" w14:textId="77777777" w:rsidR="00D82062" w:rsidRPr="00945782" w:rsidRDefault="00D82062" w:rsidP="00C96096">
      <w:pPr>
        <w:pStyle w:val="enumlev1"/>
        <w:rPr>
          <w:lang w:val="ru-RU"/>
        </w:rPr>
      </w:pPr>
      <w:r w:rsidRPr="00945782">
        <w:rPr>
          <w:lang w:val="ru-RU"/>
        </w:rPr>
        <w:t>•</w:t>
      </w:r>
      <w:r w:rsidRPr="00945782">
        <w:rPr>
          <w:lang w:val="ru-RU"/>
        </w:rPr>
        <w:tab/>
        <w:t xml:space="preserve">В 2025 году интернетом пользовались </w:t>
      </w:r>
      <w:r w:rsidRPr="00945782">
        <w:rPr>
          <w:b/>
          <w:bCs/>
          <w:lang w:val="ru-RU"/>
        </w:rPr>
        <w:t>82%</w:t>
      </w:r>
      <w:r w:rsidRPr="00945782">
        <w:rPr>
          <w:lang w:val="ru-RU"/>
        </w:rPr>
        <w:t xml:space="preserve"> лиц в возрасте 15–24 лет по сравнению с </w:t>
      </w:r>
      <w:r w:rsidRPr="00945782">
        <w:rPr>
          <w:b/>
          <w:bCs/>
          <w:lang w:val="ru-RU"/>
        </w:rPr>
        <w:t>72%</w:t>
      </w:r>
      <w:r w:rsidRPr="00945782">
        <w:rPr>
          <w:lang w:val="ru-RU"/>
        </w:rPr>
        <w:t xml:space="preserve"> среди остальной части населения.</w:t>
      </w:r>
    </w:p>
    <w:p w14:paraId="10F64850" w14:textId="77777777" w:rsidR="00D82062" w:rsidRPr="00945782" w:rsidRDefault="00D82062" w:rsidP="00C96096">
      <w:pPr>
        <w:pStyle w:val="enumlev1"/>
        <w:rPr>
          <w:lang w:val="ru-RU"/>
        </w:rPr>
      </w:pPr>
      <w:r w:rsidRPr="00945782">
        <w:rPr>
          <w:lang w:val="ru-RU"/>
        </w:rPr>
        <w:t>•</w:t>
      </w:r>
      <w:r w:rsidRPr="00945782">
        <w:rPr>
          <w:lang w:val="ru-RU"/>
        </w:rPr>
        <w:tab/>
        <w:t xml:space="preserve">Разрыв между городскими и сельскими районами несколько сократился − с </w:t>
      </w:r>
      <w:r w:rsidRPr="00945782">
        <w:rPr>
          <w:b/>
          <w:bCs/>
          <w:lang w:val="ru-RU"/>
        </w:rPr>
        <w:t>1,6 до 1,5</w:t>
      </w:r>
      <w:r w:rsidRPr="00945782">
        <w:rPr>
          <w:lang w:val="ru-RU"/>
        </w:rPr>
        <w:t xml:space="preserve">: в 2025 году интернетом пользовались </w:t>
      </w:r>
      <w:r w:rsidRPr="00945782">
        <w:rPr>
          <w:b/>
          <w:bCs/>
          <w:lang w:val="ru-RU"/>
        </w:rPr>
        <w:t>85% городских жителей</w:t>
      </w:r>
      <w:r w:rsidRPr="00945782">
        <w:rPr>
          <w:lang w:val="ru-RU"/>
        </w:rPr>
        <w:t xml:space="preserve"> и </w:t>
      </w:r>
      <w:r w:rsidRPr="00945782">
        <w:rPr>
          <w:b/>
          <w:bCs/>
          <w:lang w:val="ru-RU"/>
        </w:rPr>
        <w:t>58% сельских жителей</w:t>
      </w:r>
      <w:r w:rsidRPr="00945782">
        <w:rPr>
          <w:lang w:val="ru-RU"/>
        </w:rPr>
        <w:t>.</w:t>
      </w:r>
    </w:p>
    <w:p w14:paraId="5340E400" w14:textId="77777777" w:rsidR="00D82062" w:rsidRPr="00945782" w:rsidRDefault="00D82062" w:rsidP="00C96096">
      <w:pPr>
        <w:pStyle w:val="Headingb"/>
        <w:rPr>
          <w:lang w:val="ru-RU"/>
        </w:rPr>
      </w:pPr>
      <w:r w:rsidRPr="00945782">
        <w:rPr>
          <w:lang w:val="ru-RU"/>
        </w:rPr>
        <w:t>Сбор данных и обоснование политики</w:t>
      </w:r>
    </w:p>
    <w:p w14:paraId="7B77C404" w14:textId="77777777" w:rsidR="00D82062" w:rsidRPr="00945782" w:rsidRDefault="00D82062" w:rsidP="00C96096">
      <w:pPr>
        <w:pStyle w:val="enumlev1"/>
        <w:rPr>
          <w:lang w:val="ru-RU"/>
        </w:rPr>
      </w:pPr>
      <w:r w:rsidRPr="00945782">
        <w:rPr>
          <w:lang w:val="ru-RU"/>
        </w:rPr>
        <w:t>•</w:t>
      </w:r>
      <w:r w:rsidRPr="00945782">
        <w:rPr>
          <w:lang w:val="ru-RU"/>
        </w:rPr>
        <w:tab/>
        <w:t xml:space="preserve">Международный союз электросвязи (МСЭ) собирал статистические данные в области информационно-коммуникационных технологий (ИКТ) более чем в </w:t>
      </w:r>
      <w:r w:rsidRPr="00945782">
        <w:rPr>
          <w:b/>
          <w:bCs/>
          <w:lang w:val="ru-RU"/>
        </w:rPr>
        <w:t>200 странах</w:t>
      </w:r>
      <w:r w:rsidRPr="00945782">
        <w:rPr>
          <w:lang w:val="ru-RU"/>
        </w:rPr>
        <w:t>, совершенствовал методы работы с большими данными и публиковал ежегодные выпуски изданий "</w:t>
      </w:r>
      <w:r w:rsidRPr="00945782">
        <w:rPr>
          <w:b/>
          <w:bCs/>
          <w:lang w:val="ru-RU"/>
        </w:rPr>
        <w:t>Факты и цифры</w:t>
      </w:r>
      <w:r w:rsidRPr="00945782">
        <w:rPr>
          <w:lang w:val="ru-RU"/>
        </w:rPr>
        <w:t xml:space="preserve">" и </w:t>
      </w:r>
      <w:r w:rsidRPr="00945782">
        <w:rPr>
          <w:b/>
          <w:bCs/>
          <w:lang w:val="ru-RU"/>
        </w:rPr>
        <w:t>Отчета о глобальной возможности установления соединений</w:t>
      </w:r>
      <w:r w:rsidRPr="00945782">
        <w:rPr>
          <w:lang w:val="ru-RU"/>
        </w:rPr>
        <w:t>.</w:t>
      </w:r>
    </w:p>
    <w:p w14:paraId="3CA7BC7F" w14:textId="77777777" w:rsidR="00D82062" w:rsidRPr="00945782" w:rsidRDefault="00D82062" w:rsidP="00C96096">
      <w:pPr>
        <w:pStyle w:val="enumlev1"/>
        <w:rPr>
          <w:lang w:val="ru-RU"/>
        </w:rPr>
      </w:pPr>
      <w:r w:rsidRPr="00945782">
        <w:rPr>
          <w:lang w:val="ru-RU"/>
        </w:rPr>
        <w:t>•</w:t>
      </w:r>
      <w:r w:rsidRPr="00945782">
        <w:rPr>
          <w:lang w:val="ru-RU"/>
        </w:rPr>
        <w:tab/>
        <w:t xml:space="preserve">Число стран, имеющих национальные рамочные механизмы обеспечения доступности ИКТ, увеличилось с </w:t>
      </w:r>
      <w:r w:rsidRPr="00945782">
        <w:rPr>
          <w:b/>
          <w:bCs/>
          <w:lang w:val="ru-RU"/>
        </w:rPr>
        <w:t>61 до 100</w:t>
      </w:r>
      <w:r w:rsidRPr="00945782">
        <w:rPr>
          <w:lang w:val="ru-RU"/>
        </w:rPr>
        <w:t xml:space="preserve"> (2018–2023 гг.) и достигло </w:t>
      </w:r>
      <w:r w:rsidRPr="00945782">
        <w:rPr>
          <w:b/>
          <w:bCs/>
          <w:lang w:val="ru-RU"/>
        </w:rPr>
        <w:t>101</w:t>
      </w:r>
      <w:r w:rsidRPr="00945782">
        <w:rPr>
          <w:lang w:val="ru-RU"/>
        </w:rPr>
        <w:t xml:space="preserve"> в 2025 году.</w:t>
      </w:r>
    </w:p>
    <w:p w14:paraId="09F73579" w14:textId="77777777" w:rsidR="00D82062" w:rsidRPr="00945782" w:rsidRDefault="00D82062" w:rsidP="00C96096">
      <w:pPr>
        <w:pStyle w:val="enumlev1"/>
        <w:rPr>
          <w:lang w:val="ru-RU"/>
        </w:rPr>
      </w:pPr>
      <w:r w:rsidRPr="00945782">
        <w:rPr>
          <w:lang w:val="ru-RU"/>
        </w:rPr>
        <w:t>•</w:t>
      </w:r>
      <w:r w:rsidRPr="00945782">
        <w:rPr>
          <w:lang w:val="ru-RU"/>
        </w:rPr>
        <w:tab/>
        <w:t xml:space="preserve">Число стран, создавших группы реагирования на компьютерные инциденты (CIRT), выросло со </w:t>
      </w:r>
      <w:r w:rsidRPr="00945782">
        <w:rPr>
          <w:b/>
          <w:bCs/>
          <w:lang w:val="ru-RU"/>
        </w:rPr>
        <w:t>109 в 2020 году до 132 в 2024 году</w:t>
      </w:r>
      <w:r w:rsidRPr="00945782">
        <w:rPr>
          <w:lang w:val="ru-RU"/>
        </w:rPr>
        <w:t xml:space="preserve">, а число стран с национальными стратегиями кибербезопасности увеличилось со </w:t>
      </w:r>
      <w:r w:rsidRPr="00945782">
        <w:rPr>
          <w:b/>
          <w:bCs/>
          <w:lang w:val="ru-RU"/>
        </w:rPr>
        <w:t>107 до 148</w:t>
      </w:r>
      <w:r w:rsidRPr="00945782">
        <w:rPr>
          <w:lang w:val="ru-RU"/>
        </w:rPr>
        <w:t>.</w:t>
      </w:r>
    </w:p>
    <w:p w14:paraId="6BCB148F" w14:textId="77777777" w:rsidR="00D82062" w:rsidRPr="00945782" w:rsidRDefault="00D82062" w:rsidP="00C96096">
      <w:pPr>
        <w:pStyle w:val="enumlev1"/>
        <w:rPr>
          <w:lang w:val="ru-RU"/>
        </w:rPr>
      </w:pPr>
      <w:r w:rsidRPr="00945782">
        <w:rPr>
          <w:lang w:val="ru-RU"/>
        </w:rPr>
        <w:t>•</w:t>
      </w:r>
      <w:r w:rsidRPr="00945782">
        <w:rPr>
          <w:lang w:val="ru-RU"/>
        </w:rPr>
        <w:tab/>
        <w:t xml:space="preserve">Объем международной полосы пропускания в расчете на одного интернет-пользователя более чем удвоился (2020–2024 гг.), достигнув </w:t>
      </w:r>
      <w:r w:rsidRPr="00945782">
        <w:rPr>
          <w:b/>
          <w:bCs/>
          <w:lang w:val="ru-RU"/>
        </w:rPr>
        <w:t>322,8 кбит/с</w:t>
      </w:r>
      <w:r w:rsidRPr="00945782">
        <w:rPr>
          <w:lang w:val="ru-RU"/>
        </w:rPr>
        <w:t xml:space="preserve">, при этом общий мировой объем пропускной способности составил </w:t>
      </w:r>
      <w:r w:rsidRPr="00945782">
        <w:rPr>
          <w:b/>
          <w:bCs/>
          <w:lang w:val="ru-RU"/>
        </w:rPr>
        <w:t>1,78 Тбит/с</w:t>
      </w:r>
      <w:r w:rsidRPr="00945782">
        <w:rPr>
          <w:lang w:val="ru-RU"/>
        </w:rPr>
        <w:t>.</w:t>
      </w:r>
    </w:p>
    <w:p w14:paraId="68E0953A" w14:textId="77777777" w:rsidR="00D82062" w:rsidRPr="00945782" w:rsidRDefault="00D82062" w:rsidP="00E96316">
      <w:pPr>
        <w:pStyle w:val="Headingb"/>
        <w:rPr>
          <w:lang w:val="ru-RU"/>
        </w:rPr>
      </w:pPr>
      <w:r w:rsidRPr="00945782">
        <w:rPr>
          <w:lang w:val="ru-RU"/>
        </w:rPr>
        <w:t>Глобальные уставные конференции МСЭ (2022–2025 гг.)</w:t>
      </w:r>
    </w:p>
    <w:p w14:paraId="0AC9C5D7" w14:textId="77777777" w:rsidR="00D82062" w:rsidRPr="00945782" w:rsidRDefault="00D82062" w:rsidP="00E96316">
      <w:pPr>
        <w:pStyle w:val="enumlev1"/>
        <w:rPr>
          <w:lang w:val="ru-RU"/>
        </w:rPr>
      </w:pPr>
      <w:r w:rsidRPr="00945782">
        <w:rPr>
          <w:lang w:val="ru-RU"/>
        </w:rPr>
        <w:t>•</w:t>
      </w:r>
      <w:r w:rsidRPr="00945782">
        <w:rPr>
          <w:lang w:val="ru-RU"/>
        </w:rPr>
        <w:tab/>
        <w:t xml:space="preserve">В рамках Полномочной конференции (ПК-22) были внесены изменения в </w:t>
      </w:r>
      <w:r w:rsidRPr="00945782">
        <w:rPr>
          <w:b/>
          <w:bCs/>
          <w:lang w:val="ru-RU"/>
        </w:rPr>
        <w:t>56 резолюций</w:t>
      </w:r>
      <w:r w:rsidRPr="00945782">
        <w:rPr>
          <w:lang w:val="ru-RU"/>
        </w:rPr>
        <w:t xml:space="preserve">, приняты </w:t>
      </w:r>
      <w:r w:rsidRPr="00945782">
        <w:rPr>
          <w:b/>
          <w:bCs/>
          <w:lang w:val="ru-RU"/>
        </w:rPr>
        <w:t>шесть новых резолюций</w:t>
      </w:r>
      <w:r w:rsidRPr="00945782">
        <w:rPr>
          <w:lang w:val="ru-RU"/>
        </w:rPr>
        <w:t xml:space="preserve"> и положено начало крупным направлениям работы в области </w:t>
      </w:r>
      <w:r w:rsidRPr="00945782">
        <w:rPr>
          <w:b/>
          <w:bCs/>
          <w:lang w:val="ru-RU"/>
        </w:rPr>
        <w:t xml:space="preserve">искусственного интеллекта (ИИ), устойчивости космической деятельности, гендерного равенства, борьбы с изменением климата, готовности к пандемиям </w:t>
      </w:r>
      <w:r w:rsidRPr="00945782">
        <w:rPr>
          <w:lang w:val="ru-RU"/>
        </w:rPr>
        <w:t>и</w:t>
      </w:r>
      <w:r w:rsidRPr="00945782">
        <w:rPr>
          <w:b/>
          <w:bCs/>
          <w:lang w:val="ru-RU"/>
        </w:rPr>
        <w:t xml:space="preserve"> </w:t>
      </w:r>
      <w:r w:rsidRPr="00945782">
        <w:rPr>
          <w:lang w:val="ru-RU"/>
        </w:rPr>
        <w:t>"</w:t>
      </w:r>
      <w:r w:rsidRPr="00945782">
        <w:rPr>
          <w:b/>
          <w:bCs/>
          <w:lang w:val="ru-RU"/>
        </w:rPr>
        <w:t>умных</w:t>
      </w:r>
      <w:r w:rsidRPr="00945782">
        <w:rPr>
          <w:lang w:val="ru-RU"/>
        </w:rPr>
        <w:t>"</w:t>
      </w:r>
      <w:r w:rsidRPr="00945782">
        <w:rPr>
          <w:b/>
          <w:bCs/>
          <w:lang w:val="ru-RU"/>
        </w:rPr>
        <w:t xml:space="preserve"> городов</w:t>
      </w:r>
      <w:r w:rsidRPr="00945782">
        <w:rPr>
          <w:lang w:val="ru-RU"/>
        </w:rPr>
        <w:t>.</w:t>
      </w:r>
    </w:p>
    <w:p w14:paraId="79B76E91" w14:textId="77777777" w:rsidR="00D82062" w:rsidRPr="00945782" w:rsidRDefault="00D82062" w:rsidP="00E96316">
      <w:pPr>
        <w:pStyle w:val="enumlev1"/>
        <w:rPr>
          <w:lang w:val="ru-RU"/>
        </w:rPr>
      </w:pPr>
      <w:r w:rsidRPr="00945782">
        <w:rPr>
          <w:lang w:val="ru-RU"/>
        </w:rPr>
        <w:t>•</w:t>
      </w:r>
      <w:r w:rsidRPr="00945782">
        <w:rPr>
          <w:lang w:val="ru-RU"/>
        </w:rPr>
        <w:tab/>
        <w:t xml:space="preserve">ПК-22 избрала </w:t>
      </w:r>
      <w:r w:rsidRPr="00945782">
        <w:rPr>
          <w:b/>
          <w:bCs/>
          <w:lang w:val="ru-RU"/>
        </w:rPr>
        <w:t>Дорин Богдан-Мартин</w:t>
      </w:r>
      <w:r w:rsidRPr="00945782">
        <w:rPr>
          <w:lang w:val="ru-RU"/>
        </w:rPr>
        <w:t xml:space="preserve"> </w:t>
      </w:r>
      <w:r w:rsidRPr="00945782">
        <w:rPr>
          <w:b/>
          <w:bCs/>
          <w:lang w:val="ru-RU"/>
        </w:rPr>
        <w:t xml:space="preserve">на должность Генерального секретаря </w:t>
      </w:r>
      <w:r w:rsidRPr="00945782">
        <w:rPr>
          <w:lang w:val="ru-RU"/>
        </w:rPr>
        <w:t>МСЭ; она стала первой женщиной на этом посту.</w:t>
      </w:r>
    </w:p>
    <w:p w14:paraId="0D19A9FD" w14:textId="25D5C308" w:rsidR="00D82062" w:rsidRPr="00945782" w:rsidRDefault="00D82062" w:rsidP="00E96316">
      <w:pPr>
        <w:pStyle w:val="enumlev1"/>
        <w:rPr>
          <w:lang w:val="ru-RU"/>
        </w:rPr>
      </w:pPr>
      <w:r w:rsidRPr="00945782">
        <w:rPr>
          <w:lang w:val="ru-RU"/>
        </w:rPr>
        <w:t>•</w:t>
      </w:r>
      <w:r w:rsidRPr="00945782">
        <w:rPr>
          <w:lang w:val="ru-RU"/>
        </w:rPr>
        <w:tab/>
        <w:t xml:space="preserve">Во Всемирной конференции радиосвязи (ВКР-23) приняли участие </w:t>
      </w:r>
      <w:r w:rsidRPr="00945782">
        <w:rPr>
          <w:b/>
          <w:bCs/>
          <w:lang w:val="ru-RU"/>
        </w:rPr>
        <w:t>3982 представителя из 163 Государств-Членов</w:t>
      </w:r>
      <w:r w:rsidRPr="00945782">
        <w:rPr>
          <w:lang w:val="ru-RU"/>
        </w:rPr>
        <w:t xml:space="preserve">, при этом доля женщин выросла до </w:t>
      </w:r>
      <w:r w:rsidRPr="00945782">
        <w:rPr>
          <w:b/>
          <w:bCs/>
          <w:lang w:val="ru-RU"/>
        </w:rPr>
        <w:t>22%</w:t>
      </w:r>
      <w:r w:rsidRPr="00945782">
        <w:rPr>
          <w:lang w:val="ru-RU"/>
        </w:rPr>
        <w:t xml:space="preserve">; на конференции </w:t>
      </w:r>
      <w:r w:rsidRPr="00945782">
        <w:rPr>
          <w:lang w:val="ru-RU"/>
        </w:rPr>
        <w:lastRenderedPageBreak/>
        <w:t xml:space="preserve">были приняты решения </w:t>
      </w:r>
      <w:r w:rsidRPr="00945782">
        <w:rPr>
          <w:b/>
          <w:bCs/>
          <w:lang w:val="ru-RU"/>
        </w:rPr>
        <w:t>по более чем 30 пунктам повестки дня</w:t>
      </w:r>
      <w:r w:rsidRPr="00945782">
        <w:rPr>
          <w:lang w:val="ru-RU"/>
        </w:rPr>
        <w:t>, охватывающим международную подвижную электросвязь (IMT), спутниковые, морские, воздушные и научные службы.</w:t>
      </w:r>
    </w:p>
    <w:p w14:paraId="2C9B0562" w14:textId="77777777" w:rsidR="00D82062" w:rsidRPr="00945782" w:rsidRDefault="00D82062" w:rsidP="00E96316">
      <w:pPr>
        <w:pStyle w:val="enumlev1"/>
        <w:rPr>
          <w:lang w:val="ru-RU"/>
        </w:rPr>
      </w:pPr>
      <w:r w:rsidRPr="00945782">
        <w:rPr>
          <w:lang w:val="ru-RU"/>
        </w:rPr>
        <w:t>•</w:t>
      </w:r>
      <w:r w:rsidRPr="00945782">
        <w:rPr>
          <w:lang w:val="ru-RU"/>
        </w:rPr>
        <w:tab/>
        <w:t>Ассамблея радиосвязи (АР-23) утвердила "</w:t>
      </w:r>
      <w:r w:rsidRPr="00945782">
        <w:rPr>
          <w:b/>
          <w:bCs/>
          <w:lang w:val="ru-RU"/>
        </w:rPr>
        <w:t>Основу IMT-2030</w:t>
      </w:r>
      <w:r w:rsidRPr="00945782">
        <w:rPr>
          <w:lang w:val="ru-RU"/>
        </w:rPr>
        <w:t xml:space="preserve">" для сетей электросвязи 6G, пересмотрела </w:t>
      </w:r>
      <w:r w:rsidRPr="00945782">
        <w:rPr>
          <w:b/>
          <w:bCs/>
          <w:lang w:val="ru-RU"/>
        </w:rPr>
        <w:t>26 резолюций</w:t>
      </w:r>
      <w:r w:rsidRPr="00945782">
        <w:rPr>
          <w:lang w:val="ru-RU"/>
        </w:rPr>
        <w:t xml:space="preserve"> Сектора радиосвязи МСЭ (МСЭ-R) и приняла новые резолюции по вопросам </w:t>
      </w:r>
      <w:r w:rsidRPr="00945782">
        <w:rPr>
          <w:b/>
          <w:bCs/>
          <w:lang w:val="ru-RU"/>
        </w:rPr>
        <w:t xml:space="preserve">гендерного равенства, широкополосной связи, устойчивого использования спектра </w:t>
      </w:r>
      <w:r w:rsidRPr="00945782">
        <w:rPr>
          <w:lang w:val="ru-RU"/>
        </w:rPr>
        <w:t>и</w:t>
      </w:r>
      <w:r w:rsidRPr="00945782">
        <w:rPr>
          <w:b/>
          <w:bCs/>
          <w:lang w:val="ru-RU"/>
        </w:rPr>
        <w:t xml:space="preserve"> межсекторальной координации</w:t>
      </w:r>
      <w:r w:rsidRPr="00945782">
        <w:rPr>
          <w:lang w:val="ru-RU"/>
        </w:rPr>
        <w:t>.</w:t>
      </w:r>
    </w:p>
    <w:p w14:paraId="522A5C76" w14:textId="77777777" w:rsidR="00D82062" w:rsidRPr="00945782" w:rsidRDefault="00D82062" w:rsidP="00E96316">
      <w:pPr>
        <w:pStyle w:val="enumlev1"/>
        <w:rPr>
          <w:lang w:val="ru-RU"/>
        </w:rPr>
      </w:pPr>
      <w:r w:rsidRPr="00945782">
        <w:rPr>
          <w:lang w:val="ru-RU"/>
        </w:rPr>
        <w:t>•</w:t>
      </w:r>
      <w:r w:rsidRPr="00945782">
        <w:rPr>
          <w:lang w:val="ru-RU"/>
        </w:rPr>
        <w:tab/>
        <w:t xml:space="preserve">Во Всемирной ассамблее по стандартизации электросвязи (ВАСЭ-24) приняли участие </w:t>
      </w:r>
      <w:r w:rsidRPr="00945782">
        <w:rPr>
          <w:b/>
          <w:bCs/>
          <w:lang w:val="ru-RU"/>
        </w:rPr>
        <w:t>3700 делегатов</w:t>
      </w:r>
      <w:r w:rsidRPr="00945782">
        <w:rPr>
          <w:lang w:val="ru-RU"/>
        </w:rPr>
        <w:t xml:space="preserve"> (</w:t>
      </w:r>
      <w:r w:rsidRPr="00945782">
        <w:rPr>
          <w:b/>
          <w:bCs/>
          <w:lang w:val="ru-RU"/>
        </w:rPr>
        <w:t>доля женщин</w:t>
      </w:r>
      <w:r w:rsidRPr="00945782">
        <w:rPr>
          <w:lang w:val="ru-RU"/>
        </w:rPr>
        <w:t xml:space="preserve"> – </w:t>
      </w:r>
      <w:r w:rsidRPr="00945782">
        <w:rPr>
          <w:b/>
          <w:bCs/>
          <w:lang w:val="ru-RU"/>
        </w:rPr>
        <w:t>27%</w:t>
      </w:r>
      <w:r w:rsidRPr="00945782">
        <w:rPr>
          <w:lang w:val="ru-RU"/>
        </w:rPr>
        <w:t xml:space="preserve">), в ходе Ассамблеи 9-я и 16-я Исследовательские комиссии были объединены в </w:t>
      </w:r>
      <w:r w:rsidRPr="00945782">
        <w:rPr>
          <w:b/>
          <w:bCs/>
          <w:lang w:val="ru-RU"/>
        </w:rPr>
        <w:t>21-ю Исследовательскую комиссию</w:t>
      </w:r>
      <w:r w:rsidRPr="00945782">
        <w:rPr>
          <w:lang w:val="ru-RU"/>
        </w:rPr>
        <w:t xml:space="preserve">, были приняты </w:t>
      </w:r>
      <w:r w:rsidRPr="00945782">
        <w:rPr>
          <w:b/>
          <w:bCs/>
          <w:lang w:val="ru-RU"/>
        </w:rPr>
        <w:t>8 новых</w:t>
      </w:r>
      <w:r w:rsidRPr="00945782">
        <w:rPr>
          <w:lang w:val="ru-RU"/>
        </w:rPr>
        <w:t xml:space="preserve"> и </w:t>
      </w:r>
      <w:r w:rsidRPr="00945782">
        <w:rPr>
          <w:b/>
          <w:bCs/>
          <w:lang w:val="ru-RU"/>
        </w:rPr>
        <w:t>44 пересмотренные резолюции</w:t>
      </w:r>
      <w:r w:rsidRPr="00945782">
        <w:rPr>
          <w:lang w:val="ru-RU"/>
        </w:rPr>
        <w:t>.</w:t>
      </w:r>
    </w:p>
    <w:p w14:paraId="3E2A0F3B" w14:textId="52AFF33C" w:rsidR="00D82062" w:rsidRPr="00945782" w:rsidRDefault="00D82062" w:rsidP="00E96316">
      <w:pPr>
        <w:pStyle w:val="enumlev1"/>
        <w:rPr>
          <w:lang w:val="ru-RU"/>
        </w:rPr>
      </w:pPr>
      <w:r w:rsidRPr="00945782">
        <w:rPr>
          <w:lang w:val="ru-RU"/>
        </w:rPr>
        <w:t>•</w:t>
      </w:r>
      <w:r w:rsidR="00E96316" w:rsidRPr="00945782">
        <w:rPr>
          <w:lang w:val="ru-RU"/>
        </w:rPr>
        <w:tab/>
      </w:r>
      <w:r w:rsidRPr="00945782">
        <w:rPr>
          <w:lang w:val="ru-RU"/>
        </w:rPr>
        <w:t xml:space="preserve">Всемирная конференция по развитию электросвязи (ВКРЭ-25) приняла </w:t>
      </w:r>
      <w:r w:rsidRPr="00945782">
        <w:rPr>
          <w:b/>
          <w:bCs/>
          <w:lang w:val="ru-RU"/>
        </w:rPr>
        <w:t>Бакинскую декларацию</w:t>
      </w:r>
      <w:r w:rsidRPr="00945782">
        <w:rPr>
          <w:lang w:val="ru-RU"/>
        </w:rPr>
        <w:t xml:space="preserve">, </w:t>
      </w:r>
      <w:r w:rsidRPr="00945782">
        <w:rPr>
          <w:b/>
          <w:bCs/>
          <w:lang w:val="ru-RU"/>
        </w:rPr>
        <w:t>Бакинский план действий</w:t>
      </w:r>
      <w:r w:rsidRPr="00945782">
        <w:rPr>
          <w:lang w:val="ru-RU"/>
        </w:rPr>
        <w:t xml:space="preserve"> и обновила </w:t>
      </w:r>
      <w:r w:rsidRPr="00945782">
        <w:rPr>
          <w:b/>
          <w:bCs/>
          <w:lang w:val="ru-RU"/>
        </w:rPr>
        <w:t>региональные инициативы на</w:t>
      </w:r>
      <w:r w:rsidR="00E96316" w:rsidRPr="00945782">
        <w:rPr>
          <w:b/>
          <w:bCs/>
          <w:lang w:val="ru-RU"/>
        </w:rPr>
        <w:t> </w:t>
      </w:r>
      <w:r w:rsidRPr="00945782">
        <w:rPr>
          <w:b/>
          <w:bCs/>
          <w:lang w:val="ru-RU"/>
        </w:rPr>
        <w:t>2026–2029 годы</w:t>
      </w:r>
      <w:r w:rsidRPr="00945782">
        <w:rPr>
          <w:lang w:val="ru-RU"/>
        </w:rPr>
        <w:t>.</w:t>
      </w:r>
    </w:p>
    <w:p w14:paraId="6E9727A4" w14:textId="77777777" w:rsidR="00D82062" w:rsidRPr="00945782" w:rsidRDefault="00D82062" w:rsidP="00E96316">
      <w:pPr>
        <w:pStyle w:val="Headingb"/>
        <w:rPr>
          <w:lang w:val="ru-RU"/>
        </w:rPr>
      </w:pPr>
      <w:r w:rsidRPr="00945782">
        <w:rPr>
          <w:lang w:val="ru-RU"/>
        </w:rPr>
        <w:t>Стандарты и технологическое лидерство</w:t>
      </w:r>
    </w:p>
    <w:p w14:paraId="37D8BD48" w14:textId="75D9B44A" w:rsidR="00D82062" w:rsidRPr="00945782" w:rsidRDefault="00D82062" w:rsidP="00E96316">
      <w:pPr>
        <w:pStyle w:val="enumlev1"/>
        <w:rPr>
          <w:lang w:val="ru-RU"/>
        </w:rPr>
      </w:pPr>
      <w:r w:rsidRPr="00945782">
        <w:rPr>
          <w:lang w:val="ru-RU"/>
        </w:rPr>
        <w:t>•</w:t>
      </w:r>
      <w:r w:rsidRPr="00945782">
        <w:rPr>
          <w:lang w:val="ru-RU"/>
        </w:rPr>
        <w:tab/>
        <w:t xml:space="preserve">В период 2022–2025 годов Сектор стандартизации электросвязи МСЭ (МСЭ-T) и Сектор радиосвязи МСЭ (МСЭ-R) совместно утвердили </w:t>
      </w:r>
      <w:r w:rsidRPr="00945782">
        <w:rPr>
          <w:b/>
          <w:bCs/>
          <w:lang w:val="ru-RU"/>
        </w:rPr>
        <w:t>1225</w:t>
      </w:r>
      <w:r w:rsidRPr="00945782">
        <w:rPr>
          <w:lang w:val="ru-RU"/>
        </w:rPr>
        <w:t xml:space="preserve"> стандартов.</w:t>
      </w:r>
    </w:p>
    <w:p w14:paraId="10E252FE" w14:textId="2274CC98" w:rsidR="00D82062" w:rsidRPr="00945782" w:rsidRDefault="00D82062" w:rsidP="00E96316">
      <w:pPr>
        <w:pStyle w:val="enumlev1"/>
        <w:rPr>
          <w:lang w:val="ru-RU"/>
        </w:rPr>
      </w:pPr>
      <w:r w:rsidRPr="00945782">
        <w:rPr>
          <w:lang w:val="ru-RU"/>
        </w:rPr>
        <w:t>•</w:t>
      </w:r>
      <w:r w:rsidRPr="00945782">
        <w:rPr>
          <w:lang w:val="ru-RU"/>
        </w:rPr>
        <w:tab/>
        <w:t xml:space="preserve">По состоянию на конец 2025 года общее число действующих Рекомендаций МСЭ-R составляло </w:t>
      </w:r>
      <w:r w:rsidRPr="00945782">
        <w:rPr>
          <w:b/>
          <w:bCs/>
          <w:lang w:val="ru-RU"/>
        </w:rPr>
        <w:t>1161</w:t>
      </w:r>
      <w:r w:rsidRPr="00945782">
        <w:rPr>
          <w:lang w:val="ru-RU"/>
        </w:rPr>
        <w:t>.</w:t>
      </w:r>
    </w:p>
    <w:p w14:paraId="559699F6" w14:textId="77777777" w:rsidR="00D82062" w:rsidRPr="00945782" w:rsidRDefault="00D82062" w:rsidP="00E96316">
      <w:pPr>
        <w:pStyle w:val="enumlev1"/>
        <w:rPr>
          <w:lang w:val="ru-RU"/>
        </w:rPr>
      </w:pPr>
      <w:r w:rsidRPr="00945782">
        <w:rPr>
          <w:lang w:val="ru-RU"/>
        </w:rPr>
        <w:t>•</w:t>
      </w:r>
      <w:r w:rsidRPr="00945782">
        <w:rPr>
          <w:lang w:val="ru-RU"/>
        </w:rPr>
        <w:tab/>
      </w:r>
      <w:r w:rsidRPr="00945782">
        <w:rPr>
          <w:b/>
          <w:bCs/>
          <w:lang w:val="ru-RU"/>
        </w:rPr>
        <w:t>База данных МСЭ по стандартам в области квантовых технологий</w:t>
      </w:r>
      <w:r w:rsidRPr="00945782">
        <w:rPr>
          <w:lang w:val="ru-RU"/>
        </w:rPr>
        <w:t xml:space="preserve"> содержит около </w:t>
      </w:r>
      <w:r w:rsidRPr="00945782">
        <w:rPr>
          <w:b/>
          <w:bCs/>
          <w:lang w:val="ru-RU"/>
        </w:rPr>
        <w:t>50 стандартов в области квантовых технологий</w:t>
      </w:r>
      <w:r w:rsidRPr="00945782">
        <w:rPr>
          <w:lang w:val="ru-RU"/>
        </w:rPr>
        <w:t xml:space="preserve"> и более </w:t>
      </w:r>
      <w:r w:rsidRPr="00945782">
        <w:rPr>
          <w:b/>
          <w:bCs/>
          <w:lang w:val="ru-RU"/>
        </w:rPr>
        <w:t>30 стандартов, находящихся в разработке</w:t>
      </w:r>
      <w:r w:rsidRPr="00945782">
        <w:rPr>
          <w:lang w:val="ru-RU"/>
        </w:rPr>
        <w:t>.</w:t>
      </w:r>
    </w:p>
    <w:p w14:paraId="0D9D5B58" w14:textId="77777777" w:rsidR="00D82062" w:rsidRPr="00945782" w:rsidRDefault="00D82062" w:rsidP="00E96316">
      <w:pPr>
        <w:pStyle w:val="enumlev1"/>
        <w:rPr>
          <w:lang w:val="ru-RU"/>
        </w:rPr>
      </w:pPr>
      <w:r w:rsidRPr="00945782">
        <w:rPr>
          <w:lang w:val="ru-RU"/>
        </w:rPr>
        <w:t>•</w:t>
      </w:r>
      <w:r w:rsidRPr="00945782">
        <w:rPr>
          <w:lang w:val="ru-RU"/>
        </w:rPr>
        <w:tab/>
        <w:t xml:space="preserve">Оперативная группа по метавселенной (FG-MV) привлекла </w:t>
      </w:r>
      <w:r w:rsidRPr="00945782">
        <w:rPr>
          <w:b/>
          <w:bCs/>
          <w:lang w:val="ru-RU"/>
        </w:rPr>
        <w:t>более 17 000 участников</w:t>
      </w:r>
      <w:r w:rsidRPr="00945782">
        <w:rPr>
          <w:lang w:val="ru-RU"/>
        </w:rPr>
        <w:t xml:space="preserve"> и подготовила </w:t>
      </w:r>
      <w:r w:rsidRPr="00945782">
        <w:rPr>
          <w:b/>
          <w:bCs/>
          <w:lang w:val="ru-RU"/>
        </w:rPr>
        <w:t>52 итоговых документа</w:t>
      </w:r>
      <w:r w:rsidRPr="00945782">
        <w:rPr>
          <w:lang w:val="ru-RU"/>
        </w:rPr>
        <w:t>, после чего передала работу в исследовательские комиссии.</w:t>
      </w:r>
    </w:p>
    <w:p w14:paraId="68C604CD" w14:textId="77777777" w:rsidR="00D82062" w:rsidRPr="00945782" w:rsidRDefault="00D82062" w:rsidP="00E96316">
      <w:pPr>
        <w:pStyle w:val="enumlev1"/>
        <w:rPr>
          <w:lang w:val="ru-RU"/>
        </w:rPr>
      </w:pPr>
      <w:r w:rsidRPr="00945782">
        <w:rPr>
          <w:lang w:val="ru-RU"/>
        </w:rPr>
        <w:t>•</w:t>
      </w:r>
      <w:r w:rsidRPr="00945782">
        <w:rPr>
          <w:lang w:val="ru-RU"/>
        </w:rPr>
        <w:tab/>
        <w:t xml:space="preserve">В 2025 году была опубликована </w:t>
      </w:r>
      <w:r w:rsidRPr="00945782">
        <w:rPr>
          <w:b/>
          <w:bCs/>
          <w:lang w:val="ru-RU"/>
        </w:rPr>
        <w:t>База данных по обмену стандартами в области ИИ</w:t>
      </w:r>
      <w:r w:rsidRPr="00945782">
        <w:rPr>
          <w:lang w:val="ru-RU"/>
        </w:rPr>
        <w:t xml:space="preserve">, которая содержит более </w:t>
      </w:r>
      <w:r w:rsidRPr="00945782">
        <w:rPr>
          <w:b/>
          <w:bCs/>
          <w:lang w:val="ru-RU"/>
        </w:rPr>
        <w:t>700 стандартов, связанных с ИИ</w:t>
      </w:r>
      <w:r w:rsidRPr="00945782">
        <w:rPr>
          <w:lang w:val="ru-RU"/>
        </w:rPr>
        <w:t xml:space="preserve">, включая более </w:t>
      </w:r>
      <w:r w:rsidRPr="00945782">
        <w:rPr>
          <w:b/>
          <w:bCs/>
          <w:lang w:val="ru-RU"/>
        </w:rPr>
        <w:t>200 опубликованных МСЭ стандартов в области ИИ</w:t>
      </w:r>
      <w:r w:rsidRPr="00945782">
        <w:rPr>
          <w:lang w:val="ru-RU"/>
        </w:rPr>
        <w:t xml:space="preserve"> и дополнительные </w:t>
      </w:r>
      <w:r w:rsidRPr="00945782">
        <w:rPr>
          <w:b/>
          <w:bCs/>
          <w:lang w:val="ru-RU"/>
        </w:rPr>
        <w:t>200 стандартов, находящихся на стадии разработки</w:t>
      </w:r>
      <w:r w:rsidRPr="00945782">
        <w:rPr>
          <w:lang w:val="ru-RU"/>
        </w:rPr>
        <w:t>.</w:t>
      </w:r>
    </w:p>
    <w:p w14:paraId="0FB31168" w14:textId="77777777" w:rsidR="00D82062" w:rsidRPr="00945782" w:rsidRDefault="00D82062" w:rsidP="00E96316">
      <w:pPr>
        <w:pStyle w:val="enumlev1"/>
        <w:rPr>
          <w:lang w:val="ru-RU"/>
        </w:rPr>
      </w:pPr>
      <w:r w:rsidRPr="00945782">
        <w:rPr>
          <w:lang w:val="ru-RU"/>
        </w:rPr>
        <w:t>•</w:t>
      </w:r>
      <w:r w:rsidRPr="00945782">
        <w:rPr>
          <w:lang w:val="ru-RU"/>
        </w:rPr>
        <w:tab/>
        <w:t xml:space="preserve">В 2023 году МСЭ-R был удостоен </w:t>
      </w:r>
      <w:r w:rsidRPr="00945782">
        <w:rPr>
          <w:b/>
          <w:bCs/>
          <w:lang w:val="ru-RU"/>
        </w:rPr>
        <w:t xml:space="preserve">премии </w:t>
      </w:r>
      <w:r w:rsidRPr="00945782">
        <w:rPr>
          <w:lang w:val="ru-RU"/>
        </w:rPr>
        <w:t>"</w:t>
      </w:r>
      <w:r w:rsidRPr="00945782">
        <w:rPr>
          <w:b/>
          <w:bCs/>
          <w:lang w:val="ru-RU"/>
        </w:rPr>
        <w:t>Эмми</w:t>
      </w:r>
      <w:r w:rsidRPr="00945782">
        <w:rPr>
          <w:lang w:val="ru-RU"/>
        </w:rPr>
        <w:t>"</w:t>
      </w:r>
      <w:r w:rsidRPr="00945782">
        <w:rPr>
          <w:b/>
          <w:bCs/>
          <w:lang w:val="ru-RU"/>
        </w:rPr>
        <w:t xml:space="preserve"> в области инженерии, науки и технологий </w:t>
      </w:r>
      <w:r w:rsidRPr="00945782">
        <w:rPr>
          <w:lang w:val="ru-RU"/>
        </w:rPr>
        <w:t xml:space="preserve">за глобальный </w:t>
      </w:r>
      <w:r w:rsidRPr="00945782">
        <w:rPr>
          <w:b/>
          <w:bCs/>
          <w:lang w:val="ru-RU"/>
        </w:rPr>
        <w:t>стандарт телевидения большого динамического диапазона (HDR-TV)</w:t>
      </w:r>
      <w:r w:rsidRPr="00945782">
        <w:rPr>
          <w:lang w:val="ru-RU"/>
        </w:rPr>
        <w:t>.</w:t>
      </w:r>
    </w:p>
    <w:p w14:paraId="63AF6998" w14:textId="77777777" w:rsidR="00D82062" w:rsidRPr="00945782" w:rsidRDefault="00D82062" w:rsidP="00E96316">
      <w:pPr>
        <w:pStyle w:val="Headingb"/>
        <w:rPr>
          <w:lang w:val="ru-RU"/>
        </w:rPr>
      </w:pPr>
      <w:r w:rsidRPr="00945782">
        <w:rPr>
          <w:lang w:val="ru-RU"/>
        </w:rPr>
        <w:t>Развитие потенциала и цифровые навыки</w:t>
      </w:r>
    </w:p>
    <w:p w14:paraId="5B72C981" w14:textId="33E7C44D" w:rsidR="00D82062" w:rsidRPr="00945782" w:rsidRDefault="00D82062" w:rsidP="00E96316">
      <w:pPr>
        <w:pStyle w:val="enumlev1"/>
        <w:rPr>
          <w:lang w:val="ru-RU"/>
        </w:rPr>
      </w:pPr>
      <w:r w:rsidRPr="00945782">
        <w:rPr>
          <w:lang w:val="ru-RU"/>
        </w:rPr>
        <w:t>•</w:t>
      </w:r>
      <w:r w:rsidRPr="00945782">
        <w:rPr>
          <w:lang w:val="ru-RU"/>
        </w:rPr>
        <w:tab/>
        <w:t xml:space="preserve">Академия МСЭ расширила охват </w:t>
      </w:r>
      <w:r w:rsidRPr="00945782">
        <w:rPr>
          <w:b/>
          <w:bCs/>
          <w:lang w:val="ru-RU"/>
        </w:rPr>
        <w:t>с 26</w:t>
      </w:r>
      <w:r w:rsidR="00E96316" w:rsidRPr="00945782">
        <w:rPr>
          <w:b/>
          <w:bCs/>
          <w:lang w:val="ru-RU"/>
        </w:rPr>
        <w:t> </w:t>
      </w:r>
      <w:r w:rsidRPr="00945782">
        <w:rPr>
          <w:b/>
          <w:bCs/>
          <w:lang w:val="ru-RU"/>
        </w:rPr>
        <w:t>000 до 83</w:t>
      </w:r>
      <w:r w:rsidR="00E96316" w:rsidRPr="00945782">
        <w:rPr>
          <w:b/>
          <w:bCs/>
          <w:lang w:val="ru-RU"/>
        </w:rPr>
        <w:t> </w:t>
      </w:r>
      <w:r w:rsidRPr="00945782">
        <w:rPr>
          <w:b/>
          <w:bCs/>
          <w:lang w:val="ru-RU"/>
        </w:rPr>
        <w:t>000</w:t>
      </w:r>
      <w:r w:rsidRPr="00945782">
        <w:rPr>
          <w:lang w:val="ru-RU"/>
        </w:rPr>
        <w:t xml:space="preserve"> обучающихся (2022–2025 гг.), при этом </w:t>
      </w:r>
      <w:r w:rsidRPr="00945782">
        <w:rPr>
          <w:b/>
          <w:bCs/>
          <w:lang w:val="ru-RU"/>
        </w:rPr>
        <w:t>доля женщин составила 40%</w:t>
      </w:r>
      <w:r w:rsidRPr="00945782">
        <w:rPr>
          <w:lang w:val="ru-RU"/>
        </w:rPr>
        <w:t xml:space="preserve">; ежегодно проводилось около </w:t>
      </w:r>
      <w:r w:rsidRPr="00945782">
        <w:rPr>
          <w:b/>
          <w:bCs/>
          <w:lang w:val="ru-RU"/>
        </w:rPr>
        <w:t>150 курсов</w:t>
      </w:r>
      <w:r w:rsidRPr="00945782">
        <w:rPr>
          <w:lang w:val="ru-RU"/>
        </w:rPr>
        <w:t xml:space="preserve">, и за период с 2023 года </w:t>
      </w:r>
      <w:r w:rsidRPr="00945782">
        <w:rPr>
          <w:b/>
          <w:bCs/>
          <w:lang w:val="ru-RU"/>
        </w:rPr>
        <w:t xml:space="preserve">программы сертификации </w:t>
      </w:r>
      <w:r w:rsidRPr="00945782">
        <w:rPr>
          <w:lang w:val="ru-RU"/>
        </w:rPr>
        <w:t>были пройдены</w:t>
      </w:r>
      <w:r w:rsidRPr="00945782">
        <w:rPr>
          <w:b/>
          <w:bCs/>
          <w:lang w:val="ru-RU"/>
        </w:rPr>
        <w:t xml:space="preserve"> более 17 500 раз</w:t>
      </w:r>
      <w:r w:rsidRPr="00945782">
        <w:rPr>
          <w:lang w:val="ru-RU"/>
        </w:rPr>
        <w:t>.</w:t>
      </w:r>
    </w:p>
    <w:p w14:paraId="5DA9392C" w14:textId="5D62806F" w:rsidR="00D82062" w:rsidRPr="00945782" w:rsidRDefault="00D82062" w:rsidP="00E96316">
      <w:pPr>
        <w:pStyle w:val="enumlev1"/>
        <w:rPr>
          <w:lang w:val="ru-RU"/>
        </w:rPr>
      </w:pPr>
      <w:r w:rsidRPr="00945782">
        <w:rPr>
          <w:lang w:val="ru-RU"/>
        </w:rPr>
        <w:t>•</w:t>
      </w:r>
      <w:r w:rsidRPr="00945782">
        <w:rPr>
          <w:lang w:val="ru-RU"/>
        </w:rPr>
        <w:tab/>
        <w:t xml:space="preserve">Аккредитованные учебные центры Академии МСЭ провели </w:t>
      </w:r>
      <w:r w:rsidRPr="00945782">
        <w:rPr>
          <w:b/>
          <w:bCs/>
          <w:lang w:val="ru-RU"/>
        </w:rPr>
        <w:t>159 курсов</w:t>
      </w:r>
      <w:r w:rsidRPr="00945782">
        <w:rPr>
          <w:lang w:val="ru-RU"/>
        </w:rPr>
        <w:t xml:space="preserve"> для </w:t>
      </w:r>
      <w:r w:rsidRPr="00945782">
        <w:rPr>
          <w:b/>
          <w:bCs/>
          <w:lang w:val="ru-RU"/>
        </w:rPr>
        <w:t>4048 участников</w:t>
      </w:r>
      <w:r w:rsidRPr="00945782">
        <w:rPr>
          <w:lang w:val="ru-RU"/>
        </w:rPr>
        <w:t xml:space="preserve"> (2023–2025 гг.), 86% которых представляют развивающиеся страны.</w:t>
      </w:r>
    </w:p>
    <w:p w14:paraId="4003289F" w14:textId="77777777" w:rsidR="00D82062" w:rsidRPr="00945782" w:rsidRDefault="00D82062" w:rsidP="00E96316">
      <w:pPr>
        <w:pStyle w:val="enumlev1"/>
        <w:rPr>
          <w:lang w:val="ru-RU"/>
        </w:rPr>
      </w:pPr>
      <w:r w:rsidRPr="00945782">
        <w:rPr>
          <w:lang w:val="ru-RU"/>
        </w:rPr>
        <w:t>•</w:t>
      </w:r>
      <w:r w:rsidRPr="00945782">
        <w:rPr>
          <w:lang w:val="ru-RU"/>
        </w:rPr>
        <w:tab/>
        <w:t xml:space="preserve">Обучение в Центрах цифровой трансформации МСЭ–Cisco прошли </w:t>
      </w:r>
      <w:r w:rsidRPr="00945782">
        <w:rPr>
          <w:b/>
          <w:bCs/>
          <w:lang w:val="ru-RU"/>
        </w:rPr>
        <w:t>более 610 000 участников</w:t>
      </w:r>
      <w:r w:rsidRPr="00945782">
        <w:rPr>
          <w:lang w:val="ru-RU"/>
        </w:rPr>
        <w:t xml:space="preserve"> в четырех регионах, причем </w:t>
      </w:r>
      <w:r w:rsidRPr="00945782">
        <w:rPr>
          <w:b/>
          <w:bCs/>
          <w:lang w:val="ru-RU"/>
        </w:rPr>
        <w:t>53% участников − женщины</w:t>
      </w:r>
      <w:r w:rsidRPr="00945782">
        <w:rPr>
          <w:lang w:val="ru-RU"/>
        </w:rPr>
        <w:t>.</w:t>
      </w:r>
    </w:p>
    <w:p w14:paraId="543A3B38" w14:textId="77777777" w:rsidR="00D82062" w:rsidRPr="00945782" w:rsidRDefault="00D82062" w:rsidP="00E96316">
      <w:pPr>
        <w:pStyle w:val="Headingb"/>
        <w:rPr>
          <w:lang w:val="ru-RU"/>
        </w:rPr>
      </w:pPr>
      <w:r w:rsidRPr="00945782">
        <w:rPr>
          <w:lang w:val="ru-RU"/>
        </w:rPr>
        <w:t>Техническая помощь и реализация проектов</w:t>
      </w:r>
    </w:p>
    <w:p w14:paraId="58FEBCEB" w14:textId="0B666914" w:rsidR="00D82062" w:rsidRPr="00945782" w:rsidRDefault="00D82062" w:rsidP="00E96316">
      <w:pPr>
        <w:pStyle w:val="enumlev1"/>
        <w:rPr>
          <w:lang w:val="ru-RU"/>
        </w:rPr>
      </w:pPr>
      <w:r w:rsidRPr="00945782">
        <w:rPr>
          <w:lang w:val="ru-RU"/>
        </w:rPr>
        <w:t>•</w:t>
      </w:r>
      <w:r w:rsidRPr="00945782">
        <w:rPr>
          <w:lang w:val="ru-RU"/>
        </w:rPr>
        <w:tab/>
        <w:t xml:space="preserve">В 2025 году Сектор развития электросвязи МСЭ (МСЭ-D) реализовал </w:t>
      </w:r>
      <w:r w:rsidRPr="00945782">
        <w:rPr>
          <w:b/>
          <w:bCs/>
          <w:lang w:val="ru-RU"/>
        </w:rPr>
        <w:t>106 проектов</w:t>
      </w:r>
      <w:r w:rsidRPr="00945782">
        <w:rPr>
          <w:lang w:val="ru-RU"/>
        </w:rPr>
        <w:t xml:space="preserve"> на</w:t>
      </w:r>
      <w:r w:rsidR="00E96316" w:rsidRPr="00945782">
        <w:rPr>
          <w:lang w:val="ru-RU"/>
        </w:rPr>
        <w:t> </w:t>
      </w:r>
      <w:r w:rsidRPr="00945782">
        <w:rPr>
          <w:lang w:val="ru-RU"/>
        </w:rPr>
        <w:t xml:space="preserve">сумму </w:t>
      </w:r>
      <w:r w:rsidRPr="00945782">
        <w:rPr>
          <w:b/>
          <w:bCs/>
          <w:lang w:val="ru-RU"/>
        </w:rPr>
        <w:t>79,7 млн. швейцарских франков</w:t>
      </w:r>
      <w:r w:rsidRPr="00945782">
        <w:rPr>
          <w:lang w:val="ru-RU"/>
        </w:rPr>
        <w:t xml:space="preserve">, при этом </w:t>
      </w:r>
      <w:r w:rsidRPr="00945782">
        <w:rPr>
          <w:b/>
          <w:bCs/>
          <w:lang w:val="ru-RU"/>
        </w:rPr>
        <w:t>90%</w:t>
      </w:r>
      <w:r w:rsidRPr="00945782">
        <w:rPr>
          <w:lang w:val="ru-RU"/>
        </w:rPr>
        <w:t xml:space="preserve"> общего финансирования проектов обеспечили внешние партнеры.</w:t>
      </w:r>
    </w:p>
    <w:p w14:paraId="3FA25A97" w14:textId="3D4395D1" w:rsidR="00D82062" w:rsidRPr="00945782" w:rsidRDefault="00D82062" w:rsidP="00E96316">
      <w:pPr>
        <w:pStyle w:val="enumlev1"/>
        <w:rPr>
          <w:lang w:val="ru-RU"/>
        </w:rPr>
      </w:pPr>
      <w:r w:rsidRPr="00945782">
        <w:rPr>
          <w:lang w:val="ru-RU"/>
        </w:rPr>
        <w:t>•</w:t>
      </w:r>
      <w:r w:rsidRPr="00945782">
        <w:rPr>
          <w:lang w:val="ru-RU"/>
        </w:rPr>
        <w:tab/>
        <w:t xml:space="preserve">В 2025 году в рамках МСЭ-D были заключены новые соглашения по </w:t>
      </w:r>
      <w:r w:rsidRPr="00945782">
        <w:rPr>
          <w:b/>
          <w:bCs/>
          <w:lang w:val="ru-RU"/>
        </w:rPr>
        <w:t>26 проектам</w:t>
      </w:r>
      <w:r w:rsidRPr="00945782">
        <w:rPr>
          <w:lang w:val="ru-RU"/>
        </w:rPr>
        <w:t xml:space="preserve"> на</w:t>
      </w:r>
      <w:r w:rsidR="00E96316" w:rsidRPr="00945782">
        <w:rPr>
          <w:lang w:val="ru-RU"/>
        </w:rPr>
        <w:t> </w:t>
      </w:r>
      <w:r w:rsidRPr="00945782">
        <w:rPr>
          <w:lang w:val="ru-RU"/>
        </w:rPr>
        <w:t xml:space="preserve">сумму </w:t>
      </w:r>
      <w:r w:rsidRPr="00945782">
        <w:rPr>
          <w:b/>
          <w:bCs/>
          <w:lang w:val="ru-RU"/>
        </w:rPr>
        <w:t>4,3 млн. шв.</w:t>
      </w:r>
      <w:r w:rsidR="00DE7861" w:rsidRPr="00945782">
        <w:rPr>
          <w:b/>
          <w:bCs/>
          <w:lang w:val="ru-RU"/>
        </w:rPr>
        <w:t xml:space="preserve"> </w:t>
      </w:r>
      <w:r w:rsidRPr="00945782">
        <w:rPr>
          <w:b/>
          <w:bCs/>
          <w:lang w:val="ru-RU"/>
        </w:rPr>
        <w:t>франков</w:t>
      </w:r>
      <w:r w:rsidRPr="00945782">
        <w:rPr>
          <w:lang w:val="ru-RU"/>
        </w:rPr>
        <w:t>.</w:t>
      </w:r>
    </w:p>
    <w:p w14:paraId="527A16D1" w14:textId="77777777" w:rsidR="00D82062" w:rsidRPr="00945782" w:rsidRDefault="00D82062" w:rsidP="00E96316">
      <w:pPr>
        <w:pStyle w:val="Headingb"/>
        <w:rPr>
          <w:lang w:val="ru-RU"/>
        </w:rPr>
      </w:pPr>
      <w:r w:rsidRPr="00945782">
        <w:rPr>
          <w:lang w:val="ru-RU"/>
        </w:rPr>
        <w:lastRenderedPageBreak/>
        <w:t>Глобальные платформы и партнерства</w:t>
      </w:r>
    </w:p>
    <w:p w14:paraId="30CA201A" w14:textId="77777777" w:rsidR="00D82062" w:rsidRPr="00945782" w:rsidRDefault="00D82062" w:rsidP="00E96316">
      <w:pPr>
        <w:pStyle w:val="enumlev1"/>
        <w:rPr>
          <w:lang w:val="ru-RU"/>
        </w:rPr>
      </w:pPr>
      <w:r w:rsidRPr="00945782">
        <w:rPr>
          <w:lang w:val="ru-RU"/>
        </w:rPr>
        <w:t>•</w:t>
      </w:r>
      <w:r w:rsidRPr="00945782">
        <w:rPr>
          <w:lang w:val="ru-RU"/>
        </w:rPr>
        <w:tab/>
        <w:t xml:space="preserve">В рамках аналитического процесса ВВУИО </w:t>
      </w:r>
      <w:r w:rsidRPr="00945782">
        <w:rPr>
          <w:b/>
          <w:bCs/>
          <w:lang w:val="ru-RU"/>
        </w:rPr>
        <w:t>число инициатив в области ИКТ для развития</w:t>
      </w:r>
      <w:r w:rsidRPr="00945782">
        <w:rPr>
          <w:lang w:val="ru-RU"/>
        </w:rPr>
        <w:t xml:space="preserve"> (</w:t>
      </w:r>
      <w:r w:rsidRPr="00945782">
        <w:rPr>
          <w:b/>
          <w:bCs/>
          <w:lang w:val="ru-RU"/>
        </w:rPr>
        <w:t>ICT4D)</w:t>
      </w:r>
      <w:r w:rsidRPr="00945782">
        <w:rPr>
          <w:lang w:val="ru-RU"/>
        </w:rPr>
        <w:t xml:space="preserve"> превысило </w:t>
      </w:r>
      <w:r w:rsidRPr="00945782">
        <w:rPr>
          <w:b/>
          <w:bCs/>
          <w:lang w:val="ru-RU"/>
        </w:rPr>
        <w:t>21 000</w:t>
      </w:r>
      <w:r w:rsidRPr="00945782">
        <w:rPr>
          <w:lang w:val="ru-RU"/>
        </w:rPr>
        <w:t xml:space="preserve">, а в рамках премий ВВУИО за три года было получено </w:t>
      </w:r>
      <w:r w:rsidRPr="00945782">
        <w:rPr>
          <w:b/>
          <w:bCs/>
          <w:lang w:val="ru-RU"/>
        </w:rPr>
        <w:t>более 3000 заявок</w:t>
      </w:r>
      <w:r w:rsidRPr="00945782">
        <w:rPr>
          <w:lang w:val="ru-RU"/>
        </w:rPr>
        <w:t>.</w:t>
      </w:r>
    </w:p>
    <w:p w14:paraId="553E468F" w14:textId="4644CB40" w:rsidR="00D82062" w:rsidRPr="00945782" w:rsidRDefault="00D82062" w:rsidP="00E96316">
      <w:pPr>
        <w:pStyle w:val="enumlev1"/>
        <w:rPr>
          <w:lang w:val="ru-RU"/>
        </w:rPr>
      </w:pPr>
      <w:r w:rsidRPr="00945782">
        <w:rPr>
          <w:lang w:val="ru-RU"/>
        </w:rPr>
        <w:t>•</w:t>
      </w:r>
      <w:r w:rsidRPr="00945782">
        <w:rPr>
          <w:lang w:val="ru-RU"/>
        </w:rPr>
        <w:tab/>
        <w:t xml:space="preserve">Сообщество "Нейронная сеть", созданное в рамках инициативы "ИИ во благо", теперь насчитывает </w:t>
      </w:r>
      <w:r w:rsidRPr="00945782">
        <w:rPr>
          <w:b/>
          <w:bCs/>
          <w:lang w:val="ru-RU"/>
        </w:rPr>
        <w:t>35 000 членов</w:t>
      </w:r>
      <w:r w:rsidRPr="00945782">
        <w:rPr>
          <w:lang w:val="ru-RU"/>
        </w:rPr>
        <w:t xml:space="preserve"> (137 000 участников онлайн-мероприятий); саммит 2025</w:t>
      </w:r>
      <w:r w:rsidR="00E96316" w:rsidRPr="00945782">
        <w:rPr>
          <w:lang w:val="ru-RU"/>
        </w:rPr>
        <w:t> </w:t>
      </w:r>
      <w:r w:rsidRPr="00945782">
        <w:rPr>
          <w:lang w:val="ru-RU"/>
        </w:rPr>
        <w:t xml:space="preserve">года привлек </w:t>
      </w:r>
      <w:r w:rsidRPr="00945782">
        <w:rPr>
          <w:b/>
          <w:bCs/>
          <w:lang w:val="ru-RU"/>
        </w:rPr>
        <w:t>11 000 очных участников</w:t>
      </w:r>
      <w:r w:rsidRPr="00945782">
        <w:rPr>
          <w:lang w:val="ru-RU"/>
        </w:rPr>
        <w:t>.</w:t>
      </w:r>
    </w:p>
    <w:p w14:paraId="5125AFDE" w14:textId="77777777" w:rsidR="00D82062" w:rsidRPr="00945782" w:rsidRDefault="00D82062" w:rsidP="00E96316">
      <w:pPr>
        <w:pStyle w:val="enumlev1"/>
        <w:rPr>
          <w:lang w:val="ru-RU"/>
        </w:rPr>
      </w:pPr>
      <w:r w:rsidRPr="00945782">
        <w:rPr>
          <w:lang w:val="ru-RU"/>
        </w:rPr>
        <w:t>•</w:t>
      </w:r>
      <w:r w:rsidRPr="00945782">
        <w:rPr>
          <w:lang w:val="ru-RU"/>
        </w:rPr>
        <w:tab/>
        <w:t xml:space="preserve">Декларация КС-29 по инициативе "Зеленая цифровая кампания" получила поддержку </w:t>
      </w:r>
      <w:r w:rsidRPr="00945782">
        <w:rPr>
          <w:b/>
          <w:bCs/>
          <w:lang w:val="ru-RU"/>
        </w:rPr>
        <w:t>более 80 стран</w:t>
      </w:r>
      <w:r w:rsidRPr="00945782">
        <w:rPr>
          <w:lang w:val="ru-RU"/>
        </w:rPr>
        <w:t xml:space="preserve"> и </w:t>
      </w:r>
      <w:r w:rsidRPr="00945782">
        <w:rPr>
          <w:b/>
          <w:bCs/>
          <w:lang w:val="ru-RU"/>
        </w:rPr>
        <w:t>свыше 1800 компаний и организаций</w:t>
      </w:r>
      <w:r w:rsidRPr="00945782">
        <w:rPr>
          <w:lang w:val="ru-RU"/>
        </w:rPr>
        <w:t xml:space="preserve">, подготовив почву к следующей конференции ООН по изменению климата, КС-30, на которой было объявлено о создании </w:t>
      </w:r>
      <w:r w:rsidRPr="00945782">
        <w:rPr>
          <w:b/>
          <w:bCs/>
          <w:lang w:val="ru-RU"/>
        </w:rPr>
        <w:t xml:space="preserve">Центра действий </w:t>
      </w:r>
      <w:r w:rsidRPr="00945782">
        <w:rPr>
          <w:lang w:val="ru-RU"/>
        </w:rPr>
        <w:t>"</w:t>
      </w:r>
      <w:r w:rsidRPr="00945782">
        <w:rPr>
          <w:b/>
          <w:bCs/>
          <w:lang w:val="ru-RU"/>
        </w:rPr>
        <w:t>Зеленой цифровой кампании</w:t>
      </w:r>
      <w:r w:rsidRPr="00945782">
        <w:rPr>
          <w:lang w:val="ru-RU"/>
        </w:rPr>
        <w:t>"</w:t>
      </w:r>
      <w:r w:rsidRPr="00945782">
        <w:rPr>
          <w:b/>
          <w:bCs/>
          <w:lang w:val="ru-RU"/>
        </w:rPr>
        <w:t xml:space="preserve"> </w:t>
      </w:r>
      <w:r w:rsidRPr="00945782">
        <w:rPr>
          <w:lang w:val="ru-RU"/>
        </w:rPr>
        <w:t xml:space="preserve">и </w:t>
      </w:r>
      <w:r w:rsidRPr="00945782">
        <w:rPr>
          <w:b/>
          <w:bCs/>
          <w:lang w:val="ru-RU"/>
        </w:rPr>
        <w:t>Института ИИ в области климата</w:t>
      </w:r>
      <w:r w:rsidRPr="00945782">
        <w:rPr>
          <w:lang w:val="ru-RU"/>
        </w:rPr>
        <w:t>.</w:t>
      </w:r>
    </w:p>
    <w:p w14:paraId="2DD8C246" w14:textId="6DC1F9DF" w:rsidR="00D82062" w:rsidRPr="00945782" w:rsidRDefault="00D82062" w:rsidP="00E96316">
      <w:pPr>
        <w:pStyle w:val="enumlev1"/>
        <w:rPr>
          <w:lang w:val="ru-RU"/>
        </w:rPr>
      </w:pPr>
      <w:r w:rsidRPr="00945782">
        <w:rPr>
          <w:lang w:val="ru-RU"/>
        </w:rPr>
        <w:t>•</w:t>
      </w:r>
      <w:r w:rsidRPr="00945782">
        <w:rPr>
          <w:lang w:val="ru-RU"/>
        </w:rPr>
        <w:tab/>
        <w:t xml:space="preserve">В рамках инициативы "Партнерства для подключения" было получено </w:t>
      </w:r>
      <w:r w:rsidRPr="00945782">
        <w:rPr>
          <w:b/>
          <w:bCs/>
          <w:lang w:val="ru-RU"/>
        </w:rPr>
        <w:t>1060 обязательств на сумму более 80,72 млрд. долларов США</w:t>
      </w:r>
      <w:r w:rsidRPr="00945782">
        <w:rPr>
          <w:lang w:val="ru-RU"/>
        </w:rPr>
        <w:t xml:space="preserve"> в </w:t>
      </w:r>
      <w:r w:rsidRPr="00945782">
        <w:rPr>
          <w:b/>
          <w:bCs/>
          <w:lang w:val="ru-RU"/>
        </w:rPr>
        <w:t>149 странах</w:t>
      </w:r>
      <w:r w:rsidRPr="00945782">
        <w:rPr>
          <w:lang w:val="ru-RU"/>
        </w:rPr>
        <w:t>, что является вкладом в достижение целевого показателя в 100 млрд. долларов США к</w:t>
      </w:r>
      <w:r w:rsidR="00E96316" w:rsidRPr="00945782">
        <w:rPr>
          <w:lang w:val="ru-RU"/>
        </w:rPr>
        <w:t> </w:t>
      </w:r>
      <w:r w:rsidRPr="00945782">
        <w:rPr>
          <w:lang w:val="ru-RU"/>
        </w:rPr>
        <w:t>2026</w:t>
      </w:r>
      <w:r w:rsidR="00E96316" w:rsidRPr="00945782">
        <w:rPr>
          <w:lang w:val="ru-RU"/>
        </w:rPr>
        <w:t> </w:t>
      </w:r>
      <w:r w:rsidRPr="00945782">
        <w:rPr>
          <w:lang w:val="ru-RU"/>
        </w:rPr>
        <w:t>году.</w:t>
      </w:r>
    </w:p>
    <w:p w14:paraId="6FA1BD1C" w14:textId="77777777" w:rsidR="00D82062" w:rsidRPr="00945782" w:rsidRDefault="00D82062" w:rsidP="00E96316">
      <w:pPr>
        <w:pStyle w:val="enumlev1"/>
        <w:rPr>
          <w:lang w:val="ru-RU"/>
        </w:rPr>
      </w:pPr>
      <w:r w:rsidRPr="00945782">
        <w:rPr>
          <w:lang w:val="ru-RU"/>
        </w:rPr>
        <w:t>•</w:t>
      </w:r>
      <w:r w:rsidRPr="00945782">
        <w:rPr>
          <w:lang w:val="ru-RU"/>
        </w:rPr>
        <w:tab/>
        <w:t>В 2024 году МСЭ совместно с партнерами образовал Международный консультативный орган по устойчивости подводных кабелей, в который вошло более 40 экспертов из правительств и отрасли и который призван способствовать укреплению сотрудничества в области подводных кабелей электросвязи и повышению цифровой устойчивости на глобальном уровне.</w:t>
      </w:r>
    </w:p>
    <w:p w14:paraId="2AE0D887" w14:textId="066301D6" w:rsidR="00D82062" w:rsidRPr="00945782" w:rsidRDefault="00D82062" w:rsidP="00E96316">
      <w:pPr>
        <w:pStyle w:val="enumlev1"/>
        <w:rPr>
          <w:lang w:val="ru-RU"/>
        </w:rPr>
      </w:pPr>
      <w:r w:rsidRPr="00945782">
        <w:rPr>
          <w:lang w:val="ru-RU"/>
        </w:rPr>
        <w:t>•</w:t>
      </w:r>
      <w:r w:rsidR="00E96316" w:rsidRPr="00945782">
        <w:rPr>
          <w:lang w:val="ru-RU"/>
        </w:rPr>
        <w:tab/>
      </w:r>
      <w:r w:rsidRPr="00945782">
        <w:rPr>
          <w:lang w:val="ru-RU"/>
        </w:rPr>
        <w:t>МСЭ и ЮНКТАД представили инициативу "</w:t>
      </w:r>
      <w:r w:rsidRPr="00945782">
        <w:rPr>
          <w:b/>
          <w:bCs/>
          <w:lang w:val="ru-RU"/>
        </w:rPr>
        <w:t>Катализатор инвестиций в цифровую инфраструктуру</w:t>
      </w:r>
      <w:r w:rsidRPr="00945782">
        <w:rPr>
          <w:lang w:val="ru-RU"/>
        </w:rPr>
        <w:t xml:space="preserve">", которая реализуется совместно с восемью многосторонними банками развития и направлена на устранение дефицита инвестиций в цифровую инфраструктуру в объеме </w:t>
      </w:r>
      <w:r w:rsidRPr="00945782">
        <w:rPr>
          <w:b/>
          <w:bCs/>
          <w:lang w:val="ru-RU"/>
        </w:rPr>
        <w:t>1,6 трлн. долларов США</w:t>
      </w:r>
      <w:r w:rsidRPr="00945782">
        <w:rPr>
          <w:lang w:val="ru-RU"/>
        </w:rPr>
        <w:t xml:space="preserve"> посредством деятельности рабочей группы, объединяющей </w:t>
      </w:r>
      <w:r w:rsidRPr="00945782">
        <w:rPr>
          <w:b/>
          <w:bCs/>
          <w:lang w:val="ru-RU"/>
        </w:rPr>
        <w:t>более 50 организаций</w:t>
      </w:r>
      <w:r w:rsidRPr="00945782">
        <w:rPr>
          <w:lang w:val="ru-RU"/>
        </w:rPr>
        <w:t>.</w:t>
      </w:r>
    </w:p>
    <w:p w14:paraId="0EDF888A" w14:textId="4E877011" w:rsidR="00D82062" w:rsidRPr="00945782" w:rsidRDefault="00D82062" w:rsidP="00E96316">
      <w:pPr>
        <w:pStyle w:val="Headingb"/>
        <w:rPr>
          <w:lang w:val="ru-RU"/>
        </w:rPr>
      </w:pPr>
      <w:r w:rsidRPr="00945782">
        <w:rPr>
          <w:lang w:val="ru-RU"/>
        </w:rPr>
        <w:t>Обеспечение всеобщих выгод</w:t>
      </w:r>
    </w:p>
    <w:p w14:paraId="3085D347" w14:textId="1B725C89" w:rsidR="00D82062" w:rsidRPr="00945782" w:rsidRDefault="00D82062" w:rsidP="00E96316">
      <w:pPr>
        <w:pStyle w:val="enumlev1"/>
        <w:rPr>
          <w:lang w:val="ru-RU"/>
        </w:rPr>
      </w:pPr>
      <w:r w:rsidRPr="00945782">
        <w:rPr>
          <w:lang w:val="ru-RU"/>
        </w:rPr>
        <w:t>•</w:t>
      </w:r>
      <w:r w:rsidRPr="00945782">
        <w:rPr>
          <w:lang w:val="ru-RU"/>
        </w:rPr>
        <w:tab/>
        <w:t xml:space="preserve">В 2025 году интернетом пользовались </w:t>
      </w:r>
      <w:r w:rsidRPr="00945782">
        <w:rPr>
          <w:b/>
          <w:bCs/>
          <w:lang w:val="ru-RU"/>
        </w:rPr>
        <w:t>77% мужчин</w:t>
      </w:r>
      <w:r w:rsidRPr="00945782">
        <w:rPr>
          <w:lang w:val="ru-RU"/>
        </w:rPr>
        <w:t xml:space="preserve"> и </w:t>
      </w:r>
      <w:r w:rsidRPr="00945782">
        <w:rPr>
          <w:b/>
          <w:bCs/>
          <w:lang w:val="ru-RU"/>
        </w:rPr>
        <w:t>71% женщин</w:t>
      </w:r>
      <w:r w:rsidRPr="00945782">
        <w:rPr>
          <w:lang w:val="ru-RU"/>
        </w:rPr>
        <w:t xml:space="preserve">, при этом глобальный показатель гендерного паритета составил </w:t>
      </w:r>
      <w:r w:rsidRPr="00945782">
        <w:rPr>
          <w:b/>
          <w:bCs/>
          <w:lang w:val="ru-RU"/>
        </w:rPr>
        <w:t>0,92</w:t>
      </w:r>
      <w:r w:rsidRPr="00945782">
        <w:rPr>
          <w:lang w:val="ru-RU"/>
        </w:rPr>
        <w:t xml:space="preserve"> и остается неизменным с 2019</w:t>
      </w:r>
      <w:r w:rsidR="00E96316" w:rsidRPr="00945782">
        <w:rPr>
          <w:lang w:val="ru-RU"/>
        </w:rPr>
        <w:t> </w:t>
      </w:r>
      <w:r w:rsidRPr="00945782">
        <w:rPr>
          <w:lang w:val="ru-RU"/>
        </w:rPr>
        <w:t>года.</w:t>
      </w:r>
    </w:p>
    <w:p w14:paraId="190706AA" w14:textId="1320ED97" w:rsidR="00D82062" w:rsidRPr="00945782" w:rsidRDefault="00D82062" w:rsidP="00E96316">
      <w:pPr>
        <w:pStyle w:val="enumlev1"/>
        <w:rPr>
          <w:lang w:val="ru-RU"/>
        </w:rPr>
      </w:pPr>
      <w:r w:rsidRPr="00945782">
        <w:rPr>
          <w:lang w:val="ru-RU"/>
        </w:rPr>
        <w:t>•</w:t>
      </w:r>
      <w:r w:rsidRPr="00945782">
        <w:rPr>
          <w:lang w:val="ru-RU"/>
        </w:rPr>
        <w:tab/>
        <w:t>В мероприятиях, приуроченных к Международному дню "Девушки в ИКТ" в 2023</w:t>
      </w:r>
      <w:r w:rsidR="00B37B6D" w:rsidRPr="00945782">
        <w:rPr>
          <w:lang w:val="ru-RU"/>
        </w:rPr>
        <w:t>−</w:t>
      </w:r>
      <w:r w:rsidRPr="00945782">
        <w:rPr>
          <w:lang w:val="ru-RU"/>
        </w:rPr>
        <w:t>2025</w:t>
      </w:r>
      <w:r w:rsidR="00E96316" w:rsidRPr="00945782">
        <w:rPr>
          <w:lang w:val="ru-RU"/>
        </w:rPr>
        <w:t> </w:t>
      </w:r>
      <w:r w:rsidRPr="00945782">
        <w:rPr>
          <w:lang w:val="ru-RU"/>
        </w:rPr>
        <w:t xml:space="preserve">годах (всего </w:t>
      </w:r>
      <w:r w:rsidRPr="00945782">
        <w:rPr>
          <w:b/>
          <w:bCs/>
          <w:lang w:val="ru-RU"/>
        </w:rPr>
        <w:t>472 мероприятия</w:t>
      </w:r>
      <w:r w:rsidRPr="00945782">
        <w:rPr>
          <w:lang w:val="ru-RU"/>
        </w:rPr>
        <w:t xml:space="preserve">) приняли участие </w:t>
      </w:r>
      <w:r w:rsidRPr="00945782">
        <w:rPr>
          <w:b/>
          <w:bCs/>
          <w:lang w:val="ru-RU"/>
        </w:rPr>
        <w:t>76 000 девушек</w:t>
      </w:r>
      <w:r w:rsidRPr="00945782">
        <w:rPr>
          <w:lang w:val="ru-RU"/>
        </w:rPr>
        <w:t>.</w:t>
      </w:r>
    </w:p>
    <w:p w14:paraId="3D976041" w14:textId="77777777" w:rsidR="00D82062" w:rsidRPr="00945782" w:rsidRDefault="00D82062" w:rsidP="00E96316">
      <w:pPr>
        <w:pStyle w:val="enumlev1"/>
        <w:rPr>
          <w:lang w:val="ru-RU"/>
        </w:rPr>
      </w:pPr>
      <w:r w:rsidRPr="00945782">
        <w:rPr>
          <w:lang w:val="ru-RU"/>
        </w:rPr>
        <w:t>•</w:t>
      </w:r>
      <w:r w:rsidRPr="00945782">
        <w:rPr>
          <w:lang w:val="ru-RU"/>
        </w:rPr>
        <w:tab/>
        <w:t xml:space="preserve">В </w:t>
      </w:r>
      <w:r w:rsidRPr="00945782">
        <w:rPr>
          <w:b/>
          <w:bCs/>
          <w:lang w:val="ru-RU"/>
        </w:rPr>
        <w:t>Акселераторе навыков в области ИИ</w:t>
      </w:r>
      <w:r w:rsidRPr="00945782">
        <w:rPr>
          <w:lang w:val="ru-RU"/>
        </w:rPr>
        <w:t xml:space="preserve"> </w:t>
      </w:r>
      <w:r w:rsidRPr="00945782">
        <w:rPr>
          <w:b/>
          <w:bCs/>
          <w:lang w:val="ru-RU"/>
        </w:rPr>
        <w:t>для девушек</w:t>
      </w:r>
      <w:r w:rsidRPr="00945782">
        <w:rPr>
          <w:lang w:val="ru-RU"/>
        </w:rPr>
        <w:t xml:space="preserve"> приняли участие </w:t>
      </w:r>
      <w:r w:rsidRPr="00945782">
        <w:rPr>
          <w:b/>
          <w:bCs/>
          <w:lang w:val="ru-RU"/>
        </w:rPr>
        <w:t>820</w:t>
      </w:r>
      <w:r w:rsidRPr="00945782">
        <w:rPr>
          <w:lang w:val="ru-RU"/>
        </w:rPr>
        <w:t> </w:t>
      </w:r>
      <w:r w:rsidRPr="00945782">
        <w:rPr>
          <w:b/>
          <w:bCs/>
          <w:lang w:val="ru-RU"/>
        </w:rPr>
        <w:t xml:space="preserve">молодых женщин </w:t>
      </w:r>
      <w:r w:rsidRPr="00945782">
        <w:rPr>
          <w:lang w:val="ru-RU"/>
        </w:rPr>
        <w:t xml:space="preserve">из </w:t>
      </w:r>
      <w:r w:rsidRPr="00945782">
        <w:rPr>
          <w:b/>
          <w:bCs/>
          <w:lang w:val="ru-RU"/>
        </w:rPr>
        <w:t>шести регионов</w:t>
      </w:r>
      <w:r w:rsidRPr="00945782">
        <w:rPr>
          <w:lang w:val="ru-RU"/>
        </w:rPr>
        <w:t>.</w:t>
      </w:r>
    </w:p>
    <w:p w14:paraId="735475CD" w14:textId="77777777" w:rsidR="00D82062" w:rsidRPr="00945782" w:rsidRDefault="00D82062" w:rsidP="00E96316">
      <w:pPr>
        <w:pStyle w:val="enumlev1"/>
        <w:rPr>
          <w:lang w:val="ru-RU"/>
        </w:rPr>
      </w:pPr>
      <w:r w:rsidRPr="00945782">
        <w:rPr>
          <w:lang w:val="ru-RU"/>
        </w:rPr>
        <w:t>•</w:t>
      </w:r>
      <w:r w:rsidRPr="00945782">
        <w:rPr>
          <w:lang w:val="ru-RU"/>
        </w:rPr>
        <w:tab/>
        <w:t xml:space="preserve">Число молодежных посланников достигло </w:t>
      </w:r>
      <w:r w:rsidRPr="00945782">
        <w:rPr>
          <w:b/>
          <w:bCs/>
          <w:lang w:val="ru-RU"/>
        </w:rPr>
        <w:t>180 в 120 странах</w:t>
      </w:r>
      <w:r w:rsidRPr="00945782">
        <w:rPr>
          <w:lang w:val="ru-RU"/>
        </w:rPr>
        <w:t xml:space="preserve">, а Глобальный молодежный саммит МСЭ (ГМС-25) объединил </w:t>
      </w:r>
      <w:r w:rsidRPr="00945782">
        <w:rPr>
          <w:b/>
          <w:bCs/>
          <w:lang w:val="ru-RU"/>
        </w:rPr>
        <w:t>400 участников</w:t>
      </w:r>
      <w:r w:rsidRPr="00945782">
        <w:rPr>
          <w:lang w:val="ru-RU"/>
        </w:rPr>
        <w:t xml:space="preserve"> из </w:t>
      </w:r>
      <w:r w:rsidRPr="00945782">
        <w:rPr>
          <w:b/>
          <w:bCs/>
          <w:lang w:val="ru-RU"/>
        </w:rPr>
        <w:t>31 страны</w:t>
      </w:r>
      <w:r w:rsidRPr="00945782">
        <w:rPr>
          <w:lang w:val="ru-RU"/>
        </w:rPr>
        <w:t>.</w:t>
      </w:r>
    </w:p>
    <w:p w14:paraId="0A3831A9" w14:textId="77777777" w:rsidR="00D82062" w:rsidRPr="00945782" w:rsidRDefault="00D82062" w:rsidP="00E96316">
      <w:pPr>
        <w:pStyle w:val="enumlev1"/>
        <w:rPr>
          <w:lang w:val="ru-RU"/>
        </w:rPr>
      </w:pPr>
      <w:r w:rsidRPr="00945782">
        <w:rPr>
          <w:lang w:val="ru-RU"/>
        </w:rPr>
        <w:t>•</w:t>
      </w:r>
      <w:r w:rsidRPr="00945782">
        <w:rPr>
          <w:lang w:val="ru-RU"/>
        </w:rPr>
        <w:tab/>
        <w:t xml:space="preserve">Число стран, имеющих рамочные механизмы обеспечения доступности ИКТ, достигло </w:t>
      </w:r>
      <w:r w:rsidRPr="00945782">
        <w:rPr>
          <w:b/>
          <w:bCs/>
          <w:lang w:val="ru-RU"/>
        </w:rPr>
        <w:t>101</w:t>
      </w:r>
      <w:r w:rsidRPr="00945782">
        <w:rPr>
          <w:lang w:val="ru-RU"/>
        </w:rPr>
        <w:t>, и МСЭ-R утвердил обновления к пяти публикациям, связанным с доступностью.</w:t>
      </w:r>
    </w:p>
    <w:p w14:paraId="28D5E15C" w14:textId="77777777" w:rsidR="00D82062" w:rsidRPr="00945782" w:rsidRDefault="00D82062" w:rsidP="00E96316">
      <w:pPr>
        <w:pStyle w:val="enumlev1"/>
        <w:rPr>
          <w:lang w:val="ru-RU"/>
        </w:rPr>
      </w:pPr>
      <w:r w:rsidRPr="00945782">
        <w:rPr>
          <w:lang w:val="ru-RU"/>
        </w:rPr>
        <w:t>•</w:t>
      </w:r>
      <w:r w:rsidRPr="00945782">
        <w:rPr>
          <w:lang w:val="ru-RU"/>
        </w:rPr>
        <w:tab/>
        <w:t xml:space="preserve">Программы подготовки для коренных народов были расширены на </w:t>
      </w:r>
      <w:r w:rsidRPr="00945782">
        <w:rPr>
          <w:b/>
          <w:bCs/>
          <w:lang w:val="ru-RU"/>
        </w:rPr>
        <w:t>Латинскую Америку</w:t>
      </w:r>
      <w:r w:rsidRPr="00945782">
        <w:rPr>
          <w:lang w:val="ru-RU"/>
        </w:rPr>
        <w:t xml:space="preserve">, </w:t>
      </w:r>
      <w:r w:rsidRPr="00945782">
        <w:rPr>
          <w:b/>
          <w:bCs/>
          <w:lang w:val="ru-RU"/>
        </w:rPr>
        <w:t xml:space="preserve">Африку </w:t>
      </w:r>
      <w:r w:rsidRPr="00945782">
        <w:rPr>
          <w:lang w:val="ru-RU"/>
        </w:rPr>
        <w:t xml:space="preserve">и </w:t>
      </w:r>
      <w:r w:rsidRPr="00945782">
        <w:rPr>
          <w:b/>
          <w:bCs/>
          <w:lang w:val="ru-RU"/>
        </w:rPr>
        <w:t>Карибский бассейн</w:t>
      </w:r>
      <w:r w:rsidRPr="00945782">
        <w:rPr>
          <w:lang w:val="ru-RU"/>
        </w:rPr>
        <w:t>, обеспечив подготовку сотен местных операторов сетей.</w:t>
      </w:r>
    </w:p>
    <w:p w14:paraId="30334C68" w14:textId="77777777" w:rsidR="00D82062" w:rsidRPr="00945782" w:rsidRDefault="00D82062" w:rsidP="00E96316">
      <w:pPr>
        <w:pStyle w:val="Headingb"/>
        <w:rPr>
          <w:lang w:val="ru-RU"/>
        </w:rPr>
      </w:pPr>
      <w:r w:rsidRPr="00945782">
        <w:rPr>
          <w:lang w:val="ru-RU"/>
        </w:rPr>
        <w:t>Экологическая устойчивость, борьба с изменением климата и циркуляционная экономика</w:t>
      </w:r>
    </w:p>
    <w:p w14:paraId="3B06FE49" w14:textId="77777777" w:rsidR="00D82062" w:rsidRPr="00945782" w:rsidRDefault="00D82062" w:rsidP="00E96316">
      <w:pPr>
        <w:pStyle w:val="enumlev1"/>
        <w:rPr>
          <w:lang w:val="ru-RU"/>
        </w:rPr>
      </w:pPr>
      <w:r w:rsidRPr="00945782">
        <w:rPr>
          <w:lang w:val="ru-RU"/>
        </w:rPr>
        <w:t>•</w:t>
      </w:r>
      <w:r w:rsidRPr="00945782">
        <w:rPr>
          <w:lang w:val="ru-RU"/>
        </w:rPr>
        <w:tab/>
        <w:t xml:space="preserve">В 2022 году глобальный объем электронных отходов достиг </w:t>
      </w:r>
      <w:r w:rsidRPr="00945782">
        <w:rPr>
          <w:b/>
          <w:bCs/>
          <w:lang w:val="ru-RU"/>
        </w:rPr>
        <w:t>62 млрд. кг</w:t>
      </w:r>
      <w:r w:rsidRPr="00945782">
        <w:rPr>
          <w:lang w:val="ru-RU"/>
        </w:rPr>
        <w:t xml:space="preserve">, при этом уровень переработки составил лишь </w:t>
      </w:r>
      <w:r w:rsidRPr="00945782">
        <w:rPr>
          <w:b/>
          <w:bCs/>
          <w:lang w:val="ru-RU"/>
        </w:rPr>
        <w:t>22,3%;</w:t>
      </w:r>
      <w:r w:rsidRPr="00945782">
        <w:rPr>
          <w:lang w:val="ru-RU"/>
        </w:rPr>
        <w:t xml:space="preserve"> ожидается, что </w:t>
      </w:r>
      <w:r w:rsidRPr="00945782">
        <w:rPr>
          <w:b/>
          <w:bCs/>
          <w:lang w:val="ru-RU"/>
        </w:rPr>
        <w:t>к 2030 году</w:t>
      </w:r>
      <w:r w:rsidRPr="00945782">
        <w:rPr>
          <w:lang w:val="ru-RU"/>
        </w:rPr>
        <w:t xml:space="preserve"> объем электронных отходов достигнет </w:t>
      </w:r>
      <w:r w:rsidRPr="00945782">
        <w:rPr>
          <w:b/>
          <w:bCs/>
          <w:lang w:val="ru-RU"/>
        </w:rPr>
        <w:t>82 млрд. кг</w:t>
      </w:r>
      <w:r w:rsidRPr="00945782">
        <w:rPr>
          <w:lang w:val="ru-RU"/>
        </w:rPr>
        <w:t>.</w:t>
      </w:r>
    </w:p>
    <w:p w14:paraId="1655FB75" w14:textId="77777777" w:rsidR="00D82062" w:rsidRPr="00945782" w:rsidRDefault="00D82062" w:rsidP="00E96316">
      <w:pPr>
        <w:pStyle w:val="enumlev1"/>
        <w:rPr>
          <w:lang w:val="ru-RU"/>
        </w:rPr>
      </w:pPr>
      <w:r w:rsidRPr="00945782">
        <w:rPr>
          <w:lang w:val="ru-RU"/>
        </w:rPr>
        <w:lastRenderedPageBreak/>
        <w:t>•</w:t>
      </w:r>
      <w:r w:rsidRPr="00945782">
        <w:rPr>
          <w:lang w:val="ru-RU"/>
        </w:rPr>
        <w:tab/>
        <w:t xml:space="preserve">В период 2023–2025 годов МСЭ оказал поддержку </w:t>
      </w:r>
      <w:r w:rsidRPr="00945782">
        <w:rPr>
          <w:b/>
          <w:bCs/>
          <w:lang w:val="ru-RU"/>
        </w:rPr>
        <w:t>14 странам</w:t>
      </w:r>
      <w:r w:rsidRPr="00945782">
        <w:rPr>
          <w:lang w:val="ru-RU"/>
        </w:rPr>
        <w:t xml:space="preserve"> в разработке регулирования в области ответственности производителей и политики в области экономики замкнутого цикла.</w:t>
      </w:r>
    </w:p>
    <w:p w14:paraId="7B9C6F2C" w14:textId="77777777" w:rsidR="00D82062" w:rsidRPr="00945782" w:rsidRDefault="00D82062" w:rsidP="00E96316">
      <w:pPr>
        <w:pStyle w:val="enumlev1"/>
        <w:rPr>
          <w:lang w:val="ru-RU"/>
        </w:rPr>
      </w:pPr>
      <w:r w:rsidRPr="00945782">
        <w:rPr>
          <w:lang w:val="ru-RU"/>
        </w:rPr>
        <w:t>•</w:t>
      </w:r>
      <w:r w:rsidRPr="00945782">
        <w:rPr>
          <w:lang w:val="ru-RU"/>
        </w:rPr>
        <w:tab/>
        <w:t xml:space="preserve">Цифровая информационная панель МСЭ по экологизации охватывает </w:t>
      </w:r>
      <w:r w:rsidRPr="00945782">
        <w:rPr>
          <w:b/>
          <w:bCs/>
          <w:lang w:val="ru-RU"/>
        </w:rPr>
        <w:t xml:space="preserve">200 цифровых компаний </w:t>
      </w:r>
      <w:r w:rsidRPr="00945782">
        <w:rPr>
          <w:lang w:val="ru-RU"/>
        </w:rPr>
        <w:t xml:space="preserve">и показывает, что в 2023 году их выбросы составили </w:t>
      </w:r>
      <w:r w:rsidRPr="00945782">
        <w:rPr>
          <w:b/>
          <w:bCs/>
          <w:lang w:val="ru-RU"/>
        </w:rPr>
        <w:t>297,3 млн. тонн CO₂-эквивалента (т CO₂-экв)</w:t>
      </w:r>
      <w:r w:rsidRPr="00945782">
        <w:rPr>
          <w:lang w:val="ru-RU"/>
        </w:rPr>
        <w:t>, или 0,8% глобальных выбросов, связанных с энергетикой.</w:t>
      </w:r>
    </w:p>
    <w:p w14:paraId="3B61E99D" w14:textId="77777777" w:rsidR="00D82062" w:rsidRPr="00945782" w:rsidRDefault="00D82062" w:rsidP="00E96316">
      <w:pPr>
        <w:pStyle w:val="enumlev1"/>
        <w:rPr>
          <w:lang w:val="ru-RU"/>
        </w:rPr>
      </w:pPr>
      <w:r w:rsidRPr="00945782">
        <w:rPr>
          <w:lang w:val="ru-RU"/>
        </w:rPr>
        <w:t>•</w:t>
      </w:r>
      <w:r w:rsidRPr="00945782">
        <w:rPr>
          <w:lang w:val="ru-RU"/>
        </w:rPr>
        <w:tab/>
        <w:t xml:space="preserve">В период 2022–2025 годов 5-я Исследовательская комиссия Сектора стандартизации электросвязи МСЭ (МСЭ-T) утвердила </w:t>
      </w:r>
      <w:r w:rsidRPr="00945782">
        <w:rPr>
          <w:b/>
          <w:bCs/>
          <w:lang w:val="ru-RU"/>
        </w:rPr>
        <w:t>110 Рекомендаций</w:t>
      </w:r>
      <w:r w:rsidRPr="00945782">
        <w:rPr>
          <w:lang w:val="ru-RU"/>
        </w:rPr>
        <w:t xml:space="preserve"> по экологической устойчивости.</w:t>
      </w:r>
    </w:p>
    <w:p w14:paraId="364C04FA" w14:textId="42E3541C" w:rsidR="00D82062" w:rsidRPr="00945782" w:rsidRDefault="00D82062" w:rsidP="00E96316">
      <w:pPr>
        <w:pStyle w:val="enumlev1"/>
        <w:rPr>
          <w:lang w:val="ru-RU"/>
        </w:rPr>
      </w:pPr>
      <w:r w:rsidRPr="00945782">
        <w:rPr>
          <w:lang w:val="ru-RU"/>
        </w:rPr>
        <w:t>•</w:t>
      </w:r>
      <w:r w:rsidRPr="00945782">
        <w:rPr>
          <w:lang w:val="ru-RU"/>
        </w:rPr>
        <w:tab/>
        <w:t xml:space="preserve">В рамках инициативы МСЭ "Зеленая цифровая кампания" была обеспечена поддержка Декларации председательства КС-29 по "Зеленой цифровой кампании" со стороны </w:t>
      </w:r>
      <w:r w:rsidRPr="00945782">
        <w:rPr>
          <w:b/>
          <w:bCs/>
          <w:lang w:val="ru-RU"/>
        </w:rPr>
        <w:t>82</w:t>
      </w:r>
      <w:r w:rsidR="00E96316" w:rsidRPr="00945782">
        <w:rPr>
          <w:b/>
          <w:bCs/>
          <w:lang w:val="ru-RU"/>
        </w:rPr>
        <w:t> </w:t>
      </w:r>
      <w:r w:rsidRPr="00945782">
        <w:rPr>
          <w:b/>
          <w:bCs/>
          <w:lang w:val="ru-RU"/>
        </w:rPr>
        <w:t>стран</w:t>
      </w:r>
      <w:r w:rsidRPr="00945782">
        <w:rPr>
          <w:lang w:val="ru-RU"/>
        </w:rPr>
        <w:t xml:space="preserve"> и почти </w:t>
      </w:r>
      <w:r w:rsidRPr="00945782">
        <w:rPr>
          <w:b/>
          <w:bCs/>
          <w:lang w:val="ru-RU"/>
        </w:rPr>
        <w:t>1800 негосударственных субъектов</w:t>
      </w:r>
      <w:r w:rsidRPr="00945782">
        <w:rPr>
          <w:lang w:val="ru-RU"/>
        </w:rPr>
        <w:t>.</w:t>
      </w:r>
    </w:p>
    <w:p w14:paraId="1D67B59A" w14:textId="77777777" w:rsidR="00D82062" w:rsidRPr="00945782" w:rsidRDefault="00D82062" w:rsidP="00E96316">
      <w:pPr>
        <w:pStyle w:val="Headingb"/>
        <w:rPr>
          <w:lang w:val="ru-RU"/>
        </w:rPr>
      </w:pPr>
      <w:r w:rsidRPr="00945782">
        <w:rPr>
          <w:lang w:val="ru-RU"/>
        </w:rPr>
        <w:t>Членский состав</w:t>
      </w:r>
    </w:p>
    <w:p w14:paraId="2EAE9310" w14:textId="6A782212" w:rsidR="00D82062" w:rsidRPr="00945782" w:rsidRDefault="00D82062" w:rsidP="00E96316">
      <w:pPr>
        <w:pStyle w:val="enumlev1"/>
        <w:rPr>
          <w:lang w:val="ru-RU"/>
        </w:rPr>
      </w:pPr>
      <w:r w:rsidRPr="00945782">
        <w:rPr>
          <w:lang w:val="ru-RU"/>
        </w:rPr>
        <w:t>•</w:t>
      </w:r>
      <w:r w:rsidRPr="00945782">
        <w:rPr>
          <w:lang w:val="ru-RU"/>
        </w:rPr>
        <w:tab/>
        <w:t xml:space="preserve">В 2025 году число членов МСЭ достигло </w:t>
      </w:r>
      <w:r w:rsidRPr="00945782">
        <w:rPr>
          <w:b/>
          <w:bCs/>
          <w:lang w:val="ru-RU"/>
        </w:rPr>
        <w:t>1048 организаций</w:t>
      </w:r>
      <w:r w:rsidRPr="00945782">
        <w:rPr>
          <w:lang w:val="ru-RU"/>
        </w:rPr>
        <w:t xml:space="preserve">, что означает, что чистый прирост составил </w:t>
      </w:r>
      <w:r w:rsidRPr="00945782">
        <w:rPr>
          <w:b/>
          <w:bCs/>
          <w:lang w:val="ru-RU"/>
        </w:rPr>
        <w:t>139</w:t>
      </w:r>
      <w:r w:rsidRPr="00945782">
        <w:rPr>
          <w:lang w:val="ru-RU"/>
        </w:rPr>
        <w:t> членов (402 новых и 263 выбывших) по сравнению с 2022</w:t>
      </w:r>
      <w:r w:rsidR="00E96316" w:rsidRPr="00945782">
        <w:rPr>
          <w:lang w:val="ru-RU"/>
        </w:rPr>
        <w:t> </w:t>
      </w:r>
      <w:r w:rsidRPr="00945782">
        <w:rPr>
          <w:lang w:val="ru-RU"/>
        </w:rPr>
        <w:t>годом.</w:t>
      </w:r>
    </w:p>
    <w:p w14:paraId="7A4C968A" w14:textId="77DE6D01" w:rsidR="00D82062" w:rsidRPr="00945782" w:rsidRDefault="00D82062" w:rsidP="00E96316">
      <w:pPr>
        <w:pStyle w:val="enumlev1"/>
        <w:rPr>
          <w:lang w:val="ru-RU"/>
        </w:rPr>
      </w:pPr>
      <w:r w:rsidRPr="00945782">
        <w:rPr>
          <w:lang w:val="ru-RU"/>
        </w:rPr>
        <w:t>•</w:t>
      </w:r>
      <w:r w:rsidRPr="00945782">
        <w:rPr>
          <w:lang w:val="ru-RU"/>
        </w:rPr>
        <w:tab/>
        <w:t>Число ассоциированных членов из числа малых и средних предприятий (с</w:t>
      </w:r>
      <w:r w:rsidR="00E96316" w:rsidRPr="00945782">
        <w:rPr>
          <w:lang w:val="ru-RU"/>
        </w:rPr>
        <w:t> </w:t>
      </w:r>
      <w:r w:rsidRPr="00945782">
        <w:rPr>
          <w:lang w:val="ru-RU"/>
        </w:rPr>
        <w:t xml:space="preserve">пониженным взносом) достигло </w:t>
      </w:r>
      <w:r w:rsidRPr="00945782">
        <w:rPr>
          <w:b/>
          <w:bCs/>
          <w:lang w:val="ru-RU"/>
        </w:rPr>
        <w:t>120</w:t>
      </w:r>
      <w:r w:rsidRPr="00945782">
        <w:rPr>
          <w:lang w:val="ru-RU"/>
        </w:rPr>
        <w:t xml:space="preserve">, при этом чистый </w:t>
      </w:r>
      <w:r w:rsidRPr="00945782">
        <w:rPr>
          <w:b/>
          <w:bCs/>
          <w:lang w:val="ru-RU"/>
        </w:rPr>
        <w:t>прирост</w:t>
      </w:r>
      <w:r w:rsidRPr="00945782">
        <w:rPr>
          <w:lang w:val="ru-RU"/>
        </w:rPr>
        <w:t xml:space="preserve"> в 2025 году составил</w:t>
      </w:r>
      <w:r w:rsidR="00E96316" w:rsidRPr="00945782">
        <w:rPr>
          <w:lang w:val="ru-RU"/>
        </w:rPr>
        <w:t> </w:t>
      </w:r>
      <w:r w:rsidRPr="00945782">
        <w:rPr>
          <w:b/>
          <w:bCs/>
          <w:lang w:val="ru-RU"/>
        </w:rPr>
        <w:t>26</w:t>
      </w:r>
      <w:r w:rsidRPr="00945782">
        <w:rPr>
          <w:lang w:val="ru-RU"/>
        </w:rPr>
        <w:t>.</w:t>
      </w:r>
    </w:p>
    <w:p w14:paraId="67382225" w14:textId="77777777" w:rsidR="00D82062" w:rsidRPr="00945782" w:rsidRDefault="00D82062" w:rsidP="00E96316">
      <w:pPr>
        <w:pStyle w:val="Headingb"/>
        <w:rPr>
          <w:lang w:val="ru-RU"/>
        </w:rPr>
      </w:pPr>
      <w:r w:rsidRPr="00945782">
        <w:rPr>
          <w:lang w:val="ru-RU"/>
        </w:rPr>
        <w:t>Организационная трансформация</w:t>
      </w:r>
    </w:p>
    <w:p w14:paraId="6F82C293" w14:textId="77777777" w:rsidR="00D82062" w:rsidRPr="00945782" w:rsidRDefault="00D82062" w:rsidP="00E96316">
      <w:pPr>
        <w:pStyle w:val="enumlev1"/>
        <w:rPr>
          <w:lang w:val="ru-RU"/>
        </w:rPr>
      </w:pPr>
      <w:r w:rsidRPr="00945782">
        <w:rPr>
          <w:b/>
          <w:bCs/>
          <w:lang w:val="ru-RU"/>
        </w:rPr>
        <w:t>•</w:t>
      </w:r>
      <w:r w:rsidRPr="00945782">
        <w:rPr>
          <w:b/>
          <w:bCs/>
          <w:lang w:val="ru-RU"/>
        </w:rPr>
        <w:tab/>
      </w:r>
      <w:r w:rsidRPr="00945782">
        <w:rPr>
          <w:lang w:val="ru-RU"/>
        </w:rPr>
        <w:t xml:space="preserve">МСЭ улучшил казначейские операции, управление внебюджетными средствами и системы распределения бюджета, обеспечив тем самым получение серии аудиторских заключений без оговорок и достижение </w:t>
      </w:r>
      <w:r w:rsidRPr="00945782">
        <w:rPr>
          <w:b/>
          <w:bCs/>
          <w:lang w:val="ru-RU"/>
        </w:rPr>
        <w:t>полного соответствия IPSAS</w:t>
      </w:r>
      <w:r w:rsidRPr="00945782">
        <w:rPr>
          <w:lang w:val="ru-RU"/>
        </w:rPr>
        <w:t>.</w:t>
      </w:r>
    </w:p>
    <w:p w14:paraId="066F7924" w14:textId="77777777" w:rsidR="00D82062" w:rsidRPr="00945782" w:rsidRDefault="00D82062" w:rsidP="00E96316">
      <w:pPr>
        <w:pStyle w:val="enumlev1"/>
        <w:rPr>
          <w:lang w:val="ru-RU"/>
        </w:rPr>
      </w:pPr>
      <w:r w:rsidRPr="00945782">
        <w:rPr>
          <w:lang w:val="ru-RU"/>
        </w:rPr>
        <w:t>•</w:t>
      </w:r>
      <w:r w:rsidRPr="00945782">
        <w:rPr>
          <w:lang w:val="ru-RU"/>
        </w:rPr>
        <w:tab/>
        <w:t xml:space="preserve">Благодаря проактивному и дисциплинированному управлению финансовыми ресурсами МСЭ достиг </w:t>
      </w:r>
      <w:r w:rsidRPr="00945782">
        <w:rPr>
          <w:b/>
          <w:bCs/>
          <w:lang w:val="ru-RU"/>
        </w:rPr>
        <w:t>профицита бюджета в размере 3%</w:t>
      </w:r>
      <w:r w:rsidRPr="00945782">
        <w:rPr>
          <w:lang w:val="ru-RU"/>
        </w:rPr>
        <w:t xml:space="preserve"> в 2024 году и </w:t>
      </w:r>
      <w:r w:rsidRPr="00945782">
        <w:rPr>
          <w:b/>
          <w:bCs/>
          <w:lang w:val="ru-RU"/>
        </w:rPr>
        <w:t>профицита в размере 7%</w:t>
      </w:r>
      <w:r w:rsidRPr="00945782">
        <w:rPr>
          <w:lang w:val="ru-RU"/>
        </w:rPr>
        <w:t xml:space="preserve"> в 2025 году.</w:t>
      </w:r>
    </w:p>
    <w:p w14:paraId="7D8717BE" w14:textId="77777777" w:rsidR="00D82062" w:rsidRPr="00945782" w:rsidRDefault="00D82062" w:rsidP="00E96316">
      <w:pPr>
        <w:pStyle w:val="enumlev1"/>
        <w:rPr>
          <w:lang w:val="ru-RU"/>
        </w:rPr>
      </w:pPr>
      <w:r w:rsidRPr="00945782">
        <w:rPr>
          <w:lang w:val="ru-RU"/>
        </w:rPr>
        <w:t>•</w:t>
      </w:r>
      <w:r w:rsidRPr="00945782">
        <w:rPr>
          <w:lang w:val="ru-RU"/>
        </w:rPr>
        <w:tab/>
        <w:t xml:space="preserve">МСЭ уделял приоритетное внимание трансформации в области персонала и организационной культуры, в том числе провел первое </w:t>
      </w:r>
      <w:r w:rsidRPr="00945782">
        <w:rPr>
          <w:b/>
          <w:bCs/>
          <w:lang w:val="ru-RU"/>
        </w:rPr>
        <w:t>обследование вовлеченности персонала</w:t>
      </w:r>
      <w:r w:rsidRPr="00945782">
        <w:rPr>
          <w:lang w:val="ru-RU"/>
        </w:rPr>
        <w:t xml:space="preserve"> и разработал последующие планы действий, продолжил реализацию </w:t>
      </w:r>
      <w:r w:rsidRPr="00945782">
        <w:rPr>
          <w:b/>
          <w:bCs/>
          <w:lang w:val="ru-RU"/>
        </w:rPr>
        <w:t>программы адаптивного руководства</w:t>
      </w:r>
      <w:r w:rsidRPr="00945782">
        <w:rPr>
          <w:lang w:val="ru-RU"/>
        </w:rPr>
        <w:t xml:space="preserve">, а также внедрил программу </w:t>
      </w:r>
      <w:r w:rsidRPr="00945782">
        <w:rPr>
          <w:b/>
          <w:bCs/>
          <w:lang w:val="ru-RU"/>
        </w:rPr>
        <w:t>поощрения и признания</w:t>
      </w:r>
      <w:r w:rsidRPr="00945782">
        <w:rPr>
          <w:lang w:val="ru-RU"/>
        </w:rPr>
        <w:t>.</w:t>
      </w:r>
    </w:p>
    <w:p w14:paraId="42A6C0AB" w14:textId="77777777" w:rsidR="00D82062" w:rsidRPr="00945782" w:rsidRDefault="00D82062" w:rsidP="00E96316">
      <w:pPr>
        <w:pStyle w:val="enumlev1"/>
        <w:rPr>
          <w:lang w:val="ru-RU"/>
        </w:rPr>
      </w:pPr>
      <w:r w:rsidRPr="00945782">
        <w:rPr>
          <w:lang w:val="ru-RU"/>
        </w:rPr>
        <w:t>•</w:t>
      </w:r>
      <w:r w:rsidRPr="00945782">
        <w:rPr>
          <w:lang w:val="ru-RU"/>
        </w:rPr>
        <w:tab/>
        <w:t xml:space="preserve">МСЭ значительно укрепил систему управления и надзора путем создания </w:t>
      </w:r>
      <w:r w:rsidRPr="00945782">
        <w:rPr>
          <w:b/>
          <w:bCs/>
          <w:lang w:val="ru-RU"/>
        </w:rPr>
        <w:t>Подразделения по надзору</w:t>
      </w:r>
      <w:r w:rsidRPr="00945782">
        <w:rPr>
          <w:lang w:val="ru-RU"/>
        </w:rPr>
        <w:t xml:space="preserve"> (полностью укомплектованного к январю 2026 г.), учреждения </w:t>
      </w:r>
      <w:r w:rsidRPr="00945782">
        <w:rPr>
          <w:b/>
          <w:bCs/>
          <w:lang w:val="ru-RU"/>
        </w:rPr>
        <w:t>функции оценки</w:t>
      </w:r>
      <w:r w:rsidRPr="00945782">
        <w:rPr>
          <w:lang w:val="ru-RU"/>
        </w:rPr>
        <w:t xml:space="preserve">, формализации </w:t>
      </w:r>
      <w:r w:rsidRPr="00945782">
        <w:rPr>
          <w:b/>
          <w:bCs/>
          <w:lang w:val="ru-RU"/>
        </w:rPr>
        <w:t>устава по вопросам этики</w:t>
      </w:r>
      <w:r w:rsidRPr="00945782">
        <w:rPr>
          <w:lang w:val="ru-RU"/>
        </w:rPr>
        <w:t xml:space="preserve"> и создания независимой функции </w:t>
      </w:r>
      <w:r w:rsidRPr="00945782">
        <w:rPr>
          <w:b/>
          <w:bCs/>
          <w:lang w:val="ru-RU"/>
        </w:rPr>
        <w:t>омбудсмена</w:t>
      </w:r>
      <w:r w:rsidRPr="00945782">
        <w:rPr>
          <w:lang w:val="ru-RU"/>
        </w:rPr>
        <w:t>, а также проведения обучения сотрудников по вопросам оценки в целях формирования сообщества и развития компетенций.</w:t>
      </w:r>
    </w:p>
    <w:p w14:paraId="123A48A6" w14:textId="77777777" w:rsidR="00D82062" w:rsidRPr="00945782" w:rsidRDefault="00D82062" w:rsidP="00E96316">
      <w:pPr>
        <w:pStyle w:val="enumlev1"/>
        <w:rPr>
          <w:lang w:val="ru-RU"/>
        </w:rPr>
      </w:pPr>
      <w:r w:rsidRPr="00945782">
        <w:rPr>
          <w:lang w:val="ru-RU"/>
        </w:rPr>
        <w:t>•</w:t>
      </w:r>
      <w:r w:rsidRPr="00945782">
        <w:rPr>
          <w:lang w:val="ru-RU"/>
        </w:rPr>
        <w:tab/>
        <w:t xml:space="preserve">МСЭ добился значительного повышения эффективности благодаря использованию инструментов перевода и редактирования на базе ИИ, </w:t>
      </w:r>
      <w:r w:rsidRPr="00945782">
        <w:rPr>
          <w:b/>
          <w:bCs/>
          <w:lang w:val="ru-RU"/>
        </w:rPr>
        <w:t>увеличив производительность</w:t>
      </w:r>
      <w:r w:rsidRPr="00945782">
        <w:rPr>
          <w:lang w:val="ru-RU"/>
        </w:rPr>
        <w:t xml:space="preserve"> в области перевода </w:t>
      </w:r>
      <w:r w:rsidRPr="00945782">
        <w:rPr>
          <w:b/>
          <w:bCs/>
          <w:lang w:val="ru-RU"/>
        </w:rPr>
        <w:t>примерно на 20%</w:t>
      </w:r>
      <w:r w:rsidRPr="00945782">
        <w:rPr>
          <w:lang w:val="ru-RU"/>
        </w:rPr>
        <w:t>.</w:t>
      </w:r>
    </w:p>
    <w:p w14:paraId="6101CAB1" w14:textId="2EB09560" w:rsidR="00D82062" w:rsidRPr="00945782" w:rsidRDefault="00D82062" w:rsidP="00E96316">
      <w:pPr>
        <w:pStyle w:val="enumlev1"/>
        <w:rPr>
          <w:lang w:val="ru-RU"/>
        </w:rPr>
      </w:pPr>
      <w:r w:rsidRPr="00945782">
        <w:rPr>
          <w:lang w:val="ru-RU"/>
        </w:rPr>
        <w:t>•</w:t>
      </w:r>
      <w:r w:rsidRPr="00945782">
        <w:rPr>
          <w:lang w:val="ru-RU"/>
        </w:rPr>
        <w:tab/>
        <w:t xml:space="preserve">МСЭ добился снижения затрат на электроэнергию, включая их </w:t>
      </w:r>
      <w:r w:rsidRPr="00945782">
        <w:rPr>
          <w:b/>
          <w:bCs/>
          <w:lang w:val="ru-RU"/>
        </w:rPr>
        <w:t>сокращение на 40%</w:t>
      </w:r>
      <w:r w:rsidRPr="00945782">
        <w:rPr>
          <w:lang w:val="ru-RU"/>
        </w:rPr>
        <w:t xml:space="preserve"> в</w:t>
      </w:r>
      <w:r w:rsidR="00945782">
        <w:rPr>
          <w:lang w:val="ru-RU"/>
        </w:rPr>
        <w:t> </w:t>
      </w:r>
      <w:r w:rsidRPr="00945782">
        <w:rPr>
          <w:lang w:val="ru-RU"/>
        </w:rPr>
        <w:t xml:space="preserve">2024 году по сравнению с 2023 годом (примерно 650 тыс. шв. фр.) и </w:t>
      </w:r>
      <w:r w:rsidRPr="00945782">
        <w:rPr>
          <w:b/>
          <w:bCs/>
          <w:lang w:val="ru-RU"/>
        </w:rPr>
        <w:t>сокращение еще на 20%</w:t>
      </w:r>
      <w:r w:rsidRPr="00945782">
        <w:rPr>
          <w:lang w:val="ru-RU"/>
        </w:rPr>
        <w:t xml:space="preserve"> в 2025 году (примерно 200 тыс. шв. фр.).</w:t>
      </w:r>
    </w:p>
    <w:p w14:paraId="1CC9BF98" w14:textId="77777777" w:rsidR="00D82062" w:rsidRPr="00945782" w:rsidRDefault="00D82062" w:rsidP="00E96316">
      <w:pPr>
        <w:pStyle w:val="enumlev1"/>
        <w:rPr>
          <w:lang w:val="ru-RU"/>
        </w:rPr>
      </w:pPr>
      <w:r w:rsidRPr="00945782">
        <w:rPr>
          <w:lang w:val="ru-RU"/>
        </w:rPr>
        <w:t>•</w:t>
      </w:r>
      <w:r w:rsidRPr="00945782">
        <w:rPr>
          <w:lang w:val="ru-RU"/>
        </w:rPr>
        <w:tab/>
        <w:t xml:space="preserve">МСЭ переработал </w:t>
      </w:r>
      <w:r w:rsidRPr="00945782">
        <w:rPr>
          <w:b/>
          <w:bCs/>
          <w:lang w:val="ru-RU"/>
        </w:rPr>
        <w:t>проект нового здания</w:t>
      </w:r>
      <w:r w:rsidRPr="00945782">
        <w:rPr>
          <w:lang w:val="ru-RU"/>
        </w:rPr>
        <w:t xml:space="preserve"> с усилением механизмов управления и на основе итеративного процесса с участием ключевых заинтересованных сторон, принимая во внимание имеющиеся финансовые ресурсы.</w:t>
      </w:r>
    </w:p>
    <w:p w14:paraId="0EA3826F" w14:textId="77777777" w:rsidR="00C7285D" w:rsidRPr="00945782" w:rsidRDefault="00C7285D">
      <w:pPr>
        <w:tabs>
          <w:tab w:val="clear" w:pos="794"/>
          <w:tab w:val="clear" w:pos="1191"/>
          <w:tab w:val="clear" w:pos="1588"/>
          <w:tab w:val="clear" w:pos="1985"/>
        </w:tabs>
        <w:overflowPunct/>
        <w:autoSpaceDE/>
        <w:autoSpaceDN/>
        <w:adjustRightInd/>
        <w:spacing w:before="0"/>
        <w:textAlignment w:val="auto"/>
        <w:rPr>
          <w:lang w:val="ru-RU"/>
        </w:rPr>
      </w:pPr>
      <w:r w:rsidRPr="00945782">
        <w:rPr>
          <w:lang w:val="ru-RU"/>
        </w:rPr>
        <w:br w:type="page"/>
      </w:r>
    </w:p>
    <w:p w14:paraId="02C7F527" w14:textId="6D8B28A7" w:rsidR="00D82062" w:rsidRPr="00945782" w:rsidRDefault="00D82062" w:rsidP="00E96316">
      <w:pPr>
        <w:pStyle w:val="enumlev1"/>
        <w:rPr>
          <w:lang w:val="ru-RU"/>
        </w:rPr>
      </w:pPr>
      <w:r w:rsidRPr="00945782">
        <w:rPr>
          <w:lang w:val="ru-RU"/>
        </w:rPr>
        <w:lastRenderedPageBreak/>
        <w:t>•</w:t>
      </w:r>
      <w:r w:rsidRPr="00945782">
        <w:rPr>
          <w:lang w:val="ru-RU"/>
        </w:rPr>
        <w:tab/>
        <w:t xml:space="preserve">Новая </w:t>
      </w:r>
      <w:r w:rsidRPr="00945782">
        <w:rPr>
          <w:b/>
          <w:bCs/>
          <w:lang w:val="ru-RU"/>
        </w:rPr>
        <w:t>стратегия цифровой трансформации</w:t>
      </w:r>
      <w:r w:rsidRPr="00945782">
        <w:rPr>
          <w:lang w:val="ru-RU"/>
        </w:rPr>
        <w:t xml:space="preserve">, </w:t>
      </w:r>
      <w:r w:rsidRPr="00945782">
        <w:rPr>
          <w:b/>
          <w:bCs/>
          <w:lang w:val="ru-RU"/>
        </w:rPr>
        <w:t>веб-сайт МСЭ на базе ИИ</w:t>
      </w:r>
      <w:r w:rsidRPr="00945782">
        <w:rPr>
          <w:lang w:val="ru-RU"/>
        </w:rPr>
        <w:t xml:space="preserve"> и </w:t>
      </w:r>
      <w:r w:rsidRPr="00945782">
        <w:rPr>
          <w:b/>
          <w:bCs/>
          <w:lang w:val="ru-RU"/>
        </w:rPr>
        <w:t xml:space="preserve">программа повышения квалификации персонала в области ИИ </w:t>
      </w:r>
      <w:r w:rsidRPr="00945782">
        <w:rPr>
          <w:lang w:val="ru-RU"/>
        </w:rPr>
        <w:t>свидетельствуют о</w:t>
      </w:r>
      <w:r w:rsidR="00E96316" w:rsidRPr="00945782">
        <w:rPr>
          <w:lang w:val="ru-RU"/>
        </w:rPr>
        <w:t> </w:t>
      </w:r>
      <w:r w:rsidRPr="00945782">
        <w:rPr>
          <w:lang w:val="ru-RU"/>
        </w:rPr>
        <w:t>совершенствовании систем и инструментов как для членов МСЭ, так и для его персонала.</w:t>
      </w:r>
    </w:p>
    <w:p w14:paraId="4C147EDB" w14:textId="77777777" w:rsidR="00D82062" w:rsidRPr="00945782" w:rsidRDefault="00D82062" w:rsidP="00E96316">
      <w:pPr>
        <w:pStyle w:val="enumlev1"/>
        <w:rPr>
          <w:lang w:val="ru-RU"/>
        </w:rPr>
      </w:pPr>
      <w:r w:rsidRPr="00945782">
        <w:rPr>
          <w:lang w:val="ru-RU"/>
        </w:rPr>
        <w:t>•</w:t>
      </w:r>
      <w:r w:rsidRPr="00945782">
        <w:rPr>
          <w:lang w:val="ru-RU"/>
        </w:rPr>
        <w:tab/>
        <w:t>МСЭ внедрил во всех направлениях своей деятельности систему экологического менеджмента, соответствующую стандарту ISO 14001.</w:t>
      </w:r>
    </w:p>
    <w:p w14:paraId="49537F69" w14:textId="77777777" w:rsidR="00D82062" w:rsidRPr="00945782" w:rsidRDefault="00D82062" w:rsidP="00D82062">
      <w:pPr>
        <w:jc w:val="both"/>
        <w:rPr>
          <w:rFonts w:asciiTheme="minorHAnsi" w:hAnsiTheme="minorHAnsi" w:cstheme="minorHAnsi"/>
          <w:szCs w:val="22"/>
          <w:lang w:val="ru-RU"/>
        </w:rPr>
      </w:pPr>
      <w:r w:rsidRPr="00945782">
        <w:rPr>
          <w:rFonts w:asciiTheme="minorHAnsi" w:hAnsiTheme="minorHAnsi" w:cstheme="minorHAnsi"/>
          <w:szCs w:val="22"/>
          <w:lang w:val="ru-RU"/>
        </w:rPr>
        <w:br w:type="page"/>
      </w:r>
    </w:p>
    <w:p w14:paraId="234BC68C" w14:textId="1C03F696" w:rsidR="00D82062" w:rsidRPr="00945782" w:rsidRDefault="00D82062" w:rsidP="00E96316">
      <w:pPr>
        <w:pStyle w:val="Heading1"/>
        <w:rPr>
          <w:lang w:val="ru-RU"/>
        </w:rPr>
      </w:pPr>
      <w:bookmarkStart w:id="11" w:name="_Toc227062840"/>
      <w:bookmarkStart w:id="12" w:name="_Toc227850228"/>
      <w:r w:rsidRPr="00945782">
        <w:rPr>
          <w:lang w:val="ru-RU"/>
        </w:rPr>
        <w:lastRenderedPageBreak/>
        <w:t>1</w:t>
      </w:r>
      <w:r w:rsidR="00E96316" w:rsidRPr="00945782">
        <w:rPr>
          <w:lang w:val="ru-RU"/>
        </w:rPr>
        <w:tab/>
      </w:r>
      <w:r w:rsidRPr="00945782">
        <w:rPr>
          <w:lang w:val="ru-RU"/>
        </w:rPr>
        <w:t>Введение</w:t>
      </w:r>
      <w:bookmarkEnd w:id="11"/>
      <w:bookmarkEnd w:id="12"/>
    </w:p>
    <w:p w14:paraId="2D0CB5D0" w14:textId="77777777" w:rsidR="00D82062" w:rsidRPr="00945782" w:rsidRDefault="00D82062" w:rsidP="00E96316">
      <w:pPr>
        <w:rPr>
          <w:lang w:val="ru-RU"/>
        </w:rPr>
      </w:pPr>
      <w:r w:rsidRPr="00945782">
        <w:rPr>
          <w:lang w:val="ru-RU"/>
        </w:rPr>
        <w:t>Международный союз электросвязи (МСЭ) осуществляет деятельность, направленную на то, чтобы цифровые технологии приносили значимые и устойчивые выгоды всем людям во всем мире. В соответствии со своим мандатом в качестве специализированного учреждения Организации Объединенных Наций МСЭ содействует координации использования радиочастотного спектра, технической стандартизации, а также ориентированному на человека и основанному на технологиях развитию в целях достижения лучшего цифрового будущего для всех.</w:t>
      </w:r>
    </w:p>
    <w:p w14:paraId="5BA7B4F1" w14:textId="77777777" w:rsidR="00D82062" w:rsidRPr="00945782" w:rsidRDefault="00D82062" w:rsidP="00E96316">
      <w:pPr>
        <w:rPr>
          <w:lang w:val="ru-RU"/>
        </w:rPr>
      </w:pPr>
      <w:r w:rsidRPr="00945782">
        <w:rPr>
          <w:lang w:val="ru-RU"/>
        </w:rPr>
        <w:t>Настоящий отчет Совету МСЭ 2026 года о выполнении Стратегического плана и деятельности организации охватывает период 2022–2025 годов и должен служить основой для четырехлетнего отчета Полномочной конференции (</w:t>
      </w:r>
      <w:hyperlink r:id="rId39" w:history="1">
        <w:r w:rsidRPr="00945782">
          <w:rPr>
            <w:rStyle w:val="Hyperlink"/>
            <w:rFonts w:asciiTheme="minorHAnsi" w:hAnsiTheme="minorHAnsi" w:cstheme="minorHAnsi"/>
            <w:szCs w:val="22"/>
            <w:lang w:val="ru-RU"/>
          </w:rPr>
          <w:t>ПК-26</w:t>
        </w:r>
      </w:hyperlink>
      <w:r w:rsidRPr="00945782">
        <w:rPr>
          <w:lang w:val="ru-RU"/>
        </w:rPr>
        <w:t>) (</w:t>
      </w:r>
      <w:hyperlink r:id="rId40" w:history="1">
        <w:r w:rsidRPr="00945782">
          <w:rPr>
            <w:rStyle w:val="Hyperlink"/>
            <w:rFonts w:asciiTheme="minorHAnsi" w:hAnsiTheme="minorHAnsi" w:cstheme="minorHAnsi"/>
            <w:szCs w:val="22"/>
            <w:lang w:val="ru-RU"/>
          </w:rPr>
          <w:t>Документ 20</w:t>
        </w:r>
      </w:hyperlink>
      <w:r w:rsidRPr="00945782">
        <w:rPr>
          <w:lang w:val="ru-RU"/>
        </w:rPr>
        <w:t>) в 2026 году. Отчет выстроен согласно структуре результатов, лежащей в основе Стратегического плана МСЭ.</w:t>
      </w:r>
    </w:p>
    <w:p w14:paraId="4BD56D39" w14:textId="4C7C6B51" w:rsidR="00D82062" w:rsidRPr="00945782" w:rsidRDefault="00D82062" w:rsidP="00E96316">
      <w:pPr>
        <w:rPr>
          <w:lang w:val="ru-RU"/>
        </w:rPr>
      </w:pPr>
      <w:r w:rsidRPr="00945782">
        <w:rPr>
          <w:lang w:val="ru-RU"/>
        </w:rPr>
        <w:t xml:space="preserve">Хотя первые два года данного периода охватываются предыдущим </w:t>
      </w:r>
      <w:hyperlink r:id="rId41" w:history="1">
        <w:r w:rsidRPr="00945782">
          <w:rPr>
            <w:rStyle w:val="Hyperlink"/>
            <w:rFonts w:asciiTheme="minorHAnsi" w:hAnsiTheme="minorHAnsi" w:cstheme="minorHAnsi"/>
            <w:szCs w:val="22"/>
            <w:lang w:val="ru-RU"/>
          </w:rPr>
          <w:t>Стратегическим планом (на</w:t>
        </w:r>
        <w:r w:rsidR="00E96316"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2020–2023 гг.)</w:t>
        </w:r>
      </w:hyperlink>
      <w:r w:rsidRPr="00945782">
        <w:rPr>
          <w:lang w:val="ru-RU"/>
        </w:rPr>
        <w:t xml:space="preserve">, в настоящем отчете учитывается структура действующего </w:t>
      </w:r>
      <w:hyperlink r:id="rId42" w:history="1">
        <w:r w:rsidRPr="00945782">
          <w:rPr>
            <w:rStyle w:val="Hyperlink"/>
            <w:rFonts w:asciiTheme="minorHAnsi" w:hAnsiTheme="minorHAnsi" w:cstheme="minorHAnsi"/>
            <w:szCs w:val="22"/>
            <w:lang w:val="ru-RU"/>
          </w:rPr>
          <w:t>Стратегического плана (на 2024–2027 гг.)</w:t>
        </w:r>
      </w:hyperlink>
      <w:r w:rsidRPr="00945782">
        <w:rPr>
          <w:lang w:val="ru-RU"/>
        </w:rPr>
        <w:t xml:space="preserve"> с тщательным соотнесением направлений деятельности с обоими периодами.</w:t>
      </w:r>
    </w:p>
    <w:p w14:paraId="55CBFE38" w14:textId="77777777" w:rsidR="00D82062" w:rsidRPr="00945782" w:rsidRDefault="00D82062" w:rsidP="00E96316">
      <w:pPr>
        <w:rPr>
          <w:lang w:val="ru-RU"/>
        </w:rPr>
      </w:pPr>
      <w:r w:rsidRPr="00945782">
        <w:rPr>
          <w:lang w:val="ru-RU"/>
        </w:rPr>
        <w:t>В этой структуре результатов предоставление продуктов и услуг увязывается с ключевыми тематическими приоритетами, стратегическими целями, миссией и видением МСЭ, а также с глобальными целями в области развития:</w:t>
      </w:r>
    </w:p>
    <w:p w14:paraId="0DE4945F" w14:textId="77777777" w:rsidR="00D82062" w:rsidRPr="00945782" w:rsidRDefault="00D82062" w:rsidP="00C7285D">
      <w:pPr>
        <w:pStyle w:val="Figure"/>
        <w:spacing w:before="160" w:after="120"/>
        <w:rPr>
          <w:rFonts w:asciiTheme="minorHAnsi" w:hAnsiTheme="minorHAnsi" w:cstheme="minorHAnsi"/>
          <w:szCs w:val="22"/>
          <w:lang w:val="ru-RU"/>
        </w:rPr>
      </w:pPr>
      <w:r w:rsidRPr="00945782">
        <w:rPr>
          <w:noProof/>
          <w:lang w:val="ru-RU" w:eastAsia="en-GB"/>
        </w:rPr>
        <w:drawing>
          <wp:inline distT="0" distB="0" distL="0" distR="0" wp14:anchorId="7B45E74F" wp14:editId="35C092EE">
            <wp:extent cx="5822608" cy="3276600"/>
            <wp:effectExtent l="0" t="0" r="6985" b="0"/>
            <wp:docPr id="643525748"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25748" name="Picture 1" descr="A chart with text and images&#10;&#10;AI-generated content may be incorrec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097" b="1930"/>
                    <a:stretch>
                      <a:fillRect/>
                    </a:stretch>
                  </pic:blipFill>
                  <pic:spPr bwMode="auto">
                    <a:xfrm>
                      <a:off x="0" y="0"/>
                      <a:ext cx="5824050" cy="3277411"/>
                    </a:xfrm>
                    <a:prstGeom prst="rect">
                      <a:avLst/>
                    </a:prstGeom>
                    <a:noFill/>
                    <a:ln>
                      <a:noFill/>
                    </a:ln>
                    <a:extLst>
                      <a:ext uri="{53640926-AAD7-44D8-BBD7-CCE9431645EC}">
                        <a14:shadowObscured xmlns:a14="http://schemas.microsoft.com/office/drawing/2010/main"/>
                      </a:ext>
                    </a:extLst>
                  </pic:spPr>
                </pic:pic>
              </a:graphicData>
            </a:graphic>
          </wp:inline>
        </w:drawing>
      </w:r>
    </w:p>
    <w:p w14:paraId="0951612A" w14:textId="24E2F980" w:rsidR="00D82062" w:rsidRPr="00945782" w:rsidRDefault="00D82062" w:rsidP="00C7285D">
      <w:pPr>
        <w:pStyle w:val="Figure"/>
        <w:spacing w:before="120" w:after="120"/>
        <w:rPr>
          <w:color w:val="808080" w:themeColor="background1" w:themeShade="80"/>
          <w:sz w:val="18"/>
          <w:szCs w:val="18"/>
          <w:lang w:val="ru-RU"/>
        </w:rPr>
      </w:pPr>
      <w:r w:rsidRPr="00945782">
        <w:rPr>
          <w:i/>
          <w:iCs/>
          <w:color w:val="1F497D" w:themeColor="text2"/>
          <w:sz w:val="18"/>
          <w:szCs w:val="18"/>
          <w:lang w:val="ru-RU"/>
        </w:rPr>
        <w:t>Рис</w:t>
      </w:r>
      <w:r w:rsidR="00611DDE" w:rsidRPr="00945782">
        <w:rPr>
          <w:i/>
          <w:iCs/>
          <w:color w:val="1F497D" w:themeColor="text2"/>
          <w:sz w:val="18"/>
          <w:szCs w:val="18"/>
          <w:lang w:val="ru-RU"/>
        </w:rPr>
        <w:t xml:space="preserve">унок </w:t>
      </w:r>
      <w:r w:rsidRPr="00945782">
        <w:rPr>
          <w:i/>
          <w:iCs/>
          <w:color w:val="1F497D" w:themeColor="text2"/>
          <w:sz w:val="18"/>
          <w:szCs w:val="18"/>
          <w:lang w:val="ru-RU"/>
        </w:rPr>
        <w:t>1 </w:t>
      </w:r>
      <w:r w:rsidR="00611DDE" w:rsidRPr="00945782">
        <w:rPr>
          <w:i/>
          <w:iCs/>
          <w:color w:val="1F497D" w:themeColor="text2"/>
          <w:sz w:val="18"/>
          <w:szCs w:val="18"/>
          <w:lang w:val="ru-RU"/>
        </w:rPr>
        <w:t xml:space="preserve">− </w:t>
      </w:r>
      <w:r w:rsidRPr="00945782">
        <w:rPr>
          <w:i/>
          <w:iCs/>
          <w:color w:val="1F497D" w:themeColor="text2"/>
          <w:sz w:val="18"/>
          <w:szCs w:val="18"/>
          <w:lang w:val="ru-RU"/>
        </w:rPr>
        <w:t>Стратегический план МСЭ на 2024–2027 годы: иллюстрация стратегической основы</w:t>
      </w:r>
      <w:r w:rsidRPr="00945782">
        <w:rPr>
          <w:i/>
          <w:iCs/>
          <w:sz w:val="18"/>
          <w:szCs w:val="18"/>
          <w:lang w:val="ru-RU"/>
        </w:rPr>
        <w:t>.</w:t>
      </w:r>
      <w:r w:rsidRPr="00945782">
        <w:rPr>
          <w:sz w:val="18"/>
          <w:szCs w:val="18"/>
          <w:lang w:val="ru-RU"/>
        </w:rPr>
        <w:t xml:space="preserve"> </w:t>
      </w:r>
      <w:r w:rsidR="00FF6D7F" w:rsidRPr="00945782">
        <w:rPr>
          <w:sz w:val="18"/>
          <w:szCs w:val="18"/>
          <w:lang w:val="ru-RU"/>
        </w:rPr>
        <w:br/>
      </w:r>
      <w:r w:rsidRPr="00945782">
        <w:rPr>
          <w:color w:val="808080" w:themeColor="background1" w:themeShade="80"/>
          <w:sz w:val="18"/>
          <w:szCs w:val="18"/>
          <w:lang w:val="ru-RU"/>
        </w:rPr>
        <w:t>На рисунке выше перечислены ключевые компоненты стратегической основы. Они включают концепцию, миссию, стратегические цели и целевые показатели, тематические приоритеты и конечные результаты, предлагаемые продукты и услуги, а также средства достижения целей.</w:t>
      </w:r>
    </w:p>
    <w:p w14:paraId="12093452" w14:textId="3513A444" w:rsidR="00D82062" w:rsidRPr="00945782" w:rsidRDefault="00D82062" w:rsidP="00C7285D">
      <w:pPr>
        <w:spacing w:before="160"/>
        <w:rPr>
          <w:lang w:val="ru-RU"/>
        </w:rPr>
      </w:pPr>
      <w:r w:rsidRPr="00945782">
        <w:rPr>
          <w:lang w:val="ru-RU"/>
        </w:rPr>
        <w:t>В следующих разделах представлен обзор уставных конференций МСЭ, состоявшихся в течение отчетного периода, обобщены результаты реализации Стратегического плана на 2020</w:t>
      </w:r>
      <w:r w:rsidR="00611DDE" w:rsidRPr="00945782">
        <w:rPr>
          <w:lang w:val="ru-RU"/>
        </w:rPr>
        <w:t>−</w:t>
      </w:r>
      <w:r w:rsidRPr="00945782">
        <w:rPr>
          <w:lang w:val="ru-RU"/>
        </w:rPr>
        <w:t>2023</w:t>
      </w:r>
      <w:r w:rsidR="00611DDE" w:rsidRPr="00945782">
        <w:rPr>
          <w:lang w:val="ru-RU"/>
        </w:rPr>
        <w:t> </w:t>
      </w:r>
      <w:r w:rsidRPr="00945782">
        <w:rPr>
          <w:lang w:val="ru-RU"/>
        </w:rPr>
        <w:t>годы, а также прогресс в достижении целей универсальной возможности установления соединений и устойчивой цифровой трансформации в период 2024–2027 годов, освещены ключевые достижения, связанные с продуктами и услугами МСЭ, и изложены организационные средства достижения целей, обеспечивающие поддержку деятельности организации и ее общего воздействия.</w:t>
      </w:r>
    </w:p>
    <w:p w14:paraId="0628D9C7" w14:textId="05DC79EC" w:rsidR="00D82062" w:rsidRPr="00945782" w:rsidRDefault="00D82062" w:rsidP="00611DDE">
      <w:pPr>
        <w:pStyle w:val="Heading1"/>
        <w:rPr>
          <w:lang w:val="ru-RU"/>
        </w:rPr>
      </w:pPr>
      <w:bookmarkStart w:id="13" w:name="_Toc198569346"/>
      <w:bookmarkStart w:id="14" w:name="_Toc199924854"/>
      <w:bookmarkStart w:id="15" w:name="_Toc227062841"/>
      <w:bookmarkStart w:id="16" w:name="_Toc227850229"/>
      <w:r w:rsidRPr="00945782">
        <w:rPr>
          <w:lang w:val="ru-RU"/>
        </w:rPr>
        <w:lastRenderedPageBreak/>
        <w:t>2</w:t>
      </w:r>
      <w:r w:rsidR="00611DDE" w:rsidRPr="00945782">
        <w:rPr>
          <w:lang w:val="ru-RU"/>
        </w:rPr>
        <w:tab/>
      </w:r>
      <w:r w:rsidRPr="00945782">
        <w:rPr>
          <w:lang w:val="ru-RU"/>
        </w:rPr>
        <w:t>Предусмотренные Уставом глобальные конференции 2022–2025 год</w:t>
      </w:r>
      <w:bookmarkEnd w:id="13"/>
      <w:bookmarkEnd w:id="14"/>
      <w:r w:rsidRPr="00945782">
        <w:rPr>
          <w:lang w:val="ru-RU"/>
        </w:rPr>
        <w:t>ов</w:t>
      </w:r>
      <w:bookmarkEnd w:id="15"/>
      <w:bookmarkEnd w:id="16"/>
    </w:p>
    <w:p w14:paraId="68374C4E" w14:textId="46D6FC64" w:rsidR="00D82062" w:rsidRPr="00945782" w:rsidRDefault="00D82062" w:rsidP="00D82062">
      <w:pPr>
        <w:pStyle w:val="Heading2"/>
        <w:jc w:val="both"/>
        <w:rPr>
          <w:lang w:val="ru-RU"/>
        </w:rPr>
      </w:pPr>
      <w:bookmarkStart w:id="17" w:name="_Toc227062842"/>
      <w:bookmarkStart w:id="18" w:name="_Toc227850230"/>
      <w:r w:rsidRPr="00945782">
        <w:rPr>
          <w:lang w:val="ru-RU"/>
        </w:rPr>
        <w:t>2.1</w:t>
      </w:r>
      <w:r w:rsidR="00611DDE" w:rsidRPr="00945782">
        <w:rPr>
          <w:lang w:val="ru-RU"/>
        </w:rPr>
        <w:tab/>
      </w:r>
      <w:r w:rsidRPr="00945782">
        <w:rPr>
          <w:lang w:val="ru-RU"/>
        </w:rPr>
        <w:t>Полномочная конференция МСЭ (ПК-22)</w:t>
      </w:r>
      <w:bookmarkEnd w:id="17"/>
      <w:bookmarkEnd w:id="18"/>
    </w:p>
    <w:p w14:paraId="2C774233" w14:textId="4CB3FA3F" w:rsidR="00D82062" w:rsidRPr="00945782" w:rsidRDefault="00D82062" w:rsidP="00611DDE">
      <w:pPr>
        <w:rPr>
          <w:lang w:val="ru-RU"/>
        </w:rPr>
      </w:pPr>
      <w:r w:rsidRPr="00945782">
        <w:rPr>
          <w:lang w:val="ru-RU"/>
        </w:rPr>
        <w:t>21-я Полномочная конференция МСЭ (</w:t>
      </w:r>
      <w:hyperlink r:id="rId44" w:history="1">
        <w:r w:rsidRPr="00945782">
          <w:rPr>
            <w:rStyle w:val="Hyperlink"/>
            <w:lang w:val="ru-RU"/>
          </w:rPr>
          <w:t>ПК-22</w:t>
        </w:r>
      </w:hyperlink>
      <w:r w:rsidRPr="00945782">
        <w:rPr>
          <w:lang w:val="ru-RU"/>
        </w:rPr>
        <w:t>) состоялась период с 26 сентября по 14 октября 2022 года во Дворце парламента в Бухаресте, Румыния, и проходила под председательством г</w:t>
      </w:r>
      <w:r w:rsidR="00611DDE" w:rsidRPr="00945782">
        <w:rPr>
          <w:rFonts w:ascii="Cambria Math" w:hAnsi="Cambria Math"/>
          <w:lang w:val="ru-RU"/>
        </w:rPr>
        <w:t>‑</w:t>
      </w:r>
      <w:r w:rsidRPr="00945782">
        <w:rPr>
          <w:lang w:val="ru-RU"/>
        </w:rPr>
        <w:t>на Сабина Сэрмаша, председателя Комитета по информационным технологиям и коммуникациям Палаты депутатов Румынии. На ПК-22 были определены общие направления политики и стратегический курс МСЭ на предстоящий период, в частности были утверждены четырехлетний стратегический план (</w:t>
      </w:r>
      <w:hyperlink r:id="rId45" w:history="1">
        <w:r w:rsidRPr="00945782">
          <w:rPr>
            <w:rStyle w:val="Hyperlink"/>
            <w:lang w:val="ru-RU"/>
          </w:rPr>
          <w:t>Резолюция 71</w:t>
        </w:r>
      </w:hyperlink>
      <w:r w:rsidRPr="00945782">
        <w:rPr>
          <w:lang w:val="ru-RU"/>
        </w:rPr>
        <w:t>) и финансовый план (</w:t>
      </w:r>
      <w:hyperlink r:id="rId46" w:history="1">
        <w:r w:rsidRPr="00945782">
          <w:rPr>
            <w:rStyle w:val="Hyperlink"/>
            <w:lang w:val="ru-RU"/>
          </w:rPr>
          <w:t>Резолюция 71</w:t>
        </w:r>
      </w:hyperlink>
      <w:r w:rsidRPr="00945782">
        <w:rPr>
          <w:lang w:val="ru-RU"/>
        </w:rPr>
        <w:t xml:space="preserve">, </w:t>
      </w:r>
      <w:hyperlink r:id="rId47" w:history="1">
        <w:r w:rsidRPr="00945782">
          <w:rPr>
            <w:rStyle w:val="Hyperlink"/>
            <w:lang w:val="ru-RU"/>
          </w:rPr>
          <w:t>Решение 5</w:t>
        </w:r>
      </w:hyperlink>
      <w:r w:rsidRPr="00945782">
        <w:rPr>
          <w:lang w:val="ru-RU"/>
        </w:rPr>
        <w:t>), а также были рассмотрены ключевые вопросы, связанные с информационно-коммуникационными технологиями (ИКТ), в соответствии с запросами Государств – Членов</w:t>
      </w:r>
      <w:r w:rsidR="00DE7861" w:rsidRPr="00945782">
        <w:rPr>
          <w:lang w:val="ru-RU"/>
        </w:rPr>
        <w:t> </w:t>
      </w:r>
      <w:r w:rsidRPr="00945782">
        <w:rPr>
          <w:lang w:val="ru-RU"/>
        </w:rPr>
        <w:t>МСЭ.</w:t>
      </w:r>
    </w:p>
    <w:p w14:paraId="76336DA6" w14:textId="3981C5B2" w:rsidR="00D82062" w:rsidRPr="00945782" w:rsidRDefault="00D82062" w:rsidP="00611DDE">
      <w:pPr>
        <w:rPr>
          <w:lang w:val="ru-RU"/>
        </w:rPr>
      </w:pPr>
      <w:r w:rsidRPr="00945782">
        <w:rPr>
          <w:lang w:val="ru-RU"/>
        </w:rPr>
        <w:t xml:space="preserve">В четырехлетней стратегии МСЭ выделены ключевые приоритеты в области радиосвязи, стандартизации и развития, направленные на обеспечение глобальной возможности установления соединений, продвижение цифровой трансформации на основе принципа открытости для всех и содействие достижению Целей в области устойчивого развития (ЦУР), принятых Организацией Объединенных Наций на период до 2030 года. </w:t>
      </w:r>
      <w:hyperlink r:id="rId48" w:history="1">
        <w:r w:rsidRPr="00945782">
          <w:rPr>
            <w:rStyle w:val="Hyperlink"/>
            <w:lang w:val="ru-RU"/>
          </w:rPr>
          <w:t>Заключительные акты Полномочной конференции 2022 года, прошедшей в Бухаресте</w:t>
        </w:r>
      </w:hyperlink>
      <w:r w:rsidRPr="00945782">
        <w:rPr>
          <w:lang w:val="ru-RU"/>
        </w:rPr>
        <w:t>, были подписаны 159 Государствами-Членами. В общей сложности члены МСЭ внесли изменения в</w:t>
      </w:r>
      <w:r w:rsidR="00611DDE" w:rsidRPr="00945782">
        <w:rPr>
          <w:lang w:val="ru-RU"/>
        </w:rPr>
        <w:t> </w:t>
      </w:r>
      <w:r w:rsidRPr="00945782">
        <w:rPr>
          <w:lang w:val="ru-RU"/>
        </w:rPr>
        <w:t>56</w:t>
      </w:r>
      <w:r w:rsidR="00611DDE" w:rsidRPr="00945782">
        <w:rPr>
          <w:lang w:val="ru-RU"/>
        </w:rPr>
        <w:t> </w:t>
      </w:r>
      <w:r w:rsidRPr="00945782">
        <w:rPr>
          <w:lang w:val="ru-RU"/>
        </w:rPr>
        <w:t>резолюций и два решения, приняли шесть новых и отменили одну резолюцию.</w:t>
      </w:r>
    </w:p>
    <w:p w14:paraId="2E027251" w14:textId="77777777" w:rsidR="00D82062" w:rsidRPr="00945782" w:rsidRDefault="00D82062" w:rsidP="00611DDE">
      <w:pPr>
        <w:rPr>
          <w:lang w:val="ru-RU"/>
        </w:rPr>
      </w:pPr>
      <w:r w:rsidRPr="00945782">
        <w:rPr>
          <w:lang w:val="ru-RU"/>
        </w:rPr>
        <w:t>Ключевые решения, принятые на конференции, включали резолюции по следующим вопросам:</w:t>
      </w:r>
    </w:p>
    <w:p w14:paraId="2EE84E64" w14:textId="77777777" w:rsidR="00D82062" w:rsidRPr="00945782" w:rsidRDefault="00D82062" w:rsidP="00611DDE">
      <w:pPr>
        <w:pStyle w:val="enumlev1"/>
        <w:rPr>
          <w:lang w:val="ru-RU"/>
        </w:rPr>
      </w:pPr>
      <w:r w:rsidRPr="00945782">
        <w:rPr>
          <w:lang w:val="ru-RU"/>
        </w:rPr>
        <w:t>•</w:t>
      </w:r>
      <w:r w:rsidRPr="00945782">
        <w:rPr>
          <w:lang w:val="ru-RU"/>
        </w:rPr>
        <w:tab/>
        <w:t>применение технологий искусственного интеллекта (ИИ) во благо;</w:t>
      </w:r>
    </w:p>
    <w:p w14:paraId="21141850" w14:textId="77777777" w:rsidR="00D82062" w:rsidRPr="00945782" w:rsidRDefault="00D82062" w:rsidP="00611DDE">
      <w:pPr>
        <w:pStyle w:val="enumlev1"/>
        <w:rPr>
          <w:lang w:val="ru-RU"/>
        </w:rPr>
      </w:pPr>
      <w:r w:rsidRPr="00945782">
        <w:rPr>
          <w:lang w:val="ru-RU"/>
        </w:rPr>
        <w:t>•</w:t>
      </w:r>
      <w:r w:rsidRPr="00945782">
        <w:rPr>
          <w:lang w:val="ru-RU"/>
        </w:rPr>
        <w:tab/>
        <w:t>укрепление доверия и устойчивое развитие в космосе;</w:t>
      </w:r>
    </w:p>
    <w:p w14:paraId="1AF58191" w14:textId="77777777" w:rsidR="00D82062" w:rsidRPr="00945782" w:rsidRDefault="00D82062" w:rsidP="00611DDE">
      <w:pPr>
        <w:pStyle w:val="enumlev1"/>
        <w:rPr>
          <w:lang w:val="ru-RU"/>
        </w:rPr>
      </w:pPr>
      <w:r w:rsidRPr="00945782">
        <w:rPr>
          <w:lang w:val="ru-RU"/>
        </w:rPr>
        <w:t>•</w:t>
      </w:r>
      <w:r w:rsidRPr="00945782">
        <w:rPr>
          <w:lang w:val="ru-RU"/>
        </w:rPr>
        <w:tab/>
        <w:t>расширение прав и возможностей женщин и девушек благодаря цифровой трансформации;</w:t>
      </w:r>
    </w:p>
    <w:p w14:paraId="57785C9C" w14:textId="77777777" w:rsidR="00D82062" w:rsidRPr="00945782" w:rsidRDefault="00D82062" w:rsidP="00611DDE">
      <w:pPr>
        <w:pStyle w:val="enumlev1"/>
        <w:rPr>
          <w:lang w:val="ru-RU"/>
        </w:rPr>
      </w:pPr>
      <w:r w:rsidRPr="00945782">
        <w:rPr>
          <w:lang w:val="ru-RU"/>
        </w:rPr>
        <w:t>•</w:t>
      </w:r>
      <w:r w:rsidRPr="00945782">
        <w:rPr>
          <w:lang w:val="ru-RU"/>
        </w:rPr>
        <w:tab/>
        <w:t>использование частотных присвоений военным радиооборудованием для служб национальной обороны;</w:t>
      </w:r>
    </w:p>
    <w:p w14:paraId="3F85AAB5" w14:textId="77777777" w:rsidR="00D82062" w:rsidRPr="00945782" w:rsidRDefault="00D82062" w:rsidP="00611DDE">
      <w:pPr>
        <w:pStyle w:val="enumlev1"/>
        <w:rPr>
          <w:lang w:val="ru-RU"/>
        </w:rPr>
      </w:pPr>
      <w:r w:rsidRPr="00945782">
        <w:rPr>
          <w:lang w:val="ru-RU"/>
        </w:rPr>
        <w:t>•</w:t>
      </w:r>
      <w:r w:rsidRPr="00945782">
        <w:rPr>
          <w:lang w:val="ru-RU"/>
        </w:rPr>
        <w:tab/>
        <w:t>о том, каким образом новые технологии могут способствовать смягчению последствий, а не обострению климатического кризиса;</w:t>
      </w:r>
    </w:p>
    <w:p w14:paraId="05F2BA06" w14:textId="77777777" w:rsidR="00D82062" w:rsidRPr="00945782" w:rsidRDefault="00D82062" w:rsidP="00611DDE">
      <w:pPr>
        <w:pStyle w:val="enumlev1"/>
        <w:rPr>
          <w:lang w:val="ru-RU"/>
        </w:rPr>
      </w:pPr>
      <w:r w:rsidRPr="00945782">
        <w:rPr>
          <w:lang w:val="ru-RU"/>
        </w:rPr>
        <w:t>•</w:t>
      </w:r>
      <w:r w:rsidRPr="00945782">
        <w:rPr>
          <w:lang w:val="ru-RU"/>
        </w:rPr>
        <w:tab/>
        <w:t>то, как технологии могут обеспечить защиту от глобальных пандемий;</w:t>
      </w:r>
    </w:p>
    <w:p w14:paraId="4BD72A9B" w14:textId="77777777" w:rsidR="00D82062" w:rsidRPr="00945782" w:rsidRDefault="00D82062" w:rsidP="00611DDE">
      <w:pPr>
        <w:pStyle w:val="enumlev1"/>
        <w:rPr>
          <w:lang w:val="ru-RU"/>
        </w:rPr>
      </w:pPr>
      <w:r w:rsidRPr="00945782">
        <w:rPr>
          <w:lang w:val="ru-RU"/>
        </w:rPr>
        <w:t>•</w:t>
      </w:r>
      <w:r w:rsidRPr="00945782">
        <w:rPr>
          <w:lang w:val="ru-RU"/>
        </w:rPr>
        <w:tab/>
        <w:t>интернет вещей (IoT) для "умных" и устойчивых городов и сообществ.</w:t>
      </w:r>
    </w:p>
    <w:p w14:paraId="188A5F84" w14:textId="5541C8D0" w:rsidR="00D82062" w:rsidRPr="00945782" w:rsidRDefault="00D82062" w:rsidP="00611DDE">
      <w:pPr>
        <w:pStyle w:val="Heading3"/>
        <w:rPr>
          <w:lang w:val="ru-RU"/>
        </w:rPr>
      </w:pPr>
      <w:bookmarkStart w:id="19" w:name="_Toc227062843"/>
      <w:bookmarkStart w:id="20" w:name="_Toc227850231"/>
      <w:r w:rsidRPr="00945782">
        <w:rPr>
          <w:lang w:val="ru-RU"/>
        </w:rPr>
        <w:t>2.1.1</w:t>
      </w:r>
      <w:r w:rsidR="00611DDE" w:rsidRPr="00945782">
        <w:rPr>
          <w:lang w:val="ru-RU"/>
        </w:rPr>
        <w:tab/>
      </w:r>
      <w:r w:rsidRPr="00945782">
        <w:rPr>
          <w:lang w:val="ru-RU"/>
        </w:rPr>
        <w:t>Выборы в МСЭ</w:t>
      </w:r>
      <w:bookmarkEnd w:id="19"/>
      <w:bookmarkEnd w:id="20"/>
    </w:p>
    <w:p w14:paraId="0F7F1150" w14:textId="5C1F675C" w:rsidR="00D82062" w:rsidRPr="00945782" w:rsidRDefault="00D82062" w:rsidP="00611DDE">
      <w:pPr>
        <w:rPr>
          <w:lang w:val="ru-RU"/>
        </w:rPr>
      </w:pPr>
      <w:r w:rsidRPr="00945782">
        <w:rPr>
          <w:lang w:val="ru-RU"/>
        </w:rPr>
        <w:t>В рамках ПК-22 также состоялись выборы на руководящие должности МСЭ. Делегаты стали непосредственными участниками исторического события, избрав г-жу Дорин Богдан-Мартин (Соединенные Штаты Америки) следующим Генеральным секретарем МСЭ. Г-жа Богдан-Мартин стала первой женщиной, возглавившей МСЭ за всю 157-летнюю историю организации. Г-н Томас Ламанаускас (Литва) был избран заместителем Генерального секретаря МСЭ; г</w:t>
      </w:r>
      <w:r w:rsidR="00611DDE" w:rsidRPr="00945782">
        <w:rPr>
          <w:rFonts w:ascii="Cambria Math" w:hAnsi="Cambria Math"/>
          <w:lang w:val="ru-RU"/>
        </w:rPr>
        <w:t>‑</w:t>
      </w:r>
      <w:r w:rsidRPr="00945782">
        <w:rPr>
          <w:lang w:val="ru-RU"/>
        </w:rPr>
        <w:t>н</w:t>
      </w:r>
      <w:r w:rsidR="00611DDE" w:rsidRPr="00945782">
        <w:rPr>
          <w:lang w:val="ru-RU"/>
        </w:rPr>
        <w:t> </w:t>
      </w:r>
      <w:r w:rsidRPr="00945782">
        <w:rPr>
          <w:lang w:val="ru-RU"/>
        </w:rPr>
        <w:t>Марио Маневич (Уругвай) был переизбран на второй срок на пост Директора Бюро радиосвязи (БР) МСЭ; г-н Сэйдзо Оноэ (Япония) был избран Директором Бюро стандартизации электросвязи (БСЭ) МСЭ; и г-н Космас Завазава (Зимбабве) был избран Директором Бюро развития электросвязи (БРЭ) МСЭ. Также были избраны Радиорегламентарный комитет в составе 12 членов и Совет МСЭ в составе 48 членов (полные результаты выборов на ПК-22 см.</w:t>
      </w:r>
      <w:r w:rsidR="00611DDE" w:rsidRPr="00945782">
        <w:rPr>
          <w:lang w:val="ru-RU"/>
        </w:rPr>
        <w:t> </w:t>
      </w:r>
      <w:hyperlink r:id="rId49" w:history="1">
        <w:r w:rsidRPr="00945782">
          <w:rPr>
            <w:rStyle w:val="Hyperlink"/>
            <w:lang w:val="ru-RU"/>
          </w:rPr>
          <w:t>по ссылке</w:t>
        </w:r>
      </w:hyperlink>
      <w:r w:rsidRPr="00945782">
        <w:rPr>
          <w:lang w:val="ru-RU"/>
        </w:rPr>
        <w:t>).</w:t>
      </w:r>
    </w:p>
    <w:p w14:paraId="18C7F30C" w14:textId="444A1648" w:rsidR="00D82062" w:rsidRPr="00945782" w:rsidRDefault="00D82062" w:rsidP="00D82062">
      <w:pPr>
        <w:pStyle w:val="Heading2"/>
        <w:rPr>
          <w:lang w:val="ru-RU"/>
        </w:rPr>
      </w:pPr>
      <w:bookmarkStart w:id="21" w:name="_Toc227062844"/>
      <w:bookmarkStart w:id="22" w:name="_Toc227850232"/>
      <w:r w:rsidRPr="00945782">
        <w:rPr>
          <w:lang w:val="ru-RU"/>
        </w:rPr>
        <w:lastRenderedPageBreak/>
        <w:t>2.2</w:t>
      </w:r>
      <w:r w:rsidR="00611DDE" w:rsidRPr="00945782">
        <w:rPr>
          <w:lang w:val="ru-RU"/>
        </w:rPr>
        <w:tab/>
      </w:r>
      <w:r w:rsidRPr="00945782">
        <w:rPr>
          <w:lang w:val="ru-RU"/>
        </w:rPr>
        <w:t>ВКР-23 и АР-23</w:t>
      </w:r>
      <w:bookmarkEnd w:id="21"/>
      <w:bookmarkEnd w:id="22"/>
    </w:p>
    <w:p w14:paraId="49C3C3B0" w14:textId="2CB58438" w:rsidR="00D82062" w:rsidRPr="00945782" w:rsidRDefault="00D82062" w:rsidP="00D82062">
      <w:pPr>
        <w:pStyle w:val="Heading3"/>
        <w:rPr>
          <w:lang w:val="ru-RU"/>
        </w:rPr>
      </w:pPr>
      <w:bookmarkStart w:id="23" w:name="_Toc227062845"/>
      <w:bookmarkStart w:id="24" w:name="_Toc227850233"/>
      <w:r w:rsidRPr="00945782">
        <w:rPr>
          <w:lang w:val="ru-RU"/>
        </w:rPr>
        <w:t>2.2.1</w:t>
      </w:r>
      <w:r w:rsidR="00611DDE" w:rsidRPr="00945782">
        <w:rPr>
          <w:lang w:val="ru-RU"/>
        </w:rPr>
        <w:tab/>
      </w:r>
      <w:r w:rsidRPr="00945782">
        <w:rPr>
          <w:lang w:val="ru-RU"/>
        </w:rPr>
        <w:t>Всемирная конференция радиосвязи 2023 года</w:t>
      </w:r>
      <w:bookmarkEnd w:id="23"/>
      <w:bookmarkEnd w:id="24"/>
    </w:p>
    <w:p w14:paraId="763716D8" w14:textId="3596C9AF" w:rsidR="00D82062" w:rsidRPr="00945782" w:rsidRDefault="00D82062" w:rsidP="00611DDE">
      <w:pPr>
        <w:rPr>
          <w:lang w:val="ru-RU"/>
        </w:rPr>
      </w:pPr>
      <w:r w:rsidRPr="00945782">
        <w:rPr>
          <w:lang w:val="ru-RU"/>
        </w:rPr>
        <w:t>Всемирная конференция радиосвязи (</w:t>
      </w:r>
      <w:hyperlink r:id="rId50" w:history="1">
        <w:r w:rsidRPr="00945782">
          <w:rPr>
            <w:rStyle w:val="Hyperlink"/>
            <w:rFonts w:asciiTheme="minorHAnsi" w:hAnsiTheme="minorHAnsi" w:cstheme="minorHAnsi"/>
            <w:szCs w:val="22"/>
            <w:lang w:val="ru-RU"/>
          </w:rPr>
          <w:t>ВКР-23</w:t>
        </w:r>
      </w:hyperlink>
      <w:r w:rsidRPr="00945782">
        <w:rPr>
          <w:lang w:val="ru-RU"/>
        </w:rPr>
        <w:t>) состоялась в Дубае, Объединенные Арабские Эмираты, в период с 20 ноября по 15 декабря 2023 года. Конференцию возглавил Его Превосходительство г-н Мохаммед Аль-Рамси (ОАЭ). Она объединила мировое сообщество в области радиосвязи с целью обновления и укрепления международной нормативной базы, регулирующей использование радиочастотного спектра, в интересах достижения универсальной возможности установления соединений и устойчивой цифровой трансформации. В работе конференции приняли участие 3982 представителя из 163 Государств</w:t>
      </w:r>
      <w:r w:rsidR="00B37B6D" w:rsidRPr="00945782">
        <w:rPr>
          <w:lang w:val="ru-RU"/>
        </w:rPr>
        <w:t> </w:t>
      </w:r>
      <w:r w:rsidRPr="00945782">
        <w:rPr>
          <w:lang w:val="ru-RU"/>
        </w:rPr>
        <w:t>– Членов МСЭ. Стоит отметить, что женщины составили 22% делегатов, что отражает положительный рост по сравнению с 18% на ВКР-19.</w:t>
      </w:r>
    </w:p>
    <w:p w14:paraId="3A74497D" w14:textId="77777777" w:rsidR="00D82062" w:rsidRPr="00945782" w:rsidRDefault="00D82062" w:rsidP="00611DDE">
      <w:pPr>
        <w:rPr>
          <w:lang w:val="ru-RU"/>
        </w:rPr>
      </w:pPr>
      <w:r w:rsidRPr="00945782">
        <w:rPr>
          <w:lang w:val="ru-RU"/>
        </w:rPr>
        <w:t>На ВКР-23 были рассмотрены более 30 пунктов повестки дня, касающихся распределения и совместного использования спектра, что привело к ряду значимых нормативных достижений в области подвижной связи, спутниковых систем, морской и авиационной безопасности, а также научных служб.</w:t>
      </w:r>
    </w:p>
    <w:p w14:paraId="1A342557" w14:textId="77777777" w:rsidR="00D82062" w:rsidRPr="00945782" w:rsidRDefault="00D82062" w:rsidP="00611DDE">
      <w:pPr>
        <w:rPr>
          <w:lang w:val="ru-RU"/>
        </w:rPr>
      </w:pPr>
      <w:r w:rsidRPr="00945782">
        <w:rPr>
          <w:lang w:val="ru-RU"/>
        </w:rPr>
        <w:t xml:space="preserve">В </w:t>
      </w:r>
      <w:hyperlink r:id="rId51" w:history="1">
        <w:r w:rsidRPr="00945782">
          <w:rPr>
            <w:rStyle w:val="Hyperlink"/>
            <w:rFonts w:asciiTheme="minorHAnsi" w:hAnsiTheme="minorHAnsi" w:cstheme="minorHAnsi"/>
            <w:szCs w:val="22"/>
            <w:lang w:val="ru-RU"/>
          </w:rPr>
          <w:t>Заключительных актах ВКР-23</w:t>
        </w:r>
      </w:hyperlink>
      <w:r w:rsidRPr="00945782">
        <w:rPr>
          <w:lang w:val="ru-RU"/>
        </w:rPr>
        <w:t xml:space="preserve"> закреплены ключевые результаты конференции по всем основным пунктам повестки дня, включая:</w:t>
      </w:r>
    </w:p>
    <w:p w14:paraId="5D8947C8" w14:textId="1DF5BB3C" w:rsidR="00D82062" w:rsidRPr="00945782" w:rsidRDefault="00611DDE" w:rsidP="00611DDE">
      <w:pPr>
        <w:pStyle w:val="enumlev1"/>
        <w:rPr>
          <w:lang w:val="ru-RU"/>
        </w:rPr>
      </w:pPr>
      <w:r w:rsidRPr="00945782">
        <w:rPr>
          <w:lang w:val="ru-RU"/>
        </w:rPr>
        <w:t>•</w:t>
      </w:r>
      <w:r w:rsidRPr="00945782">
        <w:rPr>
          <w:lang w:val="ru-RU"/>
        </w:rPr>
        <w:tab/>
      </w:r>
      <w:r w:rsidR="00D82062" w:rsidRPr="00945782">
        <w:rPr>
          <w:lang w:val="ru-RU"/>
        </w:rPr>
        <w:t>определение спектра для Международной подвижной электросвязи (IMT), который станет решающим фактором расширения возможности установления широкополосных соединений и развития подвижных служб IMT. Был определен спектр для использования станциями на высотных платформах в качестве базовых станций IMT (HIBS), что потенциально позволяет обеспечить подвижную широкополосную связь с минимальной инфраструктурой;</w:t>
      </w:r>
    </w:p>
    <w:p w14:paraId="7693A0F0" w14:textId="20826C00" w:rsidR="00D82062" w:rsidRPr="00945782" w:rsidRDefault="00611DDE" w:rsidP="00611DDE">
      <w:pPr>
        <w:pStyle w:val="enumlev1"/>
        <w:rPr>
          <w:lang w:val="ru-RU"/>
        </w:rPr>
      </w:pPr>
      <w:r w:rsidRPr="00945782">
        <w:rPr>
          <w:lang w:val="ru-RU"/>
        </w:rPr>
        <w:t>•</w:t>
      </w:r>
      <w:r w:rsidRPr="00945782">
        <w:rPr>
          <w:lang w:val="ru-RU"/>
        </w:rPr>
        <w:tab/>
      </w:r>
      <w:r w:rsidR="00D82062" w:rsidRPr="00945782">
        <w:rPr>
          <w:lang w:val="ru-RU"/>
        </w:rPr>
        <w:t>повышение безопасности на море путем поддержки модернизации Глобальной морской системы для случаев бедствия и обеспечения безопасности (ГМСББ);</w:t>
      </w:r>
    </w:p>
    <w:p w14:paraId="18921CDD" w14:textId="4675FF5C" w:rsidR="00D82062" w:rsidRPr="00945782" w:rsidRDefault="00611DDE" w:rsidP="00611DDE">
      <w:pPr>
        <w:pStyle w:val="enumlev1"/>
        <w:rPr>
          <w:lang w:val="ru-RU"/>
        </w:rPr>
      </w:pPr>
      <w:r w:rsidRPr="00945782">
        <w:rPr>
          <w:lang w:val="ru-RU"/>
        </w:rPr>
        <w:t>•</w:t>
      </w:r>
      <w:r w:rsidRPr="00945782">
        <w:rPr>
          <w:lang w:val="ru-RU"/>
        </w:rPr>
        <w:tab/>
      </w:r>
      <w:r w:rsidR="00D82062" w:rsidRPr="00945782">
        <w:rPr>
          <w:lang w:val="ru-RU"/>
        </w:rPr>
        <w:t>цифровизацию ВЧ систем и новые распределения воздушным службам, не связанным с обеспечением безопасности полетов;</w:t>
      </w:r>
    </w:p>
    <w:p w14:paraId="3869FF8F" w14:textId="37D25193" w:rsidR="00D82062" w:rsidRPr="00945782" w:rsidRDefault="00611DDE" w:rsidP="00611DDE">
      <w:pPr>
        <w:pStyle w:val="enumlev1"/>
        <w:rPr>
          <w:lang w:val="ru-RU"/>
        </w:rPr>
      </w:pPr>
      <w:r w:rsidRPr="00945782">
        <w:rPr>
          <w:lang w:val="ru-RU"/>
        </w:rPr>
        <w:t>•</w:t>
      </w:r>
      <w:r w:rsidRPr="00945782">
        <w:rPr>
          <w:lang w:val="ru-RU"/>
        </w:rPr>
        <w:tab/>
      </w:r>
      <w:r w:rsidR="00D82062" w:rsidRPr="00945782">
        <w:rPr>
          <w:lang w:val="ru-RU"/>
        </w:rPr>
        <w:t>расширение возможностей спутниковых служб, включая принятие регламентарных мер для обеспечения межспутниковых линий связи;</w:t>
      </w:r>
    </w:p>
    <w:p w14:paraId="557DF068" w14:textId="1A90567C" w:rsidR="00D82062" w:rsidRPr="00945782" w:rsidRDefault="00611DDE" w:rsidP="00611DDE">
      <w:pPr>
        <w:pStyle w:val="enumlev1"/>
        <w:rPr>
          <w:lang w:val="ru-RU"/>
        </w:rPr>
      </w:pPr>
      <w:r w:rsidRPr="00945782">
        <w:rPr>
          <w:lang w:val="ru-RU"/>
        </w:rPr>
        <w:t>•</w:t>
      </w:r>
      <w:r w:rsidRPr="00945782">
        <w:rPr>
          <w:lang w:val="ru-RU"/>
        </w:rPr>
        <w:tab/>
      </w:r>
      <w:r w:rsidR="00D82062" w:rsidRPr="00945782">
        <w:rPr>
          <w:lang w:val="ru-RU"/>
        </w:rPr>
        <w:t>совершенствование работы земных станций, находящихся в движении (ESIM), для обеспечения высокоскоростной широкополосной связи на борту воздушных и морских судов, поездов и транспортных средств, а также уточненные правила для группировок НГСО;</w:t>
      </w:r>
    </w:p>
    <w:p w14:paraId="5B7CAF5B" w14:textId="2E52A3F9" w:rsidR="00D82062" w:rsidRPr="00945782" w:rsidRDefault="00611DDE" w:rsidP="00611DDE">
      <w:pPr>
        <w:pStyle w:val="enumlev1"/>
        <w:rPr>
          <w:lang w:val="ru-RU"/>
        </w:rPr>
      </w:pPr>
      <w:r w:rsidRPr="00945782">
        <w:rPr>
          <w:lang w:val="ru-RU"/>
        </w:rPr>
        <w:t>•</w:t>
      </w:r>
      <w:r w:rsidRPr="00945782">
        <w:rPr>
          <w:lang w:val="ru-RU"/>
        </w:rPr>
        <w:tab/>
      </w:r>
      <w:r w:rsidR="00D82062" w:rsidRPr="00945782">
        <w:rPr>
          <w:lang w:val="ru-RU"/>
        </w:rPr>
        <w:t>научные службы (новые и улучшенные распределения, поддерживающие наблюдение Земли, космические исследования и космическую погоду);</w:t>
      </w:r>
    </w:p>
    <w:p w14:paraId="59600D46" w14:textId="33694187" w:rsidR="00D82062" w:rsidRPr="00945782" w:rsidRDefault="00611DDE" w:rsidP="00611DDE">
      <w:pPr>
        <w:pStyle w:val="enumlev1"/>
        <w:rPr>
          <w:lang w:val="ru-RU"/>
        </w:rPr>
      </w:pPr>
      <w:r w:rsidRPr="00945782">
        <w:rPr>
          <w:lang w:val="ru-RU"/>
        </w:rPr>
        <w:t>•</w:t>
      </w:r>
      <w:r w:rsidRPr="00945782">
        <w:rPr>
          <w:lang w:val="ru-RU"/>
        </w:rPr>
        <w:tab/>
      </w:r>
      <w:r w:rsidR="00D82062" w:rsidRPr="00945782">
        <w:rPr>
          <w:lang w:val="ru-RU"/>
        </w:rPr>
        <w:t>поддержку Государства Палестина в управлении использованием спектра и развертывании передовых сетей электросвязи.</w:t>
      </w:r>
    </w:p>
    <w:p w14:paraId="54EA20C1" w14:textId="6803A91D" w:rsidR="00D82062" w:rsidRPr="00945782" w:rsidRDefault="00611DDE" w:rsidP="00D82062">
      <w:pPr>
        <w:jc w:val="both"/>
        <w:rPr>
          <w:rFonts w:asciiTheme="minorHAnsi" w:hAnsiTheme="minorHAnsi" w:cstheme="minorHAnsi"/>
          <w:szCs w:val="22"/>
          <w:lang w:val="ru-RU"/>
        </w:rPr>
      </w:pPr>
      <w:r w:rsidRPr="00945782">
        <w:rPr>
          <w:lang w:val="ru-RU"/>
        </w:rPr>
        <w:t>•</w:t>
      </w:r>
      <w:r w:rsidRPr="00945782">
        <w:rPr>
          <w:lang w:val="ru-RU"/>
        </w:rPr>
        <w:tab/>
      </w:r>
      <w:r w:rsidR="00D82062" w:rsidRPr="00945782">
        <w:rPr>
          <w:rFonts w:asciiTheme="minorHAnsi" w:hAnsiTheme="minorHAnsi" w:cstheme="minorHAnsi"/>
          <w:szCs w:val="22"/>
          <w:lang w:val="ru-RU"/>
        </w:rPr>
        <w:t xml:space="preserve">Издание Регламента радиосвязи 2024 года доступно </w:t>
      </w:r>
      <w:hyperlink r:id="rId52" w:history="1">
        <w:r w:rsidR="00D82062" w:rsidRPr="00945782">
          <w:rPr>
            <w:rStyle w:val="Hyperlink"/>
            <w:rFonts w:asciiTheme="minorHAnsi" w:hAnsiTheme="minorHAnsi" w:cstheme="minorHAnsi"/>
            <w:szCs w:val="22"/>
            <w:lang w:val="ru-RU"/>
          </w:rPr>
          <w:t>по ссылке</w:t>
        </w:r>
      </w:hyperlink>
      <w:r w:rsidR="00D82062" w:rsidRPr="00945782">
        <w:rPr>
          <w:rFonts w:asciiTheme="minorHAnsi" w:hAnsiTheme="minorHAnsi" w:cstheme="minorHAnsi"/>
          <w:szCs w:val="22"/>
          <w:lang w:val="ru-RU"/>
        </w:rPr>
        <w:t>.</w:t>
      </w:r>
    </w:p>
    <w:p w14:paraId="34F75C4A" w14:textId="10560408" w:rsidR="00D82062" w:rsidRPr="00945782" w:rsidRDefault="00D82062" w:rsidP="00D82062">
      <w:pPr>
        <w:pStyle w:val="Heading3"/>
        <w:rPr>
          <w:lang w:val="ru-RU"/>
        </w:rPr>
      </w:pPr>
      <w:bookmarkStart w:id="25" w:name="_Toc227062846"/>
      <w:bookmarkStart w:id="26" w:name="_Toc227850234"/>
      <w:r w:rsidRPr="00945782">
        <w:rPr>
          <w:lang w:val="ru-RU"/>
        </w:rPr>
        <w:t>2.2.2</w:t>
      </w:r>
      <w:r w:rsidR="00DE4E61" w:rsidRPr="00945782">
        <w:rPr>
          <w:lang w:val="ru-RU"/>
        </w:rPr>
        <w:tab/>
      </w:r>
      <w:r w:rsidRPr="00945782">
        <w:rPr>
          <w:lang w:val="ru-RU"/>
        </w:rPr>
        <w:t>Ассамблея радиосвязи 2023 года</w:t>
      </w:r>
      <w:bookmarkEnd w:id="25"/>
      <w:bookmarkEnd w:id="26"/>
    </w:p>
    <w:p w14:paraId="109C4400" w14:textId="77777777" w:rsidR="00D82062" w:rsidRPr="00945782" w:rsidRDefault="00D82062" w:rsidP="00DE4E61">
      <w:pPr>
        <w:rPr>
          <w:lang w:val="ru-RU"/>
        </w:rPr>
      </w:pPr>
      <w:r w:rsidRPr="00945782">
        <w:rPr>
          <w:lang w:val="ru-RU"/>
        </w:rPr>
        <w:t>Ассамблея радиосвязи (</w:t>
      </w:r>
      <w:hyperlink r:id="rId53" w:history="1">
        <w:r w:rsidRPr="00945782">
          <w:rPr>
            <w:rStyle w:val="Hyperlink"/>
            <w:rFonts w:asciiTheme="minorHAnsi" w:hAnsiTheme="minorHAnsi" w:cstheme="minorHAnsi"/>
            <w:szCs w:val="22"/>
            <w:lang w:val="ru-RU"/>
          </w:rPr>
          <w:t>АР-23</w:t>
        </w:r>
      </w:hyperlink>
      <w:r w:rsidRPr="00945782">
        <w:rPr>
          <w:lang w:val="ru-RU"/>
        </w:rPr>
        <w:t>) состоялась в период с 13 по 17 ноября 2023 года, непосредственно перед ВКР-23. В Ассамблее приняли участие 566 представителей из 95 администраций, а также 41 Члена Сектора, одной Академической организации и двух специализированных учреждений ООН. В соответствии со своим мандатом она определила будущие направления развития систем радиосвязи и ИКТ, утвердив будущую программу работы Сектора радиосвязи (МСЭ-R), а также одобрив целый ряд рекомендаций и резолюций МСЭ-R, которые окажут глобальное влияние на будущие технологии радиосвязи.</w:t>
      </w:r>
    </w:p>
    <w:p w14:paraId="55E9618E" w14:textId="77777777" w:rsidR="00D82062" w:rsidRPr="00945782" w:rsidRDefault="00D82062" w:rsidP="00DE4E61">
      <w:pPr>
        <w:rPr>
          <w:lang w:val="ru-RU"/>
        </w:rPr>
      </w:pPr>
      <w:r w:rsidRPr="00945782">
        <w:rPr>
          <w:lang w:val="ru-RU"/>
        </w:rPr>
        <w:lastRenderedPageBreak/>
        <w:t>На АР-23 был достигнут ряд ключевых результатов, определяющих дальнейшую работу МСЭ-R, включая:</w:t>
      </w:r>
    </w:p>
    <w:p w14:paraId="75506F35" w14:textId="29431E06" w:rsidR="00D82062" w:rsidRPr="00945782" w:rsidRDefault="00DE4E61" w:rsidP="00DE4E61">
      <w:pPr>
        <w:pStyle w:val="enumlev1"/>
        <w:rPr>
          <w:lang w:val="ru-RU"/>
        </w:rPr>
      </w:pPr>
      <w:r w:rsidRPr="00945782">
        <w:rPr>
          <w:lang w:val="ru-RU"/>
        </w:rPr>
        <w:t>•</w:t>
      </w:r>
      <w:r w:rsidRPr="00945782">
        <w:rPr>
          <w:lang w:val="ru-RU"/>
        </w:rPr>
        <w:tab/>
      </w:r>
      <w:r w:rsidR="00D82062" w:rsidRPr="00945782">
        <w:rPr>
          <w:lang w:val="ru-RU"/>
        </w:rPr>
        <w:t>пересмотр 26 резолюций МСЭ-R, в частности обновление методов работы органов МСЭ-R (</w:t>
      </w:r>
      <w:hyperlink r:id="rId54" w:history="1">
        <w:r w:rsidR="00D82062" w:rsidRPr="00945782">
          <w:rPr>
            <w:rStyle w:val="Hyperlink"/>
            <w:rFonts w:cstheme="minorHAnsi"/>
            <w:szCs w:val="22"/>
            <w:lang w:val="ru-RU"/>
          </w:rPr>
          <w:t>Резолюция 1-9</w:t>
        </w:r>
      </w:hyperlink>
      <w:r w:rsidR="00D82062" w:rsidRPr="00945782">
        <w:rPr>
          <w:lang w:val="ru-RU"/>
        </w:rPr>
        <w:t>);</w:t>
      </w:r>
    </w:p>
    <w:p w14:paraId="29C7304D" w14:textId="30C83747" w:rsidR="00D82062" w:rsidRPr="00945782" w:rsidRDefault="00DE4E61" w:rsidP="00DE4E61">
      <w:pPr>
        <w:pStyle w:val="enumlev1"/>
        <w:rPr>
          <w:lang w:val="ru-RU"/>
        </w:rPr>
      </w:pPr>
      <w:r w:rsidRPr="00945782">
        <w:rPr>
          <w:lang w:val="ru-RU"/>
        </w:rPr>
        <w:t>•</w:t>
      </w:r>
      <w:r w:rsidRPr="00945782">
        <w:rPr>
          <w:lang w:val="ru-RU"/>
        </w:rPr>
        <w:tab/>
      </w:r>
      <w:r w:rsidR="00D82062" w:rsidRPr="00945782">
        <w:rPr>
          <w:lang w:val="ru-RU"/>
        </w:rPr>
        <w:t>подтверждение существующей структуры Исследовательских комиссий, а также утверждение программы работы и Вопросов Исследовательских комиссий вместе с четырьмя новыми Рекомендациями МСЭ-R (</w:t>
      </w:r>
      <w:hyperlink r:id="rId55" w:history="1">
        <w:r w:rsidR="00D82062" w:rsidRPr="00945782">
          <w:rPr>
            <w:rStyle w:val="Hyperlink"/>
            <w:rFonts w:cstheme="minorHAnsi"/>
            <w:szCs w:val="22"/>
            <w:lang w:val="ru-RU"/>
          </w:rPr>
          <w:t>Резолюция 5-9</w:t>
        </w:r>
      </w:hyperlink>
      <w:r w:rsidR="00D82062" w:rsidRPr="00945782">
        <w:rPr>
          <w:lang w:val="ru-RU"/>
        </w:rPr>
        <w:t>);</w:t>
      </w:r>
    </w:p>
    <w:p w14:paraId="5994D11D" w14:textId="1B00761C" w:rsidR="00D82062" w:rsidRPr="00945782" w:rsidRDefault="00DE4E61" w:rsidP="00DE4E61">
      <w:pPr>
        <w:pStyle w:val="enumlev1"/>
        <w:rPr>
          <w:lang w:val="ru-RU"/>
        </w:rPr>
      </w:pPr>
      <w:r w:rsidRPr="00945782">
        <w:rPr>
          <w:lang w:val="ru-RU"/>
        </w:rPr>
        <w:t>•</w:t>
      </w:r>
      <w:r w:rsidRPr="00945782">
        <w:rPr>
          <w:lang w:val="ru-RU"/>
        </w:rPr>
        <w:tab/>
      </w:r>
      <w:r w:rsidR="00D82062" w:rsidRPr="00945782">
        <w:rPr>
          <w:lang w:val="ru-RU"/>
        </w:rPr>
        <w:t>Ассамблея существенным образом обновила рамочную основу развития Международной подвижной электросвязи, приняв концепцию IMT-2030 (</w:t>
      </w:r>
      <w:hyperlink r:id="rId56" w:history="1">
        <w:r w:rsidR="00D82062" w:rsidRPr="00945782">
          <w:rPr>
            <w:rStyle w:val="Hyperlink"/>
            <w:rFonts w:cstheme="minorHAnsi"/>
            <w:szCs w:val="22"/>
            <w:lang w:val="ru-RU"/>
          </w:rPr>
          <w:t>Резолюция</w:t>
        </w:r>
        <w:r w:rsidR="00DE7861" w:rsidRPr="00945782">
          <w:rPr>
            <w:rStyle w:val="Hyperlink"/>
            <w:rFonts w:cstheme="minorHAnsi"/>
            <w:szCs w:val="22"/>
            <w:lang w:val="ru-RU"/>
          </w:rPr>
          <w:t> </w:t>
        </w:r>
        <w:r w:rsidR="00D82062" w:rsidRPr="00945782">
          <w:rPr>
            <w:rStyle w:val="Hyperlink"/>
            <w:rFonts w:cstheme="minorHAnsi"/>
            <w:szCs w:val="22"/>
            <w:lang w:val="ru-RU"/>
          </w:rPr>
          <w:t>56-3</w:t>
        </w:r>
      </w:hyperlink>
      <w:r w:rsidR="00D82062" w:rsidRPr="00945782">
        <w:rPr>
          <w:lang w:val="ru-RU"/>
        </w:rPr>
        <w:t>) и приведя в соответствие принципы будущего развития (</w:t>
      </w:r>
      <w:hyperlink r:id="rId57" w:history="1">
        <w:r w:rsidR="00D82062" w:rsidRPr="00945782">
          <w:rPr>
            <w:rStyle w:val="Hyperlink"/>
            <w:rFonts w:cstheme="minorHAnsi"/>
            <w:szCs w:val="22"/>
            <w:lang w:val="ru-RU"/>
          </w:rPr>
          <w:t>Резолюция</w:t>
        </w:r>
        <w:r w:rsidR="00DE7861" w:rsidRPr="00945782">
          <w:rPr>
            <w:rStyle w:val="Hyperlink"/>
            <w:rFonts w:cstheme="minorHAnsi"/>
            <w:szCs w:val="22"/>
            <w:lang w:val="ru-RU"/>
          </w:rPr>
          <w:t> </w:t>
        </w:r>
        <w:r w:rsidR="00D82062" w:rsidRPr="00945782">
          <w:rPr>
            <w:rStyle w:val="Hyperlink"/>
            <w:rFonts w:cstheme="minorHAnsi"/>
            <w:szCs w:val="22"/>
            <w:lang w:val="ru-RU"/>
          </w:rPr>
          <w:t>65-1</w:t>
        </w:r>
      </w:hyperlink>
      <w:r w:rsidR="00D82062" w:rsidRPr="00945782">
        <w:rPr>
          <w:lang w:val="ru-RU"/>
        </w:rPr>
        <w:t>);</w:t>
      </w:r>
    </w:p>
    <w:p w14:paraId="3D2728E4" w14:textId="12B6D6CF" w:rsidR="00D82062" w:rsidRPr="00945782" w:rsidRDefault="00DE4E61" w:rsidP="00DE4E61">
      <w:pPr>
        <w:pStyle w:val="enumlev1"/>
        <w:rPr>
          <w:lang w:val="ru-RU"/>
        </w:rPr>
      </w:pPr>
      <w:r w:rsidRPr="00945782">
        <w:rPr>
          <w:lang w:val="ru-RU"/>
        </w:rPr>
        <w:t>•</w:t>
      </w:r>
      <w:r w:rsidRPr="00945782">
        <w:rPr>
          <w:lang w:val="ru-RU"/>
        </w:rPr>
        <w:tab/>
      </w:r>
      <w:r w:rsidR="00D82062" w:rsidRPr="00945782">
        <w:rPr>
          <w:lang w:val="ru-RU"/>
        </w:rPr>
        <w:t>кроме того, АР-23 приняла четыре новые резолюции, направленные на поощрение гендерного равенства в деятельности МСЭ-R (</w:t>
      </w:r>
      <w:hyperlink r:id="rId58" w:history="1">
        <w:r w:rsidR="00D82062" w:rsidRPr="00945782">
          <w:rPr>
            <w:rStyle w:val="Hyperlink"/>
            <w:rFonts w:cstheme="minorHAnsi"/>
            <w:szCs w:val="22"/>
            <w:lang w:val="ru-RU"/>
          </w:rPr>
          <w:t>Резолюция 72</w:t>
        </w:r>
      </w:hyperlink>
      <w:r w:rsidR="00D82062" w:rsidRPr="00945782">
        <w:rPr>
          <w:lang w:val="ru-RU"/>
        </w:rPr>
        <w:t>), поддержку использования технологий IMT для фиксированной беспроводной широкополосной связи (</w:t>
      </w:r>
      <w:hyperlink r:id="rId59" w:history="1">
        <w:r w:rsidR="00D82062" w:rsidRPr="00945782">
          <w:rPr>
            <w:rStyle w:val="Hyperlink"/>
            <w:rFonts w:cstheme="minorHAnsi"/>
            <w:szCs w:val="22"/>
            <w:lang w:val="ru-RU"/>
          </w:rPr>
          <w:t>Резолюция 73</w:t>
        </w:r>
      </w:hyperlink>
      <w:r w:rsidR="00D82062" w:rsidRPr="00945782">
        <w:rPr>
          <w:lang w:val="ru-RU"/>
        </w:rPr>
        <w:t>), а также содействие устойчивому использованию спектра и спутниковых орбит (</w:t>
      </w:r>
      <w:hyperlink r:id="rId60" w:history="1">
        <w:r w:rsidR="00D82062" w:rsidRPr="00945782">
          <w:rPr>
            <w:rStyle w:val="Hyperlink"/>
            <w:rFonts w:cstheme="minorHAnsi"/>
            <w:szCs w:val="22"/>
            <w:lang w:val="ru-RU"/>
          </w:rPr>
          <w:t>Резолюция 74</w:t>
        </w:r>
      </w:hyperlink>
      <w:r w:rsidR="00D82062" w:rsidRPr="00945782">
        <w:rPr>
          <w:lang w:val="ru-RU"/>
        </w:rPr>
        <w:t>);</w:t>
      </w:r>
    </w:p>
    <w:p w14:paraId="22588720" w14:textId="0B5B6E70" w:rsidR="00D82062" w:rsidRPr="00945782" w:rsidRDefault="00DE4E61" w:rsidP="00DE4E61">
      <w:pPr>
        <w:pStyle w:val="enumlev1"/>
        <w:rPr>
          <w:lang w:val="ru-RU"/>
        </w:rPr>
      </w:pPr>
      <w:r w:rsidRPr="00945782">
        <w:rPr>
          <w:lang w:val="ru-RU"/>
        </w:rPr>
        <w:t>•</w:t>
      </w:r>
      <w:r w:rsidRPr="00945782">
        <w:rPr>
          <w:lang w:val="ru-RU"/>
        </w:rPr>
        <w:tab/>
      </w:r>
      <w:r w:rsidR="00D82062" w:rsidRPr="00945782">
        <w:rPr>
          <w:lang w:val="ru-RU"/>
        </w:rPr>
        <w:t>укрепление координации между Секторами МСЭ (</w:t>
      </w:r>
      <w:hyperlink r:id="rId61" w:history="1">
        <w:r w:rsidR="00D82062" w:rsidRPr="00945782">
          <w:rPr>
            <w:rStyle w:val="Hyperlink"/>
            <w:rFonts w:cstheme="minorHAnsi"/>
            <w:szCs w:val="22"/>
            <w:lang w:val="ru-RU"/>
          </w:rPr>
          <w:t>Резолюция 75</w:t>
        </w:r>
      </w:hyperlink>
      <w:r w:rsidR="00D82062" w:rsidRPr="00945782">
        <w:rPr>
          <w:lang w:val="ru-RU"/>
        </w:rPr>
        <w:t xml:space="preserve">) (объединение принятых ранее текстов). Решения, относящиеся к ВКР-23, были впоследствии переданы в </w:t>
      </w:r>
      <w:hyperlink r:id="rId62" w:history="1">
        <w:r w:rsidR="00D82062" w:rsidRPr="00945782">
          <w:rPr>
            <w:rStyle w:val="Hyperlink"/>
            <w:rFonts w:cstheme="minorHAnsi"/>
            <w:szCs w:val="22"/>
            <w:lang w:val="ru-RU"/>
          </w:rPr>
          <w:t>Документе WRC-23/217</w:t>
        </w:r>
      </w:hyperlink>
      <w:r w:rsidR="00D82062" w:rsidRPr="00945782">
        <w:rPr>
          <w:lang w:val="ru-RU"/>
        </w:rPr>
        <w:t>.</w:t>
      </w:r>
    </w:p>
    <w:p w14:paraId="3944975D" w14:textId="5113F3BB" w:rsidR="00D82062" w:rsidRPr="00945782" w:rsidRDefault="00D82062" w:rsidP="00D82062">
      <w:pPr>
        <w:pStyle w:val="Heading2"/>
        <w:rPr>
          <w:lang w:val="ru-RU"/>
        </w:rPr>
      </w:pPr>
      <w:bookmarkStart w:id="27" w:name="_Toc227062847"/>
      <w:bookmarkStart w:id="28" w:name="_Toc227850235"/>
      <w:r w:rsidRPr="00945782">
        <w:rPr>
          <w:lang w:val="ru-RU"/>
        </w:rPr>
        <w:t>2.3</w:t>
      </w:r>
      <w:r w:rsidR="00DE4E61" w:rsidRPr="00945782">
        <w:rPr>
          <w:lang w:val="ru-RU"/>
        </w:rPr>
        <w:tab/>
      </w:r>
      <w:r w:rsidRPr="00945782">
        <w:rPr>
          <w:lang w:val="ru-RU"/>
        </w:rPr>
        <w:t>Всемирная ассамблея по стандартизации электросвязи 2024 года</w:t>
      </w:r>
      <w:bookmarkEnd w:id="27"/>
      <w:bookmarkEnd w:id="28"/>
    </w:p>
    <w:p w14:paraId="176FA23B" w14:textId="74C41530" w:rsidR="00D82062" w:rsidRPr="00945782" w:rsidRDefault="00D82062" w:rsidP="00DE4E61">
      <w:pPr>
        <w:rPr>
          <w:lang w:val="ru-RU"/>
        </w:rPr>
      </w:pPr>
      <w:r w:rsidRPr="00945782">
        <w:rPr>
          <w:lang w:val="ru-RU"/>
        </w:rPr>
        <w:t>Всемирная ассамблея по стандартизации электросвязи (</w:t>
      </w:r>
      <w:hyperlink r:id="rId63" w:history="1">
        <w:r w:rsidRPr="00945782">
          <w:rPr>
            <w:rStyle w:val="Hyperlink"/>
            <w:rFonts w:asciiTheme="minorHAnsi" w:hAnsiTheme="minorHAnsi" w:cstheme="minorHAnsi"/>
            <w:szCs w:val="22"/>
            <w:lang w:val="ru-RU"/>
          </w:rPr>
          <w:t>ВАСЭ-24</w:t>
        </w:r>
      </w:hyperlink>
      <w:r w:rsidRPr="00945782">
        <w:rPr>
          <w:lang w:val="ru-RU"/>
        </w:rPr>
        <w:t>) состоялась в период с 15 по 24 октября 2024 года в Нью-Дели, Индия. Это была первая ВАСЭ, проведенная в Азии. Ей предшествовал Глобальный симпозиум по стандартам (</w:t>
      </w:r>
      <w:hyperlink r:id="rId64" w:history="1">
        <w:r w:rsidRPr="00945782">
          <w:rPr>
            <w:rStyle w:val="Hyperlink"/>
            <w:rFonts w:asciiTheme="minorHAnsi" w:hAnsiTheme="minorHAnsi" w:cstheme="minorHAnsi"/>
            <w:szCs w:val="22"/>
            <w:lang w:val="ru-RU"/>
          </w:rPr>
          <w:t>ГСС-24</w:t>
        </w:r>
      </w:hyperlink>
      <w:r w:rsidRPr="00945782">
        <w:rPr>
          <w:lang w:val="ru-RU"/>
        </w:rPr>
        <w:t>), состоявшийся 14 октября 2024</w:t>
      </w:r>
      <w:r w:rsidR="00DE4E61" w:rsidRPr="00945782">
        <w:rPr>
          <w:lang w:val="ru-RU"/>
        </w:rPr>
        <w:t> </w:t>
      </w:r>
      <w:r w:rsidRPr="00945782">
        <w:rPr>
          <w:lang w:val="ru-RU"/>
        </w:rPr>
        <w:t>года, а после нее был организован курс подготовки для руководителей, который проводился для недавно назначенных председателей и заместителей председателей редакционных групп ВАСЭ-24. На церемонии открытия Ассамблеи присутствовал Е. П. Премьер-министр Индии Нарендра Моди. Ассамблея проходила под председательством г-на Риту Ранджана Миттара (Индия). В работе Ассамблеи приняли участие 3700 делегатов из 164 стран; доля представленности женщин достигла 27%, что является самым высоким на сегодня показателем для конференций МСЭ-Т, проведенных за пределами Женевы. Она также продемонстрировала самый высокий в истории МСЭ-Т уровень участников: 37 Государств-Членов направили на мероприятие министров. В ходе ВАСЭ-24 было проведено более 20 сопутствующих мероприятий.</w:t>
      </w:r>
    </w:p>
    <w:p w14:paraId="30AF63F0" w14:textId="77777777" w:rsidR="00D82062" w:rsidRPr="00945782" w:rsidRDefault="00D82062" w:rsidP="00DE4E61">
      <w:pPr>
        <w:rPr>
          <w:lang w:val="ru-RU"/>
        </w:rPr>
      </w:pPr>
      <w:r w:rsidRPr="00945782">
        <w:rPr>
          <w:lang w:val="ru-RU"/>
        </w:rPr>
        <w:t xml:space="preserve">К ключевым результатам ВАСЭ-24 относятся: </w:t>
      </w:r>
    </w:p>
    <w:p w14:paraId="5399B1FF" w14:textId="15CFF5B9" w:rsidR="00D82062" w:rsidRPr="00945782" w:rsidRDefault="00DE4E61" w:rsidP="00DE4E61">
      <w:pPr>
        <w:pStyle w:val="enumlev1"/>
        <w:rPr>
          <w:rFonts w:cstheme="minorHAnsi"/>
          <w:szCs w:val="22"/>
          <w:lang w:val="ru-RU"/>
        </w:rPr>
      </w:pPr>
      <w:r w:rsidRPr="00945782">
        <w:rPr>
          <w:lang w:val="ru-RU"/>
        </w:rPr>
        <w:t>•</w:t>
      </w:r>
      <w:r w:rsidRPr="00945782">
        <w:rPr>
          <w:lang w:val="ru-RU"/>
        </w:rPr>
        <w:tab/>
      </w:r>
      <w:r w:rsidR="00D82062" w:rsidRPr="00945782">
        <w:rPr>
          <w:rFonts w:cstheme="minorHAnsi"/>
          <w:szCs w:val="22"/>
          <w:lang w:val="ru-RU"/>
        </w:rPr>
        <w:t xml:space="preserve">объединение </w:t>
      </w:r>
      <w:hyperlink r:id="rId65" w:history="1">
        <w:r w:rsidR="00D82062" w:rsidRPr="00945782">
          <w:rPr>
            <w:rStyle w:val="Hyperlink"/>
            <w:rFonts w:cstheme="minorHAnsi"/>
            <w:szCs w:val="22"/>
            <w:lang w:val="ru-RU"/>
          </w:rPr>
          <w:t>9-й</w:t>
        </w:r>
      </w:hyperlink>
      <w:r w:rsidR="00D82062" w:rsidRPr="00945782">
        <w:rPr>
          <w:rFonts w:cstheme="minorHAnsi"/>
          <w:szCs w:val="22"/>
          <w:lang w:val="ru-RU"/>
        </w:rPr>
        <w:t xml:space="preserve"> и </w:t>
      </w:r>
      <w:hyperlink r:id="rId66" w:history="1">
        <w:r w:rsidR="00D82062" w:rsidRPr="00945782">
          <w:rPr>
            <w:rStyle w:val="Hyperlink"/>
            <w:rFonts w:cstheme="minorHAnsi"/>
            <w:szCs w:val="22"/>
            <w:lang w:val="ru-RU"/>
          </w:rPr>
          <w:t>16-й</w:t>
        </w:r>
      </w:hyperlink>
      <w:r w:rsidR="00D82062" w:rsidRPr="00945782">
        <w:rPr>
          <w:rFonts w:cstheme="minorHAnsi"/>
          <w:szCs w:val="22"/>
          <w:lang w:val="ru-RU"/>
        </w:rPr>
        <w:t xml:space="preserve"> Исследовательских комиссий Сектора стандартизации электросвязи МСЭ (МСЭ-Т) в новый орган – </w:t>
      </w:r>
      <w:hyperlink r:id="rId67" w:history="1">
        <w:r w:rsidR="00D82062" w:rsidRPr="00945782">
          <w:rPr>
            <w:rStyle w:val="Hyperlink"/>
            <w:rFonts w:cstheme="minorHAnsi"/>
            <w:szCs w:val="22"/>
            <w:lang w:val="ru-RU"/>
          </w:rPr>
          <w:t>21-ю Исследовательскую комиссию</w:t>
        </w:r>
      </w:hyperlink>
      <w:r w:rsidR="00D82062" w:rsidRPr="00945782">
        <w:rPr>
          <w:rFonts w:cstheme="minorHAnsi"/>
          <w:szCs w:val="22"/>
          <w:lang w:val="ru-RU"/>
        </w:rPr>
        <w:t>, охватывающий технологии для мультимедиа, доставки контента и кабельного телевидения;</w:t>
      </w:r>
    </w:p>
    <w:p w14:paraId="4A4E6C3C" w14:textId="661282D0" w:rsidR="00D82062" w:rsidRPr="00945782" w:rsidRDefault="00DE4E61" w:rsidP="00DE4E61">
      <w:pPr>
        <w:pStyle w:val="enumlev1"/>
        <w:rPr>
          <w:rFonts w:cstheme="minorHAnsi"/>
          <w:szCs w:val="22"/>
          <w:lang w:val="ru-RU"/>
        </w:rPr>
      </w:pPr>
      <w:r w:rsidRPr="00945782">
        <w:rPr>
          <w:lang w:val="ru-RU"/>
        </w:rPr>
        <w:t>•</w:t>
      </w:r>
      <w:r w:rsidRPr="00945782">
        <w:rPr>
          <w:lang w:val="ru-RU"/>
        </w:rPr>
        <w:tab/>
      </w:r>
      <w:r w:rsidR="00D82062" w:rsidRPr="00945782">
        <w:rPr>
          <w:rFonts w:cstheme="minorHAnsi"/>
          <w:szCs w:val="22"/>
          <w:lang w:val="ru-RU"/>
        </w:rPr>
        <w:t xml:space="preserve">назначение новых </w:t>
      </w:r>
      <w:hyperlink r:id="rId68" w:history="1">
        <w:r w:rsidR="00D82062" w:rsidRPr="00945782">
          <w:rPr>
            <w:rStyle w:val="Hyperlink"/>
            <w:rFonts w:cstheme="minorHAnsi"/>
            <w:szCs w:val="22"/>
            <w:lang w:val="ru-RU"/>
          </w:rPr>
          <w:t>председателей и заместителей председателей</w:t>
        </w:r>
      </w:hyperlink>
      <w:r w:rsidR="00D82062" w:rsidRPr="00945782">
        <w:rPr>
          <w:rFonts w:cstheme="minorHAnsi"/>
          <w:szCs w:val="22"/>
          <w:lang w:val="ru-RU"/>
        </w:rPr>
        <w:t xml:space="preserve"> десяти исследовательских комиссий МСЭ-Т, а также Консультативной группы по стандартизации электросвязи и Комитета по стандартизации терминологии; </w:t>
      </w:r>
    </w:p>
    <w:p w14:paraId="3D9B2984" w14:textId="2987F53A" w:rsidR="00D82062" w:rsidRPr="00945782" w:rsidRDefault="00DE4E61" w:rsidP="00DE4E61">
      <w:pPr>
        <w:pStyle w:val="enumlev1"/>
        <w:rPr>
          <w:rFonts w:cstheme="minorHAnsi"/>
          <w:szCs w:val="22"/>
          <w:lang w:val="ru-RU"/>
        </w:rPr>
      </w:pPr>
      <w:r w:rsidRPr="00945782">
        <w:rPr>
          <w:lang w:val="ru-RU"/>
        </w:rPr>
        <w:t>•</w:t>
      </w:r>
      <w:r w:rsidRPr="00945782">
        <w:rPr>
          <w:lang w:val="ru-RU"/>
        </w:rPr>
        <w:tab/>
      </w:r>
      <w:r w:rsidR="00D82062" w:rsidRPr="00945782">
        <w:rPr>
          <w:rFonts w:cstheme="minorHAnsi"/>
          <w:szCs w:val="22"/>
          <w:lang w:val="ru-RU"/>
        </w:rPr>
        <w:t xml:space="preserve">обновление мандата в соответствии с </w:t>
      </w:r>
      <w:hyperlink r:id="rId69" w:history="1">
        <w:r w:rsidR="00D82062" w:rsidRPr="00945782">
          <w:rPr>
            <w:rStyle w:val="Hyperlink"/>
            <w:rFonts w:cstheme="minorHAnsi"/>
            <w:szCs w:val="22"/>
            <w:lang w:val="ru-RU"/>
          </w:rPr>
          <w:t>Резолюцией 2</w:t>
        </w:r>
      </w:hyperlink>
      <w:r w:rsidR="00D82062" w:rsidRPr="00945782">
        <w:rPr>
          <w:rFonts w:cstheme="minorHAnsi"/>
          <w:szCs w:val="22"/>
          <w:lang w:val="ru-RU"/>
        </w:rPr>
        <w:t>, утверждение новых Вопросов для всех 10 Исследовательских комиссий Сектора и утверждение значительного пакета итоговых документов, включая восемь новых Резолюций, 44 пересмотренные Резолюции и пересмотренную Рекомендацию МСЭ-T (</w:t>
      </w:r>
      <w:hyperlink r:id="rId70" w:history="1">
        <w:r w:rsidR="00D82062" w:rsidRPr="00945782">
          <w:rPr>
            <w:rStyle w:val="Hyperlink"/>
            <w:rFonts w:cstheme="minorHAnsi"/>
            <w:szCs w:val="22"/>
            <w:lang w:val="ru-RU"/>
          </w:rPr>
          <w:t>A.25</w:t>
        </w:r>
      </w:hyperlink>
      <w:r w:rsidR="00D82062" w:rsidRPr="00945782">
        <w:rPr>
          <w:rFonts w:cstheme="minorHAnsi"/>
          <w:szCs w:val="22"/>
          <w:lang w:val="ru-RU"/>
        </w:rPr>
        <w:t>).</w:t>
      </w:r>
    </w:p>
    <w:p w14:paraId="04948021" w14:textId="77877145" w:rsidR="00D82062" w:rsidRPr="00945782" w:rsidRDefault="00D82062" w:rsidP="00D82062">
      <w:pPr>
        <w:pStyle w:val="Heading2"/>
        <w:rPr>
          <w:lang w:val="ru-RU"/>
        </w:rPr>
      </w:pPr>
      <w:bookmarkStart w:id="29" w:name="_Toc227062848"/>
      <w:bookmarkStart w:id="30" w:name="_Toc227850236"/>
      <w:r w:rsidRPr="00945782">
        <w:rPr>
          <w:lang w:val="ru-RU"/>
        </w:rPr>
        <w:lastRenderedPageBreak/>
        <w:t>2.4</w:t>
      </w:r>
      <w:r w:rsidR="00DE4E61" w:rsidRPr="00945782">
        <w:rPr>
          <w:lang w:val="ru-RU"/>
        </w:rPr>
        <w:tab/>
      </w:r>
      <w:r w:rsidRPr="00945782">
        <w:rPr>
          <w:lang w:val="ru-RU"/>
        </w:rPr>
        <w:t>Всемирная конференция по развитию электросвязи 2025 года</w:t>
      </w:r>
      <w:bookmarkEnd w:id="29"/>
      <w:bookmarkEnd w:id="30"/>
    </w:p>
    <w:p w14:paraId="500416ED" w14:textId="66C10D9F" w:rsidR="00D82062" w:rsidRPr="00945782" w:rsidRDefault="00D82062" w:rsidP="00DE4E61">
      <w:pPr>
        <w:rPr>
          <w:lang w:val="ru-RU"/>
        </w:rPr>
      </w:pPr>
      <w:r w:rsidRPr="00945782">
        <w:rPr>
          <w:lang w:val="ru-RU"/>
        </w:rPr>
        <w:t>Девятая Всемирная конференция по развитию электросвязи (</w:t>
      </w:r>
      <w:hyperlink r:id="rId71" w:history="1">
        <w:r w:rsidRPr="00945782">
          <w:rPr>
            <w:rStyle w:val="Hyperlink"/>
            <w:rFonts w:asciiTheme="minorHAnsi" w:hAnsiTheme="minorHAnsi" w:cstheme="minorHAnsi"/>
            <w:szCs w:val="22"/>
            <w:lang w:val="ru-RU"/>
          </w:rPr>
          <w:t>ВКРЭ-25</w:t>
        </w:r>
      </w:hyperlink>
      <w:r w:rsidRPr="00945782">
        <w:rPr>
          <w:lang w:val="ru-RU"/>
        </w:rPr>
        <w:t>), состоявшаяся в период с</w:t>
      </w:r>
      <w:r w:rsidR="00C7285D" w:rsidRPr="00945782">
        <w:rPr>
          <w:lang w:val="ru-RU"/>
        </w:rPr>
        <w:t> </w:t>
      </w:r>
      <w:r w:rsidRPr="00945782">
        <w:rPr>
          <w:lang w:val="ru-RU"/>
        </w:rPr>
        <w:t>17 по 28 ноября 2025 года в Баку, Азербайджан, стала важной вехой в развитии глобальной возможности установления соединений и цифровых технологий. Председателем ВКРЭ-25 был Его Превосходительство г-н Самеддин Асадов, заместитель Министра цифрового развития и транспорта Азербайджанской Республики. Конференция была посвящена ключевой теме "Универсальная и реальная возможность установления приемлемых в ценовом отношении соединений в интересах инклюзивного и устойчивого цифрового будущего".</w:t>
      </w:r>
    </w:p>
    <w:p w14:paraId="47F070FE" w14:textId="77777777" w:rsidR="00D82062" w:rsidRPr="00945782" w:rsidRDefault="00D82062" w:rsidP="00DE4E61">
      <w:pPr>
        <w:rPr>
          <w:lang w:val="ru-RU"/>
        </w:rPr>
      </w:pPr>
      <w:r w:rsidRPr="00945782">
        <w:rPr>
          <w:lang w:val="ru-RU"/>
        </w:rPr>
        <w:t>На ВКРЭ-25 собрались около 2000 участников в лице представителей Государств-Членов, Членов Секторов, Ассоциированных членов и Академических организаций из более чем 150 стран. Благодаря совместному диалогу и переговорам конференция достигла ряда важных результатов.</w:t>
      </w:r>
    </w:p>
    <w:p w14:paraId="6E2B9384" w14:textId="77777777" w:rsidR="00D82062" w:rsidRPr="00945782" w:rsidRDefault="00D82062" w:rsidP="00DE4E61">
      <w:pPr>
        <w:rPr>
          <w:lang w:val="ru-RU"/>
        </w:rPr>
      </w:pPr>
      <w:r w:rsidRPr="00945782">
        <w:rPr>
          <w:lang w:val="ru-RU"/>
        </w:rPr>
        <w:t>К их числу относятся:</w:t>
      </w:r>
    </w:p>
    <w:p w14:paraId="18C72797" w14:textId="71CDDBA4" w:rsidR="00D82062" w:rsidRPr="00945782" w:rsidRDefault="00DE4E61" w:rsidP="00DE4E61">
      <w:pPr>
        <w:pStyle w:val="enumlev1"/>
        <w:rPr>
          <w:lang w:val="ru-RU"/>
        </w:rPr>
      </w:pPr>
      <w:r w:rsidRPr="00945782">
        <w:rPr>
          <w:lang w:val="ru-RU"/>
        </w:rPr>
        <w:t>•</w:t>
      </w:r>
      <w:r w:rsidRPr="00945782">
        <w:rPr>
          <w:lang w:val="ru-RU"/>
        </w:rPr>
        <w:tab/>
      </w:r>
      <w:hyperlink r:id="rId72" w:history="1">
        <w:r w:rsidR="00D82062" w:rsidRPr="00945782">
          <w:rPr>
            <w:rStyle w:val="Hyperlink"/>
            <w:rFonts w:cstheme="minorHAnsi"/>
            <w:szCs w:val="22"/>
            <w:lang w:val="ru-RU"/>
          </w:rPr>
          <w:t>Бакинская декларация</w:t>
        </w:r>
      </w:hyperlink>
      <w:r w:rsidR="00D82062" w:rsidRPr="00945782">
        <w:rPr>
          <w:lang w:val="ru-RU"/>
        </w:rPr>
        <w:t>. Конференция приняла Бакинскую декларацию, в которой подтверждается приверженность членов Сектора развития электросвязи МСЭ (МСЭ-D) преодолению цифрового разрыва, расширению возможности установления соединений и расширению прав и возможностей сообществ с помощью ИКТ. Декларация служит руководящим заявлением о ценностях и приоритетах работы МСЭ</w:t>
      </w:r>
      <w:r w:rsidRPr="00945782">
        <w:rPr>
          <w:rFonts w:ascii="Cambria Math" w:hAnsi="Cambria Math"/>
          <w:lang w:val="ru-RU"/>
        </w:rPr>
        <w:t>‑</w:t>
      </w:r>
      <w:r w:rsidR="00D82062" w:rsidRPr="00945782">
        <w:rPr>
          <w:lang w:val="ru-RU"/>
        </w:rPr>
        <w:t>D.</w:t>
      </w:r>
    </w:p>
    <w:p w14:paraId="2B46906B" w14:textId="5FBD81BE" w:rsidR="00D82062" w:rsidRPr="00945782" w:rsidRDefault="00DE4E61" w:rsidP="00DE4E61">
      <w:pPr>
        <w:pStyle w:val="enumlev1"/>
        <w:rPr>
          <w:lang w:val="ru-RU"/>
        </w:rPr>
      </w:pPr>
      <w:r w:rsidRPr="00945782">
        <w:rPr>
          <w:lang w:val="ru-RU"/>
        </w:rPr>
        <w:t>•</w:t>
      </w:r>
      <w:r w:rsidRPr="00945782">
        <w:rPr>
          <w:lang w:val="ru-RU"/>
        </w:rPr>
        <w:tab/>
      </w:r>
      <w:hyperlink r:id="rId73" w:history="1">
        <w:r w:rsidR="00D82062" w:rsidRPr="00945782">
          <w:rPr>
            <w:rStyle w:val="Hyperlink"/>
            <w:rFonts w:cstheme="minorHAnsi"/>
            <w:szCs w:val="22"/>
            <w:lang w:val="ru-RU"/>
          </w:rPr>
          <w:t>Бакинский план действий</w:t>
        </w:r>
      </w:hyperlink>
      <w:r w:rsidR="00D82062" w:rsidRPr="00945782">
        <w:rPr>
          <w:lang w:val="ru-RU"/>
        </w:rPr>
        <w:t>. В соответствии с целями конференции ВКРЭ-25 установила приоритеты для МСЭ-D на следующие четыре года (2026–2029 гг.), а также утвердила подробный Бакинский план действий, который будет служить руководством для инициатив МСЭ в области цифрового развития. В этой деятельности особое внимание будет уделяться наиболее уязвимым регионам мира, таким как наименее развитые страны (НРС), развивающиеся страны, не имеющие выхода к морю (ЛЛДС), и малые островные развивающиеся государства (СИДС). Конференция оставила неизменными приоритеты МСЭ-D, которые уже были утверждены в прошлом цикле:</w:t>
      </w:r>
    </w:p>
    <w:p w14:paraId="4D1F1410" w14:textId="25ED4F20" w:rsidR="00D82062" w:rsidRPr="00945782" w:rsidRDefault="00DE4E61" w:rsidP="00DE4E61">
      <w:pPr>
        <w:pStyle w:val="enumlev2"/>
        <w:rPr>
          <w:lang w:val="ru-RU"/>
        </w:rPr>
      </w:pPr>
      <w:r w:rsidRPr="00945782">
        <w:rPr>
          <w:lang w:val="ru-RU"/>
        </w:rPr>
        <w:t>−</w:t>
      </w:r>
      <w:r w:rsidR="00D82062" w:rsidRPr="00945782">
        <w:rPr>
          <w:lang w:val="ru-RU"/>
        </w:rPr>
        <w:tab/>
        <w:t>возможность установления приемлемых в ценовом отношении соединений;</w:t>
      </w:r>
    </w:p>
    <w:p w14:paraId="3C5196AF" w14:textId="780DDD08" w:rsidR="00D82062" w:rsidRPr="00945782" w:rsidRDefault="00DE4E61" w:rsidP="00DE4E61">
      <w:pPr>
        <w:pStyle w:val="enumlev2"/>
        <w:rPr>
          <w:lang w:val="ru-RU"/>
        </w:rPr>
      </w:pPr>
      <w:r w:rsidRPr="00945782">
        <w:rPr>
          <w:lang w:val="ru-RU"/>
        </w:rPr>
        <w:t>−</w:t>
      </w:r>
      <w:r w:rsidR="00D82062" w:rsidRPr="00945782">
        <w:rPr>
          <w:lang w:val="ru-RU"/>
        </w:rPr>
        <w:tab/>
        <w:t>цифровая трансформация;</w:t>
      </w:r>
    </w:p>
    <w:p w14:paraId="210E8E7E" w14:textId="6CF0EEAD" w:rsidR="00D82062" w:rsidRPr="00945782" w:rsidRDefault="00DE4E61" w:rsidP="00DE4E61">
      <w:pPr>
        <w:pStyle w:val="enumlev2"/>
        <w:rPr>
          <w:lang w:val="ru-RU"/>
        </w:rPr>
      </w:pPr>
      <w:r w:rsidRPr="00945782">
        <w:rPr>
          <w:lang w:val="ru-RU"/>
        </w:rPr>
        <w:t>−</w:t>
      </w:r>
      <w:r w:rsidR="00D82062" w:rsidRPr="00945782">
        <w:rPr>
          <w:lang w:val="ru-RU"/>
        </w:rPr>
        <w:tab/>
        <w:t>благоприятная политическая и регуляторная среда;</w:t>
      </w:r>
    </w:p>
    <w:p w14:paraId="467D4639" w14:textId="3A615A1F" w:rsidR="00D82062" w:rsidRPr="00945782" w:rsidRDefault="00DE4E61" w:rsidP="00DE4E61">
      <w:pPr>
        <w:pStyle w:val="enumlev2"/>
        <w:rPr>
          <w:lang w:val="ru-RU"/>
        </w:rPr>
      </w:pPr>
      <w:r w:rsidRPr="00945782">
        <w:rPr>
          <w:lang w:val="ru-RU"/>
        </w:rPr>
        <w:t>−</w:t>
      </w:r>
      <w:r w:rsidR="00D82062" w:rsidRPr="00945782">
        <w:rPr>
          <w:lang w:val="ru-RU"/>
        </w:rPr>
        <w:tab/>
        <w:t>мобилизация ресурсов и международное сотрудничество;</w:t>
      </w:r>
    </w:p>
    <w:p w14:paraId="4EFBD95D" w14:textId="662478BC" w:rsidR="00D82062" w:rsidRPr="00945782" w:rsidRDefault="00DE4E61" w:rsidP="00DE4E61">
      <w:pPr>
        <w:pStyle w:val="enumlev2"/>
        <w:rPr>
          <w:lang w:val="ru-RU"/>
        </w:rPr>
      </w:pPr>
      <w:r w:rsidRPr="00945782">
        <w:rPr>
          <w:lang w:val="ru-RU"/>
        </w:rPr>
        <w:t>−</w:t>
      </w:r>
      <w:r w:rsidR="00D82062" w:rsidRPr="00945782">
        <w:rPr>
          <w:lang w:val="ru-RU"/>
        </w:rPr>
        <w:tab/>
        <w:t>открытая для всех, безопасная и защищенная электросвязь/ИКТ для устойчивого развития.</w:t>
      </w:r>
    </w:p>
    <w:p w14:paraId="2ECEAAC4" w14:textId="57CB5E50" w:rsidR="00D82062" w:rsidRPr="00945782" w:rsidRDefault="00DE4E61" w:rsidP="00DE4E61">
      <w:pPr>
        <w:pStyle w:val="enumlev1"/>
        <w:rPr>
          <w:lang w:val="ru-RU"/>
        </w:rPr>
      </w:pPr>
      <w:r w:rsidRPr="00945782">
        <w:rPr>
          <w:lang w:val="ru-RU"/>
        </w:rPr>
        <w:t>•</w:t>
      </w:r>
      <w:r w:rsidRPr="00945782">
        <w:rPr>
          <w:lang w:val="ru-RU"/>
        </w:rPr>
        <w:tab/>
      </w:r>
      <w:hyperlink r:id="rId74" w:history="1">
        <w:r w:rsidR="00D82062" w:rsidRPr="00945782">
          <w:rPr>
            <w:rStyle w:val="Hyperlink"/>
            <w:rFonts w:cstheme="minorHAnsi"/>
            <w:szCs w:val="22"/>
            <w:lang w:val="ru-RU"/>
          </w:rPr>
          <w:t>Региональные инициативы на 2026–2029 годы</w:t>
        </w:r>
      </w:hyperlink>
      <w:r w:rsidR="00D82062" w:rsidRPr="00945782">
        <w:rPr>
          <w:lang w:val="ru-RU"/>
        </w:rPr>
        <w:t>. ВКРЭ-25 одобрила обновленный комплекс региональных инициатив, предназначенных для удовлетворения конкретных потребностей и приоритетов каждого из шести регионов. Эти инициативы будут стимулировать реализацию целевых проектов, способствовать развитию партнерских отношений и обеспечению того, чтобы работа МСЭ в области развития оставалась актуальной и эффективной на местном уровне.</w:t>
      </w:r>
    </w:p>
    <w:p w14:paraId="4979DCD9" w14:textId="2FEE1913" w:rsidR="00D82062" w:rsidRPr="00945782" w:rsidRDefault="00DE4E61" w:rsidP="00DE4E61">
      <w:pPr>
        <w:pStyle w:val="enumlev1"/>
        <w:rPr>
          <w:lang w:val="ru-RU"/>
        </w:rPr>
      </w:pPr>
      <w:r w:rsidRPr="00945782">
        <w:rPr>
          <w:lang w:val="ru-RU"/>
        </w:rPr>
        <w:t>•</w:t>
      </w:r>
      <w:r w:rsidRPr="00945782">
        <w:rPr>
          <w:lang w:val="ru-RU"/>
        </w:rPr>
        <w:tab/>
      </w:r>
      <w:hyperlink r:id="rId75" w:history="1">
        <w:r w:rsidR="00D82062" w:rsidRPr="00945782">
          <w:rPr>
            <w:rStyle w:val="Hyperlink"/>
            <w:rFonts w:cstheme="minorHAnsi"/>
            <w:szCs w:val="22"/>
            <w:lang w:val="ru-RU"/>
          </w:rPr>
          <w:t>Резолюции</w:t>
        </w:r>
      </w:hyperlink>
      <w:r w:rsidR="00D82062" w:rsidRPr="00945782">
        <w:rPr>
          <w:lang w:val="ru-RU"/>
        </w:rPr>
        <w:t>. Помимо внесения изменений в 44 резолюции, на ВКРЭ-25 были добавлены четыре новые резолюции по следующим темам:</w:t>
      </w:r>
    </w:p>
    <w:p w14:paraId="631A3AC9" w14:textId="2BE9FF2C" w:rsidR="00D82062" w:rsidRPr="00945782" w:rsidRDefault="00DE4E61" w:rsidP="00DE4E61">
      <w:pPr>
        <w:pStyle w:val="enumlev2"/>
        <w:rPr>
          <w:lang w:val="ru-RU"/>
        </w:rPr>
      </w:pPr>
      <w:r w:rsidRPr="00945782">
        <w:rPr>
          <w:lang w:val="ru-RU"/>
        </w:rPr>
        <w:t>−</w:t>
      </w:r>
      <w:r w:rsidR="00D82062" w:rsidRPr="00945782">
        <w:rPr>
          <w:lang w:val="ru-RU"/>
        </w:rPr>
        <w:tab/>
        <w:t>использование технологий искусственного интеллекта в развитии электросвязи;</w:t>
      </w:r>
    </w:p>
    <w:p w14:paraId="004E1594" w14:textId="4E7231AE" w:rsidR="00D82062" w:rsidRPr="00945782" w:rsidRDefault="00DE4E61" w:rsidP="00DE4E61">
      <w:pPr>
        <w:pStyle w:val="enumlev2"/>
        <w:rPr>
          <w:lang w:val="ru-RU"/>
        </w:rPr>
      </w:pPr>
      <w:r w:rsidRPr="00945782">
        <w:rPr>
          <w:lang w:val="ru-RU"/>
        </w:rPr>
        <w:t>−</w:t>
      </w:r>
      <w:r w:rsidR="00D82062" w:rsidRPr="00945782">
        <w:rPr>
          <w:lang w:val="ru-RU"/>
        </w:rPr>
        <w:tab/>
        <w:t>усиление роли региональных отделений МСЭ в ускорении цифровой трансформации и использовании партнерских отношений;</w:t>
      </w:r>
    </w:p>
    <w:p w14:paraId="4E9E7919" w14:textId="365B5DB2" w:rsidR="00D82062" w:rsidRPr="00945782" w:rsidRDefault="00DE4E61" w:rsidP="00DE4E61">
      <w:pPr>
        <w:pStyle w:val="enumlev2"/>
        <w:rPr>
          <w:lang w:val="ru-RU"/>
        </w:rPr>
      </w:pPr>
      <w:r w:rsidRPr="00945782">
        <w:rPr>
          <w:lang w:val="ru-RU"/>
        </w:rPr>
        <w:t>−</w:t>
      </w:r>
      <w:r w:rsidR="00D82062" w:rsidRPr="00945782">
        <w:rPr>
          <w:lang w:val="ru-RU"/>
        </w:rPr>
        <w:tab/>
        <w:t>предоставление помощи и поддержки Судану в целях восстановления поврежденной инфраструктуры электросвязи/ИКТ и преодоления цифрового разрыва;</w:t>
      </w:r>
    </w:p>
    <w:p w14:paraId="3098A5FA" w14:textId="57B9DC95" w:rsidR="00D82062" w:rsidRPr="00945782" w:rsidRDefault="00DE4E61" w:rsidP="00DE4E61">
      <w:pPr>
        <w:pStyle w:val="enumlev2"/>
        <w:rPr>
          <w:rFonts w:cstheme="minorHAnsi"/>
          <w:szCs w:val="22"/>
          <w:lang w:val="ru-RU"/>
        </w:rPr>
      </w:pPr>
      <w:r w:rsidRPr="00945782">
        <w:rPr>
          <w:rFonts w:cstheme="minorHAnsi"/>
          <w:szCs w:val="22"/>
          <w:lang w:val="ru-RU"/>
        </w:rPr>
        <w:lastRenderedPageBreak/>
        <w:t>−</w:t>
      </w:r>
      <w:r w:rsidR="00D82062" w:rsidRPr="00945782">
        <w:rPr>
          <w:rFonts w:cstheme="minorHAnsi"/>
          <w:szCs w:val="22"/>
          <w:lang w:val="ru-RU"/>
        </w:rPr>
        <w:tab/>
        <w:t>поддержка цифровой трансформации островных государств Тихого океана в соответствии с Лагатойской декларацией.</w:t>
      </w:r>
    </w:p>
    <w:p w14:paraId="6B242D47" w14:textId="4759C965" w:rsidR="00D82062" w:rsidRPr="00945782" w:rsidRDefault="00DE4E61" w:rsidP="00DE4E61">
      <w:pPr>
        <w:pStyle w:val="enumlev1"/>
        <w:rPr>
          <w:rFonts w:cstheme="minorHAnsi"/>
          <w:szCs w:val="22"/>
          <w:lang w:val="ru-RU"/>
        </w:rPr>
      </w:pPr>
      <w:r w:rsidRPr="00945782">
        <w:rPr>
          <w:lang w:val="ru-RU"/>
        </w:rPr>
        <w:t>•</w:t>
      </w:r>
      <w:r w:rsidRPr="00945782">
        <w:rPr>
          <w:lang w:val="ru-RU"/>
        </w:rPr>
        <w:tab/>
      </w:r>
      <w:hyperlink r:id="rId76" w:history="1">
        <w:r w:rsidR="00D82062" w:rsidRPr="00945782">
          <w:rPr>
            <w:rStyle w:val="Hyperlink"/>
            <w:rFonts w:cstheme="minorHAnsi"/>
            <w:szCs w:val="22"/>
            <w:lang w:val="ru-RU"/>
          </w:rPr>
          <w:t>Вопросы исследовательских комиссий на 2026−2029 годы</w:t>
        </w:r>
      </w:hyperlink>
      <w:r w:rsidR="00D82062" w:rsidRPr="00945782">
        <w:rPr>
          <w:rFonts w:cstheme="minorHAnsi"/>
          <w:szCs w:val="22"/>
          <w:lang w:val="ru-RU"/>
        </w:rPr>
        <w:t xml:space="preserve">. Согласованы новые и </w:t>
      </w:r>
      <w:r w:rsidR="00D82062" w:rsidRPr="00945782">
        <w:rPr>
          <w:lang w:val="ru-RU"/>
        </w:rPr>
        <w:t>пересмотренные</w:t>
      </w:r>
      <w:r w:rsidR="00D82062" w:rsidRPr="00945782">
        <w:rPr>
          <w:rFonts w:cstheme="minorHAnsi"/>
          <w:szCs w:val="22"/>
          <w:lang w:val="ru-RU"/>
        </w:rPr>
        <w:t xml:space="preserve"> Вопросы исследовательских комиссий, отражающие меняющуюся среду цифровых технологий, проблемы регулирования и потребности в создании потенциала. Эти вопросы будут служить ориентиром для технической работы МСЭ-D и</w:t>
      </w:r>
      <w:r w:rsidR="00041D40" w:rsidRPr="00945782">
        <w:rPr>
          <w:rFonts w:cstheme="minorHAnsi"/>
          <w:szCs w:val="22"/>
          <w:lang w:val="ru-RU"/>
        </w:rPr>
        <w:t> </w:t>
      </w:r>
      <w:r w:rsidR="00D82062" w:rsidRPr="00945782">
        <w:rPr>
          <w:rFonts w:cstheme="minorHAnsi"/>
          <w:szCs w:val="22"/>
          <w:lang w:val="ru-RU"/>
        </w:rPr>
        <w:t>исследовательской деятельности, обеспечивая разработку политики на основе фактических данных и обмен передовым опытом.</w:t>
      </w:r>
    </w:p>
    <w:p w14:paraId="65E9E53E" w14:textId="49394CAB" w:rsidR="00D82062" w:rsidRPr="00945782" w:rsidRDefault="00D82062" w:rsidP="00DE4E61">
      <w:pPr>
        <w:rPr>
          <w:rFonts w:cstheme="minorHAnsi"/>
          <w:szCs w:val="22"/>
          <w:lang w:val="ru-RU"/>
        </w:rPr>
      </w:pPr>
      <w:r w:rsidRPr="00945782">
        <w:rPr>
          <w:rFonts w:cstheme="minorHAnsi"/>
          <w:szCs w:val="22"/>
          <w:lang w:val="ru-RU"/>
        </w:rPr>
        <w:t xml:space="preserve">ВКРЭ-25 также с удовлетворением восприняла </w:t>
      </w:r>
      <w:hyperlink r:id="rId77" w:history="1">
        <w:r w:rsidRPr="00945782">
          <w:rPr>
            <w:rStyle w:val="Hyperlink"/>
            <w:rFonts w:cstheme="minorHAnsi"/>
            <w:szCs w:val="22"/>
            <w:lang w:val="ru-RU"/>
          </w:rPr>
          <w:t>отчет</w:t>
        </w:r>
      </w:hyperlink>
      <w:r w:rsidRPr="00945782">
        <w:rPr>
          <w:rFonts w:cstheme="minorHAnsi"/>
          <w:szCs w:val="22"/>
          <w:lang w:val="ru-RU"/>
        </w:rPr>
        <w:t xml:space="preserve"> и </w:t>
      </w:r>
      <w:hyperlink r:id="rId78" w:history="1">
        <w:r w:rsidRPr="00945782">
          <w:rPr>
            <w:rStyle w:val="Hyperlink"/>
            <w:rFonts w:cstheme="minorHAnsi"/>
            <w:szCs w:val="22"/>
            <w:lang w:val="ru-RU"/>
          </w:rPr>
          <w:t>презентацию</w:t>
        </w:r>
      </w:hyperlink>
      <w:r w:rsidRPr="00945782">
        <w:rPr>
          <w:rFonts w:cstheme="minorHAnsi"/>
          <w:szCs w:val="22"/>
          <w:lang w:val="ru-RU"/>
        </w:rPr>
        <w:t xml:space="preserve"> секретариата о</w:t>
      </w:r>
      <w:r w:rsidR="00DE4E61" w:rsidRPr="00945782">
        <w:rPr>
          <w:rFonts w:cstheme="minorHAnsi"/>
          <w:szCs w:val="22"/>
          <w:lang w:val="ru-RU"/>
        </w:rPr>
        <w:t> </w:t>
      </w:r>
      <w:r w:rsidRPr="00945782">
        <w:rPr>
          <w:rFonts w:cstheme="minorHAnsi"/>
          <w:szCs w:val="22"/>
          <w:lang w:val="ru-RU"/>
        </w:rPr>
        <w:t xml:space="preserve">выполнении Кигалийского плана действий. С подробным отчетом и презентацией можно ознакомиться на </w:t>
      </w:r>
      <w:hyperlink r:id="rId79" w:history="1">
        <w:r w:rsidRPr="00945782">
          <w:rPr>
            <w:rStyle w:val="Hyperlink"/>
            <w:rFonts w:cstheme="minorHAnsi"/>
            <w:szCs w:val="22"/>
            <w:lang w:val="ru-RU"/>
          </w:rPr>
          <w:t>веб-сайте ВКРЭ-25</w:t>
        </w:r>
      </w:hyperlink>
      <w:r w:rsidRPr="00945782">
        <w:rPr>
          <w:rFonts w:cstheme="minorHAnsi"/>
          <w:szCs w:val="22"/>
          <w:lang w:val="ru-RU"/>
        </w:rPr>
        <w:t>.</w:t>
      </w:r>
    </w:p>
    <w:p w14:paraId="09D18200" w14:textId="77777777" w:rsidR="00D82062" w:rsidRPr="00945782" w:rsidRDefault="00D82062" w:rsidP="00D82062">
      <w:pPr>
        <w:jc w:val="both"/>
        <w:rPr>
          <w:rFonts w:asciiTheme="minorHAnsi" w:hAnsiTheme="minorHAnsi" w:cstheme="minorHAnsi"/>
          <w:szCs w:val="22"/>
          <w:lang w:val="ru-RU"/>
        </w:rPr>
      </w:pPr>
      <w:r w:rsidRPr="00945782">
        <w:rPr>
          <w:rFonts w:asciiTheme="minorHAnsi" w:hAnsiTheme="minorHAnsi" w:cstheme="minorHAnsi"/>
          <w:szCs w:val="22"/>
          <w:lang w:val="ru-RU"/>
        </w:rPr>
        <w:br w:type="page"/>
      </w:r>
    </w:p>
    <w:p w14:paraId="4574FF02" w14:textId="42A42A68" w:rsidR="00D82062" w:rsidRPr="00945782" w:rsidRDefault="00D82062" w:rsidP="00D82062">
      <w:pPr>
        <w:pStyle w:val="Heading1"/>
        <w:rPr>
          <w:lang w:val="ru-RU"/>
        </w:rPr>
      </w:pPr>
      <w:bookmarkStart w:id="31" w:name="_Toc227062849"/>
      <w:bookmarkStart w:id="32" w:name="_Toc227850237"/>
      <w:r w:rsidRPr="00945782">
        <w:rPr>
          <w:lang w:val="ru-RU"/>
        </w:rPr>
        <w:lastRenderedPageBreak/>
        <w:t>3</w:t>
      </w:r>
      <w:r w:rsidR="00FF6D7F" w:rsidRPr="00945782">
        <w:rPr>
          <w:lang w:val="ru-RU"/>
        </w:rPr>
        <w:tab/>
      </w:r>
      <w:r w:rsidRPr="00945782">
        <w:rPr>
          <w:lang w:val="ru-RU"/>
        </w:rPr>
        <w:t>Воздействие работы МСЭ</w:t>
      </w:r>
      <w:bookmarkEnd w:id="31"/>
      <w:bookmarkEnd w:id="32"/>
    </w:p>
    <w:p w14:paraId="3467D4BB" w14:textId="77777777" w:rsidR="00D82062" w:rsidRPr="00945782" w:rsidRDefault="00D82062" w:rsidP="00FF6D7F">
      <w:pPr>
        <w:rPr>
          <w:lang w:val="ru-RU"/>
        </w:rPr>
      </w:pPr>
      <w:r w:rsidRPr="00945782">
        <w:rPr>
          <w:lang w:val="ru-RU"/>
        </w:rPr>
        <w:t xml:space="preserve">С итоговой оценкой выполнения Стратегического плана на 2020−2023 годы и текущим ходом выполнения СП на 2024−2027 годы можно ознакомиться в информационной панели </w:t>
      </w:r>
      <w:hyperlink r:id="rId80" w:history="1">
        <w:r w:rsidRPr="00945782">
          <w:rPr>
            <w:rStyle w:val="Hyperlink"/>
            <w:rFonts w:asciiTheme="minorHAnsi" w:hAnsiTheme="minorHAnsi" w:cstheme="minorHAnsi"/>
            <w:szCs w:val="22"/>
            <w:lang w:val="ru-RU"/>
          </w:rPr>
          <w:t>по ссылке</w:t>
        </w:r>
      </w:hyperlink>
      <w:r w:rsidRPr="00945782">
        <w:rPr>
          <w:lang w:val="ru-RU"/>
        </w:rPr>
        <w:t>:</w:t>
      </w:r>
    </w:p>
    <w:p w14:paraId="024C7E6F" w14:textId="77777777" w:rsidR="00D82062" w:rsidRPr="00945782" w:rsidRDefault="00D82062" w:rsidP="00DE7861">
      <w:pPr>
        <w:pStyle w:val="Figure"/>
        <w:spacing w:after="120"/>
        <w:rPr>
          <w:rFonts w:asciiTheme="minorHAnsi" w:hAnsiTheme="minorHAnsi" w:cstheme="minorHAnsi"/>
          <w:szCs w:val="22"/>
          <w:lang w:val="ru-RU"/>
        </w:rPr>
      </w:pPr>
      <w:r w:rsidRPr="00945782">
        <w:rPr>
          <w:rFonts w:eastAsia="MS Mincho"/>
          <w:noProof/>
          <w:lang w:val="ru-RU"/>
        </w:rPr>
        <w:drawing>
          <wp:inline distT="0" distB="0" distL="0" distR="0" wp14:anchorId="5DD195D8" wp14:editId="4C6E631F">
            <wp:extent cx="5171846" cy="2650065"/>
            <wp:effectExtent l="0" t="0" r="0" b="0"/>
            <wp:docPr id="210276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147" name="Picture 1" descr="A screenshot of a computer&#10;&#10;AI-generated content may be incorrect."/>
                    <pic:cNvPicPr/>
                  </pic:nvPicPr>
                  <pic:blipFill>
                    <a:blip r:embed="rId81"/>
                    <a:stretch>
                      <a:fillRect/>
                    </a:stretch>
                  </pic:blipFill>
                  <pic:spPr>
                    <a:xfrm>
                      <a:off x="0" y="0"/>
                      <a:ext cx="5179739" cy="2654109"/>
                    </a:xfrm>
                    <a:prstGeom prst="rect">
                      <a:avLst/>
                    </a:prstGeom>
                  </pic:spPr>
                </pic:pic>
              </a:graphicData>
            </a:graphic>
          </wp:inline>
        </w:drawing>
      </w:r>
    </w:p>
    <w:p w14:paraId="4B9B21A5" w14:textId="2C3C2048" w:rsidR="00D82062" w:rsidRPr="00945782" w:rsidRDefault="00D82062" w:rsidP="00DE7861">
      <w:pPr>
        <w:pStyle w:val="Figure"/>
        <w:spacing w:before="120"/>
        <w:rPr>
          <w:i/>
          <w:iCs/>
          <w:color w:val="1F497D" w:themeColor="text2"/>
          <w:sz w:val="18"/>
          <w:szCs w:val="18"/>
          <w:lang w:val="ru-RU"/>
        </w:rPr>
      </w:pPr>
      <w:bookmarkStart w:id="33" w:name="Fig2"/>
      <w:r w:rsidRPr="00945782">
        <w:rPr>
          <w:i/>
          <w:iCs/>
          <w:color w:val="1F497D" w:themeColor="text2"/>
          <w:sz w:val="18"/>
          <w:szCs w:val="18"/>
          <w:lang w:val="ru-RU"/>
        </w:rPr>
        <w:t>Рис</w:t>
      </w:r>
      <w:r w:rsidR="00FF6D7F" w:rsidRPr="00945782">
        <w:rPr>
          <w:i/>
          <w:iCs/>
          <w:color w:val="1F497D" w:themeColor="text2"/>
          <w:sz w:val="18"/>
          <w:szCs w:val="18"/>
          <w:lang w:val="ru-RU"/>
        </w:rPr>
        <w:t>унок</w:t>
      </w:r>
      <w:r w:rsidRPr="00945782">
        <w:rPr>
          <w:i/>
          <w:iCs/>
          <w:color w:val="1F497D" w:themeColor="text2"/>
          <w:sz w:val="18"/>
          <w:szCs w:val="18"/>
          <w:lang w:val="ru-RU"/>
        </w:rPr>
        <w:t xml:space="preserve"> 2 </w:t>
      </w:r>
      <w:r w:rsidR="00FF6D7F" w:rsidRPr="00945782">
        <w:rPr>
          <w:i/>
          <w:iCs/>
          <w:color w:val="1F497D" w:themeColor="text2"/>
          <w:sz w:val="18"/>
          <w:szCs w:val="18"/>
          <w:lang w:val="ru-RU"/>
        </w:rPr>
        <w:t xml:space="preserve">− </w:t>
      </w:r>
      <w:r w:rsidRPr="00945782">
        <w:rPr>
          <w:i/>
          <w:iCs/>
          <w:color w:val="1F497D" w:themeColor="text2"/>
          <w:sz w:val="18"/>
          <w:szCs w:val="18"/>
          <w:lang w:val="ru-RU"/>
        </w:rPr>
        <w:t>Повестка дня "Соединим к 2030 году"</w:t>
      </w:r>
    </w:p>
    <w:p w14:paraId="19668F10" w14:textId="0A591673" w:rsidR="00D82062" w:rsidRPr="00945782" w:rsidRDefault="00D82062" w:rsidP="00D82062">
      <w:pPr>
        <w:pStyle w:val="Heading2"/>
        <w:rPr>
          <w:lang w:val="ru-RU"/>
        </w:rPr>
      </w:pPr>
      <w:bookmarkStart w:id="34" w:name="_Toc227062850"/>
      <w:bookmarkStart w:id="35" w:name="_Toc227850238"/>
      <w:bookmarkEnd w:id="33"/>
      <w:r w:rsidRPr="00945782">
        <w:rPr>
          <w:lang w:val="ru-RU"/>
        </w:rPr>
        <w:t>3.1</w:t>
      </w:r>
      <w:r w:rsidR="00FF6D7F" w:rsidRPr="00945782">
        <w:rPr>
          <w:lang w:val="ru-RU"/>
        </w:rPr>
        <w:tab/>
      </w:r>
      <w:r w:rsidRPr="00945782">
        <w:rPr>
          <w:lang w:val="ru-RU"/>
        </w:rPr>
        <w:t>Стратегический план на 2020–2023 года (окончательные результаты)</w:t>
      </w:r>
      <w:bookmarkEnd w:id="34"/>
      <w:bookmarkEnd w:id="35"/>
    </w:p>
    <w:p w14:paraId="0E8B144F" w14:textId="6D4747CE" w:rsidR="00D82062" w:rsidRPr="00945782" w:rsidRDefault="00D82062" w:rsidP="00FF6D7F">
      <w:pPr>
        <w:rPr>
          <w:lang w:val="ru-RU"/>
        </w:rPr>
      </w:pPr>
      <w:r w:rsidRPr="00945782">
        <w:rPr>
          <w:lang w:val="ru-RU"/>
        </w:rPr>
        <w:t>Итоговая оценка реализации Стратегического плана на 2020–2023 годы свидетельствует о</w:t>
      </w:r>
      <w:r w:rsidR="00A45E95" w:rsidRPr="00945782">
        <w:rPr>
          <w:lang w:val="ru-RU"/>
        </w:rPr>
        <w:t> </w:t>
      </w:r>
      <w:r w:rsidRPr="00945782">
        <w:rPr>
          <w:lang w:val="ru-RU"/>
        </w:rPr>
        <w:t xml:space="preserve">стабильном прогрессе в достижении </w:t>
      </w:r>
      <w:hyperlink r:id="rId82" w:history="1">
        <w:r w:rsidRPr="00945782">
          <w:rPr>
            <w:rStyle w:val="Hyperlink"/>
            <w:rFonts w:asciiTheme="minorHAnsi" w:hAnsiTheme="minorHAnsi" w:cstheme="minorHAnsi"/>
            <w:szCs w:val="22"/>
            <w:lang w:val="ru-RU"/>
          </w:rPr>
          <w:t>Повестки дня "Соединим к 2030 году"</w:t>
        </w:r>
      </w:hyperlink>
      <w:r w:rsidRPr="00945782">
        <w:rPr>
          <w:lang w:val="ru-RU"/>
        </w:rPr>
        <w:t xml:space="preserve"> (см. </w:t>
      </w:r>
      <w:hyperlink w:anchor="Fig2" w:history="1">
        <w:r w:rsidR="00FF6D7F" w:rsidRPr="00945782">
          <w:rPr>
            <w:rStyle w:val="Hyperlink"/>
            <w:rFonts w:asciiTheme="minorHAnsi" w:hAnsiTheme="minorHAnsi" w:cstheme="minorHAnsi"/>
            <w:szCs w:val="22"/>
            <w:lang w:val="ru-RU"/>
          </w:rPr>
          <w:t>Рисунок 2</w:t>
        </w:r>
      </w:hyperlink>
      <w:r w:rsidRPr="00945782">
        <w:rPr>
          <w:lang w:val="ru-RU"/>
        </w:rPr>
        <w:t>), а</w:t>
      </w:r>
      <w:r w:rsidR="00FF6D7F" w:rsidRPr="00945782">
        <w:rPr>
          <w:lang w:val="ru-RU"/>
        </w:rPr>
        <w:t> </w:t>
      </w:r>
      <w:r w:rsidRPr="00945782">
        <w:rPr>
          <w:lang w:val="ru-RU"/>
        </w:rPr>
        <w:t>также о значительных достижениях в области доступа, приемлемости в ценовом отношении, охвата цифровыми технологиями и создания благоприятной нормативно-политической среды, хотя сохраняются существенные разрывы, которые потребуют последовательных усилий в предстоящие годы. К концу 2023 года интернетом пользовались 69% населения мира (5,6 млрд. человек), что позволило сократить число людей, не имеющих доступа к интернету, до 2,5 млрд. В странах с высоким уровнем доходов показатель возможности установления соединений приблизился к универсальному уровню и составил 92%, однако число стран, имеющих планы развития широкополосной связи, осталось на уровне 167, снизившись с 170 в 2022 году. Приемлемость в ценовом отношении продолжала улучшаться: в период с 2017 по 2023 год стоимость данных подвижной связи как доля валового национального дохода (ВНД) на душу населения сократилась на 36%. Число абонентов широкополосной связи значительно возросло – фиксированной широкополосной связи на 19,2%, а подвижной широкополосной связи – на 21,0%, при этом наиболее стремительный рост наблюдался в странах с низким уровнем доходов, хотя целевой показатель увеличения на 50% достигнут не был.</w:t>
      </w:r>
    </w:p>
    <w:p w14:paraId="0896D6B8" w14:textId="43A5D7D7" w:rsidR="00D82062" w:rsidRPr="00945782" w:rsidRDefault="00D82062" w:rsidP="00FF6D7F">
      <w:pPr>
        <w:rPr>
          <w:lang w:val="ru-RU"/>
        </w:rPr>
      </w:pPr>
      <w:r w:rsidRPr="00945782">
        <w:rPr>
          <w:lang w:val="ru-RU"/>
        </w:rPr>
        <w:t>Несмотря на достигнутый прогресс, обеспечение всеохватности остается сложной задачей. В</w:t>
      </w:r>
      <w:r w:rsidR="00FF6D7F" w:rsidRPr="00945782">
        <w:rPr>
          <w:lang w:val="ru-RU"/>
        </w:rPr>
        <w:t> </w:t>
      </w:r>
      <w:r w:rsidRPr="00945782">
        <w:rPr>
          <w:lang w:val="ru-RU"/>
        </w:rPr>
        <w:t>2023 году лишь 22% населения стран с низким уровнем доходов пользовались интернетом, хотя с 2020 года произошел прирост этого показателя на 25%. Сохраняются региональные различия: в Африке уровень использования интернета составил лишь 36%, а в наименее развитых странах (НРС) и развивающихся странах, не имеющих выхода к морю (ЛЛДС), − 30% и 35% соответственно. Приемлемость в ценовом отношении по-прежнему остается барьером для стран с низким уровнем доходов, хотя разрыв между странами с высоким уровнем доходов и странами с уровнем дохода ниже среднего сократился в период с 2017 года на 42%. Сохраняется гендерное неравенство: в 2023 году интернетом пользовались 72% мужчин и 66% женщин, при этом число мужчин, имеющих доступ к интернету, превышало число женщин более чем на 260 млн, и показатель владения мобильными телефонами среди женщин по</w:t>
      </w:r>
      <w:r w:rsidR="00DE7861" w:rsidRPr="00945782">
        <w:rPr>
          <w:rFonts w:ascii="Cambria Math" w:hAnsi="Cambria Math"/>
          <w:lang w:val="ru-RU"/>
        </w:rPr>
        <w:t>‑</w:t>
      </w:r>
      <w:r w:rsidRPr="00945782">
        <w:rPr>
          <w:lang w:val="ru-RU"/>
        </w:rPr>
        <w:t xml:space="preserve">прежнему на 10% ниже, чем среди мужчин. Вместе с тем значительно возросло число </w:t>
      </w:r>
      <w:r w:rsidRPr="00945782">
        <w:rPr>
          <w:lang w:val="ru-RU"/>
        </w:rPr>
        <w:lastRenderedPageBreak/>
        <w:t>рамочных механизмов обеспечения доступности ИКТ для лиц с ограниченными возможностями – в 2018 году такие механизмы существовали в 61 стране, к концу 2022 года – в</w:t>
      </w:r>
      <w:r w:rsidR="00FF6D7F" w:rsidRPr="00945782">
        <w:rPr>
          <w:lang w:val="ru-RU"/>
        </w:rPr>
        <w:t> </w:t>
      </w:r>
      <w:r w:rsidRPr="00945782">
        <w:rPr>
          <w:lang w:val="ru-RU"/>
        </w:rPr>
        <w:t>117, а к концу 2024 года – в 127 странах.</w:t>
      </w:r>
    </w:p>
    <w:p w14:paraId="1DB81747" w14:textId="77777777" w:rsidR="00D82062" w:rsidRPr="00945782" w:rsidRDefault="00D82062" w:rsidP="00FF6D7F">
      <w:pPr>
        <w:rPr>
          <w:rFonts w:asciiTheme="minorHAnsi" w:hAnsiTheme="minorHAnsi" w:cstheme="minorHAnsi"/>
          <w:szCs w:val="22"/>
          <w:lang w:val="ru-RU"/>
        </w:rPr>
      </w:pPr>
      <w:r w:rsidRPr="00945782">
        <w:rPr>
          <w:rFonts w:asciiTheme="minorHAnsi" w:hAnsiTheme="minorHAnsi" w:cstheme="minorHAnsi"/>
          <w:szCs w:val="22"/>
          <w:lang w:val="ru-RU"/>
        </w:rPr>
        <w:t>Глобальный уровень переработки электронных отходов увеличился с 20% в 2017 году до 22,3% в 2022 году, но по-прежнему сохраняется значительное отставание от целевого показателя в 30%, при этом объем образования электронных отходов продолжает быстро расти и, по прогнозам, к 2030 году достигнет 82 млн. тонн. Число стран, имеющих законодательство в области электронных отходов, увеличилось до 81 в 2023 году, приблизившись к целевому показателю в 97 стран. Работа по оценке климатического воздействия продвинулась вперед благодаря разработке МСЭ глобальных стандартов по достижению нулевого уровня выбросов ИКТ, при этом выбросы сектора оставались стабильными на уровне около 133 мегатонн углекислого газа (МтCO₂) в 2023 году.</w:t>
      </w:r>
    </w:p>
    <w:p w14:paraId="3A61CEBE" w14:textId="17BF31A9" w:rsidR="00D82062" w:rsidRPr="00945782" w:rsidRDefault="00D82062" w:rsidP="00FF6D7F">
      <w:pPr>
        <w:rPr>
          <w:rFonts w:asciiTheme="minorHAnsi" w:hAnsiTheme="minorHAnsi" w:cstheme="minorHAnsi"/>
          <w:szCs w:val="22"/>
          <w:lang w:val="ru-RU"/>
        </w:rPr>
      </w:pPr>
      <w:r w:rsidRPr="00945782">
        <w:rPr>
          <w:rFonts w:asciiTheme="minorHAnsi" w:hAnsiTheme="minorHAnsi" w:cstheme="minorHAnsi"/>
          <w:szCs w:val="22"/>
          <w:lang w:val="ru-RU"/>
        </w:rPr>
        <w:t>Повысилась готовность в области кибербезопасности: доля стран, имеющих национальные группы CIRT/CERT, выросла примерно с 55% в 2018 году до 65% в 2023 году, и в настоящее время национальные стратегии кибербезопасности существуют в 127 странах. Также был достигнут прогресс в планировании электросвязи в чрезвычайных ситуациях: к 2023 году 83%</w:t>
      </w:r>
      <w:r w:rsidR="00FF6D7F" w:rsidRPr="00945782">
        <w:rPr>
          <w:rFonts w:asciiTheme="minorHAnsi" w:hAnsiTheme="minorHAnsi" w:cstheme="minorHAnsi"/>
          <w:szCs w:val="22"/>
          <w:lang w:val="ru-RU"/>
        </w:rPr>
        <w:t> </w:t>
      </w:r>
      <w:r w:rsidRPr="00945782">
        <w:rPr>
          <w:rFonts w:asciiTheme="minorHAnsi" w:hAnsiTheme="minorHAnsi" w:cstheme="minorHAnsi"/>
          <w:szCs w:val="22"/>
          <w:lang w:val="ru-RU"/>
        </w:rPr>
        <w:t>стран приняли национальные планы.</w:t>
      </w:r>
    </w:p>
    <w:p w14:paraId="55452198" w14:textId="20AE33F3" w:rsidR="00D82062" w:rsidRPr="00945782" w:rsidRDefault="00D82062" w:rsidP="00FF6D7F">
      <w:pPr>
        <w:rPr>
          <w:rFonts w:asciiTheme="minorHAnsi" w:hAnsiTheme="minorHAnsi" w:cstheme="minorHAnsi"/>
          <w:szCs w:val="22"/>
          <w:lang w:val="ru-RU"/>
        </w:rPr>
      </w:pPr>
      <w:r w:rsidRPr="00945782">
        <w:rPr>
          <w:rFonts w:asciiTheme="minorHAnsi" w:hAnsiTheme="minorHAnsi" w:cstheme="minorHAnsi"/>
          <w:szCs w:val="22"/>
          <w:lang w:val="ru-RU"/>
        </w:rPr>
        <w:t>Инновации и партнерства продолжали способствовать укреплению цифровой экосистемы. В</w:t>
      </w:r>
      <w:r w:rsidR="00FF6D7F" w:rsidRPr="00945782">
        <w:rPr>
          <w:rFonts w:asciiTheme="minorHAnsi" w:hAnsiTheme="minorHAnsi" w:cstheme="minorHAnsi"/>
          <w:szCs w:val="22"/>
          <w:lang w:val="ru-RU"/>
        </w:rPr>
        <w:t> </w:t>
      </w:r>
      <w:r w:rsidRPr="00945782">
        <w:rPr>
          <w:rFonts w:asciiTheme="minorHAnsi" w:hAnsiTheme="minorHAnsi" w:cstheme="minorHAnsi"/>
          <w:szCs w:val="22"/>
          <w:lang w:val="ru-RU"/>
        </w:rPr>
        <w:t>2023 году 97 стран сообщили о наличии национальной политики в области инноваций (в</w:t>
      </w:r>
      <w:r w:rsidR="00FF6D7F" w:rsidRPr="00945782">
        <w:rPr>
          <w:rFonts w:asciiTheme="minorHAnsi" w:hAnsiTheme="minorHAnsi" w:cstheme="minorHAnsi"/>
          <w:szCs w:val="22"/>
          <w:lang w:val="ru-RU"/>
        </w:rPr>
        <w:t> </w:t>
      </w:r>
      <w:r w:rsidRPr="00945782">
        <w:rPr>
          <w:rFonts w:asciiTheme="minorHAnsi" w:hAnsiTheme="minorHAnsi" w:cstheme="minorHAnsi"/>
          <w:szCs w:val="22"/>
          <w:lang w:val="ru-RU"/>
        </w:rPr>
        <w:t>2016</w:t>
      </w:r>
      <w:r w:rsidR="00FF6D7F" w:rsidRPr="00945782">
        <w:rPr>
          <w:rFonts w:asciiTheme="minorHAnsi" w:hAnsiTheme="minorHAnsi" w:cstheme="minorHAnsi"/>
          <w:szCs w:val="22"/>
          <w:lang w:val="ru-RU"/>
        </w:rPr>
        <w:t> </w:t>
      </w:r>
      <w:r w:rsidRPr="00945782">
        <w:rPr>
          <w:rFonts w:asciiTheme="minorHAnsi" w:hAnsiTheme="minorHAnsi" w:cstheme="minorHAnsi"/>
          <w:szCs w:val="22"/>
          <w:lang w:val="ru-RU"/>
        </w:rPr>
        <w:t>году таких стран было 66), хотя до всеобъемлющего охвата все еще далеко. Опросы членов МСЭ свидетельствуют о растущем признании важности сотрудничества: 61%</w:t>
      </w:r>
      <w:r w:rsidR="00FF6D7F" w:rsidRPr="00945782">
        <w:rPr>
          <w:rFonts w:asciiTheme="minorHAnsi" w:hAnsiTheme="minorHAnsi" w:cstheme="minorHAnsi"/>
          <w:szCs w:val="22"/>
          <w:lang w:val="ru-RU"/>
        </w:rPr>
        <w:t> </w:t>
      </w:r>
      <w:r w:rsidRPr="00945782">
        <w:rPr>
          <w:rFonts w:asciiTheme="minorHAnsi" w:hAnsiTheme="minorHAnsi" w:cstheme="minorHAnsi"/>
          <w:szCs w:val="22"/>
          <w:lang w:val="ru-RU"/>
        </w:rPr>
        <w:t>подтвердили его значимость, и около 70% отметили преимущества взаимодействия с партнерами. В новом Стратегическом плане на 2024–2027 годы инновации и партнерства рассматриваются как междисциплинарные средства достижения целей, а не как самостоятельные цели.</w:t>
      </w:r>
    </w:p>
    <w:p w14:paraId="5826A480" w14:textId="5962C38E" w:rsidR="00D82062" w:rsidRPr="00945782" w:rsidRDefault="00D82062" w:rsidP="00FF6D7F">
      <w:pPr>
        <w:pStyle w:val="Heading2"/>
        <w:rPr>
          <w:lang w:val="ru-RU"/>
        </w:rPr>
      </w:pPr>
      <w:bookmarkStart w:id="36" w:name="_Toc227062851"/>
      <w:bookmarkStart w:id="37" w:name="_Toc227850239"/>
      <w:r w:rsidRPr="00945782">
        <w:rPr>
          <w:lang w:val="ru-RU"/>
        </w:rPr>
        <w:t>3.2</w:t>
      </w:r>
      <w:r w:rsidR="00FF6D7F" w:rsidRPr="00945782">
        <w:rPr>
          <w:lang w:val="ru-RU"/>
        </w:rPr>
        <w:tab/>
      </w:r>
      <w:r w:rsidRPr="00945782">
        <w:rPr>
          <w:lang w:val="ru-RU"/>
        </w:rPr>
        <w:t>Воздействие деятельности МСЭ в период 2024–2025 годов (первые два года реализации Стратегического плана на 2024–2027 гг.)</w:t>
      </w:r>
      <w:bookmarkEnd w:id="36"/>
      <w:bookmarkEnd w:id="37"/>
    </w:p>
    <w:p w14:paraId="5D81ABFF" w14:textId="77777777" w:rsidR="00D82062" w:rsidRPr="00945782" w:rsidRDefault="00D82062" w:rsidP="00FF6D7F">
      <w:pPr>
        <w:rPr>
          <w:lang w:val="ru-RU"/>
        </w:rPr>
      </w:pPr>
      <w:r w:rsidRPr="00945782">
        <w:rPr>
          <w:lang w:val="ru-RU"/>
        </w:rPr>
        <w:t xml:space="preserve">В настоящем разделе оценивается достигнутый на текущий момент прогресс по целевым показателям в рамках двух целей Стратегического плана на 2024–2027 годы: универсальной возможности установления соединений (раздел </w:t>
      </w:r>
      <w:hyperlink w:anchor="_3.2.1_Универсальная_возможность" w:history="1">
        <w:r w:rsidRPr="00945782">
          <w:rPr>
            <w:rStyle w:val="Hyperlink"/>
            <w:rFonts w:asciiTheme="minorHAnsi" w:hAnsiTheme="minorHAnsi" w:cstheme="minorHAnsi"/>
            <w:szCs w:val="22"/>
            <w:lang w:val="ru-RU"/>
          </w:rPr>
          <w:t>3.2.1</w:t>
        </w:r>
      </w:hyperlink>
      <w:r w:rsidRPr="00945782">
        <w:rPr>
          <w:lang w:val="ru-RU"/>
        </w:rPr>
        <w:t xml:space="preserve">) и устойчивой цифровой трансформации (раздел </w:t>
      </w:r>
      <w:hyperlink w:anchor="_3.2.2_Устойчивая_цифровая" w:history="1">
        <w:r w:rsidRPr="00945782">
          <w:rPr>
            <w:rStyle w:val="Hyperlink"/>
            <w:rFonts w:asciiTheme="minorHAnsi" w:hAnsiTheme="minorHAnsi" w:cstheme="minorHAnsi"/>
            <w:szCs w:val="22"/>
            <w:lang w:val="ru-RU"/>
          </w:rPr>
          <w:t>3.2.2</w:t>
        </w:r>
      </w:hyperlink>
      <w:r w:rsidRPr="00945782">
        <w:rPr>
          <w:lang w:val="ru-RU"/>
        </w:rPr>
        <w:t xml:space="preserve">). Там, где это позволяют данные, проводится анализ прогресса за период начиная с 2022 года. Оценка в основном опирается на публикацию МСЭ </w:t>
      </w:r>
      <w:hyperlink r:id="rId83" w:history="1">
        <w:r w:rsidRPr="00945782">
          <w:rPr>
            <w:rStyle w:val="Hyperlink"/>
            <w:rFonts w:asciiTheme="minorHAnsi" w:hAnsiTheme="minorHAnsi" w:cstheme="minorHAnsi"/>
            <w:szCs w:val="22"/>
            <w:lang w:val="ru-RU"/>
          </w:rPr>
          <w:t>"Измерение цифрового развития – факты и цифры" за 2025 год</w:t>
        </w:r>
      </w:hyperlink>
      <w:r w:rsidRPr="00945782">
        <w:rPr>
          <w:lang w:val="ru-RU"/>
        </w:rPr>
        <w:t>, в которой представлены наиболее актуальные оценки по ряду ключевых показателей возможности установления соединений, а также на базы данных МСЭ, охватывающие электронные отходы, выбросы парниковых газов, регулирование и кибербезопасность. При необходимости используются также дополнительные данные других учреждений Организации Объединенных Наций.</w:t>
      </w:r>
    </w:p>
    <w:p w14:paraId="52B04C3F" w14:textId="77777777" w:rsidR="00D82062" w:rsidRPr="00945782" w:rsidRDefault="00D82062" w:rsidP="00FF6D7F">
      <w:pPr>
        <w:rPr>
          <w:lang w:val="ru-RU"/>
        </w:rPr>
      </w:pPr>
      <w:r w:rsidRPr="00945782">
        <w:rPr>
          <w:lang w:val="ru-RU"/>
        </w:rPr>
        <w:t>При этом оценка носит частичный характер, поскольку по ряду целей и показателей, определенных в Стратегическом плане, охват данными по-прежнему недостаточен для формирования надежных глобальных или региональных агрегированных оценок. Хотя наблюдаемый прогресс в определенной степени отражает усилия МСЭ, полученные результаты также обусловлены широким спектром внешних факторов и действиями правительств, частного сектора и других заинтересованных сторон. В связи с этим деятельность МСЭ не может рассматриваться в качестве единственного фактора, определяющего представленные результаты.</w:t>
      </w:r>
    </w:p>
    <w:p w14:paraId="5069FB55" w14:textId="0FE91C09" w:rsidR="00D82062" w:rsidRPr="00945782" w:rsidRDefault="00D82062" w:rsidP="00D82062">
      <w:pPr>
        <w:pStyle w:val="Heading3"/>
        <w:rPr>
          <w:lang w:val="ru-RU"/>
        </w:rPr>
      </w:pPr>
      <w:bookmarkStart w:id="38" w:name="_3.2.1_Универсальная_возможность"/>
      <w:bookmarkStart w:id="39" w:name="_Toc227062852"/>
      <w:bookmarkStart w:id="40" w:name="_Toc227850240"/>
      <w:bookmarkEnd w:id="38"/>
      <w:r w:rsidRPr="00945782">
        <w:rPr>
          <w:lang w:val="ru-RU"/>
        </w:rPr>
        <w:lastRenderedPageBreak/>
        <w:t>3.2.1</w:t>
      </w:r>
      <w:r w:rsidR="00FF6D7F" w:rsidRPr="00945782">
        <w:rPr>
          <w:lang w:val="ru-RU"/>
        </w:rPr>
        <w:tab/>
      </w:r>
      <w:r w:rsidRPr="00945782">
        <w:rPr>
          <w:lang w:val="ru-RU"/>
        </w:rPr>
        <w:t>Универсальная возможность установления соединений</w:t>
      </w:r>
      <w:bookmarkEnd w:id="39"/>
      <w:bookmarkEnd w:id="40"/>
    </w:p>
    <w:p w14:paraId="0CDBBBAE" w14:textId="77777777" w:rsidR="00D82062" w:rsidRPr="00945782" w:rsidRDefault="00D82062" w:rsidP="00BF71B8">
      <w:pPr>
        <w:rPr>
          <w:lang w:val="ru-RU"/>
        </w:rPr>
      </w:pPr>
      <w:r w:rsidRPr="00945782">
        <w:rPr>
          <w:lang w:val="ru-RU"/>
        </w:rPr>
        <w:t>В настоящем подразделе рассматриваются основные измерения универсальной возможности установления соединений, включая охват широкополосной связью, приемлемость в ценовом отношении, доступ к устройствам, использование интернета, а также соответствующие способствующие условия.</w:t>
      </w:r>
    </w:p>
    <w:p w14:paraId="64BBC6D8" w14:textId="77777777" w:rsidR="00D82062" w:rsidRPr="00945782" w:rsidRDefault="00D82062" w:rsidP="00BF71B8">
      <w:pPr>
        <w:pStyle w:val="Headingb"/>
        <w:rPr>
          <w:lang w:val="ru-RU"/>
        </w:rPr>
      </w:pPr>
      <w:r w:rsidRPr="00945782">
        <w:rPr>
          <w:lang w:val="ru-RU"/>
        </w:rPr>
        <w:t>Целевой показатель 1.1: Универсальный охват широкополосной связью</w:t>
      </w:r>
    </w:p>
    <w:p w14:paraId="12C834FF" w14:textId="77777777" w:rsidR="00D82062" w:rsidRPr="00945782" w:rsidRDefault="00D82062" w:rsidP="00BF71B8">
      <w:pPr>
        <w:rPr>
          <w:lang w:val="ru-RU"/>
        </w:rPr>
      </w:pPr>
      <w:r w:rsidRPr="00945782">
        <w:rPr>
          <w:lang w:val="ru-RU"/>
        </w:rPr>
        <w:t>Охват сетями 5G в последние годы быстро расширяется и в 2025 году достиг 55% населения мира (против 39% в 2022 г.). В странах с высоким уровнем доходов сетями 5G охвачено 84% населения, тогда как в странах с низким уровнем доходов − лишь 4%.</w:t>
      </w:r>
    </w:p>
    <w:p w14:paraId="25A5DD06" w14:textId="513C1B91" w:rsidR="00D82062" w:rsidRPr="00945782" w:rsidRDefault="00D82062" w:rsidP="00BF71B8">
      <w:pPr>
        <w:rPr>
          <w:lang w:val="ru-RU"/>
        </w:rPr>
      </w:pPr>
      <w:r w:rsidRPr="00945782">
        <w:rPr>
          <w:lang w:val="ru-RU"/>
        </w:rPr>
        <w:t xml:space="preserve">Несмотря на то, что развертывание сетей 5G во многих регионах все еще продолжается, сети 4G остаются надежным решением для обеспечения возможности установления соединений и в настоящее время доступны для 93% населения мира. По состоянию на 2025 год 96% населения мира охвачено сетями 3G или более современными технологиями (см. </w:t>
      </w:r>
      <w:hyperlink w:anchor="Fig3" w:history="1">
        <w:r w:rsidR="00BF71B8" w:rsidRPr="00945782">
          <w:rPr>
            <w:rStyle w:val="Hyperlink"/>
            <w:rFonts w:asciiTheme="minorHAnsi" w:hAnsiTheme="minorHAnsi" w:cstheme="minorHAnsi"/>
            <w:szCs w:val="22"/>
            <w:lang w:val="ru-RU"/>
          </w:rPr>
          <w:t>Рисунок 3</w:t>
        </w:r>
      </w:hyperlink>
      <w:r w:rsidRPr="00945782">
        <w:rPr>
          <w:lang w:val="ru-RU"/>
        </w:rPr>
        <w:t xml:space="preserve">). Вместе с тем охват сетями оставшихся 4% – примерно 312 млн. человек – по-прежнему представляет собой сложную задачу ввиду низкого качества инфраструктуры, недостаточной приемлемости в ценовом отношении и низких показателей владения устройствами. За период с 2018 года, когда охват впервые превысил 90%, глобальный прирост составил всего шесть процентных пунктов. Почти половина населения, не имеющего доступа к сети подвижной широкополосной связи, проживает в Африке (см. </w:t>
      </w:r>
      <w:hyperlink w:anchor="Fig4" w:history="1">
        <w:r w:rsidR="00BF71B8" w:rsidRPr="00945782">
          <w:rPr>
            <w:rStyle w:val="Hyperlink"/>
            <w:rFonts w:asciiTheme="minorHAnsi" w:hAnsiTheme="minorHAnsi" w:cstheme="minorHAnsi"/>
            <w:szCs w:val="22"/>
            <w:lang w:val="ru-RU"/>
          </w:rPr>
          <w:t>Рисунок 4</w:t>
        </w:r>
      </w:hyperlink>
      <w:r w:rsidRPr="00945782">
        <w:rPr>
          <w:lang w:val="ru-RU"/>
        </w:rPr>
        <w:t>).</w:t>
      </w:r>
    </w:p>
    <w:p w14:paraId="671D0678" w14:textId="77777777" w:rsidR="00D82062" w:rsidRPr="00945782" w:rsidRDefault="00D82062" w:rsidP="00BF71B8">
      <w:pPr>
        <w:pStyle w:val="Figuretitle"/>
        <w:spacing w:before="240" w:after="0"/>
        <w:rPr>
          <w:lang w:val="ru-RU"/>
        </w:rPr>
      </w:pPr>
      <w:r w:rsidRPr="00945782">
        <w:rPr>
          <w:lang w:val="ru-RU"/>
        </w:rPr>
        <w:t>Охват населения по типу сетей подвижной связи, 2015–2025 годы</w:t>
      </w:r>
    </w:p>
    <w:p w14:paraId="5F8E1AE2" w14:textId="77777777" w:rsidR="00D82062" w:rsidRPr="00945782" w:rsidRDefault="00D82062" w:rsidP="00BF71B8">
      <w:pPr>
        <w:spacing w:before="0"/>
        <w:jc w:val="center"/>
        <w:rPr>
          <w:rFonts w:asciiTheme="minorHAnsi" w:hAnsiTheme="minorHAnsi" w:cstheme="minorHAnsi"/>
          <w:szCs w:val="22"/>
          <w:lang w:val="ru-RU"/>
        </w:rPr>
      </w:pPr>
      <w:r w:rsidRPr="00945782">
        <w:rPr>
          <w:noProof/>
          <w:lang w:val="ru-RU"/>
        </w:rPr>
        <w:drawing>
          <wp:inline distT="0" distB="0" distL="0" distR="0" wp14:anchorId="41DD8C6E" wp14:editId="200D9187">
            <wp:extent cx="4991100" cy="2809875"/>
            <wp:effectExtent l="0" t="0" r="0" b="0"/>
            <wp:docPr id="1518775684" name="Chart 1">
              <a:extLst xmlns:a="http://schemas.openxmlformats.org/drawingml/2006/main">
                <a:ext uri="{FF2B5EF4-FFF2-40B4-BE49-F238E27FC236}">
                  <a16:creationId xmlns:a16="http://schemas.microsoft.com/office/drawing/2014/main" id="{008D1515-CE89-4DF2-B70A-A2602665F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9AA4284" w14:textId="416AF4CC" w:rsidR="00D82062" w:rsidRPr="00945782" w:rsidRDefault="00D82062" w:rsidP="00BF71B8">
      <w:pPr>
        <w:pStyle w:val="Figure"/>
        <w:spacing w:before="0"/>
        <w:rPr>
          <w:color w:val="808080" w:themeColor="background1" w:themeShade="80"/>
          <w:sz w:val="18"/>
          <w:szCs w:val="18"/>
          <w:lang w:val="ru-RU"/>
        </w:rPr>
      </w:pPr>
      <w:bookmarkStart w:id="41" w:name="Fig3"/>
      <w:r w:rsidRPr="00945782">
        <w:rPr>
          <w:i/>
          <w:iCs/>
          <w:color w:val="1F497D" w:themeColor="text2"/>
          <w:sz w:val="18"/>
          <w:szCs w:val="18"/>
          <w:lang w:val="ru-RU"/>
        </w:rPr>
        <w:t>Рис</w:t>
      </w:r>
      <w:r w:rsidR="00BF71B8" w:rsidRPr="00945782">
        <w:rPr>
          <w:i/>
          <w:iCs/>
          <w:color w:val="1F497D" w:themeColor="text2"/>
          <w:sz w:val="18"/>
          <w:szCs w:val="18"/>
          <w:lang w:val="ru-RU"/>
        </w:rPr>
        <w:t>унок</w:t>
      </w:r>
      <w:r w:rsidRPr="00945782">
        <w:rPr>
          <w:i/>
          <w:iCs/>
          <w:color w:val="1F497D" w:themeColor="text2"/>
          <w:sz w:val="18"/>
          <w:szCs w:val="18"/>
          <w:lang w:val="ru-RU"/>
        </w:rPr>
        <w:t xml:space="preserve"> 3</w:t>
      </w:r>
      <w:r w:rsidR="00BF71B8" w:rsidRPr="00945782">
        <w:rPr>
          <w:i/>
          <w:iCs/>
          <w:color w:val="1F497D" w:themeColor="text2"/>
          <w:sz w:val="18"/>
          <w:szCs w:val="18"/>
          <w:lang w:val="ru-RU"/>
        </w:rPr>
        <w:t xml:space="preserve"> −</w:t>
      </w:r>
      <w:r w:rsidRPr="00945782">
        <w:rPr>
          <w:i/>
          <w:iCs/>
          <w:color w:val="1F497D" w:themeColor="text2"/>
          <w:sz w:val="18"/>
          <w:szCs w:val="18"/>
          <w:lang w:val="ru-RU"/>
        </w:rPr>
        <w:t xml:space="preserve"> Охват населения по типу сетей подвижной связи, 2015–2025 годы. "Факты и цифры МСЭ, 2025 год", стр. 9 (англ. версия).</w:t>
      </w:r>
      <w:r w:rsidRPr="00945782">
        <w:rPr>
          <w:color w:val="1F497D" w:themeColor="text2"/>
          <w:sz w:val="18"/>
          <w:szCs w:val="18"/>
          <w:lang w:val="ru-RU"/>
        </w:rPr>
        <w:t xml:space="preserve"> </w:t>
      </w:r>
      <w:bookmarkEnd w:id="41"/>
      <w:r w:rsidRPr="00945782">
        <w:rPr>
          <w:color w:val="808080" w:themeColor="background1" w:themeShade="80"/>
          <w:sz w:val="18"/>
          <w:szCs w:val="18"/>
          <w:lang w:val="ru-RU"/>
        </w:rPr>
        <w:t xml:space="preserve">Показатели для сетей 2G, 3G и 4G представлены для доли населения, не охваченной сетями более продвинутых технологий (например, в 2025 году 96% населения мира охвачено сетями не ниже 3G, при этом 3,6% имеют доступ только к 3G, 37,6% − к 4G и 55,1% − к 5G). Для формирования оценок по охвату 5G в период до 2020 года нет достаточных данных. </w:t>
      </w:r>
      <w:hyperlink r:id="rId85" w:anchor="chart-1" w:history="1">
        <w:r w:rsidRPr="00945782">
          <w:rPr>
            <w:rStyle w:val="Hyperlink"/>
            <w:rFonts w:asciiTheme="minorHAnsi" w:hAnsiTheme="minorHAnsi" w:cstheme="minorHAnsi"/>
            <w:i/>
            <w:iCs/>
            <w:sz w:val="18"/>
            <w:szCs w:val="18"/>
            <w:lang w:val="ru-RU"/>
          </w:rPr>
          <w:t>Интерактивная диаграмма</w:t>
        </w:r>
      </w:hyperlink>
      <w:r w:rsidRPr="00945782">
        <w:rPr>
          <w:color w:val="808080" w:themeColor="background1" w:themeShade="80"/>
          <w:sz w:val="18"/>
          <w:szCs w:val="18"/>
          <w:lang w:val="ru-RU"/>
        </w:rPr>
        <w:t>.</w:t>
      </w:r>
    </w:p>
    <w:p w14:paraId="43C6A9CE" w14:textId="77777777" w:rsidR="00D82062" w:rsidRPr="00945782" w:rsidRDefault="00D82062" w:rsidP="00D82062">
      <w:pPr>
        <w:tabs>
          <w:tab w:val="clear" w:pos="794"/>
          <w:tab w:val="clear" w:pos="1191"/>
          <w:tab w:val="clear" w:pos="1588"/>
          <w:tab w:val="clear" w:pos="1985"/>
        </w:tabs>
        <w:overflowPunct/>
        <w:autoSpaceDE/>
        <w:autoSpaceDN/>
        <w:adjustRightInd/>
        <w:spacing w:before="0"/>
        <w:textAlignment w:val="auto"/>
        <w:rPr>
          <w:color w:val="808080" w:themeColor="background1" w:themeShade="80"/>
          <w:sz w:val="18"/>
          <w:szCs w:val="18"/>
          <w:lang w:val="ru-RU"/>
        </w:rPr>
      </w:pPr>
      <w:r w:rsidRPr="00945782">
        <w:rPr>
          <w:color w:val="808080" w:themeColor="background1" w:themeShade="80"/>
          <w:sz w:val="18"/>
          <w:szCs w:val="18"/>
          <w:lang w:val="ru-RU"/>
        </w:rPr>
        <w:br w:type="page"/>
      </w:r>
    </w:p>
    <w:p w14:paraId="376D143C" w14:textId="2E9021A7" w:rsidR="00D82062" w:rsidRPr="00945782" w:rsidRDefault="00D82062" w:rsidP="006231B6">
      <w:pPr>
        <w:pStyle w:val="Figuretitle"/>
        <w:spacing w:before="240" w:after="0"/>
        <w:rPr>
          <w:lang w:val="ru-RU"/>
        </w:rPr>
      </w:pPr>
      <w:r w:rsidRPr="00945782">
        <w:rPr>
          <w:lang w:val="ru-RU"/>
        </w:rPr>
        <w:lastRenderedPageBreak/>
        <w:t>Охват населения по типу сетей подвижной связи, 2025 г</w:t>
      </w:r>
      <w:r w:rsidR="006231B6" w:rsidRPr="00945782">
        <w:rPr>
          <w:lang w:val="ru-RU"/>
        </w:rPr>
        <w:t>од</w:t>
      </w:r>
    </w:p>
    <w:p w14:paraId="7884E6DB" w14:textId="5E6FE161" w:rsidR="0074532C" w:rsidRPr="00945782" w:rsidRDefault="0074532C" w:rsidP="0074532C">
      <w:pPr>
        <w:pStyle w:val="Figure"/>
        <w:spacing w:before="0" w:after="0"/>
        <w:rPr>
          <w:lang w:val="ru-RU"/>
        </w:rPr>
      </w:pPr>
      <w:r w:rsidRPr="00945782">
        <w:rPr>
          <w:noProof/>
          <w:lang w:val="ru-RU"/>
        </w:rPr>
        <w:drawing>
          <wp:inline distT="0" distB="0" distL="0" distR="0" wp14:anchorId="05263356" wp14:editId="1BFD0AA4">
            <wp:extent cx="5760085" cy="3039110"/>
            <wp:effectExtent l="0" t="0" r="0" b="8890"/>
            <wp:docPr id="1276402435" name="Chart 1">
              <a:extLst xmlns:a="http://schemas.openxmlformats.org/drawingml/2006/main">
                <a:ext uri="{FF2B5EF4-FFF2-40B4-BE49-F238E27FC236}">
                  <a16:creationId xmlns:a16="http://schemas.microsoft.com/office/drawing/2014/main" id="{2C0BB3B5-133F-4671-8605-75A8A6EA2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7D4747C" w14:textId="3F3E077B" w:rsidR="00D82062" w:rsidRPr="00945782" w:rsidRDefault="00D82062" w:rsidP="006231B6">
      <w:pPr>
        <w:pStyle w:val="Figure"/>
        <w:spacing w:before="120"/>
        <w:rPr>
          <w:sz w:val="18"/>
          <w:szCs w:val="18"/>
          <w:lang w:val="ru-RU"/>
        </w:rPr>
      </w:pPr>
      <w:bookmarkStart w:id="42" w:name="Fig4"/>
      <w:r w:rsidRPr="00945782">
        <w:rPr>
          <w:i/>
          <w:iCs/>
          <w:color w:val="1F497D" w:themeColor="text2"/>
          <w:sz w:val="18"/>
          <w:szCs w:val="18"/>
          <w:lang w:val="ru-RU"/>
        </w:rPr>
        <w:t>Рис</w:t>
      </w:r>
      <w:r w:rsidR="006231B6" w:rsidRPr="00945782">
        <w:rPr>
          <w:i/>
          <w:iCs/>
          <w:color w:val="1F497D" w:themeColor="text2"/>
          <w:sz w:val="18"/>
          <w:szCs w:val="18"/>
          <w:lang w:val="ru-RU"/>
        </w:rPr>
        <w:t>унок</w:t>
      </w:r>
      <w:r w:rsidRPr="00945782">
        <w:rPr>
          <w:i/>
          <w:iCs/>
          <w:color w:val="1F497D" w:themeColor="text2"/>
          <w:sz w:val="18"/>
          <w:szCs w:val="18"/>
          <w:lang w:val="ru-RU"/>
        </w:rPr>
        <w:t xml:space="preserve"> 4</w:t>
      </w:r>
      <w:r w:rsidR="006231B6" w:rsidRPr="00945782">
        <w:rPr>
          <w:i/>
          <w:iCs/>
          <w:color w:val="1F497D" w:themeColor="text2"/>
          <w:sz w:val="18"/>
          <w:szCs w:val="18"/>
          <w:lang w:val="ru-RU"/>
        </w:rPr>
        <w:t xml:space="preserve"> −</w:t>
      </w:r>
      <w:r w:rsidRPr="00945782">
        <w:rPr>
          <w:i/>
          <w:iCs/>
          <w:color w:val="1F497D" w:themeColor="text2"/>
          <w:sz w:val="18"/>
          <w:szCs w:val="18"/>
          <w:lang w:val="ru-RU"/>
        </w:rPr>
        <w:t xml:space="preserve"> Охват населения по типу сетей подвижной связи, 2025 год. "Факты и цифры МСЭ, 2025 год", стр. 10 (англ. версия).</w:t>
      </w:r>
      <w:bookmarkEnd w:id="42"/>
      <w:r w:rsidRPr="00945782">
        <w:rPr>
          <w:color w:val="1F497D" w:themeColor="text2"/>
          <w:sz w:val="18"/>
          <w:szCs w:val="18"/>
          <w:lang w:val="ru-RU"/>
        </w:rPr>
        <w:t xml:space="preserve"> </w:t>
      </w:r>
      <w:r w:rsidRPr="00945782">
        <w:rPr>
          <w:color w:val="808080" w:themeColor="background1" w:themeShade="80"/>
          <w:sz w:val="18"/>
          <w:szCs w:val="18"/>
          <w:lang w:val="ru-RU"/>
        </w:rPr>
        <w:t xml:space="preserve">Показатели для сетей 2G, 3G и 4G отражают долю населения, не охваченную сетями более продвинутых технологий (например, в 2025 году 96% населения мира охвачено сетями не ниже 3G, при этом 3,6% имеют доступ только к 3G, 37,6% − к 4G и 55,1% − к 5G). </w:t>
      </w:r>
      <w:hyperlink r:id="rId87" w:anchor="chart-2" w:history="1">
        <w:r w:rsidRPr="00945782">
          <w:rPr>
            <w:rStyle w:val="Hyperlink"/>
            <w:rFonts w:asciiTheme="minorHAnsi" w:hAnsiTheme="minorHAnsi" w:cstheme="minorHAnsi"/>
            <w:i/>
            <w:iCs/>
            <w:sz w:val="18"/>
            <w:szCs w:val="18"/>
            <w:lang w:val="ru-RU"/>
          </w:rPr>
          <w:t>Интерактивная диаграмма</w:t>
        </w:r>
      </w:hyperlink>
      <w:r w:rsidRPr="00945782">
        <w:rPr>
          <w:color w:val="808080" w:themeColor="background1" w:themeShade="80"/>
          <w:sz w:val="18"/>
          <w:szCs w:val="18"/>
          <w:lang w:val="ru-RU"/>
        </w:rPr>
        <w:t>.</w:t>
      </w:r>
    </w:p>
    <w:p w14:paraId="1C857E82" w14:textId="77777777" w:rsidR="00D82062" w:rsidRPr="00945782" w:rsidRDefault="00D82062" w:rsidP="00C36E6A">
      <w:pPr>
        <w:pStyle w:val="Headingb"/>
        <w:rPr>
          <w:lang w:val="ru-RU"/>
        </w:rPr>
      </w:pPr>
      <w:r w:rsidRPr="00945782">
        <w:rPr>
          <w:lang w:val="ru-RU"/>
        </w:rPr>
        <w:t>Целевой показатель 1.2: Услуги широкополосной связи, приемлемые в ценовом отношении для всех</w:t>
      </w:r>
    </w:p>
    <w:p w14:paraId="48530350" w14:textId="469755A0" w:rsidR="00D82062" w:rsidRPr="00945782" w:rsidRDefault="00D82062" w:rsidP="00C36E6A">
      <w:pPr>
        <w:rPr>
          <w:lang w:val="ru-RU"/>
        </w:rPr>
      </w:pPr>
      <w:r w:rsidRPr="00945782">
        <w:rPr>
          <w:lang w:val="ru-RU"/>
        </w:rPr>
        <w:t>В период 2022–2025 годов как корзина услуг подвижной широкополосной связи только с передачей данных, так и корзина услуг фиксированной широкополосной связи стали более приемлемыми в ценовом отношении во всех регионах и группах стран по уровню доходов. В</w:t>
      </w:r>
      <w:r w:rsidR="00C36E6A" w:rsidRPr="00945782">
        <w:rPr>
          <w:lang w:val="ru-RU"/>
        </w:rPr>
        <w:t> </w:t>
      </w:r>
      <w:r w:rsidRPr="00945782">
        <w:rPr>
          <w:lang w:val="ru-RU"/>
        </w:rPr>
        <w:t xml:space="preserve">глобальном масштабе медианная стоимость корзины подвижной широкополосной связи, измеряемая как доля валового национального дохода (ВНД) на душу населения и основанная на корзине услуг только с передачей данных с месячным объемом 5 ГБ (см. </w:t>
      </w:r>
      <w:hyperlink w:anchor="Fig5" w:history="1">
        <w:r w:rsidR="00C36E6A" w:rsidRPr="00945782">
          <w:rPr>
            <w:rStyle w:val="Hyperlink"/>
            <w:rFonts w:asciiTheme="minorHAnsi" w:hAnsiTheme="minorHAnsi" w:cstheme="minorHAnsi"/>
            <w:szCs w:val="22"/>
            <w:lang w:val="ru-RU"/>
          </w:rPr>
          <w:t>Рисунок 5</w:t>
        </w:r>
      </w:hyperlink>
      <w:r w:rsidRPr="00945782">
        <w:rPr>
          <w:lang w:val="ru-RU"/>
        </w:rPr>
        <w:t xml:space="preserve">), снизилась с 2,0% до 1,4%. Аналогичным образом медианная стоимость корзины фиксированной широкополосной связи сократилась с 3,1% до 2,5% (см. </w:t>
      </w:r>
      <w:hyperlink w:anchor="Fig6" w:history="1">
        <w:r w:rsidR="00C36E6A" w:rsidRPr="00945782">
          <w:rPr>
            <w:rStyle w:val="Hyperlink"/>
            <w:rFonts w:asciiTheme="minorHAnsi" w:hAnsiTheme="minorHAnsi" w:cstheme="minorHAnsi"/>
            <w:szCs w:val="22"/>
            <w:lang w:val="ru-RU"/>
          </w:rPr>
          <w:t>Рисунок 6</w:t>
        </w:r>
      </w:hyperlink>
      <w:r w:rsidRPr="00945782">
        <w:rPr>
          <w:lang w:val="ru-RU"/>
        </w:rPr>
        <w:t>). На настоящий момент рекордное число стран удовлетворяют установленному Комиссией по широкополосной связи целевому показателю, который предусматривает удержание стоимости широкополосной связи на уровне ниже 2% ВНД на душу населения.</w:t>
      </w:r>
    </w:p>
    <w:p w14:paraId="33B2F5D8" w14:textId="77777777" w:rsidR="00D82062" w:rsidRPr="00945782" w:rsidRDefault="00D82062" w:rsidP="00C36E6A">
      <w:pPr>
        <w:rPr>
          <w:lang w:val="ru-RU"/>
        </w:rPr>
      </w:pPr>
      <w:r w:rsidRPr="00945782">
        <w:rPr>
          <w:lang w:val="ru-RU"/>
        </w:rPr>
        <w:t>Несмотря на растущую доступность подвижной широкополосной связи, фиксированная широкополосная связь по-прежнему остается для многих недоступной в ценовом отношении, особенно в странах с низким уровнем доходов. В странах с уровнем доходов ниже среднего доля дохода, которую абоненты платят за подвижную широкополосную связь, примерно в восемь раз превышает аналогичный показатель для стран с высоким уровнем доходов, а в странах с низким уровнем доходов – в 24 раза. Кроме того, в странах с низким уровнем доходов, где доступна фиксированная широкополосная связь, стоимость подписки может составлять почти треть среднего дохода. Даже там, где услуги в среднем приемлемы в ценовом отношении, сохраняются значительные различия внутри стран. Приемлемость в ценовом отношении по-прежнему остается одним из ключевых препятствий на пути к универсальной и реальной возможности установления соединений и тесно связана с недостаточно развитой инфраструктурой, низким уровнем инвестиций и низкими доходами населения.</w:t>
      </w:r>
    </w:p>
    <w:p w14:paraId="3275BAA8" w14:textId="6B99CC43" w:rsidR="00D82062" w:rsidRPr="00945782" w:rsidRDefault="00D82062" w:rsidP="00A447C2">
      <w:pPr>
        <w:pStyle w:val="Figuretitle"/>
        <w:spacing w:before="240" w:after="0"/>
        <w:rPr>
          <w:lang w:val="ru-RU"/>
        </w:rPr>
      </w:pPr>
      <w:r w:rsidRPr="00945782">
        <w:rPr>
          <w:lang w:val="ru-RU"/>
        </w:rPr>
        <w:lastRenderedPageBreak/>
        <w:t>Стоимость корзины услуг подвижной широкополосной связи</w:t>
      </w:r>
      <w:r w:rsidR="00A447C2" w:rsidRPr="00945782">
        <w:rPr>
          <w:lang w:val="ru-RU"/>
        </w:rPr>
        <w:t xml:space="preserve"> </w:t>
      </w:r>
      <w:r w:rsidRPr="00945782">
        <w:rPr>
          <w:lang w:val="ru-RU"/>
        </w:rPr>
        <w:t xml:space="preserve">только для передачи данных </w:t>
      </w:r>
      <w:r w:rsidR="00A447C2" w:rsidRPr="00945782">
        <w:rPr>
          <w:lang w:val="ru-RU"/>
        </w:rPr>
        <w:br/>
      </w:r>
      <w:r w:rsidRPr="00945782">
        <w:rPr>
          <w:lang w:val="ru-RU"/>
        </w:rPr>
        <w:t>(5 Гб) (% от ВНД на душу населения), 2022–2025 годы</w:t>
      </w:r>
    </w:p>
    <w:p w14:paraId="3C2F8BAA" w14:textId="0722C978" w:rsidR="00905EAE" w:rsidRPr="00945782" w:rsidRDefault="00E954BB" w:rsidP="00905EAE">
      <w:pPr>
        <w:pStyle w:val="Figure"/>
        <w:spacing w:before="120" w:after="0"/>
        <w:rPr>
          <w:lang w:val="ru-RU"/>
        </w:rPr>
      </w:pPr>
      <w:r w:rsidRPr="00945782">
        <w:rPr>
          <w:noProof/>
          <w:lang w:val="ru-RU"/>
        </w:rPr>
        <w:drawing>
          <wp:inline distT="0" distB="0" distL="0" distR="0" wp14:anchorId="5C97B2DF" wp14:editId="4005EB00">
            <wp:extent cx="5514340" cy="2924175"/>
            <wp:effectExtent l="0" t="0" r="0" b="9525"/>
            <wp:docPr id="7101811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81166" name=""/>
                    <pic:cNvPicPr/>
                  </pic:nvPicPr>
                  <pic:blipFill rotWithShape="1">
                    <a:blip r:embed="rId88">
                      <a:extLst>
                        <a:ext uri="{96DAC541-7B7A-43D3-8B79-37D633B846F1}">
                          <asvg:svgBlip xmlns:asvg="http://schemas.microsoft.com/office/drawing/2016/SVG/main" r:embed="rId89"/>
                        </a:ext>
                      </a:extLst>
                    </a:blip>
                    <a:srcRect b="2841"/>
                    <a:stretch>
                      <a:fillRect/>
                    </a:stretch>
                  </pic:blipFill>
                  <pic:spPr bwMode="auto">
                    <a:xfrm>
                      <a:off x="0" y="0"/>
                      <a:ext cx="5518951" cy="2926620"/>
                    </a:xfrm>
                    <a:prstGeom prst="rect">
                      <a:avLst/>
                    </a:prstGeom>
                    <a:ln>
                      <a:noFill/>
                    </a:ln>
                    <a:extLst>
                      <a:ext uri="{53640926-AAD7-44D8-BBD7-CCE9431645EC}">
                        <a14:shadowObscured xmlns:a14="http://schemas.microsoft.com/office/drawing/2010/main"/>
                      </a:ext>
                    </a:extLst>
                  </pic:spPr>
                </pic:pic>
              </a:graphicData>
            </a:graphic>
          </wp:inline>
        </w:drawing>
      </w:r>
    </w:p>
    <w:p w14:paraId="6A1C8645" w14:textId="128DA48B" w:rsidR="00D82062" w:rsidRPr="00945782" w:rsidRDefault="00D82062" w:rsidP="0083394A">
      <w:pPr>
        <w:pStyle w:val="Figure"/>
        <w:spacing w:before="0"/>
        <w:rPr>
          <w:rFonts w:asciiTheme="minorHAnsi" w:hAnsiTheme="minorHAnsi" w:cstheme="minorHAnsi"/>
          <w:i/>
          <w:iCs/>
          <w:color w:val="808080" w:themeColor="background1" w:themeShade="80"/>
          <w:sz w:val="18"/>
          <w:szCs w:val="18"/>
          <w:highlight w:val="yellow"/>
          <w:lang w:val="ru-RU"/>
        </w:rPr>
      </w:pPr>
      <w:bookmarkStart w:id="43" w:name="Fig5"/>
      <w:r w:rsidRPr="00945782">
        <w:rPr>
          <w:rFonts w:asciiTheme="minorHAnsi" w:hAnsiTheme="minorHAnsi" w:cstheme="minorHAnsi"/>
          <w:i/>
          <w:iCs/>
          <w:color w:val="1F497D" w:themeColor="text2"/>
          <w:sz w:val="18"/>
          <w:szCs w:val="18"/>
          <w:lang w:val="ru-RU"/>
        </w:rPr>
        <w:t>Рис</w:t>
      </w:r>
      <w:r w:rsidR="00A447C2" w:rsidRPr="00945782">
        <w:rPr>
          <w:rFonts w:asciiTheme="minorHAnsi" w:hAnsiTheme="minorHAnsi" w:cstheme="minorHAnsi"/>
          <w:i/>
          <w:iCs/>
          <w:color w:val="1F497D" w:themeColor="text2"/>
          <w:sz w:val="18"/>
          <w:szCs w:val="18"/>
          <w:lang w:val="ru-RU"/>
        </w:rPr>
        <w:t>унок</w:t>
      </w:r>
      <w:r w:rsidRPr="00945782">
        <w:rPr>
          <w:rFonts w:asciiTheme="minorHAnsi" w:hAnsiTheme="minorHAnsi" w:cstheme="minorHAnsi"/>
          <w:i/>
          <w:iCs/>
          <w:color w:val="1F497D" w:themeColor="text2"/>
          <w:sz w:val="18"/>
          <w:szCs w:val="18"/>
          <w:lang w:val="ru-RU"/>
        </w:rPr>
        <w:t xml:space="preserve"> 5</w:t>
      </w:r>
      <w:r w:rsidR="00A447C2"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w:t>
      </w:r>
      <w:r w:rsidRPr="00945782">
        <w:rPr>
          <w:i/>
          <w:iCs/>
          <w:color w:val="1F497D" w:themeColor="text2"/>
          <w:sz w:val="18"/>
          <w:szCs w:val="18"/>
          <w:lang w:val="ru-RU"/>
        </w:rPr>
        <w:t>Стоимость</w:t>
      </w:r>
      <w:r w:rsidRPr="00945782">
        <w:rPr>
          <w:rFonts w:asciiTheme="minorHAnsi" w:hAnsiTheme="minorHAnsi" w:cstheme="minorHAnsi"/>
          <w:i/>
          <w:iCs/>
          <w:color w:val="1F497D" w:themeColor="text2"/>
          <w:sz w:val="18"/>
          <w:szCs w:val="18"/>
          <w:lang w:val="ru-RU"/>
        </w:rPr>
        <w:t xml:space="preserve"> корзины услуг подвижной широкополосной связи только для передачи данных (5 Гб) в</w:t>
      </w:r>
      <w:r w:rsidR="00A447C2" w:rsidRPr="00945782">
        <w:rPr>
          <w:rFonts w:asciiTheme="minorHAnsi" w:hAnsiTheme="minorHAnsi" w:cstheme="minorHAnsi"/>
          <w:i/>
          <w:iCs/>
          <w:color w:val="1F497D" w:themeColor="text2"/>
          <w:sz w:val="18"/>
          <w:szCs w:val="18"/>
          <w:lang w:val="ru-RU"/>
        </w:rPr>
        <w:t> </w:t>
      </w:r>
      <w:r w:rsidRPr="00945782">
        <w:rPr>
          <w:rFonts w:asciiTheme="minorHAnsi" w:hAnsiTheme="minorHAnsi" w:cstheme="minorHAnsi"/>
          <w:i/>
          <w:iCs/>
          <w:color w:val="1F497D" w:themeColor="text2"/>
          <w:sz w:val="18"/>
          <w:szCs w:val="18"/>
          <w:lang w:val="ru-RU"/>
        </w:rPr>
        <w:t>процентах от валового национального дохода на душу населения, 2022–2025 годы, "Факты и цифры МСЭ, 2025</w:t>
      </w:r>
      <w:r w:rsidR="00A447C2" w:rsidRPr="00945782">
        <w:rPr>
          <w:rFonts w:asciiTheme="minorHAnsi" w:hAnsiTheme="minorHAnsi" w:cstheme="minorHAnsi"/>
          <w:i/>
          <w:iCs/>
          <w:color w:val="1F497D" w:themeColor="text2"/>
          <w:sz w:val="18"/>
          <w:szCs w:val="18"/>
          <w:lang w:val="ru-RU"/>
        </w:rPr>
        <w:t> </w:t>
      </w:r>
      <w:r w:rsidRPr="00945782">
        <w:rPr>
          <w:rFonts w:asciiTheme="minorHAnsi" w:hAnsiTheme="minorHAnsi" w:cstheme="minorHAnsi"/>
          <w:i/>
          <w:iCs/>
          <w:color w:val="1F497D" w:themeColor="text2"/>
          <w:sz w:val="18"/>
          <w:szCs w:val="18"/>
          <w:lang w:val="ru-RU"/>
        </w:rPr>
        <w:t>год", стр. 20 (</w:t>
      </w:r>
      <w:r w:rsidRPr="00945782">
        <w:rPr>
          <w:i/>
          <w:iCs/>
          <w:color w:val="1F497D" w:themeColor="text2"/>
          <w:sz w:val="18"/>
          <w:szCs w:val="18"/>
          <w:lang w:val="ru-RU"/>
        </w:rPr>
        <w:t>англ. версия)</w:t>
      </w:r>
      <w:r w:rsidRPr="00945782">
        <w:rPr>
          <w:rFonts w:asciiTheme="minorHAnsi" w:hAnsiTheme="minorHAnsi" w:cstheme="minorHAnsi"/>
          <w:i/>
          <w:iCs/>
          <w:color w:val="1F497D" w:themeColor="text2"/>
          <w:sz w:val="18"/>
          <w:szCs w:val="18"/>
          <w:lang w:val="ru-RU"/>
        </w:rPr>
        <w:t xml:space="preserve">. </w:t>
      </w:r>
      <w:bookmarkEnd w:id="43"/>
      <w:r w:rsidRPr="00945782">
        <w:rPr>
          <w:rFonts w:asciiTheme="minorHAnsi" w:hAnsiTheme="minorHAnsi" w:cstheme="minorHAnsi"/>
          <w:i/>
          <w:iCs/>
          <w:color w:val="808080" w:themeColor="background1" w:themeShade="80"/>
          <w:sz w:val="18"/>
          <w:szCs w:val="18"/>
          <w:lang w:val="ru-RU"/>
        </w:rPr>
        <w:t>По состоянию на 2025 год статистические данные по стоимости подвижной широкополосной связи относятся к корзине услуг только с передачей данных с месячным объемом не менее 5 ГБ, что соответствует методологии, принятой Группой экспертов по показателям электросвязи/ИКТ (EGTI) в</w:t>
      </w:r>
      <w:r w:rsidR="00310902" w:rsidRPr="00945782">
        <w:rPr>
          <w:rFonts w:asciiTheme="minorHAnsi" w:hAnsiTheme="minorHAnsi" w:cstheme="minorHAnsi"/>
          <w:i/>
          <w:iCs/>
          <w:color w:val="808080" w:themeColor="background1" w:themeShade="80"/>
          <w:sz w:val="18"/>
          <w:szCs w:val="18"/>
          <w:lang w:val="ru-RU"/>
        </w:rPr>
        <w:t> </w:t>
      </w:r>
      <w:r w:rsidRPr="00945782">
        <w:rPr>
          <w:rFonts w:asciiTheme="minorHAnsi" w:hAnsiTheme="minorHAnsi" w:cstheme="minorHAnsi"/>
          <w:i/>
          <w:iCs/>
          <w:color w:val="808080" w:themeColor="background1" w:themeShade="80"/>
          <w:sz w:val="18"/>
          <w:szCs w:val="18"/>
          <w:lang w:val="ru-RU"/>
        </w:rPr>
        <w:t>2024</w:t>
      </w:r>
      <w:r w:rsidR="00310902" w:rsidRPr="00945782">
        <w:rPr>
          <w:rFonts w:asciiTheme="minorHAnsi" w:hAnsiTheme="minorHAnsi" w:cstheme="minorHAnsi"/>
          <w:i/>
          <w:iCs/>
          <w:color w:val="808080" w:themeColor="background1" w:themeShade="80"/>
          <w:sz w:val="18"/>
          <w:szCs w:val="18"/>
          <w:lang w:val="ru-RU"/>
        </w:rPr>
        <w:t> </w:t>
      </w:r>
      <w:r w:rsidRPr="00945782">
        <w:rPr>
          <w:rFonts w:asciiTheme="minorHAnsi" w:hAnsiTheme="minorHAnsi" w:cstheme="minorHAnsi"/>
          <w:i/>
          <w:iCs/>
          <w:color w:val="808080" w:themeColor="background1" w:themeShade="80"/>
          <w:sz w:val="18"/>
          <w:szCs w:val="18"/>
          <w:lang w:val="ru-RU"/>
        </w:rPr>
        <w:t xml:space="preserve">году. Для обеспечения сопоставимости представленные здесь данные за 2024 год основаны на экспериментальном сборе данных МСЭ по той же корзине услуг подвижной широкополосной связи только с передачей данных. </w:t>
      </w:r>
      <w:hyperlink r:id="rId90" w:history="1">
        <w:r w:rsidRPr="00945782">
          <w:rPr>
            <w:rStyle w:val="Hyperlink"/>
            <w:rFonts w:asciiTheme="minorHAnsi" w:hAnsiTheme="minorHAnsi" w:cstheme="minorHAnsi"/>
            <w:i/>
            <w:iCs/>
            <w:sz w:val="18"/>
            <w:szCs w:val="18"/>
            <w:lang w:val="ru-RU"/>
          </w:rPr>
          <w:t>Интерактивная диаграмма</w:t>
        </w:r>
      </w:hyperlink>
      <w:r w:rsidRPr="00945782">
        <w:rPr>
          <w:rFonts w:asciiTheme="minorHAnsi" w:hAnsiTheme="minorHAnsi" w:cstheme="minorHAnsi"/>
          <w:i/>
          <w:iCs/>
          <w:color w:val="808080" w:themeColor="background1" w:themeShade="80"/>
          <w:sz w:val="18"/>
          <w:szCs w:val="18"/>
          <w:lang w:val="ru-RU"/>
        </w:rPr>
        <w:t>.</w:t>
      </w:r>
    </w:p>
    <w:p w14:paraId="407ED461" w14:textId="302F7EBA" w:rsidR="00D82062" w:rsidRPr="00945782" w:rsidRDefault="00D82062" w:rsidP="0083394A">
      <w:pPr>
        <w:spacing w:before="240"/>
        <w:jc w:val="center"/>
        <w:rPr>
          <w:rFonts w:asciiTheme="minorHAnsi" w:hAnsiTheme="minorHAnsi" w:cstheme="minorHAnsi"/>
          <w:b/>
          <w:bCs/>
          <w:szCs w:val="22"/>
          <w:lang w:val="ru-RU"/>
        </w:rPr>
      </w:pPr>
      <w:r w:rsidRPr="00945782">
        <w:rPr>
          <w:rFonts w:asciiTheme="minorHAnsi" w:hAnsiTheme="minorHAnsi" w:cstheme="minorHAnsi"/>
          <w:b/>
          <w:bCs/>
          <w:szCs w:val="22"/>
          <w:lang w:val="ru-RU"/>
        </w:rPr>
        <w:t xml:space="preserve">Стоимость корзины услуг фиксированной широкополосной связи (5 Гб) </w:t>
      </w:r>
      <w:r w:rsidR="00A447C2" w:rsidRPr="00945782">
        <w:rPr>
          <w:rFonts w:asciiTheme="minorHAnsi" w:hAnsiTheme="minorHAnsi" w:cstheme="minorHAnsi"/>
          <w:b/>
          <w:bCs/>
          <w:szCs w:val="22"/>
          <w:lang w:val="ru-RU"/>
        </w:rPr>
        <w:br/>
      </w:r>
      <w:r w:rsidRPr="00945782">
        <w:rPr>
          <w:rFonts w:asciiTheme="minorHAnsi" w:hAnsiTheme="minorHAnsi" w:cstheme="minorHAnsi"/>
          <w:b/>
          <w:bCs/>
          <w:szCs w:val="22"/>
          <w:lang w:val="ru-RU"/>
        </w:rPr>
        <w:t>(% от ВНД</w:t>
      </w:r>
      <w:r w:rsidR="00A447C2" w:rsidRPr="00945782">
        <w:rPr>
          <w:rFonts w:asciiTheme="minorHAnsi" w:hAnsiTheme="minorHAnsi" w:cstheme="minorHAnsi"/>
          <w:b/>
          <w:bCs/>
          <w:szCs w:val="22"/>
          <w:lang w:val="ru-RU"/>
        </w:rPr>
        <w:t xml:space="preserve"> </w:t>
      </w:r>
      <w:r w:rsidRPr="00945782">
        <w:rPr>
          <w:rFonts w:asciiTheme="minorHAnsi" w:hAnsiTheme="minorHAnsi" w:cstheme="minorHAnsi"/>
          <w:b/>
          <w:bCs/>
          <w:szCs w:val="22"/>
          <w:lang w:val="ru-RU"/>
        </w:rPr>
        <w:t>на душу населения), 2022–2025 годы</w:t>
      </w:r>
    </w:p>
    <w:p w14:paraId="7779B42D" w14:textId="3DFC792B" w:rsidR="00D82062" w:rsidRPr="00945782" w:rsidRDefault="00905EAE" w:rsidP="00905EAE">
      <w:pPr>
        <w:pStyle w:val="Figure"/>
        <w:spacing w:before="120" w:after="0"/>
        <w:rPr>
          <w:rFonts w:asciiTheme="minorHAnsi" w:hAnsiTheme="minorHAnsi" w:cstheme="minorHAnsi"/>
          <w:i/>
          <w:iCs/>
          <w:sz w:val="18"/>
          <w:szCs w:val="18"/>
          <w:lang w:val="ru-RU"/>
        </w:rPr>
      </w:pPr>
      <w:r w:rsidRPr="00945782">
        <w:rPr>
          <w:noProof/>
          <w:lang w:val="ru-RU"/>
        </w:rPr>
        <w:drawing>
          <wp:inline distT="0" distB="0" distL="0" distR="0" wp14:anchorId="09B496DA" wp14:editId="4BE267EE">
            <wp:extent cx="5504815" cy="3009900"/>
            <wp:effectExtent l="0" t="0" r="635" b="0"/>
            <wp:docPr id="18001207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20786" name=""/>
                    <pic:cNvPicPr/>
                  </pic:nvPicPr>
                  <pic:blipFill rotWithShape="1">
                    <a:blip r:embed="rId91">
                      <a:extLst>
                        <a:ext uri="{96DAC541-7B7A-43D3-8B79-37D633B846F1}">
                          <asvg:svgBlip xmlns:asvg="http://schemas.microsoft.com/office/drawing/2016/SVG/main" r:embed="rId92"/>
                        </a:ext>
                      </a:extLst>
                    </a:blip>
                    <a:srcRect b="2162"/>
                    <a:stretch>
                      <a:fillRect/>
                    </a:stretch>
                  </pic:blipFill>
                  <pic:spPr bwMode="auto">
                    <a:xfrm>
                      <a:off x="0" y="0"/>
                      <a:ext cx="5510432" cy="3012971"/>
                    </a:xfrm>
                    <a:prstGeom prst="rect">
                      <a:avLst/>
                    </a:prstGeom>
                    <a:ln>
                      <a:noFill/>
                    </a:ln>
                    <a:extLst>
                      <a:ext uri="{53640926-AAD7-44D8-BBD7-CCE9431645EC}">
                        <a14:shadowObscured xmlns:a14="http://schemas.microsoft.com/office/drawing/2010/main"/>
                      </a:ext>
                    </a:extLst>
                  </pic:spPr>
                </pic:pic>
              </a:graphicData>
            </a:graphic>
          </wp:inline>
        </w:drawing>
      </w:r>
      <w:bookmarkStart w:id="44" w:name="Fig6"/>
      <w:r w:rsidR="00D82062" w:rsidRPr="00945782">
        <w:rPr>
          <w:rFonts w:asciiTheme="minorHAnsi" w:hAnsiTheme="minorHAnsi" w:cstheme="minorHAnsi"/>
          <w:i/>
          <w:iCs/>
          <w:color w:val="1F497D" w:themeColor="text2"/>
          <w:sz w:val="18"/>
          <w:szCs w:val="18"/>
          <w:lang w:val="ru-RU"/>
        </w:rPr>
        <w:t>Рис</w:t>
      </w:r>
      <w:r w:rsidR="00A447C2" w:rsidRPr="00945782">
        <w:rPr>
          <w:rFonts w:asciiTheme="minorHAnsi" w:hAnsiTheme="minorHAnsi" w:cstheme="minorHAnsi"/>
          <w:i/>
          <w:iCs/>
          <w:color w:val="1F497D" w:themeColor="text2"/>
          <w:sz w:val="18"/>
          <w:szCs w:val="18"/>
          <w:lang w:val="ru-RU"/>
        </w:rPr>
        <w:t>унок</w:t>
      </w:r>
      <w:r w:rsidR="00D82062" w:rsidRPr="00945782">
        <w:rPr>
          <w:rFonts w:asciiTheme="minorHAnsi" w:hAnsiTheme="minorHAnsi" w:cstheme="minorHAnsi"/>
          <w:i/>
          <w:iCs/>
          <w:color w:val="1F497D" w:themeColor="text2"/>
          <w:sz w:val="18"/>
          <w:szCs w:val="18"/>
          <w:lang w:val="ru-RU"/>
        </w:rPr>
        <w:t> 6</w:t>
      </w:r>
      <w:r w:rsidR="00A447C2" w:rsidRPr="00945782">
        <w:rPr>
          <w:rFonts w:asciiTheme="minorHAnsi" w:hAnsiTheme="minorHAnsi" w:cstheme="minorHAnsi"/>
          <w:i/>
          <w:iCs/>
          <w:color w:val="1F497D" w:themeColor="text2"/>
          <w:sz w:val="18"/>
          <w:szCs w:val="18"/>
          <w:lang w:val="ru-RU"/>
        </w:rPr>
        <w:t xml:space="preserve"> −</w:t>
      </w:r>
      <w:r w:rsidR="00D82062" w:rsidRPr="00945782">
        <w:rPr>
          <w:rFonts w:asciiTheme="minorHAnsi" w:hAnsiTheme="minorHAnsi" w:cstheme="minorHAnsi"/>
          <w:i/>
          <w:iCs/>
          <w:color w:val="1F497D" w:themeColor="text2"/>
          <w:sz w:val="18"/>
          <w:szCs w:val="18"/>
          <w:lang w:val="ru-RU"/>
        </w:rPr>
        <w:t xml:space="preserve"> Стоимость корзины услуг фиксированной широкополосной связи (5 Гб) в процентах от валового национального дохода на душу населения, 2022–2025 годы, "Факты и цифры МСЭ, 2025 год", стр. 21 (</w:t>
      </w:r>
      <w:r w:rsidR="00D82062" w:rsidRPr="00945782">
        <w:rPr>
          <w:i/>
          <w:iCs/>
          <w:color w:val="1F497D" w:themeColor="text2"/>
          <w:sz w:val="18"/>
          <w:szCs w:val="18"/>
          <w:lang w:val="ru-RU"/>
        </w:rPr>
        <w:t>англ. версия)</w:t>
      </w:r>
      <w:r w:rsidR="00D82062" w:rsidRPr="00945782">
        <w:rPr>
          <w:rFonts w:asciiTheme="minorHAnsi" w:hAnsiTheme="minorHAnsi" w:cstheme="minorHAnsi"/>
          <w:i/>
          <w:iCs/>
          <w:color w:val="1F497D" w:themeColor="text2"/>
          <w:sz w:val="18"/>
          <w:szCs w:val="18"/>
          <w:lang w:val="ru-RU"/>
        </w:rPr>
        <w:t xml:space="preserve">. </w:t>
      </w:r>
      <w:bookmarkEnd w:id="44"/>
      <w:r w:rsidR="00D82062" w:rsidRPr="00945782">
        <w:rPr>
          <w:sz w:val="18"/>
          <w:szCs w:val="18"/>
          <w:lang w:val="ru-RU"/>
        </w:rPr>
        <w:fldChar w:fldCharType="begin"/>
      </w:r>
      <w:r w:rsidR="00D82062" w:rsidRPr="00945782">
        <w:rPr>
          <w:sz w:val="18"/>
          <w:szCs w:val="18"/>
          <w:lang w:val="ru-RU"/>
        </w:rPr>
        <w:instrText>HYPERLINK "https://datahub.itu.int/data/?e=KAZ&amp;i=36056"</w:instrText>
      </w:r>
      <w:r w:rsidR="00D82062" w:rsidRPr="00945782">
        <w:rPr>
          <w:sz w:val="18"/>
          <w:szCs w:val="18"/>
          <w:lang w:val="ru-RU"/>
        </w:rPr>
      </w:r>
      <w:r w:rsidR="00D82062" w:rsidRPr="00945782">
        <w:rPr>
          <w:sz w:val="18"/>
          <w:szCs w:val="18"/>
          <w:lang w:val="ru-RU"/>
        </w:rPr>
        <w:fldChar w:fldCharType="separate"/>
      </w:r>
      <w:r w:rsidR="00D82062" w:rsidRPr="00945782">
        <w:rPr>
          <w:rStyle w:val="Hyperlink"/>
          <w:rFonts w:asciiTheme="minorHAnsi" w:hAnsiTheme="minorHAnsi" w:cstheme="minorHAnsi"/>
          <w:i/>
          <w:iCs/>
          <w:sz w:val="18"/>
          <w:szCs w:val="18"/>
          <w:lang w:val="ru-RU"/>
        </w:rPr>
        <w:t>Интерактивная диаграмма</w:t>
      </w:r>
      <w:r w:rsidR="00D82062" w:rsidRPr="00945782">
        <w:rPr>
          <w:sz w:val="18"/>
          <w:szCs w:val="18"/>
          <w:lang w:val="ru-RU"/>
        </w:rPr>
        <w:fldChar w:fldCharType="end"/>
      </w:r>
      <w:r w:rsidR="00D82062" w:rsidRPr="00945782">
        <w:rPr>
          <w:rFonts w:asciiTheme="minorHAnsi" w:hAnsiTheme="minorHAnsi" w:cstheme="minorHAnsi"/>
          <w:i/>
          <w:iCs/>
          <w:sz w:val="18"/>
          <w:szCs w:val="18"/>
          <w:lang w:val="ru-RU"/>
        </w:rPr>
        <w:t>.</w:t>
      </w:r>
    </w:p>
    <w:p w14:paraId="13021105" w14:textId="77777777" w:rsidR="00D82062" w:rsidRPr="00945782" w:rsidRDefault="00D82062" w:rsidP="0083394A">
      <w:pPr>
        <w:rPr>
          <w:lang w:val="ru-RU"/>
        </w:rPr>
      </w:pPr>
      <w:r w:rsidRPr="00945782">
        <w:rPr>
          <w:lang w:val="ru-RU"/>
        </w:rPr>
        <w:t xml:space="preserve">Приемлемость в ценовом отношении является ключевым фактором реальной возможности установления соединений. Текущий показатель основан на действующей </w:t>
      </w:r>
      <w:hyperlink r:id="rId93" w:history="1">
        <w:r w:rsidRPr="00945782">
          <w:rPr>
            <w:rStyle w:val="Hyperlink"/>
            <w:rFonts w:asciiTheme="minorHAnsi" w:hAnsiTheme="minorHAnsi" w:cstheme="minorHAnsi"/>
            <w:szCs w:val="22"/>
            <w:lang w:val="ru-RU"/>
          </w:rPr>
          <w:t>методологии МСЭ</w:t>
        </w:r>
      </w:hyperlink>
      <w:r w:rsidRPr="00945782">
        <w:rPr>
          <w:lang w:val="ru-RU"/>
        </w:rPr>
        <w:t xml:space="preserve"> </w:t>
      </w:r>
      <w:r w:rsidRPr="00945782">
        <w:rPr>
          <w:lang w:val="ru-RU"/>
        </w:rPr>
        <w:lastRenderedPageBreak/>
        <w:t>("корзинах цен"), однако нуждается в пересмотре в рамках ведущейся разработки Стратегического плана МСЭ на 2028–2031 годы. Следует исключить слова "развивающиеся страны", поскольку данная классификация более не используется, а приемлемость в ценовом отношении должна отслеживаться на глобальном уровне. Кроме того, приемлемость в ценовом отношении следует измерять для фиксированной и подвижной широкополосной связи по отдельности ввиду различий в структуре стоимости услуг. В обоих случаях показатель должен по-прежнему выражаться в процентах от валового национального дохода (ВНД) на душу населения.</w:t>
      </w:r>
    </w:p>
    <w:p w14:paraId="5153AB3B" w14:textId="77777777" w:rsidR="00D82062" w:rsidRPr="00945782" w:rsidRDefault="00D82062" w:rsidP="0083394A">
      <w:pPr>
        <w:pStyle w:val="Headingb"/>
        <w:rPr>
          <w:lang w:val="ru-RU"/>
        </w:rPr>
      </w:pPr>
      <w:r w:rsidRPr="00945782">
        <w:rPr>
          <w:lang w:val="ru-RU"/>
        </w:rPr>
        <w:t>Целевой показатель 1.3: Широкополосный доступ для каждого домашнего хозяйства</w:t>
      </w:r>
    </w:p>
    <w:p w14:paraId="11DCDC0A" w14:textId="77777777" w:rsidR="00D82062" w:rsidRPr="00945782" w:rsidRDefault="00D82062" w:rsidP="0083394A">
      <w:pPr>
        <w:rPr>
          <w:lang w:val="ru-RU"/>
        </w:rPr>
      </w:pPr>
      <w:r w:rsidRPr="00945782">
        <w:rPr>
          <w:lang w:val="ru-RU"/>
        </w:rPr>
        <w:t>Доступ домохозяйств к интернету остается важным измерением возможности установления соединений, однако его точное измерение становится все более затруднительным. Различие между индивидуальным доступом и доступом на уровне домохозяйства утрачивает значимость в связи с широким распространением подвижного доступа и совместного использования устройств. Респонденты часто по-разному трактуют понятие "доступ домохозяйства к интернету", что приводит к возрастающим трудностям измерения и сокращению объема доступных данных. Кроме того, отсутствуют необходимые для расчета данного показателя данные о числе домохозяйств, сопоставимые в международном масштабе. По этим причинам МСЭ более не предоставляет ни глобальных, ни региональных агрегированных оценок по данному показателю.</w:t>
      </w:r>
    </w:p>
    <w:p w14:paraId="60F22ACC" w14:textId="0D357AC6" w:rsidR="00D82062" w:rsidRPr="00945782" w:rsidRDefault="00D82062" w:rsidP="0083394A">
      <w:pPr>
        <w:rPr>
          <w:lang w:val="ru-RU"/>
        </w:rPr>
      </w:pPr>
      <w:r w:rsidRPr="00945782">
        <w:rPr>
          <w:lang w:val="ru-RU"/>
        </w:rPr>
        <w:t>В 2024 году планы развития широкополосной связи и стратегии в области цифровых технологий существовали в 167 странах: этот показатель не меняется с 2019 года, а в 2022 году снизился со</w:t>
      </w:r>
      <w:r w:rsidR="0083394A" w:rsidRPr="00945782">
        <w:rPr>
          <w:lang w:val="ru-RU"/>
        </w:rPr>
        <w:t> </w:t>
      </w:r>
      <w:r w:rsidRPr="00945782">
        <w:rPr>
          <w:lang w:val="ru-RU"/>
        </w:rPr>
        <w:t>170. В целях расширения глобальной возможности установления соединений необходимы дополнительные усилия, для того чтобы убедить оставшиеся 20−30 стран разработать и принять национальные планы в области широкополосной связи.</w:t>
      </w:r>
    </w:p>
    <w:p w14:paraId="4560B2AB" w14:textId="77777777" w:rsidR="00D82062" w:rsidRPr="00945782" w:rsidRDefault="00D82062" w:rsidP="0083394A">
      <w:pPr>
        <w:pStyle w:val="Headingb"/>
        <w:rPr>
          <w:lang w:val="ru-RU"/>
        </w:rPr>
      </w:pPr>
      <w:r w:rsidRPr="00945782">
        <w:rPr>
          <w:lang w:val="ru-RU"/>
        </w:rPr>
        <w:t>Целевой показатель 1.4: Владение устройствами с выходом в интернет и доступ к этим устройствам</w:t>
      </w:r>
    </w:p>
    <w:p w14:paraId="29B32CCE" w14:textId="305885CD" w:rsidR="00D82062" w:rsidRPr="00945782" w:rsidRDefault="00D82062" w:rsidP="0083394A">
      <w:pPr>
        <w:rPr>
          <w:lang w:val="ru-RU"/>
        </w:rPr>
      </w:pPr>
      <w:r w:rsidRPr="00945782">
        <w:rPr>
          <w:lang w:val="ru-RU"/>
        </w:rPr>
        <w:t>В глобальном масштабе 82% лиц в возрасте 10 лет и старше владеют мобильным телефоном. Уровень владения считается универсальным при достижении показателя проникновения в</w:t>
      </w:r>
      <w:r w:rsidR="0083394A" w:rsidRPr="00945782">
        <w:rPr>
          <w:lang w:val="ru-RU"/>
        </w:rPr>
        <w:t> </w:t>
      </w:r>
      <w:r w:rsidRPr="00945782">
        <w:rPr>
          <w:lang w:val="ru-RU"/>
        </w:rPr>
        <w:t>95%. Этот порог достигнут в странах с высоким уровнем доходов, тогда как страны со средне-высоким уровнем доходов уже преодолели отметку в 90%. В странах с низким уровнем доходов мобильным телефоном владеют лишь 53% населения в возрасте 10 лет и старше (см.</w:t>
      </w:r>
      <w:r w:rsidR="0083394A" w:rsidRPr="00945782">
        <w:rPr>
          <w:lang w:val="ru-RU"/>
        </w:rPr>
        <w:t> </w:t>
      </w:r>
      <w:hyperlink w:anchor="Fig7" w:history="1">
        <w:r w:rsidR="0083394A" w:rsidRPr="00945782">
          <w:rPr>
            <w:rStyle w:val="Hyperlink"/>
            <w:rFonts w:asciiTheme="minorHAnsi" w:hAnsiTheme="minorHAnsi" w:cstheme="minorHAnsi"/>
            <w:szCs w:val="22"/>
            <w:lang w:val="ru-RU"/>
          </w:rPr>
          <w:t>Рисунок 7</w:t>
        </w:r>
      </w:hyperlink>
      <w:r w:rsidRPr="00945782">
        <w:rPr>
          <w:lang w:val="ru-RU"/>
        </w:rPr>
        <w:t>).</w:t>
      </w:r>
    </w:p>
    <w:p w14:paraId="59CA96C7" w14:textId="77777777" w:rsidR="00D82062" w:rsidRPr="00945782" w:rsidRDefault="00D82062" w:rsidP="0083394A">
      <w:pPr>
        <w:rPr>
          <w:b/>
          <w:bCs/>
          <w:lang w:val="ru-RU"/>
        </w:rPr>
      </w:pPr>
      <w:r w:rsidRPr="00945782">
        <w:rPr>
          <w:b/>
          <w:bCs/>
          <w:lang w:val="ru-RU"/>
        </w:rPr>
        <w:br w:type="page"/>
      </w:r>
    </w:p>
    <w:p w14:paraId="4C07361F" w14:textId="0618FFE4" w:rsidR="00D82062" w:rsidRPr="00945782" w:rsidRDefault="00D82062" w:rsidP="00122EA1">
      <w:pPr>
        <w:pStyle w:val="Figuretitle"/>
        <w:spacing w:before="240" w:after="0"/>
        <w:rPr>
          <w:lang w:val="ru-RU"/>
        </w:rPr>
      </w:pPr>
      <w:r w:rsidRPr="00945782">
        <w:rPr>
          <w:lang w:val="ru-RU"/>
        </w:rPr>
        <w:lastRenderedPageBreak/>
        <w:t>Доля лиц, владеющих мобильным телефоном и пользующихся</w:t>
      </w:r>
      <w:r w:rsidR="007743AB" w:rsidRPr="00945782">
        <w:rPr>
          <w:lang w:val="ru-RU"/>
        </w:rPr>
        <w:t xml:space="preserve"> </w:t>
      </w:r>
      <w:r w:rsidRPr="00945782">
        <w:rPr>
          <w:lang w:val="ru-RU"/>
        </w:rPr>
        <w:t>интернетом (%), 2025 год</w:t>
      </w:r>
    </w:p>
    <w:p w14:paraId="62EFEB51" w14:textId="53F4BB37" w:rsidR="00122EA1" w:rsidRPr="00945782" w:rsidRDefault="00122EA1" w:rsidP="00122EA1">
      <w:pPr>
        <w:pStyle w:val="Figure"/>
        <w:spacing w:before="120" w:after="0"/>
        <w:rPr>
          <w:lang w:val="ru-RU"/>
        </w:rPr>
      </w:pPr>
      <w:r w:rsidRPr="00945782">
        <w:rPr>
          <w:noProof/>
          <w:lang w:val="ru-RU"/>
        </w:rPr>
        <w:drawing>
          <wp:inline distT="0" distB="0" distL="0" distR="0" wp14:anchorId="6EBF1B1F" wp14:editId="252B64AB">
            <wp:extent cx="5760085" cy="3805555"/>
            <wp:effectExtent l="0" t="0" r="0" b="4445"/>
            <wp:docPr id="330592441" name="Chart 1">
              <a:extLst xmlns:a="http://schemas.openxmlformats.org/drawingml/2006/main">
                <a:ext uri="{FF2B5EF4-FFF2-40B4-BE49-F238E27FC236}">
                  <a16:creationId xmlns:a16="http://schemas.microsoft.com/office/drawing/2014/main" id="{54A25263-02AE-42AF-A025-30BB196D2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6EFEA13" w14:textId="5EEE3585" w:rsidR="00D82062" w:rsidRPr="00945782" w:rsidRDefault="00D82062" w:rsidP="00122EA1">
      <w:pPr>
        <w:pStyle w:val="Figure"/>
        <w:spacing w:before="0"/>
        <w:rPr>
          <w:rFonts w:asciiTheme="minorHAnsi" w:hAnsiTheme="minorHAnsi" w:cstheme="minorHAnsi"/>
          <w:i/>
          <w:iCs/>
          <w:sz w:val="18"/>
          <w:szCs w:val="18"/>
          <w:lang w:val="ru-RU"/>
        </w:rPr>
      </w:pPr>
      <w:bookmarkStart w:id="45" w:name="Fig7"/>
      <w:r w:rsidRPr="00945782">
        <w:rPr>
          <w:rFonts w:asciiTheme="minorHAnsi" w:hAnsiTheme="minorHAnsi" w:cstheme="minorHAnsi"/>
          <w:color w:val="1F497D" w:themeColor="text2"/>
          <w:sz w:val="18"/>
          <w:szCs w:val="18"/>
          <w:lang w:val="ru-RU"/>
        </w:rPr>
        <w:t>Рис</w:t>
      </w:r>
      <w:r w:rsidR="0083394A" w:rsidRPr="00945782">
        <w:rPr>
          <w:rFonts w:asciiTheme="minorHAnsi" w:hAnsiTheme="minorHAnsi" w:cstheme="minorHAnsi"/>
          <w:color w:val="1F497D" w:themeColor="text2"/>
          <w:sz w:val="18"/>
          <w:szCs w:val="18"/>
          <w:lang w:val="ru-RU"/>
        </w:rPr>
        <w:t>унок</w:t>
      </w:r>
      <w:r w:rsidRPr="00945782">
        <w:rPr>
          <w:rFonts w:asciiTheme="minorHAnsi" w:hAnsiTheme="minorHAnsi" w:cstheme="minorHAnsi"/>
          <w:color w:val="1F497D" w:themeColor="text2"/>
          <w:sz w:val="18"/>
          <w:szCs w:val="18"/>
          <w:lang w:val="ru-RU"/>
        </w:rPr>
        <w:t> 7</w:t>
      </w:r>
      <w:r w:rsidR="0083394A" w:rsidRPr="00945782">
        <w:rPr>
          <w:rFonts w:asciiTheme="minorHAnsi" w:hAnsiTheme="minorHAnsi" w:cstheme="minorHAnsi"/>
          <w:color w:val="1F497D" w:themeColor="text2"/>
          <w:sz w:val="18"/>
          <w:szCs w:val="18"/>
          <w:lang w:val="ru-RU"/>
        </w:rPr>
        <w:t xml:space="preserve"> −</w:t>
      </w:r>
      <w:r w:rsidRPr="00945782">
        <w:rPr>
          <w:rFonts w:asciiTheme="minorHAnsi" w:hAnsiTheme="minorHAnsi" w:cstheme="minorHAnsi"/>
          <w:color w:val="1F497D" w:themeColor="text2"/>
          <w:sz w:val="18"/>
          <w:szCs w:val="18"/>
          <w:lang w:val="ru-RU"/>
        </w:rPr>
        <w:t xml:space="preserve"> Доля лиц, владеющих мобильным телефоном и пользующихся интернетом (%), 2025 год. </w:t>
      </w:r>
      <w:r w:rsidRPr="00945782">
        <w:rPr>
          <w:rFonts w:asciiTheme="minorHAnsi" w:hAnsiTheme="minorHAnsi" w:cstheme="minorHAnsi"/>
          <w:i/>
          <w:iCs/>
          <w:color w:val="1F497D" w:themeColor="text2"/>
          <w:sz w:val="18"/>
          <w:szCs w:val="18"/>
          <w:lang w:val="ru-RU"/>
        </w:rPr>
        <w:t>"Факты и</w:t>
      </w:r>
      <w:r w:rsidR="007743AB" w:rsidRPr="00945782">
        <w:rPr>
          <w:rFonts w:asciiTheme="minorHAnsi" w:hAnsiTheme="minorHAnsi" w:cstheme="minorHAnsi"/>
          <w:i/>
          <w:iCs/>
          <w:color w:val="1F497D" w:themeColor="text2"/>
          <w:sz w:val="18"/>
          <w:szCs w:val="18"/>
          <w:lang w:val="ru-RU"/>
        </w:rPr>
        <w:t> </w:t>
      </w:r>
      <w:r w:rsidRPr="00945782">
        <w:rPr>
          <w:rFonts w:asciiTheme="minorHAnsi" w:hAnsiTheme="minorHAnsi" w:cstheme="minorHAnsi"/>
          <w:i/>
          <w:iCs/>
          <w:color w:val="1F497D" w:themeColor="text2"/>
          <w:sz w:val="18"/>
          <w:szCs w:val="18"/>
          <w:lang w:val="ru-RU"/>
        </w:rPr>
        <w:t xml:space="preserve">цифры МСЭ, 2025 год", стр. 26 (англ. версия). </w:t>
      </w:r>
      <w:r w:rsidRPr="00945782">
        <w:rPr>
          <w:rFonts w:asciiTheme="minorHAnsi" w:hAnsiTheme="minorHAnsi" w:cstheme="minorHAnsi"/>
          <w:i/>
          <w:iCs/>
          <w:sz w:val="18"/>
          <w:szCs w:val="18"/>
          <w:lang w:val="ru-RU"/>
        </w:rPr>
        <w:t xml:space="preserve">Данные для лиц 10 лет и старше, владеющих мобильным телефоном. </w:t>
      </w:r>
      <w:hyperlink r:id="rId95" w:anchor="chart-2" w:history="1">
        <w:r w:rsidRPr="00945782">
          <w:rPr>
            <w:rStyle w:val="Hyperlink"/>
            <w:rFonts w:asciiTheme="minorHAnsi" w:hAnsiTheme="minorHAnsi" w:cstheme="minorHAnsi"/>
            <w:i/>
            <w:iCs/>
            <w:sz w:val="18"/>
            <w:szCs w:val="18"/>
            <w:lang w:val="ru-RU"/>
          </w:rPr>
          <w:t>Интерактивная диаграмма.</w:t>
        </w:r>
      </w:hyperlink>
    </w:p>
    <w:bookmarkEnd w:id="45"/>
    <w:p w14:paraId="4CF3BEB5" w14:textId="030F2D45" w:rsidR="00D82062" w:rsidRPr="00945782" w:rsidRDefault="00D82062" w:rsidP="006A3A5E">
      <w:pPr>
        <w:rPr>
          <w:lang w:val="ru-RU"/>
        </w:rPr>
      </w:pPr>
      <w:r w:rsidRPr="00945782">
        <w:rPr>
          <w:lang w:val="ru-RU"/>
        </w:rPr>
        <w:t>Доступ к устройствам с доступом к интернету является необходимым условием для обеспечения реальной возможности установления соединений, однако текущие показатели (доля лиц, использующих смартфон, и доля лиц, владеющих смартфоном) сопряжены с рядом проблем. Они частично дублируют друг друга, а доступность данных остается ограниченной. Во</w:t>
      </w:r>
      <w:r w:rsidR="006A3A5E" w:rsidRPr="00945782">
        <w:rPr>
          <w:lang w:val="ru-RU"/>
        </w:rPr>
        <w:t> </w:t>
      </w:r>
      <w:r w:rsidRPr="00945782">
        <w:rPr>
          <w:lang w:val="ru-RU"/>
        </w:rPr>
        <w:t>многих странах данные о владении смартфонами или их использовании не собираются на регулярной основе, и глобальные или региональные агрегированные оценки отсутствуют. В</w:t>
      </w:r>
      <w:r w:rsidR="006A3A5E" w:rsidRPr="00945782">
        <w:rPr>
          <w:lang w:val="ru-RU"/>
        </w:rPr>
        <w:t> </w:t>
      </w:r>
      <w:r w:rsidRPr="00945782">
        <w:rPr>
          <w:lang w:val="ru-RU"/>
        </w:rPr>
        <w:t>Стратегическом плане на 2028–2031 годы следует использовать более простой и широко доступный показатель. Подходящей альтернативой является показатель ЦУР, касающийся владения мобильными телефонами: он методологически обоснован, охватывает большее число стран и позволяет представлять данные в разбивке по полу и другим параметрам.</w:t>
      </w:r>
    </w:p>
    <w:p w14:paraId="3DE7FD7F" w14:textId="77777777" w:rsidR="00D82062" w:rsidRPr="00945782" w:rsidRDefault="00D82062" w:rsidP="006A3A5E">
      <w:pPr>
        <w:pStyle w:val="Headingb"/>
        <w:rPr>
          <w:lang w:val="ru-RU"/>
        </w:rPr>
      </w:pPr>
      <w:r w:rsidRPr="00945782">
        <w:rPr>
          <w:lang w:val="ru-RU"/>
        </w:rPr>
        <w:t>Целевой показатель 1.5: Доступ к интернету для всех школ</w:t>
      </w:r>
    </w:p>
    <w:p w14:paraId="07F4BF84" w14:textId="77777777" w:rsidR="00D82062" w:rsidRPr="00945782" w:rsidRDefault="00D82062" w:rsidP="006A3A5E">
      <w:pPr>
        <w:rPr>
          <w:lang w:val="ru-RU"/>
        </w:rPr>
      </w:pPr>
      <w:r w:rsidRPr="00945782">
        <w:rPr>
          <w:lang w:val="ru-RU"/>
        </w:rPr>
        <w:t xml:space="preserve">Эти данные собираются Институтом статистики ЮНЕСКО (UIS), и на </w:t>
      </w:r>
      <w:hyperlink r:id="rId96" w:history="1">
        <w:r w:rsidRPr="00945782">
          <w:rPr>
            <w:rStyle w:val="Hyperlink"/>
            <w:rFonts w:asciiTheme="minorHAnsi" w:hAnsiTheme="minorHAnsi" w:cstheme="minorHAnsi"/>
            <w:szCs w:val="22"/>
            <w:lang w:val="ru-RU"/>
          </w:rPr>
          <w:t>данной информационной панели</w:t>
        </w:r>
      </w:hyperlink>
      <w:r w:rsidRPr="00945782">
        <w:rPr>
          <w:lang w:val="ru-RU"/>
        </w:rPr>
        <w:t xml:space="preserve"> (в рамках показателя 4a, целевого показателя 4a.1) доступны следующие показатели:</w:t>
      </w:r>
    </w:p>
    <w:p w14:paraId="5363DE47" w14:textId="77777777" w:rsidR="00D82062" w:rsidRPr="00945782" w:rsidRDefault="00D82062" w:rsidP="006A3A5E">
      <w:pPr>
        <w:pStyle w:val="enumlev1"/>
        <w:rPr>
          <w:lang w:val="ru-RU"/>
        </w:rPr>
      </w:pPr>
      <w:r w:rsidRPr="00945782">
        <w:rPr>
          <w:lang w:val="ru-RU"/>
        </w:rPr>
        <w:t>•</w:t>
      </w:r>
      <w:r w:rsidRPr="00945782">
        <w:rPr>
          <w:lang w:val="ru-RU"/>
        </w:rPr>
        <w:tab/>
        <w:t>доля школ, имеющих доступ к интернету для педагогических целей (%);</w:t>
      </w:r>
    </w:p>
    <w:p w14:paraId="395333E4" w14:textId="77777777" w:rsidR="00D82062" w:rsidRPr="00945782" w:rsidRDefault="00D82062" w:rsidP="006A3A5E">
      <w:pPr>
        <w:pStyle w:val="enumlev1"/>
        <w:rPr>
          <w:lang w:val="ru-RU"/>
        </w:rPr>
      </w:pPr>
      <w:r w:rsidRPr="00945782">
        <w:rPr>
          <w:lang w:val="ru-RU"/>
        </w:rPr>
        <w:t>•</w:t>
      </w:r>
      <w:r w:rsidRPr="00945782">
        <w:rPr>
          <w:lang w:val="ru-RU"/>
        </w:rPr>
        <w:tab/>
        <w:t>доля школ, имеющих доступ к компьютерам для педагогических целей (%).</w:t>
      </w:r>
    </w:p>
    <w:p w14:paraId="47FA9376" w14:textId="77777777" w:rsidR="00D82062" w:rsidRPr="00945782" w:rsidRDefault="00D82062" w:rsidP="006A3A5E">
      <w:pPr>
        <w:rPr>
          <w:lang w:val="ru-RU"/>
        </w:rPr>
      </w:pPr>
      <w:r w:rsidRPr="00945782">
        <w:rPr>
          <w:lang w:val="ru-RU"/>
        </w:rPr>
        <w:t>Данные доступны по странам и представлены в разбивке по уровню образования (начальная школа, младшие классы средней школы, старшие классы средней школы). Наиболее актуальные данные представлены за 2024 год. Также имеются региональные и глобальные оценки.</w:t>
      </w:r>
    </w:p>
    <w:p w14:paraId="2AD979C4" w14:textId="4277255B" w:rsidR="00D82062" w:rsidRPr="00945782" w:rsidRDefault="00D82062" w:rsidP="008B0EBF">
      <w:pPr>
        <w:pStyle w:val="Figuretitle"/>
        <w:spacing w:before="240" w:after="0"/>
        <w:rPr>
          <w:lang w:val="ru-RU"/>
        </w:rPr>
      </w:pPr>
      <w:r w:rsidRPr="00945782">
        <w:rPr>
          <w:lang w:val="ru-RU"/>
        </w:rPr>
        <w:lastRenderedPageBreak/>
        <w:t>Доля школ, имеющих доступ к компьютерам или к интернету</w:t>
      </w:r>
      <w:r w:rsidR="008B0EBF" w:rsidRPr="00945782">
        <w:rPr>
          <w:lang w:val="ru-RU"/>
        </w:rPr>
        <w:t xml:space="preserve"> </w:t>
      </w:r>
      <w:r w:rsidRPr="00945782">
        <w:rPr>
          <w:lang w:val="ru-RU"/>
        </w:rPr>
        <w:t>для педагогических целей (%), 2024 год</w:t>
      </w:r>
    </w:p>
    <w:p w14:paraId="015AAFCD" w14:textId="2936CAC4" w:rsidR="00E954BB" w:rsidRPr="00945782" w:rsidRDefault="00E954BB" w:rsidP="00E954BB">
      <w:pPr>
        <w:pStyle w:val="Figure"/>
        <w:spacing w:before="120" w:after="0"/>
        <w:rPr>
          <w:lang w:val="ru-RU"/>
        </w:rPr>
      </w:pPr>
      <w:r w:rsidRPr="00945782">
        <w:rPr>
          <w:noProof/>
          <w:lang w:val="ru-RU"/>
        </w:rPr>
        <w:drawing>
          <wp:inline distT="0" distB="0" distL="0" distR="0" wp14:anchorId="360D9772" wp14:editId="24A349F2">
            <wp:extent cx="5038725" cy="2085975"/>
            <wp:effectExtent l="0" t="0" r="0" b="0"/>
            <wp:docPr id="1424432871" name="Chart 1">
              <a:extLst xmlns:a="http://schemas.openxmlformats.org/drawingml/2006/main">
                <a:ext uri="{FF2B5EF4-FFF2-40B4-BE49-F238E27FC236}">
                  <a16:creationId xmlns:a16="http://schemas.microsoft.com/office/drawing/2014/main" id="{D0F0AABE-FCC0-403C-AB4C-8E4C0722F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64C808D" w14:textId="73882507" w:rsidR="00D82062" w:rsidRPr="00945782" w:rsidRDefault="00D82062" w:rsidP="000B5DF9">
      <w:pPr>
        <w:pStyle w:val="Figure"/>
        <w:spacing w:before="0" w:after="0"/>
        <w:rPr>
          <w:rFonts w:asciiTheme="minorHAnsi" w:hAnsiTheme="minorHAnsi" w:cstheme="minorHAnsi"/>
          <w:i/>
          <w:iCs/>
          <w:sz w:val="18"/>
          <w:szCs w:val="18"/>
          <w:lang w:val="ru-RU"/>
        </w:rPr>
      </w:pPr>
      <w:bookmarkStart w:id="46" w:name="Fig8"/>
      <w:r w:rsidRPr="00945782">
        <w:rPr>
          <w:rFonts w:asciiTheme="minorHAnsi" w:hAnsiTheme="minorHAnsi" w:cstheme="minorHAnsi"/>
          <w:i/>
          <w:iCs/>
          <w:color w:val="1F497D" w:themeColor="text2"/>
          <w:sz w:val="18"/>
          <w:szCs w:val="18"/>
          <w:lang w:val="ru-RU"/>
        </w:rPr>
        <w:t>Рис</w:t>
      </w:r>
      <w:r w:rsidR="008B0EBF" w:rsidRPr="00945782">
        <w:rPr>
          <w:rFonts w:asciiTheme="minorHAnsi" w:hAnsiTheme="minorHAnsi" w:cstheme="minorHAnsi"/>
          <w:i/>
          <w:iCs/>
          <w:color w:val="1F497D" w:themeColor="text2"/>
          <w:sz w:val="18"/>
          <w:szCs w:val="18"/>
          <w:lang w:val="ru-RU"/>
        </w:rPr>
        <w:t>унок</w:t>
      </w:r>
      <w:r w:rsidRPr="00945782">
        <w:rPr>
          <w:rFonts w:asciiTheme="minorHAnsi" w:hAnsiTheme="minorHAnsi" w:cstheme="minorHAnsi"/>
          <w:i/>
          <w:iCs/>
          <w:color w:val="1F497D" w:themeColor="text2"/>
          <w:sz w:val="18"/>
          <w:szCs w:val="18"/>
          <w:lang w:val="ru-RU"/>
        </w:rPr>
        <w:t xml:space="preserve"> 8</w:t>
      </w:r>
      <w:r w:rsidR="008B0EBF"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Доля </w:t>
      </w:r>
      <w:r w:rsidRPr="00945782">
        <w:rPr>
          <w:rFonts w:asciiTheme="minorHAnsi" w:hAnsiTheme="minorHAnsi" w:cstheme="minorHAnsi"/>
          <w:color w:val="1F497D" w:themeColor="text2"/>
          <w:sz w:val="18"/>
          <w:szCs w:val="18"/>
          <w:lang w:val="ru-RU"/>
        </w:rPr>
        <w:t>школ</w:t>
      </w:r>
      <w:r w:rsidRPr="00945782">
        <w:rPr>
          <w:rFonts w:asciiTheme="minorHAnsi" w:hAnsiTheme="minorHAnsi" w:cstheme="minorHAnsi"/>
          <w:i/>
          <w:iCs/>
          <w:color w:val="1F497D" w:themeColor="text2"/>
          <w:sz w:val="18"/>
          <w:szCs w:val="18"/>
          <w:lang w:val="ru-RU"/>
        </w:rPr>
        <w:t>, имеющих доступ к компьютерам или к интернету для педагогических целей (%), 2024 год. Институт статистики ЮНЕСКО</w:t>
      </w:r>
      <w:r w:rsidRPr="00945782">
        <w:rPr>
          <w:rFonts w:asciiTheme="minorHAnsi" w:hAnsiTheme="minorHAnsi" w:cstheme="minorHAnsi"/>
          <w:i/>
          <w:iCs/>
          <w:sz w:val="18"/>
          <w:szCs w:val="18"/>
          <w:lang w:val="ru-RU"/>
        </w:rPr>
        <w:t>.</w:t>
      </w:r>
      <w:bookmarkEnd w:id="46"/>
      <w:r w:rsidRPr="00945782">
        <w:rPr>
          <w:rFonts w:asciiTheme="minorHAnsi" w:hAnsiTheme="minorHAnsi" w:cstheme="minorHAnsi"/>
          <w:i/>
          <w:iCs/>
          <w:sz w:val="18"/>
          <w:szCs w:val="18"/>
          <w:lang w:val="ru-RU"/>
        </w:rPr>
        <w:t xml:space="preserve"> </w:t>
      </w:r>
      <w:r w:rsidRPr="00945782">
        <w:rPr>
          <w:rFonts w:asciiTheme="minorHAnsi" w:hAnsiTheme="minorHAnsi" w:cstheme="minorHAnsi"/>
          <w:i/>
          <w:iCs/>
          <w:color w:val="808080" w:themeColor="background1" w:themeShade="80"/>
          <w:sz w:val="18"/>
          <w:szCs w:val="18"/>
          <w:lang w:val="ru-RU"/>
        </w:rPr>
        <w:t xml:space="preserve">См. более подробную информацию по </w:t>
      </w:r>
      <w:hyperlink r:id="rId98" w:history="1">
        <w:r w:rsidRPr="00945782">
          <w:rPr>
            <w:rStyle w:val="Hyperlink"/>
            <w:rFonts w:asciiTheme="minorHAnsi" w:hAnsiTheme="minorHAnsi" w:cstheme="minorHAnsi"/>
            <w:i/>
            <w:iCs/>
            <w:sz w:val="18"/>
            <w:szCs w:val="18"/>
            <w:lang w:val="ru-RU"/>
          </w:rPr>
          <w:t>ссылке</w:t>
        </w:r>
      </w:hyperlink>
      <w:r w:rsidRPr="00945782">
        <w:rPr>
          <w:rFonts w:asciiTheme="minorHAnsi" w:hAnsiTheme="minorHAnsi" w:cstheme="minorHAnsi"/>
          <w:i/>
          <w:iCs/>
          <w:sz w:val="18"/>
          <w:szCs w:val="18"/>
          <w:lang w:val="ru-RU"/>
        </w:rPr>
        <w:t>.</w:t>
      </w:r>
    </w:p>
    <w:p w14:paraId="1C56FC37" w14:textId="25E958D0" w:rsidR="00D82062" w:rsidRPr="00945782" w:rsidRDefault="00D82062" w:rsidP="008B0EBF">
      <w:pPr>
        <w:spacing w:before="240"/>
        <w:rPr>
          <w:lang w:val="ru-RU"/>
        </w:rPr>
      </w:pPr>
      <w:r w:rsidRPr="00945782">
        <w:rPr>
          <w:lang w:val="ru-RU"/>
        </w:rPr>
        <w:t xml:space="preserve">В 2024 году примерно половина начальных школ имели доступ к компьютерам и интернету. Доступ к этой инфраструктуре имели также более 60% младших классов средней школы и более 70% старших классов средней школы (см. </w:t>
      </w:r>
      <w:hyperlink w:anchor="Fig8" w:history="1">
        <w:r w:rsidR="00E954BB" w:rsidRPr="00945782">
          <w:rPr>
            <w:rStyle w:val="Hyperlink"/>
            <w:rFonts w:asciiTheme="minorHAnsi" w:hAnsiTheme="minorHAnsi" w:cstheme="minorHAnsi"/>
            <w:szCs w:val="22"/>
            <w:lang w:val="ru-RU"/>
          </w:rPr>
          <w:t>Рисунок 8</w:t>
        </w:r>
      </w:hyperlink>
      <w:r w:rsidRPr="00945782">
        <w:rPr>
          <w:lang w:val="ru-RU"/>
        </w:rPr>
        <w:t>).</w:t>
      </w:r>
    </w:p>
    <w:p w14:paraId="50167ECE" w14:textId="77777777" w:rsidR="00D82062" w:rsidRPr="00945782" w:rsidRDefault="00D82062" w:rsidP="008B0EBF">
      <w:pPr>
        <w:rPr>
          <w:lang w:val="ru-RU"/>
        </w:rPr>
      </w:pPr>
      <w:r w:rsidRPr="00945782">
        <w:rPr>
          <w:lang w:val="ru-RU"/>
        </w:rPr>
        <w:t>Имеющиеся данные пока не позволяют сделать выводы о динамике среднемировых показателей. Обеспечение возможности установления соединений для школ может рассматриваться как актуальный целевой показатель. Однако текущий показатель является недостаточным. Порог в 500 МБ в месяц значительно ниже уровня, необходимого для образовательных целей. Кроме того, МСЭ не является основным источником данных по данному показателю. Сбор данных о школах, имеющих доступ к интернету, осуществляет Организация Объединенных Наций по вопросам образования, науки и культуры (ЮНЕСКО).</w:t>
      </w:r>
    </w:p>
    <w:p w14:paraId="0A0B80DA" w14:textId="77777777" w:rsidR="00D82062" w:rsidRPr="00945782" w:rsidRDefault="00D82062" w:rsidP="008B0EBF">
      <w:pPr>
        <w:pStyle w:val="Headingb"/>
        <w:rPr>
          <w:lang w:val="ru-RU"/>
        </w:rPr>
      </w:pPr>
      <w:r w:rsidRPr="00945782">
        <w:rPr>
          <w:lang w:val="ru-RU"/>
        </w:rPr>
        <w:t>Целевой показатель 1.6: Повышения готовности стран в области кибербезопасности</w:t>
      </w:r>
    </w:p>
    <w:p w14:paraId="765AE0C4" w14:textId="566E36B6" w:rsidR="00D82062" w:rsidRPr="00945782" w:rsidRDefault="00D82062" w:rsidP="008B0EBF">
      <w:pPr>
        <w:rPr>
          <w:lang w:val="ru-RU"/>
        </w:rPr>
      </w:pPr>
      <w:r w:rsidRPr="00945782">
        <w:rPr>
          <w:lang w:val="ru-RU"/>
        </w:rPr>
        <w:t>Заметный прогресс наблюдается в повышении готовности стран в области кибербезопасности. К</w:t>
      </w:r>
      <w:r w:rsidR="008B0EBF" w:rsidRPr="00945782">
        <w:rPr>
          <w:lang w:val="ru-RU"/>
        </w:rPr>
        <w:t> </w:t>
      </w:r>
      <w:r w:rsidRPr="00945782">
        <w:rPr>
          <w:lang w:val="ru-RU"/>
        </w:rPr>
        <w:t>2024 году в 132 странах были созданы группы реагирования на компьютерные инциденты (CIRT); таким образом, их число возросло с 109 в 2020 году. Кроме того, национальные стратегии и планы действий в области кибербезопасности были внедрены в 127 странах (в</w:t>
      </w:r>
      <w:r w:rsidR="008B0EBF" w:rsidRPr="00945782">
        <w:rPr>
          <w:lang w:val="ru-RU"/>
        </w:rPr>
        <w:t> </w:t>
      </w:r>
      <w:r w:rsidRPr="00945782">
        <w:rPr>
          <w:lang w:val="ru-RU"/>
        </w:rPr>
        <w:t>2020</w:t>
      </w:r>
      <w:r w:rsidR="008B0EBF" w:rsidRPr="00945782">
        <w:rPr>
          <w:lang w:val="ru-RU"/>
        </w:rPr>
        <w:t> </w:t>
      </w:r>
      <w:r w:rsidRPr="00945782">
        <w:rPr>
          <w:lang w:val="ru-RU"/>
        </w:rPr>
        <w:t>году они были внедрены в 107 странах).</w:t>
      </w:r>
    </w:p>
    <w:p w14:paraId="176DBA8A" w14:textId="77777777" w:rsidR="00D82062" w:rsidRPr="00945782" w:rsidRDefault="00D82062" w:rsidP="008B0EBF">
      <w:pPr>
        <w:pStyle w:val="Headingb"/>
        <w:rPr>
          <w:lang w:val="ru-RU"/>
        </w:rPr>
      </w:pPr>
      <w:r w:rsidRPr="00945782">
        <w:rPr>
          <w:lang w:val="ru-RU"/>
        </w:rPr>
        <w:t>Целевой показатель 1.7: Универсальный доступ к интернету всех отдельных лиц</w:t>
      </w:r>
    </w:p>
    <w:p w14:paraId="6799F302" w14:textId="58BB429B" w:rsidR="00D82062" w:rsidRPr="00945782" w:rsidRDefault="00D82062" w:rsidP="008B0EBF">
      <w:pPr>
        <w:rPr>
          <w:lang w:val="ru-RU"/>
        </w:rPr>
      </w:pPr>
      <w:r w:rsidRPr="00945782">
        <w:rPr>
          <w:lang w:val="ru-RU"/>
        </w:rPr>
        <w:t xml:space="preserve">В 2025 году 74% населения мира пользовались интернетом, при этом годом ранее этот показатель составлял 71%. В абсолютных значениях это соответствует 6 млрд. человек по сравнению с 5,4 млрд. в 2022 году, что представляет собой рост на 13% за рассматриваемый период (см. </w:t>
      </w:r>
      <w:hyperlink w:anchor="Fig9" w:history="1">
        <w:r w:rsidR="00DE7861" w:rsidRPr="00945782">
          <w:rPr>
            <w:rStyle w:val="Hyperlink"/>
            <w:rFonts w:asciiTheme="minorHAnsi" w:hAnsiTheme="minorHAnsi" w:cstheme="minorHAnsi"/>
            <w:szCs w:val="22"/>
            <w:lang w:val="ru-RU"/>
          </w:rPr>
          <w:t>Рисунок 9</w:t>
        </w:r>
      </w:hyperlink>
      <w:r w:rsidRPr="00945782">
        <w:rPr>
          <w:lang w:val="ru-RU"/>
        </w:rPr>
        <w:t>). Несмотря на продолжающийся прогресс в направлении универсальной возможности установления соединений, более четверти населения мира по-прежнему не имеют доступа к интернету.</w:t>
      </w:r>
    </w:p>
    <w:p w14:paraId="180C7A62" w14:textId="77777777" w:rsidR="00D82062" w:rsidRPr="00945782" w:rsidRDefault="00D82062" w:rsidP="00D82062">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b/>
          <w:bCs/>
          <w:szCs w:val="22"/>
          <w:lang w:val="ru-RU"/>
        </w:rPr>
      </w:pPr>
      <w:r w:rsidRPr="00945782">
        <w:rPr>
          <w:rFonts w:asciiTheme="minorHAnsi" w:hAnsiTheme="minorHAnsi" w:cstheme="minorHAnsi"/>
          <w:b/>
          <w:bCs/>
          <w:szCs w:val="22"/>
          <w:lang w:val="ru-RU"/>
        </w:rPr>
        <w:br w:type="page"/>
      </w:r>
    </w:p>
    <w:p w14:paraId="31BFAF3C" w14:textId="77777777" w:rsidR="00D82062" w:rsidRPr="00945782" w:rsidRDefault="00D82062" w:rsidP="008B0EBF">
      <w:pPr>
        <w:pStyle w:val="Figuretitle"/>
        <w:spacing w:before="240" w:after="0"/>
        <w:rPr>
          <w:lang w:val="ru-RU"/>
        </w:rPr>
      </w:pPr>
      <w:r w:rsidRPr="00945782">
        <w:rPr>
          <w:lang w:val="ru-RU"/>
        </w:rPr>
        <w:lastRenderedPageBreak/>
        <w:t>Использование интернета отдельными лицами</w:t>
      </w:r>
    </w:p>
    <w:p w14:paraId="302C61F6" w14:textId="218022E6" w:rsidR="00E954BB" w:rsidRPr="00945782" w:rsidRDefault="00E954BB" w:rsidP="00E954BB">
      <w:pPr>
        <w:pStyle w:val="Figure"/>
        <w:spacing w:before="120" w:after="0"/>
        <w:rPr>
          <w:lang w:val="ru-RU"/>
        </w:rPr>
      </w:pPr>
      <w:r w:rsidRPr="00945782">
        <w:rPr>
          <w:noProof/>
          <w:lang w:val="ru-RU"/>
        </w:rPr>
        <w:drawing>
          <wp:inline distT="0" distB="0" distL="0" distR="0" wp14:anchorId="4BC79644" wp14:editId="45D0787A">
            <wp:extent cx="5029200" cy="2838450"/>
            <wp:effectExtent l="0" t="0" r="0" b="0"/>
            <wp:docPr id="638353323" name="Chart 1">
              <a:extLst xmlns:a="http://schemas.openxmlformats.org/drawingml/2006/main">
                <a:ext uri="{FF2B5EF4-FFF2-40B4-BE49-F238E27FC236}">
                  <a16:creationId xmlns:a16="http://schemas.microsoft.com/office/drawing/2014/main" id="{9E848BCB-5D8F-4275-8E3B-EE5717DBD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2813A1B" w14:textId="33F8E84D" w:rsidR="00D82062" w:rsidRPr="00945782" w:rsidRDefault="00D82062" w:rsidP="000B5DF9">
      <w:pPr>
        <w:pStyle w:val="Figure"/>
        <w:spacing w:before="0" w:after="0"/>
        <w:rPr>
          <w:rFonts w:asciiTheme="minorHAnsi" w:hAnsiTheme="minorHAnsi" w:cstheme="minorHAnsi"/>
          <w:i/>
          <w:iCs/>
          <w:sz w:val="18"/>
          <w:szCs w:val="18"/>
          <w:lang w:val="ru-RU"/>
        </w:rPr>
      </w:pPr>
      <w:bookmarkStart w:id="47" w:name="Fig9"/>
      <w:r w:rsidRPr="00945782">
        <w:rPr>
          <w:rFonts w:asciiTheme="minorHAnsi" w:hAnsiTheme="minorHAnsi" w:cstheme="minorHAnsi"/>
          <w:i/>
          <w:iCs/>
          <w:color w:val="1F497D" w:themeColor="text2"/>
          <w:sz w:val="18"/>
          <w:szCs w:val="18"/>
          <w:lang w:val="ru-RU"/>
        </w:rPr>
        <w:t>Рисунок 9</w:t>
      </w:r>
      <w:r w:rsidR="008B0EBF"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color w:val="1F497D" w:themeColor="text2"/>
          <w:sz w:val="18"/>
          <w:szCs w:val="18"/>
          <w:lang w:val="ru-RU"/>
        </w:rPr>
        <w:t>Использование</w:t>
      </w:r>
      <w:r w:rsidRPr="00945782">
        <w:rPr>
          <w:rFonts w:asciiTheme="minorHAnsi" w:hAnsiTheme="minorHAnsi" w:cstheme="minorHAnsi"/>
          <w:i/>
          <w:iCs/>
          <w:color w:val="1F497D" w:themeColor="text2"/>
          <w:sz w:val="18"/>
          <w:szCs w:val="18"/>
          <w:lang w:val="ru-RU"/>
        </w:rPr>
        <w:t xml:space="preserve"> интернета отдельными лицами. "Факты и цифры МСЭ, 2025 год",</w:t>
      </w:r>
      <w:r w:rsidRPr="00945782">
        <w:rPr>
          <w:rFonts w:asciiTheme="minorHAnsi" w:hAnsiTheme="minorHAnsi" w:cstheme="minorHAnsi"/>
          <w:i/>
          <w:iCs/>
          <w:color w:val="1F497D" w:themeColor="text2"/>
          <w:sz w:val="18"/>
          <w:szCs w:val="18"/>
          <w:lang w:val="ru-RU"/>
        </w:rPr>
        <w:br/>
        <w:t>стр. 1 (англ. версия).</w:t>
      </w:r>
      <w:r w:rsidRPr="00945782">
        <w:rPr>
          <w:rFonts w:asciiTheme="minorHAnsi" w:hAnsiTheme="minorHAnsi" w:cstheme="minorHAnsi"/>
          <w:i/>
          <w:iCs/>
          <w:sz w:val="18"/>
          <w:szCs w:val="18"/>
          <w:lang w:val="ru-RU"/>
        </w:rPr>
        <w:t xml:space="preserve"> </w:t>
      </w:r>
      <w:bookmarkEnd w:id="47"/>
      <w:r w:rsidRPr="00945782">
        <w:rPr>
          <w:sz w:val="18"/>
          <w:szCs w:val="18"/>
          <w:lang w:val="ru-RU"/>
        </w:rPr>
        <w:fldChar w:fldCharType="begin"/>
      </w:r>
      <w:r w:rsidRPr="00945782">
        <w:rPr>
          <w:sz w:val="18"/>
          <w:szCs w:val="18"/>
          <w:lang w:val="ru-RU"/>
        </w:rPr>
        <w:instrText>HYPERLINK "https://www.itu.int/itu-d/reports/statistics/2025/10/15/ff25-internet-use/" \l "chart-1"</w:instrText>
      </w:r>
      <w:r w:rsidRPr="00945782">
        <w:rPr>
          <w:sz w:val="18"/>
          <w:szCs w:val="18"/>
          <w:lang w:val="ru-RU"/>
        </w:rPr>
      </w:r>
      <w:r w:rsidRPr="00945782">
        <w:rPr>
          <w:sz w:val="18"/>
          <w:szCs w:val="18"/>
          <w:lang w:val="ru-RU"/>
        </w:rPr>
        <w:fldChar w:fldCharType="separate"/>
      </w:r>
      <w:r w:rsidRPr="00945782">
        <w:rPr>
          <w:rStyle w:val="Hyperlink"/>
          <w:rFonts w:asciiTheme="minorHAnsi" w:hAnsiTheme="minorHAnsi" w:cstheme="minorHAnsi"/>
          <w:i/>
          <w:iCs/>
          <w:sz w:val="18"/>
          <w:szCs w:val="18"/>
          <w:lang w:val="ru-RU"/>
        </w:rPr>
        <w:t>Интерактивная диаграмма</w:t>
      </w:r>
      <w:r w:rsidRPr="00945782">
        <w:rPr>
          <w:sz w:val="18"/>
          <w:szCs w:val="18"/>
          <w:lang w:val="ru-RU"/>
        </w:rPr>
        <w:fldChar w:fldCharType="end"/>
      </w:r>
      <w:r w:rsidRPr="00945782">
        <w:rPr>
          <w:rFonts w:asciiTheme="minorHAnsi" w:hAnsiTheme="minorHAnsi" w:cstheme="minorHAnsi"/>
          <w:i/>
          <w:iCs/>
          <w:sz w:val="18"/>
          <w:szCs w:val="18"/>
          <w:lang w:val="ru-RU"/>
        </w:rPr>
        <w:t>.</w:t>
      </w:r>
    </w:p>
    <w:p w14:paraId="429EF52D" w14:textId="77777777" w:rsidR="00D82062" w:rsidRPr="00945782" w:rsidRDefault="00D82062" w:rsidP="000B5DF9">
      <w:pPr>
        <w:spacing w:before="240"/>
        <w:rPr>
          <w:lang w:val="ru-RU"/>
        </w:rPr>
      </w:pPr>
      <w:r w:rsidRPr="00945782">
        <w:rPr>
          <w:lang w:val="ru-RU"/>
        </w:rPr>
        <w:t>Показатели использования интернета тесно связаны с уровнем развития. В странах с высоким уровнем доходов уровень использования интернета приближается к универсальному и соответствует 94% населения. В то же время в странах с низким уровнем доходов интернетом пользовались лишь 23% населения.</w:t>
      </w:r>
    </w:p>
    <w:p w14:paraId="6730913E" w14:textId="77777777" w:rsidR="00D82062" w:rsidRPr="00945782" w:rsidRDefault="00D82062" w:rsidP="000B5DF9">
      <w:pPr>
        <w:rPr>
          <w:lang w:val="ru-RU"/>
        </w:rPr>
      </w:pPr>
      <w:r w:rsidRPr="00945782">
        <w:rPr>
          <w:lang w:val="ru-RU"/>
        </w:rPr>
        <w:t>В странах Содружества Независимых Государств (СНГ), Европе и Северной и Южной Америке интернетом пользовались от 88% до 93% населения. В регионах Азиатско-Тихоокеанского региона (АТР) и арабских государствах уровень использования интернета составил соответственно 77% и 70%, что соответствует среднемировому уровню. В то же время в Африке данный показатель составил лишь 36%.</w:t>
      </w:r>
    </w:p>
    <w:p w14:paraId="4D40E5D1" w14:textId="7251431D" w:rsidR="00D82062" w:rsidRPr="00945782" w:rsidRDefault="00D82062" w:rsidP="000B5DF9">
      <w:pPr>
        <w:rPr>
          <w:lang w:val="ru-RU"/>
        </w:rPr>
      </w:pPr>
      <w:r w:rsidRPr="00945782">
        <w:rPr>
          <w:lang w:val="ru-RU"/>
        </w:rPr>
        <w:t xml:space="preserve">Универсальная возможность установления соединений также остается отдаленной перспективой в наименее развитых странах (НРС) и развивающихся странах, не имеющих выхода к морю (ЛЛДС), где интернетом пользовались лишь 34% и 38% населения соответственно. Хотя в 2025 году годовые темпы роста в этих группах стран составили в среднем 7,4% и 5,5% соответственно, что выше, чем в большинстве других групп или регионов, разрыв в возможностях установления соединений, как ожидается, в ближайшее время не будет устранен (см. </w:t>
      </w:r>
      <w:hyperlink w:anchor="Fig10" w:history="1">
        <w:r w:rsidR="000B5DF9" w:rsidRPr="00945782">
          <w:rPr>
            <w:rStyle w:val="Hyperlink"/>
            <w:rFonts w:asciiTheme="minorHAnsi" w:hAnsiTheme="minorHAnsi" w:cstheme="minorHAnsi"/>
            <w:szCs w:val="22"/>
            <w:lang w:val="ru-RU"/>
          </w:rPr>
          <w:t>Рисунок 10</w:t>
        </w:r>
      </w:hyperlink>
      <w:r w:rsidRPr="00945782">
        <w:rPr>
          <w:lang w:val="ru-RU"/>
        </w:rPr>
        <w:t>).</w:t>
      </w:r>
    </w:p>
    <w:p w14:paraId="4DBD6B27" w14:textId="77777777" w:rsidR="00D82062" w:rsidRPr="00945782" w:rsidRDefault="00D82062" w:rsidP="000B5DF9">
      <w:pPr>
        <w:rPr>
          <w:b/>
          <w:bCs/>
          <w:lang w:val="ru-RU"/>
        </w:rPr>
      </w:pPr>
      <w:r w:rsidRPr="00945782">
        <w:rPr>
          <w:b/>
          <w:bCs/>
          <w:lang w:val="ru-RU"/>
        </w:rPr>
        <w:br w:type="page"/>
      </w:r>
    </w:p>
    <w:p w14:paraId="76C4840B" w14:textId="090355D1" w:rsidR="00D82062" w:rsidRPr="00945782" w:rsidRDefault="00D82062" w:rsidP="000B5DF9">
      <w:pPr>
        <w:pStyle w:val="Figuretitle"/>
        <w:spacing w:before="240" w:after="0"/>
        <w:rPr>
          <w:lang w:val="ru-RU"/>
        </w:rPr>
      </w:pPr>
      <w:r w:rsidRPr="00945782">
        <w:rPr>
          <w:lang w:val="ru-RU"/>
        </w:rPr>
        <w:lastRenderedPageBreak/>
        <w:t>Доля лиц, пользующихся интернетом, по регионам и</w:t>
      </w:r>
      <w:r w:rsidR="000B5DF9" w:rsidRPr="00945782">
        <w:rPr>
          <w:lang w:val="ru-RU"/>
        </w:rPr>
        <w:t xml:space="preserve"> </w:t>
      </w:r>
      <w:r w:rsidRPr="00945782">
        <w:rPr>
          <w:lang w:val="ru-RU"/>
        </w:rPr>
        <w:t xml:space="preserve">отдельным группам стран (%), </w:t>
      </w:r>
      <w:r w:rsidR="000B5DF9" w:rsidRPr="00945782">
        <w:rPr>
          <w:lang w:val="ru-RU"/>
        </w:rPr>
        <w:br/>
      </w:r>
      <w:r w:rsidRPr="00945782">
        <w:rPr>
          <w:lang w:val="ru-RU"/>
        </w:rPr>
        <w:t>2022 и 2025 годы</w:t>
      </w:r>
    </w:p>
    <w:p w14:paraId="6C0A81C5" w14:textId="77777777" w:rsidR="00D82062" w:rsidRPr="00945782" w:rsidRDefault="00D82062" w:rsidP="000B5DF9">
      <w:pPr>
        <w:pStyle w:val="Figure"/>
        <w:spacing w:before="120" w:after="0"/>
        <w:rPr>
          <w:lang w:val="ru-RU"/>
        </w:rPr>
      </w:pPr>
      <w:r w:rsidRPr="00945782">
        <w:rPr>
          <w:noProof/>
          <w:lang w:val="ru-RU"/>
        </w:rPr>
        <w:drawing>
          <wp:inline distT="0" distB="0" distL="0" distR="0" wp14:anchorId="5623B3D6" wp14:editId="42CF53D7">
            <wp:extent cx="5534025" cy="3409950"/>
            <wp:effectExtent l="0" t="0" r="0" b="0"/>
            <wp:docPr id="2093006635" name="Chart 1">
              <a:extLst xmlns:a="http://schemas.openxmlformats.org/drawingml/2006/main">
                <a:ext uri="{FF2B5EF4-FFF2-40B4-BE49-F238E27FC236}">
                  <a16:creationId xmlns:a16="http://schemas.microsoft.com/office/drawing/2014/main" id="{3377172D-29CD-4AD8-B908-2C2388D60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A21526F" w14:textId="41C50BE7" w:rsidR="00D82062" w:rsidRPr="00945782" w:rsidRDefault="00D82062" w:rsidP="00122EA1">
      <w:pPr>
        <w:pStyle w:val="Figure"/>
        <w:spacing w:before="0" w:after="0"/>
        <w:rPr>
          <w:rFonts w:asciiTheme="minorHAnsi" w:hAnsiTheme="minorHAnsi" w:cstheme="minorHAnsi"/>
          <w:i/>
          <w:iCs/>
          <w:sz w:val="18"/>
          <w:szCs w:val="18"/>
          <w:lang w:val="ru-RU"/>
        </w:rPr>
      </w:pPr>
      <w:bookmarkStart w:id="48" w:name="Fig10"/>
      <w:r w:rsidRPr="00945782">
        <w:rPr>
          <w:rFonts w:asciiTheme="minorHAnsi" w:hAnsiTheme="minorHAnsi" w:cstheme="minorHAnsi"/>
          <w:i/>
          <w:iCs/>
          <w:color w:val="1F497D" w:themeColor="text2"/>
          <w:sz w:val="18"/>
          <w:szCs w:val="18"/>
          <w:lang w:val="ru-RU"/>
        </w:rPr>
        <w:t>Рис</w:t>
      </w:r>
      <w:r w:rsidR="000B5DF9" w:rsidRPr="00945782">
        <w:rPr>
          <w:rFonts w:asciiTheme="minorHAnsi" w:hAnsiTheme="minorHAnsi" w:cstheme="minorHAnsi"/>
          <w:i/>
          <w:iCs/>
          <w:color w:val="1F497D" w:themeColor="text2"/>
          <w:sz w:val="18"/>
          <w:szCs w:val="18"/>
          <w:lang w:val="ru-RU"/>
        </w:rPr>
        <w:t>унок</w:t>
      </w:r>
      <w:r w:rsidRPr="00945782">
        <w:rPr>
          <w:rFonts w:asciiTheme="minorHAnsi" w:hAnsiTheme="minorHAnsi" w:cstheme="minorHAnsi"/>
          <w:i/>
          <w:iCs/>
          <w:color w:val="1F497D" w:themeColor="text2"/>
          <w:sz w:val="18"/>
          <w:szCs w:val="18"/>
          <w:lang w:val="ru-RU"/>
        </w:rPr>
        <w:t xml:space="preserve"> 10</w:t>
      </w:r>
      <w:r w:rsidR="000B5DF9"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Доля лиц, пользующихся интернетом, по регионам и отдельным группам стран, 2022 и 2025 годы. "Факты и цифры МСЭ, 2025 год", стр. 3 (англ. версия).</w:t>
      </w:r>
      <w:r w:rsidRPr="00945782">
        <w:rPr>
          <w:rFonts w:asciiTheme="minorHAnsi" w:hAnsiTheme="minorHAnsi" w:cstheme="minorHAnsi"/>
          <w:i/>
          <w:iCs/>
          <w:sz w:val="18"/>
          <w:szCs w:val="18"/>
          <w:lang w:val="ru-RU"/>
        </w:rPr>
        <w:t xml:space="preserve"> </w:t>
      </w:r>
      <w:bookmarkEnd w:id="48"/>
      <w:r w:rsidRPr="00945782">
        <w:rPr>
          <w:sz w:val="18"/>
          <w:szCs w:val="18"/>
          <w:lang w:val="ru-RU"/>
        </w:rPr>
        <w:fldChar w:fldCharType="begin"/>
      </w:r>
      <w:r w:rsidRPr="00945782">
        <w:rPr>
          <w:sz w:val="18"/>
          <w:szCs w:val="18"/>
          <w:lang w:val="ru-RU"/>
        </w:rPr>
        <w:instrText>HYPERLINK "https://www.itu.int/itu-d/reports/statistics/2025/10/15/ff25-internet-use/" \l "chart-2"</w:instrText>
      </w:r>
      <w:r w:rsidRPr="00945782">
        <w:rPr>
          <w:sz w:val="18"/>
          <w:szCs w:val="18"/>
          <w:lang w:val="ru-RU"/>
        </w:rPr>
      </w:r>
      <w:r w:rsidRPr="00945782">
        <w:rPr>
          <w:sz w:val="18"/>
          <w:szCs w:val="18"/>
          <w:lang w:val="ru-RU"/>
        </w:rPr>
        <w:fldChar w:fldCharType="separate"/>
      </w:r>
      <w:r w:rsidRPr="00945782">
        <w:rPr>
          <w:rStyle w:val="Hyperlink"/>
          <w:rFonts w:asciiTheme="minorHAnsi" w:hAnsiTheme="minorHAnsi" w:cstheme="minorHAnsi"/>
          <w:i/>
          <w:iCs/>
          <w:sz w:val="18"/>
          <w:szCs w:val="18"/>
          <w:lang w:val="ru-RU"/>
        </w:rPr>
        <w:t>Интерактивная диаграмма</w:t>
      </w:r>
      <w:r w:rsidRPr="00945782">
        <w:rPr>
          <w:sz w:val="18"/>
          <w:szCs w:val="18"/>
          <w:lang w:val="ru-RU"/>
        </w:rPr>
        <w:fldChar w:fldCharType="end"/>
      </w:r>
      <w:r w:rsidRPr="00945782">
        <w:rPr>
          <w:rFonts w:asciiTheme="minorHAnsi" w:hAnsiTheme="minorHAnsi" w:cstheme="minorHAnsi"/>
          <w:i/>
          <w:iCs/>
          <w:sz w:val="18"/>
          <w:szCs w:val="18"/>
          <w:lang w:val="ru-RU"/>
        </w:rPr>
        <w:t>.</w:t>
      </w:r>
    </w:p>
    <w:p w14:paraId="1B644D82" w14:textId="5AFD6A18" w:rsidR="00D82062" w:rsidRPr="00945782" w:rsidRDefault="00D82062" w:rsidP="000B5DF9">
      <w:pPr>
        <w:pStyle w:val="Heading3"/>
        <w:rPr>
          <w:lang w:val="ru-RU"/>
        </w:rPr>
      </w:pPr>
      <w:bookmarkStart w:id="49" w:name="_3.2.2_Устойчивая_цифровая"/>
      <w:bookmarkStart w:id="50" w:name="_Toc227062853"/>
      <w:bookmarkStart w:id="51" w:name="_Toc227850241"/>
      <w:bookmarkEnd w:id="49"/>
      <w:r w:rsidRPr="00945782">
        <w:rPr>
          <w:lang w:val="ru-RU"/>
        </w:rPr>
        <w:t>3.2.2</w:t>
      </w:r>
      <w:r w:rsidR="000B5DF9" w:rsidRPr="00945782">
        <w:rPr>
          <w:lang w:val="ru-RU"/>
        </w:rPr>
        <w:tab/>
      </w:r>
      <w:r w:rsidRPr="00945782">
        <w:rPr>
          <w:lang w:val="ru-RU"/>
        </w:rPr>
        <w:t>Устойчивая цифровая трансформация</w:t>
      </w:r>
      <w:bookmarkEnd w:id="50"/>
      <w:bookmarkEnd w:id="51"/>
    </w:p>
    <w:p w14:paraId="71FE3E41" w14:textId="77777777" w:rsidR="00D82062" w:rsidRPr="00945782" w:rsidRDefault="00D82062" w:rsidP="000B5DF9">
      <w:pPr>
        <w:rPr>
          <w:lang w:val="ru-RU"/>
        </w:rPr>
      </w:pPr>
      <w:r w:rsidRPr="00945782">
        <w:rPr>
          <w:lang w:val="ru-RU"/>
        </w:rPr>
        <w:t>В данном подразделе рассматриваются ключевые аспекты устойчивой цифровой трансформации, включая разрывы в области охвата цифровыми технологиями, цифровые навыки, пользование цифровыми услугами, готовность в области кибербезопасности и экологическую устойчивость.</w:t>
      </w:r>
    </w:p>
    <w:p w14:paraId="41A72F23" w14:textId="77777777" w:rsidR="00D82062" w:rsidRPr="00945782" w:rsidRDefault="00D82062" w:rsidP="000B5DF9">
      <w:pPr>
        <w:pStyle w:val="Headingb"/>
        <w:rPr>
          <w:lang w:val="ru-RU"/>
        </w:rPr>
      </w:pPr>
      <w:r w:rsidRPr="00945782">
        <w:rPr>
          <w:lang w:val="ru-RU"/>
        </w:rPr>
        <w:t>Целевой показатель 2.1: Сокращение всех цифровых разрывов (в частности, по признаку пола, возрасту, между городскими и сельскими районами)</w:t>
      </w:r>
    </w:p>
    <w:p w14:paraId="45C81E5E" w14:textId="77777777" w:rsidR="00D82062" w:rsidRPr="00945782" w:rsidRDefault="00D82062" w:rsidP="000B5DF9">
      <w:pPr>
        <w:rPr>
          <w:lang w:val="ru-RU"/>
        </w:rPr>
      </w:pPr>
      <w:r w:rsidRPr="00945782">
        <w:rPr>
          <w:lang w:val="ru-RU"/>
        </w:rPr>
        <w:t>По данному целевому показателю наблюдается неравномерный прогресс в зависимости от разреза данных, таких как пол, возраст и место проживания (город/село). Это указывает на то, что расширение доступа к цифровым технологиям происходит неравномерно, что подчеркивает необходимость целенаправленных стратегий для устранения конкретных разрывов.</w:t>
      </w:r>
    </w:p>
    <w:p w14:paraId="2941CF05" w14:textId="77777777" w:rsidR="00D82062" w:rsidRPr="00945782" w:rsidRDefault="00D82062" w:rsidP="000B5DF9">
      <w:pPr>
        <w:rPr>
          <w:b/>
          <w:bCs/>
          <w:lang w:val="ru-RU"/>
        </w:rPr>
      </w:pPr>
      <w:r w:rsidRPr="00945782">
        <w:rPr>
          <w:b/>
          <w:bCs/>
          <w:lang w:val="ru-RU"/>
        </w:rPr>
        <w:br w:type="page"/>
      </w:r>
    </w:p>
    <w:p w14:paraId="5CAFC89C" w14:textId="77777777" w:rsidR="00D82062" w:rsidRPr="00945782" w:rsidRDefault="00D82062" w:rsidP="00122EA1">
      <w:pPr>
        <w:pStyle w:val="Figuretitle"/>
        <w:spacing w:before="240" w:after="240"/>
        <w:rPr>
          <w:lang w:val="ru-RU"/>
        </w:rPr>
      </w:pPr>
      <w:r w:rsidRPr="00945782">
        <w:rPr>
          <w:lang w:val="ru-RU"/>
        </w:rPr>
        <w:lastRenderedPageBreak/>
        <w:t>Доля женщин и мужчин, пользующихся интернетом (%), 2025 год</w:t>
      </w:r>
    </w:p>
    <w:p w14:paraId="5EAFE1AF" w14:textId="77777777" w:rsidR="00D82062" w:rsidRPr="00945782" w:rsidRDefault="00D82062" w:rsidP="00122EA1">
      <w:pPr>
        <w:pStyle w:val="Figure"/>
        <w:spacing w:before="120" w:after="0"/>
        <w:rPr>
          <w:lang w:val="ru-RU"/>
        </w:rPr>
      </w:pPr>
      <w:r w:rsidRPr="00945782">
        <w:rPr>
          <w:noProof/>
          <w:lang w:val="ru-RU"/>
        </w:rPr>
        <w:drawing>
          <wp:inline distT="0" distB="0" distL="0" distR="0" wp14:anchorId="2E5FF3FF" wp14:editId="4B6A8272">
            <wp:extent cx="5760085" cy="3581400"/>
            <wp:effectExtent l="0" t="0" r="0" b="0"/>
            <wp:docPr id="1998640257" name="Chart 1">
              <a:extLst xmlns:a="http://schemas.openxmlformats.org/drawingml/2006/main">
                <a:ext uri="{FF2B5EF4-FFF2-40B4-BE49-F238E27FC236}">
                  <a16:creationId xmlns:a16="http://schemas.microsoft.com/office/drawing/2014/main" id="{AFB2C454-FCBF-4BB3-AD6F-1826E0593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C71EEB0" w14:textId="6B7E8279" w:rsidR="00D82062" w:rsidRPr="00945782" w:rsidRDefault="00D82062" w:rsidP="00122EA1">
      <w:pPr>
        <w:pStyle w:val="Figure"/>
        <w:spacing w:before="0" w:after="0"/>
        <w:rPr>
          <w:rFonts w:asciiTheme="minorHAnsi" w:hAnsiTheme="minorHAnsi" w:cstheme="minorHAnsi"/>
          <w:i/>
          <w:iCs/>
          <w:sz w:val="18"/>
          <w:szCs w:val="18"/>
          <w:lang w:val="ru-RU"/>
        </w:rPr>
      </w:pPr>
      <w:bookmarkStart w:id="52" w:name="Fig11"/>
      <w:r w:rsidRPr="00945782">
        <w:rPr>
          <w:rFonts w:asciiTheme="minorHAnsi" w:hAnsiTheme="minorHAnsi" w:cstheme="minorHAnsi"/>
          <w:i/>
          <w:iCs/>
          <w:color w:val="1F497D" w:themeColor="text2"/>
          <w:sz w:val="18"/>
          <w:szCs w:val="18"/>
          <w:lang w:val="ru-RU"/>
        </w:rPr>
        <w:t>Рис</w:t>
      </w:r>
      <w:r w:rsidR="000B5DF9" w:rsidRPr="00945782">
        <w:rPr>
          <w:rFonts w:asciiTheme="minorHAnsi" w:hAnsiTheme="minorHAnsi" w:cstheme="minorHAnsi"/>
          <w:i/>
          <w:iCs/>
          <w:color w:val="1F497D" w:themeColor="text2"/>
          <w:sz w:val="18"/>
          <w:szCs w:val="18"/>
          <w:lang w:val="ru-RU"/>
        </w:rPr>
        <w:t>унок</w:t>
      </w:r>
      <w:r w:rsidRPr="00945782">
        <w:rPr>
          <w:rFonts w:asciiTheme="minorHAnsi" w:hAnsiTheme="minorHAnsi" w:cstheme="minorHAnsi"/>
          <w:i/>
          <w:iCs/>
          <w:color w:val="1F497D" w:themeColor="text2"/>
          <w:sz w:val="18"/>
          <w:szCs w:val="18"/>
          <w:lang w:val="ru-RU"/>
        </w:rPr>
        <w:t xml:space="preserve"> 11</w:t>
      </w:r>
      <w:r w:rsidR="000B5DF9"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Доля женщин и мужчин, пользующихся интернетом (%), 2025 год.</w:t>
      </w:r>
      <w:r w:rsidR="000B5DF9"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"Факты и цифры МСЭ, 2025 год", стр. 5 (англ. версия).</w:t>
      </w:r>
      <w:r w:rsidRPr="00945782">
        <w:rPr>
          <w:rFonts w:asciiTheme="minorHAnsi" w:hAnsiTheme="minorHAnsi" w:cstheme="minorHAnsi"/>
          <w:i/>
          <w:iCs/>
          <w:sz w:val="18"/>
          <w:szCs w:val="18"/>
          <w:lang w:val="ru-RU"/>
        </w:rPr>
        <w:t xml:space="preserve"> </w:t>
      </w:r>
      <w:bookmarkEnd w:id="52"/>
      <w:r w:rsidRPr="00945782">
        <w:rPr>
          <w:sz w:val="18"/>
          <w:szCs w:val="18"/>
          <w:lang w:val="ru-RU"/>
        </w:rPr>
        <w:fldChar w:fldCharType="begin"/>
      </w:r>
      <w:r w:rsidRPr="00945782">
        <w:rPr>
          <w:sz w:val="18"/>
          <w:szCs w:val="18"/>
          <w:lang w:val="ru-RU"/>
        </w:rPr>
        <w:instrText>HYPERLINK "https://www.itu.int/itu-d/reports/statistics/2025/10/15/ff25-the-gender-digital-divide/" \l "chart-1"</w:instrText>
      </w:r>
      <w:r w:rsidRPr="00945782">
        <w:rPr>
          <w:sz w:val="18"/>
          <w:szCs w:val="18"/>
          <w:lang w:val="ru-RU"/>
        </w:rPr>
      </w:r>
      <w:r w:rsidRPr="00945782">
        <w:rPr>
          <w:sz w:val="18"/>
          <w:szCs w:val="18"/>
          <w:lang w:val="ru-RU"/>
        </w:rPr>
        <w:fldChar w:fldCharType="separate"/>
      </w:r>
      <w:r w:rsidRPr="00945782">
        <w:rPr>
          <w:rStyle w:val="Hyperlink"/>
          <w:rFonts w:asciiTheme="minorHAnsi" w:hAnsiTheme="minorHAnsi" w:cstheme="minorHAnsi"/>
          <w:i/>
          <w:iCs/>
          <w:sz w:val="18"/>
          <w:szCs w:val="18"/>
          <w:lang w:val="ru-RU"/>
        </w:rPr>
        <w:t>Интерактивная диаграмма</w:t>
      </w:r>
      <w:r w:rsidRPr="00945782">
        <w:rPr>
          <w:sz w:val="18"/>
          <w:szCs w:val="18"/>
          <w:lang w:val="ru-RU"/>
        </w:rPr>
        <w:fldChar w:fldCharType="end"/>
      </w:r>
      <w:r w:rsidRPr="00945782">
        <w:rPr>
          <w:rFonts w:asciiTheme="minorHAnsi" w:hAnsiTheme="minorHAnsi" w:cstheme="minorHAnsi"/>
          <w:i/>
          <w:iCs/>
          <w:sz w:val="18"/>
          <w:szCs w:val="18"/>
          <w:lang w:val="ru-RU"/>
        </w:rPr>
        <w:t>.</w:t>
      </w:r>
    </w:p>
    <w:p w14:paraId="59DE8FEE" w14:textId="3E2B20B3" w:rsidR="00D82062" w:rsidRPr="00945782" w:rsidRDefault="00D82062" w:rsidP="000B5DF9">
      <w:pPr>
        <w:spacing w:before="240"/>
        <w:rPr>
          <w:lang w:val="ru-RU"/>
        </w:rPr>
      </w:pPr>
      <w:r w:rsidRPr="00945782">
        <w:rPr>
          <w:lang w:val="ru-RU"/>
        </w:rPr>
        <w:t xml:space="preserve">В целом по миру интернетом пользовались 77% мужчин и 71% женщин (см. </w:t>
      </w:r>
      <w:hyperlink w:anchor="Fig11" w:history="1">
        <w:r w:rsidR="000B5DF9" w:rsidRPr="00945782">
          <w:rPr>
            <w:rStyle w:val="Hyperlink"/>
            <w:rFonts w:asciiTheme="minorHAnsi" w:hAnsiTheme="minorHAnsi" w:cstheme="minorHAnsi"/>
            <w:szCs w:val="22"/>
            <w:lang w:val="ru-RU"/>
          </w:rPr>
          <w:t>Рисунок 11</w:t>
        </w:r>
      </w:hyperlink>
      <w:r w:rsidRPr="00945782">
        <w:rPr>
          <w:lang w:val="ru-RU"/>
        </w:rPr>
        <w:t>). Уровень проникновения интернета среди женщин и мужчин увеличился на 10% в период 2022</w:t>
      </w:r>
      <w:r w:rsidR="000B5DF9" w:rsidRPr="00945782">
        <w:rPr>
          <w:lang w:val="ru-RU"/>
        </w:rPr>
        <w:t>−</w:t>
      </w:r>
      <w:r w:rsidRPr="00945782">
        <w:rPr>
          <w:lang w:val="ru-RU"/>
        </w:rPr>
        <w:t>2025</w:t>
      </w:r>
      <w:r w:rsidR="000B5DF9" w:rsidRPr="00945782">
        <w:rPr>
          <w:lang w:val="ru-RU"/>
        </w:rPr>
        <w:t> </w:t>
      </w:r>
      <w:r w:rsidRPr="00945782">
        <w:rPr>
          <w:lang w:val="ru-RU"/>
        </w:rPr>
        <w:t>годов, однако в 2025 году число мужчин, пользующихся интернетом, по-прежнему превышало число женщин примерно на 280 млн.</w:t>
      </w:r>
    </w:p>
    <w:p w14:paraId="4A448DEE" w14:textId="77777777" w:rsidR="00D82062" w:rsidRPr="00945782" w:rsidRDefault="00D82062" w:rsidP="000B5DF9">
      <w:pPr>
        <w:rPr>
          <w:lang w:val="ru-RU"/>
        </w:rPr>
      </w:pPr>
      <w:r w:rsidRPr="00945782">
        <w:rPr>
          <w:lang w:val="ru-RU"/>
        </w:rPr>
        <w:t>Считается, что гендерный паритет достигнут, если показатель гендерного паритета, рассчитываемый как процентное соотношение женщин к процентному соотношению мужчин, находится в диапазоне от 0,98 до 1,02. Как и в случае общего уровня использования интернета, гендерный паритет тесно связан с уровнем развития. В период 2022–2025 годов глобальный показатель гендерного паритета оставался на уровне 0,92, что свидетельствует об отсутствии прогресса в достижении глобального гендерного паритета.</w:t>
      </w:r>
    </w:p>
    <w:p w14:paraId="4305AF97" w14:textId="77777777" w:rsidR="00D82062" w:rsidRPr="00945782" w:rsidRDefault="00D82062" w:rsidP="000B5DF9">
      <w:pPr>
        <w:rPr>
          <w:lang w:val="ru-RU"/>
        </w:rPr>
      </w:pPr>
      <w:r w:rsidRPr="00945782">
        <w:rPr>
          <w:lang w:val="ru-RU"/>
        </w:rPr>
        <w:t>Среди регионов МСЭ гендерный паритет достигнут в Европе, а также в Северной и Южной Америке и регионе СНГ. В группе малых островных развивающихся государств (СИДС) показатель гендерного паритета в период 2022–2025 годов оставался на уровне 1 или даже превышал его, что свидетельствует о достижении гендерного паритета. Кроме того, СИДС являются примечательным и похвальным исключением из традиционного соотношения показателей гендерного паритета и использования интернета в целом, поскольку в этих странах гендерный паритет был достигнут невзирая на то, что интернетом пользуются лишь две трети населения.</w:t>
      </w:r>
    </w:p>
    <w:p w14:paraId="4C2DFC50" w14:textId="77777777" w:rsidR="00D82062" w:rsidRPr="00945782" w:rsidRDefault="00D82062" w:rsidP="000B5DF9">
      <w:pPr>
        <w:rPr>
          <w:b/>
          <w:bCs/>
          <w:lang w:val="ru-RU"/>
        </w:rPr>
      </w:pPr>
      <w:r w:rsidRPr="00945782">
        <w:rPr>
          <w:b/>
          <w:bCs/>
          <w:lang w:val="ru-RU"/>
        </w:rPr>
        <w:br w:type="page"/>
      </w:r>
    </w:p>
    <w:p w14:paraId="1B355558" w14:textId="77777777" w:rsidR="00D82062" w:rsidRPr="00945782" w:rsidRDefault="00D82062" w:rsidP="00122EA1">
      <w:pPr>
        <w:pStyle w:val="Figuretitle"/>
        <w:spacing w:before="240" w:after="240"/>
        <w:rPr>
          <w:lang w:val="ru-RU"/>
        </w:rPr>
      </w:pPr>
      <w:r w:rsidRPr="00945782">
        <w:rPr>
          <w:lang w:val="ru-RU"/>
        </w:rPr>
        <w:lastRenderedPageBreak/>
        <w:t>Доля лиц, пользующихся интернетом, по возрастным группам (%), 2025 год</w:t>
      </w:r>
    </w:p>
    <w:p w14:paraId="6817C0FF" w14:textId="77777777" w:rsidR="00D82062" w:rsidRPr="00945782" w:rsidRDefault="00D82062" w:rsidP="00122EA1">
      <w:pPr>
        <w:pStyle w:val="Figure"/>
        <w:spacing w:before="120" w:after="0"/>
        <w:rPr>
          <w:lang w:val="ru-RU"/>
        </w:rPr>
      </w:pPr>
      <w:r w:rsidRPr="00945782">
        <w:rPr>
          <w:noProof/>
          <w:lang w:val="ru-RU"/>
        </w:rPr>
        <w:drawing>
          <wp:inline distT="0" distB="0" distL="0" distR="0" wp14:anchorId="1C1C6844" wp14:editId="4F08C352">
            <wp:extent cx="5760085" cy="3543300"/>
            <wp:effectExtent l="0" t="0" r="0" b="0"/>
            <wp:docPr id="1801432745" name="Chart 1">
              <a:extLst xmlns:a="http://schemas.openxmlformats.org/drawingml/2006/main">
                <a:ext uri="{FF2B5EF4-FFF2-40B4-BE49-F238E27FC236}">
                  <a16:creationId xmlns:a16="http://schemas.microsoft.com/office/drawing/2014/main" id="{4C66BB9D-AEFE-4DE0-B392-33CADC05F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253E108" w14:textId="559024C1" w:rsidR="00D82062" w:rsidRPr="00945782" w:rsidRDefault="00D82062" w:rsidP="00122EA1">
      <w:pPr>
        <w:pStyle w:val="Figure"/>
        <w:spacing w:before="0" w:after="0"/>
        <w:rPr>
          <w:rFonts w:asciiTheme="minorHAnsi" w:hAnsiTheme="minorHAnsi" w:cstheme="minorHAnsi"/>
          <w:i/>
          <w:iCs/>
          <w:sz w:val="18"/>
          <w:szCs w:val="18"/>
          <w:lang w:val="ru-RU"/>
        </w:rPr>
      </w:pPr>
      <w:bookmarkStart w:id="53" w:name="Fig12"/>
      <w:r w:rsidRPr="00945782">
        <w:rPr>
          <w:rFonts w:asciiTheme="minorHAnsi" w:hAnsiTheme="minorHAnsi" w:cstheme="minorHAnsi"/>
          <w:i/>
          <w:iCs/>
          <w:color w:val="1F497D" w:themeColor="text2"/>
          <w:sz w:val="18"/>
          <w:szCs w:val="18"/>
          <w:lang w:val="ru-RU"/>
        </w:rPr>
        <w:t>Рис</w:t>
      </w:r>
      <w:r w:rsidR="00122EA1" w:rsidRPr="00945782">
        <w:rPr>
          <w:rFonts w:asciiTheme="minorHAnsi" w:hAnsiTheme="minorHAnsi" w:cstheme="minorHAnsi"/>
          <w:i/>
          <w:iCs/>
          <w:color w:val="1F497D" w:themeColor="text2"/>
          <w:sz w:val="18"/>
          <w:szCs w:val="18"/>
          <w:lang w:val="ru-RU"/>
        </w:rPr>
        <w:t>унок</w:t>
      </w:r>
      <w:r w:rsidRPr="00945782">
        <w:rPr>
          <w:rFonts w:asciiTheme="minorHAnsi" w:hAnsiTheme="minorHAnsi" w:cstheme="minorHAnsi"/>
          <w:i/>
          <w:iCs/>
          <w:color w:val="1F497D" w:themeColor="text2"/>
          <w:sz w:val="18"/>
          <w:szCs w:val="18"/>
          <w:lang w:val="ru-RU"/>
        </w:rPr>
        <w:t xml:space="preserve"> 12</w:t>
      </w:r>
      <w:r w:rsidR="00122EA1"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Доля лиц, пользующихся интернетом, по возрастным группам (%), 2025 год. "Факты и цифры МСЭ, 2025 год", стр. 6 (англ. версия).</w:t>
      </w:r>
      <w:r w:rsidRPr="00945782">
        <w:rPr>
          <w:rFonts w:asciiTheme="minorHAnsi" w:hAnsiTheme="minorHAnsi" w:cstheme="minorHAnsi"/>
          <w:i/>
          <w:iCs/>
          <w:sz w:val="18"/>
          <w:szCs w:val="18"/>
          <w:lang w:val="ru-RU"/>
        </w:rPr>
        <w:t xml:space="preserve"> </w:t>
      </w:r>
      <w:bookmarkEnd w:id="53"/>
      <w:r w:rsidRPr="00945782">
        <w:rPr>
          <w:rFonts w:asciiTheme="minorHAnsi" w:hAnsiTheme="minorHAnsi" w:cstheme="minorHAnsi"/>
          <w:i/>
          <w:iCs/>
          <w:color w:val="808080" w:themeColor="background1" w:themeShade="80"/>
          <w:sz w:val="18"/>
          <w:szCs w:val="18"/>
          <w:lang w:val="ru-RU"/>
        </w:rPr>
        <w:t>Под "молодежью" понимаются лица в возрасте</w:t>
      </w:r>
      <w:r w:rsidR="00122EA1" w:rsidRPr="00945782">
        <w:rPr>
          <w:rFonts w:asciiTheme="minorHAnsi" w:hAnsiTheme="minorHAnsi" w:cstheme="minorHAnsi"/>
          <w:i/>
          <w:iCs/>
          <w:color w:val="808080" w:themeColor="background1" w:themeShade="80"/>
          <w:sz w:val="18"/>
          <w:szCs w:val="18"/>
          <w:lang w:val="ru-RU"/>
        </w:rPr>
        <w:t xml:space="preserve"> </w:t>
      </w:r>
      <w:r w:rsidRPr="00945782">
        <w:rPr>
          <w:rFonts w:asciiTheme="minorHAnsi" w:hAnsiTheme="minorHAnsi" w:cstheme="minorHAnsi"/>
          <w:i/>
          <w:iCs/>
          <w:color w:val="808080" w:themeColor="background1" w:themeShade="80"/>
          <w:sz w:val="18"/>
          <w:szCs w:val="18"/>
          <w:lang w:val="ru-RU"/>
        </w:rPr>
        <w:t>от 15 до 24 лет.</w:t>
      </w:r>
      <w:r w:rsidRPr="00945782">
        <w:rPr>
          <w:rFonts w:asciiTheme="minorHAnsi" w:hAnsiTheme="minorHAnsi" w:cstheme="minorHAnsi"/>
          <w:i/>
          <w:iCs/>
          <w:sz w:val="18"/>
          <w:szCs w:val="18"/>
          <w:lang w:val="ru-RU"/>
        </w:rPr>
        <w:t xml:space="preserve"> </w:t>
      </w:r>
      <w:r w:rsidR="00310902" w:rsidRPr="00945782">
        <w:rPr>
          <w:rFonts w:asciiTheme="minorHAnsi" w:hAnsiTheme="minorHAnsi" w:cstheme="minorHAnsi"/>
          <w:i/>
          <w:iCs/>
          <w:sz w:val="18"/>
          <w:szCs w:val="18"/>
          <w:lang w:val="ru-RU"/>
        </w:rPr>
        <w:br/>
      </w:r>
      <w:hyperlink r:id="rId103" w:anchor="chart-1" w:history="1">
        <w:r w:rsidRPr="00945782">
          <w:rPr>
            <w:rStyle w:val="Hyperlink"/>
            <w:rFonts w:asciiTheme="minorHAnsi" w:hAnsiTheme="minorHAnsi" w:cstheme="minorHAnsi"/>
            <w:i/>
            <w:iCs/>
            <w:sz w:val="18"/>
            <w:szCs w:val="18"/>
            <w:lang w:val="ru-RU"/>
          </w:rPr>
          <w:t>Интерактивная диаграмма</w:t>
        </w:r>
      </w:hyperlink>
      <w:r w:rsidRPr="00945782">
        <w:rPr>
          <w:rFonts w:asciiTheme="minorHAnsi" w:hAnsiTheme="minorHAnsi" w:cstheme="minorHAnsi"/>
          <w:i/>
          <w:iCs/>
          <w:sz w:val="18"/>
          <w:szCs w:val="18"/>
          <w:lang w:val="ru-RU"/>
        </w:rPr>
        <w:t>.</w:t>
      </w:r>
    </w:p>
    <w:p w14:paraId="16ECED6A" w14:textId="6B0698F9" w:rsidR="00D82062" w:rsidRPr="00945782" w:rsidRDefault="00D82062" w:rsidP="00122EA1">
      <w:pPr>
        <w:spacing w:before="240"/>
        <w:rPr>
          <w:lang w:val="ru-RU"/>
        </w:rPr>
      </w:pPr>
      <w:r w:rsidRPr="00945782">
        <w:rPr>
          <w:lang w:val="ru-RU"/>
        </w:rPr>
        <w:t xml:space="preserve">Если говорить об использовании интернета в разбивке по возрасту, то в целом по миру интернетом пользуются 82% лиц в возрасте от 15 до 24 лет, что на десять процентных пунктов выше, чем среди остальной части населения (72%) (см. </w:t>
      </w:r>
      <w:hyperlink w:anchor="Fig12" w:history="1">
        <w:r w:rsidR="00122EA1" w:rsidRPr="00945782">
          <w:rPr>
            <w:rStyle w:val="Hyperlink"/>
            <w:rFonts w:asciiTheme="minorHAnsi" w:hAnsiTheme="minorHAnsi" w:cstheme="minorHAnsi"/>
            <w:szCs w:val="22"/>
            <w:lang w:val="ru-RU"/>
          </w:rPr>
          <w:t>Рисунок 12</w:t>
        </w:r>
      </w:hyperlink>
      <w:r w:rsidRPr="00945782">
        <w:rPr>
          <w:lang w:val="ru-RU"/>
        </w:rPr>
        <w:t>). Этот поколенческий разрыв, наблюдаемый во всех регионах мира, в последние четыре года постепенно сокращается. В данной возрастной группе "универсальность" охвата (то есть уровень проникновения не менее 95%) уже достигнута в Европе, регионе СНГ и регионе Северной и Южной Америки.</w:t>
      </w:r>
    </w:p>
    <w:p w14:paraId="1A5CB894" w14:textId="40B2EFB3" w:rsidR="00D82062" w:rsidRPr="00945782" w:rsidRDefault="00D82062" w:rsidP="00122EA1">
      <w:pPr>
        <w:rPr>
          <w:lang w:val="ru-RU"/>
        </w:rPr>
      </w:pPr>
      <w:r w:rsidRPr="00945782">
        <w:rPr>
          <w:lang w:val="ru-RU"/>
        </w:rPr>
        <w:t>В относительном выражении в странах с низким уровнем доходов среди лиц в возрасте 15</w:t>
      </w:r>
      <w:r w:rsidR="00122EA1" w:rsidRPr="00945782">
        <w:rPr>
          <w:lang w:val="ru-RU"/>
        </w:rPr>
        <w:t>−</w:t>
      </w:r>
      <w:r w:rsidRPr="00945782">
        <w:rPr>
          <w:lang w:val="ru-RU"/>
        </w:rPr>
        <w:t>24 лет число пользователей интернета в 1,9 раза выше, чем среди остальной части населения. Это самый большой поколенческий разрыв из всех групп стран по уровню доходов, тогда как в странах с высоким уровнем доходов среди лиц в возрасте 15–24 лет лишь на 5% больше пользователей интернета, чем среди остальной части населения.</w:t>
      </w:r>
    </w:p>
    <w:p w14:paraId="7221BAAA" w14:textId="77777777" w:rsidR="00D82062" w:rsidRPr="00945782" w:rsidRDefault="00D82062" w:rsidP="00122EA1">
      <w:pPr>
        <w:rPr>
          <w:b/>
          <w:bCs/>
          <w:lang w:val="ru-RU"/>
        </w:rPr>
      </w:pPr>
      <w:r w:rsidRPr="00945782">
        <w:rPr>
          <w:b/>
          <w:bCs/>
          <w:lang w:val="ru-RU"/>
        </w:rPr>
        <w:br w:type="page"/>
      </w:r>
    </w:p>
    <w:p w14:paraId="1302EEBE" w14:textId="77777777" w:rsidR="00D82062" w:rsidRPr="00945782" w:rsidRDefault="00D82062" w:rsidP="00122EA1">
      <w:pPr>
        <w:pStyle w:val="Figuretitle"/>
        <w:spacing w:before="240" w:after="240"/>
        <w:rPr>
          <w:lang w:val="ru-RU"/>
        </w:rPr>
      </w:pPr>
      <w:r w:rsidRPr="00945782">
        <w:rPr>
          <w:lang w:val="ru-RU"/>
        </w:rPr>
        <w:lastRenderedPageBreak/>
        <w:t>Доля лиц, пользующихся интернетом, в городских и сельских районах (%), 2025 год</w:t>
      </w:r>
    </w:p>
    <w:p w14:paraId="728DA08C" w14:textId="77777777" w:rsidR="00D82062" w:rsidRPr="00945782" w:rsidRDefault="00D82062" w:rsidP="00122EA1">
      <w:pPr>
        <w:pStyle w:val="Figure"/>
        <w:spacing w:before="120" w:after="0"/>
        <w:rPr>
          <w:lang w:val="ru-RU"/>
        </w:rPr>
      </w:pPr>
      <w:r w:rsidRPr="00945782">
        <w:rPr>
          <w:noProof/>
          <w:lang w:val="ru-RU"/>
        </w:rPr>
        <w:drawing>
          <wp:inline distT="0" distB="0" distL="0" distR="0" wp14:anchorId="7B4992C4" wp14:editId="1EB2B46D">
            <wp:extent cx="5760085" cy="3390900"/>
            <wp:effectExtent l="0" t="0" r="0" b="0"/>
            <wp:docPr id="1195134225" name="Chart 1">
              <a:extLst xmlns:a="http://schemas.openxmlformats.org/drawingml/2006/main">
                <a:ext uri="{FF2B5EF4-FFF2-40B4-BE49-F238E27FC236}">
                  <a16:creationId xmlns:a16="http://schemas.microsoft.com/office/drawing/2014/main" id="{B717310D-2A18-45D9-811B-2000F20AD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E551D89" w14:textId="03F60C82" w:rsidR="00D82062" w:rsidRPr="00945782" w:rsidRDefault="00D82062" w:rsidP="00122EA1">
      <w:pPr>
        <w:pStyle w:val="Figure"/>
        <w:spacing w:before="0" w:after="0"/>
        <w:rPr>
          <w:rFonts w:asciiTheme="minorHAnsi" w:hAnsiTheme="minorHAnsi" w:cstheme="minorHAnsi"/>
          <w:i/>
          <w:iCs/>
          <w:sz w:val="18"/>
          <w:szCs w:val="18"/>
          <w:lang w:val="ru-RU"/>
        </w:rPr>
      </w:pPr>
      <w:bookmarkStart w:id="54" w:name="Fig13"/>
      <w:r w:rsidRPr="00945782">
        <w:rPr>
          <w:rFonts w:asciiTheme="minorHAnsi" w:hAnsiTheme="minorHAnsi" w:cstheme="minorHAnsi"/>
          <w:i/>
          <w:iCs/>
          <w:color w:val="1F497D" w:themeColor="text2"/>
          <w:sz w:val="18"/>
          <w:szCs w:val="18"/>
          <w:lang w:val="ru-RU"/>
        </w:rPr>
        <w:t>Рис</w:t>
      </w:r>
      <w:r w:rsidR="00122EA1" w:rsidRPr="00945782">
        <w:rPr>
          <w:rFonts w:asciiTheme="minorHAnsi" w:hAnsiTheme="minorHAnsi" w:cstheme="minorHAnsi"/>
          <w:i/>
          <w:iCs/>
          <w:color w:val="1F497D" w:themeColor="text2"/>
          <w:sz w:val="18"/>
          <w:szCs w:val="18"/>
          <w:lang w:val="ru-RU"/>
        </w:rPr>
        <w:t>унок</w:t>
      </w:r>
      <w:r w:rsidRPr="00945782">
        <w:rPr>
          <w:rFonts w:asciiTheme="minorHAnsi" w:hAnsiTheme="minorHAnsi" w:cstheme="minorHAnsi"/>
          <w:i/>
          <w:iCs/>
          <w:color w:val="1F497D" w:themeColor="text2"/>
          <w:sz w:val="18"/>
          <w:szCs w:val="18"/>
          <w:lang w:val="ru-RU"/>
        </w:rPr>
        <w:t xml:space="preserve"> 13</w:t>
      </w:r>
      <w:r w:rsidR="00122EA1"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Доля лиц, пользующихся интернетом, в городских и сельских районах, 2025 год. "Факты и цифры МСЭ, 2025 год", стр. 7 (англ. версия).</w:t>
      </w:r>
      <w:r w:rsidRPr="00945782">
        <w:rPr>
          <w:rFonts w:asciiTheme="minorHAnsi" w:hAnsiTheme="minorHAnsi" w:cstheme="minorHAnsi"/>
          <w:i/>
          <w:iCs/>
          <w:sz w:val="18"/>
          <w:szCs w:val="18"/>
          <w:lang w:val="ru-RU"/>
        </w:rPr>
        <w:t xml:space="preserve"> </w:t>
      </w:r>
      <w:bookmarkEnd w:id="54"/>
      <w:r w:rsidRPr="00945782">
        <w:rPr>
          <w:sz w:val="18"/>
          <w:szCs w:val="18"/>
          <w:lang w:val="ru-RU"/>
        </w:rPr>
        <w:fldChar w:fldCharType="begin"/>
      </w:r>
      <w:r w:rsidRPr="00945782">
        <w:rPr>
          <w:sz w:val="18"/>
          <w:szCs w:val="18"/>
          <w:lang w:val="ru-RU"/>
        </w:rPr>
        <w:instrText>HYPERLINK "https://www.itu.int/itu-d/reports/statistics/2025/10/15/ff25-internet-use-in-urban-and-rural-areas/" \l "chart-1"</w:instrText>
      </w:r>
      <w:r w:rsidRPr="00945782">
        <w:rPr>
          <w:sz w:val="18"/>
          <w:szCs w:val="18"/>
          <w:lang w:val="ru-RU"/>
        </w:rPr>
      </w:r>
      <w:r w:rsidRPr="00945782">
        <w:rPr>
          <w:sz w:val="18"/>
          <w:szCs w:val="18"/>
          <w:lang w:val="ru-RU"/>
        </w:rPr>
        <w:fldChar w:fldCharType="separate"/>
      </w:r>
      <w:r w:rsidRPr="00945782">
        <w:rPr>
          <w:rStyle w:val="Hyperlink"/>
          <w:rFonts w:asciiTheme="minorHAnsi" w:hAnsiTheme="minorHAnsi" w:cstheme="minorHAnsi"/>
          <w:i/>
          <w:iCs/>
          <w:sz w:val="18"/>
          <w:szCs w:val="18"/>
          <w:lang w:val="ru-RU"/>
        </w:rPr>
        <w:t>Интерактивная диаграмма</w:t>
      </w:r>
      <w:r w:rsidRPr="00945782">
        <w:rPr>
          <w:sz w:val="18"/>
          <w:szCs w:val="18"/>
          <w:lang w:val="ru-RU"/>
        </w:rPr>
        <w:fldChar w:fldCharType="end"/>
      </w:r>
      <w:r w:rsidRPr="00945782">
        <w:rPr>
          <w:rFonts w:asciiTheme="minorHAnsi" w:hAnsiTheme="minorHAnsi" w:cstheme="minorHAnsi"/>
          <w:i/>
          <w:iCs/>
          <w:sz w:val="18"/>
          <w:szCs w:val="18"/>
          <w:lang w:val="ru-RU"/>
        </w:rPr>
        <w:t>.</w:t>
      </w:r>
    </w:p>
    <w:p w14:paraId="625AE237" w14:textId="77777777" w:rsidR="00D82062" w:rsidRPr="00945782" w:rsidRDefault="00D82062" w:rsidP="00122EA1">
      <w:pPr>
        <w:spacing w:before="240"/>
        <w:rPr>
          <w:lang w:val="ru-RU"/>
        </w:rPr>
      </w:pPr>
      <w:r w:rsidRPr="00945782">
        <w:rPr>
          <w:lang w:val="ru-RU"/>
        </w:rPr>
        <w:t>Сохраняются значительные различия в уровне использования интернета между городскими и сельскими районами. В целом по миру в 2025 году интернетом пользовались 85% городского населения и немногим более половины сельского населения (58%).</w:t>
      </w:r>
    </w:p>
    <w:p w14:paraId="53A542D4" w14:textId="77777777" w:rsidR="00D82062" w:rsidRPr="00945782" w:rsidRDefault="00D82062" w:rsidP="00122EA1">
      <w:pPr>
        <w:rPr>
          <w:lang w:val="ru-RU"/>
        </w:rPr>
      </w:pPr>
      <w:r w:rsidRPr="00945782">
        <w:rPr>
          <w:lang w:val="ru-RU"/>
        </w:rPr>
        <w:t>Разрыв между городскими и сельскими районами, измеряемый как соотношение этих двух показателей, за последние четыре года постепенно сократился с 1,6 до 1,5. Неудивительно, что этот разрыв менее всего заметен в регионах с высоким уровнем проникновения интернета, в том числе в Европе, где соотношение составляет лишь 1,1, в то время как в Африке 2,6. Во всех регионах прогресс в последние четыре года имел скромные масштабы.</w:t>
      </w:r>
    </w:p>
    <w:p w14:paraId="0601999C" w14:textId="11890FCC" w:rsidR="00D82062" w:rsidRPr="00945782" w:rsidRDefault="00D82062" w:rsidP="00122EA1">
      <w:pPr>
        <w:rPr>
          <w:lang w:val="ru-RU"/>
        </w:rPr>
      </w:pPr>
      <w:r w:rsidRPr="00945782">
        <w:rPr>
          <w:lang w:val="ru-RU"/>
        </w:rPr>
        <w:t xml:space="preserve">В странах с высоким уровнем доходов, где интернетом пользуются 94% населения, разрыв между городскими и сельскими районами практически устранен (среднее соотношение – 1,1). В странах с низким уровнем доходов, напротив, этот разрыв остается значительным: в сельских районах интернетом пользуется лишь каждый седьмой житель (14%), что составляет немногим более одной трети доли городского населения, пользующегося интернетом (см. </w:t>
      </w:r>
      <w:hyperlink w:anchor="Fig13" w:history="1">
        <w:r w:rsidR="00122EA1" w:rsidRPr="00945782">
          <w:rPr>
            <w:rStyle w:val="Hyperlink"/>
            <w:rFonts w:asciiTheme="minorHAnsi" w:hAnsiTheme="minorHAnsi" w:cstheme="minorHAnsi"/>
            <w:szCs w:val="22"/>
            <w:lang w:val="ru-RU"/>
          </w:rPr>
          <w:t>Рисунок 13</w:t>
        </w:r>
      </w:hyperlink>
      <w:r w:rsidRPr="00945782">
        <w:rPr>
          <w:lang w:val="ru-RU"/>
        </w:rPr>
        <w:t>).</w:t>
      </w:r>
    </w:p>
    <w:p w14:paraId="066E99F1" w14:textId="77777777" w:rsidR="00D82062" w:rsidRPr="00945782" w:rsidRDefault="00D82062" w:rsidP="00122EA1">
      <w:pPr>
        <w:rPr>
          <w:lang w:val="ru-RU"/>
        </w:rPr>
      </w:pPr>
      <w:r w:rsidRPr="00945782">
        <w:rPr>
          <w:lang w:val="ru-RU"/>
        </w:rPr>
        <w:t>Данный целевой показатель сформулирован весьма широко и частично совпадает с целевым показателем 1.7, касающимся универсального использования интернета, а также с другими целевыми показателями. Ни один отдельный показатель не способен охватить все цифровые разрывы. Этот показатель идентичен уже предложенному в рамках указанного целевого показателя. В связи с этим рекомендуется не использовать данный целевой показатель в Стратегическом плане на 2028–2031 годы и вместо этого объединить отслеживание разрывов в использовании в рамках целевого показателя 1.7, где уже предлагается разбивка по полу, возрасту и месту проживания.</w:t>
      </w:r>
    </w:p>
    <w:p w14:paraId="5C1462BA" w14:textId="77777777" w:rsidR="00D82062" w:rsidRPr="00945782" w:rsidRDefault="00D82062" w:rsidP="00122EA1">
      <w:pPr>
        <w:pStyle w:val="Headingb"/>
        <w:rPr>
          <w:lang w:val="ru-RU"/>
        </w:rPr>
      </w:pPr>
      <w:r w:rsidRPr="00945782">
        <w:rPr>
          <w:lang w:val="ru-RU"/>
        </w:rPr>
        <w:t>Целевой показатель 2.2: Обладание цифровыми навыками большинством физических лиц</w:t>
      </w:r>
    </w:p>
    <w:p w14:paraId="151C71E8" w14:textId="77777777" w:rsidR="00D82062" w:rsidRPr="00945782" w:rsidRDefault="00D82062" w:rsidP="00122EA1">
      <w:pPr>
        <w:rPr>
          <w:lang w:val="ru-RU"/>
        </w:rPr>
      </w:pPr>
      <w:r w:rsidRPr="00945782">
        <w:rPr>
          <w:lang w:val="ru-RU"/>
        </w:rPr>
        <w:t xml:space="preserve">Поскольку самостоятельные заявления физических лиц об уровне их навыков в области ИКТ носят субъективный характер, данный показатель измеряется на основе того, выполнял ли человек в последнее время определенные действия, предполагающие наличие определенного </w:t>
      </w:r>
      <w:r w:rsidRPr="00945782">
        <w:rPr>
          <w:lang w:val="ru-RU"/>
        </w:rPr>
        <w:lastRenderedPageBreak/>
        <w:t>уровня владения соответствующими навыками. Эти навыки в области ИКТ сгруппированы по пяти направлениям: коммуникация и взаимодействие, решение задач, безопасность, создание цифрового контента, грамотность в области информации и данных.</w:t>
      </w:r>
    </w:p>
    <w:p w14:paraId="7F4AA02D" w14:textId="2332F8FF" w:rsidR="00D82062" w:rsidRPr="00945782" w:rsidRDefault="00D82062" w:rsidP="00122EA1">
      <w:pPr>
        <w:rPr>
          <w:lang w:val="ru-RU"/>
        </w:rPr>
      </w:pPr>
      <w:r w:rsidRPr="00945782">
        <w:rPr>
          <w:lang w:val="ru-RU"/>
        </w:rPr>
        <w:t>Несмотря на то, что важность цифровых навыков для использования ИКТ в целях экономического развития и повышения благосостояния общества хорошо задокументирована, данные остаются крайне ограниченными. С 2020 года данные представили лишь 88 стран, причем мало какие страны представили данные по всем направлениям навыков. Только 48</w:t>
      </w:r>
      <w:r w:rsidR="00122EA1" w:rsidRPr="00945782">
        <w:rPr>
          <w:lang w:val="ru-RU"/>
        </w:rPr>
        <w:t> </w:t>
      </w:r>
      <w:r w:rsidRPr="00945782">
        <w:rPr>
          <w:lang w:val="ru-RU"/>
        </w:rPr>
        <w:t>стран представили сопоставимые данные об уровне цифровых навыков, и лишь восемь стран представили данные об общем уровне навыков.</w:t>
      </w:r>
    </w:p>
    <w:p w14:paraId="6CEFE8D0" w14:textId="77777777" w:rsidR="00D82062" w:rsidRPr="00945782" w:rsidRDefault="00D82062" w:rsidP="00122EA1">
      <w:pPr>
        <w:rPr>
          <w:lang w:val="ru-RU"/>
        </w:rPr>
      </w:pPr>
      <w:r w:rsidRPr="00945782">
        <w:rPr>
          <w:lang w:val="ru-RU"/>
        </w:rPr>
        <w:t xml:space="preserve">Несмотря на эти ограничения, начинают прослеживаться определенные тенденции и закономерности. Пользователи интернета стабильно демонстрируют высокий уровень навыков в области коммуникации. Во всех странах, представивших данные по </w:t>
      </w:r>
      <w:r w:rsidRPr="00945782">
        <w:rPr>
          <w:i/>
          <w:iCs/>
          <w:lang w:val="ru-RU"/>
        </w:rPr>
        <w:t>коммуникации и взаимодействию</w:t>
      </w:r>
      <w:r w:rsidRPr="00945782">
        <w:rPr>
          <w:lang w:val="ru-RU"/>
        </w:rPr>
        <w:t>, по крайней мере три четверти интернет-пользователей обладают по меньшей мере базовыми навыками в этой области вне зависимости от показателей использования интернета в стране.</w:t>
      </w:r>
    </w:p>
    <w:p w14:paraId="4AC3672D" w14:textId="77777777" w:rsidR="00D82062" w:rsidRPr="00945782" w:rsidRDefault="00D82062" w:rsidP="00122EA1">
      <w:pPr>
        <w:rPr>
          <w:lang w:val="ru-RU"/>
        </w:rPr>
      </w:pPr>
      <w:r w:rsidRPr="00945782">
        <w:rPr>
          <w:lang w:val="ru-RU"/>
        </w:rPr>
        <w:t>Уровень навыков в других областях сильно разнится от страны к стране. В странах, представивших данные, доля пользователей интернета, обладающих по меньшей мере базовыми навыками грамотности в области информации и данных, как правило, выше, чем по другим направлениям (за исключением коммуникации и взаимодействия). Однако во всех областях навыков сохраняются значительные различия, даже среди стран с сопоставимыми показателями использования интернета. В восьми странах, представивших данные об общем уровне навыков, доля пользователей интернета с базовыми навыками варьируется от 16% до 74%, то есть разница составляет почти 60 процентных пунктов.</w:t>
      </w:r>
    </w:p>
    <w:p w14:paraId="455A0DAD" w14:textId="77777777" w:rsidR="00D82062" w:rsidRPr="00945782" w:rsidRDefault="00D82062" w:rsidP="00122EA1">
      <w:pPr>
        <w:rPr>
          <w:lang w:val="ru-RU"/>
        </w:rPr>
      </w:pPr>
      <w:r w:rsidRPr="00945782">
        <w:rPr>
          <w:lang w:val="ru-RU"/>
        </w:rPr>
        <w:t xml:space="preserve">Цифровые навыки являются ключевым фактором, обеспечивающим реальную возможность установления соединений и цифровую трансформацию. Данные по текущему показателю больше не собираются, и он был заменен показателем с </w:t>
      </w:r>
      <w:hyperlink r:id="rId105" w:history="1">
        <w:r w:rsidRPr="00945782">
          <w:rPr>
            <w:rStyle w:val="Hyperlink"/>
            <w:rFonts w:asciiTheme="minorHAnsi" w:hAnsiTheme="minorHAnsi" w:cstheme="minorHAnsi"/>
            <w:szCs w:val="22"/>
            <w:lang w:val="ru-RU"/>
          </w:rPr>
          <w:t>обновленной методологией</w:t>
        </w:r>
      </w:hyperlink>
      <w:r w:rsidRPr="00945782">
        <w:rPr>
          <w:lang w:val="ru-RU"/>
        </w:rPr>
        <w:t>, введенной МСЭ в 2025 году. Доступность данных остается ограниченной, однако ожидается ее увеличение по мере того, как все больше стран будут применять при сборе данных обновленную методологию.</w:t>
      </w:r>
    </w:p>
    <w:p w14:paraId="2ACB8801" w14:textId="77777777" w:rsidR="00D82062" w:rsidRPr="00945782" w:rsidRDefault="00D82062" w:rsidP="00122EA1">
      <w:pPr>
        <w:pStyle w:val="Headingb"/>
        <w:rPr>
          <w:lang w:val="ru-RU"/>
        </w:rPr>
      </w:pPr>
      <w:r w:rsidRPr="00945782">
        <w:rPr>
          <w:lang w:val="ru-RU"/>
        </w:rPr>
        <w:t>Целевой показатель 2.3: Универсальное использование услуг интернета предприятиями</w:t>
      </w:r>
    </w:p>
    <w:p w14:paraId="5D2D6641" w14:textId="77777777" w:rsidR="00D82062" w:rsidRPr="00945782" w:rsidRDefault="00D82062" w:rsidP="00122EA1">
      <w:pPr>
        <w:rPr>
          <w:lang w:val="ru-RU"/>
        </w:rPr>
      </w:pPr>
      <w:r w:rsidRPr="00945782">
        <w:rPr>
          <w:lang w:val="ru-RU"/>
        </w:rPr>
        <w:t>Использование интернета предприятиями является важным аспектом цифровой трансформации. Однако МСЭ не является основным источником данных по данному показателю. Сбор данных об использовании ИКТ предприятиями осуществляют Конференция ООН по торговле и развитию (ЮНКТАД) и Евростат. Доступность данных значительно разнится от страны к стране. При этом глобальные средние показатели в настоящее время отсутствуют из-за недостаточности данных.</w:t>
      </w:r>
    </w:p>
    <w:p w14:paraId="31B8A7ED" w14:textId="77777777" w:rsidR="00D82062" w:rsidRPr="00945782" w:rsidRDefault="00D82062" w:rsidP="00122EA1">
      <w:pPr>
        <w:pStyle w:val="Headingb"/>
        <w:rPr>
          <w:lang w:val="ru-RU"/>
        </w:rPr>
      </w:pPr>
      <w:r w:rsidRPr="00945782">
        <w:rPr>
          <w:lang w:val="ru-RU"/>
        </w:rPr>
        <w:t>Целевой показатель 2.4: Онлайновый доступ большинства лиц к государственным службам</w:t>
      </w:r>
    </w:p>
    <w:p w14:paraId="140F008C" w14:textId="77777777" w:rsidR="00D82062" w:rsidRPr="00945782" w:rsidRDefault="00D82062" w:rsidP="00122EA1">
      <w:pPr>
        <w:rPr>
          <w:lang w:val="ru-RU"/>
        </w:rPr>
      </w:pPr>
      <w:r w:rsidRPr="00945782">
        <w:rPr>
          <w:lang w:val="ru-RU"/>
        </w:rPr>
        <w:t>МСЭ отвечает за данный показатель, однако глобальные средние показатели отсутствуют ввиду недостаточности данных. Использование государственных онлайн-услуг является важным измерением охвата цифровыми технологиями, однако данный целевой показатель затрагивает лишь одно конкретное применение интернета, исключая другие, такие как электронная торговля, цифровые платежи или медицинские услуги. Доступность данных остается низкой, и глобальные агрегированные оценки не формируются.</w:t>
      </w:r>
    </w:p>
    <w:p w14:paraId="1E94BF59" w14:textId="77777777" w:rsidR="00D82062" w:rsidRPr="00945782" w:rsidRDefault="00D82062" w:rsidP="00122EA1">
      <w:pPr>
        <w:pStyle w:val="Headingb"/>
        <w:rPr>
          <w:lang w:val="ru-RU"/>
        </w:rPr>
      </w:pPr>
      <w:r w:rsidRPr="00945782">
        <w:rPr>
          <w:lang w:val="ru-RU"/>
        </w:rPr>
        <w:t>Целевой показатель 2.5: Меры по борьбе с изменением климата и охране окружающей среды</w:t>
      </w:r>
    </w:p>
    <w:p w14:paraId="4B7D6D8F" w14:textId="77777777" w:rsidR="00D82062" w:rsidRPr="00945782" w:rsidRDefault="00D82062" w:rsidP="00122EA1">
      <w:pPr>
        <w:rPr>
          <w:lang w:val="ru-RU"/>
        </w:rPr>
      </w:pPr>
      <w:r w:rsidRPr="00945782">
        <w:rPr>
          <w:lang w:val="ru-RU"/>
        </w:rPr>
        <w:t xml:space="preserve">Из 81 страны, имеющей национальную политику, законодательство или нормативно-правовое регулирование в области электронных отходов, в 67 странах предусмотрены положения, </w:t>
      </w:r>
      <w:r w:rsidRPr="00945782">
        <w:rPr>
          <w:lang w:val="ru-RU"/>
        </w:rPr>
        <w:lastRenderedPageBreak/>
        <w:t>способствующие реализации принципа расширенной ответственности производителя (РОП), в 48 странах в нормативных актах закреплены национальные целевые показатели по сбору электронных отходов, а в 37 странах − национальные целевые показатели по их переработке.</w:t>
      </w:r>
    </w:p>
    <w:p w14:paraId="25E0D194" w14:textId="77777777" w:rsidR="00D82062" w:rsidRPr="00945782" w:rsidRDefault="00D82062" w:rsidP="00122EA1">
      <w:pPr>
        <w:rPr>
          <w:lang w:val="ru-RU"/>
        </w:rPr>
      </w:pPr>
      <w:r w:rsidRPr="00945782">
        <w:rPr>
          <w:lang w:val="ru-RU"/>
        </w:rPr>
        <w:t xml:space="preserve">В то же время четвертое издание отчета </w:t>
      </w:r>
      <w:hyperlink r:id="rId106" w:history="1">
        <w:r w:rsidRPr="00945782">
          <w:rPr>
            <w:rStyle w:val="Hyperlink"/>
            <w:rFonts w:asciiTheme="minorHAnsi" w:hAnsiTheme="minorHAnsi" w:cstheme="minorHAnsi"/>
            <w:szCs w:val="22"/>
            <w:lang w:val="ru-RU"/>
          </w:rPr>
          <w:t>"Экологизация цифровых компаний"</w:t>
        </w:r>
      </w:hyperlink>
      <w:r w:rsidRPr="00945782">
        <w:rPr>
          <w:lang w:val="ru-RU"/>
        </w:rPr>
        <w:t xml:space="preserve"> показывает, что 166 цифровых компаний, раскрывающих данные о прямых выбросах и косвенных выбросах, связанных с потреблением электроэнергии (на эти компании приходится 94% совокупной выручки 200 компаний), сообщили о выбросах в объеме 297,3 млн. т CO₂-экв в 2023 году, что составляет 0,8% глобальных выбросов, связанных с энергетикой, и на 1,4% выше показателя за 2022 год. (Дополнительную информацию см. в разделе </w:t>
      </w:r>
      <w:hyperlink w:anchor="_5.4_Приверженность_экологической" w:history="1">
        <w:r w:rsidRPr="00945782">
          <w:rPr>
            <w:rStyle w:val="Hyperlink"/>
            <w:rFonts w:asciiTheme="minorHAnsi" w:hAnsiTheme="minorHAnsi" w:cstheme="minorHAnsi"/>
            <w:szCs w:val="22"/>
            <w:lang w:val="ru-RU"/>
          </w:rPr>
          <w:t>5.4</w:t>
        </w:r>
      </w:hyperlink>
      <w:r w:rsidRPr="00945782">
        <w:rPr>
          <w:lang w:val="ru-RU"/>
        </w:rPr>
        <w:t>).</w:t>
      </w:r>
    </w:p>
    <w:p w14:paraId="3CD4F14F" w14:textId="77777777" w:rsidR="00D82062" w:rsidRPr="00945782" w:rsidRDefault="00D82062" w:rsidP="00122EA1">
      <w:pPr>
        <w:rPr>
          <w:lang w:val="ru-RU"/>
        </w:rPr>
      </w:pPr>
      <w:r w:rsidRPr="00945782">
        <w:rPr>
          <w:lang w:val="ru-RU"/>
        </w:rPr>
        <w:t>Экологическое воздействие ИКТ стремительно возрастает вследствие увеличения числа подключенных устройств, расширения центров обработки данных и масштабирования приложений ИИ. Эти тенденции усиливают спрос на электроэнергию и сырьевые ресурсы и приводят к росту выбросов, загрязнения и темпам образования электронных отходов. В связи с этим в Стратегическом плане на 2028–2031 годы данный целевой показатель следует переформулировать таким образом, чтобы он прямо предусматривал сокращение негативного воздействия ИКТ на окружающую среду.</w:t>
      </w:r>
    </w:p>
    <w:p w14:paraId="503A35AC" w14:textId="1A8C9369" w:rsidR="00D82062" w:rsidRPr="00945782" w:rsidRDefault="00D82062" w:rsidP="00122EA1">
      <w:pPr>
        <w:rPr>
          <w:lang w:val="ru-RU"/>
        </w:rPr>
      </w:pPr>
      <w:r w:rsidRPr="00945782">
        <w:rPr>
          <w:lang w:val="ru-RU"/>
        </w:rPr>
        <w:t xml:space="preserve">Дополнительную информацию по всем этим целевым показателям можно найти в последних изданиях флагманских отчетов МСЭ </w:t>
      </w:r>
      <w:hyperlink r:id="rId107" w:history="1">
        <w:r w:rsidRPr="00945782">
          <w:rPr>
            <w:rStyle w:val="Hyperlink"/>
            <w:rFonts w:asciiTheme="minorHAnsi" w:hAnsiTheme="minorHAnsi" w:cstheme="minorHAnsi"/>
            <w:szCs w:val="22"/>
            <w:lang w:val="ru-RU"/>
          </w:rPr>
          <w:t>"Измерение цифрового развития – факты и цифры" за</w:t>
        </w:r>
        <w:r w:rsidR="00DE7861"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2024</w:t>
        </w:r>
        <w:r w:rsidR="00DE7861"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год,</w:t>
        </w:r>
      </w:hyperlink>
      <w:r w:rsidRPr="00945782">
        <w:rPr>
          <w:lang w:val="ru-RU"/>
        </w:rPr>
        <w:t xml:space="preserve"> </w:t>
      </w:r>
      <w:hyperlink r:id="rId108" w:history="1">
        <w:r w:rsidRPr="00945782">
          <w:rPr>
            <w:rStyle w:val="Hyperlink"/>
            <w:rFonts w:asciiTheme="minorHAnsi" w:hAnsiTheme="minorHAnsi" w:cstheme="minorHAnsi"/>
            <w:szCs w:val="22"/>
            <w:lang w:val="ru-RU"/>
          </w:rPr>
          <w:t>"Измерение цифрового развития – факты и цифры: в центре внимание − развивающиеся страны, не имеющие выхода к морю", июль 2025 года</w:t>
        </w:r>
      </w:hyperlink>
      <w:r w:rsidRPr="00945782">
        <w:rPr>
          <w:lang w:val="ru-RU"/>
        </w:rPr>
        <w:t xml:space="preserve">, а также в </w:t>
      </w:r>
      <w:hyperlink r:id="rId109" w:history="1">
        <w:r w:rsidRPr="00945782">
          <w:rPr>
            <w:rStyle w:val="Hyperlink"/>
            <w:rFonts w:asciiTheme="minorHAnsi" w:hAnsiTheme="minorHAnsi" w:cstheme="minorHAnsi"/>
            <w:szCs w:val="22"/>
            <w:lang w:val="ru-RU"/>
          </w:rPr>
          <w:t>"Отчет о</w:t>
        </w:r>
        <w:r w:rsidR="00E954BB"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глобальной возможности установления соединений" за 2025 год</w:t>
        </w:r>
      </w:hyperlink>
      <w:r w:rsidRPr="00945782">
        <w:rPr>
          <w:lang w:val="ru-RU"/>
        </w:rPr>
        <w:t>.</w:t>
      </w:r>
    </w:p>
    <w:p w14:paraId="6429D662" w14:textId="77777777" w:rsidR="00D82062" w:rsidRPr="00945782" w:rsidRDefault="00D82062" w:rsidP="00122EA1">
      <w:pPr>
        <w:pStyle w:val="Figuretitle"/>
        <w:spacing w:before="240" w:after="0"/>
        <w:rPr>
          <w:lang w:val="ru-RU"/>
        </w:rPr>
      </w:pPr>
      <w:r w:rsidRPr="00945782">
        <w:rPr>
          <w:lang w:val="ru-RU"/>
        </w:rPr>
        <w:t>Прогноз темпов образования электронных отходов в мире, 2010–2030 годы</w:t>
      </w:r>
    </w:p>
    <w:p w14:paraId="341251B5" w14:textId="77777777" w:rsidR="00D82062" w:rsidRPr="00945782" w:rsidRDefault="00D82062" w:rsidP="00D82062">
      <w:pPr>
        <w:jc w:val="center"/>
        <w:rPr>
          <w:rFonts w:asciiTheme="minorHAnsi" w:hAnsiTheme="minorHAnsi" w:cstheme="minorHAnsi"/>
          <w:b/>
          <w:bCs/>
          <w:szCs w:val="22"/>
          <w:lang w:val="ru-RU"/>
        </w:rPr>
      </w:pPr>
      <w:r w:rsidRPr="00945782">
        <w:rPr>
          <w:noProof/>
          <w:lang w:val="ru-RU"/>
        </w:rPr>
        <w:drawing>
          <wp:inline distT="0" distB="0" distL="0" distR="0" wp14:anchorId="50F1980A" wp14:editId="3780A515">
            <wp:extent cx="4695825" cy="2696881"/>
            <wp:effectExtent l="0" t="0" r="0" b="0"/>
            <wp:docPr id="1475505259" name="Picture 2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05259" name="Picture 25" descr="A graph with lines and numbers&#10;&#10;AI-generated content may be incorrec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728598" cy="2715703"/>
                    </a:xfrm>
                    <a:prstGeom prst="rect">
                      <a:avLst/>
                    </a:prstGeom>
                    <a:noFill/>
                  </pic:spPr>
                </pic:pic>
              </a:graphicData>
            </a:graphic>
          </wp:inline>
        </w:drawing>
      </w:r>
    </w:p>
    <w:p w14:paraId="3DD55A01" w14:textId="15DEF48E" w:rsidR="00D82062" w:rsidRPr="00945782" w:rsidRDefault="00D82062" w:rsidP="00DE7861">
      <w:pPr>
        <w:pStyle w:val="Figure"/>
        <w:spacing w:before="120" w:after="0"/>
        <w:rPr>
          <w:rFonts w:asciiTheme="minorHAnsi" w:hAnsiTheme="minorHAnsi" w:cstheme="minorHAnsi"/>
          <w:i/>
          <w:iCs/>
          <w:sz w:val="18"/>
          <w:szCs w:val="18"/>
          <w:lang w:val="ru-RU"/>
        </w:rPr>
      </w:pPr>
      <w:bookmarkStart w:id="55" w:name="Fig14"/>
      <w:r w:rsidRPr="00945782">
        <w:rPr>
          <w:rFonts w:asciiTheme="minorHAnsi" w:hAnsiTheme="minorHAnsi" w:cstheme="minorHAnsi"/>
          <w:i/>
          <w:iCs/>
          <w:color w:val="1F497D" w:themeColor="text2"/>
          <w:sz w:val="18"/>
          <w:szCs w:val="18"/>
          <w:lang w:val="ru-RU"/>
        </w:rPr>
        <w:t>Рис</w:t>
      </w:r>
      <w:r w:rsidR="00122EA1" w:rsidRPr="00945782">
        <w:rPr>
          <w:rFonts w:asciiTheme="minorHAnsi" w:hAnsiTheme="minorHAnsi" w:cstheme="minorHAnsi"/>
          <w:i/>
          <w:iCs/>
          <w:color w:val="1F497D" w:themeColor="text2"/>
          <w:sz w:val="18"/>
          <w:szCs w:val="18"/>
          <w:lang w:val="ru-RU"/>
        </w:rPr>
        <w:t>унок</w:t>
      </w:r>
      <w:r w:rsidRPr="00945782">
        <w:rPr>
          <w:rFonts w:asciiTheme="minorHAnsi" w:hAnsiTheme="minorHAnsi" w:cstheme="minorHAnsi"/>
          <w:i/>
          <w:iCs/>
          <w:color w:val="1F497D" w:themeColor="text2"/>
          <w:sz w:val="18"/>
          <w:szCs w:val="18"/>
          <w:lang w:val="ru-RU"/>
        </w:rPr>
        <w:t xml:space="preserve"> 14</w:t>
      </w:r>
      <w:r w:rsidR="00122EA1" w:rsidRPr="00945782">
        <w:rPr>
          <w:rFonts w:asciiTheme="minorHAnsi" w:hAnsiTheme="minorHAnsi" w:cstheme="minorHAnsi"/>
          <w:i/>
          <w:iCs/>
          <w:color w:val="1F497D" w:themeColor="text2"/>
          <w:sz w:val="18"/>
          <w:szCs w:val="18"/>
          <w:lang w:val="ru-RU"/>
        </w:rPr>
        <w:t xml:space="preserve"> −</w:t>
      </w:r>
      <w:r w:rsidRPr="00945782">
        <w:rPr>
          <w:rFonts w:asciiTheme="minorHAnsi" w:hAnsiTheme="minorHAnsi" w:cstheme="minorHAnsi"/>
          <w:i/>
          <w:iCs/>
          <w:color w:val="1F497D" w:themeColor="text2"/>
          <w:sz w:val="18"/>
          <w:szCs w:val="18"/>
          <w:lang w:val="ru-RU"/>
        </w:rPr>
        <w:t xml:space="preserve"> Прогноз темпов образования электронных отходов в мире, 2010–2030 годы. "Глобальный мониторинг электронных отходов, 2024 год", стр. 28 (англ. версия). </w:t>
      </w:r>
      <w:bookmarkEnd w:id="55"/>
      <w:r w:rsidRPr="00945782">
        <w:rPr>
          <w:rFonts w:asciiTheme="minorHAnsi" w:hAnsiTheme="minorHAnsi" w:cstheme="minorHAnsi"/>
          <w:i/>
          <w:iCs/>
          <w:color w:val="808080" w:themeColor="background1" w:themeShade="80"/>
          <w:sz w:val="18"/>
          <w:szCs w:val="18"/>
          <w:lang w:val="ru-RU"/>
        </w:rPr>
        <w:t xml:space="preserve">Адаптированная диаграмма, дополнительная информация доступна по </w:t>
      </w:r>
      <w:hyperlink r:id="rId111" w:history="1">
        <w:r w:rsidRPr="00945782">
          <w:rPr>
            <w:rStyle w:val="Hyperlink"/>
            <w:rFonts w:asciiTheme="minorHAnsi" w:hAnsiTheme="minorHAnsi" w:cstheme="minorHAnsi"/>
            <w:i/>
            <w:iCs/>
            <w:sz w:val="18"/>
            <w:szCs w:val="18"/>
            <w:lang w:val="ru-RU"/>
          </w:rPr>
          <w:t>ссылке</w:t>
        </w:r>
      </w:hyperlink>
      <w:r w:rsidRPr="00945782">
        <w:rPr>
          <w:rFonts w:asciiTheme="minorHAnsi" w:hAnsiTheme="minorHAnsi" w:cstheme="minorHAnsi"/>
          <w:i/>
          <w:iCs/>
          <w:color w:val="808080" w:themeColor="background1" w:themeShade="80"/>
          <w:sz w:val="18"/>
          <w:szCs w:val="18"/>
          <w:lang w:val="ru-RU"/>
        </w:rPr>
        <w:t>.</w:t>
      </w:r>
    </w:p>
    <w:p w14:paraId="770DE4A3" w14:textId="77777777" w:rsidR="007205F7" w:rsidRPr="00945782" w:rsidRDefault="007205F7">
      <w:pPr>
        <w:tabs>
          <w:tab w:val="clear" w:pos="794"/>
          <w:tab w:val="clear" w:pos="1191"/>
          <w:tab w:val="clear" w:pos="1588"/>
          <w:tab w:val="clear" w:pos="1985"/>
        </w:tabs>
        <w:overflowPunct/>
        <w:autoSpaceDE/>
        <w:autoSpaceDN/>
        <w:adjustRightInd/>
        <w:spacing w:before="0"/>
        <w:textAlignment w:val="auto"/>
        <w:rPr>
          <w:b/>
          <w:sz w:val="26"/>
          <w:lang w:val="ru-RU"/>
        </w:rPr>
      </w:pPr>
      <w:bookmarkStart w:id="56" w:name="_Toc227062854"/>
      <w:bookmarkStart w:id="57" w:name="_Toc227850242"/>
      <w:r w:rsidRPr="00945782">
        <w:rPr>
          <w:lang w:val="ru-RU"/>
        </w:rPr>
        <w:br w:type="page"/>
      </w:r>
    </w:p>
    <w:p w14:paraId="3CEABC9E" w14:textId="2DA6E78D" w:rsidR="00D82062" w:rsidRPr="00945782" w:rsidRDefault="00D82062" w:rsidP="00D82062">
      <w:pPr>
        <w:pStyle w:val="Heading1"/>
        <w:rPr>
          <w:lang w:val="ru-RU"/>
        </w:rPr>
      </w:pPr>
      <w:r w:rsidRPr="00945782">
        <w:rPr>
          <w:lang w:val="ru-RU"/>
        </w:rPr>
        <w:lastRenderedPageBreak/>
        <w:t>4</w:t>
      </w:r>
      <w:r w:rsidR="00EE5B07" w:rsidRPr="00945782">
        <w:rPr>
          <w:lang w:val="ru-RU"/>
        </w:rPr>
        <w:tab/>
      </w:r>
      <w:r w:rsidRPr="00945782">
        <w:rPr>
          <w:lang w:val="ru-RU"/>
        </w:rPr>
        <w:t>Продукты и услуги</w:t>
      </w:r>
      <w:bookmarkEnd w:id="56"/>
      <w:bookmarkEnd w:id="57"/>
    </w:p>
    <w:p w14:paraId="1452D497" w14:textId="721CD750" w:rsidR="00D82062" w:rsidRPr="00945782" w:rsidRDefault="00D82062" w:rsidP="00D82062">
      <w:pPr>
        <w:pStyle w:val="Heading2"/>
        <w:rPr>
          <w:lang w:val="ru-RU"/>
        </w:rPr>
      </w:pPr>
      <w:bookmarkStart w:id="58" w:name="_Toc227062855"/>
      <w:bookmarkStart w:id="59" w:name="_Toc227850243"/>
      <w:r w:rsidRPr="00945782">
        <w:rPr>
          <w:lang w:val="ru-RU"/>
        </w:rPr>
        <w:t>4.1</w:t>
      </w:r>
      <w:r w:rsidR="00EE5B07" w:rsidRPr="00945782">
        <w:rPr>
          <w:lang w:val="ru-RU"/>
        </w:rPr>
        <w:tab/>
      </w:r>
      <w:r w:rsidRPr="00945782">
        <w:rPr>
          <w:lang w:val="ru-RU"/>
        </w:rPr>
        <w:t>Разработка и применение административных регламентов МСЭ</w:t>
      </w:r>
      <w:bookmarkEnd w:id="58"/>
      <w:bookmarkEnd w:id="59"/>
    </w:p>
    <w:p w14:paraId="48B25A81" w14:textId="73722D62" w:rsidR="00D82062" w:rsidRPr="00945782" w:rsidRDefault="00D82062" w:rsidP="00D82062">
      <w:pPr>
        <w:pStyle w:val="Heading3"/>
        <w:rPr>
          <w:lang w:val="ru-RU"/>
        </w:rPr>
      </w:pPr>
      <w:bookmarkStart w:id="60" w:name="_Toc227062856"/>
      <w:bookmarkStart w:id="61" w:name="_Toc227850244"/>
      <w:r w:rsidRPr="00945782">
        <w:rPr>
          <w:lang w:val="ru-RU"/>
        </w:rPr>
        <w:t>4.1.1</w:t>
      </w:r>
      <w:r w:rsidR="00EE5B07" w:rsidRPr="00945782">
        <w:rPr>
          <w:lang w:val="ru-RU"/>
        </w:rPr>
        <w:tab/>
      </w:r>
      <w:r w:rsidRPr="00945782">
        <w:rPr>
          <w:lang w:val="ru-RU"/>
        </w:rPr>
        <w:t>Регламент радиосвязи</w:t>
      </w:r>
      <w:bookmarkEnd w:id="60"/>
      <w:bookmarkEnd w:id="61"/>
    </w:p>
    <w:p w14:paraId="7D46E2CC" w14:textId="77777777" w:rsidR="00D82062" w:rsidRPr="00945782" w:rsidRDefault="00D82062" w:rsidP="00DE7861">
      <w:pPr>
        <w:rPr>
          <w:lang w:val="ru-RU"/>
        </w:rPr>
      </w:pPr>
      <w:r w:rsidRPr="00945782">
        <w:rPr>
          <w:lang w:val="ru-RU"/>
        </w:rPr>
        <w:t>МСЭ обеспечивает сопровождение Регламента радиосвязи − международного договора, регулирующего использование радиочастотного спектра и спутниковых орбит для всех видов беспроводной связи. Организация поддерживает регламентарные положения и содействует соответствующему международному сотрудничеству, тем самым обеспечивая справедливый доступ к спектру и орбитам и их рациональное использование как ограниченных природных ресурсов.</w:t>
      </w:r>
    </w:p>
    <w:p w14:paraId="2377A772" w14:textId="4427FF79" w:rsidR="00D82062" w:rsidRPr="00945782" w:rsidRDefault="00D82062" w:rsidP="00DE7861">
      <w:pPr>
        <w:rPr>
          <w:lang w:val="ru-RU"/>
        </w:rPr>
      </w:pPr>
      <w:r w:rsidRPr="00945782">
        <w:rPr>
          <w:lang w:val="ru-RU"/>
        </w:rPr>
        <w:t>В рамках МСЭ администрации согласовывают распределение радиочастот и управление использованием спектра, а также процедуры координации с целью недопущения вредных радиопомех. МСЭ и его Бюро радиосвязи создают условия для этой деятельности, поддерживая Государства-Члены во всем мире путем предоставления специальных знаний о</w:t>
      </w:r>
      <w:r w:rsidR="003A4367" w:rsidRPr="00945782">
        <w:rPr>
          <w:lang w:val="ru-RU"/>
        </w:rPr>
        <w:t> </w:t>
      </w:r>
      <w:r w:rsidRPr="00945782">
        <w:rPr>
          <w:lang w:val="ru-RU"/>
        </w:rPr>
        <w:t>связи на суше, на море, в воздухе и в космическом пространстве.</w:t>
      </w:r>
    </w:p>
    <w:p w14:paraId="405F734A" w14:textId="77777777" w:rsidR="00D82062" w:rsidRPr="00945782" w:rsidRDefault="00D82062" w:rsidP="00DE7861">
      <w:pPr>
        <w:rPr>
          <w:lang w:val="ru-RU"/>
        </w:rPr>
      </w:pPr>
      <w:r w:rsidRPr="00945782">
        <w:rPr>
          <w:lang w:val="ru-RU"/>
        </w:rPr>
        <w:t xml:space="preserve">Бюро радиосвязи реализовало результаты </w:t>
      </w:r>
      <w:hyperlink r:id="rId112" w:history="1">
        <w:r w:rsidRPr="00945782">
          <w:rPr>
            <w:rStyle w:val="Hyperlink"/>
            <w:rFonts w:asciiTheme="minorHAnsi" w:hAnsiTheme="minorHAnsi" w:cstheme="minorHAnsi"/>
            <w:szCs w:val="22"/>
            <w:lang w:val="ru-RU"/>
          </w:rPr>
          <w:t>ВКР-23</w:t>
        </w:r>
      </w:hyperlink>
      <w:r w:rsidRPr="00945782">
        <w:rPr>
          <w:lang w:val="ru-RU"/>
        </w:rPr>
        <w:t xml:space="preserve"> и ведет подготовку к </w:t>
      </w:r>
      <w:hyperlink r:id="rId113" w:history="1">
        <w:r w:rsidRPr="00945782">
          <w:rPr>
            <w:rStyle w:val="Hyperlink"/>
            <w:rFonts w:asciiTheme="minorHAnsi" w:hAnsiTheme="minorHAnsi" w:cstheme="minorHAnsi"/>
            <w:szCs w:val="22"/>
            <w:lang w:val="ru-RU"/>
          </w:rPr>
          <w:t>ВКР-27</w:t>
        </w:r>
      </w:hyperlink>
      <w:r w:rsidRPr="00945782">
        <w:rPr>
          <w:lang w:val="ru-RU"/>
        </w:rPr>
        <w:t>.</w:t>
      </w:r>
    </w:p>
    <w:p w14:paraId="28D6C489" w14:textId="77777777" w:rsidR="00D82062" w:rsidRPr="00945782" w:rsidRDefault="00D82062" w:rsidP="00DE7861">
      <w:pPr>
        <w:rPr>
          <w:lang w:val="ru-RU"/>
        </w:rPr>
      </w:pPr>
      <w:r w:rsidRPr="00945782">
        <w:rPr>
          <w:lang w:val="ru-RU"/>
        </w:rPr>
        <w:t>Стоит особо отметить:</w:t>
      </w:r>
    </w:p>
    <w:p w14:paraId="523E8FC3" w14:textId="77777777" w:rsidR="00D82062" w:rsidRPr="00945782" w:rsidRDefault="00D82062" w:rsidP="00DE7861">
      <w:pPr>
        <w:pStyle w:val="enumlev1"/>
        <w:rPr>
          <w:lang w:val="ru-RU"/>
        </w:rPr>
      </w:pPr>
      <w:r w:rsidRPr="00945782">
        <w:rPr>
          <w:lang w:val="ru-RU"/>
        </w:rPr>
        <w:t>•</w:t>
      </w:r>
      <w:r w:rsidRPr="00945782">
        <w:rPr>
          <w:lang w:val="ru-RU"/>
        </w:rPr>
        <w:tab/>
      </w:r>
      <w:hyperlink r:id="rId114" w:history="1">
        <w:r w:rsidRPr="00945782">
          <w:rPr>
            <w:rStyle w:val="Hyperlink"/>
            <w:rFonts w:asciiTheme="minorHAnsi" w:hAnsiTheme="minorHAnsi" w:cstheme="minorHAnsi"/>
            <w:szCs w:val="22"/>
            <w:lang w:val="ru-RU"/>
          </w:rPr>
          <w:t>Регламент радиосвязи</w:t>
        </w:r>
      </w:hyperlink>
      <w:r w:rsidRPr="00945782">
        <w:rPr>
          <w:lang w:val="ru-RU"/>
        </w:rPr>
        <w:t xml:space="preserve"> в новой редакции, содержащей полные тексты документов, которые были приняты на ВКР-23, был опубликован в 2024 году и доступен для бесплатной загрузки на веб-сайте МСЭ.</w:t>
      </w:r>
    </w:p>
    <w:p w14:paraId="451E1D6E" w14:textId="77777777" w:rsidR="00D82062" w:rsidRPr="00945782" w:rsidRDefault="00D82062" w:rsidP="00DE7861">
      <w:pPr>
        <w:pStyle w:val="enumlev1"/>
        <w:rPr>
          <w:lang w:val="ru-RU"/>
        </w:rPr>
      </w:pPr>
      <w:r w:rsidRPr="00945782">
        <w:rPr>
          <w:lang w:val="ru-RU"/>
        </w:rPr>
        <w:t>•</w:t>
      </w:r>
      <w:r w:rsidRPr="00945782">
        <w:rPr>
          <w:lang w:val="ru-RU"/>
        </w:rPr>
        <w:tab/>
        <w:t>Бюро радиосвязи продолжает обновление и сопровождение программных инструментов для упрощения внедрения, использования и анализа Регламента радиосвязи.</w:t>
      </w:r>
    </w:p>
    <w:p w14:paraId="2F5BECE3" w14:textId="77777777" w:rsidR="00D82062" w:rsidRPr="00945782" w:rsidRDefault="00D82062" w:rsidP="00DE7861">
      <w:pPr>
        <w:pStyle w:val="enumlev1"/>
        <w:rPr>
          <w:lang w:val="ru-RU"/>
        </w:rPr>
      </w:pPr>
      <w:r w:rsidRPr="00945782">
        <w:rPr>
          <w:lang w:val="ru-RU"/>
        </w:rPr>
        <w:t>•</w:t>
      </w:r>
      <w:r w:rsidRPr="00945782">
        <w:rPr>
          <w:lang w:val="ru-RU"/>
        </w:rPr>
        <w:tab/>
        <w:t xml:space="preserve">В соответствии с изданием 2024 года были обновлены </w:t>
      </w:r>
      <w:hyperlink r:id="rId115" w:history="1">
        <w:r w:rsidRPr="00945782">
          <w:rPr>
            <w:rStyle w:val="Hyperlink"/>
            <w:rFonts w:asciiTheme="minorHAnsi" w:hAnsiTheme="minorHAnsi" w:cstheme="minorHAnsi"/>
            <w:szCs w:val="22"/>
            <w:lang w:val="ru-RU"/>
          </w:rPr>
          <w:t>Инструмент Таблицы распределения частот Статьи 5 РР</w:t>
        </w:r>
      </w:hyperlink>
      <w:r w:rsidRPr="00945782">
        <w:rPr>
          <w:lang w:val="ru-RU"/>
        </w:rPr>
        <w:t xml:space="preserve"> и </w:t>
      </w:r>
      <w:hyperlink r:id="rId116" w:history="1">
        <w:r w:rsidRPr="00945782">
          <w:rPr>
            <w:rStyle w:val="Hyperlink"/>
            <w:rFonts w:asciiTheme="minorHAnsi" w:hAnsiTheme="minorHAnsi" w:cstheme="minorHAnsi"/>
            <w:szCs w:val="22"/>
            <w:lang w:val="ru-RU"/>
          </w:rPr>
          <w:t>Инструмент навигации по Регламенту радиосвязи</w:t>
        </w:r>
      </w:hyperlink>
      <w:r w:rsidRPr="00945782">
        <w:rPr>
          <w:lang w:val="ru-RU"/>
        </w:rPr>
        <w:t>.</w:t>
      </w:r>
    </w:p>
    <w:p w14:paraId="749B97D4" w14:textId="77777777" w:rsidR="00D82062" w:rsidRPr="00945782" w:rsidRDefault="00D82062" w:rsidP="00DE7861">
      <w:pPr>
        <w:pStyle w:val="enumlev1"/>
        <w:rPr>
          <w:lang w:val="ru-RU"/>
        </w:rPr>
      </w:pPr>
      <w:r w:rsidRPr="00945782">
        <w:rPr>
          <w:lang w:val="ru-RU"/>
        </w:rPr>
        <w:t>•</w:t>
      </w:r>
      <w:r w:rsidRPr="00945782">
        <w:rPr>
          <w:lang w:val="ru-RU"/>
        </w:rPr>
        <w:tab/>
        <w:t xml:space="preserve">Дополнительную информацию о программных инструментах МСЭ-R можно найти в разделе, посвященном </w:t>
      </w:r>
      <w:hyperlink r:id="rId117" w:history="1">
        <w:r w:rsidRPr="00945782">
          <w:rPr>
            <w:rStyle w:val="Hyperlink"/>
            <w:rFonts w:asciiTheme="minorHAnsi" w:hAnsiTheme="minorHAnsi" w:cstheme="minorHAnsi"/>
            <w:szCs w:val="22"/>
            <w:lang w:val="ru-RU"/>
          </w:rPr>
          <w:t>совершенствованию и развитию программного обеспечения</w:t>
        </w:r>
      </w:hyperlink>
      <w:r w:rsidRPr="00945782">
        <w:rPr>
          <w:lang w:val="ru-RU"/>
        </w:rPr>
        <w:t xml:space="preserve"> (2022–2025 гг.).</w:t>
      </w:r>
    </w:p>
    <w:p w14:paraId="101C9847" w14:textId="2F007C8B" w:rsidR="00D82062" w:rsidRPr="00945782" w:rsidRDefault="00D82062" w:rsidP="00DE7861">
      <w:pPr>
        <w:pStyle w:val="enumlev1"/>
        <w:rPr>
          <w:lang w:val="ru-RU"/>
        </w:rPr>
      </w:pPr>
      <w:r w:rsidRPr="00945782">
        <w:rPr>
          <w:lang w:val="ru-RU"/>
        </w:rPr>
        <w:t>•</w:t>
      </w:r>
      <w:r w:rsidRPr="00945782">
        <w:rPr>
          <w:lang w:val="ru-RU"/>
        </w:rPr>
        <w:tab/>
        <w:t xml:space="preserve">В </w:t>
      </w:r>
      <w:hyperlink r:id="rId118" w:history="1">
        <w:r w:rsidRPr="00945782">
          <w:rPr>
            <w:rStyle w:val="Hyperlink"/>
            <w:rFonts w:asciiTheme="minorHAnsi" w:hAnsiTheme="minorHAnsi" w:cstheme="minorHAnsi"/>
            <w:szCs w:val="22"/>
            <w:lang w:val="ru-RU"/>
          </w:rPr>
          <w:t>Руководстве для использования в морской подвижной и морской подвижной спутниковой службах</w:t>
        </w:r>
      </w:hyperlink>
      <w:r w:rsidRPr="00945782">
        <w:rPr>
          <w:lang w:val="ru-RU"/>
        </w:rPr>
        <w:t xml:space="preserve"> (Руководстве по морской связи), опубликованном в декабре 2024</w:t>
      </w:r>
      <w:r w:rsidR="00DE7861" w:rsidRPr="00945782">
        <w:rPr>
          <w:lang w:val="ru-RU"/>
        </w:rPr>
        <w:t> </w:t>
      </w:r>
      <w:r w:rsidRPr="00945782">
        <w:rPr>
          <w:lang w:val="ru-RU"/>
        </w:rPr>
        <w:t>года, содержится исчерпывающий обзор морской связи.</w:t>
      </w:r>
    </w:p>
    <w:p w14:paraId="340AA3CD" w14:textId="77777777" w:rsidR="00D82062" w:rsidRPr="00945782" w:rsidRDefault="00D82062" w:rsidP="00DE7861">
      <w:pPr>
        <w:pStyle w:val="enumlev1"/>
        <w:rPr>
          <w:lang w:val="ru-RU"/>
        </w:rPr>
      </w:pPr>
      <w:r w:rsidRPr="00945782">
        <w:rPr>
          <w:lang w:val="ru-RU"/>
        </w:rPr>
        <w:t>•</w:t>
      </w:r>
      <w:r w:rsidRPr="00945782">
        <w:rPr>
          <w:lang w:val="ru-RU"/>
        </w:rPr>
        <w:tab/>
        <w:t>Совет утвердил повестку дня и принял решение о датах и месте проведения Всемирной конференции радиосвязи 2027 года (ВКР-27).</w:t>
      </w:r>
    </w:p>
    <w:p w14:paraId="173AB84E" w14:textId="21E94371" w:rsidR="00D82062" w:rsidRPr="00945782" w:rsidRDefault="00D82062" w:rsidP="00DE7861">
      <w:pPr>
        <w:pStyle w:val="enumlev1"/>
        <w:rPr>
          <w:lang w:val="ru-RU"/>
        </w:rPr>
      </w:pPr>
      <w:r w:rsidRPr="00945782">
        <w:rPr>
          <w:lang w:val="ru-RU"/>
        </w:rPr>
        <w:t>•</w:t>
      </w:r>
      <w:r w:rsidRPr="00945782">
        <w:rPr>
          <w:lang w:val="ru-RU"/>
        </w:rPr>
        <w:tab/>
        <w:t>ВКР-27 и Ассамблея радиосвязи 2027 года (АР-27) состоятся в Шанхае (Китай) с</w:t>
      </w:r>
      <w:r w:rsidR="00DE7861" w:rsidRPr="00945782">
        <w:rPr>
          <w:lang w:val="ru-RU"/>
        </w:rPr>
        <w:t> </w:t>
      </w:r>
      <w:r w:rsidRPr="00945782">
        <w:rPr>
          <w:lang w:val="ru-RU"/>
        </w:rPr>
        <w:t>11 октября по 12 ноября 2027 года.</w:t>
      </w:r>
    </w:p>
    <w:p w14:paraId="42BD5117" w14:textId="77777777" w:rsidR="00D82062" w:rsidRPr="00945782" w:rsidRDefault="00D82062" w:rsidP="00DE7861">
      <w:pPr>
        <w:pStyle w:val="enumlev1"/>
        <w:rPr>
          <w:lang w:val="ru-RU"/>
        </w:rPr>
      </w:pPr>
      <w:r w:rsidRPr="00945782">
        <w:rPr>
          <w:lang w:val="ru-RU"/>
        </w:rPr>
        <w:t>•</w:t>
      </w:r>
      <w:r w:rsidRPr="00945782">
        <w:rPr>
          <w:lang w:val="ru-RU"/>
        </w:rPr>
        <w:tab/>
        <w:t>Ответственные группы и группы, вносящие вклад по каждому из пунктов повестки дня ВКР-27, которые были определены на ПСК27-1, приступили к проведению подготовительных исследований для ВКР-27.</w:t>
      </w:r>
    </w:p>
    <w:p w14:paraId="73DCC781" w14:textId="77777777" w:rsidR="00D82062" w:rsidRPr="00945782" w:rsidRDefault="00D82062" w:rsidP="00DE7861">
      <w:pPr>
        <w:pStyle w:val="enumlev1"/>
        <w:rPr>
          <w:lang w:val="ru-RU"/>
        </w:rPr>
      </w:pPr>
      <w:r w:rsidRPr="00945782">
        <w:rPr>
          <w:lang w:val="ru-RU"/>
        </w:rPr>
        <w:t>•</w:t>
      </w:r>
      <w:r w:rsidRPr="00945782">
        <w:rPr>
          <w:lang w:val="ru-RU"/>
        </w:rPr>
        <w:tab/>
        <w:t>Бюро радиосвязи осуществляет обработку заявок, относящихся к космическим и наземным службам.</w:t>
      </w:r>
    </w:p>
    <w:p w14:paraId="77DE8C22" w14:textId="77777777" w:rsidR="00D82062" w:rsidRPr="00945782" w:rsidRDefault="00D82062" w:rsidP="00DE7861">
      <w:pPr>
        <w:pStyle w:val="enumlev1"/>
        <w:rPr>
          <w:lang w:val="ru-RU"/>
        </w:rPr>
      </w:pPr>
      <w:r w:rsidRPr="00945782">
        <w:rPr>
          <w:lang w:val="ru-RU"/>
        </w:rPr>
        <w:t>•</w:t>
      </w:r>
      <w:r w:rsidRPr="00945782">
        <w:rPr>
          <w:lang w:val="ru-RU"/>
        </w:rPr>
        <w:tab/>
        <w:t xml:space="preserve">Дополнительная информация о результатах этой работы представлена в следующем разделе, посвященном </w:t>
      </w:r>
      <w:hyperlink w:anchor="_4.2.1_Использование_спектра" w:history="1">
        <w:r w:rsidRPr="00945782">
          <w:rPr>
            <w:rStyle w:val="Hyperlink"/>
            <w:rFonts w:asciiTheme="minorHAnsi" w:hAnsiTheme="minorHAnsi" w:cstheme="minorHAnsi"/>
            <w:szCs w:val="22"/>
            <w:lang w:val="ru-RU"/>
          </w:rPr>
          <w:t>использованию спектра космическими и наземными службами</w:t>
        </w:r>
      </w:hyperlink>
      <w:r w:rsidRPr="00945782">
        <w:rPr>
          <w:lang w:val="ru-RU"/>
        </w:rPr>
        <w:t>.</w:t>
      </w:r>
    </w:p>
    <w:p w14:paraId="2FB2E053" w14:textId="3B511B59" w:rsidR="00D82062" w:rsidRPr="00945782" w:rsidRDefault="00D82062" w:rsidP="00D82062">
      <w:pPr>
        <w:pStyle w:val="Heading2"/>
        <w:rPr>
          <w:lang w:val="ru-RU"/>
        </w:rPr>
      </w:pPr>
      <w:bookmarkStart w:id="62" w:name="_Toc227062857"/>
      <w:bookmarkStart w:id="63" w:name="_Toc227850245"/>
      <w:r w:rsidRPr="00945782">
        <w:rPr>
          <w:lang w:val="ru-RU"/>
        </w:rPr>
        <w:lastRenderedPageBreak/>
        <w:t>4.2</w:t>
      </w:r>
      <w:r w:rsidR="00DE7861" w:rsidRPr="00945782">
        <w:rPr>
          <w:lang w:val="ru-RU"/>
        </w:rPr>
        <w:tab/>
      </w:r>
      <w:r w:rsidRPr="00945782">
        <w:rPr>
          <w:lang w:val="ru-RU"/>
        </w:rPr>
        <w:t>Распределение ресурсов и управление ими</w:t>
      </w:r>
      <w:bookmarkEnd w:id="62"/>
      <w:bookmarkEnd w:id="63"/>
    </w:p>
    <w:p w14:paraId="7C54A03F" w14:textId="6F1A8F3D" w:rsidR="00D82062" w:rsidRPr="00945782" w:rsidRDefault="00D82062" w:rsidP="00D82062">
      <w:pPr>
        <w:pStyle w:val="Heading3"/>
        <w:rPr>
          <w:lang w:val="ru-RU"/>
        </w:rPr>
      </w:pPr>
      <w:bookmarkStart w:id="64" w:name="_4.2.1_Использование_спектра"/>
      <w:bookmarkStart w:id="65" w:name="_Toc227062858"/>
      <w:bookmarkStart w:id="66" w:name="_Toc227850246"/>
      <w:bookmarkEnd w:id="64"/>
      <w:r w:rsidRPr="00945782">
        <w:rPr>
          <w:lang w:val="ru-RU"/>
        </w:rPr>
        <w:t>4.2.1</w:t>
      </w:r>
      <w:r w:rsidR="00DE7861" w:rsidRPr="00945782">
        <w:rPr>
          <w:lang w:val="ru-RU"/>
        </w:rPr>
        <w:tab/>
      </w:r>
      <w:r w:rsidRPr="00945782">
        <w:rPr>
          <w:lang w:val="ru-RU"/>
        </w:rPr>
        <w:t>Использование спектра космическими и наземными службами</w:t>
      </w:r>
      <w:bookmarkEnd w:id="65"/>
      <w:bookmarkEnd w:id="66"/>
    </w:p>
    <w:p w14:paraId="408EC585" w14:textId="77777777" w:rsidR="00D82062" w:rsidRPr="00945782" w:rsidRDefault="00D82062" w:rsidP="00DE7861">
      <w:pPr>
        <w:pStyle w:val="Tabletitle"/>
        <w:spacing w:before="240"/>
        <w:rPr>
          <w:lang w:val="ru-RU"/>
        </w:rPr>
      </w:pPr>
      <w:r w:rsidRPr="00945782">
        <w:rPr>
          <w:lang w:val="ru-RU"/>
        </w:rPr>
        <w:t>Результаты обработки заявок на космические службы и других соответствующих</w:t>
      </w:r>
      <w:r w:rsidRPr="00945782">
        <w:rPr>
          <w:lang w:val="ru-RU"/>
        </w:rPr>
        <w:br/>
        <w:t>видов деятельности, 2022–2025 годы</w:t>
      </w:r>
    </w:p>
    <w:tbl>
      <w:tblPr>
        <w:tblW w:w="9066" w:type="dxa"/>
        <w:tblLayout w:type="fixed"/>
        <w:tblCellMar>
          <w:left w:w="57" w:type="dxa"/>
          <w:right w:w="57" w:type="dxa"/>
        </w:tblCellMar>
        <w:tblLook w:val="0000" w:firstRow="0" w:lastRow="0" w:firstColumn="0" w:lastColumn="0" w:noHBand="0" w:noVBand="0"/>
      </w:tblPr>
      <w:tblGrid>
        <w:gridCol w:w="4248"/>
        <w:gridCol w:w="900"/>
        <w:gridCol w:w="900"/>
        <w:gridCol w:w="900"/>
        <w:gridCol w:w="900"/>
        <w:gridCol w:w="1218"/>
      </w:tblGrid>
      <w:tr w:rsidR="00D82062" w:rsidRPr="00945782" w14:paraId="33CD93D1" w14:textId="77777777" w:rsidTr="002F6E1F">
        <w:tc>
          <w:tcPr>
            <w:tcW w:w="4248" w:type="dxa"/>
            <w:tcBorders>
              <w:top w:val="single" w:sz="4" w:space="0" w:color="4BACC6"/>
              <w:left w:val="single" w:sz="4" w:space="0" w:color="4BACC6"/>
            </w:tcBorders>
            <w:tcMar>
              <w:top w:w="0" w:type="dxa"/>
              <w:left w:w="108" w:type="dxa"/>
              <w:bottom w:w="0" w:type="dxa"/>
              <w:right w:w="108" w:type="dxa"/>
            </w:tcMar>
            <w:vAlign w:val="center"/>
          </w:tcPr>
          <w:p w14:paraId="62EAEB18" w14:textId="717479C9" w:rsidR="00D82062" w:rsidRPr="00945782" w:rsidRDefault="00D82062" w:rsidP="00DE7861">
            <w:pPr>
              <w:pStyle w:val="Tablehead"/>
              <w:ind w:left="-57" w:right="-57"/>
              <w:rPr>
                <w:rFonts w:eastAsia="Calibri"/>
                <w:szCs w:val="18"/>
                <w:lang w:val="ru-RU"/>
              </w:rPr>
            </w:pPr>
            <w:r w:rsidRPr="00945782">
              <w:rPr>
                <w:rFonts w:eastAsia="Calibri"/>
                <w:szCs w:val="18"/>
                <w:lang w:val="ru-RU"/>
              </w:rPr>
              <w:t>Результаты обработки заявок на космические службы и других соответствующих видов деятельности</w:t>
            </w:r>
          </w:p>
        </w:tc>
        <w:tc>
          <w:tcPr>
            <w:tcW w:w="900" w:type="dxa"/>
            <w:tcBorders>
              <w:top w:val="single" w:sz="4" w:space="0" w:color="4BACC6"/>
            </w:tcBorders>
            <w:tcMar>
              <w:top w:w="0" w:type="dxa"/>
              <w:left w:w="108" w:type="dxa"/>
              <w:bottom w:w="0" w:type="dxa"/>
              <w:right w:w="108" w:type="dxa"/>
            </w:tcMar>
            <w:vAlign w:val="center"/>
          </w:tcPr>
          <w:p w14:paraId="6949E350"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2022 г.</w:t>
            </w:r>
          </w:p>
        </w:tc>
        <w:tc>
          <w:tcPr>
            <w:tcW w:w="900" w:type="dxa"/>
            <w:tcBorders>
              <w:top w:val="single" w:sz="4" w:space="0" w:color="4BACC6"/>
            </w:tcBorders>
            <w:tcMar>
              <w:top w:w="0" w:type="dxa"/>
              <w:left w:w="108" w:type="dxa"/>
              <w:bottom w:w="0" w:type="dxa"/>
              <w:right w:w="108" w:type="dxa"/>
            </w:tcMar>
            <w:vAlign w:val="center"/>
          </w:tcPr>
          <w:p w14:paraId="52A26DF8"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2023 г.</w:t>
            </w:r>
          </w:p>
        </w:tc>
        <w:tc>
          <w:tcPr>
            <w:tcW w:w="900" w:type="dxa"/>
            <w:tcBorders>
              <w:top w:val="single" w:sz="4" w:space="0" w:color="4BACC6"/>
            </w:tcBorders>
            <w:tcMar>
              <w:top w:w="0" w:type="dxa"/>
              <w:left w:w="108" w:type="dxa"/>
              <w:bottom w:w="0" w:type="dxa"/>
              <w:right w:w="108" w:type="dxa"/>
            </w:tcMar>
            <w:vAlign w:val="center"/>
          </w:tcPr>
          <w:p w14:paraId="3C61B13D"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2024 г.</w:t>
            </w:r>
          </w:p>
        </w:tc>
        <w:tc>
          <w:tcPr>
            <w:tcW w:w="900" w:type="dxa"/>
            <w:tcBorders>
              <w:top w:val="single" w:sz="4" w:space="0" w:color="4BACC6"/>
            </w:tcBorders>
            <w:tcMar>
              <w:top w:w="0" w:type="dxa"/>
              <w:left w:w="108" w:type="dxa"/>
              <w:bottom w:w="0" w:type="dxa"/>
              <w:right w:w="108" w:type="dxa"/>
            </w:tcMar>
            <w:vAlign w:val="center"/>
          </w:tcPr>
          <w:p w14:paraId="0AD94B74"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2025 г.</w:t>
            </w:r>
          </w:p>
        </w:tc>
        <w:tc>
          <w:tcPr>
            <w:tcW w:w="1218" w:type="dxa"/>
            <w:tcBorders>
              <w:top w:val="single" w:sz="4" w:space="0" w:color="4BACC6"/>
              <w:right w:val="single" w:sz="4" w:space="0" w:color="4BACC6"/>
            </w:tcBorders>
            <w:tcMar>
              <w:top w:w="0" w:type="dxa"/>
              <w:left w:w="108" w:type="dxa"/>
              <w:bottom w:w="0" w:type="dxa"/>
              <w:right w:w="108" w:type="dxa"/>
            </w:tcMar>
            <w:vAlign w:val="center"/>
          </w:tcPr>
          <w:p w14:paraId="5175EB38" w14:textId="134FBE90" w:rsidR="00D82062" w:rsidRPr="00945782" w:rsidRDefault="00D82062" w:rsidP="00DE7861">
            <w:pPr>
              <w:pStyle w:val="Tablehead"/>
              <w:ind w:left="-57" w:right="-57"/>
              <w:rPr>
                <w:rFonts w:eastAsia="Calibri"/>
                <w:szCs w:val="18"/>
                <w:lang w:val="ru-RU"/>
              </w:rPr>
            </w:pPr>
            <w:r w:rsidRPr="00945782">
              <w:rPr>
                <w:rFonts w:eastAsia="Calibri"/>
                <w:szCs w:val="18"/>
                <w:lang w:val="ru-RU"/>
              </w:rPr>
              <w:t>Итого за</w:t>
            </w:r>
            <w:r w:rsidR="00DE7861" w:rsidRPr="00945782">
              <w:rPr>
                <w:rFonts w:eastAsia="Calibri"/>
                <w:szCs w:val="18"/>
                <w:lang w:val="ru-RU"/>
              </w:rPr>
              <w:t xml:space="preserve"> </w:t>
            </w:r>
            <w:r w:rsidR="00DE7861" w:rsidRPr="00945782">
              <w:rPr>
                <w:rFonts w:eastAsia="Calibri"/>
                <w:szCs w:val="18"/>
                <w:lang w:val="ru-RU"/>
              </w:rPr>
              <w:br/>
            </w:r>
            <w:r w:rsidRPr="00945782">
              <w:rPr>
                <w:rFonts w:eastAsia="Calibri"/>
                <w:szCs w:val="18"/>
                <w:lang w:val="ru-RU"/>
              </w:rPr>
              <w:t>2022–2025 гг.</w:t>
            </w:r>
          </w:p>
        </w:tc>
      </w:tr>
      <w:tr w:rsidR="00D82062" w:rsidRPr="00945782" w14:paraId="052823E1" w14:textId="77777777" w:rsidTr="002F6E1F">
        <w:tc>
          <w:tcPr>
            <w:tcW w:w="4248" w:type="dxa"/>
            <w:tcBorders>
              <w:left w:val="single" w:sz="4" w:space="0" w:color="4BACC6"/>
            </w:tcBorders>
            <w:tcMar>
              <w:top w:w="0" w:type="dxa"/>
              <w:left w:w="108" w:type="dxa"/>
              <w:bottom w:w="0" w:type="dxa"/>
              <w:right w:w="108" w:type="dxa"/>
            </w:tcMar>
            <w:vAlign w:val="center"/>
          </w:tcPr>
          <w:p w14:paraId="70AC95E9" w14:textId="77777777" w:rsidR="00D82062" w:rsidRPr="00945782" w:rsidRDefault="00D82062" w:rsidP="00DE7861">
            <w:pPr>
              <w:pStyle w:val="Tabletext"/>
              <w:rPr>
                <w:rFonts w:eastAsia="MS Mincho"/>
                <w:szCs w:val="18"/>
                <w:lang w:val="ru-RU"/>
              </w:rPr>
            </w:pPr>
            <w:r w:rsidRPr="00945782">
              <w:rPr>
                <w:rFonts w:eastAsia="Calibri"/>
                <w:szCs w:val="18"/>
                <w:lang w:val="ru-RU"/>
              </w:rPr>
              <w:t>Запросы о координации и заявлении</w:t>
            </w:r>
          </w:p>
        </w:tc>
        <w:tc>
          <w:tcPr>
            <w:tcW w:w="900" w:type="dxa"/>
            <w:tcMar>
              <w:top w:w="0" w:type="dxa"/>
              <w:left w:w="108" w:type="dxa"/>
              <w:bottom w:w="0" w:type="dxa"/>
              <w:right w:w="108" w:type="dxa"/>
            </w:tcMar>
            <w:vAlign w:val="center"/>
          </w:tcPr>
          <w:p w14:paraId="27FFF572"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1 518</w:t>
            </w:r>
          </w:p>
        </w:tc>
        <w:tc>
          <w:tcPr>
            <w:tcW w:w="900" w:type="dxa"/>
            <w:tcMar>
              <w:top w:w="0" w:type="dxa"/>
              <w:left w:w="108" w:type="dxa"/>
              <w:bottom w:w="0" w:type="dxa"/>
              <w:right w:w="108" w:type="dxa"/>
            </w:tcMar>
            <w:vAlign w:val="center"/>
          </w:tcPr>
          <w:p w14:paraId="2177DC2D"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1 349</w:t>
            </w:r>
          </w:p>
        </w:tc>
        <w:tc>
          <w:tcPr>
            <w:tcW w:w="900" w:type="dxa"/>
            <w:tcMar>
              <w:top w:w="0" w:type="dxa"/>
              <w:left w:w="108" w:type="dxa"/>
              <w:bottom w:w="0" w:type="dxa"/>
              <w:right w:w="108" w:type="dxa"/>
            </w:tcMar>
            <w:vAlign w:val="center"/>
          </w:tcPr>
          <w:p w14:paraId="0E4661F3"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1 384</w:t>
            </w:r>
          </w:p>
        </w:tc>
        <w:tc>
          <w:tcPr>
            <w:tcW w:w="900" w:type="dxa"/>
            <w:tcMar>
              <w:top w:w="0" w:type="dxa"/>
              <w:left w:w="108" w:type="dxa"/>
              <w:bottom w:w="0" w:type="dxa"/>
              <w:right w:w="108" w:type="dxa"/>
            </w:tcMar>
            <w:vAlign w:val="center"/>
          </w:tcPr>
          <w:p w14:paraId="3D285236"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1 198</w:t>
            </w:r>
          </w:p>
        </w:tc>
        <w:tc>
          <w:tcPr>
            <w:tcW w:w="1218" w:type="dxa"/>
            <w:tcBorders>
              <w:right w:val="single" w:sz="4" w:space="0" w:color="4BACC6"/>
            </w:tcBorders>
            <w:tcMar>
              <w:top w:w="0" w:type="dxa"/>
              <w:left w:w="108" w:type="dxa"/>
              <w:bottom w:w="0" w:type="dxa"/>
              <w:right w:w="108" w:type="dxa"/>
            </w:tcMar>
            <w:vAlign w:val="center"/>
          </w:tcPr>
          <w:p w14:paraId="4EE6BE87"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5 459</w:t>
            </w:r>
          </w:p>
        </w:tc>
      </w:tr>
      <w:tr w:rsidR="00D82062" w:rsidRPr="00945782" w14:paraId="7F800615" w14:textId="77777777" w:rsidTr="002F6E1F">
        <w:tc>
          <w:tcPr>
            <w:tcW w:w="4248" w:type="dxa"/>
            <w:tcBorders>
              <w:left w:val="single" w:sz="4" w:space="0" w:color="4BACC6"/>
            </w:tcBorders>
            <w:tcMar>
              <w:top w:w="0" w:type="dxa"/>
              <w:left w:w="108" w:type="dxa"/>
              <w:bottom w:w="0" w:type="dxa"/>
              <w:right w:w="108" w:type="dxa"/>
            </w:tcMar>
            <w:vAlign w:val="center"/>
          </w:tcPr>
          <w:p w14:paraId="6FF51240" w14:textId="77777777" w:rsidR="00D82062" w:rsidRPr="00945782" w:rsidRDefault="00D82062" w:rsidP="00DE7861">
            <w:pPr>
              <w:pStyle w:val="Tabletext"/>
              <w:rPr>
                <w:rFonts w:eastAsia="MS Mincho"/>
                <w:szCs w:val="18"/>
                <w:lang w:val="ru-RU"/>
              </w:rPr>
            </w:pPr>
            <w:r w:rsidRPr="00945782">
              <w:rPr>
                <w:rFonts w:eastAsia="Calibri"/>
                <w:szCs w:val="18"/>
                <w:lang w:val="ru-RU"/>
              </w:rPr>
              <w:t>Запросы на Планы радиовещательной спутниковой службы и связанных с ней фидерных линий</w:t>
            </w:r>
          </w:p>
        </w:tc>
        <w:tc>
          <w:tcPr>
            <w:tcW w:w="900" w:type="dxa"/>
            <w:tcMar>
              <w:top w:w="0" w:type="dxa"/>
              <w:left w:w="108" w:type="dxa"/>
              <w:bottom w:w="0" w:type="dxa"/>
              <w:right w:w="108" w:type="dxa"/>
            </w:tcMar>
            <w:vAlign w:val="center"/>
          </w:tcPr>
          <w:p w14:paraId="27CA2533"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134</w:t>
            </w:r>
          </w:p>
        </w:tc>
        <w:tc>
          <w:tcPr>
            <w:tcW w:w="900" w:type="dxa"/>
            <w:tcMar>
              <w:top w:w="0" w:type="dxa"/>
              <w:left w:w="108" w:type="dxa"/>
              <w:bottom w:w="0" w:type="dxa"/>
              <w:right w:w="108" w:type="dxa"/>
            </w:tcMar>
            <w:vAlign w:val="center"/>
          </w:tcPr>
          <w:p w14:paraId="1101EA6D"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130*</w:t>
            </w:r>
          </w:p>
        </w:tc>
        <w:tc>
          <w:tcPr>
            <w:tcW w:w="900" w:type="dxa"/>
            <w:tcMar>
              <w:top w:w="0" w:type="dxa"/>
              <w:left w:w="108" w:type="dxa"/>
              <w:bottom w:w="0" w:type="dxa"/>
              <w:right w:w="108" w:type="dxa"/>
            </w:tcMar>
            <w:vAlign w:val="center"/>
          </w:tcPr>
          <w:p w14:paraId="118B035C"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204**</w:t>
            </w:r>
          </w:p>
        </w:tc>
        <w:tc>
          <w:tcPr>
            <w:tcW w:w="900" w:type="dxa"/>
            <w:tcMar>
              <w:top w:w="0" w:type="dxa"/>
              <w:left w:w="108" w:type="dxa"/>
              <w:bottom w:w="0" w:type="dxa"/>
              <w:right w:w="108" w:type="dxa"/>
            </w:tcMar>
            <w:vAlign w:val="center"/>
          </w:tcPr>
          <w:p w14:paraId="1D0C96E6"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90</w:t>
            </w:r>
          </w:p>
        </w:tc>
        <w:tc>
          <w:tcPr>
            <w:tcW w:w="1218" w:type="dxa"/>
            <w:tcBorders>
              <w:right w:val="single" w:sz="4" w:space="0" w:color="4BACC6"/>
            </w:tcBorders>
            <w:tcMar>
              <w:top w:w="0" w:type="dxa"/>
              <w:left w:w="108" w:type="dxa"/>
              <w:bottom w:w="0" w:type="dxa"/>
              <w:right w:w="108" w:type="dxa"/>
            </w:tcMar>
            <w:vAlign w:val="center"/>
          </w:tcPr>
          <w:p w14:paraId="0705AB0F"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558</w:t>
            </w:r>
          </w:p>
        </w:tc>
      </w:tr>
      <w:tr w:rsidR="00D82062" w:rsidRPr="00945782" w14:paraId="76BA3691" w14:textId="77777777" w:rsidTr="002F6E1F">
        <w:tc>
          <w:tcPr>
            <w:tcW w:w="4248" w:type="dxa"/>
            <w:tcBorders>
              <w:left w:val="single" w:sz="4" w:space="0" w:color="4BACC6"/>
              <w:bottom w:val="single" w:sz="4" w:space="0" w:color="4BACC6"/>
            </w:tcBorders>
            <w:tcMar>
              <w:top w:w="0" w:type="dxa"/>
              <w:left w:w="108" w:type="dxa"/>
              <w:bottom w:w="0" w:type="dxa"/>
              <w:right w:w="108" w:type="dxa"/>
            </w:tcMar>
            <w:vAlign w:val="center"/>
          </w:tcPr>
          <w:p w14:paraId="6D765733" w14:textId="77777777" w:rsidR="00D82062" w:rsidRPr="00945782" w:rsidRDefault="00D82062" w:rsidP="00DE7861">
            <w:pPr>
              <w:pStyle w:val="Tabletext"/>
              <w:rPr>
                <w:rFonts w:eastAsia="MS Mincho"/>
                <w:szCs w:val="18"/>
                <w:lang w:val="ru-RU"/>
              </w:rPr>
            </w:pPr>
            <w:r w:rsidRPr="00945782">
              <w:rPr>
                <w:rFonts w:eastAsia="Calibri"/>
                <w:szCs w:val="18"/>
                <w:lang w:val="ru-RU"/>
              </w:rPr>
              <w:t>Запросы на План фиксированной спутниковой службы</w:t>
            </w:r>
          </w:p>
        </w:tc>
        <w:tc>
          <w:tcPr>
            <w:tcW w:w="900" w:type="dxa"/>
            <w:tcBorders>
              <w:bottom w:val="single" w:sz="4" w:space="0" w:color="4BACC6"/>
            </w:tcBorders>
            <w:tcMar>
              <w:top w:w="0" w:type="dxa"/>
              <w:left w:w="108" w:type="dxa"/>
              <w:bottom w:w="0" w:type="dxa"/>
              <w:right w:w="108" w:type="dxa"/>
            </w:tcMar>
            <w:vAlign w:val="center"/>
          </w:tcPr>
          <w:p w14:paraId="6FFC3E3A"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134</w:t>
            </w:r>
          </w:p>
        </w:tc>
        <w:tc>
          <w:tcPr>
            <w:tcW w:w="900" w:type="dxa"/>
            <w:tcBorders>
              <w:bottom w:val="single" w:sz="4" w:space="0" w:color="4BACC6"/>
            </w:tcBorders>
            <w:tcMar>
              <w:top w:w="0" w:type="dxa"/>
              <w:left w:w="108" w:type="dxa"/>
              <w:bottom w:w="0" w:type="dxa"/>
              <w:right w:w="108" w:type="dxa"/>
            </w:tcMar>
            <w:vAlign w:val="center"/>
          </w:tcPr>
          <w:p w14:paraId="3AEC3D44"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92</w:t>
            </w:r>
          </w:p>
        </w:tc>
        <w:tc>
          <w:tcPr>
            <w:tcW w:w="900" w:type="dxa"/>
            <w:tcBorders>
              <w:bottom w:val="single" w:sz="4" w:space="0" w:color="4BACC6"/>
            </w:tcBorders>
            <w:tcMar>
              <w:top w:w="0" w:type="dxa"/>
              <w:left w:w="108" w:type="dxa"/>
              <w:bottom w:w="0" w:type="dxa"/>
              <w:right w:w="108" w:type="dxa"/>
            </w:tcMar>
            <w:vAlign w:val="center"/>
          </w:tcPr>
          <w:p w14:paraId="13F73FD5"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87***</w:t>
            </w:r>
          </w:p>
        </w:tc>
        <w:tc>
          <w:tcPr>
            <w:tcW w:w="900" w:type="dxa"/>
            <w:tcBorders>
              <w:bottom w:val="single" w:sz="4" w:space="0" w:color="4BACC6"/>
            </w:tcBorders>
            <w:tcMar>
              <w:top w:w="0" w:type="dxa"/>
              <w:left w:w="108" w:type="dxa"/>
              <w:bottom w:w="0" w:type="dxa"/>
              <w:right w:w="108" w:type="dxa"/>
            </w:tcMar>
            <w:vAlign w:val="center"/>
          </w:tcPr>
          <w:p w14:paraId="0F5897F6"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53</w:t>
            </w:r>
          </w:p>
        </w:tc>
        <w:tc>
          <w:tcPr>
            <w:tcW w:w="1218" w:type="dxa"/>
            <w:tcBorders>
              <w:bottom w:val="single" w:sz="4" w:space="0" w:color="4BACC6"/>
              <w:right w:val="single" w:sz="4" w:space="0" w:color="4BACC6"/>
            </w:tcBorders>
            <w:tcMar>
              <w:top w:w="0" w:type="dxa"/>
              <w:left w:w="108" w:type="dxa"/>
              <w:bottom w:w="0" w:type="dxa"/>
              <w:right w:w="108" w:type="dxa"/>
            </w:tcMar>
            <w:vAlign w:val="center"/>
          </w:tcPr>
          <w:p w14:paraId="54CA7A14" w14:textId="77777777" w:rsidR="00D82062" w:rsidRPr="00945782" w:rsidRDefault="00D82062" w:rsidP="00DE7861">
            <w:pPr>
              <w:pStyle w:val="Tabletext"/>
              <w:jc w:val="center"/>
              <w:rPr>
                <w:rFonts w:eastAsia="Calibri"/>
                <w:szCs w:val="18"/>
                <w:lang w:val="ru-RU"/>
              </w:rPr>
            </w:pPr>
            <w:r w:rsidRPr="00945782">
              <w:rPr>
                <w:rFonts w:eastAsia="Calibri"/>
                <w:szCs w:val="18"/>
                <w:lang w:val="ru-RU"/>
              </w:rPr>
              <w:t>366</w:t>
            </w:r>
          </w:p>
        </w:tc>
      </w:tr>
    </w:tbl>
    <w:p w14:paraId="60CC48B1" w14:textId="32AE71FC" w:rsidR="00D82062" w:rsidRPr="00945782" w:rsidRDefault="00D82062" w:rsidP="00DE7861">
      <w:pPr>
        <w:pStyle w:val="Tableref"/>
        <w:rPr>
          <w:i w:val="0"/>
          <w:lang w:val="ru-RU"/>
        </w:rPr>
      </w:pPr>
      <w:bookmarkStart w:id="67" w:name="Table1"/>
      <w:r w:rsidRPr="00945782">
        <w:rPr>
          <w:lang w:val="ru-RU"/>
        </w:rPr>
        <w:t>Таблица 1</w:t>
      </w:r>
      <w:r w:rsidR="00DE7861" w:rsidRPr="00945782">
        <w:rPr>
          <w:i w:val="0"/>
          <w:lang w:val="ru-RU"/>
        </w:rPr>
        <w:t xml:space="preserve"> −</w:t>
      </w:r>
      <w:r w:rsidRPr="00945782">
        <w:rPr>
          <w:lang w:val="ru-RU"/>
        </w:rPr>
        <w:t xml:space="preserve"> Результаты обработки заявок на космические службы и других соответствующих</w:t>
      </w:r>
      <w:r w:rsidRPr="00945782">
        <w:rPr>
          <w:lang w:val="ru-RU"/>
        </w:rPr>
        <w:br/>
        <w:t>видов деятельности, 2022–2025 годы.</w:t>
      </w:r>
    </w:p>
    <w:bookmarkEnd w:id="67"/>
    <w:p w14:paraId="180D9D6C" w14:textId="77777777" w:rsidR="00D82062" w:rsidRPr="00945782" w:rsidRDefault="00D82062" w:rsidP="00DE7861">
      <w:pPr>
        <w:pStyle w:val="Tablelegend"/>
        <w:tabs>
          <w:tab w:val="clear" w:pos="284"/>
        </w:tabs>
        <w:ind w:left="567" w:hanging="567"/>
        <w:rPr>
          <w:i/>
          <w:iCs/>
          <w:lang w:val="ru-RU"/>
        </w:rPr>
      </w:pPr>
      <w:r w:rsidRPr="00945782">
        <w:rPr>
          <w:i/>
          <w:iCs/>
          <w:lang w:val="ru-RU"/>
        </w:rPr>
        <w:t xml:space="preserve">* </w:t>
      </w:r>
      <w:r w:rsidRPr="00945782">
        <w:rPr>
          <w:i/>
          <w:iCs/>
          <w:lang w:val="ru-RU"/>
        </w:rPr>
        <w:tab/>
        <w:t>Включая 90 записей в Списке для Районов 1 и 3 в соответствии с применением Резолюции 559 (ВКР-19) 45 странами.</w:t>
      </w:r>
    </w:p>
    <w:p w14:paraId="5D5CFA05" w14:textId="0D1430E1" w:rsidR="00D82062" w:rsidRPr="00945782" w:rsidRDefault="00D82062" w:rsidP="00DE7861">
      <w:pPr>
        <w:pStyle w:val="Tablelegend"/>
        <w:tabs>
          <w:tab w:val="clear" w:pos="284"/>
        </w:tabs>
        <w:ind w:left="567" w:hanging="567"/>
        <w:rPr>
          <w:i/>
          <w:iCs/>
          <w:lang w:val="ru-RU"/>
        </w:rPr>
      </w:pPr>
      <w:r w:rsidRPr="00945782">
        <w:rPr>
          <w:i/>
          <w:iCs/>
          <w:lang w:val="ru-RU"/>
        </w:rPr>
        <w:t xml:space="preserve">** </w:t>
      </w:r>
      <w:r w:rsidRPr="00945782">
        <w:rPr>
          <w:i/>
          <w:iCs/>
          <w:lang w:val="ru-RU"/>
        </w:rPr>
        <w:tab/>
        <w:t>Включая 82 записи в Планах для Районов 1 и 3 по итогам успешного выполнения требований Резолюции</w:t>
      </w:r>
      <w:r w:rsidR="00B37B6D" w:rsidRPr="00945782">
        <w:rPr>
          <w:i/>
          <w:iCs/>
          <w:lang w:val="ru-RU"/>
        </w:rPr>
        <w:t> </w:t>
      </w:r>
      <w:r w:rsidRPr="00945782">
        <w:rPr>
          <w:i/>
          <w:iCs/>
          <w:lang w:val="ru-RU"/>
        </w:rPr>
        <w:t>559 (ВКР-19) 41 страной.</w:t>
      </w:r>
    </w:p>
    <w:p w14:paraId="52F07E16" w14:textId="77777777" w:rsidR="00D82062" w:rsidRPr="00945782" w:rsidRDefault="00D82062" w:rsidP="00DE7861">
      <w:pPr>
        <w:pStyle w:val="Tablelegend"/>
        <w:tabs>
          <w:tab w:val="clear" w:pos="284"/>
        </w:tabs>
        <w:ind w:left="567" w:hanging="567"/>
        <w:rPr>
          <w:i/>
          <w:iCs/>
          <w:lang w:val="ru-RU"/>
        </w:rPr>
      </w:pPr>
      <w:r w:rsidRPr="00945782">
        <w:rPr>
          <w:i/>
          <w:iCs/>
          <w:lang w:val="ru-RU"/>
        </w:rPr>
        <w:t xml:space="preserve">*** </w:t>
      </w:r>
      <w:r w:rsidRPr="00945782">
        <w:rPr>
          <w:i/>
          <w:iCs/>
          <w:lang w:val="ru-RU"/>
        </w:rPr>
        <w:tab/>
        <w:t>Включая семь новых записей в Плане для Государств – Членов МСЭ, которые еще не имеют выделения.</w:t>
      </w:r>
    </w:p>
    <w:p w14:paraId="0615DCE3" w14:textId="77777777" w:rsidR="00D82062" w:rsidRPr="00945782" w:rsidRDefault="00D82062" w:rsidP="00DE7861">
      <w:pPr>
        <w:pStyle w:val="Tabletitle"/>
        <w:spacing w:before="240"/>
        <w:rPr>
          <w:lang w:val="ru-RU"/>
        </w:rPr>
      </w:pPr>
      <w:r w:rsidRPr="00945782">
        <w:rPr>
          <w:lang w:val="ru-RU"/>
        </w:rPr>
        <w:t>Заявки на наземные службы, 2022–2025 годы</w:t>
      </w:r>
    </w:p>
    <w:tbl>
      <w:tblPr>
        <w:tblW w:w="9066" w:type="dxa"/>
        <w:tblLayout w:type="fixed"/>
        <w:tblCellMar>
          <w:left w:w="57" w:type="dxa"/>
          <w:right w:w="57" w:type="dxa"/>
        </w:tblCellMar>
        <w:tblLook w:val="0000" w:firstRow="0" w:lastRow="0" w:firstColumn="0" w:lastColumn="0" w:noHBand="0" w:noVBand="0"/>
      </w:tblPr>
      <w:tblGrid>
        <w:gridCol w:w="4251"/>
        <w:gridCol w:w="899"/>
        <w:gridCol w:w="899"/>
        <w:gridCol w:w="899"/>
        <w:gridCol w:w="900"/>
        <w:gridCol w:w="1218"/>
      </w:tblGrid>
      <w:tr w:rsidR="00D82062" w:rsidRPr="00945782" w14:paraId="35FA2763" w14:textId="77777777" w:rsidTr="002F6E1F">
        <w:tc>
          <w:tcPr>
            <w:tcW w:w="4251" w:type="dxa"/>
            <w:tcBorders>
              <w:top w:val="single" w:sz="4" w:space="0" w:color="4BACC6"/>
              <w:left w:val="single" w:sz="4" w:space="0" w:color="4BACC6"/>
            </w:tcBorders>
            <w:tcMar>
              <w:top w:w="0" w:type="dxa"/>
              <w:left w:w="108" w:type="dxa"/>
              <w:bottom w:w="0" w:type="dxa"/>
              <w:right w:w="108" w:type="dxa"/>
            </w:tcMar>
            <w:vAlign w:val="center"/>
          </w:tcPr>
          <w:p w14:paraId="797E9F7F"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Заявки на наземные службы</w:t>
            </w:r>
          </w:p>
        </w:tc>
        <w:tc>
          <w:tcPr>
            <w:tcW w:w="899" w:type="dxa"/>
            <w:tcBorders>
              <w:top w:val="single" w:sz="4" w:space="0" w:color="4BACC6"/>
            </w:tcBorders>
            <w:tcMar>
              <w:top w:w="0" w:type="dxa"/>
              <w:left w:w="108" w:type="dxa"/>
              <w:bottom w:w="0" w:type="dxa"/>
              <w:right w:w="108" w:type="dxa"/>
            </w:tcMar>
            <w:vAlign w:val="center"/>
          </w:tcPr>
          <w:p w14:paraId="09B9B46A"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2022 г.</w:t>
            </w:r>
          </w:p>
        </w:tc>
        <w:tc>
          <w:tcPr>
            <w:tcW w:w="899" w:type="dxa"/>
            <w:tcBorders>
              <w:top w:val="single" w:sz="4" w:space="0" w:color="4BACC6"/>
            </w:tcBorders>
            <w:tcMar>
              <w:top w:w="0" w:type="dxa"/>
              <w:left w:w="108" w:type="dxa"/>
              <w:bottom w:w="0" w:type="dxa"/>
              <w:right w:w="108" w:type="dxa"/>
            </w:tcMar>
            <w:vAlign w:val="center"/>
          </w:tcPr>
          <w:p w14:paraId="344B01ED"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2023 г.</w:t>
            </w:r>
          </w:p>
        </w:tc>
        <w:tc>
          <w:tcPr>
            <w:tcW w:w="899" w:type="dxa"/>
            <w:tcBorders>
              <w:top w:val="single" w:sz="4" w:space="0" w:color="4BACC6"/>
            </w:tcBorders>
            <w:tcMar>
              <w:top w:w="0" w:type="dxa"/>
              <w:left w:w="108" w:type="dxa"/>
              <w:bottom w:w="0" w:type="dxa"/>
              <w:right w:w="108" w:type="dxa"/>
            </w:tcMar>
            <w:vAlign w:val="center"/>
          </w:tcPr>
          <w:p w14:paraId="3C95BC83"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2024 г.</w:t>
            </w:r>
          </w:p>
        </w:tc>
        <w:tc>
          <w:tcPr>
            <w:tcW w:w="900" w:type="dxa"/>
            <w:tcBorders>
              <w:top w:val="single" w:sz="4" w:space="0" w:color="4BACC6"/>
            </w:tcBorders>
            <w:tcMar>
              <w:top w:w="0" w:type="dxa"/>
              <w:left w:w="108" w:type="dxa"/>
              <w:bottom w:w="0" w:type="dxa"/>
              <w:right w:w="108" w:type="dxa"/>
            </w:tcMar>
            <w:vAlign w:val="center"/>
          </w:tcPr>
          <w:p w14:paraId="576DB824" w14:textId="77777777" w:rsidR="00D82062" w:rsidRPr="00945782" w:rsidRDefault="00D82062" w:rsidP="00DE7861">
            <w:pPr>
              <w:pStyle w:val="Tablehead"/>
              <w:ind w:left="-57" w:right="-57"/>
              <w:rPr>
                <w:rFonts w:eastAsia="Calibri"/>
                <w:szCs w:val="18"/>
                <w:lang w:val="ru-RU"/>
              </w:rPr>
            </w:pPr>
            <w:r w:rsidRPr="00945782">
              <w:rPr>
                <w:rFonts w:eastAsia="Calibri"/>
                <w:szCs w:val="18"/>
                <w:lang w:val="ru-RU"/>
              </w:rPr>
              <w:t>2025 г.</w:t>
            </w:r>
          </w:p>
        </w:tc>
        <w:tc>
          <w:tcPr>
            <w:tcW w:w="1218" w:type="dxa"/>
            <w:tcBorders>
              <w:top w:val="single" w:sz="4" w:space="0" w:color="4BACC6"/>
              <w:right w:val="single" w:sz="4" w:space="0" w:color="4BACC6"/>
            </w:tcBorders>
            <w:tcMar>
              <w:top w:w="0" w:type="dxa"/>
              <w:left w:w="108" w:type="dxa"/>
              <w:bottom w:w="0" w:type="dxa"/>
              <w:right w:w="108" w:type="dxa"/>
            </w:tcMar>
            <w:vAlign w:val="center"/>
          </w:tcPr>
          <w:p w14:paraId="1837F68C" w14:textId="64C434B4" w:rsidR="00D82062" w:rsidRPr="00945782" w:rsidRDefault="00D82062" w:rsidP="00DE7861">
            <w:pPr>
              <w:pStyle w:val="Tablehead"/>
              <w:ind w:left="-57" w:right="-57"/>
              <w:rPr>
                <w:rFonts w:eastAsia="Calibri"/>
                <w:szCs w:val="18"/>
                <w:lang w:val="ru-RU"/>
              </w:rPr>
            </w:pPr>
            <w:r w:rsidRPr="00945782">
              <w:rPr>
                <w:rFonts w:eastAsia="Calibri"/>
                <w:szCs w:val="18"/>
                <w:lang w:val="ru-RU"/>
              </w:rPr>
              <w:t>Итого за</w:t>
            </w:r>
            <w:r w:rsidR="00DE7861" w:rsidRPr="00945782">
              <w:rPr>
                <w:rFonts w:eastAsia="Calibri"/>
                <w:szCs w:val="18"/>
                <w:lang w:val="ru-RU"/>
              </w:rPr>
              <w:t xml:space="preserve"> </w:t>
            </w:r>
            <w:r w:rsidR="002F6E1F" w:rsidRPr="00945782">
              <w:rPr>
                <w:rFonts w:eastAsia="Calibri"/>
                <w:szCs w:val="18"/>
                <w:lang w:val="ru-RU"/>
              </w:rPr>
              <w:br/>
            </w:r>
            <w:r w:rsidRPr="00945782">
              <w:rPr>
                <w:rFonts w:eastAsia="Calibri"/>
                <w:szCs w:val="18"/>
                <w:lang w:val="ru-RU"/>
              </w:rPr>
              <w:t>2022–2025 гг.</w:t>
            </w:r>
          </w:p>
        </w:tc>
      </w:tr>
      <w:tr w:rsidR="00D82062" w:rsidRPr="00945782" w14:paraId="5C12844B" w14:textId="77777777" w:rsidTr="002F6E1F">
        <w:tc>
          <w:tcPr>
            <w:tcW w:w="4251" w:type="dxa"/>
            <w:tcBorders>
              <w:left w:val="single" w:sz="4" w:space="0" w:color="4BACC6"/>
            </w:tcBorders>
            <w:tcMar>
              <w:top w:w="0" w:type="dxa"/>
              <w:left w:w="108" w:type="dxa"/>
              <w:bottom w:w="0" w:type="dxa"/>
              <w:right w:w="108" w:type="dxa"/>
            </w:tcMar>
            <w:vAlign w:val="center"/>
          </w:tcPr>
          <w:p w14:paraId="58C5C23A" w14:textId="77777777" w:rsidR="00D82062" w:rsidRPr="00945782" w:rsidRDefault="00D82062" w:rsidP="00DE7861">
            <w:pPr>
              <w:pStyle w:val="Tabletext"/>
              <w:rPr>
                <w:rFonts w:eastAsia="Calibri"/>
                <w:szCs w:val="18"/>
                <w:lang w:val="ru-RU"/>
              </w:rPr>
            </w:pPr>
            <w:r w:rsidRPr="00945782">
              <w:rPr>
                <w:rFonts w:eastAsia="Calibri"/>
                <w:szCs w:val="18"/>
                <w:lang w:val="ru-RU"/>
              </w:rPr>
              <w:t>Заявки, зарегистрированные в МСРЧ/Планах</w:t>
            </w:r>
          </w:p>
        </w:tc>
        <w:tc>
          <w:tcPr>
            <w:tcW w:w="899" w:type="dxa"/>
            <w:tcMar>
              <w:top w:w="0" w:type="dxa"/>
              <w:left w:w="108" w:type="dxa"/>
              <w:bottom w:w="0" w:type="dxa"/>
              <w:right w:w="108" w:type="dxa"/>
            </w:tcMar>
            <w:vAlign w:val="center"/>
          </w:tcPr>
          <w:p w14:paraId="35B90CED"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63 893/</w:t>
            </w:r>
          </w:p>
          <w:p w14:paraId="1731C27B"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16 250</w:t>
            </w:r>
          </w:p>
        </w:tc>
        <w:tc>
          <w:tcPr>
            <w:tcW w:w="899" w:type="dxa"/>
            <w:tcMar>
              <w:top w:w="0" w:type="dxa"/>
              <w:left w:w="108" w:type="dxa"/>
              <w:bottom w:w="0" w:type="dxa"/>
              <w:right w:w="108" w:type="dxa"/>
            </w:tcMar>
            <w:vAlign w:val="center"/>
          </w:tcPr>
          <w:p w14:paraId="6AFEAF1D"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71 083 /</w:t>
            </w:r>
          </w:p>
          <w:p w14:paraId="4790E1D9"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28 076</w:t>
            </w:r>
          </w:p>
        </w:tc>
        <w:tc>
          <w:tcPr>
            <w:tcW w:w="899" w:type="dxa"/>
            <w:tcMar>
              <w:top w:w="0" w:type="dxa"/>
              <w:left w:w="108" w:type="dxa"/>
              <w:bottom w:w="0" w:type="dxa"/>
              <w:right w:w="108" w:type="dxa"/>
            </w:tcMar>
            <w:vAlign w:val="center"/>
          </w:tcPr>
          <w:p w14:paraId="1C35147B"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71 072/</w:t>
            </w:r>
          </w:p>
          <w:p w14:paraId="3B5F7392"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16 878</w:t>
            </w:r>
          </w:p>
        </w:tc>
        <w:tc>
          <w:tcPr>
            <w:tcW w:w="900" w:type="dxa"/>
            <w:tcMar>
              <w:top w:w="0" w:type="dxa"/>
              <w:left w:w="108" w:type="dxa"/>
              <w:bottom w:w="0" w:type="dxa"/>
              <w:right w:w="108" w:type="dxa"/>
            </w:tcMar>
            <w:vAlign w:val="center"/>
          </w:tcPr>
          <w:p w14:paraId="57E18D6A"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45 109/</w:t>
            </w:r>
          </w:p>
          <w:p w14:paraId="02FB127F"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21 998</w:t>
            </w:r>
          </w:p>
        </w:tc>
        <w:tc>
          <w:tcPr>
            <w:tcW w:w="1218" w:type="dxa"/>
            <w:tcBorders>
              <w:right w:val="single" w:sz="4" w:space="0" w:color="4BACC6"/>
            </w:tcBorders>
            <w:tcMar>
              <w:top w:w="0" w:type="dxa"/>
              <w:left w:w="108" w:type="dxa"/>
              <w:bottom w:w="0" w:type="dxa"/>
              <w:right w:w="108" w:type="dxa"/>
            </w:tcMar>
            <w:vAlign w:val="center"/>
          </w:tcPr>
          <w:p w14:paraId="750156B1"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251 157/</w:t>
            </w:r>
          </w:p>
          <w:p w14:paraId="4F67CC39"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83 202</w:t>
            </w:r>
          </w:p>
        </w:tc>
      </w:tr>
      <w:tr w:rsidR="00D82062" w:rsidRPr="00945782" w14:paraId="7EC86116" w14:textId="77777777" w:rsidTr="002F6E1F">
        <w:tc>
          <w:tcPr>
            <w:tcW w:w="4251" w:type="dxa"/>
            <w:tcBorders>
              <w:left w:val="single" w:sz="4" w:space="0" w:color="4BACC6"/>
            </w:tcBorders>
            <w:tcMar>
              <w:top w:w="0" w:type="dxa"/>
              <w:left w:w="108" w:type="dxa"/>
              <w:bottom w:w="0" w:type="dxa"/>
              <w:right w:w="108" w:type="dxa"/>
            </w:tcMar>
            <w:vAlign w:val="center"/>
          </w:tcPr>
          <w:p w14:paraId="4D6A0610" w14:textId="77777777" w:rsidR="00D82062" w:rsidRPr="00945782" w:rsidRDefault="00D82062" w:rsidP="00DE7861">
            <w:pPr>
              <w:pStyle w:val="Tabletext"/>
              <w:rPr>
                <w:rFonts w:eastAsia="Calibri"/>
                <w:szCs w:val="18"/>
                <w:lang w:val="ru-RU"/>
              </w:rPr>
            </w:pPr>
            <w:r w:rsidRPr="00945782">
              <w:rPr>
                <w:rFonts w:eastAsia="Calibri"/>
                <w:szCs w:val="18"/>
                <w:lang w:val="ru-RU"/>
              </w:rPr>
              <w:t>Пересмотр заключений по наземным станциям, зарегистрированным в МСРЧ</w:t>
            </w:r>
          </w:p>
        </w:tc>
        <w:tc>
          <w:tcPr>
            <w:tcW w:w="899" w:type="dxa"/>
            <w:tcMar>
              <w:top w:w="0" w:type="dxa"/>
              <w:left w:w="108" w:type="dxa"/>
              <w:bottom w:w="0" w:type="dxa"/>
              <w:right w:w="108" w:type="dxa"/>
            </w:tcMar>
            <w:vAlign w:val="center"/>
          </w:tcPr>
          <w:p w14:paraId="77778553"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1 562</w:t>
            </w:r>
          </w:p>
        </w:tc>
        <w:tc>
          <w:tcPr>
            <w:tcW w:w="899" w:type="dxa"/>
            <w:tcMar>
              <w:top w:w="0" w:type="dxa"/>
              <w:left w:w="108" w:type="dxa"/>
              <w:bottom w:w="0" w:type="dxa"/>
              <w:right w:w="108" w:type="dxa"/>
            </w:tcMar>
            <w:vAlign w:val="center"/>
          </w:tcPr>
          <w:p w14:paraId="3F42C879"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11</w:t>
            </w:r>
          </w:p>
        </w:tc>
        <w:tc>
          <w:tcPr>
            <w:tcW w:w="899" w:type="dxa"/>
            <w:tcMar>
              <w:top w:w="0" w:type="dxa"/>
              <w:left w:w="108" w:type="dxa"/>
              <w:bottom w:w="0" w:type="dxa"/>
              <w:right w:w="108" w:type="dxa"/>
            </w:tcMar>
            <w:vAlign w:val="center"/>
          </w:tcPr>
          <w:p w14:paraId="0011A599"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w:t>
            </w:r>
          </w:p>
        </w:tc>
        <w:tc>
          <w:tcPr>
            <w:tcW w:w="900" w:type="dxa"/>
            <w:tcMar>
              <w:top w:w="0" w:type="dxa"/>
              <w:left w:w="108" w:type="dxa"/>
              <w:bottom w:w="0" w:type="dxa"/>
              <w:right w:w="108" w:type="dxa"/>
            </w:tcMar>
            <w:vAlign w:val="center"/>
          </w:tcPr>
          <w:p w14:paraId="400A97AD"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6 490</w:t>
            </w:r>
          </w:p>
        </w:tc>
        <w:tc>
          <w:tcPr>
            <w:tcW w:w="1218" w:type="dxa"/>
            <w:tcBorders>
              <w:right w:val="single" w:sz="4" w:space="0" w:color="4BACC6"/>
            </w:tcBorders>
            <w:tcMar>
              <w:top w:w="0" w:type="dxa"/>
              <w:left w:w="108" w:type="dxa"/>
              <w:bottom w:w="0" w:type="dxa"/>
              <w:right w:w="108" w:type="dxa"/>
            </w:tcMar>
            <w:vAlign w:val="center"/>
          </w:tcPr>
          <w:p w14:paraId="7169B16C"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8 063</w:t>
            </w:r>
          </w:p>
        </w:tc>
      </w:tr>
      <w:tr w:rsidR="00D82062" w:rsidRPr="00945782" w14:paraId="7FFF28DF" w14:textId="77777777" w:rsidTr="002F6E1F">
        <w:tc>
          <w:tcPr>
            <w:tcW w:w="4251" w:type="dxa"/>
            <w:tcBorders>
              <w:left w:val="single" w:sz="4" w:space="0" w:color="4BACC6"/>
            </w:tcBorders>
            <w:tcMar>
              <w:top w:w="0" w:type="dxa"/>
              <w:left w:w="108" w:type="dxa"/>
              <w:bottom w:w="0" w:type="dxa"/>
              <w:right w:w="108" w:type="dxa"/>
            </w:tcMar>
            <w:vAlign w:val="center"/>
          </w:tcPr>
          <w:p w14:paraId="684175B6" w14:textId="67DA7EC5" w:rsidR="00D82062" w:rsidRPr="00945782" w:rsidRDefault="00D82062" w:rsidP="00DE7861">
            <w:pPr>
              <w:pStyle w:val="Tabletext"/>
              <w:rPr>
                <w:rFonts w:eastAsia="Calibri"/>
                <w:szCs w:val="18"/>
                <w:lang w:val="ru-RU"/>
              </w:rPr>
            </w:pPr>
            <w:r w:rsidRPr="00945782">
              <w:rPr>
                <w:rFonts w:eastAsia="Calibri"/>
                <w:szCs w:val="18"/>
                <w:lang w:val="ru-RU"/>
              </w:rPr>
              <w:t>Заявления береговых и судовых станций о</w:t>
            </w:r>
            <w:r w:rsidR="00A45E95" w:rsidRPr="00945782">
              <w:rPr>
                <w:rFonts w:eastAsia="Calibri"/>
                <w:szCs w:val="18"/>
                <w:lang w:val="ru-RU"/>
              </w:rPr>
              <w:t> </w:t>
            </w:r>
            <w:r w:rsidRPr="00945782">
              <w:rPr>
                <w:rFonts w:eastAsia="Calibri"/>
                <w:szCs w:val="18"/>
                <w:lang w:val="ru-RU"/>
              </w:rPr>
              <w:t>занесении в базу данных морских служб МСЭ</w:t>
            </w:r>
          </w:p>
        </w:tc>
        <w:tc>
          <w:tcPr>
            <w:tcW w:w="899" w:type="dxa"/>
            <w:tcMar>
              <w:top w:w="0" w:type="dxa"/>
              <w:left w:w="108" w:type="dxa"/>
              <w:bottom w:w="0" w:type="dxa"/>
              <w:right w:w="108" w:type="dxa"/>
            </w:tcMar>
            <w:vAlign w:val="center"/>
          </w:tcPr>
          <w:p w14:paraId="324DB689"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1 854</w:t>
            </w:r>
          </w:p>
        </w:tc>
        <w:tc>
          <w:tcPr>
            <w:tcW w:w="899" w:type="dxa"/>
            <w:tcMar>
              <w:top w:w="0" w:type="dxa"/>
              <w:left w:w="108" w:type="dxa"/>
              <w:bottom w:w="0" w:type="dxa"/>
              <w:right w:w="108" w:type="dxa"/>
            </w:tcMar>
            <w:vAlign w:val="center"/>
          </w:tcPr>
          <w:p w14:paraId="6A60836D"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1 818</w:t>
            </w:r>
          </w:p>
        </w:tc>
        <w:tc>
          <w:tcPr>
            <w:tcW w:w="899" w:type="dxa"/>
            <w:tcMar>
              <w:top w:w="0" w:type="dxa"/>
              <w:left w:w="108" w:type="dxa"/>
              <w:bottom w:w="0" w:type="dxa"/>
              <w:right w:w="108" w:type="dxa"/>
            </w:tcMar>
            <w:vAlign w:val="center"/>
          </w:tcPr>
          <w:p w14:paraId="139EEEC0"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683</w:t>
            </w:r>
          </w:p>
        </w:tc>
        <w:tc>
          <w:tcPr>
            <w:tcW w:w="900" w:type="dxa"/>
            <w:tcMar>
              <w:top w:w="0" w:type="dxa"/>
              <w:left w:w="108" w:type="dxa"/>
              <w:bottom w:w="0" w:type="dxa"/>
              <w:right w:w="108" w:type="dxa"/>
            </w:tcMar>
            <w:vAlign w:val="center"/>
          </w:tcPr>
          <w:p w14:paraId="533A02C8"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1 957</w:t>
            </w:r>
          </w:p>
        </w:tc>
        <w:tc>
          <w:tcPr>
            <w:tcW w:w="1218" w:type="dxa"/>
            <w:tcBorders>
              <w:right w:val="single" w:sz="4" w:space="0" w:color="4BACC6"/>
            </w:tcBorders>
            <w:tcMar>
              <w:top w:w="0" w:type="dxa"/>
              <w:left w:w="108" w:type="dxa"/>
              <w:bottom w:w="0" w:type="dxa"/>
              <w:right w:w="108" w:type="dxa"/>
            </w:tcMar>
            <w:vAlign w:val="center"/>
          </w:tcPr>
          <w:p w14:paraId="738993FC"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7 312</w:t>
            </w:r>
          </w:p>
        </w:tc>
      </w:tr>
      <w:tr w:rsidR="00D82062" w:rsidRPr="00945782" w14:paraId="05457A99" w14:textId="77777777" w:rsidTr="002F6E1F">
        <w:tc>
          <w:tcPr>
            <w:tcW w:w="4251" w:type="dxa"/>
            <w:tcBorders>
              <w:left w:val="single" w:sz="4" w:space="0" w:color="4BACC6"/>
            </w:tcBorders>
            <w:tcMar>
              <w:top w:w="0" w:type="dxa"/>
              <w:left w:w="108" w:type="dxa"/>
              <w:bottom w:w="0" w:type="dxa"/>
              <w:right w:w="108" w:type="dxa"/>
            </w:tcMar>
            <w:vAlign w:val="center"/>
          </w:tcPr>
          <w:p w14:paraId="7ACFFCCD" w14:textId="77777777" w:rsidR="00D82062" w:rsidRPr="00945782" w:rsidRDefault="00D82062" w:rsidP="00DE7861">
            <w:pPr>
              <w:pStyle w:val="Tabletext"/>
              <w:rPr>
                <w:rFonts w:eastAsia="Calibri"/>
                <w:szCs w:val="18"/>
                <w:lang w:val="ru-RU"/>
              </w:rPr>
            </w:pPr>
            <w:r w:rsidRPr="00945782">
              <w:rPr>
                <w:rFonts w:eastAsia="Calibri"/>
                <w:szCs w:val="18"/>
                <w:lang w:val="ru-RU"/>
              </w:rPr>
              <w:t>Заявки на радиовещание на высоких частотах</w:t>
            </w:r>
          </w:p>
        </w:tc>
        <w:tc>
          <w:tcPr>
            <w:tcW w:w="899" w:type="dxa"/>
            <w:tcMar>
              <w:top w:w="0" w:type="dxa"/>
              <w:left w:w="108" w:type="dxa"/>
              <w:bottom w:w="0" w:type="dxa"/>
              <w:right w:w="108" w:type="dxa"/>
            </w:tcMar>
            <w:vAlign w:val="center"/>
          </w:tcPr>
          <w:p w14:paraId="1822462D"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11 311</w:t>
            </w:r>
          </w:p>
        </w:tc>
        <w:tc>
          <w:tcPr>
            <w:tcW w:w="899" w:type="dxa"/>
            <w:tcMar>
              <w:top w:w="0" w:type="dxa"/>
              <w:left w:w="108" w:type="dxa"/>
              <w:bottom w:w="0" w:type="dxa"/>
              <w:right w:w="108" w:type="dxa"/>
            </w:tcMar>
            <w:vAlign w:val="center"/>
          </w:tcPr>
          <w:p w14:paraId="75EAF001"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7 969</w:t>
            </w:r>
          </w:p>
        </w:tc>
        <w:tc>
          <w:tcPr>
            <w:tcW w:w="899" w:type="dxa"/>
            <w:tcMar>
              <w:top w:w="0" w:type="dxa"/>
              <w:left w:w="108" w:type="dxa"/>
              <w:bottom w:w="0" w:type="dxa"/>
              <w:right w:w="108" w:type="dxa"/>
            </w:tcMar>
            <w:vAlign w:val="center"/>
          </w:tcPr>
          <w:p w14:paraId="51065764"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10 195</w:t>
            </w:r>
          </w:p>
        </w:tc>
        <w:tc>
          <w:tcPr>
            <w:tcW w:w="900" w:type="dxa"/>
            <w:tcMar>
              <w:top w:w="0" w:type="dxa"/>
              <w:left w:w="108" w:type="dxa"/>
              <w:bottom w:w="0" w:type="dxa"/>
              <w:right w:w="108" w:type="dxa"/>
            </w:tcMar>
            <w:vAlign w:val="center"/>
          </w:tcPr>
          <w:p w14:paraId="7B536912"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10 470</w:t>
            </w:r>
          </w:p>
        </w:tc>
        <w:tc>
          <w:tcPr>
            <w:tcW w:w="1218" w:type="dxa"/>
            <w:tcBorders>
              <w:right w:val="single" w:sz="4" w:space="0" w:color="4BACC6"/>
            </w:tcBorders>
            <w:tcMar>
              <w:top w:w="0" w:type="dxa"/>
              <w:left w:w="108" w:type="dxa"/>
              <w:bottom w:w="0" w:type="dxa"/>
              <w:right w:w="108" w:type="dxa"/>
            </w:tcMar>
            <w:vAlign w:val="center"/>
          </w:tcPr>
          <w:p w14:paraId="49F2DE43"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39 945</w:t>
            </w:r>
          </w:p>
        </w:tc>
      </w:tr>
      <w:tr w:rsidR="00D82062" w:rsidRPr="00945782" w14:paraId="071C4403" w14:textId="77777777" w:rsidTr="002F6E1F">
        <w:tc>
          <w:tcPr>
            <w:tcW w:w="4251" w:type="dxa"/>
            <w:tcBorders>
              <w:left w:val="single" w:sz="4" w:space="0" w:color="4BACC6"/>
            </w:tcBorders>
            <w:tcMar>
              <w:top w:w="0" w:type="dxa"/>
              <w:left w:w="108" w:type="dxa"/>
              <w:bottom w:w="0" w:type="dxa"/>
              <w:right w:w="108" w:type="dxa"/>
            </w:tcMar>
          </w:tcPr>
          <w:p w14:paraId="557CF348" w14:textId="4D808CAA" w:rsidR="00D82062" w:rsidRPr="00945782" w:rsidRDefault="00D82062" w:rsidP="00DE7861">
            <w:pPr>
              <w:pStyle w:val="Tabletext"/>
              <w:rPr>
                <w:rFonts w:eastAsia="Calibri"/>
                <w:szCs w:val="18"/>
                <w:lang w:val="ru-RU"/>
              </w:rPr>
            </w:pPr>
            <w:r w:rsidRPr="00945782">
              <w:rPr>
                <w:rFonts w:eastAsia="Calibri"/>
                <w:szCs w:val="18"/>
                <w:lang w:val="ru-RU"/>
              </w:rPr>
              <w:t>Контрольные наблюдения по программе радиоконтроля на частотах 2</w:t>
            </w:r>
            <w:r w:rsidR="003A4367" w:rsidRPr="00945782">
              <w:rPr>
                <w:rFonts w:eastAsia="Calibri"/>
                <w:szCs w:val="18"/>
                <w:lang w:val="ru-RU"/>
              </w:rPr>
              <w:t xml:space="preserve"> </w:t>
            </w:r>
            <w:r w:rsidRPr="00945782">
              <w:rPr>
                <w:rFonts w:eastAsia="Calibri"/>
                <w:szCs w:val="18"/>
                <w:lang w:val="ru-RU"/>
              </w:rPr>
              <w:t>850−28 000 кГц и 406−406,1 МГц</w:t>
            </w:r>
          </w:p>
        </w:tc>
        <w:tc>
          <w:tcPr>
            <w:tcW w:w="899" w:type="dxa"/>
            <w:tcMar>
              <w:top w:w="0" w:type="dxa"/>
              <w:left w:w="108" w:type="dxa"/>
              <w:bottom w:w="0" w:type="dxa"/>
              <w:right w:w="108" w:type="dxa"/>
            </w:tcMar>
            <w:vAlign w:val="center"/>
          </w:tcPr>
          <w:p w14:paraId="626F3BE5" w14:textId="77777777" w:rsidR="002F6E1F" w:rsidRPr="00945782" w:rsidRDefault="00D82062" w:rsidP="002F6E1F">
            <w:pPr>
              <w:pStyle w:val="Tabletext"/>
              <w:jc w:val="center"/>
              <w:rPr>
                <w:rFonts w:eastAsia="Calibri"/>
                <w:szCs w:val="18"/>
                <w:lang w:val="ru-RU"/>
              </w:rPr>
            </w:pPr>
            <w:r w:rsidRPr="00945782">
              <w:rPr>
                <w:rFonts w:eastAsia="Calibri"/>
                <w:szCs w:val="18"/>
                <w:lang w:val="ru-RU"/>
              </w:rPr>
              <w:t>25 530/</w:t>
            </w:r>
          </w:p>
          <w:p w14:paraId="358DF7BC" w14:textId="68320824" w:rsidR="00D82062" w:rsidRPr="00945782" w:rsidRDefault="00D82062" w:rsidP="002F6E1F">
            <w:pPr>
              <w:pStyle w:val="Tabletext"/>
              <w:jc w:val="center"/>
              <w:rPr>
                <w:rFonts w:eastAsia="Calibri"/>
                <w:szCs w:val="18"/>
                <w:lang w:val="ru-RU"/>
              </w:rPr>
            </w:pPr>
            <w:r w:rsidRPr="00945782">
              <w:rPr>
                <w:rFonts w:eastAsia="Calibri"/>
                <w:szCs w:val="18"/>
                <w:lang w:val="ru-RU"/>
              </w:rPr>
              <w:t>407</w:t>
            </w:r>
          </w:p>
        </w:tc>
        <w:tc>
          <w:tcPr>
            <w:tcW w:w="899" w:type="dxa"/>
            <w:tcMar>
              <w:top w:w="0" w:type="dxa"/>
              <w:left w:w="108" w:type="dxa"/>
              <w:bottom w:w="0" w:type="dxa"/>
              <w:right w:w="108" w:type="dxa"/>
            </w:tcMar>
            <w:vAlign w:val="center"/>
          </w:tcPr>
          <w:p w14:paraId="2265B453"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29 909/</w:t>
            </w:r>
          </w:p>
          <w:p w14:paraId="32C3A381"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612</w:t>
            </w:r>
          </w:p>
        </w:tc>
        <w:tc>
          <w:tcPr>
            <w:tcW w:w="899" w:type="dxa"/>
            <w:tcMar>
              <w:top w:w="0" w:type="dxa"/>
              <w:left w:w="108" w:type="dxa"/>
              <w:bottom w:w="0" w:type="dxa"/>
              <w:right w:w="108" w:type="dxa"/>
            </w:tcMar>
            <w:vAlign w:val="center"/>
          </w:tcPr>
          <w:p w14:paraId="16644D0E"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27 854/</w:t>
            </w:r>
          </w:p>
          <w:p w14:paraId="20ECC69D"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920</w:t>
            </w:r>
          </w:p>
        </w:tc>
        <w:tc>
          <w:tcPr>
            <w:tcW w:w="900" w:type="dxa"/>
            <w:tcMar>
              <w:top w:w="0" w:type="dxa"/>
              <w:left w:w="108" w:type="dxa"/>
              <w:bottom w:w="0" w:type="dxa"/>
              <w:right w:w="108" w:type="dxa"/>
            </w:tcMar>
            <w:vAlign w:val="center"/>
          </w:tcPr>
          <w:p w14:paraId="368C352D"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33 406/</w:t>
            </w:r>
          </w:p>
          <w:p w14:paraId="3BE0C568"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1 114</w:t>
            </w:r>
          </w:p>
        </w:tc>
        <w:tc>
          <w:tcPr>
            <w:tcW w:w="1218" w:type="dxa"/>
            <w:tcBorders>
              <w:right w:val="single" w:sz="4" w:space="0" w:color="4BACC6"/>
            </w:tcBorders>
            <w:tcMar>
              <w:top w:w="0" w:type="dxa"/>
              <w:left w:w="108" w:type="dxa"/>
              <w:bottom w:w="0" w:type="dxa"/>
              <w:right w:w="108" w:type="dxa"/>
            </w:tcMar>
            <w:vAlign w:val="center"/>
          </w:tcPr>
          <w:p w14:paraId="3901FA41"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116 699/</w:t>
            </w:r>
          </w:p>
          <w:p w14:paraId="1BEA506E"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3 053</w:t>
            </w:r>
          </w:p>
        </w:tc>
      </w:tr>
      <w:tr w:rsidR="00D82062" w:rsidRPr="00945782" w14:paraId="3191260E" w14:textId="77777777" w:rsidTr="002F6E1F">
        <w:tc>
          <w:tcPr>
            <w:tcW w:w="4251" w:type="dxa"/>
            <w:tcBorders>
              <w:left w:val="single" w:sz="4" w:space="0" w:color="4BACC6"/>
              <w:bottom w:val="single" w:sz="4" w:space="0" w:color="4BACC6"/>
            </w:tcBorders>
            <w:tcMar>
              <w:top w:w="0" w:type="dxa"/>
              <w:left w:w="108" w:type="dxa"/>
              <w:bottom w:w="0" w:type="dxa"/>
              <w:right w:w="108" w:type="dxa"/>
            </w:tcMar>
          </w:tcPr>
          <w:p w14:paraId="6269D578" w14:textId="77777777" w:rsidR="00D82062" w:rsidRPr="00945782" w:rsidRDefault="00D82062" w:rsidP="00DE7861">
            <w:pPr>
              <w:pStyle w:val="Tabletext"/>
              <w:rPr>
                <w:rFonts w:eastAsia="Calibri"/>
                <w:szCs w:val="18"/>
                <w:lang w:val="ru-RU"/>
              </w:rPr>
            </w:pPr>
            <w:r w:rsidRPr="00945782">
              <w:rPr>
                <w:rFonts w:eastAsia="Calibri"/>
                <w:szCs w:val="18"/>
                <w:lang w:val="ru-RU"/>
              </w:rPr>
              <w:t>Сообщения о вредных помехах</w:t>
            </w:r>
          </w:p>
        </w:tc>
        <w:tc>
          <w:tcPr>
            <w:tcW w:w="899" w:type="dxa"/>
            <w:tcBorders>
              <w:bottom w:val="single" w:sz="4" w:space="0" w:color="4BACC6"/>
            </w:tcBorders>
            <w:tcMar>
              <w:top w:w="0" w:type="dxa"/>
              <w:left w:w="108" w:type="dxa"/>
              <w:bottom w:w="0" w:type="dxa"/>
              <w:right w:w="108" w:type="dxa"/>
            </w:tcMar>
            <w:vAlign w:val="center"/>
          </w:tcPr>
          <w:p w14:paraId="112F4725"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1 007</w:t>
            </w:r>
          </w:p>
        </w:tc>
        <w:tc>
          <w:tcPr>
            <w:tcW w:w="899" w:type="dxa"/>
            <w:tcBorders>
              <w:bottom w:val="single" w:sz="4" w:space="0" w:color="4BACC6"/>
            </w:tcBorders>
            <w:tcMar>
              <w:top w:w="0" w:type="dxa"/>
              <w:left w:w="108" w:type="dxa"/>
              <w:bottom w:w="0" w:type="dxa"/>
              <w:right w:w="108" w:type="dxa"/>
            </w:tcMar>
            <w:vAlign w:val="center"/>
          </w:tcPr>
          <w:p w14:paraId="5DC91528"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1 110</w:t>
            </w:r>
          </w:p>
        </w:tc>
        <w:tc>
          <w:tcPr>
            <w:tcW w:w="899" w:type="dxa"/>
            <w:tcBorders>
              <w:bottom w:val="single" w:sz="4" w:space="0" w:color="4BACC6"/>
            </w:tcBorders>
            <w:tcMar>
              <w:top w:w="0" w:type="dxa"/>
              <w:left w:w="108" w:type="dxa"/>
              <w:bottom w:w="0" w:type="dxa"/>
              <w:right w:w="108" w:type="dxa"/>
            </w:tcMar>
            <w:vAlign w:val="center"/>
          </w:tcPr>
          <w:p w14:paraId="063D7AA6"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1 100</w:t>
            </w:r>
          </w:p>
        </w:tc>
        <w:tc>
          <w:tcPr>
            <w:tcW w:w="900" w:type="dxa"/>
            <w:tcBorders>
              <w:bottom w:val="single" w:sz="4" w:space="0" w:color="4BACC6"/>
            </w:tcBorders>
            <w:tcMar>
              <w:top w:w="0" w:type="dxa"/>
              <w:left w:w="108" w:type="dxa"/>
              <w:bottom w:w="0" w:type="dxa"/>
              <w:right w:w="108" w:type="dxa"/>
            </w:tcMar>
            <w:vAlign w:val="center"/>
          </w:tcPr>
          <w:p w14:paraId="7F96E0FB"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1 140</w:t>
            </w:r>
          </w:p>
        </w:tc>
        <w:tc>
          <w:tcPr>
            <w:tcW w:w="1218" w:type="dxa"/>
            <w:tcBorders>
              <w:bottom w:val="single" w:sz="4" w:space="0" w:color="4BACC6"/>
              <w:right w:val="single" w:sz="4" w:space="0" w:color="4BACC6"/>
            </w:tcBorders>
            <w:tcMar>
              <w:top w:w="0" w:type="dxa"/>
              <w:left w:w="108" w:type="dxa"/>
              <w:bottom w:w="0" w:type="dxa"/>
              <w:right w:w="108" w:type="dxa"/>
            </w:tcMar>
            <w:vAlign w:val="center"/>
          </w:tcPr>
          <w:p w14:paraId="5A42039B" w14:textId="77777777" w:rsidR="00D82062" w:rsidRPr="00945782" w:rsidRDefault="00D82062" w:rsidP="002F6E1F">
            <w:pPr>
              <w:pStyle w:val="Tabletext"/>
              <w:jc w:val="center"/>
              <w:rPr>
                <w:rFonts w:eastAsia="Calibri"/>
                <w:szCs w:val="18"/>
                <w:lang w:val="ru-RU"/>
              </w:rPr>
            </w:pPr>
            <w:r w:rsidRPr="00945782">
              <w:rPr>
                <w:rFonts w:eastAsia="Calibri"/>
                <w:szCs w:val="18"/>
                <w:lang w:val="ru-RU"/>
              </w:rPr>
              <w:t>4 357</w:t>
            </w:r>
          </w:p>
        </w:tc>
      </w:tr>
    </w:tbl>
    <w:p w14:paraId="286DAB46" w14:textId="1AF10BF4" w:rsidR="00D82062" w:rsidRPr="00945782" w:rsidRDefault="00D82062" w:rsidP="00DE7861">
      <w:pPr>
        <w:pStyle w:val="Tableref"/>
        <w:rPr>
          <w:lang w:val="ru-RU"/>
        </w:rPr>
      </w:pPr>
      <w:bookmarkStart w:id="68" w:name="Table2"/>
      <w:r w:rsidRPr="00945782">
        <w:rPr>
          <w:lang w:val="ru-RU"/>
        </w:rPr>
        <w:t>Таблица 2</w:t>
      </w:r>
      <w:r w:rsidR="00DE7861" w:rsidRPr="00945782">
        <w:rPr>
          <w:lang w:val="ru-RU"/>
        </w:rPr>
        <w:t xml:space="preserve"> −</w:t>
      </w:r>
      <w:r w:rsidRPr="00945782">
        <w:rPr>
          <w:lang w:val="ru-RU"/>
        </w:rPr>
        <w:t xml:space="preserve"> Заявки на наземные службы, 2022–2025 годы</w:t>
      </w:r>
    </w:p>
    <w:bookmarkEnd w:id="68"/>
    <w:p w14:paraId="12505B26" w14:textId="77777777" w:rsidR="00D82062" w:rsidRPr="00945782" w:rsidRDefault="00D82062" w:rsidP="005D1DAD">
      <w:pPr>
        <w:pStyle w:val="Headingb"/>
        <w:rPr>
          <w:lang w:val="ru-RU"/>
        </w:rPr>
      </w:pPr>
      <w:r w:rsidRPr="00945782">
        <w:rPr>
          <w:lang w:val="ru-RU"/>
        </w:rPr>
        <w:t>Совершенствование и развитие программных средств МСЭ-R (2022–2025 гг.)</w:t>
      </w:r>
    </w:p>
    <w:p w14:paraId="2FC5758E" w14:textId="77777777" w:rsidR="00D82062" w:rsidRPr="00945782" w:rsidRDefault="00D82062" w:rsidP="005D1DAD">
      <w:pPr>
        <w:rPr>
          <w:lang w:val="ru-RU"/>
        </w:rPr>
      </w:pPr>
      <w:r w:rsidRPr="00945782">
        <w:rPr>
          <w:lang w:val="ru-RU"/>
        </w:rPr>
        <w:t>В период 2022–2025 годов был достигнут значительный прогресс в разработке программных приложений и инструментов, при этом усилия были сосредоточены на расширении доступа пользователей к результатам деятельности МСЭ-R и повышении общей эффективности служб радиосвязи.</w:t>
      </w:r>
    </w:p>
    <w:p w14:paraId="453B9DA1" w14:textId="5AE8C0DC" w:rsidR="00D82062" w:rsidRPr="00945782" w:rsidRDefault="00D82062" w:rsidP="005D1DAD">
      <w:pPr>
        <w:rPr>
          <w:lang w:val="ru-RU"/>
        </w:rPr>
      </w:pPr>
      <w:r w:rsidRPr="00945782">
        <w:rPr>
          <w:lang w:val="ru-RU"/>
        </w:rPr>
        <w:t>В 2022 году БР уделило основное внимание обновлению ключевых программных приложений, позволяющих пользователям осуществлять поиск по Таблице распределения частот (ТРЧ) и связанным с ней нормативным текстам, а также анализировать соответствующие данные. К</w:t>
      </w:r>
      <w:r w:rsidR="005D1DAD" w:rsidRPr="00945782">
        <w:rPr>
          <w:lang w:val="ru-RU"/>
        </w:rPr>
        <w:t> </w:t>
      </w:r>
      <w:r w:rsidRPr="00945782">
        <w:rPr>
          <w:lang w:val="ru-RU"/>
        </w:rPr>
        <w:t xml:space="preserve">основным усовершенствованиям относится разработка инструментов для обработки запросов на координацию и уведомлений о станциях на высотных платформах (HAPS). Еще одним существенным результатом стала также миграция базы данных TerRaSys на сервер SQL (Структурированного языка запросов), а также интеграция веб-инструментов eTerrestrial для </w:t>
      </w:r>
      <w:r w:rsidRPr="00945782">
        <w:rPr>
          <w:lang w:val="ru-RU"/>
        </w:rPr>
        <w:lastRenderedPageBreak/>
        <w:t>различных наземных служб. Кроме того, были усовершенствованы онлайн-инструменты для обеспечения совместимости GE84, а программное обеспечение для радиовещания на высоких частотах было переработано в целях улучшения пользовательского опыта. Была создана новая онлайн-система отслеживания вредных помех (HITS) для обработки сообщений о вредных помехах, а также предприняты шаги по модернизации систем космической информации и внедрению систем электронной связи для подачи заявок на регистрацию спутниковых сетей.</w:t>
      </w:r>
    </w:p>
    <w:p w14:paraId="1B1B098D" w14:textId="40422145" w:rsidR="00D82062" w:rsidRPr="00945782" w:rsidRDefault="00D82062" w:rsidP="005D1DAD">
      <w:pPr>
        <w:rPr>
          <w:lang w:val="ru-RU"/>
        </w:rPr>
      </w:pPr>
      <w:r w:rsidRPr="00945782">
        <w:rPr>
          <w:lang w:val="ru-RU"/>
        </w:rPr>
        <w:t>В 2023 году эта работа продолжилась, и был достигнут прогресс в разработке программных средств, связанных с Системой космической информации БР. К ключевым достижениям относится приближение к этапу приемочного пользовательского тестирования модернизированного программного обеспечения PXT и дальнейшее развитие системы электронной подачи, обеспечивающей соответствие последним резолюциям Всемирной конференции радиосвязи (ВКР-23). Значимым нововведением стало создание онлайн-инструмента проверки, предназначенного для оказания помощи администрациям в подтверждении соответствия заявок на регистрацию спутниковых сетей установленным требованиям. Кроме того, Международный информационный циркуляр БР по частотам (ИФИК БР) для космических служб был переведен из формата DVD в более доступный формат веб</w:t>
      </w:r>
      <w:r w:rsidR="005D1DAD" w:rsidRPr="00945782">
        <w:rPr>
          <w:rFonts w:ascii="Cambria Math" w:hAnsi="Cambria Math"/>
          <w:lang w:val="ru-RU"/>
        </w:rPr>
        <w:t>‑</w:t>
      </w:r>
      <w:r w:rsidRPr="00945782">
        <w:rPr>
          <w:lang w:val="ru-RU"/>
        </w:rPr>
        <w:t>приложения, что усилило взаимодействие пользователей с важной информации по космическим службам.</w:t>
      </w:r>
    </w:p>
    <w:p w14:paraId="774A1473" w14:textId="77777777" w:rsidR="00D82062" w:rsidRPr="00945782" w:rsidRDefault="00D82062" w:rsidP="005D1DAD">
      <w:pPr>
        <w:rPr>
          <w:lang w:val="ru-RU"/>
        </w:rPr>
      </w:pPr>
      <w:r w:rsidRPr="00945782">
        <w:rPr>
          <w:lang w:val="ru-RU"/>
        </w:rPr>
        <w:t xml:space="preserve">В 2024 году БР официально выпустило онлайн-приложение </w:t>
      </w:r>
      <w:hyperlink r:id="rId119" w:history="1">
        <w:r w:rsidRPr="00945782">
          <w:rPr>
            <w:rStyle w:val="Hyperlink"/>
            <w:rFonts w:asciiTheme="minorHAnsi" w:hAnsiTheme="minorHAnsi" w:cstheme="minorHAnsi"/>
            <w:szCs w:val="22"/>
            <w:lang w:val="ru-RU"/>
          </w:rPr>
          <w:t>ИФИК БР (космические службы)</w:t>
        </w:r>
      </w:hyperlink>
      <w:r w:rsidRPr="00945782">
        <w:rPr>
          <w:lang w:val="ru-RU"/>
        </w:rPr>
        <w:t>, обеспечивающее круглосуточный доступ к ключевой информации по частотам. Среди значимых инициатив года: внедрение веб-приложения ITU Space Explorer для совершенствования подачи представлений по спутниковым сетям и внедрение усовершенствований в систему электронной подачи, включая поддержку загрузки данных в новом формате SNS v10 и улучшение управления перепиской благодаря интеграции с системой электронной коммуникации.</w:t>
      </w:r>
    </w:p>
    <w:p w14:paraId="6FFF82C0" w14:textId="77777777" w:rsidR="00D82062" w:rsidRPr="00945782" w:rsidRDefault="00D82062" w:rsidP="005D1DAD">
      <w:pPr>
        <w:rPr>
          <w:lang w:val="ru-RU"/>
        </w:rPr>
      </w:pPr>
      <w:r w:rsidRPr="00945782">
        <w:rPr>
          <w:lang w:val="ru-RU"/>
        </w:rPr>
        <w:t xml:space="preserve">Кроме того, БР добилось значительного прогресса в области </w:t>
      </w:r>
      <w:hyperlink r:id="rId120" w:history="1">
        <w:r w:rsidRPr="00945782">
          <w:rPr>
            <w:rStyle w:val="Hyperlink"/>
            <w:rFonts w:asciiTheme="minorHAnsi" w:hAnsiTheme="minorHAnsi" w:cstheme="minorHAnsi"/>
            <w:szCs w:val="22"/>
            <w:lang w:val="ru-RU"/>
          </w:rPr>
          <w:t>приложений для наземных служб</w:t>
        </w:r>
      </w:hyperlink>
      <w:r w:rsidRPr="00945782">
        <w:rPr>
          <w:lang w:val="ru-RU"/>
        </w:rPr>
        <w:t>, обновив программное обеспечение для обработки заявок и уведомлений в соответствии с п. 9.21 Регламента радиосвязи. Были разработаны новые инструменты, а существующие интегрированы в единый портал, что существенно улучшило пользовательский опыт.</w:t>
      </w:r>
    </w:p>
    <w:p w14:paraId="3847ED12" w14:textId="77777777" w:rsidR="00D82062" w:rsidRPr="00945782" w:rsidRDefault="00D82062" w:rsidP="005D1DAD">
      <w:pPr>
        <w:rPr>
          <w:lang w:val="ru-RU"/>
        </w:rPr>
      </w:pPr>
      <w:r w:rsidRPr="00945782">
        <w:rPr>
          <w:lang w:val="ru-RU"/>
        </w:rPr>
        <w:t>В 2025 году БР внедрило программное обеспечение, обеспечивающее реализацию большинства изменений, принятых в ходе ВКР-23, что сделало возможной обработку частотных уведомлений для наземных и космических служб в соответствии с изданием Регламента радиосвязи 2024 года. Были также усовершенствованы веб-приложения БР, что упростило подачу информации по заявкам на спутниковые сети и обмен ею для администраций и операторов спутниковых сетей. Программное обеспечение, реализующее Решение Совета 482 (Изм. 2025 г.), было предоставлено до вступления в силу последней редакции. Была усовершенствована Система представления донесений о помехах спутниковым службам и разрешения проблемы помех (SIRRS), что позволило организациям системы ООН, таким как ИКАО, направлять в МСЭ донесения и сообщения о вредных помехах.</w:t>
      </w:r>
    </w:p>
    <w:p w14:paraId="3A5EA5FA" w14:textId="1E5047F2" w:rsidR="00D82062" w:rsidRPr="00945782" w:rsidRDefault="00D82062" w:rsidP="005D1DAD">
      <w:pPr>
        <w:rPr>
          <w:lang w:val="ru-RU"/>
        </w:rPr>
      </w:pPr>
      <w:r w:rsidRPr="00945782">
        <w:rPr>
          <w:lang w:val="ru-RU"/>
        </w:rPr>
        <w:t>В 2025 году БР завершило разработку и выпустило обновленную версию Инструмента навигации по Регламенту радиосвязи с учетом издания Регламента радиосвязи 2024 года (ВКР</w:t>
      </w:r>
      <w:r w:rsidR="005D1DAD" w:rsidRPr="00945782">
        <w:rPr>
          <w:rFonts w:ascii="Cambria Math" w:hAnsi="Cambria Math"/>
          <w:lang w:val="ru-RU"/>
        </w:rPr>
        <w:t>‑</w:t>
      </w:r>
      <w:r w:rsidRPr="00945782">
        <w:rPr>
          <w:lang w:val="ru-RU"/>
        </w:rPr>
        <w:t>23) и последних редакций основополагающих документов МСЭ (Конституции и Конвенции). Соответствующим образом был также обновлен программный инструмент для поиска и анализа по Таблице распределения частот Статьи 5 РР. Кроме того, БР официально выпустило онлайн-приложение ИФИК БР (наземные службы), обеспечивающее круглосуточный доступ к информации по частотам для наземных служб и позволяющее осуществлять онлайн-проверку уведомлений о присвоениях частот до их представления в БР. Помимо этого, БР завершило модернизацию публикаций по морской службе, включая разработку цифровых публикаций, создание платформы продаж и внедрение мер по защите от подделок.</w:t>
      </w:r>
    </w:p>
    <w:p w14:paraId="5C124AE0" w14:textId="77777777" w:rsidR="00D82062" w:rsidRPr="00945782" w:rsidRDefault="00D82062" w:rsidP="005D1DAD">
      <w:pPr>
        <w:rPr>
          <w:lang w:val="ru-RU"/>
        </w:rPr>
      </w:pPr>
      <w:r w:rsidRPr="00945782">
        <w:rPr>
          <w:lang w:val="ru-RU"/>
        </w:rPr>
        <w:lastRenderedPageBreak/>
        <w:t xml:space="preserve">В 2025 году был выпущен также </w:t>
      </w:r>
      <w:hyperlink r:id="rId121" w:history="1">
        <w:r w:rsidRPr="00945782">
          <w:rPr>
            <w:rStyle w:val="Hyperlink"/>
            <w:rFonts w:asciiTheme="minorHAnsi" w:hAnsiTheme="minorHAnsi" w:cstheme="minorHAnsi"/>
            <w:szCs w:val="22"/>
            <w:lang w:val="ru-RU"/>
          </w:rPr>
          <w:t>Каталог геопространственных данных</w:t>
        </w:r>
      </w:hyperlink>
      <w:r w:rsidRPr="00945782">
        <w:rPr>
          <w:lang w:val="ru-RU"/>
        </w:rPr>
        <w:t xml:space="preserve"> МСЭ-R, включающий географические, геополитические и радиометеорологические данные, используемые при разработке и применении методов прогнозирования распространения радиоволн и позволяющие БР проводить точный технический анализ для обеспечения работы систем радиосвязи без помех.</w:t>
      </w:r>
    </w:p>
    <w:p w14:paraId="44CF5229" w14:textId="77777777" w:rsidR="00D82062" w:rsidRPr="00945782" w:rsidRDefault="00D82062" w:rsidP="005D1DAD">
      <w:pPr>
        <w:rPr>
          <w:lang w:val="ru-RU"/>
        </w:rPr>
      </w:pPr>
      <w:r w:rsidRPr="00945782">
        <w:rPr>
          <w:lang w:val="ru-RU"/>
        </w:rPr>
        <w:t>Таким образом, усовершенствования, реализованные в период 2022–2025 годов, позволили оптимизировать процессы, упростить доступ к важной информации и повысить эффективность взаимодействия для членов и заинтересованных сторон в области радиосвязи, создав прочную основу для дальнейшего технологического развития.</w:t>
      </w:r>
    </w:p>
    <w:p w14:paraId="608FC01D" w14:textId="06DDEAFE" w:rsidR="00D82062" w:rsidRPr="00945782" w:rsidRDefault="00D82062" w:rsidP="005D1DAD">
      <w:pPr>
        <w:pStyle w:val="Heading3"/>
        <w:rPr>
          <w:lang w:val="ru-RU"/>
        </w:rPr>
      </w:pPr>
      <w:bookmarkStart w:id="69" w:name="_Toc227062859"/>
      <w:bookmarkStart w:id="70" w:name="_Toc227850247"/>
      <w:r w:rsidRPr="00945782">
        <w:rPr>
          <w:lang w:val="ru-RU"/>
        </w:rPr>
        <w:t>4.2.2</w:t>
      </w:r>
      <w:r w:rsidR="005D1DAD" w:rsidRPr="00945782">
        <w:rPr>
          <w:lang w:val="ru-RU"/>
        </w:rPr>
        <w:tab/>
      </w:r>
      <w:r w:rsidRPr="00945782">
        <w:rPr>
          <w:lang w:val="ru-RU"/>
        </w:rPr>
        <w:t>Ресурсы нумерации, наименования, адресации и идентификации</w:t>
      </w:r>
      <w:bookmarkEnd w:id="69"/>
      <w:bookmarkEnd w:id="70"/>
    </w:p>
    <w:p w14:paraId="05CA14D8" w14:textId="77777777" w:rsidR="00D82062" w:rsidRPr="00945782" w:rsidRDefault="00D82062" w:rsidP="005D1DAD">
      <w:pPr>
        <w:pStyle w:val="Headingb"/>
        <w:rPr>
          <w:lang w:val="ru-RU"/>
        </w:rPr>
      </w:pPr>
      <w:r w:rsidRPr="00945782">
        <w:rPr>
          <w:lang w:val="ru-RU"/>
        </w:rPr>
        <w:t>Расширение глобальной возможности установления соединений: эволюция управления ресурсами ННАИ</w:t>
      </w:r>
    </w:p>
    <w:p w14:paraId="348E630F" w14:textId="77777777" w:rsidR="00D82062" w:rsidRPr="00945782" w:rsidRDefault="00D82062" w:rsidP="005D1DAD">
      <w:pPr>
        <w:rPr>
          <w:lang w:val="ru-RU"/>
        </w:rPr>
      </w:pPr>
      <w:r w:rsidRPr="00945782">
        <w:rPr>
          <w:lang w:val="ru-RU"/>
        </w:rPr>
        <w:t>Ресурсы нумерации, наименования, адресации и идентификации (ННАИ), регулируемые соответствующими Рекомендациями МСЭ-Т, играют незаменимую роль в обеспечении глобальной возможности установления соединений в фиксированных, подвижных и спутниковых сетях электросвязи. Мандаты, содержащиеся в Конституции и Конвенции МСЭ, Регламенте международной электросвязи, а также соответствующих Рекомендациях МСЭ-Т, реализуются посредством распространения информации, утвержденной национальными администрациями. Обновления присвоений, изменения и изъятия ресурсов ННАИ, администрируемых национальными администраторами, доводятся до сведения МСЭ, публикуются в Оперативном бюллетене МСЭ (два выпуска в месяц), размещаются на веб-сайте МСЭ и отражаются в базах данных МСЭ. Кроме того, по ряду международных ресурсов МСЭ напрямую присваивает ресурсы Государствам-Членам и правомочным субъектам (например, операторам) в соответствии с установленными процедурами, предусмотренными соответствующими Рекомендациями МСЭ-Т, и в консультации с компетентной Исследовательской комиссией МСЭ-Т, ее председателем и/или назначенными советниками.</w:t>
      </w:r>
    </w:p>
    <w:p w14:paraId="557AFFF4" w14:textId="77777777" w:rsidR="00D82062" w:rsidRPr="00945782" w:rsidRDefault="00D82062" w:rsidP="005D1DAD">
      <w:pPr>
        <w:rPr>
          <w:lang w:val="ru-RU"/>
        </w:rPr>
      </w:pPr>
      <w:r w:rsidRPr="00945782">
        <w:rPr>
          <w:lang w:val="ru-RU"/>
        </w:rPr>
        <w:t>В период 2022–2025 годов спрос на международные ресурсы ННАИ электросвязи значительно возрос, главным образом в связи с развитием услуг межмашинного взаимодействия (M2M) и интернета вещей (IoT), а также расширением услуг с использованием спутников на низкой околоземной орбите (LEO). Этот рост потребовал большей гибкости в управлении ресурсами, особенно с учетом появления встроенных SIM-карт (eSIM). На ВАСЭ-24, состоявшейся в октябре 2024 года, ключевые Резолюции (60, 61 и 20), касающиеся международной нумерации электросвязи, были пересмотрены в целях адаптации к этим вызовам. В течение указанного периода 2-я Исследовательская комиссия МСЭ-Т играла ключевую роль в решении проблем, связанных с нумерацией, путем обновления Рекомендаций и ввода новых процедур, направленных на повышение прозрачности процесса подачи заявок. Кроме того, были доработаны соответствующие Рекомендации для поддержки новых моделей установления соединений, включая новую Рекомендацию МСЭ-Т по международным ресурсам ННАИ для услуг/приложений IoT/M2M, а также работу по созданию новой категории ресурса E.164 для глобальных спутниковых услуг в координации с соответствующими рабочими группами МСЭ-R.</w:t>
      </w:r>
    </w:p>
    <w:p w14:paraId="6ABA14BF" w14:textId="2842C0CE" w:rsidR="00D82062" w:rsidRPr="00945782" w:rsidRDefault="00D82062" w:rsidP="005D1DAD">
      <w:pPr>
        <w:rPr>
          <w:lang w:val="ru-RU"/>
        </w:rPr>
      </w:pPr>
      <w:r w:rsidRPr="00945782">
        <w:rPr>
          <w:lang w:val="ru-RU"/>
        </w:rPr>
        <w:t>В отношении международных ресурсов ННАИ электросвязи, присваиваемых непосредственно в рамках полномочий Директора Бюро стандартизации электросвязи МСЭ (БСЭ), уточнение процедур присвоения (</w:t>
      </w:r>
      <w:hyperlink r:id="rId122" w:history="1">
        <w:r w:rsidRPr="00945782">
          <w:rPr>
            <w:rStyle w:val="Hyperlink"/>
            <w:rFonts w:asciiTheme="minorHAnsi" w:hAnsiTheme="minorHAnsi" w:cstheme="minorHAnsi"/>
            <w:szCs w:val="22"/>
            <w:lang w:val="ru-RU"/>
          </w:rPr>
          <w:t>Рекомендация E.1120</w:t>
        </w:r>
        <w:r w:rsidRPr="00945782">
          <w:rPr>
            <w:rStyle w:val="Hyperlink"/>
            <w:lang w:val="ru-RU"/>
          </w:rPr>
          <w:t xml:space="preserve"> </w:t>
        </w:r>
        <w:r w:rsidRPr="00945782">
          <w:rPr>
            <w:rStyle w:val="Hyperlink"/>
            <w:rFonts w:asciiTheme="minorHAnsi" w:hAnsiTheme="minorHAnsi" w:cstheme="minorHAnsi"/>
            <w:szCs w:val="22"/>
            <w:lang w:val="ru-RU"/>
          </w:rPr>
          <w:t>МСЭ-Т</w:t>
        </w:r>
      </w:hyperlink>
      <w:r w:rsidRPr="00945782">
        <w:rPr>
          <w:lang w:val="ru-RU"/>
        </w:rPr>
        <w:t>) способствовало укреплению управления, прозрачности и операционной деятельности, ужесточению контроля жизненного цикла (включая ежегодную сертификацию и изъятие) и дополнению экосистемы посредством ввода механизма аудита (</w:t>
      </w:r>
      <w:hyperlink r:id="rId123" w:history="1">
        <w:r w:rsidRPr="00945782">
          <w:rPr>
            <w:rStyle w:val="Hyperlink"/>
            <w:rFonts w:asciiTheme="minorHAnsi" w:hAnsiTheme="minorHAnsi" w:cstheme="minorHAnsi"/>
            <w:szCs w:val="22"/>
            <w:lang w:val="ru-RU"/>
          </w:rPr>
          <w:t>Рекомендация E.1121</w:t>
        </w:r>
        <w:r w:rsidRPr="00945782">
          <w:rPr>
            <w:rStyle w:val="Hyperlink"/>
            <w:lang w:val="ru-RU"/>
          </w:rPr>
          <w:t xml:space="preserve"> </w:t>
        </w:r>
        <w:r w:rsidRPr="00945782">
          <w:rPr>
            <w:rStyle w:val="Hyperlink"/>
            <w:rFonts w:asciiTheme="minorHAnsi" w:hAnsiTheme="minorHAnsi" w:cstheme="minorHAnsi"/>
            <w:szCs w:val="22"/>
            <w:lang w:val="ru-RU"/>
          </w:rPr>
          <w:t>МСЭ-Т</w:t>
        </w:r>
      </w:hyperlink>
      <w:r w:rsidRPr="00945782">
        <w:rPr>
          <w:lang w:val="ru-RU"/>
        </w:rPr>
        <w:t xml:space="preserve">), позволяющего проверять, что присвоения остаются действительными, надлежащим образом администрируются и используются. Были также усовершенствованы веб-страницы по нумерации, ориентированные на пользователей, и </w:t>
      </w:r>
      <w:r w:rsidRPr="00945782">
        <w:rPr>
          <w:lang w:val="ru-RU"/>
        </w:rPr>
        <w:lastRenderedPageBreak/>
        <w:t xml:space="preserve">руководящие материалы для заявителей в целях уменьшения задержек, связанных с неполными заявками. Были усилены требования в отношении ежегодной сертификации и последствий за неуплату, а также осуществлен переход от обсуждения политики к конкретным действиям по изъятию, что способствовало повышению точности баз данных и сокращению накопления неиспользуемых или "зависших" ресурсов. Усилия по борьбе с неправомерным использованием ресурсов нумерации привели к пересмотру </w:t>
      </w:r>
      <w:hyperlink r:id="rId124" w:history="1">
        <w:r w:rsidRPr="00945782">
          <w:rPr>
            <w:rStyle w:val="Hyperlink"/>
            <w:rFonts w:asciiTheme="minorHAnsi" w:hAnsiTheme="minorHAnsi" w:cstheme="minorHAnsi"/>
            <w:szCs w:val="22"/>
            <w:lang w:val="ru-RU"/>
          </w:rPr>
          <w:t>Резолюции 61 ВАСЭ</w:t>
        </w:r>
      </w:hyperlink>
      <w:r w:rsidRPr="00945782">
        <w:rPr>
          <w:lang w:val="ru-RU"/>
        </w:rPr>
        <w:t xml:space="preserve"> таким образом, что сфера ее применения распространилась на ресурсы ННАИ, при одновременном содействии повышению осведомленности и распространению передовой практики среди Государств-Членов. Кроме того, были внесены изменения в Резолюцию 65 ВАСЭ таким образом, чтобы в ней учитывались новые вызовы, такие как спуфинг и технологии клонирования голоса, в целях обеспечения готовности сетей электросвязи к противодействию этим угрозам. Соответствующие Рекомендации МСЭ-Т были уточнены и усовершенствованы таким образом, чтобы в них был более четко определен порядок обработки случаев неправомерного использования в рамках процессов МСЭ-Т. Кроме того, был согласован технический отчет по противодействию мошеннической схеме "вангири" (</w:t>
      </w:r>
      <w:hyperlink r:id="rId125" w:history="1">
        <w:r w:rsidRPr="00945782">
          <w:rPr>
            <w:rStyle w:val="Hyperlink"/>
            <w:rFonts w:asciiTheme="minorHAnsi" w:hAnsiTheme="minorHAnsi" w:cstheme="minorHAnsi"/>
            <w:szCs w:val="22"/>
            <w:lang w:val="ru-RU"/>
          </w:rPr>
          <w:t>TR.MMWF</w:t>
        </w:r>
      </w:hyperlink>
      <w:r w:rsidRPr="00945782">
        <w:rPr>
          <w:lang w:val="ru-RU"/>
        </w:rPr>
        <w:t>), содержащий анализ и методологии для ее предотвращения. Был также введен новый механизм аудита, представляющий собой дополнительный механизм сообщения о случаях неправомерного использования.</w:t>
      </w:r>
    </w:p>
    <w:p w14:paraId="7FBACCCF" w14:textId="07DB44CE" w:rsidR="00D82062" w:rsidRPr="00945782" w:rsidRDefault="00D82062" w:rsidP="003A4367">
      <w:pPr>
        <w:rPr>
          <w:rFonts w:asciiTheme="minorHAnsi" w:hAnsiTheme="minorHAnsi" w:cstheme="minorHAnsi"/>
          <w:szCs w:val="22"/>
          <w:lang w:val="ru-RU"/>
        </w:rPr>
      </w:pPr>
      <w:r w:rsidRPr="00945782">
        <w:rPr>
          <w:rFonts w:asciiTheme="minorHAnsi" w:hAnsiTheme="minorHAnsi" w:cstheme="minorHAnsi"/>
          <w:szCs w:val="22"/>
          <w:lang w:val="ru-RU"/>
        </w:rPr>
        <w:t>Кроме того, в рамках усилий по цифровой трансформации был модернизирован Оперативный бюллетень (</w:t>
      </w:r>
      <w:hyperlink r:id="rId126" w:history="1">
        <w:r w:rsidRPr="00945782">
          <w:rPr>
            <w:rStyle w:val="Hyperlink"/>
            <w:rFonts w:asciiTheme="minorHAnsi" w:hAnsiTheme="minorHAnsi" w:cstheme="minorHAnsi"/>
            <w:szCs w:val="22"/>
            <w:lang w:val="ru-RU"/>
          </w:rPr>
          <w:t>OБ</w:t>
        </w:r>
      </w:hyperlink>
      <w:r w:rsidRPr="00945782">
        <w:rPr>
          <w:rFonts w:asciiTheme="minorHAnsi" w:hAnsiTheme="minorHAnsi" w:cstheme="minorHAnsi"/>
          <w:szCs w:val="22"/>
          <w:lang w:val="ru-RU"/>
        </w:rPr>
        <w:t xml:space="preserve">) МСЭ, в котором публикуются официальные обновления по ресурсам ННАИ: он стал более </w:t>
      </w:r>
      <w:r w:rsidRPr="00945782">
        <w:rPr>
          <w:lang w:val="ru-RU"/>
        </w:rPr>
        <w:t>удобен</w:t>
      </w:r>
      <w:r w:rsidRPr="00945782">
        <w:rPr>
          <w:rFonts w:asciiTheme="minorHAnsi" w:hAnsiTheme="minorHAnsi" w:cstheme="minorHAnsi"/>
          <w:szCs w:val="22"/>
          <w:lang w:val="ru-RU"/>
        </w:rPr>
        <w:t xml:space="preserve"> для чтения и эффективен, при этом продолжаются дальнейшие инициативы по цифровизации. В ответ на </w:t>
      </w:r>
      <w:hyperlink r:id="rId127" w:history="1">
        <w:r w:rsidRPr="00945782">
          <w:rPr>
            <w:rStyle w:val="Hyperlink"/>
            <w:rFonts w:asciiTheme="minorHAnsi" w:hAnsiTheme="minorHAnsi" w:cstheme="minorHAnsi"/>
            <w:szCs w:val="22"/>
            <w:lang w:val="ru-RU"/>
          </w:rPr>
          <w:t>Резолюцию 91 ВАСЭ</w:t>
        </w:r>
      </w:hyperlink>
      <w:r w:rsidRPr="00945782">
        <w:rPr>
          <w:rFonts w:asciiTheme="minorHAnsi" w:hAnsiTheme="minorHAnsi" w:cstheme="minorHAnsi"/>
          <w:szCs w:val="22"/>
          <w:lang w:val="ru-RU"/>
        </w:rPr>
        <w:t xml:space="preserve"> был создан репозиторий национальных планов нумерации, способствующий активному участию различных заинтересованных сторон в его дальнейшем совершенствовании на основе их отзывов. Эта продолжающаяся эволюция обеспечивает надежность управления ресурсами ННАИ и его соответствие технологическим изменениям в сфере электросвязи.</w:t>
      </w:r>
    </w:p>
    <w:p w14:paraId="3C5010D8" w14:textId="77777777" w:rsidR="00D82062" w:rsidRPr="00945782" w:rsidRDefault="00D82062" w:rsidP="00D82062">
      <w:pPr>
        <w:pStyle w:val="Heading2"/>
        <w:rPr>
          <w:lang w:val="ru-RU"/>
        </w:rPr>
      </w:pPr>
      <w:bookmarkStart w:id="71" w:name="_4.3_Разработка_международных"/>
      <w:bookmarkStart w:id="72" w:name="_Toc227062860"/>
      <w:bookmarkStart w:id="73" w:name="_Toc227850248"/>
      <w:bookmarkEnd w:id="71"/>
      <w:r w:rsidRPr="00945782">
        <w:rPr>
          <w:lang w:val="ru-RU"/>
        </w:rPr>
        <w:t>4.3</w:t>
      </w:r>
      <w:r w:rsidRPr="00945782">
        <w:rPr>
          <w:lang w:val="ru-RU"/>
        </w:rPr>
        <w:tab/>
        <w:t>Разработка международных стандартов</w:t>
      </w:r>
      <w:bookmarkEnd w:id="72"/>
      <w:bookmarkEnd w:id="73"/>
    </w:p>
    <w:p w14:paraId="66A2FAD2" w14:textId="77777777" w:rsidR="00D82062" w:rsidRPr="00945782" w:rsidRDefault="00D82062" w:rsidP="005D1DAD">
      <w:pPr>
        <w:pStyle w:val="Headingb"/>
        <w:rPr>
          <w:lang w:val="ru-RU"/>
        </w:rPr>
      </w:pPr>
      <w:r w:rsidRPr="00945782">
        <w:rPr>
          <w:lang w:val="ru-RU"/>
        </w:rPr>
        <w:t>Стандартизация − основы для формирования технологий сегодняшнего и завтрашнего дня</w:t>
      </w:r>
    </w:p>
    <w:p w14:paraId="157D27A7" w14:textId="77777777" w:rsidR="00D82062" w:rsidRPr="00945782" w:rsidRDefault="00D82062" w:rsidP="005D1DAD">
      <w:pPr>
        <w:rPr>
          <w:lang w:val="ru-RU"/>
        </w:rPr>
      </w:pPr>
      <w:r w:rsidRPr="00945782">
        <w:rPr>
          <w:lang w:val="ru-RU"/>
        </w:rPr>
        <w:t>Доступные технологии, созданные в соответствии с универсальными спецификациями, могут бесперебойно работать для всех. Неизменная приверженность МСЭ обеспечению функциональной совместимости, доступности, безопасности, приемлемости в ценовом отношении и устойчивости гарантирует, что стандарты Союза отвечают интересам всего мира. При помощи технических стандартов МСЭ местные устройства соединяются с глобальными сетями без каких-либо трудностей. Безопасные соединения, доступные для всех, обеспечивают сообществам доступ к важнейшей информации и способствуют снижению воздействия на окружающую среду.</w:t>
      </w:r>
    </w:p>
    <w:p w14:paraId="7D66F194" w14:textId="77777777" w:rsidR="00D82062" w:rsidRPr="00945782" w:rsidRDefault="00D82062" w:rsidP="005D1DAD">
      <w:pPr>
        <w:rPr>
          <w:lang w:val="ru-RU"/>
        </w:rPr>
      </w:pPr>
      <w:r w:rsidRPr="00945782">
        <w:rPr>
          <w:lang w:val="ru-RU"/>
        </w:rPr>
        <w:t xml:space="preserve">Стандарты МСЭ разрабатываются МСЭ-Т и Сектором радиосвязи МСЭ (МСЭ-R) и издаются, соответственно, как </w:t>
      </w:r>
      <w:hyperlink r:id="rId128" w:history="1">
        <w:r w:rsidRPr="00945782">
          <w:rPr>
            <w:rStyle w:val="Hyperlink"/>
            <w:rFonts w:asciiTheme="minorHAnsi" w:hAnsiTheme="minorHAnsi" w:cstheme="minorHAnsi"/>
            <w:szCs w:val="22"/>
            <w:lang w:val="ru-RU"/>
          </w:rPr>
          <w:t>Рекомендации МСЭ-Т</w:t>
        </w:r>
      </w:hyperlink>
      <w:r w:rsidRPr="00945782">
        <w:rPr>
          <w:lang w:val="ru-RU"/>
        </w:rPr>
        <w:t xml:space="preserve"> и </w:t>
      </w:r>
      <w:hyperlink r:id="rId129" w:history="1">
        <w:r w:rsidRPr="00945782">
          <w:rPr>
            <w:rStyle w:val="Hyperlink"/>
            <w:rFonts w:asciiTheme="minorHAnsi" w:hAnsiTheme="minorHAnsi" w:cstheme="minorHAnsi"/>
            <w:szCs w:val="22"/>
            <w:lang w:val="ru-RU"/>
          </w:rPr>
          <w:t>Рекомендации МСЭ-R</w:t>
        </w:r>
      </w:hyperlink>
      <w:r w:rsidRPr="00945782">
        <w:rPr>
          <w:lang w:val="ru-RU"/>
        </w:rPr>
        <w:t>.</w:t>
      </w:r>
    </w:p>
    <w:p w14:paraId="714EB8A4" w14:textId="3DFB20EC" w:rsidR="00D82062" w:rsidRPr="00945782" w:rsidRDefault="00D82062" w:rsidP="00D82062">
      <w:pPr>
        <w:pStyle w:val="Heading3"/>
        <w:rPr>
          <w:lang w:val="ru-RU"/>
        </w:rPr>
      </w:pPr>
      <w:bookmarkStart w:id="74" w:name="_4.3.1 Рекомендации_МСЭ-Т_и"/>
      <w:bookmarkStart w:id="75" w:name="_Toc227062861"/>
      <w:bookmarkStart w:id="76" w:name="_Toc227850249"/>
      <w:bookmarkEnd w:id="74"/>
      <w:r w:rsidRPr="00945782">
        <w:rPr>
          <w:lang w:val="ru-RU"/>
        </w:rPr>
        <w:t>4.3.1</w:t>
      </w:r>
      <w:r w:rsidR="005D1DAD" w:rsidRPr="00945782">
        <w:rPr>
          <w:lang w:val="ru-RU"/>
        </w:rPr>
        <w:tab/>
      </w:r>
      <w:r w:rsidRPr="00945782">
        <w:rPr>
          <w:lang w:val="ru-RU"/>
        </w:rPr>
        <w:t>Рекомендации МСЭ-Т и связанные с ними публикации</w:t>
      </w:r>
      <w:bookmarkEnd w:id="75"/>
      <w:bookmarkEnd w:id="76"/>
    </w:p>
    <w:p w14:paraId="740E71C6" w14:textId="13B57FA1" w:rsidR="00D82062" w:rsidRPr="00945782" w:rsidRDefault="00D82062" w:rsidP="003A4367">
      <w:pPr>
        <w:keepNext/>
        <w:rPr>
          <w:lang w:val="ru-RU"/>
        </w:rPr>
      </w:pPr>
      <w:r w:rsidRPr="00945782">
        <w:rPr>
          <w:lang w:val="ru-RU"/>
        </w:rPr>
        <w:t xml:space="preserve">Рекомендации МСЭ-Т представляют собой технические стандарты, разрабатываемые МСЭ-Т. Их дополняют другие виды публикаций, такие как Добавления, технические документы, технические отчеты, а также результаты деятельности по предварительной стандартизации, которые подготавливаются оперативными группами МСЭ-Т. В настоящее время после объединения 9-й и 16-й исследовательских комиссий МСЭ-Т в 21-ю Исследовательскую комиссию в соответствии с решениями ВАСЭ-24 в секторе действует </w:t>
      </w:r>
      <w:hyperlink r:id="rId130" w:history="1">
        <w:r w:rsidRPr="00945782">
          <w:rPr>
            <w:rStyle w:val="Hyperlink"/>
            <w:rFonts w:asciiTheme="minorHAnsi" w:hAnsiTheme="minorHAnsi" w:cstheme="minorHAnsi"/>
            <w:szCs w:val="22"/>
            <w:lang w:val="ru-RU"/>
          </w:rPr>
          <w:t>10 исследовательских комиссий</w:t>
        </w:r>
      </w:hyperlink>
      <w:r w:rsidRPr="00945782">
        <w:rPr>
          <w:lang w:val="ru-RU"/>
        </w:rPr>
        <w:t xml:space="preserve">. По состоянию на декабрь 2025 года активной оставалась только одна оперативная </w:t>
      </w:r>
      <w:r w:rsidRPr="00945782">
        <w:rPr>
          <w:lang w:val="ru-RU"/>
        </w:rPr>
        <w:lastRenderedPageBreak/>
        <w:t>группа из 11, действовавших в течение отчетного периода (подробную информацию см.</w:t>
      </w:r>
      <w:r w:rsidR="005D1DAD" w:rsidRPr="00945782">
        <w:rPr>
          <w:lang w:val="ru-RU"/>
        </w:rPr>
        <w:t> </w:t>
      </w:r>
      <w:r w:rsidRPr="00945782">
        <w:rPr>
          <w:lang w:val="ru-RU"/>
        </w:rPr>
        <w:t>на</w:t>
      </w:r>
      <w:r w:rsidR="005D1DAD" w:rsidRPr="00945782">
        <w:rPr>
          <w:lang w:val="ru-RU"/>
        </w:rPr>
        <w:t> </w:t>
      </w:r>
      <w:hyperlink r:id="rId131" w:history="1">
        <w:r w:rsidRPr="00945782">
          <w:rPr>
            <w:rStyle w:val="Hyperlink"/>
            <w:rFonts w:asciiTheme="minorHAnsi" w:hAnsiTheme="minorHAnsi" w:cstheme="minorHAnsi"/>
            <w:szCs w:val="22"/>
            <w:lang w:val="ru-RU"/>
          </w:rPr>
          <w:t>странице оперативных групп МСЭ-Т</w:t>
        </w:r>
      </w:hyperlink>
      <w:r w:rsidRPr="00945782">
        <w:rPr>
          <w:lang w:val="ru-RU"/>
        </w:rPr>
        <w:t>):</w:t>
      </w:r>
    </w:p>
    <w:p w14:paraId="692F9F0E" w14:textId="77777777" w:rsidR="00D82062" w:rsidRPr="00945782" w:rsidRDefault="00D82062" w:rsidP="003A4367">
      <w:pPr>
        <w:pStyle w:val="Tabletitle"/>
        <w:spacing w:before="240"/>
        <w:rPr>
          <w:lang w:val="ru-RU"/>
        </w:rPr>
      </w:pPr>
      <w:r w:rsidRPr="00945782">
        <w:rPr>
          <w:lang w:val="ru-RU"/>
        </w:rPr>
        <w:t>Оперативные группы МСЭ-T, 2025 год</w:t>
      </w:r>
    </w:p>
    <w:tbl>
      <w:tblPr>
        <w:tblW w:w="9061" w:type="dxa"/>
        <w:tblLayout w:type="fixed"/>
        <w:tblCellMar>
          <w:left w:w="57" w:type="dxa"/>
          <w:right w:w="57" w:type="dxa"/>
        </w:tblCellMar>
        <w:tblLook w:val="0000" w:firstRow="0" w:lastRow="0" w:firstColumn="0" w:lastColumn="0" w:noHBand="0" w:noVBand="0"/>
      </w:tblPr>
      <w:tblGrid>
        <w:gridCol w:w="1297"/>
        <w:gridCol w:w="4050"/>
        <w:gridCol w:w="1187"/>
        <w:gridCol w:w="1188"/>
        <w:gridCol w:w="1339"/>
      </w:tblGrid>
      <w:tr w:rsidR="00D82062" w:rsidRPr="00945782" w14:paraId="76C2C9B8" w14:textId="77777777" w:rsidTr="005D1DAD">
        <w:tc>
          <w:tcPr>
            <w:tcW w:w="1297" w:type="dxa"/>
            <w:tcBorders>
              <w:top w:val="single" w:sz="4" w:space="0" w:color="4BACC6"/>
              <w:left w:val="single" w:sz="4" w:space="0" w:color="4BACC6"/>
            </w:tcBorders>
            <w:tcMar>
              <w:top w:w="0" w:type="dxa"/>
              <w:left w:w="108" w:type="dxa"/>
              <w:bottom w:w="0" w:type="dxa"/>
              <w:right w:w="108" w:type="dxa"/>
            </w:tcMar>
            <w:vAlign w:val="center"/>
          </w:tcPr>
          <w:p w14:paraId="62F5CC1A" w14:textId="77777777" w:rsidR="00D82062" w:rsidRPr="00945782" w:rsidRDefault="00D82062" w:rsidP="005D1DAD">
            <w:pPr>
              <w:pStyle w:val="Tablehead"/>
              <w:rPr>
                <w:rFonts w:eastAsia="MS Mincho"/>
                <w:lang w:val="ru-RU"/>
              </w:rPr>
            </w:pPr>
            <w:r w:rsidRPr="00945782">
              <w:rPr>
                <w:rFonts w:eastAsia="MS Mincho"/>
                <w:lang w:val="ru-RU"/>
              </w:rPr>
              <w:t>Оперативная группа</w:t>
            </w:r>
          </w:p>
        </w:tc>
        <w:tc>
          <w:tcPr>
            <w:tcW w:w="4050" w:type="dxa"/>
            <w:tcBorders>
              <w:top w:val="single" w:sz="4" w:space="0" w:color="4BACC6"/>
            </w:tcBorders>
            <w:tcMar>
              <w:top w:w="0" w:type="dxa"/>
              <w:left w:w="108" w:type="dxa"/>
              <w:bottom w:w="0" w:type="dxa"/>
              <w:right w:w="108" w:type="dxa"/>
            </w:tcMar>
            <w:vAlign w:val="center"/>
          </w:tcPr>
          <w:p w14:paraId="0AA3F07E" w14:textId="77777777" w:rsidR="00D82062" w:rsidRPr="00945782" w:rsidRDefault="00D82062" w:rsidP="005D1DAD">
            <w:pPr>
              <w:pStyle w:val="Tablehead"/>
              <w:rPr>
                <w:rFonts w:eastAsia="MS Mincho"/>
                <w:lang w:val="ru-RU"/>
              </w:rPr>
            </w:pPr>
            <w:r w:rsidRPr="00945782">
              <w:rPr>
                <w:rFonts w:eastAsia="MS Mincho"/>
                <w:lang w:val="ru-RU"/>
              </w:rPr>
              <w:t>Тема</w:t>
            </w:r>
          </w:p>
        </w:tc>
        <w:tc>
          <w:tcPr>
            <w:tcW w:w="1187" w:type="dxa"/>
            <w:tcBorders>
              <w:top w:val="single" w:sz="4" w:space="0" w:color="4BACC6"/>
            </w:tcBorders>
            <w:tcMar>
              <w:top w:w="0" w:type="dxa"/>
              <w:left w:w="108" w:type="dxa"/>
              <w:bottom w:w="0" w:type="dxa"/>
              <w:right w:w="108" w:type="dxa"/>
            </w:tcMar>
            <w:vAlign w:val="center"/>
          </w:tcPr>
          <w:p w14:paraId="4E4DCC97" w14:textId="77777777" w:rsidR="00D82062" w:rsidRPr="00945782" w:rsidRDefault="00D82062" w:rsidP="005D1DAD">
            <w:pPr>
              <w:pStyle w:val="Tablehead"/>
              <w:rPr>
                <w:rFonts w:eastAsia="MS Mincho"/>
                <w:lang w:val="ru-RU"/>
              </w:rPr>
            </w:pPr>
            <w:r w:rsidRPr="00945782">
              <w:rPr>
                <w:rFonts w:eastAsia="MS Mincho"/>
                <w:lang w:val="ru-RU"/>
              </w:rPr>
              <w:t>Начало работы</w:t>
            </w:r>
          </w:p>
        </w:tc>
        <w:tc>
          <w:tcPr>
            <w:tcW w:w="1188" w:type="dxa"/>
            <w:tcBorders>
              <w:top w:val="single" w:sz="4" w:space="0" w:color="4BACC6"/>
            </w:tcBorders>
            <w:tcMar>
              <w:top w:w="0" w:type="dxa"/>
              <w:left w:w="108" w:type="dxa"/>
              <w:bottom w:w="0" w:type="dxa"/>
              <w:right w:w="108" w:type="dxa"/>
            </w:tcMar>
            <w:vAlign w:val="center"/>
          </w:tcPr>
          <w:p w14:paraId="19AEAD40" w14:textId="77777777" w:rsidR="00D82062" w:rsidRPr="00945782" w:rsidRDefault="00D82062" w:rsidP="005D1DAD">
            <w:pPr>
              <w:pStyle w:val="Tablehead"/>
              <w:rPr>
                <w:rFonts w:eastAsia="MS Mincho"/>
                <w:lang w:val="ru-RU"/>
              </w:rPr>
            </w:pPr>
            <w:r w:rsidRPr="00945782">
              <w:rPr>
                <w:rFonts w:eastAsia="MS Mincho"/>
                <w:lang w:val="ru-RU"/>
              </w:rPr>
              <w:t>Окончание работы</w:t>
            </w:r>
          </w:p>
        </w:tc>
        <w:tc>
          <w:tcPr>
            <w:tcW w:w="1339" w:type="dxa"/>
            <w:tcBorders>
              <w:top w:val="single" w:sz="4" w:space="0" w:color="4BACC6"/>
              <w:right w:val="single" w:sz="4" w:space="0" w:color="4BACC6"/>
            </w:tcBorders>
            <w:tcMar>
              <w:top w:w="0" w:type="dxa"/>
              <w:left w:w="108" w:type="dxa"/>
              <w:bottom w:w="0" w:type="dxa"/>
              <w:right w:w="108" w:type="dxa"/>
            </w:tcMar>
            <w:vAlign w:val="center"/>
          </w:tcPr>
          <w:p w14:paraId="5D393568" w14:textId="77777777" w:rsidR="00D82062" w:rsidRPr="00945782" w:rsidRDefault="00D82062" w:rsidP="005D1DAD">
            <w:pPr>
              <w:pStyle w:val="Tablehead"/>
              <w:rPr>
                <w:rFonts w:eastAsia="MS Mincho"/>
                <w:lang w:val="ru-RU"/>
              </w:rPr>
            </w:pPr>
            <w:r w:rsidRPr="00945782">
              <w:rPr>
                <w:rFonts w:eastAsia="MS Mincho"/>
                <w:lang w:val="ru-RU"/>
              </w:rPr>
              <w:t>Подготовлено результатов работы</w:t>
            </w:r>
          </w:p>
        </w:tc>
      </w:tr>
      <w:tr w:rsidR="00D82062" w:rsidRPr="00945782" w14:paraId="0373FF00" w14:textId="77777777" w:rsidTr="005D1DAD">
        <w:tc>
          <w:tcPr>
            <w:tcW w:w="1297" w:type="dxa"/>
            <w:tcBorders>
              <w:left w:val="single" w:sz="4" w:space="0" w:color="4BACC6"/>
            </w:tcBorders>
            <w:tcMar>
              <w:top w:w="0" w:type="dxa"/>
              <w:left w:w="108" w:type="dxa"/>
              <w:bottom w:w="0" w:type="dxa"/>
              <w:right w:w="108" w:type="dxa"/>
            </w:tcMar>
            <w:vAlign w:val="center"/>
          </w:tcPr>
          <w:p w14:paraId="29C18A1C" w14:textId="77777777" w:rsidR="00D82062" w:rsidRPr="00945782" w:rsidRDefault="00D82062" w:rsidP="005D1DAD">
            <w:pPr>
              <w:pStyle w:val="Tabletext"/>
              <w:rPr>
                <w:rFonts w:eastAsia="MS Mincho"/>
                <w:lang w:val="ru-RU"/>
              </w:rPr>
            </w:pPr>
            <w:r w:rsidRPr="00945782">
              <w:rPr>
                <w:rFonts w:eastAsia="MS Mincho"/>
                <w:lang w:val="ru-RU"/>
              </w:rPr>
              <w:t>ОГ-AINN</w:t>
            </w:r>
          </w:p>
        </w:tc>
        <w:tc>
          <w:tcPr>
            <w:tcW w:w="4050" w:type="dxa"/>
            <w:tcMar>
              <w:top w:w="0" w:type="dxa"/>
              <w:left w:w="108" w:type="dxa"/>
              <w:bottom w:w="0" w:type="dxa"/>
              <w:right w:w="108" w:type="dxa"/>
            </w:tcMar>
            <w:vAlign w:val="center"/>
          </w:tcPr>
          <w:p w14:paraId="00DC2E2A" w14:textId="77777777" w:rsidR="00D82062" w:rsidRPr="00945782" w:rsidRDefault="00D82062" w:rsidP="005D1DAD">
            <w:pPr>
              <w:pStyle w:val="Tabletext"/>
              <w:rPr>
                <w:rFonts w:eastAsia="MS Mincho"/>
                <w:lang w:val="ru-RU"/>
              </w:rPr>
            </w:pPr>
            <w:r w:rsidRPr="00945782">
              <w:rPr>
                <w:rFonts w:eastAsia="MS Mincho"/>
                <w:lang w:val="ru-RU"/>
              </w:rPr>
              <w:t>Нативный искусственный интеллект для сетей электросвязи (ОГ-AINN)</w:t>
            </w:r>
          </w:p>
        </w:tc>
        <w:tc>
          <w:tcPr>
            <w:tcW w:w="1187" w:type="dxa"/>
            <w:tcMar>
              <w:top w:w="0" w:type="dxa"/>
              <w:left w:w="108" w:type="dxa"/>
              <w:bottom w:w="0" w:type="dxa"/>
              <w:right w:w="108" w:type="dxa"/>
            </w:tcMar>
            <w:vAlign w:val="center"/>
          </w:tcPr>
          <w:p w14:paraId="19E3BA81" w14:textId="44C24E8B" w:rsidR="00D82062" w:rsidRPr="00945782" w:rsidRDefault="005D1DAD" w:rsidP="005D1DAD">
            <w:pPr>
              <w:pStyle w:val="Tabletext"/>
              <w:jc w:val="center"/>
              <w:rPr>
                <w:rFonts w:eastAsia="MS Mincho"/>
                <w:lang w:val="ru-RU"/>
              </w:rPr>
            </w:pPr>
            <w:r w:rsidRPr="00945782">
              <w:rPr>
                <w:rFonts w:eastAsia="MS Mincho"/>
                <w:lang w:val="ru-RU"/>
              </w:rPr>
              <w:t>07.</w:t>
            </w:r>
            <w:r w:rsidR="00D82062" w:rsidRPr="00945782">
              <w:rPr>
                <w:rFonts w:eastAsia="MS Mincho"/>
                <w:lang w:val="ru-RU"/>
              </w:rPr>
              <w:t>2024</w:t>
            </w:r>
            <w:r w:rsidRPr="00945782">
              <w:rPr>
                <w:rFonts w:eastAsia="MS Mincho"/>
                <w:lang w:val="ru-RU"/>
              </w:rPr>
              <w:t xml:space="preserve"> г.</w:t>
            </w:r>
          </w:p>
        </w:tc>
        <w:tc>
          <w:tcPr>
            <w:tcW w:w="1188" w:type="dxa"/>
            <w:tcMar>
              <w:top w:w="0" w:type="dxa"/>
              <w:left w:w="108" w:type="dxa"/>
              <w:bottom w:w="0" w:type="dxa"/>
              <w:right w:w="108" w:type="dxa"/>
            </w:tcMar>
            <w:vAlign w:val="center"/>
          </w:tcPr>
          <w:p w14:paraId="5076B803" w14:textId="77777777" w:rsidR="00D82062" w:rsidRPr="00945782" w:rsidRDefault="00D82062" w:rsidP="005D1DAD">
            <w:pPr>
              <w:pStyle w:val="Tabletext"/>
              <w:jc w:val="center"/>
              <w:rPr>
                <w:rFonts w:eastAsia="MS Mincho"/>
                <w:lang w:val="ru-RU"/>
              </w:rPr>
            </w:pPr>
            <w:r w:rsidRPr="00945782">
              <w:rPr>
                <w:rFonts w:eastAsia="MS Mincho"/>
                <w:lang w:val="ru-RU"/>
              </w:rPr>
              <w:t>–</w:t>
            </w:r>
          </w:p>
        </w:tc>
        <w:tc>
          <w:tcPr>
            <w:tcW w:w="1339" w:type="dxa"/>
            <w:tcBorders>
              <w:right w:val="single" w:sz="4" w:space="0" w:color="4BACC6"/>
            </w:tcBorders>
            <w:tcMar>
              <w:top w:w="0" w:type="dxa"/>
              <w:left w:w="108" w:type="dxa"/>
              <w:bottom w:w="0" w:type="dxa"/>
              <w:right w:w="108" w:type="dxa"/>
            </w:tcMar>
            <w:vAlign w:val="center"/>
          </w:tcPr>
          <w:p w14:paraId="757E2590" w14:textId="77777777" w:rsidR="00D82062" w:rsidRPr="00945782" w:rsidRDefault="00D82062" w:rsidP="005D1DAD">
            <w:pPr>
              <w:pStyle w:val="Tabletext"/>
              <w:jc w:val="center"/>
              <w:rPr>
                <w:rFonts w:eastAsia="MS Mincho"/>
                <w:lang w:val="ru-RU"/>
              </w:rPr>
            </w:pPr>
            <w:r w:rsidRPr="00945782">
              <w:rPr>
                <w:rFonts w:eastAsia="MS Mincho"/>
                <w:lang w:val="ru-RU"/>
              </w:rPr>
              <w:t>–</w:t>
            </w:r>
          </w:p>
        </w:tc>
      </w:tr>
      <w:tr w:rsidR="00D82062" w:rsidRPr="00945782" w14:paraId="6E6FEE96" w14:textId="77777777" w:rsidTr="005D1DAD">
        <w:tc>
          <w:tcPr>
            <w:tcW w:w="1297" w:type="dxa"/>
            <w:tcBorders>
              <w:left w:val="single" w:sz="4" w:space="0" w:color="4BACC6"/>
            </w:tcBorders>
            <w:tcMar>
              <w:top w:w="0" w:type="dxa"/>
              <w:left w:w="108" w:type="dxa"/>
              <w:bottom w:w="0" w:type="dxa"/>
              <w:right w:w="108" w:type="dxa"/>
            </w:tcMar>
            <w:vAlign w:val="center"/>
          </w:tcPr>
          <w:p w14:paraId="140A55E1" w14:textId="77777777" w:rsidR="00D82062" w:rsidRPr="00945782" w:rsidRDefault="00D82062" w:rsidP="005D1DAD">
            <w:pPr>
              <w:pStyle w:val="Tabletext"/>
              <w:rPr>
                <w:rFonts w:eastAsia="MS Mincho"/>
                <w:lang w:val="ru-RU"/>
              </w:rPr>
            </w:pPr>
            <w:r w:rsidRPr="00945782">
              <w:rPr>
                <w:rFonts w:eastAsia="MS Mincho"/>
                <w:lang w:val="ru-RU"/>
              </w:rPr>
              <w:t>ОГ-CD</w:t>
            </w:r>
          </w:p>
        </w:tc>
        <w:tc>
          <w:tcPr>
            <w:tcW w:w="4050" w:type="dxa"/>
            <w:tcMar>
              <w:top w:w="0" w:type="dxa"/>
              <w:left w:w="108" w:type="dxa"/>
              <w:bottom w:w="0" w:type="dxa"/>
              <w:right w:w="108" w:type="dxa"/>
            </w:tcMar>
            <w:vAlign w:val="center"/>
          </w:tcPr>
          <w:p w14:paraId="6B8D5906" w14:textId="77777777" w:rsidR="00D82062" w:rsidRPr="00945782" w:rsidRDefault="00D82062" w:rsidP="005D1DAD">
            <w:pPr>
              <w:pStyle w:val="Tabletext"/>
              <w:rPr>
                <w:rFonts w:eastAsia="MS Mincho"/>
                <w:lang w:val="ru-RU"/>
              </w:rPr>
            </w:pPr>
            <w:r w:rsidRPr="00945782">
              <w:rPr>
                <w:rFonts w:eastAsia="MS Mincho"/>
                <w:lang w:val="ru-RU"/>
              </w:rPr>
              <w:t>Модели определения затрат для приемлемых в ценовом отношении услуг передачи данных</w:t>
            </w:r>
          </w:p>
        </w:tc>
        <w:tc>
          <w:tcPr>
            <w:tcW w:w="1187" w:type="dxa"/>
            <w:tcMar>
              <w:top w:w="0" w:type="dxa"/>
              <w:left w:w="108" w:type="dxa"/>
              <w:bottom w:w="0" w:type="dxa"/>
              <w:right w:w="108" w:type="dxa"/>
            </w:tcMar>
            <w:vAlign w:val="center"/>
          </w:tcPr>
          <w:p w14:paraId="289D358A" w14:textId="76C244FC" w:rsidR="00D82062" w:rsidRPr="00945782" w:rsidRDefault="005D1DAD" w:rsidP="005D1DAD">
            <w:pPr>
              <w:pStyle w:val="Tabletext"/>
              <w:jc w:val="center"/>
              <w:rPr>
                <w:rFonts w:eastAsia="MS Mincho"/>
                <w:lang w:val="ru-RU"/>
              </w:rPr>
            </w:pPr>
            <w:r w:rsidRPr="00945782">
              <w:rPr>
                <w:rFonts w:eastAsia="MS Mincho"/>
                <w:lang w:val="ru-RU"/>
              </w:rPr>
              <w:t>03.</w:t>
            </w:r>
            <w:r w:rsidR="00D82062" w:rsidRPr="00945782">
              <w:rPr>
                <w:rFonts w:eastAsia="MS Mincho"/>
                <w:lang w:val="ru-RU"/>
              </w:rPr>
              <w:t>2023</w:t>
            </w:r>
            <w:r w:rsidRPr="00945782">
              <w:rPr>
                <w:rFonts w:eastAsia="MS Mincho"/>
                <w:lang w:val="ru-RU"/>
              </w:rPr>
              <w:t xml:space="preserve"> г.</w:t>
            </w:r>
          </w:p>
        </w:tc>
        <w:tc>
          <w:tcPr>
            <w:tcW w:w="1188" w:type="dxa"/>
            <w:tcMar>
              <w:top w:w="0" w:type="dxa"/>
              <w:left w:w="108" w:type="dxa"/>
              <w:bottom w:w="0" w:type="dxa"/>
              <w:right w:w="108" w:type="dxa"/>
            </w:tcMar>
            <w:vAlign w:val="center"/>
          </w:tcPr>
          <w:p w14:paraId="321BBA70" w14:textId="6A221C16" w:rsidR="00D82062" w:rsidRPr="00945782" w:rsidRDefault="005D1DAD" w:rsidP="005D1DAD">
            <w:pPr>
              <w:pStyle w:val="Tabletext"/>
              <w:jc w:val="center"/>
              <w:rPr>
                <w:rFonts w:eastAsia="MS Mincho"/>
                <w:lang w:val="ru-RU"/>
              </w:rPr>
            </w:pPr>
            <w:r w:rsidRPr="00945782">
              <w:rPr>
                <w:rFonts w:eastAsia="MS Mincho"/>
                <w:lang w:val="ru-RU"/>
              </w:rPr>
              <w:t>10.</w:t>
            </w:r>
            <w:r w:rsidR="00D82062" w:rsidRPr="00945782">
              <w:rPr>
                <w:rFonts w:eastAsia="MS Mincho"/>
                <w:lang w:val="ru-RU"/>
              </w:rPr>
              <w:t>2025</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6CCC2337" w14:textId="77777777" w:rsidR="00D82062" w:rsidRPr="00945782" w:rsidRDefault="00D82062" w:rsidP="005D1DAD">
            <w:pPr>
              <w:pStyle w:val="Tabletext"/>
              <w:jc w:val="center"/>
              <w:rPr>
                <w:rFonts w:eastAsia="MS Mincho"/>
                <w:lang w:val="ru-RU"/>
              </w:rPr>
            </w:pPr>
            <w:r w:rsidRPr="00945782">
              <w:rPr>
                <w:rFonts w:eastAsia="MS Mincho"/>
                <w:lang w:val="ru-RU"/>
              </w:rPr>
              <w:t>6</w:t>
            </w:r>
          </w:p>
        </w:tc>
      </w:tr>
      <w:tr w:rsidR="00D82062" w:rsidRPr="00945782" w14:paraId="41483685" w14:textId="77777777" w:rsidTr="005D1DAD">
        <w:tc>
          <w:tcPr>
            <w:tcW w:w="1297" w:type="dxa"/>
            <w:tcBorders>
              <w:left w:val="single" w:sz="4" w:space="0" w:color="4BACC6"/>
            </w:tcBorders>
            <w:tcMar>
              <w:top w:w="0" w:type="dxa"/>
              <w:left w:w="108" w:type="dxa"/>
              <w:bottom w:w="0" w:type="dxa"/>
              <w:right w:w="108" w:type="dxa"/>
            </w:tcMar>
            <w:vAlign w:val="center"/>
          </w:tcPr>
          <w:p w14:paraId="5720E933" w14:textId="77777777" w:rsidR="00D82062" w:rsidRPr="00945782" w:rsidRDefault="00D82062" w:rsidP="005D1DAD">
            <w:pPr>
              <w:pStyle w:val="Tabletext"/>
              <w:rPr>
                <w:rFonts w:eastAsia="MS Mincho"/>
                <w:lang w:val="ru-RU"/>
              </w:rPr>
            </w:pPr>
            <w:r w:rsidRPr="00945782">
              <w:rPr>
                <w:rFonts w:eastAsia="MS Mincho"/>
                <w:lang w:val="ru-RU"/>
              </w:rPr>
              <w:t>ОГ-MV</w:t>
            </w:r>
          </w:p>
        </w:tc>
        <w:tc>
          <w:tcPr>
            <w:tcW w:w="4050" w:type="dxa"/>
            <w:tcMar>
              <w:top w:w="0" w:type="dxa"/>
              <w:left w:w="108" w:type="dxa"/>
              <w:bottom w:w="0" w:type="dxa"/>
              <w:right w:w="108" w:type="dxa"/>
            </w:tcMar>
            <w:vAlign w:val="center"/>
          </w:tcPr>
          <w:p w14:paraId="249F3B58" w14:textId="77777777" w:rsidR="00D82062" w:rsidRPr="00945782" w:rsidRDefault="00D82062" w:rsidP="005D1DAD">
            <w:pPr>
              <w:pStyle w:val="Tabletext"/>
              <w:rPr>
                <w:rFonts w:eastAsia="MS Mincho"/>
                <w:lang w:val="ru-RU"/>
              </w:rPr>
            </w:pPr>
            <w:r w:rsidRPr="00945782">
              <w:rPr>
                <w:rFonts w:eastAsia="MS Mincho"/>
                <w:lang w:val="ru-RU"/>
              </w:rPr>
              <w:t>Метавселенная</w:t>
            </w:r>
          </w:p>
        </w:tc>
        <w:tc>
          <w:tcPr>
            <w:tcW w:w="1187" w:type="dxa"/>
            <w:tcMar>
              <w:top w:w="0" w:type="dxa"/>
              <w:left w:w="108" w:type="dxa"/>
              <w:bottom w:w="0" w:type="dxa"/>
              <w:right w:w="108" w:type="dxa"/>
            </w:tcMar>
            <w:vAlign w:val="center"/>
          </w:tcPr>
          <w:p w14:paraId="0BB47571" w14:textId="49E19E4C" w:rsidR="00D82062" w:rsidRPr="00945782" w:rsidRDefault="005D1DAD" w:rsidP="005D1DAD">
            <w:pPr>
              <w:pStyle w:val="Tabletext"/>
              <w:jc w:val="center"/>
              <w:rPr>
                <w:rFonts w:eastAsia="MS Mincho"/>
                <w:lang w:val="ru-RU"/>
              </w:rPr>
            </w:pPr>
            <w:r w:rsidRPr="00945782">
              <w:rPr>
                <w:rFonts w:eastAsia="MS Mincho"/>
                <w:lang w:val="ru-RU"/>
              </w:rPr>
              <w:t>12.</w:t>
            </w:r>
            <w:r w:rsidR="00D82062" w:rsidRPr="00945782">
              <w:rPr>
                <w:rFonts w:eastAsia="MS Mincho"/>
                <w:lang w:val="ru-RU"/>
              </w:rPr>
              <w:t>2022</w:t>
            </w:r>
            <w:r w:rsidRPr="00945782">
              <w:rPr>
                <w:rFonts w:eastAsia="MS Mincho"/>
                <w:lang w:val="ru-RU"/>
              </w:rPr>
              <w:t xml:space="preserve"> г.</w:t>
            </w:r>
          </w:p>
        </w:tc>
        <w:tc>
          <w:tcPr>
            <w:tcW w:w="1188" w:type="dxa"/>
            <w:tcMar>
              <w:top w:w="0" w:type="dxa"/>
              <w:left w:w="108" w:type="dxa"/>
              <w:bottom w:w="0" w:type="dxa"/>
              <w:right w:w="108" w:type="dxa"/>
            </w:tcMar>
            <w:vAlign w:val="center"/>
          </w:tcPr>
          <w:p w14:paraId="250A14B1" w14:textId="19F36783" w:rsidR="00D82062" w:rsidRPr="00945782" w:rsidRDefault="005D1DAD" w:rsidP="005D1DAD">
            <w:pPr>
              <w:pStyle w:val="Tabletext"/>
              <w:jc w:val="center"/>
              <w:rPr>
                <w:rFonts w:eastAsia="MS Mincho"/>
                <w:lang w:val="ru-RU"/>
              </w:rPr>
            </w:pPr>
            <w:r w:rsidRPr="00945782">
              <w:rPr>
                <w:rFonts w:eastAsia="MS Mincho"/>
                <w:lang w:val="ru-RU"/>
              </w:rPr>
              <w:t>06.</w:t>
            </w:r>
            <w:r w:rsidR="00D82062" w:rsidRPr="00945782">
              <w:rPr>
                <w:rFonts w:eastAsia="MS Mincho"/>
                <w:lang w:val="ru-RU"/>
              </w:rPr>
              <w:t>2024</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0EC89D53" w14:textId="77777777" w:rsidR="00D82062" w:rsidRPr="00945782" w:rsidRDefault="00D82062" w:rsidP="005D1DAD">
            <w:pPr>
              <w:pStyle w:val="Tabletext"/>
              <w:jc w:val="center"/>
              <w:rPr>
                <w:rFonts w:eastAsia="MS Mincho"/>
                <w:lang w:val="ru-RU"/>
              </w:rPr>
            </w:pPr>
            <w:r w:rsidRPr="00945782">
              <w:rPr>
                <w:rFonts w:eastAsia="MS Mincho"/>
                <w:lang w:val="ru-RU"/>
              </w:rPr>
              <w:t>52</w:t>
            </w:r>
          </w:p>
        </w:tc>
      </w:tr>
      <w:tr w:rsidR="00D82062" w:rsidRPr="00945782" w14:paraId="227A485C" w14:textId="77777777" w:rsidTr="005D1DAD">
        <w:tc>
          <w:tcPr>
            <w:tcW w:w="1297" w:type="dxa"/>
            <w:tcBorders>
              <w:left w:val="single" w:sz="4" w:space="0" w:color="4BACC6"/>
            </w:tcBorders>
            <w:tcMar>
              <w:top w:w="0" w:type="dxa"/>
              <w:left w:w="108" w:type="dxa"/>
              <w:bottom w:w="0" w:type="dxa"/>
              <w:right w:w="108" w:type="dxa"/>
            </w:tcMar>
            <w:vAlign w:val="center"/>
          </w:tcPr>
          <w:p w14:paraId="0A605D18" w14:textId="77777777" w:rsidR="00D82062" w:rsidRPr="00945782" w:rsidRDefault="00D82062" w:rsidP="005D1DAD">
            <w:pPr>
              <w:pStyle w:val="Tabletext"/>
              <w:rPr>
                <w:rFonts w:eastAsia="MS Mincho"/>
                <w:lang w:val="ru-RU"/>
              </w:rPr>
            </w:pPr>
            <w:r w:rsidRPr="00945782">
              <w:rPr>
                <w:rFonts w:eastAsia="MS Mincho"/>
                <w:lang w:val="ru-RU"/>
              </w:rPr>
              <w:t>ОГ-AI4A</w:t>
            </w:r>
          </w:p>
        </w:tc>
        <w:tc>
          <w:tcPr>
            <w:tcW w:w="4050" w:type="dxa"/>
            <w:tcMar>
              <w:top w:w="0" w:type="dxa"/>
              <w:left w:w="108" w:type="dxa"/>
              <w:bottom w:w="0" w:type="dxa"/>
              <w:right w:w="108" w:type="dxa"/>
            </w:tcMar>
            <w:vAlign w:val="center"/>
          </w:tcPr>
          <w:p w14:paraId="2DE00DDA" w14:textId="77777777" w:rsidR="00D82062" w:rsidRPr="00945782" w:rsidRDefault="00D82062" w:rsidP="005D1DAD">
            <w:pPr>
              <w:pStyle w:val="Tabletext"/>
              <w:rPr>
                <w:rFonts w:eastAsia="MS Mincho"/>
                <w:lang w:val="ru-RU"/>
              </w:rPr>
            </w:pPr>
            <w:r w:rsidRPr="00945782">
              <w:rPr>
                <w:rFonts w:eastAsia="MS Mincho"/>
                <w:lang w:val="ru-RU"/>
              </w:rPr>
              <w:t>ИИ и IoT для цифрового сельского хозяйства</w:t>
            </w:r>
          </w:p>
        </w:tc>
        <w:tc>
          <w:tcPr>
            <w:tcW w:w="1187" w:type="dxa"/>
            <w:tcMar>
              <w:top w:w="0" w:type="dxa"/>
              <w:left w:w="108" w:type="dxa"/>
              <w:bottom w:w="0" w:type="dxa"/>
              <w:right w:w="108" w:type="dxa"/>
            </w:tcMar>
            <w:vAlign w:val="center"/>
          </w:tcPr>
          <w:p w14:paraId="07803D83" w14:textId="549ED041" w:rsidR="00D82062" w:rsidRPr="00945782" w:rsidRDefault="005D1DAD" w:rsidP="005D1DAD">
            <w:pPr>
              <w:pStyle w:val="Tabletext"/>
              <w:jc w:val="center"/>
              <w:rPr>
                <w:rFonts w:eastAsia="MS Mincho"/>
                <w:lang w:val="ru-RU"/>
              </w:rPr>
            </w:pPr>
            <w:r w:rsidRPr="00945782">
              <w:rPr>
                <w:rFonts w:eastAsia="MS Mincho"/>
                <w:lang w:val="ru-RU"/>
              </w:rPr>
              <w:t>10.</w:t>
            </w:r>
            <w:r w:rsidR="00D82062" w:rsidRPr="00945782">
              <w:rPr>
                <w:rFonts w:eastAsia="MS Mincho"/>
                <w:lang w:val="ru-RU"/>
              </w:rPr>
              <w:t>2021</w:t>
            </w:r>
            <w:r w:rsidRPr="00945782">
              <w:rPr>
                <w:rFonts w:eastAsia="MS Mincho"/>
                <w:lang w:val="ru-RU"/>
              </w:rPr>
              <w:t xml:space="preserve"> г.</w:t>
            </w:r>
          </w:p>
        </w:tc>
        <w:tc>
          <w:tcPr>
            <w:tcW w:w="1188" w:type="dxa"/>
            <w:tcMar>
              <w:top w:w="0" w:type="dxa"/>
              <w:left w:w="108" w:type="dxa"/>
              <w:bottom w:w="0" w:type="dxa"/>
              <w:right w:w="108" w:type="dxa"/>
            </w:tcMar>
            <w:vAlign w:val="center"/>
          </w:tcPr>
          <w:p w14:paraId="5DC491D8" w14:textId="6B716AF1" w:rsidR="00D82062" w:rsidRPr="00945782" w:rsidRDefault="005D1DAD" w:rsidP="005D1DAD">
            <w:pPr>
              <w:pStyle w:val="Tabletext"/>
              <w:jc w:val="center"/>
              <w:rPr>
                <w:rFonts w:eastAsia="MS Mincho"/>
                <w:lang w:val="ru-RU"/>
              </w:rPr>
            </w:pPr>
            <w:r w:rsidRPr="00945782">
              <w:rPr>
                <w:rFonts w:eastAsia="MS Mincho"/>
                <w:lang w:val="ru-RU"/>
              </w:rPr>
              <w:t>06.</w:t>
            </w:r>
            <w:r w:rsidR="00D82062" w:rsidRPr="00945782">
              <w:rPr>
                <w:rFonts w:eastAsia="MS Mincho"/>
                <w:lang w:val="ru-RU"/>
              </w:rPr>
              <w:t>2024</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591C01B4" w14:textId="77777777" w:rsidR="00D82062" w:rsidRPr="00945782" w:rsidRDefault="00D82062" w:rsidP="005D1DAD">
            <w:pPr>
              <w:pStyle w:val="Tabletext"/>
              <w:jc w:val="center"/>
              <w:rPr>
                <w:rFonts w:eastAsia="MS Mincho"/>
                <w:lang w:val="ru-RU"/>
              </w:rPr>
            </w:pPr>
            <w:r w:rsidRPr="00945782">
              <w:rPr>
                <w:rFonts w:eastAsia="MS Mincho"/>
                <w:lang w:val="ru-RU"/>
              </w:rPr>
              <w:t>5</w:t>
            </w:r>
          </w:p>
        </w:tc>
      </w:tr>
      <w:tr w:rsidR="00D82062" w:rsidRPr="00945782" w14:paraId="103F33AD" w14:textId="77777777" w:rsidTr="005D1DAD">
        <w:tc>
          <w:tcPr>
            <w:tcW w:w="1297" w:type="dxa"/>
            <w:tcBorders>
              <w:left w:val="single" w:sz="4" w:space="0" w:color="4BACC6"/>
            </w:tcBorders>
            <w:tcMar>
              <w:top w:w="0" w:type="dxa"/>
              <w:left w:w="108" w:type="dxa"/>
              <w:bottom w:w="0" w:type="dxa"/>
              <w:right w:w="108" w:type="dxa"/>
            </w:tcMar>
            <w:vAlign w:val="center"/>
          </w:tcPr>
          <w:p w14:paraId="4836AF76" w14:textId="77777777" w:rsidR="00D82062" w:rsidRPr="00945782" w:rsidRDefault="00D82062" w:rsidP="005D1DAD">
            <w:pPr>
              <w:pStyle w:val="Tabletext"/>
              <w:rPr>
                <w:rFonts w:eastAsia="MS Mincho"/>
                <w:lang w:val="ru-RU"/>
              </w:rPr>
            </w:pPr>
            <w:r w:rsidRPr="00945782">
              <w:rPr>
                <w:rFonts w:eastAsia="MS Mincho"/>
                <w:lang w:val="ru-RU"/>
              </w:rPr>
              <w:t>ОГ-TBFxG</w:t>
            </w:r>
          </w:p>
        </w:tc>
        <w:tc>
          <w:tcPr>
            <w:tcW w:w="4050" w:type="dxa"/>
            <w:tcMar>
              <w:top w:w="0" w:type="dxa"/>
              <w:left w:w="108" w:type="dxa"/>
              <w:bottom w:w="0" w:type="dxa"/>
              <w:right w:w="108" w:type="dxa"/>
            </w:tcMar>
            <w:vAlign w:val="center"/>
          </w:tcPr>
          <w:p w14:paraId="74F62AFD" w14:textId="77777777" w:rsidR="00D82062" w:rsidRPr="00945782" w:rsidRDefault="00D82062" w:rsidP="005D1DAD">
            <w:pPr>
              <w:pStyle w:val="Tabletext"/>
              <w:rPr>
                <w:rFonts w:eastAsia="MS Mincho"/>
                <w:lang w:val="ru-RU"/>
              </w:rPr>
            </w:pPr>
            <w:r w:rsidRPr="00945782">
              <w:rPr>
                <w:rFonts w:eastAsia="MS Mincho"/>
                <w:lang w:val="ru-RU"/>
              </w:rPr>
              <w:t>Федерации испытательных стендов для IMT-2020 и последующих поколений</w:t>
            </w:r>
          </w:p>
        </w:tc>
        <w:tc>
          <w:tcPr>
            <w:tcW w:w="1187" w:type="dxa"/>
            <w:tcMar>
              <w:top w:w="0" w:type="dxa"/>
              <w:left w:w="108" w:type="dxa"/>
              <w:bottom w:w="0" w:type="dxa"/>
              <w:right w:w="108" w:type="dxa"/>
            </w:tcMar>
            <w:vAlign w:val="center"/>
          </w:tcPr>
          <w:p w14:paraId="22DC260C" w14:textId="77209DA9" w:rsidR="00D82062" w:rsidRPr="00945782" w:rsidRDefault="005D1DAD" w:rsidP="005D1DAD">
            <w:pPr>
              <w:pStyle w:val="Tabletext"/>
              <w:jc w:val="center"/>
              <w:rPr>
                <w:rFonts w:eastAsia="MS Mincho"/>
                <w:lang w:val="ru-RU"/>
              </w:rPr>
            </w:pPr>
            <w:r w:rsidRPr="00945782">
              <w:rPr>
                <w:rFonts w:eastAsia="MS Mincho"/>
                <w:lang w:val="ru-RU"/>
              </w:rPr>
              <w:t>12.</w:t>
            </w:r>
            <w:r w:rsidR="00D82062" w:rsidRPr="00945782">
              <w:rPr>
                <w:rFonts w:eastAsia="MS Mincho"/>
                <w:lang w:val="ru-RU"/>
              </w:rPr>
              <w:t>2021</w:t>
            </w:r>
            <w:r w:rsidRPr="00945782">
              <w:rPr>
                <w:rFonts w:eastAsia="MS Mincho"/>
                <w:lang w:val="ru-RU"/>
              </w:rPr>
              <w:t xml:space="preserve"> г.</w:t>
            </w:r>
          </w:p>
        </w:tc>
        <w:tc>
          <w:tcPr>
            <w:tcW w:w="1188" w:type="dxa"/>
            <w:tcMar>
              <w:top w:w="0" w:type="dxa"/>
              <w:left w:w="108" w:type="dxa"/>
              <w:bottom w:w="0" w:type="dxa"/>
              <w:right w:w="108" w:type="dxa"/>
            </w:tcMar>
            <w:vAlign w:val="center"/>
          </w:tcPr>
          <w:p w14:paraId="72AC50D4" w14:textId="6D8BD16B" w:rsidR="00D82062" w:rsidRPr="00945782" w:rsidRDefault="005D1DAD" w:rsidP="005D1DAD">
            <w:pPr>
              <w:pStyle w:val="Tabletext"/>
              <w:jc w:val="center"/>
              <w:rPr>
                <w:rFonts w:eastAsia="MS Mincho"/>
                <w:lang w:val="ru-RU"/>
              </w:rPr>
            </w:pPr>
            <w:r w:rsidRPr="00945782">
              <w:rPr>
                <w:rFonts w:eastAsia="MS Mincho"/>
                <w:lang w:val="ru-RU"/>
              </w:rPr>
              <w:t>04.</w:t>
            </w:r>
            <w:r w:rsidR="00D82062" w:rsidRPr="00945782">
              <w:rPr>
                <w:rFonts w:eastAsia="MS Mincho"/>
                <w:lang w:val="ru-RU"/>
              </w:rPr>
              <w:t>2024</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57A5D73D" w14:textId="77777777" w:rsidR="00D82062" w:rsidRPr="00945782" w:rsidRDefault="00D82062" w:rsidP="005D1DAD">
            <w:pPr>
              <w:pStyle w:val="Tabletext"/>
              <w:jc w:val="center"/>
              <w:rPr>
                <w:rFonts w:eastAsia="MS Mincho"/>
                <w:lang w:val="ru-RU"/>
              </w:rPr>
            </w:pPr>
            <w:r w:rsidRPr="00945782">
              <w:rPr>
                <w:rFonts w:eastAsia="MS Mincho"/>
                <w:lang w:val="ru-RU"/>
              </w:rPr>
              <w:t>8</w:t>
            </w:r>
          </w:p>
        </w:tc>
      </w:tr>
      <w:tr w:rsidR="00D82062" w:rsidRPr="00945782" w14:paraId="2C27B03C" w14:textId="77777777" w:rsidTr="005D1DAD">
        <w:tc>
          <w:tcPr>
            <w:tcW w:w="1297" w:type="dxa"/>
            <w:tcBorders>
              <w:left w:val="single" w:sz="4" w:space="0" w:color="4BACC6"/>
            </w:tcBorders>
            <w:tcMar>
              <w:top w:w="0" w:type="dxa"/>
              <w:left w:w="108" w:type="dxa"/>
              <w:bottom w:w="0" w:type="dxa"/>
              <w:right w:w="108" w:type="dxa"/>
            </w:tcMar>
            <w:vAlign w:val="center"/>
          </w:tcPr>
          <w:p w14:paraId="63AE38A1" w14:textId="77777777" w:rsidR="00D82062" w:rsidRPr="00945782" w:rsidRDefault="00D82062" w:rsidP="005D1DAD">
            <w:pPr>
              <w:pStyle w:val="Tabletext"/>
              <w:rPr>
                <w:rFonts w:eastAsia="MS Mincho"/>
                <w:lang w:val="ru-RU"/>
              </w:rPr>
            </w:pPr>
            <w:r w:rsidRPr="00945782">
              <w:rPr>
                <w:rFonts w:eastAsia="MS Mincho"/>
                <w:lang w:val="ru-RU"/>
              </w:rPr>
              <w:t>ОГ-AI4NDM</w:t>
            </w:r>
          </w:p>
        </w:tc>
        <w:tc>
          <w:tcPr>
            <w:tcW w:w="4050" w:type="dxa"/>
            <w:tcMar>
              <w:top w:w="0" w:type="dxa"/>
              <w:left w:w="108" w:type="dxa"/>
              <w:bottom w:w="0" w:type="dxa"/>
              <w:right w:w="108" w:type="dxa"/>
            </w:tcMar>
            <w:vAlign w:val="center"/>
          </w:tcPr>
          <w:p w14:paraId="2DBF6EF4" w14:textId="77777777" w:rsidR="00D82062" w:rsidRPr="00945782" w:rsidRDefault="00D82062" w:rsidP="005D1DAD">
            <w:pPr>
              <w:pStyle w:val="Tabletext"/>
              <w:rPr>
                <w:rFonts w:eastAsia="MS Mincho"/>
                <w:lang w:val="ru-RU"/>
              </w:rPr>
            </w:pPr>
            <w:r w:rsidRPr="00945782">
              <w:rPr>
                <w:rFonts w:eastAsia="MS Mincho"/>
                <w:lang w:val="ru-RU"/>
              </w:rPr>
              <w:t>ИИ в управлении операциями в случае стихийных бедствий</w:t>
            </w:r>
          </w:p>
        </w:tc>
        <w:tc>
          <w:tcPr>
            <w:tcW w:w="1187" w:type="dxa"/>
            <w:tcMar>
              <w:top w:w="0" w:type="dxa"/>
              <w:left w:w="108" w:type="dxa"/>
              <w:bottom w:w="0" w:type="dxa"/>
              <w:right w:w="108" w:type="dxa"/>
            </w:tcMar>
            <w:vAlign w:val="center"/>
          </w:tcPr>
          <w:p w14:paraId="241040C9" w14:textId="2089E0DC" w:rsidR="00D82062" w:rsidRPr="00945782" w:rsidRDefault="005D1DAD" w:rsidP="005D1DAD">
            <w:pPr>
              <w:pStyle w:val="Tabletext"/>
              <w:jc w:val="center"/>
              <w:rPr>
                <w:rFonts w:eastAsia="MS Mincho"/>
                <w:lang w:val="ru-RU"/>
              </w:rPr>
            </w:pPr>
            <w:r w:rsidRPr="00945782">
              <w:rPr>
                <w:rFonts w:eastAsia="MS Mincho"/>
                <w:lang w:val="ru-RU"/>
              </w:rPr>
              <w:t>12.</w:t>
            </w:r>
            <w:r w:rsidR="00D82062" w:rsidRPr="00945782">
              <w:rPr>
                <w:rFonts w:eastAsia="MS Mincho"/>
                <w:lang w:val="ru-RU"/>
              </w:rPr>
              <w:t>2020</w:t>
            </w:r>
            <w:r w:rsidRPr="00945782">
              <w:rPr>
                <w:rFonts w:eastAsia="MS Mincho"/>
                <w:lang w:val="ru-RU"/>
              </w:rPr>
              <w:t xml:space="preserve"> г.</w:t>
            </w:r>
          </w:p>
        </w:tc>
        <w:tc>
          <w:tcPr>
            <w:tcW w:w="1188" w:type="dxa"/>
            <w:tcMar>
              <w:top w:w="0" w:type="dxa"/>
              <w:left w:w="108" w:type="dxa"/>
              <w:bottom w:w="0" w:type="dxa"/>
              <w:right w:w="108" w:type="dxa"/>
            </w:tcMar>
            <w:vAlign w:val="center"/>
          </w:tcPr>
          <w:p w14:paraId="1E923710" w14:textId="607B9C13" w:rsidR="00D82062" w:rsidRPr="00945782" w:rsidRDefault="005D1DAD" w:rsidP="005D1DAD">
            <w:pPr>
              <w:pStyle w:val="Tabletext"/>
              <w:jc w:val="center"/>
              <w:rPr>
                <w:rFonts w:eastAsia="MS Mincho"/>
                <w:lang w:val="ru-RU"/>
              </w:rPr>
            </w:pPr>
            <w:r w:rsidRPr="00945782">
              <w:rPr>
                <w:rFonts w:eastAsia="MS Mincho"/>
                <w:lang w:val="ru-RU"/>
              </w:rPr>
              <w:t>03.</w:t>
            </w:r>
            <w:r w:rsidR="00D82062" w:rsidRPr="00945782">
              <w:rPr>
                <w:rFonts w:eastAsia="MS Mincho"/>
                <w:lang w:val="ru-RU"/>
              </w:rPr>
              <w:t>2024</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6A5724B2" w14:textId="77777777" w:rsidR="00D82062" w:rsidRPr="00945782" w:rsidRDefault="00D82062" w:rsidP="005D1DAD">
            <w:pPr>
              <w:pStyle w:val="Tabletext"/>
              <w:jc w:val="center"/>
              <w:rPr>
                <w:rFonts w:eastAsia="MS Mincho"/>
                <w:lang w:val="ru-RU"/>
              </w:rPr>
            </w:pPr>
            <w:r w:rsidRPr="00945782">
              <w:rPr>
                <w:rFonts w:eastAsia="MS Mincho"/>
                <w:lang w:val="ru-RU"/>
              </w:rPr>
              <w:t>5</w:t>
            </w:r>
          </w:p>
        </w:tc>
      </w:tr>
      <w:tr w:rsidR="00D82062" w:rsidRPr="00945782" w14:paraId="044D6F6C" w14:textId="77777777" w:rsidTr="005D1DAD">
        <w:tc>
          <w:tcPr>
            <w:tcW w:w="1297" w:type="dxa"/>
            <w:tcBorders>
              <w:left w:val="single" w:sz="4" w:space="0" w:color="4BACC6"/>
            </w:tcBorders>
            <w:tcMar>
              <w:top w:w="0" w:type="dxa"/>
              <w:left w:w="108" w:type="dxa"/>
              <w:bottom w:w="0" w:type="dxa"/>
              <w:right w:w="108" w:type="dxa"/>
            </w:tcMar>
            <w:vAlign w:val="center"/>
          </w:tcPr>
          <w:p w14:paraId="09A0B309" w14:textId="77777777" w:rsidR="00D82062" w:rsidRPr="00945782" w:rsidRDefault="00D82062" w:rsidP="005D1DAD">
            <w:pPr>
              <w:pStyle w:val="Tabletext"/>
              <w:rPr>
                <w:rFonts w:eastAsia="MS Mincho"/>
                <w:lang w:val="ru-RU"/>
              </w:rPr>
            </w:pPr>
            <w:r w:rsidRPr="00945782">
              <w:rPr>
                <w:rFonts w:eastAsia="MS Mincho"/>
                <w:lang w:val="ru-RU"/>
              </w:rPr>
              <w:t>ОГ-AN</w:t>
            </w:r>
          </w:p>
        </w:tc>
        <w:tc>
          <w:tcPr>
            <w:tcW w:w="4050" w:type="dxa"/>
            <w:tcMar>
              <w:top w:w="0" w:type="dxa"/>
              <w:left w:w="108" w:type="dxa"/>
              <w:bottom w:w="0" w:type="dxa"/>
              <w:right w:w="108" w:type="dxa"/>
            </w:tcMar>
            <w:vAlign w:val="center"/>
          </w:tcPr>
          <w:p w14:paraId="75010D73" w14:textId="77777777" w:rsidR="00D82062" w:rsidRPr="00945782" w:rsidRDefault="00D82062" w:rsidP="005D1DAD">
            <w:pPr>
              <w:pStyle w:val="Tabletext"/>
              <w:rPr>
                <w:rFonts w:eastAsia="MS Mincho"/>
                <w:lang w:val="ru-RU"/>
              </w:rPr>
            </w:pPr>
            <w:r w:rsidRPr="00945782">
              <w:rPr>
                <w:rFonts w:eastAsia="MS Mincho"/>
                <w:lang w:val="ru-RU"/>
              </w:rPr>
              <w:t>Автономные сети</w:t>
            </w:r>
          </w:p>
        </w:tc>
        <w:tc>
          <w:tcPr>
            <w:tcW w:w="1187" w:type="dxa"/>
            <w:tcMar>
              <w:top w:w="0" w:type="dxa"/>
              <w:left w:w="108" w:type="dxa"/>
              <w:bottom w:w="0" w:type="dxa"/>
              <w:right w:w="108" w:type="dxa"/>
            </w:tcMar>
            <w:vAlign w:val="center"/>
          </w:tcPr>
          <w:p w14:paraId="446DE2EC" w14:textId="796BBBBE" w:rsidR="00D82062" w:rsidRPr="00945782" w:rsidRDefault="005D1DAD" w:rsidP="005D1DAD">
            <w:pPr>
              <w:pStyle w:val="Tabletext"/>
              <w:jc w:val="center"/>
              <w:rPr>
                <w:rFonts w:eastAsia="MS Mincho"/>
                <w:lang w:val="ru-RU"/>
              </w:rPr>
            </w:pPr>
            <w:r w:rsidRPr="00945782">
              <w:rPr>
                <w:rFonts w:eastAsia="MS Mincho"/>
                <w:lang w:val="ru-RU"/>
              </w:rPr>
              <w:t>12.</w:t>
            </w:r>
            <w:r w:rsidR="00D82062" w:rsidRPr="00945782">
              <w:rPr>
                <w:rFonts w:eastAsia="MS Mincho"/>
                <w:lang w:val="ru-RU"/>
              </w:rPr>
              <w:t>2020</w:t>
            </w:r>
            <w:r w:rsidRPr="00945782">
              <w:rPr>
                <w:rFonts w:eastAsia="MS Mincho"/>
                <w:lang w:val="ru-RU"/>
              </w:rPr>
              <w:t xml:space="preserve"> г.</w:t>
            </w:r>
          </w:p>
        </w:tc>
        <w:tc>
          <w:tcPr>
            <w:tcW w:w="1188" w:type="dxa"/>
            <w:tcMar>
              <w:top w:w="0" w:type="dxa"/>
              <w:left w:w="108" w:type="dxa"/>
              <w:bottom w:w="0" w:type="dxa"/>
              <w:right w:w="108" w:type="dxa"/>
            </w:tcMar>
            <w:vAlign w:val="center"/>
          </w:tcPr>
          <w:p w14:paraId="46A7522C" w14:textId="046CEDFA" w:rsidR="00D82062" w:rsidRPr="00945782" w:rsidRDefault="005D1DAD" w:rsidP="005D1DAD">
            <w:pPr>
              <w:pStyle w:val="Tabletext"/>
              <w:jc w:val="center"/>
              <w:rPr>
                <w:rFonts w:eastAsia="MS Mincho"/>
                <w:lang w:val="ru-RU"/>
              </w:rPr>
            </w:pPr>
            <w:r w:rsidRPr="00945782">
              <w:rPr>
                <w:rFonts w:eastAsia="MS Mincho"/>
                <w:lang w:val="ru-RU"/>
              </w:rPr>
              <w:t>03.</w:t>
            </w:r>
            <w:r w:rsidR="00D82062" w:rsidRPr="00945782">
              <w:rPr>
                <w:rFonts w:eastAsia="MS Mincho"/>
                <w:lang w:val="ru-RU"/>
              </w:rPr>
              <w:t>2024</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1C08450B" w14:textId="77777777" w:rsidR="00D82062" w:rsidRPr="00945782" w:rsidRDefault="00D82062" w:rsidP="005D1DAD">
            <w:pPr>
              <w:pStyle w:val="Tabletext"/>
              <w:jc w:val="center"/>
              <w:rPr>
                <w:rFonts w:eastAsia="MS Mincho"/>
                <w:lang w:val="ru-RU"/>
              </w:rPr>
            </w:pPr>
            <w:r w:rsidRPr="00945782">
              <w:rPr>
                <w:rFonts w:eastAsia="MS Mincho"/>
                <w:lang w:val="ru-RU"/>
              </w:rPr>
              <w:t>9</w:t>
            </w:r>
          </w:p>
        </w:tc>
      </w:tr>
      <w:tr w:rsidR="00D82062" w:rsidRPr="00945782" w14:paraId="761B4841" w14:textId="77777777" w:rsidTr="005D1DAD">
        <w:tc>
          <w:tcPr>
            <w:tcW w:w="1297" w:type="dxa"/>
            <w:tcBorders>
              <w:left w:val="single" w:sz="4" w:space="0" w:color="4BACC6"/>
            </w:tcBorders>
            <w:tcMar>
              <w:top w:w="0" w:type="dxa"/>
              <w:left w:w="108" w:type="dxa"/>
              <w:bottom w:w="0" w:type="dxa"/>
              <w:right w:w="108" w:type="dxa"/>
            </w:tcMar>
            <w:vAlign w:val="center"/>
          </w:tcPr>
          <w:p w14:paraId="29B82D18" w14:textId="77777777" w:rsidR="00D82062" w:rsidRPr="00945782" w:rsidRDefault="00D82062" w:rsidP="005D1DAD">
            <w:pPr>
              <w:pStyle w:val="Tabletext"/>
              <w:rPr>
                <w:rFonts w:eastAsia="MS Mincho"/>
                <w:lang w:val="ru-RU"/>
              </w:rPr>
            </w:pPr>
            <w:r w:rsidRPr="00945782">
              <w:rPr>
                <w:rFonts w:eastAsia="MS Mincho"/>
                <w:lang w:val="ru-RU"/>
              </w:rPr>
              <w:t>ОГ-AI4H</w:t>
            </w:r>
          </w:p>
        </w:tc>
        <w:tc>
          <w:tcPr>
            <w:tcW w:w="4050" w:type="dxa"/>
            <w:tcMar>
              <w:top w:w="0" w:type="dxa"/>
              <w:left w:w="108" w:type="dxa"/>
              <w:bottom w:w="0" w:type="dxa"/>
              <w:right w:w="108" w:type="dxa"/>
            </w:tcMar>
            <w:vAlign w:val="center"/>
          </w:tcPr>
          <w:p w14:paraId="19A6C7AA" w14:textId="77777777" w:rsidR="00D82062" w:rsidRPr="00945782" w:rsidRDefault="00D82062" w:rsidP="005D1DAD">
            <w:pPr>
              <w:pStyle w:val="Tabletext"/>
              <w:rPr>
                <w:rFonts w:eastAsia="MS Mincho"/>
                <w:lang w:val="ru-RU"/>
              </w:rPr>
            </w:pPr>
            <w:r w:rsidRPr="00945782">
              <w:rPr>
                <w:rFonts w:eastAsia="MS Mincho"/>
                <w:lang w:val="ru-RU"/>
              </w:rPr>
              <w:t>Искусственный интеллект для здравоохранения</w:t>
            </w:r>
          </w:p>
        </w:tc>
        <w:tc>
          <w:tcPr>
            <w:tcW w:w="1187" w:type="dxa"/>
            <w:tcMar>
              <w:top w:w="0" w:type="dxa"/>
              <w:left w:w="108" w:type="dxa"/>
              <w:bottom w:w="0" w:type="dxa"/>
              <w:right w:w="108" w:type="dxa"/>
            </w:tcMar>
            <w:vAlign w:val="center"/>
          </w:tcPr>
          <w:p w14:paraId="2E468559" w14:textId="3FEC3B34" w:rsidR="00D82062" w:rsidRPr="00945782" w:rsidRDefault="005D1DAD" w:rsidP="005D1DAD">
            <w:pPr>
              <w:pStyle w:val="Tabletext"/>
              <w:jc w:val="center"/>
              <w:rPr>
                <w:rFonts w:eastAsia="MS Mincho"/>
                <w:lang w:val="ru-RU"/>
              </w:rPr>
            </w:pPr>
            <w:r w:rsidRPr="00945782">
              <w:rPr>
                <w:rFonts w:eastAsia="MS Mincho"/>
                <w:lang w:val="ru-RU"/>
              </w:rPr>
              <w:t>07.</w:t>
            </w:r>
            <w:r w:rsidR="00D82062" w:rsidRPr="00945782">
              <w:rPr>
                <w:rFonts w:eastAsia="MS Mincho"/>
                <w:lang w:val="ru-RU"/>
              </w:rPr>
              <w:t>2018</w:t>
            </w:r>
            <w:r w:rsidRPr="00945782">
              <w:rPr>
                <w:rFonts w:eastAsia="MS Mincho"/>
                <w:lang w:val="ru-RU"/>
              </w:rPr>
              <w:t xml:space="preserve"> г.</w:t>
            </w:r>
          </w:p>
        </w:tc>
        <w:tc>
          <w:tcPr>
            <w:tcW w:w="1188" w:type="dxa"/>
            <w:tcMar>
              <w:top w:w="0" w:type="dxa"/>
              <w:left w:w="108" w:type="dxa"/>
              <w:bottom w:w="0" w:type="dxa"/>
              <w:right w:w="108" w:type="dxa"/>
            </w:tcMar>
            <w:vAlign w:val="center"/>
          </w:tcPr>
          <w:p w14:paraId="627670D6" w14:textId="770CAE30" w:rsidR="00D82062" w:rsidRPr="00945782" w:rsidRDefault="005D1DAD" w:rsidP="005D1DAD">
            <w:pPr>
              <w:pStyle w:val="Tabletext"/>
              <w:jc w:val="center"/>
              <w:rPr>
                <w:rFonts w:eastAsia="MS Mincho"/>
                <w:lang w:val="ru-RU"/>
              </w:rPr>
            </w:pPr>
            <w:r w:rsidRPr="00945782">
              <w:rPr>
                <w:rFonts w:eastAsia="MS Mincho"/>
                <w:lang w:val="ru-RU"/>
              </w:rPr>
              <w:t>09.</w:t>
            </w:r>
            <w:r w:rsidR="00D82062" w:rsidRPr="00945782">
              <w:rPr>
                <w:rFonts w:eastAsia="MS Mincho"/>
                <w:lang w:val="ru-RU"/>
              </w:rPr>
              <w:t>2023</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74D3A2D9" w14:textId="77777777" w:rsidR="00D82062" w:rsidRPr="00945782" w:rsidRDefault="00D82062" w:rsidP="005D1DAD">
            <w:pPr>
              <w:pStyle w:val="Tabletext"/>
              <w:jc w:val="center"/>
              <w:rPr>
                <w:rFonts w:eastAsia="MS Mincho"/>
                <w:lang w:val="ru-RU"/>
              </w:rPr>
            </w:pPr>
            <w:r w:rsidRPr="00945782">
              <w:rPr>
                <w:rFonts w:eastAsia="MS Mincho"/>
                <w:lang w:val="ru-RU"/>
              </w:rPr>
              <w:t>36</w:t>
            </w:r>
          </w:p>
        </w:tc>
      </w:tr>
      <w:tr w:rsidR="00D82062" w:rsidRPr="00945782" w14:paraId="23C68B72" w14:textId="77777777" w:rsidTr="005D1DAD">
        <w:tc>
          <w:tcPr>
            <w:tcW w:w="1297" w:type="dxa"/>
            <w:tcBorders>
              <w:left w:val="single" w:sz="4" w:space="0" w:color="4BACC6"/>
            </w:tcBorders>
            <w:tcMar>
              <w:top w:w="0" w:type="dxa"/>
              <w:left w:w="108" w:type="dxa"/>
              <w:bottom w:w="0" w:type="dxa"/>
              <w:right w:w="108" w:type="dxa"/>
            </w:tcMar>
            <w:vAlign w:val="center"/>
          </w:tcPr>
          <w:p w14:paraId="0FAFD556" w14:textId="77777777" w:rsidR="00D82062" w:rsidRPr="00945782" w:rsidRDefault="00D82062" w:rsidP="005D1DAD">
            <w:pPr>
              <w:pStyle w:val="Tabletext"/>
              <w:rPr>
                <w:rFonts w:eastAsia="MS Mincho"/>
                <w:lang w:val="ru-RU"/>
              </w:rPr>
            </w:pPr>
            <w:r w:rsidRPr="00945782">
              <w:rPr>
                <w:rFonts w:eastAsia="MS Mincho"/>
                <w:lang w:val="ru-RU"/>
              </w:rPr>
              <w:t>ОГ-AI4EE</w:t>
            </w:r>
          </w:p>
        </w:tc>
        <w:tc>
          <w:tcPr>
            <w:tcW w:w="4050" w:type="dxa"/>
            <w:tcMar>
              <w:top w:w="0" w:type="dxa"/>
              <w:left w:w="108" w:type="dxa"/>
              <w:bottom w:w="0" w:type="dxa"/>
              <w:right w:w="108" w:type="dxa"/>
            </w:tcMar>
            <w:vAlign w:val="center"/>
          </w:tcPr>
          <w:p w14:paraId="6797F11F" w14:textId="77777777" w:rsidR="00D82062" w:rsidRPr="00945782" w:rsidRDefault="00D82062" w:rsidP="005D1DAD">
            <w:pPr>
              <w:pStyle w:val="Tabletext"/>
              <w:rPr>
                <w:rFonts w:eastAsia="MS Mincho"/>
                <w:lang w:val="ru-RU"/>
              </w:rPr>
            </w:pPr>
            <w:r w:rsidRPr="00945782">
              <w:rPr>
                <w:rFonts w:eastAsia="MS Mincho"/>
                <w:lang w:val="ru-RU"/>
              </w:rPr>
              <w:t>Экологическая эффективность для ИИ и других появляющихся технологий</w:t>
            </w:r>
          </w:p>
        </w:tc>
        <w:tc>
          <w:tcPr>
            <w:tcW w:w="1187" w:type="dxa"/>
            <w:tcMar>
              <w:top w:w="0" w:type="dxa"/>
              <w:left w:w="108" w:type="dxa"/>
              <w:bottom w:w="0" w:type="dxa"/>
              <w:right w:w="108" w:type="dxa"/>
            </w:tcMar>
            <w:vAlign w:val="center"/>
          </w:tcPr>
          <w:p w14:paraId="4B0A2AE5" w14:textId="19078E6F" w:rsidR="00D82062" w:rsidRPr="00945782" w:rsidRDefault="005D1DAD" w:rsidP="005D1DAD">
            <w:pPr>
              <w:pStyle w:val="Tabletext"/>
              <w:jc w:val="center"/>
              <w:rPr>
                <w:rFonts w:eastAsia="MS Mincho"/>
                <w:lang w:val="ru-RU"/>
              </w:rPr>
            </w:pPr>
            <w:r w:rsidRPr="00945782">
              <w:rPr>
                <w:rFonts w:eastAsia="MS Mincho"/>
                <w:lang w:val="ru-RU"/>
              </w:rPr>
              <w:t>05.</w:t>
            </w:r>
            <w:r w:rsidR="00D82062" w:rsidRPr="00945782">
              <w:rPr>
                <w:rFonts w:eastAsia="MS Mincho"/>
                <w:lang w:val="ru-RU"/>
              </w:rPr>
              <w:t>2019</w:t>
            </w:r>
            <w:r w:rsidRPr="00945782">
              <w:rPr>
                <w:rFonts w:eastAsia="MS Mincho"/>
                <w:lang w:val="ru-RU"/>
              </w:rPr>
              <w:t xml:space="preserve"> г.</w:t>
            </w:r>
          </w:p>
        </w:tc>
        <w:tc>
          <w:tcPr>
            <w:tcW w:w="1188" w:type="dxa"/>
            <w:tcMar>
              <w:top w:w="0" w:type="dxa"/>
              <w:left w:w="108" w:type="dxa"/>
              <w:bottom w:w="0" w:type="dxa"/>
              <w:right w:w="108" w:type="dxa"/>
            </w:tcMar>
            <w:vAlign w:val="center"/>
          </w:tcPr>
          <w:p w14:paraId="601C7DF6" w14:textId="3B07C6A2" w:rsidR="00D82062" w:rsidRPr="00945782" w:rsidRDefault="005D1DAD" w:rsidP="005D1DAD">
            <w:pPr>
              <w:pStyle w:val="Tabletext"/>
              <w:jc w:val="center"/>
              <w:rPr>
                <w:rFonts w:eastAsia="MS Mincho"/>
                <w:lang w:val="ru-RU"/>
              </w:rPr>
            </w:pPr>
            <w:r w:rsidRPr="00945782">
              <w:rPr>
                <w:rFonts w:eastAsia="MS Mincho"/>
                <w:lang w:val="ru-RU"/>
              </w:rPr>
              <w:t>12.</w:t>
            </w:r>
            <w:r w:rsidR="00D82062" w:rsidRPr="00945782">
              <w:rPr>
                <w:rFonts w:eastAsia="MS Mincho"/>
                <w:lang w:val="ru-RU"/>
              </w:rPr>
              <w:t>2022</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4019405A" w14:textId="77777777" w:rsidR="00D82062" w:rsidRPr="00945782" w:rsidRDefault="00D82062" w:rsidP="005D1DAD">
            <w:pPr>
              <w:pStyle w:val="Tabletext"/>
              <w:jc w:val="center"/>
              <w:rPr>
                <w:rFonts w:eastAsia="MS Mincho"/>
                <w:lang w:val="ru-RU"/>
              </w:rPr>
            </w:pPr>
            <w:r w:rsidRPr="00945782">
              <w:rPr>
                <w:rFonts w:eastAsia="MS Mincho"/>
                <w:lang w:val="ru-RU"/>
              </w:rPr>
              <w:t>20</w:t>
            </w:r>
          </w:p>
        </w:tc>
      </w:tr>
      <w:tr w:rsidR="00D82062" w:rsidRPr="00945782" w14:paraId="3DB4F4C4" w14:textId="77777777" w:rsidTr="005D1DAD">
        <w:tc>
          <w:tcPr>
            <w:tcW w:w="1297" w:type="dxa"/>
            <w:tcBorders>
              <w:left w:val="single" w:sz="4" w:space="0" w:color="4BACC6"/>
            </w:tcBorders>
            <w:tcMar>
              <w:top w:w="0" w:type="dxa"/>
              <w:left w:w="108" w:type="dxa"/>
              <w:bottom w:w="0" w:type="dxa"/>
              <w:right w:w="108" w:type="dxa"/>
            </w:tcMar>
            <w:vAlign w:val="center"/>
          </w:tcPr>
          <w:p w14:paraId="12E06A96" w14:textId="77777777" w:rsidR="00D82062" w:rsidRPr="00945782" w:rsidRDefault="00D82062" w:rsidP="005D1DAD">
            <w:pPr>
              <w:pStyle w:val="Tabletext"/>
              <w:rPr>
                <w:rFonts w:eastAsia="MS Mincho"/>
                <w:lang w:val="ru-RU"/>
              </w:rPr>
            </w:pPr>
            <w:r w:rsidRPr="00945782">
              <w:rPr>
                <w:rFonts w:eastAsia="MS Mincho"/>
                <w:lang w:val="ru-RU"/>
              </w:rPr>
              <w:t>ОГ-AI4AD</w:t>
            </w:r>
          </w:p>
        </w:tc>
        <w:tc>
          <w:tcPr>
            <w:tcW w:w="4050" w:type="dxa"/>
            <w:tcMar>
              <w:top w:w="0" w:type="dxa"/>
              <w:left w:w="108" w:type="dxa"/>
              <w:bottom w:w="0" w:type="dxa"/>
              <w:right w:w="108" w:type="dxa"/>
            </w:tcMar>
            <w:vAlign w:val="center"/>
          </w:tcPr>
          <w:p w14:paraId="4665AB9F" w14:textId="77777777" w:rsidR="00D82062" w:rsidRPr="00945782" w:rsidRDefault="00D82062" w:rsidP="005D1DAD">
            <w:pPr>
              <w:pStyle w:val="Tabletext"/>
              <w:rPr>
                <w:rFonts w:eastAsia="MS Mincho"/>
                <w:lang w:val="ru-RU"/>
              </w:rPr>
            </w:pPr>
            <w:r w:rsidRPr="00945782">
              <w:rPr>
                <w:rFonts w:eastAsia="MS Mincho"/>
                <w:lang w:val="ru-RU"/>
              </w:rPr>
              <w:t>Искусственный интеллект для автономного и ассистированного вождения</w:t>
            </w:r>
          </w:p>
        </w:tc>
        <w:tc>
          <w:tcPr>
            <w:tcW w:w="1187" w:type="dxa"/>
            <w:tcMar>
              <w:top w:w="0" w:type="dxa"/>
              <w:left w:w="108" w:type="dxa"/>
              <w:bottom w:w="0" w:type="dxa"/>
              <w:right w:w="108" w:type="dxa"/>
            </w:tcMar>
            <w:vAlign w:val="center"/>
          </w:tcPr>
          <w:p w14:paraId="4575D644" w14:textId="1611821A" w:rsidR="00D82062" w:rsidRPr="00945782" w:rsidRDefault="005D1DAD" w:rsidP="005D1DAD">
            <w:pPr>
              <w:pStyle w:val="Tabletext"/>
              <w:jc w:val="center"/>
              <w:rPr>
                <w:rFonts w:eastAsia="MS Mincho"/>
                <w:lang w:val="ru-RU"/>
              </w:rPr>
            </w:pPr>
            <w:r w:rsidRPr="00945782">
              <w:rPr>
                <w:rFonts w:eastAsia="MS Mincho"/>
                <w:lang w:val="ru-RU"/>
              </w:rPr>
              <w:t>10.</w:t>
            </w:r>
            <w:r w:rsidR="00D82062" w:rsidRPr="00945782">
              <w:rPr>
                <w:rFonts w:eastAsia="MS Mincho"/>
                <w:lang w:val="ru-RU"/>
              </w:rPr>
              <w:t>2019</w:t>
            </w:r>
            <w:r w:rsidRPr="00945782">
              <w:rPr>
                <w:rFonts w:eastAsia="MS Mincho"/>
                <w:lang w:val="ru-RU"/>
              </w:rPr>
              <w:t xml:space="preserve"> г.</w:t>
            </w:r>
          </w:p>
        </w:tc>
        <w:tc>
          <w:tcPr>
            <w:tcW w:w="1188" w:type="dxa"/>
            <w:tcMar>
              <w:top w:w="0" w:type="dxa"/>
              <w:left w:w="108" w:type="dxa"/>
              <w:bottom w:w="0" w:type="dxa"/>
              <w:right w:w="108" w:type="dxa"/>
            </w:tcMar>
            <w:vAlign w:val="center"/>
          </w:tcPr>
          <w:p w14:paraId="54A9D0EF" w14:textId="5F8CB089" w:rsidR="00D82062" w:rsidRPr="00945782" w:rsidRDefault="005D1DAD" w:rsidP="005D1DAD">
            <w:pPr>
              <w:pStyle w:val="Tabletext"/>
              <w:jc w:val="center"/>
              <w:rPr>
                <w:rFonts w:eastAsia="MS Mincho"/>
                <w:lang w:val="ru-RU"/>
              </w:rPr>
            </w:pPr>
            <w:r w:rsidRPr="00945782">
              <w:rPr>
                <w:rFonts w:eastAsia="MS Mincho"/>
                <w:lang w:val="ru-RU"/>
              </w:rPr>
              <w:t>09.</w:t>
            </w:r>
            <w:r w:rsidR="00D82062" w:rsidRPr="00945782">
              <w:rPr>
                <w:rFonts w:eastAsia="MS Mincho"/>
                <w:lang w:val="ru-RU"/>
              </w:rPr>
              <w:t>2022</w:t>
            </w:r>
            <w:r w:rsidRPr="00945782">
              <w:rPr>
                <w:rFonts w:eastAsia="MS Mincho"/>
                <w:lang w:val="ru-RU"/>
              </w:rPr>
              <w:t xml:space="preserve"> г.</w:t>
            </w:r>
          </w:p>
        </w:tc>
        <w:tc>
          <w:tcPr>
            <w:tcW w:w="1339" w:type="dxa"/>
            <w:tcBorders>
              <w:right w:val="single" w:sz="4" w:space="0" w:color="4BACC6"/>
            </w:tcBorders>
            <w:tcMar>
              <w:top w:w="0" w:type="dxa"/>
              <w:left w:w="108" w:type="dxa"/>
              <w:bottom w:w="0" w:type="dxa"/>
              <w:right w:w="108" w:type="dxa"/>
            </w:tcMar>
            <w:vAlign w:val="center"/>
          </w:tcPr>
          <w:p w14:paraId="11C13FB0" w14:textId="77777777" w:rsidR="00D82062" w:rsidRPr="00945782" w:rsidRDefault="00D82062" w:rsidP="005D1DAD">
            <w:pPr>
              <w:pStyle w:val="Tabletext"/>
              <w:jc w:val="center"/>
              <w:rPr>
                <w:rFonts w:eastAsia="MS Mincho"/>
                <w:lang w:val="ru-RU"/>
              </w:rPr>
            </w:pPr>
            <w:r w:rsidRPr="00945782">
              <w:rPr>
                <w:rFonts w:eastAsia="MS Mincho"/>
                <w:lang w:val="ru-RU"/>
              </w:rPr>
              <w:t>3</w:t>
            </w:r>
          </w:p>
        </w:tc>
      </w:tr>
      <w:tr w:rsidR="00D82062" w:rsidRPr="00945782" w14:paraId="23FEB533" w14:textId="77777777" w:rsidTr="005D1DAD">
        <w:tc>
          <w:tcPr>
            <w:tcW w:w="1297" w:type="dxa"/>
            <w:tcBorders>
              <w:left w:val="single" w:sz="4" w:space="0" w:color="4BACC6"/>
              <w:bottom w:val="single" w:sz="4" w:space="0" w:color="4BACC6"/>
            </w:tcBorders>
            <w:tcMar>
              <w:top w:w="0" w:type="dxa"/>
              <w:left w:w="108" w:type="dxa"/>
              <w:bottom w:w="0" w:type="dxa"/>
              <w:right w:w="108" w:type="dxa"/>
            </w:tcMar>
            <w:vAlign w:val="center"/>
          </w:tcPr>
          <w:p w14:paraId="621ED506" w14:textId="77777777" w:rsidR="00D82062" w:rsidRPr="00945782" w:rsidRDefault="00D82062" w:rsidP="005D1DAD">
            <w:pPr>
              <w:pStyle w:val="Tabletext"/>
              <w:rPr>
                <w:rFonts w:eastAsia="MS Mincho"/>
                <w:lang w:val="ru-RU"/>
              </w:rPr>
            </w:pPr>
            <w:r w:rsidRPr="00945782">
              <w:rPr>
                <w:rFonts w:eastAsia="MS Mincho"/>
                <w:lang w:val="ru-RU"/>
              </w:rPr>
              <w:t>ОГ-VM</w:t>
            </w:r>
          </w:p>
        </w:tc>
        <w:tc>
          <w:tcPr>
            <w:tcW w:w="4050" w:type="dxa"/>
            <w:tcBorders>
              <w:bottom w:val="single" w:sz="4" w:space="0" w:color="4BACC6"/>
            </w:tcBorders>
            <w:tcMar>
              <w:top w:w="0" w:type="dxa"/>
              <w:left w:w="108" w:type="dxa"/>
              <w:bottom w:w="0" w:type="dxa"/>
              <w:right w:w="108" w:type="dxa"/>
            </w:tcMar>
            <w:vAlign w:val="center"/>
          </w:tcPr>
          <w:p w14:paraId="53DF2E81" w14:textId="77777777" w:rsidR="00D82062" w:rsidRPr="00945782" w:rsidRDefault="00D82062" w:rsidP="005D1DAD">
            <w:pPr>
              <w:pStyle w:val="Tabletext"/>
              <w:rPr>
                <w:rFonts w:eastAsia="MS Mincho"/>
                <w:lang w:val="ru-RU"/>
              </w:rPr>
            </w:pPr>
            <w:r w:rsidRPr="00945782">
              <w:rPr>
                <w:rFonts w:eastAsia="MS Mincho"/>
                <w:lang w:val="ru-RU"/>
              </w:rPr>
              <w:t>Мультимедиа для транспортных средств</w:t>
            </w:r>
          </w:p>
        </w:tc>
        <w:tc>
          <w:tcPr>
            <w:tcW w:w="1187" w:type="dxa"/>
            <w:tcBorders>
              <w:bottom w:val="single" w:sz="4" w:space="0" w:color="4BACC6"/>
            </w:tcBorders>
            <w:tcMar>
              <w:top w:w="0" w:type="dxa"/>
              <w:left w:w="108" w:type="dxa"/>
              <w:bottom w:w="0" w:type="dxa"/>
              <w:right w:w="108" w:type="dxa"/>
            </w:tcMar>
            <w:vAlign w:val="center"/>
          </w:tcPr>
          <w:p w14:paraId="3407F736" w14:textId="36EDB211" w:rsidR="00D82062" w:rsidRPr="00945782" w:rsidRDefault="005D1DAD" w:rsidP="005D1DAD">
            <w:pPr>
              <w:pStyle w:val="Tabletext"/>
              <w:jc w:val="center"/>
              <w:rPr>
                <w:rFonts w:eastAsia="MS Mincho"/>
                <w:lang w:val="ru-RU"/>
              </w:rPr>
            </w:pPr>
            <w:r w:rsidRPr="00945782">
              <w:rPr>
                <w:rFonts w:eastAsia="MS Mincho"/>
                <w:lang w:val="ru-RU"/>
              </w:rPr>
              <w:t>07.</w:t>
            </w:r>
            <w:r w:rsidR="00D82062" w:rsidRPr="00945782">
              <w:rPr>
                <w:rFonts w:eastAsia="MS Mincho"/>
                <w:lang w:val="ru-RU"/>
              </w:rPr>
              <w:t>2018</w:t>
            </w:r>
            <w:r w:rsidRPr="00945782">
              <w:rPr>
                <w:rFonts w:eastAsia="MS Mincho"/>
                <w:lang w:val="ru-RU"/>
              </w:rPr>
              <w:t xml:space="preserve"> г.</w:t>
            </w:r>
          </w:p>
        </w:tc>
        <w:tc>
          <w:tcPr>
            <w:tcW w:w="1188" w:type="dxa"/>
            <w:tcBorders>
              <w:bottom w:val="single" w:sz="4" w:space="0" w:color="4BACC6"/>
            </w:tcBorders>
            <w:tcMar>
              <w:top w:w="0" w:type="dxa"/>
              <w:left w:w="108" w:type="dxa"/>
              <w:bottom w:w="0" w:type="dxa"/>
              <w:right w:w="108" w:type="dxa"/>
            </w:tcMar>
            <w:vAlign w:val="center"/>
          </w:tcPr>
          <w:p w14:paraId="30A39F1F" w14:textId="7D526C03" w:rsidR="00D82062" w:rsidRPr="00945782" w:rsidRDefault="005D1DAD" w:rsidP="005D1DAD">
            <w:pPr>
              <w:pStyle w:val="Tabletext"/>
              <w:jc w:val="center"/>
              <w:rPr>
                <w:rFonts w:eastAsia="MS Mincho"/>
                <w:lang w:val="ru-RU"/>
              </w:rPr>
            </w:pPr>
            <w:r w:rsidRPr="00945782">
              <w:rPr>
                <w:rFonts w:eastAsia="MS Mincho"/>
                <w:lang w:val="ru-RU"/>
              </w:rPr>
              <w:t>09.</w:t>
            </w:r>
            <w:r w:rsidR="00D82062" w:rsidRPr="00945782">
              <w:rPr>
                <w:rFonts w:eastAsia="MS Mincho"/>
                <w:lang w:val="ru-RU"/>
              </w:rPr>
              <w:t>2022</w:t>
            </w:r>
            <w:r w:rsidRPr="00945782">
              <w:rPr>
                <w:rFonts w:eastAsia="MS Mincho"/>
                <w:lang w:val="ru-RU"/>
              </w:rPr>
              <w:t xml:space="preserve"> г.</w:t>
            </w:r>
          </w:p>
        </w:tc>
        <w:tc>
          <w:tcPr>
            <w:tcW w:w="1339" w:type="dxa"/>
            <w:tcBorders>
              <w:bottom w:val="single" w:sz="4" w:space="0" w:color="4BACC6"/>
              <w:right w:val="single" w:sz="4" w:space="0" w:color="4BACC6"/>
            </w:tcBorders>
            <w:tcMar>
              <w:top w:w="0" w:type="dxa"/>
              <w:left w:w="108" w:type="dxa"/>
              <w:bottom w:w="0" w:type="dxa"/>
              <w:right w:w="108" w:type="dxa"/>
            </w:tcMar>
            <w:vAlign w:val="center"/>
          </w:tcPr>
          <w:p w14:paraId="101C2D33" w14:textId="77777777" w:rsidR="00D82062" w:rsidRPr="00945782" w:rsidRDefault="00D82062" w:rsidP="005D1DAD">
            <w:pPr>
              <w:pStyle w:val="Tabletext"/>
              <w:jc w:val="center"/>
              <w:rPr>
                <w:rFonts w:eastAsia="MS Mincho"/>
                <w:lang w:val="ru-RU"/>
              </w:rPr>
            </w:pPr>
            <w:r w:rsidRPr="00945782">
              <w:rPr>
                <w:rFonts w:eastAsia="MS Mincho"/>
                <w:lang w:val="ru-RU"/>
              </w:rPr>
              <w:t>3</w:t>
            </w:r>
          </w:p>
        </w:tc>
      </w:tr>
    </w:tbl>
    <w:p w14:paraId="7D7A3DCA" w14:textId="2797230C" w:rsidR="00D82062" w:rsidRPr="00945782" w:rsidRDefault="00D82062" w:rsidP="005D1DAD">
      <w:pPr>
        <w:pStyle w:val="Tableref"/>
        <w:rPr>
          <w:lang w:val="ru-RU"/>
        </w:rPr>
      </w:pPr>
      <w:bookmarkStart w:id="77" w:name="Table3"/>
      <w:r w:rsidRPr="00945782">
        <w:rPr>
          <w:lang w:val="ru-RU"/>
        </w:rPr>
        <w:t>Таблица 3</w:t>
      </w:r>
      <w:r w:rsidR="005D1DAD" w:rsidRPr="00945782">
        <w:rPr>
          <w:lang w:val="ru-RU"/>
        </w:rPr>
        <w:t xml:space="preserve"> −</w:t>
      </w:r>
      <w:r w:rsidRPr="00945782">
        <w:rPr>
          <w:lang w:val="ru-RU"/>
        </w:rPr>
        <w:t xml:space="preserve"> Оперативные группы МСЭ-T, 2025 год</w:t>
      </w:r>
    </w:p>
    <w:bookmarkEnd w:id="77"/>
    <w:p w14:paraId="55A16D89" w14:textId="77777777" w:rsidR="00D82062" w:rsidRPr="00945782" w:rsidRDefault="00D82062" w:rsidP="005D1DAD">
      <w:pPr>
        <w:rPr>
          <w:lang w:val="ru-RU"/>
        </w:rPr>
      </w:pPr>
      <w:r w:rsidRPr="00945782">
        <w:rPr>
          <w:lang w:val="ru-RU"/>
        </w:rPr>
        <w:t xml:space="preserve">В следующей таблице приводится сводная информация о числе нормативных и ненормативных публикаций, утвержденных в течение отчетного периода (дополнительные статистические данные по публикациям см. по ссылке </w:t>
      </w:r>
      <w:hyperlink r:id="rId132" w:history="1">
        <w:r w:rsidRPr="00945782">
          <w:rPr>
            <w:rFonts w:eastAsia="MS Mincho"/>
            <w:color w:val="0563C1"/>
            <w:u w:val="single"/>
            <w:lang w:val="ru-RU"/>
          </w:rPr>
          <w:t>https://itu.int/tdata/pubs/</w:t>
        </w:r>
      </w:hyperlink>
      <w:r w:rsidRPr="00945782">
        <w:rPr>
          <w:lang w:val="ru-RU"/>
        </w:rPr>
        <w:t>).</w:t>
      </w:r>
    </w:p>
    <w:p w14:paraId="2CF4040D" w14:textId="77777777" w:rsidR="00D82062" w:rsidRPr="00945782" w:rsidRDefault="00D82062" w:rsidP="005D1DAD">
      <w:pPr>
        <w:pStyle w:val="Headingb"/>
        <w:spacing w:after="120"/>
        <w:rPr>
          <w:lang w:val="ru-RU"/>
        </w:rPr>
      </w:pPr>
      <w:r w:rsidRPr="00945782">
        <w:rPr>
          <w:lang w:val="ru-RU"/>
        </w:rPr>
        <w:t>Публикации МСЭ-T, 2022–2025 годы</w:t>
      </w:r>
    </w:p>
    <w:tbl>
      <w:tblPr>
        <w:tblW w:w="4995" w:type="pct"/>
        <w:tblLayout w:type="fixed"/>
        <w:tblCellMar>
          <w:left w:w="57" w:type="dxa"/>
          <w:right w:w="57" w:type="dxa"/>
        </w:tblCellMar>
        <w:tblLook w:val="0000" w:firstRow="0" w:lastRow="0" w:firstColumn="0" w:lastColumn="0" w:noHBand="0" w:noVBand="0"/>
      </w:tblPr>
      <w:tblGrid>
        <w:gridCol w:w="4390"/>
        <w:gridCol w:w="1165"/>
        <w:gridCol w:w="1166"/>
        <w:gridCol w:w="1165"/>
        <w:gridCol w:w="1166"/>
      </w:tblGrid>
      <w:tr w:rsidR="00D82062" w:rsidRPr="00945782" w14:paraId="6287D4F1" w14:textId="77777777" w:rsidTr="007C0267">
        <w:tc>
          <w:tcPr>
            <w:tcW w:w="4390" w:type="dxa"/>
            <w:tcBorders>
              <w:top w:val="single" w:sz="4" w:space="0" w:color="4BACC6"/>
              <w:left w:val="single" w:sz="4" w:space="0" w:color="4BACC6"/>
            </w:tcBorders>
            <w:tcMar>
              <w:top w:w="0" w:type="dxa"/>
              <w:left w:w="108" w:type="dxa"/>
              <w:bottom w:w="0" w:type="dxa"/>
              <w:right w:w="108" w:type="dxa"/>
            </w:tcMar>
            <w:vAlign w:val="center"/>
          </w:tcPr>
          <w:p w14:paraId="284C340D" w14:textId="25E9A7B9" w:rsidR="00D82062" w:rsidRPr="00945782" w:rsidRDefault="00BD461E" w:rsidP="005D1DAD">
            <w:pPr>
              <w:pStyle w:val="Tablehead"/>
              <w:rPr>
                <w:rFonts w:eastAsia="MS Mincho"/>
                <w:lang w:val="ru-RU"/>
              </w:rPr>
            </w:pPr>
            <w:r w:rsidRPr="00945782">
              <w:rPr>
                <w:rFonts w:eastAsia="MS Mincho"/>
                <w:lang w:val="ru-RU"/>
              </w:rPr>
              <w:t>Тип публикации</w:t>
            </w:r>
          </w:p>
        </w:tc>
        <w:tc>
          <w:tcPr>
            <w:tcW w:w="1165" w:type="dxa"/>
            <w:tcBorders>
              <w:top w:val="single" w:sz="4" w:space="0" w:color="4BACC6"/>
            </w:tcBorders>
            <w:tcMar>
              <w:top w:w="0" w:type="dxa"/>
              <w:left w:w="108" w:type="dxa"/>
              <w:bottom w:w="0" w:type="dxa"/>
              <w:right w:w="108" w:type="dxa"/>
            </w:tcMar>
            <w:vAlign w:val="center"/>
          </w:tcPr>
          <w:p w14:paraId="0E759B96" w14:textId="260B0D8E" w:rsidR="00D82062" w:rsidRPr="00945782" w:rsidRDefault="00D82062" w:rsidP="005D1DAD">
            <w:pPr>
              <w:pStyle w:val="Tablehead"/>
              <w:rPr>
                <w:rFonts w:eastAsia="MS Mincho"/>
                <w:lang w:val="ru-RU"/>
              </w:rPr>
            </w:pPr>
            <w:r w:rsidRPr="00945782">
              <w:rPr>
                <w:rFonts w:eastAsia="MS Mincho"/>
                <w:lang w:val="ru-RU"/>
              </w:rPr>
              <w:t>2022</w:t>
            </w:r>
            <w:r w:rsidR="007C0267" w:rsidRPr="00945782">
              <w:rPr>
                <w:rFonts w:eastAsia="MS Mincho"/>
                <w:lang w:val="ru-RU"/>
              </w:rPr>
              <w:t xml:space="preserve"> г.</w:t>
            </w:r>
          </w:p>
        </w:tc>
        <w:tc>
          <w:tcPr>
            <w:tcW w:w="1166" w:type="dxa"/>
            <w:tcBorders>
              <w:top w:val="single" w:sz="4" w:space="0" w:color="4BACC6"/>
            </w:tcBorders>
            <w:tcMar>
              <w:top w:w="0" w:type="dxa"/>
              <w:left w:w="108" w:type="dxa"/>
              <w:bottom w:w="0" w:type="dxa"/>
              <w:right w:w="108" w:type="dxa"/>
            </w:tcMar>
            <w:vAlign w:val="center"/>
          </w:tcPr>
          <w:p w14:paraId="50DE7A32" w14:textId="032BA4E9" w:rsidR="00D82062" w:rsidRPr="00945782" w:rsidRDefault="00D82062" w:rsidP="005D1DAD">
            <w:pPr>
              <w:pStyle w:val="Tablehead"/>
              <w:rPr>
                <w:rFonts w:eastAsia="MS Mincho"/>
                <w:lang w:val="ru-RU"/>
              </w:rPr>
            </w:pPr>
            <w:r w:rsidRPr="00945782">
              <w:rPr>
                <w:rFonts w:eastAsia="MS Mincho"/>
                <w:lang w:val="ru-RU"/>
              </w:rPr>
              <w:t>2023</w:t>
            </w:r>
            <w:r w:rsidR="007C0267" w:rsidRPr="00945782">
              <w:rPr>
                <w:rFonts w:eastAsia="MS Mincho"/>
                <w:lang w:val="ru-RU"/>
              </w:rPr>
              <w:t xml:space="preserve"> г.</w:t>
            </w:r>
          </w:p>
        </w:tc>
        <w:tc>
          <w:tcPr>
            <w:tcW w:w="1165" w:type="dxa"/>
            <w:tcBorders>
              <w:top w:val="single" w:sz="4" w:space="0" w:color="4BACC6"/>
            </w:tcBorders>
            <w:tcMar>
              <w:top w:w="0" w:type="dxa"/>
              <w:left w:w="108" w:type="dxa"/>
              <w:bottom w:w="0" w:type="dxa"/>
              <w:right w:w="108" w:type="dxa"/>
            </w:tcMar>
            <w:vAlign w:val="center"/>
          </w:tcPr>
          <w:p w14:paraId="0202AC8E" w14:textId="1B19296E" w:rsidR="00D82062" w:rsidRPr="00945782" w:rsidRDefault="00D82062" w:rsidP="005D1DAD">
            <w:pPr>
              <w:pStyle w:val="Tablehead"/>
              <w:rPr>
                <w:rFonts w:eastAsia="MS Mincho"/>
                <w:lang w:val="ru-RU"/>
              </w:rPr>
            </w:pPr>
            <w:r w:rsidRPr="00945782">
              <w:rPr>
                <w:rFonts w:eastAsia="MS Mincho"/>
                <w:lang w:val="ru-RU"/>
              </w:rPr>
              <w:t>2024</w:t>
            </w:r>
            <w:r w:rsidR="007C0267" w:rsidRPr="00945782">
              <w:rPr>
                <w:rFonts w:eastAsia="MS Mincho"/>
                <w:lang w:val="ru-RU"/>
              </w:rPr>
              <w:t xml:space="preserve"> г.</w:t>
            </w:r>
          </w:p>
        </w:tc>
        <w:tc>
          <w:tcPr>
            <w:tcW w:w="1166" w:type="dxa"/>
            <w:tcBorders>
              <w:top w:val="single" w:sz="4" w:space="0" w:color="4BACC6"/>
              <w:right w:val="single" w:sz="4" w:space="0" w:color="4BACC6"/>
            </w:tcBorders>
            <w:tcMar>
              <w:top w:w="0" w:type="dxa"/>
              <w:left w:w="108" w:type="dxa"/>
              <w:bottom w:w="0" w:type="dxa"/>
              <w:right w:w="108" w:type="dxa"/>
            </w:tcMar>
            <w:vAlign w:val="center"/>
          </w:tcPr>
          <w:p w14:paraId="3BA275A3" w14:textId="4E99E017" w:rsidR="00D82062" w:rsidRPr="00945782" w:rsidRDefault="00D82062" w:rsidP="005D1DAD">
            <w:pPr>
              <w:pStyle w:val="Tablehead"/>
              <w:rPr>
                <w:rFonts w:eastAsia="MS Mincho"/>
                <w:lang w:val="ru-RU"/>
              </w:rPr>
            </w:pPr>
            <w:r w:rsidRPr="00945782">
              <w:rPr>
                <w:rFonts w:eastAsia="MS Mincho"/>
                <w:lang w:val="ru-RU"/>
              </w:rPr>
              <w:t>2025</w:t>
            </w:r>
            <w:r w:rsidR="007C0267" w:rsidRPr="00945782">
              <w:rPr>
                <w:rFonts w:eastAsia="MS Mincho"/>
                <w:lang w:val="ru-RU"/>
              </w:rPr>
              <w:t xml:space="preserve"> г.</w:t>
            </w:r>
          </w:p>
        </w:tc>
      </w:tr>
      <w:tr w:rsidR="00D82062" w:rsidRPr="00945782" w14:paraId="397A4888" w14:textId="77777777" w:rsidTr="007C0267">
        <w:tc>
          <w:tcPr>
            <w:tcW w:w="4390" w:type="dxa"/>
            <w:tcBorders>
              <w:left w:val="single" w:sz="4" w:space="0" w:color="4BACC6"/>
            </w:tcBorders>
            <w:tcMar>
              <w:top w:w="0" w:type="dxa"/>
              <w:left w:w="108" w:type="dxa"/>
              <w:bottom w:w="0" w:type="dxa"/>
              <w:right w:w="108" w:type="dxa"/>
            </w:tcMar>
          </w:tcPr>
          <w:p w14:paraId="10011385" w14:textId="77777777" w:rsidR="00D82062" w:rsidRPr="00945782" w:rsidRDefault="00D82062" w:rsidP="005D1DAD">
            <w:pPr>
              <w:pStyle w:val="Tabletext"/>
              <w:rPr>
                <w:rFonts w:eastAsia="MS Mincho"/>
                <w:lang w:val="ru-RU"/>
              </w:rPr>
            </w:pPr>
            <w:r w:rsidRPr="00945782">
              <w:rPr>
                <w:rFonts w:eastAsia="MS Mincho"/>
                <w:lang w:val="ru-RU"/>
              </w:rPr>
              <w:t>Рекомендации (новые и пересмотренные)</w:t>
            </w:r>
          </w:p>
        </w:tc>
        <w:tc>
          <w:tcPr>
            <w:tcW w:w="1165" w:type="dxa"/>
            <w:tcMar>
              <w:top w:w="0" w:type="dxa"/>
              <w:left w:w="108" w:type="dxa"/>
              <w:bottom w:w="0" w:type="dxa"/>
              <w:right w:w="108" w:type="dxa"/>
            </w:tcMar>
          </w:tcPr>
          <w:p w14:paraId="1456935C" w14:textId="77777777" w:rsidR="00D82062" w:rsidRPr="00945782" w:rsidRDefault="00D82062" w:rsidP="007C0267">
            <w:pPr>
              <w:pStyle w:val="Tabletext"/>
              <w:jc w:val="center"/>
              <w:rPr>
                <w:rFonts w:eastAsia="MS Mincho"/>
                <w:lang w:val="ru-RU"/>
              </w:rPr>
            </w:pPr>
            <w:r w:rsidRPr="00945782">
              <w:rPr>
                <w:rFonts w:eastAsia="MS Mincho"/>
                <w:lang w:val="ru-RU"/>
              </w:rPr>
              <w:t>255</w:t>
            </w:r>
          </w:p>
        </w:tc>
        <w:tc>
          <w:tcPr>
            <w:tcW w:w="1166" w:type="dxa"/>
            <w:tcMar>
              <w:top w:w="0" w:type="dxa"/>
              <w:left w:w="108" w:type="dxa"/>
              <w:bottom w:w="0" w:type="dxa"/>
              <w:right w:w="108" w:type="dxa"/>
            </w:tcMar>
          </w:tcPr>
          <w:p w14:paraId="585FF32F" w14:textId="77777777" w:rsidR="00D82062" w:rsidRPr="00945782" w:rsidRDefault="00D82062" w:rsidP="007C0267">
            <w:pPr>
              <w:pStyle w:val="Tabletext"/>
              <w:jc w:val="center"/>
              <w:rPr>
                <w:rFonts w:eastAsia="MS Mincho"/>
                <w:lang w:val="ru-RU"/>
              </w:rPr>
            </w:pPr>
            <w:r w:rsidRPr="00945782">
              <w:rPr>
                <w:rFonts w:eastAsia="MS Mincho"/>
                <w:lang w:val="ru-RU"/>
              </w:rPr>
              <w:t>286</w:t>
            </w:r>
          </w:p>
        </w:tc>
        <w:tc>
          <w:tcPr>
            <w:tcW w:w="1165" w:type="dxa"/>
            <w:tcMar>
              <w:top w:w="0" w:type="dxa"/>
              <w:left w:w="108" w:type="dxa"/>
              <w:bottom w:w="0" w:type="dxa"/>
              <w:right w:w="108" w:type="dxa"/>
            </w:tcMar>
          </w:tcPr>
          <w:p w14:paraId="740125D7" w14:textId="77777777" w:rsidR="00D82062" w:rsidRPr="00945782" w:rsidRDefault="00D82062" w:rsidP="007C0267">
            <w:pPr>
              <w:pStyle w:val="Tabletext"/>
              <w:jc w:val="center"/>
              <w:rPr>
                <w:rFonts w:eastAsia="MS Mincho"/>
                <w:lang w:val="ru-RU"/>
              </w:rPr>
            </w:pPr>
            <w:r w:rsidRPr="00945782">
              <w:rPr>
                <w:rFonts w:eastAsia="MS Mincho"/>
                <w:lang w:val="ru-RU"/>
              </w:rPr>
              <w:t>412</w:t>
            </w:r>
          </w:p>
        </w:tc>
        <w:tc>
          <w:tcPr>
            <w:tcW w:w="1166" w:type="dxa"/>
            <w:tcBorders>
              <w:right w:val="single" w:sz="4" w:space="0" w:color="4BACC6"/>
            </w:tcBorders>
            <w:tcMar>
              <w:top w:w="0" w:type="dxa"/>
              <w:left w:w="108" w:type="dxa"/>
              <w:bottom w:w="0" w:type="dxa"/>
              <w:right w:w="108" w:type="dxa"/>
            </w:tcMar>
          </w:tcPr>
          <w:p w14:paraId="6B15AC27" w14:textId="77777777" w:rsidR="00D82062" w:rsidRPr="00945782" w:rsidRDefault="00D82062" w:rsidP="007C0267">
            <w:pPr>
              <w:pStyle w:val="Tabletext"/>
              <w:jc w:val="center"/>
              <w:rPr>
                <w:rFonts w:eastAsia="MS Mincho"/>
                <w:lang w:val="ru-RU"/>
              </w:rPr>
            </w:pPr>
            <w:r w:rsidRPr="00945782">
              <w:rPr>
                <w:rFonts w:eastAsia="MS Mincho"/>
                <w:lang w:val="ru-RU"/>
              </w:rPr>
              <w:t>272</w:t>
            </w:r>
          </w:p>
        </w:tc>
      </w:tr>
      <w:tr w:rsidR="00D82062" w:rsidRPr="00945782" w14:paraId="084ADFC5" w14:textId="77777777" w:rsidTr="007C0267">
        <w:tc>
          <w:tcPr>
            <w:tcW w:w="4390" w:type="dxa"/>
            <w:tcBorders>
              <w:left w:val="single" w:sz="4" w:space="0" w:color="4BACC6"/>
            </w:tcBorders>
            <w:tcMar>
              <w:top w:w="0" w:type="dxa"/>
              <w:left w:w="108" w:type="dxa"/>
              <w:bottom w:w="0" w:type="dxa"/>
              <w:right w:w="108" w:type="dxa"/>
            </w:tcMar>
          </w:tcPr>
          <w:p w14:paraId="233D66B2" w14:textId="77777777" w:rsidR="00D82062" w:rsidRPr="00945782" w:rsidRDefault="00D82062" w:rsidP="005D1DAD">
            <w:pPr>
              <w:pStyle w:val="Tabletext"/>
              <w:rPr>
                <w:rFonts w:eastAsia="MS Mincho"/>
                <w:lang w:val="ru-RU"/>
              </w:rPr>
            </w:pPr>
            <w:r w:rsidRPr="00945782">
              <w:rPr>
                <w:rFonts w:eastAsia="MS Mincho"/>
                <w:lang w:val="ru-RU"/>
              </w:rPr>
              <w:t>Добавления (новые и пересмотренные)</w:t>
            </w:r>
          </w:p>
        </w:tc>
        <w:tc>
          <w:tcPr>
            <w:tcW w:w="1165" w:type="dxa"/>
            <w:tcMar>
              <w:top w:w="0" w:type="dxa"/>
              <w:left w:w="108" w:type="dxa"/>
              <w:bottom w:w="0" w:type="dxa"/>
              <w:right w:w="108" w:type="dxa"/>
            </w:tcMar>
          </w:tcPr>
          <w:p w14:paraId="0599739D" w14:textId="77777777" w:rsidR="00D82062" w:rsidRPr="00945782" w:rsidRDefault="00D82062" w:rsidP="007C0267">
            <w:pPr>
              <w:pStyle w:val="Tabletext"/>
              <w:jc w:val="center"/>
              <w:rPr>
                <w:rFonts w:eastAsia="MS Mincho"/>
                <w:lang w:val="ru-RU"/>
              </w:rPr>
            </w:pPr>
            <w:r w:rsidRPr="00945782">
              <w:rPr>
                <w:rFonts w:eastAsia="MS Mincho"/>
                <w:lang w:val="ru-RU"/>
              </w:rPr>
              <w:t>33</w:t>
            </w:r>
          </w:p>
        </w:tc>
        <w:tc>
          <w:tcPr>
            <w:tcW w:w="1166" w:type="dxa"/>
            <w:tcMar>
              <w:top w:w="0" w:type="dxa"/>
              <w:left w:w="108" w:type="dxa"/>
              <w:bottom w:w="0" w:type="dxa"/>
              <w:right w:w="108" w:type="dxa"/>
            </w:tcMar>
          </w:tcPr>
          <w:p w14:paraId="6AF5034F" w14:textId="77777777" w:rsidR="00D82062" w:rsidRPr="00945782" w:rsidRDefault="00D82062" w:rsidP="007C0267">
            <w:pPr>
              <w:pStyle w:val="Tabletext"/>
              <w:jc w:val="center"/>
              <w:rPr>
                <w:rFonts w:eastAsia="MS Mincho"/>
                <w:lang w:val="ru-RU"/>
              </w:rPr>
            </w:pPr>
            <w:r w:rsidRPr="00945782">
              <w:rPr>
                <w:rFonts w:eastAsia="MS Mincho"/>
                <w:lang w:val="ru-RU"/>
              </w:rPr>
              <w:t>27</w:t>
            </w:r>
          </w:p>
        </w:tc>
        <w:tc>
          <w:tcPr>
            <w:tcW w:w="1165" w:type="dxa"/>
            <w:tcMar>
              <w:top w:w="0" w:type="dxa"/>
              <w:left w:w="108" w:type="dxa"/>
              <w:bottom w:w="0" w:type="dxa"/>
              <w:right w:w="108" w:type="dxa"/>
            </w:tcMar>
          </w:tcPr>
          <w:p w14:paraId="548CCD28" w14:textId="77777777" w:rsidR="00D82062" w:rsidRPr="00945782" w:rsidRDefault="00D82062" w:rsidP="007C0267">
            <w:pPr>
              <w:pStyle w:val="Tabletext"/>
              <w:jc w:val="center"/>
              <w:rPr>
                <w:rFonts w:eastAsia="MS Mincho"/>
                <w:lang w:val="ru-RU"/>
              </w:rPr>
            </w:pPr>
            <w:r w:rsidRPr="00945782">
              <w:rPr>
                <w:rFonts w:eastAsia="MS Mincho"/>
                <w:lang w:val="ru-RU"/>
              </w:rPr>
              <w:t>23</w:t>
            </w:r>
          </w:p>
        </w:tc>
        <w:tc>
          <w:tcPr>
            <w:tcW w:w="1166" w:type="dxa"/>
            <w:tcBorders>
              <w:right w:val="single" w:sz="4" w:space="0" w:color="4BACC6"/>
            </w:tcBorders>
            <w:tcMar>
              <w:top w:w="0" w:type="dxa"/>
              <w:left w:w="108" w:type="dxa"/>
              <w:bottom w:w="0" w:type="dxa"/>
              <w:right w:w="108" w:type="dxa"/>
            </w:tcMar>
          </w:tcPr>
          <w:p w14:paraId="38A76141" w14:textId="77777777" w:rsidR="00D82062" w:rsidRPr="00945782" w:rsidRDefault="00D82062" w:rsidP="007C0267">
            <w:pPr>
              <w:pStyle w:val="Tabletext"/>
              <w:jc w:val="center"/>
              <w:rPr>
                <w:rFonts w:eastAsia="MS Mincho"/>
                <w:lang w:val="ru-RU"/>
              </w:rPr>
            </w:pPr>
            <w:r w:rsidRPr="00945782">
              <w:rPr>
                <w:rFonts w:eastAsia="MS Mincho"/>
                <w:lang w:val="ru-RU"/>
              </w:rPr>
              <w:t>24</w:t>
            </w:r>
          </w:p>
        </w:tc>
      </w:tr>
      <w:tr w:rsidR="00D82062" w:rsidRPr="00945782" w14:paraId="31471EA4" w14:textId="77777777" w:rsidTr="007C0267">
        <w:tc>
          <w:tcPr>
            <w:tcW w:w="4390" w:type="dxa"/>
            <w:tcBorders>
              <w:left w:val="single" w:sz="4" w:space="0" w:color="4BACC6"/>
            </w:tcBorders>
            <w:tcMar>
              <w:top w:w="0" w:type="dxa"/>
              <w:left w:w="108" w:type="dxa"/>
              <w:bottom w:w="0" w:type="dxa"/>
              <w:right w:w="108" w:type="dxa"/>
            </w:tcMar>
          </w:tcPr>
          <w:p w14:paraId="3B774449" w14:textId="77777777" w:rsidR="00D82062" w:rsidRPr="00945782" w:rsidRDefault="00D82062" w:rsidP="005D1DAD">
            <w:pPr>
              <w:pStyle w:val="Tabletext"/>
              <w:rPr>
                <w:rFonts w:eastAsia="MS Mincho"/>
                <w:lang w:val="ru-RU"/>
              </w:rPr>
            </w:pPr>
            <w:r w:rsidRPr="00945782">
              <w:rPr>
                <w:rFonts w:eastAsia="MS Mincho"/>
                <w:lang w:val="ru-RU"/>
              </w:rPr>
              <w:t>Технические документы и технические отчеты</w:t>
            </w:r>
          </w:p>
        </w:tc>
        <w:tc>
          <w:tcPr>
            <w:tcW w:w="1165" w:type="dxa"/>
            <w:tcMar>
              <w:top w:w="0" w:type="dxa"/>
              <w:left w:w="108" w:type="dxa"/>
              <w:bottom w:w="0" w:type="dxa"/>
              <w:right w:w="108" w:type="dxa"/>
            </w:tcMar>
          </w:tcPr>
          <w:p w14:paraId="69837571" w14:textId="77777777" w:rsidR="00D82062" w:rsidRPr="00945782" w:rsidRDefault="00D82062" w:rsidP="007C0267">
            <w:pPr>
              <w:pStyle w:val="Tabletext"/>
              <w:jc w:val="center"/>
              <w:rPr>
                <w:rFonts w:eastAsia="MS Mincho"/>
                <w:lang w:val="ru-RU"/>
              </w:rPr>
            </w:pPr>
            <w:r w:rsidRPr="00945782">
              <w:rPr>
                <w:rFonts w:eastAsia="MS Mincho"/>
                <w:lang w:val="ru-RU"/>
              </w:rPr>
              <w:t>14</w:t>
            </w:r>
          </w:p>
        </w:tc>
        <w:tc>
          <w:tcPr>
            <w:tcW w:w="1166" w:type="dxa"/>
            <w:tcMar>
              <w:top w:w="0" w:type="dxa"/>
              <w:left w:w="108" w:type="dxa"/>
              <w:bottom w:w="0" w:type="dxa"/>
              <w:right w:w="108" w:type="dxa"/>
            </w:tcMar>
          </w:tcPr>
          <w:p w14:paraId="733D507B" w14:textId="77777777" w:rsidR="00D82062" w:rsidRPr="00945782" w:rsidRDefault="00D82062" w:rsidP="007C0267">
            <w:pPr>
              <w:pStyle w:val="Tabletext"/>
              <w:jc w:val="center"/>
              <w:rPr>
                <w:rFonts w:eastAsia="MS Mincho"/>
                <w:lang w:val="ru-RU"/>
              </w:rPr>
            </w:pPr>
            <w:r w:rsidRPr="00945782">
              <w:rPr>
                <w:rFonts w:eastAsia="MS Mincho"/>
                <w:lang w:val="ru-RU"/>
              </w:rPr>
              <w:t>26</w:t>
            </w:r>
          </w:p>
        </w:tc>
        <w:tc>
          <w:tcPr>
            <w:tcW w:w="1165" w:type="dxa"/>
            <w:tcMar>
              <w:top w:w="0" w:type="dxa"/>
              <w:left w:w="108" w:type="dxa"/>
              <w:bottom w:w="0" w:type="dxa"/>
              <w:right w:w="108" w:type="dxa"/>
            </w:tcMar>
          </w:tcPr>
          <w:p w14:paraId="1245761F" w14:textId="77777777" w:rsidR="00D82062" w:rsidRPr="00945782" w:rsidRDefault="00D82062" w:rsidP="007C0267">
            <w:pPr>
              <w:pStyle w:val="Tabletext"/>
              <w:jc w:val="center"/>
              <w:rPr>
                <w:rFonts w:eastAsia="MS Mincho"/>
                <w:lang w:val="ru-RU"/>
              </w:rPr>
            </w:pPr>
            <w:r w:rsidRPr="00945782">
              <w:rPr>
                <w:rFonts w:eastAsia="MS Mincho"/>
                <w:lang w:val="ru-RU"/>
              </w:rPr>
              <w:t>22</w:t>
            </w:r>
          </w:p>
        </w:tc>
        <w:tc>
          <w:tcPr>
            <w:tcW w:w="1166" w:type="dxa"/>
            <w:tcBorders>
              <w:right w:val="single" w:sz="4" w:space="0" w:color="4BACC6"/>
            </w:tcBorders>
            <w:tcMar>
              <w:top w:w="0" w:type="dxa"/>
              <w:left w:w="108" w:type="dxa"/>
              <w:bottom w:w="0" w:type="dxa"/>
              <w:right w:w="108" w:type="dxa"/>
            </w:tcMar>
          </w:tcPr>
          <w:p w14:paraId="0DD14B6C" w14:textId="77777777" w:rsidR="00D82062" w:rsidRPr="00945782" w:rsidRDefault="00D82062" w:rsidP="007C0267">
            <w:pPr>
              <w:pStyle w:val="Tabletext"/>
              <w:jc w:val="center"/>
              <w:rPr>
                <w:rFonts w:eastAsia="MS Mincho"/>
                <w:lang w:val="ru-RU"/>
              </w:rPr>
            </w:pPr>
            <w:r w:rsidRPr="00945782">
              <w:rPr>
                <w:rFonts w:eastAsia="MS Mincho"/>
                <w:lang w:val="ru-RU"/>
              </w:rPr>
              <w:t>18</w:t>
            </w:r>
          </w:p>
        </w:tc>
      </w:tr>
      <w:tr w:rsidR="00D82062" w:rsidRPr="00945782" w14:paraId="1C646CB0" w14:textId="77777777" w:rsidTr="007C0267">
        <w:tc>
          <w:tcPr>
            <w:tcW w:w="4390" w:type="dxa"/>
            <w:tcBorders>
              <w:left w:val="single" w:sz="4" w:space="0" w:color="4BACC6"/>
            </w:tcBorders>
            <w:tcMar>
              <w:top w:w="0" w:type="dxa"/>
              <w:left w:w="108" w:type="dxa"/>
              <w:bottom w:w="0" w:type="dxa"/>
              <w:right w:w="108" w:type="dxa"/>
            </w:tcMar>
          </w:tcPr>
          <w:p w14:paraId="106F3A18" w14:textId="77777777" w:rsidR="00D82062" w:rsidRPr="00945782" w:rsidRDefault="00D82062" w:rsidP="005D1DAD">
            <w:pPr>
              <w:pStyle w:val="Tabletext"/>
              <w:rPr>
                <w:rFonts w:eastAsia="MS Mincho"/>
                <w:lang w:val="ru-RU"/>
              </w:rPr>
            </w:pPr>
            <w:r w:rsidRPr="00945782">
              <w:rPr>
                <w:rFonts w:eastAsia="MS Mincho"/>
                <w:lang w:val="ru-RU"/>
              </w:rPr>
              <w:t>Другие публикации исследовательских комиссий</w:t>
            </w:r>
          </w:p>
        </w:tc>
        <w:tc>
          <w:tcPr>
            <w:tcW w:w="1165" w:type="dxa"/>
            <w:tcMar>
              <w:top w:w="0" w:type="dxa"/>
              <w:left w:w="108" w:type="dxa"/>
              <w:bottom w:w="0" w:type="dxa"/>
              <w:right w:w="108" w:type="dxa"/>
            </w:tcMar>
          </w:tcPr>
          <w:p w14:paraId="16146D42" w14:textId="77777777" w:rsidR="00D82062" w:rsidRPr="00945782" w:rsidRDefault="00D82062" w:rsidP="007C0267">
            <w:pPr>
              <w:pStyle w:val="Tabletext"/>
              <w:jc w:val="center"/>
              <w:rPr>
                <w:rFonts w:eastAsia="MS Mincho"/>
                <w:lang w:val="ru-RU"/>
              </w:rPr>
            </w:pPr>
            <w:r w:rsidRPr="00945782">
              <w:rPr>
                <w:rFonts w:eastAsia="MS Mincho"/>
                <w:lang w:val="ru-RU"/>
              </w:rPr>
              <w:t>13</w:t>
            </w:r>
          </w:p>
        </w:tc>
        <w:tc>
          <w:tcPr>
            <w:tcW w:w="1166" w:type="dxa"/>
            <w:tcMar>
              <w:top w:w="0" w:type="dxa"/>
              <w:left w:w="108" w:type="dxa"/>
              <w:bottom w:w="0" w:type="dxa"/>
              <w:right w:w="108" w:type="dxa"/>
            </w:tcMar>
          </w:tcPr>
          <w:p w14:paraId="28B03BD8" w14:textId="77777777" w:rsidR="00D82062" w:rsidRPr="00945782" w:rsidRDefault="00D82062" w:rsidP="007C0267">
            <w:pPr>
              <w:pStyle w:val="Tabletext"/>
              <w:jc w:val="center"/>
              <w:rPr>
                <w:rFonts w:eastAsia="MS Mincho"/>
                <w:lang w:val="ru-RU"/>
              </w:rPr>
            </w:pPr>
            <w:r w:rsidRPr="00945782">
              <w:rPr>
                <w:rFonts w:eastAsia="MS Mincho"/>
                <w:lang w:val="ru-RU"/>
              </w:rPr>
              <w:t>3</w:t>
            </w:r>
          </w:p>
        </w:tc>
        <w:tc>
          <w:tcPr>
            <w:tcW w:w="1165" w:type="dxa"/>
            <w:tcMar>
              <w:top w:w="0" w:type="dxa"/>
              <w:left w:w="108" w:type="dxa"/>
              <w:bottom w:w="0" w:type="dxa"/>
              <w:right w:w="108" w:type="dxa"/>
            </w:tcMar>
          </w:tcPr>
          <w:p w14:paraId="0BF49029" w14:textId="77777777" w:rsidR="00D82062" w:rsidRPr="00945782" w:rsidRDefault="00D82062" w:rsidP="007C0267">
            <w:pPr>
              <w:pStyle w:val="Tabletext"/>
              <w:jc w:val="center"/>
              <w:rPr>
                <w:rFonts w:eastAsia="MS Mincho"/>
                <w:lang w:val="ru-RU"/>
              </w:rPr>
            </w:pPr>
            <w:r w:rsidRPr="00945782">
              <w:rPr>
                <w:rFonts w:eastAsia="MS Mincho"/>
                <w:lang w:val="ru-RU"/>
              </w:rPr>
              <w:t>3</w:t>
            </w:r>
          </w:p>
        </w:tc>
        <w:tc>
          <w:tcPr>
            <w:tcW w:w="1166" w:type="dxa"/>
            <w:tcBorders>
              <w:right w:val="single" w:sz="4" w:space="0" w:color="4BACC6"/>
            </w:tcBorders>
            <w:tcMar>
              <w:top w:w="0" w:type="dxa"/>
              <w:left w:w="108" w:type="dxa"/>
              <w:bottom w:w="0" w:type="dxa"/>
              <w:right w:w="108" w:type="dxa"/>
            </w:tcMar>
          </w:tcPr>
          <w:p w14:paraId="404B1B55" w14:textId="77777777" w:rsidR="00D82062" w:rsidRPr="00945782" w:rsidRDefault="00D82062" w:rsidP="007C0267">
            <w:pPr>
              <w:pStyle w:val="Tabletext"/>
              <w:jc w:val="center"/>
              <w:rPr>
                <w:rFonts w:eastAsia="MS Mincho"/>
                <w:lang w:val="ru-RU"/>
              </w:rPr>
            </w:pPr>
            <w:r w:rsidRPr="00945782">
              <w:rPr>
                <w:rFonts w:eastAsia="MS Mincho"/>
                <w:lang w:val="ru-RU"/>
              </w:rPr>
              <w:t>2</w:t>
            </w:r>
          </w:p>
        </w:tc>
      </w:tr>
      <w:tr w:rsidR="00D82062" w:rsidRPr="00945782" w14:paraId="336845A8" w14:textId="77777777" w:rsidTr="007C0267">
        <w:tc>
          <w:tcPr>
            <w:tcW w:w="4390" w:type="dxa"/>
            <w:tcBorders>
              <w:left w:val="single" w:sz="4" w:space="0" w:color="4BACC6"/>
              <w:bottom w:val="single" w:sz="4" w:space="0" w:color="4BACC6"/>
            </w:tcBorders>
            <w:tcMar>
              <w:top w:w="0" w:type="dxa"/>
              <w:left w:w="108" w:type="dxa"/>
              <w:bottom w:w="0" w:type="dxa"/>
              <w:right w:w="108" w:type="dxa"/>
            </w:tcMar>
          </w:tcPr>
          <w:p w14:paraId="53AA697D" w14:textId="77777777" w:rsidR="00D82062" w:rsidRPr="00945782" w:rsidRDefault="00D82062" w:rsidP="005D1DAD">
            <w:pPr>
              <w:pStyle w:val="Tabletext"/>
              <w:rPr>
                <w:rFonts w:eastAsia="MS Mincho"/>
                <w:lang w:val="ru-RU"/>
              </w:rPr>
            </w:pPr>
            <w:r w:rsidRPr="00945782">
              <w:rPr>
                <w:rFonts w:eastAsia="MS Mincho"/>
                <w:lang w:val="ru-RU"/>
              </w:rPr>
              <w:t xml:space="preserve">Результаты работы оперативных групп </w:t>
            </w:r>
          </w:p>
        </w:tc>
        <w:tc>
          <w:tcPr>
            <w:tcW w:w="1165" w:type="dxa"/>
            <w:tcBorders>
              <w:bottom w:val="single" w:sz="4" w:space="0" w:color="4BACC6"/>
            </w:tcBorders>
            <w:tcMar>
              <w:top w:w="0" w:type="dxa"/>
              <w:left w:w="108" w:type="dxa"/>
              <w:bottom w:w="0" w:type="dxa"/>
              <w:right w:w="108" w:type="dxa"/>
            </w:tcMar>
          </w:tcPr>
          <w:p w14:paraId="4B9DBA2D" w14:textId="77777777" w:rsidR="00D82062" w:rsidRPr="00945782" w:rsidRDefault="00D82062" w:rsidP="007C0267">
            <w:pPr>
              <w:pStyle w:val="Tabletext"/>
              <w:jc w:val="center"/>
              <w:rPr>
                <w:rFonts w:eastAsia="MS Mincho"/>
                <w:lang w:val="ru-RU"/>
              </w:rPr>
            </w:pPr>
            <w:r w:rsidRPr="00945782">
              <w:rPr>
                <w:rFonts w:eastAsia="MS Mincho"/>
                <w:lang w:val="ru-RU"/>
              </w:rPr>
              <w:t>26</w:t>
            </w:r>
          </w:p>
        </w:tc>
        <w:tc>
          <w:tcPr>
            <w:tcW w:w="1166" w:type="dxa"/>
            <w:tcBorders>
              <w:bottom w:val="single" w:sz="4" w:space="0" w:color="4BACC6"/>
            </w:tcBorders>
            <w:tcMar>
              <w:top w:w="0" w:type="dxa"/>
              <w:left w:w="108" w:type="dxa"/>
              <w:bottom w:w="0" w:type="dxa"/>
              <w:right w:w="108" w:type="dxa"/>
            </w:tcMar>
          </w:tcPr>
          <w:p w14:paraId="7CFC1B0C" w14:textId="77777777" w:rsidR="00D82062" w:rsidRPr="00945782" w:rsidRDefault="00D82062" w:rsidP="007C0267">
            <w:pPr>
              <w:pStyle w:val="Tabletext"/>
              <w:jc w:val="center"/>
              <w:rPr>
                <w:rFonts w:eastAsia="MS Mincho"/>
                <w:lang w:val="ru-RU"/>
              </w:rPr>
            </w:pPr>
            <w:r w:rsidRPr="00945782">
              <w:rPr>
                <w:rFonts w:eastAsia="MS Mincho"/>
                <w:lang w:val="ru-RU"/>
              </w:rPr>
              <w:t>36</w:t>
            </w:r>
          </w:p>
        </w:tc>
        <w:tc>
          <w:tcPr>
            <w:tcW w:w="1165" w:type="dxa"/>
            <w:tcBorders>
              <w:bottom w:val="single" w:sz="4" w:space="0" w:color="4BACC6"/>
            </w:tcBorders>
            <w:tcMar>
              <w:top w:w="0" w:type="dxa"/>
              <w:left w:w="108" w:type="dxa"/>
              <w:bottom w:w="0" w:type="dxa"/>
              <w:right w:w="108" w:type="dxa"/>
            </w:tcMar>
          </w:tcPr>
          <w:p w14:paraId="6EA69F3B" w14:textId="77777777" w:rsidR="00D82062" w:rsidRPr="00945782" w:rsidRDefault="00D82062" w:rsidP="007C0267">
            <w:pPr>
              <w:pStyle w:val="Tabletext"/>
              <w:jc w:val="center"/>
              <w:rPr>
                <w:rFonts w:eastAsia="MS Mincho"/>
                <w:lang w:val="ru-RU"/>
              </w:rPr>
            </w:pPr>
            <w:r w:rsidRPr="00945782">
              <w:rPr>
                <w:rFonts w:eastAsia="MS Mincho"/>
                <w:lang w:val="ru-RU"/>
              </w:rPr>
              <w:t>79</w:t>
            </w:r>
          </w:p>
        </w:tc>
        <w:tc>
          <w:tcPr>
            <w:tcW w:w="1166" w:type="dxa"/>
            <w:tcBorders>
              <w:bottom w:val="single" w:sz="4" w:space="0" w:color="4BACC6"/>
              <w:right w:val="single" w:sz="4" w:space="0" w:color="4BACC6"/>
            </w:tcBorders>
            <w:tcMar>
              <w:top w:w="0" w:type="dxa"/>
              <w:left w:w="108" w:type="dxa"/>
              <w:bottom w:w="0" w:type="dxa"/>
              <w:right w:w="108" w:type="dxa"/>
            </w:tcMar>
          </w:tcPr>
          <w:p w14:paraId="09378EA7" w14:textId="77777777" w:rsidR="00D82062" w:rsidRPr="00945782" w:rsidRDefault="00D82062" w:rsidP="007C0267">
            <w:pPr>
              <w:pStyle w:val="Tabletext"/>
              <w:jc w:val="center"/>
              <w:rPr>
                <w:rFonts w:eastAsia="MS Mincho"/>
                <w:lang w:val="ru-RU"/>
              </w:rPr>
            </w:pPr>
            <w:r w:rsidRPr="00945782">
              <w:rPr>
                <w:rFonts w:eastAsia="MS Mincho"/>
                <w:lang w:val="ru-RU"/>
              </w:rPr>
              <w:t>6</w:t>
            </w:r>
          </w:p>
        </w:tc>
      </w:tr>
    </w:tbl>
    <w:p w14:paraId="4244FF38" w14:textId="105D625B" w:rsidR="00D82062" w:rsidRPr="00945782" w:rsidRDefault="00D82062" w:rsidP="005D1DAD">
      <w:pPr>
        <w:pStyle w:val="Tableref"/>
        <w:rPr>
          <w:lang w:val="ru-RU"/>
        </w:rPr>
      </w:pPr>
      <w:bookmarkStart w:id="78" w:name="Table4"/>
      <w:r w:rsidRPr="00945782">
        <w:rPr>
          <w:lang w:val="ru-RU"/>
        </w:rPr>
        <w:t>Таблица 4</w:t>
      </w:r>
      <w:r w:rsidR="005D1DAD" w:rsidRPr="00945782">
        <w:rPr>
          <w:lang w:val="ru-RU"/>
        </w:rPr>
        <w:t xml:space="preserve"> −</w:t>
      </w:r>
      <w:r w:rsidRPr="00945782">
        <w:rPr>
          <w:lang w:val="ru-RU"/>
        </w:rPr>
        <w:t xml:space="preserve"> Публикации МСЭ-T, 2022–2025 годы</w:t>
      </w:r>
    </w:p>
    <w:bookmarkEnd w:id="78"/>
    <w:p w14:paraId="6BFFE23B" w14:textId="77777777" w:rsidR="00D82062" w:rsidRPr="00945782" w:rsidRDefault="00D82062" w:rsidP="005D1DAD">
      <w:pPr>
        <w:pStyle w:val="Headingb"/>
        <w:rPr>
          <w:lang w:val="ru-RU"/>
        </w:rPr>
      </w:pPr>
      <w:r w:rsidRPr="00945782">
        <w:rPr>
          <w:lang w:val="ru-RU"/>
        </w:rPr>
        <w:t>Соответствие и функциональная совместимость</w:t>
      </w:r>
    </w:p>
    <w:p w14:paraId="5296D7EF" w14:textId="5E440DC9" w:rsidR="00D82062" w:rsidRPr="00945782" w:rsidRDefault="00D82062" w:rsidP="005D1DAD">
      <w:pPr>
        <w:rPr>
          <w:lang w:val="ru-RU"/>
        </w:rPr>
      </w:pPr>
      <w:r w:rsidRPr="00945782">
        <w:rPr>
          <w:lang w:val="ru-RU"/>
        </w:rPr>
        <w:t>В 2026 году МСЭ провел обследование использования Рекомендаций МСЭ-T в рамках национальных систем оценки соответствия, подтвердив значительный интерес к программе МСЭ по обеспечению соответствия и функциональной совместимости (C&amp;I) (</w:t>
      </w:r>
      <w:hyperlink r:id="rId133" w:history="1">
        <w:r w:rsidRPr="00945782">
          <w:rPr>
            <w:rStyle w:val="Hyperlink"/>
            <w:rFonts w:asciiTheme="minorHAnsi" w:hAnsiTheme="minorHAnsi" w:cstheme="minorHAnsi"/>
            <w:szCs w:val="22"/>
            <w:lang w:val="ru-RU"/>
          </w:rPr>
          <w:t>SG11-TD909/GEN</w:t>
        </w:r>
      </w:hyperlink>
      <w:r w:rsidRPr="00945782">
        <w:rPr>
          <w:lang w:val="ru-RU"/>
        </w:rPr>
        <w:t>). В соответствии с Резолюцией 177 (Пересм. Бухарест, 2022 г.) БСЭ разработало критерии для оценки направления 1 программы C&amp;I и подготовило проект концепции "Знака МСЭ", опираясь на существующие международные программы подтверждения соответствия, включая Знак МСЭ для Глобальной спутниковой подвижной персональной связи (</w:t>
      </w:r>
      <w:hyperlink r:id="rId134" w:history="1">
        <w:r w:rsidRPr="00945782">
          <w:rPr>
            <w:rStyle w:val="Hyperlink"/>
            <w:rFonts w:asciiTheme="minorHAnsi" w:hAnsiTheme="minorHAnsi" w:cstheme="minorHAnsi"/>
            <w:szCs w:val="22"/>
            <w:lang w:val="ru-RU"/>
          </w:rPr>
          <w:t>Знак МСЭ для ГСППС</w:t>
        </w:r>
      </w:hyperlink>
      <w:r w:rsidRPr="00945782">
        <w:rPr>
          <w:lang w:val="ru-RU"/>
        </w:rPr>
        <w:t xml:space="preserve">). Отчет о достигнутых результатах, подготовленный в сотрудничестве с ИК11 МСЭ-T, представлен в </w:t>
      </w:r>
      <w:r w:rsidR="003A4367" w:rsidRPr="00945782">
        <w:rPr>
          <w:lang w:val="ru-RU"/>
        </w:rPr>
        <w:t xml:space="preserve">Документе </w:t>
      </w:r>
      <w:hyperlink r:id="rId135" w:history="1">
        <w:r w:rsidRPr="00945782">
          <w:rPr>
            <w:rStyle w:val="Hyperlink"/>
            <w:rFonts w:asciiTheme="minorHAnsi" w:hAnsiTheme="minorHAnsi" w:cstheme="minorHAnsi"/>
            <w:szCs w:val="22"/>
            <w:lang w:val="ru-RU"/>
          </w:rPr>
          <w:t>SG11-TD</w:t>
        </w:r>
        <w:r w:rsidR="00A45E95" w:rsidRPr="00945782">
          <w:rPr>
            <w:rStyle w:val="Hyperlink"/>
            <w:rFonts w:asciiTheme="minorHAnsi" w:hAnsiTheme="minorHAnsi" w:cstheme="minorHAnsi"/>
            <w:szCs w:val="22"/>
            <w:lang w:val="ru-RU"/>
          </w:rPr>
          <w:t>/</w:t>
        </w:r>
        <w:r w:rsidRPr="00945782">
          <w:rPr>
            <w:rStyle w:val="Hyperlink"/>
            <w:rFonts w:asciiTheme="minorHAnsi" w:hAnsiTheme="minorHAnsi" w:cstheme="minorHAnsi"/>
            <w:szCs w:val="22"/>
            <w:lang w:val="ru-RU"/>
          </w:rPr>
          <w:t>939 R1/GEN</w:t>
        </w:r>
      </w:hyperlink>
      <w:r w:rsidRPr="00945782">
        <w:rPr>
          <w:lang w:val="ru-RU"/>
        </w:rPr>
        <w:t>.</w:t>
      </w:r>
    </w:p>
    <w:p w14:paraId="7FE6D83E" w14:textId="77777777" w:rsidR="00D82062" w:rsidRPr="00945782" w:rsidRDefault="00D82062" w:rsidP="005D1DAD">
      <w:pPr>
        <w:pStyle w:val="Headingb"/>
        <w:rPr>
          <w:lang w:val="ru-RU"/>
        </w:rPr>
      </w:pPr>
      <w:r w:rsidRPr="00945782">
        <w:rPr>
          <w:lang w:val="ru-RU"/>
        </w:rPr>
        <w:lastRenderedPageBreak/>
        <w:t>База данных по обмену стандартами в области ИИ</w:t>
      </w:r>
    </w:p>
    <w:p w14:paraId="5602BC5B" w14:textId="77777777" w:rsidR="00D82062" w:rsidRPr="00945782" w:rsidRDefault="00D82062" w:rsidP="005D1DAD">
      <w:pPr>
        <w:rPr>
          <w:lang w:val="ru-RU"/>
        </w:rPr>
      </w:pPr>
      <w:hyperlink r:id="rId136" w:history="1">
        <w:r w:rsidRPr="00945782">
          <w:rPr>
            <w:rStyle w:val="Hyperlink"/>
            <w:rFonts w:asciiTheme="minorHAnsi" w:hAnsiTheme="minorHAnsi" w:cstheme="minorHAnsi"/>
            <w:szCs w:val="22"/>
            <w:lang w:val="ru-RU"/>
          </w:rPr>
          <w:t>База данных по обмену стандартами в области ИИ</w:t>
        </w:r>
      </w:hyperlink>
      <w:r w:rsidRPr="00945782">
        <w:rPr>
          <w:lang w:val="ru-RU"/>
        </w:rPr>
        <w:t xml:space="preserve"> является откликом на Глобальный цифровой договор (статьи 58, 59 и 60), в котором предлагается создание механизма обмена стандартами по ИИ для содействия обмену информацией о стандартах в этой области. База данных по обмену стандартами в области ИИ была создана в 2025 году на основе данных МСЭ-Т о среде стандартов для стандартов МСЭ-Т. Она была разработана в рамках Всемирного сотрудничества по стандартам, объединяющего МСЭ, Международную организацию по стандартизации (ИСО) и Международную электротехническую комиссию (МЭК), в партнерстве с Институтом инженеров по электротехнике и радиоэлектронике (IEEE), Целевой группой по инженерным проблемам интернета (IETF) и Центром стандартов ИИ Института Алана Тьюринга. На момент представления Базы данных по обмену стандартами в области ИИ 11 июля 2025 года на глобальном саммите "ИИ во благо" 2025 года в ней содержалось около 700 стандартов и связанных с ними публикаций в области ИИ от МСЭ, ИСО, МЭК, IEEE и IETF. По состоянию на январь 2026 года насчитывается около 200 опубликованных стандартов МСЭ-Т в области ИИ и 200 стандартов, находящихся в разработке.</w:t>
      </w:r>
    </w:p>
    <w:p w14:paraId="4200D663" w14:textId="7139F98A" w:rsidR="00D82062" w:rsidRPr="00945782" w:rsidRDefault="00D82062" w:rsidP="005D1DAD">
      <w:pPr>
        <w:pStyle w:val="Heading3"/>
        <w:rPr>
          <w:lang w:val="ru-RU"/>
        </w:rPr>
      </w:pPr>
      <w:bookmarkStart w:id="79" w:name="_Toc227062862"/>
      <w:bookmarkStart w:id="80" w:name="_Toc227850250"/>
      <w:r w:rsidRPr="00945782">
        <w:rPr>
          <w:lang w:val="ru-RU"/>
        </w:rPr>
        <w:t>4.3.2</w:t>
      </w:r>
      <w:r w:rsidR="005D1DAD" w:rsidRPr="00945782">
        <w:rPr>
          <w:lang w:val="ru-RU"/>
        </w:rPr>
        <w:tab/>
      </w:r>
      <w:r w:rsidRPr="00945782">
        <w:rPr>
          <w:lang w:val="ru-RU"/>
        </w:rPr>
        <w:t>Рекомендации МСЭ-R</w:t>
      </w:r>
      <w:bookmarkEnd w:id="79"/>
      <w:bookmarkEnd w:id="80"/>
    </w:p>
    <w:p w14:paraId="352D59F3" w14:textId="73D1BE85" w:rsidR="00D82062" w:rsidRPr="00945782" w:rsidRDefault="00D82062" w:rsidP="005D1DAD">
      <w:pPr>
        <w:rPr>
          <w:lang w:val="ru-RU"/>
        </w:rPr>
      </w:pPr>
      <w:r w:rsidRPr="00945782">
        <w:rPr>
          <w:lang w:val="ru-RU"/>
        </w:rPr>
        <w:t xml:space="preserve">В течение отчетного периода 2022–2025 годов Государства – Члены МСЭ утвердили 164 новые или пересмотренные Рекомендации МСЭ-R. Все Рекомендации МСЭ-R доступны по адресу: </w:t>
      </w:r>
      <w:hyperlink r:id="rId137" w:history="1">
        <w:r w:rsidRPr="00945782">
          <w:rPr>
            <w:rStyle w:val="Hyperlink"/>
            <w:rFonts w:asciiTheme="minorHAnsi" w:hAnsiTheme="minorHAnsi" w:cstheme="minorHAnsi"/>
            <w:szCs w:val="22"/>
            <w:lang w:val="ru-RU"/>
          </w:rPr>
          <w:t>https://www.itu.int/pub/R-REC</w:t>
        </w:r>
      </w:hyperlink>
      <w:r w:rsidRPr="00945782">
        <w:rPr>
          <w:lang w:val="ru-RU"/>
        </w:rPr>
        <w:t>. В настоящее время действует 1161 Рекомендация МСЭ-R.</w:t>
      </w:r>
    </w:p>
    <w:p w14:paraId="27E08BC8" w14:textId="77777777" w:rsidR="00D82062" w:rsidRPr="00945782" w:rsidRDefault="00D82062" w:rsidP="005D1DAD">
      <w:pPr>
        <w:rPr>
          <w:lang w:val="ru-RU"/>
        </w:rPr>
      </w:pPr>
      <w:r w:rsidRPr="00945782">
        <w:rPr>
          <w:lang w:val="ru-RU"/>
        </w:rPr>
        <w:t>В 2023 году работа МСЭ-R была отмечена премией "Эмми" в области инженерии, науки и технологий за разработку стандарта радиосвязи для телевидения большого динамического диапазона (HDR-TV). Премией, присуждаемой Телевизионной академией, были отмечены новаторские усилия инженеров и специалистов 6-й Исследовательской комиссии МСЭ-R по созданию глобального стандарта HDR-TV, повышающего качество визуального восприятия для зрителей. Это уже третья премия "Эмми", присужденная исследовательским комиссиям МСЭ-R, и шестая по счету для МСЭ в целом.</w:t>
      </w:r>
    </w:p>
    <w:p w14:paraId="6C5F3C97" w14:textId="3AF7BD77" w:rsidR="00D82062" w:rsidRPr="00945782" w:rsidRDefault="00D82062" w:rsidP="00D82062">
      <w:pPr>
        <w:pStyle w:val="Heading3"/>
        <w:rPr>
          <w:lang w:val="ru-RU"/>
        </w:rPr>
      </w:pPr>
      <w:bookmarkStart w:id="81" w:name="_Toc227062863"/>
      <w:bookmarkStart w:id="82" w:name="_Toc227850251"/>
      <w:r w:rsidRPr="00945782">
        <w:rPr>
          <w:lang w:val="ru-RU"/>
        </w:rPr>
        <w:t>4.3.3</w:t>
      </w:r>
      <w:r w:rsidR="005D1DAD" w:rsidRPr="00945782">
        <w:rPr>
          <w:lang w:val="ru-RU"/>
        </w:rPr>
        <w:tab/>
      </w:r>
      <w:r w:rsidRPr="00945782">
        <w:rPr>
          <w:lang w:val="ru-RU"/>
        </w:rPr>
        <w:t>Преодоление разрыва в стандартизации</w:t>
      </w:r>
      <w:bookmarkEnd w:id="81"/>
      <w:bookmarkEnd w:id="82"/>
    </w:p>
    <w:p w14:paraId="1CA44AE5" w14:textId="343E0044" w:rsidR="00D82062" w:rsidRPr="00945782" w:rsidRDefault="00D82062" w:rsidP="005D1DAD">
      <w:pPr>
        <w:rPr>
          <w:lang w:val="ru-RU"/>
        </w:rPr>
      </w:pPr>
      <w:hyperlink r:id="rId138" w:history="1">
        <w:r w:rsidRPr="00945782">
          <w:rPr>
            <w:rStyle w:val="Hyperlink"/>
            <w:rFonts w:asciiTheme="minorHAnsi" w:hAnsiTheme="minorHAnsi" w:cstheme="minorHAnsi"/>
            <w:szCs w:val="22"/>
            <w:lang w:val="ru-RU"/>
          </w:rPr>
          <w:t>Резолюция 44 ВАСЭ</w:t>
        </w:r>
      </w:hyperlink>
      <w:r w:rsidRPr="00945782">
        <w:rPr>
          <w:lang w:val="ru-RU"/>
        </w:rPr>
        <w:t xml:space="preserve"> "Преодоление разрыва в стандартизации между развивающимися и развитыми странами" была впервые принята во Флорианополисе (2004 г.) и со временем была адаптирована с учетом меняющихся потребностей, а также в целях обеспечения согласованности с </w:t>
      </w:r>
      <w:hyperlink r:id="rId139" w:history="1">
        <w:r w:rsidRPr="00945782">
          <w:rPr>
            <w:rStyle w:val="Hyperlink"/>
            <w:rFonts w:asciiTheme="minorHAnsi" w:hAnsiTheme="minorHAnsi" w:cstheme="minorHAnsi"/>
            <w:szCs w:val="22"/>
            <w:lang w:val="ru-RU"/>
          </w:rPr>
          <w:t>Резолюцией 123 (Пересм. Бухарест, 2022 г.)</w:t>
        </w:r>
      </w:hyperlink>
      <w:r w:rsidRPr="00945782">
        <w:rPr>
          <w:lang w:val="ru-RU"/>
        </w:rPr>
        <w:t xml:space="preserve"> Полномочной конференции. В</w:t>
      </w:r>
      <w:r w:rsidR="00BD461E" w:rsidRPr="00945782">
        <w:rPr>
          <w:lang w:val="ru-RU"/>
        </w:rPr>
        <w:t> </w:t>
      </w:r>
      <w:r w:rsidRPr="00945782">
        <w:rPr>
          <w:lang w:val="ru-RU"/>
        </w:rPr>
        <w:t xml:space="preserve">последний раз Резолюция 44 была обновлена на ВАСЭ-24 для подтверждения и уточнения плана действий на следующие четыре года, состоящего из четырех пунктов (см. </w:t>
      </w:r>
      <w:hyperlink w:anchor="Fig15" w:history="1">
        <w:r w:rsidR="00BD461E" w:rsidRPr="00945782">
          <w:rPr>
            <w:rStyle w:val="Hyperlink"/>
            <w:rFonts w:asciiTheme="minorHAnsi" w:hAnsiTheme="minorHAnsi" w:cstheme="minorHAnsi"/>
            <w:szCs w:val="22"/>
            <w:lang w:val="ru-RU"/>
          </w:rPr>
          <w:t>Рисунок 15</w:t>
        </w:r>
      </w:hyperlink>
      <w:r w:rsidRPr="00945782">
        <w:rPr>
          <w:lang w:val="ru-RU"/>
        </w:rPr>
        <w:t>).</w:t>
      </w:r>
    </w:p>
    <w:p w14:paraId="65D9E52B" w14:textId="77777777" w:rsidR="00D82062" w:rsidRPr="00945782" w:rsidRDefault="00D82062" w:rsidP="005D1DAD">
      <w:pPr>
        <w:rPr>
          <w:b/>
          <w:bCs/>
          <w:lang w:val="ru-RU"/>
        </w:rPr>
      </w:pPr>
      <w:r w:rsidRPr="00945782">
        <w:rPr>
          <w:b/>
          <w:bCs/>
          <w:lang w:val="ru-RU"/>
        </w:rPr>
        <w:br w:type="page"/>
      </w:r>
    </w:p>
    <w:p w14:paraId="73398260" w14:textId="77777777" w:rsidR="00D82062" w:rsidRPr="00945782" w:rsidRDefault="00D82062" w:rsidP="00E464F9">
      <w:pPr>
        <w:pStyle w:val="Figuretitle"/>
        <w:spacing w:after="240"/>
        <w:rPr>
          <w:lang w:val="ru-RU"/>
        </w:rPr>
      </w:pPr>
      <w:r w:rsidRPr="00945782">
        <w:rPr>
          <w:lang w:val="ru-RU"/>
        </w:rPr>
        <w:lastRenderedPageBreak/>
        <w:t>План действий для преодоления разрыва в стандартизации (ПРС)</w:t>
      </w:r>
    </w:p>
    <w:p w14:paraId="45927F5E" w14:textId="37E99AFD" w:rsidR="00E464F9" w:rsidRPr="00945782" w:rsidRDefault="00E464F9" w:rsidP="00E464F9">
      <w:pPr>
        <w:pStyle w:val="Figure"/>
        <w:spacing w:before="120" w:after="120"/>
        <w:rPr>
          <w:lang w:val="ru-RU"/>
        </w:rPr>
      </w:pPr>
      <w:bookmarkStart w:id="83" w:name="Fig15"/>
      <w:r w:rsidRPr="00945782">
        <w:rPr>
          <w:noProof/>
          <w:lang w:val="ru-RU"/>
        </w:rPr>
        <w:drawing>
          <wp:inline distT="0" distB="0" distL="0" distR="0" wp14:anchorId="61B53825" wp14:editId="76FBDE00">
            <wp:extent cx="5259600" cy="2181600"/>
            <wp:effectExtent l="0" t="0" r="0" b="9525"/>
            <wp:docPr id="15652726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259600" cy="2181600"/>
                    </a:xfrm>
                    <a:prstGeom prst="rect">
                      <a:avLst/>
                    </a:prstGeom>
                    <a:noFill/>
                  </pic:spPr>
                </pic:pic>
              </a:graphicData>
            </a:graphic>
          </wp:inline>
        </w:drawing>
      </w:r>
    </w:p>
    <w:p w14:paraId="004BA254" w14:textId="6D9C1FF3" w:rsidR="00D82062" w:rsidRPr="00945782" w:rsidRDefault="00D82062" w:rsidP="00BD461E">
      <w:pPr>
        <w:pStyle w:val="Figure"/>
        <w:spacing w:before="120" w:after="120"/>
        <w:rPr>
          <w:i/>
          <w:iCs/>
          <w:color w:val="1F497D" w:themeColor="text2"/>
          <w:sz w:val="18"/>
          <w:szCs w:val="18"/>
          <w:lang w:val="ru-RU"/>
        </w:rPr>
      </w:pPr>
      <w:r w:rsidRPr="00945782">
        <w:rPr>
          <w:i/>
          <w:iCs/>
          <w:color w:val="1F497D" w:themeColor="text2"/>
          <w:sz w:val="18"/>
          <w:szCs w:val="18"/>
          <w:lang w:val="ru-RU"/>
        </w:rPr>
        <w:t>Рис</w:t>
      </w:r>
      <w:r w:rsidR="00BD461E" w:rsidRPr="00945782">
        <w:rPr>
          <w:i/>
          <w:iCs/>
          <w:color w:val="1F497D" w:themeColor="text2"/>
          <w:sz w:val="18"/>
          <w:szCs w:val="18"/>
          <w:lang w:val="ru-RU"/>
        </w:rPr>
        <w:t>унок</w:t>
      </w:r>
      <w:r w:rsidRPr="00945782">
        <w:rPr>
          <w:i/>
          <w:iCs/>
          <w:color w:val="1F497D" w:themeColor="text2"/>
          <w:sz w:val="18"/>
          <w:szCs w:val="18"/>
          <w:lang w:val="ru-RU"/>
        </w:rPr>
        <w:t> 15</w:t>
      </w:r>
      <w:r w:rsidR="00BD461E" w:rsidRPr="00945782">
        <w:rPr>
          <w:i/>
          <w:iCs/>
          <w:color w:val="1F497D" w:themeColor="text2"/>
          <w:sz w:val="18"/>
          <w:szCs w:val="18"/>
          <w:lang w:val="ru-RU"/>
        </w:rPr>
        <w:t xml:space="preserve"> −</w:t>
      </w:r>
      <w:r w:rsidRPr="00945782">
        <w:rPr>
          <w:i/>
          <w:iCs/>
          <w:color w:val="1F497D" w:themeColor="text2"/>
          <w:sz w:val="18"/>
          <w:szCs w:val="18"/>
          <w:lang w:val="ru-RU"/>
        </w:rPr>
        <w:t xml:space="preserve"> План действий для преодоления разрыва в стандартизации (ПРС)</w:t>
      </w:r>
    </w:p>
    <w:bookmarkEnd w:id="83"/>
    <w:p w14:paraId="709F10F5" w14:textId="77777777" w:rsidR="00D82062" w:rsidRPr="00945782" w:rsidRDefault="00D82062" w:rsidP="00BD461E">
      <w:pPr>
        <w:spacing w:before="240"/>
        <w:rPr>
          <w:lang w:val="ru-RU"/>
        </w:rPr>
      </w:pPr>
      <w:r w:rsidRPr="00945782">
        <w:rPr>
          <w:lang w:val="ru-RU"/>
        </w:rPr>
        <w:t xml:space="preserve">Таким образом, реализация МСЭ </w:t>
      </w:r>
      <w:hyperlink r:id="rId141" w:history="1">
        <w:r w:rsidRPr="00945782">
          <w:rPr>
            <w:rStyle w:val="Hyperlink"/>
            <w:rFonts w:asciiTheme="minorHAnsi" w:hAnsiTheme="minorHAnsi" w:cstheme="minorHAnsi"/>
            <w:szCs w:val="22"/>
            <w:lang w:val="ru-RU"/>
          </w:rPr>
          <w:t>программы по преодолению разрыва в стандартизации (ПРС)</w:t>
        </w:r>
      </w:hyperlink>
      <w:r w:rsidRPr="00945782">
        <w:rPr>
          <w:lang w:val="ru-RU"/>
        </w:rPr>
        <w:t xml:space="preserve"> направлена на укрепление способности всех стран, в особенности развивающихся стран, участвовать в разработке и применении стандартов МСЭ-Т.</w:t>
      </w:r>
    </w:p>
    <w:p w14:paraId="215A79CC" w14:textId="77777777" w:rsidR="00D82062" w:rsidRPr="00945782" w:rsidRDefault="00D82062" w:rsidP="00BD461E">
      <w:pPr>
        <w:rPr>
          <w:lang w:val="ru-RU"/>
        </w:rPr>
      </w:pPr>
      <w:r w:rsidRPr="00945782">
        <w:rPr>
          <w:lang w:val="ru-RU"/>
        </w:rPr>
        <w:t>В отчетный период 2022–2025 годов Бюро стандартизации электросвязи (БСЭ) продолжало развивать ранее достигнутые результаты, сосредоточив усилия на указанных ниже направлениях.</w:t>
      </w:r>
    </w:p>
    <w:p w14:paraId="2C31B33B" w14:textId="192CD622" w:rsidR="00D82062" w:rsidRPr="00945782" w:rsidRDefault="00BD461E" w:rsidP="00BD461E">
      <w:pPr>
        <w:pStyle w:val="enumlev1"/>
        <w:rPr>
          <w:lang w:val="ru-RU"/>
        </w:rPr>
      </w:pPr>
      <w:r w:rsidRPr="00945782">
        <w:rPr>
          <w:lang w:val="ru-RU"/>
        </w:rPr>
        <w:t>1)</w:t>
      </w:r>
      <w:r w:rsidRPr="00945782">
        <w:rPr>
          <w:lang w:val="ru-RU"/>
        </w:rPr>
        <w:tab/>
      </w:r>
      <w:r w:rsidR="00D82062" w:rsidRPr="00945782">
        <w:rPr>
          <w:b/>
          <w:bCs/>
          <w:lang w:val="ru-RU"/>
        </w:rPr>
        <w:t>Организация 62 собраний региональных групп</w:t>
      </w:r>
      <w:r w:rsidR="00D82062" w:rsidRPr="00945782">
        <w:rPr>
          <w:lang w:val="ru-RU"/>
        </w:rPr>
        <w:t xml:space="preserve"> в рамках </w:t>
      </w:r>
      <w:hyperlink r:id="rId142" w:history="1">
        <w:r w:rsidR="00D82062" w:rsidRPr="00945782">
          <w:rPr>
            <w:rStyle w:val="Hyperlink"/>
            <w:rFonts w:cstheme="minorHAnsi"/>
            <w:szCs w:val="22"/>
            <w:lang w:val="ru-RU"/>
          </w:rPr>
          <w:t>27 действующих региональных групп</w:t>
        </w:r>
      </w:hyperlink>
      <w:r w:rsidR="00D82062" w:rsidRPr="00945782">
        <w:rPr>
          <w:lang w:val="ru-RU"/>
        </w:rPr>
        <w:t xml:space="preserve"> исследовательских комиссий МСЭ-Т. Последней по времени была создана Региональная группа 15-й Исследовательской комиссии МСЭ-Т для Африки (</w:t>
      </w:r>
      <w:hyperlink r:id="rId143" w:history="1">
        <w:r w:rsidR="00D82062" w:rsidRPr="00945782">
          <w:rPr>
            <w:rStyle w:val="Hyperlink"/>
            <w:rFonts w:cstheme="minorHAnsi"/>
            <w:szCs w:val="22"/>
            <w:lang w:val="ru-RU"/>
          </w:rPr>
          <w:t>РегГр-АФР ИК15</w:t>
        </w:r>
      </w:hyperlink>
      <w:r w:rsidR="00D82062" w:rsidRPr="00945782">
        <w:rPr>
          <w:lang w:val="ru-RU"/>
        </w:rPr>
        <w:t>), учрежденная по запросу членов в октябре 2025 года. Региональные группы являются эффективным механизмом для решения местных вопросов, поощрения внесения вкладов и увеличения количества и качества технических материалов от развивающихся стран.</w:t>
      </w:r>
    </w:p>
    <w:p w14:paraId="09B59E5A" w14:textId="34B842A8" w:rsidR="00D82062" w:rsidRPr="00945782" w:rsidRDefault="00BD461E" w:rsidP="00BD461E">
      <w:pPr>
        <w:pStyle w:val="enumlev1"/>
        <w:rPr>
          <w:lang w:val="ru-RU"/>
        </w:rPr>
      </w:pPr>
      <w:r w:rsidRPr="00945782">
        <w:rPr>
          <w:lang w:val="ru-RU"/>
        </w:rPr>
        <w:t>2)</w:t>
      </w:r>
      <w:r w:rsidRPr="00945782">
        <w:rPr>
          <w:lang w:val="ru-RU"/>
        </w:rPr>
        <w:tab/>
      </w:r>
      <w:r w:rsidR="00D82062" w:rsidRPr="00945782">
        <w:rPr>
          <w:lang w:val="ru-RU"/>
        </w:rPr>
        <w:t xml:space="preserve">Предоставление </w:t>
      </w:r>
      <w:r w:rsidR="00D82062" w:rsidRPr="00945782">
        <w:rPr>
          <w:b/>
          <w:bCs/>
          <w:lang w:val="ru-RU"/>
        </w:rPr>
        <w:t>стипендий</w:t>
      </w:r>
      <w:r w:rsidR="00D82062" w:rsidRPr="00945782">
        <w:rPr>
          <w:lang w:val="ru-RU"/>
        </w:rPr>
        <w:t xml:space="preserve"> в целях поощрения вовлеченности и обеспечения непрерывности активного участия делегатов МСЭ-Т из соответствующих развивающихся стран. В отчетный период было предоставлено 713 стипендий с учетом соответствия кандидатов установленным критериям и при уделении приоритетного значения справедливому распределению по регионам и полу, а также среди делегатов с особыми потребностями в соответствии со Служебным приказом 21/02 "Политика предоставления стипендий для участия в мероприятиях и видах деятельности, финансируемых из регулярного бюджета МСЭ".</w:t>
      </w:r>
    </w:p>
    <w:p w14:paraId="178893DA" w14:textId="39560987" w:rsidR="00D82062" w:rsidRPr="00945782" w:rsidRDefault="00BD461E" w:rsidP="00BD461E">
      <w:pPr>
        <w:pStyle w:val="enumlev1"/>
        <w:rPr>
          <w:lang w:val="ru-RU"/>
        </w:rPr>
      </w:pPr>
      <w:r w:rsidRPr="00945782">
        <w:rPr>
          <w:lang w:val="ru-RU"/>
        </w:rPr>
        <w:t>3)</w:t>
      </w:r>
      <w:r w:rsidRPr="00945782">
        <w:rPr>
          <w:lang w:val="ru-RU"/>
        </w:rPr>
        <w:tab/>
      </w:r>
      <w:r w:rsidR="00D82062" w:rsidRPr="00945782">
        <w:rPr>
          <w:lang w:val="ru-RU"/>
        </w:rPr>
        <w:t xml:space="preserve">Расширение содержания и форматов </w:t>
      </w:r>
      <w:r w:rsidR="00D82062" w:rsidRPr="00945782">
        <w:rPr>
          <w:b/>
          <w:bCs/>
          <w:lang w:val="ru-RU"/>
        </w:rPr>
        <w:t>подготовки</w:t>
      </w:r>
      <w:r w:rsidR="00D82062" w:rsidRPr="00945782">
        <w:rPr>
          <w:lang w:val="ru-RU"/>
        </w:rPr>
        <w:t xml:space="preserve"> в целях более полного удовлетворения потребностей как новых, так и опытных делегатов из развивающихся стран, включая тех, кто занимает или стремится занять руководящие должности. Обновленные программы подготовки реализуются посредством </w:t>
      </w:r>
      <w:hyperlink r:id="rId144" w:history="1">
        <w:r w:rsidR="00D82062" w:rsidRPr="00945782">
          <w:rPr>
            <w:rStyle w:val="Hyperlink"/>
            <w:rFonts w:cstheme="minorHAnsi"/>
            <w:szCs w:val="22"/>
            <w:lang w:val="ru-RU"/>
          </w:rPr>
          <w:t>обучающих онлайн-модулей</w:t>
        </w:r>
      </w:hyperlink>
      <w:r w:rsidR="00D82062" w:rsidRPr="00945782">
        <w:rPr>
          <w:lang w:val="ru-RU"/>
        </w:rPr>
        <w:t>, отдельных онлайн-собраний и очных мероприятий, часто организуемых параллельно с собраниями исследовательских комиссий или региональных групп; особое внимание в рамках этих программ уделяется практическим навыкам и интерактивному обучению. Эта подготовка тесно увязана с требованиями по развитию потенциала, предусмотренными Резолюциями ВАСЭ </w:t>
      </w:r>
      <w:hyperlink r:id="rId145" w:history="1">
        <w:r w:rsidR="00D82062" w:rsidRPr="00945782">
          <w:rPr>
            <w:rStyle w:val="Hyperlink"/>
            <w:rFonts w:cstheme="minorHAnsi"/>
            <w:szCs w:val="22"/>
            <w:lang w:val="ru-RU"/>
          </w:rPr>
          <w:t>55</w:t>
        </w:r>
      </w:hyperlink>
      <w:r w:rsidR="00D82062" w:rsidRPr="00945782">
        <w:rPr>
          <w:lang w:val="ru-RU"/>
        </w:rPr>
        <w:t xml:space="preserve"> (гендерное равенство) и </w:t>
      </w:r>
      <w:hyperlink r:id="rId146" w:history="1">
        <w:r w:rsidR="00D82062" w:rsidRPr="00945782">
          <w:rPr>
            <w:rStyle w:val="Hyperlink"/>
            <w:rFonts w:cstheme="minorHAnsi"/>
            <w:szCs w:val="22"/>
            <w:lang w:val="ru-RU"/>
          </w:rPr>
          <w:t>107</w:t>
        </w:r>
      </w:hyperlink>
      <w:r w:rsidR="00D82062" w:rsidRPr="00945782">
        <w:rPr>
          <w:lang w:val="ru-RU"/>
        </w:rPr>
        <w:t xml:space="preserve"> (эксперты следующего поколения). В течение отчетного периода было проведено 62 мероприятия по развитию потенциала в очном и онлайн-форматах, при этом только в 2025 году было охвачено более 1000 участников (подробнее см. раздел </w:t>
      </w:r>
      <w:hyperlink w:anchor="_4.8.5.3_Семинары_и" w:history="1">
        <w:r w:rsidR="00D82062" w:rsidRPr="00945782">
          <w:rPr>
            <w:rStyle w:val="Hyperlink"/>
            <w:rFonts w:cstheme="minorHAnsi"/>
            <w:szCs w:val="22"/>
            <w:lang w:val="ru-RU"/>
          </w:rPr>
          <w:t>4.8.5.3</w:t>
        </w:r>
      </w:hyperlink>
      <w:r w:rsidR="00D82062" w:rsidRPr="00945782">
        <w:rPr>
          <w:lang w:val="ru-RU"/>
        </w:rPr>
        <w:t>).</w:t>
      </w:r>
    </w:p>
    <w:p w14:paraId="6D9CCBAA" w14:textId="781D8D5C" w:rsidR="00D82062" w:rsidRPr="00945782" w:rsidRDefault="00BD461E" w:rsidP="00BD461E">
      <w:pPr>
        <w:pStyle w:val="enumlev1"/>
        <w:rPr>
          <w:lang w:val="ru-RU"/>
        </w:rPr>
      </w:pPr>
      <w:r w:rsidRPr="00945782">
        <w:rPr>
          <w:lang w:val="ru-RU"/>
        </w:rPr>
        <w:lastRenderedPageBreak/>
        <w:t>4)</w:t>
      </w:r>
      <w:r w:rsidRPr="00945782">
        <w:rPr>
          <w:lang w:val="ru-RU"/>
        </w:rPr>
        <w:tab/>
      </w:r>
      <w:r w:rsidR="00D82062" w:rsidRPr="00945782">
        <w:rPr>
          <w:b/>
          <w:bCs/>
          <w:lang w:val="ru-RU"/>
        </w:rPr>
        <w:t>Совершенствование электронных методов работы</w:t>
      </w:r>
      <w:r w:rsidR="00D82062" w:rsidRPr="00945782">
        <w:rPr>
          <w:lang w:val="ru-RU"/>
        </w:rPr>
        <w:t xml:space="preserve"> в целях содействия участию делегатов из развивающихся стран, главным образом посредством </w:t>
      </w:r>
      <w:hyperlink r:id="rId147" w:history="1">
        <w:r w:rsidR="00D82062" w:rsidRPr="00945782">
          <w:rPr>
            <w:rStyle w:val="Hyperlink"/>
            <w:rFonts w:cstheme="minorHAnsi"/>
            <w:szCs w:val="22"/>
            <w:lang w:val="ru-RU"/>
          </w:rPr>
          <w:t>платформы MyWorkspace</w:t>
        </w:r>
      </w:hyperlink>
      <w:r w:rsidR="00D82062" w:rsidRPr="00945782">
        <w:rPr>
          <w:lang w:val="ru-RU"/>
        </w:rPr>
        <w:t xml:space="preserve"> и развития языковых сервисов, таких как машинный перевод официальных документов собраний по запросу через Систему управления документами МСЭ. Эти улучшения способствуют реализации Резолюций</w:t>
      </w:r>
      <w:r w:rsidRPr="00945782">
        <w:rPr>
          <w:lang w:val="ru-RU"/>
        </w:rPr>
        <w:t> </w:t>
      </w:r>
      <w:hyperlink r:id="rId148" w:history="1">
        <w:r w:rsidR="00D82062" w:rsidRPr="00945782">
          <w:rPr>
            <w:rStyle w:val="Hyperlink"/>
            <w:rFonts w:cstheme="minorHAnsi"/>
            <w:szCs w:val="22"/>
            <w:lang w:val="ru-RU"/>
          </w:rPr>
          <w:t>32</w:t>
        </w:r>
      </w:hyperlink>
      <w:r w:rsidR="00D82062" w:rsidRPr="00945782">
        <w:rPr>
          <w:lang w:val="ru-RU"/>
        </w:rPr>
        <w:t xml:space="preserve"> (упрочение электронных методов работы) и </w:t>
      </w:r>
      <w:hyperlink r:id="rId149" w:history="1">
        <w:r w:rsidR="00D82062" w:rsidRPr="00945782">
          <w:rPr>
            <w:rStyle w:val="Hyperlink"/>
            <w:rFonts w:cstheme="minorHAnsi"/>
            <w:szCs w:val="22"/>
            <w:lang w:val="ru-RU"/>
          </w:rPr>
          <w:t>67</w:t>
        </w:r>
      </w:hyperlink>
      <w:r w:rsidR="00D82062" w:rsidRPr="00945782">
        <w:rPr>
          <w:lang w:val="ru-RU"/>
        </w:rPr>
        <w:t xml:space="preserve"> (использование всех официальных языков на равной основе)</w:t>
      </w:r>
      <w:r w:rsidRPr="00945782">
        <w:rPr>
          <w:lang w:val="ru-RU"/>
        </w:rPr>
        <w:t xml:space="preserve"> ВАСЭ.</w:t>
      </w:r>
    </w:p>
    <w:p w14:paraId="333E1ED0" w14:textId="07940778" w:rsidR="00D82062" w:rsidRPr="00945782" w:rsidRDefault="00BD461E" w:rsidP="00BD461E">
      <w:pPr>
        <w:pStyle w:val="enumlev1"/>
        <w:rPr>
          <w:lang w:val="ru-RU"/>
        </w:rPr>
      </w:pPr>
      <w:r w:rsidRPr="00945782">
        <w:rPr>
          <w:lang w:val="ru-RU"/>
        </w:rPr>
        <w:t>5)</w:t>
      </w:r>
      <w:r w:rsidRPr="00945782">
        <w:rPr>
          <w:b/>
          <w:bCs/>
          <w:lang w:val="ru-RU"/>
        </w:rPr>
        <w:tab/>
      </w:r>
      <w:r w:rsidR="00D82062" w:rsidRPr="00945782">
        <w:rPr>
          <w:b/>
          <w:bCs/>
          <w:lang w:val="ru-RU"/>
        </w:rPr>
        <w:t>Сотрудничество с партнерами</w:t>
      </w:r>
      <w:r w:rsidR="00D82062" w:rsidRPr="00945782">
        <w:rPr>
          <w:lang w:val="ru-RU"/>
        </w:rPr>
        <w:t>, включая спонсоров и принимающие стороны, а также с Бюро развития электросвязи (БРЭ) МСЭ и региональными/зональными отделениями МСЭ, в целях повышения осведомленности и укрепления регионального потенциала. В</w:t>
      </w:r>
      <w:r w:rsidRPr="00945782">
        <w:rPr>
          <w:lang w:val="ru-RU"/>
        </w:rPr>
        <w:t> </w:t>
      </w:r>
      <w:r w:rsidR="00D82062" w:rsidRPr="00945782">
        <w:rPr>
          <w:lang w:val="ru-RU"/>
        </w:rPr>
        <w:t xml:space="preserve">Резолюция 44 ВАСЭ содержится призыв ко всем заинтересованным сторонам делать взносы для содействия усилиям МСЭ-Т по сокращению разрыва в стандартизации. Например, Министерство внутренних дел и связи Японии поддерживает эту деятельность с 2023 года, в частности в рамках проекта </w:t>
      </w:r>
      <w:hyperlink r:id="rId150" w:history="1">
        <w:r w:rsidR="00D82062" w:rsidRPr="00945782">
          <w:rPr>
            <w:rStyle w:val="Hyperlink"/>
            <w:rFonts w:cstheme="minorHAnsi"/>
            <w:szCs w:val="22"/>
            <w:lang w:val="ru-RU"/>
          </w:rPr>
          <w:t>"Создание потенциала в области технологий и стандартов ИИ в Азиатско-Тихоокеанском регионе"</w:t>
        </w:r>
      </w:hyperlink>
      <w:r w:rsidR="00D82062" w:rsidRPr="00945782">
        <w:rPr>
          <w:lang w:val="ru-RU"/>
        </w:rPr>
        <w:t>, в рамках которого к декабрю 2025 года в Азиатском регионе было проведено четыре семинара-практикума по созданию потенциала с участием более 200 участников ПРС.</w:t>
      </w:r>
    </w:p>
    <w:p w14:paraId="7130D452" w14:textId="44A1329C" w:rsidR="00D82062" w:rsidRPr="00945782" w:rsidRDefault="00BD461E" w:rsidP="00BD461E">
      <w:pPr>
        <w:pStyle w:val="enumlev1"/>
        <w:rPr>
          <w:lang w:val="ru-RU"/>
        </w:rPr>
      </w:pPr>
      <w:r w:rsidRPr="00945782">
        <w:rPr>
          <w:lang w:val="ru-RU"/>
        </w:rPr>
        <w:t>6)</w:t>
      </w:r>
      <w:r w:rsidRPr="00945782">
        <w:rPr>
          <w:lang w:val="ru-RU"/>
        </w:rPr>
        <w:tab/>
      </w:r>
      <w:r w:rsidR="00D82062" w:rsidRPr="00945782">
        <w:rPr>
          <w:lang w:val="ru-RU"/>
        </w:rPr>
        <w:t xml:space="preserve">Оптимизация и гармонизация </w:t>
      </w:r>
      <w:r w:rsidR="00D82062" w:rsidRPr="00945782">
        <w:rPr>
          <w:b/>
          <w:bCs/>
          <w:lang w:val="ru-RU"/>
        </w:rPr>
        <w:t>внутреннего анализа данных</w:t>
      </w:r>
      <w:r w:rsidR="00D82062" w:rsidRPr="00945782">
        <w:rPr>
          <w:lang w:val="ru-RU"/>
        </w:rPr>
        <w:t xml:space="preserve">, </w:t>
      </w:r>
      <w:r w:rsidR="00D82062" w:rsidRPr="00945782">
        <w:rPr>
          <w:b/>
          <w:bCs/>
          <w:lang w:val="ru-RU"/>
        </w:rPr>
        <w:t>методов работы</w:t>
      </w:r>
      <w:r w:rsidR="00D82062" w:rsidRPr="00945782">
        <w:rPr>
          <w:lang w:val="ru-RU"/>
        </w:rPr>
        <w:t xml:space="preserve"> и </w:t>
      </w:r>
      <w:r w:rsidR="00D82062" w:rsidRPr="00945782">
        <w:rPr>
          <w:b/>
          <w:bCs/>
          <w:lang w:val="ru-RU"/>
        </w:rPr>
        <w:t xml:space="preserve">процедур адаптации для новых делегатов </w:t>
      </w:r>
      <w:r w:rsidR="00D82062" w:rsidRPr="00945782">
        <w:rPr>
          <w:lang w:val="ru-RU"/>
        </w:rPr>
        <w:t>в целях оказания поддержки делегатам, особенно из развивающихся стран, в принятии эффективного участия в мероприятиях МСЭ-Т, а также в представлении отчетности о ходе реализации Резолюции 44 ВАСЭ Совету, ВАСЭ и Консультативной группе по стандартизации электросвязи;</w:t>
      </w:r>
    </w:p>
    <w:p w14:paraId="794E47EB" w14:textId="181B01A9" w:rsidR="00D82062" w:rsidRPr="00945782" w:rsidRDefault="00BD461E" w:rsidP="00BD461E">
      <w:pPr>
        <w:pStyle w:val="enumlev1"/>
        <w:rPr>
          <w:lang w:val="ru-RU"/>
        </w:rPr>
      </w:pPr>
      <w:r w:rsidRPr="00945782">
        <w:rPr>
          <w:lang w:val="ru-RU"/>
        </w:rPr>
        <w:t>7)</w:t>
      </w:r>
      <w:r w:rsidRPr="00945782">
        <w:rPr>
          <w:lang w:val="ru-RU"/>
        </w:rPr>
        <w:tab/>
      </w:r>
      <w:r w:rsidR="00D82062" w:rsidRPr="00945782">
        <w:rPr>
          <w:lang w:val="ru-RU"/>
        </w:rPr>
        <w:t xml:space="preserve">Продвижение </w:t>
      </w:r>
      <w:hyperlink r:id="rId151" w:history="1">
        <w:r w:rsidR="00D82062" w:rsidRPr="00945782">
          <w:rPr>
            <w:rStyle w:val="Hyperlink"/>
            <w:rFonts w:cstheme="minorHAnsi"/>
            <w:szCs w:val="22"/>
            <w:lang w:val="ru-RU"/>
          </w:rPr>
          <w:t>Руководящих указаний для национальных секретариатов по стандартизации</w:t>
        </w:r>
      </w:hyperlink>
      <w:r w:rsidR="00D82062" w:rsidRPr="00945782">
        <w:rPr>
          <w:lang w:val="ru-RU"/>
        </w:rPr>
        <w:t>, в которых изложены практические механизмы создания национальных структур и процедур для поддержки эффективного участия в деятельности МСЭ-Т в соответствии с национальными приоритетами стандартизации;</w:t>
      </w:r>
    </w:p>
    <w:p w14:paraId="4B2A0592" w14:textId="40755419" w:rsidR="00D82062" w:rsidRPr="00945782" w:rsidRDefault="00BD461E" w:rsidP="00BD461E">
      <w:pPr>
        <w:pStyle w:val="enumlev1"/>
        <w:rPr>
          <w:lang w:val="ru-RU"/>
        </w:rPr>
      </w:pPr>
      <w:r w:rsidRPr="00945782">
        <w:rPr>
          <w:lang w:val="ru-RU"/>
        </w:rPr>
        <w:t>8)</w:t>
      </w:r>
      <w:r w:rsidRPr="00945782">
        <w:rPr>
          <w:lang w:val="ru-RU"/>
        </w:rPr>
        <w:tab/>
      </w:r>
      <w:r w:rsidR="00D82062" w:rsidRPr="00945782">
        <w:rPr>
          <w:lang w:val="ru-RU"/>
        </w:rPr>
        <w:t xml:space="preserve">Участие в ряде инициатив, способствующих применению Рекомендаций МСЭ-Т, включая: вопросы </w:t>
      </w:r>
      <w:hyperlink r:id="rId152" w:history="1">
        <w:r w:rsidR="00D82062" w:rsidRPr="00945782">
          <w:rPr>
            <w:rStyle w:val="Hyperlink"/>
            <w:rFonts w:cstheme="minorHAnsi"/>
            <w:szCs w:val="22"/>
            <w:lang w:val="ru-RU"/>
          </w:rPr>
          <w:t>электронных отходов</w:t>
        </w:r>
      </w:hyperlink>
      <w:r w:rsidR="00D82062" w:rsidRPr="00945782">
        <w:rPr>
          <w:lang w:val="ru-RU"/>
        </w:rPr>
        <w:t xml:space="preserve">, </w:t>
      </w:r>
      <w:hyperlink r:id="rId153" w:history="1">
        <w:r w:rsidR="00D82062" w:rsidRPr="00945782">
          <w:rPr>
            <w:rStyle w:val="Hyperlink"/>
            <w:rFonts w:cstheme="minorHAnsi"/>
            <w:szCs w:val="22"/>
            <w:lang w:val="ru-RU"/>
          </w:rPr>
          <w:t>Лабораторию безопасности цифровых финансовых услуг</w:t>
        </w:r>
      </w:hyperlink>
      <w:r w:rsidR="00D82062" w:rsidRPr="00945782">
        <w:rPr>
          <w:lang w:val="ru-RU"/>
        </w:rPr>
        <w:t>, инициативу "Объединение усилий в целях построения "умных" устойчивых городов" (</w:t>
      </w:r>
      <w:hyperlink r:id="rId154" w:history="1">
        <w:r w:rsidR="00D82062" w:rsidRPr="00945782">
          <w:rPr>
            <w:rStyle w:val="Hyperlink"/>
            <w:rFonts w:cstheme="minorHAnsi"/>
            <w:szCs w:val="22"/>
            <w:lang w:val="ru-RU"/>
          </w:rPr>
          <w:t>U4SSC</w:t>
        </w:r>
      </w:hyperlink>
      <w:r w:rsidR="00D82062" w:rsidRPr="00945782">
        <w:rPr>
          <w:lang w:val="ru-RU"/>
        </w:rPr>
        <w:t xml:space="preserve">), </w:t>
      </w:r>
      <w:hyperlink r:id="rId155" w:history="1">
        <w:r w:rsidR="00D82062" w:rsidRPr="00945782">
          <w:rPr>
            <w:rStyle w:val="Hyperlink"/>
            <w:rFonts w:cstheme="minorHAnsi"/>
            <w:szCs w:val="22"/>
            <w:lang w:val="ru-RU"/>
          </w:rPr>
          <w:t>Программу МСЭ по соответствию и функциональной совместимости (C&amp;I)</w:t>
        </w:r>
      </w:hyperlink>
      <w:r w:rsidR="00D82062" w:rsidRPr="00945782">
        <w:rPr>
          <w:lang w:val="ru-RU"/>
        </w:rPr>
        <w:t xml:space="preserve">, а также вопросы </w:t>
      </w:r>
      <w:hyperlink r:id="rId156" w:history="1">
        <w:r w:rsidR="00D82062" w:rsidRPr="00945782">
          <w:rPr>
            <w:rStyle w:val="Hyperlink"/>
            <w:rFonts w:cstheme="minorHAnsi"/>
            <w:szCs w:val="22"/>
            <w:lang w:val="ru-RU"/>
          </w:rPr>
          <w:t>безопасных методов прослушивания</w:t>
        </w:r>
      </w:hyperlink>
      <w:r w:rsidR="00D82062" w:rsidRPr="00945782">
        <w:rPr>
          <w:lang w:val="ru-RU"/>
        </w:rPr>
        <w:t>.</w:t>
      </w:r>
    </w:p>
    <w:p w14:paraId="26248DFA" w14:textId="77777777" w:rsidR="00D82062" w:rsidRPr="00945782" w:rsidRDefault="00D82062" w:rsidP="00D82062">
      <w:pPr>
        <w:pStyle w:val="Heading2"/>
        <w:rPr>
          <w:lang w:val="ru-RU"/>
        </w:rPr>
      </w:pPr>
      <w:bookmarkStart w:id="84" w:name="_Toc227062864"/>
      <w:bookmarkStart w:id="85" w:name="_Toc227850252"/>
      <w:r w:rsidRPr="00945782">
        <w:rPr>
          <w:lang w:val="ru-RU"/>
        </w:rPr>
        <w:t>4.4</w:t>
      </w:r>
      <w:r w:rsidRPr="00945782">
        <w:rPr>
          <w:lang w:val="ru-RU"/>
        </w:rPr>
        <w:tab/>
        <w:t>Разработка политических принципов и продуктов знаний</w:t>
      </w:r>
      <w:bookmarkEnd w:id="84"/>
      <w:bookmarkEnd w:id="85"/>
    </w:p>
    <w:p w14:paraId="636784CA" w14:textId="5BD01E3C" w:rsidR="00D82062" w:rsidRPr="00945782" w:rsidRDefault="00D82062" w:rsidP="00BD461E">
      <w:pPr>
        <w:rPr>
          <w:lang w:val="ru-RU"/>
        </w:rPr>
      </w:pPr>
      <w:r w:rsidRPr="00945782">
        <w:rPr>
          <w:lang w:val="ru-RU"/>
        </w:rPr>
        <w:t xml:space="preserve">МСЭ разрабатывает справочники, технические отчеты и документы, в том числе через свои исследовательские комиссии, для оказания содействия своим членам по вопросам электросвязи/ИКТ (см., например, раздел </w:t>
      </w:r>
      <w:hyperlink w:anchor="_4.3_Разработка_международных" w:history="1">
        <w:r w:rsidRPr="00945782">
          <w:rPr>
            <w:rStyle w:val="Hyperlink"/>
            <w:rFonts w:asciiTheme="minorHAnsi" w:hAnsiTheme="minorHAnsi" w:cstheme="minorHAnsi"/>
            <w:szCs w:val="22"/>
            <w:lang w:val="ru-RU"/>
          </w:rPr>
          <w:t>4.3</w:t>
        </w:r>
      </w:hyperlink>
      <w:r w:rsidR="00CC07F7" w:rsidRPr="00945782">
        <w:rPr>
          <w:lang w:val="ru-RU"/>
        </w:rPr>
        <w:t xml:space="preserve">, </w:t>
      </w:r>
      <w:r w:rsidRPr="00945782">
        <w:rPr>
          <w:lang w:val="ru-RU"/>
        </w:rPr>
        <w:t>выше). Передовая практика Государств-Членов, частного сектора, научно-исследовательских организаций и академического сообщества собирается и доводится до сведения Государств-Членов.</w:t>
      </w:r>
    </w:p>
    <w:p w14:paraId="155E127A" w14:textId="77777777" w:rsidR="00D82062" w:rsidRPr="00945782" w:rsidRDefault="00D82062" w:rsidP="00BD461E">
      <w:pPr>
        <w:rPr>
          <w:lang w:val="ru-RU"/>
        </w:rPr>
      </w:pPr>
      <w:r w:rsidRPr="00945782">
        <w:rPr>
          <w:lang w:val="ru-RU"/>
        </w:rPr>
        <w:t>МСЭ предоставляет продукты и инструменты для обмена знаниями, способствующие диалогу и укреплению сотрудничества, помогая странам максимально использовать преимущества цифровых технологий для всех, а также предоставляя информацию о ключевых выводах, позволяющих понимать вызовы и возможности, связанные с развитием возможности установления соединений и цифровой трансформации, и реагировать на них.</w:t>
      </w:r>
    </w:p>
    <w:p w14:paraId="54F784AC" w14:textId="77777777" w:rsidR="00D82062" w:rsidRPr="00945782" w:rsidRDefault="00D82062" w:rsidP="00BD461E">
      <w:pPr>
        <w:rPr>
          <w:lang w:val="ru-RU"/>
        </w:rPr>
      </w:pPr>
      <w:r w:rsidRPr="00945782">
        <w:rPr>
          <w:lang w:val="ru-RU"/>
        </w:rPr>
        <w:t xml:space="preserve">В целях укрепления потенциала Государств-Членов по развитию их политических, правовых и регуляторных рамок в области ИКТ Сектор развития электросвязи МСЭ (МСЭ-D) предоставляет руководящие указания, продукты знаний, мероприятия по развитию потенциала и техническую помощь. Это способствует обеспечению национальных директивных органов необходимыми данными и инструментами для работы в условиях все более сложных рынков и экосистем ИКТ и цифровых технологий. Скоординированные усилия МСЭ-D обеспечивают также оказание </w:t>
      </w:r>
      <w:r w:rsidRPr="00945782">
        <w:rPr>
          <w:lang w:val="ru-RU"/>
        </w:rPr>
        <w:lastRenderedPageBreak/>
        <w:t>странам поддержки с учетом таких ключевых аспектов, как приемлемость в ценовом отношении, охват цифровыми технологиями, конкуренция и инвестиции, на основе общегосударственного подхода к реализации комплексных цифровых стратегий. МСЭ-D также продвигает глобальную повестку дня в отношении роли регулирования в обеспечении устойчивой цифровой трансформации посредством проведения флагманских мероприятий высокого уровня в соответствии с Резолюцией 48 (Пересм. Баку, 2025 г.) ВКРЭ об укреплении сотрудничества регуляторных органов в области электросвязи.</w:t>
      </w:r>
    </w:p>
    <w:p w14:paraId="36A996B9" w14:textId="3F535945" w:rsidR="00D82062" w:rsidRPr="00945782" w:rsidRDefault="00D82062" w:rsidP="00D82062">
      <w:pPr>
        <w:pStyle w:val="Heading3"/>
        <w:rPr>
          <w:lang w:val="ru-RU"/>
        </w:rPr>
      </w:pPr>
      <w:bookmarkStart w:id="86" w:name="_Toc227062865"/>
      <w:bookmarkStart w:id="87" w:name="_Toc227850253"/>
      <w:r w:rsidRPr="00945782">
        <w:rPr>
          <w:lang w:val="ru-RU"/>
        </w:rPr>
        <w:t>4.4.1</w:t>
      </w:r>
      <w:r w:rsidR="00BD461E" w:rsidRPr="00945782">
        <w:rPr>
          <w:lang w:val="ru-RU"/>
        </w:rPr>
        <w:tab/>
      </w:r>
      <w:r w:rsidRPr="00945782">
        <w:rPr>
          <w:lang w:val="ru-RU"/>
        </w:rPr>
        <w:t>Кибербезопасность: укрепление доверия и безопасности в ИКТ</w:t>
      </w:r>
      <w:bookmarkEnd w:id="86"/>
      <w:bookmarkEnd w:id="87"/>
    </w:p>
    <w:p w14:paraId="230801B0" w14:textId="77777777" w:rsidR="00D82062" w:rsidRPr="00945782" w:rsidRDefault="00D82062" w:rsidP="00BD461E">
      <w:pPr>
        <w:rPr>
          <w:lang w:val="ru-RU"/>
        </w:rPr>
      </w:pPr>
      <w:r w:rsidRPr="00945782">
        <w:rPr>
          <w:lang w:val="ru-RU"/>
        </w:rPr>
        <w:t>Реализованные в рамках всего МСЭ программы работы в области развития, стандартизации и радиосвязи, структурированные в соответствии с пятью тематическими блоками Глобальной программы кибербезопасности (ГПК), способствовали формированию комплексной системы кибербезопасности.</w:t>
      </w:r>
    </w:p>
    <w:p w14:paraId="0535858C" w14:textId="77777777" w:rsidR="00D82062" w:rsidRPr="00945782" w:rsidRDefault="00D82062" w:rsidP="00BD461E">
      <w:pPr>
        <w:rPr>
          <w:lang w:val="ru-RU"/>
        </w:rPr>
      </w:pPr>
      <w:r w:rsidRPr="00945782">
        <w:rPr>
          <w:lang w:val="ru-RU"/>
        </w:rPr>
        <w:t xml:space="preserve">В рамках Сектора развития МСЭ оказывал поддержку Государствам-Членам в укреплении институциональной готовности посредством содействия разработке </w:t>
      </w:r>
      <w:hyperlink r:id="rId157" w:history="1">
        <w:r w:rsidRPr="00945782">
          <w:rPr>
            <w:rStyle w:val="Hyperlink"/>
            <w:rFonts w:asciiTheme="minorHAnsi" w:hAnsiTheme="minorHAnsi" w:cstheme="minorHAnsi"/>
            <w:szCs w:val="22"/>
            <w:lang w:val="ru-RU"/>
          </w:rPr>
          <w:t>национальных стратегий кибербезопасности</w:t>
        </w:r>
      </w:hyperlink>
      <w:r w:rsidRPr="00945782">
        <w:rPr>
          <w:lang w:val="ru-RU"/>
        </w:rPr>
        <w:t xml:space="preserve">, помощи в создании и вводу в действие </w:t>
      </w:r>
      <w:hyperlink r:id="rId158" w:history="1">
        <w:r w:rsidRPr="00945782">
          <w:rPr>
            <w:rStyle w:val="Hyperlink"/>
            <w:rFonts w:asciiTheme="minorHAnsi" w:hAnsiTheme="minorHAnsi" w:cstheme="minorHAnsi"/>
            <w:szCs w:val="22"/>
            <w:lang w:val="ru-RU"/>
          </w:rPr>
          <w:t>национальных групп реагирования на компьютерные инциденты (CIRT)</w:t>
        </w:r>
      </w:hyperlink>
      <w:r w:rsidRPr="00945782">
        <w:rPr>
          <w:lang w:val="ru-RU"/>
        </w:rPr>
        <w:t xml:space="preserve">, а также посредством национальных, региональных и глобальных тренировочных занятий по кибербезопасности. На сегодняшний день МСЭ оказал поддержку 85 странам путем оценки их готовности в области кибербезопасности, что привело к созданию или совершенствованию национальных CIRT. По состоянию на май 2026 года МСЭ организовал более 60 международных, региональных и национальных </w:t>
      </w:r>
      <w:hyperlink r:id="rId159" w:history="1">
        <w:r w:rsidRPr="00945782">
          <w:rPr>
            <w:rStyle w:val="Hyperlink"/>
            <w:rFonts w:asciiTheme="minorHAnsi" w:hAnsiTheme="minorHAnsi" w:cstheme="minorHAnsi"/>
            <w:szCs w:val="22"/>
            <w:lang w:val="ru-RU"/>
          </w:rPr>
          <w:t>тренировочных занятий по кибербезопасности</w:t>
        </w:r>
      </w:hyperlink>
      <w:r w:rsidRPr="00945782">
        <w:rPr>
          <w:lang w:val="ru-RU"/>
        </w:rPr>
        <w:t xml:space="preserve"> (включая 4 глобальных занятия), в которых приняли участие более 160 стран во всех шести регионах МСЭ.</w:t>
      </w:r>
    </w:p>
    <w:p w14:paraId="7150FFB5" w14:textId="77777777" w:rsidR="00D82062" w:rsidRPr="00945782" w:rsidRDefault="00D82062" w:rsidP="00BD461E">
      <w:pPr>
        <w:rPr>
          <w:lang w:val="ru-RU"/>
        </w:rPr>
      </w:pPr>
      <w:r w:rsidRPr="00945782">
        <w:rPr>
          <w:lang w:val="ru-RU"/>
        </w:rPr>
        <w:t xml:space="preserve">В сентябре 2024 года было опубликовано пятое издание </w:t>
      </w:r>
      <w:hyperlink r:id="rId160" w:history="1">
        <w:r w:rsidRPr="00945782">
          <w:rPr>
            <w:rStyle w:val="Hyperlink"/>
            <w:rFonts w:asciiTheme="minorHAnsi" w:hAnsiTheme="minorHAnsi" w:cstheme="minorHAnsi"/>
            <w:szCs w:val="22"/>
            <w:lang w:val="ru-RU"/>
          </w:rPr>
          <w:t>Глобального индекса кибербезопасности (GCI) МСЭ</w:t>
        </w:r>
      </w:hyperlink>
      <w:r w:rsidRPr="00945782">
        <w:rPr>
          <w:lang w:val="ru-RU"/>
        </w:rPr>
        <w:t xml:space="preserve">. МСЭ оказывал целевую поддержку по развитию потенциала, техническую помощь и разрабатывал политические рекомендации для повышения готовности к киберугрозам и укрепления возможностей оперативного реагирования в рамках программ для </w:t>
      </w:r>
      <w:hyperlink r:id="rId161" w:history="1">
        <w:r w:rsidRPr="00945782">
          <w:rPr>
            <w:rStyle w:val="Hyperlink"/>
            <w:lang w:val="ru-RU"/>
          </w:rPr>
          <w:t>"Кибертехнологии во благо"</w:t>
        </w:r>
      </w:hyperlink>
      <w:r w:rsidRPr="00945782">
        <w:rPr>
          <w:lang w:val="ru-RU"/>
        </w:rPr>
        <w:t xml:space="preserve">, </w:t>
      </w:r>
      <w:hyperlink r:id="rId162" w:history="1">
        <w:r w:rsidRPr="00945782">
          <w:rPr>
            <w:rStyle w:val="Hyperlink"/>
            <w:rFonts w:asciiTheme="minorHAnsi" w:hAnsiTheme="minorHAnsi" w:cstheme="minorHAnsi"/>
            <w:szCs w:val="22"/>
            <w:lang w:val="ru-RU"/>
          </w:rPr>
          <w:t>"Ее киберследы"</w:t>
        </w:r>
      </w:hyperlink>
      <w:r w:rsidRPr="00945782">
        <w:rPr>
          <w:lang w:val="ru-RU"/>
        </w:rPr>
        <w:t xml:space="preserve"> и </w:t>
      </w:r>
      <w:hyperlink r:id="rId163" w:history="1">
        <w:r w:rsidRPr="00945782">
          <w:rPr>
            <w:rStyle w:val="Hyperlink"/>
            <w:rFonts w:asciiTheme="minorHAnsi" w:hAnsiTheme="minorHAnsi" w:cstheme="minorHAnsi"/>
            <w:szCs w:val="22"/>
            <w:lang w:val="ru-RU"/>
          </w:rPr>
          <w:t>Академия МСЭ</w:t>
        </w:r>
      </w:hyperlink>
      <w:r w:rsidRPr="00945782">
        <w:rPr>
          <w:lang w:val="ru-RU"/>
        </w:rPr>
        <w:t xml:space="preserve">, а также центров профессионального мастерства МСЭ и центров профессиональной подготовки Академии. Эти мероприятия дополняли более широкие усилия по укреплению устойчивости, совершенствованию управления в сфере кибербезопасности и обеспечению безопасного и всеобщего доступа к цифровым технологиям. МСЭ продолжал взаимодействовать с заинтересованными сторонами в рамках </w:t>
      </w:r>
      <w:hyperlink r:id="rId164" w:history="1">
        <w:r w:rsidRPr="00945782">
          <w:rPr>
            <w:rStyle w:val="Hyperlink"/>
            <w:rFonts w:asciiTheme="minorHAnsi" w:hAnsiTheme="minorHAnsi" w:cstheme="minorHAnsi"/>
            <w:szCs w:val="22"/>
            <w:lang w:val="ru-RU"/>
          </w:rPr>
          <w:t>Рабочей группы открытого состава (РГОС) по вопросам безопасности и использования ИКТ</w:t>
        </w:r>
      </w:hyperlink>
      <w:r w:rsidRPr="00945782">
        <w:rPr>
          <w:lang w:val="ru-RU"/>
        </w:rPr>
        <w:t xml:space="preserve"> и готов продолжать участие в работе нового постоянного механизма и его тематической группы по наращиванию потенциала.</w:t>
      </w:r>
    </w:p>
    <w:p w14:paraId="4B6EB744" w14:textId="77777777" w:rsidR="00D82062" w:rsidRPr="00945782" w:rsidRDefault="00D82062" w:rsidP="00BD461E">
      <w:pPr>
        <w:rPr>
          <w:lang w:val="ru-RU"/>
        </w:rPr>
      </w:pPr>
      <w:r w:rsidRPr="00945782">
        <w:rPr>
          <w:lang w:val="ru-RU"/>
        </w:rPr>
        <w:t xml:space="preserve">В 2024 году МСЭ учредил Международный консультативный орган по подводным кабелям в партнерстве с Международным комитетом по защите кабелей. На </w:t>
      </w:r>
      <w:hyperlink r:id="rId165" w:history="1">
        <w:r w:rsidRPr="00945782">
          <w:rPr>
            <w:rStyle w:val="Hyperlink"/>
            <w:rFonts w:asciiTheme="minorHAnsi" w:hAnsiTheme="minorHAnsi" w:cstheme="minorHAnsi"/>
            <w:szCs w:val="22"/>
            <w:lang w:val="ru-RU"/>
          </w:rPr>
          <w:t>саммите 2025 года в Абудже</w:t>
        </w:r>
      </w:hyperlink>
      <w:r w:rsidRPr="00945782">
        <w:rPr>
          <w:lang w:val="ru-RU"/>
        </w:rPr>
        <w:t xml:space="preserve"> этим органом были созданы три рабочие группы: по выявлению, мониторингу и снижению рисков, по обеспечению возможности установления соединений и географическому разнообразию точек выхода кабелей на берег и маршрутов, а также по своевременному развертыванию и ремонту кабелей. В продолжение достигнутых на саммите в Абудже результатов 2–3 февраля 2026 года в Порту, Португалия, состоялся </w:t>
      </w:r>
      <w:hyperlink r:id="rId166" w:history="1">
        <w:r w:rsidRPr="00945782">
          <w:rPr>
            <w:rStyle w:val="Hyperlink"/>
            <w:rFonts w:asciiTheme="minorHAnsi" w:hAnsiTheme="minorHAnsi" w:cstheme="minorHAnsi"/>
            <w:szCs w:val="22"/>
            <w:lang w:val="ru-RU"/>
          </w:rPr>
          <w:t>второй Международный саммит по устойчивости подводных кабелей</w:t>
        </w:r>
      </w:hyperlink>
      <w:r w:rsidRPr="00945782">
        <w:rPr>
          <w:lang w:val="ru-RU"/>
        </w:rPr>
        <w:t xml:space="preserve">. На этом саммите Международный консультативный орган утвердил рекомендации рабочих групп и поддержал </w:t>
      </w:r>
      <w:hyperlink r:id="rId167" w:history="1">
        <w:r w:rsidRPr="00945782">
          <w:rPr>
            <w:rStyle w:val="Hyperlink"/>
            <w:rFonts w:asciiTheme="minorHAnsi" w:hAnsiTheme="minorHAnsi" w:cstheme="minorHAnsi"/>
            <w:szCs w:val="22"/>
            <w:lang w:val="ru-RU"/>
          </w:rPr>
          <w:t>Декларацию Порту</w:t>
        </w:r>
      </w:hyperlink>
      <w:r w:rsidRPr="00945782">
        <w:rPr>
          <w:lang w:val="ru-RU"/>
        </w:rPr>
        <w:t>.</w:t>
      </w:r>
    </w:p>
    <w:p w14:paraId="717996EC" w14:textId="1119E25C" w:rsidR="00D82062" w:rsidRPr="00945782" w:rsidRDefault="00D82062" w:rsidP="00BD461E">
      <w:pPr>
        <w:rPr>
          <w:lang w:val="ru-RU"/>
        </w:rPr>
      </w:pPr>
      <w:r w:rsidRPr="00945782">
        <w:rPr>
          <w:lang w:val="ru-RU"/>
        </w:rPr>
        <w:t>МСЭ развивал также усилия по обеспечению защиты детей в онлайновой среде (COP) посредством информационно-просветительских материалов, управления знаниями и целевых программ, а также через политическую поддержку и сотрудничество с национальными заинтересованными сторонами для укрепления систем цифровой безопасности для детей. По</w:t>
      </w:r>
      <w:r w:rsidR="00BD461E" w:rsidRPr="00945782">
        <w:rPr>
          <w:lang w:val="ru-RU"/>
        </w:rPr>
        <w:t> </w:t>
      </w:r>
      <w:r w:rsidRPr="00945782">
        <w:rPr>
          <w:lang w:val="ru-RU"/>
        </w:rPr>
        <w:t xml:space="preserve">состоянию на март 2026 года МСЭ оказал поддержку в разработке национальных систем </w:t>
      </w:r>
      <w:r w:rsidRPr="00945782">
        <w:rPr>
          <w:lang w:val="ru-RU"/>
        </w:rPr>
        <w:lastRenderedPageBreak/>
        <w:t xml:space="preserve">защиты детей в онлайновой среде в 16 странах. Эта работа была дополнительно усилена в рамках </w:t>
      </w:r>
      <w:hyperlink r:id="rId168" w:history="1">
        <w:r w:rsidRPr="00945782">
          <w:rPr>
            <w:rStyle w:val="Hyperlink"/>
            <w:rFonts w:asciiTheme="minorHAnsi" w:hAnsiTheme="minorHAnsi" w:cstheme="minorHAnsi"/>
            <w:szCs w:val="22"/>
            <w:lang w:val="ru-RU"/>
          </w:rPr>
          <w:t>инициативы "Защита через онлайновое участие" (PoP)</w:t>
        </w:r>
      </w:hyperlink>
      <w:r w:rsidRPr="00945782">
        <w:rPr>
          <w:lang w:val="ru-RU"/>
        </w:rPr>
        <w:t xml:space="preserve">, в которой сочетались межсекторальное сотрудничество, подготовительные исследования и многосторонние консультации заинтересованных сторон и по итогам которой были разработаны Руководящие принципы в области PoP. В то же время МСЭ укреплял взаимодействие с отраслью в рамках </w:t>
      </w:r>
      <w:hyperlink r:id="rId169" w:history="1">
        <w:r w:rsidRPr="00945782">
          <w:rPr>
            <w:rStyle w:val="Hyperlink"/>
            <w:rFonts w:asciiTheme="minorHAnsi" w:hAnsiTheme="minorHAnsi" w:cstheme="minorHAnsi"/>
            <w:szCs w:val="22"/>
            <w:lang w:val="ru-RU"/>
          </w:rPr>
          <w:t>серии мероприятий "Связь МСЭ с отраслью"</w:t>
        </w:r>
      </w:hyperlink>
      <w:r w:rsidRPr="00945782">
        <w:rPr>
          <w:lang w:val="ru-RU"/>
        </w:rPr>
        <w:t xml:space="preserve"> в 2025 году, способствуя диалогу с поставщиками цифровых услуг по вопросам возникающих рисков и общей ответственности за безопасность детей в онлайновой среде. В марте 2024 года ИК17 МСЭ-T создала Группу по защите ребенка в онлайновой среде (ГП-COP), работающую по переписке, для определения области охвата и пробелов в стандартизации в области COP.</w:t>
      </w:r>
    </w:p>
    <w:p w14:paraId="609FD92A" w14:textId="77777777" w:rsidR="00D82062" w:rsidRPr="00945782" w:rsidRDefault="00D82062" w:rsidP="00BD461E">
      <w:pPr>
        <w:rPr>
          <w:rFonts w:asciiTheme="minorHAnsi" w:hAnsiTheme="minorHAnsi" w:cstheme="minorHAnsi"/>
          <w:szCs w:val="22"/>
          <w:lang w:val="ru-RU"/>
        </w:rPr>
      </w:pPr>
      <w:r w:rsidRPr="00945782">
        <w:rPr>
          <w:rFonts w:asciiTheme="minorHAnsi" w:hAnsiTheme="minorHAnsi" w:cstheme="minorHAnsi"/>
          <w:szCs w:val="22"/>
          <w:lang w:val="ru-RU"/>
        </w:rPr>
        <w:t xml:space="preserve">МСЭ опубликовал </w:t>
      </w:r>
      <w:hyperlink r:id="rId170" w:history="1">
        <w:r w:rsidRPr="00945782">
          <w:rPr>
            <w:rStyle w:val="Hyperlink"/>
            <w:rFonts w:asciiTheme="minorHAnsi" w:hAnsiTheme="minorHAnsi" w:cstheme="minorHAnsi"/>
            <w:szCs w:val="22"/>
            <w:lang w:val="ru-RU"/>
          </w:rPr>
          <w:t>Совместное заявление об искусственном интеллекте и правах ребенка</w:t>
        </w:r>
      </w:hyperlink>
      <w:r w:rsidRPr="00945782">
        <w:rPr>
          <w:rFonts w:asciiTheme="minorHAnsi" w:hAnsiTheme="minorHAnsi" w:cstheme="minorHAnsi"/>
          <w:szCs w:val="22"/>
          <w:lang w:val="ru-RU"/>
        </w:rPr>
        <w:t xml:space="preserve">, которое было разработано в сотрудничестве с Комитетом по правам ребенка, ЮНИСЕФ и более чем десятью учреждениями системы ООН, подписавшими данный документ. Деятельность в области технической стандартизации и радиосвязи способствовала этой работе благодаря разработке </w:t>
      </w:r>
      <w:hyperlink r:id="rId171" w:history="1">
        <w:r w:rsidRPr="00945782">
          <w:rPr>
            <w:rStyle w:val="Hyperlink"/>
            <w:rFonts w:asciiTheme="minorHAnsi" w:hAnsiTheme="minorHAnsi" w:cstheme="minorHAnsi"/>
            <w:szCs w:val="22"/>
            <w:lang w:val="ru-RU"/>
          </w:rPr>
          <w:t>рекомендаций, проведению исследований и представлению обновлений, ориентированных на обеспечение безопасности</w:t>
        </w:r>
      </w:hyperlink>
      <w:r w:rsidRPr="00945782">
        <w:rPr>
          <w:rFonts w:asciiTheme="minorHAnsi" w:hAnsiTheme="minorHAnsi" w:cstheme="minorHAnsi"/>
          <w:szCs w:val="22"/>
          <w:lang w:val="ru-RU"/>
        </w:rPr>
        <w:t xml:space="preserve"> и направленных на противодействие меняющимся угрозам и защиту критически важной инфраструктуры ИКТ.</w:t>
      </w:r>
    </w:p>
    <w:p w14:paraId="6F5AFCCB" w14:textId="0D8CCCA7" w:rsidR="00D82062" w:rsidRPr="00945782" w:rsidRDefault="00D82062" w:rsidP="00BD461E">
      <w:pPr>
        <w:rPr>
          <w:rFonts w:asciiTheme="minorHAnsi" w:hAnsiTheme="minorHAnsi" w:cstheme="minorHAnsi"/>
          <w:szCs w:val="22"/>
          <w:lang w:val="ru-RU"/>
        </w:rPr>
      </w:pPr>
      <w:r w:rsidRPr="00945782">
        <w:rPr>
          <w:rFonts w:asciiTheme="minorHAnsi" w:hAnsiTheme="minorHAnsi" w:cstheme="minorHAnsi"/>
          <w:szCs w:val="22"/>
          <w:lang w:val="ru-RU"/>
        </w:rPr>
        <w:t xml:space="preserve">ИК17 МСЭ-T развивала усилия в области обеспечения </w:t>
      </w:r>
      <w:hyperlink r:id="rId172" w:history="1">
        <w:r w:rsidRPr="00945782">
          <w:rPr>
            <w:rStyle w:val="Hyperlink"/>
            <w:rFonts w:asciiTheme="minorHAnsi" w:hAnsiTheme="minorHAnsi" w:cstheme="minorHAnsi"/>
            <w:szCs w:val="22"/>
            <w:lang w:val="ru-RU"/>
          </w:rPr>
          <w:t>безопасности искусственного интеллекта, систем международной подвижной связи (IMT), облачных технологий, интернета вещей, интеллектуальных транспортных систем, систем цифровых двойников, распределения квантовых ключей, управления доступом, цифровых финансовых услуг, защиты конфиденциальности и других интеллектуальных услуг</w:t>
        </w:r>
      </w:hyperlink>
      <w:r w:rsidRPr="00945782">
        <w:rPr>
          <w:rFonts w:asciiTheme="minorHAnsi" w:hAnsiTheme="minorHAnsi" w:cstheme="minorHAnsi"/>
          <w:szCs w:val="22"/>
          <w:lang w:val="ru-RU"/>
        </w:rPr>
        <w:t xml:space="preserve">. ИК5, ИК13, ИК15 и ИК21 МСЭ-T также утвердили Рекомендации по широкому кругу вопросов − от надежности IMT-2020 и последующих поколений до инфраструктуры (например, электросети, пассивные оптические сети), конвергенции фиксированных, подвижных и спутниковых сетей, управления цифровыми правами при распространении аудио- и видеоконтента и подлинности мультимедийного контента. ИК11 продолжает работу по обеспечению </w:t>
      </w:r>
      <w:hyperlink r:id="rId173" w:history="1">
        <w:r w:rsidRPr="00945782">
          <w:rPr>
            <w:rStyle w:val="Hyperlink"/>
            <w:rFonts w:asciiTheme="minorHAnsi" w:hAnsiTheme="minorHAnsi" w:cstheme="minorHAnsi"/>
            <w:szCs w:val="22"/>
            <w:lang w:val="ru-RU"/>
          </w:rPr>
          <w:t>безопасности сигнализации</w:t>
        </w:r>
      </w:hyperlink>
      <w:r w:rsidRPr="00945782">
        <w:rPr>
          <w:rFonts w:asciiTheme="minorHAnsi" w:hAnsiTheme="minorHAnsi" w:cstheme="minorHAnsi"/>
          <w:szCs w:val="22"/>
          <w:lang w:val="ru-RU"/>
        </w:rPr>
        <w:t xml:space="preserve"> в целях борьбы с контрафактными и украденными мобильными устройствами ИКТ и атаками на телефонные сети (такими как телефонный спам, роботизированные вызовы, поддельные номера и т. д.). </w:t>
      </w:r>
      <w:hyperlink r:id="rId174" w:history="1">
        <w:r w:rsidRPr="00945782">
          <w:rPr>
            <w:rStyle w:val="Hyperlink"/>
            <w:rFonts w:asciiTheme="minorHAnsi" w:hAnsiTheme="minorHAnsi" w:cstheme="minorHAnsi"/>
            <w:szCs w:val="22"/>
            <w:lang w:val="ru-RU"/>
          </w:rPr>
          <w:t>ИК20</w:t>
        </w:r>
      </w:hyperlink>
      <w:r w:rsidRPr="00945782">
        <w:rPr>
          <w:rFonts w:asciiTheme="minorHAnsi" w:hAnsiTheme="minorHAnsi" w:cstheme="minorHAnsi"/>
          <w:szCs w:val="22"/>
          <w:lang w:val="ru-RU"/>
        </w:rPr>
        <w:t xml:space="preserve"> продолжает свою деятельность в области безопасности, конфиденциальности, надежности и идентификации для интернета вещей (IoT), а также интеллектуальных устойчивых городов и сообществ (SSC&amp;C). МСЭ-R сформулировал четкие принципы обеспечения безопасности для сетей международной подвижной связи (IMT) (3G, 4G и 5G). В рамках инициативы </w:t>
      </w:r>
      <w:hyperlink r:id="rId175" w:history="1">
        <w:r w:rsidR="00CC07F7" w:rsidRPr="00945782">
          <w:rPr>
            <w:rStyle w:val="Hyperlink"/>
            <w:rFonts w:asciiTheme="minorHAnsi" w:hAnsiTheme="minorHAnsi" w:cstheme="minorHAnsi"/>
            <w:szCs w:val="22"/>
            <w:lang w:val="ru-RU"/>
          </w:rPr>
          <w:t>"</w:t>
        </w:r>
        <w:r w:rsidRPr="00945782">
          <w:rPr>
            <w:rStyle w:val="Hyperlink"/>
            <w:rFonts w:asciiTheme="minorHAnsi" w:hAnsiTheme="minorHAnsi" w:cstheme="minorHAnsi"/>
            <w:szCs w:val="22"/>
            <w:lang w:val="ru-RU"/>
          </w:rPr>
          <w:t>Объединение усилий в целях построения "умных" устойчивых городов</w:t>
        </w:r>
        <w:r w:rsidR="00CC07F7" w:rsidRPr="00945782">
          <w:rPr>
            <w:rStyle w:val="Hyperlink"/>
            <w:rFonts w:asciiTheme="minorHAnsi" w:hAnsiTheme="minorHAnsi" w:cstheme="minorHAnsi"/>
            <w:szCs w:val="22"/>
            <w:lang w:val="ru-RU"/>
          </w:rPr>
          <w:t>"</w:t>
        </w:r>
        <w:r w:rsidRPr="00945782">
          <w:rPr>
            <w:rStyle w:val="Hyperlink"/>
            <w:rFonts w:asciiTheme="minorHAnsi" w:hAnsiTheme="minorHAnsi" w:cstheme="minorHAnsi"/>
            <w:szCs w:val="22"/>
            <w:lang w:val="ru-RU"/>
          </w:rPr>
          <w:t xml:space="preserve"> (U4SSC)</w:t>
        </w:r>
      </w:hyperlink>
      <w:r w:rsidRPr="00945782">
        <w:rPr>
          <w:rFonts w:asciiTheme="minorHAnsi" w:hAnsiTheme="minorHAnsi" w:cstheme="minorHAnsi"/>
          <w:szCs w:val="22"/>
          <w:lang w:val="ru-RU"/>
        </w:rPr>
        <w:t xml:space="preserve">, поддерживаемой 20 учреждениями системы ООН, развиваются усилия по вопросам безопасности и конфиденциальности, связанным с цифровой инфраструктурой общего пользования в городах. В рамках </w:t>
      </w:r>
      <w:hyperlink r:id="rId176" w:history="1">
        <w:r w:rsidRPr="00945782">
          <w:rPr>
            <w:rStyle w:val="Hyperlink"/>
            <w:rFonts w:asciiTheme="minorHAnsi" w:hAnsiTheme="minorHAnsi" w:cstheme="minorHAnsi"/>
            <w:szCs w:val="22"/>
            <w:lang w:val="ru-RU"/>
          </w:rPr>
          <w:t>глобальной инициативы "Виртуальные миры и ИИ − знакомство с метавселенной для городов"</w:t>
        </w:r>
      </w:hyperlink>
      <w:r w:rsidRPr="00945782">
        <w:rPr>
          <w:rFonts w:asciiTheme="minorHAnsi" w:hAnsiTheme="minorHAnsi" w:cstheme="minorHAnsi"/>
          <w:szCs w:val="22"/>
          <w:lang w:val="ru-RU"/>
        </w:rPr>
        <w:t>, поддерживаемой более чем 70 партнерами, также ведется работа по направлению "Безопасность и доверие" в области развития метавселенной для городов и виртуальных миров.</w:t>
      </w:r>
    </w:p>
    <w:p w14:paraId="10A0DE1A" w14:textId="77777777" w:rsidR="00D82062" w:rsidRPr="00945782" w:rsidRDefault="00D82062" w:rsidP="00BD461E">
      <w:pPr>
        <w:rPr>
          <w:rFonts w:asciiTheme="minorHAnsi" w:hAnsiTheme="minorHAnsi" w:cstheme="minorHAnsi"/>
          <w:szCs w:val="22"/>
          <w:lang w:val="ru-RU"/>
        </w:rPr>
      </w:pPr>
      <w:r w:rsidRPr="00945782">
        <w:rPr>
          <w:rFonts w:asciiTheme="minorHAnsi" w:hAnsiTheme="minorHAnsi" w:cstheme="minorHAnsi"/>
          <w:szCs w:val="22"/>
          <w:lang w:val="ru-RU"/>
        </w:rPr>
        <w:t xml:space="preserve">См. дополнительную информацию о </w:t>
      </w:r>
      <w:hyperlink r:id="rId177" w:history="1">
        <w:r w:rsidRPr="00945782">
          <w:rPr>
            <w:rStyle w:val="Hyperlink"/>
            <w:rFonts w:asciiTheme="minorHAnsi" w:hAnsiTheme="minorHAnsi" w:cstheme="minorHAnsi"/>
            <w:szCs w:val="22"/>
            <w:lang w:val="ru-RU"/>
          </w:rPr>
          <w:t>деятельности МСЭ в области кибербезопасности</w:t>
        </w:r>
      </w:hyperlink>
      <w:r w:rsidRPr="00945782">
        <w:rPr>
          <w:rFonts w:asciiTheme="minorHAnsi" w:hAnsiTheme="minorHAnsi" w:cstheme="minorHAnsi"/>
          <w:szCs w:val="22"/>
          <w:lang w:val="ru-RU"/>
        </w:rPr>
        <w:t>.</w:t>
      </w:r>
    </w:p>
    <w:p w14:paraId="067543B8" w14:textId="2E838544" w:rsidR="00D82062" w:rsidRPr="00945782" w:rsidRDefault="00D82062" w:rsidP="00D82062">
      <w:pPr>
        <w:pStyle w:val="Heading3"/>
        <w:rPr>
          <w:lang w:val="ru-RU"/>
        </w:rPr>
      </w:pPr>
      <w:bookmarkStart w:id="88" w:name="_4.4.2 Появляющиеся_технологии:_форм"/>
      <w:bookmarkStart w:id="89" w:name="_Toc227062866"/>
      <w:bookmarkStart w:id="90" w:name="_Toc227850254"/>
      <w:bookmarkEnd w:id="88"/>
      <w:r w:rsidRPr="00945782">
        <w:rPr>
          <w:lang w:val="ru-RU"/>
        </w:rPr>
        <w:t>4.4.2</w:t>
      </w:r>
      <w:r w:rsidR="00BD461E" w:rsidRPr="00945782">
        <w:rPr>
          <w:lang w:val="ru-RU"/>
        </w:rPr>
        <w:tab/>
      </w:r>
      <w:r w:rsidRPr="00945782">
        <w:rPr>
          <w:lang w:val="ru-RU"/>
        </w:rPr>
        <w:t>Появляющиеся технологии: формирование рамок для трансформации</w:t>
      </w:r>
      <w:bookmarkEnd w:id="89"/>
      <w:bookmarkEnd w:id="90"/>
    </w:p>
    <w:p w14:paraId="5BB3AD21" w14:textId="77777777" w:rsidR="00D82062" w:rsidRPr="00945782" w:rsidRDefault="00D82062" w:rsidP="00BD461E">
      <w:pPr>
        <w:rPr>
          <w:lang w:val="ru-RU"/>
        </w:rPr>
      </w:pPr>
      <w:r w:rsidRPr="00945782">
        <w:rPr>
          <w:lang w:val="ru-RU"/>
        </w:rPr>
        <w:t>МСЭ продолжает формировать глобальные рамки для быстро развивающихся технологий, уделяя особое внимание искусственному интеллекту (ИИ), квантовым информационным технологиям, метавселенной и виртуальным мирам, а также интернету вещей (IoT). Эта деятельность способствует открытой для всех и устойчивой цифровой трансформации во всем мире и реализуется посредством разработки стандартов, координации в рамках системы ООН, тематических инициатив и практических проектов на местах.</w:t>
      </w:r>
    </w:p>
    <w:p w14:paraId="1705A92D" w14:textId="77777777" w:rsidR="00D82062" w:rsidRPr="00945782" w:rsidRDefault="00D82062" w:rsidP="00BD461E">
      <w:pPr>
        <w:pStyle w:val="Headingb"/>
        <w:rPr>
          <w:lang w:val="ru-RU"/>
        </w:rPr>
      </w:pPr>
      <w:r w:rsidRPr="00945782">
        <w:rPr>
          <w:lang w:val="ru-RU"/>
        </w:rPr>
        <w:lastRenderedPageBreak/>
        <w:t>Искусственный интеллект</w:t>
      </w:r>
    </w:p>
    <w:p w14:paraId="4F37E330" w14:textId="69CDEF2D" w:rsidR="00D82062" w:rsidRPr="00945782" w:rsidRDefault="00D82062" w:rsidP="00BD461E">
      <w:pPr>
        <w:rPr>
          <w:lang w:val="ru-RU"/>
        </w:rPr>
      </w:pPr>
      <w:r w:rsidRPr="00945782">
        <w:rPr>
          <w:lang w:val="ru-RU"/>
        </w:rPr>
        <w:t xml:space="preserve">С 2017 года МСЭ остается на передовых позициях международного сотрудничества в области </w:t>
      </w:r>
      <w:hyperlink r:id="rId178" w:history="1">
        <w:r w:rsidRPr="00945782">
          <w:rPr>
            <w:rStyle w:val="Hyperlink"/>
            <w:rFonts w:asciiTheme="minorHAnsi" w:hAnsiTheme="minorHAnsi" w:cstheme="minorHAnsi"/>
            <w:szCs w:val="22"/>
            <w:lang w:val="ru-RU"/>
          </w:rPr>
          <w:t>искусственного интеллекта</w:t>
        </w:r>
      </w:hyperlink>
      <w:r w:rsidRPr="00945782">
        <w:rPr>
          <w:lang w:val="ru-RU"/>
        </w:rPr>
        <w:t xml:space="preserve">, обеспечивая вклад ИИ в социально-экономическое развитие и достижения Целей в области устойчивого развития ООН. Опираясь на </w:t>
      </w:r>
      <w:hyperlink r:id="rId179" w:history="1">
        <w:r w:rsidRPr="00945782">
          <w:rPr>
            <w:rStyle w:val="Hyperlink"/>
            <w:rFonts w:asciiTheme="minorHAnsi" w:hAnsiTheme="minorHAnsi" w:cstheme="minorHAnsi"/>
            <w:szCs w:val="22"/>
            <w:lang w:val="ru-RU"/>
          </w:rPr>
          <w:t>Резолюцию 214 Полномочной конференции (Бухарест, 2022 г.)</w:t>
        </w:r>
      </w:hyperlink>
      <w:r w:rsidRPr="00945782">
        <w:rPr>
          <w:lang w:val="ru-RU"/>
        </w:rPr>
        <w:t>, деятельность МСЭ в области ИИ охватывает стандартизацию, развитие потенциала, координацию в рамках системы ООН и платформы с участием многих заинтересованных сторон.</w:t>
      </w:r>
    </w:p>
    <w:p w14:paraId="2E1378FD" w14:textId="7EC3B909" w:rsidR="00D82062" w:rsidRPr="00945782" w:rsidRDefault="00D82062" w:rsidP="00BD461E">
      <w:pPr>
        <w:rPr>
          <w:lang w:val="ru-RU"/>
        </w:rPr>
      </w:pPr>
      <w:r w:rsidRPr="00945782">
        <w:rPr>
          <w:lang w:val="ru-RU"/>
        </w:rPr>
        <w:t xml:space="preserve">МСЭ продолжал работу по стандартизации через соответствующие исследовательские комиссии, оперативные группы и ряд инициатив по предварительной стандартизации. К ним относятся исследовательские комиссии Сектора стандартизации, а также некоторые комиссии Сектора радиосвязи, оперативные группы по </w:t>
      </w:r>
      <w:hyperlink r:id="rId180" w:history="1">
        <w:r w:rsidRPr="00945782">
          <w:rPr>
            <w:rStyle w:val="Hyperlink"/>
            <w:rFonts w:asciiTheme="minorHAnsi" w:hAnsiTheme="minorHAnsi" w:cstheme="minorHAnsi"/>
            <w:szCs w:val="22"/>
            <w:lang w:val="ru-RU"/>
          </w:rPr>
          <w:t>сетям с нативным ИИ</w:t>
        </w:r>
      </w:hyperlink>
      <w:r w:rsidRPr="00945782">
        <w:rPr>
          <w:lang w:val="ru-RU"/>
        </w:rPr>
        <w:t xml:space="preserve">, </w:t>
      </w:r>
      <w:hyperlink r:id="rId181" w:history="1">
        <w:r w:rsidRPr="00945782">
          <w:rPr>
            <w:rStyle w:val="Hyperlink"/>
            <w:rFonts w:asciiTheme="minorHAnsi" w:hAnsiTheme="minorHAnsi" w:cstheme="minorHAnsi"/>
            <w:szCs w:val="22"/>
            <w:lang w:val="ru-RU"/>
          </w:rPr>
          <w:t>ИИ для сельского хозяйства</w:t>
        </w:r>
      </w:hyperlink>
      <w:r w:rsidRPr="00945782">
        <w:rPr>
          <w:lang w:val="ru-RU"/>
        </w:rPr>
        <w:t xml:space="preserve">, </w:t>
      </w:r>
      <w:hyperlink r:id="rId182" w:history="1">
        <w:r w:rsidRPr="00945782">
          <w:rPr>
            <w:rStyle w:val="Hyperlink"/>
            <w:rFonts w:asciiTheme="minorHAnsi" w:hAnsiTheme="minorHAnsi" w:cstheme="minorHAnsi"/>
            <w:szCs w:val="22"/>
            <w:lang w:val="ru-RU"/>
          </w:rPr>
          <w:t>ИИ в управлении операциями в случае стихийных бедствий</w:t>
        </w:r>
      </w:hyperlink>
      <w:r w:rsidRPr="00945782">
        <w:rPr>
          <w:lang w:val="ru-RU"/>
        </w:rPr>
        <w:t xml:space="preserve"> и </w:t>
      </w:r>
      <w:hyperlink r:id="rId183" w:history="1">
        <w:r w:rsidRPr="00945782">
          <w:rPr>
            <w:rStyle w:val="Hyperlink"/>
            <w:rFonts w:asciiTheme="minorHAnsi" w:hAnsiTheme="minorHAnsi" w:cstheme="minorHAnsi"/>
            <w:szCs w:val="22"/>
            <w:lang w:val="ru-RU"/>
          </w:rPr>
          <w:t>ИИ для здравоохранения</w:t>
        </w:r>
      </w:hyperlink>
      <w:r w:rsidRPr="00945782">
        <w:rPr>
          <w:lang w:val="ru-RU"/>
        </w:rPr>
        <w:t xml:space="preserve">, а также глобальные инициативы по </w:t>
      </w:r>
      <w:hyperlink r:id="rId184" w:history="1">
        <w:r w:rsidRPr="00945782">
          <w:rPr>
            <w:rStyle w:val="Hyperlink"/>
            <w:rFonts w:asciiTheme="minorHAnsi" w:hAnsiTheme="minorHAnsi" w:cstheme="minorHAnsi"/>
            <w:szCs w:val="22"/>
            <w:lang w:val="ru-RU"/>
          </w:rPr>
          <w:t>обеспечению устойчивости к стихийным бедствиям с помощью решений на основе ИИ</w:t>
        </w:r>
      </w:hyperlink>
      <w:r w:rsidRPr="00945782">
        <w:rPr>
          <w:lang w:val="ru-RU"/>
        </w:rPr>
        <w:t xml:space="preserve">, </w:t>
      </w:r>
      <w:hyperlink r:id="rId185" w:history="1">
        <w:r w:rsidRPr="00945782">
          <w:rPr>
            <w:rStyle w:val="Hyperlink"/>
            <w:rFonts w:asciiTheme="minorHAnsi" w:hAnsiTheme="minorHAnsi" w:cstheme="minorHAnsi"/>
            <w:szCs w:val="22"/>
            <w:lang w:val="ru-RU"/>
          </w:rPr>
          <w:t>ИИ для продовольственных систем</w:t>
        </w:r>
      </w:hyperlink>
      <w:r w:rsidRPr="00945782">
        <w:rPr>
          <w:lang w:val="ru-RU"/>
        </w:rPr>
        <w:t xml:space="preserve">, </w:t>
      </w:r>
      <w:hyperlink r:id="rId186" w:history="1">
        <w:r w:rsidRPr="00945782">
          <w:rPr>
            <w:rStyle w:val="Hyperlink"/>
            <w:rFonts w:asciiTheme="minorHAnsi" w:hAnsiTheme="minorHAnsi" w:cstheme="minorHAnsi"/>
            <w:szCs w:val="22"/>
            <w:lang w:val="ru-RU"/>
          </w:rPr>
          <w:t>ИИ для здравоохранения</w:t>
        </w:r>
      </w:hyperlink>
      <w:r w:rsidRPr="00945782">
        <w:rPr>
          <w:lang w:val="ru-RU"/>
        </w:rPr>
        <w:t xml:space="preserve">, </w:t>
      </w:r>
      <w:hyperlink r:id="rId187" w:history="1">
        <w:r w:rsidRPr="00945782">
          <w:rPr>
            <w:rStyle w:val="Hyperlink"/>
            <w:rFonts w:asciiTheme="minorHAnsi" w:hAnsiTheme="minorHAnsi" w:cstheme="minorHAnsi"/>
            <w:szCs w:val="22"/>
            <w:lang w:val="ru-RU"/>
          </w:rPr>
          <w:t>по общим ресурсам ИИ и данных</w:t>
        </w:r>
      </w:hyperlink>
      <w:r w:rsidRPr="00945782">
        <w:rPr>
          <w:lang w:val="ru-RU"/>
        </w:rPr>
        <w:t xml:space="preserve">, </w:t>
      </w:r>
      <w:hyperlink r:id="rId188" w:history="1">
        <w:r w:rsidRPr="00945782">
          <w:rPr>
            <w:rStyle w:val="Hyperlink"/>
            <w:rFonts w:asciiTheme="minorHAnsi" w:hAnsiTheme="minorHAnsi" w:cstheme="minorHAnsi"/>
            <w:szCs w:val="22"/>
            <w:lang w:val="ru-RU"/>
          </w:rPr>
          <w:t>виртуальным мирам и ИИ</w:t>
        </w:r>
      </w:hyperlink>
      <w:r w:rsidRPr="00945782">
        <w:rPr>
          <w:lang w:val="ru-RU"/>
        </w:rPr>
        <w:t xml:space="preserve">. Помимо этой работы, МСЭ сотрудничал с другими организациями, разрабатывающими стандарты, в рамках </w:t>
      </w:r>
      <w:hyperlink r:id="rId189" w:history="1">
        <w:r w:rsidRPr="00945782">
          <w:rPr>
            <w:rStyle w:val="Hyperlink"/>
            <w:rFonts w:asciiTheme="minorHAnsi" w:hAnsiTheme="minorHAnsi" w:cstheme="minorHAnsi"/>
            <w:szCs w:val="22"/>
            <w:lang w:val="ru-RU"/>
          </w:rPr>
          <w:t>Всемирного сотрудничества по стандартам</w:t>
        </w:r>
      </w:hyperlink>
      <w:r w:rsidRPr="00945782">
        <w:rPr>
          <w:lang w:val="ru-RU"/>
        </w:rPr>
        <w:t xml:space="preserve"> (см. раздел </w:t>
      </w:r>
      <w:hyperlink w:anchor="_4.3.1 Рекомендации_МСЭ-Т_и" w:history="1">
        <w:r w:rsidRPr="00945782">
          <w:rPr>
            <w:rStyle w:val="Hyperlink"/>
            <w:rFonts w:asciiTheme="minorHAnsi" w:hAnsiTheme="minorHAnsi" w:cstheme="minorHAnsi"/>
            <w:szCs w:val="22"/>
            <w:lang w:val="ru-RU"/>
          </w:rPr>
          <w:t>4.3.1</w:t>
        </w:r>
      </w:hyperlink>
      <w:r w:rsidRPr="00945782">
        <w:rPr>
          <w:lang w:val="ru-RU"/>
        </w:rPr>
        <w:t xml:space="preserve">) в целях популяризации международных стандартов, основанных на консенсусе. Ежегодные Международные саммиты по стандартам ИИ стали ответом на запрос глобального сообщества на комплексные и эффективные стандарты в этой области. Роль МСЭ в стандартизации ИИ была официально усилена принятием </w:t>
      </w:r>
      <w:hyperlink r:id="rId190" w:history="1">
        <w:r w:rsidRPr="00945782">
          <w:rPr>
            <w:rStyle w:val="Hyperlink"/>
            <w:rFonts w:asciiTheme="minorHAnsi" w:hAnsiTheme="minorHAnsi" w:cstheme="minorHAnsi"/>
            <w:szCs w:val="22"/>
            <w:lang w:val="ru-RU"/>
          </w:rPr>
          <w:t>Резолюции 101 Всемирной ассамблеи по стандартизации электросвязи (Нью-Дели, 2024 г.)</w:t>
        </w:r>
      </w:hyperlink>
      <w:r w:rsidRPr="00945782">
        <w:rPr>
          <w:lang w:val="ru-RU"/>
        </w:rPr>
        <w:t>, в которой подчеркивается признанный мандат МСЭ на разработку надежных международных стандартов в области ИИ.</w:t>
      </w:r>
    </w:p>
    <w:p w14:paraId="3C153F80" w14:textId="0CB223F3" w:rsidR="00D82062" w:rsidRPr="00945782" w:rsidRDefault="00D82062" w:rsidP="00BD461E">
      <w:pPr>
        <w:rPr>
          <w:lang w:val="ru-RU"/>
        </w:rPr>
      </w:pPr>
      <w:r w:rsidRPr="00945782">
        <w:rPr>
          <w:lang w:val="ru-RU"/>
        </w:rPr>
        <w:t xml:space="preserve">МСЭ ведет работу по оказанию странам по всему миру поддержки в получении знаний и инструментов, необходимых для использования возможностей ИИ, в целях обеспечения глобальной доступности и справедливого распределения его преимуществ. Инициатива "Эффект ИИ во благо" включает в себя такие флагманские программы, как </w:t>
      </w:r>
      <w:hyperlink r:id="rId191" w:history="1">
        <w:r w:rsidRPr="00945782">
          <w:rPr>
            <w:rStyle w:val="Hyperlink"/>
            <w:rFonts w:asciiTheme="minorHAnsi" w:hAnsiTheme="minorHAnsi" w:cstheme="minorHAnsi"/>
            <w:szCs w:val="22"/>
            <w:lang w:val="ru-RU"/>
          </w:rPr>
          <w:t>Коалиция по навыкам в области ИИ</w:t>
        </w:r>
      </w:hyperlink>
      <w:r w:rsidRPr="00945782">
        <w:rPr>
          <w:lang w:val="ru-RU"/>
        </w:rPr>
        <w:t xml:space="preserve">, </w:t>
      </w:r>
      <w:hyperlink r:id="rId192" w:history="1">
        <w:r w:rsidRPr="00945782">
          <w:rPr>
            <w:rStyle w:val="Hyperlink"/>
            <w:rFonts w:asciiTheme="minorHAnsi" w:hAnsiTheme="minorHAnsi" w:cstheme="minorHAnsi"/>
            <w:szCs w:val="22"/>
            <w:lang w:val="ru-RU"/>
          </w:rPr>
          <w:t>Сообщество молодых лидеров в области ИИ</w:t>
        </w:r>
      </w:hyperlink>
      <w:r w:rsidRPr="00945782">
        <w:rPr>
          <w:lang w:val="ru-RU"/>
        </w:rPr>
        <w:t>, "</w:t>
      </w:r>
      <w:hyperlink r:id="rId193" w:history="1">
        <w:r w:rsidRPr="00945782">
          <w:rPr>
            <w:rStyle w:val="Hyperlink"/>
            <w:rFonts w:asciiTheme="minorHAnsi" w:hAnsiTheme="minorHAnsi" w:cstheme="minorHAnsi"/>
            <w:szCs w:val="22"/>
            <w:lang w:val="ru-RU"/>
          </w:rPr>
          <w:t>Глобальные вызовы в области ИИ</w:t>
        </w:r>
      </w:hyperlink>
      <w:r w:rsidRPr="00945782">
        <w:rPr>
          <w:lang w:val="ru-RU"/>
        </w:rPr>
        <w:t xml:space="preserve">", а также программа </w:t>
      </w:r>
      <w:hyperlink r:id="rId194" w:history="1">
        <w:r w:rsidRPr="00945782">
          <w:rPr>
            <w:rStyle w:val="Hyperlink"/>
            <w:rFonts w:asciiTheme="minorHAnsi" w:hAnsiTheme="minorHAnsi" w:cstheme="minorHAnsi"/>
            <w:szCs w:val="22"/>
            <w:lang w:val="ru-RU"/>
          </w:rPr>
          <w:t>"Фабрика инноваций и Программа ускорения стартапов"</w:t>
        </w:r>
      </w:hyperlink>
      <w:r w:rsidRPr="00945782">
        <w:rPr>
          <w:lang w:val="ru-RU"/>
        </w:rPr>
        <w:t>. В</w:t>
      </w:r>
      <w:r w:rsidR="00BD461E" w:rsidRPr="00945782">
        <w:rPr>
          <w:lang w:val="ru-RU"/>
        </w:rPr>
        <w:t> </w:t>
      </w:r>
      <w:r w:rsidRPr="00945782">
        <w:rPr>
          <w:lang w:val="ru-RU"/>
        </w:rPr>
        <w:t xml:space="preserve">рамках этой инициативы была также начата серия региональных мероприятий "Воздействие", включая "Эффект ИИ во благо" для Индии и </w:t>
      </w:r>
      <w:hyperlink r:id="rId195" w:history="1">
        <w:r w:rsidRPr="00945782">
          <w:rPr>
            <w:rStyle w:val="Hyperlink"/>
            <w:rFonts w:asciiTheme="minorHAnsi" w:hAnsiTheme="minorHAnsi" w:cstheme="minorHAnsi"/>
            <w:szCs w:val="22"/>
            <w:lang w:val="ru-RU"/>
          </w:rPr>
          <w:t>"Эффект ИИ во благо" для Африки</w:t>
        </w:r>
      </w:hyperlink>
      <w:r w:rsidRPr="00945782">
        <w:rPr>
          <w:lang w:val="ru-RU"/>
        </w:rPr>
        <w:t xml:space="preserve">. Эти программы, наряду с </w:t>
      </w:r>
      <w:hyperlink r:id="rId196" w:history="1">
        <w:r w:rsidRPr="00945782">
          <w:rPr>
            <w:rStyle w:val="Hyperlink"/>
            <w:rFonts w:asciiTheme="minorHAnsi" w:hAnsiTheme="minorHAnsi" w:cstheme="minorHAnsi"/>
            <w:szCs w:val="22"/>
            <w:lang w:val="ru-RU"/>
          </w:rPr>
          <w:t>Обследованием ситуации в области ИИ</w:t>
        </w:r>
      </w:hyperlink>
      <w:r w:rsidRPr="00945782">
        <w:rPr>
          <w:lang w:val="ru-RU"/>
        </w:rPr>
        <w:t xml:space="preserve">, </w:t>
      </w:r>
      <w:hyperlink r:id="rId197" w:history="1">
        <w:r w:rsidRPr="00945782">
          <w:rPr>
            <w:rStyle w:val="Hyperlink"/>
            <w:rFonts w:asciiTheme="minorHAnsi" w:hAnsiTheme="minorHAnsi" w:cstheme="minorHAnsi"/>
            <w:szCs w:val="22"/>
            <w:lang w:val="ru-RU"/>
          </w:rPr>
          <w:t>подгруппой по ИИ в рамках инициативы "Раннее предупреждение для всех"</w:t>
        </w:r>
      </w:hyperlink>
      <w:r w:rsidRPr="00945782">
        <w:rPr>
          <w:lang w:val="ru-RU"/>
        </w:rPr>
        <w:t xml:space="preserve">, курсами по ИИ </w:t>
      </w:r>
      <w:hyperlink r:id="rId198" w:history="1">
        <w:r w:rsidRPr="00945782">
          <w:rPr>
            <w:rStyle w:val="Hyperlink"/>
            <w:rFonts w:asciiTheme="minorHAnsi" w:hAnsiTheme="minorHAnsi" w:cstheme="minorHAnsi"/>
            <w:szCs w:val="22"/>
            <w:lang w:val="ru-RU"/>
          </w:rPr>
          <w:t>Академии МСЭ</w:t>
        </w:r>
      </w:hyperlink>
      <w:r w:rsidRPr="00945782">
        <w:rPr>
          <w:lang w:val="ru-RU"/>
        </w:rPr>
        <w:t xml:space="preserve"> и проектами, такими как </w:t>
      </w:r>
      <w:hyperlink r:id="rId199" w:history="1">
        <w:r w:rsidRPr="00945782">
          <w:rPr>
            <w:rStyle w:val="Hyperlink"/>
            <w:rFonts w:asciiTheme="minorHAnsi" w:hAnsiTheme="minorHAnsi" w:cstheme="minorHAnsi"/>
            <w:szCs w:val="22"/>
            <w:lang w:val="ru-RU"/>
          </w:rPr>
          <w:t>"Создание потенциала в области технологий и стандартов ИИ в Азиатско-Тихоокеанском регионе"</w:t>
        </w:r>
      </w:hyperlink>
      <w:r w:rsidRPr="00945782">
        <w:rPr>
          <w:lang w:val="ru-RU"/>
        </w:rPr>
        <w:t xml:space="preserve">, подчеркивают приверженность МСЭ преодолению разрыва в области ИИ, развитию международных партнерств и поддержке достижения Целей в области устойчивого развития посредством развития потенциала в области ИИ. Принятие </w:t>
      </w:r>
      <w:hyperlink r:id="rId200" w:history="1">
        <w:r w:rsidRPr="00945782">
          <w:rPr>
            <w:rStyle w:val="Hyperlink"/>
            <w:rFonts w:asciiTheme="minorHAnsi" w:hAnsiTheme="minorHAnsi" w:cstheme="minorHAnsi"/>
            <w:szCs w:val="22"/>
            <w:lang w:val="ru-RU"/>
          </w:rPr>
          <w:t>Резолюции 91 Всемирной конференции по развитию электросвязи (Баку, 2025 г.)</w:t>
        </w:r>
      </w:hyperlink>
      <w:r w:rsidRPr="00945782">
        <w:rPr>
          <w:lang w:val="ru-RU"/>
        </w:rPr>
        <w:t xml:space="preserve"> дополнительно укрепляет приверженность МСЭ поддержке технологий ИИ в развитии электросвязи.</w:t>
      </w:r>
    </w:p>
    <w:p w14:paraId="1631F72E" w14:textId="200B9B6D" w:rsidR="00D82062" w:rsidRPr="00945782" w:rsidRDefault="00D82062" w:rsidP="00BD461E">
      <w:pPr>
        <w:rPr>
          <w:lang w:val="ru-RU"/>
        </w:rPr>
      </w:pPr>
      <w:r w:rsidRPr="00945782">
        <w:rPr>
          <w:lang w:val="ru-RU"/>
        </w:rPr>
        <w:t xml:space="preserve">Согласованность политики и программная координация в области ИИ в рамках системы ООН продолжали обеспечиваться через </w:t>
      </w:r>
      <w:hyperlink r:id="rId201" w:history="1">
        <w:r w:rsidRPr="00945782">
          <w:rPr>
            <w:rStyle w:val="Hyperlink"/>
            <w:rFonts w:asciiTheme="minorHAnsi" w:hAnsiTheme="minorHAnsi" w:cstheme="minorHAnsi"/>
            <w:szCs w:val="22"/>
            <w:lang w:val="ru-RU"/>
          </w:rPr>
          <w:t>Межучрежденческую рабочую группу по ИИ</w:t>
        </w:r>
      </w:hyperlink>
      <w:r w:rsidRPr="00945782">
        <w:rPr>
          <w:lang w:val="ru-RU"/>
        </w:rPr>
        <w:t xml:space="preserve"> (IAWG-AI), сопредседателями которой являются МСЭ и ЮНЕСКО. Группа разработала ключевые инициативы, такие как </w:t>
      </w:r>
      <w:hyperlink r:id="rId202" w:history="1">
        <w:r w:rsidRPr="00945782">
          <w:rPr>
            <w:rStyle w:val="Hyperlink"/>
            <w:rFonts w:asciiTheme="minorHAnsi" w:hAnsiTheme="minorHAnsi" w:cstheme="minorHAnsi"/>
            <w:szCs w:val="22"/>
            <w:lang w:val="ru-RU"/>
          </w:rPr>
          <w:t>Общесистемные этические принципы ООН для ИИ</w:t>
        </w:r>
      </w:hyperlink>
      <w:r w:rsidRPr="00945782">
        <w:rPr>
          <w:lang w:val="ru-RU"/>
        </w:rPr>
        <w:t xml:space="preserve"> и </w:t>
      </w:r>
      <w:hyperlink r:id="rId203" w:history="1">
        <w:r w:rsidRPr="00945782">
          <w:rPr>
            <w:rStyle w:val="Hyperlink"/>
            <w:rFonts w:asciiTheme="minorHAnsi" w:hAnsiTheme="minorHAnsi" w:cstheme="minorHAnsi"/>
            <w:szCs w:val="22"/>
            <w:lang w:val="ru-RU"/>
          </w:rPr>
          <w:t>аналитический доклад системы ООН по управлению ИИ</w:t>
        </w:r>
      </w:hyperlink>
      <w:r w:rsidRPr="00945782">
        <w:rPr>
          <w:lang w:val="ru-RU"/>
        </w:rPr>
        <w:t xml:space="preserve">, обе из которых были одобрены Координационным советом руководителей системы ООН. Группа также создала </w:t>
      </w:r>
      <w:hyperlink r:id="rId204" w:history="1">
        <w:r w:rsidRPr="00945782">
          <w:rPr>
            <w:rStyle w:val="Hyperlink"/>
            <w:rFonts w:asciiTheme="minorHAnsi" w:hAnsiTheme="minorHAnsi" w:cstheme="minorHAnsi"/>
            <w:szCs w:val="22"/>
            <w:lang w:val="ru-RU"/>
          </w:rPr>
          <w:t>Центр информационных ресурсов ООН по ИИ</w:t>
        </w:r>
      </w:hyperlink>
      <w:r w:rsidRPr="00945782">
        <w:rPr>
          <w:lang w:val="ru-RU"/>
        </w:rPr>
        <w:t xml:space="preserve"> − динамичную общедоступную платформу с функцией поиска, содержащую более 700</w:t>
      </w:r>
      <w:r w:rsidR="00CC07F7" w:rsidRPr="00945782">
        <w:rPr>
          <w:lang w:val="ru-RU"/>
        </w:rPr>
        <w:t> </w:t>
      </w:r>
      <w:r w:rsidRPr="00945782">
        <w:rPr>
          <w:lang w:val="ru-RU"/>
        </w:rPr>
        <w:t xml:space="preserve">задокументированных инициатив в области ИИ и основанную на подготовленном МСЭ отчете о </w:t>
      </w:r>
      <w:hyperlink r:id="rId205" w:history="1">
        <w:r w:rsidRPr="00945782">
          <w:rPr>
            <w:rStyle w:val="Hyperlink"/>
            <w:rFonts w:asciiTheme="minorHAnsi" w:hAnsiTheme="minorHAnsi" w:cstheme="minorHAnsi"/>
            <w:szCs w:val="22"/>
            <w:lang w:val="ru-RU"/>
          </w:rPr>
          <w:t>деятельности ООН в области ИИ</w:t>
        </w:r>
      </w:hyperlink>
      <w:r w:rsidRPr="00945782">
        <w:rPr>
          <w:lang w:val="ru-RU"/>
        </w:rPr>
        <w:t xml:space="preserve">. На шестом году своей работы IAWG-AI превратилась в устойчивый институциональный механизм координации. Работа этой группы была отмечена в ряде резолюций, включая резолюции Генеральной Ассамблеи ООН </w:t>
      </w:r>
      <w:hyperlink r:id="rId206" w:history="1">
        <w:r w:rsidRPr="00945782">
          <w:rPr>
            <w:rStyle w:val="Hyperlink"/>
            <w:rFonts w:asciiTheme="minorHAnsi" w:hAnsiTheme="minorHAnsi" w:cstheme="minorHAnsi"/>
            <w:szCs w:val="22"/>
            <w:lang w:val="ru-RU"/>
          </w:rPr>
          <w:t>A/RES/79/325</w:t>
        </w:r>
      </w:hyperlink>
      <w:r w:rsidRPr="00945782">
        <w:rPr>
          <w:lang w:val="ru-RU"/>
        </w:rPr>
        <w:t xml:space="preserve"> и </w:t>
      </w:r>
      <w:hyperlink r:id="rId207" w:history="1">
        <w:r w:rsidRPr="00945782">
          <w:rPr>
            <w:rStyle w:val="Hyperlink"/>
            <w:rFonts w:asciiTheme="minorHAnsi" w:hAnsiTheme="minorHAnsi" w:cstheme="minorHAnsi"/>
            <w:szCs w:val="22"/>
            <w:lang w:val="ru-RU"/>
          </w:rPr>
          <w:t>A/RES/80/173</w:t>
        </w:r>
      </w:hyperlink>
      <w:r w:rsidRPr="00945782">
        <w:rPr>
          <w:lang w:val="ru-RU"/>
        </w:rPr>
        <w:t>. МСЭ является также сопредседателем подгруппы по ИИ Рабочей группы по цифровым технологиям, в рамках которой поддерживает реализацию Глобального цифрового договора.</w:t>
      </w:r>
    </w:p>
    <w:p w14:paraId="15E465D9" w14:textId="77777777" w:rsidR="00D82062" w:rsidRPr="00945782" w:rsidRDefault="00D82062" w:rsidP="00BD461E">
      <w:pPr>
        <w:rPr>
          <w:rFonts w:asciiTheme="minorHAnsi" w:hAnsiTheme="minorHAnsi" w:cstheme="minorHAnsi"/>
          <w:szCs w:val="22"/>
          <w:lang w:val="ru-RU"/>
        </w:rPr>
      </w:pPr>
      <w:r w:rsidRPr="00945782">
        <w:rPr>
          <w:rFonts w:asciiTheme="minorHAnsi" w:hAnsiTheme="minorHAnsi" w:cstheme="minorHAnsi"/>
          <w:szCs w:val="22"/>
          <w:lang w:val="ru-RU"/>
        </w:rPr>
        <w:t xml:space="preserve">Что касается многосторонних платформ, инициатива </w:t>
      </w:r>
      <w:hyperlink r:id="rId208" w:history="1">
        <w:r w:rsidRPr="00945782">
          <w:rPr>
            <w:rStyle w:val="Hyperlink"/>
            <w:rFonts w:asciiTheme="minorHAnsi" w:hAnsiTheme="minorHAnsi" w:cstheme="minorHAnsi"/>
            <w:szCs w:val="22"/>
            <w:lang w:val="ru-RU"/>
          </w:rPr>
          <w:t>"ИИ во благо"</w:t>
        </w:r>
      </w:hyperlink>
      <w:r w:rsidRPr="00945782">
        <w:rPr>
          <w:rFonts w:asciiTheme="minorHAnsi" w:hAnsiTheme="minorHAnsi" w:cstheme="minorHAnsi"/>
          <w:szCs w:val="22"/>
          <w:lang w:val="ru-RU"/>
        </w:rPr>
        <w:t xml:space="preserve"> продолжает выполнять роль основной ориентированной на практические результаты платформы системы ООН, направленной на продвижение решений на базе ИИ в здравоохранении, образовании, инфраструктуре и других приоритетных областях развития; МСЭ проводит эти мероприятия совместно с более чем 50 партнерами из системы ООН и Правительством Швейцарии. Глобальный диалог по вопросам управления ИИ получил дополнительное развитие в рамках </w:t>
      </w:r>
      <w:hyperlink r:id="rId209" w:history="1">
        <w:r w:rsidRPr="00945782">
          <w:rPr>
            <w:rStyle w:val="Hyperlink"/>
            <w:rFonts w:asciiTheme="minorHAnsi" w:hAnsiTheme="minorHAnsi" w:cstheme="minorHAnsi"/>
            <w:szCs w:val="22"/>
            <w:lang w:val="ru-RU"/>
          </w:rPr>
          <w:t>Дня управления ИИ</w:t>
        </w:r>
      </w:hyperlink>
      <w:r w:rsidRPr="00945782">
        <w:rPr>
          <w:rFonts w:asciiTheme="minorHAnsi" w:hAnsiTheme="minorHAnsi" w:cstheme="minorHAnsi"/>
          <w:szCs w:val="22"/>
          <w:lang w:val="ru-RU"/>
        </w:rPr>
        <w:t xml:space="preserve"> на </w:t>
      </w:r>
      <w:hyperlink r:id="rId210" w:history="1">
        <w:r w:rsidRPr="00945782">
          <w:rPr>
            <w:rStyle w:val="Hyperlink"/>
            <w:rFonts w:asciiTheme="minorHAnsi" w:hAnsiTheme="minorHAnsi" w:cstheme="minorHAnsi"/>
            <w:szCs w:val="22"/>
            <w:lang w:val="ru-RU"/>
          </w:rPr>
          <w:t>Глобальном саммите "ИИ во благо"</w:t>
        </w:r>
      </w:hyperlink>
      <w:r w:rsidRPr="00945782">
        <w:rPr>
          <w:rFonts w:asciiTheme="minorHAnsi" w:hAnsiTheme="minorHAnsi" w:cstheme="minorHAnsi"/>
          <w:szCs w:val="22"/>
          <w:lang w:val="ru-RU"/>
        </w:rPr>
        <w:t xml:space="preserve">. Ежегодный </w:t>
      </w:r>
      <w:hyperlink r:id="rId211" w:history="1">
        <w:r w:rsidRPr="00945782">
          <w:rPr>
            <w:rStyle w:val="Hyperlink"/>
            <w:rFonts w:asciiTheme="minorHAnsi" w:hAnsiTheme="minorHAnsi" w:cstheme="minorHAnsi"/>
            <w:szCs w:val="22"/>
            <w:lang w:val="ru-RU"/>
          </w:rPr>
          <w:t>Форум ВВУИО</w:t>
        </w:r>
      </w:hyperlink>
      <w:r w:rsidRPr="00945782">
        <w:rPr>
          <w:rFonts w:asciiTheme="minorHAnsi" w:hAnsiTheme="minorHAnsi" w:cstheme="minorHAnsi"/>
          <w:szCs w:val="22"/>
          <w:lang w:val="ru-RU"/>
        </w:rPr>
        <w:t xml:space="preserve"> служит многосторонней платформой для более широкого сообщества в области ИКТ для развития, где обсуждаются вызовы и возможности, связанные с новыми технологиями, такими как ИИ, в контексте развития.</w:t>
      </w:r>
    </w:p>
    <w:p w14:paraId="7623E9E7" w14:textId="77777777" w:rsidR="00D82062" w:rsidRPr="00945782" w:rsidRDefault="00D82062" w:rsidP="00BD461E">
      <w:pPr>
        <w:rPr>
          <w:rFonts w:asciiTheme="minorHAnsi" w:hAnsiTheme="minorHAnsi" w:cstheme="minorHAnsi"/>
          <w:szCs w:val="22"/>
          <w:lang w:val="ru-RU"/>
        </w:rPr>
      </w:pPr>
      <w:r w:rsidRPr="00945782">
        <w:rPr>
          <w:rFonts w:asciiTheme="minorHAnsi" w:hAnsiTheme="minorHAnsi" w:cstheme="minorHAnsi"/>
          <w:szCs w:val="22"/>
          <w:lang w:val="ru-RU"/>
        </w:rPr>
        <w:t xml:space="preserve">Информацию о деятельности МСЭ в области ИИ и окружающей среды см. в разделе </w:t>
      </w:r>
      <w:hyperlink w:anchor="_4.4.2 Появляющиеся_технологии:_форм" w:history="1">
        <w:r w:rsidRPr="00945782">
          <w:rPr>
            <w:rStyle w:val="Hyperlink"/>
            <w:rFonts w:asciiTheme="minorHAnsi" w:hAnsiTheme="minorHAnsi" w:cstheme="minorHAnsi"/>
            <w:szCs w:val="22"/>
            <w:lang w:val="ru-RU"/>
          </w:rPr>
          <w:t>4.2.2</w:t>
        </w:r>
      </w:hyperlink>
      <w:r w:rsidRPr="00945782">
        <w:rPr>
          <w:rFonts w:asciiTheme="minorHAnsi" w:hAnsiTheme="minorHAnsi" w:cstheme="minorHAnsi"/>
          <w:szCs w:val="22"/>
          <w:lang w:val="ru-RU"/>
        </w:rPr>
        <w:t xml:space="preserve"> выше.</w:t>
      </w:r>
    </w:p>
    <w:p w14:paraId="5AD14C56" w14:textId="77777777" w:rsidR="00D82062" w:rsidRPr="00945782" w:rsidRDefault="00D82062" w:rsidP="00BD461E">
      <w:pPr>
        <w:pStyle w:val="Headingb"/>
        <w:rPr>
          <w:lang w:val="ru-RU"/>
        </w:rPr>
      </w:pPr>
      <w:r w:rsidRPr="00945782">
        <w:rPr>
          <w:lang w:val="ru-RU"/>
        </w:rPr>
        <w:t>Квантовые информационные технологии</w:t>
      </w:r>
    </w:p>
    <w:p w14:paraId="2A6A5E2E" w14:textId="0AFC549D" w:rsidR="00D82062" w:rsidRPr="00945782" w:rsidRDefault="00D82062" w:rsidP="00BD461E">
      <w:pPr>
        <w:rPr>
          <w:lang w:val="ru-RU"/>
        </w:rPr>
      </w:pPr>
      <w:r w:rsidRPr="00945782">
        <w:rPr>
          <w:lang w:val="ru-RU"/>
        </w:rPr>
        <w:t xml:space="preserve">Квантовые информационные технологии остаются одним из ключевых направлений развития в деятельности МСЭ, что отражает их возрастающее влияние на будущие сети связи. </w:t>
      </w:r>
      <w:hyperlink r:id="rId212" w:history="1">
        <w:r w:rsidRPr="00945782">
          <w:rPr>
            <w:rStyle w:val="Hyperlink"/>
            <w:rFonts w:asciiTheme="minorHAnsi" w:hAnsiTheme="minorHAnsi" w:cstheme="minorHAnsi"/>
            <w:szCs w:val="22"/>
            <w:lang w:val="ru-RU"/>
          </w:rPr>
          <w:t>11</w:t>
        </w:r>
        <w:r w:rsidR="00BD461E" w:rsidRPr="00945782">
          <w:rPr>
            <w:rStyle w:val="Hyperlink"/>
            <w:rFonts w:ascii="Cambria Math" w:hAnsi="Cambria Math" w:cstheme="minorHAnsi"/>
            <w:szCs w:val="22"/>
            <w:lang w:val="ru-RU"/>
          </w:rPr>
          <w:t>‑</w:t>
        </w:r>
        <w:r w:rsidRPr="00945782">
          <w:rPr>
            <w:rStyle w:val="Hyperlink"/>
            <w:rFonts w:asciiTheme="minorHAnsi" w:hAnsiTheme="minorHAnsi" w:cstheme="minorHAnsi"/>
            <w:szCs w:val="22"/>
            <w:lang w:val="ru-RU"/>
          </w:rPr>
          <w:t>я Исследовательская комиссия</w:t>
        </w:r>
      </w:hyperlink>
      <w:r w:rsidRPr="00945782">
        <w:rPr>
          <w:lang w:val="ru-RU"/>
        </w:rPr>
        <w:t xml:space="preserve">, </w:t>
      </w:r>
      <w:hyperlink r:id="rId213" w:history="1">
        <w:r w:rsidRPr="00945782">
          <w:rPr>
            <w:rStyle w:val="Hyperlink"/>
            <w:rFonts w:asciiTheme="minorHAnsi" w:hAnsiTheme="minorHAnsi" w:cstheme="minorHAnsi"/>
            <w:szCs w:val="22"/>
            <w:lang w:val="ru-RU"/>
          </w:rPr>
          <w:t>13-я Исследовательская комиссия</w:t>
        </w:r>
      </w:hyperlink>
      <w:r w:rsidRPr="00945782">
        <w:rPr>
          <w:lang w:val="ru-RU"/>
        </w:rPr>
        <w:t xml:space="preserve"> и </w:t>
      </w:r>
      <w:hyperlink r:id="rId214" w:history="1">
        <w:r w:rsidRPr="00945782">
          <w:rPr>
            <w:rStyle w:val="Hyperlink"/>
            <w:rFonts w:asciiTheme="minorHAnsi" w:hAnsiTheme="minorHAnsi" w:cstheme="minorHAnsi"/>
            <w:szCs w:val="22"/>
            <w:lang w:val="ru-RU"/>
          </w:rPr>
          <w:t>17-я Исследовательская комиссия</w:t>
        </w:r>
      </w:hyperlink>
      <w:r w:rsidRPr="00945782">
        <w:rPr>
          <w:lang w:val="ru-RU"/>
        </w:rPr>
        <w:t xml:space="preserve"> МСЭ-Т продолжили разработку Рекомендаций, связанных с квантовыми технологиями: с 2022 года было принято более 30 новых стандартов, включая </w:t>
      </w:r>
      <w:hyperlink r:id="rId215" w:history="1">
        <w:r w:rsidRPr="00945782">
          <w:rPr>
            <w:rStyle w:val="Hyperlink"/>
            <w:rFonts w:asciiTheme="minorHAnsi" w:hAnsiTheme="minorHAnsi" w:cstheme="minorHAnsi"/>
            <w:szCs w:val="22"/>
            <w:lang w:val="ru-RU"/>
          </w:rPr>
          <w:t>X.1715</w:t>
        </w:r>
      </w:hyperlink>
      <w:r w:rsidRPr="00945782">
        <w:rPr>
          <w:lang w:val="ru-RU"/>
        </w:rPr>
        <w:t xml:space="preserve"> и серию </w:t>
      </w:r>
      <w:hyperlink r:id="rId216" w:history="1">
        <w:r w:rsidRPr="00945782">
          <w:rPr>
            <w:rStyle w:val="Hyperlink"/>
            <w:rFonts w:asciiTheme="minorHAnsi" w:hAnsiTheme="minorHAnsi" w:cstheme="minorHAnsi"/>
            <w:szCs w:val="22"/>
            <w:lang w:val="ru-RU"/>
          </w:rPr>
          <w:t>Y.3809</w:t>
        </w:r>
      </w:hyperlink>
      <w:r w:rsidRPr="00945782">
        <w:rPr>
          <w:lang w:val="ru-RU"/>
        </w:rPr>
        <w:t>–</w:t>
      </w:r>
      <w:hyperlink r:id="rId217" w:history="1">
        <w:r w:rsidRPr="00945782">
          <w:rPr>
            <w:rStyle w:val="Hyperlink"/>
            <w:rFonts w:asciiTheme="minorHAnsi" w:hAnsiTheme="minorHAnsi" w:cstheme="minorHAnsi"/>
            <w:szCs w:val="22"/>
            <w:lang w:val="ru-RU"/>
          </w:rPr>
          <w:t>Y.3814</w:t>
        </w:r>
      </w:hyperlink>
      <w:r w:rsidRPr="00945782">
        <w:rPr>
          <w:lang w:val="ru-RU"/>
        </w:rPr>
        <w:t>. По итогам ВАСЭ-24 мандаты этих комиссий были обновлены и расширены: 11</w:t>
      </w:r>
      <w:r w:rsidR="00BD461E" w:rsidRPr="00945782">
        <w:rPr>
          <w:rFonts w:ascii="Cambria Math" w:hAnsi="Cambria Math"/>
          <w:lang w:val="ru-RU"/>
        </w:rPr>
        <w:t>‑</w:t>
      </w:r>
      <w:r w:rsidRPr="00945782">
        <w:rPr>
          <w:lang w:val="ru-RU"/>
        </w:rPr>
        <w:t>я Исследовательская комиссия продолжила исследования по сигнальным архитектурам и архитектурам управления для сетей распределения квантовых ключей (QKDN); 13</w:t>
      </w:r>
      <w:r w:rsidR="00BD461E" w:rsidRPr="00945782">
        <w:rPr>
          <w:rFonts w:ascii="Cambria Math" w:hAnsi="Cambria Math"/>
          <w:lang w:val="ru-RU"/>
        </w:rPr>
        <w:t>‑</w:t>
      </w:r>
      <w:r w:rsidRPr="00945782">
        <w:rPr>
          <w:lang w:val="ru-RU"/>
        </w:rPr>
        <w:t>я Исследовательская комиссия продолжила работу по технологиям квантовых сетей; 15</w:t>
      </w:r>
      <w:r w:rsidR="00BD461E" w:rsidRPr="00945782">
        <w:rPr>
          <w:rFonts w:ascii="Cambria Math" w:hAnsi="Cambria Math"/>
          <w:lang w:val="ru-RU"/>
        </w:rPr>
        <w:t>‑</w:t>
      </w:r>
      <w:r w:rsidRPr="00945782">
        <w:rPr>
          <w:lang w:val="ru-RU"/>
        </w:rPr>
        <w:t>я Исследовательская комиссия начала исследование требований к транспортным сетям для квантовых информационных технологий; а 17-я Исследовательская комиссия продолжила руководить работой в области распределения квантовых ключей (QKD) и постквантовой криптографии. В принятом на ВАСЭ-24 решении была подчеркнута неотложность перехода к постквантовой криптографии (PQC) в сетях электросвязи.</w:t>
      </w:r>
    </w:p>
    <w:p w14:paraId="4DABC382" w14:textId="6FE4A3CA" w:rsidR="00D82062" w:rsidRPr="00945782" w:rsidRDefault="00D82062" w:rsidP="00BD461E">
      <w:pPr>
        <w:rPr>
          <w:lang w:val="ru-RU"/>
        </w:rPr>
      </w:pPr>
      <w:r w:rsidRPr="00945782">
        <w:rPr>
          <w:lang w:val="ru-RU"/>
        </w:rPr>
        <w:t xml:space="preserve">В настоящее время МСЭ-Т располагает примерно 50 стандартами в области квантовых технологий, при этом более 30 результатов работы находятся в стадии подготовки. Координация в этой быстро развивающейся области продолжалась в рамках </w:t>
      </w:r>
      <w:hyperlink r:id="rId218" w:history="1">
        <w:r w:rsidRPr="00945782">
          <w:rPr>
            <w:rStyle w:val="Hyperlink"/>
            <w:rFonts w:asciiTheme="minorHAnsi" w:hAnsiTheme="minorHAnsi" w:cstheme="minorHAnsi"/>
            <w:szCs w:val="22"/>
            <w:lang w:val="ru-RU"/>
          </w:rPr>
          <w:t>Группы по совместной координационной деятельности по сетям распределения квантовых ключей</w:t>
        </w:r>
      </w:hyperlink>
      <w:r w:rsidRPr="00945782">
        <w:rPr>
          <w:lang w:val="ru-RU"/>
        </w:rPr>
        <w:t xml:space="preserve"> (</w:t>
      </w:r>
      <w:hyperlink r:id="rId219" w:history="1">
        <w:r w:rsidRPr="00945782">
          <w:rPr>
            <w:rStyle w:val="Hyperlink"/>
            <w:rFonts w:asciiTheme="minorHAnsi" w:hAnsiTheme="minorHAnsi" w:cstheme="minorHAnsi"/>
            <w:szCs w:val="22"/>
            <w:lang w:val="ru-RU"/>
          </w:rPr>
          <w:t>JCA</w:t>
        </w:r>
        <w:r w:rsidR="00BD461E" w:rsidRPr="00945782">
          <w:rPr>
            <w:rStyle w:val="Hyperlink"/>
            <w:rFonts w:ascii="Cambria Math" w:hAnsi="Cambria Math" w:cstheme="minorHAnsi"/>
            <w:szCs w:val="22"/>
            <w:lang w:val="ru-RU"/>
          </w:rPr>
          <w:t>‑</w:t>
        </w:r>
        <w:r w:rsidRPr="00945782">
          <w:rPr>
            <w:rStyle w:val="Hyperlink"/>
            <w:rFonts w:asciiTheme="minorHAnsi" w:hAnsiTheme="minorHAnsi" w:cstheme="minorHAnsi"/>
            <w:szCs w:val="22"/>
            <w:lang w:val="ru-RU"/>
          </w:rPr>
          <w:t>QKDN</w:t>
        </w:r>
      </w:hyperlink>
      <w:r w:rsidRPr="00945782">
        <w:rPr>
          <w:lang w:val="ru-RU"/>
        </w:rPr>
        <w:t xml:space="preserve">), которая была создана Консультативной группой по стандартизации электросвязи МСЭ в январе 2023 года. JCA-QKDN провела свое первое собрание в марте 2023 года и продолжила работу в рамках совместной сессии в Сингапуре в мае 2024 года, в ходе которой был достигнут прогресс в разработке всеобъемлющей </w:t>
      </w:r>
      <w:hyperlink r:id="rId220" w:history="1">
        <w:r w:rsidRPr="00945782">
          <w:rPr>
            <w:rStyle w:val="Hyperlink"/>
            <w:rFonts w:asciiTheme="minorHAnsi" w:hAnsiTheme="minorHAnsi" w:cstheme="minorHAnsi"/>
            <w:szCs w:val="22"/>
            <w:lang w:val="ru-RU"/>
          </w:rPr>
          <w:t>базы данных по стандартам в области квантовых технологий</w:t>
        </w:r>
      </w:hyperlink>
      <w:r w:rsidRPr="00945782">
        <w:rPr>
          <w:lang w:val="ru-RU"/>
        </w:rPr>
        <w:t>.</w:t>
      </w:r>
    </w:p>
    <w:p w14:paraId="51781FED" w14:textId="77777777" w:rsidR="00D82062" w:rsidRPr="00945782" w:rsidRDefault="00D82062" w:rsidP="00BD461E">
      <w:pPr>
        <w:rPr>
          <w:lang w:val="ru-RU"/>
        </w:rPr>
      </w:pPr>
      <w:r w:rsidRPr="00945782">
        <w:rPr>
          <w:lang w:val="ru-RU"/>
        </w:rPr>
        <w:t xml:space="preserve">На глобальном уровне в июне 2024 года Генеральная Ассамблея ООН приняла </w:t>
      </w:r>
      <w:hyperlink r:id="rId221" w:history="1">
        <w:r w:rsidRPr="00945782">
          <w:rPr>
            <w:rStyle w:val="Hyperlink"/>
            <w:rFonts w:asciiTheme="minorHAnsi" w:hAnsiTheme="minorHAnsi" w:cstheme="minorHAnsi"/>
            <w:szCs w:val="22"/>
            <w:lang w:val="ru-RU"/>
          </w:rPr>
          <w:t>резолюцию 78/287</w:t>
        </w:r>
      </w:hyperlink>
      <w:r w:rsidRPr="00945782">
        <w:rPr>
          <w:lang w:val="ru-RU"/>
        </w:rPr>
        <w:t xml:space="preserve">, провозгласив 2025 год Международным годом квантовой науки и техники (IYQ). МСЭ сыграл центральную роль в Руководящем комитете IYQ, содействуя внедрению, повышению осведомленности и проведению глобальных событий. В этом контексте было объявлено о начале реализации глобальной инициативы </w:t>
      </w:r>
      <w:hyperlink r:id="rId222" w:history="1">
        <w:r w:rsidRPr="00945782">
          <w:rPr>
            <w:rStyle w:val="Hyperlink"/>
            <w:rFonts w:asciiTheme="minorHAnsi" w:hAnsiTheme="minorHAnsi" w:cstheme="minorHAnsi"/>
            <w:szCs w:val="22"/>
            <w:lang w:val="ru-RU"/>
          </w:rPr>
          <w:t>"Квантовые технологии во благо"</w:t>
        </w:r>
      </w:hyperlink>
      <w:r w:rsidRPr="00945782">
        <w:rPr>
          <w:lang w:val="ru-RU"/>
        </w:rPr>
        <w:t xml:space="preserve">, направленной на обеспечение всеохватного и устойчивого воздействия квантовых технологий и на согласование квантовых инноваций с Целями в области устойчивого развития ООН. Инициатива выстроена вокруг трех основных направлений: преодоление квантового разрыва, лидерство отрасли и стандарты и укрепление глобального сотрудничества в области квантовых технологий. Начиная с 2025 года инициатива "Квантовые технологии во благо" встроена в </w:t>
      </w:r>
      <w:r w:rsidRPr="00945782">
        <w:rPr>
          <w:lang w:val="ru-RU"/>
        </w:rPr>
        <w:lastRenderedPageBreak/>
        <w:t xml:space="preserve">ежегодный саммит "ИИ во благо" наряду с дополнительными мероприятиями, связанными с IYQ, включая серию вебинаров </w:t>
      </w:r>
      <w:hyperlink r:id="rId223" w:history="1">
        <w:r w:rsidRPr="00945782">
          <w:rPr>
            <w:rStyle w:val="Hyperlink"/>
            <w:rFonts w:asciiTheme="minorHAnsi" w:hAnsiTheme="minorHAnsi" w:cstheme="minorHAnsi"/>
            <w:szCs w:val="22"/>
            <w:lang w:val="ru-RU"/>
          </w:rPr>
          <w:t>"Квантовые экосистемы мира"</w:t>
        </w:r>
      </w:hyperlink>
      <w:r w:rsidRPr="00945782">
        <w:rPr>
          <w:lang w:val="ru-RU"/>
        </w:rPr>
        <w:t xml:space="preserve">, в рамках которых анализируются квантовые экосистемы по всему миру, а также </w:t>
      </w:r>
      <w:hyperlink r:id="rId224" w:history="1">
        <w:r w:rsidRPr="00945782">
          <w:rPr>
            <w:rStyle w:val="Hyperlink"/>
            <w:rFonts w:asciiTheme="minorHAnsi" w:hAnsiTheme="minorHAnsi" w:cstheme="minorHAnsi"/>
            <w:szCs w:val="22"/>
            <w:lang w:val="ru-RU"/>
          </w:rPr>
          <w:t>онлайн-курс "Квантовые технологии для всех"</w:t>
        </w:r>
      </w:hyperlink>
      <w:r w:rsidRPr="00945782">
        <w:rPr>
          <w:lang w:val="ru-RU"/>
        </w:rPr>
        <w:t xml:space="preserve">, разработанный в партнерстве с Международным вычислительным центром ООН (МВЦ ООН) и компанией Quantum Delta NL для развития потенциала. Вовлечение молодежи также стало одним из ключевых приоритетов деятельности, одним из направлений которой стали хакатоны, такие как проведенный в 2025 году хакатон </w:t>
      </w:r>
      <w:hyperlink r:id="rId225" w:history="1">
        <w:r w:rsidRPr="00945782">
          <w:rPr>
            <w:rStyle w:val="Hyperlink"/>
            <w:rFonts w:asciiTheme="minorHAnsi" w:hAnsiTheme="minorHAnsi" w:cstheme="minorHAnsi"/>
            <w:szCs w:val="22"/>
            <w:lang w:val="ru-RU"/>
          </w:rPr>
          <w:t>"Будущие лидеры в области квантовых технологий"</w:t>
        </w:r>
      </w:hyperlink>
      <w:r w:rsidRPr="00945782">
        <w:rPr>
          <w:lang w:val="ru-RU"/>
        </w:rPr>
        <w:t>, направленные на то, чтобы молодые новаторы применяли квантовые технологии для решения реальных задач.</w:t>
      </w:r>
    </w:p>
    <w:p w14:paraId="086DAECD" w14:textId="77777777" w:rsidR="00D82062" w:rsidRPr="00945782" w:rsidRDefault="00D82062" w:rsidP="00BD461E">
      <w:pPr>
        <w:pStyle w:val="Headingb"/>
        <w:rPr>
          <w:lang w:val="ru-RU"/>
        </w:rPr>
      </w:pPr>
      <w:r w:rsidRPr="00945782">
        <w:rPr>
          <w:lang w:val="ru-RU"/>
        </w:rPr>
        <w:t>Метавселенная и метавселенная для городов</w:t>
      </w:r>
    </w:p>
    <w:p w14:paraId="72D7B0EE" w14:textId="77777777" w:rsidR="00D82062" w:rsidRPr="00945782" w:rsidRDefault="00D82062" w:rsidP="00BD461E">
      <w:pPr>
        <w:rPr>
          <w:lang w:val="ru-RU"/>
        </w:rPr>
      </w:pPr>
      <w:r w:rsidRPr="00945782">
        <w:rPr>
          <w:lang w:val="ru-RU"/>
        </w:rPr>
        <w:t xml:space="preserve">Быстрый рост виртуальных миров и технологий, связанных с </w:t>
      </w:r>
      <w:hyperlink r:id="rId226" w:history="1">
        <w:r w:rsidRPr="00945782">
          <w:rPr>
            <w:rStyle w:val="Hyperlink"/>
            <w:rFonts w:asciiTheme="minorHAnsi" w:hAnsiTheme="minorHAnsi" w:cstheme="minorHAnsi"/>
            <w:szCs w:val="22"/>
            <w:lang w:val="ru-RU"/>
          </w:rPr>
          <w:t>метавселенной</w:t>
        </w:r>
      </w:hyperlink>
      <w:r w:rsidRPr="00945782">
        <w:rPr>
          <w:lang w:val="ru-RU"/>
        </w:rPr>
        <w:t xml:space="preserve">, побудил МСЭ изучить базовые требования для будущих международных стандартов. </w:t>
      </w:r>
      <w:hyperlink r:id="rId227" w:history="1">
        <w:r w:rsidRPr="00945782">
          <w:rPr>
            <w:rStyle w:val="Hyperlink"/>
            <w:rFonts w:asciiTheme="minorHAnsi" w:hAnsiTheme="minorHAnsi" w:cstheme="minorHAnsi"/>
            <w:szCs w:val="22"/>
            <w:lang w:val="ru-RU"/>
          </w:rPr>
          <w:t>Оперативная группа по метавселенной (ОГ-MV)</w:t>
        </w:r>
      </w:hyperlink>
      <w:r w:rsidRPr="00945782">
        <w:rPr>
          <w:lang w:val="ru-RU"/>
        </w:rPr>
        <w:t xml:space="preserve">, созданная Консультативной группой по стандартизации электросвязи МСЭ в декабре 2022 года, провела всесторонний анализ технических требований и опорных технологий; в ее первом заседании в марте 2023 года приняли участие более 650 человек. Работу группы поддержали также пять </w:t>
      </w:r>
      <w:hyperlink r:id="rId228" w:history="1">
        <w:r w:rsidRPr="00945782">
          <w:rPr>
            <w:rStyle w:val="Hyperlink"/>
            <w:rFonts w:asciiTheme="minorHAnsi" w:hAnsiTheme="minorHAnsi" w:cstheme="minorHAnsi"/>
            <w:szCs w:val="22"/>
            <w:lang w:val="ru-RU"/>
          </w:rPr>
          <w:t>форумов МСЭ по метавселенной</w:t>
        </w:r>
      </w:hyperlink>
      <w:r w:rsidRPr="00945782">
        <w:rPr>
          <w:lang w:val="ru-RU"/>
        </w:rPr>
        <w:t>, которые собрали более 14 500 участников для обсуждения вызовов и возможностей.</w:t>
      </w:r>
    </w:p>
    <w:p w14:paraId="57AB9F15" w14:textId="77777777" w:rsidR="00D82062" w:rsidRPr="00945782" w:rsidRDefault="00D82062" w:rsidP="00BD461E">
      <w:pPr>
        <w:rPr>
          <w:lang w:val="ru-RU"/>
        </w:rPr>
      </w:pPr>
      <w:hyperlink r:id="rId229" w:history="1">
        <w:r w:rsidRPr="00945782">
          <w:rPr>
            <w:rStyle w:val="Hyperlink"/>
            <w:rFonts w:asciiTheme="minorHAnsi" w:hAnsiTheme="minorHAnsi" w:cstheme="minorHAnsi"/>
            <w:szCs w:val="22"/>
            <w:lang w:val="ru-RU"/>
          </w:rPr>
          <w:t>План работы ОГ-MV</w:t>
        </w:r>
      </w:hyperlink>
      <w:r w:rsidRPr="00945782">
        <w:rPr>
          <w:lang w:val="ru-RU"/>
        </w:rPr>
        <w:t xml:space="preserve"> был выполнен в июне 2024 года, в результате чего было подготовлено 52 результата работы. В их число вошли определение метавселенной, дорожная карта стандартизации и исследования по генеративному ИИ в виртуальных мирах, концепциям метавселенной для городов, межплатформенной совместимости, обеспечению доверия и безопасности, доступности, энергоэффективности, вопросам политики, цифровым двойникам, а также сценариям использования метавселенной в городском и промышленном контекстах.</w:t>
      </w:r>
    </w:p>
    <w:p w14:paraId="6E02D5F2" w14:textId="77777777" w:rsidR="00D82062" w:rsidRPr="00945782" w:rsidRDefault="00D82062" w:rsidP="00BD461E">
      <w:pPr>
        <w:rPr>
          <w:lang w:val="ru-RU"/>
        </w:rPr>
      </w:pPr>
      <w:r w:rsidRPr="00945782">
        <w:rPr>
          <w:lang w:val="ru-RU"/>
        </w:rPr>
        <w:t>Результаты работы оперативной группы были успешно переданы в исследовательские комиссии МСЭ-Т, включая 20-ю Исследовательскую комиссию МСЭ-Т, которая уже разработала стандарты по цифровым двойникам для метавселенной.</w:t>
      </w:r>
    </w:p>
    <w:p w14:paraId="7DD6A5A3" w14:textId="77777777" w:rsidR="00D82062" w:rsidRPr="00945782" w:rsidRDefault="00D82062" w:rsidP="00BD461E">
      <w:pPr>
        <w:rPr>
          <w:lang w:val="ru-RU"/>
        </w:rPr>
      </w:pPr>
      <w:r w:rsidRPr="00945782">
        <w:rPr>
          <w:lang w:val="ru-RU"/>
        </w:rPr>
        <w:t>После завершения работы оперативной группы была запущена новая инициатива по виртуальным мирам и ИИ, призванная стать платформой для разработки совместимых и безопасных решений в области метавселенной для городов.</w:t>
      </w:r>
    </w:p>
    <w:p w14:paraId="2E9D60D1" w14:textId="25F32641" w:rsidR="00D82062" w:rsidRPr="00945782" w:rsidRDefault="00D82062" w:rsidP="00BD461E">
      <w:pPr>
        <w:rPr>
          <w:lang w:val="ru-RU"/>
        </w:rPr>
      </w:pPr>
      <w:r w:rsidRPr="00945782">
        <w:rPr>
          <w:lang w:val="ru-RU"/>
        </w:rPr>
        <w:t xml:space="preserve">В продолжение этой работы МСЭ совместно с МВЦ ООН, ФАО и Международным агентством по атомной энергии (МАГАТЭ) организовал </w:t>
      </w:r>
      <w:hyperlink r:id="rId230" w:history="1">
        <w:r w:rsidRPr="00945782">
          <w:rPr>
            <w:rStyle w:val="Hyperlink"/>
            <w:rFonts w:asciiTheme="minorHAnsi" w:hAnsiTheme="minorHAnsi" w:cstheme="minorHAnsi"/>
            <w:szCs w:val="22"/>
            <w:lang w:val="ru-RU"/>
          </w:rPr>
          <w:t>Интеллектуальный марафон "Метавселенная-2024"</w:t>
        </w:r>
      </w:hyperlink>
      <w:r w:rsidRPr="00945782">
        <w:rPr>
          <w:lang w:val="ru-RU"/>
        </w:rPr>
        <w:t xml:space="preserve">, в рамках которого студентам и выпускникам вузов было предложено разработать на основе виртуального моделирования решения для глобальных проблем в области образования, обеспечения готовности к стихийным бедствиям, урегулирования конфликтов и устойчивого городского развития. Инициатива завершилась награждением победивших команд в ходе </w:t>
      </w:r>
      <w:hyperlink r:id="rId231" w:history="1">
        <w:r w:rsidRPr="00945782">
          <w:rPr>
            <w:rStyle w:val="Hyperlink"/>
            <w:rFonts w:asciiTheme="minorHAnsi" w:hAnsiTheme="minorHAnsi" w:cstheme="minorHAnsi"/>
            <w:szCs w:val="22"/>
            <w:lang w:val="ru-RU"/>
          </w:rPr>
          <w:t>Дня</w:t>
        </w:r>
        <w:r w:rsidR="00CC07F7"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виртуальных миров ООН</w:t>
        </w:r>
      </w:hyperlink>
      <w:r w:rsidRPr="00945782">
        <w:rPr>
          <w:lang w:val="ru-RU"/>
        </w:rPr>
        <w:t xml:space="preserve">. МСЭ также координировал подготовку и проведение </w:t>
      </w:r>
      <w:hyperlink r:id="rId232" w:history="1">
        <w:r w:rsidRPr="00945782">
          <w:rPr>
            <w:rStyle w:val="Hyperlink"/>
            <w:rFonts w:asciiTheme="minorHAnsi" w:hAnsiTheme="minorHAnsi" w:cstheme="minorHAnsi"/>
            <w:szCs w:val="22"/>
            <w:lang w:val="ru-RU"/>
          </w:rPr>
          <w:t>первого конкурса ООН по метавселенной для городов</w:t>
        </w:r>
      </w:hyperlink>
      <w:r w:rsidRPr="00945782">
        <w:rPr>
          <w:lang w:val="ru-RU"/>
        </w:rPr>
        <w:t>, объявленного в феврале 2025 года при участии 15 партнеров. Конкурс завершился разработкой и признанием инновационных решений на базе метавселенной для городов в сферах предоставления государственных услуг, устойчивого развития и туризма, продемонстрировав практические пути использования виртуальных миров в качестве цифровой общественной инфраструктуры; в категории студентов победителем стала команда DataLab, отмеченная за их выдающийся вклад, а в категории стартапов − команда WEO, отмеченная за инновационное и масштабируемое решение.</w:t>
      </w:r>
    </w:p>
    <w:p w14:paraId="6FBDCA41" w14:textId="3935FAF1" w:rsidR="00D82062" w:rsidRPr="00945782" w:rsidRDefault="00D82062" w:rsidP="00BD461E">
      <w:pPr>
        <w:rPr>
          <w:lang w:val="ru-RU"/>
        </w:rPr>
      </w:pPr>
      <w:r w:rsidRPr="00945782">
        <w:rPr>
          <w:lang w:val="ru-RU"/>
        </w:rPr>
        <w:t xml:space="preserve">Одновременно с этим МСЭ в июне 2024 года совместно с 16 учреждениями ООН опубликовал </w:t>
      </w:r>
      <w:hyperlink r:id="rId233" w:anchor="p=1" w:history="1">
        <w:r w:rsidRPr="00945782">
          <w:rPr>
            <w:rStyle w:val="Hyperlink"/>
            <w:rFonts w:asciiTheme="minorHAnsi" w:hAnsiTheme="minorHAnsi" w:cstheme="minorHAnsi"/>
            <w:szCs w:val="22"/>
            <w:lang w:val="ru-RU"/>
          </w:rPr>
          <w:t>первый краткий отчет ООН по вопросу реализации потенциала виртуальных миров и метавселенной для достижения Целей в области устойчивого развития</w:t>
        </w:r>
      </w:hyperlink>
      <w:r w:rsidRPr="00945782">
        <w:rPr>
          <w:lang w:val="ru-RU"/>
        </w:rPr>
        <w:t>, в котором подчеркивается трансформационный потенциал этих технологий и необходимость разработки международных стандартов и ответственного подхода к их развитию.</w:t>
      </w:r>
    </w:p>
    <w:p w14:paraId="5F051C11" w14:textId="77777777" w:rsidR="00D82062" w:rsidRPr="00945782" w:rsidRDefault="00D82062" w:rsidP="00BD461E">
      <w:pPr>
        <w:pStyle w:val="Headingb"/>
        <w:rPr>
          <w:lang w:val="ru-RU"/>
        </w:rPr>
      </w:pPr>
      <w:r w:rsidRPr="00945782">
        <w:rPr>
          <w:lang w:val="ru-RU"/>
        </w:rPr>
        <w:lastRenderedPageBreak/>
        <w:t>Интернет вещей (IoT), цифровые двойники и "умные" устойчивые города</w:t>
      </w:r>
    </w:p>
    <w:p w14:paraId="6212AD23" w14:textId="77777777" w:rsidR="00D82062" w:rsidRPr="00945782" w:rsidRDefault="00D82062" w:rsidP="00BD461E">
      <w:pPr>
        <w:rPr>
          <w:rFonts w:asciiTheme="minorHAnsi" w:hAnsiTheme="minorHAnsi" w:cstheme="minorHAnsi"/>
          <w:szCs w:val="22"/>
          <w:lang w:val="ru-RU"/>
        </w:rPr>
      </w:pPr>
      <w:r w:rsidRPr="00945782">
        <w:rPr>
          <w:rFonts w:eastAsia="MS Mincho"/>
          <w:noProof/>
          <w:lang w:val="ru-RU"/>
        </w:rPr>
        <w:drawing>
          <wp:anchor distT="0" distB="0" distL="114300" distR="114300" simplePos="0" relativeHeight="251659264" behindDoc="0" locked="0" layoutInCell="1" allowOverlap="1" wp14:anchorId="11EB2727" wp14:editId="32EBAD93">
            <wp:simplePos x="0" y="0"/>
            <wp:positionH relativeFrom="column">
              <wp:posOffset>67945</wp:posOffset>
            </wp:positionH>
            <wp:positionV relativeFrom="paragraph">
              <wp:posOffset>104775</wp:posOffset>
            </wp:positionV>
            <wp:extent cx="1149345" cy="1626873"/>
            <wp:effectExtent l="19050" t="19050" r="12705" b="11427"/>
            <wp:wrapSquare wrapText="bothSides"/>
            <wp:docPr id="634508962" name="Picture 2" descr="A cover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rcRect/>
                    <a:stretch>
                      <a:fillRect/>
                    </a:stretch>
                  </pic:blipFill>
                  <pic:spPr>
                    <a:xfrm>
                      <a:off x="0" y="0"/>
                      <a:ext cx="1149345" cy="1626873"/>
                    </a:xfrm>
                    <a:prstGeom prst="rect">
                      <a:avLst/>
                    </a:prstGeom>
                    <a:noFill/>
                    <a:ln w="3172">
                      <a:solidFill>
                        <a:srgbClr val="000000"/>
                      </a:solidFill>
                      <a:prstDash val="solid"/>
                    </a:ln>
                  </pic:spPr>
                </pic:pic>
              </a:graphicData>
            </a:graphic>
          </wp:anchor>
        </w:drawing>
      </w:r>
      <w:r w:rsidRPr="00945782">
        <w:rPr>
          <w:rFonts w:asciiTheme="minorHAnsi" w:hAnsiTheme="minorHAnsi" w:cstheme="minorHAnsi"/>
          <w:szCs w:val="22"/>
          <w:lang w:val="ru-RU"/>
        </w:rPr>
        <w:t xml:space="preserve">Работа в области </w:t>
      </w:r>
      <w:hyperlink r:id="rId235" w:history="1">
        <w:r w:rsidRPr="00945782">
          <w:rPr>
            <w:rStyle w:val="Hyperlink"/>
            <w:rFonts w:asciiTheme="minorHAnsi" w:hAnsiTheme="minorHAnsi" w:cstheme="minorHAnsi"/>
            <w:szCs w:val="22"/>
            <w:lang w:val="ru-RU"/>
          </w:rPr>
          <w:t>интернета вещей (IoT)</w:t>
        </w:r>
      </w:hyperlink>
      <w:r w:rsidRPr="00945782">
        <w:rPr>
          <w:rFonts w:asciiTheme="minorHAnsi" w:hAnsiTheme="minorHAnsi" w:cstheme="minorHAnsi"/>
          <w:szCs w:val="22"/>
          <w:lang w:val="ru-RU"/>
        </w:rPr>
        <w:t xml:space="preserve">, цифровых двойников и "умных" устойчивых городов оставалась одним из ключевых направлений деятельности МСЭ в сфере новых технологий. </w:t>
      </w:r>
      <w:hyperlink r:id="rId236" w:history="1">
        <w:r w:rsidRPr="00945782">
          <w:rPr>
            <w:rStyle w:val="Hyperlink"/>
            <w:rFonts w:asciiTheme="minorHAnsi" w:hAnsiTheme="minorHAnsi" w:cstheme="minorHAnsi"/>
            <w:szCs w:val="22"/>
            <w:lang w:val="ru-RU"/>
          </w:rPr>
          <w:t>20-я Исследовательская комиссия МСЭ-Т</w:t>
        </w:r>
      </w:hyperlink>
      <w:r w:rsidRPr="00945782">
        <w:rPr>
          <w:rFonts w:asciiTheme="minorHAnsi" w:hAnsiTheme="minorHAnsi" w:cstheme="minorHAnsi"/>
          <w:szCs w:val="22"/>
          <w:lang w:val="ru-RU"/>
        </w:rPr>
        <w:t xml:space="preserve"> продолжила разработку глобальных стандартов для обеспечения совместимости технологий IoT, экосистем больших данных и цифровой трансформации для "умных" и устойчивых городов и сообществ. Эти усилия способствуют внедрению инноваций на уровне городов, обеспечению безопасных потоков данных и повышению эффективности городских систем.</w:t>
      </w:r>
    </w:p>
    <w:p w14:paraId="00C3E270" w14:textId="77777777" w:rsidR="00D82062" w:rsidRPr="00945782" w:rsidRDefault="00D82062" w:rsidP="00BD461E">
      <w:pPr>
        <w:rPr>
          <w:rFonts w:asciiTheme="minorHAnsi" w:hAnsiTheme="minorHAnsi" w:cstheme="minorHAnsi"/>
          <w:szCs w:val="22"/>
          <w:lang w:val="ru-RU"/>
        </w:rPr>
      </w:pPr>
      <w:r w:rsidRPr="00945782">
        <w:rPr>
          <w:rFonts w:asciiTheme="minorHAnsi" w:hAnsiTheme="minorHAnsi" w:cstheme="minorHAnsi"/>
          <w:szCs w:val="22"/>
          <w:lang w:val="ru-RU"/>
        </w:rPr>
        <w:t xml:space="preserve">См. также веб-страницу </w:t>
      </w:r>
      <w:hyperlink r:id="rId237" w:history="1">
        <w:r w:rsidRPr="00945782">
          <w:rPr>
            <w:rStyle w:val="Hyperlink"/>
            <w:rFonts w:asciiTheme="minorHAnsi" w:hAnsiTheme="minorHAnsi" w:cstheme="minorHAnsi"/>
            <w:szCs w:val="22"/>
            <w:lang w:val="ru-RU"/>
          </w:rPr>
          <w:t>20-й Исследовательской комиссии МСЭ-Т</w:t>
        </w:r>
      </w:hyperlink>
      <w:r w:rsidRPr="00945782">
        <w:rPr>
          <w:rFonts w:asciiTheme="minorHAnsi" w:hAnsiTheme="minorHAnsi" w:cstheme="minorHAnsi"/>
          <w:szCs w:val="22"/>
          <w:lang w:val="ru-RU"/>
        </w:rPr>
        <w:t xml:space="preserve"> и </w:t>
      </w:r>
      <w:hyperlink r:id="rId238" w:history="1">
        <w:r w:rsidRPr="00945782">
          <w:rPr>
            <w:rStyle w:val="Hyperlink"/>
            <w:rFonts w:asciiTheme="minorHAnsi" w:hAnsiTheme="minorHAnsi" w:cstheme="minorHAnsi"/>
            <w:szCs w:val="22"/>
            <w:lang w:val="ru-RU"/>
          </w:rPr>
          <w:t>перечень Рекомендаций</w:t>
        </w:r>
      </w:hyperlink>
      <w:r w:rsidRPr="00945782">
        <w:rPr>
          <w:rFonts w:asciiTheme="minorHAnsi" w:hAnsiTheme="minorHAnsi" w:cstheme="minorHAnsi"/>
          <w:szCs w:val="22"/>
          <w:lang w:val="ru-RU"/>
        </w:rPr>
        <w:t>.</w:t>
      </w:r>
    </w:p>
    <w:p w14:paraId="75D29F14" w14:textId="38AE1A89" w:rsidR="00D82062" w:rsidRPr="00945782" w:rsidRDefault="00D82062" w:rsidP="00BD461E">
      <w:pPr>
        <w:rPr>
          <w:lang w:val="ru-RU"/>
        </w:rPr>
      </w:pPr>
      <w:r w:rsidRPr="00945782">
        <w:rPr>
          <w:lang w:val="ru-RU"/>
        </w:rPr>
        <w:t xml:space="preserve">Инициатива </w:t>
      </w:r>
      <w:hyperlink r:id="rId239" w:history="1">
        <w:r w:rsidR="00C23153" w:rsidRPr="00945782">
          <w:rPr>
            <w:rStyle w:val="Hyperlink"/>
            <w:rFonts w:asciiTheme="minorHAnsi" w:hAnsiTheme="minorHAnsi" w:cstheme="minorHAnsi"/>
            <w:szCs w:val="22"/>
            <w:lang w:val="ru-RU"/>
          </w:rPr>
          <w:t>"</w:t>
        </w:r>
        <w:r w:rsidRPr="00945782">
          <w:rPr>
            <w:rStyle w:val="Hyperlink"/>
            <w:rFonts w:asciiTheme="minorHAnsi" w:hAnsiTheme="minorHAnsi" w:cstheme="minorHAnsi"/>
            <w:szCs w:val="22"/>
            <w:lang w:val="ru-RU"/>
          </w:rPr>
          <w:t>Объединение усилий в целях построения "умных" устойчивых городов</w:t>
        </w:r>
        <w:r w:rsidR="00C23153" w:rsidRPr="00945782">
          <w:rPr>
            <w:rStyle w:val="Hyperlink"/>
            <w:rFonts w:asciiTheme="minorHAnsi" w:hAnsiTheme="minorHAnsi" w:cstheme="minorHAnsi"/>
            <w:szCs w:val="22"/>
            <w:lang w:val="ru-RU"/>
          </w:rPr>
          <w:t>"</w:t>
        </w:r>
        <w:r w:rsidRPr="00945782">
          <w:rPr>
            <w:rStyle w:val="Hyperlink"/>
            <w:rFonts w:asciiTheme="minorHAnsi" w:hAnsiTheme="minorHAnsi" w:cstheme="minorHAnsi"/>
            <w:szCs w:val="22"/>
            <w:lang w:val="ru-RU"/>
          </w:rPr>
          <w:t xml:space="preserve"> (U4SSC)</w:t>
        </w:r>
      </w:hyperlink>
      <w:r w:rsidRPr="00945782">
        <w:rPr>
          <w:lang w:val="ru-RU"/>
        </w:rPr>
        <w:t xml:space="preserve"> дополняет эту работу, содействуя развитию цифровой общественной инфраструктуры, городских платформ и более широкой цифровой трансформации городов, ориентированных на человека. Посредством своих инструментов, рамочных механизмов и тематических рабочих групп U4SSC предоставляет практические рекомендации, помогающие городам внедрять основанные на стандартах, совместимые и открытые для всех цифровые решения, способствующие экологической устойчивости, способности к восстановлению и развитию ориентированных на граждан городских услуг.</w:t>
      </w:r>
    </w:p>
    <w:p w14:paraId="2C2DB70A" w14:textId="77777777" w:rsidR="00D82062" w:rsidRPr="00945782" w:rsidRDefault="00D82062" w:rsidP="00C23153">
      <w:pPr>
        <w:rPr>
          <w:lang w:val="ru-RU"/>
        </w:rPr>
      </w:pPr>
      <w:r w:rsidRPr="00945782">
        <w:rPr>
          <w:rFonts w:eastAsia="MS Mincho"/>
          <w:noProof/>
          <w:lang w:val="ru-RU"/>
        </w:rPr>
        <w:drawing>
          <wp:anchor distT="0" distB="0" distL="114300" distR="114300" simplePos="0" relativeHeight="251660288" behindDoc="0" locked="0" layoutInCell="1" allowOverlap="1" wp14:anchorId="7735D204" wp14:editId="02613A4E">
            <wp:simplePos x="0" y="0"/>
            <wp:positionH relativeFrom="margin">
              <wp:align>right</wp:align>
            </wp:positionH>
            <wp:positionV relativeFrom="paragraph">
              <wp:posOffset>93345</wp:posOffset>
            </wp:positionV>
            <wp:extent cx="2660071" cy="1442493"/>
            <wp:effectExtent l="0" t="0" r="6985" b="5715"/>
            <wp:wrapSquare wrapText="bothSides"/>
            <wp:docPr id="1125331832" name="Picture 1" descr="A screenshot of a cell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2660071" cy="1442493"/>
                    </a:xfrm>
                    <a:prstGeom prst="rect">
                      <a:avLst/>
                    </a:prstGeom>
                    <a:noFill/>
                    <a:ln>
                      <a:noFill/>
                      <a:prstDash/>
                    </a:ln>
                  </pic:spPr>
                </pic:pic>
              </a:graphicData>
            </a:graphic>
          </wp:anchor>
        </w:drawing>
      </w:r>
      <w:r w:rsidRPr="00945782">
        <w:rPr>
          <w:lang w:val="ru-RU"/>
        </w:rPr>
        <w:t xml:space="preserve">В поддержку ориентированной на человека цифровой трансформации МСЭ совместно с 11 учреждениями ООН разработал </w:t>
      </w:r>
      <w:hyperlink r:id="rId241" w:history="1">
        <w:r w:rsidRPr="00945782">
          <w:rPr>
            <w:rStyle w:val="Hyperlink"/>
            <w:rFonts w:asciiTheme="minorHAnsi" w:hAnsiTheme="minorHAnsi" w:cstheme="minorHAnsi"/>
            <w:szCs w:val="22"/>
            <w:lang w:val="ru-RU"/>
          </w:rPr>
          <w:t>Комплект материалов по цифровой трансформации для ориентированных на человека городов и сообществ</w:t>
        </w:r>
      </w:hyperlink>
      <w:r w:rsidRPr="00945782">
        <w:rPr>
          <w:lang w:val="ru-RU"/>
        </w:rPr>
        <w:t>, предназначенный для оказания помощи городам и местным органам власти в управлении процессами цифровых изменений. Этот комплект материалов объединяет международные стандарты и руководящие указания, новейшие исследования и прогнозы, а также передовые аналитические материалы по широкому кругу актуальных тем, связанных с цифровой трансформацией городов и сообществ.</w:t>
      </w:r>
    </w:p>
    <w:p w14:paraId="70D3D405" w14:textId="77777777" w:rsidR="00D82062" w:rsidRPr="00945782" w:rsidRDefault="00D82062" w:rsidP="00C23153">
      <w:pPr>
        <w:rPr>
          <w:lang w:val="ru-RU"/>
        </w:rPr>
      </w:pPr>
      <w:r w:rsidRPr="00945782">
        <w:rPr>
          <w:lang w:val="ru-RU"/>
        </w:rPr>
        <w:t xml:space="preserve">МСЭ совместно с другими организациями и учреждениями системы ООН провел серию </w:t>
      </w:r>
      <w:hyperlink r:id="rId242" w:history="1">
        <w:r w:rsidRPr="00945782">
          <w:rPr>
            <w:rStyle w:val="Hyperlink"/>
            <w:rFonts w:asciiTheme="minorHAnsi" w:hAnsiTheme="minorHAnsi" w:cstheme="minorHAnsi"/>
            <w:szCs w:val="22"/>
            <w:lang w:val="ru-RU"/>
          </w:rPr>
          <w:t>Диалогов о цифровой трансформации (DTD)</w:t>
        </w:r>
      </w:hyperlink>
      <w:r w:rsidRPr="00945782">
        <w:rPr>
          <w:lang w:val="ru-RU"/>
        </w:rPr>
        <w:t xml:space="preserve"> − платформу для углубления понимания того, каким образом новые технологии могут трансформировать традиционные процессы, повышать операционную эффективность и открывать новые возможности для инноваций и стандартизации. В рамках этих диалогов рассматриваются актуальные темы цифровой трансформации, поощряется сотрудничество между заинтересованными сторонами на уровне городов и анализируется роль международных стандартов в этой области. Посредством вебинаров, неформальных дискуссий и сессий формата "вопрос–ответ с экспертом" в рамках DTD освещаются последние результаты работы оперативных групп, инициатив и исследовательских комиссий МСЭ-Т.</w:t>
      </w:r>
    </w:p>
    <w:p w14:paraId="0979B869" w14:textId="77777777" w:rsidR="00D82062" w:rsidRPr="00945782" w:rsidRDefault="00D82062" w:rsidP="00C23153">
      <w:pPr>
        <w:rPr>
          <w:rFonts w:asciiTheme="minorHAnsi" w:hAnsiTheme="minorHAnsi" w:cstheme="minorHAnsi"/>
          <w:szCs w:val="22"/>
          <w:lang w:val="ru-RU"/>
        </w:rPr>
      </w:pPr>
      <w:r w:rsidRPr="00945782">
        <w:rPr>
          <w:rFonts w:asciiTheme="minorHAnsi" w:hAnsiTheme="minorHAnsi" w:cstheme="minorHAnsi"/>
          <w:szCs w:val="22"/>
          <w:lang w:val="ru-RU"/>
        </w:rPr>
        <w:t xml:space="preserve">Распространение знаний в данной области дополнительно обеспечивается регулярной публикацией </w:t>
      </w:r>
      <w:hyperlink r:id="rId243" w:history="1">
        <w:r w:rsidRPr="00945782">
          <w:rPr>
            <w:rStyle w:val="Hyperlink"/>
            <w:rFonts w:asciiTheme="minorHAnsi" w:hAnsiTheme="minorHAnsi" w:cstheme="minorHAnsi"/>
            <w:szCs w:val="22"/>
            <w:lang w:val="ru-RU"/>
          </w:rPr>
          <w:t>дайджеста "Цифровая трансформация и города"</w:t>
        </w:r>
      </w:hyperlink>
      <w:r w:rsidRPr="00945782">
        <w:rPr>
          <w:rFonts w:asciiTheme="minorHAnsi" w:hAnsiTheme="minorHAnsi" w:cstheme="minorHAnsi"/>
          <w:szCs w:val="22"/>
          <w:lang w:val="ru-RU"/>
        </w:rPr>
        <w:t>, в котором обобщаются аналитические выводы, тенденции и разработки, связанные с цифровой трансформацией и "умными" городами, и который размещается в открытом доступе на специальной онлайн-платформе.</w:t>
      </w:r>
    </w:p>
    <w:p w14:paraId="1DA43989" w14:textId="7F274F9F" w:rsidR="00D82062" w:rsidRPr="00945782" w:rsidRDefault="00D82062" w:rsidP="00D82062">
      <w:pPr>
        <w:pStyle w:val="Heading2"/>
        <w:rPr>
          <w:lang w:val="ru-RU"/>
        </w:rPr>
      </w:pPr>
      <w:bookmarkStart w:id="91" w:name="_Toc227062867"/>
      <w:bookmarkStart w:id="92" w:name="_Toc227850255"/>
      <w:r w:rsidRPr="00945782">
        <w:rPr>
          <w:lang w:val="ru-RU"/>
        </w:rPr>
        <w:lastRenderedPageBreak/>
        <w:t>4.5</w:t>
      </w:r>
      <w:r w:rsidR="00C23153" w:rsidRPr="00945782">
        <w:rPr>
          <w:lang w:val="ru-RU"/>
        </w:rPr>
        <w:tab/>
      </w:r>
      <w:r w:rsidRPr="00945782">
        <w:rPr>
          <w:lang w:val="ru-RU"/>
        </w:rPr>
        <w:t>Предоставление данных и статистики</w:t>
      </w:r>
      <w:bookmarkEnd w:id="91"/>
      <w:bookmarkEnd w:id="92"/>
    </w:p>
    <w:p w14:paraId="404008BF" w14:textId="77777777" w:rsidR="00D82062" w:rsidRPr="00945782" w:rsidRDefault="00D82062" w:rsidP="00C23153">
      <w:pPr>
        <w:rPr>
          <w:lang w:val="ru-RU"/>
        </w:rPr>
      </w:pPr>
      <w:r w:rsidRPr="00945782">
        <w:rPr>
          <w:lang w:val="ru-RU"/>
        </w:rPr>
        <w:t xml:space="preserve">МСЭ возглавляет реализацию глобальной повестки дня по статистическим данным в области ИКТ, обеспечивая доказательную базу, необходимую для достижения универсальной и реальной возможности установления соединений и устойчивой цифровой трансформации. Его статистическая деятельность охватывает весь жизненный цикл данных, при этом основная часть работы выполняется </w:t>
      </w:r>
      <w:hyperlink r:id="rId244" w:history="1">
        <w:r w:rsidRPr="00945782">
          <w:rPr>
            <w:rStyle w:val="Hyperlink"/>
            <w:rFonts w:asciiTheme="minorHAnsi" w:hAnsiTheme="minorHAnsi" w:cstheme="minorHAnsi"/>
            <w:szCs w:val="22"/>
            <w:lang w:val="ru-RU"/>
          </w:rPr>
          <w:t>Отделом обработки и анализа данных в области ИКТ</w:t>
        </w:r>
      </w:hyperlink>
      <w:r w:rsidRPr="00945782">
        <w:rPr>
          <w:lang w:val="ru-RU"/>
        </w:rPr>
        <w:t xml:space="preserve"> Департамента общества цифровых знаний Сектора развития электросвязи МСЭ (МСЭ-D).</w:t>
      </w:r>
    </w:p>
    <w:p w14:paraId="739C6844" w14:textId="77777777" w:rsidR="00D82062" w:rsidRPr="00945782" w:rsidRDefault="00D82062" w:rsidP="00C23153">
      <w:pPr>
        <w:pStyle w:val="enumlev1"/>
        <w:rPr>
          <w:lang w:val="ru-RU"/>
        </w:rPr>
      </w:pPr>
      <w:r w:rsidRPr="00945782">
        <w:rPr>
          <w:lang w:val="ru-RU"/>
        </w:rPr>
        <w:t>•</w:t>
      </w:r>
      <w:r w:rsidRPr="00945782">
        <w:rPr>
          <w:lang w:val="ru-RU"/>
        </w:rPr>
        <w:tab/>
      </w:r>
      <w:r w:rsidRPr="00945782">
        <w:rPr>
          <w:b/>
          <w:bCs/>
          <w:lang w:val="ru-RU"/>
        </w:rPr>
        <w:t>Статистические стандарты</w:t>
      </w:r>
      <w:r w:rsidRPr="00945782">
        <w:rPr>
          <w:lang w:val="ru-RU"/>
        </w:rPr>
        <w:t xml:space="preserve">. МСЭ определяет и обновляет международные </w:t>
      </w:r>
      <w:hyperlink r:id="rId245" w:history="1">
        <w:r w:rsidRPr="00945782">
          <w:rPr>
            <w:rStyle w:val="Hyperlink"/>
            <w:rFonts w:asciiTheme="minorHAnsi" w:hAnsiTheme="minorHAnsi" w:cstheme="minorHAnsi"/>
            <w:szCs w:val="22"/>
            <w:lang w:val="ru-RU"/>
          </w:rPr>
          <w:t>статистические стандарты</w:t>
        </w:r>
      </w:hyperlink>
      <w:r w:rsidRPr="00945782">
        <w:rPr>
          <w:lang w:val="ru-RU"/>
        </w:rPr>
        <w:t xml:space="preserve"> для показателей ИКТ посредством Группы экспертов по показателям в области электросвязи/ИКТ (EGTI) и Группу экспертов по показателям ИКТ в домашних хозяйствах (EGH).</w:t>
      </w:r>
    </w:p>
    <w:p w14:paraId="5258F396" w14:textId="77777777" w:rsidR="00D82062" w:rsidRPr="00945782" w:rsidRDefault="00D82062" w:rsidP="00C23153">
      <w:pPr>
        <w:pStyle w:val="enumlev1"/>
        <w:rPr>
          <w:lang w:val="ru-RU"/>
        </w:rPr>
      </w:pPr>
      <w:r w:rsidRPr="00945782">
        <w:rPr>
          <w:lang w:val="ru-RU"/>
        </w:rPr>
        <w:t>•</w:t>
      </w:r>
      <w:r w:rsidRPr="00945782">
        <w:rPr>
          <w:lang w:val="ru-RU"/>
        </w:rPr>
        <w:tab/>
      </w:r>
      <w:r w:rsidRPr="00945782">
        <w:rPr>
          <w:b/>
          <w:bCs/>
          <w:lang w:val="ru-RU"/>
        </w:rPr>
        <w:t>Сбор и распространение данных</w:t>
      </w:r>
      <w:r w:rsidRPr="00945782">
        <w:rPr>
          <w:lang w:val="ru-RU"/>
        </w:rPr>
        <w:t xml:space="preserve">. МСЭ собирает статистику по сотням показателей ИКТ на основе данных, собираемых более чем в 200 странах, и рассчитывает глобальные, региональные и групповые оценочные показатели. Все данные доступны бесплатно на платформе </w:t>
      </w:r>
      <w:hyperlink r:id="rId246" w:history="1">
        <w:r w:rsidRPr="00945782">
          <w:rPr>
            <w:rStyle w:val="Hyperlink"/>
            <w:rFonts w:asciiTheme="minorHAnsi" w:hAnsiTheme="minorHAnsi" w:cstheme="minorHAnsi"/>
            <w:szCs w:val="22"/>
            <w:lang w:val="ru-RU"/>
          </w:rPr>
          <w:t>центра данных МСЭ</w:t>
        </w:r>
      </w:hyperlink>
      <w:r w:rsidRPr="00945782">
        <w:rPr>
          <w:lang w:val="ru-RU"/>
        </w:rPr>
        <w:t>.</w:t>
      </w:r>
    </w:p>
    <w:p w14:paraId="39859723" w14:textId="77777777" w:rsidR="00D82062" w:rsidRPr="00945782" w:rsidRDefault="00D82062" w:rsidP="00C23153">
      <w:pPr>
        <w:pStyle w:val="enumlev1"/>
        <w:rPr>
          <w:lang w:val="ru-RU"/>
        </w:rPr>
      </w:pPr>
      <w:r w:rsidRPr="00945782">
        <w:rPr>
          <w:lang w:val="ru-RU"/>
        </w:rPr>
        <w:t>•</w:t>
      </w:r>
      <w:r w:rsidRPr="00945782">
        <w:rPr>
          <w:lang w:val="ru-RU"/>
        </w:rPr>
        <w:tab/>
      </w:r>
      <w:r w:rsidRPr="00945782">
        <w:rPr>
          <w:b/>
          <w:bCs/>
          <w:lang w:val="ru-RU"/>
        </w:rPr>
        <w:t>Анализ и исследования</w:t>
      </w:r>
      <w:r w:rsidRPr="00945782">
        <w:rPr>
          <w:lang w:val="ru-RU"/>
        </w:rPr>
        <w:t xml:space="preserve">. В </w:t>
      </w:r>
      <w:hyperlink r:id="rId247" w:history="1">
        <w:r w:rsidRPr="00945782">
          <w:rPr>
            <w:rStyle w:val="Hyperlink"/>
            <w:rFonts w:asciiTheme="minorHAnsi" w:hAnsiTheme="minorHAnsi" w:cstheme="minorHAnsi"/>
            <w:szCs w:val="22"/>
            <w:lang w:val="ru-RU"/>
          </w:rPr>
          <w:t>публикациях</w:t>
        </w:r>
      </w:hyperlink>
      <w:r w:rsidRPr="00945782">
        <w:rPr>
          <w:lang w:val="ru-RU"/>
        </w:rPr>
        <w:t xml:space="preserve"> серии "Измерение цифрового развития" содержатся оценки глобальной возможности установления соединений, рассматриваются отдельные темы и предлагаются решения.</w:t>
      </w:r>
    </w:p>
    <w:p w14:paraId="5503E4CB" w14:textId="77777777" w:rsidR="00D82062" w:rsidRPr="00945782" w:rsidRDefault="00D82062" w:rsidP="00C23153">
      <w:pPr>
        <w:pStyle w:val="enumlev1"/>
        <w:rPr>
          <w:lang w:val="ru-RU"/>
        </w:rPr>
      </w:pPr>
      <w:r w:rsidRPr="00945782">
        <w:rPr>
          <w:lang w:val="ru-RU"/>
        </w:rPr>
        <w:t>•</w:t>
      </w:r>
      <w:r w:rsidRPr="00945782">
        <w:rPr>
          <w:lang w:val="ru-RU"/>
        </w:rPr>
        <w:tab/>
      </w:r>
      <w:r w:rsidRPr="00945782">
        <w:rPr>
          <w:b/>
          <w:bCs/>
          <w:lang w:val="ru-RU"/>
        </w:rPr>
        <w:t>Наука о данных для официальной статистики</w:t>
      </w:r>
      <w:r w:rsidRPr="00945782">
        <w:rPr>
          <w:lang w:val="ru-RU"/>
        </w:rPr>
        <w:t xml:space="preserve">. МСЭ в соответствии со своей </w:t>
      </w:r>
      <w:hyperlink r:id="rId248" w:history="1">
        <w:r w:rsidRPr="00945782">
          <w:rPr>
            <w:rStyle w:val="Hyperlink"/>
            <w:rFonts w:asciiTheme="minorHAnsi" w:hAnsiTheme="minorHAnsi" w:cstheme="minorHAnsi"/>
            <w:szCs w:val="22"/>
            <w:lang w:val="ru-RU"/>
          </w:rPr>
          <w:t>практикой в области науки о данных</w:t>
        </w:r>
      </w:hyperlink>
      <w:r w:rsidRPr="00945782">
        <w:rPr>
          <w:lang w:val="ru-RU"/>
        </w:rPr>
        <w:t xml:space="preserve"> использует большие данные и новые методы для повышения точности, своевременности и детализации статистики ИКТ.</w:t>
      </w:r>
    </w:p>
    <w:p w14:paraId="116D19BD" w14:textId="77777777" w:rsidR="00D82062" w:rsidRPr="00945782" w:rsidRDefault="00D82062" w:rsidP="00C23153">
      <w:pPr>
        <w:pStyle w:val="enumlev1"/>
        <w:rPr>
          <w:lang w:val="ru-RU"/>
        </w:rPr>
      </w:pPr>
      <w:r w:rsidRPr="00945782">
        <w:rPr>
          <w:lang w:val="ru-RU"/>
        </w:rPr>
        <w:t>•</w:t>
      </w:r>
      <w:r w:rsidRPr="00945782">
        <w:rPr>
          <w:lang w:val="ru-RU"/>
        </w:rPr>
        <w:tab/>
      </w:r>
      <w:r w:rsidRPr="00945782">
        <w:rPr>
          <w:b/>
          <w:bCs/>
          <w:lang w:val="ru-RU"/>
        </w:rPr>
        <w:t>Развитие потенциала и техническая помощь</w:t>
      </w:r>
      <w:r w:rsidRPr="00945782">
        <w:rPr>
          <w:lang w:val="ru-RU"/>
        </w:rPr>
        <w:t xml:space="preserve">. МСЭ </w:t>
      </w:r>
      <w:hyperlink r:id="rId249" w:history="1">
        <w:r w:rsidRPr="00945782">
          <w:rPr>
            <w:rStyle w:val="Hyperlink"/>
            <w:rFonts w:asciiTheme="minorHAnsi" w:hAnsiTheme="minorHAnsi" w:cstheme="minorHAnsi"/>
            <w:szCs w:val="22"/>
            <w:lang w:val="ru-RU"/>
          </w:rPr>
          <w:t>оказывает поддержку</w:t>
        </w:r>
      </w:hyperlink>
      <w:r w:rsidRPr="00945782">
        <w:rPr>
          <w:lang w:val="ru-RU"/>
        </w:rPr>
        <w:t xml:space="preserve"> статистическому сообществу и другим заинтересованным сторонам, включая директивные органы, посредством подготовки технической документации, учебных материалов, онлайн-курсов, проведения семинаров и оказания технической помощи.</w:t>
      </w:r>
    </w:p>
    <w:p w14:paraId="218120E8" w14:textId="77777777" w:rsidR="00D82062" w:rsidRPr="00945782" w:rsidRDefault="00D82062" w:rsidP="00C23153">
      <w:pPr>
        <w:pStyle w:val="enumlev1"/>
        <w:rPr>
          <w:lang w:val="ru-RU"/>
        </w:rPr>
      </w:pPr>
      <w:r w:rsidRPr="00945782">
        <w:rPr>
          <w:lang w:val="ru-RU"/>
        </w:rPr>
        <w:t>•</w:t>
      </w:r>
      <w:r w:rsidRPr="00945782">
        <w:rPr>
          <w:lang w:val="ru-RU"/>
        </w:rPr>
        <w:tab/>
      </w:r>
      <w:r w:rsidRPr="00945782">
        <w:rPr>
          <w:b/>
          <w:bCs/>
          <w:lang w:val="ru-RU"/>
        </w:rPr>
        <w:t>Глобальное сотрудничество и взаимодействие</w:t>
      </w:r>
      <w:r w:rsidRPr="00945782">
        <w:rPr>
          <w:lang w:val="ru-RU"/>
        </w:rPr>
        <w:t>. Отдел обработки и анализа данных в области ИКТ организует мероприятия, включая Симпозиум по всемирным показателям в области электросвязи/ИКТ (</w:t>
      </w:r>
      <w:hyperlink r:id="rId250" w:history="1">
        <w:r w:rsidRPr="00945782">
          <w:rPr>
            <w:rStyle w:val="Hyperlink"/>
            <w:rFonts w:asciiTheme="minorHAnsi" w:hAnsiTheme="minorHAnsi" w:cstheme="minorHAnsi"/>
            <w:szCs w:val="22"/>
            <w:lang w:val="ru-RU"/>
          </w:rPr>
          <w:t>WTIS</w:t>
        </w:r>
      </w:hyperlink>
      <w:r w:rsidRPr="00945782">
        <w:rPr>
          <w:lang w:val="ru-RU"/>
        </w:rPr>
        <w:t xml:space="preserve">) – ключевое глобальное мероприятие в области статистики ИКТ, − и </w:t>
      </w:r>
      <w:hyperlink r:id="rId251" w:history="1">
        <w:r w:rsidRPr="00945782">
          <w:rPr>
            <w:rStyle w:val="Hyperlink"/>
            <w:rFonts w:asciiTheme="minorHAnsi" w:hAnsiTheme="minorHAnsi" w:cstheme="minorHAnsi"/>
            <w:szCs w:val="22"/>
            <w:lang w:val="ru-RU"/>
          </w:rPr>
          <w:t>сотрудничает</w:t>
        </w:r>
      </w:hyperlink>
      <w:r w:rsidRPr="00945782">
        <w:rPr>
          <w:lang w:val="ru-RU"/>
        </w:rPr>
        <w:t xml:space="preserve"> с различными организациями для мобилизации ресурсов, продвижения повестки дня в области статистики, использования синергии, масштабирования инициатив и максимизации воздействия.</w:t>
      </w:r>
    </w:p>
    <w:p w14:paraId="71D8356D" w14:textId="17634642" w:rsidR="00D82062" w:rsidRPr="00945782" w:rsidRDefault="00D82062" w:rsidP="00D82062">
      <w:pPr>
        <w:pStyle w:val="Heading2"/>
        <w:rPr>
          <w:lang w:val="ru-RU"/>
        </w:rPr>
      </w:pPr>
      <w:bookmarkStart w:id="93" w:name="_Toc227062868"/>
      <w:bookmarkStart w:id="94" w:name="_Toc227850256"/>
      <w:r w:rsidRPr="00945782">
        <w:rPr>
          <w:lang w:val="ru-RU"/>
        </w:rPr>
        <w:t>4.6</w:t>
      </w:r>
      <w:r w:rsidR="00C23153" w:rsidRPr="00945782">
        <w:rPr>
          <w:lang w:val="ru-RU"/>
        </w:rPr>
        <w:tab/>
      </w:r>
      <w:r w:rsidRPr="00945782">
        <w:rPr>
          <w:lang w:val="ru-RU"/>
        </w:rPr>
        <w:t>Развитие потенциала и цифровые навыки</w:t>
      </w:r>
      <w:bookmarkEnd w:id="93"/>
      <w:bookmarkEnd w:id="94"/>
    </w:p>
    <w:p w14:paraId="0E868BF0" w14:textId="77777777" w:rsidR="00D82062" w:rsidRPr="00945782" w:rsidRDefault="00D82062" w:rsidP="00C23153">
      <w:pPr>
        <w:rPr>
          <w:lang w:val="ru-RU"/>
        </w:rPr>
      </w:pPr>
      <w:r w:rsidRPr="00945782">
        <w:rPr>
          <w:lang w:val="ru-RU"/>
        </w:rPr>
        <w:t>Развитие потенциала – это флагманская программа Сектора развития электросвязи МСЭ (МСЭ­D), направленная на создание общества, компетентного в цифровом отношении, в котором все люди могут более эффективно обеспечить себя средствами к существованию благодаря цифровым навыкам и технологическим знаниям. Это достигается путем развития потенциала специалистов в области ИКТ и электросвязи, повышения цифровой грамотности и навыков населения, а также создания знаний и ресурсов знаний.</w:t>
      </w:r>
    </w:p>
    <w:p w14:paraId="5AB33B0C" w14:textId="77777777" w:rsidR="00D82062" w:rsidRPr="00945782" w:rsidRDefault="00D82062" w:rsidP="00C23153">
      <w:pPr>
        <w:rPr>
          <w:lang w:val="ru-RU"/>
        </w:rPr>
      </w:pPr>
      <w:hyperlink r:id="rId252" w:history="1">
        <w:r w:rsidRPr="00945782">
          <w:rPr>
            <w:rStyle w:val="Hyperlink"/>
            <w:rFonts w:asciiTheme="minorHAnsi" w:hAnsiTheme="minorHAnsi" w:cstheme="minorHAnsi"/>
            <w:szCs w:val="22"/>
            <w:lang w:val="ru-RU"/>
          </w:rPr>
          <w:t>Портал Академии МСЭ</w:t>
        </w:r>
      </w:hyperlink>
      <w:r w:rsidRPr="00945782">
        <w:rPr>
          <w:lang w:val="ru-RU"/>
        </w:rPr>
        <w:t xml:space="preserve"> является основной точкой входа для участия в мероприятиях МСЭ по развитию потенциала и профессиональной подготовке. Он предоставляет специалистам в области ИКТ и директивным органам доступ к возможностям расширения потенциала с использованием различных методик, адаптированных к разным стилям обучения, включая онлайн-курсы с преподавателем, программы самоподготовки и очные курсы. Обширный каталог программ подготовки охватывает широкий круг тем, актуальных для членов МСЭ, таких как искусственный интеллект, кибербезопасность, электронные отходы, управление использованием спектра, цифровая трансформация, спутниковая связь, электросвязь в чрезвычайных ситуациях, управление данными, измерение ИКТ, политика и регулирование, беспроводной и фиксированный широкополосный доступ и другие.</w:t>
      </w:r>
    </w:p>
    <w:p w14:paraId="28ED126E" w14:textId="09CA420F" w:rsidR="00D82062" w:rsidRPr="00945782" w:rsidRDefault="00D82062" w:rsidP="00C23153">
      <w:pPr>
        <w:rPr>
          <w:lang w:val="ru-RU"/>
        </w:rPr>
      </w:pPr>
      <w:r w:rsidRPr="00945782">
        <w:rPr>
          <w:lang w:val="ru-RU"/>
        </w:rPr>
        <w:lastRenderedPageBreak/>
        <w:t>За последние годы Академия МСЭ продемонстрировала значительный рост. В период с марта 2022 года по декабрь 2025 года сообщество Академии МСЭ увеличилось втрое − с 26 000 до 83 000 пользователей. В настоящее время более 80% участников представляют развивающиеся страны, а доля женщин среди новых пользователей выросла до 40%, что почти вдвое превышает показатель 2019 года. Ежегодно проводится около 150 курсов, из которых 70% − в</w:t>
      </w:r>
      <w:r w:rsidR="00CC07F7" w:rsidRPr="00945782">
        <w:rPr>
          <w:lang w:val="ru-RU"/>
        </w:rPr>
        <w:t> </w:t>
      </w:r>
      <w:r w:rsidRPr="00945782">
        <w:rPr>
          <w:lang w:val="ru-RU"/>
        </w:rPr>
        <w:t>онлайновом формате, что обеспечивает масштабируемость и доступность, а остальные − в</w:t>
      </w:r>
      <w:r w:rsidR="00CC07F7" w:rsidRPr="00945782">
        <w:rPr>
          <w:lang w:val="ru-RU"/>
        </w:rPr>
        <w:t> </w:t>
      </w:r>
      <w:r w:rsidRPr="00945782">
        <w:rPr>
          <w:lang w:val="ru-RU"/>
        </w:rPr>
        <w:t>очном формате, что способствует интенсивному обмену опытом между участниками. Показатели завершения курсов стабильно превышают средние показатели по отрасли и выросли с 68% для очных курсов и 28% для онлайновых курсов в 2023 году до 90% и 45% соответственно в 2025 году. Эти результаты отражают устойчивые усилия по повышению качества курсов и укреплению взаимодействия с обучающимися. В общей сложности с</w:t>
      </w:r>
      <w:r w:rsidR="00CC07F7" w:rsidRPr="00945782">
        <w:rPr>
          <w:lang w:val="ru-RU"/>
        </w:rPr>
        <w:t> </w:t>
      </w:r>
      <w:r w:rsidRPr="00945782">
        <w:rPr>
          <w:lang w:val="ru-RU"/>
        </w:rPr>
        <w:t>2023</w:t>
      </w:r>
      <w:r w:rsidR="00CC07F7" w:rsidRPr="00945782">
        <w:rPr>
          <w:lang w:val="ru-RU"/>
        </w:rPr>
        <w:t> </w:t>
      </w:r>
      <w:r w:rsidRPr="00945782">
        <w:rPr>
          <w:lang w:val="ru-RU"/>
        </w:rPr>
        <w:t>года было выдано более 17 500 сертификатов, свидетельствующих о достижениях участников и служащих подтверждением их квалификации для продвижения по карьерной лестнице.</w:t>
      </w:r>
    </w:p>
    <w:p w14:paraId="29E8BBFC" w14:textId="4AF3534B" w:rsidR="00D82062" w:rsidRPr="00945782" w:rsidRDefault="00D82062" w:rsidP="00C23153">
      <w:pPr>
        <w:pStyle w:val="Figuretitle"/>
        <w:spacing w:before="240"/>
        <w:rPr>
          <w:lang w:val="ru-RU"/>
        </w:rPr>
      </w:pPr>
      <w:r w:rsidRPr="00945782">
        <w:rPr>
          <w:lang w:val="ru-RU"/>
        </w:rPr>
        <w:t>Число участников, зарегистрировавшихся в Академии МСЭ, 2012–2024 годы</w:t>
      </w:r>
    </w:p>
    <w:p w14:paraId="76400F9F" w14:textId="441C620F" w:rsidR="000C3312" w:rsidRPr="00945782" w:rsidRDefault="000C3312" w:rsidP="00D82062">
      <w:pPr>
        <w:jc w:val="center"/>
        <w:rPr>
          <w:lang w:val="ru-RU"/>
        </w:rPr>
      </w:pPr>
      <w:r w:rsidRPr="00945782">
        <w:rPr>
          <w:noProof/>
          <w:lang w:val="ru-RU"/>
        </w:rPr>
        <w:drawing>
          <wp:inline distT="0" distB="0" distL="0" distR="0" wp14:anchorId="4080234B" wp14:editId="4CCC7597">
            <wp:extent cx="4686300" cy="2468681"/>
            <wp:effectExtent l="0" t="0" r="0" b="8255"/>
            <wp:docPr id="21372885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93900" cy="2472685"/>
                    </a:xfrm>
                    <a:prstGeom prst="rect">
                      <a:avLst/>
                    </a:prstGeom>
                    <a:noFill/>
                  </pic:spPr>
                </pic:pic>
              </a:graphicData>
            </a:graphic>
          </wp:inline>
        </w:drawing>
      </w:r>
    </w:p>
    <w:p w14:paraId="000B01B0" w14:textId="5DA49839" w:rsidR="00D82062" w:rsidRPr="00945782" w:rsidRDefault="00D82062" w:rsidP="00C23153">
      <w:pPr>
        <w:pStyle w:val="Figure"/>
        <w:spacing w:before="120"/>
        <w:rPr>
          <w:i/>
          <w:iCs/>
          <w:color w:val="1F497D" w:themeColor="text2"/>
          <w:sz w:val="18"/>
          <w:szCs w:val="18"/>
          <w:lang w:val="ru-RU"/>
        </w:rPr>
      </w:pPr>
      <w:bookmarkStart w:id="95" w:name="Fig16"/>
      <w:r w:rsidRPr="00945782">
        <w:rPr>
          <w:i/>
          <w:iCs/>
          <w:color w:val="1F497D" w:themeColor="text2"/>
          <w:sz w:val="18"/>
          <w:szCs w:val="18"/>
          <w:lang w:val="ru-RU"/>
        </w:rPr>
        <w:t>Рис</w:t>
      </w:r>
      <w:r w:rsidR="00C23153" w:rsidRPr="00945782">
        <w:rPr>
          <w:i/>
          <w:iCs/>
          <w:color w:val="1F497D" w:themeColor="text2"/>
          <w:sz w:val="18"/>
          <w:szCs w:val="18"/>
          <w:lang w:val="ru-RU"/>
        </w:rPr>
        <w:t>унок</w:t>
      </w:r>
      <w:r w:rsidRPr="00945782">
        <w:rPr>
          <w:i/>
          <w:iCs/>
          <w:color w:val="1F497D" w:themeColor="text2"/>
          <w:sz w:val="18"/>
          <w:szCs w:val="18"/>
          <w:lang w:val="ru-RU"/>
        </w:rPr>
        <w:t xml:space="preserve"> 16</w:t>
      </w:r>
      <w:r w:rsidR="00C23153" w:rsidRPr="00945782">
        <w:rPr>
          <w:i/>
          <w:iCs/>
          <w:color w:val="1F497D" w:themeColor="text2"/>
          <w:sz w:val="18"/>
          <w:szCs w:val="18"/>
          <w:lang w:val="ru-RU"/>
        </w:rPr>
        <w:t xml:space="preserve"> −</w:t>
      </w:r>
      <w:r w:rsidRPr="00945782">
        <w:rPr>
          <w:i/>
          <w:iCs/>
          <w:color w:val="1F497D" w:themeColor="text2"/>
          <w:sz w:val="18"/>
          <w:szCs w:val="18"/>
          <w:lang w:val="ru-RU"/>
        </w:rPr>
        <w:t xml:space="preserve"> Число участников, зарегистрировавшихся в Академии МСЭ, 2012–2024 годы</w:t>
      </w:r>
    </w:p>
    <w:bookmarkEnd w:id="95"/>
    <w:p w14:paraId="414C5DAE" w14:textId="77777777" w:rsidR="00D82062" w:rsidRPr="00945782" w:rsidRDefault="00D82062" w:rsidP="00C23153">
      <w:pPr>
        <w:rPr>
          <w:lang w:val="ru-RU"/>
        </w:rPr>
      </w:pPr>
      <w:r w:rsidRPr="00945782">
        <w:rPr>
          <w:lang w:val="ru-RU"/>
        </w:rPr>
        <w:t xml:space="preserve">Одним из ключевых механизмов реализации профессиональной подготовки в МСЭ является сеть </w:t>
      </w:r>
      <w:hyperlink r:id="rId254" w:history="1">
        <w:r w:rsidRPr="00945782">
          <w:rPr>
            <w:rStyle w:val="Hyperlink"/>
            <w:rFonts w:asciiTheme="minorHAnsi" w:hAnsiTheme="minorHAnsi" w:cstheme="minorHAnsi"/>
            <w:szCs w:val="22"/>
            <w:lang w:val="ru-RU"/>
          </w:rPr>
          <w:t>центров профессиональной подготовки Академии МСЭ</w:t>
        </w:r>
      </w:hyperlink>
      <w:r w:rsidRPr="00945782">
        <w:rPr>
          <w:lang w:val="ru-RU"/>
        </w:rPr>
        <w:t xml:space="preserve"> (ATC), созданная в 2023 году по итогам ВКРЭ 2022 года.</w:t>
      </w:r>
    </w:p>
    <w:p w14:paraId="29B2C484" w14:textId="51B0BE83" w:rsidR="00D82062" w:rsidRPr="00945782" w:rsidRDefault="00D82062" w:rsidP="00C23153">
      <w:pPr>
        <w:rPr>
          <w:lang w:val="ru-RU"/>
        </w:rPr>
      </w:pPr>
      <w:r w:rsidRPr="00945782">
        <w:rPr>
          <w:lang w:val="ru-RU"/>
        </w:rPr>
        <w:t>ATC – это признанные на международном уровне учреждения, предоставляющие высококачественную профессиональную подготовку для специалистов среднего и высшего звена, в которых особое внимание уделяется потребностям развивающихся стран. Эти ключевые партнеры МСЭ в области развития потенциала обеспечивают проведение почти 40%</w:t>
      </w:r>
      <w:r w:rsidR="00C23153" w:rsidRPr="00945782">
        <w:rPr>
          <w:lang w:val="ru-RU"/>
        </w:rPr>
        <w:t> </w:t>
      </w:r>
      <w:r w:rsidRPr="00945782">
        <w:rPr>
          <w:lang w:val="ru-RU"/>
        </w:rPr>
        <w:t>всех курсов на платформе Академии МСЭ, при этом остальные курсы организуются МСЭ и другими партнерами. Благодаря этой сети Академия МСЭ функционирует в условиях разнообразной экосистемы, сочетающей глобальный охват с региональной экспертизой. ATC проводят курсы по наиболее важным темам, определяемым членами МСЭ, включая политику и регулирование, сетевую инфраструктуру, управление использованием спектра, кибербезопасность, появляющиеся технологии, обеспечение всеобщего охвата цифровыми технологиями и цифровые услуги.</w:t>
      </w:r>
    </w:p>
    <w:p w14:paraId="4A29B712" w14:textId="77D0D726" w:rsidR="00D82062" w:rsidRPr="00945782" w:rsidRDefault="00D82062" w:rsidP="00C23153">
      <w:pPr>
        <w:rPr>
          <w:lang w:val="ru-RU"/>
        </w:rPr>
      </w:pPr>
      <w:r w:rsidRPr="00945782">
        <w:rPr>
          <w:lang w:val="ru-RU"/>
        </w:rPr>
        <w:t xml:space="preserve">С момента запуска программы в январе 2023 года по декабрь 2025 года 14 центрами было реализовано 159 курсов, по итогам которых сертификаты были выданы 4048 участникам. Большинство участников курсов представляют государственный сектор (министерства, регулирующие органы) и организации электросвязи, далее в порядке представленности </w:t>
      </w:r>
      <w:r w:rsidRPr="00945782">
        <w:rPr>
          <w:lang w:val="ru-RU"/>
        </w:rPr>
        <w:lastRenderedPageBreak/>
        <w:t xml:space="preserve">следуют академические учреждения, частный сектор и другие организации. Участники представляют все </w:t>
      </w:r>
      <w:r w:rsidR="00C23153" w:rsidRPr="00945782">
        <w:rPr>
          <w:lang w:val="ru-RU"/>
        </w:rPr>
        <w:t>Государства </w:t>
      </w:r>
      <w:r w:rsidRPr="00945782">
        <w:rPr>
          <w:lang w:val="ru-RU"/>
        </w:rPr>
        <w:t xml:space="preserve">− </w:t>
      </w:r>
      <w:r w:rsidR="00C23153" w:rsidRPr="00945782">
        <w:rPr>
          <w:lang w:val="ru-RU"/>
        </w:rPr>
        <w:t xml:space="preserve">Члены </w:t>
      </w:r>
      <w:r w:rsidRPr="00945782">
        <w:rPr>
          <w:lang w:val="ru-RU"/>
        </w:rPr>
        <w:t>МСЭ, при этом 86% из них − развивающиеся страны; в плане регионального распределения большинство участников представляют страны Африки, за которой следуют Северная и Южная Америка и Азиатско-Тихоокеанский регион (см.</w:t>
      </w:r>
      <w:r w:rsidR="00C23153" w:rsidRPr="00945782">
        <w:rPr>
          <w:lang w:val="ru-RU"/>
        </w:rPr>
        <w:t> </w:t>
      </w:r>
      <w:hyperlink w:anchor="Fig17" w:history="1">
        <w:r w:rsidR="00C23153" w:rsidRPr="00945782">
          <w:rPr>
            <w:rStyle w:val="Hyperlink"/>
            <w:rFonts w:asciiTheme="minorHAnsi" w:hAnsiTheme="minorHAnsi" w:cstheme="minorHAnsi"/>
            <w:szCs w:val="22"/>
            <w:lang w:val="ru-RU"/>
          </w:rPr>
          <w:t>Рисунок 17</w:t>
        </w:r>
      </w:hyperlink>
      <w:r w:rsidRPr="00945782">
        <w:rPr>
          <w:lang w:val="ru-RU"/>
        </w:rPr>
        <w:t>)</w:t>
      </w:r>
      <w:r w:rsidR="00C23153" w:rsidRPr="00945782">
        <w:rPr>
          <w:lang w:val="ru-RU"/>
        </w:rPr>
        <w:t>.</w:t>
      </w:r>
    </w:p>
    <w:p w14:paraId="3D611371" w14:textId="77777777" w:rsidR="00D82062" w:rsidRPr="00945782" w:rsidRDefault="00D82062" w:rsidP="00C23153">
      <w:pPr>
        <w:pStyle w:val="Figuretitle"/>
        <w:spacing w:before="240"/>
        <w:rPr>
          <w:lang w:val="ru-RU"/>
        </w:rPr>
      </w:pPr>
      <w:r w:rsidRPr="00945782">
        <w:rPr>
          <w:lang w:val="ru-RU"/>
        </w:rPr>
        <w:t>Участники курсов, предлагаемых центрами профессиональной подготовки</w:t>
      </w:r>
      <w:r w:rsidRPr="00945782">
        <w:rPr>
          <w:lang w:val="ru-RU"/>
        </w:rPr>
        <w:br/>
        <w:t>Академии МСЭ, в разбивке по регионам</w:t>
      </w:r>
    </w:p>
    <w:p w14:paraId="5033B117" w14:textId="77777777" w:rsidR="00D82062" w:rsidRPr="00945782" w:rsidRDefault="00D82062" w:rsidP="00D82062">
      <w:pPr>
        <w:jc w:val="center"/>
        <w:rPr>
          <w:rFonts w:asciiTheme="minorHAnsi" w:hAnsiTheme="minorHAnsi" w:cstheme="minorHAnsi"/>
          <w:b/>
          <w:bCs/>
          <w:szCs w:val="22"/>
          <w:lang w:val="ru-RU"/>
        </w:rPr>
      </w:pPr>
      <w:r w:rsidRPr="00945782">
        <w:rPr>
          <w:noProof/>
          <w:lang w:val="ru-RU"/>
        </w:rPr>
        <w:drawing>
          <wp:inline distT="0" distB="0" distL="0" distR="0" wp14:anchorId="156AFFB9" wp14:editId="44E121BE">
            <wp:extent cx="5080000" cy="2743200"/>
            <wp:effectExtent l="0" t="0" r="12700" b="12700"/>
            <wp:docPr id="1941236545" name="Chart 1">
              <a:extLst xmlns:a="http://schemas.openxmlformats.org/drawingml/2006/main">
                <a:ext uri="{FF2B5EF4-FFF2-40B4-BE49-F238E27FC236}">
                  <a16:creationId xmlns:a16="http://schemas.microsoft.com/office/drawing/2014/main" id="{77B15339-62DE-33BB-4F77-C86E64402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6A1D8D6E" w14:textId="42428874" w:rsidR="00D82062" w:rsidRPr="00945782" w:rsidRDefault="00D82062" w:rsidP="00C23153">
      <w:pPr>
        <w:pStyle w:val="Figure"/>
        <w:rPr>
          <w:i/>
          <w:iCs/>
          <w:color w:val="1F497D" w:themeColor="text2"/>
          <w:sz w:val="18"/>
          <w:szCs w:val="18"/>
          <w:lang w:val="ru-RU"/>
        </w:rPr>
      </w:pPr>
      <w:bookmarkStart w:id="96" w:name="Fig17"/>
      <w:r w:rsidRPr="00945782">
        <w:rPr>
          <w:i/>
          <w:iCs/>
          <w:color w:val="1F497D" w:themeColor="text2"/>
          <w:sz w:val="18"/>
          <w:szCs w:val="18"/>
          <w:lang w:val="ru-RU"/>
        </w:rPr>
        <w:t>Рис</w:t>
      </w:r>
      <w:r w:rsidR="00C23153" w:rsidRPr="00945782">
        <w:rPr>
          <w:i/>
          <w:iCs/>
          <w:color w:val="1F497D" w:themeColor="text2"/>
          <w:sz w:val="18"/>
          <w:szCs w:val="18"/>
          <w:lang w:val="ru-RU"/>
        </w:rPr>
        <w:t>унок</w:t>
      </w:r>
      <w:r w:rsidRPr="00945782">
        <w:rPr>
          <w:i/>
          <w:iCs/>
          <w:color w:val="1F497D" w:themeColor="text2"/>
          <w:sz w:val="18"/>
          <w:szCs w:val="18"/>
          <w:lang w:val="ru-RU"/>
        </w:rPr>
        <w:t> 17</w:t>
      </w:r>
      <w:r w:rsidR="00C23153" w:rsidRPr="00945782">
        <w:rPr>
          <w:i/>
          <w:iCs/>
          <w:color w:val="1F497D" w:themeColor="text2"/>
          <w:sz w:val="18"/>
          <w:szCs w:val="18"/>
          <w:lang w:val="ru-RU"/>
        </w:rPr>
        <w:t xml:space="preserve"> −</w:t>
      </w:r>
      <w:r w:rsidRPr="00945782">
        <w:rPr>
          <w:i/>
          <w:iCs/>
          <w:color w:val="1F497D" w:themeColor="text2"/>
          <w:sz w:val="18"/>
          <w:szCs w:val="18"/>
          <w:lang w:val="ru-RU"/>
        </w:rPr>
        <w:t xml:space="preserve"> Участники курсов, предлагаемых центрами профессиональной подготовки</w:t>
      </w:r>
      <w:r w:rsidRPr="00945782">
        <w:rPr>
          <w:i/>
          <w:iCs/>
          <w:color w:val="1F497D" w:themeColor="text2"/>
          <w:sz w:val="18"/>
          <w:szCs w:val="18"/>
          <w:lang w:val="ru-RU"/>
        </w:rPr>
        <w:br/>
        <w:t>Академии МСЭ, в разбивке по регионам</w:t>
      </w:r>
    </w:p>
    <w:bookmarkEnd w:id="96"/>
    <w:p w14:paraId="0AC79925" w14:textId="77777777" w:rsidR="00D82062" w:rsidRPr="00945782" w:rsidRDefault="00D82062" w:rsidP="00C23153">
      <w:pPr>
        <w:rPr>
          <w:lang w:val="ru-RU"/>
        </w:rPr>
      </w:pPr>
      <w:r w:rsidRPr="00945782">
        <w:rPr>
          <w:lang w:val="ru-RU"/>
        </w:rPr>
        <w:fldChar w:fldCharType="begin"/>
      </w:r>
      <w:r w:rsidRPr="00945782">
        <w:rPr>
          <w:lang w:val="ru-RU"/>
        </w:rPr>
        <w:instrText>HYPERLINK "https://academy.itu.int/index.php/main-activities/digital-transformation-centres-initiative"</w:instrText>
      </w:r>
      <w:r w:rsidRPr="00945782">
        <w:rPr>
          <w:lang w:val="ru-RU"/>
        </w:rPr>
      </w:r>
      <w:r w:rsidRPr="00945782">
        <w:rPr>
          <w:lang w:val="ru-RU"/>
        </w:rPr>
        <w:fldChar w:fldCharType="separate"/>
      </w:r>
      <w:r w:rsidRPr="00945782">
        <w:rPr>
          <w:rStyle w:val="Hyperlink"/>
          <w:rFonts w:asciiTheme="minorHAnsi" w:hAnsiTheme="minorHAnsi" w:cstheme="minorHAnsi"/>
          <w:szCs w:val="22"/>
          <w:lang w:val="ru-RU"/>
        </w:rPr>
        <w:t>Инициатива "Центры цифровой трансформации" (DTC)</w:t>
      </w:r>
      <w:r w:rsidRPr="00945782">
        <w:rPr>
          <w:lang w:val="ru-RU"/>
        </w:rPr>
        <w:fldChar w:fldCharType="end"/>
      </w:r>
      <w:r w:rsidRPr="00945782">
        <w:rPr>
          <w:lang w:val="ru-RU"/>
        </w:rPr>
        <w:t>, начатая МСЭ в сентябре 2019 года в партнерстве с компанией Cisco, направлена на поддержку стран в укреплении цифрового потенциала граждан, особенно в сельских и обслуживаемых в недостаточной степени сообществах. Инициатива реализуется через глобальную сеть национальных учреждений − Центров цифровой трансформации (DTC), мандат которых предусматривает осуществление программ развития цифровых навыков в странах, в которых они представлены. DTC функционируют на национальном уровне и обладают подтвержденными возможностями, инфраструктурой и опытом для проведения профессиональной подготовки на базовом и среднем уровнях. В период 2021–2025 годов инициатива получила значительную финансовую поддержку со стороны правительства Норвегии, которая была дополнена поддержкой со стороны ФРИКТ МСЭ.</w:t>
      </w:r>
    </w:p>
    <w:p w14:paraId="264ACE4D" w14:textId="77777777" w:rsidR="00D82062" w:rsidRPr="00945782" w:rsidRDefault="00D82062" w:rsidP="00C23153">
      <w:pPr>
        <w:rPr>
          <w:lang w:val="ru-RU"/>
        </w:rPr>
      </w:pPr>
      <w:r w:rsidRPr="00945782">
        <w:rPr>
          <w:lang w:val="ru-RU"/>
        </w:rPr>
        <w:t>Число DTC увеличилось до 15; они представлены в регионах Африки, Северной и Южной Америки, арабских государств и Азии и Тихого океана. За период с начала реализации инициативы в 2020 году по конец декабря 2025 года обучение базовым и средним цифровым навыкам прошли более 610 000 участников (53% которых − женщины).</w:t>
      </w:r>
    </w:p>
    <w:p w14:paraId="1ED919BF" w14:textId="77777777" w:rsidR="00D82062" w:rsidRPr="00945782" w:rsidRDefault="00D82062" w:rsidP="00C23153">
      <w:pPr>
        <w:rPr>
          <w:lang w:val="ru-RU"/>
        </w:rPr>
      </w:pPr>
      <w:r w:rsidRPr="00945782">
        <w:rPr>
          <w:lang w:val="ru-RU"/>
        </w:rPr>
        <w:t>Помимо достижения гендерного паритета в общем охвате инициативы, важно отметить, что расширились масштабы профессиональной подготовки, проводимой в рамках инициативы в обслуживаемых в недостаточной степени и сельских сообществах, которые охвачены услугами DTC. В частности, речь идет о студентах, лицах с ограниченными возможностями, особенно с нарушениями зрения, молодежи, а также о микро-, малых и средних предприятиях. Кроме того, инструкторам и преподавателям была оказана поддержка в создании потенциала для обеспечения высококачественной профессиональной подготовки в этих сообществах.</w:t>
      </w:r>
    </w:p>
    <w:p w14:paraId="09BD6997" w14:textId="3F25E31B" w:rsidR="00D82062" w:rsidRPr="00945782" w:rsidRDefault="00D82062" w:rsidP="00C23153">
      <w:pPr>
        <w:rPr>
          <w:lang w:val="ru-RU"/>
        </w:rPr>
      </w:pPr>
      <w:r w:rsidRPr="00945782">
        <w:rPr>
          <w:lang w:val="ru-RU"/>
        </w:rPr>
        <w:lastRenderedPageBreak/>
        <w:t>В рамках этой инициативы МСЭ и Cisco содействуют созданию возможностей для установления контактов между DTC, ежегодно организуя очные семинары-практикумы и виртуальные собрания. Эти собрания способствуют укреплению глобальной сети DTC и предоставляют платформу для обсуждения хода реализации, обзора результатов работы и достижений, а также для изучения новых идей в поддержку работы DTC. В 2023, 2024 и 2025 годах в качестве площадок для проведения Глобальных семинаров-практикумов DTC выступили: Департамент информационно-коммуникационных технологий (DTC в Республике Филиппины); Центр профессиональной подготовки и развития в области ИКТ при Министерстве связи и информатики (DTC в Индонезии) совместно с Indosat Ooredoo Hutchison; коммунальные центры технологии (Centros Tecnológicos Comunitarios – DTC в Доминиканской Республике) совместно с Доминиканским институтом электросвязи (INDOTEL). Эти собрания предоставляют DTC возможность регулярно взаимодействовать друг с другом и продолжают укреплять сообщество</w:t>
      </w:r>
      <w:r w:rsidR="00C23153" w:rsidRPr="00945782">
        <w:rPr>
          <w:lang w:val="ru-RU"/>
        </w:rPr>
        <w:t> </w:t>
      </w:r>
      <w:r w:rsidRPr="00945782">
        <w:rPr>
          <w:lang w:val="ru-RU"/>
        </w:rPr>
        <w:t>DTC.</w:t>
      </w:r>
    </w:p>
    <w:p w14:paraId="428877FC" w14:textId="7414A2D1" w:rsidR="00D82062" w:rsidRPr="00945782" w:rsidRDefault="00D82062" w:rsidP="00C23153">
      <w:pPr>
        <w:rPr>
          <w:rFonts w:asciiTheme="minorHAnsi" w:hAnsiTheme="minorHAnsi" w:cstheme="minorHAnsi"/>
          <w:szCs w:val="22"/>
          <w:lang w:val="ru-RU"/>
        </w:rPr>
      </w:pPr>
      <w:r w:rsidRPr="00945782">
        <w:rPr>
          <w:rFonts w:asciiTheme="minorHAnsi" w:hAnsiTheme="minorHAnsi" w:cstheme="minorHAnsi"/>
          <w:szCs w:val="22"/>
          <w:lang w:val="ru-RU"/>
        </w:rPr>
        <w:t xml:space="preserve">Форум МСЭ по цифровым навыкам является основным глобальным мероприятием, на котором члены МСЭ и другие заинтересованные стороны обсуждают наиболее насущные потребности, которые необходимо удовлетворить для обеспечения возможности приобретения универсальных цифровых навыков и преодоления глобального разрыва в цифровых навыках. </w:t>
      </w:r>
      <w:hyperlink r:id="rId256" w:history="1">
        <w:r w:rsidRPr="00945782">
          <w:rPr>
            <w:rStyle w:val="Hyperlink"/>
            <w:rFonts w:asciiTheme="minorHAnsi" w:hAnsiTheme="minorHAnsi" w:cstheme="minorHAnsi"/>
            <w:szCs w:val="22"/>
            <w:lang w:val="ru-RU"/>
          </w:rPr>
          <w:t>Форум МСЭ по цифровым навыкам 2024 года</w:t>
        </w:r>
      </w:hyperlink>
      <w:r w:rsidRPr="00945782">
        <w:rPr>
          <w:rFonts w:asciiTheme="minorHAnsi" w:hAnsiTheme="minorHAnsi" w:cstheme="minorHAnsi"/>
          <w:szCs w:val="22"/>
          <w:lang w:val="ru-RU"/>
        </w:rPr>
        <w:t xml:space="preserve"> прошел в Манаме, Бахрейн, с 17 по 19 сентября 2024 года. Симпозиум был организован МСЭ, а принимающей стороной выступил Регуляторный орган электросвязи (TRA) Королевства Бахрейн. В работе Форума, посвященного теме "Развитие навыков для цифровой трансформации", приняли участие более 700</w:t>
      </w:r>
      <w:r w:rsidR="00C23153" w:rsidRPr="00945782">
        <w:rPr>
          <w:rFonts w:asciiTheme="minorHAnsi" w:hAnsiTheme="minorHAnsi" w:cstheme="minorHAnsi"/>
          <w:szCs w:val="22"/>
          <w:lang w:val="ru-RU"/>
        </w:rPr>
        <w:t> </w:t>
      </w:r>
      <w:r w:rsidRPr="00945782">
        <w:rPr>
          <w:rFonts w:asciiTheme="minorHAnsi" w:hAnsiTheme="minorHAnsi" w:cstheme="minorHAnsi"/>
          <w:szCs w:val="22"/>
          <w:lang w:val="ru-RU"/>
        </w:rPr>
        <w:t>представителей государственных и частных организаций, университетов и научно-исследовательских институтов, а также других региональных и международных организаций из</w:t>
      </w:r>
      <w:r w:rsidR="00C23153" w:rsidRPr="00945782">
        <w:rPr>
          <w:rFonts w:asciiTheme="minorHAnsi" w:hAnsiTheme="minorHAnsi" w:cstheme="minorHAnsi"/>
          <w:szCs w:val="22"/>
          <w:lang w:val="ru-RU"/>
        </w:rPr>
        <w:t> </w:t>
      </w:r>
      <w:r w:rsidRPr="00945782">
        <w:rPr>
          <w:rFonts w:asciiTheme="minorHAnsi" w:hAnsiTheme="minorHAnsi" w:cstheme="minorHAnsi"/>
          <w:szCs w:val="22"/>
          <w:lang w:val="ru-RU"/>
        </w:rPr>
        <w:t>66</w:t>
      </w:r>
      <w:r w:rsidR="00C23153" w:rsidRPr="00945782">
        <w:rPr>
          <w:rFonts w:asciiTheme="minorHAnsi" w:hAnsiTheme="minorHAnsi" w:cstheme="minorHAnsi"/>
          <w:szCs w:val="22"/>
          <w:lang w:val="ru-RU"/>
        </w:rPr>
        <w:t> </w:t>
      </w:r>
      <w:r w:rsidRPr="00945782">
        <w:rPr>
          <w:rFonts w:asciiTheme="minorHAnsi" w:hAnsiTheme="minorHAnsi" w:cstheme="minorHAnsi"/>
          <w:szCs w:val="22"/>
          <w:lang w:val="ru-RU"/>
        </w:rPr>
        <w:t>стран.</w:t>
      </w:r>
    </w:p>
    <w:p w14:paraId="086FC5E2" w14:textId="47C971EA" w:rsidR="00D82062" w:rsidRPr="00945782" w:rsidRDefault="00D82062" w:rsidP="00C23153">
      <w:pPr>
        <w:rPr>
          <w:rFonts w:asciiTheme="minorHAnsi" w:hAnsiTheme="minorHAnsi" w:cstheme="minorHAnsi"/>
          <w:szCs w:val="22"/>
          <w:lang w:val="ru-RU"/>
        </w:rPr>
      </w:pPr>
      <w:r w:rsidRPr="00945782">
        <w:rPr>
          <w:rFonts w:asciiTheme="minorHAnsi" w:hAnsiTheme="minorHAnsi" w:cstheme="minorHAnsi"/>
          <w:szCs w:val="22"/>
          <w:lang w:val="ru-RU"/>
        </w:rPr>
        <w:t>На Форуме цифровых навыков 2024 года был представлен</w:t>
      </w:r>
      <w:r w:rsidRPr="00945782">
        <w:rPr>
          <w:lang w:val="ru-RU"/>
        </w:rPr>
        <w:t xml:space="preserve"> </w:t>
      </w:r>
      <w:hyperlink r:id="rId257" w:history="1">
        <w:r w:rsidRPr="00945782">
          <w:rPr>
            <w:rStyle w:val="Hyperlink"/>
            <w:rFonts w:asciiTheme="minorHAnsi" w:hAnsiTheme="minorHAnsi" w:cstheme="minorHAnsi"/>
            <w:szCs w:val="22"/>
            <w:lang w:val="ru-RU"/>
          </w:rPr>
          <w:t>Комплект материалов МСЭ по цифровым навыкам 2024 года</w:t>
        </w:r>
      </w:hyperlink>
      <w:r w:rsidRPr="00945782">
        <w:rPr>
          <w:rFonts w:asciiTheme="minorHAnsi" w:hAnsiTheme="minorHAnsi" w:cstheme="minorHAnsi"/>
          <w:szCs w:val="22"/>
          <w:lang w:val="ru-RU"/>
        </w:rPr>
        <w:t>. Комплект материалов представляет собой комплексное пошаговое руководство для поддержки членов МСЭ в разработке эффективных национальных стратегий и политики в области цифровых навыков. Этот практический ресурс содержит полезную информацию и примеры, что делает его ценным инструментом для стран, находящихся на всех этапах цифрового развития. В 2025 году на базе этого комплекта материалов был разработан онлайновый учебный курс, который будет доступен в начале 2026</w:t>
      </w:r>
      <w:r w:rsidR="00C23153" w:rsidRPr="00945782">
        <w:rPr>
          <w:rFonts w:asciiTheme="minorHAnsi" w:hAnsiTheme="minorHAnsi" w:cstheme="minorHAnsi"/>
          <w:szCs w:val="22"/>
          <w:lang w:val="ru-RU"/>
        </w:rPr>
        <w:t> </w:t>
      </w:r>
      <w:r w:rsidRPr="00945782">
        <w:rPr>
          <w:rFonts w:asciiTheme="minorHAnsi" w:hAnsiTheme="minorHAnsi" w:cstheme="minorHAnsi"/>
          <w:szCs w:val="22"/>
          <w:lang w:val="ru-RU"/>
        </w:rPr>
        <w:t>года.</w:t>
      </w:r>
    </w:p>
    <w:p w14:paraId="43071F95" w14:textId="77777777" w:rsidR="00D82062" w:rsidRPr="00945782" w:rsidRDefault="00D82062" w:rsidP="00C23153">
      <w:pPr>
        <w:rPr>
          <w:rFonts w:asciiTheme="minorHAnsi" w:hAnsiTheme="minorHAnsi" w:cstheme="minorHAnsi"/>
          <w:szCs w:val="22"/>
          <w:lang w:val="ru-RU"/>
        </w:rPr>
      </w:pPr>
      <w:r w:rsidRPr="00945782">
        <w:rPr>
          <w:rFonts w:asciiTheme="minorHAnsi" w:hAnsiTheme="minorHAnsi" w:cstheme="minorHAnsi"/>
          <w:szCs w:val="22"/>
          <w:lang w:val="ru-RU"/>
        </w:rPr>
        <w:t xml:space="preserve">В рамках компонента, посвященного развитию потенциала в рамках инициативы "Преодоление разрыва в стандартизации", учебные материалы предоставляются для доступа по требованию через </w:t>
      </w:r>
      <w:hyperlink r:id="rId258" w:history="1">
        <w:r w:rsidRPr="00945782">
          <w:rPr>
            <w:rStyle w:val="Hyperlink"/>
            <w:rFonts w:asciiTheme="minorHAnsi" w:hAnsiTheme="minorHAnsi" w:cstheme="minorHAnsi"/>
            <w:szCs w:val="22"/>
            <w:lang w:val="ru-RU"/>
          </w:rPr>
          <w:t>ресурсы МСЭ-Т</w:t>
        </w:r>
      </w:hyperlink>
      <w:r w:rsidRPr="00945782">
        <w:rPr>
          <w:rFonts w:asciiTheme="minorHAnsi" w:hAnsiTheme="minorHAnsi" w:cstheme="minorHAnsi"/>
          <w:szCs w:val="22"/>
          <w:lang w:val="ru-RU"/>
        </w:rPr>
        <w:t xml:space="preserve"> на всех шести языках, где это возможно.</w:t>
      </w:r>
      <w:r w:rsidRPr="00945782">
        <w:rPr>
          <w:lang w:val="ru-RU"/>
        </w:rPr>
        <w:t xml:space="preserve"> </w:t>
      </w:r>
      <w:r w:rsidRPr="00945782">
        <w:rPr>
          <w:rFonts w:asciiTheme="minorHAnsi" w:hAnsiTheme="minorHAnsi" w:cstheme="minorHAnsi"/>
          <w:szCs w:val="22"/>
          <w:lang w:val="ru-RU"/>
        </w:rPr>
        <w:t>Между бюро стандартизации и развития электросвязи МСЭ (БСЭ и БРЭ) и региональными отделениями МСЭ на постоянной основе ведется сотрудничество в целях повышения уровня осведомленности и создания потенциала на региональном уровне.</w:t>
      </w:r>
    </w:p>
    <w:p w14:paraId="03535E9D" w14:textId="77777777" w:rsidR="00D82062" w:rsidRPr="00945782" w:rsidRDefault="00D82062" w:rsidP="00C23153">
      <w:pPr>
        <w:rPr>
          <w:rFonts w:asciiTheme="minorHAnsi" w:hAnsiTheme="minorHAnsi" w:cstheme="minorHAnsi"/>
          <w:szCs w:val="22"/>
          <w:lang w:val="ru-RU"/>
        </w:rPr>
      </w:pPr>
      <w:r w:rsidRPr="00945782">
        <w:rPr>
          <w:rFonts w:asciiTheme="minorHAnsi" w:hAnsiTheme="minorHAnsi" w:cstheme="minorHAnsi"/>
          <w:szCs w:val="22"/>
          <w:lang w:val="ru-RU"/>
        </w:rPr>
        <w:t xml:space="preserve">С еще одним примером текущих программ и инициатив по развитию потенциала можно ознакомиться в разделе </w:t>
      </w:r>
      <w:hyperlink w:anchor="_4.8.2_&quot;ИИ_во" w:history="1">
        <w:r w:rsidRPr="00945782">
          <w:rPr>
            <w:rStyle w:val="Hyperlink"/>
            <w:rFonts w:asciiTheme="minorHAnsi" w:hAnsiTheme="minorHAnsi" w:cstheme="minorHAnsi"/>
            <w:szCs w:val="22"/>
            <w:lang w:val="ru-RU"/>
          </w:rPr>
          <w:t>4.8.2</w:t>
        </w:r>
      </w:hyperlink>
      <w:r w:rsidRPr="00945782">
        <w:rPr>
          <w:rFonts w:asciiTheme="minorHAnsi" w:hAnsiTheme="minorHAnsi" w:cstheme="minorHAnsi"/>
          <w:szCs w:val="22"/>
          <w:lang w:val="ru-RU"/>
        </w:rPr>
        <w:t xml:space="preserve"> (</w:t>
      </w:r>
      <w:hyperlink r:id="rId259" w:history="1">
        <w:r w:rsidRPr="00945782">
          <w:rPr>
            <w:rStyle w:val="Hyperlink"/>
            <w:rFonts w:asciiTheme="minorHAnsi" w:hAnsiTheme="minorHAnsi" w:cstheme="minorHAnsi"/>
            <w:szCs w:val="22"/>
            <w:lang w:val="ru-RU"/>
          </w:rPr>
          <w:t>Коалиция по навыкам в области ИИ</w:t>
        </w:r>
      </w:hyperlink>
      <w:r w:rsidRPr="00945782">
        <w:rPr>
          <w:rFonts w:asciiTheme="minorHAnsi" w:hAnsiTheme="minorHAnsi" w:cstheme="minorHAnsi"/>
          <w:szCs w:val="22"/>
          <w:lang w:val="ru-RU"/>
        </w:rPr>
        <w:t xml:space="preserve">). Кроме того, в разделе </w:t>
      </w:r>
      <w:hyperlink w:anchor="_5.5_Партнерства_и" w:history="1">
        <w:r w:rsidRPr="00945782">
          <w:rPr>
            <w:rStyle w:val="Hyperlink"/>
            <w:rFonts w:asciiTheme="minorHAnsi" w:hAnsiTheme="minorHAnsi" w:cstheme="minorHAnsi"/>
            <w:szCs w:val="22"/>
            <w:lang w:val="ru-RU"/>
          </w:rPr>
          <w:t>5.5</w:t>
        </w:r>
      </w:hyperlink>
      <w:r w:rsidRPr="00945782">
        <w:rPr>
          <w:rFonts w:asciiTheme="minorHAnsi" w:hAnsiTheme="minorHAnsi" w:cstheme="minorHAnsi"/>
          <w:szCs w:val="22"/>
          <w:lang w:val="ru-RU"/>
        </w:rPr>
        <w:t xml:space="preserve"> рассказывается об инициативе Giga по подключению школ, реализация которой происходит с опорой на программы развития потенциала с участием правительств и заинтересованных сторон с использованием платформы Академии МСЭ.</w:t>
      </w:r>
    </w:p>
    <w:p w14:paraId="30616B74" w14:textId="7C0ABB75" w:rsidR="00D82062" w:rsidRPr="00945782" w:rsidRDefault="00D82062" w:rsidP="00D82062">
      <w:pPr>
        <w:pStyle w:val="Heading2"/>
        <w:rPr>
          <w:lang w:val="ru-RU"/>
        </w:rPr>
      </w:pPr>
      <w:bookmarkStart w:id="97" w:name="OLE_LINK3"/>
      <w:bookmarkStart w:id="98" w:name="_Toc227062869"/>
      <w:bookmarkStart w:id="99" w:name="_Toc227850257"/>
      <w:r w:rsidRPr="00945782">
        <w:rPr>
          <w:lang w:val="ru-RU"/>
        </w:rPr>
        <w:t>4.7</w:t>
      </w:r>
      <w:bookmarkEnd w:id="97"/>
      <w:r w:rsidR="00C23153" w:rsidRPr="00945782">
        <w:rPr>
          <w:lang w:val="ru-RU"/>
        </w:rPr>
        <w:tab/>
      </w:r>
      <w:r w:rsidRPr="00945782">
        <w:rPr>
          <w:lang w:val="ru-RU"/>
        </w:rPr>
        <w:t>Предоставление технической помощи</w:t>
      </w:r>
      <w:bookmarkEnd w:id="98"/>
      <w:bookmarkEnd w:id="99"/>
    </w:p>
    <w:p w14:paraId="24640062" w14:textId="77777777" w:rsidR="00D82062" w:rsidRPr="00945782" w:rsidRDefault="00D82062" w:rsidP="00C23153">
      <w:pPr>
        <w:rPr>
          <w:lang w:val="ru-RU"/>
        </w:rPr>
      </w:pPr>
      <w:r w:rsidRPr="00945782">
        <w:rPr>
          <w:lang w:val="ru-RU"/>
        </w:rPr>
        <w:t>МСЭ в качестве специализированного учреждения ООН предоставляет обширные технические специальные знания и осуществляет координацию, а также выступает в качестве учреждения –исполнителя проектов цифрового развития, направленных на предоставление преимуществ связи всем людям, где бы они ни находились.</w:t>
      </w:r>
    </w:p>
    <w:p w14:paraId="2B6F85C5" w14:textId="77777777" w:rsidR="00D82062" w:rsidRPr="00945782" w:rsidRDefault="00D82062" w:rsidP="00C23153">
      <w:pPr>
        <w:rPr>
          <w:lang w:val="ru-RU"/>
        </w:rPr>
      </w:pPr>
      <w:r w:rsidRPr="00945782">
        <w:rPr>
          <w:lang w:val="ru-RU"/>
        </w:rPr>
        <w:lastRenderedPageBreak/>
        <w:t>МСЭ-D выполняет важнейшую функцию по реализации проектов в соответствии с соглашениями, заключенными с партнерами по финансированию. Такие проекты направлены на содействие развитию электросвязи и его активизацию путем подготовки, организации и координации деятельности по техническому сотрудничеству и оказанию помощи.</w:t>
      </w:r>
    </w:p>
    <w:p w14:paraId="706BAC0F" w14:textId="24A0B724" w:rsidR="00D82062" w:rsidRPr="00945782" w:rsidRDefault="00D82062" w:rsidP="00C23153">
      <w:pPr>
        <w:rPr>
          <w:lang w:val="ru-RU"/>
        </w:rPr>
      </w:pPr>
      <w:r w:rsidRPr="00945782">
        <w:rPr>
          <w:lang w:val="ru-RU"/>
        </w:rPr>
        <w:t>Только в 2025 году МСЭ (через БРЭ) осуществил или помог реализовать в общей сложности 106</w:t>
      </w:r>
      <w:r w:rsidR="00C23153" w:rsidRPr="00945782">
        <w:rPr>
          <w:lang w:val="ru-RU"/>
        </w:rPr>
        <w:t> </w:t>
      </w:r>
      <w:r w:rsidRPr="00945782">
        <w:rPr>
          <w:lang w:val="ru-RU"/>
        </w:rPr>
        <w:t xml:space="preserve">проектов на сумму 79,7 млн. швейцарских франков. Реализация 32 из этих проектов завершилась в 2025 году, а реализация оставшихся 74 проектов будет продолжена согласно соответствующим проектным документам. В приведенной ниже </w:t>
      </w:r>
      <w:hyperlink w:anchor="ObzorProjectov2025" w:history="1">
        <w:r w:rsidRPr="00945782">
          <w:rPr>
            <w:rStyle w:val="Hyperlink"/>
            <w:rFonts w:asciiTheme="minorHAnsi" w:hAnsiTheme="minorHAnsi" w:cstheme="minorHAnsi"/>
            <w:szCs w:val="22"/>
            <w:lang w:val="ru-RU"/>
          </w:rPr>
          <w:t>таблице</w:t>
        </w:r>
      </w:hyperlink>
      <w:r w:rsidRPr="00945782">
        <w:rPr>
          <w:lang w:val="ru-RU"/>
        </w:rPr>
        <w:t xml:space="preserve"> представлено общее распределение этого портфеля по регионам и обзор 1) средств, мобилизованных для поддержки реализации этих проектов, 2) начального финансирования, выделенного МСЭ из Фонда развития ИКТ (ФРИКТ).</w:t>
      </w:r>
    </w:p>
    <w:p w14:paraId="6DB49EF4" w14:textId="77777777" w:rsidR="00D82062" w:rsidRPr="00945782" w:rsidRDefault="00D82062" w:rsidP="005C681C">
      <w:pPr>
        <w:pStyle w:val="Tabletitle"/>
        <w:spacing w:before="240"/>
        <w:rPr>
          <w:lang w:val="ru-RU"/>
        </w:rPr>
      </w:pPr>
      <w:r w:rsidRPr="00945782">
        <w:rPr>
          <w:lang w:val="ru-RU"/>
        </w:rPr>
        <w:t>Обзор проектов и видов деятельности МСЭ-D в 2025 году</w:t>
      </w:r>
      <w:r w:rsidRPr="00945782">
        <w:rPr>
          <w:lang w:val="ru-RU"/>
        </w:rPr>
        <w:br/>
        <w:t>в разбивке по регионам (в тыс. долл. США)</w:t>
      </w:r>
    </w:p>
    <w:tbl>
      <w:tblPr>
        <w:tblW w:w="0" w:type="auto"/>
        <w:jc w:val="center"/>
        <w:tblLayout w:type="fixed"/>
        <w:tblCellMar>
          <w:left w:w="10" w:type="dxa"/>
          <w:right w:w="10" w:type="dxa"/>
        </w:tblCellMar>
        <w:tblLook w:val="0000" w:firstRow="0" w:lastRow="0" w:firstColumn="0" w:lastColumn="0" w:noHBand="0" w:noVBand="0"/>
      </w:tblPr>
      <w:tblGrid>
        <w:gridCol w:w="1810"/>
        <w:gridCol w:w="1810"/>
        <w:gridCol w:w="1810"/>
        <w:gridCol w:w="1810"/>
        <w:gridCol w:w="1811"/>
      </w:tblGrid>
      <w:tr w:rsidR="00D82062" w:rsidRPr="00945782" w14:paraId="2F4967C4" w14:textId="77777777" w:rsidTr="00EC15A2">
        <w:trPr>
          <w:jc w:val="center"/>
        </w:trPr>
        <w:tc>
          <w:tcPr>
            <w:tcW w:w="1810" w:type="dxa"/>
            <w:tcBorders>
              <w:top w:val="single" w:sz="8" w:space="0" w:color="000000"/>
              <w:left w:val="single" w:sz="8" w:space="0" w:color="000000"/>
              <w:bottom w:val="single" w:sz="8" w:space="0" w:color="000000"/>
            </w:tcBorders>
            <w:shd w:val="clear" w:color="auto" w:fill="70A9E0"/>
            <w:noWrap/>
            <w:tcMar>
              <w:top w:w="0" w:type="dxa"/>
              <w:left w:w="108" w:type="dxa"/>
              <w:bottom w:w="0" w:type="dxa"/>
              <w:right w:w="108" w:type="dxa"/>
            </w:tcMar>
            <w:vAlign w:val="center"/>
          </w:tcPr>
          <w:p w14:paraId="4542D8DF" w14:textId="77777777" w:rsidR="00D82062" w:rsidRPr="00945782" w:rsidRDefault="00D82062" w:rsidP="005C681C">
            <w:pPr>
              <w:pStyle w:val="Tablehead"/>
              <w:rPr>
                <w:rFonts w:eastAsia="MS Mincho"/>
                <w:lang w:val="ru-RU"/>
              </w:rPr>
            </w:pPr>
            <w:r w:rsidRPr="00945782">
              <w:rPr>
                <w:rFonts w:eastAsiaTheme="minorEastAsia"/>
                <w:lang w:val="ru-RU" w:eastAsia="zh-CN"/>
              </w:rPr>
              <w:t>Регион</w:t>
            </w:r>
          </w:p>
        </w:tc>
        <w:tc>
          <w:tcPr>
            <w:tcW w:w="1810" w:type="dxa"/>
            <w:tcBorders>
              <w:top w:val="single" w:sz="8" w:space="0" w:color="000000"/>
              <w:bottom w:val="single" w:sz="8" w:space="0" w:color="000000"/>
            </w:tcBorders>
            <w:shd w:val="clear" w:color="auto" w:fill="70A9E0"/>
            <w:noWrap/>
            <w:tcMar>
              <w:top w:w="0" w:type="dxa"/>
              <w:left w:w="108" w:type="dxa"/>
              <w:bottom w:w="0" w:type="dxa"/>
              <w:right w:w="108" w:type="dxa"/>
            </w:tcMar>
            <w:vAlign w:val="center"/>
          </w:tcPr>
          <w:p w14:paraId="3086C1F2" w14:textId="77777777" w:rsidR="00D82062" w:rsidRPr="00945782" w:rsidRDefault="00D82062" w:rsidP="005C681C">
            <w:pPr>
              <w:pStyle w:val="Tablehead"/>
              <w:rPr>
                <w:rFonts w:eastAsia="MS Mincho"/>
                <w:lang w:val="ru-RU"/>
              </w:rPr>
            </w:pPr>
            <w:r w:rsidRPr="00945782">
              <w:rPr>
                <w:rFonts w:eastAsiaTheme="minorEastAsia"/>
                <w:lang w:val="ru-RU" w:eastAsia="zh-CN"/>
              </w:rPr>
              <w:t>Число проектов</w:t>
            </w:r>
          </w:p>
        </w:tc>
        <w:tc>
          <w:tcPr>
            <w:tcW w:w="1810" w:type="dxa"/>
            <w:tcBorders>
              <w:top w:val="single" w:sz="8" w:space="0" w:color="000000"/>
              <w:bottom w:val="single" w:sz="8" w:space="0" w:color="000000"/>
            </w:tcBorders>
            <w:shd w:val="clear" w:color="auto" w:fill="70A9E0"/>
            <w:noWrap/>
            <w:tcMar>
              <w:top w:w="0" w:type="dxa"/>
              <w:left w:w="108" w:type="dxa"/>
              <w:bottom w:w="0" w:type="dxa"/>
              <w:right w:w="108" w:type="dxa"/>
            </w:tcMar>
            <w:vAlign w:val="center"/>
          </w:tcPr>
          <w:p w14:paraId="3CCB4013" w14:textId="77777777" w:rsidR="00D82062" w:rsidRPr="00945782" w:rsidRDefault="00D82062" w:rsidP="005C681C">
            <w:pPr>
              <w:pStyle w:val="Tablehead"/>
              <w:rPr>
                <w:rFonts w:eastAsia="MS Mincho"/>
                <w:lang w:val="ru-RU"/>
              </w:rPr>
            </w:pPr>
            <w:r w:rsidRPr="00945782">
              <w:rPr>
                <w:rFonts w:eastAsiaTheme="minorEastAsia"/>
                <w:lang w:val="ru-RU" w:eastAsia="zh-CN"/>
              </w:rPr>
              <w:t>Финансирование, предоставляемое партнерами</w:t>
            </w:r>
          </w:p>
        </w:tc>
        <w:tc>
          <w:tcPr>
            <w:tcW w:w="1810" w:type="dxa"/>
            <w:tcBorders>
              <w:top w:val="single" w:sz="8" w:space="0" w:color="000000"/>
              <w:bottom w:val="single" w:sz="8" w:space="0" w:color="000000"/>
            </w:tcBorders>
            <w:shd w:val="clear" w:color="auto" w:fill="70A9E0"/>
            <w:noWrap/>
            <w:tcMar>
              <w:top w:w="0" w:type="dxa"/>
              <w:left w:w="108" w:type="dxa"/>
              <w:bottom w:w="0" w:type="dxa"/>
              <w:right w:w="108" w:type="dxa"/>
            </w:tcMar>
            <w:vAlign w:val="center"/>
          </w:tcPr>
          <w:p w14:paraId="5C65E69A" w14:textId="77777777" w:rsidR="00D82062" w:rsidRPr="00945782" w:rsidRDefault="00D82062" w:rsidP="005C681C">
            <w:pPr>
              <w:pStyle w:val="Tablehead"/>
              <w:rPr>
                <w:rFonts w:eastAsia="MS Mincho"/>
                <w:lang w:val="ru-RU"/>
              </w:rPr>
            </w:pPr>
            <w:r w:rsidRPr="00945782">
              <w:rPr>
                <w:rFonts w:eastAsiaTheme="minorEastAsia"/>
                <w:lang w:val="ru-RU" w:eastAsia="zh-CN"/>
              </w:rPr>
              <w:t>Финансовые средства МСЭ</w:t>
            </w:r>
          </w:p>
        </w:tc>
        <w:tc>
          <w:tcPr>
            <w:tcW w:w="1811" w:type="dxa"/>
            <w:tcBorders>
              <w:top w:val="single" w:sz="8" w:space="0" w:color="000000"/>
              <w:bottom w:val="single" w:sz="8" w:space="0" w:color="000000"/>
              <w:right w:val="single" w:sz="8" w:space="0" w:color="000000"/>
            </w:tcBorders>
            <w:shd w:val="clear" w:color="auto" w:fill="70A9E0"/>
            <w:noWrap/>
            <w:tcMar>
              <w:top w:w="0" w:type="dxa"/>
              <w:left w:w="108" w:type="dxa"/>
              <w:bottom w:w="0" w:type="dxa"/>
              <w:right w:w="108" w:type="dxa"/>
            </w:tcMar>
            <w:vAlign w:val="center"/>
          </w:tcPr>
          <w:p w14:paraId="4C4C89A5" w14:textId="77777777" w:rsidR="00D82062" w:rsidRPr="00945782" w:rsidRDefault="00D82062" w:rsidP="005C681C">
            <w:pPr>
              <w:pStyle w:val="Tablehead"/>
              <w:rPr>
                <w:rFonts w:eastAsia="MS Mincho"/>
                <w:lang w:val="ru-RU"/>
              </w:rPr>
            </w:pPr>
            <w:r w:rsidRPr="00945782">
              <w:rPr>
                <w:rFonts w:eastAsiaTheme="minorEastAsia"/>
                <w:lang w:val="ru-RU" w:eastAsia="zh-CN"/>
              </w:rPr>
              <w:t>Общий объем финансирования проекта</w:t>
            </w:r>
          </w:p>
        </w:tc>
      </w:tr>
      <w:tr w:rsidR="00D82062" w:rsidRPr="00945782" w14:paraId="0A3D52AC" w14:textId="77777777" w:rsidTr="00EC15A2">
        <w:trPr>
          <w:jc w:val="center"/>
        </w:trPr>
        <w:tc>
          <w:tcPr>
            <w:tcW w:w="1810" w:type="dxa"/>
            <w:tcBorders>
              <w:left w:val="single" w:sz="8" w:space="0" w:color="000000"/>
              <w:bottom w:val="single" w:sz="8" w:space="0" w:color="000000"/>
            </w:tcBorders>
            <w:tcMar>
              <w:top w:w="0" w:type="dxa"/>
              <w:left w:w="108" w:type="dxa"/>
              <w:bottom w:w="0" w:type="dxa"/>
              <w:right w:w="108" w:type="dxa"/>
            </w:tcMar>
          </w:tcPr>
          <w:p w14:paraId="2E1EA877" w14:textId="77777777" w:rsidR="00D82062" w:rsidRPr="00945782" w:rsidRDefault="00D82062" w:rsidP="005C681C">
            <w:pPr>
              <w:pStyle w:val="Tabletext"/>
              <w:rPr>
                <w:rFonts w:eastAsia="MS Mincho"/>
                <w:lang w:val="ru-RU"/>
              </w:rPr>
            </w:pPr>
            <w:r w:rsidRPr="00945782">
              <w:rPr>
                <w:lang w:val="ru-RU" w:eastAsia="zh-CN"/>
              </w:rPr>
              <w:t>АФР</w:t>
            </w:r>
          </w:p>
        </w:tc>
        <w:tc>
          <w:tcPr>
            <w:tcW w:w="1810" w:type="dxa"/>
            <w:tcBorders>
              <w:bottom w:val="single" w:sz="8" w:space="0" w:color="000000"/>
            </w:tcBorders>
            <w:noWrap/>
            <w:tcMar>
              <w:top w:w="0" w:type="dxa"/>
              <w:left w:w="108" w:type="dxa"/>
              <w:bottom w:w="0" w:type="dxa"/>
              <w:right w:w="108" w:type="dxa"/>
            </w:tcMar>
          </w:tcPr>
          <w:p w14:paraId="6931A409" w14:textId="77777777" w:rsidR="00D82062" w:rsidRPr="00945782" w:rsidRDefault="00D82062" w:rsidP="005C681C">
            <w:pPr>
              <w:pStyle w:val="Tabletext"/>
              <w:jc w:val="center"/>
              <w:rPr>
                <w:rFonts w:eastAsia="MS Mincho"/>
                <w:lang w:val="ru-RU"/>
              </w:rPr>
            </w:pPr>
            <w:r w:rsidRPr="00945782">
              <w:rPr>
                <w:rFonts w:eastAsia="MS Mincho"/>
                <w:lang w:val="ru-RU"/>
              </w:rPr>
              <w:t>20</w:t>
            </w:r>
          </w:p>
        </w:tc>
        <w:tc>
          <w:tcPr>
            <w:tcW w:w="1810" w:type="dxa"/>
            <w:tcBorders>
              <w:bottom w:val="single" w:sz="8" w:space="0" w:color="000000"/>
            </w:tcBorders>
            <w:tcMar>
              <w:top w:w="0" w:type="dxa"/>
              <w:left w:w="108" w:type="dxa"/>
              <w:bottom w:w="0" w:type="dxa"/>
              <w:right w:w="108" w:type="dxa"/>
            </w:tcMar>
          </w:tcPr>
          <w:p w14:paraId="306EE010" w14:textId="77777777" w:rsidR="00D82062" w:rsidRPr="00945782" w:rsidRDefault="00D82062" w:rsidP="005C681C">
            <w:pPr>
              <w:pStyle w:val="Tabletext"/>
              <w:jc w:val="center"/>
              <w:rPr>
                <w:rFonts w:eastAsia="MS Mincho"/>
                <w:lang w:val="ru-RU"/>
              </w:rPr>
            </w:pPr>
            <w:r w:rsidRPr="00945782">
              <w:rPr>
                <w:rFonts w:eastAsia="MS Mincho"/>
                <w:lang w:val="ru-RU"/>
              </w:rPr>
              <w:t>26 917,7</w:t>
            </w:r>
          </w:p>
        </w:tc>
        <w:tc>
          <w:tcPr>
            <w:tcW w:w="1810" w:type="dxa"/>
            <w:tcBorders>
              <w:bottom w:val="single" w:sz="8" w:space="0" w:color="000000"/>
            </w:tcBorders>
            <w:tcMar>
              <w:top w:w="0" w:type="dxa"/>
              <w:left w:w="108" w:type="dxa"/>
              <w:bottom w:w="0" w:type="dxa"/>
              <w:right w:w="108" w:type="dxa"/>
            </w:tcMar>
          </w:tcPr>
          <w:p w14:paraId="289683C8" w14:textId="77777777" w:rsidR="00D82062" w:rsidRPr="00945782" w:rsidRDefault="00D82062" w:rsidP="005C681C">
            <w:pPr>
              <w:pStyle w:val="Tabletext"/>
              <w:jc w:val="center"/>
              <w:rPr>
                <w:rFonts w:eastAsia="MS Mincho"/>
                <w:lang w:val="ru-RU"/>
              </w:rPr>
            </w:pPr>
            <w:r w:rsidRPr="00945782">
              <w:rPr>
                <w:rFonts w:eastAsia="MS Mincho"/>
                <w:lang w:val="ru-RU"/>
              </w:rPr>
              <w:t>1 505,4</w:t>
            </w:r>
          </w:p>
        </w:tc>
        <w:tc>
          <w:tcPr>
            <w:tcW w:w="1811" w:type="dxa"/>
            <w:tcBorders>
              <w:bottom w:val="single" w:sz="8" w:space="0" w:color="000000"/>
              <w:right w:val="single" w:sz="8" w:space="0" w:color="000000"/>
            </w:tcBorders>
            <w:shd w:val="clear" w:color="auto" w:fill="C1E4F5"/>
            <w:tcMar>
              <w:top w:w="0" w:type="dxa"/>
              <w:left w:w="108" w:type="dxa"/>
              <w:bottom w:w="0" w:type="dxa"/>
              <w:right w:w="108" w:type="dxa"/>
            </w:tcMar>
          </w:tcPr>
          <w:p w14:paraId="314A4B73" w14:textId="059A6C1F" w:rsidR="00D82062" w:rsidRPr="00945782" w:rsidRDefault="00D82062" w:rsidP="005C681C">
            <w:pPr>
              <w:pStyle w:val="Tabletext"/>
              <w:jc w:val="center"/>
              <w:rPr>
                <w:rFonts w:eastAsia="MS Mincho"/>
                <w:lang w:val="ru-RU"/>
              </w:rPr>
            </w:pPr>
            <w:r w:rsidRPr="00945782">
              <w:rPr>
                <w:rFonts w:eastAsia="MS Mincho"/>
                <w:lang w:val="ru-RU"/>
              </w:rPr>
              <w:t>28 423,2</w:t>
            </w:r>
          </w:p>
        </w:tc>
      </w:tr>
      <w:tr w:rsidR="00D82062" w:rsidRPr="00945782" w14:paraId="61D777DC" w14:textId="77777777" w:rsidTr="00EC15A2">
        <w:trPr>
          <w:jc w:val="center"/>
        </w:trPr>
        <w:tc>
          <w:tcPr>
            <w:tcW w:w="1810" w:type="dxa"/>
            <w:tcBorders>
              <w:left w:val="single" w:sz="8" w:space="0" w:color="000000"/>
              <w:bottom w:val="single" w:sz="8" w:space="0" w:color="000000"/>
            </w:tcBorders>
            <w:tcMar>
              <w:top w:w="0" w:type="dxa"/>
              <w:left w:w="108" w:type="dxa"/>
              <w:bottom w:w="0" w:type="dxa"/>
              <w:right w:w="108" w:type="dxa"/>
            </w:tcMar>
          </w:tcPr>
          <w:p w14:paraId="6D99466E" w14:textId="77777777" w:rsidR="00D82062" w:rsidRPr="00945782" w:rsidRDefault="00D82062" w:rsidP="005C681C">
            <w:pPr>
              <w:pStyle w:val="Tabletext"/>
              <w:rPr>
                <w:rFonts w:eastAsia="MS Mincho"/>
                <w:lang w:val="ru-RU"/>
              </w:rPr>
            </w:pPr>
            <w:r w:rsidRPr="00945782">
              <w:rPr>
                <w:lang w:val="ru-RU" w:eastAsia="zh-CN"/>
              </w:rPr>
              <w:t>АМР</w:t>
            </w:r>
          </w:p>
        </w:tc>
        <w:tc>
          <w:tcPr>
            <w:tcW w:w="1810" w:type="dxa"/>
            <w:tcBorders>
              <w:bottom w:val="single" w:sz="8" w:space="0" w:color="000000"/>
            </w:tcBorders>
            <w:noWrap/>
            <w:tcMar>
              <w:top w:w="0" w:type="dxa"/>
              <w:left w:w="108" w:type="dxa"/>
              <w:bottom w:w="0" w:type="dxa"/>
              <w:right w:w="108" w:type="dxa"/>
            </w:tcMar>
          </w:tcPr>
          <w:p w14:paraId="2C2FE1C6" w14:textId="77777777" w:rsidR="00D82062" w:rsidRPr="00945782" w:rsidRDefault="00D82062" w:rsidP="005C681C">
            <w:pPr>
              <w:pStyle w:val="Tabletext"/>
              <w:jc w:val="center"/>
              <w:rPr>
                <w:rFonts w:eastAsia="MS Mincho"/>
                <w:lang w:val="ru-RU"/>
              </w:rPr>
            </w:pPr>
            <w:r w:rsidRPr="00945782">
              <w:rPr>
                <w:rFonts w:eastAsia="MS Mincho"/>
                <w:lang w:val="ru-RU"/>
              </w:rPr>
              <w:t>16</w:t>
            </w:r>
          </w:p>
        </w:tc>
        <w:tc>
          <w:tcPr>
            <w:tcW w:w="1810" w:type="dxa"/>
            <w:tcBorders>
              <w:bottom w:val="single" w:sz="8" w:space="0" w:color="000000"/>
            </w:tcBorders>
            <w:tcMar>
              <w:top w:w="0" w:type="dxa"/>
              <w:left w:w="108" w:type="dxa"/>
              <w:bottom w:w="0" w:type="dxa"/>
              <w:right w:w="108" w:type="dxa"/>
            </w:tcMar>
          </w:tcPr>
          <w:p w14:paraId="43F52D7D" w14:textId="77777777" w:rsidR="00D82062" w:rsidRPr="00945782" w:rsidRDefault="00D82062" w:rsidP="005C681C">
            <w:pPr>
              <w:pStyle w:val="Tabletext"/>
              <w:jc w:val="center"/>
              <w:rPr>
                <w:rFonts w:eastAsia="MS Mincho"/>
                <w:lang w:val="ru-RU"/>
              </w:rPr>
            </w:pPr>
            <w:r w:rsidRPr="00945782">
              <w:rPr>
                <w:rFonts w:eastAsia="MS Mincho"/>
                <w:lang w:val="ru-RU"/>
              </w:rPr>
              <w:t>6 241,1</w:t>
            </w:r>
          </w:p>
        </w:tc>
        <w:tc>
          <w:tcPr>
            <w:tcW w:w="1810" w:type="dxa"/>
            <w:tcBorders>
              <w:bottom w:val="single" w:sz="8" w:space="0" w:color="000000"/>
            </w:tcBorders>
            <w:tcMar>
              <w:top w:w="0" w:type="dxa"/>
              <w:left w:w="108" w:type="dxa"/>
              <w:bottom w:w="0" w:type="dxa"/>
              <w:right w:w="108" w:type="dxa"/>
            </w:tcMar>
          </w:tcPr>
          <w:p w14:paraId="2FDEF5F8" w14:textId="77777777" w:rsidR="00D82062" w:rsidRPr="00945782" w:rsidRDefault="00D82062" w:rsidP="005C681C">
            <w:pPr>
              <w:pStyle w:val="Tabletext"/>
              <w:jc w:val="center"/>
              <w:rPr>
                <w:rFonts w:eastAsia="MS Mincho"/>
                <w:lang w:val="ru-RU"/>
              </w:rPr>
            </w:pPr>
            <w:r w:rsidRPr="00945782">
              <w:rPr>
                <w:rFonts w:eastAsia="MS Mincho"/>
                <w:lang w:val="ru-RU"/>
              </w:rPr>
              <w:t>236,8</w:t>
            </w:r>
          </w:p>
        </w:tc>
        <w:tc>
          <w:tcPr>
            <w:tcW w:w="1811" w:type="dxa"/>
            <w:tcBorders>
              <w:bottom w:val="single" w:sz="8" w:space="0" w:color="000000"/>
              <w:right w:val="single" w:sz="8" w:space="0" w:color="000000"/>
            </w:tcBorders>
            <w:shd w:val="clear" w:color="auto" w:fill="C1E4F5"/>
            <w:tcMar>
              <w:top w:w="0" w:type="dxa"/>
              <w:left w:w="108" w:type="dxa"/>
              <w:bottom w:w="0" w:type="dxa"/>
              <w:right w:w="108" w:type="dxa"/>
            </w:tcMar>
          </w:tcPr>
          <w:p w14:paraId="178EF19B" w14:textId="103284A2" w:rsidR="00D82062" w:rsidRPr="00945782" w:rsidRDefault="00D82062" w:rsidP="005C681C">
            <w:pPr>
              <w:pStyle w:val="Tabletext"/>
              <w:jc w:val="center"/>
              <w:rPr>
                <w:rFonts w:eastAsia="MS Mincho"/>
                <w:lang w:val="ru-RU"/>
              </w:rPr>
            </w:pPr>
            <w:r w:rsidRPr="00945782">
              <w:rPr>
                <w:rFonts w:eastAsia="MS Mincho"/>
                <w:lang w:val="ru-RU"/>
              </w:rPr>
              <w:t>6 477,9</w:t>
            </w:r>
          </w:p>
        </w:tc>
      </w:tr>
      <w:tr w:rsidR="00D82062" w:rsidRPr="00945782" w14:paraId="722B79BD" w14:textId="77777777" w:rsidTr="00EC15A2">
        <w:trPr>
          <w:jc w:val="center"/>
        </w:trPr>
        <w:tc>
          <w:tcPr>
            <w:tcW w:w="1810" w:type="dxa"/>
            <w:tcBorders>
              <w:left w:val="single" w:sz="8" w:space="0" w:color="000000"/>
              <w:bottom w:val="single" w:sz="8" w:space="0" w:color="000000"/>
            </w:tcBorders>
            <w:tcMar>
              <w:top w:w="0" w:type="dxa"/>
              <w:left w:w="108" w:type="dxa"/>
              <w:bottom w:w="0" w:type="dxa"/>
              <w:right w:w="108" w:type="dxa"/>
            </w:tcMar>
          </w:tcPr>
          <w:p w14:paraId="221E27BD" w14:textId="77777777" w:rsidR="00D82062" w:rsidRPr="00945782" w:rsidRDefault="00D82062" w:rsidP="005C681C">
            <w:pPr>
              <w:pStyle w:val="Tabletext"/>
              <w:rPr>
                <w:rFonts w:eastAsia="MS Mincho"/>
                <w:lang w:val="ru-RU"/>
              </w:rPr>
            </w:pPr>
            <w:r w:rsidRPr="00945782">
              <w:rPr>
                <w:lang w:val="ru-RU" w:eastAsia="zh-CN"/>
              </w:rPr>
              <w:t>АРБ</w:t>
            </w:r>
          </w:p>
        </w:tc>
        <w:tc>
          <w:tcPr>
            <w:tcW w:w="1810" w:type="dxa"/>
            <w:tcBorders>
              <w:bottom w:val="single" w:sz="8" w:space="0" w:color="000000"/>
            </w:tcBorders>
            <w:tcMar>
              <w:top w:w="0" w:type="dxa"/>
              <w:left w:w="108" w:type="dxa"/>
              <w:bottom w:w="0" w:type="dxa"/>
              <w:right w:w="108" w:type="dxa"/>
            </w:tcMar>
          </w:tcPr>
          <w:p w14:paraId="79E737F3" w14:textId="77777777" w:rsidR="00D82062" w:rsidRPr="00945782" w:rsidRDefault="00D82062" w:rsidP="005C681C">
            <w:pPr>
              <w:pStyle w:val="Tabletext"/>
              <w:jc w:val="center"/>
              <w:rPr>
                <w:rFonts w:eastAsia="MS Mincho"/>
                <w:lang w:val="ru-RU"/>
              </w:rPr>
            </w:pPr>
            <w:r w:rsidRPr="00945782">
              <w:rPr>
                <w:rFonts w:eastAsia="MS Mincho"/>
                <w:lang w:val="ru-RU"/>
              </w:rPr>
              <w:t>6</w:t>
            </w:r>
          </w:p>
        </w:tc>
        <w:tc>
          <w:tcPr>
            <w:tcW w:w="1810" w:type="dxa"/>
            <w:tcBorders>
              <w:bottom w:val="single" w:sz="8" w:space="0" w:color="000000"/>
            </w:tcBorders>
            <w:tcMar>
              <w:top w:w="0" w:type="dxa"/>
              <w:left w:w="108" w:type="dxa"/>
              <w:bottom w:w="0" w:type="dxa"/>
              <w:right w:w="108" w:type="dxa"/>
            </w:tcMar>
          </w:tcPr>
          <w:p w14:paraId="365A719E" w14:textId="77777777" w:rsidR="00D82062" w:rsidRPr="00945782" w:rsidRDefault="00D82062" w:rsidP="005C681C">
            <w:pPr>
              <w:pStyle w:val="Tabletext"/>
              <w:jc w:val="center"/>
              <w:rPr>
                <w:rFonts w:eastAsia="MS Mincho"/>
                <w:lang w:val="ru-RU"/>
              </w:rPr>
            </w:pPr>
            <w:r w:rsidRPr="00945782">
              <w:rPr>
                <w:rFonts w:eastAsia="MS Mincho"/>
                <w:lang w:val="ru-RU"/>
              </w:rPr>
              <w:t>2 568,9</w:t>
            </w:r>
          </w:p>
        </w:tc>
        <w:tc>
          <w:tcPr>
            <w:tcW w:w="1810" w:type="dxa"/>
            <w:tcBorders>
              <w:bottom w:val="single" w:sz="8" w:space="0" w:color="000000"/>
            </w:tcBorders>
            <w:tcMar>
              <w:top w:w="0" w:type="dxa"/>
              <w:left w:w="108" w:type="dxa"/>
              <w:bottom w:w="0" w:type="dxa"/>
              <w:right w:w="108" w:type="dxa"/>
            </w:tcMar>
          </w:tcPr>
          <w:p w14:paraId="46C59C7B" w14:textId="77777777" w:rsidR="00D82062" w:rsidRPr="00945782" w:rsidRDefault="00D82062" w:rsidP="005C681C">
            <w:pPr>
              <w:pStyle w:val="Tabletext"/>
              <w:jc w:val="center"/>
              <w:rPr>
                <w:rFonts w:eastAsia="MS Mincho"/>
                <w:lang w:val="ru-RU"/>
              </w:rPr>
            </w:pPr>
            <w:r w:rsidRPr="00945782">
              <w:rPr>
                <w:rFonts w:eastAsia="MS Mincho"/>
                <w:lang w:val="ru-RU"/>
              </w:rPr>
              <w:t>696,8</w:t>
            </w:r>
          </w:p>
        </w:tc>
        <w:tc>
          <w:tcPr>
            <w:tcW w:w="1811" w:type="dxa"/>
            <w:tcBorders>
              <w:bottom w:val="single" w:sz="8" w:space="0" w:color="000000"/>
              <w:right w:val="single" w:sz="8" w:space="0" w:color="000000"/>
            </w:tcBorders>
            <w:shd w:val="clear" w:color="auto" w:fill="C1E4F5"/>
            <w:tcMar>
              <w:top w:w="0" w:type="dxa"/>
              <w:left w:w="108" w:type="dxa"/>
              <w:bottom w:w="0" w:type="dxa"/>
              <w:right w:w="108" w:type="dxa"/>
            </w:tcMar>
          </w:tcPr>
          <w:p w14:paraId="2610EB9C" w14:textId="7D16E422" w:rsidR="00D82062" w:rsidRPr="00945782" w:rsidRDefault="00D82062" w:rsidP="005C681C">
            <w:pPr>
              <w:pStyle w:val="Tabletext"/>
              <w:jc w:val="center"/>
              <w:rPr>
                <w:rFonts w:eastAsia="MS Mincho"/>
                <w:lang w:val="ru-RU"/>
              </w:rPr>
            </w:pPr>
            <w:r w:rsidRPr="00945782">
              <w:rPr>
                <w:rFonts w:eastAsia="MS Mincho"/>
                <w:lang w:val="ru-RU"/>
              </w:rPr>
              <w:t>3 265,7</w:t>
            </w:r>
          </w:p>
        </w:tc>
      </w:tr>
      <w:tr w:rsidR="00D82062" w:rsidRPr="00945782" w14:paraId="16C1E34A" w14:textId="77777777" w:rsidTr="00EC15A2">
        <w:trPr>
          <w:jc w:val="center"/>
        </w:trPr>
        <w:tc>
          <w:tcPr>
            <w:tcW w:w="1810" w:type="dxa"/>
            <w:tcBorders>
              <w:left w:val="single" w:sz="8" w:space="0" w:color="000000"/>
              <w:bottom w:val="single" w:sz="8" w:space="0" w:color="000000"/>
            </w:tcBorders>
            <w:tcMar>
              <w:top w:w="0" w:type="dxa"/>
              <w:left w:w="108" w:type="dxa"/>
              <w:bottom w:w="0" w:type="dxa"/>
              <w:right w:w="108" w:type="dxa"/>
            </w:tcMar>
            <w:vAlign w:val="center"/>
          </w:tcPr>
          <w:p w14:paraId="08EA3F19" w14:textId="77777777" w:rsidR="00D82062" w:rsidRPr="00945782" w:rsidRDefault="00D82062" w:rsidP="005C681C">
            <w:pPr>
              <w:pStyle w:val="Tabletext"/>
              <w:rPr>
                <w:rFonts w:eastAsia="MS Mincho"/>
                <w:lang w:val="ru-RU"/>
              </w:rPr>
            </w:pPr>
            <w:r w:rsidRPr="00945782">
              <w:rPr>
                <w:lang w:val="ru-RU" w:eastAsia="zh-CN"/>
              </w:rPr>
              <w:t>АТР</w:t>
            </w:r>
          </w:p>
        </w:tc>
        <w:tc>
          <w:tcPr>
            <w:tcW w:w="1810" w:type="dxa"/>
            <w:tcBorders>
              <w:bottom w:val="single" w:sz="8" w:space="0" w:color="000000"/>
            </w:tcBorders>
            <w:noWrap/>
            <w:tcMar>
              <w:top w:w="0" w:type="dxa"/>
              <w:left w:w="108" w:type="dxa"/>
              <w:bottom w:w="0" w:type="dxa"/>
              <w:right w:w="108" w:type="dxa"/>
            </w:tcMar>
          </w:tcPr>
          <w:p w14:paraId="1D836A3E" w14:textId="77777777" w:rsidR="00D82062" w:rsidRPr="00945782" w:rsidRDefault="00D82062" w:rsidP="005C681C">
            <w:pPr>
              <w:pStyle w:val="Tabletext"/>
              <w:jc w:val="center"/>
              <w:rPr>
                <w:rFonts w:eastAsia="MS Mincho"/>
                <w:lang w:val="ru-RU"/>
              </w:rPr>
            </w:pPr>
            <w:r w:rsidRPr="00945782">
              <w:rPr>
                <w:rFonts w:eastAsia="MS Mincho"/>
                <w:lang w:val="ru-RU"/>
              </w:rPr>
              <w:t>15</w:t>
            </w:r>
          </w:p>
        </w:tc>
        <w:tc>
          <w:tcPr>
            <w:tcW w:w="1810" w:type="dxa"/>
            <w:tcBorders>
              <w:bottom w:val="single" w:sz="8" w:space="0" w:color="000000"/>
            </w:tcBorders>
            <w:tcMar>
              <w:top w:w="0" w:type="dxa"/>
              <w:left w:w="108" w:type="dxa"/>
              <w:bottom w:w="0" w:type="dxa"/>
              <w:right w:w="108" w:type="dxa"/>
            </w:tcMar>
          </w:tcPr>
          <w:p w14:paraId="558F7CED" w14:textId="77777777" w:rsidR="00D82062" w:rsidRPr="00945782" w:rsidRDefault="00D82062" w:rsidP="005C681C">
            <w:pPr>
              <w:pStyle w:val="Tabletext"/>
              <w:jc w:val="center"/>
              <w:rPr>
                <w:rFonts w:eastAsia="MS Mincho"/>
                <w:lang w:val="ru-RU"/>
              </w:rPr>
            </w:pPr>
            <w:r w:rsidRPr="00945782">
              <w:rPr>
                <w:rFonts w:eastAsia="MS Mincho"/>
                <w:lang w:val="ru-RU"/>
              </w:rPr>
              <w:t>6 374,1</w:t>
            </w:r>
          </w:p>
        </w:tc>
        <w:tc>
          <w:tcPr>
            <w:tcW w:w="1810" w:type="dxa"/>
            <w:tcBorders>
              <w:bottom w:val="single" w:sz="8" w:space="0" w:color="000000"/>
            </w:tcBorders>
            <w:tcMar>
              <w:top w:w="0" w:type="dxa"/>
              <w:left w:w="108" w:type="dxa"/>
              <w:bottom w:w="0" w:type="dxa"/>
              <w:right w:w="108" w:type="dxa"/>
            </w:tcMar>
          </w:tcPr>
          <w:p w14:paraId="7CB876F9" w14:textId="77777777" w:rsidR="00D82062" w:rsidRPr="00945782" w:rsidRDefault="00D82062" w:rsidP="005C681C">
            <w:pPr>
              <w:pStyle w:val="Tabletext"/>
              <w:jc w:val="center"/>
              <w:rPr>
                <w:rFonts w:eastAsia="MS Mincho"/>
                <w:lang w:val="ru-RU"/>
              </w:rPr>
            </w:pPr>
            <w:r w:rsidRPr="00945782">
              <w:rPr>
                <w:rFonts w:eastAsia="MS Mincho"/>
                <w:lang w:val="ru-RU"/>
              </w:rPr>
              <w:t>851,8</w:t>
            </w:r>
          </w:p>
        </w:tc>
        <w:tc>
          <w:tcPr>
            <w:tcW w:w="1811" w:type="dxa"/>
            <w:tcBorders>
              <w:bottom w:val="single" w:sz="8" w:space="0" w:color="000000"/>
              <w:right w:val="single" w:sz="8" w:space="0" w:color="000000"/>
            </w:tcBorders>
            <w:shd w:val="clear" w:color="auto" w:fill="C1E4F5"/>
            <w:tcMar>
              <w:top w:w="0" w:type="dxa"/>
              <w:left w:w="108" w:type="dxa"/>
              <w:bottom w:w="0" w:type="dxa"/>
              <w:right w:w="108" w:type="dxa"/>
            </w:tcMar>
          </w:tcPr>
          <w:p w14:paraId="4BB9175B" w14:textId="723AEFC6" w:rsidR="00D82062" w:rsidRPr="00945782" w:rsidRDefault="00D82062" w:rsidP="005C681C">
            <w:pPr>
              <w:pStyle w:val="Tabletext"/>
              <w:jc w:val="center"/>
              <w:rPr>
                <w:rFonts w:eastAsia="MS Mincho"/>
                <w:lang w:val="ru-RU"/>
              </w:rPr>
            </w:pPr>
            <w:r w:rsidRPr="00945782">
              <w:rPr>
                <w:rFonts w:eastAsia="MS Mincho"/>
                <w:lang w:val="ru-RU"/>
              </w:rPr>
              <w:t>7 225,9</w:t>
            </w:r>
          </w:p>
        </w:tc>
      </w:tr>
      <w:tr w:rsidR="00D82062" w:rsidRPr="00945782" w14:paraId="6AFC152F" w14:textId="77777777" w:rsidTr="00EC15A2">
        <w:trPr>
          <w:jc w:val="center"/>
        </w:trPr>
        <w:tc>
          <w:tcPr>
            <w:tcW w:w="1810" w:type="dxa"/>
            <w:tcBorders>
              <w:left w:val="single" w:sz="8" w:space="0" w:color="000000"/>
              <w:bottom w:val="single" w:sz="8" w:space="0" w:color="000000"/>
            </w:tcBorders>
            <w:tcMar>
              <w:top w:w="0" w:type="dxa"/>
              <w:left w:w="108" w:type="dxa"/>
              <w:bottom w:w="0" w:type="dxa"/>
              <w:right w:w="108" w:type="dxa"/>
            </w:tcMar>
          </w:tcPr>
          <w:p w14:paraId="27395092" w14:textId="77777777" w:rsidR="00D82062" w:rsidRPr="00945782" w:rsidRDefault="00D82062" w:rsidP="005C681C">
            <w:pPr>
              <w:pStyle w:val="Tabletext"/>
              <w:rPr>
                <w:rFonts w:eastAsia="MS Mincho"/>
                <w:lang w:val="ru-RU"/>
              </w:rPr>
            </w:pPr>
            <w:r w:rsidRPr="00945782">
              <w:rPr>
                <w:lang w:val="ru-RU" w:eastAsia="zh-CN"/>
              </w:rPr>
              <w:t>СНГ</w:t>
            </w:r>
          </w:p>
        </w:tc>
        <w:tc>
          <w:tcPr>
            <w:tcW w:w="1810" w:type="dxa"/>
            <w:tcBorders>
              <w:bottom w:val="single" w:sz="8" w:space="0" w:color="000000"/>
            </w:tcBorders>
            <w:tcMar>
              <w:top w:w="0" w:type="dxa"/>
              <w:left w:w="108" w:type="dxa"/>
              <w:bottom w:w="0" w:type="dxa"/>
              <w:right w:w="108" w:type="dxa"/>
            </w:tcMar>
          </w:tcPr>
          <w:p w14:paraId="5CD4BDD7" w14:textId="77777777" w:rsidR="00D82062" w:rsidRPr="00945782" w:rsidRDefault="00D82062" w:rsidP="005C681C">
            <w:pPr>
              <w:pStyle w:val="Tabletext"/>
              <w:jc w:val="center"/>
              <w:rPr>
                <w:rFonts w:eastAsia="MS Mincho"/>
                <w:lang w:val="ru-RU"/>
              </w:rPr>
            </w:pPr>
            <w:r w:rsidRPr="00945782">
              <w:rPr>
                <w:rFonts w:eastAsia="MS Mincho"/>
                <w:lang w:val="ru-RU"/>
              </w:rPr>
              <w:t>3</w:t>
            </w:r>
          </w:p>
        </w:tc>
        <w:tc>
          <w:tcPr>
            <w:tcW w:w="1810" w:type="dxa"/>
            <w:tcBorders>
              <w:bottom w:val="single" w:sz="8" w:space="0" w:color="000000"/>
            </w:tcBorders>
            <w:tcMar>
              <w:top w:w="0" w:type="dxa"/>
              <w:left w:w="108" w:type="dxa"/>
              <w:bottom w:w="0" w:type="dxa"/>
              <w:right w:w="108" w:type="dxa"/>
            </w:tcMar>
          </w:tcPr>
          <w:p w14:paraId="6883C1E9" w14:textId="77777777" w:rsidR="00D82062" w:rsidRPr="00945782" w:rsidRDefault="00D82062" w:rsidP="005C681C">
            <w:pPr>
              <w:pStyle w:val="Tabletext"/>
              <w:jc w:val="center"/>
              <w:rPr>
                <w:rFonts w:eastAsia="MS Mincho"/>
                <w:lang w:val="ru-RU"/>
              </w:rPr>
            </w:pPr>
            <w:r w:rsidRPr="00945782">
              <w:rPr>
                <w:rFonts w:eastAsia="MS Mincho"/>
                <w:lang w:val="ru-RU"/>
              </w:rPr>
              <w:t>344,1</w:t>
            </w:r>
          </w:p>
        </w:tc>
        <w:tc>
          <w:tcPr>
            <w:tcW w:w="1810" w:type="dxa"/>
            <w:tcBorders>
              <w:bottom w:val="single" w:sz="8" w:space="0" w:color="000000"/>
            </w:tcBorders>
            <w:tcMar>
              <w:top w:w="0" w:type="dxa"/>
              <w:left w:w="108" w:type="dxa"/>
              <w:bottom w:w="0" w:type="dxa"/>
              <w:right w:w="108" w:type="dxa"/>
            </w:tcMar>
          </w:tcPr>
          <w:p w14:paraId="21B2FB90" w14:textId="77777777" w:rsidR="00D82062" w:rsidRPr="00945782" w:rsidRDefault="00D82062" w:rsidP="005C681C">
            <w:pPr>
              <w:pStyle w:val="Tabletext"/>
              <w:jc w:val="center"/>
              <w:rPr>
                <w:rFonts w:eastAsia="MS Mincho"/>
                <w:lang w:val="ru-RU"/>
              </w:rPr>
            </w:pPr>
            <w:r w:rsidRPr="00945782">
              <w:rPr>
                <w:rFonts w:eastAsia="MS Mincho"/>
                <w:lang w:val="ru-RU"/>
              </w:rPr>
              <w:t>509,5</w:t>
            </w:r>
          </w:p>
        </w:tc>
        <w:tc>
          <w:tcPr>
            <w:tcW w:w="1811" w:type="dxa"/>
            <w:tcBorders>
              <w:bottom w:val="single" w:sz="8" w:space="0" w:color="000000"/>
              <w:right w:val="single" w:sz="8" w:space="0" w:color="000000"/>
            </w:tcBorders>
            <w:shd w:val="clear" w:color="auto" w:fill="C1E4F5"/>
            <w:tcMar>
              <w:top w:w="0" w:type="dxa"/>
              <w:left w:w="108" w:type="dxa"/>
              <w:bottom w:w="0" w:type="dxa"/>
              <w:right w:w="108" w:type="dxa"/>
            </w:tcMar>
          </w:tcPr>
          <w:p w14:paraId="6A6976B6" w14:textId="5A0D6FD8" w:rsidR="00D82062" w:rsidRPr="00945782" w:rsidRDefault="00D82062" w:rsidP="005C681C">
            <w:pPr>
              <w:pStyle w:val="Tabletext"/>
              <w:jc w:val="center"/>
              <w:rPr>
                <w:rFonts w:eastAsia="MS Mincho"/>
                <w:lang w:val="ru-RU"/>
              </w:rPr>
            </w:pPr>
            <w:r w:rsidRPr="00945782">
              <w:rPr>
                <w:rFonts w:eastAsia="MS Mincho"/>
                <w:lang w:val="ru-RU"/>
              </w:rPr>
              <w:t>853,6</w:t>
            </w:r>
          </w:p>
        </w:tc>
      </w:tr>
      <w:tr w:rsidR="00D82062" w:rsidRPr="00945782" w14:paraId="142F950E" w14:textId="77777777" w:rsidTr="00EC15A2">
        <w:trPr>
          <w:jc w:val="center"/>
        </w:trPr>
        <w:tc>
          <w:tcPr>
            <w:tcW w:w="1810" w:type="dxa"/>
            <w:tcBorders>
              <w:left w:val="single" w:sz="8" w:space="0" w:color="000000"/>
              <w:bottom w:val="single" w:sz="8" w:space="0" w:color="000000"/>
            </w:tcBorders>
            <w:tcMar>
              <w:top w:w="0" w:type="dxa"/>
              <w:left w:w="108" w:type="dxa"/>
              <w:bottom w:w="0" w:type="dxa"/>
              <w:right w:w="108" w:type="dxa"/>
            </w:tcMar>
            <w:vAlign w:val="bottom"/>
          </w:tcPr>
          <w:p w14:paraId="63C58995" w14:textId="77777777" w:rsidR="00D82062" w:rsidRPr="00945782" w:rsidRDefault="00D82062" w:rsidP="005C681C">
            <w:pPr>
              <w:pStyle w:val="Tabletext"/>
              <w:rPr>
                <w:rFonts w:eastAsia="MS Mincho"/>
                <w:lang w:val="ru-RU"/>
              </w:rPr>
            </w:pPr>
            <w:r w:rsidRPr="00945782">
              <w:rPr>
                <w:lang w:val="ru-RU" w:eastAsia="zh-CN"/>
              </w:rPr>
              <w:t>ЕВР</w:t>
            </w:r>
          </w:p>
        </w:tc>
        <w:tc>
          <w:tcPr>
            <w:tcW w:w="1810" w:type="dxa"/>
            <w:tcBorders>
              <w:bottom w:val="single" w:sz="8" w:space="0" w:color="000000"/>
            </w:tcBorders>
            <w:tcMar>
              <w:top w:w="0" w:type="dxa"/>
              <w:left w:w="108" w:type="dxa"/>
              <w:bottom w:w="0" w:type="dxa"/>
              <w:right w:w="108" w:type="dxa"/>
            </w:tcMar>
          </w:tcPr>
          <w:p w14:paraId="2C3C0D58" w14:textId="77777777" w:rsidR="00D82062" w:rsidRPr="00945782" w:rsidRDefault="00D82062" w:rsidP="005C681C">
            <w:pPr>
              <w:pStyle w:val="Tabletext"/>
              <w:jc w:val="center"/>
              <w:rPr>
                <w:rFonts w:eastAsia="MS Mincho"/>
                <w:lang w:val="ru-RU"/>
              </w:rPr>
            </w:pPr>
            <w:r w:rsidRPr="00945782">
              <w:rPr>
                <w:rFonts w:eastAsia="MS Mincho"/>
                <w:lang w:val="ru-RU"/>
              </w:rPr>
              <w:t>3</w:t>
            </w:r>
          </w:p>
        </w:tc>
        <w:tc>
          <w:tcPr>
            <w:tcW w:w="1810" w:type="dxa"/>
            <w:tcBorders>
              <w:bottom w:val="single" w:sz="8" w:space="0" w:color="000000"/>
            </w:tcBorders>
            <w:tcMar>
              <w:top w:w="0" w:type="dxa"/>
              <w:left w:w="108" w:type="dxa"/>
              <w:bottom w:w="0" w:type="dxa"/>
              <w:right w:w="108" w:type="dxa"/>
            </w:tcMar>
          </w:tcPr>
          <w:p w14:paraId="16D8B83F" w14:textId="77777777" w:rsidR="00D82062" w:rsidRPr="00945782" w:rsidRDefault="00D82062" w:rsidP="005C681C">
            <w:pPr>
              <w:pStyle w:val="Tabletext"/>
              <w:jc w:val="center"/>
              <w:rPr>
                <w:rFonts w:eastAsia="MS Mincho"/>
                <w:lang w:val="ru-RU"/>
              </w:rPr>
            </w:pPr>
            <w:r w:rsidRPr="00945782">
              <w:rPr>
                <w:rFonts w:eastAsia="MS Mincho"/>
                <w:lang w:val="ru-RU"/>
              </w:rPr>
              <w:t>411,1</w:t>
            </w:r>
          </w:p>
        </w:tc>
        <w:tc>
          <w:tcPr>
            <w:tcW w:w="1810" w:type="dxa"/>
            <w:tcBorders>
              <w:bottom w:val="single" w:sz="8" w:space="0" w:color="000000"/>
            </w:tcBorders>
            <w:tcMar>
              <w:top w:w="0" w:type="dxa"/>
              <w:left w:w="108" w:type="dxa"/>
              <w:bottom w:w="0" w:type="dxa"/>
              <w:right w:w="108" w:type="dxa"/>
            </w:tcMar>
          </w:tcPr>
          <w:p w14:paraId="1321031C" w14:textId="77777777" w:rsidR="00D82062" w:rsidRPr="00945782" w:rsidRDefault="00D82062" w:rsidP="005C681C">
            <w:pPr>
              <w:pStyle w:val="Tabletext"/>
              <w:jc w:val="center"/>
              <w:rPr>
                <w:rFonts w:eastAsia="MS Mincho"/>
                <w:lang w:val="ru-RU"/>
              </w:rPr>
            </w:pPr>
            <w:r w:rsidRPr="00945782">
              <w:rPr>
                <w:rFonts w:eastAsia="MS Mincho"/>
                <w:lang w:val="ru-RU"/>
              </w:rPr>
              <w:t>45,6</w:t>
            </w:r>
          </w:p>
        </w:tc>
        <w:tc>
          <w:tcPr>
            <w:tcW w:w="1811" w:type="dxa"/>
            <w:tcBorders>
              <w:bottom w:val="single" w:sz="8" w:space="0" w:color="000000"/>
              <w:right w:val="single" w:sz="8" w:space="0" w:color="000000"/>
            </w:tcBorders>
            <w:shd w:val="clear" w:color="auto" w:fill="C1E4F5"/>
            <w:tcMar>
              <w:top w:w="0" w:type="dxa"/>
              <w:left w:w="108" w:type="dxa"/>
              <w:bottom w:w="0" w:type="dxa"/>
              <w:right w:w="108" w:type="dxa"/>
            </w:tcMar>
          </w:tcPr>
          <w:p w14:paraId="748101D1" w14:textId="5088A77B" w:rsidR="00D82062" w:rsidRPr="00945782" w:rsidRDefault="00D82062" w:rsidP="005C681C">
            <w:pPr>
              <w:pStyle w:val="Tabletext"/>
              <w:jc w:val="center"/>
              <w:rPr>
                <w:rFonts w:eastAsia="MS Mincho"/>
                <w:lang w:val="ru-RU"/>
              </w:rPr>
            </w:pPr>
            <w:r w:rsidRPr="00945782">
              <w:rPr>
                <w:rFonts w:eastAsia="MS Mincho"/>
                <w:lang w:val="ru-RU"/>
              </w:rPr>
              <w:t>456,7</w:t>
            </w:r>
          </w:p>
        </w:tc>
      </w:tr>
      <w:tr w:rsidR="00D82062" w:rsidRPr="00945782" w14:paraId="0B3148E6" w14:textId="77777777" w:rsidTr="00EC15A2">
        <w:trPr>
          <w:jc w:val="center"/>
        </w:trPr>
        <w:tc>
          <w:tcPr>
            <w:tcW w:w="1810" w:type="dxa"/>
            <w:tcBorders>
              <w:left w:val="single" w:sz="8" w:space="0" w:color="000000"/>
              <w:bottom w:val="single" w:sz="8" w:space="0" w:color="000000"/>
            </w:tcBorders>
            <w:tcMar>
              <w:top w:w="0" w:type="dxa"/>
              <w:left w:w="108" w:type="dxa"/>
              <w:bottom w:w="0" w:type="dxa"/>
              <w:right w:w="108" w:type="dxa"/>
            </w:tcMar>
          </w:tcPr>
          <w:p w14:paraId="007603BF" w14:textId="77777777" w:rsidR="00D82062" w:rsidRPr="00945782" w:rsidRDefault="00D82062" w:rsidP="005C681C">
            <w:pPr>
              <w:pStyle w:val="Tabletext"/>
              <w:rPr>
                <w:rFonts w:eastAsia="MS Mincho"/>
                <w:lang w:val="ru-RU"/>
              </w:rPr>
            </w:pPr>
            <w:r w:rsidRPr="00945782">
              <w:rPr>
                <w:lang w:val="ru-RU" w:eastAsia="zh-CN"/>
              </w:rPr>
              <w:t>МРГ (</w:t>
            </w:r>
            <w:r w:rsidRPr="00945782">
              <w:rPr>
                <w:position w:val="6"/>
                <w:sz w:val="16"/>
                <w:szCs w:val="16"/>
                <w:lang w:val="ru-RU" w:eastAsia="zh-CN"/>
              </w:rPr>
              <w:t>*</w:t>
            </w:r>
            <w:r w:rsidRPr="00945782">
              <w:rPr>
                <w:lang w:val="ru-RU" w:eastAsia="zh-CN"/>
              </w:rPr>
              <w:t>)</w:t>
            </w:r>
          </w:p>
        </w:tc>
        <w:tc>
          <w:tcPr>
            <w:tcW w:w="1810" w:type="dxa"/>
            <w:tcBorders>
              <w:bottom w:val="single" w:sz="8" w:space="0" w:color="000000"/>
            </w:tcBorders>
            <w:noWrap/>
            <w:tcMar>
              <w:top w:w="0" w:type="dxa"/>
              <w:left w:w="108" w:type="dxa"/>
              <w:bottom w:w="0" w:type="dxa"/>
              <w:right w:w="108" w:type="dxa"/>
            </w:tcMar>
          </w:tcPr>
          <w:p w14:paraId="4A7A58B4" w14:textId="77777777" w:rsidR="00D82062" w:rsidRPr="00945782" w:rsidRDefault="00D82062" w:rsidP="005C681C">
            <w:pPr>
              <w:pStyle w:val="Tabletext"/>
              <w:jc w:val="center"/>
              <w:rPr>
                <w:rFonts w:eastAsia="MS Mincho"/>
                <w:lang w:val="ru-RU"/>
              </w:rPr>
            </w:pPr>
            <w:r w:rsidRPr="00945782">
              <w:rPr>
                <w:rFonts w:eastAsia="MS Mincho"/>
                <w:lang w:val="ru-RU"/>
              </w:rPr>
              <w:t>43</w:t>
            </w:r>
          </w:p>
        </w:tc>
        <w:tc>
          <w:tcPr>
            <w:tcW w:w="1810" w:type="dxa"/>
            <w:tcBorders>
              <w:bottom w:val="single" w:sz="8" w:space="0" w:color="000000"/>
            </w:tcBorders>
            <w:tcMar>
              <w:top w:w="0" w:type="dxa"/>
              <w:left w:w="108" w:type="dxa"/>
              <w:bottom w:w="0" w:type="dxa"/>
              <w:right w:w="108" w:type="dxa"/>
            </w:tcMar>
          </w:tcPr>
          <w:p w14:paraId="52A9D293" w14:textId="77777777" w:rsidR="00D82062" w:rsidRPr="00945782" w:rsidRDefault="00D82062" w:rsidP="005C681C">
            <w:pPr>
              <w:pStyle w:val="Tabletext"/>
              <w:jc w:val="center"/>
              <w:rPr>
                <w:rFonts w:eastAsia="MS Mincho"/>
                <w:lang w:val="ru-RU"/>
              </w:rPr>
            </w:pPr>
            <w:r w:rsidRPr="00945782">
              <w:rPr>
                <w:rFonts w:eastAsia="MS Mincho"/>
                <w:lang w:val="ru-RU"/>
              </w:rPr>
              <w:t>25 164,9</w:t>
            </w:r>
          </w:p>
        </w:tc>
        <w:tc>
          <w:tcPr>
            <w:tcW w:w="1810" w:type="dxa"/>
            <w:tcBorders>
              <w:bottom w:val="single" w:sz="8" w:space="0" w:color="000000"/>
            </w:tcBorders>
            <w:tcMar>
              <w:top w:w="0" w:type="dxa"/>
              <w:left w:w="108" w:type="dxa"/>
              <w:bottom w:w="0" w:type="dxa"/>
              <w:right w:w="108" w:type="dxa"/>
            </w:tcMar>
          </w:tcPr>
          <w:p w14:paraId="580026E5" w14:textId="77777777" w:rsidR="00D82062" w:rsidRPr="00945782" w:rsidRDefault="00D82062" w:rsidP="005C681C">
            <w:pPr>
              <w:pStyle w:val="Tabletext"/>
              <w:jc w:val="center"/>
              <w:rPr>
                <w:rFonts w:eastAsia="MS Mincho"/>
                <w:lang w:val="ru-RU"/>
              </w:rPr>
            </w:pPr>
            <w:r w:rsidRPr="00945782">
              <w:rPr>
                <w:rFonts w:eastAsia="MS Mincho"/>
                <w:lang w:val="ru-RU"/>
              </w:rPr>
              <w:t>7 880,7</w:t>
            </w:r>
          </w:p>
        </w:tc>
        <w:tc>
          <w:tcPr>
            <w:tcW w:w="1811" w:type="dxa"/>
            <w:tcBorders>
              <w:bottom w:val="single" w:sz="8" w:space="0" w:color="000000"/>
              <w:right w:val="single" w:sz="8" w:space="0" w:color="000000"/>
            </w:tcBorders>
            <w:shd w:val="clear" w:color="auto" w:fill="C1E4F5"/>
            <w:tcMar>
              <w:top w:w="0" w:type="dxa"/>
              <w:left w:w="108" w:type="dxa"/>
              <w:bottom w:w="0" w:type="dxa"/>
              <w:right w:w="108" w:type="dxa"/>
            </w:tcMar>
          </w:tcPr>
          <w:p w14:paraId="18E102B3" w14:textId="258DF6BF" w:rsidR="00D82062" w:rsidRPr="00945782" w:rsidRDefault="00D82062" w:rsidP="005C681C">
            <w:pPr>
              <w:pStyle w:val="Tabletext"/>
              <w:jc w:val="center"/>
              <w:rPr>
                <w:rFonts w:eastAsia="MS Mincho"/>
                <w:lang w:val="ru-RU"/>
              </w:rPr>
            </w:pPr>
            <w:r w:rsidRPr="00945782">
              <w:rPr>
                <w:rFonts w:eastAsia="MS Mincho"/>
                <w:lang w:val="ru-RU"/>
              </w:rPr>
              <w:t>33 045,5</w:t>
            </w:r>
          </w:p>
        </w:tc>
      </w:tr>
      <w:tr w:rsidR="00D82062" w:rsidRPr="00945782" w14:paraId="73708658" w14:textId="77777777" w:rsidTr="00EC15A2">
        <w:trPr>
          <w:jc w:val="center"/>
        </w:trPr>
        <w:tc>
          <w:tcPr>
            <w:tcW w:w="1810" w:type="dxa"/>
            <w:tcBorders>
              <w:left w:val="single" w:sz="8" w:space="0" w:color="000000"/>
              <w:bottom w:val="single" w:sz="8" w:space="0" w:color="000000"/>
            </w:tcBorders>
            <w:shd w:val="clear" w:color="auto" w:fill="C1E4F5"/>
            <w:noWrap/>
            <w:tcMar>
              <w:top w:w="0" w:type="dxa"/>
              <w:left w:w="108" w:type="dxa"/>
              <w:bottom w:w="0" w:type="dxa"/>
              <w:right w:w="108" w:type="dxa"/>
            </w:tcMar>
            <w:vAlign w:val="center"/>
          </w:tcPr>
          <w:p w14:paraId="7CC6580C" w14:textId="77777777" w:rsidR="00D82062" w:rsidRPr="00945782" w:rsidRDefault="00D82062" w:rsidP="005C681C">
            <w:pPr>
              <w:pStyle w:val="Tabletext"/>
              <w:rPr>
                <w:b/>
                <w:bCs/>
                <w:szCs w:val="22"/>
                <w:lang w:val="ru-RU"/>
              </w:rPr>
            </w:pPr>
            <w:r w:rsidRPr="00945782">
              <w:rPr>
                <w:b/>
                <w:bCs/>
                <w:szCs w:val="22"/>
                <w:lang w:val="ru-RU"/>
              </w:rPr>
              <w:t>Итого</w:t>
            </w:r>
          </w:p>
        </w:tc>
        <w:tc>
          <w:tcPr>
            <w:tcW w:w="1810" w:type="dxa"/>
            <w:tcBorders>
              <w:bottom w:val="single" w:sz="8" w:space="0" w:color="000000"/>
            </w:tcBorders>
            <w:shd w:val="clear" w:color="auto" w:fill="C1E4F5"/>
            <w:noWrap/>
            <w:tcMar>
              <w:top w:w="0" w:type="dxa"/>
              <w:left w:w="108" w:type="dxa"/>
              <w:bottom w:w="0" w:type="dxa"/>
              <w:right w:w="108" w:type="dxa"/>
            </w:tcMar>
          </w:tcPr>
          <w:p w14:paraId="602CC2E9" w14:textId="77777777" w:rsidR="00D82062" w:rsidRPr="00945782" w:rsidRDefault="00D82062" w:rsidP="005C681C">
            <w:pPr>
              <w:pStyle w:val="Tabletext"/>
              <w:jc w:val="center"/>
              <w:rPr>
                <w:rFonts w:eastAsia="MS Mincho"/>
                <w:lang w:val="ru-RU"/>
              </w:rPr>
            </w:pPr>
            <w:r w:rsidRPr="00945782">
              <w:rPr>
                <w:rFonts w:eastAsia="MS Mincho"/>
                <w:b/>
                <w:bCs/>
                <w:lang w:val="ru-RU"/>
              </w:rPr>
              <w:t>106</w:t>
            </w:r>
          </w:p>
        </w:tc>
        <w:tc>
          <w:tcPr>
            <w:tcW w:w="1810" w:type="dxa"/>
            <w:tcBorders>
              <w:bottom w:val="single" w:sz="8" w:space="0" w:color="000000"/>
            </w:tcBorders>
            <w:shd w:val="clear" w:color="auto" w:fill="C1E4F5"/>
            <w:noWrap/>
            <w:tcMar>
              <w:top w:w="0" w:type="dxa"/>
              <w:left w:w="108" w:type="dxa"/>
              <w:bottom w:w="0" w:type="dxa"/>
              <w:right w:w="108" w:type="dxa"/>
            </w:tcMar>
          </w:tcPr>
          <w:p w14:paraId="303E5CE8" w14:textId="77777777" w:rsidR="00D82062" w:rsidRPr="00945782" w:rsidRDefault="00D82062" w:rsidP="005C681C">
            <w:pPr>
              <w:pStyle w:val="Tabletext"/>
              <w:jc w:val="center"/>
              <w:rPr>
                <w:rFonts w:eastAsia="MS Mincho"/>
                <w:lang w:val="ru-RU"/>
              </w:rPr>
            </w:pPr>
            <w:r w:rsidRPr="00945782">
              <w:rPr>
                <w:rFonts w:eastAsia="MS Mincho"/>
                <w:b/>
                <w:bCs/>
                <w:lang w:val="ru-RU"/>
              </w:rPr>
              <w:t>68 022,0</w:t>
            </w:r>
          </w:p>
        </w:tc>
        <w:tc>
          <w:tcPr>
            <w:tcW w:w="1810" w:type="dxa"/>
            <w:tcBorders>
              <w:bottom w:val="single" w:sz="8" w:space="0" w:color="000000"/>
            </w:tcBorders>
            <w:shd w:val="clear" w:color="auto" w:fill="C1E4F5"/>
            <w:noWrap/>
            <w:tcMar>
              <w:top w:w="0" w:type="dxa"/>
              <w:left w:w="108" w:type="dxa"/>
              <w:bottom w:w="0" w:type="dxa"/>
              <w:right w:w="108" w:type="dxa"/>
            </w:tcMar>
          </w:tcPr>
          <w:p w14:paraId="637EF836" w14:textId="77777777" w:rsidR="00D82062" w:rsidRPr="00945782" w:rsidRDefault="00D82062" w:rsidP="005C681C">
            <w:pPr>
              <w:pStyle w:val="Tabletext"/>
              <w:jc w:val="center"/>
              <w:rPr>
                <w:rFonts w:eastAsia="MS Mincho"/>
                <w:lang w:val="ru-RU"/>
              </w:rPr>
            </w:pPr>
            <w:r w:rsidRPr="00945782">
              <w:rPr>
                <w:rFonts w:eastAsia="MS Mincho"/>
                <w:b/>
                <w:bCs/>
                <w:lang w:val="ru-RU"/>
              </w:rPr>
              <w:t>11 726,5</w:t>
            </w:r>
          </w:p>
        </w:tc>
        <w:tc>
          <w:tcPr>
            <w:tcW w:w="1811" w:type="dxa"/>
            <w:tcBorders>
              <w:bottom w:val="single" w:sz="8" w:space="0" w:color="000000"/>
              <w:right w:val="single" w:sz="8" w:space="0" w:color="000000"/>
            </w:tcBorders>
            <w:shd w:val="clear" w:color="auto" w:fill="C1E4F5"/>
            <w:noWrap/>
            <w:tcMar>
              <w:top w:w="0" w:type="dxa"/>
              <w:left w:w="108" w:type="dxa"/>
              <w:bottom w:w="0" w:type="dxa"/>
              <w:right w:w="108" w:type="dxa"/>
            </w:tcMar>
          </w:tcPr>
          <w:p w14:paraId="190517D8" w14:textId="523FC7CA" w:rsidR="00D82062" w:rsidRPr="00945782" w:rsidRDefault="00D82062" w:rsidP="005C681C">
            <w:pPr>
              <w:pStyle w:val="Tabletext"/>
              <w:jc w:val="center"/>
              <w:rPr>
                <w:rFonts w:eastAsia="MS Mincho"/>
                <w:lang w:val="ru-RU"/>
              </w:rPr>
            </w:pPr>
            <w:r w:rsidRPr="00945782">
              <w:rPr>
                <w:rFonts w:eastAsia="MS Mincho"/>
                <w:b/>
                <w:bCs/>
                <w:lang w:val="ru-RU"/>
              </w:rPr>
              <w:t>79 748,5</w:t>
            </w:r>
          </w:p>
        </w:tc>
      </w:tr>
    </w:tbl>
    <w:p w14:paraId="3EDEC5BF" w14:textId="77777777" w:rsidR="00D82062" w:rsidRPr="00945782" w:rsidRDefault="00D82062" w:rsidP="005C681C">
      <w:pPr>
        <w:pStyle w:val="Tablelegend"/>
        <w:jc w:val="center"/>
        <w:rPr>
          <w:lang w:val="ru-RU"/>
        </w:rPr>
      </w:pPr>
      <w:bookmarkStart w:id="100" w:name="ObzorProjectov2025"/>
      <w:r w:rsidRPr="00945782">
        <w:rPr>
          <w:lang w:val="ru-RU"/>
        </w:rPr>
        <w:t>(*)</w:t>
      </w:r>
      <w:r w:rsidRPr="00945782">
        <w:rPr>
          <w:lang w:val="ru-RU"/>
        </w:rPr>
        <w:tab/>
        <w:t>Межрегиональные проекты, приносящие пользу всем регионам</w:t>
      </w:r>
    </w:p>
    <w:bookmarkEnd w:id="100"/>
    <w:p w14:paraId="0354F9E5" w14:textId="4F60A099" w:rsidR="00D82062" w:rsidRPr="00945782" w:rsidRDefault="00D82062" w:rsidP="005C681C">
      <w:pPr>
        <w:spacing w:before="240"/>
        <w:rPr>
          <w:lang w:val="ru-RU"/>
        </w:rPr>
      </w:pPr>
      <w:r w:rsidRPr="00945782">
        <w:rPr>
          <w:lang w:val="ru-RU"/>
        </w:rPr>
        <w:t>В 2025 году БРЭ подписало в общей сложности 26 соглашений по новым проектам общей стоимостью 4,3 млн. швейцарских франков. С этими цифрами БРЭ завершило предыдущий цикл ВКРЭ (2023–2025 гг.), зарегистрировав в общей сложности 91 новый проект на сумму 51 млн. швейцарских франков. Несмотря на более короткий период реализации, который составляет три года, общее количество проектов, по которым были подписаны соглашения в течение цикла, представляет собой положительную тенденцию с точки зрения мобилизации ресурсов, отражая тенденцию к росту, уже достигнутую в течение цикла ВКРЭ­17 (2018</w:t>
      </w:r>
      <w:r w:rsidR="005C681C" w:rsidRPr="00945782">
        <w:rPr>
          <w:lang w:val="ru-RU"/>
        </w:rPr>
        <w:t>−</w:t>
      </w:r>
      <w:r w:rsidRPr="00945782">
        <w:rPr>
          <w:lang w:val="ru-RU"/>
        </w:rPr>
        <w:t>2022</w:t>
      </w:r>
      <w:r w:rsidR="005C681C" w:rsidRPr="00945782">
        <w:rPr>
          <w:lang w:val="ru-RU"/>
        </w:rPr>
        <w:t> </w:t>
      </w:r>
      <w:r w:rsidRPr="00945782">
        <w:rPr>
          <w:lang w:val="ru-RU"/>
        </w:rPr>
        <w:t xml:space="preserve">гг.) (см. </w:t>
      </w:r>
      <w:hyperlink w:anchor="Fig18" w:history="1">
        <w:r w:rsidR="005C681C" w:rsidRPr="00945782">
          <w:rPr>
            <w:rStyle w:val="Hyperlink"/>
            <w:rFonts w:asciiTheme="minorHAnsi" w:hAnsiTheme="minorHAnsi" w:cstheme="minorHAnsi"/>
            <w:szCs w:val="22"/>
            <w:lang w:val="ru-RU"/>
          </w:rPr>
          <w:t>Рисунок 18</w:t>
        </w:r>
      </w:hyperlink>
      <w:r w:rsidRPr="00945782">
        <w:rPr>
          <w:lang w:val="ru-RU"/>
        </w:rPr>
        <w:t xml:space="preserve"> и </w:t>
      </w:r>
      <w:hyperlink w:anchor="Fig19" w:history="1">
        <w:r w:rsidR="005C681C" w:rsidRPr="00945782">
          <w:rPr>
            <w:rStyle w:val="Hyperlink"/>
            <w:rFonts w:asciiTheme="minorHAnsi" w:hAnsiTheme="minorHAnsi" w:cstheme="minorHAnsi"/>
            <w:szCs w:val="22"/>
            <w:lang w:val="ru-RU"/>
          </w:rPr>
          <w:t>Рисунок 19</w:t>
        </w:r>
      </w:hyperlink>
      <w:r w:rsidRPr="00945782">
        <w:rPr>
          <w:lang w:val="ru-RU"/>
        </w:rPr>
        <w:t>). Эти новые проекты являются межрегиональными, региональными и национальными по своему характеру и охватывают весь спектр приоритетов МСЭ-D, определенных в Кигалийском плане действий ВКРЭ.</w:t>
      </w:r>
    </w:p>
    <w:p w14:paraId="34733866" w14:textId="0D536319" w:rsidR="00686065" w:rsidRPr="00945782" w:rsidRDefault="00686065" w:rsidP="00686065">
      <w:pPr>
        <w:pStyle w:val="Figure"/>
        <w:spacing w:after="120"/>
        <w:rPr>
          <w:lang w:val="ru-RU"/>
        </w:rPr>
      </w:pPr>
      <w:r w:rsidRPr="00945782">
        <w:rPr>
          <w:noProof/>
          <w:lang w:val="ru-RU"/>
        </w:rPr>
        <w:lastRenderedPageBreak/>
        <w:drawing>
          <wp:inline distT="0" distB="0" distL="0" distR="0" wp14:anchorId="530D655C" wp14:editId="30933141">
            <wp:extent cx="5372100" cy="3061970"/>
            <wp:effectExtent l="0" t="0" r="0" b="5080"/>
            <wp:docPr id="1944244493" name="Chart 1">
              <a:extLst xmlns:a="http://schemas.openxmlformats.org/drawingml/2006/main">
                <a:ext uri="{FF2B5EF4-FFF2-40B4-BE49-F238E27FC236}">
                  <a16:creationId xmlns:a16="http://schemas.microsoft.com/office/drawing/2014/main" id="{37E34FC4-6552-BF9D-4342-49C905B7F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17763A41" w14:textId="48E99845" w:rsidR="00D82062" w:rsidRPr="00945782" w:rsidRDefault="00D82062" w:rsidP="00686065">
      <w:pPr>
        <w:pStyle w:val="Figure"/>
        <w:rPr>
          <w:i/>
          <w:iCs/>
          <w:color w:val="1F497D" w:themeColor="text2"/>
          <w:sz w:val="18"/>
          <w:szCs w:val="18"/>
          <w:lang w:val="ru-RU"/>
        </w:rPr>
      </w:pPr>
      <w:bookmarkStart w:id="101" w:name="Fig18"/>
      <w:r w:rsidRPr="00945782">
        <w:rPr>
          <w:i/>
          <w:iCs/>
          <w:color w:val="1F497D" w:themeColor="text2"/>
          <w:sz w:val="18"/>
          <w:szCs w:val="18"/>
          <w:lang w:val="ru-RU"/>
        </w:rPr>
        <w:t>Рис</w:t>
      </w:r>
      <w:r w:rsidR="005C681C" w:rsidRPr="00945782">
        <w:rPr>
          <w:i/>
          <w:iCs/>
          <w:color w:val="1F497D" w:themeColor="text2"/>
          <w:sz w:val="18"/>
          <w:szCs w:val="18"/>
          <w:lang w:val="ru-RU"/>
        </w:rPr>
        <w:t>унок</w:t>
      </w:r>
      <w:r w:rsidRPr="00945782">
        <w:rPr>
          <w:i/>
          <w:iCs/>
          <w:color w:val="1F497D" w:themeColor="text2"/>
          <w:sz w:val="18"/>
          <w:szCs w:val="18"/>
          <w:lang w:val="ru-RU"/>
        </w:rPr>
        <w:t xml:space="preserve"> 18</w:t>
      </w:r>
      <w:r w:rsidR="005C681C" w:rsidRPr="00945782">
        <w:rPr>
          <w:i/>
          <w:iCs/>
          <w:color w:val="1F497D" w:themeColor="text2"/>
          <w:sz w:val="18"/>
          <w:szCs w:val="18"/>
          <w:lang w:val="ru-RU"/>
        </w:rPr>
        <w:t xml:space="preserve"> −</w:t>
      </w:r>
      <w:r w:rsidRPr="00945782">
        <w:rPr>
          <w:i/>
          <w:iCs/>
          <w:color w:val="1F497D" w:themeColor="text2"/>
          <w:sz w:val="18"/>
          <w:szCs w:val="18"/>
          <w:lang w:val="ru-RU"/>
        </w:rPr>
        <w:t xml:space="preserve"> Новые проекты, по которым МСЭ заключило соглашения,</w:t>
      </w:r>
      <w:r w:rsidR="005C681C" w:rsidRPr="00945782">
        <w:rPr>
          <w:i/>
          <w:iCs/>
          <w:color w:val="1F497D" w:themeColor="text2"/>
          <w:sz w:val="18"/>
          <w:szCs w:val="18"/>
          <w:lang w:val="ru-RU"/>
        </w:rPr>
        <w:t xml:space="preserve"> </w:t>
      </w:r>
      <w:r w:rsidRPr="00945782">
        <w:rPr>
          <w:i/>
          <w:iCs/>
          <w:color w:val="1F497D" w:themeColor="text2"/>
          <w:sz w:val="18"/>
          <w:szCs w:val="18"/>
          <w:lang w:val="ru-RU"/>
        </w:rPr>
        <w:t>по годам подписания (2015–2025 гг.)</w:t>
      </w:r>
    </w:p>
    <w:bookmarkEnd w:id="101"/>
    <w:p w14:paraId="0167F789" w14:textId="6919598F" w:rsidR="00686065" w:rsidRPr="00945782" w:rsidRDefault="00686065" w:rsidP="00C60105">
      <w:pPr>
        <w:pStyle w:val="Figure"/>
        <w:spacing w:after="120"/>
        <w:rPr>
          <w:lang w:val="ru-RU"/>
        </w:rPr>
      </w:pPr>
      <w:r w:rsidRPr="00945782">
        <w:rPr>
          <w:noProof/>
          <w:lang w:val="ru-RU"/>
        </w:rPr>
        <w:drawing>
          <wp:inline distT="0" distB="0" distL="0" distR="0" wp14:anchorId="0C8DA153" wp14:editId="19D5656E">
            <wp:extent cx="4410075" cy="2390775"/>
            <wp:effectExtent l="0" t="0" r="9525" b="9525"/>
            <wp:docPr id="11179168" name="Chart 1">
              <a:extLst xmlns:a="http://schemas.openxmlformats.org/drawingml/2006/main">
                <a:ext uri="{FF2B5EF4-FFF2-40B4-BE49-F238E27FC236}">
                  <a16:creationId xmlns:a16="http://schemas.microsoft.com/office/drawing/2014/main" id="{211B7503-795E-0940-D332-EDA6AA5C7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429A0FE8" w14:textId="77A4EF06" w:rsidR="00D82062" w:rsidRPr="00945782" w:rsidRDefault="00D82062" w:rsidP="005C681C">
      <w:pPr>
        <w:pStyle w:val="Figure"/>
        <w:spacing w:before="120"/>
        <w:rPr>
          <w:i/>
          <w:iCs/>
          <w:color w:val="1F497D" w:themeColor="text2"/>
          <w:sz w:val="18"/>
          <w:szCs w:val="18"/>
          <w:lang w:val="ru-RU"/>
        </w:rPr>
      </w:pPr>
      <w:bookmarkStart w:id="102" w:name="Fig19"/>
      <w:r w:rsidRPr="00945782">
        <w:rPr>
          <w:i/>
          <w:iCs/>
          <w:color w:val="1F497D" w:themeColor="text2"/>
          <w:sz w:val="18"/>
          <w:szCs w:val="18"/>
          <w:lang w:val="ru-RU"/>
        </w:rPr>
        <w:t>Рис</w:t>
      </w:r>
      <w:r w:rsidR="005C681C" w:rsidRPr="00945782">
        <w:rPr>
          <w:i/>
          <w:iCs/>
          <w:color w:val="1F497D" w:themeColor="text2"/>
          <w:sz w:val="18"/>
          <w:szCs w:val="18"/>
          <w:lang w:val="ru-RU"/>
        </w:rPr>
        <w:t>унок</w:t>
      </w:r>
      <w:r w:rsidRPr="00945782">
        <w:rPr>
          <w:i/>
          <w:iCs/>
          <w:color w:val="1F497D" w:themeColor="text2"/>
          <w:sz w:val="18"/>
          <w:szCs w:val="18"/>
          <w:lang w:val="ru-RU"/>
        </w:rPr>
        <w:t xml:space="preserve"> 19</w:t>
      </w:r>
      <w:r w:rsidR="005C681C" w:rsidRPr="00945782">
        <w:rPr>
          <w:i/>
          <w:iCs/>
          <w:color w:val="1F497D" w:themeColor="text2"/>
          <w:sz w:val="18"/>
          <w:szCs w:val="18"/>
          <w:lang w:val="ru-RU"/>
        </w:rPr>
        <w:t xml:space="preserve"> −</w:t>
      </w:r>
      <w:r w:rsidRPr="00945782">
        <w:rPr>
          <w:i/>
          <w:iCs/>
          <w:color w:val="1F497D" w:themeColor="text2"/>
          <w:sz w:val="18"/>
          <w:szCs w:val="18"/>
          <w:lang w:val="ru-RU"/>
        </w:rPr>
        <w:t xml:space="preserve"> Объем привлеченного финансирования по новым проектам в рамках циклов ВКР</w:t>
      </w:r>
    </w:p>
    <w:bookmarkEnd w:id="102"/>
    <w:p w14:paraId="2B610788" w14:textId="77777777" w:rsidR="00D82062" w:rsidRPr="00945782" w:rsidRDefault="00D82062" w:rsidP="005C681C">
      <w:pPr>
        <w:rPr>
          <w:lang w:val="ru-RU"/>
        </w:rPr>
      </w:pPr>
      <w:r w:rsidRPr="00945782">
        <w:rPr>
          <w:lang w:val="ru-RU"/>
        </w:rPr>
        <w:t>Что касается источников финансирования, 90% средств для новых проектов, соглашения по которым были подписаны в рамках цикла ВКРЭ 2023–2025 годы, поступили из привлеченных БРЭ внебюджетных средств, обеспеченных третьими сторонами, тогда как оставшиеся 10% были обеспечены за счет начального финансирования из Фонда развития ИКТ МСЭ (ФРИКТ). Стоит особо отметить, что, поскольку МСЭ не является финансирующей организацией, возможность подписания новых проектов в значительной степени зависит от наличия партнеров по финансированию, готовых поддерживать деятельность МСЭ. Вместе с тем ФРИКТ стал важнейшим ресурсом, благодаря которому стала возможна разработка новых проектов МСЭ-D, поскольку все больше доноров в настоящее время требуют, чтобы организации, получающие средства, обеспечивали определенный уровень софинансирования для подтверждения жизнеспособности новых проектов. Это подчеркивает ключевую роль ФРИКТ как важного механизма для расширения работы по привлечению ресурсов, проводимой БРЭ в поддержку Государств – Членов МСЭ.</w:t>
      </w:r>
    </w:p>
    <w:p w14:paraId="446AB47D" w14:textId="77777777" w:rsidR="00D82062" w:rsidRPr="00945782" w:rsidRDefault="00D82062" w:rsidP="00C60105">
      <w:pPr>
        <w:rPr>
          <w:lang w:val="ru-RU"/>
        </w:rPr>
      </w:pPr>
      <w:r w:rsidRPr="00945782">
        <w:rPr>
          <w:lang w:val="ru-RU"/>
        </w:rPr>
        <w:lastRenderedPageBreak/>
        <w:t>В течение 2025 года МСЭ также продолжал укреплять практики управления проектами в рамках всех проектов МСЭ. Это включало совершенствование отчетности, предоставляемой партнерам, продолжение работы Комитета по проектам, а также укрепление функции мониторинга проектов.</w:t>
      </w:r>
    </w:p>
    <w:p w14:paraId="4C9AEF35" w14:textId="77777777" w:rsidR="00D82062" w:rsidRPr="00945782" w:rsidRDefault="00D82062" w:rsidP="00C60105">
      <w:pPr>
        <w:rPr>
          <w:rFonts w:asciiTheme="minorHAnsi" w:hAnsiTheme="minorHAnsi" w:cstheme="minorHAnsi"/>
          <w:szCs w:val="22"/>
          <w:lang w:val="ru-RU"/>
        </w:rPr>
      </w:pPr>
      <w:r w:rsidRPr="00945782">
        <w:rPr>
          <w:rFonts w:asciiTheme="minorHAnsi" w:hAnsiTheme="minorHAnsi" w:cstheme="minorHAnsi"/>
          <w:szCs w:val="22"/>
          <w:lang w:val="ru-RU"/>
        </w:rPr>
        <w:t xml:space="preserve">Дополнительные сведения и данные можно найти на </w:t>
      </w:r>
      <w:hyperlink r:id="rId262" w:history="1">
        <w:r w:rsidRPr="00945782">
          <w:rPr>
            <w:rStyle w:val="Hyperlink"/>
            <w:rFonts w:asciiTheme="minorHAnsi" w:hAnsiTheme="minorHAnsi" w:cstheme="minorHAnsi"/>
            <w:szCs w:val="22"/>
            <w:lang w:val="ru-RU"/>
          </w:rPr>
          <w:t>портале проектов МСЭ-D</w:t>
        </w:r>
      </w:hyperlink>
      <w:r w:rsidRPr="00945782">
        <w:rPr>
          <w:rFonts w:asciiTheme="minorHAnsi" w:hAnsiTheme="minorHAnsi" w:cstheme="minorHAnsi"/>
          <w:szCs w:val="22"/>
          <w:lang w:val="ru-RU"/>
        </w:rPr>
        <w:t xml:space="preserve"> и в новой </w:t>
      </w:r>
      <w:hyperlink r:id="rId263" w:history="1">
        <w:r w:rsidRPr="00945782">
          <w:rPr>
            <w:rStyle w:val="Hyperlink"/>
            <w:rFonts w:asciiTheme="minorHAnsi" w:hAnsiTheme="minorHAnsi" w:cstheme="minorHAnsi"/>
            <w:szCs w:val="22"/>
            <w:lang w:val="ru-RU"/>
          </w:rPr>
          <w:t>информационной панели для членов МСЭ, посвященной статусу проектов</w:t>
        </w:r>
      </w:hyperlink>
      <w:r w:rsidRPr="00945782">
        <w:rPr>
          <w:rFonts w:asciiTheme="minorHAnsi" w:hAnsiTheme="minorHAnsi" w:cstheme="minorHAnsi"/>
          <w:szCs w:val="22"/>
          <w:lang w:val="ru-RU"/>
        </w:rPr>
        <w:t>.</w:t>
      </w:r>
    </w:p>
    <w:p w14:paraId="6ED7AF40" w14:textId="335315E8" w:rsidR="00D82062" w:rsidRPr="00945782" w:rsidRDefault="00D82062" w:rsidP="00D82062">
      <w:pPr>
        <w:pStyle w:val="Heading2"/>
        <w:rPr>
          <w:lang w:val="ru-RU"/>
        </w:rPr>
      </w:pPr>
      <w:bookmarkStart w:id="103" w:name="_Toc227062870"/>
      <w:bookmarkStart w:id="104" w:name="_Toc227850258"/>
      <w:r w:rsidRPr="00945782">
        <w:rPr>
          <w:lang w:val="ru-RU"/>
        </w:rPr>
        <w:t>4.8</w:t>
      </w:r>
      <w:r w:rsidR="00C60105" w:rsidRPr="00945782">
        <w:rPr>
          <w:lang w:val="ru-RU"/>
        </w:rPr>
        <w:tab/>
      </w:r>
      <w:r w:rsidRPr="00945782">
        <w:rPr>
          <w:lang w:val="ru-RU"/>
        </w:rPr>
        <w:t>Платформы для созыва мероприятий</w:t>
      </w:r>
      <w:bookmarkEnd w:id="103"/>
      <w:bookmarkEnd w:id="104"/>
    </w:p>
    <w:p w14:paraId="636B12C6" w14:textId="58EAACD0" w:rsidR="00D82062" w:rsidRPr="00945782" w:rsidRDefault="00D82062" w:rsidP="00D82062">
      <w:pPr>
        <w:pStyle w:val="Heading3"/>
        <w:rPr>
          <w:lang w:val="ru-RU"/>
        </w:rPr>
      </w:pPr>
      <w:bookmarkStart w:id="105" w:name="_Toc227062871"/>
      <w:bookmarkStart w:id="106" w:name="_Toc227850259"/>
      <w:r w:rsidRPr="00945782">
        <w:rPr>
          <w:lang w:val="ru-RU"/>
        </w:rPr>
        <w:t>4.8.1</w:t>
      </w:r>
      <w:r w:rsidR="00C60105" w:rsidRPr="00945782">
        <w:rPr>
          <w:lang w:val="ru-RU"/>
        </w:rPr>
        <w:tab/>
      </w:r>
      <w:r w:rsidRPr="00945782">
        <w:rPr>
          <w:lang w:val="ru-RU"/>
        </w:rPr>
        <w:t>Процесс ВВУИО</w:t>
      </w:r>
      <w:bookmarkEnd w:id="105"/>
      <w:bookmarkEnd w:id="106"/>
    </w:p>
    <w:p w14:paraId="1DBC1EC2" w14:textId="77777777" w:rsidR="00D82062" w:rsidRPr="00945782" w:rsidRDefault="00D82062" w:rsidP="00C60105">
      <w:pPr>
        <w:rPr>
          <w:lang w:val="ru-RU"/>
        </w:rPr>
      </w:pPr>
      <w:hyperlink r:id="rId264" w:history="1">
        <w:r w:rsidRPr="00945782">
          <w:rPr>
            <w:rStyle w:val="Hyperlink"/>
            <w:rFonts w:asciiTheme="minorHAnsi" w:hAnsiTheme="minorHAnsi" w:cstheme="minorHAnsi"/>
            <w:szCs w:val="22"/>
            <w:lang w:val="ru-RU"/>
          </w:rPr>
          <w:t>Всемирная встреча на высшем уровне по вопросам информационного общества (ВВУИО)</w:t>
        </w:r>
      </w:hyperlink>
      <w:r w:rsidRPr="00945782">
        <w:rPr>
          <w:lang w:val="ru-RU"/>
        </w:rPr>
        <w:t xml:space="preserve"> продолжает служить ключевой глобальной основой для цифрового развития, построенного на принципе открытости для всех и ориентированного на человека, и для достижения прогресса в реализации Повестки дня в области устойчивого развития на период до 2030 года. Будучи ведущим координатором, МСЭ осуществляет руководство реализацией направлений деятельности ВВУИО, способствует расширению участия широкого круга заинтересованных сторон и содействует скоординированным усилиям по цифровой трансформации.</w:t>
      </w:r>
    </w:p>
    <w:p w14:paraId="54F4B05F" w14:textId="557A22A1" w:rsidR="00D82062" w:rsidRPr="00945782" w:rsidRDefault="00D82062" w:rsidP="00C60105">
      <w:pPr>
        <w:rPr>
          <w:lang w:val="ru-RU"/>
        </w:rPr>
      </w:pPr>
      <w:r w:rsidRPr="00945782">
        <w:rPr>
          <w:lang w:val="ru-RU"/>
        </w:rPr>
        <w:t xml:space="preserve">Руководствуясь </w:t>
      </w:r>
      <w:hyperlink r:id="rId265" w:history="1">
        <w:r w:rsidRPr="00945782">
          <w:rPr>
            <w:rStyle w:val="Hyperlink"/>
            <w:rFonts w:asciiTheme="minorHAnsi" w:hAnsiTheme="minorHAnsi" w:cstheme="minorHAnsi"/>
            <w:szCs w:val="22"/>
            <w:lang w:val="ru-RU"/>
          </w:rPr>
          <w:t>Резолюцией 140 (Пересм. Бухарест, 2022 г.) Полномочной конференции</w:t>
        </w:r>
      </w:hyperlink>
      <w:r w:rsidRPr="00945782">
        <w:rPr>
          <w:lang w:val="ru-RU"/>
        </w:rPr>
        <w:t xml:space="preserve">, резолюциями </w:t>
      </w:r>
      <w:hyperlink r:id="rId266" w:history="1">
        <w:r w:rsidRPr="00945782">
          <w:rPr>
            <w:rStyle w:val="Hyperlink"/>
            <w:rFonts w:asciiTheme="minorHAnsi" w:hAnsiTheme="minorHAnsi" w:cstheme="minorHAnsi"/>
            <w:szCs w:val="22"/>
            <w:lang w:val="ru-RU"/>
          </w:rPr>
          <w:t>1332 (Изм. 2024 г.)</w:t>
        </w:r>
      </w:hyperlink>
      <w:r w:rsidRPr="00945782">
        <w:rPr>
          <w:lang w:val="ru-RU"/>
        </w:rPr>
        <w:t xml:space="preserve"> и </w:t>
      </w:r>
      <w:hyperlink r:id="rId267" w:history="1">
        <w:r w:rsidRPr="00945782">
          <w:rPr>
            <w:rStyle w:val="Hyperlink"/>
            <w:rFonts w:asciiTheme="minorHAnsi" w:hAnsiTheme="minorHAnsi" w:cstheme="minorHAnsi"/>
            <w:szCs w:val="22"/>
            <w:lang w:val="ru-RU"/>
          </w:rPr>
          <w:t>1334 (Изм. 2023 г.)</w:t>
        </w:r>
      </w:hyperlink>
      <w:r w:rsidRPr="00945782">
        <w:rPr>
          <w:lang w:val="ru-RU"/>
        </w:rPr>
        <w:t xml:space="preserve"> Совета, резолюциями Секторов − </w:t>
      </w:r>
      <w:hyperlink r:id="rId268" w:history="1">
        <w:r w:rsidRPr="00945782">
          <w:rPr>
            <w:rStyle w:val="Hyperlink"/>
            <w:rFonts w:asciiTheme="minorHAnsi" w:hAnsiTheme="minorHAnsi" w:cstheme="minorHAnsi"/>
            <w:szCs w:val="22"/>
            <w:lang w:val="ru-RU"/>
          </w:rPr>
          <w:t>Резолюцией 30 (Пересм. Баку, 2025 г.) ВКРЭ</w:t>
        </w:r>
      </w:hyperlink>
      <w:r w:rsidRPr="00945782">
        <w:rPr>
          <w:lang w:val="ru-RU"/>
        </w:rPr>
        <w:t xml:space="preserve">, Резолюцией </w:t>
      </w:r>
      <w:hyperlink r:id="rId269" w:history="1">
        <w:r w:rsidRPr="00945782">
          <w:rPr>
            <w:rStyle w:val="Hyperlink"/>
            <w:rFonts w:asciiTheme="minorHAnsi" w:hAnsiTheme="minorHAnsi" w:cstheme="minorHAnsi"/>
            <w:szCs w:val="22"/>
            <w:lang w:val="ru-RU"/>
          </w:rPr>
          <w:t>75 (Пересм. Женева, 2022 г.) ВАСЭ</w:t>
        </w:r>
      </w:hyperlink>
      <w:r w:rsidRPr="00945782">
        <w:rPr>
          <w:lang w:val="ru-RU"/>
        </w:rPr>
        <w:t xml:space="preserve"> и Резолюцией </w:t>
      </w:r>
      <w:hyperlink r:id="rId270" w:history="1">
        <w:r w:rsidRPr="00945782">
          <w:rPr>
            <w:rStyle w:val="Hyperlink"/>
            <w:rFonts w:asciiTheme="minorHAnsi" w:hAnsiTheme="minorHAnsi" w:cstheme="minorHAnsi"/>
            <w:szCs w:val="22"/>
            <w:lang w:val="ru-RU"/>
          </w:rPr>
          <w:t>МСЭ-R 61-3 (Пересм. Дубай, 2023 г.)</w:t>
        </w:r>
      </w:hyperlink>
      <w:r w:rsidRPr="00945782">
        <w:rPr>
          <w:lang w:val="ru-RU"/>
        </w:rPr>
        <w:t xml:space="preserve">, − с момента ПК-22 МСЭ провел три </w:t>
      </w:r>
      <w:hyperlink r:id="rId271" w:history="1">
        <w:r w:rsidRPr="00945782">
          <w:rPr>
            <w:rStyle w:val="Hyperlink"/>
            <w:rFonts w:asciiTheme="minorHAnsi" w:hAnsiTheme="minorHAnsi" w:cstheme="minorHAnsi"/>
            <w:szCs w:val="22"/>
            <w:lang w:val="ru-RU"/>
          </w:rPr>
          <w:t>форума ВВУИО</w:t>
        </w:r>
      </w:hyperlink>
      <w:r w:rsidRPr="00945782">
        <w:rPr>
          <w:lang w:val="ru-RU"/>
        </w:rPr>
        <w:t xml:space="preserve"> (при этом мероприятия 2024 и 2025 годов прошли в формате мероприятий высокого уровня ВВУИО+20), в рамках которых был сделан вклад в проведение общего обзора и была предоставлена глобальная платформа для диалога и сотрудничества. На </w:t>
      </w:r>
      <w:hyperlink r:id="rId272" w:history="1">
        <w:r w:rsidRPr="00945782">
          <w:rPr>
            <w:rStyle w:val="Hyperlink"/>
            <w:rFonts w:asciiTheme="minorHAnsi" w:hAnsiTheme="minorHAnsi" w:cstheme="minorHAnsi"/>
            <w:szCs w:val="22"/>
            <w:lang w:val="ru-RU"/>
          </w:rPr>
          <w:t>аналитической платформе ВВУИО</w:t>
        </w:r>
      </w:hyperlink>
      <w:r w:rsidRPr="00945782">
        <w:rPr>
          <w:lang w:val="ru-RU"/>
        </w:rPr>
        <w:t xml:space="preserve"> в настоящее время представлено более 21 000 проектов в области ИКТ для развития, а премии ВВУИО продолжают отмечать значимые цифровые инициативы (за</w:t>
      </w:r>
      <w:r w:rsidR="00C60105" w:rsidRPr="00945782">
        <w:rPr>
          <w:lang w:val="ru-RU"/>
        </w:rPr>
        <w:t> </w:t>
      </w:r>
      <w:r w:rsidRPr="00945782">
        <w:rPr>
          <w:lang w:val="ru-RU"/>
        </w:rPr>
        <w:t>последние три года было получено более 3000 заявок).</w:t>
      </w:r>
    </w:p>
    <w:p w14:paraId="4A1F19AF" w14:textId="1CB6B444" w:rsidR="00D82062" w:rsidRPr="00945782" w:rsidRDefault="00D82062" w:rsidP="00C60105">
      <w:pPr>
        <w:rPr>
          <w:lang w:val="ru-RU"/>
        </w:rPr>
      </w:pPr>
      <w:r w:rsidRPr="00945782">
        <w:rPr>
          <w:lang w:val="ru-RU"/>
        </w:rPr>
        <w:t xml:space="preserve">Вся информация о деятельности МСЭ по реализации процесса ВВУИО и Повестки дня в области устойчивого развития на период до 2030 года (через архитектуру ВВУИО) с момента проведения ПК-22 представлена в </w:t>
      </w:r>
      <w:hyperlink r:id="rId273" w:history="1">
        <w:r w:rsidRPr="00945782">
          <w:rPr>
            <w:rStyle w:val="Hyperlink"/>
            <w:rFonts w:asciiTheme="minorHAnsi" w:hAnsiTheme="minorHAnsi" w:cstheme="minorHAnsi"/>
            <w:szCs w:val="22"/>
            <w:lang w:val="ru-RU"/>
          </w:rPr>
          <w:t>заключительном и всестороннем отчете о деятельности МСЭ по выполнению решений ВВУИО и Повестки дня в области устойчивого развития на период до 2030 года совместно с предложениями относительно дальнейшей деятельности</w:t>
        </w:r>
      </w:hyperlink>
      <w:r w:rsidRPr="00945782">
        <w:rPr>
          <w:lang w:val="ru-RU"/>
        </w:rPr>
        <w:t xml:space="preserve">. Наконец, в </w:t>
      </w:r>
      <w:hyperlink r:id="rId274" w:history="1">
        <w:r w:rsidRPr="00945782">
          <w:rPr>
            <w:rStyle w:val="Hyperlink"/>
            <w:rFonts w:asciiTheme="minorHAnsi" w:hAnsiTheme="minorHAnsi" w:cstheme="minorHAnsi"/>
            <w:szCs w:val="22"/>
            <w:lang w:val="ru-RU"/>
          </w:rPr>
          <w:t>ежегодных отчетах о вкладе МСЭ в реализацию итогов ВВУИО</w:t>
        </w:r>
      </w:hyperlink>
      <w:r w:rsidRPr="00945782">
        <w:rPr>
          <w:lang w:val="ru-RU"/>
        </w:rPr>
        <w:t xml:space="preserve"> представлены связанные с ВВУИО ключевые инициативы и виды деятельности во всех трех секторах МСЭ − стандартизации, радиосвязи и развития, а также в Генеральном секретариате, и отражен прогресс на операционном и политическом уровнях в выполнении мандатов МСЭ, связанных с</w:t>
      </w:r>
      <w:r w:rsidR="000C3312" w:rsidRPr="00945782">
        <w:rPr>
          <w:lang w:val="ru-RU"/>
        </w:rPr>
        <w:t> </w:t>
      </w:r>
      <w:r w:rsidRPr="00945782">
        <w:rPr>
          <w:lang w:val="ru-RU"/>
        </w:rPr>
        <w:t>ВВУИО.</w:t>
      </w:r>
    </w:p>
    <w:p w14:paraId="26291B01" w14:textId="77777777" w:rsidR="00D82062" w:rsidRPr="00945782" w:rsidRDefault="00D82062" w:rsidP="00C60105">
      <w:pPr>
        <w:pStyle w:val="Headingb"/>
        <w:rPr>
          <w:lang w:val="ru-RU"/>
        </w:rPr>
      </w:pPr>
      <w:r w:rsidRPr="00945782">
        <w:rPr>
          <w:lang w:val="ru-RU"/>
        </w:rPr>
        <w:t>Форум ВВУИО</w:t>
      </w:r>
    </w:p>
    <w:p w14:paraId="11FDB355" w14:textId="21E0849D" w:rsidR="00D82062" w:rsidRPr="00945782" w:rsidRDefault="00D82062" w:rsidP="00C60105">
      <w:pPr>
        <w:rPr>
          <w:lang w:val="ru-RU"/>
        </w:rPr>
      </w:pPr>
      <w:r w:rsidRPr="00945782">
        <w:rPr>
          <w:lang w:val="ru-RU"/>
        </w:rPr>
        <w:t xml:space="preserve">Ежегодный </w:t>
      </w:r>
      <w:hyperlink r:id="rId275" w:history="1">
        <w:r w:rsidRPr="00945782">
          <w:rPr>
            <w:rStyle w:val="Hyperlink"/>
            <w:rFonts w:asciiTheme="minorHAnsi" w:hAnsiTheme="minorHAnsi" w:cstheme="minorHAnsi"/>
            <w:szCs w:val="22"/>
            <w:lang w:val="ru-RU"/>
          </w:rPr>
          <w:t>Форум ВВУИО</w:t>
        </w:r>
      </w:hyperlink>
      <w:r w:rsidRPr="00945782">
        <w:rPr>
          <w:lang w:val="ru-RU"/>
        </w:rPr>
        <w:t>, проводимый МСЭ (в 2024 и 2025 годах – вместе со Швейцарией) и организуемый совместно с ЮНЕСКО, ПРООН и ЮНКТАД в сотрудничестве с более чем 50 учреждениями-партнерами из системы ООН, является одной из ключевых глобальных платформ для содействия цифровому развитию на основе принципа открытости для всех и для обзора прогресса по направлениями деятельности ВВУИО. Посредством наращивания потенциала, развития партнерств и обмена знаниями МСЭ привлек к участию более 50 000</w:t>
      </w:r>
      <w:r w:rsidR="00C60105" w:rsidRPr="00945782">
        <w:rPr>
          <w:lang w:val="ru-RU"/>
        </w:rPr>
        <w:t> </w:t>
      </w:r>
      <w:r w:rsidRPr="00945782">
        <w:rPr>
          <w:lang w:val="ru-RU"/>
        </w:rPr>
        <w:t xml:space="preserve">заинтересованных сторон из более чем 160 стран, что позволило сформировать общее видение и ориентированную на практические действия дорожную карту цифрового развития и внедрения новых технологий. Форум ВВУИО 2023 года был посвящен теме </w:t>
      </w:r>
      <w:hyperlink r:id="rId276" w:history="1">
        <w:r w:rsidRPr="00945782">
          <w:rPr>
            <w:rStyle w:val="Hyperlink"/>
            <w:rFonts w:asciiTheme="minorHAnsi" w:hAnsiTheme="minorHAnsi" w:cstheme="minorHAnsi"/>
            <w:szCs w:val="22"/>
            <w:lang w:val="ru-RU"/>
          </w:rPr>
          <w:t>"Направления деятельности ВВУИО для того, чтобы сделать лучше, чем было, и для ускорения достижения ЦУР"</w:t>
        </w:r>
      </w:hyperlink>
      <w:r w:rsidRPr="00945782">
        <w:rPr>
          <w:lang w:val="ru-RU"/>
        </w:rPr>
        <w:t xml:space="preserve">, на </w:t>
      </w:r>
      <w:hyperlink r:id="rId277" w:history="1">
        <w:r w:rsidRPr="00945782">
          <w:rPr>
            <w:rStyle w:val="Hyperlink"/>
            <w:rFonts w:asciiTheme="minorHAnsi" w:hAnsiTheme="minorHAnsi" w:cstheme="minorHAnsi"/>
            <w:szCs w:val="22"/>
            <w:lang w:val="ru-RU"/>
          </w:rPr>
          <w:t>мероприятии высокого уровня в рамках форума ВВУИО+20 2024 года</w:t>
        </w:r>
      </w:hyperlink>
      <w:r w:rsidRPr="00945782">
        <w:rPr>
          <w:lang w:val="ru-RU"/>
        </w:rPr>
        <w:t xml:space="preserve"> были подведены </w:t>
      </w:r>
      <w:r w:rsidRPr="00945782">
        <w:rPr>
          <w:lang w:val="ru-RU"/>
        </w:rPr>
        <w:lastRenderedPageBreak/>
        <w:t xml:space="preserve">итоги двух десятилетий прогресса, а в ходе </w:t>
      </w:r>
      <w:hyperlink r:id="rId278" w:history="1">
        <w:r w:rsidRPr="00945782">
          <w:rPr>
            <w:rStyle w:val="Hyperlink"/>
            <w:rFonts w:asciiTheme="minorHAnsi" w:hAnsiTheme="minorHAnsi" w:cstheme="minorHAnsi"/>
            <w:szCs w:val="22"/>
            <w:lang w:val="ru-RU"/>
          </w:rPr>
          <w:t>мероприятия высокого уровня ВВУИО+20 2025</w:t>
        </w:r>
        <w:r w:rsidR="00C60105"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года</w:t>
        </w:r>
      </w:hyperlink>
      <w:r w:rsidRPr="00945782">
        <w:rPr>
          <w:lang w:val="ru-RU"/>
        </w:rPr>
        <w:t xml:space="preserve"> была подтверждена роль ВВУИО в формировании глобального цифрового сотрудничества и была заложена основа для обзора ВВУИО+20 Генеральной Ассамблеей ООН.</w:t>
      </w:r>
    </w:p>
    <w:p w14:paraId="358FC160" w14:textId="77777777" w:rsidR="00D82062" w:rsidRPr="00945782" w:rsidRDefault="00D82062" w:rsidP="00C60105">
      <w:pPr>
        <w:pStyle w:val="Headingb"/>
        <w:rPr>
          <w:lang w:val="ru-RU"/>
        </w:rPr>
      </w:pPr>
      <w:r w:rsidRPr="00945782">
        <w:rPr>
          <w:lang w:val="ru-RU"/>
        </w:rPr>
        <w:t>Вклад МСЭ в процесс обзора ВВУИО+20</w:t>
      </w:r>
    </w:p>
    <w:p w14:paraId="66FA5C2F" w14:textId="77777777" w:rsidR="00D82062" w:rsidRPr="00945782" w:rsidRDefault="00D82062" w:rsidP="00C60105">
      <w:pPr>
        <w:rPr>
          <w:lang w:val="ru-RU"/>
        </w:rPr>
      </w:pPr>
      <w:r w:rsidRPr="00945782">
        <w:rPr>
          <w:lang w:val="ru-RU"/>
        </w:rPr>
        <w:t xml:space="preserve">Будучи учреждением системы ООН в области цифровых технологий и одной из организаций-основательниц процесса ВВУИО, МСЭ играл центральную роль на протяжении всего процесса обзора ВВУИО+20. МСЭ активно участвовал в подготовительном процессе под руководством Генеральной Ассамблеи ООН (ГА ООН) и оказывал соответствующую поддержку, в том числе взаимодействовал с сокоординаторами ВВУИО+20, принимал участие в консультационных собраниях и сделал содержательный вклад в итоговый документ ВВУИО+20, что отражено на специальной странице секретариата ВВУИО+20 по </w:t>
      </w:r>
      <w:hyperlink r:id="rId279" w:history="1">
        <w:r w:rsidRPr="00945782">
          <w:rPr>
            <w:rStyle w:val="Hyperlink"/>
            <w:rFonts w:asciiTheme="minorHAnsi" w:hAnsiTheme="minorHAnsi" w:cstheme="minorHAnsi"/>
            <w:szCs w:val="22"/>
            <w:lang w:val="ru-RU"/>
          </w:rPr>
          <w:t>ссылке</w:t>
        </w:r>
      </w:hyperlink>
      <w:r w:rsidRPr="00945782">
        <w:rPr>
          <w:lang w:val="ru-RU"/>
        </w:rPr>
        <w:t xml:space="preserve">. В своей деятельности МСЭ руководствовался </w:t>
      </w:r>
      <w:hyperlink r:id="rId280" w:history="1">
        <w:r w:rsidRPr="00945782">
          <w:rPr>
            <w:rStyle w:val="Hyperlink"/>
            <w:rFonts w:asciiTheme="minorHAnsi" w:hAnsiTheme="minorHAnsi" w:cstheme="minorHAnsi"/>
            <w:i/>
            <w:iCs/>
            <w:szCs w:val="22"/>
            <w:lang w:val="ru-RU"/>
          </w:rPr>
          <w:t>Дорожной картой Генерального секретаря МСЭ по ВВУИО+20</w:t>
        </w:r>
      </w:hyperlink>
      <w:r w:rsidRPr="00945782">
        <w:rPr>
          <w:lang w:val="ru-RU"/>
        </w:rPr>
        <w:t xml:space="preserve">, в которой изложены стратегические ориентиры роли МСЭ в процессе обзора ВВУИО+20 и соответствующих подготовительных мероприятиях. Генеральный секретарь подготовила и представила в рамках процесса обзора ВВУИО+20 под эгидой ГА ООН </w:t>
      </w:r>
      <w:hyperlink r:id="rId281" w:history="1">
        <w:r w:rsidRPr="00945782">
          <w:rPr>
            <w:rStyle w:val="Hyperlink"/>
            <w:rFonts w:asciiTheme="minorHAnsi" w:hAnsiTheme="minorHAnsi" w:cstheme="minorHAnsi"/>
            <w:szCs w:val="22"/>
            <w:lang w:val="ru-RU"/>
          </w:rPr>
          <w:t>отчет в рамках ВВУИО+20 "Построение цифрового будущего для всех"</w:t>
        </w:r>
      </w:hyperlink>
      <w:r w:rsidRPr="00945782">
        <w:rPr>
          <w:lang w:val="ru-RU"/>
        </w:rPr>
        <w:t>, в котором отражены два десятилетия выполнения решений ВВУИО и вклад МСЭ в области политики, технической помощи, наращивания потенциала, данных и партнерств.</w:t>
      </w:r>
    </w:p>
    <w:p w14:paraId="2DAF6EE3" w14:textId="7BBBFB86" w:rsidR="00D82062" w:rsidRPr="00945782" w:rsidRDefault="00D82062" w:rsidP="00C60105">
      <w:pPr>
        <w:rPr>
          <w:lang w:val="ru-RU"/>
        </w:rPr>
      </w:pPr>
      <w:r w:rsidRPr="00945782">
        <w:rPr>
          <w:lang w:val="ru-RU"/>
        </w:rPr>
        <w:t xml:space="preserve">Сводный отчет МСЭ по итогам получения вкладов в ответ на </w:t>
      </w:r>
      <w:hyperlink r:id="rId282" w:history="1">
        <w:r w:rsidRPr="00945782">
          <w:rPr>
            <w:rStyle w:val="Hyperlink"/>
            <w:rFonts w:asciiTheme="minorHAnsi" w:hAnsiTheme="minorHAnsi" w:cstheme="minorHAnsi"/>
            <w:szCs w:val="22"/>
            <w:lang w:val="ru-RU"/>
          </w:rPr>
          <w:t>призыв МСЭ в рамках обзора ВВУИО+20</w:t>
        </w:r>
      </w:hyperlink>
      <w:r w:rsidRPr="00945782">
        <w:rPr>
          <w:lang w:val="ru-RU"/>
        </w:rPr>
        <w:t>, координация подготовки которого осуществлялась через Рабочую группу Совета по ВВУИО и ЦУР (РГС-ВВУИО&amp;ЦУР), был передан председателем этой группы команде обзора ВВУИО+20 под эгидой ГА ООН, что обеспечило учет разнообразных точек зрения правительств и заинтересованных сторон и их вклад в общий процесс. Более подробная информация о</w:t>
      </w:r>
      <w:r w:rsidR="00C60105" w:rsidRPr="00945782">
        <w:rPr>
          <w:lang w:val="ru-RU"/>
        </w:rPr>
        <w:t> </w:t>
      </w:r>
      <w:r w:rsidRPr="00945782">
        <w:rPr>
          <w:lang w:val="ru-RU"/>
        </w:rPr>
        <w:t xml:space="preserve">результатах обзора ВВУИО+20, проведенного ГА ООН, а также о вкладе МСЭ в этот процесс и последующих итогах представлена в </w:t>
      </w:r>
      <w:hyperlink r:id="rId283" w:history="1">
        <w:r w:rsidRPr="00945782">
          <w:rPr>
            <w:rStyle w:val="Hyperlink"/>
            <w:rFonts w:asciiTheme="minorHAnsi" w:hAnsiTheme="minorHAnsi" w:cstheme="minorHAnsi"/>
            <w:szCs w:val="22"/>
            <w:lang w:val="ru-RU"/>
          </w:rPr>
          <w:t>докладе Генеральной Ассамблеи ООН об общем обзоре реализации итогов Всемирной встречи на высшем уровне по вопросам информационного общества</w:t>
        </w:r>
      </w:hyperlink>
      <w:r w:rsidRPr="00945782">
        <w:rPr>
          <w:lang w:val="ru-RU"/>
        </w:rPr>
        <w:t>.</w:t>
      </w:r>
    </w:p>
    <w:p w14:paraId="3E3DBEF3" w14:textId="77777777" w:rsidR="00D82062" w:rsidRPr="00945782" w:rsidRDefault="00D82062" w:rsidP="00C60105">
      <w:pPr>
        <w:pStyle w:val="Headingb"/>
        <w:rPr>
          <w:lang w:val="ru-RU"/>
        </w:rPr>
      </w:pPr>
      <w:r w:rsidRPr="00945782">
        <w:rPr>
          <w:lang w:val="ru-RU"/>
        </w:rPr>
        <w:t>Группа Организации Объединенных Наций по вопросам информационного общества</w:t>
      </w:r>
    </w:p>
    <w:p w14:paraId="61D34ADD" w14:textId="77777777" w:rsidR="00D82062" w:rsidRPr="00945782" w:rsidRDefault="00D82062" w:rsidP="00C60105">
      <w:pPr>
        <w:rPr>
          <w:lang w:val="ru-RU"/>
        </w:rPr>
      </w:pPr>
      <w:r w:rsidRPr="00945782">
        <w:rPr>
          <w:lang w:val="ru-RU"/>
        </w:rPr>
        <w:t xml:space="preserve">МСЭ, выступая в качестве постоянного секретариата </w:t>
      </w:r>
      <w:hyperlink r:id="rId284" w:history="1">
        <w:r w:rsidRPr="00945782">
          <w:rPr>
            <w:rStyle w:val="Hyperlink"/>
            <w:rFonts w:asciiTheme="minorHAnsi" w:hAnsiTheme="minorHAnsi" w:cstheme="minorHAnsi"/>
            <w:szCs w:val="22"/>
            <w:lang w:val="ru-RU"/>
          </w:rPr>
          <w:t>Группы Организации Объединенных Наций по вопросам информационного общества (ГИО ООН)</w:t>
        </w:r>
      </w:hyperlink>
      <w:r w:rsidRPr="00945782">
        <w:rPr>
          <w:lang w:val="ru-RU"/>
        </w:rPr>
        <w:t xml:space="preserve"> и поочередно выполняя функции председателя и заместителя председателя, обеспечивает координацию цифрового сотрудничества в рамках системы ООН, руководство и стратегическое направление в этой области. ГИО ООН – это межучрежденческий механизм системы ООН по обеспечению согласованности политики и координации программ в цифровой сфере; в Группу входят 31 учреждение ООН и 17 наблюдателей. После принятия в 2024 году Глобального цифрового договора (ГЦД) Группа возглавила его реализацию через </w:t>
      </w:r>
      <w:hyperlink r:id="rId285" w:history="1">
        <w:r w:rsidRPr="00945782">
          <w:rPr>
            <w:rStyle w:val="Hyperlink"/>
            <w:rFonts w:asciiTheme="minorHAnsi" w:hAnsiTheme="minorHAnsi" w:cstheme="minorHAnsi"/>
            <w:szCs w:val="22"/>
            <w:lang w:val="ru-RU"/>
          </w:rPr>
          <w:t>матрицу Процесс ВВУИО–ЦУР–ГИО ООН</w:t>
        </w:r>
      </w:hyperlink>
      <w:r w:rsidRPr="00945782">
        <w:rPr>
          <w:lang w:val="ru-RU"/>
        </w:rPr>
        <w:t>, одновременно внося вклад в рамках ключевых мероприятий в области цифрового развития, включая обзор ВВУИО+20, Политический форум высокого уровня (ПФВУ), ФУИ и другие.</w:t>
      </w:r>
    </w:p>
    <w:p w14:paraId="01EBF148" w14:textId="77777777" w:rsidR="00D82062" w:rsidRPr="00945782" w:rsidRDefault="00D82062" w:rsidP="00C60105">
      <w:pPr>
        <w:pStyle w:val="Headingb"/>
        <w:rPr>
          <w:lang w:val="ru-RU"/>
        </w:rPr>
      </w:pPr>
      <w:r w:rsidRPr="00945782">
        <w:rPr>
          <w:lang w:val="ru-RU"/>
        </w:rPr>
        <w:t>Текущая деятельность</w:t>
      </w:r>
    </w:p>
    <w:p w14:paraId="53940756" w14:textId="2AE834CB" w:rsidR="00D82062" w:rsidRPr="00945782" w:rsidRDefault="00D82062" w:rsidP="00C60105">
      <w:pPr>
        <w:rPr>
          <w:lang w:val="ru-RU"/>
        </w:rPr>
      </w:pPr>
      <w:r w:rsidRPr="00945782">
        <w:rPr>
          <w:lang w:val="ru-RU"/>
        </w:rPr>
        <w:t xml:space="preserve">МСЭ поддерживает и развивает </w:t>
      </w:r>
      <w:hyperlink r:id="rId286" w:history="1">
        <w:r w:rsidR="00437339" w:rsidRPr="00945782">
          <w:rPr>
            <w:rStyle w:val="Hyperlink"/>
            <w:rFonts w:cs="Calibri"/>
            <w:lang w:val="ru-RU"/>
          </w:rPr>
          <w:t>аналитическую базу данных ВВУИО</w:t>
        </w:r>
      </w:hyperlink>
      <w:r w:rsidR="00437339" w:rsidRPr="00945782">
        <w:rPr>
          <w:rFonts w:cs="Calibri"/>
          <w:lang w:val="ru-RU"/>
        </w:rPr>
        <w:t xml:space="preserve"> </w:t>
      </w:r>
      <w:r w:rsidRPr="00945782">
        <w:rPr>
          <w:lang w:val="ru-RU"/>
        </w:rPr>
        <w:t xml:space="preserve">– глобальный репозиторий, в котором содержится более </w:t>
      </w:r>
      <w:r w:rsidR="00437339" w:rsidRPr="00945782">
        <w:rPr>
          <w:lang w:val="ru-RU"/>
        </w:rPr>
        <w:t>21</w:t>
      </w:r>
      <w:r w:rsidRPr="00945782">
        <w:rPr>
          <w:lang w:val="ru-RU"/>
        </w:rPr>
        <w:t xml:space="preserve"> 000 инициатив в области ИКТ, согласованных с направлениями деятельности ВВУИО, ЦУР и Глобальным цифровым договором; эта база данных служит важнейшим инструментом обеспечения прозрачности, обмена знаниями, выработки политики на основе фактических данных и стимулирования инноваций, и способствует внесению заинтересованными сторонами вклада, обновлению информации и оказанию поддержки развитию аналитических инструментов, формирующих стратегические выводы. Ее роль, включая премии ВВУИО, закреплена в </w:t>
      </w:r>
      <w:hyperlink r:id="rId287" w:history="1">
        <w:r w:rsidRPr="00945782">
          <w:rPr>
            <w:rStyle w:val="Hyperlink"/>
            <w:rFonts w:asciiTheme="minorHAnsi" w:hAnsiTheme="minorHAnsi" w:cstheme="minorHAnsi"/>
            <w:szCs w:val="22"/>
            <w:lang w:val="ru-RU"/>
          </w:rPr>
          <w:t>резолюции E/RES/2025/18 ЭКОСОС</w:t>
        </w:r>
      </w:hyperlink>
      <w:r w:rsidRPr="00945782">
        <w:rPr>
          <w:lang w:val="ru-RU"/>
        </w:rPr>
        <w:t>.</w:t>
      </w:r>
    </w:p>
    <w:p w14:paraId="70EA4037" w14:textId="282E4C9A" w:rsidR="00D82062" w:rsidRPr="00945782" w:rsidRDefault="00D82062" w:rsidP="00C60105">
      <w:pPr>
        <w:rPr>
          <w:lang w:val="ru-RU"/>
        </w:rPr>
      </w:pPr>
      <w:r w:rsidRPr="00945782">
        <w:rPr>
          <w:lang w:val="ru-RU"/>
        </w:rPr>
        <w:lastRenderedPageBreak/>
        <w:t xml:space="preserve">С 2012 года МСЭ проводит </w:t>
      </w:r>
      <w:hyperlink r:id="rId288" w:history="1">
        <w:r w:rsidRPr="00945782">
          <w:rPr>
            <w:rStyle w:val="Hyperlink"/>
            <w:rFonts w:asciiTheme="minorHAnsi" w:hAnsiTheme="minorHAnsi" w:cstheme="minorHAnsi"/>
            <w:szCs w:val="22"/>
            <w:lang w:val="ru-RU"/>
          </w:rPr>
          <w:t>конкурс на соискание наград ВВУИО</w:t>
        </w:r>
      </w:hyperlink>
      <w:r w:rsidRPr="00945782">
        <w:rPr>
          <w:lang w:val="ru-RU"/>
        </w:rPr>
        <w:t xml:space="preserve"> – самый ожидаемый глобальный конкурс, посвященный лучшим практикам в области цифрового развития и обеспечивший признание достижений и инноваций более чем в 9000 проектов, среди которых на сегодняшний день были в общей сложности определены 252 победителя и 720 лауреатов, число участников составило сотни тысяч заинтересованных сторон, а охват – миллионы людей (перечень победителей за 2023–2025 годы доступен онлайн).</w:t>
      </w:r>
    </w:p>
    <w:p w14:paraId="65AE63E2" w14:textId="51693B65" w:rsidR="00D82062" w:rsidRPr="00945782" w:rsidRDefault="00D82062" w:rsidP="00C60105">
      <w:pPr>
        <w:rPr>
          <w:lang w:val="ru-RU"/>
        </w:rPr>
      </w:pPr>
      <w:r w:rsidRPr="00945782">
        <w:rPr>
          <w:lang w:val="ru-RU"/>
        </w:rPr>
        <w:t xml:space="preserve">С 2011 года МСЭ координирует </w:t>
      </w:r>
      <w:hyperlink r:id="rId289" w:history="1">
        <w:r w:rsidRPr="00945782">
          <w:rPr>
            <w:rStyle w:val="Hyperlink"/>
            <w:rFonts w:asciiTheme="minorHAnsi" w:hAnsiTheme="minorHAnsi" w:cstheme="minorHAnsi"/>
            <w:szCs w:val="22"/>
            <w:lang w:val="ru-RU"/>
          </w:rPr>
          <w:t>Целевой фонд ВВУИО</w:t>
        </w:r>
      </w:hyperlink>
      <w:r w:rsidRPr="00945782">
        <w:rPr>
          <w:lang w:val="ru-RU"/>
        </w:rPr>
        <w:t>, учрежденный на основании Резолюции 140 Полномочной конференции, в целях оказания поддержки реализации ВВУИО. В</w:t>
      </w:r>
      <w:r w:rsidR="00C60105" w:rsidRPr="00945782">
        <w:rPr>
          <w:lang w:val="ru-RU"/>
        </w:rPr>
        <w:t> </w:t>
      </w:r>
      <w:r w:rsidRPr="00945782">
        <w:rPr>
          <w:lang w:val="ru-RU"/>
        </w:rPr>
        <w:t>соответствии с резолюциями 1332 и 1334 Совета всем членам и заинтересованным сторонам предлагается вносить добровольные взносы, при этом выражается признательность партнерам Форума ВВУИО 2023 года и мероприятий высокого уровня ВВУИО+20 2024–2025 годов за оказанную поддержку.</w:t>
      </w:r>
    </w:p>
    <w:p w14:paraId="6E3AB023" w14:textId="3CC8333E" w:rsidR="00D82062" w:rsidRPr="00945782" w:rsidRDefault="00D82062" w:rsidP="00C60105">
      <w:pPr>
        <w:rPr>
          <w:lang w:val="ru-RU"/>
        </w:rPr>
      </w:pPr>
      <w:r w:rsidRPr="00945782">
        <w:rPr>
          <w:lang w:val="ru-RU"/>
        </w:rPr>
        <w:t xml:space="preserve">Вместе с ЮНКТАД и ДЭСВ ООН МСЭ участвует в работе Руководящего комитета </w:t>
      </w:r>
      <w:hyperlink r:id="rId290" w:history="1">
        <w:r w:rsidRPr="00945782">
          <w:rPr>
            <w:rStyle w:val="Hyperlink"/>
            <w:rFonts w:asciiTheme="minorHAnsi" w:hAnsiTheme="minorHAnsi" w:cstheme="minorHAnsi"/>
            <w:szCs w:val="22"/>
            <w:lang w:val="ru-RU"/>
          </w:rPr>
          <w:t>Партнерства по измерению ИКТ в целях развития</w:t>
        </w:r>
      </w:hyperlink>
      <w:r w:rsidRPr="00945782">
        <w:rPr>
          <w:lang w:val="ru-RU"/>
        </w:rPr>
        <w:t>. Это партнерство повышает качество и доступность данных по ИКТ для целей устойчивого развития, сопоставляя основные показатели с направлениями деятельности ВВУИО, Глобальным цифровым договором и моделью реальной возможности установления соединений ООН, выявляя пробелы и оказывая поддержку в проведении 20</w:t>
      </w:r>
      <w:r w:rsidR="00C60105" w:rsidRPr="00945782">
        <w:rPr>
          <w:rFonts w:ascii="Cambria Math" w:hAnsi="Cambria Math"/>
          <w:lang w:val="ru-RU"/>
        </w:rPr>
        <w:t>‑</w:t>
      </w:r>
      <w:r w:rsidRPr="00945782">
        <w:rPr>
          <w:lang w:val="ru-RU"/>
        </w:rPr>
        <w:t xml:space="preserve">летнего обзора ВВУИО+20, при этом МСЭ размещает все ключевые данные на платформе </w:t>
      </w:r>
      <w:hyperlink r:id="rId291" w:history="1">
        <w:r w:rsidRPr="00945782">
          <w:rPr>
            <w:rStyle w:val="Hyperlink"/>
            <w:rFonts w:asciiTheme="minorHAnsi" w:hAnsiTheme="minorHAnsi" w:cstheme="minorHAnsi"/>
            <w:szCs w:val="22"/>
            <w:lang w:val="ru-RU"/>
          </w:rPr>
          <w:t>центра данных МСЭ</w:t>
        </w:r>
      </w:hyperlink>
      <w:r w:rsidRPr="00945782">
        <w:rPr>
          <w:lang w:val="ru-RU"/>
        </w:rPr>
        <w:t>.</w:t>
      </w:r>
    </w:p>
    <w:p w14:paraId="5C842327" w14:textId="4F12C36E" w:rsidR="00D82062" w:rsidRPr="00945782" w:rsidRDefault="00D82062" w:rsidP="00D82062">
      <w:pPr>
        <w:pStyle w:val="Heading3"/>
        <w:rPr>
          <w:lang w:val="ru-RU"/>
        </w:rPr>
      </w:pPr>
      <w:bookmarkStart w:id="107" w:name="_4.8.2_&quot;ИИ_во"/>
      <w:bookmarkStart w:id="108" w:name="_Toc227062872"/>
      <w:bookmarkStart w:id="109" w:name="_Toc227850260"/>
      <w:bookmarkEnd w:id="107"/>
      <w:r w:rsidRPr="00945782">
        <w:rPr>
          <w:lang w:val="ru-RU"/>
        </w:rPr>
        <w:t>4.8.2</w:t>
      </w:r>
      <w:r w:rsidR="00C60105" w:rsidRPr="00945782">
        <w:rPr>
          <w:lang w:val="ru-RU"/>
        </w:rPr>
        <w:tab/>
      </w:r>
      <w:r w:rsidRPr="00945782">
        <w:rPr>
          <w:b w:val="0"/>
          <w:bCs/>
          <w:lang w:val="ru-RU"/>
        </w:rPr>
        <w:t>"</w:t>
      </w:r>
      <w:r w:rsidRPr="00945782">
        <w:rPr>
          <w:lang w:val="ru-RU"/>
        </w:rPr>
        <w:t>ИИ во благо</w:t>
      </w:r>
      <w:r w:rsidRPr="00945782">
        <w:rPr>
          <w:b w:val="0"/>
          <w:bCs/>
          <w:lang w:val="ru-RU"/>
        </w:rPr>
        <w:t>"</w:t>
      </w:r>
      <w:bookmarkEnd w:id="108"/>
      <w:bookmarkEnd w:id="109"/>
    </w:p>
    <w:p w14:paraId="5445737F" w14:textId="77777777" w:rsidR="00D82062" w:rsidRPr="00945782" w:rsidRDefault="00D82062" w:rsidP="00C60105">
      <w:pPr>
        <w:rPr>
          <w:lang w:val="ru-RU"/>
        </w:rPr>
      </w:pPr>
      <w:r w:rsidRPr="00945782">
        <w:rPr>
          <w:lang w:val="ru-RU"/>
        </w:rPr>
        <w:t xml:space="preserve">Инициатива </w:t>
      </w:r>
      <w:hyperlink r:id="rId292" w:history="1">
        <w:r w:rsidRPr="00945782">
          <w:rPr>
            <w:rStyle w:val="Hyperlink"/>
            <w:rFonts w:asciiTheme="minorHAnsi" w:hAnsiTheme="minorHAnsi" w:cstheme="minorHAnsi"/>
            <w:szCs w:val="22"/>
            <w:lang w:val="ru-RU"/>
          </w:rPr>
          <w:t>"ИИ во благо"</w:t>
        </w:r>
      </w:hyperlink>
      <w:r w:rsidRPr="00945782">
        <w:rPr>
          <w:lang w:val="ru-RU"/>
        </w:rPr>
        <w:t xml:space="preserve"> продолжила расширяться как ведущая платформа системы ООН, ориентированная на практические действия в области искусственного интеллекта и направленная на поиск прикладных ИИ-решений для достижения Целей в области устойчивого развития. Под руководством МСЭ и при поддержке более чем 40 учреждений системы ООН инициатива реализуется по направлениям "Учиться", "Строить" и "Соединять" и включает в себя круглогодичную </w:t>
      </w:r>
      <w:hyperlink r:id="rId293" w:history="1">
        <w:r w:rsidRPr="00945782">
          <w:rPr>
            <w:rStyle w:val="Hyperlink"/>
            <w:rFonts w:asciiTheme="minorHAnsi" w:hAnsiTheme="minorHAnsi" w:cstheme="minorHAnsi"/>
            <w:szCs w:val="22"/>
            <w:lang w:val="ru-RU"/>
          </w:rPr>
          <w:t>цифровую программу</w:t>
        </w:r>
      </w:hyperlink>
      <w:r w:rsidRPr="00945782">
        <w:rPr>
          <w:lang w:val="ru-RU"/>
        </w:rPr>
        <w:t xml:space="preserve"> с регулярными вебинарами, экспертными сессиями и совместными мероприятиями.</w:t>
      </w:r>
    </w:p>
    <w:p w14:paraId="076CB14C" w14:textId="77777777" w:rsidR="00D82062" w:rsidRPr="00945782" w:rsidRDefault="00D82062" w:rsidP="00C60105">
      <w:pPr>
        <w:rPr>
          <w:lang w:val="ru-RU"/>
        </w:rPr>
      </w:pPr>
      <w:r w:rsidRPr="00945782">
        <w:rPr>
          <w:lang w:val="ru-RU"/>
        </w:rPr>
        <w:t xml:space="preserve">Центральным элементом этой экосистемы является </w:t>
      </w:r>
      <w:hyperlink r:id="rId294" w:history="1">
        <w:r w:rsidRPr="00945782">
          <w:rPr>
            <w:rStyle w:val="Hyperlink"/>
            <w:rFonts w:asciiTheme="minorHAnsi" w:hAnsiTheme="minorHAnsi" w:cstheme="minorHAnsi"/>
            <w:szCs w:val="22"/>
            <w:lang w:val="ru-RU"/>
          </w:rPr>
          <w:t>сообщество "Нейронная сеть", созданное в рамках инициативы "ИИ во благо"</w:t>
        </w:r>
      </w:hyperlink>
      <w:r w:rsidRPr="00945782">
        <w:rPr>
          <w:lang w:val="ru-RU"/>
        </w:rPr>
        <w:t>, − платформа интеллектуального подбора партнеров на основе ИИ, которая выросла с 15 000 участников в 2023 году до более 35 000 в 2024 году, при этом расширенное онлайн-сообщество превысило 137 000 участников. Механизмы "умного" подбора поддерживают глобальное сотрудничество и инновации, ориентированные на достижение ЦУР, формируя эффективные партнерства между секторами и регионами.</w:t>
      </w:r>
    </w:p>
    <w:p w14:paraId="6FDA6222" w14:textId="73B95140" w:rsidR="00D82062" w:rsidRPr="00945782" w:rsidRDefault="00D82062" w:rsidP="00C60105">
      <w:pPr>
        <w:rPr>
          <w:lang w:val="ru-RU"/>
        </w:rPr>
      </w:pPr>
      <w:r w:rsidRPr="00945782">
        <w:rPr>
          <w:lang w:val="ru-RU"/>
        </w:rPr>
        <w:t xml:space="preserve">Ежегодный </w:t>
      </w:r>
      <w:hyperlink r:id="rId295" w:history="1">
        <w:r w:rsidRPr="00945782">
          <w:rPr>
            <w:rStyle w:val="Hyperlink"/>
            <w:rFonts w:asciiTheme="minorHAnsi" w:hAnsiTheme="minorHAnsi" w:cstheme="minorHAnsi"/>
            <w:szCs w:val="22"/>
            <w:lang w:val="ru-RU"/>
          </w:rPr>
          <w:t>Глобальный саммит "ИИ во благо"</w:t>
        </w:r>
      </w:hyperlink>
      <w:r w:rsidRPr="00945782">
        <w:rPr>
          <w:lang w:val="ru-RU"/>
        </w:rPr>
        <w:t xml:space="preserve"> остается флагманским мероприятием инициативы. В </w:t>
      </w:r>
      <w:hyperlink r:id="rId296" w:history="1">
        <w:r w:rsidRPr="00945782">
          <w:rPr>
            <w:rStyle w:val="Hyperlink"/>
            <w:rFonts w:asciiTheme="minorHAnsi" w:hAnsiTheme="minorHAnsi" w:cstheme="minorHAnsi"/>
            <w:szCs w:val="22"/>
            <w:lang w:val="ru-RU"/>
          </w:rPr>
          <w:t>саммите "ИИ во благо" 2023 года</w:t>
        </w:r>
      </w:hyperlink>
      <w:r w:rsidRPr="00945782">
        <w:rPr>
          <w:lang w:val="ru-RU"/>
        </w:rPr>
        <w:t xml:space="preserve"> в Женеве приняли участие более 3000</w:t>
      </w:r>
      <w:r w:rsidR="00C60105" w:rsidRPr="00945782">
        <w:rPr>
          <w:lang w:val="ru-RU"/>
        </w:rPr>
        <w:t> </w:t>
      </w:r>
      <w:r w:rsidRPr="00945782">
        <w:rPr>
          <w:lang w:val="ru-RU"/>
        </w:rPr>
        <w:t xml:space="preserve">человек, в рамках него была проведена крупнейшая в мире выставка гуманоидных и специализированных роботов, а в качестве дополнения к ней состоялись углубленные семинары-практикумы по машинному обучению. К 2024 году </w:t>
      </w:r>
      <w:hyperlink r:id="rId297" w:history="1">
        <w:r w:rsidRPr="00945782">
          <w:rPr>
            <w:rStyle w:val="Hyperlink"/>
            <w:rFonts w:asciiTheme="minorHAnsi" w:hAnsiTheme="minorHAnsi" w:cstheme="minorHAnsi"/>
            <w:szCs w:val="22"/>
            <w:lang w:val="ru-RU"/>
          </w:rPr>
          <w:t>саммит "ИИ во благо"</w:t>
        </w:r>
      </w:hyperlink>
      <w:r w:rsidRPr="00945782">
        <w:rPr>
          <w:lang w:val="ru-RU"/>
        </w:rPr>
        <w:t xml:space="preserve"> значительно расширился: число очных участников выросло до 5000 человек, были представлены 27 организаций-партнеров системы ООН и 183 страны, а число онлайн-просмотров составило более 900 000. Эти мероприятия продолжают служить ключевой площадкой системы ООН для демонстрации передовых технологий ИИ, представления новаторских решений и установления связей между новаторами, представителями директивных органов, исследователями и отраслью в целях масштабирования решений ИИ на глобальном уровне.</w:t>
      </w:r>
    </w:p>
    <w:p w14:paraId="27F3B507" w14:textId="5806C1D0" w:rsidR="00D82062" w:rsidRPr="00945782" w:rsidRDefault="00D82062" w:rsidP="00C60105">
      <w:pPr>
        <w:rPr>
          <w:lang w:val="ru-RU"/>
        </w:rPr>
      </w:pPr>
      <w:r w:rsidRPr="00945782">
        <w:rPr>
          <w:lang w:val="ru-RU"/>
        </w:rPr>
        <w:t xml:space="preserve">Глобальное воздействие "ИИ во благо" также было усилено за счет разработки новых инициатив, включая </w:t>
      </w:r>
      <w:hyperlink r:id="rId298" w:history="1">
        <w:r w:rsidRPr="00945782">
          <w:rPr>
            <w:rStyle w:val="Hyperlink"/>
            <w:rFonts w:asciiTheme="minorHAnsi" w:hAnsiTheme="minorHAnsi" w:cstheme="minorHAnsi"/>
            <w:szCs w:val="22"/>
            <w:lang w:val="ru-RU"/>
          </w:rPr>
          <w:t>Коалицию по навыкам в области ИИ</w:t>
        </w:r>
      </w:hyperlink>
      <w:r w:rsidRPr="00945782">
        <w:rPr>
          <w:lang w:val="ru-RU"/>
        </w:rPr>
        <w:t xml:space="preserve">, направленную на расширение образования и наращивание потенциала в сфере ИИ по всему миру. Программа также </w:t>
      </w:r>
      <w:r w:rsidRPr="00945782">
        <w:rPr>
          <w:lang w:val="ru-RU"/>
        </w:rPr>
        <w:lastRenderedPageBreak/>
        <w:t xml:space="preserve">способствовала расширению регионального взаимодействия, что нашло отражение в инициативе </w:t>
      </w:r>
      <w:hyperlink r:id="rId299" w:history="1">
        <w:r w:rsidRPr="00945782">
          <w:rPr>
            <w:rStyle w:val="Hyperlink"/>
            <w:rFonts w:asciiTheme="minorHAnsi" w:hAnsiTheme="minorHAnsi" w:cstheme="minorHAnsi"/>
            <w:szCs w:val="22"/>
            <w:lang w:val="ru-RU"/>
          </w:rPr>
          <w:t>"Эффект ИИ во благо"</w:t>
        </w:r>
      </w:hyperlink>
      <w:r w:rsidRPr="00945782">
        <w:rPr>
          <w:lang w:val="ru-RU"/>
        </w:rPr>
        <w:t xml:space="preserve">, реализованной, в частности, в Индии в 2024 году, а также в подготовке мероприятия </w:t>
      </w:r>
      <w:hyperlink r:id="rId300" w:history="1">
        <w:r w:rsidRPr="00945782">
          <w:rPr>
            <w:rStyle w:val="Hyperlink"/>
            <w:rFonts w:asciiTheme="minorHAnsi" w:hAnsiTheme="minorHAnsi" w:cstheme="minorHAnsi"/>
            <w:szCs w:val="22"/>
            <w:lang w:val="ru-RU"/>
          </w:rPr>
          <w:t>"Эффект ИИ во благо" для Африки</w:t>
        </w:r>
      </w:hyperlink>
      <w:r w:rsidRPr="00945782">
        <w:rPr>
          <w:lang w:val="ru-RU"/>
        </w:rPr>
        <w:t>, запланированного на 2025</w:t>
      </w:r>
      <w:r w:rsidR="00C60105" w:rsidRPr="00945782">
        <w:rPr>
          <w:lang w:val="ru-RU"/>
        </w:rPr>
        <w:t> </w:t>
      </w:r>
      <w:r w:rsidRPr="00945782">
        <w:rPr>
          <w:lang w:val="ru-RU"/>
        </w:rPr>
        <w:t>год в Южной Африке в партнерстве с Секретариатом Группы Двадцати. В рассматриваемый период укрепилась роль инициативы "ИИ во благо" как открытой для всех, надежной и ориентированной на будущее платформы, направленной на использование ИИ на благо всех людей во всем мире и ускорение достижения ЦУР ООН.</w:t>
      </w:r>
    </w:p>
    <w:p w14:paraId="4B749EFD" w14:textId="1F8DCDF5" w:rsidR="00D82062" w:rsidRPr="00945782" w:rsidRDefault="00D82062" w:rsidP="00D82062">
      <w:pPr>
        <w:pStyle w:val="Heading3"/>
        <w:rPr>
          <w:lang w:val="ru-RU"/>
        </w:rPr>
      </w:pPr>
      <w:bookmarkStart w:id="110" w:name="_Toc227062873"/>
      <w:bookmarkStart w:id="111" w:name="_Toc227850261"/>
      <w:r w:rsidRPr="00945782">
        <w:rPr>
          <w:lang w:val="ru-RU"/>
        </w:rPr>
        <w:t>4.8.3</w:t>
      </w:r>
      <w:r w:rsidR="00C60105" w:rsidRPr="00945782">
        <w:rPr>
          <w:lang w:val="ru-RU"/>
        </w:rPr>
        <w:tab/>
      </w:r>
      <w:r w:rsidRPr="00945782">
        <w:rPr>
          <w:lang w:val="ru-RU"/>
        </w:rPr>
        <w:t>Глобальный симпозиум по стандартам</w:t>
      </w:r>
      <w:bookmarkEnd w:id="110"/>
      <w:bookmarkEnd w:id="111"/>
    </w:p>
    <w:p w14:paraId="54043AC2" w14:textId="77777777" w:rsidR="00D82062" w:rsidRPr="00945782" w:rsidRDefault="00D82062" w:rsidP="00C60105">
      <w:pPr>
        <w:rPr>
          <w:lang w:val="ru-RU"/>
        </w:rPr>
      </w:pPr>
      <w:r w:rsidRPr="00945782">
        <w:rPr>
          <w:lang w:val="ru-RU"/>
        </w:rPr>
        <w:t xml:space="preserve">Состоявшийся 14 октября 2024 года в Нью-Дели </w:t>
      </w:r>
      <w:hyperlink r:id="rId301" w:history="1">
        <w:r w:rsidRPr="00945782">
          <w:rPr>
            <w:rStyle w:val="Hyperlink"/>
            <w:rFonts w:asciiTheme="minorHAnsi" w:hAnsiTheme="minorHAnsi" w:cstheme="minorHAnsi"/>
            <w:szCs w:val="22"/>
            <w:lang w:val="ru-RU"/>
          </w:rPr>
          <w:t>пятый Глобальный симпозиум по стандартам (ГСС-24)</w:t>
        </w:r>
      </w:hyperlink>
      <w:r w:rsidRPr="00945782">
        <w:rPr>
          <w:lang w:val="ru-RU"/>
        </w:rPr>
        <w:t xml:space="preserve"> стал пространством для динамичного взаимодействия лидеров мнений, новаторов и лиц, принимающих решения, со всего мира. Это мероприятие, основанное на принципе открытости для всех, объединило как членов МСЭ, так и участников, не являющихся членами МСЭ, и послужило подготовительным этапом к последовавшей за ним Всемирной ассамблее по стандартизации электросвязи (ВАСЭ-24).</w:t>
      </w:r>
    </w:p>
    <w:p w14:paraId="414EFF11" w14:textId="77777777" w:rsidR="00D82062" w:rsidRPr="00945782" w:rsidRDefault="00D82062" w:rsidP="00C60105">
      <w:pPr>
        <w:rPr>
          <w:lang w:val="ru-RU"/>
        </w:rPr>
      </w:pPr>
      <w:r w:rsidRPr="00945782">
        <w:rPr>
          <w:lang w:val="ru-RU"/>
        </w:rPr>
        <w:t>Симпозиум ГСС-24 был посвящен теме "Формирование нового импульса цифрового развития: появляющиеся технологии, инновации и международные стандарты" и подчеркнул ключевую роль передовых технологий и международных стандартов в формировании цифровой среды. Одним из центральных событий стал сегмент высокого уровня, в рамках которого министры и лидеры отрасли встретились для обсуждения и направления будущего инноваций с целью содействовать трансформационным изменениям в глобальном масштабе.</w:t>
      </w:r>
    </w:p>
    <w:p w14:paraId="0E9BF9CF" w14:textId="77777777" w:rsidR="00D82062" w:rsidRPr="00945782" w:rsidRDefault="00D82062" w:rsidP="00C60105">
      <w:pPr>
        <w:rPr>
          <w:lang w:val="ru-RU"/>
        </w:rPr>
      </w:pPr>
      <w:r w:rsidRPr="00945782">
        <w:rPr>
          <w:lang w:val="ru-RU"/>
        </w:rPr>
        <w:t xml:space="preserve">Опираясь на эти достижения, ГСС-24 завершился принятием ряда практических рекомендаций, подчеркивающих важность международных стандартов для поддержки инноваций, появляющихся технологий и устойчивого развития. В </w:t>
      </w:r>
      <w:hyperlink r:id="rId302" w:anchor="p=1" w:history="1">
        <w:r w:rsidRPr="00945782">
          <w:rPr>
            <w:rStyle w:val="Hyperlink"/>
            <w:rFonts w:asciiTheme="minorHAnsi" w:hAnsiTheme="minorHAnsi" w:cstheme="minorHAnsi"/>
            <w:szCs w:val="22"/>
            <w:lang w:val="ru-RU"/>
          </w:rPr>
          <w:t>выводах ГСС-24</w:t>
        </w:r>
      </w:hyperlink>
      <w:r w:rsidRPr="00945782">
        <w:rPr>
          <w:lang w:val="ru-RU"/>
        </w:rPr>
        <w:t xml:space="preserve"> была подтверждена роль МСЭ как центральной платформы для содействия сотрудничеству между правительствами, отраслью, академическими кругами и гражданским обществом, а также была подчеркнута необходимость скоординированных усилий по использованию стандартов для цифровой трансформации обществ во всем мире.</w:t>
      </w:r>
    </w:p>
    <w:p w14:paraId="10CB2A62" w14:textId="4798E8BD" w:rsidR="00D82062" w:rsidRPr="00945782" w:rsidRDefault="00D82062" w:rsidP="00D82062">
      <w:pPr>
        <w:pStyle w:val="Heading3"/>
        <w:rPr>
          <w:lang w:val="ru-RU"/>
        </w:rPr>
      </w:pPr>
      <w:bookmarkStart w:id="112" w:name="_Toc227062874"/>
      <w:bookmarkStart w:id="113" w:name="_Toc227850262"/>
      <w:r w:rsidRPr="00945782">
        <w:rPr>
          <w:lang w:val="ru-RU"/>
        </w:rPr>
        <w:t>4.8.4</w:t>
      </w:r>
      <w:r w:rsidR="00C60105" w:rsidRPr="00945782">
        <w:rPr>
          <w:lang w:val="ru-RU"/>
        </w:rPr>
        <w:tab/>
      </w:r>
      <w:r w:rsidRPr="00945782">
        <w:rPr>
          <w:lang w:val="ru-RU"/>
        </w:rPr>
        <w:t>Глобальный симпозиум для регуляторных органов</w:t>
      </w:r>
      <w:bookmarkEnd w:id="112"/>
      <w:bookmarkEnd w:id="113"/>
    </w:p>
    <w:p w14:paraId="5D259D35" w14:textId="13C9642B" w:rsidR="00D82062" w:rsidRPr="00945782" w:rsidRDefault="00D82062" w:rsidP="00C60105">
      <w:pPr>
        <w:rPr>
          <w:lang w:val="ru-RU"/>
        </w:rPr>
      </w:pPr>
      <w:r w:rsidRPr="00945782">
        <w:rPr>
          <w:lang w:val="ru-RU"/>
        </w:rPr>
        <w:t>В период 2022–2025 годов Глобальный симпозиум для регуляторных органов (</w:t>
      </w:r>
      <w:hyperlink r:id="rId303" w:history="1">
        <w:r w:rsidRPr="00945782">
          <w:rPr>
            <w:rStyle w:val="Hyperlink"/>
            <w:rFonts w:asciiTheme="minorHAnsi" w:hAnsiTheme="minorHAnsi" w:cstheme="minorHAnsi"/>
            <w:szCs w:val="22"/>
            <w:lang w:val="ru-RU"/>
          </w:rPr>
          <w:t>ГСР</w:t>
        </w:r>
      </w:hyperlink>
      <w:r w:rsidRPr="00945782">
        <w:rPr>
          <w:lang w:val="ru-RU"/>
        </w:rPr>
        <w:t xml:space="preserve">) служил ведущей мировой платформой для развития регуляторного мандата в ответ на стремительные технологические изменения, при этом основное внимание в рамках этого формата было сосредоточено на инновационных подходах к регулированию, необходимых для содействия цифровой трансформации и обеспечения всеобщего охвата цифровыми технологиями во всем мире. В течение цикла 2023–2025 годов число участников ГСР неуклонно росло: оно увеличилось примерно с 750 делегатов на ГСР-23 до около 1200 на ГСР-25, что отражает растущую глобальную вовлеченность в инновации в регулировании. В каждый из этих трех лет в рамках процесса ГСР издавались </w:t>
      </w:r>
      <w:hyperlink r:id="rId304" w:history="1">
        <w:r w:rsidR="007858FE" w:rsidRPr="00945782">
          <w:rPr>
            <w:rStyle w:val="Hyperlink"/>
            <w:rFonts w:asciiTheme="minorHAnsi" w:hAnsiTheme="minorHAnsi" w:cstheme="minorHAnsi"/>
            <w:szCs w:val="22"/>
            <w:lang w:val="ru-RU"/>
          </w:rPr>
          <w:t>Р</w:t>
        </w:r>
        <w:r w:rsidRPr="00945782">
          <w:rPr>
            <w:rStyle w:val="Hyperlink"/>
            <w:rFonts w:asciiTheme="minorHAnsi" w:hAnsiTheme="minorHAnsi" w:cstheme="minorHAnsi"/>
            <w:szCs w:val="22"/>
            <w:lang w:val="ru-RU"/>
          </w:rPr>
          <w:t>уководящие указания на основе примеров передового опыта</w:t>
        </w:r>
      </w:hyperlink>
      <w:r w:rsidRPr="00945782">
        <w:rPr>
          <w:lang w:val="ru-RU"/>
        </w:rPr>
        <w:t>, предусматривающие укрепление роли регуляторных органов в качестве создателей цифровых экосистем и описывающие четкие стратегии открытого для всех, ориентированного на человека и устойчивого цифрового развития во всем мире.</w:t>
      </w:r>
    </w:p>
    <w:p w14:paraId="070CEF85" w14:textId="140A9A33" w:rsidR="00D82062" w:rsidRPr="00945782" w:rsidRDefault="00D82062" w:rsidP="00C60105">
      <w:pPr>
        <w:rPr>
          <w:lang w:val="ru-RU"/>
        </w:rPr>
      </w:pPr>
      <w:r w:rsidRPr="00945782">
        <w:rPr>
          <w:lang w:val="ru-RU"/>
        </w:rPr>
        <w:t xml:space="preserve">В рамках ГСР-23, состоявшегося в Шарм-эш-Шейхе (Египет) с 5 по 8 июня 2023 года по теме возможности установления цифровых соединений, были рассмотрены такие вопросы, как безопасность детей в онлайновой среде, </w:t>
      </w:r>
      <w:bookmarkStart w:id="114" w:name="_Hlk227699885"/>
      <w:r w:rsidRPr="00945782">
        <w:rPr>
          <w:lang w:val="ru-RU"/>
        </w:rPr>
        <w:t xml:space="preserve">приемлемость </w:t>
      </w:r>
      <w:bookmarkEnd w:id="114"/>
      <w:r w:rsidRPr="00945782">
        <w:rPr>
          <w:lang w:val="ru-RU"/>
        </w:rPr>
        <w:t xml:space="preserve">технологий в ценовом отношении и экологическая устойчивость цифровой трансформации. Кульминацией мероприятия стало принятие </w:t>
      </w:r>
      <w:hyperlink r:id="rId305" w:history="1">
        <w:r w:rsidR="007858FE" w:rsidRPr="00945782">
          <w:rPr>
            <w:rStyle w:val="Hyperlink"/>
            <w:rFonts w:asciiTheme="minorHAnsi" w:hAnsiTheme="minorHAnsi" w:cstheme="minorHAnsi"/>
            <w:szCs w:val="22"/>
            <w:lang w:val="ru-RU"/>
          </w:rPr>
          <w:t>Р</w:t>
        </w:r>
        <w:r w:rsidRPr="00945782">
          <w:rPr>
            <w:rStyle w:val="Hyperlink"/>
            <w:rFonts w:asciiTheme="minorHAnsi" w:hAnsiTheme="minorHAnsi" w:cstheme="minorHAnsi"/>
            <w:szCs w:val="22"/>
            <w:lang w:val="ru-RU"/>
          </w:rPr>
          <w:t>уководящих указаний на основе примеров передовой практики</w:t>
        </w:r>
      </w:hyperlink>
      <w:r w:rsidRPr="00945782">
        <w:rPr>
          <w:lang w:val="ru-RU"/>
        </w:rPr>
        <w:t>, направленных на формирование всеобъемлющего цифрового будущего и содержащих стратегии по расширению возможностей установления соединений и совершенствованию регуляторной практики.</w:t>
      </w:r>
    </w:p>
    <w:p w14:paraId="164D7F0F" w14:textId="7CA7ABB1" w:rsidR="00D82062" w:rsidRPr="00945782" w:rsidRDefault="00D82062" w:rsidP="00C60105">
      <w:pPr>
        <w:rPr>
          <w:lang w:val="ru-RU"/>
        </w:rPr>
      </w:pPr>
      <w:r w:rsidRPr="00945782">
        <w:rPr>
          <w:lang w:val="ru-RU"/>
        </w:rPr>
        <w:lastRenderedPageBreak/>
        <w:t>Последовавший за ГСР-23 симпозиум ГСР-24 прошел в Кампале (Уганда) с 1 по 4 июля 2024</w:t>
      </w:r>
      <w:r w:rsidR="00C60105" w:rsidRPr="00945782">
        <w:rPr>
          <w:lang w:val="ru-RU"/>
        </w:rPr>
        <w:t> </w:t>
      </w:r>
      <w:r w:rsidRPr="00945782">
        <w:rPr>
          <w:lang w:val="ru-RU"/>
        </w:rPr>
        <w:t xml:space="preserve">года. На нем основное внимание было уделено разработке эффективного регулирования для передовой инфраструктуры и трансформационных технологий, и итогом стало принятие новых </w:t>
      </w:r>
      <w:hyperlink r:id="rId306" w:history="1">
        <w:r w:rsidR="007858FE" w:rsidRPr="00945782">
          <w:rPr>
            <w:rStyle w:val="Hyperlink"/>
            <w:rFonts w:asciiTheme="minorHAnsi" w:hAnsiTheme="minorHAnsi" w:cstheme="minorHAnsi"/>
            <w:szCs w:val="22"/>
            <w:lang w:val="ru-RU"/>
          </w:rPr>
          <w:t>Р</w:t>
        </w:r>
        <w:r w:rsidRPr="00945782">
          <w:rPr>
            <w:rStyle w:val="Hyperlink"/>
            <w:rFonts w:asciiTheme="minorHAnsi" w:hAnsiTheme="minorHAnsi" w:cstheme="minorHAnsi"/>
            <w:szCs w:val="22"/>
            <w:lang w:val="ru-RU"/>
          </w:rPr>
          <w:t>уководящих указаний на основе примеров передовой практики</w:t>
        </w:r>
      </w:hyperlink>
      <w:r w:rsidRPr="00945782">
        <w:rPr>
          <w:lang w:val="ru-RU"/>
        </w:rPr>
        <w:t>, призванных помочь органам регулирования в области ИКТ поддерживать развитие устойчивой цифровой экономики.</w:t>
      </w:r>
    </w:p>
    <w:p w14:paraId="36102FB4" w14:textId="3606C29C" w:rsidR="00D82062" w:rsidRPr="00945782" w:rsidRDefault="00D82062" w:rsidP="00C60105">
      <w:pPr>
        <w:rPr>
          <w:lang w:val="ru-RU"/>
        </w:rPr>
      </w:pPr>
      <w:r w:rsidRPr="00945782">
        <w:rPr>
          <w:lang w:val="ru-RU"/>
        </w:rPr>
        <w:t>Последний по времени симпозиум ГСР-25 состоялся в Эр-Рияде (Саудовская Аравия) с 31 августа по 3 сентября 2025 года и был посвящен теме "Регулирование для устойчивого цифрового развития". Особое внимание в рамках основного обсуждения было уделено сотрудничеству, инновациям и трансграничному взаимодействию регуляторных органов. В</w:t>
      </w:r>
      <w:r w:rsidR="00C60105" w:rsidRPr="00945782">
        <w:rPr>
          <w:lang w:val="ru-RU"/>
        </w:rPr>
        <w:t> </w:t>
      </w:r>
      <w:hyperlink r:id="rId307" w:anchor="p=1" w:history="1">
        <w:r w:rsidR="007858FE" w:rsidRPr="00945782">
          <w:rPr>
            <w:rStyle w:val="Hyperlink"/>
            <w:rFonts w:asciiTheme="minorHAnsi" w:hAnsiTheme="minorHAnsi" w:cstheme="minorHAnsi"/>
            <w:szCs w:val="22"/>
            <w:lang w:val="ru-RU"/>
          </w:rPr>
          <w:t>Р</w:t>
        </w:r>
        <w:r w:rsidRPr="00945782">
          <w:rPr>
            <w:rStyle w:val="Hyperlink"/>
            <w:rFonts w:asciiTheme="minorHAnsi" w:hAnsiTheme="minorHAnsi" w:cstheme="minorHAnsi"/>
            <w:szCs w:val="22"/>
            <w:lang w:val="ru-RU"/>
          </w:rPr>
          <w:t>уководящих указаниях на основе примеров передовой практики, принятых на ГСР-25</w:t>
        </w:r>
      </w:hyperlink>
      <w:r w:rsidRPr="00945782">
        <w:rPr>
          <w:lang w:val="ru-RU"/>
        </w:rPr>
        <w:t>, была подтверждена роль регуляторных органов в качестве создателей цифровых экосистем, при этом была подчеркнута необходимость инноваций в регуляторной практике и ориентированного на человека подхода для обеспечения всеобщего доступа к выгодам, связанным с цифровой трансформацией.</w:t>
      </w:r>
    </w:p>
    <w:p w14:paraId="2602CA49" w14:textId="77777777" w:rsidR="00D82062" w:rsidRPr="00945782" w:rsidRDefault="00D82062" w:rsidP="00C60105">
      <w:pPr>
        <w:rPr>
          <w:lang w:val="ru-RU"/>
        </w:rPr>
      </w:pPr>
      <w:r w:rsidRPr="00945782">
        <w:rPr>
          <w:lang w:val="ru-RU"/>
        </w:rPr>
        <w:t>На протяжении всего периода сохранялись и подвергались все более глубокому рассмотрению ключевые приоритетные темы, включая безопасность детей в онлайновой среде, универсальную и реальную возможность установления соединений, экологическую устойчивость ("зеленую цифровую" повестку) и надежную цифровую инфраструктуру. Данная серия мероприятий закрепила необходимость общегосударственного и межсекторального сотрудничества для достижения стратегических целей МСЭ.</w:t>
      </w:r>
    </w:p>
    <w:p w14:paraId="54170758" w14:textId="61377531" w:rsidR="00D82062" w:rsidRPr="00945782" w:rsidRDefault="00D82062" w:rsidP="00D82062">
      <w:pPr>
        <w:pStyle w:val="Heading3"/>
        <w:rPr>
          <w:lang w:val="ru-RU"/>
        </w:rPr>
      </w:pPr>
      <w:bookmarkStart w:id="115" w:name="_Toc227062875"/>
      <w:bookmarkStart w:id="116" w:name="_Toc227850263"/>
      <w:r w:rsidRPr="00945782">
        <w:rPr>
          <w:lang w:val="ru-RU"/>
        </w:rPr>
        <w:t>4.8.5</w:t>
      </w:r>
      <w:r w:rsidR="00C60105" w:rsidRPr="00945782">
        <w:rPr>
          <w:lang w:val="ru-RU"/>
        </w:rPr>
        <w:tab/>
      </w:r>
      <w:r w:rsidRPr="00945782">
        <w:rPr>
          <w:lang w:val="ru-RU"/>
        </w:rPr>
        <w:t>Вовлечение академического сообщества в деятельность МСЭ</w:t>
      </w:r>
      <w:bookmarkEnd w:id="115"/>
      <w:bookmarkEnd w:id="116"/>
    </w:p>
    <w:p w14:paraId="128196FC" w14:textId="77777777" w:rsidR="00D82062" w:rsidRPr="00945782" w:rsidRDefault="00D82062" w:rsidP="00C60105">
      <w:pPr>
        <w:rPr>
          <w:lang w:val="ru-RU"/>
        </w:rPr>
      </w:pPr>
      <w:r w:rsidRPr="00945782">
        <w:rPr>
          <w:lang w:val="ru-RU"/>
        </w:rPr>
        <w:t>Более 180 университетов и научно-исследовательских учреждений участвуют в деятельности МСЭ в качестве Академических организаций – членов и на регулярной основе вносят вклад в его работу. Число академических учреждений, принимающих участие в деятельности МСЭ, постоянно растет.</w:t>
      </w:r>
    </w:p>
    <w:p w14:paraId="1089F720" w14:textId="10716AC7" w:rsidR="00D82062" w:rsidRPr="00945782" w:rsidRDefault="00D82062" w:rsidP="00C60105">
      <w:pPr>
        <w:rPr>
          <w:lang w:val="ru-RU"/>
        </w:rPr>
      </w:pPr>
      <w:hyperlink r:id="rId308" w:history="1">
        <w:r w:rsidRPr="00945782">
          <w:rPr>
            <w:rStyle w:val="Hyperlink"/>
            <w:rFonts w:asciiTheme="minorHAnsi" w:hAnsiTheme="minorHAnsi" w:cstheme="minorHAnsi"/>
            <w:szCs w:val="22"/>
            <w:lang w:val="ru-RU"/>
          </w:rPr>
          <w:t>Членство в МСЭ академических организаций</w:t>
        </w:r>
      </w:hyperlink>
      <w:r w:rsidRPr="00945782">
        <w:rPr>
          <w:lang w:val="ru-RU"/>
        </w:rPr>
        <w:t xml:space="preserve">, </w:t>
      </w:r>
      <w:hyperlink r:id="rId309" w:history="1">
        <w:r w:rsidRPr="00945782">
          <w:rPr>
            <w:rStyle w:val="Hyperlink"/>
            <w:rFonts w:asciiTheme="minorHAnsi" w:hAnsiTheme="minorHAnsi" w:cstheme="minorHAnsi"/>
            <w:szCs w:val="22"/>
            <w:lang w:val="ru-RU"/>
          </w:rPr>
          <w:t>журнал МСЭ</w:t>
        </w:r>
      </w:hyperlink>
      <w:r w:rsidRPr="00945782">
        <w:rPr>
          <w:lang w:val="ru-RU"/>
        </w:rPr>
        <w:t xml:space="preserve">, </w:t>
      </w:r>
      <w:hyperlink r:id="rId310" w:history="1">
        <w:r w:rsidRPr="00945782">
          <w:rPr>
            <w:rStyle w:val="Hyperlink"/>
            <w:rFonts w:asciiTheme="minorHAnsi" w:hAnsiTheme="minorHAnsi" w:cstheme="minorHAnsi"/>
            <w:szCs w:val="22"/>
            <w:lang w:val="ru-RU"/>
          </w:rPr>
          <w:t>научные конференции МСЭ "Калейдоскоп"</w:t>
        </w:r>
      </w:hyperlink>
      <w:r w:rsidRPr="00945782">
        <w:rPr>
          <w:lang w:val="ru-RU"/>
        </w:rPr>
        <w:t xml:space="preserve">, </w:t>
      </w:r>
      <w:hyperlink r:id="rId311" w:history="1">
        <w:r w:rsidRPr="00945782">
          <w:rPr>
            <w:rStyle w:val="Hyperlink"/>
            <w:rFonts w:asciiTheme="minorHAnsi" w:hAnsiTheme="minorHAnsi" w:cstheme="minorHAnsi"/>
            <w:szCs w:val="22"/>
            <w:lang w:val="ru-RU"/>
          </w:rPr>
          <w:t>Академический консультативный орган МСЭ по появляющимся технологиям</w:t>
        </w:r>
      </w:hyperlink>
      <w:r w:rsidRPr="00945782">
        <w:rPr>
          <w:lang w:val="ru-RU"/>
        </w:rPr>
        <w:t>, а</w:t>
      </w:r>
      <w:r w:rsidR="00C60105" w:rsidRPr="00945782">
        <w:rPr>
          <w:lang w:val="ru-RU"/>
        </w:rPr>
        <w:t> </w:t>
      </w:r>
      <w:r w:rsidRPr="00945782">
        <w:rPr>
          <w:lang w:val="ru-RU"/>
        </w:rPr>
        <w:t>также итоговые проекты служат ключевыми платформами для вовлечения академического сообщества в деятельность МСЭ. Эти инициативы способствуют сотрудничеству между академическими организациями и отраслью, стимулируя научные исследования и разработки и ускоряя переход передовых инноваций из лабораторий на рынок. Помимо указанных выше инициатив, в рамках деятельности МСЭ существуют и другие возможности для участия академического сообщества, включая научно-технические исследования, профессиональную подготовку, публикации, мероприятия и многое другое.</w:t>
      </w:r>
    </w:p>
    <w:p w14:paraId="17DA353C" w14:textId="77777777" w:rsidR="00D82062" w:rsidRPr="00945782" w:rsidRDefault="00D82062" w:rsidP="00C60105">
      <w:pPr>
        <w:pStyle w:val="Headingb"/>
        <w:rPr>
          <w:lang w:val="ru-RU"/>
        </w:rPr>
      </w:pPr>
      <w:r w:rsidRPr="00945782">
        <w:rPr>
          <w:lang w:val="ru-RU"/>
        </w:rPr>
        <w:t xml:space="preserve">Академический консультативный орган по появляющимся технологиям </w:t>
      </w:r>
    </w:p>
    <w:p w14:paraId="2938F186" w14:textId="77777777" w:rsidR="00D82062" w:rsidRPr="00945782" w:rsidRDefault="00D82062" w:rsidP="00C60105">
      <w:pPr>
        <w:rPr>
          <w:lang w:val="ru-RU"/>
        </w:rPr>
      </w:pPr>
      <w:hyperlink r:id="rId312" w:history="1">
        <w:r w:rsidRPr="00945782">
          <w:rPr>
            <w:rStyle w:val="Hyperlink"/>
            <w:rFonts w:asciiTheme="minorHAnsi" w:hAnsiTheme="minorHAnsi" w:cstheme="minorHAnsi"/>
            <w:szCs w:val="22"/>
            <w:lang w:val="ru-RU"/>
          </w:rPr>
          <w:t>Академический консультативный орган по появляющимся технологиям</w:t>
        </w:r>
      </w:hyperlink>
      <w:r w:rsidRPr="00945782">
        <w:rPr>
          <w:lang w:val="ru-RU"/>
        </w:rPr>
        <w:t xml:space="preserve"> был создан в сентябре 2025 года для подготовки концептуальных записок и аналитических, ориентированных в будущее материалов, посвященных меняющейся роли и влиянию инноваций. В его состав входят 26 ведущих экспертов из различных регионов мира; они анализируют, каким образом появляющиеся технологии могут наилучшим образом служить интересам общества.</w:t>
      </w:r>
    </w:p>
    <w:p w14:paraId="08967A66" w14:textId="77777777" w:rsidR="00D82062" w:rsidRPr="00945782" w:rsidRDefault="00D82062" w:rsidP="00C60105">
      <w:pPr>
        <w:pStyle w:val="Headingb"/>
        <w:rPr>
          <w:lang w:val="ru-RU"/>
        </w:rPr>
      </w:pPr>
      <w:r w:rsidRPr="00945782">
        <w:rPr>
          <w:lang w:val="ru-RU"/>
        </w:rPr>
        <w:t>Итоговые проекты</w:t>
      </w:r>
    </w:p>
    <w:p w14:paraId="0FE250EE" w14:textId="77777777" w:rsidR="00D82062" w:rsidRPr="00945782" w:rsidRDefault="00D82062" w:rsidP="00C60105">
      <w:pPr>
        <w:rPr>
          <w:lang w:val="ru-RU"/>
        </w:rPr>
      </w:pPr>
      <w:r w:rsidRPr="00945782">
        <w:rPr>
          <w:lang w:val="ru-RU"/>
        </w:rPr>
        <w:t>Также предусмотрена возможность участия в итоговых проектах, которые служат связующим звеном между академическим обучением и практическими задачами. В рамках этих проектов студенты получают практический опыт работы над актуальными глобальными проблемами. МСЭ формулирует реальные задачи, позволяя студентам применять свои знания, разрабатывать инновационные решения и получать практический опыт.</w:t>
      </w:r>
    </w:p>
    <w:p w14:paraId="784784F0" w14:textId="72D94CEF" w:rsidR="00D82062" w:rsidRPr="00945782" w:rsidRDefault="00D82062" w:rsidP="00D82062">
      <w:pPr>
        <w:pStyle w:val="Heading4"/>
        <w:rPr>
          <w:b/>
          <w:bCs/>
          <w:lang w:val="ru-RU"/>
        </w:rPr>
      </w:pPr>
      <w:r w:rsidRPr="00945782">
        <w:rPr>
          <w:b/>
          <w:bCs/>
          <w:lang w:val="ru-RU"/>
        </w:rPr>
        <w:lastRenderedPageBreak/>
        <w:t>4.8.5.1</w:t>
      </w:r>
      <w:r w:rsidR="00C60105" w:rsidRPr="00945782">
        <w:rPr>
          <w:b/>
          <w:bCs/>
          <w:lang w:val="ru-RU"/>
        </w:rPr>
        <w:tab/>
      </w:r>
      <w:r w:rsidRPr="00945782">
        <w:rPr>
          <w:b/>
          <w:bCs/>
          <w:lang w:val="ru-RU"/>
        </w:rPr>
        <w:t>Журнал МСЭ</w:t>
      </w:r>
    </w:p>
    <w:p w14:paraId="6AC3DA27" w14:textId="77777777" w:rsidR="00D82062" w:rsidRPr="00945782" w:rsidRDefault="00D82062" w:rsidP="00C60105">
      <w:pPr>
        <w:rPr>
          <w:lang w:val="ru-RU"/>
        </w:rPr>
      </w:pPr>
      <w:hyperlink r:id="rId313" w:history="1">
        <w:r w:rsidRPr="00945782">
          <w:rPr>
            <w:rStyle w:val="Hyperlink"/>
            <w:rFonts w:asciiTheme="minorHAnsi" w:hAnsiTheme="minorHAnsi" w:cstheme="minorHAnsi"/>
            <w:szCs w:val="22"/>
            <w:lang w:val="ru-RU"/>
          </w:rPr>
          <w:t>Журнал МСЭ "Будущие и появляющиеся технологии" (J-FET МСЭ)</w:t>
        </w:r>
      </w:hyperlink>
      <w:r w:rsidRPr="00945782">
        <w:rPr>
          <w:lang w:val="ru-RU"/>
        </w:rPr>
        <w:t xml:space="preserve"> продолжает служить открытой для всех и высококачественной платформой для исследований в области связи, сетей и появляющихся технологий. Журнал публикуется в онлайновом формате ежеквартально и принимает статьи в течение всего года, обеспечивая всестороннее научное освещение всех появляющихся направлений, актуальных для деятельности МСЭ, в частности таких, как метавселенная, последние достижения в области ИИ, граничных вычислений и организации сетей спутников на низкой околоземной орбите. Журнал МСЭ является бесплатным как для читателей, так и для авторов.</w:t>
      </w:r>
    </w:p>
    <w:p w14:paraId="76950AD1" w14:textId="43719E13" w:rsidR="00D82062" w:rsidRPr="00945782" w:rsidRDefault="00D82062" w:rsidP="00C60105">
      <w:pPr>
        <w:rPr>
          <w:lang w:val="ru-RU"/>
        </w:rPr>
      </w:pPr>
      <w:r w:rsidRPr="00945782">
        <w:rPr>
          <w:lang w:val="ru-RU"/>
        </w:rPr>
        <w:t xml:space="preserve">Помимо рецензируемых научных публикаций журнал дает доступ к </w:t>
      </w:r>
      <w:hyperlink r:id="rId314" w:history="1">
        <w:r w:rsidRPr="00945782">
          <w:rPr>
            <w:rStyle w:val="Hyperlink"/>
            <w:rFonts w:asciiTheme="minorHAnsi" w:hAnsiTheme="minorHAnsi" w:cstheme="minorHAnsi"/>
            <w:szCs w:val="22"/>
            <w:lang w:val="ru-RU"/>
          </w:rPr>
          <w:t>Циклу вебинаров журнала МСЭ</w:t>
        </w:r>
      </w:hyperlink>
      <w:r w:rsidRPr="00945782">
        <w:rPr>
          <w:lang w:val="ru-RU"/>
        </w:rPr>
        <w:t>, представляющему собой записанные онлайновые дискуссии с участием ведущих представителей академического сообщества и главных директоров по технологиям (CTO). С</w:t>
      </w:r>
      <w:r w:rsidR="00C60105" w:rsidRPr="00945782">
        <w:rPr>
          <w:lang w:val="ru-RU"/>
        </w:rPr>
        <w:t> </w:t>
      </w:r>
      <w:r w:rsidRPr="00945782">
        <w:rPr>
          <w:lang w:val="ru-RU"/>
        </w:rPr>
        <w:t>момента запуска специальной серии вебинаров в 2022 году на портале журнала проводились встречи с участием высокопоставленных представителей таких организаций, как NTT DOCOMO, O-RAN Alliance, Ассоциация GSM, Nokia и China Mobile, а также ведущих университетов мира. Эти вебинары дополняют миссию журнала, способствуя диалогу между исследователями и лидерами отрасли, обмену знаниями и поддержке глобального научного сообщества в изучении будущих и развивающихся технологий.</w:t>
      </w:r>
    </w:p>
    <w:p w14:paraId="4ECCEF68" w14:textId="77777777" w:rsidR="00D82062" w:rsidRPr="00945782" w:rsidRDefault="00D82062" w:rsidP="00C60105">
      <w:pPr>
        <w:rPr>
          <w:lang w:val="ru-RU"/>
        </w:rPr>
      </w:pPr>
      <w:r w:rsidRPr="00945782">
        <w:rPr>
          <w:lang w:val="ru-RU"/>
        </w:rPr>
        <w:t xml:space="preserve">Наряду с научными статьями журнал также включает </w:t>
      </w:r>
      <w:hyperlink r:id="rId315" w:history="1">
        <w:r w:rsidRPr="00945782">
          <w:rPr>
            <w:rStyle w:val="Hyperlink"/>
            <w:rFonts w:asciiTheme="minorHAnsi" w:hAnsiTheme="minorHAnsi" w:cstheme="minorHAnsi"/>
            <w:szCs w:val="22"/>
            <w:lang w:val="ru-RU"/>
          </w:rPr>
          <w:t>записи онлайновых дискуссий</w:t>
        </w:r>
      </w:hyperlink>
      <w:r w:rsidRPr="00945782">
        <w:rPr>
          <w:lang w:val="ru-RU"/>
        </w:rPr>
        <w:t xml:space="preserve"> с участием ведущих исследователей и лидеров отрасли.</w:t>
      </w:r>
    </w:p>
    <w:p w14:paraId="27094FCF" w14:textId="7A32B911" w:rsidR="00D82062" w:rsidRPr="00945782" w:rsidRDefault="00D82062" w:rsidP="00D82062">
      <w:pPr>
        <w:pStyle w:val="Heading4"/>
        <w:rPr>
          <w:b/>
          <w:bCs/>
          <w:lang w:val="ru-RU"/>
        </w:rPr>
      </w:pPr>
      <w:r w:rsidRPr="00945782">
        <w:rPr>
          <w:b/>
          <w:bCs/>
          <w:lang w:val="ru-RU"/>
        </w:rPr>
        <w:t>4.8.5.2</w:t>
      </w:r>
      <w:r w:rsidR="00C60105" w:rsidRPr="00945782">
        <w:rPr>
          <w:b/>
          <w:bCs/>
          <w:lang w:val="ru-RU"/>
        </w:rPr>
        <w:tab/>
      </w:r>
      <w:r w:rsidRPr="00945782">
        <w:rPr>
          <w:b/>
          <w:bCs/>
          <w:lang w:val="ru-RU"/>
        </w:rPr>
        <w:t xml:space="preserve">Научная конференция </w:t>
      </w:r>
      <w:r w:rsidRPr="00945782">
        <w:rPr>
          <w:lang w:val="ru-RU"/>
        </w:rPr>
        <w:t>"</w:t>
      </w:r>
      <w:r w:rsidRPr="00945782">
        <w:rPr>
          <w:b/>
          <w:bCs/>
          <w:lang w:val="ru-RU"/>
        </w:rPr>
        <w:t>Калейдоскоп</w:t>
      </w:r>
      <w:r w:rsidRPr="00945782">
        <w:rPr>
          <w:lang w:val="ru-RU"/>
        </w:rPr>
        <w:t>"</w:t>
      </w:r>
    </w:p>
    <w:p w14:paraId="2B4788AC" w14:textId="77777777" w:rsidR="00D82062" w:rsidRPr="00945782" w:rsidRDefault="00D82062" w:rsidP="00C60105">
      <w:pPr>
        <w:rPr>
          <w:lang w:val="ru-RU"/>
        </w:rPr>
      </w:pPr>
      <w:r w:rsidRPr="00945782">
        <w:rPr>
          <w:lang w:val="ru-RU"/>
        </w:rPr>
        <w:t xml:space="preserve">Серия </w:t>
      </w:r>
      <w:hyperlink r:id="rId316" w:history="1">
        <w:r w:rsidRPr="00945782">
          <w:rPr>
            <w:rStyle w:val="Hyperlink"/>
            <w:rFonts w:asciiTheme="minorHAnsi" w:hAnsiTheme="minorHAnsi" w:cstheme="minorHAnsi"/>
            <w:szCs w:val="22"/>
            <w:lang w:val="ru-RU"/>
          </w:rPr>
          <w:t>научных конференций МСЭ "Калейдоскоп"</w:t>
        </w:r>
      </w:hyperlink>
      <w:r w:rsidRPr="00945782">
        <w:rPr>
          <w:lang w:val="ru-RU"/>
        </w:rPr>
        <w:t xml:space="preserve">, проводимая при техническом содействии IEEE и Общества связи IEEE, в последние годы продолжала демонстрировать новые направления исследований и их значение для международной стандартизации. Прошедшая в Аккре (Гана) конференция </w:t>
      </w:r>
      <w:hyperlink r:id="rId317" w:history="1">
        <w:r w:rsidRPr="00945782">
          <w:rPr>
            <w:rStyle w:val="Hyperlink"/>
            <w:rFonts w:asciiTheme="minorHAnsi" w:hAnsiTheme="minorHAnsi" w:cstheme="minorHAnsi"/>
            <w:szCs w:val="22"/>
            <w:lang w:val="ru-RU"/>
          </w:rPr>
          <w:t>"Калейдоскоп" 2022 года</w:t>
        </w:r>
      </w:hyperlink>
      <w:r w:rsidRPr="00945782">
        <w:rPr>
          <w:lang w:val="ru-RU"/>
        </w:rPr>
        <w:t xml:space="preserve"> была посвящена инновациям для метавселенной, которые рассматривались в рамках основных сессий, научных докладов, демонстраций и выставки студенческих проектов. В продолжение прошлой конференции </w:t>
      </w:r>
      <w:hyperlink r:id="rId318" w:history="1">
        <w:r w:rsidRPr="00945782">
          <w:rPr>
            <w:rStyle w:val="Hyperlink"/>
            <w:rFonts w:asciiTheme="minorHAnsi" w:hAnsiTheme="minorHAnsi" w:cstheme="minorHAnsi"/>
            <w:szCs w:val="22"/>
            <w:lang w:val="ru-RU"/>
          </w:rPr>
          <w:t>"Калейдоскоп" 2024 года</w:t>
        </w:r>
      </w:hyperlink>
      <w:r w:rsidRPr="00945782">
        <w:rPr>
          <w:lang w:val="ru-RU"/>
        </w:rPr>
        <w:t xml:space="preserve">, организованная в Нью-Дели параллельно с ВАСЭ-24, была посвящена инновациям и цифровой трансформации в интересах устойчивого мира и включала специальную сессию по вовлечению молодежи в разработку стандартов и поддержке нового поколения специалистов по достижению консенсуса, при этом особое внимание было уделено роли цифровых технологий в преодолении глобальных вызовов и неотложной необходимости обеспечить возможность установления соединений для оставшейся трети населения мира, не имеющей доступа к интернету, что укрепило значение конференции "Калейдоскоп" в качестве ключевой платформы, связывающей академические исследования с глобальными приоритетами в области стандартизации. В 2025 году состоялась 16-я конференция серии "Калейдоскоп" на тему </w:t>
      </w:r>
      <w:hyperlink r:id="rId319" w:history="1">
        <w:r w:rsidRPr="00945782">
          <w:rPr>
            <w:rStyle w:val="Hyperlink"/>
            <w:rFonts w:asciiTheme="minorHAnsi" w:hAnsiTheme="minorHAnsi" w:cstheme="minorHAnsi"/>
            <w:szCs w:val="22"/>
            <w:lang w:val="ru-RU"/>
          </w:rPr>
          <w:t>"ИИ и передовые технологии во благо"</w:t>
        </w:r>
      </w:hyperlink>
      <w:r w:rsidRPr="00945782">
        <w:rPr>
          <w:lang w:val="ru-RU"/>
        </w:rPr>
        <w:t xml:space="preserve">. Конференция "Калейдоскоп" 2026 года пройдет в рамках </w:t>
      </w:r>
      <w:hyperlink r:id="rId320" w:history="1">
        <w:r w:rsidRPr="00945782">
          <w:rPr>
            <w:rStyle w:val="Hyperlink"/>
            <w:rFonts w:asciiTheme="minorHAnsi" w:hAnsiTheme="minorHAnsi" w:cstheme="minorHAnsi"/>
            <w:szCs w:val="22"/>
            <w:lang w:val="ru-RU"/>
          </w:rPr>
          <w:t>Глобального саммита "ИИ во благо"</w:t>
        </w:r>
      </w:hyperlink>
      <w:r w:rsidRPr="00945782">
        <w:rPr>
          <w:lang w:val="ru-RU"/>
        </w:rPr>
        <w:t xml:space="preserve"> в июле 2026 года; в рамках нее будут представлены междисциплинарные исследования, посвященные взаимодействию передовых технологий – таких как искусственный интеллект, интерфейсы "мозг–компьютер", воплощенный ИИ, автономное вождение, геопространственные и космические вычисления, а также квантовые информационные технологии – с электросвязью. Участники обменяются мнениями по вопросам этих инноваций, их социально-экономических последствий, необходимых мер политики для обеспечения устойчивого развития и этических аспектов их применения.</w:t>
      </w:r>
    </w:p>
    <w:p w14:paraId="72530B78" w14:textId="15F13217" w:rsidR="00D82062" w:rsidRPr="00945782" w:rsidRDefault="00D82062" w:rsidP="00D82062">
      <w:pPr>
        <w:pStyle w:val="Heading4"/>
        <w:rPr>
          <w:b/>
          <w:bCs/>
          <w:lang w:val="ru-RU"/>
        </w:rPr>
      </w:pPr>
      <w:bookmarkStart w:id="117" w:name="_4.8.5.3_Семинары_и"/>
      <w:bookmarkEnd w:id="117"/>
      <w:r w:rsidRPr="00945782">
        <w:rPr>
          <w:b/>
          <w:bCs/>
          <w:lang w:val="ru-RU"/>
        </w:rPr>
        <w:t>4.8.5.3</w:t>
      </w:r>
      <w:r w:rsidR="00A26298" w:rsidRPr="00945782">
        <w:rPr>
          <w:b/>
          <w:bCs/>
          <w:lang w:val="ru-RU"/>
        </w:rPr>
        <w:tab/>
      </w:r>
      <w:r w:rsidRPr="00945782">
        <w:rPr>
          <w:b/>
          <w:bCs/>
          <w:lang w:val="ru-RU"/>
        </w:rPr>
        <w:t>Семинары и практикумы: углубленное изучение</w:t>
      </w:r>
    </w:p>
    <w:p w14:paraId="76EBE464" w14:textId="77777777" w:rsidR="00D82062" w:rsidRPr="00945782" w:rsidRDefault="00D82062" w:rsidP="00A26298">
      <w:pPr>
        <w:rPr>
          <w:lang w:val="ru-RU"/>
        </w:rPr>
      </w:pPr>
      <w:r w:rsidRPr="00945782">
        <w:rPr>
          <w:lang w:val="ru-RU"/>
        </w:rPr>
        <w:t>Углубленные семинары и семинары-практикумы играют важную роль в деятельности МСЭ во всех трех секторах – радиосвязи, стандартизации и развития.</w:t>
      </w:r>
    </w:p>
    <w:p w14:paraId="52A5BC73" w14:textId="77777777" w:rsidR="00D82062" w:rsidRPr="00945782" w:rsidRDefault="00D82062" w:rsidP="00A26298">
      <w:pPr>
        <w:pStyle w:val="Headingb"/>
        <w:rPr>
          <w:lang w:val="ru-RU"/>
        </w:rPr>
      </w:pPr>
      <w:r w:rsidRPr="00945782">
        <w:rPr>
          <w:lang w:val="ru-RU"/>
        </w:rPr>
        <w:lastRenderedPageBreak/>
        <w:t>МСЭ-R</w:t>
      </w:r>
    </w:p>
    <w:p w14:paraId="3B3B65D0" w14:textId="77777777" w:rsidR="00D82062" w:rsidRPr="00945782" w:rsidRDefault="00D82062" w:rsidP="00A26298">
      <w:pPr>
        <w:pStyle w:val="Headingb"/>
        <w:rPr>
          <w:lang w:val="ru-RU"/>
        </w:rPr>
      </w:pPr>
      <w:r w:rsidRPr="00945782">
        <w:rPr>
          <w:lang w:val="ru-RU"/>
        </w:rPr>
        <w:t>Семинары</w:t>
      </w:r>
    </w:p>
    <w:p w14:paraId="70BDB4D3" w14:textId="77777777" w:rsidR="00D82062" w:rsidRPr="00945782" w:rsidRDefault="00D82062" w:rsidP="00A26298">
      <w:pPr>
        <w:rPr>
          <w:lang w:val="ru-RU"/>
        </w:rPr>
      </w:pPr>
      <w:r w:rsidRPr="00945782">
        <w:rPr>
          <w:lang w:val="ru-RU"/>
        </w:rPr>
        <w:t>МСЭ-R реализовал обширную программу глобальных и региональных семинаров по радиосвязи, направленных на укрепление понимания Регламента радиосвязи и управления радиочастотным спектром и спутниковыми орбитами. В число мероприятий вошли Всемирный семинар по радиосвязи (</w:t>
      </w:r>
      <w:hyperlink r:id="rId321" w:history="1">
        <w:r w:rsidRPr="00945782">
          <w:rPr>
            <w:rStyle w:val="Hyperlink"/>
            <w:rFonts w:asciiTheme="minorHAnsi" w:hAnsiTheme="minorHAnsi" w:cstheme="minorHAnsi"/>
            <w:szCs w:val="22"/>
            <w:lang w:val="ru-RU"/>
          </w:rPr>
          <w:t>ВСР-22</w:t>
        </w:r>
      </w:hyperlink>
      <w:r w:rsidRPr="00945782">
        <w:rPr>
          <w:lang w:val="ru-RU"/>
        </w:rPr>
        <w:t xml:space="preserve">), а также </w:t>
      </w:r>
      <w:hyperlink r:id="rId322" w:history="1">
        <w:r w:rsidRPr="00945782">
          <w:rPr>
            <w:rStyle w:val="Hyperlink"/>
            <w:rFonts w:asciiTheme="minorHAnsi" w:hAnsiTheme="minorHAnsi" w:cstheme="minorHAnsi"/>
            <w:szCs w:val="22"/>
            <w:lang w:val="ru-RU"/>
          </w:rPr>
          <w:t>региональные семинары по радиосвязи</w:t>
        </w:r>
      </w:hyperlink>
      <w:r w:rsidRPr="00945782">
        <w:rPr>
          <w:lang w:val="ru-RU"/>
        </w:rPr>
        <w:t xml:space="preserve"> для </w:t>
      </w:r>
      <w:hyperlink r:id="rId323" w:history="1">
        <w:r w:rsidRPr="00945782">
          <w:rPr>
            <w:rStyle w:val="Hyperlink"/>
            <w:rFonts w:asciiTheme="minorHAnsi" w:hAnsiTheme="minorHAnsi" w:cstheme="minorHAnsi"/>
            <w:szCs w:val="22"/>
            <w:lang w:val="ru-RU"/>
          </w:rPr>
          <w:t>арабских государств</w:t>
        </w:r>
      </w:hyperlink>
      <w:r w:rsidRPr="00945782">
        <w:rPr>
          <w:lang w:val="ru-RU"/>
        </w:rPr>
        <w:t xml:space="preserve">, </w:t>
      </w:r>
      <w:hyperlink r:id="rId324" w:history="1">
        <w:r w:rsidRPr="00945782">
          <w:rPr>
            <w:rStyle w:val="Hyperlink"/>
            <w:rFonts w:asciiTheme="minorHAnsi" w:hAnsiTheme="minorHAnsi" w:cstheme="minorHAnsi"/>
            <w:szCs w:val="22"/>
            <w:lang w:val="ru-RU"/>
          </w:rPr>
          <w:t>Европы</w:t>
        </w:r>
      </w:hyperlink>
      <w:r w:rsidRPr="00945782">
        <w:rPr>
          <w:lang w:val="ru-RU"/>
        </w:rPr>
        <w:t xml:space="preserve">, </w:t>
      </w:r>
      <w:hyperlink r:id="rId325" w:history="1">
        <w:r w:rsidRPr="00945782">
          <w:rPr>
            <w:rStyle w:val="Hyperlink"/>
            <w:rFonts w:asciiTheme="minorHAnsi" w:hAnsiTheme="minorHAnsi" w:cstheme="minorHAnsi"/>
            <w:szCs w:val="22"/>
            <w:lang w:val="ru-RU"/>
          </w:rPr>
          <w:t>Азиатско-Тихоокеанского региона</w:t>
        </w:r>
      </w:hyperlink>
      <w:r w:rsidRPr="00945782">
        <w:rPr>
          <w:lang w:val="ru-RU"/>
        </w:rPr>
        <w:t xml:space="preserve">, а позднее − для </w:t>
      </w:r>
      <w:hyperlink r:id="rId326" w:history="1">
        <w:r w:rsidRPr="00945782">
          <w:rPr>
            <w:rStyle w:val="Hyperlink"/>
            <w:rFonts w:asciiTheme="minorHAnsi" w:hAnsiTheme="minorHAnsi" w:cstheme="minorHAnsi"/>
            <w:szCs w:val="22"/>
            <w:lang w:val="ru-RU"/>
          </w:rPr>
          <w:t>Северной и Южной Америки</w:t>
        </w:r>
      </w:hyperlink>
      <w:r w:rsidRPr="00945782">
        <w:rPr>
          <w:lang w:val="ru-RU"/>
        </w:rPr>
        <w:t xml:space="preserve">, </w:t>
      </w:r>
      <w:hyperlink r:id="rId327" w:history="1">
        <w:r w:rsidRPr="00945782">
          <w:rPr>
            <w:rStyle w:val="Hyperlink"/>
            <w:rFonts w:asciiTheme="minorHAnsi" w:hAnsiTheme="minorHAnsi" w:cstheme="minorHAnsi"/>
            <w:szCs w:val="22"/>
            <w:lang w:val="ru-RU"/>
          </w:rPr>
          <w:t>Африки</w:t>
        </w:r>
      </w:hyperlink>
      <w:r w:rsidRPr="00945782">
        <w:rPr>
          <w:lang w:val="ru-RU"/>
        </w:rPr>
        <w:t xml:space="preserve"> и </w:t>
      </w:r>
      <w:hyperlink r:id="rId328" w:history="1">
        <w:r w:rsidRPr="00945782">
          <w:rPr>
            <w:rStyle w:val="Hyperlink"/>
            <w:rFonts w:asciiTheme="minorHAnsi" w:hAnsiTheme="minorHAnsi" w:cstheme="minorHAnsi"/>
            <w:szCs w:val="22"/>
            <w:lang w:val="ru-RU"/>
          </w:rPr>
          <w:t>региона СНГ</w:t>
        </w:r>
      </w:hyperlink>
      <w:r w:rsidRPr="00945782">
        <w:rPr>
          <w:lang w:val="ru-RU"/>
        </w:rPr>
        <w:t>. В рамках этих семинаров было организовано практическое обучение процедурам уведомления МСЭ, использованию программных инструментов, анализу тенденций в области служб и баз данных радиосвязи, а также обсуждение на региональном уровне развивающихся тенденций в области радиосвязи. Последний по времени Всемирный семинар по радиосвязи (</w:t>
      </w:r>
      <w:hyperlink r:id="rId329" w:history="1">
        <w:r w:rsidRPr="00945782">
          <w:rPr>
            <w:rStyle w:val="Hyperlink"/>
            <w:rFonts w:asciiTheme="minorHAnsi" w:hAnsiTheme="minorHAnsi" w:cstheme="minorHAnsi"/>
            <w:szCs w:val="22"/>
            <w:lang w:val="ru-RU"/>
          </w:rPr>
          <w:t>ВСР-24</w:t>
        </w:r>
      </w:hyperlink>
      <w:r w:rsidRPr="00945782">
        <w:rPr>
          <w:lang w:val="ru-RU"/>
        </w:rPr>
        <w:t>), состоявшийся в Женеве, был дополнен выездными мероприятиями в целях поддержки регионального наращивания потенциала.</w:t>
      </w:r>
    </w:p>
    <w:p w14:paraId="38CF01CE" w14:textId="77777777" w:rsidR="00D82062" w:rsidRPr="00945782" w:rsidRDefault="00D82062" w:rsidP="00A26298">
      <w:pPr>
        <w:pStyle w:val="Headingb"/>
        <w:rPr>
          <w:lang w:val="ru-RU"/>
        </w:rPr>
      </w:pPr>
      <w:r w:rsidRPr="00945782">
        <w:rPr>
          <w:lang w:val="ru-RU"/>
        </w:rPr>
        <w:t>Семинары-практикумы</w:t>
      </w:r>
    </w:p>
    <w:p w14:paraId="78851F1D" w14:textId="515E669E" w:rsidR="00D82062" w:rsidRPr="00945782" w:rsidRDefault="00D82062" w:rsidP="00A26298">
      <w:pPr>
        <w:rPr>
          <w:lang w:val="ru-RU"/>
        </w:rPr>
      </w:pPr>
      <w:r w:rsidRPr="00945782">
        <w:rPr>
          <w:lang w:val="ru-RU"/>
        </w:rPr>
        <w:t xml:space="preserve">МСЭ-R также расширил программу тематических семинаров-практикумов, организовав межрегиональные информационные сессии </w:t>
      </w:r>
      <w:hyperlink r:id="rId330" w:history="1">
        <w:r w:rsidRPr="00945782">
          <w:rPr>
            <w:rStyle w:val="Hyperlink"/>
            <w:rFonts w:asciiTheme="minorHAnsi" w:hAnsiTheme="minorHAnsi" w:cstheme="minorHAnsi"/>
            <w:szCs w:val="22"/>
            <w:lang w:val="ru-RU"/>
          </w:rPr>
          <w:t>по подготовке к ВКР-27</w:t>
        </w:r>
      </w:hyperlink>
      <w:r w:rsidRPr="00945782">
        <w:rPr>
          <w:lang w:val="ru-RU"/>
        </w:rPr>
        <w:t xml:space="preserve">, </w:t>
      </w:r>
      <w:hyperlink r:id="rId331" w:history="1">
        <w:r w:rsidRPr="00945782">
          <w:rPr>
            <w:rStyle w:val="Hyperlink"/>
            <w:rFonts w:asciiTheme="minorHAnsi" w:hAnsiTheme="minorHAnsi" w:cstheme="minorHAnsi"/>
            <w:szCs w:val="22"/>
            <w:lang w:val="ru-RU"/>
          </w:rPr>
          <w:t>"МСЭ на службе космоса"</w:t>
        </w:r>
      </w:hyperlink>
      <w:r w:rsidRPr="00945782">
        <w:rPr>
          <w:lang w:val="ru-RU"/>
        </w:rPr>
        <w:t xml:space="preserve">, </w:t>
      </w:r>
      <w:hyperlink r:id="rId332" w:history="1">
        <w:r w:rsidRPr="00945782">
          <w:rPr>
            <w:rStyle w:val="Hyperlink"/>
            <w:rFonts w:asciiTheme="minorHAnsi" w:hAnsiTheme="minorHAnsi" w:cstheme="minorHAnsi"/>
            <w:szCs w:val="22"/>
            <w:lang w:val="ru-RU"/>
          </w:rPr>
          <w:t>"Радиовещание в кризисные периоды"</w:t>
        </w:r>
      </w:hyperlink>
      <w:r w:rsidRPr="00945782">
        <w:rPr>
          <w:lang w:val="ru-RU"/>
        </w:rPr>
        <w:t xml:space="preserve">, семинар-практикум МСЭ </w:t>
      </w:r>
      <w:hyperlink r:id="rId333" w:history="1">
        <w:r w:rsidRPr="00945782">
          <w:rPr>
            <w:rStyle w:val="Hyperlink"/>
            <w:rFonts w:asciiTheme="minorHAnsi" w:hAnsiTheme="minorHAnsi" w:cstheme="minorHAnsi"/>
            <w:szCs w:val="22"/>
            <w:lang w:val="ru-RU"/>
          </w:rPr>
          <w:t>"Будущее телевидения в Европе"</w:t>
        </w:r>
      </w:hyperlink>
      <w:r w:rsidRPr="00945782">
        <w:rPr>
          <w:lang w:val="ru-RU"/>
        </w:rPr>
        <w:t xml:space="preserve"> совместно с </w:t>
      </w:r>
      <w:hyperlink r:id="rId334" w:history="1">
        <w:r w:rsidRPr="00945782">
          <w:rPr>
            <w:rStyle w:val="Hyperlink"/>
            <w:rFonts w:asciiTheme="minorHAnsi" w:hAnsiTheme="minorHAnsi" w:cstheme="minorHAnsi"/>
            <w:szCs w:val="22"/>
            <w:lang w:val="ru-RU"/>
          </w:rPr>
          <w:t>"Будущее радиовещания: практические примеры"</w:t>
        </w:r>
      </w:hyperlink>
      <w:r w:rsidRPr="00945782">
        <w:rPr>
          <w:lang w:val="ru-RU"/>
        </w:rPr>
        <w:t xml:space="preserve">, </w:t>
      </w:r>
      <w:hyperlink r:id="rId335" w:history="1">
        <w:r w:rsidRPr="00945782">
          <w:rPr>
            <w:rStyle w:val="Hyperlink"/>
            <w:rFonts w:asciiTheme="minorHAnsi" w:hAnsiTheme="minorHAnsi" w:cstheme="minorHAnsi"/>
            <w:szCs w:val="22"/>
            <w:lang w:val="ru-RU"/>
          </w:rPr>
          <w:t>семинар-практикум МСЭ-R по системам фиксированного беспроводного доступа</w:t>
        </w:r>
      </w:hyperlink>
      <w:r w:rsidRPr="00945782">
        <w:rPr>
          <w:lang w:val="ru-RU"/>
        </w:rPr>
        <w:t xml:space="preserve">, а также специализированные семинары-практикумы по </w:t>
      </w:r>
      <w:hyperlink r:id="rId336" w:history="1">
        <w:r w:rsidRPr="00945782">
          <w:rPr>
            <w:rStyle w:val="Hyperlink"/>
            <w:rFonts w:asciiTheme="minorHAnsi" w:hAnsiTheme="minorHAnsi" w:cstheme="minorHAnsi"/>
            <w:szCs w:val="22"/>
            <w:lang w:val="ru-RU"/>
          </w:rPr>
          <w:t>национальным таблицам распределения частот</w:t>
        </w:r>
      </w:hyperlink>
      <w:r w:rsidRPr="00945782">
        <w:rPr>
          <w:lang w:val="ru-RU"/>
        </w:rPr>
        <w:t xml:space="preserve"> во всех трех регионах МСЭ. Дополнительная техническая помощь в 2023–2025 годах включала, в частности, </w:t>
      </w:r>
      <w:hyperlink r:id="rId337" w:history="1">
        <w:r w:rsidRPr="00945782">
          <w:rPr>
            <w:rStyle w:val="Hyperlink"/>
            <w:rFonts w:asciiTheme="minorHAnsi" w:hAnsiTheme="minorHAnsi" w:cstheme="minorHAnsi"/>
            <w:szCs w:val="22"/>
            <w:lang w:val="ru-RU"/>
          </w:rPr>
          <w:t>поддержку 16 администраций Сообщества развития Юга Африки (САДК)</w:t>
        </w:r>
      </w:hyperlink>
      <w:r w:rsidRPr="00945782">
        <w:rPr>
          <w:lang w:val="ru-RU"/>
        </w:rPr>
        <w:t xml:space="preserve"> в рамках инициативы совместно используемой спутниковой сети САДК посредством очных семинаров-практикумов и виртуальных собраний. Дополнительные научные мероприятия, такие как совместный семинар </w:t>
      </w:r>
      <w:hyperlink r:id="rId338" w:history="1">
        <w:r w:rsidRPr="00945782">
          <w:rPr>
            <w:rStyle w:val="Hyperlink"/>
            <w:rFonts w:asciiTheme="minorHAnsi" w:hAnsiTheme="minorHAnsi" w:cstheme="minorHAnsi"/>
            <w:szCs w:val="22"/>
            <w:lang w:val="ru-RU"/>
          </w:rPr>
          <w:t>ВМО</w:t>
        </w:r>
        <w:r w:rsidR="007858FE" w:rsidRPr="00945782">
          <w:rPr>
            <w:rStyle w:val="Hyperlink"/>
            <w:rFonts w:asciiTheme="minorHAnsi" w:hAnsiTheme="minorHAnsi" w:cstheme="minorHAnsi"/>
            <w:szCs w:val="22"/>
            <w:lang w:val="ru-RU"/>
          </w:rPr>
          <w:noBreakHyphen/>
        </w:r>
        <w:r w:rsidRPr="00945782">
          <w:rPr>
            <w:rStyle w:val="Hyperlink"/>
            <w:rFonts w:asciiTheme="minorHAnsi" w:hAnsiTheme="minorHAnsi" w:cstheme="minorHAnsi"/>
            <w:szCs w:val="22"/>
            <w:lang w:val="ru-RU"/>
          </w:rPr>
          <w:t>МСЭ "Наблюдение Земли для достижения ЦУР"</w:t>
        </w:r>
      </w:hyperlink>
      <w:r w:rsidRPr="00945782">
        <w:rPr>
          <w:lang w:val="ru-RU"/>
        </w:rPr>
        <w:t xml:space="preserve"> и </w:t>
      </w:r>
      <w:hyperlink r:id="rId339" w:history="1">
        <w:r w:rsidRPr="00945782">
          <w:rPr>
            <w:rStyle w:val="Hyperlink"/>
            <w:rFonts w:asciiTheme="minorHAnsi" w:hAnsiTheme="minorHAnsi" w:cstheme="minorHAnsi"/>
            <w:szCs w:val="22"/>
            <w:lang w:val="ru-RU"/>
          </w:rPr>
          <w:t>семинар-практикум МСЭ по радиоастрономии</w:t>
        </w:r>
      </w:hyperlink>
      <w:r w:rsidRPr="00945782">
        <w:rPr>
          <w:lang w:val="ru-RU"/>
        </w:rPr>
        <w:t>, укрепили роль Бюро радиосвязи в развитии знаний в области радиосвязи и глобальной координации спектра.</w:t>
      </w:r>
    </w:p>
    <w:p w14:paraId="26078F3A" w14:textId="77777777" w:rsidR="00D82062" w:rsidRPr="00945782" w:rsidRDefault="00D82062" w:rsidP="00A26298">
      <w:pPr>
        <w:pStyle w:val="Headingb"/>
        <w:rPr>
          <w:lang w:val="ru-RU"/>
        </w:rPr>
      </w:pPr>
      <w:r w:rsidRPr="00945782">
        <w:rPr>
          <w:lang w:val="ru-RU"/>
        </w:rPr>
        <w:t>МСЭ-T</w:t>
      </w:r>
    </w:p>
    <w:p w14:paraId="0B0E68EF" w14:textId="77777777" w:rsidR="00D82062" w:rsidRPr="00945782" w:rsidRDefault="00D82062" w:rsidP="00A26298">
      <w:pPr>
        <w:rPr>
          <w:lang w:val="ru-RU"/>
        </w:rPr>
      </w:pPr>
      <w:r w:rsidRPr="00945782">
        <w:rPr>
          <w:lang w:val="ru-RU"/>
        </w:rPr>
        <w:t xml:space="preserve">МСЭ-T поддерживал высокий уровень участия благодаря расширению круга разнообразных семинаров, семинаров-практикумов, симпозиумов и вебинаров. Было организовано большое число </w:t>
      </w:r>
      <w:hyperlink r:id="rId340" w:history="1">
        <w:r w:rsidRPr="00945782">
          <w:rPr>
            <w:rStyle w:val="Hyperlink"/>
            <w:rFonts w:asciiTheme="minorHAnsi" w:hAnsiTheme="minorHAnsi" w:cstheme="minorHAnsi"/>
            <w:szCs w:val="22"/>
            <w:lang w:val="ru-RU"/>
          </w:rPr>
          <w:t>неуставных мероприятий</w:t>
        </w:r>
      </w:hyperlink>
      <w:r w:rsidRPr="00945782">
        <w:rPr>
          <w:lang w:val="ru-RU"/>
        </w:rPr>
        <w:t xml:space="preserve"> в виртуальном, гибридном и очном форматах; одним из ярких примеров стала привлекшая большое число участников </w:t>
      </w:r>
      <w:hyperlink r:id="rId341" w:history="1">
        <w:r w:rsidRPr="00945782">
          <w:rPr>
            <w:rStyle w:val="Hyperlink"/>
            <w:rFonts w:asciiTheme="minorHAnsi" w:hAnsiTheme="minorHAnsi" w:cstheme="minorHAnsi"/>
            <w:szCs w:val="22"/>
            <w:lang w:val="ru-RU"/>
          </w:rPr>
          <w:t>конференция DC3</w:t>
        </w:r>
      </w:hyperlink>
      <w:r w:rsidRPr="00945782">
        <w:rPr>
          <w:lang w:val="ru-RU"/>
        </w:rPr>
        <w:t xml:space="preserve"> по цифровым валютам. Деятельность продолжала расширяться: в </w:t>
      </w:r>
      <w:hyperlink r:id="rId342" w:history="1">
        <w:r w:rsidRPr="00945782">
          <w:rPr>
            <w:rStyle w:val="Hyperlink"/>
            <w:rFonts w:asciiTheme="minorHAnsi" w:hAnsiTheme="minorHAnsi" w:cstheme="minorHAnsi"/>
            <w:szCs w:val="22"/>
            <w:lang w:val="ru-RU"/>
          </w:rPr>
          <w:t>2022</w:t>
        </w:r>
      </w:hyperlink>
      <w:r w:rsidRPr="00945782">
        <w:rPr>
          <w:lang w:val="ru-RU"/>
        </w:rPr>
        <w:t xml:space="preserve">, </w:t>
      </w:r>
      <w:hyperlink r:id="rId343" w:history="1">
        <w:r w:rsidRPr="00945782">
          <w:rPr>
            <w:rStyle w:val="Hyperlink"/>
            <w:rFonts w:asciiTheme="minorHAnsi" w:hAnsiTheme="minorHAnsi" w:cstheme="minorHAnsi"/>
            <w:szCs w:val="22"/>
            <w:lang w:val="ru-RU"/>
          </w:rPr>
          <w:t>2023</w:t>
        </w:r>
      </w:hyperlink>
      <w:r w:rsidRPr="00945782">
        <w:rPr>
          <w:lang w:val="ru-RU"/>
        </w:rPr>
        <w:t xml:space="preserve">, </w:t>
      </w:r>
      <w:hyperlink r:id="rId344" w:history="1">
        <w:r w:rsidRPr="00945782">
          <w:rPr>
            <w:rStyle w:val="Hyperlink"/>
            <w:rFonts w:asciiTheme="minorHAnsi" w:hAnsiTheme="minorHAnsi" w:cstheme="minorHAnsi"/>
            <w:szCs w:val="22"/>
            <w:lang w:val="ru-RU"/>
          </w:rPr>
          <w:t>2024</w:t>
        </w:r>
      </w:hyperlink>
      <w:r w:rsidRPr="00945782">
        <w:rPr>
          <w:lang w:val="ru-RU"/>
        </w:rPr>
        <w:t xml:space="preserve"> и годах ежегодно проводилось более 100 семинаров-практикумов, дополнявших круглогодичную еженедельную программу платформы </w:t>
      </w:r>
      <w:hyperlink r:id="rId345" w:history="1">
        <w:r w:rsidRPr="00945782">
          <w:rPr>
            <w:rStyle w:val="Hyperlink"/>
            <w:rFonts w:asciiTheme="minorHAnsi" w:hAnsiTheme="minorHAnsi" w:cstheme="minorHAnsi"/>
            <w:szCs w:val="22"/>
            <w:lang w:val="ru-RU"/>
          </w:rPr>
          <w:t>"ИИ во благо"</w:t>
        </w:r>
      </w:hyperlink>
      <w:r w:rsidRPr="00945782">
        <w:rPr>
          <w:lang w:val="ru-RU"/>
        </w:rPr>
        <w:t>. Эти мероприятия способствовали укреплению сотрудничества с внешними партнерами, повышению видимости работы МСЭ-T в области стандартизации, обмену опытом и привлечению новых членов. В совокупности они охватывали новые тенденции в глобальной стандартизации и способствовали разработке и внедрению международных стандартов.</w:t>
      </w:r>
    </w:p>
    <w:p w14:paraId="42DC4987" w14:textId="77777777" w:rsidR="00D82062" w:rsidRPr="00945782" w:rsidRDefault="00D82062" w:rsidP="00A26298">
      <w:pPr>
        <w:pStyle w:val="Headingb"/>
        <w:rPr>
          <w:lang w:val="ru-RU"/>
        </w:rPr>
      </w:pPr>
      <w:r w:rsidRPr="00945782">
        <w:rPr>
          <w:lang w:val="ru-RU"/>
        </w:rPr>
        <w:t>МСЭ-D</w:t>
      </w:r>
    </w:p>
    <w:p w14:paraId="17FD9C6F" w14:textId="77777777" w:rsidR="00D82062" w:rsidRPr="00945782" w:rsidRDefault="00D82062" w:rsidP="00A26298">
      <w:pPr>
        <w:rPr>
          <w:lang w:val="ru-RU"/>
        </w:rPr>
      </w:pPr>
      <w:hyperlink r:id="rId346" w:history="1">
        <w:r w:rsidRPr="00945782">
          <w:rPr>
            <w:rStyle w:val="Hyperlink"/>
            <w:rFonts w:asciiTheme="minorHAnsi" w:hAnsiTheme="minorHAnsi" w:cstheme="minorHAnsi"/>
            <w:szCs w:val="22"/>
            <w:lang w:val="ru-RU"/>
          </w:rPr>
          <w:t>Семинары и семинары-практикумы МСЭ-D</w:t>
        </w:r>
      </w:hyperlink>
      <w:r w:rsidRPr="00945782">
        <w:rPr>
          <w:lang w:val="ru-RU"/>
        </w:rPr>
        <w:t xml:space="preserve"> продолжали служить важными механизмами наращивания потенциала и оказания поддержки развитию. В 2022 году Бюро развития электросвязи МСЭ (БРЭ) организовало 57 мероприятий в соответствии с </w:t>
      </w:r>
      <w:hyperlink r:id="rId347" w:history="1">
        <w:r w:rsidRPr="00945782">
          <w:rPr>
            <w:rStyle w:val="Hyperlink"/>
            <w:rFonts w:asciiTheme="minorHAnsi" w:hAnsiTheme="minorHAnsi" w:cstheme="minorHAnsi"/>
            <w:szCs w:val="22"/>
            <w:lang w:val="ru-RU"/>
          </w:rPr>
          <w:t>Планом действий Буэнос-Айреса</w:t>
        </w:r>
      </w:hyperlink>
      <w:r w:rsidRPr="00945782">
        <w:rPr>
          <w:lang w:val="ru-RU"/>
        </w:rPr>
        <w:t xml:space="preserve">, а в 2023 году их число достигло 143 в рамках реализации проектов и </w:t>
      </w:r>
      <w:hyperlink r:id="rId348" w:history="1">
        <w:r w:rsidRPr="00945782">
          <w:rPr>
            <w:rStyle w:val="Hyperlink"/>
            <w:rFonts w:asciiTheme="minorHAnsi" w:hAnsiTheme="minorHAnsi" w:cstheme="minorHAnsi"/>
            <w:szCs w:val="22"/>
            <w:lang w:val="ru-RU"/>
          </w:rPr>
          <w:t>Кигалийского плана действий</w:t>
        </w:r>
      </w:hyperlink>
      <w:r w:rsidRPr="00945782">
        <w:rPr>
          <w:lang w:val="ru-RU"/>
        </w:rPr>
        <w:t xml:space="preserve">. К 2024 году МСЭ-D значительно расширил свою деятельность, проведя 211 мероприятий, включая семинары, семинары-практикумы, вебинары и форумы, направленные на продвижение устойчивой цифровой трансформации. В 2025 году число </w:t>
      </w:r>
      <w:r w:rsidRPr="00945782">
        <w:rPr>
          <w:lang w:val="ru-RU"/>
        </w:rPr>
        <w:lastRenderedPageBreak/>
        <w:t xml:space="preserve">мероприятий достигло максимума: было проведено 220 событий в формате сессий по наращиванию потенциала, которые охватывали вопросы кибербезопасности, цифрового доступа, гендерной интеграции, расширения возможностей молодежи, политики и регулирования, экологической устойчивости и укрепления институтов. Среди ключевых мероприятий − </w:t>
      </w:r>
      <w:hyperlink r:id="rId349" w:history="1">
        <w:r w:rsidRPr="00945782">
          <w:rPr>
            <w:rStyle w:val="Hyperlink"/>
            <w:rFonts w:asciiTheme="minorHAnsi" w:hAnsiTheme="minorHAnsi" w:cstheme="minorHAnsi"/>
            <w:szCs w:val="22"/>
            <w:lang w:val="ru-RU"/>
          </w:rPr>
          <w:t>тренировочные занятия по кибербезопасности</w:t>
        </w:r>
      </w:hyperlink>
      <w:r w:rsidRPr="00945782">
        <w:rPr>
          <w:lang w:val="ru-RU"/>
        </w:rPr>
        <w:t xml:space="preserve"> в различных регионах, серия семинаров "Учет гендерных аспектов в ИКТ", региональные мероприятия в рамках Дня </w:t>
      </w:r>
      <w:hyperlink r:id="rId350" w:history="1">
        <w:r w:rsidRPr="00945782">
          <w:rPr>
            <w:rStyle w:val="Hyperlink"/>
            <w:rFonts w:asciiTheme="minorHAnsi" w:hAnsiTheme="minorHAnsi" w:cstheme="minorHAnsi"/>
            <w:szCs w:val="22"/>
            <w:lang w:val="ru-RU"/>
          </w:rPr>
          <w:t>"Девушки в ИКТ"</w:t>
        </w:r>
      </w:hyperlink>
      <w:r w:rsidRPr="00945782">
        <w:rPr>
          <w:lang w:val="ru-RU"/>
        </w:rPr>
        <w:t xml:space="preserve">, обучение в области цифрового регулирования, семинары-практикумы для заинтересованных сторон по широкополосной связи и 5G, семинары по управлению электронными отходами, а также курсы </w:t>
      </w:r>
      <w:hyperlink r:id="rId351" w:history="1">
        <w:r w:rsidRPr="00945782">
          <w:rPr>
            <w:rStyle w:val="Hyperlink"/>
            <w:rFonts w:asciiTheme="minorHAnsi" w:hAnsiTheme="minorHAnsi" w:cstheme="minorHAnsi"/>
            <w:szCs w:val="22"/>
            <w:lang w:val="ru-RU"/>
          </w:rPr>
          <w:t>GovStack</w:t>
        </w:r>
      </w:hyperlink>
      <w:r w:rsidRPr="00945782">
        <w:rPr>
          <w:lang w:val="ru-RU"/>
        </w:rPr>
        <w:t xml:space="preserve"> и </w:t>
      </w:r>
      <w:hyperlink r:id="rId352" w:history="1">
        <w:r w:rsidRPr="00945782">
          <w:rPr>
            <w:rStyle w:val="Hyperlink"/>
            <w:rFonts w:asciiTheme="minorHAnsi" w:hAnsiTheme="minorHAnsi" w:cstheme="minorHAnsi"/>
            <w:szCs w:val="22"/>
            <w:lang w:val="ru-RU"/>
          </w:rPr>
          <w:t>центров профессиональной подготовки Академии МСЭ (ATC)</w:t>
        </w:r>
      </w:hyperlink>
      <w:r w:rsidRPr="00945782">
        <w:rPr>
          <w:lang w:val="ru-RU"/>
        </w:rPr>
        <w:t>. В рамках этих инициатив обеспечивалось предоставление практических знаний, поддерживалось сотрудничество и оказывалась поддержка Государствам-Членам в формировании устойчивых и открытых для всех цифровых экосистем.</w:t>
      </w:r>
    </w:p>
    <w:p w14:paraId="1C5B4E4A" w14:textId="77777777" w:rsidR="00A26298" w:rsidRPr="00945782" w:rsidRDefault="00A26298" w:rsidP="000C3312">
      <w:pPr>
        <w:rPr>
          <w:lang w:val="ru-RU"/>
        </w:rPr>
      </w:pPr>
      <w:bookmarkStart w:id="118" w:name="_Toc227062876"/>
      <w:r w:rsidRPr="00945782">
        <w:rPr>
          <w:lang w:val="ru-RU"/>
        </w:rPr>
        <w:br w:type="page"/>
      </w:r>
    </w:p>
    <w:p w14:paraId="4586499A" w14:textId="154A262F" w:rsidR="00D82062" w:rsidRPr="00945782" w:rsidRDefault="00D82062" w:rsidP="00D82062">
      <w:pPr>
        <w:pStyle w:val="Heading1"/>
        <w:rPr>
          <w:lang w:val="ru-RU"/>
        </w:rPr>
      </w:pPr>
      <w:bookmarkStart w:id="119" w:name="_Toc227850264"/>
      <w:r w:rsidRPr="00945782">
        <w:rPr>
          <w:lang w:val="ru-RU"/>
        </w:rPr>
        <w:lastRenderedPageBreak/>
        <w:t>5</w:t>
      </w:r>
      <w:r w:rsidR="00A26298" w:rsidRPr="00945782">
        <w:rPr>
          <w:lang w:val="ru-RU"/>
        </w:rPr>
        <w:tab/>
      </w:r>
      <w:r w:rsidRPr="00945782">
        <w:rPr>
          <w:lang w:val="ru-RU"/>
        </w:rPr>
        <w:t>Средства достижения целей</w:t>
      </w:r>
      <w:bookmarkEnd w:id="118"/>
      <w:bookmarkEnd w:id="119"/>
    </w:p>
    <w:p w14:paraId="4BC273FC" w14:textId="77777777" w:rsidR="00D82062" w:rsidRPr="00945782" w:rsidRDefault="00D82062" w:rsidP="00A26298">
      <w:pPr>
        <w:rPr>
          <w:lang w:val="ru-RU"/>
        </w:rPr>
      </w:pPr>
      <w:r w:rsidRPr="00945782">
        <w:rPr>
          <w:lang w:val="ru-RU"/>
        </w:rPr>
        <w:t>Подход МСЭ, ориентированный на членов, его присутствие в регионах по всему миру и приверженность обеспечению участия всех заинтересованных сторон позволяют ему эффективно и результативно достигать поставленных целей и приоритетов.</w:t>
      </w:r>
    </w:p>
    <w:p w14:paraId="7DE8589E" w14:textId="010EE94F" w:rsidR="00D82062" w:rsidRPr="00945782" w:rsidRDefault="00D82062" w:rsidP="00D82062">
      <w:pPr>
        <w:pStyle w:val="Heading2"/>
        <w:rPr>
          <w:lang w:val="ru-RU"/>
        </w:rPr>
      </w:pPr>
      <w:bookmarkStart w:id="120" w:name="_Toc227062877"/>
      <w:bookmarkStart w:id="121" w:name="_Toc227850265"/>
      <w:r w:rsidRPr="00945782">
        <w:rPr>
          <w:lang w:val="ru-RU"/>
        </w:rPr>
        <w:t>5.1</w:t>
      </w:r>
      <w:r w:rsidR="00A26298" w:rsidRPr="00945782">
        <w:rPr>
          <w:lang w:val="ru-RU"/>
        </w:rPr>
        <w:tab/>
      </w:r>
      <w:r w:rsidRPr="00945782">
        <w:rPr>
          <w:lang w:val="ru-RU"/>
        </w:rPr>
        <w:t>Подход, ориентированный на членов МСЭ</w:t>
      </w:r>
      <w:bookmarkEnd w:id="120"/>
      <w:bookmarkEnd w:id="121"/>
    </w:p>
    <w:p w14:paraId="559CAFF1" w14:textId="1B90901A" w:rsidR="00D82062" w:rsidRPr="00945782" w:rsidRDefault="00D82062" w:rsidP="00A26298">
      <w:pPr>
        <w:rPr>
          <w:lang w:val="ru-RU"/>
        </w:rPr>
      </w:pPr>
      <w:r w:rsidRPr="00945782">
        <w:rPr>
          <w:lang w:val="ru-RU"/>
        </w:rPr>
        <w:t>В 2025 году число членов МСЭ достигло своего самого высокого уровня: 1048 организаций-членов, на которые приходилось 1386 членов в категориях Членов Сектора, Ассоциированных членов и Академических организаций; при этом в период 2022–2025 годов было зарегистрировано 402 новых члена (чистый прирост – 139). Расширение членского состава во всех секторах и регионах отражает устойчивую вовлеченность и приверженность целям МСЭ, несмотря на сложности с удержанием членов и финансовые риски.</w:t>
      </w:r>
    </w:p>
    <w:p w14:paraId="771684D8" w14:textId="77777777" w:rsidR="00D82062" w:rsidRPr="00945782" w:rsidRDefault="00D82062" w:rsidP="00A26298">
      <w:pPr>
        <w:rPr>
          <w:lang w:val="ru-RU"/>
        </w:rPr>
      </w:pPr>
      <w:r w:rsidRPr="00945782">
        <w:rPr>
          <w:lang w:val="ru-RU"/>
        </w:rPr>
        <w:t>Сокращение числа членов на 263 в период 2022–2025 годов подчеркивает постоянные риски для стабильности как в бюджетном плане, так и в контексте текущих технических исследований, а также необходимость сохранять в деятельности МСЭ ориентированный на членов, гибкий и сервисно-ориентированный подход. Вместе с тем членская база МСЭ с течением времени эволюционировала и расширилась, что отражает изменения в глобальной цифровой экосистеме. В связи с этим МСЭ постоянно адаптирует тематику своей работы и методы деятельности, чтобы оставаться актуальной глобальной и нейтральной платформой для своих членов.</w:t>
      </w:r>
    </w:p>
    <w:p w14:paraId="35F33992" w14:textId="24595A1A" w:rsidR="00D82062" w:rsidRPr="00945782" w:rsidRDefault="00D82062" w:rsidP="00A26298">
      <w:pPr>
        <w:rPr>
          <w:lang w:val="ru-RU"/>
        </w:rPr>
      </w:pPr>
      <w:r w:rsidRPr="00945782">
        <w:rPr>
          <w:lang w:val="ru-RU"/>
        </w:rPr>
        <w:t>По состоянию на конец 2025 года в МСЭ насчитывалось 1048 отдельных организаций-членов (прибавилось 102 новых; чистый прирост составил 44 за год), включая Членов Секторов, Ассоциированных членов и Академические организации.</w:t>
      </w:r>
    </w:p>
    <w:p w14:paraId="4EF46D7B" w14:textId="77777777" w:rsidR="00D82062" w:rsidRPr="00945782" w:rsidRDefault="00D82062" w:rsidP="00A26298">
      <w:pPr>
        <w:rPr>
          <w:lang w:val="ru-RU"/>
        </w:rPr>
      </w:pPr>
      <w:r w:rsidRPr="00945782">
        <w:rPr>
          <w:lang w:val="ru-RU"/>
        </w:rPr>
        <w:t>В период 2022–2025 годов:</w:t>
      </w:r>
    </w:p>
    <w:p w14:paraId="1218E08D" w14:textId="75DFA4BD" w:rsidR="00D82062" w:rsidRPr="00945782" w:rsidRDefault="00D82062" w:rsidP="00A26298">
      <w:pPr>
        <w:pStyle w:val="enumlev1"/>
        <w:rPr>
          <w:lang w:val="ru-RU"/>
        </w:rPr>
      </w:pPr>
      <w:r w:rsidRPr="00945782">
        <w:rPr>
          <w:lang w:val="ru-RU"/>
        </w:rPr>
        <w:t>•</w:t>
      </w:r>
      <w:r w:rsidR="00A26298" w:rsidRPr="00945782">
        <w:rPr>
          <w:lang w:val="ru-RU"/>
        </w:rPr>
        <w:tab/>
      </w:r>
      <w:r w:rsidRPr="00945782">
        <w:rPr>
          <w:lang w:val="ru-RU"/>
        </w:rPr>
        <w:t>Общее число членов всех Секторов составило 1386: прибавилось 402 новых, при этом 263 членства были прекращены или аннулированы.</w:t>
      </w:r>
    </w:p>
    <w:p w14:paraId="5F6B4508" w14:textId="70197C31" w:rsidR="00D82062" w:rsidRPr="00945782" w:rsidRDefault="00D82062" w:rsidP="00A26298">
      <w:pPr>
        <w:pStyle w:val="enumlev1"/>
        <w:rPr>
          <w:lang w:val="ru-RU"/>
        </w:rPr>
      </w:pPr>
      <w:r w:rsidRPr="00945782">
        <w:rPr>
          <w:lang w:val="ru-RU"/>
        </w:rPr>
        <w:t>•</w:t>
      </w:r>
      <w:r w:rsidR="00A26298" w:rsidRPr="00945782">
        <w:rPr>
          <w:lang w:val="ru-RU"/>
        </w:rPr>
        <w:tab/>
      </w:r>
      <w:r w:rsidRPr="00945782">
        <w:rPr>
          <w:lang w:val="ru-RU"/>
        </w:rPr>
        <w:t>Члены Секторов составили 42% всех новых членов, Ассоциированные члены − 39%, Академические организации − 19%.</w:t>
      </w:r>
    </w:p>
    <w:p w14:paraId="31442C82" w14:textId="4ADC3C7A" w:rsidR="00D82062" w:rsidRPr="00945782" w:rsidRDefault="00D82062" w:rsidP="00A26298">
      <w:pPr>
        <w:pStyle w:val="enumlev1"/>
        <w:rPr>
          <w:lang w:val="ru-RU"/>
        </w:rPr>
      </w:pPr>
      <w:r w:rsidRPr="00945782">
        <w:rPr>
          <w:lang w:val="ru-RU"/>
        </w:rPr>
        <w:t>•</w:t>
      </w:r>
      <w:r w:rsidR="00A26298" w:rsidRPr="00945782">
        <w:rPr>
          <w:lang w:val="ru-RU"/>
        </w:rPr>
        <w:tab/>
      </w:r>
      <w:r w:rsidRPr="00945782">
        <w:rPr>
          <w:lang w:val="ru-RU"/>
        </w:rPr>
        <w:t>Наблюдалась положительная динамика во всех секторах: чистый прирост числа членов составил 34 в МСЭ-R, 21 в МСЭ-T, 57 в МСЭ-D и 27 в категории "Академические организации".</w:t>
      </w:r>
    </w:p>
    <w:p w14:paraId="1F6C4095" w14:textId="45E73024" w:rsidR="00D82062" w:rsidRPr="00945782" w:rsidRDefault="00D82062" w:rsidP="00A26298">
      <w:pPr>
        <w:pStyle w:val="enumlev1"/>
        <w:rPr>
          <w:lang w:val="ru-RU"/>
        </w:rPr>
      </w:pPr>
      <w:r w:rsidRPr="00945782">
        <w:rPr>
          <w:lang w:val="ru-RU"/>
        </w:rPr>
        <w:t>•</w:t>
      </w:r>
      <w:r w:rsidR="00A26298" w:rsidRPr="00945782">
        <w:rPr>
          <w:lang w:val="ru-RU"/>
        </w:rPr>
        <w:tab/>
      </w:r>
      <w:r w:rsidRPr="00945782">
        <w:rPr>
          <w:lang w:val="ru-RU"/>
        </w:rPr>
        <w:t>Рост числа членов отмечен во всех регионах, однако основной прирост обеспечили Азия и Тихоокеанский регион (чистый прирост – 64: 153 новых и 59 выбывших) и Европа (чистый прирост – 27: 116 новых и 89 выбывших), за которыми следуют международные и региональные организации (чистый прирост – 22: 26 новых и 4</w:t>
      </w:r>
      <w:r w:rsidR="00A26298" w:rsidRPr="00945782">
        <w:rPr>
          <w:lang w:val="ru-RU"/>
        </w:rPr>
        <w:t> </w:t>
      </w:r>
      <w:r w:rsidRPr="00945782">
        <w:rPr>
          <w:lang w:val="ru-RU"/>
        </w:rPr>
        <w:t>выбывших).</w:t>
      </w:r>
    </w:p>
    <w:p w14:paraId="16F6674D" w14:textId="45FB3E29" w:rsidR="00D82062" w:rsidRPr="00945782" w:rsidRDefault="00D82062" w:rsidP="00A26298">
      <w:pPr>
        <w:pStyle w:val="enumlev1"/>
        <w:rPr>
          <w:lang w:val="ru-RU"/>
        </w:rPr>
      </w:pPr>
      <w:r w:rsidRPr="00945782">
        <w:rPr>
          <w:lang w:val="ru-RU"/>
        </w:rPr>
        <w:t>•</w:t>
      </w:r>
      <w:r w:rsidR="00A26298" w:rsidRPr="00945782">
        <w:rPr>
          <w:lang w:val="ru-RU"/>
        </w:rPr>
        <w:tab/>
      </w:r>
      <w:r w:rsidRPr="00945782">
        <w:rPr>
          <w:lang w:val="ru-RU"/>
        </w:rPr>
        <w:t>За четырехлетний период с 2022 по 2025 годы прогнозируемые взносы незначительно выросли, но остаются на уровне чуть ниже 17 млн. швейцарских франков, несмотря на чистый прирост числа членов. Это обусловлено продолжающимся увеличением числа участников в категориях с низкими взносами и освобожденных от уплаты.</w:t>
      </w:r>
    </w:p>
    <w:p w14:paraId="05E5C048" w14:textId="05B46DA9" w:rsidR="00D82062" w:rsidRPr="00945782" w:rsidRDefault="00D82062" w:rsidP="00A26298">
      <w:pPr>
        <w:pStyle w:val="enumlev1"/>
        <w:rPr>
          <w:lang w:val="ru-RU"/>
        </w:rPr>
      </w:pPr>
      <w:r w:rsidRPr="00945782">
        <w:rPr>
          <w:lang w:val="ru-RU"/>
        </w:rPr>
        <w:t>•</w:t>
      </w:r>
      <w:r w:rsidR="00A26298" w:rsidRPr="00945782">
        <w:rPr>
          <w:lang w:val="ru-RU"/>
        </w:rPr>
        <w:tab/>
      </w:r>
      <w:r w:rsidRPr="00945782">
        <w:rPr>
          <w:lang w:val="ru-RU"/>
        </w:rPr>
        <w:t>После замедления темпов в 2024 году присоединение малых и средних предприятий (МСП) вновь демонстрирует быстрый рост. Ассоциированные члены с льготной ставкой для МСП, доступной с января 2020 года: 120 членов (33 в МСЭ-R и 87 в МСЭ-T) воспользовались сниженной ставкой взносов. В 2025 году чистый прирост составил 26</w:t>
      </w:r>
      <w:r w:rsidR="00A26298" w:rsidRPr="00945782">
        <w:rPr>
          <w:lang w:val="ru-RU"/>
        </w:rPr>
        <w:t> </w:t>
      </w:r>
      <w:r w:rsidRPr="00945782">
        <w:rPr>
          <w:lang w:val="ru-RU"/>
        </w:rPr>
        <w:t>организаций (в 2024 году – 8 организаций).</w:t>
      </w:r>
    </w:p>
    <w:p w14:paraId="5A0E2C53" w14:textId="77777777" w:rsidR="00D82062" w:rsidRPr="00945782" w:rsidRDefault="00D82062" w:rsidP="00D82062">
      <w:pPr>
        <w:jc w:val="both"/>
        <w:rPr>
          <w:lang w:val="ru-RU"/>
        </w:rPr>
      </w:pPr>
      <w:r w:rsidRPr="00945782">
        <w:rPr>
          <w:rFonts w:ascii="Arial" w:eastAsia="MS Mincho" w:hAnsi="Arial" w:cs="Arial"/>
          <w:noProof/>
          <w:lang w:val="ru-RU"/>
        </w:rPr>
        <w:lastRenderedPageBreak/>
        <w:drawing>
          <wp:inline distT="0" distB="0" distL="0" distR="0" wp14:anchorId="29731179" wp14:editId="3E721DDB">
            <wp:extent cx="5760085" cy="3241675"/>
            <wp:effectExtent l="0" t="0" r="5715" b="0"/>
            <wp:docPr id="1098494936" name="Picture 1"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98494936" name="Picture 1" descr="A screenshot of a computer&#10;&#10;AI-generated content may be incorrect."/>
                    <pic:cNvPicPr/>
                  </pic:nvPicPr>
                  <pic:blipFill>
                    <a:blip r:embed="rId353"/>
                    <a:stretch>
                      <a:fillRect/>
                    </a:stretch>
                  </pic:blipFill>
                  <pic:spPr>
                    <a:xfrm>
                      <a:off x="0" y="0"/>
                      <a:ext cx="5760085" cy="3241675"/>
                    </a:xfrm>
                    <a:prstGeom prst="rect">
                      <a:avLst/>
                    </a:prstGeom>
                    <a:noFill/>
                    <a:ln>
                      <a:noFill/>
                      <a:prstDash/>
                    </a:ln>
                  </pic:spPr>
                </pic:pic>
              </a:graphicData>
            </a:graphic>
          </wp:inline>
        </w:drawing>
      </w:r>
    </w:p>
    <w:p w14:paraId="6CC73F65" w14:textId="0A2383A3" w:rsidR="00D82062" w:rsidRPr="00945782" w:rsidRDefault="00D82062" w:rsidP="00A26298">
      <w:pPr>
        <w:pStyle w:val="Figure"/>
        <w:spacing w:before="120"/>
        <w:rPr>
          <w:i/>
          <w:iCs/>
          <w:color w:val="1F497D" w:themeColor="text2"/>
          <w:sz w:val="18"/>
          <w:szCs w:val="18"/>
          <w:lang w:val="ru-RU"/>
        </w:rPr>
      </w:pPr>
      <w:bookmarkStart w:id="122" w:name="Fig20"/>
      <w:r w:rsidRPr="00945782">
        <w:rPr>
          <w:i/>
          <w:iCs/>
          <w:color w:val="1F497D" w:themeColor="text2"/>
          <w:sz w:val="18"/>
          <w:szCs w:val="18"/>
          <w:lang w:val="ru-RU"/>
        </w:rPr>
        <w:t>Рис</w:t>
      </w:r>
      <w:r w:rsidR="00A26298" w:rsidRPr="00945782">
        <w:rPr>
          <w:i/>
          <w:iCs/>
          <w:color w:val="1F497D" w:themeColor="text2"/>
          <w:sz w:val="18"/>
          <w:szCs w:val="18"/>
          <w:lang w:val="ru-RU"/>
        </w:rPr>
        <w:t>унок</w:t>
      </w:r>
      <w:r w:rsidRPr="00945782">
        <w:rPr>
          <w:i/>
          <w:iCs/>
          <w:color w:val="1F497D" w:themeColor="text2"/>
          <w:sz w:val="18"/>
          <w:szCs w:val="18"/>
          <w:lang w:val="ru-RU"/>
        </w:rPr>
        <w:t xml:space="preserve"> 20</w:t>
      </w:r>
      <w:r w:rsidR="00A26298" w:rsidRPr="00945782">
        <w:rPr>
          <w:i/>
          <w:iCs/>
          <w:color w:val="1F497D" w:themeColor="text2"/>
          <w:sz w:val="18"/>
          <w:szCs w:val="18"/>
          <w:lang w:val="ru-RU"/>
        </w:rPr>
        <w:t xml:space="preserve"> −</w:t>
      </w:r>
      <w:r w:rsidRPr="00945782">
        <w:rPr>
          <w:i/>
          <w:iCs/>
          <w:color w:val="1F497D" w:themeColor="text2"/>
          <w:sz w:val="18"/>
          <w:szCs w:val="18"/>
          <w:lang w:val="ru-RU"/>
        </w:rPr>
        <w:t xml:space="preserve"> Динамика членского состава, 2022–2025 гг.</w:t>
      </w:r>
    </w:p>
    <w:p w14:paraId="32D7FE54" w14:textId="63B80196" w:rsidR="00D82062" w:rsidRPr="00945782" w:rsidRDefault="00D82062" w:rsidP="00D82062">
      <w:pPr>
        <w:pStyle w:val="Heading2"/>
        <w:rPr>
          <w:lang w:val="ru-RU"/>
        </w:rPr>
      </w:pPr>
      <w:bookmarkStart w:id="123" w:name="_Toc227062878"/>
      <w:bookmarkStart w:id="124" w:name="_Toc227850266"/>
      <w:bookmarkEnd w:id="122"/>
      <w:r w:rsidRPr="00945782">
        <w:rPr>
          <w:lang w:val="ru-RU"/>
        </w:rPr>
        <w:t>5.2</w:t>
      </w:r>
      <w:r w:rsidR="00A26298" w:rsidRPr="00945782">
        <w:rPr>
          <w:lang w:val="ru-RU"/>
        </w:rPr>
        <w:tab/>
      </w:r>
      <w:r w:rsidRPr="00945782">
        <w:rPr>
          <w:lang w:val="ru-RU"/>
        </w:rPr>
        <w:t>Региональное присутствие</w:t>
      </w:r>
      <w:bookmarkEnd w:id="123"/>
      <w:bookmarkEnd w:id="124"/>
    </w:p>
    <w:p w14:paraId="2344A114" w14:textId="60ECC154" w:rsidR="00D82062" w:rsidRPr="00945782" w:rsidRDefault="00D82062" w:rsidP="00A26298">
      <w:pPr>
        <w:rPr>
          <w:lang w:val="ru-RU"/>
        </w:rPr>
      </w:pPr>
      <w:r w:rsidRPr="00945782">
        <w:rPr>
          <w:lang w:val="ru-RU"/>
        </w:rPr>
        <w:t xml:space="preserve">Являясь продолжением МСЭ в целом, </w:t>
      </w:r>
      <w:hyperlink r:id="rId354" w:history="1">
        <w:r w:rsidRPr="00945782">
          <w:rPr>
            <w:rStyle w:val="Hyperlink"/>
            <w:lang w:val="ru-RU"/>
          </w:rPr>
          <w:t>региональное присутствие</w:t>
        </w:r>
      </w:hyperlink>
      <w:r w:rsidRPr="00945782">
        <w:rPr>
          <w:lang w:val="ru-RU"/>
        </w:rPr>
        <w:t xml:space="preserve"> играет важнейшую роль в реализации миссии МСЭ, обеспечивая более полное понимание местных условий со стороны МСЭ и позволяя ему более эффективно удовлетворять потребности стран. Региональное присутствие обеспечивает комплексное стратегическое планирование на уровне каждого регионального/зонального отделения, реализуя программы и инициативы, которые соответствуют стратегическим целям и тематическим приоритетам МСЭ и основаны на них. За</w:t>
      </w:r>
      <w:r w:rsidR="00A26298" w:rsidRPr="00945782">
        <w:rPr>
          <w:lang w:val="ru-RU"/>
        </w:rPr>
        <w:t> </w:t>
      </w:r>
      <w:r w:rsidRPr="00945782">
        <w:rPr>
          <w:lang w:val="ru-RU"/>
        </w:rPr>
        <w:t>счет использования глобальных целей и определения приоритетов программ на региональном уровне МСЭ также стремится повысить свою общую эффективность и влияние на глобальном уровне.</w:t>
      </w:r>
    </w:p>
    <w:p w14:paraId="1AE43776" w14:textId="1EB19E37" w:rsidR="00D82062" w:rsidRPr="00945782" w:rsidRDefault="00D82062" w:rsidP="00A26298">
      <w:pPr>
        <w:rPr>
          <w:lang w:val="ru-RU"/>
        </w:rPr>
      </w:pPr>
      <w:r w:rsidRPr="00945782">
        <w:rPr>
          <w:lang w:val="ru-RU"/>
        </w:rPr>
        <w:t>Региональное присутствие укрепляет позиции МСЭ в качестве учреждения, которое задает формат или действует, и сотрудничество в рамках системы Организации Объединенных Наций, что позволяет расширить региональные возможности и тем самым охватить большее число стран и определить более четкие и более результативные приоритеты для участия на уровне стран. Также необходимы усилия для укрепления потенциала на региональном уровне, чтобы обеспечить способность региональных и зональных отделений осуществлять программы и обязательства, определенные на основе стратегических целей и тематических приоритетов</w:t>
      </w:r>
      <w:r w:rsidR="00A26298" w:rsidRPr="00945782">
        <w:rPr>
          <w:lang w:val="ru-RU"/>
        </w:rPr>
        <w:t> </w:t>
      </w:r>
      <w:r w:rsidRPr="00945782">
        <w:rPr>
          <w:lang w:val="ru-RU"/>
        </w:rPr>
        <w:t>МСЭ.</w:t>
      </w:r>
    </w:p>
    <w:p w14:paraId="40307060" w14:textId="2B306E74" w:rsidR="00D82062" w:rsidRPr="00945782" w:rsidRDefault="00D82062" w:rsidP="00A26298">
      <w:pPr>
        <w:rPr>
          <w:lang w:val="ru-RU"/>
        </w:rPr>
      </w:pPr>
      <w:r w:rsidRPr="00945782">
        <w:rPr>
          <w:lang w:val="ru-RU"/>
        </w:rPr>
        <w:t xml:space="preserve">В соответствии с рекомендациями Совета-25 (отчет Председателя Постоянного комитета по администрированию и управлению, Документ </w:t>
      </w:r>
      <w:hyperlink r:id="rId355" w:history="1">
        <w:r w:rsidRPr="00945782">
          <w:rPr>
            <w:rStyle w:val="Hyperlink"/>
            <w:lang w:val="ru-RU"/>
          </w:rPr>
          <w:t>C25/105</w:t>
        </w:r>
      </w:hyperlink>
      <w:r w:rsidRPr="00945782">
        <w:rPr>
          <w:lang w:val="ru-RU"/>
        </w:rPr>
        <w:t xml:space="preserve">, пункт 26, Приложение H, Приложение A и Приложение 1) секретариат завершил начатый в июле 2025 года обзор регионального присутствия МСЭ. Эта работа завершилась подготовкой итогового отчета по обзору регионального присутствия МСЭ (Документ </w:t>
      </w:r>
      <w:hyperlink r:id="rId356" w:history="1">
        <w:r w:rsidRPr="00945782">
          <w:rPr>
            <w:rStyle w:val="Hyperlink"/>
            <w:lang w:val="ru-RU"/>
          </w:rPr>
          <w:t>C26/24</w:t>
        </w:r>
      </w:hyperlink>
      <w:r w:rsidRPr="00945782">
        <w:rPr>
          <w:lang w:val="ru-RU"/>
        </w:rPr>
        <w:t>), который будет представлен на Совете-26, запланированном на 28 апреля – 8 мая 2026 года. Подробности обзора будут представлены в</w:t>
      </w:r>
      <w:r w:rsidR="00A26298" w:rsidRPr="00945782">
        <w:rPr>
          <w:lang w:val="ru-RU"/>
        </w:rPr>
        <w:t> </w:t>
      </w:r>
      <w:hyperlink r:id="rId357" w:history="1">
        <w:r w:rsidRPr="00945782">
          <w:rPr>
            <w:rStyle w:val="Hyperlink"/>
            <w:lang w:val="ru-RU"/>
          </w:rPr>
          <w:t>C26/INF/10</w:t>
        </w:r>
      </w:hyperlink>
      <w:r w:rsidRPr="00945782">
        <w:rPr>
          <w:lang w:val="ru-RU"/>
        </w:rPr>
        <w:t>.</w:t>
      </w:r>
    </w:p>
    <w:p w14:paraId="1D53E9CB" w14:textId="77777777" w:rsidR="00D82062" w:rsidRPr="00945782" w:rsidRDefault="00D82062" w:rsidP="00A26298">
      <w:pPr>
        <w:pStyle w:val="Headingb"/>
        <w:rPr>
          <w:lang w:val="ru-RU"/>
        </w:rPr>
      </w:pPr>
      <w:r w:rsidRPr="00945782">
        <w:rPr>
          <w:lang w:val="ru-RU"/>
        </w:rPr>
        <w:t>Региональные инициативы на 2026–2029 годы</w:t>
      </w:r>
    </w:p>
    <w:p w14:paraId="373CDF32" w14:textId="49E6FF83" w:rsidR="00D82062" w:rsidRPr="00945782" w:rsidRDefault="00D82062" w:rsidP="00A26298">
      <w:pPr>
        <w:rPr>
          <w:lang w:val="ru-RU"/>
        </w:rPr>
      </w:pPr>
      <w:r w:rsidRPr="00945782">
        <w:rPr>
          <w:lang w:val="ru-RU"/>
        </w:rPr>
        <w:t xml:space="preserve">На последней </w:t>
      </w:r>
      <w:hyperlink r:id="rId358" w:history="1">
        <w:r w:rsidRPr="00945782">
          <w:rPr>
            <w:rStyle w:val="Hyperlink"/>
            <w:lang w:val="ru-RU"/>
          </w:rPr>
          <w:t>Всемирной конференции МСЭ по развитию электросвязи (ВКРЭ)</w:t>
        </w:r>
      </w:hyperlink>
      <w:r w:rsidRPr="00945782">
        <w:rPr>
          <w:lang w:val="ru-RU"/>
        </w:rPr>
        <w:t xml:space="preserve">, состоявшейся в Баку в ноябре 2025 года, был утвержден новый набор региональных инициатив на период </w:t>
      </w:r>
      <w:r w:rsidRPr="00945782">
        <w:rPr>
          <w:lang w:val="ru-RU"/>
        </w:rPr>
        <w:lastRenderedPageBreak/>
        <w:t>2026</w:t>
      </w:r>
      <w:r w:rsidR="00A26298" w:rsidRPr="00945782">
        <w:rPr>
          <w:lang w:val="ru-RU"/>
        </w:rPr>
        <w:t>−</w:t>
      </w:r>
      <w:r w:rsidRPr="00945782">
        <w:rPr>
          <w:lang w:val="ru-RU"/>
        </w:rPr>
        <w:t xml:space="preserve">2029 годов. Эти инициативы, изложенные в Бакинском плане действий, направлены на удовлетворение конкретных потребностей каждого крупного региона мира в продвижении и ускорении цифровой трансформации. С более подробной информацией о </w:t>
      </w:r>
      <w:hyperlink r:id="rId359" w:history="1">
        <w:r w:rsidRPr="00945782">
          <w:rPr>
            <w:rStyle w:val="Hyperlink"/>
            <w:lang w:val="ru-RU"/>
          </w:rPr>
          <w:t>региональных инициативах</w:t>
        </w:r>
      </w:hyperlink>
      <w:r w:rsidRPr="00945782">
        <w:rPr>
          <w:lang w:val="ru-RU"/>
        </w:rPr>
        <w:t xml:space="preserve"> МСЭ можно ознакомиться на веб-странице МСЭ-D.</w:t>
      </w:r>
    </w:p>
    <w:p w14:paraId="354B61D3" w14:textId="2EE3ABC2" w:rsidR="00D82062" w:rsidRPr="00945782" w:rsidRDefault="00D82062" w:rsidP="00D82062">
      <w:pPr>
        <w:pStyle w:val="Heading2"/>
        <w:rPr>
          <w:lang w:val="ru-RU"/>
        </w:rPr>
      </w:pPr>
      <w:bookmarkStart w:id="125" w:name="_Toc227062879"/>
      <w:bookmarkStart w:id="126" w:name="_Toc227850267"/>
      <w:r w:rsidRPr="00945782">
        <w:rPr>
          <w:lang w:val="ru-RU"/>
        </w:rPr>
        <w:t>5.3</w:t>
      </w:r>
      <w:r w:rsidR="00A26298" w:rsidRPr="00945782">
        <w:rPr>
          <w:lang w:val="ru-RU"/>
        </w:rPr>
        <w:tab/>
      </w:r>
      <w:r w:rsidRPr="00945782">
        <w:rPr>
          <w:lang w:val="ru-RU"/>
        </w:rPr>
        <w:t>Вовлечение всех членов общества</w:t>
      </w:r>
      <w:bookmarkEnd w:id="125"/>
      <w:bookmarkEnd w:id="126"/>
    </w:p>
    <w:p w14:paraId="27F49B45" w14:textId="77777777" w:rsidR="00D82062" w:rsidRPr="00945782" w:rsidRDefault="00D82062" w:rsidP="00A26298">
      <w:pPr>
        <w:pStyle w:val="Headingb"/>
        <w:rPr>
          <w:u w:val="single"/>
          <w:lang w:val="ru-RU"/>
        </w:rPr>
      </w:pPr>
      <w:r w:rsidRPr="00945782">
        <w:rPr>
          <w:u w:val="single"/>
          <w:lang w:val="ru-RU"/>
        </w:rPr>
        <w:t>Обеспечение равного доступа к ИКТ и равных возможностей их использования для всех</w:t>
      </w:r>
    </w:p>
    <w:p w14:paraId="6DF561B5" w14:textId="77777777" w:rsidR="00D82062" w:rsidRPr="00945782" w:rsidRDefault="00D82062" w:rsidP="00A26298">
      <w:pPr>
        <w:rPr>
          <w:rFonts w:eastAsia="Calibri" w:cs="Calibri"/>
          <w:lang w:val="ru-RU"/>
        </w:rPr>
      </w:pPr>
      <w:r w:rsidRPr="00945782">
        <w:rPr>
          <w:lang w:val="ru-RU"/>
        </w:rPr>
        <w:t>Разнообразие и интеграция сыграли ключевую роль в содействии всеобщему охвату цифровыми технологиями на глобальном уровне в целях построения открытого для всех цифрового общества с уделением особого внимания находящимся в уязвимом положении лицам из числа молодежи, женщин и девушек, представителям сельских, отдаленных сообществ и сообществ коренных народов, лицам с ограниченными возможностями и пожилым людям.</w:t>
      </w:r>
    </w:p>
    <w:p w14:paraId="79B24D11" w14:textId="77777777" w:rsidR="00D82062" w:rsidRPr="00945782" w:rsidRDefault="00D82062" w:rsidP="00A26298">
      <w:pPr>
        <w:rPr>
          <w:lang w:val="ru-RU"/>
        </w:rPr>
      </w:pPr>
      <w:r w:rsidRPr="00945782">
        <w:rPr>
          <w:lang w:val="ru-RU"/>
        </w:rPr>
        <w:t xml:space="preserve">В своей работе по обеспечению всеобщего охвата цифровыми технологиями МСЭ-D руководствуется комплексным и межсекторальным подходом, направленным на удовлетворение разнообразных потребностей людей независимо от их возраста, способностей, пола, уровня образования, социально-экономического статуса и географического положения. </w:t>
      </w:r>
    </w:p>
    <w:p w14:paraId="4843902B" w14:textId="16B62313" w:rsidR="00037912" w:rsidRPr="00945782" w:rsidRDefault="00D82062" w:rsidP="00A26298">
      <w:pPr>
        <w:pStyle w:val="Headingb"/>
        <w:rPr>
          <w:u w:val="single"/>
          <w:lang w:val="ru-RU"/>
        </w:rPr>
      </w:pPr>
      <w:r w:rsidRPr="00945782">
        <w:rPr>
          <w:u w:val="single"/>
          <w:lang w:val="ru-RU"/>
        </w:rPr>
        <w:t>Межсекторальная работа</w:t>
      </w:r>
    </w:p>
    <w:p w14:paraId="1CBE175E" w14:textId="7F1919DF" w:rsidR="00BD163B" w:rsidRPr="00945782" w:rsidRDefault="000C581C" w:rsidP="00037912">
      <w:pPr>
        <w:pStyle w:val="Figure"/>
        <w:spacing w:after="0"/>
        <w:rPr>
          <w:lang w:val="ru-RU" w:eastAsia="en-GB"/>
        </w:rPr>
      </w:pPr>
      <w:r w:rsidRPr="00945782">
        <w:rPr>
          <w:noProof/>
          <w:lang w:val="ru-RU" w:eastAsia="en-GB"/>
        </w:rPr>
        <w:drawing>
          <wp:inline distT="0" distB="0" distL="0" distR="0" wp14:anchorId="652FDBF3" wp14:editId="19CD96A6">
            <wp:extent cx="4401820" cy="3347085"/>
            <wp:effectExtent l="0" t="0" r="0" b="5715"/>
            <wp:docPr id="15330086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01820" cy="3347085"/>
                    </a:xfrm>
                    <a:prstGeom prst="rect">
                      <a:avLst/>
                    </a:prstGeom>
                    <a:noFill/>
                  </pic:spPr>
                </pic:pic>
              </a:graphicData>
            </a:graphic>
          </wp:inline>
        </w:drawing>
      </w:r>
    </w:p>
    <w:p w14:paraId="5C4E5329" w14:textId="68057978" w:rsidR="00D82062" w:rsidRPr="00945782" w:rsidRDefault="00D82062" w:rsidP="00A26298">
      <w:pPr>
        <w:pStyle w:val="Figure"/>
        <w:spacing w:before="120"/>
        <w:rPr>
          <w:i/>
          <w:iCs/>
          <w:color w:val="1F497D" w:themeColor="text2"/>
          <w:sz w:val="18"/>
          <w:szCs w:val="18"/>
          <w:lang w:val="ru-RU"/>
        </w:rPr>
      </w:pPr>
      <w:bookmarkStart w:id="127" w:name="Fig21"/>
      <w:r w:rsidRPr="00945782">
        <w:rPr>
          <w:i/>
          <w:iCs/>
          <w:color w:val="1F497D" w:themeColor="text2"/>
          <w:sz w:val="18"/>
          <w:szCs w:val="18"/>
          <w:lang w:val="ru-RU"/>
        </w:rPr>
        <w:t>Рис</w:t>
      </w:r>
      <w:r w:rsidR="00A26298" w:rsidRPr="00945782">
        <w:rPr>
          <w:i/>
          <w:iCs/>
          <w:color w:val="1F497D" w:themeColor="text2"/>
          <w:sz w:val="18"/>
          <w:szCs w:val="18"/>
          <w:lang w:val="ru-RU"/>
        </w:rPr>
        <w:t>унок</w:t>
      </w:r>
      <w:r w:rsidRPr="00945782">
        <w:rPr>
          <w:i/>
          <w:iCs/>
          <w:color w:val="1F497D" w:themeColor="text2"/>
          <w:sz w:val="18"/>
          <w:szCs w:val="18"/>
          <w:lang w:val="ru-RU"/>
        </w:rPr>
        <w:t> 21</w:t>
      </w:r>
      <w:r w:rsidR="00A26298" w:rsidRPr="00945782">
        <w:rPr>
          <w:i/>
          <w:iCs/>
          <w:color w:val="1F497D" w:themeColor="text2"/>
          <w:sz w:val="18"/>
          <w:szCs w:val="18"/>
          <w:lang w:val="ru-RU"/>
        </w:rPr>
        <w:t xml:space="preserve"> −</w:t>
      </w:r>
      <w:r w:rsidR="00D47A84" w:rsidRPr="00945782">
        <w:rPr>
          <w:i/>
          <w:iCs/>
          <w:color w:val="1F497D" w:themeColor="text2"/>
          <w:sz w:val="18"/>
          <w:szCs w:val="18"/>
          <w:lang w:val="ru-RU"/>
        </w:rPr>
        <w:t xml:space="preserve"> </w:t>
      </w:r>
      <w:r w:rsidRPr="00945782">
        <w:rPr>
          <w:i/>
          <w:iCs/>
          <w:color w:val="1F497D" w:themeColor="text2"/>
          <w:sz w:val="18"/>
          <w:szCs w:val="18"/>
          <w:lang w:val="ru-RU"/>
        </w:rPr>
        <w:t>Открытое для всех цифровое общество</w:t>
      </w:r>
    </w:p>
    <w:bookmarkEnd w:id="127"/>
    <w:p w14:paraId="43D92595" w14:textId="77777777" w:rsidR="00D82062" w:rsidRPr="00945782" w:rsidRDefault="00D82062" w:rsidP="00037912">
      <w:pPr>
        <w:pStyle w:val="Headingb"/>
        <w:rPr>
          <w:lang w:val="ru-RU"/>
        </w:rPr>
      </w:pPr>
      <w:r w:rsidRPr="00945782">
        <w:rPr>
          <w:lang w:val="ru-RU"/>
        </w:rPr>
        <w:t>К основным достижениям комплексного и межсекторального подхода МСЭ-D относятся:</w:t>
      </w:r>
    </w:p>
    <w:p w14:paraId="7C83AF39" w14:textId="2723A1D5" w:rsidR="00D82062" w:rsidRPr="00945782" w:rsidRDefault="00A26298" w:rsidP="00A26298">
      <w:pPr>
        <w:pStyle w:val="enumlev1"/>
        <w:rPr>
          <w:rFonts w:eastAsia="Calibri" w:cs="Calibri"/>
          <w:lang w:val="ru-RU"/>
        </w:rPr>
      </w:pPr>
      <w:r w:rsidRPr="00945782">
        <w:rPr>
          <w:lang w:val="ru-RU"/>
        </w:rPr>
        <w:t>•</w:t>
      </w:r>
      <w:r w:rsidRPr="00945782">
        <w:rPr>
          <w:lang w:val="ru-RU"/>
        </w:rPr>
        <w:tab/>
      </w:r>
      <w:r w:rsidR="00D82062" w:rsidRPr="00945782">
        <w:rPr>
          <w:lang w:val="ru-RU"/>
        </w:rPr>
        <w:t>укрепление потенциала более чем 14 000 представителей членов МСЭ, заинтересованных сторон и директивных органов из более чем 120 стран по темам, связанным с обеспечением всеобщего охвата цифровыми технологиями, для поддержки разработки и реализации национальной политики и стратегий в области обеспечения всеобщего охвата цифровыми технологиями;</w:t>
      </w:r>
    </w:p>
    <w:p w14:paraId="62E625B3" w14:textId="05108363" w:rsidR="00D82062" w:rsidRPr="00945782" w:rsidRDefault="00037912" w:rsidP="00037912">
      <w:pPr>
        <w:pStyle w:val="enumlev1"/>
        <w:rPr>
          <w:rFonts w:eastAsia="Calibri" w:cs="Calibri"/>
          <w:lang w:val="ru-RU"/>
        </w:rPr>
      </w:pPr>
      <w:r w:rsidRPr="00945782">
        <w:rPr>
          <w:lang w:val="ru-RU"/>
        </w:rPr>
        <w:lastRenderedPageBreak/>
        <w:t>•</w:t>
      </w:r>
      <w:r w:rsidRPr="00945782">
        <w:rPr>
          <w:lang w:val="ru-RU"/>
        </w:rPr>
        <w:tab/>
      </w:r>
      <w:r w:rsidR="00D82062" w:rsidRPr="00945782">
        <w:rPr>
          <w:lang w:val="ru-RU"/>
        </w:rPr>
        <w:t>специализированные и локализованные учебные курсы профессиональной подготовки в области обеспечения всеобщего охвата цифровыми технологиями для более чем 13 000 конечных пользователей в более чем 40 странах, включая слепых пользователей в Пакистане, представителей молодежи в Африке и сообщества коренных народов в Латинской Америке;</w:t>
      </w:r>
    </w:p>
    <w:p w14:paraId="324137F1" w14:textId="658D1A72" w:rsidR="00D82062" w:rsidRPr="00945782" w:rsidRDefault="00037912" w:rsidP="00037912">
      <w:pPr>
        <w:pStyle w:val="enumlev1"/>
        <w:rPr>
          <w:lang w:val="ru-RU"/>
        </w:rPr>
      </w:pPr>
      <w:r w:rsidRPr="00945782">
        <w:rPr>
          <w:lang w:val="ru-RU"/>
        </w:rPr>
        <w:t>•</w:t>
      </w:r>
      <w:r w:rsidRPr="00945782">
        <w:rPr>
          <w:lang w:val="ru-RU"/>
        </w:rPr>
        <w:tab/>
      </w:r>
      <w:r w:rsidR="00D82062" w:rsidRPr="00945782">
        <w:rPr>
          <w:lang w:val="ru-RU"/>
        </w:rPr>
        <w:t>целевая поддержка 12 НРС, ЛЛДС и СИДС;</w:t>
      </w:r>
    </w:p>
    <w:p w14:paraId="0B0BF252" w14:textId="713C6B11" w:rsidR="00D82062" w:rsidRPr="00945782" w:rsidRDefault="00037912" w:rsidP="00037912">
      <w:pPr>
        <w:pStyle w:val="enumlev1"/>
        <w:rPr>
          <w:rFonts w:eastAsia="Calibri" w:cs="Calibri"/>
          <w:b/>
          <w:bCs/>
          <w:lang w:val="ru-RU"/>
        </w:rPr>
      </w:pPr>
      <w:r w:rsidRPr="00945782">
        <w:rPr>
          <w:lang w:val="ru-RU"/>
        </w:rPr>
        <w:t>•</w:t>
      </w:r>
      <w:r w:rsidRPr="00945782">
        <w:rPr>
          <w:lang w:val="ru-RU"/>
        </w:rPr>
        <w:tab/>
      </w:r>
      <w:r w:rsidR="00D82062" w:rsidRPr="00945782">
        <w:rPr>
          <w:lang w:val="ru-RU"/>
        </w:rPr>
        <w:t>в частности, работа БРЭ по обеспечению всеобщего охвата цифровыми технологиями оказала ощутимое воздействие в следующих областях:</w:t>
      </w:r>
    </w:p>
    <w:p w14:paraId="645BD821" w14:textId="3ECF1DD7" w:rsidR="00D82062" w:rsidRPr="00945782" w:rsidRDefault="00D82062" w:rsidP="00037912">
      <w:pPr>
        <w:pStyle w:val="Headingb"/>
        <w:rPr>
          <w:lang w:val="ru-RU"/>
        </w:rPr>
      </w:pPr>
      <w:r w:rsidRPr="00945782">
        <w:rPr>
          <w:lang w:val="ru-RU"/>
        </w:rPr>
        <w:t>Консультации экспертов и укрепление потенциала для разработки политики и стратегий в</w:t>
      </w:r>
      <w:r w:rsidR="002E4222" w:rsidRPr="00945782">
        <w:rPr>
          <w:lang w:val="ru-RU"/>
        </w:rPr>
        <w:t> </w:t>
      </w:r>
      <w:r w:rsidRPr="00945782">
        <w:rPr>
          <w:lang w:val="ru-RU"/>
        </w:rPr>
        <w:t>области охвата цифровыми технологиями</w:t>
      </w:r>
    </w:p>
    <w:p w14:paraId="327F4780" w14:textId="77777777" w:rsidR="00D82062" w:rsidRPr="00945782" w:rsidRDefault="00D82062" w:rsidP="00037912">
      <w:pPr>
        <w:rPr>
          <w:rFonts w:eastAsia="Calibri" w:cs="Calibri"/>
          <w:lang w:val="ru-RU"/>
        </w:rPr>
      </w:pPr>
      <w:r w:rsidRPr="00945782">
        <w:rPr>
          <w:lang w:val="ru-RU"/>
        </w:rPr>
        <w:t>БРЭ укрепило потенциал в области политики по расширению охвата цифровыми технологиями путем оказания экспертной поддержки и проведения специализированных мероприятий, расширив возможности свыше 10 500 представителей регуляторных и директивных органов и заинтересованных сторон из более чем 120 стран Африки, Азиатско-Тихоокеанского региона, СНГ, арабских государств, Северной и Южной Америки и Европы. В рамках этих мероприятий они укрепили свой потенциал по проектированию, разработке и реализации стратегий, мер политики и практических подходов, направленных на расширение охвата цифровыми технологиями и равенству, что гарантирует всем людям, включая женщин и девушек, пожилых людей, лиц с ограниченными возможностями, а также людей из отдаленных сообществ и сообществ коренных народов, возможность на справедливой основе использовать продукты и услуги ИКТ для общения, участия и процветания в цифровом пространстве.</w:t>
      </w:r>
    </w:p>
    <w:p w14:paraId="57E6C759" w14:textId="77777777" w:rsidR="00D82062" w:rsidRPr="00945782" w:rsidRDefault="00D82062" w:rsidP="00037912">
      <w:pPr>
        <w:rPr>
          <w:rFonts w:eastAsia="Calibri" w:cs="Calibri"/>
          <w:lang w:val="ru-RU"/>
        </w:rPr>
      </w:pPr>
      <w:r w:rsidRPr="00945782">
        <w:rPr>
          <w:lang w:val="ru-RU"/>
        </w:rPr>
        <w:t>Эта обширная передача знаний была обеспечена путем проведения специальных очных учебных мероприятий для руководителей, семинаров-практикумов, а также участия в региональных и глобальных платформах, а также платформах ООН, посвященных интеграционной цифровой политике, учету гендерных аспектов, доступности ИКТ/цифровых технологий, проблеме старения и вовлечению молодежи.</w:t>
      </w:r>
    </w:p>
    <w:p w14:paraId="4B7A96F8" w14:textId="2AB89ACC" w:rsidR="00D82062" w:rsidRPr="00945782" w:rsidRDefault="00D82062" w:rsidP="00037912">
      <w:pPr>
        <w:rPr>
          <w:rFonts w:eastAsia="Calibri" w:cs="Calibri"/>
          <w:lang w:val="ru-RU"/>
        </w:rPr>
      </w:pPr>
      <w:r w:rsidRPr="00945782">
        <w:rPr>
          <w:lang w:val="ru-RU"/>
        </w:rPr>
        <w:t>В дополнение к вышеуказанным мерам, более 3500 членов МСЭ и заинтересованных сторон укрепили свой потенциал по темам, связанным с расширением охвата цифровыми технологиями, благодаря участию в онлайновых программах для самостоятельного обучения, доступных, в частности, на платформе Академии МСЭ. Эти программы предоставляются бесплатно, в доступных цифровых форматах (в том числе для слепых и глухих пользователей) и на нескольких языках (английском, французском, испанском, арабском, русском и португальском языках) с локализованным содержанием, что обеспечивает интеграцию и более широкий охват.</w:t>
      </w:r>
    </w:p>
    <w:p w14:paraId="38FE88AD" w14:textId="77777777" w:rsidR="00D82062" w:rsidRPr="00945782" w:rsidRDefault="00D82062" w:rsidP="00037912">
      <w:pPr>
        <w:pStyle w:val="Headingb"/>
        <w:rPr>
          <w:rFonts w:eastAsia="Calibri"/>
          <w:lang w:val="ru-RU"/>
        </w:rPr>
      </w:pPr>
      <w:r w:rsidRPr="00945782">
        <w:rPr>
          <w:lang w:val="ru-RU"/>
        </w:rPr>
        <w:t>Национальная стратегия расширения охвата цифровыми технологиями – эволюционирующая модель</w:t>
      </w:r>
    </w:p>
    <w:p w14:paraId="17CE33DC" w14:textId="77777777" w:rsidR="00D82062" w:rsidRPr="00945782" w:rsidRDefault="00D82062" w:rsidP="00037912">
      <w:pPr>
        <w:rPr>
          <w:rFonts w:eastAsia="Calibri" w:cs="Calibri"/>
          <w:lang w:val="ru-RU"/>
        </w:rPr>
      </w:pPr>
      <w:r w:rsidRPr="00945782">
        <w:rPr>
          <w:lang w:val="ru-RU"/>
        </w:rPr>
        <w:t xml:space="preserve">Кроме того, оказывалось содействие формированию экспертных знаний в соответствующих областях для поддержки разработки национальных стратегических планов по расширению охвата цифровыми технологиями, основанных на комплексном и межсекторальном подходе для обеспечения удовлетворения нужд и потребностей всех граждан в использовании технологий, общении и участии в цифровом обществе. В Бурунди был внедрен экспериментальный план с целью воспроизведения и дальнейшего развития этого подхода в других странах и регионах. Кроме того, были подготовлены отчеты по гендерной политике для </w:t>
      </w:r>
      <w:hyperlink r:id="rId361" w:anchor="/ru" w:history="1">
        <w:r w:rsidRPr="00945782">
          <w:rPr>
            <w:rStyle w:val="Hyperlink"/>
            <w:lang w:val="ru-RU"/>
          </w:rPr>
          <w:t>Бурунди</w:t>
        </w:r>
      </w:hyperlink>
      <w:r w:rsidRPr="00945782">
        <w:rPr>
          <w:lang w:val="ru-RU"/>
        </w:rPr>
        <w:t xml:space="preserve">, </w:t>
      </w:r>
      <w:hyperlink r:id="rId362" w:anchor="/ru" w:history="1">
        <w:r w:rsidRPr="00945782">
          <w:rPr>
            <w:rStyle w:val="Hyperlink"/>
            <w:lang w:val="ru-RU"/>
          </w:rPr>
          <w:t>Эфиопии</w:t>
        </w:r>
      </w:hyperlink>
      <w:r w:rsidRPr="00945782">
        <w:rPr>
          <w:lang w:val="ru-RU"/>
        </w:rPr>
        <w:t>, Гаити, Доминиканской Республики и Ливии.</w:t>
      </w:r>
      <w:hyperlink r:id="rId363"/>
      <w:hyperlink r:id="rId364"/>
    </w:p>
    <w:p w14:paraId="5CA83EAF" w14:textId="15B01E4F" w:rsidR="00D82062" w:rsidRPr="00945782" w:rsidRDefault="00D82062" w:rsidP="00D82062">
      <w:pPr>
        <w:pStyle w:val="Heading3"/>
        <w:rPr>
          <w:lang w:val="ru-RU"/>
        </w:rPr>
      </w:pPr>
      <w:bookmarkStart w:id="128" w:name="_Toc227062880"/>
      <w:bookmarkStart w:id="129" w:name="_Toc227850268"/>
      <w:r w:rsidRPr="00945782">
        <w:rPr>
          <w:lang w:val="ru-RU"/>
        </w:rPr>
        <w:t>5.3.1</w:t>
      </w:r>
      <w:r w:rsidR="00037912" w:rsidRPr="00945782">
        <w:rPr>
          <w:lang w:val="ru-RU"/>
        </w:rPr>
        <w:tab/>
      </w:r>
      <w:r w:rsidRPr="00945782">
        <w:rPr>
          <w:lang w:val="ru-RU"/>
        </w:rPr>
        <w:t>Гендерное равенство</w:t>
      </w:r>
      <w:bookmarkEnd w:id="128"/>
      <w:bookmarkEnd w:id="129"/>
    </w:p>
    <w:p w14:paraId="3D79AF84" w14:textId="2383A337" w:rsidR="00D82062" w:rsidRPr="00945782" w:rsidRDefault="00D82062" w:rsidP="00037912">
      <w:pPr>
        <w:rPr>
          <w:lang w:val="ru-RU"/>
        </w:rPr>
      </w:pPr>
      <w:r w:rsidRPr="00945782">
        <w:rPr>
          <w:lang w:val="ru-RU"/>
        </w:rPr>
        <w:t xml:space="preserve">Имеющиеся данные показывают, что </w:t>
      </w:r>
      <w:r w:rsidRPr="00945782">
        <w:rPr>
          <w:b/>
          <w:bCs/>
          <w:lang w:val="ru-RU"/>
        </w:rPr>
        <w:t>гендерное неравенство в доступе к цифровым технологиям сохраняется</w:t>
      </w:r>
      <w:r w:rsidRPr="00945782">
        <w:rPr>
          <w:lang w:val="ru-RU"/>
        </w:rPr>
        <w:t xml:space="preserve">: доля мужчин, пользующихся интернетом, в целом по миру </w:t>
      </w:r>
      <w:r w:rsidRPr="00945782">
        <w:rPr>
          <w:lang w:val="ru-RU"/>
        </w:rPr>
        <w:lastRenderedPageBreak/>
        <w:t xml:space="preserve">составляет 77%, в то время как доля женщин, пользующихся интернетом, составляет 71%. Глобальный показатель гендерного паритета, остающийся неизменным с 2019 года, составляет 0,92, что свидетельствует </w:t>
      </w:r>
      <w:r w:rsidRPr="00945782">
        <w:rPr>
          <w:b/>
          <w:bCs/>
          <w:lang w:val="ru-RU"/>
        </w:rPr>
        <w:t>об отсутствии общего прогресса</w:t>
      </w:r>
      <w:r w:rsidRPr="00945782">
        <w:rPr>
          <w:lang w:val="ru-RU"/>
        </w:rPr>
        <w:t xml:space="preserve"> в последние годы. В странах Северной и Южной Америки, Европы, СНГ и в малых островных развивающихся государствах показатели близки к паритету, однако значительные разрывы сохраняются в Азиатско-Тихоокеанском регионе (0,91) и арабских государствах (0,86), а наибольшие различия наблюдаются в Африке, несмотря на рост показателя с 0,70 до 0,78 в период с 2019 года. Стоит заметить, что значительный разрыв по-прежнему наблюдается в наименее развитых странах и развивающихся странах, не имеющих выхода к морю. Несмотря на расширение глобальной возможности установления соединений, женщины по-прежнему в непропорционально большой степени исключены из полноценного участия в цифровом мире, особенно в странах с низким уровнем доходов (см. более подробно в разделе </w:t>
      </w:r>
      <w:hyperlink w:anchor="_3.2.2_Устойчивая_цифровая" w:history="1">
        <w:r w:rsidRPr="00945782">
          <w:rPr>
            <w:rStyle w:val="Hyperlink"/>
            <w:lang w:val="ru-RU"/>
          </w:rPr>
          <w:t>3.2.2</w:t>
        </w:r>
      </w:hyperlink>
      <w:r w:rsidR="000C581C" w:rsidRPr="00945782">
        <w:rPr>
          <w:lang w:val="ru-RU"/>
        </w:rPr>
        <w:t xml:space="preserve">, </w:t>
      </w:r>
      <w:r w:rsidRPr="00945782">
        <w:rPr>
          <w:lang w:val="ru-RU"/>
        </w:rPr>
        <w:t>выше).</w:t>
      </w:r>
    </w:p>
    <w:p w14:paraId="004F4308" w14:textId="77777777" w:rsidR="00D82062" w:rsidRPr="00945782" w:rsidRDefault="00D82062" w:rsidP="00037912">
      <w:pPr>
        <w:rPr>
          <w:lang w:val="ru-RU"/>
        </w:rPr>
      </w:pPr>
      <w:r w:rsidRPr="00945782">
        <w:rPr>
          <w:lang w:val="ru-RU"/>
        </w:rPr>
        <w:t>МСЭ применяет двойной подход к сокращению разрыва: 1) целевые меры, направленные непосредственно на устранение гендерного неравенства, и 2) учет гендерной проблематики во всех мерах политики, программах и процессах принятия решений. Приверженность МСЭ учету гендерного равенства во всех направлениях деятельности закреплена в Резолюции 70.</w:t>
      </w:r>
    </w:p>
    <w:p w14:paraId="7BCB48D8" w14:textId="77777777" w:rsidR="00D82062" w:rsidRPr="00945782" w:rsidRDefault="00D82062" w:rsidP="00037912">
      <w:pPr>
        <w:rPr>
          <w:lang w:val="ru-RU"/>
        </w:rPr>
      </w:pPr>
      <w:r w:rsidRPr="00945782">
        <w:rPr>
          <w:lang w:val="ru-RU"/>
        </w:rPr>
        <w:t xml:space="preserve">К числу целевых инициатив, направленных на поддержку девушек и женщин в сфере ИКТ, относятся </w:t>
      </w:r>
      <w:hyperlink r:id="rId365" w:history="1">
        <w:r w:rsidRPr="00945782">
          <w:rPr>
            <w:rStyle w:val="Hyperlink"/>
            <w:lang w:val="ru-RU"/>
          </w:rPr>
          <w:t>Международный день "Девушки в ИКТ"</w:t>
        </w:r>
      </w:hyperlink>
      <w:r w:rsidRPr="00945782">
        <w:rPr>
          <w:lang w:val="ru-RU"/>
        </w:rPr>
        <w:t xml:space="preserve">, </w:t>
      </w:r>
      <w:hyperlink r:id="rId366" w:history="1">
        <w:r w:rsidRPr="00945782">
          <w:rPr>
            <w:rStyle w:val="Hyperlink"/>
            <w:lang w:val="ru-RU"/>
          </w:rPr>
          <w:t>"РАВНЫЕ"</w:t>
        </w:r>
      </w:hyperlink>
      <w:r w:rsidRPr="00945782">
        <w:rPr>
          <w:lang w:val="ru-RU"/>
        </w:rPr>
        <w:t xml:space="preserve">, </w:t>
      </w:r>
      <w:hyperlink r:id="rId367" w:history="1">
        <w:r w:rsidRPr="00945782">
          <w:rPr>
            <w:rStyle w:val="Hyperlink"/>
            <w:lang w:val="ru-RU"/>
          </w:rPr>
          <w:t>"Женщины в сфере кибербезопасности"</w:t>
        </w:r>
      </w:hyperlink>
      <w:r w:rsidRPr="00945782">
        <w:rPr>
          <w:lang w:val="ru-RU"/>
        </w:rPr>
        <w:t xml:space="preserve">, </w:t>
      </w:r>
      <w:hyperlink r:id="rId368" w:history="1">
        <w:r w:rsidRPr="00945782">
          <w:rPr>
            <w:rStyle w:val="Hyperlink"/>
            <w:lang w:val="ru-RU"/>
          </w:rPr>
          <w:t>"Беседы с женщинами из технологического сектора"</w:t>
        </w:r>
      </w:hyperlink>
      <w:r w:rsidRPr="00945782">
        <w:rPr>
          <w:lang w:val="ru-RU"/>
        </w:rPr>
        <w:t xml:space="preserve">, </w:t>
      </w:r>
      <w:hyperlink r:id="rId369" w:history="1">
        <w:r w:rsidRPr="00945782">
          <w:rPr>
            <w:rStyle w:val="Hyperlink"/>
            <w:lang w:val="ru-RU"/>
          </w:rPr>
          <w:t>"Ее цифровые навыки"</w:t>
        </w:r>
      </w:hyperlink>
      <w:r w:rsidRPr="00945782">
        <w:rPr>
          <w:lang w:val="ru-RU"/>
        </w:rPr>
        <w:t xml:space="preserve">, </w:t>
      </w:r>
      <w:hyperlink r:id="rId370" w:history="1">
        <w:r w:rsidRPr="00945782">
          <w:rPr>
            <w:rStyle w:val="Hyperlink"/>
            <w:lang w:val="ru-RU"/>
          </w:rPr>
          <w:t>"Ее киберследы"</w:t>
        </w:r>
      </w:hyperlink>
      <w:r w:rsidRPr="00945782">
        <w:rPr>
          <w:lang w:val="ru-RU"/>
        </w:rPr>
        <w:t xml:space="preserve">, а также инициативы "Девушки могут программировать" в </w:t>
      </w:r>
      <w:hyperlink r:id="rId371" w:history="1">
        <w:r w:rsidRPr="00945782">
          <w:rPr>
            <w:rStyle w:val="Hyperlink"/>
            <w:lang w:val="ru-RU"/>
          </w:rPr>
          <w:t>Африке</w:t>
        </w:r>
      </w:hyperlink>
      <w:r w:rsidRPr="00945782">
        <w:rPr>
          <w:lang w:val="ru-RU"/>
        </w:rPr>
        <w:t xml:space="preserve"> и </w:t>
      </w:r>
      <w:hyperlink r:id="rId372" w:history="1">
        <w:r w:rsidRPr="00945782">
          <w:rPr>
            <w:rStyle w:val="Hyperlink"/>
            <w:lang w:val="ru-RU"/>
          </w:rPr>
          <w:t>Северной и Южной Америке</w:t>
        </w:r>
      </w:hyperlink>
      <w:r w:rsidRPr="00945782">
        <w:rPr>
          <w:lang w:val="ru-RU"/>
        </w:rPr>
        <w:t>. В рамках этих инициатив предоставляются обучение, наставничество и возможности, призванные побудить девушек и молодых женщин выбрать карьеру в области ИКТ. Так, например, в 2024 году в рамках инициативы "Ее цифровые навыки" был проведен 21 семинар-практикум с общим числом участников более 1700 человек, в то время как в рамках программы "Ее киберследы" подготовку в области кибербезопасности прошли около 300 женщин.</w:t>
      </w:r>
    </w:p>
    <w:p w14:paraId="40B6767D" w14:textId="77777777" w:rsidR="00D82062" w:rsidRPr="00945782" w:rsidRDefault="00D82062" w:rsidP="00037912">
      <w:pPr>
        <w:rPr>
          <w:lang w:val="ru-RU"/>
        </w:rPr>
      </w:pPr>
      <w:r w:rsidRPr="00945782">
        <w:rPr>
          <w:lang w:val="ru-RU"/>
        </w:rPr>
        <w:t xml:space="preserve">Инициатива "РАВНЫЕ 2.0" отражает новый этап развития проекта с обновленной структурой управления, стратегическим видением и миссией, что подтверждает приверженность сокращению гендерного цифрового разрыва. В </w:t>
      </w:r>
      <w:hyperlink r:id="rId373" w:history="1">
        <w:r w:rsidRPr="00945782">
          <w:rPr>
            <w:rStyle w:val="Hyperlink"/>
            <w:lang w:val="ru-RU"/>
          </w:rPr>
          <w:t>исследовательском отчете "РАВНЫЕ" 2025 года "Расширение возможностей женщин в цифровую эпоху"</w:t>
        </w:r>
      </w:hyperlink>
      <w:r w:rsidRPr="00945782">
        <w:rPr>
          <w:lang w:val="ru-RU"/>
        </w:rPr>
        <w:t xml:space="preserve"> представлены обновленные глобальные данные о гендерных разрывах в доступе, навыках, лидерстве и новых технологиях. Индекс гендерной инклюзивности "РАВНЫЕ" за 2025 год отражает достигнутый прогресс и сохраняющийся разрыв в обеспечении гендерного равенства в отрасли подвижной связи.</w:t>
      </w:r>
    </w:p>
    <w:p w14:paraId="32EC708E" w14:textId="77777777" w:rsidR="00D82062" w:rsidRPr="00945782" w:rsidRDefault="00D82062" w:rsidP="00037912">
      <w:pPr>
        <w:rPr>
          <w:lang w:val="ru-RU"/>
        </w:rPr>
      </w:pPr>
      <w:r w:rsidRPr="00945782">
        <w:rPr>
          <w:lang w:val="ru-RU"/>
        </w:rPr>
        <w:t xml:space="preserve">К расширенным мерам по наращиванию потенциала относятся структурированные курсы и программы сертификации, доступные в рамках Академии МСЭ. В частности, предлагается онлайновый курс для самостоятельного изучения по </w:t>
      </w:r>
      <w:hyperlink r:id="rId374" w:history="1">
        <w:r w:rsidRPr="00945782">
          <w:rPr>
            <w:rStyle w:val="Hyperlink"/>
            <w:lang w:val="ru-RU"/>
          </w:rPr>
          <w:t>гендерному анализу для расширения охвата цифровыми технологиями</w:t>
        </w:r>
      </w:hyperlink>
      <w:r w:rsidRPr="00945782">
        <w:rPr>
          <w:lang w:val="ru-RU"/>
        </w:rPr>
        <w:t xml:space="preserve">, а также курс, основанный на </w:t>
      </w:r>
      <w:hyperlink r:id="rId375" w:history="1">
        <w:r w:rsidRPr="00945782">
          <w:rPr>
            <w:rStyle w:val="Hyperlink"/>
            <w:lang w:val="ru-RU"/>
          </w:rPr>
          <w:t>Справочнике МСЭ по учету гендерных аспектов в политике в области цифровых технологий</w:t>
        </w:r>
      </w:hyperlink>
      <w:r w:rsidRPr="00945782">
        <w:rPr>
          <w:lang w:val="ru-RU"/>
        </w:rPr>
        <w:t>, который способствует интеграции гендерного равенства в национальные стратегии. Это остается особенно актуальным с учетом того, что к 2022 году 94 страны разработали национальные цифровые повестки, однако лишь в 21 из них прямо упоминались интересы женщин и девушек.</w:t>
      </w:r>
    </w:p>
    <w:p w14:paraId="33A6B494" w14:textId="5AA3ECD2" w:rsidR="00D82062" w:rsidRPr="00945782" w:rsidRDefault="00D82062" w:rsidP="00037912">
      <w:pPr>
        <w:rPr>
          <w:lang w:val="ru-RU"/>
        </w:rPr>
      </w:pPr>
      <w:r w:rsidRPr="00945782">
        <w:rPr>
          <w:lang w:val="ru-RU"/>
        </w:rPr>
        <w:t>Проект "Ее цифровые навыки", реализуемый МСЭ-D, возможен благодаря взносам, в том числе компании Qualcomm, которая поддерживает реализацию проекта "Ее цифровые навыки" в Камеруне, Эфиопии, Гане, Кении и Нигерии, а также организаций Women’s World Wide Web, Ассоциации GSM и Ernst &amp; Young (EY), взносы которых позволили разработать контент и реализовать эту инициативу на Филиппинах, в Кении, Непале, Уганде и Южной Африке, а также в странах Карибского региона. В общей сложности проект охватил примерно 5600 молодых женщин в более чем 23 странах.</w:t>
      </w:r>
    </w:p>
    <w:p w14:paraId="1D6A6610" w14:textId="77777777" w:rsidR="00D82062" w:rsidRPr="00945782" w:rsidRDefault="00D82062" w:rsidP="00037912">
      <w:pPr>
        <w:rPr>
          <w:lang w:val="ru-RU"/>
        </w:rPr>
      </w:pPr>
      <w:r w:rsidRPr="00945782">
        <w:rPr>
          <w:lang w:val="ru-RU"/>
        </w:rPr>
        <w:lastRenderedPageBreak/>
        <w:t xml:space="preserve">В рамочном документе и практическом руководстве 2024 года </w:t>
      </w:r>
      <w:hyperlink r:id="rId376" w:history="1">
        <w:r w:rsidRPr="00945782">
          <w:rPr>
            <w:rStyle w:val="Hyperlink"/>
            <w:lang w:val="ru-RU"/>
          </w:rPr>
          <w:t>"Ее цифровые навыки: внедрение подхода, способствующего гендерным преобразованиям"</w:t>
        </w:r>
      </w:hyperlink>
      <w:r w:rsidRPr="00945782">
        <w:rPr>
          <w:lang w:val="ru-RU"/>
        </w:rPr>
        <w:t xml:space="preserve"> содержатся рекомендации по применению гендерно-преобразующих подходов при разработке программ обучения цифровым навыкам в рамках как формального, так и неформального образования.</w:t>
      </w:r>
    </w:p>
    <w:p w14:paraId="15DA348E" w14:textId="77777777" w:rsidR="00D82062" w:rsidRPr="00945782" w:rsidRDefault="00D82062" w:rsidP="00037912">
      <w:pPr>
        <w:rPr>
          <w:lang w:val="ru-RU"/>
        </w:rPr>
      </w:pPr>
      <w:r w:rsidRPr="00945782">
        <w:rPr>
          <w:lang w:val="ru-RU"/>
        </w:rPr>
        <w:t xml:space="preserve">Программа МСЭ-D </w:t>
      </w:r>
      <w:hyperlink r:id="rId377" w:history="1">
        <w:r w:rsidRPr="00945782">
          <w:rPr>
            <w:rStyle w:val="Hyperlink"/>
            <w:lang w:val="ru-RU"/>
          </w:rPr>
          <w:t>"Ускорение развития навыков в области ИИ для девушек"</w:t>
        </w:r>
      </w:hyperlink>
      <w:r w:rsidRPr="00945782">
        <w:rPr>
          <w:lang w:val="ru-RU"/>
        </w:rPr>
        <w:t xml:space="preserve"> была разработана в ответ на необходимость преодоления недостаточной представленности женщин в сфере искусственного интеллекта и на руководящих позициях в технологическом секторе. Программа носит практический характер и рассчитана на два набора молодых участниц. Первый набор начал работу в октябре 2024 года с очных семинаров в шести странах (по одной от каждого региона МСЭ: Парагвай, Мальта, Кения, Индия, Казахстан, Иордания), а с августа 2025 года в рамках второго набора участие принимают другие страны (Узбекистан, Гватемала, Египет, Мозамбик). В общей сложности в программе приняли участие более 820 молодых женщин.</w:t>
      </w:r>
    </w:p>
    <w:p w14:paraId="6F1EDCA9" w14:textId="629A925C" w:rsidR="00D82062" w:rsidRPr="00945782" w:rsidRDefault="00D82062" w:rsidP="00037912">
      <w:pPr>
        <w:rPr>
          <w:lang w:val="ru-RU"/>
        </w:rPr>
      </w:pPr>
      <w:r w:rsidRPr="00945782">
        <w:rPr>
          <w:lang w:val="ru-RU"/>
        </w:rPr>
        <w:t xml:space="preserve">Ежегодное проведение </w:t>
      </w:r>
      <w:hyperlink r:id="rId378" w:history="1">
        <w:r w:rsidRPr="00945782">
          <w:rPr>
            <w:rStyle w:val="Hyperlink"/>
            <w:lang w:val="ru-RU"/>
          </w:rPr>
          <w:t>международного дня "Девушки в ИКТ"</w:t>
        </w:r>
      </w:hyperlink>
      <w:r w:rsidRPr="00945782">
        <w:rPr>
          <w:lang w:val="ru-RU"/>
        </w:rPr>
        <w:t xml:space="preserve"> продолжило расширяться как средство глобальной мобилизации навыков и развития лидерства. Темами в 2023–2025 годах были: "Цифровые навыки для жизни", затем "Лидерство" и наконец "Девушки в ИКТ в интересах открытой для всех цифровой трансформации". В совокупности в период с 2023 по 2025 год инициатива охватила более 76 000 девушек и молодых женщин в рамках 472 мероприятий во всех шести регионах МСЭ.</w:t>
      </w:r>
    </w:p>
    <w:p w14:paraId="0E043EA0" w14:textId="77777777" w:rsidR="00D82062" w:rsidRPr="00945782" w:rsidRDefault="00D82062" w:rsidP="00037912">
      <w:pPr>
        <w:rPr>
          <w:lang w:val="ru-RU"/>
        </w:rPr>
      </w:pPr>
      <w:hyperlink r:id="rId379" w:history="1">
        <w:r w:rsidRPr="00945782">
          <w:rPr>
            <w:rStyle w:val="Hyperlink"/>
            <w:lang w:val="ru-RU"/>
          </w:rPr>
          <w:t>Сообщества сети женщин МСЭ (NoW)</w:t>
        </w:r>
      </w:hyperlink>
      <w:r w:rsidRPr="00945782">
        <w:rPr>
          <w:lang w:val="ru-RU"/>
        </w:rPr>
        <w:t xml:space="preserve"> действуют во всех трех секторах МСЭ − </w:t>
      </w:r>
      <w:hyperlink r:id="rId380" w:history="1">
        <w:r w:rsidRPr="00945782">
          <w:rPr>
            <w:rStyle w:val="Hyperlink"/>
            <w:lang w:val="ru-RU"/>
          </w:rPr>
          <w:t>МСЭ-R</w:t>
        </w:r>
      </w:hyperlink>
      <w:r w:rsidRPr="00945782">
        <w:rPr>
          <w:lang w:val="ru-RU"/>
        </w:rPr>
        <w:t xml:space="preserve">, </w:t>
      </w:r>
      <w:hyperlink r:id="rId381" w:history="1">
        <w:r w:rsidRPr="00945782">
          <w:rPr>
            <w:rStyle w:val="Hyperlink"/>
            <w:lang w:val="ru-RU"/>
          </w:rPr>
          <w:t>МСЭ-T</w:t>
        </w:r>
      </w:hyperlink>
      <w:r w:rsidRPr="00945782">
        <w:rPr>
          <w:lang w:val="ru-RU"/>
        </w:rPr>
        <w:t xml:space="preserve"> и </w:t>
      </w:r>
      <w:hyperlink r:id="rId382" w:history="1">
        <w:r w:rsidRPr="00945782">
          <w:rPr>
            <w:rStyle w:val="Hyperlink"/>
            <w:lang w:val="ru-RU"/>
          </w:rPr>
          <w:t>МСЭ-D</w:t>
        </w:r>
      </w:hyperlink>
      <w:r w:rsidRPr="00945782">
        <w:rPr>
          <w:lang w:val="ru-RU"/>
        </w:rPr>
        <w:t xml:space="preserve"> имеют целью увеличение представленности женщин в деятельности МСЭ, а также на руководящих постах. В рамках этих сетей организуются наставничество, обучение и оказание поддержки женщинам-делегатам, особенно в рамках подготовки к крупным конференциям:</w:t>
      </w:r>
    </w:p>
    <w:p w14:paraId="53E34416" w14:textId="0CC0DEAC" w:rsidR="00D82062" w:rsidRPr="00945782" w:rsidRDefault="00D82062" w:rsidP="00037912">
      <w:pPr>
        <w:rPr>
          <w:lang w:val="ru-RU"/>
        </w:rPr>
      </w:pPr>
      <w:r w:rsidRPr="00945782">
        <w:rPr>
          <w:lang w:val="ru-RU"/>
        </w:rPr>
        <w:t>МСЭ-D: доля женщин среди участников ВКРЭ 2022 и 2025 годов составила 36%; в программе наставничества по расширению прав и возможностей женщин-руководителей приняли участие более 150 человек, включая 30% наставников-мужчин, что стало важным шагом в расширении участия мужчин в борьбе за гендерное равенство. В проведенном в августе 2025 года, накануне Глобального симпозиума для регуляторных органов (ГСР-25) в Саудовской Аравии, мастер-классе по развитию навыков для укрепления уверенности приняли участие более 60</w:t>
      </w:r>
      <w:r w:rsidR="00831734" w:rsidRPr="00945782">
        <w:rPr>
          <w:lang w:val="ru-RU"/>
        </w:rPr>
        <w:t> </w:t>
      </w:r>
      <w:r w:rsidRPr="00945782">
        <w:rPr>
          <w:lang w:val="ru-RU"/>
        </w:rPr>
        <w:t xml:space="preserve">участников из 40 стран, которые научились держаться увереннее во время публичных выступлениях, улучшили навыки коммуникации и получили практические рекомендации по эффективным презентациям и выступлениям. 8 октября был организован и проведен в виртуальном формате с участием 143 делегатов из 64 стран учебный курс по подготовке к ВКРЭ-25. В период с октября по ноябрь в рамках Академии МСЭ была также реализована </w:t>
      </w:r>
      <w:hyperlink r:id="rId383" w:history="1">
        <w:r w:rsidRPr="00945782">
          <w:rPr>
            <w:rStyle w:val="Hyperlink"/>
            <w:i/>
            <w:iCs/>
            <w:lang w:val="ru-RU"/>
          </w:rPr>
          <w:t>серия тренингов "Суперженщины: увеличь свое присутствие, влияние и воздействие"</w:t>
        </w:r>
      </w:hyperlink>
      <w:r w:rsidRPr="00945782">
        <w:rPr>
          <w:lang w:val="ru-RU"/>
        </w:rPr>
        <w:t>. Более 107</w:t>
      </w:r>
      <w:r w:rsidR="00831734" w:rsidRPr="00945782">
        <w:rPr>
          <w:lang w:val="ru-RU"/>
        </w:rPr>
        <w:t> </w:t>
      </w:r>
      <w:r w:rsidRPr="00945782">
        <w:rPr>
          <w:lang w:val="ru-RU"/>
        </w:rPr>
        <w:t>женщин-делегатов из более чем 42 Государств-Членов прошли это обучение.</w:t>
      </w:r>
    </w:p>
    <w:p w14:paraId="50B7D02A" w14:textId="3ADCEADB" w:rsidR="00D82062" w:rsidRPr="00945782" w:rsidRDefault="00D82062" w:rsidP="00037912">
      <w:pPr>
        <w:rPr>
          <w:lang w:val="ru-RU"/>
        </w:rPr>
      </w:pPr>
      <w:r w:rsidRPr="00945782">
        <w:rPr>
          <w:lang w:val="ru-RU"/>
        </w:rPr>
        <w:t>МСЭ-T: доля участия женщин на ВАСЭ-24 составила 26%; инициатива NOW4WTSA24 способствовала тому, что женщины заняли 25% руководящих должностей в МСЭ-T (рост на</w:t>
      </w:r>
      <w:r w:rsidR="00831734" w:rsidRPr="00945782">
        <w:rPr>
          <w:lang w:val="ru-RU"/>
        </w:rPr>
        <w:t> </w:t>
      </w:r>
      <w:r w:rsidRPr="00945782">
        <w:rPr>
          <w:lang w:val="ru-RU"/>
        </w:rPr>
        <w:t>25%) и составили 28% экспертов по стандартизации.</w:t>
      </w:r>
    </w:p>
    <w:p w14:paraId="36B9C2BC" w14:textId="77777777" w:rsidR="00D82062" w:rsidRPr="00945782" w:rsidRDefault="00D82062" w:rsidP="00037912">
      <w:pPr>
        <w:rPr>
          <w:lang w:val="ru-RU"/>
        </w:rPr>
      </w:pPr>
      <w:r w:rsidRPr="00945782">
        <w:rPr>
          <w:lang w:val="ru-RU"/>
        </w:rPr>
        <w:t>МСЭ-R: инициатива NOW4WRC способствовала увеличению доли женщин-делегатов с 18% (2019 г.) до 22% (2023 г.); в настоящее время реализуется программа наставничества NOW4WRC27.</w:t>
      </w:r>
    </w:p>
    <w:p w14:paraId="0F707A38" w14:textId="77777777" w:rsidR="00D82062" w:rsidRPr="00945782" w:rsidRDefault="00D82062" w:rsidP="00037912">
      <w:pPr>
        <w:rPr>
          <w:lang w:val="ru-RU"/>
        </w:rPr>
      </w:pPr>
      <w:r w:rsidRPr="00945782">
        <w:rPr>
          <w:lang w:val="ru-RU"/>
        </w:rPr>
        <w:t xml:space="preserve">В МСЭ-T кампания </w:t>
      </w:r>
      <w:hyperlink r:id="rId384" w:history="1">
        <w:r w:rsidRPr="00945782">
          <w:rPr>
            <w:rStyle w:val="Hyperlink"/>
            <w:lang w:val="ru-RU"/>
          </w:rPr>
          <w:t>NOW4WTSA24</w:t>
        </w:r>
      </w:hyperlink>
      <w:r w:rsidRPr="00945782">
        <w:rPr>
          <w:lang w:val="ru-RU"/>
        </w:rPr>
        <w:t xml:space="preserve"> способствовала более активному выдвижению женщин на руководящие должности, в результате чего женщины заняли около 25% руководящих постов в МСЭ-T и составили приблизительно 28% экспертов по стандартизации.</w:t>
      </w:r>
    </w:p>
    <w:p w14:paraId="690D7A9A" w14:textId="77777777" w:rsidR="00D82062" w:rsidRPr="00945782" w:rsidRDefault="00D82062" w:rsidP="00831734">
      <w:pPr>
        <w:rPr>
          <w:lang w:val="ru-RU"/>
        </w:rPr>
      </w:pPr>
      <w:r w:rsidRPr="00945782">
        <w:rPr>
          <w:lang w:val="ru-RU"/>
        </w:rPr>
        <w:t xml:space="preserve">Инициатива </w:t>
      </w:r>
      <w:hyperlink r:id="rId385" w:history="1">
        <w:r w:rsidRPr="00945782">
          <w:rPr>
            <w:rStyle w:val="Hyperlink"/>
            <w:lang w:val="ru-RU"/>
          </w:rPr>
          <w:t>NOW4WRC</w:t>
        </w:r>
      </w:hyperlink>
      <w:r w:rsidRPr="00945782">
        <w:rPr>
          <w:lang w:val="ru-RU"/>
        </w:rPr>
        <w:t xml:space="preserve"> была принята с целью содействия гендерному равенству и сокращения разрыва в участии в деятельности МСЭ-R. Женщины составили 22% делегатов АР/ВКР-23, в то время как в 2019 году их доля составила 18%. В июле 2024 года в рамках мероприятия высокого уровня ВВУИО+20 была организована встреча созданной </w:t>
      </w:r>
      <w:hyperlink r:id="rId386" w:history="1">
        <w:r w:rsidRPr="00945782">
          <w:rPr>
            <w:rStyle w:val="Hyperlink"/>
            <w:lang w:val="ru-RU"/>
          </w:rPr>
          <w:t xml:space="preserve">Сети женщин-министров и </w:t>
        </w:r>
        <w:r w:rsidRPr="00945782">
          <w:rPr>
            <w:rStyle w:val="Hyperlink"/>
            <w:lang w:val="ru-RU"/>
          </w:rPr>
          <w:lastRenderedPageBreak/>
          <w:t>лидеров в области ИКТ</w:t>
        </w:r>
      </w:hyperlink>
      <w:r w:rsidRPr="00945782">
        <w:rPr>
          <w:lang w:val="ru-RU"/>
        </w:rPr>
        <w:t xml:space="preserve">, и в ходе мероприятия ВВУИО+20 и Глобального саммита "ИИ во благо" 2025 года эта встреча была созвана вновь. В рамках инициативы NOW4WRC27 осуществляется наставничество в преддверии Всемирной конференции радиосвязи (ВКР-27). Также был создан новый механизм координации всех сетей женщин МСЭ с участием секретариатов различных </w:t>
      </w:r>
      <w:r w:rsidRPr="00945782">
        <w:rPr>
          <w:rFonts w:eastAsia="MS Mincho" w:cs="Calibri"/>
          <w:szCs w:val="22"/>
          <w:lang w:val="ru-RU" w:eastAsia="en-GB"/>
        </w:rPr>
        <w:t xml:space="preserve">NoW </w:t>
      </w:r>
      <w:r w:rsidRPr="00945782">
        <w:rPr>
          <w:lang w:val="ru-RU"/>
        </w:rPr>
        <w:t>для обмена знаниями, передовой практикой и совместной деятельностью.</w:t>
      </w:r>
    </w:p>
    <w:p w14:paraId="452551FE" w14:textId="77777777" w:rsidR="00D82062" w:rsidRPr="00945782" w:rsidRDefault="00D82062" w:rsidP="00831734">
      <w:pPr>
        <w:rPr>
          <w:lang w:val="ru-RU"/>
        </w:rPr>
      </w:pPr>
      <w:r w:rsidRPr="00945782">
        <w:rPr>
          <w:lang w:val="ru-RU"/>
        </w:rPr>
        <w:t xml:space="preserve">В 2024 году посредством </w:t>
      </w:r>
      <w:hyperlink r:id="rId387" w:history="1">
        <w:r w:rsidRPr="00945782">
          <w:rPr>
            <w:rStyle w:val="Hyperlink"/>
            <w:lang w:val="ru-RU"/>
          </w:rPr>
          <w:t>Справочника МСЭ по учету гендерных аспектов в политике в области цифровых технологий</w:t>
        </w:r>
      </w:hyperlink>
      <w:r w:rsidRPr="00945782">
        <w:rPr>
          <w:lang w:val="ru-RU"/>
        </w:rPr>
        <w:t xml:space="preserve"> Государствам-Членам были представлены примеры передовой практики по интеграции гендерных аспектов в текущую и будущую цифровую политику.</w:t>
      </w:r>
    </w:p>
    <w:p w14:paraId="43C75444" w14:textId="77777777" w:rsidR="00D82062" w:rsidRPr="00945782" w:rsidRDefault="00D82062" w:rsidP="00831734">
      <w:pPr>
        <w:rPr>
          <w:lang w:val="ru-RU"/>
        </w:rPr>
      </w:pPr>
      <w:r w:rsidRPr="00945782">
        <w:rPr>
          <w:lang w:val="ru-RU"/>
        </w:rPr>
        <w:t xml:space="preserve">В 2025 году МСЭ отметил свое </w:t>
      </w:r>
      <w:hyperlink r:id="rId388" w:history="1">
        <w:r w:rsidRPr="00945782">
          <w:rPr>
            <w:rStyle w:val="Hyperlink"/>
            <w:lang w:val="ru-RU"/>
          </w:rPr>
          <w:t>160-летие</w:t>
        </w:r>
      </w:hyperlink>
      <w:r w:rsidRPr="00945782">
        <w:rPr>
          <w:lang w:val="ru-RU"/>
        </w:rPr>
        <w:t xml:space="preserve"> и посвятил Всемирный день электросвязи и информационного общества (ВДЭИО) теме </w:t>
      </w:r>
      <w:hyperlink r:id="rId389" w:history="1">
        <w:r w:rsidRPr="00945782">
          <w:rPr>
            <w:rStyle w:val="Hyperlink"/>
            <w:lang w:val="ru-RU"/>
          </w:rPr>
          <w:t>"Гендерное равенство в цифровой трансформации"</w:t>
        </w:r>
      </w:hyperlink>
      <w:r w:rsidRPr="00945782">
        <w:rPr>
          <w:lang w:val="ru-RU"/>
        </w:rPr>
        <w:t xml:space="preserve">. Участники инициативы </w:t>
      </w:r>
      <w:hyperlink r:id="rId390" w:history="1">
        <w:r w:rsidRPr="00945782">
          <w:rPr>
            <w:rStyle w:val="Hyperlink"/>
            <w:lang w:val="ru-RU"/>
          </w:rPr>
          <w:t>"Международная сеть борцов за гендерное равенство", приуроченная к 160-летию МСЭ</w:t>
        </w:r>
      </w:hyperlink>
      <w:r w:rsidRPr="00945782">
        <w:rPr>
          <w:lang w:val="ru-RU"/>
        </w:rPr>
        <w:t>, воплощают в жизнь это видение, поддерживая лидерство молодых женщин в цифровом развитии и способствуя формированию основанного на принципе открытости для всех и справедливого цифрового будущего.</w:t>
      </w:r>
    </w:p>
    <w:p w14:paraId="50F88A1F" w14:textId="77777777" w:rsidR="00D82062" w:rsidRPr="00945782" w:rsidRDefault="00D82062" w:rsidP="00831734">
      <w:pPr>
        <w:rPr>
          <w:lang w:val="ru-RU"/>
        </w:rPr>
      </w:pPr>
      <w:r w:rsidRPr="00945782">
        <w:rPr>
          <w:lang w:val="ru-RU"/>
        </w:rPr>
        <w:t xml:space="preserve">Гендерная проблематика встроена во все ежегодные мероприятия Форума ВВУИО. </w:t>
      </w:r>
      <w:hyperlink r:id="rId391" w:history="1">
        <w:r w:rsidRPr="00945782">
          <w:rPr>
            <w:rStyle w:val="Hyperlink"/>
            <w:lang w:val="ru-RU"/>
          </w:rPr>
          <w:t>Итоговый документ ВВУИО+20</w:t>
        </w:r>
      </w:hyperlink>
      <w:r w:rsidRPr="00945782">
        <w:rPr>
          <w:lang w:val="ru-RU"/>
        </w:rPr>
        <w:t>, принятый Генеральной Ассамблеей ООН в декабре 2025 года, содержит призыв к обеспечению гендерно-ориентированной цифровой трансформации и предусматривает встраивание гендерных аспектов во все направления деятельности ВВУИО.</w:t>
      </w:r>
    </w:p>
    <w:p w14:paraId="69D7A3CC" w14:textId="77777777" w:rsidR="00D82062" w:rsidRPr="00945782" w:rsidRDefault="00D82062" w:rsidP="00831734">
      <w:pPr>
        <w:rPr>
          <w:lang w:val="ru-RU"/>
        </w:rPr>
      </w:pPr>
      <w:r w:rsidRPr="00945782">
        <w:rPr>
          <w:lang w:val="ru-RU"/>
        </w:rPr>
        <w:t xml:space="preserve">В рамках проведенной в 2025 году в рамках всей ООН кампании "16 дней активных действий" под лозунгом "Сообща покончим с цифровым насилием в отношении женщин и девочек" МСЭ организовал видеокампанию в социальных сетях, совместно с организацией Plan International подготовил </w:t>
      </w:r>
      <w:hyperlink r:id="rId392" w:history="1">
        <w:r w:rsidRPr="00945782">
          <w:rPr>
            <w:rStyle w:val="Hyperlink"/>
            <w:lang w:val="ru-RU"/>
          </w:rPr>
          <w:t>статью-блог</w:t>
        </w:r>
      </w:hyperlink>
      <w:r w:rsidRPr="00945782">
        <w:rPr>
          <w:lang w:val="ru-RU"/>
        </w:rPr>
        <w:t xml:space="preserve"> и в партнерстве с "ООН-женщины" провел виртуальную сессию по вопросам сексуальных домогательств в технологическом секторе. Кроме того, МСЭ активно участвовал в работе Консультативного совета Председателя Совета по правам человека по вопросам гендерного равенства.</w:t>
      </w:r>
    </w:p>
    <w:p w14:paraId="10B3AF77" w14:textId="30C196BD" w:rsidR="00D82062" w:rsidRPr="00945782" w:rsidRDefault="00D82062" w:rsidP="00831734">
      <w:pPr>
        <w:rPr>
          <w:lang w:val="ru-RU"/>
        </w:rPr>
      </w:pPr>
      <w:r w:rsidRPr="00945782">
        <w:rPr>
          <w:lang w:val="ru-RU"/>
        </w:rPr>
        <w:t>МСЭ продолжает представлять ежегодные отчеты в рамках Общесистемного плана действий ООН по вопросам гендерного равенства и расширения прав и возможностей женщин (</w:t>
      </w:r>
      <w:hyperlink r:id="rId393" w:history="1">
        <w:r w:rsidRPr="00945782">
          <w:rPr>
            <w:rStyle w:val="Hyperlink"/>
            <w:lang w:val="ru-RU"/>
          </w:rPr>
          <w:t>ООН</w:t>
        </w:r>
        <w:r w:rsidR="00831734" w:rsidRPr="00945782">
          <w:rPr>
            <w:rStyle w:val="Hyperlink"/>
            <w:rFonts w:ascii="Cambria Math" w:hAnsi="Cambria Math"/>
            <w:lang w:val="ru-RU"/>
          </w:rPr>
          <w:t>‑</w:t>
        </w:r>
        <w:r w:rsidRPr="00945782">
          <w:rPr>
            <w:rStyle w:val="Hyperlink"/>
            <w:lang w:val="ru-RU"/>
          </w:rPr>
          <w:t>ОСПД</w:t>
        </w:r>
      </w:hyperlink>
      <w:r w:rsidRPr="00945782">
        <w:rPr>
          <w:lang w:val="ru-RU"/>
        </w:rPr>
        <w:t xml:space="preserve">). Состоялся также созыв </w:t>
      </w:r>
      <w:hyperlink r:id="rId394" w:history="1">
        <w:r w:rsidRPr="00945782">
          <w:rPr>
            <w:rStyle w:val="Hyperlink"/>
            <w:lang w:val="ru-RU"/>
          </w:rPr>
          <w:t>Сети женщин-министров и руководителей в области ИКТ</w:t>
        </w:r>
      </w:hyperlink>
      <w:r w:rsidRPr="00945782">
        <w:rPr>
          <w:lang w:val="ru-RU"/>
        </w:rPr>
        <w:t>. Институциональный гендерный баланс остается проблемой: доля женщин на руководящих должностях высокого уровня (P5, D1 и D2) увеличилась с 31% (конец 2022 г.) лишь до 33% (конец 2025 г.). Для решения этой проблемы предпринимаются меры, включая укрепление механизмов подотчетности, развитие организационной культуры и совершенствование механизмов привлечения кадров. В 2023 году была введена новая политика отпусков по уходу за ребенком, предусматривающая 16 недель отпуска для всех родителей независимо от пола, а также дополнительные 10 недель для матерей, родивших ребенка, что направлено на обеспечение баланса между работой и личной жизнью и удержание кадров, характеризующихся разнообразием. МСЭ присоединился также к Плану ООН по ускорению достижения гендерного равенства (GEAP), в рамках которого высшее руководство работает над эффективной интеграцией гендерной проблематики.</w:t>
      </w:r>
    </w:p>
    <w:p w14:paraId="585F205A" w14:textId="77777777" w:rsidR="00D82062" w:rsidRPr="00945782" w:rsidRDefault="00D82062" w:rsidP="00831734">
      <w:pPr>
        <w:rPr>
          <w:lang w:val="ru-RU"/>
        </w:rPr>
      </w:pPr>
      <w:r w:rsidRPr="00945782">
        <w:rPr>
          <w:lang w:val="ru-RU"/>
        </w:rPr>
        <w:t>Целевая группа МСЭ по гендерным вопросам является внутренним координационным механизмом по вопросам гендерного равенства и учета гендерных аспектов, созданным для поддержки интеграции гендерной проблематики во всех Секторах и в Генеральном секретариате. Для этой группы был разработан новый внутренний механизм координации и подотчетности.</w:t>
      </w:r>
    </w:p>
    <w:p w14:paraId="5468F868" w14:textId="77777777" w:rsidR="00D82062" w:rsidRPr="00945782" w:rsidRDefault="00D82062" w:rsidP="00831734">
      <w:pPr>
        <w:rPr>
          <w:lang w:val="ru-RU"/>
        </w:rPr>
      </w:pPr>
      <w:r w:rsidRPr="00945782">
        <w:rPr>
          <w:lang w:val="ru-RU"/>
        </w:rPr>
        <w:t xml:space="preserve">Оценка потенциала персонала, проведенная в январе 2024 года, позволила определить новые потребности в развитии потенциала и достижении гендерного паритета; были организованы тренинги по инклюзивному руководству, предотвращению случаев микроагрессии и притеснения, а также в 2025 году был разработан План МСЭ по обеспечению гендерного </w:t>
      </w:r>
      <w:r w:rsidRPr="00945782">
        <w:rPr>
          <w:lang w:val="ru-RU"/>
        </w:rPr>
        <w:lastRenderedPageBreak/>
        <w:t>паритета. Первый опрос о вовлеченности персонала МСЭ, проведенный в январе 2025 года, стал важным инструментом мониторинга, необходимым для постоянного совершенствования, в том числе в области гендерного равенства и учета гендерных аспектов в МСЭ.</w:t>
      </w:r>
    </w:p>
    <w:p w14:paraId="5A0E9435" w14:textId="77777777" w:rsidR="00D82062" w:rsidRPr="00945782" w:rsidRDefault="00D82062" w:rsidP="00831734">
      <w:pPr>
        <w:rPr>
          <w:lang w:val="ru-RU"/>
        </w:rPr>
      </w:pPr>
      <w:r w:rsidRPr="00945782">
        <w:rPr>
          <w:lang w:val="ru-RU"/>
        </w:rPr>
        <w:t>Знаковым достижением в области руководства МСЭ стало избрание на ПК-22 на должность Генерального секретаря первой женщины, которая вступила в должность в январе 2023 года, что подтверждает приверженность организации гендерному равенству на всех уровнях управления.</w:t>
      </w:r>
    </w:p>
    <w:p w14:paraId="7C589AB4" w14:textId="77777777" w:rsidR="00D82062" w:rsidRPr="00945782" w:rsidRDefault="00D82062" w:rsidP="00831734">
      <w:pPr>
        <w:rPr>
          <w:lang w:val="ru-RU"/>
        </w:rPr>
      </w:pPr>
      <w:r w:rsidRPr="00945782">
        <w:rPr>
          <w:lang w:val="ru-RU"/>
        </w:rPr>
        <w:t xml:space="preserve">См. дополнительную информацию по адресу </w:t>
      </w:r>
      <w:hyperlink r:id="rId395" w:history="1">
        <w:r w:rsidRPr="00945782">
          <w:rPr>
            <w:rStyle w:val="Hyperlink"/>
            <w:lang w:val="ru-RU"/>
          </w:rPr>
          <w:t>www.itu.int/gender</w:t>
        </w:r>
      </w:hyperlink>
      <w:r w:rsidRPr="00945782">
        <w:rPr>
          <w:lang w:val="ru-RU"/>
        </w:rPr>
        <w:t xml:space="preserve"> и в ежегодных отчетах Совету: </w:t>
      </w:r>
      <w:hyperlink r:id="rId396" w:history="1">
        <w:r w:rsidRPr="00945782">
          <w:rPr>
            <w:rStyle w:val="Hyperlink"/>
            <w:lang w:val="ru-RU"/>
          </w:rPr>
          <w:t>C25/6</w:t>
        </w:r>
      </w:hyperlink>
      <w:r w:rsidRPr="00945782">
        <w:rPr>
          <w:lang w:val="ru-RU"/>
        </w:rPr>
        <w:t xml:space="preserve">, </w:t>
      </w:r>
      <w:hyperlink r:id="rId397" w:history="1">
        <w:r w:rsidRPr="00945782">
          <w:rPr>
            <w:rStyle w:val="Hyperlink"/>
            <w:lang w:val="ru-RU"/>
          </w:rPr>
          <w:t>C24/6</w:t>
        </w:r>
      </w:hyperlink>
      <w:r w:rsidRPr="00945782">
        <w:rPr>
          <w:lang w:val="ru-RU"/>
        </w:rPr>
        <w:t xml:space="preserve"> и </w:t>
      </w:r>
      <w:hyperlink r:id="rId398" w:history="1">
        <w:r w:rsidRPr="00945782">
          <w:rPr>
            <w:rStyle w:val="Hyperlink"/>
            <w:lang w:val="ru-RU"/>
          </w:rPr>
          <w:t>C23/6</w:t>
        </w:r>
      </w:hyperlink>
      <w:r w:rsidRPr="00945782">
        <w:rPr>
          <w:lang w:val="ru-RU"/>
        </w:rPr>
        <w:t>.</w:t>
      </w:r>
    </w:p>
    <w:p w14:paraId="6E33E958" w14:textId="4043C5F9" w:rsidR="00D82062" w:rsidRPr="00945782" w:rsidRDefault="00D82062" w:rsidP="00D82062">
      <w:pPr>
        <w:pStyle w:val="Heading3"/>
        <w:rPr>
          <w:lang w:val="ru-RU"/>
        </w:rPr>
      </w:pPr>
      <w:bookmarkStart w:id="130" w:name="_Toc227062881"/>
      <w:bookmarkStart w:id="131" w:name="_Toc227850269"/>
      <w:r w:rsidRPr="00945782">
        <w:rPr>
          <w:lang w:val="ru-RU"/>
        </w:rPr>
        <w:t>5.3.2</w:t>
      </w:r>
      <w:r w:rsidR="00831734" w:rsidRPr="00945782">
        <w:rPr>
          <w:lang w:val="ru-RU"/>
        </w:rPr>
        <w:tab/>
      </w:r>
      <w:r w:rsidRPr="00945782">
        <w:rPr>
          <w:lang w:val="ru-RU"/>
        </w:rPr>
        <w:t>Расширение возможностей молодежи</w:t>
      </w:r>
      <w:bookmarkEnd w:id="130"/>
      <w:bookmarkEnd w:id="131"/>
    </w:p>
    <w:p w14:paraId="588BBBD8" w14:textId="77777777" w:rsidR="00D82062" w:rsidRPr="00945782" w:rsidRDefault="00D82062" w:rsidP="00831734">
      <w:pPr>
        <w:rPr>
          <w:lang w:val="ru-RU"/>
        </w:rPr>
      </w:pPr>
      <w:hyperlink r:id="rId399" w:history="1">
        <w:r w:rsidRPr="00945782">
          <w:rPr>
            <w:rStyle w:val="Hyperlink"/>
            <w:lang w:val="ru-RU"/>
          </w:rPr>
          <w:t>Молодежная стратегия МСЭ</w:t>
        </w:r>
      </w:hyperlink>
      <w:r w:rsidRPr="00945782">
        <w:rPr>
          <w:lang w:val="ru-RU"/>
        </w:rPr>
        <w:t xml:space="preserve"> является операционной основой для укрепления потенциала МСЭ в области вовлечения и расширения возможностей молодежи с использованием ИКТ. Стратегия призвана быть применимой на практике и способствовать преодолению цифрового разрыва в интересах молодежи и строится на трех направлениях: формирование сообщества молодых лидеров, объединение молодежи для взаимодействия с МСЭ и ее членами, а также содействие участию молодежи в деятельности МСЭ.</w:t>
      </w:r>
    </w:p>
    <w:p w14:paraId="03B23673" w14:textId="77777777" w:rsidR="00D82062" w:rsidRPr="00945782" w:rsidRDefault="00D82062" w:rsidP="00831734">
      <w:pPr>
        <w:rPr>
          <w:lang w:val="ru-RU"/>
        </w:rPr>
      </w:pPr>
      <w:r w:rsidRPr="00945782">
        <w:rPr>
          <w:lang w:val="ru-RU"/>
        </w:rPr>
        <w:t xml:space="preserve">Начиная с 2020 года МСЭ-D способствует вовлечению молодежи через инициативу </w:t>
      </w:r>
      <w:hyperlink r:id="rId400" w:history="1">
        <w:r w:rsidRPr="00945782">
          <w:rPr>
            <w:rStyle w:val="Hyperlink"/>
            <w:lang w:val="ru-RU"/>
          </w:rPr>
          <w:t>"Поколение подключений"</w:t>
        </w:r>
      </w:hyperlink>
      <w:r w:rsidRPr="00945782">
        <w:rPr>
          <w:lang w:val="ru-RU"/>
        </w:rPr>
        <w:t xml:space="preserve">, направленную на привлечение молодежи по всему миру и поощрение ее участия в качестве равноправных партнеров. В 2023 году деятельность в рамках "Поколения подключений" была расширена: был проведен </w:t>
      </w:r>
      <w:hyperlink r:id="rId401" w:history="1">
        <w:r w:rsidRPr="00945782">
          <w:rPr>
            <w:rStyle w:val="Hyperlink"/>
            <w:lang w:val="ru-RU"/>
          </w:rPr>
          <w:t>Глобальный молодежный саммит "Поколение подключений"</w:t>
        </w:r>
      </w:hyperlink>
      <w:r w:rsidRPr="00945782">
        <w:rPr>
          <w:lang w:val="ru-RU"/>
        </w:rPr>
        <w:t xml:space="preserve"> в Кигали, посланники молодежи приняли участие в ПК-22 в Бухаресте, в Исследовательских комиссиях МСЭ-D состоялись диалоги между поколениями, а также был внесен вклад в глобальные мероприятия, включая </w:t>
      </w:r>
      <w:hyperlink r:id="rId402" w:history="1">
        <w:r w:rsidRPr="00945782">
          <w:rPr>
            <w:rStyle w:val="Hyperlink"/>
            <w:lang w:val="ru-RU"/>
          </w:rPr>
          <w:t>Молодежный форум ЭКОСОС</w:t>
        </w:r>
      </w:hyperlink>
      <w:r w:rsidRPr="00945782">
        <w:rPr>
          <w:lang w:val="ru-RU"/>
        </w:rPr>
        <w:t xml:space="preserve">, </w:t>
      </w:r>
      <w:hyperlink r:id="rId403" w:history="1">
        <w:r w:rsidRPr="00945782">
          <w:rPr>
            <w:rStyle w:val="Hyperlink"/>
            <w:lang w:val="ru-RU"/>
          </w:rPr>
          <w:t>Всемирный продовольственный форум</w:t>
        </w:r>
      </w:hyperlink>
      <w:r w:rsidRPr="00945782">
        <w:rPr>
          <w:lang w:val="ru-RU"/>
        </w:rPr>
        <w:t xml:space="preserve">, </w:t>
      </w:r>
      <w:hyperlink r:id="rId404" w:history="1">
        <w:r w:rsidRPr="00945782">
          <w:rPr>
            <w:rStyle w:val="Hyperlink"/>
            <w:lang w:val="ru-RU"/>
          </w:rPr>
          <w:t>YOUNGA</w:t>
        </w:r>
      </w:hyperlink>
      <w:r w:rsidRPr="00945782">
        <w:rPr>
          <w:lang w:val="ru-RU"/>
        </w:rPr>
        <w:t xml:space="preserve">, Глобальный форум Misk, </w:t>
      </w:r>
      <w:hyperlink r:id="rId405" w:history="1">
        <w:r w:rsidRPr="00945782">
          <w:rPr>
            <w:rStyle w:val="Hyperlink"/>
            <w:lang w:val="ru-RU"/>
          </w:rPr>
          <w:t>сегмент молодежи НРС-5 в Дохе</w:t>
        </w:r>
      </w:hyperlink>
      <w:r w:rsidRPr="00945782">
        <w:rPr>
          <w:lang w:val="ru-RU"/>
        </w:rPr>
        <w:t xml:space="preserve">, </w:t>
      </w:r>
      <w:hyperlink r:id="rId406" w:history="1">
        <w:r w:rsidRPr="00945782">
          <w:rPr>
            <w:rStyle w:val="Hyperlink"/>
            <w:lang w:val="ru-RU"/>
          </w:rPr>
          <w:t>Всемирный конгресс по подвижной связи</w:t>
        </w:r>
      </w:hyperlink>
      <w:r w:rsidRPr="00945782">
        <w:rPr>
          <w:lang w:val="ru-RU"/>
        </w:rPr>
        <w:t xml:space="preserve"> в Барселоне и собрание Комиссии по положению женщин (</w:t>
      </w:r>
      <w:hyperlink r:id="rId407" w:history="1">
        <w:r w:rsidRPr="00945782">
          <w:rPr>
            <w:rStyle w:val="Hyperlink"/>
            <w:lang w:val="ru-RU"/>
          </w:rPr>
          <w:t>КПЖ-67</w:t>
        </w:r>
      </w:hyperlink>
      <w:r w:rsidRPr="00945782">
        <w:rPr>
          <w:lang w:val="ru-RU"/>
        </w:rPr>
        <w:t>) в Нью-Йорке.</w:t>
      </w:r>
    </w:p>
    <w:p w14:paraId="66DF793F" w14:textId="4EB50702" w:rsidR="00D82062" w:rsidRPr="00945782" w:rsidRDefault="00D82062" w:rsidP="00831734">
      <w:pPr>
        <w:rPr>
          <w:lang w:val="ru-RU"/>
        </w:rPr>
      </w:pPr>
      <w:r w:rsidRPr="00945782">
        <w:rPr>
          <w:lang w:val="ru-RU"/>
        </w:rPr>
        <w:t xml:space="preserve">В Варадеро, Куба, с 11 по 13 марта 2025 года прошел </w:t>
      </w:r>
      <w:hyperlink r:id="rId408" w:history="1">
        <w:r w:rsidRPr="00945782">
          <w:rPr>
            <w:rStyle w:val="Hyperlink"/>
            <w:lang w:val="ru-RU"/>
          </w:rPr>
          <w:t>Глобальный молодежный саммит МСЭ</w:t>
        </w:r>
      </w:hyperlink>
      <w:r w:rsidRPr="00945782">
        <w:rPr>
          <w:lang w:val="ru-RU"/>
        </w:rPr>
        <w:t xml:space="preserve"> 2025 года (ГМС-25), организованный МСЭ-D и посвященный теме "Придание силы голосам молодежи в сфере ИКТ в интересах открытого для всех соединенного будущего". ГМС-25 стал 17-м молодежным мероприятием, организованным МСЭ, продолжив тот путь, который начался с первого в истории молодежного форума, состоявшегося в Йоханнесбурге, Южно</w:t>
      </w:r>
      <w:r w:rsidR="00FD3047" w:rsidRPr="00945782">
        <w:rPr>
          <w:rFonts w:ascii="Cambria Math" w:hAnsi="Cambria Math"/>
          <w:lang w:val="ru-RU"/>
        </w:rPr>
        <w:t>‑</w:t>
      </w:r>
      <w:r w:rsidRPr="00945782">
        <w:rPr>
          <w:lang w:val="ru-RU"/>
        </w:rPr>
        <w:t>Африканская Республика, в 2001 году. На мероприятии присутствовали около 400</w:t>
      </w:r>
      <w:r w:rsidR="00FD3047" w:rsidRPr="00945782">
        <w:rPr>
          <w:lang w:val="ru-RU"/>
        </w:rPr>
        <w:t> </w:t>
      </w:r>
      <w:r w:rsidRPr="00945782">
        <w:rPr>
          <w:lang w:val="ru-RU"/>
        </w:rPr>
        <w:t>участников из 31 страны из всех регионов МСЭ, был обеспечен гендерный баланс и представлены, в частности, наименее развитые страны, развивающиеся страны, не имеющие выхода к морю, и малые островные развивающиеся государства. В Саммите также приняли участие представители правительств, международных и региональных организаций, представителей частного сектора и академических кругов, а также представители других учреждений ООН и посланники молодежи в рамках инициативы МСЭ "Поколение подключений". В рамках программы был использован вклад Неофициальной координационной группы КГРЭ по Глобальному молодежному саммиту и Глобальному праздничному мероприятию, посвященному молодежи (КГРЭ-ICG-GYS), а также состоялись структурированные консультации, проведенные при поддержке БРЭ в формате совместной творческой работы с участием молодежных посланников "Поколения подключений" из всех шести регионов МСЭ. Этот процесс способствовал обеспечению прозрачности, согласованности и координации совместной деятельности представителей молодежи и структур МСЭ, принимающих решения, благодаря более систематическому и последовательному институциональному подходу к конструктивному взаимодействию с молодежью.</w:t>
      </w:r>
    </w:p>
    <w:p w14:paraId="263B4AD1" w14:textId="77777777" w:rsidR="00D82062" w:rsidRPr="00945782" w:rsidRDefault="00D82062" w:rsidP="00831734">
      <w:pPr>
        <w:rPr>
          <w:lang w:val="ru-RU"/>
        </w:rPr>
      </w:pPr>
      <w:r w:rsidRPr="00945782">
        <w:rPr>
          <w:lang w:val="ru-RU"/>
        </w:rPr>
        <w:lastRenderedPageBreak/>
        <w:t xml:space="preserve">В 2022 году на базе Академии МСЭ было начато предоставление свидетельств о </w:t>
      </w:r>
      <w:hyperlink r:id="rId409" w:history="1">
        <w:r w:rsidRPr="00945782">
          <w:rPr>
            <w:rStyle w:val="Hyperlink"/>
            <w:lang w:val="ru-RU"/>
          </w:rPr>
          <w:t>цифровом обучении "Поколения подключений"</w:t>
        </w:r>
      </w:hyperlink>
      <w:r w:rsidRPr="00945782">
        <w:rPr>
          <w:lang w:val="ru-RU"/>
        </w:rPr>
        <w:t xml:space="preserve">, вышли новые серии </w:t>
      </w:r>
      <w:hyperlink r:id="rId410" w:history="1">
        <w:r w:rsidRPr="00945782">
          <w:rPr>
            <w:rStyle w:val="Hyperlink"/>
            <w:lang w:val="ru-RU"/>
          </w:rPr>
          <w:t>подкаста</w:t>
        </w:r>
      </w:hyperlink>
      <w:r w:rsidRPr="00945782">
        <w:rPr>
          <w:lang w:val="ru-RU"/>
        </w:rPr>
        <w:t xml:space="preserve"> "Поколение подключений", а также углубилось сотрудничество с программой </w:t>
      </w:r>
      <w:hyperlink r:id="rId411" w:history="1">
        <w:r w:rsidRPr="00945782">
          <w:rPr>
            <w:rStyle w:val="Hyperlink"/>
            <w:lang w:val="ru-RU"/>
          </w:rPr>
          <w:t>"Носители перемен Кофи Аннана"</w:t>
        </w:r>
      </w:hyperlink>
      <w:r w:rsidRPr="00945782">
        <w:rPr>
          <w:lang w:val="ru-RU"/>
        </w:rPr>
        <w:t xml:space="preserve">. Шесть региональных групп посланников молодежи расширились до 180 представителей в 120 странах; они приняли участие в </w:t>
      </w:r>
      <w:hyperlink r:id="rId412" w:history="1">
        <w:r w:rsidRPr="00945782">
          <w:rPr>
            <w:rStyle w:val="Hyperlink"/>
            <w:lang w:val="ru-RU"/>
          </w:rPr>
          <w:t>GC-EUR ("Поколение подключений" – Европа) Digital Jam</w:t>
        </w:r>
      </w:hyperlink>
      <w:r w:rsidRPr="00945782">
        <w:rPr>
          <w:lang w:val="ru-RU"/>
        </w:rPr>
        <w:t xml:space="preserve"> и программе Huawei </w:t>
      </w:r>
      <w:hyperlink r:id="rId413" w:history="1">
        <w:r w:rsidRPr="00945782">
          <w:rPr>
            <w:rStyle w:val="Hyperlink"/>
            <w:lang w:val="ru-RU"/>
          </w:rPr>
          <w:t>"Зерна электросвязи для будущего"</w:t>
        </w:r>
      </w:hyperlink>
      <w:r w:rsidRPr="00945782">
        <w:rPr>
          <w:lang w:val="ru-RU"/>
        </w:rPr>
        <w:t xml:space="preserve"> в Бангкоке.</w:t>
      </w:r>
    </w:p>
    <w:p w14:paraId="4BB2011A" w14:textId="77777777" w:rsidR="00D82062" w:rsidRPr="00945782" w:rsidRDefault="00D82062" w:rsidP="00831734">
      <w:pPr>
        <w:rPr>
          <w:lang w:val="ru-RU"/>
        </w:rPr>
      </w:pPr>
      <w:r w:rsidRPr="00945782">
        <w:rPr>
          <w:lang w:val="ru-RU"/>
        </w:rPr>
        <w:t xml:space="preserve">В марте 2023 года Форум ВВУИО и Женевская международная модель Организации Объединенных Наций (GIMUN) совместно учредили </w:t>
      </w:r>
      <w:hyperlink r:id="rId414" w:history="1">
        <w:r w:rsidRPr="00945782">
          <w:rPr>
            <w:rStyle w:val="Hyperlink"/>
            <w:lang w:val="ru-RU"/>
          </w:rPr>
          <w:t>Молодежную премию ВВУИО "Поколение подключений"</w:t>
        </w:r>
      </w:hyperlink>
      <w:r w:rsidRPr="00945782">
        <w:rPr>
          <w:lang w:val="ru-RU"/>
        </w:rPr>
        <w:t xml:space="preserve"> по теме "Цифровое будущее благодаря эффективному охвату молодежи ".</w:t>
      </w:r>
    </w:p>
    <w:p w14:paraId="06E11FBC" w14:textId="77777777" w:rsidR="00D82062" w:rsidRPr="00945782" w:rsidRDefault="00D82062" w:rsidP="00831734">
      <w:pPr>
        <w:rPr>
          <w:lang w:val="ru-RU"/>
        </w:rPr>
      </w:pPr>
      <w:r w:rsidRPr="00945782">
        <w:rPr>
          <w:lang w:val="ru-RU"/>
        </w:rPr>
        <w:t xml:space="preserve">В 2024 году МСЭ нарастил усилия по выполнению Резолюции 198 ПК, включив соображения, связанные с молодежью, в программы, управленческие практики и программы развития людских ресурсов. Рабочая группа по молодежи, в состав которой входят сотрудники всех секторов и Генерального секретариата, обеспечила более решительное отстаивание интересов молодежи, а для выработки рекомендаций, основанных на взглядах молодежи, по таким темам, как искусственный интеллект, космос, подводные кабели и экологические вопросы, был создан </w:t>
      </w:r>
      <w:hyperlink r:id="rId415" w:history="1">
        <w:r w:rsidRPr="00945782">
          <w:rPr>
            <w:rStyle w:val="Hyperlink"/>
            <w:lang w:val="ru-RU"/>
          </w:rPr>
          <w:t>Консультативный совет молодежи при Генеральном секретаре</w:t>
        </w:r>
      </w:hyperlink>
      <w:r w:rsidRPr="00945782">
        <w:rPr>
          <w:lang w:val="ru-RU"/>
        </w:rPr>
        <w:t xml:space="preserve">. Была разработана </w:t>
      </w:r>
      <w:hyperlink r:id="rId416" w:history="1">
        <w:r w:rsidRPr="00945782">
          <w:rPr>
            <w:rStyle w:val="Hyperlink"/>
            <w:lang w:val="ru-RU"/>
          </w:rPr>
          <w:t>Программа молодых лидеров "Поколение подключений" (GCYLP)</w:t>
        </w:r>
      </w:hyperlink>
      <w:r w:rsidRPr="00945782">
        <w:rPr>
          <w:lang w:val="ru-RU"/>
        </w:rPr>
        <w:t>, предполагающая оказание каждый год поддержки тридцати молодым участникам посредством наставничества, обучения и финансирования для реализации инициатив цифрового развития в их сообществах.</w:t>
      </w:r>
    </w:p>
    <w:p w14:paraId="058B283F" w14:textId="6F7EA464" w:rsidR="00D82062" w:rsidRPr="00945782" w:rsidRDefault="00D82062" w:rsidP="00831734">
      <w:pPr>
        <w:rPr>
          <w:lang w:val="ru-RU"/>
        </w:rPr>
      </w:pPr>
      <w:r w:rsidRPr="00945782">
        <w:rPr>
          <w:lang w:val="ru-RU"/>
        </w:rPr>
        <w:t xml:space="preserve">В 2024–2025 годах для участия в первой </w:t>
      </w:r>
      <w:hyperlink r:id="rId417" w:history="1">
        <w:r w:rsidRPr="00945782">
          <w:rPr>
            <w:rStyle w:val="Hyperlink"/>
            <w:lang w:val="ru-RU"/>
          </w:rPr>
          <w:t>Программе МСЭ "Молодые специалисты"</w:t>
        </w:r>
      </w:hyperlink>
      <w:r w:rsidRPr="00945782">
        <w:rPr>
          <w:lang w:val="ru-RU"/>
        </w:rPr>
        <w:t xml:space="preserve"> было подано более 3500 заявок, в результате в разных подразделениях организации были назначены шесть сотрудников уровня P1. Первая глобальная когорта </w:t>
      </w:r>
      <w:hyperlink r:id="rId418" w:history="1">
        <w:r w:rsidRPr="00945782">
          <w:rPr>
            <w:rStyle w:val="Hyperlink"/>
            <w:lang w:val="ru-RU"/>
          </w:rPr>
          <w:t>программы молодых лидеров "Поколение подключений" (GCYLP)</w:t>
        </w:r>
      </w:hyperlink>
      <w:r w:rsidRPr="00945782">
        <w:rPr>
          <w:lang w:val="ru-RU"/>
        </w:rPr>
        <w:t xml:space="preserve"> МСЭ-D, отобранная из более чем 5000 кандидатов из более чем 200 стран, завершила свой первый год, и в 2025 году начался процесс отбора второй когорты. К</w:t>
      </w:r>
      <w:r w:rsidR="00831734" w:rsidRPr="00945782">
        <w:rPr>
          <w:lang w:val="ru-RU"/>
        </w:rPr>
        <w:t> </w:t>
      </w:r>
      <w:r w:rsidRPr="00945782">
        <w:rPr>
          <w:lang w:val="ru-RU"/>
        </w:rPr>
        <w:t xml:space="preserve">этому времени МСЭ оказывал в рамках инициативы "Поколение подключений" поддержку 184 посланникам молодежи из 64 стран, обеспечивая представительство молодежных голосов на глобальных платформах по вопросам цифрового развития. МСЭ также продолжал публиковать обновления по инициативам, связанным с молодежью, в </w:t>
      </w:r>
      <w:r w:rsidR="002E4222" w:rsidRPr="00945782">
        <w:rPr>
          <w:lang w:val="ru-RU"/>
        </w:rPr>
        <w:t>Д</w:t>
      </w:r>
      <w:r w:rsidRPr="00945782">
        <w:rPr>
          <w:lang w:val="ru-RU"/>
        </w:rPr>
        <w:t xml:space="preserve">окументах </w:t>
      </w:r>
      <w:hyperlink r:id="rId419" w:history="1">
        <w:r w:rsidRPr="00945782">
          <w:rPr>
            <w:rStyle w:val="Hyperlink"/>
            <w:lang w:val="ru-RU"/>
          </w:rPr>
          <w:t>C24/31</w:t>
        </w:r>
      </w:hyperlink>
      <w:r w:rsidRPr="00945782">
        <w:rPr>
          <w:lang w:val="ru-RU"/>
        </w:rPr>
        <w:t xml:space="preserve">, </w:t>
      </w:r>
      <w:hyperlink r:id="rId420" w:history="1">
        <w:r w:rsidRPr="00945782">
          <w:rPr>
            <w:rStyle w:val="Hyperlink"/>
            <w:lang w:val="ru-RU"/>
          </w:rPr>
          <w:t>C24/32</w:t>
        </w:r>
      </w:hyperlink>
      <w:r w:rsidRPr="00945782">
        <w:rPr>
          <w:lang w:val="ru-RU"/>
        </w:rPr>
        <w:t xml:space="preserve"> и </w:t>
      </w:r>
      <w:hyperlink r:id="rId421" w:history="1">
        <w:r w:rsidRPr="00945782">
          <w:rPr>
            <w:rStyle w:val="Hyperlink"/>
            <w:lang w:val="ru-RU"/>
          </w:rPr>
          <w:t>C25/32</w:t>
        </w:r>
      </w:hyperlink>
      <w:r w:rsidR="002E4222" w:rsidRPr="00945782">
        <w:rPr>
          <w:lang w:val="ru-RU"/>
        </w:rPr>
        <w:t xml:space="preserve"> Совета</w:t>
      </w:r>
      <w:r w:rsidRPr="00945782">
        <w:rPr>
          <w:lang w:val="ru-RU"/>
        </w:rPr>
        <w:t>, в то время как деятельность МСЭ-D в сфере молодежи находила отражение в отчетах БРЭ для Консультативной группы по развитию электросвязи МСЭ.</w:t>
      </w:r>
    </w:p>
    <w:p w14:paraId="4693AE29" w14:textId="44EA7940" w:rsidR="00D82062" w:rsidRPr="00945782" w:rsidRDefault="00D82062" w:rsidP="00831734">
      <w:pPr>
        <w:rPr>
          <w:lang w:val="ru-RU"/>
        </w:rPr>
      </w:pPr>
      <w:r w:rsidRPr="00945782">
        <w:rPr>
          <w:lang w:val="ru-RU"/>
        </w:rPr>
        <w:t>В 2025 году был создан Отдел по гендерным вопросам и делам молодежи МСЭ (GYO), среди функций которого – обеспечение скоординированного и содержательного вовлечения молодежи во всей МСЭ как единой организации. GYO также руководит сетью координаторов ООН по вопросам молодежи в Женеве, которая в настоящее время объединяет 15</w:t>
      </w:r>
      <w:r w:rsidR="00831734" w:rsidRPr="00945782">
        <w:rPr>
          <w:lang w:val="ru-RU"/>
        </w:rPr>
        <w:t> </w:t>
      </w:r>
      <w:r w:rsidRPr="00945782">
        <w:rPr>
          <w:lang w:val="ru-RU"/>
        </w:rPr>
        <w:t>организаций, совместно работающих над усилением межведомственного сотрудничества по молодежным инициативам и распространением информации о возможностях профессионального развития для молодых сотрудников и стажеров ООН. В 2025 году МСЭ активно участвовал в деятельности Целевой группы ООН по основным принципам целенаправленного вовлечения молодежи в рамках Рабочей группы по делам молодежи Пакта во имя будущего, возглавляемой Управлением ООН по делам молодежи в Нью-Йорке.</w:t>
      </w:r>
    </w:p>
    <w:p w14:paraId="2A8D3A5B" w14:textId="68758211" w:rsidR="00D82062" w:rsidRPr="00945782" w:rsidRDefault="00D82062" w:rsidP="00831734">
      <w:pPr>
        <w:rPr>
          <w:lang w:val="ru-RU"/>
        </w:rPr>
      </w:pPr>
      <w:r w:rsidRPr="00945782">
        <w:rPr>
          <w:lang w:val="ru-RU"/>
        </w:rPr>
        <w:t>МСЭ также взаимодействует с молодежью по всему миру через социальные сети и цифровые платформы, включая Instagram, Facebook, LinkedIn, а также специализированные подкасты. В</w:t>
      </w:r>
      <w:r w:rsidR="00831734" w:rsidRPr="00945782">
        <w:rPr>
          <w:lang w:val="ru-RU"/>
        </w:rPr>
        <w:t> </w:t>
      </w:r>
      <w:r w:rsidRPr="00945782">
        <w:rPr>
          <w:lang w:val="ru-RU"/>
        </w:rPr>
        <w:t>период с 2022 по 2025 год было выпущено 13 серий молодежного подкаста МСЭ, посвященных таким темам, как цифровые навыки, искусственный интеллект, метавселенная, космос и климат. Была разработана инициатива "Цифровые центры МСЭ" для студентов Академических организаций МСЭ, финальный старта которой намечен на начало 2026 года. Эти инициативы, реализуемые под руководством молодежи, усиливают охват МСЭ среди молодой аудитории и способствуют выполнению ее мандата по обеспечению всеобщего участия в цифровом будущем.</w:t>
      </w:r>
    </w:p>
    <w:p w14:paraId="07047846" w14:textId="7F0BBC2F" w:rsidR="00D82062" w:rsidRPr="00945782" w:rsidRDefault="00D82062" w:rsidP="00831734">
      <w:pPr>
        <w:rPr>
          <w:lang w:val="ru-RU"/>
        </w:rPr>
      </w:pPr>
      <w:r w:rsidRPr="00945782">
        <w:rPr>
          <w:lang w:val="ru-RU"/>
        </w:rPr>
        <w:lastRenderedPageBreak/>
        <w:t xml:space="preserve">Вовлечение молодежи в вопросы появляющихся технологий, особенно искусственного интеллекта и робототехники, значительно усилилось в этот период. В 2024 году в рамках </w:t>
      </w:r>
      <w:hyperlink r:id="rId422" w:history="1">
        <w:r w:rsidRPr="00945782">
          <w:rPr>
            <w:rStyle w:val="Hyperlink"/>
            <w:lang w:val="ru-RU"/>
          </w:rPr>
          <w:t>конкурса по использованию ИИ/МО для 5G</w:t>
        </w:r>
      </w:hyperlink>
      <w:r w:rsidRPr="00945782">
        <w:rPr>
          <w:lang w:val="ru-RU"/>
        </w:rPr>
        <w:t xml:space="preserve"> было проведено 13 молодежных испытаний, в которых в общей сложности приняли участие более 4000 юношей и девушек, а </w:t>
      </w:r>
      <w:hyperlink r:id="rId423" w:history="1">
        <w:r w:rsidRPr="00945782">
          <w:rPr>
            <w:rStyle w:val="Hyperlink"/>
            <w:lang w:val="ru-RU"/>
          </w:rPr>
          <w:t>молодежный конкурс "Робототехника во благо"</w:t>
        </w:r>
      </w:hyperlink>
      <w:r w:rsidRPr="00945782">
        <w:rPr>
          <w:lang w:val="ru-RU"/>
        </w:rPr>
        <w:t xml:space="preserve"> 2024–2025 годов вовлек более 7000 молодых участников из более чем 40 стран в разработку решений для реагирования на чрезвычайные ситуации. Специальная молодежная зона на Глобальном саммите "ИИ во благо" 2024 и 2025 годов дополнительно расширила возможности для обучения и сотрудничества.</w:t>
      </w:r>
    </w:p>
    <w:p w14:paraId="5186C648" w14:textId="77777777" w:rsidR="00D82062" w:rsidRPr="00945782" w:rsidRDefault="00D82062" w:rsidP="00831734">
      <w:pPr>
        <w:rPr>
          <w:lang w:val="ru-RU"/>
        </w:rPr>
      </w:pPr>
      <w:r w:rsidRPr="00945782">
        <w:rPr>
          <w:lang w:val="ru-RU"/>
        </w:rPr>
        <w:t xml:space="preserve">Вовлечение молодежи также распространяется на темы иммерсивных и новых цифровых сред. В продолжение таких инициатив, как </w:t>
      </w:r>
      <w:hyperlink r:id="rId424" w:history="1">
        <w:r w:rsidRPr="00945782">
          <w:rPr>
            <w:rStyle w:val="Hyperlink"/>
            <w:lang w:val="ru-RU"/>
          </w:rPr>
          <w:t>Интеллектуальный марафон ООН по метавселенной</w:t>
        </w:r>
      </w:hyperlink>
      <w:r w:rsidRPr="00945782">
        <w:rPr>
          <w:lang w:val="ru-RU"/>
        </w:rPr>
        <w:t xml:space="preserve"> и </w:t>
      </w:r>
      <w:hyperlink r:id="rId425" w:history="1">
        <w:r w:rsidRPr="00945782">
          <w:rPr>
            <w:rStyle w:val="Hyperlink"/>
            <w:lang w:val="ru-RU"/>
          </w:rPr>
          <w:t>Конкурс ООН по метавселенной для городов</w:t>
        </w:r>
      </w:hyperlink>
      <w:r w:rsidRPr="00945782">
        <w:rPr>
          <w:lang w:val="ru-RU"/>
        </w:rPr>
        <w:t>, молодежи было предложено разработать инновационные решения с использованием виртуальных миров и цифровой инфраструктуры на основе метавселенной для городов, что способствовало развитию творчества, цифровых навыков и практических применений.</w:t>
      </w:r>
    </w:p>
    <w:p w14:paraId="3A71A27B" w14:textId="59C90D56" w:rsidR="00D82062" w:rsidRPr="00945782" w:rsidRDefault="00D82062" w:rsidP="00D82062">
      <w:pPr>
        <w:pStyle w:val="Heading3"/>
        <w:rPr>
          <w:lang w:val="ru-RU"/>
        </w:rPr>
      </w:pPr>
      <w:bookmarkStart w:id="132" w:name="_Toc227062882"/>
      <w:bookmarkStart w:id="133" w:name="_Toc227850270"/>
      <w:r w:rsidRPr="00945782">
        <w:rPr>
          <w:lang w:val="ru-RU"/>
        </w:rPr>
        <w:t>5.3.3</w:t>
      </w:r>
      <w:r w:rsidR="00831734" w:rsidRPr="00945782">
        <w:rPr>
          <w:lang w:val="ru-RU"/>
        </w:rPr>
        <w:tab/>
      </w:r>
      <w:r w:rsidRPr="00945782">
        <w:rPr>
          <w:lang w:val="ru-RU"/>
        </w:rPr>
        <w:t>Доступность ИКТ/цифровая доступность</w:t>
      </w:r>
      <w:bookmarkEnd w:id="132"/>
      <w:bookmarkEnd w:id="133"/>
    </w:p>
    <w:p w14:paraId="347318DC" w14:textId="77777777" w:rsidR="00D82062" w:rsidRPr="00945782" w:rsidRDefault="00D82062" w:rsidP="00831734">
      <w:pPr>
        <w:rPr>
          <w:lang w:val="ru-RU"/>
        </w:rPr>
      </w:pPr>
      <w:r w:rsidRPr="00945782">
        <w:rPr>
          <w:lang w:val="ru-RU"/>
        </w:rPr>
        <w:t xml:space="preserve">В 2021 году Совет МСЭ принял </w:t>
      </w:r>
      <w:hyperlink r:id="rId426" w:history="1">
        <w:r w:rsidRPr="00945782">
          <w:rPr>
            <w:rStyle w:val="Hyperlink"/>
            <w:lang w:val="ru-RU"/>
          </w:rPr>
          <w:t>Политику МСЭ по обеспечению доступности</w:t>
        </w:r>
      </w:hyperlink>
      <w:r w:rsidRPr="00945782">
        <w:rPr>
          <w:lang w:val="ru-RU"/>
        </w:rPr>
        <w:t>, охватывающую как внешнюю доступность (обеспечение доступности ИКТ), так и внутреннюю доступность (обеспечение доступности МСЭ). В отчетный период МСЭ продолжал способствовать обеспечению цифровой доступности для лиц с ограниченными возможностями путем повышения осведомленности, расширения возможностей для профессионального обучения и включения вопросов доступности во все направления своей деятельности. Сектора МСЭ-D, МСЭ-T и МСЭ-R совместно работали над тем, чтобы лица с ограниченными возможностями могли в полной мере пользоваться цифровыми технологиями, путем оказания поддержки Государствам – Членам посредством экспертных консультаций, программ развития потенциала и предоставления технических ресурсов, таких как учебные мероприятия для руководителей, региональные мероприятия, выступления экспертов, а также распространение передовой практики и инструментов. Глобальная деятельность МСЭ также способствовала более существенному прогрессу на страновом уровне: число национальных нормативно-правовых документов по доступности ИКТ достигло 127, что представляет собой значительный рост после многих лет стагнации.</w:t>
      </w:r>
    </w:p>
    <w:p w14:paraId="3E8D7109" w14:textId="77777777" w:rsidR="00D82062" w:rsidRPr="00945782" w:rsidRDefault="00D82062" w:rsidP="00831734">
      <w:pPr>
        <w:rPr>
          <w:lang w:val="ru-RU"/>
        </w:rPr>
      </w:pPr>
      <w:r w:rsidRPr="00945782">
        <w:rPr>
          <w:lang w:val="ru-RU"/>
        </w:rPr>
        <w:t>Деятельность в области доступности ИКТ/цифровой доступности в Секторе развития электросвязи (</w:t>
      </w:r>
      <w:hyperlink r:id="rId427" w:history="1">
        <w:r w:rsidRPr="00945782">
          <w:rPr>
            <w:rStyle w:val="Hyperlink"/>
            <w:lang w:val="ru-RU"/>
          </w:rPr>
          <w:t>МСЭ-D</w:t>
        </w:r>
      </w:hyperlink>
      <w:r w:rsidRPr="00945782">
        <w:rPr>
          <w:lang w:val="ru-RU"/>
        </w:rPr>
        <w:t xml:space="preserve">) была сосредоточена на укреплении потенциала Государств-Членов и расширении охвата цифровыми технологиями. МСЭ-D предоставлял экспертные рекомендации директивным органам, поддерживал региональные мероприятия под названием "Доступные ИКТ для всех" (в </w:t>
      </w:r>
      <w:hyperlink r:id="rId428" w:history="1">
        <w:r w:rsidRPr="00945782">
          <w:rPr>
            <w:rStyle w:val="Hyperlink"/>
            <w:lang w:val="ru-RU"/>
          </w:rPr>
          <w:t>Азиатско-Тихоокеанском регионе</w:t>
        </w:r>
      </w:hyperlink>
      <w:r w:rsidRPr="00945782">
        <w:rPr>
          <w:lang w:val="ru-RU"/>
        </w:rPr>
        <w:t xml:space="preserve">, </w:t>
      </w:r>
      <w:hyperlink r:id="rId429" w:anchor=":~:text=The%209th%20edition%20of%20Accessible,)%2C%20the%20Brazilian%20regulatory%20authority." w:history="1">
        <w:r w:rsidRPr="00945782">
          <w:rPr>
            <w:rStyle w:val="Hyperlink"/>
            <w:lang w:val="ru-RU"/>
          </w:rPr>
          <w:t>Северной и Южной Америке</w:t>
        </w:r>
      </w:hyperlink>
      <w:r w:rsidRPr="00945782">
        <w:rPr>
          <w:lang w:val="ru-RU"/>
        </w:rPr>
        <w:t xml:space="preserve">, </w:t>
      </w:r>
      <w:hyperlink r:id="rId430" w:anchor=":~:text=The%20special%20event%20for%20Europe,virtually%20on%206%20December%202022." w:history="1">
        <w:r w:rsidRPr="00945782">
          <w:rPr>
            <w:rStyle w:val="Hyperlink"/>
            <w:lang w:val="ru-RU"/>
          </w:rPr>
          <w:t>Европе</w:t>
        </w:r>
      </w:hyperlink>
      <w:r w:rsidRPr="00945782">
        <w:rPr>
          <w:lang w:val="ru-RU"/>
        </w:rPr>
        <w:t xml:space="preserve"> и </w:t>
      </w:r>
      <w:hyperlink r:id="rId431" w:history="1">
        <w:r w:rsidRPr="00945782">
          <w:rPr>
            <w:rStyle w:val="Hyperlink"/>
            <w:lang w:val="ru-RU"/>
          </w:rPr>
          <w:t>арабских государствах</w:t>
        </w:r>
      </w:hyperlink>
      <w:r w:rsidRPr="00945782">
        <w:rPr>
          <w:lang w:val="ru-RU"/>
        </w:rPr>
        <w:t>), а также проводил соответствующие семинары-практикумы и инициативы в регионах Азии и Тихого океана, СНГ и Африки. МСЭ-D регулярно вносил экспертный вклад в международные форумы в целях содействия принятию мер политики и стратегий, направленных на расширение охвата цифровыми технологиями. Спрос со стороны заинтересованных сторон на возможности онлайн-обучения МСЭ-D (</w:t>
      </w:r>
      <w:hyperlink r:id="rId432" w:history="1">
        <w:r w:rsidRPr="00945782">
          <w:rPr>
            <w:rStyle w:val="Hyperlink"/>
            <w:lang w:val="ru-RU"/>
          </w:rPr>
          <w:t>Академию МСЭ</w:t>
        </w:r>
      </w:hyperlink>
      <w:r w:rsidRPr="00945782">
        <w:rPr>
          <w:lang w:val="ru-RU"/>
        </w:rPr>
        <w:t xml:space="preserve">) оставался высоким: тысячи участников прошли курсы для самостоятельного изучения по веб-доступности, связи в условиях чрезвычайных и кризисных ситуаций, старению в цифровую эпоху и всеобщему охвату возможностью установления соединения для сельских и коренных сообществ. Среди новых или обновленных ресурсов: </w:t>
      </w:r>
      <w:hyperlink r:id="rId433" w:history="1">
        <w:r w:rsidRPr="00945782">
          <w:rPr>
            <w:rStyle w:val="Hyperlink"/>
            <w:lang w:val="ru-RU"/>
          </w:rPr>
          <w:t>разработанный МСЭ и МОТ комплект материалов по доступности процесса подачи заявлений на работу</w:t>
        </w:r>
      </w:hyperlink>
      <w:r w:rsidRPr="00945782">
        <w:rPr>
          <w:lang w:val="ru-RU"/>
        </w:rPr>
        <w:t xml:space="preserve">, разработанный МСЭ-D комплект материалов по внедрению доступности ИКТ </w:t>
      </w:r>
      <w:hyperlink r:id="rId434" w:history="1">
        <w:r w:rsidRPr="00945782">
          <w:rPr>
            <w:rStyle w:val="Hyperlink"/>
            <w:lang w:val="ru-RU"/>
          </w:rPr>
          <w:t>"На пути к созданию открытых для всех цифровых сообществ"</w:t>
        </w:r>
      </w:hyperlink>
      <w:r w:rsidRPr="00945782">
        <w:rPr>
          <w:lang w:val="ru-RU"/>
        </w:rPr>
        <w:t xml:space="preserve"> (с самооценкой на </w:t>
      </w:r>
      <w:hyperlink r:id="rId435" w:history="1">
        <w:r w:rsidRPr="00945782">
          <w:rPr>
            <w:rStyle w:val="Hyperlink"/>
            <w:lang w:val="ru-RU"/>
          </w:rPr>
          <w:t>английском</w:t>
        </w:r>
      </w:hyperlink>
      <w:r w:rsidRPr="00945782">
        <w:rPr>
          <w:lang w:val="ru-RU"/>
        </w:rPr>
        <w:t xml:space="preserve">, </w:t>
      </w:r>
      <w:hyperlink r:id="rId436" w:history="1">
        <w:r w:rsidRPr="00945782">
          <w:rPr>
            <w:rStyle w:val="Hyperlink"/>
            <w:lang w:val="ru-RU"/>
          </w:rPr>
          <w:t>французском</w:t>
        </w:r>
      </w:hyperlink>
      <w:r w:rsidRPr="00945782">
        <w:rPr>
          <w:lang w:val="ru-RU"/>
        </w:rPr>
        <w:t xml:space="preserve"> и </w:t>
      </w:r>
      <w:hyperlink r:id="rId437" w:history="1">
        <w:r w:rsidRPr="00945782">
          <w:rPr>
            <w:rStyle w:val="Hyperlink"/>
            <w:lang w:val="ru-RU"/>
          </w:rPr>
          <w:t>испанском</w:t>
        </w:r>
      </w:hyperlink>
      <w:r w:rsidRPr="00945782">
        <w:rPr>
          <w:lang w:val="ru-RU"/>
        </w:rPr>
        <w:t xml:space="preserve"> языках), видеоматериалы на </w:t>
      </w:r>
      <w:hyperlink r:id="rId438" w:history="1">
        <w:r w:rsidRPr="00945782">
          <w:rPr>
            <w:rStyle w:val="Hyperlink"/>
            <w:lang w:val="ru-RU"/>
          </w:rPr>
          <w:t>арабском</w:t>
        </w:r>
      </w:hyperlink>
      <w:r w:rsidRPr="00945782">
        <w:rPr>
          <w:lang w:val="ru-RU"/>
        </w:rPr>
        <w:t xml:space="preserve">, </w:t>
      </w:r>
      <w:hyperlink r:id="rId439" w:history="1">
        <w:r w:rsidRPr="00945782">
          <w:rPr>
            <w:rStyle w:val="Hyperlink"/>
            <w:lang w:val="ru-RU"/>
          </w:rPr>
          <w:t>китайском</w:t>
        </w:r>
      </w:hyperlink>
      <w:r w:rsidRPr="00945782">
        <w:rPr>
          <w:lang w:val="ru-RU"/>
        </w:rPr>
        <w:t xml:space="preserve">, </w:t>
      </w:r>
      <w:hyperlink r:id="rId440" w:history="1">
        <w:r w:rsidRPr="00945782">
          <w:rPr>
            <w:rStyle w:val="Hyperlink"/>
            <w:lang w:val="ru-RU"/>
          </w:rPr>
          <w:t>английском</w:t>
        </w:r>
      </w:hyperlink>
      <w:r w:rsidRPr="00945782">
        <w:rPr>
          <w:lang w:val="ru-RU"/>
        </w:rPr>
        <w:t xml:space="preserve">, </w:t>
      </w:r>
      <w:hyperlink r:id="rId441" w:history="1">
        <w:r w:rsidRPr="00945782">
          <w:rPr>
            <w:rStyle w:val="Hyperlink"/>
            <w:lang w:val="ru-RU"/>
          </w:rPr>
          <w:t>французском</w:t>
        </w:r>
      </w:hyperlink>
      <w:r w:rsidRPr="00945782">
        <w:rPr>
          <w:lang w:val="ru-RU"/>
        </w:rPr>
        <w:t xml:space="preserve">, </w:t>
      </w:r>
      <w:hyperlink r:id="rId442" w:history="1">
        <w:r w:rsidRPr="00945782">
          <w:rPr>
            <w:rStyle w:val="Hyperlink"/>
            <w:lang w:val="ru-RU"/>
          </w:rPr>
          <w:t>русском</w:t>
        </w:r>
      </w:hyperlink>
      <w:r w:rsidRPr="00945782">
        <w:rPr>
          <w:lang w:val="ru-RU"/>
        </w:rPr>
        <w:t xml:space="preserve"> и </w:t>
      </w:r>
      <w:hyperlink r:id="rId443" w:history="1">
        <w:r w:rsidRPr="00945782">
          <w:rPr>
            <w:rStyle w:val="Hyperlink"/>
            <w:lang w:val="ru-RU"/>
          </w:rPr>
          <w:t>испанском</w:t>
        </w:r>
      </w:hyperlink>
      <w:r w:rsidRPr="00945782">
        <w:rPr>
          <w:lang w:val="ru-RU"/>
        </w:rPr>
        <w:t xml:space="preserve"> языках, специализированные рекомендации для программ "умных" деревень и "умных" островов, ставшие дополнением к более чем 80 инструментам и ресурсам для поддержки </w:t>
      </w:r>
      <w:r w:rsidRPr="00945782">
        <w:rPr>
          <w:lang w:val="ru-RU"/>
        </w:rPr>
        <w:lastRenderedPageBreak/>
        <w:t>глобальной реализации цифровой трансформации на основе принципа открытости для всех. Все ресурсы МСЭ-D, включая тематические отчеты и онлайн-курсы для самостоятельного изучения, оставались бесплатными, доступными в адаптированных форматах и переведенными на несколько языков ООН.</w:t>
      </w:r>
    </w:p>
    <w:p w14:paraId="53363A30" w14:textId="77777777" w:rsidR="00D82062" w:rsidRPr="00945782" w:rsidRDefault="00D82062" w:rsidP="00831734">
      <w:pPr>
        <w:rPr>
          <w:lang w:val="ru-RU"/>
        </w:rPr>
      </w:pPr>
      <w:r w:rsidRPr="00945782">
        <w:rPr>
          <w:lang w:val="ru-RU"/>
        </w:rPr>
        <w:t>МСЭ-D сыграл ключевую роль в расширении возможностей членов МСЭ по укреплению знаний, обмену опытом и разработке действенных мер политики и стратегий для обеспечения цифровой доступности на глобальном, региональном и национальном уровнях. Кроме того, МСЭ-D создал динамичные площадки для обмена передовой практикой, способствующие реализации инициатив, в том числе через флагманские региональные мероприятия "Доступные ИКТ для всех" (проведенные на Кубе, в Мексике, Гватемале, Испании, Бельгии, Марокко и Иордании), в которых приняли участие более 80% стран каждого из регионов, а в каждом из мероприятий – в среднем около 200 человек, а также ключевые платформы в области расширения охвата цифровыми технологиями и их доступности, включая Конференции государств − участников Конвенции ООН о правах инвалидов (КПИ), региональные форумы по расширению охвата цифровыми технологиями (например, в Азиатско-Тихоокеанском регионе), Глобальный форум по вопросам старения (Япония) и Форум по цифровой доступности (ОАЭ).</w:t>
      </w:r>
    </w:p>
    <w:p w14:paraId="62632E0F" w14:textId="106F441A" w:rsidR="00D82062" w:rsidRPr="00945782" w:rsidRDefault="00D82062" w:rsidP="00831734">
      <w:pPr>
        <w:rPr>
          <w:lang w:val="ru-RU"/>
        </w:rPr>
      </w:pPr>
      <w:hyperlink r:id="rId444" w:history="1">
        <w:r w:rsidRPr="00945782">
          <w:rPr>
            <w:rStyle w:val="Hyperlink"/>
            <w:lang w:val="ru-RU"/>
          </w:rPr>
          <w:t>МСЭ-T</w:t>
        </w:r>
      </w:hyperlink>
      <w:r w:rsidRPr="00945782">
        <w:rPr>
          <w:lang w:val="ru-RU"/>
        </w:rPr>
        <w:t xml:space="preserve"> развивал усилия по обеспечению доступности посредством работы по включению принципов рассчитанного на всех дизайна в разработку стандартов и по совершенствованию цифровых платформ, ориентированных на пользователей. МСЭ-T усовершенствовал систему "</w:t>
      </w:r>
      <w:hyperlink r:id="rId445" w:history="1">
        <w:r w:rsidRPr="00945782">
          <w:rPr>
            <w:rStyle w:val="Hyperlink"/>
            <w:lang w:val="ru-RU"/>
          </w:rPr>
          <w:t>ITUSearch</w:t>
        </w:r>
      </w:hyperlink>
      <w:r w:rsidRPr="00945782">
        <w:rPr>
          <w:lang w:val="ru-RU"/>
        </w:rPr>
        <w:t xml:space="preserve">", приведя ее в соответствие с руководящими принципами МСЭ в области дизайна, в результате чего навигация стала более понятной и доступной. Сектор также продолжил поддерживать работу, связанную с новыми технологиями, в том числе через сотрудничество со Всемирной организацией здравоохранения (ВОЗ) по вопросам </w:t>
      </w:r>
      <w:hyperlink r:id="rId446" w:history="1">
        <w:r w:rsidRPr="00945782">
          <w:rPr>
            <w:rStyle w:val="Hyperlink"/>
            <w:lang w:val="ru-RU"/>
          </w:rPr>
          <w:t>доступности услуг телемедицины</w:t>
        </w:r>
      </w:hyperlink>
      <w:r w:rsidRPr="00945782">
        <w:rPr>
          <w:lang w:val="ru-RU"/>
        </w:rPr>
        <w:t xml:space="preserve"> и безопасного прослушивания для музыкальных </w:t>
      </w:r>
      <w:hyperlink r:id="rId447" w:history="1">
        <w:r w:rsidRPr="00945782">
          <w:rPr>
            <w:rStyle w:val="Hyperlink"/>
            <w:lang w:val="ru-RU"/>
          </w:rPr>
          <w:t>устройств</w:t>
        </w:r>
      </w:hyperlink>
      <w:r w:rsidRPr="00945782">
        <w:rPr>
          <w:lang w:val="ru-RU"/>
        </w:rPr>
        <w:t xml:space="preserve">, </w:t>
      </w:r>
      <w:hyperlink r:id="rId448" w:history="1">
        <w:r w:rsidRPr="00945782">
          <w:rPr>
            <w:rStyle w:val="Hyperlink"/>
            <w:lang w:val="ru-RU"/>
          </w:rPr>
          <w:t>персональных звуковых усилителей</w:t>
        </w:r>
      </w:hyperlink>
      <w:r w:rsidRPr="00945782">
        <w:rPr>
          <w:lang w:val="ru-RU"/>
        </w:rPr>
        <w:t xml:space="preserve">, </w:t>
      </w:r>
      <w:hyperlink r:id="rId449" w:history="1">
        <w:r w:rsidRPr="00945782">
          <w:rPr>
            <w:rStyle w:val="Hyperlink"/>
            <w:lang w:val="ru-RU"/>
          </w:rPr>
          <w:t>мест проведения мероприятий</w:t>
        </w:r>
      </w:hyperlink>
      <w:r w:rsidRPr="00945782">
        <w:rPr>
          <w:lang w:val="ru-RU"/>
        </w:rPr>
        <w:t xml:space="preserve"> и </w:t>
      </w:r>
      <w:hyperlink r:id="rId450" w:history="1">
        <w:r w:rsidRPr="00945782">
          <w:rPr>
            <w:rStyle w:val="Hyperlink"/>
            <w:lang w:val="ru-RU"/>
          </w:rPr>
          <w:t>видеоигр/киберспорта</w:t>
        </w:r>
      </w:hyperlink>
      <w:r w:rsidRPr="00945782">
        <w:rPr>
          <w:lang w:val="ru-RU"/>
        </w:rPr>
        <w:t xml:space="preserve">, а также по вопросам разработки эталонных моделей для оценки ИИ-приложений в здравоохранении, созданных в </w:t>
      </w:r>
      <w:hyperlink r:id="rId451" w:history="1">
        <w:r w:rsidRPr="00945782">
          <w:rPr>
            <w:rStyle w:val="Hyperlink"/>
            <w:lang w:val="ru-RU"/>
          </w:rPr>
          <w:t>совместной оперативной группе МСЭ и ВОЗ</w:t>
        </w:r>
      </w:hyperlink>
      <w:r w:rsidRPr="00945782">
        <w:rPr>
          <w:lang w:val="ru-RU"/>
        </w:rPr>
        <w:t xml:space="preserve"> (в рамках </w:t>
      </w:r>
      <w:hyperlink r:id="rId452" w:history="1">
        <w:r w:rsidRPr="00945782">
          <w:rPr>
            <w:rStyle w:val="Hyperlink"/>
            <w:lang w:val="ru-RU"/>
          </w:rPr>
          <w:t>21-й Исследовательской комиссии МСЭ-T</w:t>
        </w:r>
      </w:hyperlink>
      <w:r w:rsidRPr="00945782">
        <w:rPr>
          <w:lang w:val="ru-RU"/>
        </w:rPr>
        <w:t xml:space="preserve">, ранее 16-й Исследовательской комиссии). Кроме того, </w:t>
      </w:r>
      <w:hyperlink r:id="rId453" w:history="1">
        <w:r w:rsidRPr="00945782">
          <w:rPr>
            <w:rStyle w:val="Hyperlink"/>
            <w:lang w:val="ru-RU"/>
          </w:rPr>
          <w:t>20</w:t>
        </w:r>
        <w:r w:rsidR="00831734" w:rsidRPr="00945782">
          <w:rPr>
            <w:rStyle w:val="Hyperlink"/>
            <w:rFonts w:ascii="Cambria Math" w:hAnsi="Cambria Math"/>
            <w:lang w:val="ru-RU"/>
          </w:rPr>
          <w:t>‑</w:t>
        </w:r>
        <w:r w:rsidRPr="00945782">
          <w:rPr>
            <w:rStyle w:val="Hyperlink"/>
            <w:lang w:val="ru-RU"/>
          </w:rPr>
          <w:t>я</w:t>
        </w:r>
        <w:r w:rsidR="00831734" w:rsidRPr="00945782">
          <w:rPr>
            <w:rStyle w:val="Hyperlink"/>
            <w:lang w:val="ru-RU"/>
          </w:rPr>
          <w:t> </w:t>
        </w:r>
        <w:r w:rsidRPr="00945782">
          <w:rPr>
            <w:rStyle w:val="Hyperlink"/>
            <w:lang w:val="ru-RU"/>
          </w:rPr>
          <w:t>Исследовательская комиссия МСЭ-T</w:t>
        </w:r>
      </w:hyperlink>
      <w:r w:rsidRPr="00945782">
        <w:rPr>
          <w:lang w:val="ru-RU"/>
        </w:rPr>
        <w:t xml:space="preserve"> способствовала стандартизации человеко-ориентированных цифровых услуг, обеспечиваемых Интернетом вещей (IoT), а также "умными" устойчивыми городами и сообществами, уделив особое внимание цифровому здравоохранению, доступности и обеспечению всеобщего охвата. В дополнение к этим усилиям в рамках </w:t>
      </w:r>
      <w:hyperlink r:id="rId454" w:history="1">
        <w:r w:rsidRPr="00945782">
          <w:rPr>
            <w:rStyle w:val="Hyperlink"/>
            <w:lang w:val="ru-RU"/>
          </w:rPr>
          <w:t xml:space="preserve">глобальной инициативы "Виртуальные миры и ИИ − </w:t>
        </w:r>
        <w:r w:rsidRPr="00945782">
          <w:rPr>
            <w:rStyle w:val="Hyperlink"/>
            <w:i/>
            <w:iCs/>
            <w:lang w:val="ru-RU"/>
          </w:rPr>
          <w:t>знакомство с метавселенной для городов</w:t>
        </w:r>
        <w:r w:rsidRPr="00945782">
          <w:rPr>
            <w:rStyle w:val="Hyperlink"/>
            <w:lang w:val="ru-RU"/>
          </w:rPr>
          <w:t>"</w:t>
        </w:r>
      </w:hyperlink>
      <w:r w:rsidRPr="00945782">
        <w:rPr>
          <w:lang w:val="ru-RU"/>
        </w:rPr>
        <w:t xml:space="preserve"> продолжается рассмотрение вопросов обеспечения всеобщего охвата и доступности в метавселенной для городов и виртуальных мирах, при этом отмечается, что создание новых цифровых сред вызывает вопросы в области доступности, связанные с цифровыми навыками, нарушениями зрения и нейроразнообразием, которые необходимо принимать во внимание в упреждающем порядке. МСЭ-T поддерживал специализированные репозитории и информационные каналы, чтобы соображения в области доступности оставались в центре деятельности по стандартизации и были широко доступны для членов и заинтересованных сторон.</w:t>
      </w:r>
    </w:p>
    <w:p w14:paraId="11EAE180" w14:textId="5D591010" w:rsidR="00D82062" w:rsidRPr="00945782" w:rsidRDefault="00D82062" w:rsidP="00831734">
      <w:pPr>
        <w:rPr>
          <w:lang w:val="ru-RU"/>
        </w:rPr>
      </w:pPr>
      <w:r w:rsidRPr="00945782">
        <w:rPr>
          <w:lang w:val="ru-RU"/>
        </w:rPr>
        <w:t>Сектор радиосвязи (</w:t>
      </w:r>
      <w:hyperlink r:id="rId455" w:history="1">
        <w:r w:rsidRPr="00945782">
          <w:rPr>
            <w:rStyle w:val="Hyperlink"/>
            <w:lang w:val="ru-RU"/>
          </w:rPr>
          <w:t>МСЭ-R</w:t>
        </w:r>
      </w:hyperlink>
      <w:r w:rsidRPr="00945782">
        <w:rPr>
          <w:lang w:val="ru-RU"/>
        </w:rPr>
        <w:t xml:space="preserve">) способствовал обеспечению доступности путем обновления ряда ключевых технических публикаций, учитывающих потребности лиц с ограниченными возможностями и лиц с особыми потребностями. Пять публикаций МСЭ-R были пересмотрены и утверждены в соответствии с </w:t>
      </w:r>
      <w:hyperlink r:id="rId456" w:history="1">
        <w:r w:rsidRPr="00945782">
          <w:rPr>
            <w:rStyle w:val="Hyperlink"/>
            <w:lang w:val="ru-RU"/>
          </w:rPr>
          <w:t>Резолюцией МСЭ-R 67-2</w:t>
        </w:r>
      </w:hyperlink>
      <w:r w:rsidRPr="00945782">
        <w:rPr>
          <w:lang w:val="ru-RU"/>
        </w:rPr>
        <w:t xml:space="preserve"> по доступности электросвязи/ИКТ, что обеспечило их актуальность и соответствие новым технологическим условиям. Обновления затронули </w:t>
      </w:r>
      <w:hyperlink r:id="rId457" w:history="1">
        <w:r w:rsidRPr="00945782">
          <w:rPr>
            <w:rStyle w:val="Hyperlink"/>
            <w:lang w:val="ru-RU"/>
          </w:rPr>
          <w:t>Отчет МСЭ-R BT.2207</w:t>
        </w:r>
      </w:hyperlink>
      <w:r w:rsidRPr="00945782">
        <w:rPr>
          <w:lang w:val="ru-RU"/>
        </w:rPr>
        <w:t xml:space="preserve"> по доступности вещательных услуг и </w:t>
      </w:r>
      <w:hyperlink r:id="rId458" w:history="1">
        <w:r w:rsidRPr="00945782">
          <w:rPr>
            <w:rStyle w:val="Hyperlink"/>
            <w:lang w:val="ru-RU"/>
          </w:rPr>
          <w:t>Отчет МСЭ-R SM.2153</w:t>
        </w:r>
      </w:hyperlink>
      <w:r w:rsidRPr="00945782">
        <w:rPr>
          <w:lang w:val="ru-RU"/>
        </w:rPr>
        <w:t xml:space="preserve"> по устройствам радиосвязи малого радиуса действия. МСЭ-R утвердил также </w:t>
      </w:r>
      <w:hyperlink r:id="rId459" w:history="1">
        <w:r w:rsidRPr="00945782">
          <w:rPr>
            <w:rStyle w:val="Hyperlink"/>
            <w:lang w:val="ru-RU"/>
          </w:rPr>
          <w:t>Рекомендацию МСЭ</w:t>
        </w:r>
        <w:r w:rsidR="00831734" w:rsidRPr="00945782">
          <w:rPr>
            <w:rStyle w:val="Hyperlink"/>
            <w:rFonts w:ascii="Cambria Math" w:hAnsi="Cambria Math"/>
            <w:lang w:val="ru-RU"/>
          </w:rPr>
          <w:t>‑</w:t>
        </w:r>
        <w:r w:rsidRPr="00945782">
          <w:rPr>
            <w:rStyle w:val="Hyperlink"/>
            <w:lang w:val="ru-RU"/>
          </w:rPr>
          <w:t>R BT.1702-3</w:t>
        </w:r>
      </w:hyperlink>
      <w:r w:rsidRPr="00945782">
        <w:rPr>
          <w:lang w:val="ru-RU"/>
        </w:rPr>
        <w:t xml:space="preserve">, в которой содержатся руководящие указания по снижению риска светочувствительных эпилептических приступов, вызываемых телевизионным контентом. </w:t>
      </w:r>
      <w:r w:rsidRPr="00945782">
        <w:rPr>
          <w:lang w:val="ru-RU"/>
        </w:rPr>
        <w:lastRenderedPageBreak/>
        <w:t>В</w:t>
      </w:r>
      <w:r w:rsidR="00831734" w:rsidRPr="00945782">
        <w:rPr>
          <w:lang w:val="ru-RU"/>
        </w:rPr>
        <w:t> </w:t>
      </w:r>
      <w:hyperlink r:id="rId460" w:history="1">
        <w:r w:rsidRPr="00945782">
          <w:rPr>
            <w:rStyle w:val="Hyperlink"/>
            <w:lang w:val="ru-RU"/>
          </w:rPr>
          <w:t>Справочнике МСЭ-R по внедрению сетей и систем цифрового наземного телевизионного вещания</w:t>
        </w:r>
      </w:hyperlink>
      <w:r w:rsidRPr="00945782">
        <w:rPr>
          <w:lang w:val="ru-RU"/>
        </w:rPr>
        <w:t xml:space="preserve"> также рассматриваются вопросы доступности и их значение для лиц с ограниченными возможностями и лиц с особыми потребностями. Посредством этих обновлений МСЭ-R укрепил свою приверженность дальнейшему обеспечению безопасности, открытости и доступности для всех пользователей систем радиосвязи и вещательной среды.</w:t>
      </w:r>
    </w:p>
    <w:p w14:paraId="7AD99C20" w14:textId="77777777" w:rsidR="00D82062" w:rsidRPr="00945782" w:rsidRDefault="00D82062" w:rsidP="00831734">
      <w:pPr>
        <w:rPr>
          <w:lang w:val="ru-RU"/>
        </w:rPr>
      </w:pPr>
      <w:r w:rsidRPr="00945782">
        <w:rPr>
          <w:lang w:val="ru-RU"/>
        </w:rPr>
        <w:t>В рамках внутреннего компонента Политики МСЭ по обеспечению доступности ведется значительная работа по всем соответствующим направлениям, включая проектирование нового здания, управление объектами, коммуникации, закупки, функции управления людскими ресурсами, такие как наем и благополучие персонала, информационные технологии, конференции и публикации и др. МСЭ движется вперед в вопросах соответствия стандартам ООН и собственной Политике по обеспечению доступности, однако в ряде областей требуется больше усилий и более эффективная координация. В связи с этим МСЭ продолжал представлять отчетность по 15 общим для системы ООН показателям деятельности (PI) UNDIS (Стратегии ООН по интеграции инвалидов). UNDIS направлена на обеспечение полной интеграции вопросов инвалидности во все направления деятельности системы ООН и представляет собой рамочную основу для устойчивого и трансформационного прогресса в рамках всей организации.</w:t>
      </w:r>
    </w:p>
    <w:p w14:paraId="09477369" w14:textId="77777777" w:rsidR="00D82062" w:rsidRPr="00945782" w:rsidRDefault="00D82062" w:rsidP="00831734">
      <w:pPr>
        <w:rPr>
          <w:lang w:val="ru-RU"/>
        </w:rPr>
      </w:pPr>
      <w:r w:rsidRPr="00945782">
        <w:rPr>
          <w:lang w:val="ru-RU"/>
        </w:rPr>
        <w:t>Показатели деятельности UNDIS охватывают четыре ключевые области: руководство, стратегическое планирование и управление; всеохватность; программная деятельность; и организационная культура. Результаты самооценки МСЭ следующие:</w:t>
      </w:r>
    </w:p>
    <w:p w14:paraId="57345DB6" w14:textId="0D236325" w:rsidR="00831734" w:rsidRPr="00945782" w:rsidRDefault="00831734" w:rsidP="00831734">
      <w:pPr>
        <w:pStyle w:val="Figure"/>
        <w:rPr>
          <w:lang w:val="ru-RU"/>
        </w:rPr>
      </w:pPr>
      <w:r w:rsidRPr="00945782">
        <w:rPr>
          <w:noProof/>
          <w:lang w:val="ru-RU"/>
        </w:rPr>
        <w:drawing>
          <wp:inline distT="0" distB="0" distL="0" distR="0" wp14:anchorId="429C1D12" wp14:editId="069D111E">
            <wp:extent cx="4623993" cy="2943225"/>
            <wp:effectExtent l="0" t="0" r="5715" b="0"/>
            <wp:docPr id="1493057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633621" cy="2949353"/>
                    </a:xfrm>
                    <a:prstGeom prst="rect">
                      <a:avLst/>
                    </a:prstGeom>
                    <a:noFill/>
                  </pic:spPr>
                </pic:pic>
              </a:graphicData>
            </a:graphic>
          </wp:inline>
        </w:drawing>
      </w:r>
    </w:p>
    <w:p w14:paraId="035ABEC8" w14:textId="001CBC51" w:rsidR="00D82062" w:rsidRPr="00945782" w:rsidRDefault="00D82062" w:rsidP="00831734">
      <w:pPr>
        <w:pStyle w:val="Figure"/>
        <w:rPr>
          <w:i/>
          <w:iCs/>
          <w:color w:val="1F497D" w:themeColor="text2"/>
          <w:sz w:val="18"/>
          <w:szCs w:val="18"/>
          <w:lang w:val="ru-RU"/>
        </w:rPr>
      </w:pPr>
      <w:bookmarkStart w:id="134" w:name="Fig22"/>
      <w:r w:rsidRPr="00945782">
        <w:rPr>
          <w:i/>
          <w:iCs/>
          <w:color w:val="1F497D" w:themeColor="text2"/>
          <w:sz w:val="18"/>
          <w:szCs w:val="18"/>
          <w:lang w:val="ru-RU"/>
        </w:rPr>
        <w:t>Рис</w:t>
      </w:r>
      <w:r w:rsidR="00831734" w:rsidRPr="00945782">
        <w:rPr>
          <w:i/>
          <w:iCs/>
          <w:color w:val="1F497D" w:themeColor="text2"/>
          <w:sz w:val="18"/>
          <w:szCs w:val="18"/>
          <w:lang w:val="ru-RU"/>
        </w:rPr>
        <w:t>унок</w:t>
      </w:r>
      <w:r w:rsidRPr="00945782">
        <w:rPr>
          <w:i/>
          <w:iCs/>
          <w:color w:val="1F497D" w:themeColor="text2"/>
          <w:sz w:val="18"/>
          <w:szCs w:val="18"/>
          <w:lang w:val="ru-RU"/>
        </w:rPr>
        <w:t> 22</w:t>
      </w:r>
      <w:r w:rsidR="00831734" w:rsidRPr="00945782">
        <w:rPr>
          <w:i/>
          <w:iCs/>
          <w:color w:val="1F497D" w:themeColor="text2"/>
          <w:sz w:val="18"/>
          <w:szCs w:val="18"/>
          <w:lang w:val="ru-RU"/>
        </w:rPr>
        <w:t xml:space="preserve"> −</w:t>
      </w:r>
      <w:r w:rsidRPr="00945782">
        <w:rPr>
          <w:i/>
          <w:iCs/>
          <w:color w:val="1F497D" w:themeColor="text2"/>
          <w:sz w:val="18"/>
          <w:szCs w:val="18"/>
          <w:lang w:val="ru-RU"/>
        </w:rPr>
        <w:t xml:space="preserve"> Самооценка МСЭ по показателям деятельности UNDIS</w:t>
      </w:r>
    </w:p>
    <w:p w14:paraId="4B55B6C7" w14:textId="31412D07" w:rsidR="00D82062" w:rsidRPr="00945782" w:rsidRDefault="00D82062" w:rsidP="00D82062">
      <w:pPr>
        <w:pStyle w:val="Heading3"/>
        <w:rPr>
          <w:lang w:val="ru-RU"/>
        </w:rPr>
      </w:pPr>
      <w:bookmarkStart w:id="135" w:name="_Toc227062883"/>
      <w:bookmarkStart w:id="136" w:name="_Toc227850271"/>
      <w:bookmarkEnd w:id="134"/>
      <w:r w:rsidRPr="00945782">
        <w:rPr>
          <w:lang w:val="ru-RU"/>
        </w:rPr>
        <w:t>5.3.4</w:t>
      </w:r>
      <w:r w:rsidR="00831734" w:rsidRPr="00945782">
        <w:rPr>
          <w:lang w:val="ru-RU"/>
        </w:rPr>
        <w:tab/>
      </w:r>
      <w:r w:rsidRPr="00945782">
        <w:rPr>
          <w:lang w:val="ru-RU"/>
        </w:rPr>
        <w:t>Решения для сельских, отдаленных и коренных сообществ</w:t>
      </w:r>
      <w:bookmarkEnd w:id="135"/>
      <w:bookmarkEnd w:id="136"/>
    </w:p>
    <w:p w14:paraId="3251CC02" w14:textId="77777777" w:rsidR="00D82062" w:rsidRPr="00945782" w:rsidRDefault="00D82062" w:rsidP="00831734">
      <w:pPr>
        <w:rPr>
          <w:lang w:val="ru-RU"/>
        </w:rPr>
      </w:pPr>
      <w:r w:rsidRPr="00945782">
        <w:rPr>
          <w:lang w:val="ru-RU"/>
        </w:rPr>
        <w:t>С 2002 года Государства – Члены МСЭ стремятся расширять возможности коренных сообществ с помощью технологий, что отражено в резолюциях, принимаемых и регулярно продляемых в рамках работы Всемирных конференций по развитию электросвязи и Полномочных конференций МСЭ.</w:t>
      </w:r>
    </w:p>
    <w:p w14:paraId="070C28CB" w14:textId="3FBDD598" w:rsidR="00D82062" w:rsidRPr="00945782" w:rsidRDefault="00D82062" w:rsidP="00831734">
      <w:pPr>
        <w:rPr>
          <w:lang w:val="ru-RU"/>
        </w:rPr>
      </w:pPr>
      <w:r w:rsidRPr="00945782">
        <w:rPr>
          <w:lang w:val="ru-RU"/>
        </w:rPr>
        <w:t xml:space="preserve">В 2023 году МСЭ провел свою первую программу онлайнового обучения </w:t>
      </w:r>
      <w:hyperlink r:id="rId462" w:history="1">
        <w:r w:rsidRPr="00945782">
          <w:rPr>
            <w:rStyle w:val="Hyperlink"/>
            <w:lang w:val="ru-RU"/>
          </w:rPr>
          <w:t>"Инновационные средства связи, призванные укреплять потенциал общин коренных народов"</w:t>
        </w:r>
      </w:hyperlink>
      <w:r w:rsidRPr="00945782">
        <w:rPr>
          <w:lang w:val="ru-RU"/>
        </w:rPr>
        <w:t xml:space="preserve">, в которой приняли участие более 200 человек (45% из них – женщины) из 16 стран Латинской Америки. Вторая программа смешанного формата </w:t>
      </w:r>
      <w:hyperlink r:id="rId463" w:history="1">
        <w:r w:rsidRPr="00945782">
          <w:rPr>
            <w:rStyle w:val="Hyperlink"/>
            <w:lang w:val="ru-RU"/>
          </w:rPr>
          <w:t xml:space="preserve">"Управляющие сетей ИКТ в сообществах коренных </w:t>
        </w:r>
        <w:r w:rsidRPr="00945782">
          <w:rPr>
            <w:rStyle w:val="Hyperlink"/>
            <w:lang w:val="ru-RU"/>
          </w:rPr>
          <w:lastRenderedPageBreak/>
          <w:t>народов и сельских сообществах в Латинской Америке"</w:t>
        </w:r>
      </w:hyperlink>
      <w:r w:rsidRPr="00945782">
        <w:rPr>
          <w:lang w:val="ru-RU"/>
        </w:rPr>
        <w:t>, реализованная в рамках Академии МСЭ и очно в Колумбии, выпустила 40 специалистов, при этом среди выпускников был обеспечен гендерный баланс. Эта программа для управляющих была также реализована в 2023</w:t>
      </w:r>
      <w:r w:rsidR="00831734" w:rsidRPr="00945782">
        <w:rPr>
          <w:lang w:val="ru-RU"/>
        </w:rPr>
        <w:t> </w:t>
      </w:r>
      <w:r w:rsidRPr="00945782">
        <w:rPr>
          <w:lang w:val="ru-RU"/>
        </w:rPr>
        <w:t xml:space="preserve">году в целях постоянной адаптации обучения к меняющимся потребностям коренных и сельских сообществ. МСЭ также поделился своей накопленной экспертизой в рамках тематической сессии ВВУИО </w:t>
      </w:r>
      <w:hyperlink r:id="rId464" w:history="1">
        <w:r w:rsidRPr="00945782">
          <w:rPr>
            <w:rStyle w:val="Hyperlink"/>
            <w:lang w:val="ru-RU"/>
          </w:rPr>
          <w:t>"Создание потенциала и благоприятная среда для реального доступа в сообществах коренных народов и сельских сообществах"</w:t>
        </w:r>
      </w:hyperlink>
      <w:r w:rsidRPr="00945782">
        <w:rPr>
          <w:lang w:val="ru-RU"/>
        </w:rPr>
        <w:t>, представив выводы, основанные на 18-летнем опыте работы в этой области. В 2024–2025 годах продолжалась работа в рамках деятельности МСЭ-D, направленная на удовлетворение специфических потребностей коренных народов посредством целевого обучения, обмена знаниями и поддержки проектов.</w:t>
      </w:r>
    </w:p>
    <w:p w14:paraId="7885B2D5" w14:textId="230A976C" w:rsidR="00D82062" w:rsidRPr="00945782" w:rsidRDefault="00D82062" w:rsidP="00831734">
      <w:pPr>
        <w:rPr>
          <w:lang w:val="ru-RU"/>
        </w:rPr>
      </w:pPr>
      <w:r w:rsidRPr="00945782">
        <w:rPr>
          <w:lang w:val="ru-RU"/>
        </w:rPr>
        <w:t>С 2023 года существенно расширился масштаб работы МСЭ по обеспечению охвата цифровыми технологиями сельских, отдаленных сообществ и сообществ коренных народов. В Латинской Америке и Карибском бассейне прошла четвертая смешанная программа профессиональной подготовки, выпускниками которой стали 28 администраторов сетей из девяти стран (2023</w:t>
      </w:r>
      <w:r w:rsidR="00831734" w:rsidRPr="00945782">
        <w:rPr>
          <w:lang w:val="ru-RU"/>
        </w:rPr>
        <w:t>−</w:t>
      </w:r>
      <w:r w:rsidRPr="00945782">
        <w:rPr>
          <w:lang w:val="ru-RU"/>
        </w:rPr>
        <w:t>2024 гг.), а в 2024 году слушателями нового краткого курса по разработке стратегий установления соединений в сообществах стали 50 участников из 10 стран. В реализуемой в настоящее время пятой программе (2025 г.) уже приняли участие 69 человек из 12 стран. Одновременно с этим в 2025 году впервые была начата реализация программы в Африке; число участников – 65 человек из 18 стран. Эти усилия укрепляют потенциал на местном уровне и дают сообществам возможность самостоятельно управлять своим цифровым развитием.</w:t>
      </w:r>
    </w:p>
    <w:p w14:paraId="3C2A9355" w14:textId="523E67B6" w:rsidR="00D82062" w:rsidRPr="00945782" w:rsidRDefault="00D82062" w:rsidP="00D82062">
      <w:pPr>
        <w:pStyle w:val="Heading3"/>
        <w:rPr>
          <w:lang w:val="ru-RU"/>
        </w:rPr>
      </w:pPr>
      <w:bookmarkStart w:id="137" w:name="_Toc227062884"/>
      <w:bookmarkStart w:id="138" w:name="_Toc227850272"/>
      <w:r w:rsidRPr="00945782">
        <w:rPr>
          <w:lang w:val="ru-RU"/>
        </w:rPr>
        <w:t>5.3.5</w:t>
      </w:r>
      <w:r w:rsidR="00831734" w:rsidRPr="00945782">
        <w:rPr>
          <w:lang w:val="ru-RU"/>
        </w:rPr>
        <w:tab/>
      </w:r>
      <w:r w:rsidRPr="00945782">
        <w:rPr>
          <w:lang w:val="ru-RU"/>
        </w:rPr>
        <w:t>Поддержка стареющего населения</w:t>
      </w:r>
      <w:bookmarkEnd w:id="137"/>
      <w:bookmarkEnd w:id="138"/>
    </w:p>
    <w:p w14:paraId="48630AC1" w14:textId="77777777" w:rsidR="00D82062" w:rsidRPr="00945782" w:rsidRDefault="00D82062" w:rsidP="00831734">
      <w:pPr>
        <w:rPr>
          <w:lang w:val="ru-RU"/>
        </w:rPr>
      </w:pPr>
      <w:r w:rsidRPr="00945782">
        <w:rPr>
          <w:lang w:val="ru-RU"/>
        </w:rPr>
        <w:t xml:space="preserve">К 2050 году численность населения мира в возрасте 60 лет и старше удвоится (и достигла 2,1 млрд. человек). В контексте двух глобальных мегатенденций – старения населения и развития технологий – в социально-экономической среде появятся значительные изменения и проблемы. МСЭ активизировал усилия по поддержке стареющего населения в условиях все более цифрового мира в соответствии с Десятилетием здорового старения ООН (2021–2030 гг.). В течение рассматриваемого периода МСЭ внес экспертный вклад в рамках 17 международных мероприятий и семинаров-практикумов, таких как </w:t>
      </w:r>
      <w:hyperlink r:id="rId465" w:history="1">
        <w:r w:rsidRPr="00945782">
          <w:rPr>
            <w:rStyle w:val="Hyperlink"/>
            <w:lang w:val="ru-RU"/>
          </w:rPr>
          <w:t>Глобальный политический диалог ДЭСВ ООН по вопросам старения</w:t>
        </w:r>
      </w:hyperlink>
      <w:r w:rsidRPr="00945782">
        <w:rPr>
          <w:lang w:val="ru-RU"/>
        </w:rPr>
        <w:t xml:space="preserve"> и </w:t>
      </w:r>
      <w:hyperlink r:id="rId466" w:history="1">
        <w:r w:rsidRPr="00945782">
          <w:rPr>
            <w:rStyle w:val="Hyperlink"/>
            <w:lang w:val="ru-RU"/>
          </w:rPr>
          <w:t>Форум высокого уровня по серебряной экономике</w:t>
        </w:r>
      </w:hyperlink>
      <w:r w:rsidRPr="00945782">
        <w:rPr>
          <w:lang w:val="ru-RU"/>
        </w:rPr>
        <w:t>, осуществляя сотрудничество с учреждениями ООН и партнерами из гражданского общества для содействия цифровой трансформации в интересах пожилых людей, основанной на правах и открытости для всех.</w:t>
      </w:r>
    </w:p>
    <w:p w14:paraId="1AA07704" w14:textId="77777777" w:rsidR="00D82062" w:rsidRPr="00945782" w:rsidRDefault="00D82062" w:rsidP="00831734">
      <w:pPr>
        <w:rPr>
          <w:lang w:val="ru-RU"/>
        </w:rPr>
      </w:pPr>
      <w:r w:rsidRPr="00945782">
        <w:rPr>
          <w:lang w:val="ru-RU"/>
        </w:rPr>
        <w:t xml:space="preserve">Ключевым достижением стало распространение флагманских ресурсов МСЭ, включая </w:t>
      </w:r>
      <w:hyperlink r:id="rId467" w:history="1">
        <w:r w:rsidRPr="00945782">
          <w:rPr>
            <w:rStyle w:val="Hyperlink"/>
            <w:lang w:val="ru-RU"/>
          </w:rPr>
          <w:t>Отчет по руководящим указаниям "Старение в цифровом мире – от уязвимости к востребованности"</w:t>
        </w:r>
      </w:hyperlink>
      <w:r w:rsidRPr="00945782">
        <w:rPr>
          <w:lang w:val="ru-RU"/>
        </w:rPr>
        <w:t xml:space="preserve">, в дополнение к которому были выпущены многоязычные видеоруководства и </w:t>
      </w:r>
      <w:hyperlink r:id="rId468" w:history="1">
        <w:r w:rsidRPr="00945782">
          <w:rPr>
            <w:rStyle w:val="Hyperlink"/>
            <w:lang w:val="ru-RU"/>
          </w:rPr>
          <w:t>онлайновый курс для самостоятельного обучения по теме "ИКТ для обеспечения лучших условий старения и средств к существованию в цифровой среде"</w:t>
        </w:r>
      </w:hyperlink>
      <w:r w:rsidRPr="00945782">
        <w:rPr>
          <w:lang w:val="ru-RU"/>
        </w:rPr>
        <w:t xml:space="preserve">. Эти инструменты позволили правительствам, специалистам и заинтересованным сторонам укрепить потенциал для разработки технологий, основанных на подходе открытости для всех, поддержки цифровой грамотности среди старшего поколения и преобразования демографических вызовов в возможности в области устойчивого развития. МСЭ также содействовал формированию политики, основанной на фактических данных, посредством совместного отчета МСЭ и Панамериканской организации здравоохранения </w:t>
      </w:r>
      <w:hyperlink r:id="rId469" w:history="1">
        <w:r w:rsidRPr="00945782">
          <w:rPr>
            <w:rStyle w:val="Hyperlink"/>
            <w:lang w:val="ru-RU"/>
          </w:rPr>
          <w:t>"Роль цифровых технологий в старении и здравоохранении"</w:t>
        </w:r>
      </w:hyperlink>
      <w:r w:rsidRPr="00945782">
        <w:rPr>
          <w:lang w:val="ru-RU"/>
        </w:rPr>
        <w:t xml:space="preserve"> (2023 г.), в котором показано, как доступные и всеохватные цифровые решения могут повысить качество услуг здравоохранения, способствовать самостоятельной жизни и расширять участие людей старшего поколения в жизни общества.</w:t>
      </w:r>
    </w:p>
    <w:p w14:paraId="19029352" w14:textId="77777777" w:rsidR="00D82062" w:rsidRPr="00945782" w:rsidRDefault="00D82062" w:rsidP="00831734">
      <w:pPr>
        <w:rPr>
          <w:lang w:val="ru-RU"/>
        </w:rPr>
      </w:pPr>
      <w:r w:rsidRPr="00945782">
        <w:rPr>
          <w:lang w:val="ru-RU"/>
        </w:rPr>
        <w:t xml:space="preserve">В 2024–2025 годах МСЭ-D продолжал реализовывать практические инициативы, направленные на поддержку людей старшего поколения, включая развитие цифровых навыков в Гран-Чако, </w:t>
      </w:r>
      <w:r w:rsidRPr="00945782">
        <w:rPr>
          <w:lang w:val="ru-RU"/>
        </w:rPr>
        <w:lastRenderedPageBreak/>
        <w:t>обучение управлению сетями ИКТ в Латинской Америке, а также обучение на уровне сообществ для коренного и сельского населения; во всех этих мероприятиях особое внимание было уделено обеспечению возможности установления соединений, СМИ сообществ и устойчивости локальных цифровых экосистем.</w:t>
      </w:r>
    </w:p>
    <w:p w14:paraId="12DA737A" w14:textId="0EBEE2AA" w:rsidR="00D82062" w:rsidRPr="00945782" w:rsidRDefault="00D82062" w:rsidP="00D82062">
      <w:pPr>
        <w:pStyle w:val="Heading2"/>
        <w:rPr>
          <w:lang w:val="ru-RU"/>
        </w:rPr>
      </w:pPr>
      <w:bookmarkStart w:id="139" w:name="_5.4_Приверженность_экологической"/>
      <w:bookmarkStart w:id="140" w:name="_Toc227062885"/>
      <w:bookmarkStart w:id="141" w:name="_Toc227850273"/>
      <w:bookmarkEnd w:id="139"/>
      <w:r w:rsidRPr="00945782">
        <w:rPr>
          <w:lang w:val="ru-RU"/>
        </w:rPr>
        <w:t>5.4</w:t>
      </w:r>
      <w:r w:rsidR="00831734" w:rsidRPr="00945782">
        <w:rPr>
          <w:lang w:val="ru-RU"/>
        </w:rPr>
        <w:tab/>
      </w:r>
      <w:r w:rsidRPr="00945782">
        <w:rPr>
          <w:lang w:val="ru-RU"/>
        </w:rPr>
        <w:t>Приверженность экологической устойчивости</w:t>
      </w:r>
      <w:bookmarkEnd w:id="140"/>
      <w:bookmarkEnd w:id="141"/>
    </w:p>
    <w:p w14:paraId="618CDC1F" w14:textId="39D04976" w:rsidR="00D82062" w:rsidRPr="00945782" w:rsidRDefault="00D82062" w:rsidP="00831734">
      <w:pPr>
        <w:rPr>
          <w:lang w:val="ru-RU"/>
        </w:rPr>
      </w:pPr>
      <w:r w:rsidRPr="00945782">
        <w:rPr>
          <w:lang w:val="ru-RU"/>
        </w:rPr>
        <w:t>В целом инициативы, реализованные МСЭ в период с 2022 по 2025 год, отражают твердую приверженность экологической устойчивости, выражающуюся в мерах по борьбе с изменением климата, ответственному управлению электронными отходами, снижению риска бедствий и содействию "умному" и устойчивому развитию городов. Комплексный подход МСЭ подчеркивает необходимость сотрудничества между различными заинтересованными сторонами для эффективного достижения глобальных целей в области устойчивого развития.</w:t>
      </w:r>
    </w:p>
    <w:p w14:paraId="73E57211" w14:textId="77777777" w:rsidR="00D82062" w:rsidRPr="00945782" w:rsidRDefault="00D82062" w:rsidP="00831734">
      <w:pPr>
        <w:rPr>
          <w:lang w:val="ru-RU"/>
        </w:rPr>
      </w:pPr>
      <w:r w:rsidRPr="00945782">
        <w:rPr>
          <w:lang w:val="ru-RU"/>
        </w:rPr>
        <w:t>С этой целью сегмент "Зеленая цифровая кампания" на КС-28 способствовал формированию обязательств отрасли, направленных на сокращение выбросов и создание системы мониторинга устойчивости в секторе ИКТ.</w:t>
      </w:r>
    </w:p>
    <w:p w14:paraId="4455EA17" w14:textId="77777777" w:rsidR="00D82062" w:rsidRPr="00945782" w:rsidRDefault="00D82062" w:rsidP="00831734">
      <w:pPr>
        <w:pStyle w:val="Headingb"/>
        <w:rPr>
          <w:lang w:val="ru-RU"/>
        </w:rPr>
      </w:pPr>
      <w:r w:rsidRPr="00945782">
        <w:rPr>
          <w:lang w:val="ru-RU"/>
        </w:rPr>
        <w:t>Управление электронными отходами и циркуляционная экономика на уровне стран</w:t>
      </w:r>
    </w:p>
    <w:p w14:paraId="2F024E32" w14:textId="77777777" w:rsidR="00D82062" w:rsidRPr="00945782" w:rsidRDefault="00D82062" w:rsidP="00831734">
      <w:pPr>
        <w:rPr>
          <w:lang w:val="ru-RU"/>
        </w:rPr>
      </w:pPr>
      <w:r w:rsidRPr="00945782">
        <w:rPr>
          <w:lang w:val="ru-RU"/>
        </w:rPr>
        <w:t>Вопрос управления электронными отходами остается поводом для беспокойства и требует незамедлительного внимания и принятия мер, поскольку начиная с 2010 года объем электронных отходов растет в пять раз быстрее, чем объемы сбора и утилизации, реализуемых в соответствии с нормативными требованиями. По данным "Глобального мониторинга электронных отходов" за 2024 год, ожидается, что к 2030 году объем электронных отходов достигнет 82 млрд. кг. В продолжение партнерства с ЮНИТАР и Фондом Карминьяка по подготовке этого флагманского глобального издания – "Глобального мониторинга электронных отходов"– МСЭ также оказал поддержку подготовке двух региональных и двух национальных отчетов по электронным отходам.</w:t>
      </w:r>
    </w:p>
    <w:p w14:paraId="067EA5D7" w14:textId="069F008F" w:rsidR="00D82062" w:rsidRPr="00945782" w:rsidRDefault="00D82062" w:rsidP="00831734">
      <w:pPr>
        <w:rPr>
          <w:lang w:val="ru-RU"/>
        </w:rPr>
      </w:pPr>
      <w:r w:rsidRPr="00945782">
        <w:rPr>
          <w:lang w:val="ru-RU"/>
        </w:rPr>
        <w:t>Помимо этого, МСЭ оказывал активную поддержку ряду стран в Северной и Южной Америке, Африке и Азиатско-Тихоокеанском регионе по разработке и внедрению нормативных актов по расширенной ответственности производителей в отношении электронных отходов. В период с 2023 по 2025 год МСЭ совместно с международными партнерами по финансированию, включая Программу ООН по окружающей среде (ЮНЕП), Учебный и научно-исследовательский институт ООН (ЮНИТАР), Немецкое агентство по международному сотрудничеству (GIZ), Правительство Королевства Саудовская Аравия, Правительство Австралии и Правительство Колумбии, предоставил техническую помощь по вопросам циркуляционной экономики в 14 странах.</w:t>
      </w:r>
    </w:p>
    <w:p w14:paraId="43ACDC22" w14:textId="1CE53116" w:rsidR="00D82062" w:rsidRPr="00945782" w:rsidRDefault="00D82062" w:rsidP="00831734">
      <w:pPr>
        <w:rPr>
          <w:lang w:val="ru-RU"/>
        </w:rPr>
      </w:pPr>
      <w:r w:rsidRPr="00945782">
        <w:rPr>
          <w:lang w:val="ru-RU"/>
        </w:rPr>
        <w:t xml:space="preserve">К значимым региональным продуктам знаний по электронным отходам и циркуляционной экономике, выпущенным в период с 2022 по 2025 год, относятся: </w:t>
      </w:r>
      <w:hyperlink r:id="rId470" w:history="1">
        <w:r w:rsidRPr="00945782">
          <w:rPr>
            <w:rStyle w:val="Hyperlink"/>
            <w:lang w:val="ru-RU"/>
          </w:rPr>
          <w:t>"Управление отходами электрического и электронного оборудования в Латинской Америке: текущая ситуация и перспективы"</w:t>
        </w:r>
      </w:hyperlink>
      <w:r w:rsidRPr="00945782">
        <w:rPr>
          <w:lang w:val="ru-RU"/>
        </w:rPr>
        <w:t xml:space="preserve"> и "Руководящие указания по разработке национальных систем комплексного управления отходами электрического и электронного оборудования в странах Латинской Америки", подготовленные в координации с Организацией Объединенных Наций по промышленному развитию (ЮНИДО).</w:t>
      </w:r>
    </w:p>
    <w:p w14:paraId="5985D293" w14:textId="77777777" w:rsidR="00D82062" w:rsidRPr="00945782" w:rsidRDefault="00D82062" w:rsidP="00831734">
      <w:pPr>
        <w:rPr>
          <w:lang w:val="ru-RU"/>
        </w:rPr>
      </w:pPr>
      <w:r w:rsidRPr="00945782">
        <w:rPr>
          <w:lang w:val="ru-RU"/>
        </w:rPr>
        <w:t>МСЭ также разработал ряд инициатив, направленных на укрепление глобального потенциала и обмена знаниями в области регулирования электронных отходов, включая ознакомительные поездки, вебинары и массовый открытый дистанционный курс "Проблема электронных отходов", который был разработан совместно с Программой ООН по окружающей среде (ЮНЕП), Секретариатом Базельской конвенции, EIT Raw Materials, Левенским университетом, Всемирной организацией здравоохранения (ВОЗ) и Всемирным форумом по ресурсам.</w:t>
      </w:r>
    </w:p>
    <w:p w14:paraId="7DEC4384" w14:textId="77777777" w:rsidR="00D82062" w:rsidRPr="00945782" w:rsidRDefault="00D82062" w:rsidP="00831734">
      <w:pPr>
        <w:rPr>
          <w:lang w:val="ru-RU"/>
        </w:rPr>
      </w:pPr>
      <w:r w:rsidRPr="00945782">
        <w:rPr>
          <w:lang w:val="ru-RU"/>
        </w:rPr>
        <w:lastRenderedPageBreak/>
        <w:t xml:space="preserve">Для содействия распространению принципов циркуляционности МСЭ разработал практические руководства и инструменты для ключевых заинтересованных сторон по циркуляционным и устойчивым государственным закупкам, включая документ </w:t>
      </w:r>
      <w:hyperlink r:id="rId471" w:history="1">
        <w:r w:rsidRPr="00945782">
          <w:rPr>
            <w:rStyle w:val="Hyperlink"/>
            <w:lang w:val="ru-RU"/>
          </w:rPr>
          <w:t>"Политическая практика в области управления электронными отходами: инструменты для сбалансированной и справедливой циркуляционной экономики"</w:t>
        </w:r>
      </w:hyperlink>
      <w:r w:rsidRPr="00945782">
        <w:rPr>
          <w:lang w:val="ru-RU"/>
        </w:rPr>
        <w:t xml:space="preserve">, который был подготовлен совместно с Комиссией по коммуникациям, космосу и технологиям (CST) Саудовской Аравии, а также руководство </w:t>
      </w:r>
      <w:hyperlink r:id="rId472" w:history="1">
        <w:r w:rsidRPr="00945782">
          <w:rPr>
            <w:rStyle w:val="Hyperlink"/>
            <w:lang w:val="ru-RU"/>
          </w:rPr>
          <w:t>"Циркуляционные и экологически устойчивые закупки: оборудование ИКТ"</w:t>
        </w:r>
      </w:hyperlink>
      <w:r w:rsidRPr="00945782">
        <w:rPr>
          <w:lang w:val="ru-RU"/>
        </w:rPr>
        <w:t xml:space="preserve">, разработанное в рамках инициативы GovStack. Данное руководство было подготовлено параллельно с </w:t>
      </w:r>
      <w:hyperlink r:id="rId473" w:history="1">
        <w:r w:rsidRPr="00945782">
          <w:rPr>
            <w:rStyle w:val="Hyperlink"/>
            <w:lang w:val="ru-RU"/>
          </w:rPr>
          <w:t>Рекомендацией L.1061 МСЭ-T "Циркуляционные государственные закупки информационно-коммуникационных технологий"</w:t>
        </w:r>
      </w:hyperlink>
      <w:r w:rsidRPr="00945782">
        <w:rPr>
          <w:lang w:val="ru-RU"/>
        </w:rPr>
        <w:t>, которая содержит технические указания для организаций государственного сектора по совершенствованию закупочных практик и расширению использования циркуляционных товаров и услуг в сфере ИКТ.</w:t>
      </w:r>
    </w:p>
    <w:p w14:paraId="6BE7114B" w14:textId="6AC5277A" w:rsidR="00D82062" w:rsidRPr="00945782" w:rsidRDefault="00D82062" w:rsidP="00831734">
      <w:pPr>
        <w:rPr>
          <w:lang w:val="ru-RU"/>
        </w:rPr>
      </w:pPr>
      <w:r w:rsidRPr="00945782">
        <w:rPr>
          <w:lang w:val="ru-RU"/>
        </w:rPr>
        <w:t>Аналогичным образом, МСЭ подготовил два национальных сценария использования для поддержки внедрения международных стандартов МСЭ-T по устойчивому управлению электрическим и электронным оборудованием "На пути к циркуляционной экономике". В</w:t>
      </w:r>
      <w:r w:rsidR="00831734" w:rsidRPr="00945782">
        <w:rPr>
          <w:lang w:val="ru-RU"/>
        </w:rPr>
        <w:t> </w:t>
      </w:r>
      <w:r w:rsidRPr="00945782">
        <w:rPr>
          <w:lang w:val="ru-RU"/>
        </w:rPr>
        <w:t>2024</w:t>
      </w:r>
      <w:r w:rsidR="00831734" w:rsidRPr="00945782">
        <w:rPr>
          <w:lang w:val="ru-RU"/>
        </w:rPr>
        <w:t> </w:t>
      </w:r>
      <w:r w:rsidRPr="00945782">
        <w:rPr>
          <w:lang w:val="ru-RU"/>
        </w:rPr>
        <w:t>году работа по стандартизации цифровых паспортов продуктов и разработке маркировки экологической эффективности также способствовала дальнейшему совершенствованию подходов к развитию циркуляционной экономики.</w:t>
      </w:r>
    </w:p>
    <w:p w14:paraId="1A8F4B48" w14:textId="1F98E93E" w:rsidR="00D82062" w:rsidRPr="00945782" w:rsidRDefault="00D82062" w:rsidP="00831734">
      <w:pPr>
        <w:rPr>
          <w:lang w:val="ru-RU"/>
        </w:rPr>
      </w:pPr>
      <w:r w:rsidRPr="00945782">
        <w:rPr>
          <w:lang w:val="ru-RU"/>
        </w:rPr>
        <w:t>5-я Исследовательская комиссия МСЭ-T, в свою очередь, продолжила разработку международных стандартов, направленных на формирование экологически устойчивого, жизнестойкого и открытого для всех сектора электросвязи/ИКТ. В период с 2022 по 2025 год в рамках МСЭ-T 5-й Исследовательской комиссией было утверждено или согласовано 110 Рекомендаций, а также принято 26 руководящих указаний и Добавлений.</w:t>
      </w:r>
    </w:p>
    <w:p w14:paraId="0647C554" w14:textId="77777777" w:rsidR="00D82062" w:rsidRPr="00945782" w:rsidRDefault="00D82062" w:rsidP="00831734">
      <w:pPr>
        <w:rPr>
          <w:lang w:val="ru-RU"/>
        </w:rPr>
      </w:pPr>
      <w:r w:rsidRPr="00945782">
        <w:rPr>
          <w:lang w:val="ru-RU"/>
        </w:rPr>
        <w:t>Стандарты МСЭ сыграли особенно важную роль в измерении и повышении экологической эффективности ИКТ, охватив темы энергоэффективности, мониторинга выбросов и эффективности использования материалов в технологической продукции. Ключевые направления деятельности по повышению экологической эффективности инфраструктуры ИКТ включают рекомендации для сетей, услуг и продуктов ИКТ, а также центров обработки данных. В сотрудничестве с компанией Huawei были опубликованы два аналитических доклада: по безопасности применения литий-ионных аккумуляторов в центрах обработки данных и по использованию литиевых аккумуляторов для объектов электросвязи.</w:t>
      </w:r>
    </w:p>
    <w:p w14:paraId="0A69D586" w14:textId="77777777" w:rsidR="00D82062" w:rsidRPr="00945782" w:rsidRDefault="00D82062" w:rsidP="00831734">
      <w:pPr>
        <w:pStyle w:val="Headingb"/>
        <w:rPr>
          <w:lang w:val="ru-RU"/>
        </w:rPr>
      </w:pPr>
      <w:r w:rsidRPr="00945782">
        <w:rPr>
          <w:lang w:val="ru-RU"/>
        </w:rPr>
        <w:t>Электросвязь в чрезвычайных ситуациях и кризисное управление</w:t>
      </w:r>
    </w:p>
    <w:p w14:paraId="19313D64" w14:textId="77777777" w:rsidR="00D82062" w:rsidRPr="00945782" w:rsidRDefault="00D82062" w:rsidP="00831734">
      <w:pPr>
        <w:rPr>
          <w:lang w:val="ru-RU"/>
        </w:rPr>
      </w:pPr>
      <w:r w:rsidRPr="00945782">
        <w:rPr>
          <w:lang w:val="ru-RU"/>
        </w:rPr>
        <w:t>Электросвязь в чрезвычайных ситуациях остается одним из ключевых направлений деятельности МСЭ по укреплению национальной устойчивости к климатическим воздействиям. К концу 2025 года по меньшей мере 95 стран имели национальные планы электросвязи в чрезвычайных ситуациях по сравнению с 2021 годом, когда такими планами располагали 66 стран, что отражает повышение уровня готовности к бедствиям и устойчивости во всем мире.</w:t>
      </w:r>
    </w:p>
    <w:p w14:paraId="110CD24A" w14:textId="4838B79B" w:rsidR="00D82062" w:rsidRPr="00945782" w:rsidRDefault="00D82062" w:rsidP="00831734">
      <w:pPr>
        <w:rPr>
          <w:lang w:val="ru-RU"/>
        </w:rPr>
      </w:pPr>
      <w:r w:rsidRPr="00945782">
        <w:rPr>
          <w:lang w:val="ru-RU"/>
        </w:rPr>
        <w:t xml:space="preserve">В период с 2022 по 2025 год МСЭ-D укреплял национальную готовность к бедствиям и реагирование на них путем содействия расширению использования ИКТ для электросвязи в чрезвычайных ситуациях в Государствах – Членах. За этот период МСЭ-D оказал поддержку более чем 25 странам в разработке и внедрении национальных планов электросвязи в чрезвычайных ситуациях (NETP), завершив в общей сложности разработку 41 NETP. Эти усилия повысили устойчивость на национальном уровне и обеспечили возможность ускорить и повысить эффективность реагирования на чрезвычайные ситуации. Организация также сыграла ключевую роль в реализации инициативы "Раннее предупреждение для всех" (EW4All), в рамках которой к 2025 году МСЭ оказал поддержку 30 странам, включая внедрение четырех экспериментальных приложений на основе ИИ в странах, состоящих в подгруппе ИИ инициативы EW4All, в целях расширения возможностей раннего предупреждения. МСЭ </w:t>
      </w:r>
      <w:r w:rsidRPr="00945782">
        <w:rPr>
          <w:lang w:val="ru-RU"/>
        </w:rPr>
        <w:lastRenderedPageBreak/>
        <w:t>является ведущей организацией по направлению 3 инициативы "Предупреждение о бедствиях и связь в случае бедствий". В рамках этой инициативы МСЭ-D содействовал проведению технических, экономических и нормативных оценок в целях оказания поддержки в развертывании ключевых технологий оповещения населения, включая общий протокол оповещения (CAP), сотовое вещание (CB) и службу передачи коротких сообщений на основе местоположения (LB-SMS). Эти технологии обеспечивают эффективное использование цифровых сетей, услуг и мобильных устройств для своевременного распространения предупреждений, способствуя защите жизни и средств к существованию. С 2022 года 28 стран внедрили технологию сотового вещания, 10 стран используют LB-SMS, а 6 стран применяют для оповещения населения обе технологии.</w:t>
      </w:r>
    </w:p>
    <w:p w14:paraId="33EC13C3" w14:textId="4239EBCF" w:rsidR="00D82062" w:rsidRPr="00945782" w:rsidRDefault="00D82062" w:rsidP="00831734">
      <w:pPr>
        <w:rPr>
          <w:lang w:val="ru-RU"/>
        </w:rPr>
      </w:pPr>
      <w:r w:rsidRPr="00945782">
        <w:rPr>
          <w:lang w:val="ru-RU"/>
        </w:rPr>
        <w:t>Непосредственные меры реагирования на бедствия включали стратегическое предварительное размещение оборудования МСЭ для электросвязи в чрезвычайных ситуациях в различных географических точках для сокращения времени реагирования после чрезвычайных ситуаций. Такие пункты размещения включают Дубай (на складе Всемирной продовольственной программы), обслуживающий арабские государства, Африку и Азиатско-Тихоокеанский регион, Зимбабве, обслуживающее государства – члены САДК, и Барбадос, охватывающий Америку и Карибский бассейн. С 2022 года было развернуто оборудование спутниковой связи для поддержки операций реагирования на чрезвычайные ситуации в ряде стран, в том числе в Тонга – после извержения вулкана Хунга-Тонга-Хунга-Ха-апай, в Никарагуа – после урагана "Джулия", в Малави и Мозамбике – в ответ на циклоны "Фредди" и "Чидо", в Папуа</w:t>
      </w:r>
      <w:r w:rsidR="00FD3047" w:rsidRPr="00945782">
        <w:rPr>
          <w:lang w:val="ru-RU"/>
        </w:rPr>
        <w:t>-</w:t>
      </w:r>
      <w:r w:rsidRPr="00945782">
        <w:rPr>
          <w:lang w:val="ru-RU"/>
        </w:rPr>
        <w:t>Новой Гвинее – после извержения вулкана Багана, а также в Гренаде, Сент-Винсенте и Гренадинах и Ямайке – после ураганов "Берил" и "Мелисса".</w:t>
      </w:r>
    </w:p>
    <w:p w14:paraId="02BEE022" w14:textId="77777777" w:rsidR="00D82062" w:rsidRPr="00945782" w:rsidRDefault="00D82062" w:rsidP="00831734">
      <w:pPr>
        <w:rPr>
          <w:lang w:val="ru-RU"/>
        </w:rPr>
      </w:pPr>
      <w:r w:rsidRPr="00945782">
        <w:rPr>
          <w:lang w:val="ru-RU"/>
        </w:rPr>
        <w:t>При активном участии различных стран были разработаны учебные модули по электросвязи в чрезвычайных ситуациях, что помогло обеспечить структурированное и эффективное реагирование на бедствия.</w:t>
      </w:r>
    </w:p>
    <w:p w14:paraId="6FA925FB" w14:textId="77777777" w:rsidR="00D82062" w:rsidRPr="00945782" w:rsidRDefault="00D82062" w:rsidP="00831734">
      <w:pPr>
        <w:rPr>
          <w:lang w:val="ru-RU"/>
        </w:rPr>
      </w:pPr>
      <w:r w:rsidRPr="00945782">
        <w:rPr>
          <w:lang w:val="ru-RU"/>
        </w:rPr>
        <w:t>В ходе КС-28 МСЭ совместно с Ассоциацией GSM сформулировали призыв к внедрению технологий сотового вещания и службы передачи коротких сообщений на основе местоположения, на который откликнулись многие операторы мобильной связи, включая VEON, KDDI, Globe, Safaricom, Telefonica, MTN и Axiata Group, обязавшись использовать возможность установления цифровых соединений для спасения жизней.</w:t>
      </w:r>
    </w:p>
    <w:p w14:paraId="4722FFC7" w14:textId="1136B828" w:rsidR="00D82062" w:rsidRPr="00945782" w:rsidRDefault="00D82062" w:rsidP="00831734">
      <w:pPr>
        <w:rPr>
          <w:lang w:val="ru-RU"/>
        </w:rPr>
      </w:pPr>
      <w:r w:rsidRPr="00945782">
        <w:rPr>
          <w:lang w:val="ru-RU"/>
        </w:rPr>
        <w:t>МСЭ принимает также участие в Глобальной инициативе по обеспечению устойчивости к стихийным бедствиям с помощью решений на основе ИИ − совместной инициативе, реализуемой под руководством различных учреждений ООН, включая МСЭ, ЮНЕП, Рамочную конвенцию ООН об изменении климата (РКИК ООН), Всемирный почтовый союз (ВПС) и Всемирную метеорологическую организацию (ВМО) и направленной на изучение возможностей эффективного использования ИИ в управлении операциями в случае бедствий, а</w:t>
      </w:r>
      <w:r w:rsidR="00FD3047" w:rsidRPr="00945782">
        <w:rPr>
          <w:lang w:val="ru-RU"/>
        </w:rPr>
        <w:t> </w:t>
      </w:r>
      <w:r w:rsidRPr="00945782">
        <w:rPr>
          <w:lang w:val="ru-RU"/>
        </w:rPr>
        <w:t>также на предоставление экспертной поддержки в области исследований, инноваций и разработки стандартов.</w:t>
      </w:r>
    </w:p>
    <w:p w14:paraId="24BB4DEF" w14:textId="77777777" w:rsidR="00D82062" w:rsidRPr="00945782" w:rsidRDefault="00D82062" w:rsidP="00831734">
      <w:pPr>
        <w:pStyle w:val="Headingb"/>
        <w:rPr>
          <w:lang w:val="ru-RU"/>
        </w:rPr>
      </w:pPr>
      <w:r w:rsidRPr="00945782">
        <w:rPr>
          <w:lang w:val="ru-RU"/>
        </w:rPr>
        <w:t>Цифровая трансформация, обеспечивающая возможность развития устойчивых городов</w:t>
      </w:r>
    </w:p>
    <w:p w14:paraId="40A99F18" w14:textId="77777777" w:rsidR="00D82062" w:rsidRPr="00945782" w:rsidRDefault="00D82062" w:rsidP="00831734">
      <w:pPr>
        <w:rPr>
          <w:lang w:val="ru-RU"/>
        </w:rPr>
      </w:pPr>
      <w:r w:rsidRPr="00945782">
        <w:rPr>
          <w:lang w:val="ru-RU"/>
        </w:rPr>
        <w:t>20-я Исследовательская комиссия МСЭ-T достигла прогресса в инициативах "умных" городов, что выразилось в инициативе «Объединение усилий в целях построения "умных" устойчивых городов» (U4SSC), вовлекшей 250 городов в применение показателей эффективности, основанных на стандартах МСЭ. Основное внимание уделялось вопросам управления городами и интеграции данных для содействия устойчивому городскому развитию.</w:t>
      </w:r>
    </w:p>
    <w:p w14:paraId="46492A52" w14:textId="77777777" w:rsidR="00D82062" w:rsidRPr="00945782" w:rsidRDefault="00D82062" w:rsidP="00831734">
      <w:pPr>
        <w:rPr>
          <w:lang w:val="ru-RU"/>
        </w:rPr>
      </w:pPr>
      <w:r w:rsidRPr="00945782">
        <w:rPr>
          <w:lang w:val="ru-RU"/>
        </w:rPr>
        <w:t>В рамках данной инициативы МСЭ подготовил ряд продуктов знаний, включая руководящие указания для городов по достижению нулевого баланса выбросов с помощью цифровой трансформации, а также методологию оценки прогресса городов в достижении нулевого баланса выбросов.</w:t>
      </w:r>
    </w:p>
    <w:p w14:paraId="7FE95404" w14:textId="77777777" w:rsidR="00D82062" w:rsidRPr="00945782" w:rsidRDefault="00D82062" w:rsidP="00831734">
      <w:pPr>
        <w:pStyle w:val="Headingb"/>
        <w:rPr>
          <w:lang w:val="ru-RU"/>
        </w:rPr>
      </w:pPr>
      <w:r w:rsidRPr="00945782">
        <w:rPr>
          <w:lang w:val="ru-RU"/>
        </w:rPr>
        <w:lastRenderedPageBreak/>
        <w:t>Инициативы и сотрудничество в области изменения климата</w:t>
      </w:r>
    </w:p>
    <w:p w14:paraId="3549218D" w14:textId="77777777" w:rsidR="00D82062" w:rsidRPr="00945782" w:rsidRDefault="00D82062" w:rsidP="00831734">
      <w:pPr>
        <w:rPr>
          <w:lang w:val="ru-RU"/>
        </w:rPr>
      </w:pPr>
      <w:r w:rsidRPr="00945782">
        <w:rPr>
          <w:lang w:val="ru-RU"/>
        </w:rPr>
        <w:t>В ответ на изменение климата МСЭ достиг большого прогресса в изучении энергопотребления и выбросов парниковых газов (ПГ) в мировом технологическом секторе. Ежегодная серия докладов "Экологизация цифровых компаний" и связанная с ней новая информационная панель мониторинга "Цифровая информационная панель по экологизации" позволяют проводить анализ на основе данных о выбросах ПГ и энергопотреблении, содержащихся в отчетах 200 цифровых компаний.</w:t>
      </w:r>
    </w:p>
    <w:p w14:paraId="5199010D" w14:textId="27B819C5" w:rsidR="00D82062" w:rsidRPr="00945782" w:rsidRDefault="00D82062" w:rsidP="00831734">
      <w:pPr>
        <w:rPr>
          <w:rFonts w:asciiTheme="minorHAnsi" w:hAnsiTheme="minorHAnsi" w:cstheme="minorHAnsi"/>
          <w:szCs w:val="22"/>
          <w:lang w:val="ru-RU"/>
        </w:rPr>
      </w:pPr>
      <w:r w:rsidRPr="00945782">
        <w:rPr>
          <w:rFonts w:asciiTheme="minorHAnsi" w:hAnsiTheme="minorHAnsi" w:cstheme="minorHAnsi"/>
          <w:szCs w:val="22"/>
          <w:lang w:val="ru-RU"/>
        </w:rPr>
        <w:t>В дополнение к этой серии флагманских публикаций в 2025 году были опубликованы два продукта знаний, посвященных экологическому воздействию сектора ИКТ: совместная публикация со Всемирным банком "</w:t>
      </w:r>
      <w:hyperlink r:id="rId474" w:history="1">
        <w:r w:rsidRPr="00945782">
          <w:rPr>
            <w:rStyle w:val="Hyperlink"/>
            <w:rFonts w:asciiTheme="minorHAnsi" w:hAnsiTheme="minorHAnsi" w:cstheme="minorHAnsi"/>
            <w:szCs w:val="22"/>
            <w:lang w:val="ru-RU"/>
          </w:rPr>
          <w:t>Измерение воздействия национального сектора ИКТ на окружающую среду: исследование конкретной ситуации ARCEP − Франция</w:t>
        </w:r>
      </w:hyperlink>
      <w:r w:rsidRPr="00945782">
        <w:rPr>
          <w:rFonts w:asciiTheme="minorHAnsi" w:hAnsiTheme="minorHAnsi" w:cstheme="minorHAnsi"/>
          <w:szCs w:val="22"/>
          <w:lang w:val="ru-RU"/>
        </w:rPr>
        <w:t xml:space="preserve">" и </w:t>
      </w:r>
      <w:hyperlink r:id="rId475" w:history="1">
        <w:r w:rsidRPr="00945782">
          <w:rPr>
            <w:rStyle w:val="Hyperlink"/>
            <w:rFonts w:asciiTheme="minorHAnsi" w:hAnsiTheme="minorHAnsi" w:cstheme="minorHAnsi"/>
            <w:szCs w:val="22"/>
            <w:lang w:val="ru-RU"/>
          </w:rPr>
          <w:t>аналитический доклад МСЭ и компании Resilio об экологическом воздействии сектора ИКТ в Швейцарии</w:t>
        </w:r>
      </w:hyperlink>
      <w:r w:rsidRPr="00945782">
        <w:rPr>
          <w:rFonts w:asciiTheme="minorHAnsi" w:hAnsiTheme="minorHAnsi" w:cstheme="minorHAnsi"/>
          <w:szCs w:val="22"/>
          <w:lang w:val="ru-RU"/>
        </w:rPr>
        <w:t>. Эти публикации опираются на работу, ранее проделанную МСЭ, включая отчет "</w:t>
      </w:r>
      <w:hyperlink r:id="rId476" w:history="1">
        <w:r w:rsidRPr="00945782">
          <w:rPr>
            <w:rStyle w:val="Hyperlink"/>
            <w:rFonts w:asciiTheme="minorHAnsi" w:hAnsiTheme="minorHAnsi" w:cstheme="minorHAnsi"/>
            <w:szCs w:val="22"/>
            <w:lang w:val="ru-RU"/>
          </w:rPr>
          <w:t>Измерение выбросов и энергетического воздействия сектора ИКТ: последствия для мер по борьбе с</w:t>
        </w:r>
        <w:r w:rsidR="00FD3047" w:rsidRPr="00945782">
          <w:rPr>
            <w:rStyle w:val="Hyperlink"/>
            <w:rFonts w:asciiTheme="minorHAnsi" w:hAnsiTheme="minorHAnsi" w:cstheme="minorHAnsi"/>
            <w:szCs w:val="22"/>
            <w:lang w:val="ru-RU"/>
          </w:rPr>
          <w:t> </w:t>
        </w:r>
        <w:r w:rsidRPr="00945782">
          <w:rPr>
            <w:rStyle w:val="Hyperlink"/>
            <w:rFonts w:asciiTheme="minorHAnsi" w:hAnsiTheme="minorHAnsi" w:cstheme="minorHAnsi"/>
            <w:szCs w:val="22"/>
            <w:lang w:val="ru-RU"/>
          </w:rPr>
          <w:t>изменением климата</w:t>
        </w:r>
      </w:hyperlink>
      <w:r w:rsidRPr="00945782">
        <w:rPr>
          <w:rFonts w:asciiTheme="minorHAnsi" w:hAnsiTheme="minorHAnsi" w:cstheme="minorHAnsi"/>
          <w:szCs w:val="22"/>
          <w:lang w:val="ru-RU"/>
        </w:rPr>
        <w:t>", который был подготовлен совместно со Всемирным банком в 2023</w:t>
      </w:r>
      <w:r w:rsidR="00FD3047" w:rsidRPr="00945782">
        <w:rPr>
          <w:rFonts w:asciiTheme="minorHAnsi" w:hAnsiTheme="minorHAnsi" w:cstheme="minorHAnsi"/>
          <w:szCs w:val="22"/>
          <w:lang w:val="ru-RU"/>
        </w:rPr>
        <w:t> </w:t>
      </w:r>
      <w:r w:rsidRPr="00945782">
        <w:rPr>
          <w:rFonts w:asciiTheme="minorHAnsi" w:hAnsiTheme="minorHAnsi" w:cstheme="minorHAnsi"/>
          <w:szCs w:val="22"/>
          <w:lang w:val="ru-RU"/>
        </w:rPr>
        <w:t>году и в котором представлен комплексный анализ энергопотребления и выбросов в 30 странах с учетом воздействия сетей связи, центров обработки данных и пользовательских устройств, а также представлены выводы об экологическом воздействии сектора ИКТ.</w:t>
      </w:r>
    </w:p>
    <w:p w14:paraId="75CA3FF6" w14:textId="77777777" w:rsidR="00D82062" w:rsidRPr="00945782" w:rsidRDefault="00D82062" w:rsidP="00831734">
      <w:pPr>
        <w:rPr>
          <w:rFonts w:asciiTheme="minorHAnsi" w:hAnsiTheme="minorHAnsi" w:cstheme="minorHAnsi"/>
          <w:szCs w:val="22"/>
          <w:lang w:val="ru-RU"/>
        </w:rPr>
      </w:pPr>
      <w:r w:rsidRPr="00945782">
        <w:rPr>
          <w:rFonts w:asciiTheme="minorHAnsi" w:hAnsiTheme="minorHAnsi" w:cstheme="minorHAnsi"/>
          <w:szCs w:val="22"/>
          <w:lang w:val="ru-RU"/>
        </w:rPr>
        <w:t>В целях оказания поддержки ключевым заинтересованным сторонам в достижении значительного прогресса в участии ИКТ в борьбе с изменением климата и охране окружающей среды МСЭ разработал также соответствующие руководящие указания и инструменты.</w:t>
      </w:r>
    </w:p>
    <w:p w14:paraId="6B04C450" w14:textId="77777777" w:rsidR="00D82062" w:rsidRPr="00945782" w:rsidRDefault="00D82062" w:rsidP="00831734">
      <w:pPr>
        <w:rPr>
          <w:rFonts w:asciiTheme="minorHAnsi" w:hAnsiTheme="minorHAnsi" w:cstheme="minorHAnsi"/>
          <w:szCs w:val="22"/>
          <w:lang w:val="ru-RU"/>
        </w:rPr>
      </w:pPr>
      <w:hyperlink r:id="rId477" w:history="1">
        <w:r w:rsidRPr="00945782">
          <w:rPr>
            <w:rStyle w:val="Hyperlink"/>
            <w:rFonts w:asciiTheme="minorHAnsi" w:hAnsiTheme="minorHAnsi" w:cstheme="minorHAnsi"/>
            <w:szCs w:val="22"/>
            <w:lang w:val="ru-RU"/>
          </w:rPr>
          <w:t>Руководство для операторов электросвязи по выбросам группы 3</w:t>
        </w:r>
      </w:hyperlink>
      <w:r w:rsidRPr="00945782">
        <w:rPr>
          <w:rFonts w:asciiTheme="minorHAnsi" w:hAnsiTheme="minorHAnsi" w:cstheme="minorHAnsi"/>
          <w:szCs w:val="22"/>
          <w:lang w:val="ru-RU"/>
        </w:rPr>
        <w:t>, разработанное Ассоциацией GSM, GeSI и МСЭ, призвано привести к единообразию методы оценки и отчетности по выбросам группы 3. Совместно со Всемирным банком МСЭ подготовил руководство</w:t>
      </w:r>
      <w:r w:rsidRPr="00945782">
        <w:rPr>
          <w:lang w:val="ru-RU"/>
        </w:rPr>
        <w:t xml:space="preserve"> </w:t>
      </w:r>
      <w:hyperlink r:id="rId478" w:history="1">
        <w:r w:rsidRPr="00945782">
          <w:rPr>
            <w:rStyle w:val="Hyperlink"/>
            <w:rFonts w:asciiTheme="minorHAnsi" w:hAnsiTheme="minorHAnsi" w:cstheme="minorHAnsi"/>
            <w:szCs w:val="22"/>
            <w:lang w:val="ru-RU"/>
          </w:rPr>
          <w:t>"Зеленые информационные центры на пути к устойчивой цифровой трансформации − практическое руководство"</w:t>
        </w:r>
      </w:hyperlink>
      <w:r w:rsidRPr="00945782">
        <w:rPr>
          <w:rFonts w:asciiTheme="minorHAnsi" w:hAnsiTheme="minorHAnsi" w:cstheme="minorHAnsi"/>
          <w:szCs w:val="22"/>
          <w:lang w:val="ru-RU"/>
        </w:rPr>
        <w:t xml:space="preserve"> и сопровождающий его онлайн-курс </w:t>
      </w:r>
      <w:hyperlink r:id="rId479" w:history="1">
        <w:r w:rsidRPr="00945782">
          <w:rPr>
            <w:rStyle w:val="Hyperlink"/>
            <w:rFonts w:asciiTheme="minorHAnsi" w:hAnsiTheme="minorHAnsi" w:cstheme="minorHAnsi"/>
            <w:szCs w:val="22"/>
            <w:lang w:val="ru-RU"/>
          </w:rPr>
          <w:t>«"Зеленые" центры обработки данных: курс для представителей директивных органов»</w:t>
        </w:r>
      </w:hyperlink>
      <w:r w:rsidRPr="00945782">
        <w:rPr>
          <w:rFonts w:asciiTheme="minorHAnsi" w:hAnsiTheme="minorHAnsi" w:cstheme="minorHAnsi"/>
          <w:szCs w:val="22"/>
          <w:lang w:val="ru-RU"/>
        </w:rPr>
        <w:t xml:space="preserve"> для повышения экологической устойчивости центров обработки данных, их устойчивости к изменению климата и готовности к регулированию благодаря практическим стратегиям, рамочным подходам и примерам из реальной практики.</w:t>
      </w:r>
    </w:p>
    <w:p w14:paraId="30EC2C52" w14:textId="77777777" w:rsidR="00D82062" w:rsidRPr="00945782" w:rsidRDefault="00D82062" w:rsidP="00831734">
      <w:pPr>
        <w:rPr>
          <w:lang w:val="ru-RU"/>
        </w:rPr>
      </w:pPr>
      <w:r w:rsidRPr="00945782">
        <w:rPr>
          <w:lang w:val="ru-RU"/>
        </w:rPr>
        <w:t>В ноябре 2025 года МСЭ опубликовал новый аналитический обзор, в котором проводится анализ упоминаний цифровых технологий в 53 определяемых на национальном уровне вкладах (ОНУВ) и представлены четыре национальных сценария использования, демонстрирующие передовую практику в области цифровых климатических решений.</w:t>
      </w:r>
    </w:p>
    <w:p w14:paraId="6F6D17FC" w14:textId="77777777" w:rsidR="00D82062" w:rsidRPr="00945782" w:rsidRDefault="00D82062" w:rsidP="00831734">
      <w:pPr>
        <w:rPr>
          <w:lang w:val="ru-RU"/>
        </w:rPr>
      </w:pPr>
      <w:r w:rsidRPr="00945782">
        <w:rPr>
          <w:lang w:val="ru-RU"/>
        </w:rPr>
        <w:t>МСЭ принимает активное участие в повышении устойчивости к климатическим воздействиям через партнерства с такими организациями, как Управление Организации Объединенных Наций по снижению риска бедствий (УСРБ ООН), Всемирная метеорологическая организация (ВМО) и Международная федерация обществ Красного Креста и Красного Полумесяца, а также с ВМО и Программой ООН по окружающей среде (ЮНЕП) для использования ИИ в управлении операциями в случае бедствий. Был принят комплексный подход, в соответствии с которым МСЭ сотрудничает с различными международными структурами для обеспечения распределения радиочастотного спектра важнейшим метеорологическим службам, что способствует улучшению связи в чрезвычайных ситуациях.</w:t>
      </w:r>
    </w:p>
    <w:p w14:paraId="473E025A" w14:textId="3D31E6CE" w:rsidR="00D82062" w:rsidRPr="00945782" w:rsidRDefault="00D82062" w:rsidP="00831734">
      <w:pPr>
        <w:rPr>
          <w:lang w:val="ru-RU"/>
        </w:rPr>
      </w:pPr>
      <w:r w:rsidRPr="00945782">
        <w:rPr>
          <w:lang w:val="ru-RU"/>
        </w:rPr>
        <w:t xml:space="preserve">В рамках инициативы "Зеленая цифровая кампания" МСЭ также возглавляет тематическое направление по сокращению выбросов ПГ в секторе ИКТ посредством сотрудничества, строгой подотчетности и прозрачной отчетности. Дополнительная информация об инициативе "Зеленая цифровая кампания" приведена в разделе </w:t>
      </w:r>
      <w:hyperlink w:anchor="_5.5_Партнерства_и" w:history="1">
        <w:r w:rsidRPr="00945782">
          <w:rPr>
            <w:rStyle w:val="Hyperlink"/>
            <w:lang w:val="ru-RU"/>
          </w:rPr>
          <w:t>5.5</w:t>
        </w:r>
      </w:hyperlink>
      <w:r w:rsidR="00FD3047" w:rsidRPr="00945782">
        <w:rPr>
          <w:lang w:val="ru-RU"/>
        </w:rPr>
        <w:t xml:space="preserve">, </w:t>
      </w:r>
      <w:r w:rsidRPr="00945782">
        <w:rPr>
          <w:lang w:val="ru-RU"/>
        </w:rPr>
        <w:t>ниже.</w:t>
      </w:r>
    </w:p>
    <w:p w14:paraId="30ED0E70" w14:textId="77777777" w:rsidR="00D82062" w:rsidRPr="00945782" w:rsidRDefault="00D82062" w:rsidP="00831734">
      <w:pPr>
        <w:pStyle w:val="Headingb"/>
        <w:rPr>
          <w:lang w:val="ru-RU"/>
        </w:rPr>
      </w:pPr>
      <w:r w:rsidRPr="00945782">
        <w:rPr>
          <w:lang w:val="ru-RU"/>
        </w:rPr>
        <w:lastRenderedPageBreak/>
        <w:t>Инициативы и сотрудничество в области устойчивого ИИ</w:t>
      </w:r>
    </w:p>
    <w:p w14:paraId="114FAD11" w14:textId="77777777" w:rsidR="00D82062" w:rsidRPr="00945782" w:rsidRDefault="00D82062" w:rsidP="00831734">
      <w:pPr>
        <w:rPr>
          <w:lang w:val="ru-RU"/>
        </w:rPr>
      </w:pPr>
      <w:r w:rsidRPr="00945782">
        <w:rPr>
          <w:lang w:val="ru-RU"/>
        </w:rPr>
        <w:t xml:space="preserve">В рамках тематического направления инициативы "Зеленая цифровая кампания", посвященного "зеленым" вычислениям, МСЭ рассматривал экологические аспекты появляющихся технологий, анализируя существующие подходы к оценке их воздействия на окружающую среду. Что касается искусственного интеллекта, эта работа отражена в отчете 2025 года </w:t>
      </w:r>
      <w:hyperlink r:id="rId480" w:history="1">
        <w:r w:rsidRPr="00945782">
          <w:rPr>
            <w:rStyle w:val="Hyperlink"/>
            <w:rFonts w:asciiTheme="minorHAnsi" w:hAnsiTheme="minorHAnsi" w:cstheme="minorHAnsi"/>
            <w:szCs w:val="22"/>
            <w:lang w:val="ru-RU"/>
          </w:rPr>
          <w:t>"Измеряя то, что имеет значение: как оценивать экологическое воздействие ИИ"</w:t>
        </w:r>
      </w:hyperlink>
      <w:r w:rsidRPr="00945782">
        <w:rPr>
          <w:lang w:val="ru-RU"/>
        </w:rPr>
        <w:t xml:space="preserve">. Параллельно с этим </w:t>
      </w:r>
      <w:r w:rsidRPr="00945782">
        <w:rPr>
          <w:rFonts w:asciiTheme="minorHAnsi" w:hAnsiTheme="minorHAnsi" w:cstheme="minorHAnsi"/>
          <w:szCs w:val="22"/>
          <w:lang w:val="ru-RU"/>
        </w:rPr>
        <w:t xml:space="preserve">МСЭ совместно с GoCodeGreen создал </w:t>
      </w:r>
      <w:hyperlink r:id="rId481" w:history="1">
        <w:r w:rsidRPr="00945782">
          <w:rPr>
            <w:rStyle w:val="Hyperlink"/>
            <w:rFonts w:asciiTheme="minorHAnsi" w:hAnsiTheme="minorHAnsi" w:cstheme="minorHAnsi"/>
            <w:szCs w:val="22"/>
            <w:lang w:val="ru-RU"/>
          </w:rPr>
          <w:t>репозиторий с открытым доступом, в котором перечислены методики разработки устойчивого ПО</w:t>
        </w:r>
      </w:hyperlink>
      <w:r w:rsidRPr="00945782">
        <w:rPr>
          <w:rFonts w:asciiTheme="minorHAnsi" w:hAnsiTheme="minorHAnsi" w:cstheme="minorHAnsi"/>
          <w:szCs w:val="22"/>
          <w:lang w:val="ru-RU"/>
        </w:rPr>
        <w:t xml:space="preserve"> со всего мира и который способствует</w:t>
      </w:r>
      <w:r w:rsidRPr="00945782">
        <w:rPr>
          <w:lang w:val="ru-RU"/>
        </w:rPr>
        <w:t xml:space="preserve"> более экологически ответственному цифровому развитию.</w:t>
      </w:r>
    </w:p>
    <w:p w14:paraId="38AF1881" w14:textId="77777777" w:rsidR="00D82062" w:rsidRPr="00945782" w:rsidRDefault="00D82062" w:rsidP="00831734">
      <w:pPr>
        <w:rPr>
          <w:lang w:val="ru-RU"/>
        </w:rPr>
      </w:pPr>
      <w:r w:rsidRPr="00945782">
        <w:rPr>
          <w:lang w:val="ru-RU"/>
        </w:rPr>
        <w:t>В области стандартов по ИИ и окружающей среде в конце 2025 года был сделан первый шаг к утверждению нового стандарта по оценке воздействия систем искусственного интеллекта на окружающую среду.</w:t>
      </w:r>
    </w:p>
    <w:p w14:paraId="304BD09A" w14:textId="77777777" w:rsidR="00D82062" w:rsidRPr="00945782" w:rsidRDefault="00D82062" w:rsidP="00831734">
      <w:pPr>
        <w:rPr>
          <w:lang w:val="ru-RU"/>
        </w:rPr>
      </w:pPr>
      <w:r w:rsidRPr="00945782">
        <w:rPr>
          <w:lang w:val="ru-RU"/>
        </w:rPr>
        <w:t>МСЭ продвигает также свою работу по ответственному и устойчивому искусственному интеллекту через различные партнерства, включая Коалицию по устойчивому ИИ, в которую входит широкий круг представителей правительств, отрасли, академических организаций и гражданского общества для ускорения практических действий. Через целевые диалоги и совместные рабочие направления Коалиция поощряла применение общих подходов к оценке и сокращению экологического следа систем ИИ, а также поддерживала прозрачность, измерение и распространение передовой практики, которая может быть заимствована заинтересованными сторонами с различным уровнем возможностей.</w:t>
      </w:r>
    </w:p>
    <w:p w14:paraId="678E5F36" w14:textId="77777777" w:rsidR="00D82062" w:rsidRPr="00945782" w:rsidRDefault="00D82062" w:rsidP="00831734">
      <w:pPr>
        <w:pStyle w:val="Headingb"/>
        <w:rPr>
          <w:lang w:val="ru-RU"/>
        </w:rPr>
      </w:pPr>
      <w:r w:rsidRPr="00945782">
        <w:rPr>
          <w:lang w:val="ru-RU"/>
        </w:rPr>
        <w:t>Инициативы и сотрудничество в области циркуляционной экономики</w:t>
      </w:r>
    </w:p>
    <w:p w14:paraId="5BE78E74" w14:textId="77777777" w:rsidR="00D82062" w:rsidRPr="00945782" w:rsidRDefault="00D82062" w:rsidP="00831734">
      <w:pPr>
        <w:rPr>
          <w:lang w:val="ru-RU"/>
        </w:rPr>
      </w:pPr>
      <w:r w:rsidRPr="00945782">
        <w:rPr>
          <w:lang w:val="ru-RU"/>
        </w:rPr>
        <w:t>МСЭ расширил работу по стандартизации в сфере циркуляционной экономики посредством инициативы "Цифровизация для циркуляционной экономики" (D4CE), сотрудничая с партнерами из системы ООН, такими как сеть ЮНЕП "Одна планета" и ЮНИДО, а также с широкой коалицией заинтересованных сторон для содействия внедрению цифровых решений, способствующих более устойчивому потреблению и производству. В рамках одного из ключевых направлений работы инициатива D4CE содействовала сотрудничеству по цифровым паспортам продуктов, способствуя обеспечению функциональной совместимости, управлению данными и предоставлению значимой для пользователей информации, что может улучшить циркуляционные подходы, сократить объем электронных отходов и повысить эффективность использования ресурсов в цепочках создания стоимости.</w:t>
      </w:r>
    </w:p>
    <w:p w14:paraId="5D50F14C" w14:textId="77777777" w:rsidR="00D82062" w:rsidRPr="00945782" w:rsidRDefault="00D82062" w:rsidP="00831734">
      <w:pPr>
        <w:pStyle w:val="Headingb"/>
        <w:rPr>
          <w:lang w:val="ru-RU"/>
        </w:rPr>
      </w:pPr>
      <w:r w:rsidRPr="00945782">
        <w:rPr>
          <w:lang w:val="ru-RU"/>
        </w:rPr>
        <w:t>Внутренние инициативы в области устойчивого развития</w:t>
      </w:r>
    </w:p>
    <w:p w14:paraId="0545E5CD" w14:textId="42E8851B" w:rsidR="00D82062" w:rsidRPr="00945782" w:rsidRDefault="00D82062" w:rsidP="00831734">
      <w:pPr>
        <w:rPr>
          <w:lang w:val="ru-RU"/>
        </w:rPr>
      </w:pPr>
      <w:r w:rsidRPr="00945782">
        <w:rPr>
          <w:lang w:val="ru-RU"/>
        </w:rPr>
        <w:t>В период с 2022 по 2025 год МСЭ внедрил свою систему экологического менеджмента в соответствии со стандартом ISO 14001 и требованиями инициативы ООН "Экологизация под флагом ООН", создав официальную систему управления, приняв общеорганизационные цели, введя обязательное обучение персонала, систематический мониторинг экологических данных, внутреннюю ревизию и ежегодные управленческие обзоры. Этот период был ознаменован переходом от декларации намерений к практической реализации: экологические аспекты были постепенно внедрены в управление инфраструктурой, организацию мероприятий и командировок, в закупки и операции в области ИКТ, что обеспечило структурированную основу для измеримого сокращения выбросов парниковых газов и долгосрочной операционной эффективности.</w:t>
      </w:r>
    </w:p>
    <w:p w14:paraId="658DA03E" w14:textId="22C5DE35" w:rsidR="00D82062" w:rsidRPr="00945782" w:rsidRDefault="00D82062" w:rsidP="00D82062">
      <w:pPr>
        <w:pStyle w:val="Heading2"/>
        <w:rPr>
          <w:lang w:val="ru-RU"/>
        </w:rPr>
      </w:pPr>
      <w:bookmarkStart w:id="142" w:name="_5.5_Партнерства_и"/>
      <w:bookmarkStart w:id="143" w:name="_Toc227062886"/>
      <w:bookmarkStart w:id="144" w:name="_Toc227850274"/>
      <w:bookmarkEnd w:id="142"/>
      <w:r w:rsidRPr="00945782">
        <w:rPr>
          <w:lang w:val="ru-RU"/>
        </w:rPr>
        <w:t>5.5</w:t>
      </w:r>
      <w:r w:rsidR="00831734" w:rsidRPr="00945782">
        <w:rPr>
          <w:lang w:val="ru-RU"/>
        </w:rPr>
        <w:tab/>
      </w:r>
      <w:r w:rsidRPr="00945782">
        <w:rPr>
          <w:lang w:val="ru-RU"/>
        </w:rPr>
        <w:t>Партнерства и международное сотрудничество</w:t>
      </w:r>
      <w:bookmarkEnd w:id="143"/>
      <w:bookmarkEnd w:id="144"/>
    </w:p>
    <w:p w14:paraId="05496243" w14:textId="77777777" w:rsidR="00D82062" w:rsidRPr="00945782" w:rsidRDefault="00D82062" w:rsidP="00831734">
      <w:pPr>
        <w:rPr>
          <w:lang w:val="ru-RU"/>
        </w:rPr>
      </w:pPr>
      <w:r w:rsidRPr="00945782">
        <w:rPr>
          <w:lang w:val="ru-RU"/>
        </w:rPr>
        <w:t xml:space="preserve">Сотрудничество, совместное использование ресурсов и взаимовыгодные механизмы, приносящие пользу правительствам, отрасли и пользователям, способствуют продвижению технологий как основных благоприятствующих услуг, приносящих выгоду всем. МСЭ укрепил широкую экосистему стратегических партнерств и инициатив для ускорения устойчивой </w:t>
      </w:r>
      <w:r w:rsidRPr="00945782">
        <w:rPr>
          <w:lang w:val="ru-RU"/>
        </w:rPr>
        <w:lastRenderedPageBreak/>
        <w:t>цифровой трансформации и обеспечения прогресса в достижении Целей в области устойчивого развития ООН. Взаимодействуя с учреждениями ООН, правительствами, частным сектором, академическими организациями и гражданским обществом, МСЭ сосредоточил внимание на расширении реальной возможности установления соединений, продвижении цифрового развития, открытого для всех и учитывающего гендерные аспекты, поддержке инновационного использования ИИ и новых технологий, а также интеграции принципов экологической устойчивости и жизнестойкости в стандарты, инфраструктуру и услуги по всему миру.</w:t>
      </w:r>
    </w:p>
    <w:p w14:paraId="6B4B61DB" w14:textId="77777777" w:rsidR="00D82062" w:rsidRPr="00945782" w:rsidRDefault="00D82062" w:rsidP="00831734">
      <w:pPr>
        <w:rPr>
          <w:lang w:val="ru-RU"/>
        </w:rPr>
      </w:pPr>
      <w:r w:rsidRPr="00945782">
        <w:rPr>
          <w:lang w:val="ru-RU"/>
        </w:rPr>
        <w:t>В данном разделе представлены ключевые партнерства за рассматриваемый период.</w:t>
      </w:r>
    </w:p>
    <w:p w14:paraId="45F5ED45" w14:textId="77777777" w:rsidR="00D82062" w:rsidRPr="00945782" w:rsidRDefault="00D82062" w:rsidP="00831734">
      <w:pPr>
        <w:pStyle w:val="Headingb"/>
        <w:rPr>
          <w:lang w:val="ru-RU"/>
        </w:rPr>
      </w:pPr>
      <w:r w:rsidRPr="00945782">
        <w:rPr>
          <w:b w:val="0"/>
          <w:bCs/>
          <w:lang w:val="ru-RU"/>
        </w:rPr>
        <w:t>"</w:t>
      </w:r>
      <w:r w:rsidRPr="00945782">
        <w:rPr>
          <w:lang w:val="ru-RU"/>
        </w:rPr>
        <w:t>Партнерства для подключения</w:t>
      </w:r>
      <w:r w:rsidRPr="00945782">
        <w:rPr>
          <w:b w:val="0"/>
          <w:bCs/>
          <w:lang w:val="ru-RU"/>
        </w:rPr>
        <w:t>"</w:t>
      </w:r>
    </w:p>
    <w:p w14:paraId="069C3A53" w14:textId="77777777" w:rsidR="00D82062" w:rsidRPr="00945782" w:rsidRDefault="00D82062" w:rsidP="00831734">
      <w:pPr>
        <w:rPr>
          <w:lang w:val="ru-RU"/>
        </w:rPr>
      </w:pPr>
      <w:hyperlink r:id="rId482" w:history="1">
        <w:r w:rsidRPr="00945782">
          <w:rPr>
            <w:rStyle w:val="Hyperlink"/>
            <w:lang w:val="ru-RU"/>
          </w:rPr>
          <w:t>Цифровая коалиция "Партнерства для подключения" (P2C)</w:t>
        </w:r>
      </w:hyperlink>
      <w:r w:rsidRPr="00945782">
        <w:rPr>
          <w:lang w:val="ru-RU"/>
        </w:rPr>
        <w:t xml:space="preserve"> превратилась в ключевой альянс МСЭ с участием большого числа заинтересованных сторон. В рамках этой платформы, разработанной в 2021 году в тесном сотрудничестве с Канцелярией посланника Генерального секретаря по вопросам технологий, Канцелярией Высокого представителя Организации Объединенных Наций по наименее развитым странам (КВПНРМ ООН) и Дорожной картой Генерального секретаря ООН по цифровому сотрудничеству, привлекаются ресурсы, строятся партнерства и формулируются обязательства для обеспечения универсальной реальной возможности установления соединений и устойчивой цифровой трансформации. Сессии P2C проводились в рамках Региональных форумов МСЭ по вопросам развития, во время мероприятий ВВУИО и "ИИ во благо", в рамках Digital@UNGA, во время Конференции ООН по развивающимся странам, не имеющим выхода к морю (ЛЛДС-3), а также в рамках национальных мероприятий по ускорению развития и поиску партнеров в Карибском регионе, Гватемале и Ямайке и </w:t>
      </w:r>
      <w:hyperlink r:id="rId483" w:history="1">
        <w:r w:rsidRPr="00945782">
          <w:rPr>
            <w:rStyle w:val="Hyperlink"/>
            <w:lang w:val="ru-RU"/>
          </w:rPr>
          <w:t>других мероприятий</w:t>
        </w:r>
      </w:hyperlink>
      <w:r w:rsidRPr="00945782">
        <w:rPr>
          <w:lang w:val="ru-RU"/>
        </w:rPr>
        <w:t>. Многочисленные вебинары и ежегодное собрание цифровой коалиции "Партнерства для подключения" в декабре 2025 года также обеспечили возможности для объявления взятых участниками на себя обязательств, представления отчетности и налаживания сотрудничества.</w:t>
      </w:r>
    </w:p>
    <w:p w14:paraId="327635DB" w14:textId="5EEDBC3F" w:rsidR="00D82062" w:rsidRPr="00945782" w:rsidRDefault="00D82062" w:rsidP="00831734">
      <w:pPr>
        <w:rPr>
          <w:lang w:val="ru-RU"/>
        </w:rPr>
      </w:pPr>
      <w:r w:rsidRPr="00945782">
        <w:rPr>
          <w:lang w:val="ru-RU"/>
        </w:rPr>
        <w:t>На сегодняшний день в рамках цифровой коалиции "Партнерства для подключения" было получено 1060 обязательств от 492 организаций из 149 стран на общую сумму 80,72 млрд. долларов США, включая обязательства от 30 учреждений ООН. В настоящее время 50% участвующих организаций представили отчеты о ходе выполнения, что подтверждает, что "Партнерства для подключения" является не только платформой для формулирования обязательств, но и механизмом отслеживания их реализации и обеспечения воздействия на местах. Ежегодные собрания, целевые кампании по принятию обязательств, информационные панели для мониторинга обязательств и отчетности, а также расширенные возможности поиска партнеров поддерживают участников в объявлении и реализации обязательств, особенно в интересах наименее развитых стран (НРС), развивающихся стран, не имеющих выхода к морю (</w:t>
      </w:r>
      <w:r w:rsidRPr="00945782">
        <w:rPr>
          <w:rFonts w:eastAsia="MS Mincho"/>
          <w:szCs w:val="18"/>
          <w:lang w:val="ru-RU"/>
        </w:rPr>
        <w:t>LLDC</w:t>
      </w:r>
      <w:r w:rsidRPr="00945782">
        <w:rPr>
          <w:lang w:val="ru-RU"/>
        </w:rPr>
        <w:t>), малых островных развивающихся государств (</w:t>
      </w:r>
      <w:r w:rsidRPr="00945782">
        <w:rPr>
          <w:rFonts w:eastAsia="MS Mincho"/>
          <w:szCs w:val="18"/>
          <w:lang w:val="ru-RU"/>
        </w:rPr>
        <w:t>SIDS</w:t>
      </w:r>
      <w:r w:rsidRPr="00945782">
        <w:rPr>
          <w:lang w:val="ru-RU"/>
        </w:rPr>
        <w:t>) и перемещенных лиц. Эта работа способствует реализации амбициозной программы по привлечению обязательств на сумму 100 млрд. долларов США к концу 2026 года. P2C полностью финансируется из внебюджетных средств и поддерживается за счет взносов активных участников инициативы P2C, которыми могут стать любые члены МСЭ. По состоянию на декабрь 2025 года активными участниками P2C являются компании Amazon, Google, Microsoft, ZTE и Межамериканский банк развития.</w:t>
      </w:r>
    </w:p>
    <w:p w14:paraId="7BFCD2C5" w14:textId="77777777" w:rsidR="00D82062" w:rsidRPr="00945782" w:rsidRDefault="00D82062" w:rsidP="00831734">
      <w:pPr>
        <w:pStyle w:val="Headingb"/>
        <w:rPr>
          <w:lang w:val="ru-RU"/>
        </w:rPr>
      </w:pPr>
      <w:r w:rsidRPr="00945782">
        <w:rPr>
          <w:b w:val="0"/>
          <w:bCs/>
          <w:lang w:val="ru-RU"/>
        </w:rPr>
        <w:t>"</w:t>
      </w:r>
      <w:r w:rsidRPr="00945782">
        <w:rPr>
          <w:lang w:val="ru-RU"/>
        </w:rPr>
        <w:t>Зеленая цифровая кампания</w:t>
      </w:r>
      <w:r w:rsidRPr="00945782">
        <w:rPr>
          <w:b w:val="0"/>
          <w:bCs/>
          <w:lang w:val="ru-RU"/>
        </w:rPr>
        <w:t>"</w:t>
      </w:r>
    </w:p>
    <w:p w14:paraId="2D2EC2F5" w14:textId="77777777" w:rsidR="00D82062" w:rsidRPr="00945782" w:rsidRDefault="00D82062" w:rsidP="00831734">
      <w:pPr>
        <w:rPr>
          <w:lang w:val="ru-RU"/>
        </w:rPr>
      </w:pPr>
      <w:r w:rsidRPr="00945782">
        <w:rPr>
          <w:lang w:val="ru-RU"/>
        </w:rPr>
        <w:t xml:space="preserve">Инициатива "Зеленая цифровая кампания", реализация которой началась на КС-28 в 2023 году, представляет собой многостороннее партнерство, инициатором которого выступил МСЭ и которое объединяет более 40 партнеров. В ходе </w:t>
      </w:r>
      <w:hyperlink r:id="rId484" w:history="1">
        <w:r w:rsidRPr="00945782">
          <w:rPr>
            <w:rStyle w:val="Hyperlink"/>
            <w:lang w:val="ru-RU"/>
          </w:rPr>
          <w:t>КС-28</w:t>
        </w:r>
      </w:hyperlink>
      <w:r w:rsidRPr="00945782">
        <w:rPr>
          <w:lang w:val="ru-RU"/>
        </w:rPr>
        <w:t xml:space="preserve">, </w:t>
      </w:r>
      <w:hyperlink r:id="rId485" w:history="1">
        <w:r w:rsidRPr="00945782">
          <w:rPr>
            <w:rStyle w:val="Hyperlink"/>
            <w:lang w:val="ru-RU"/>
          </w:rPr>
          <w:t>КС-29</w:t>
        </w:r>
      </w:hyperlink>
      <w:r w:rsidRPr="00945782">
        <w:rPr>
          <w:lang w:val="ru-RU"/>
        </w:rPr>
        <w:t xml:space="preserve"> и </w:t>
      </w:r>
      <w:hyperlink r:id="rId486" w:history="1">
        <w:r w:rsidRPr="00945782">
          <w:rPr>
            <w:rStyle w:val="Hyperlink"/>
            <w:lang w:val="ru-RU"/>
          </w:rPr>
          <w:t>КС-30</w:t>
        </w:r>
      </w:hyperlink>
      <w:r w:rsidRPr="00945782">
        <w:rPr>
          <w:lang w:val="ru-RU"/>
        </w:rPr>
        <w:t xml:space="preserve"> МСЭ совместно с партнерами организовывал и развивал сегмент </w:t>
      </w:r>
      <w:hyperlink r:id="rId487" w:history="1">
        <w:r w:rsidRPr="00945782">
          <w:rPr>
            <w:rStyle w:val="Hyperlink"/>
            <w:lang w:val="ru-RU"/>
          </w:rPr>
          <w:t>"Зеленая цифровая кампания"</w:t>
        </w:r>
      </w:hyperlink>
      <w:r w:rsidRPr="00945782">
        <w:rPr>
          <w:lang w:val="ru-RU"/>
        </w:rPr>
        <w:t xml:space="preserve">, в рамках которого состоялось более 80 сессий с участием правительств, отрасли, гражданского общества, учреждений ООН и многосторонних банков; эти сессии были направлены на поощрение использования цифровых технологий как инструмента достижения глобальных </w:t>
      </w:r>
      <w:r w:rsidRPr="00945782">
        <w:rPr>
          <w:lang w:val="ru-RU"/>
        </w:rPr>
        <w:lastRenderedPageBreak/>
        <w:t>климатических целей. Благодаря этим скоординированным усилиям МСЭ продемонстрировал, что цифровая политика, возможность установления соединений и инновации являются ключевыми факторами, способствующими смягчению последствий изменения климата, развитию циркуляционной экономики и повышению жизнестойкости, сделав упор на необходимость комплексного экосистемного подхода к преодолению климатического кризиса.</w:t>
      </w:r>
    </w:p>
    <w:p w14:paraId="75FA005A" w14:textId="13F4FF41" w:rsidR="00D82062" w:rsidRPr="00945782" w:rsidRDefault="00D82062" w:rsidP="00831734">
      <w:pPr>
        <w:rPr>
          <w:lang w:val="ru-RU"/>
        </w:rPr>
      </w:pPr>
      <w:r w:rsidRPr="00945782">
        <w:rPr>
          <w:lang w:val="ru-RU"/>
        </w:rPr>
        <w:t xml:space="preserve">На КС-30 в Белене, Бразилия, сегмент "Зеленая цифровая кампания" прошел в третий раз, что стало продолжением исторической </w:t>
      </w:r>
      <w:hyperlink r:id="rId488" w:history="1">
        <w:r w:rsidRPr="00945782">
          <w:rPr>
            <w:rStyle w:val="Hyperlink"/>
            <w:lang w:val="ru-RU"/>
          </w:rPr>
          <w:t>Декларации КС-29 об инициативе "Зеленая цифровая кампания"</w:t>
        </w:r>
      </w:hyperlink>
      <w:r w:rsidRPr="00945782">
        <w:rPr>
          <w:lang w:val="ru-RU"/>
        </w:rPr>
        <w:t xml:space="preserve">, которую поддержали более 80 стран и около 1800 компаний, организаций и других заинтересованных сторон. Важным результатом стало создание </w:t>
      </w:r>
      <w:hyperlink r:id="rId489" w:history="1">
        <w:r w:rsidRPr="00945782">
          <w:rPr>
            <w:rStyle w:val="Hyperlink"/>
            <w:lang w:val="ru-RU"/>
          </w:rPr>
          <w:t>Центра действий "Зеленой цифровой кампании"</w:t>
        </w:r>
      </w:hyperlink>
      <w:r w:rsidRPr="00945782">
        <w:rPr>
          <w:lang w:val="ru-RU"/>
        </w:rPr>
        <w:t xml:space="preserve">, объявленного наследием КС-30 и размещенного в Бразилии; этот Центр будет выполнять функции координационного узла по глобальным цифровым климатическим решениям. Ключевые задачи Центра включают обеспечение функционирования недавно созданного </w:t>
      </w:r>
      <w:hyperlink r:id="rId490" w:history="1">
        <w:r w:rsidRPr="00945782">
          <w:rPr>
            <w:rStyle w:val="Hyperlink"/>
            <w:lang w:val="ru-RU"/>
          </w:rPr>
          <w:t>Института ИИ в области климата</w:t>
        </w:r>
      </w:hyperlink>
      <w:r w:rsidRPr="00945782">
        <w:rPr>
          <w:lang w:val="ru-RU"/>
        </w:rPr>
        <w:t>, направленного на развитие технологического потенциала и стимулирование локальных инноваций в развивающихся странах, с тем чтобы искусственный интеллект мог эффективно способствовать смягчению последствий изменения климата и адаптации к нему.</w:t>
      </w:r>
    </w:p>
    <w:p w14:paraId="12EC6440" w14:textId="009CF933" w:rsidR="00D82062" w:rsidRPr="00945782" w:rsidRDefault="00D82062" w:rsidP="00DD01BA">
      <w:pPr>
        <w:rPr>
          <w:lang w:val="ru-RU"/>
        </w:rPr>
      </w:pPr>
      <w:r w:rsidRPr="00945782">
        <w:rPr>
          <w:lang w:val="ru-RU"/>
        </w:rPr>
        <w:t xml:space="preserve">В рамках </w:t>
      </w:r>
      <w:hyperlink r:id="rId491" w:history="1">
        <w:r w:rsidRPr="00945782">
          <w:rPr>
            <w:rStyle w:val="Hyperlink"/>
            <w:lang w:val="ru-RU"/>
          </w:rPr>
          <w:t>саммита "Зеленой цифровой кампании"</w:t>
        </w:r>
      </w:hyperlink>
      <w:r w:rsidRPr="00945782">
        <w:rPr>
          <w:lang w:val="ru-RU"/>
        </w:rPr>
        <w:t>, организованного совместно с Федеральным агентством Германии по окружающей среде, этим усилиям был придан дополнительный импульс благодаря оценке прогресса, достигнутого с момента проведения КС-29, и стимулированию коллективных действий в преддверии КС-30. На саммите выступили почти 50 докладчиков, было проведено 8 групповых дискуссий, было представлено 4 основных доклада, а также состоялись 3 неофициальные беседы и одна презентация цифрового искусства.</w:t>
      </w:r>
    </w:p>
    <w:p w14:paraId="11CE9FEE" w14:textId="77777777" w:rsidR="00D82062" w:rsidRPr="00945782" w:rsidRDefault="00D82062" w:rsidP="00DD01BA">
      <w:pPr>
        <w:rPr>
          <w:lang w:val="ru-RU"/>
        </w:rPr>
      </w:pPr>
      <w:r w:rsidRPr="00945782">
        <w:rPr>
          <w:lang w:val="ru-RU"/>
        </w:rPr>
        <w:t xml:space="preserve">Инициатива продолжает способствовать укреплению глобальной экосистемы </w:t>
      </w:r>
      <w:hyperlink r:id="rId492" w:history="1">
        <w:r w:rsidRPr="00945782">
          <w:rPr>
            <w:rStyle w:val="Hyperlink"/>
            <w:lang w:val="ru-RU"/>
          </w:rPr>
          <w:t>партнеров</w:t>
        </w:r>
      </w:hyperlink>
      <w:r w:rsidRPr="00945782">
        <w:rPr>
          <w:lang w:val="ru-RU"/>
        </w:rPr>
        <w:t xml:space="preserve"> и </w:t>
      </w:r>
      <w:hyperlink r:id="rId493" w:history="1">
        <w:r w:rsidRPr="00945782">
          <w:rPr>
            <w:rStyle w:val="Hyperlink"/>
            <w:lang w:val="ru-RU"/>
          </w:rPr>
          <w:t>обязательств</w:t>
        </w:r>
      </w:hyperlink>
      <w:r w:rsidRPr="00945782">
        <w:rPr>
          <w:lang w:val="ru-RU"/>
        </w:rPr>
        <w:t xml:space="preserve">, в рамках которой отрасль, правительства и организации совместно продвигают устойчивую цифровую трансформацию и ускоряют прогресс на пути к нулевому балансу выбросов. </w:t>
      </w:r>
      <w:hyperlink r:id="rId494" w:history="1">
        <w:r w:rsidRPr="00945782">
          <w:rPr>
            <w:rStyle w:val="Hyperlink"/>
            <w:lang w:val="ru-RU"/>
          </w:rPr>
          <w:t>Мероприятия</w:t>
        </w:r>
      </w:hyperlink>
      <w:r w:rsidRPr="00945782">
        <w:rPr>
          <w:lang w:val="ru-RU"/>
        </w:rPr>
        <w:t xml:space="preserve"> сообщества, обмен цифровыми климатическими решениями и растущий корпус публикаций МСЭ способствуют обмену знаниями и инновациям в различных секторах. Объединяя партнеров из технологической отрасли, международных организаций, органов государственной власти и гражданского общества, "Зеленая цифровая кампания" выступает в качестве ключевого механизма использования цифровых технологий для решения задач в области изменения климата, закладывая основу для устойчивого и открытого для всех цифрового будущего.</w:t>
      </w:r>
    </w:p>
    <w:p w14:paraId="3EDA152C" w14:textId="66059E76" w:rsidR="00D82062" w:rsidRPr="00945782" w:rsidRDefault="00D82062" w:rsidP="00DD01BA">
      <w:pPr>
        <w:rPr>
          <w:lang w:val="ru-RU"/>
        </w:rPr>
      </w:pPr>
      <w:r w:rsidRPr="00945782">
        <w:rPr>
          <w:lang w:val="ru-RU"/>
        </w:rPr>
        <w:t xml:space="preserve">Дополнительная информация о тематических направлениях инициативы "Зеленая цифровая кампания" представлена в разделе </w:t>
      </w:r>
      <w:hyperlink w:anchor="_5.4_Приверженность_экологической" w:history="1">
        <w:r w:rsidRPr="00945782">
          <w:rPr>
            <w:rStyle w:val="Hyperlink"/>
            <w:lang w:val="ru-RU"/>
          </w:rPr>
          <w:t>5.4</w:t>
        </w:r>
      </w:hyperlink>
      <w:r w:rsidR="00681819" w:rsidRPr="00945782">
        <w:rPr>
          <w:lang w:val="ru-RU"/>
        </w:rPr>
        <w:t xml:space="preserve">, </w:t>
      </w:r>
      <w:r w:rsidRPr="00945782">
        <w:rPr>
          <w:lang w:val="ru-RU"/>
        </w:rPr>
        <w:t>выше.</w:t>
      </w:r>
    </w:p>
    <w:p w14:paraId="4F6B1D2A" w14:textId="77777777" w:rsidR="00D82062" w:rsidRPr="00945782" w:rsidRDefault="00D82062" w:rsidP="00DD01BA">
      <w:pPr>
        <w:pStyle w:val="Headingb"/>
        <w:rPr>
          <w:lang w:val="ru-RU"/>
        </w:rPr>
      </w:pPr>
      <w:r w:rsidRPr="00945782">
        <w:rPr>
          <w:lang w:val="ru-RU"/>
        </w:rPr>
        <w:t>Digital@UNGA</w:t>
      </w:r>
    </w:p>
    <w:p w14:paraId="5B4AA87A" w14:textId="72329E6A" w:rsidR="00D82062" w:rsidRPr="00945782" w:rsidRDefault="00D82062" w:rsidP="00DD01BA">
      <w:pPr>
        <w:rPr>
          <w:lang w:val="ru-RU"/>
        </w:rPr>
      </w:pPr>
      <w:r w:rsidRPr="00945782">
        <w:rPr>
          <w:lang w:val="ru-RU"/>
        </w:rPr>
        <w:t xml:space="preserve">Для демонстрации цифровых решений, способных ускорить прогресс в реализации Повестки дня на период до 2030 года, МСЭ и ПРООН провели в штаб-квартире ООН в Нью-Йорке крупные мероприятия по цифровому развитию на тему "Цифровые ЦУР" и </w:t>
      </w:r>
      <w:hyperlink r:id="rId495" w:history="1">
        <w:r w:rsidRPr="00945782">
          <w:rPr>
            <w:rStyle w:val="Hyperlink"/>
            <w:lang w:val="ru-RU"/>
          </w:rPr>
          <w:t>Digital@UNGA</w:t>
        </w:r>
      </w:hyperlink>
      <w:r w:rsidRPr="00945782">
        <w:rPr>
          <w:lang w:val="ru-RU"/>
        </w:rPr>
        <w:t>. На</w:t>
      </w:r>
      <w:r w:rsidR="00DD01BA" w:rsidRPr="00945782">
        <w:rPr>
          <w:lang w:val="ru-RU"/>
        </w:rPr>
        <w:t> </w:t>
      </w:r>
      <w:hyperlink r:id="rId496" w:history="1">
        <w:r w:rsidRPr="00945782">
          <w:rPr>
            <w:rStyle w:val="Hyperlink"/>
            <w:lang w:val="ru-RU"/>
          </w:rPr>
          <w:t>мероприятии 2023 года</w:t>
        </w:r>
      </w:hyperlink>
      <w:r w:rsidRPr="00945782">
        <w:rPr>
          <w:lang w:val="ru-RU"/>
        </w:rPr>
        <w:t xml:space="preserve">, прошедшем в рамках Выходных дней для действий по достижению ЦУР, и на </w:t>
      </w:r>
      <w:hyperlink r:id="rId497" w:history="1">
        <w:r w:rsidRPr="00945782">
          <w:rPr>
            <w:rStyle w:val="Hyperlink"/>
            <w:lang w:val="ru-RU"/>
          </w:rPr>
          <w:t>мероприятии 2024 года</w:t>
        </w:r>
      </w:hyperlink>
      <w:r w:rsidRPr="00945782">
        <w:rPr>
          <w:lang w:val="ru-RU"/>
        </w:rPr>
        <w:t>, проведенном в преддверии Генеральной Ассамблеи ООН и Саммита будущего, были представлены масштабируемые цифровые инициативы и подчеркнута важная роль цифровых технологий в продвижении Повестки дня на период до 2030 года.</w:t>
      </w:r>
    </w:p>
    <w:p w14:paraId="5A2E3074" w14:textId="77777777" w:rsidR="00D82062" w:rsidRPr="00945782" w:rsidRDefault="00D82062" w:rsidP="00DD01BA">
      <w:pPr>
        <w:rPr>
          <w:lang w:val="ru-RU"/>
        </w:rPr>
      </w:pPr>
      <w:r w:rsidRPr="00945782">
        <w:rPr>
          <w:lang w:val="ru-RU"/>
        </w:rPr>
        <w:t xml:space="preserve">В 2025 году, чтобы подчеркнуть постоянно растущее значение цифровых технологий во всех областях развития, </w:t>
      </w:r>
      <w:hyperlink r:id="rId498" w:history="1">
        <w:r w:rsidRPr="00945782">
          <w:rPr>
            <w:rStyle w:val="Hyperlink"/>
            <w:lang w:val="ru-RU"/>
          </w:rPr>
          <w:t>Digital@UNGA</w:t>
        </w:r>
      </w:hyperlink>
      <w:r w:rsidRPr="00945782">
        <w:rPr>
          <w:lang w:val="ru-RU"/>
        </w:rPr>
        <w:t xml:space="preserve"> продолжила эту работу и привлекла особое внимание к цифровым инновациям и их роли в ходе Генеральной Ассамблеи Организации Объединенных Наций в сентябре. Помимо основного мероприятия, организованного МСЭ совместно с ПРООН, </w:t>
      </w:r>
      <w:r w:rsidRPr="00945782">
        <w:rPr>
          <w:lang w:val="ru-RU"/>
        </w:rPr>
        <w:lastRenderedPageBreak/>
        <w:t>программа Digital@UNGA включала 46 дополнительных сессий, проведенных более чем 80 организациями, что значительно расширило охват и воздействие МСЭ в рамках Недели высокого уровня ООН. Кроме того, в декабре в преддверии высокоуровневого обзора ВВУИО+20 состоялось специальное мероприятие Digital@UNGA − Digital@UNGA для ВВУИО. Объединяя в одном месте представителей правительств, гражданского общества, частного сектора, молодежи и академического сообщества, Digital@UNGA способствует изучению тенденций, рисков и возможностей, связанных с цифровыми и появляющимися технологиями.</w:t>
      </w:r>
    </w:p>
    <w:p w14:paraId="3905ADB4" w14:textId="77777777" w:rsidR="00D82062" w:rsidRPr="00945782" w:rsidRDefault="00D82062" w:rsidP="00DD01BA">
      <w:pPr>
        <w:pStyle w:val="Headingb"/>
        <w:rPr>
          <w:lang w:val="ru-RU"/>
        </w:rPr>
      </w:pPr>
      <w:r w:rsidRPr="00945782">
        <w:rPr>
          <w:lang w:val="ru-RU"/>
        </w:rPr>
        <w:t>Комиссия по широкополосной связи: итоги 15-летней работы по включению широкополосной связи в международную политическую повестку дня</w:t>
      </w:r>
    </w:p>
    <w:p w14:paraId="29E5AAE2" w14:textId="59B7F62F" w:rsidR="00D82062" w:rsidRPr="00945782" w:rsidRDefault="00D82062" w:rsidP="00DD01BA">
      <w:pPr>
        <w:rPr>
          <w:lang w:val="ru-RU"/>
        </w:rPr>
      </w:pPr>
      <w:hyperlink r:id="rId499" w:history="1">
        <w:r w:rsidRPr="00945782">
          <w:rPr>
            <w:rStyle w:val="Hyperlink"/>
            <w:lang w:val="ru-RU"/>
          </w:rPr>
          <w:t>Комиссия по широкополосной связи в интересах устойчивого развития</w:t>
        </w:r>
      </w:hyperlink>
      <w:r w:rsidRPr="00945782">
        <w:rPr>
          <w:lang w:val="ru-RU"/>
        </w:rPr>
        <w:t xml:space="preserve"> была создана в 2010</w:t>
      </w:r>
      <w:r w:rsidR="00C97F0D" w:rsidRPr="00945782">
        <w:rPr>
          <w:lang w:val="ru-RU"/>
        </w:rPr>
        <w:t> </w:t>
      </w:r>
      <w:r w:rsidRPr="00945782">
        <w:rPr>
          <w:lang w:val="ru-RU"/>
        </w:rPr>
        <w:t xml:space="preserve">году МСЭ и ЮНЕСКО под руководством Его Превосходительства Президента Руанды Пола Кагаме и г-на Карлоса Слима Элу, крупнейшего предпринимателя Мексики и основателя Фонда Карлоса Слима, в целях отстаивания интересов универсальной возможности установления соединений для содействия достижению Повестки дня ООН на период до 2030 года и ее </w:t>
      </w:r>
      <w:hyperlink r:id="rId500" w:history="1">
        <w:r w:rsidRPr="00945782">
          <w:rPr>
            <w:rStyle w:val="Hyperlink"/>
            <w:lang w:val="ru-RU"/>
          </w:rPr>
          <w:t>7</w:t>
        </w:r>
        <w:r w:rsidR="00C97F0D" w:rsidRPr="00945782">
          <w:rPr>
            <w:rStyle w:val="Hyperlink"/>
            <w:lang w:val="ru-RU"/>
          </w:rPr>
          <w:t> </w:t>
        </w:r>
        <w:r w:rsidRPr="00945782">
          <w:rPr>
            <w:rStyle w:val="Hyperlink"/>
            <w:lang w:val="ru-RU"/>
          </w:rPr>
          <w:t>Целевых показателей в области информационно-пропагандистской деятельности</w:t>
        </w:r>
      </w:hyperlink>
      <w:r w:rsidRPr="00945782">
        <w:rPr>
          <w:lang w:val="ru-RU"/>
        </w:rPr>
        <w:t>.</w:t>
      </w:r>
    </w:p>
    <w:p w14:paraId="6AD9676E" w14:textId="77777777" w:rsidR="00D82062" w:rsidRPr="00945782" w:rsidRDefault="00D82062" w:rsidP="00C97F0D">
      <w:pPr>
        <w:rPr>
          <w:lang w:val="ru-RU"/>
        </w:rPr>
      </w:pPr>
      <w:r w:rsidRPr="00945782">
        <w:rPr>
          <w:lang w:val="ru-RU"/>
        </w:rPr>
        <w:t xml:space="preserve">В 2025 году исполнилось 15 лет с момента создания Комиссии − это значительная веха в мониторинге прогресса в области охвата широкополосной связью и цифровыми технологиями в целом. После пятнадцати лет содействия расширению возможности установления широкополосных соединений посредством многосторонних партнерств и информационно-просветительской деятельности в конце 2025 года истек срок действия стратегической основы работы Комиссии − </w:t>
      </w:r>
      <w:hyperlink r:id="rId501" w:history="1">
        <w:r w:rsidRPr="00945782">
          <w:rPr>
            <w:rStyle w:val="Hyperlink"/>
            <w:lang w:val="ru-RU"/>
          </w:rPr>
          <w:t>Целевых показателей в области информационно-пропагандистской деятельности в отношении широкополосной связи</w:t>
        </w:r>
      </w:hyperlink>
      <w:r w:rsidRPr="00945782">
        <w:rPr>
          <w:lang w:val="ru-RU"/>
        </w:rPr>
        <w:t xml:space="preserve">. За время своей работы Комиссия подготовила более 100 продуктов знаний, включая 15 флагманских ежегодных отчетов </w:t>
      </w:r>
      <w:hyperlink r:id="rId502" w:history="1">
        <w:r w:rsidRPr="00945782">
          <w:rPr>
            <w:rStyle w:val="Hyperlink"/>
            <w:lang w:val="ru-RU"/>
          </w:rPr>
          <w:t>"Состояние широкополосной связи"</w:t>
        </w:r>
      </w:hyperlink>
      <w:r w:rsidRPr="00945782">
        <w:rPr>
          <w:lang w:val="ru-RU"/>
        </w:rPr>
        <w:t>, содержащих данные, аналитические выводы и анализ воздействия в регионах, а также идеи решений по сокращению разрыва в возможности установления соединений. Более 35 </w:t>
      </w:r>
      <w:hyperlink r:id="rId503" w:history="1">
        <w:r w:rsidRPr="00945782">
          <w:rPr>
            <w:rStyle w:val="Hyperlink"/>
            <w:lang w:val="ru-RU"/>
          </w:rPr>
          <w:t>рабочих групп</w:t>
        </w:r>
      </w:hyperlink>
      <w:r w:rsidRPr="00945782">
        <w:rPr>
          <w:lang w:val="ru-RU"/>
        </w:rPr>
        <w:t xml:space="preserve"> Комиссии при поддержке сообщества из более чем 500 международных экспертов подготовили новаторские исследования и практические рекомендации по таким приоритетным направлениям, как цифровое здравоохранение, образование, гендерное равенство, охват цифровыми технологиями, финансирование и др. В 2025 году Рабочая группа </w:t>
      </w:r>
      <w:hyperlink r:id="rId504" w:history="1">
        <w:r w:rsidRPr="00945782">
          <w:rPr>
            <w:rStyle w:val="Hyperlink"/>
            <w:lang w:val="ru-RU"/>
          </w:rPr>
          <w:t>по управлению данными</w:t>
        </w:r>
      </w:hyperlink>
      <w:r w:rsidRPr="00945782">
        <w:rPr>
          <w:lang w:val="ru-RU"/>
        </w:rPr>
        <w:t xml:space="preserve"> под сопредседательством МСЭ, ЮНЕСКО, ПРООН и Африканского союза завершила подготовку ключевых результатов и представила итоговый отчет.</w:t>
      </w:r>
    </w:p>
    <w:p w14:paraId="3161E42B" w14:textId="305B87AC" w:rsidR="00D82062" w:rsidRPr="00945782" w:rsidRDefault="00D82062" w:rsidP="00C97F0D">
      <w:pPr>
        <w:rPr>
          <w:lang w:val="ru-RU"/>
        </w:rPr>
      </w:pPr>
      <w:r w:rsidRPr="00945782">
        <w:rPr>
          <w:lang w:val="ru-RU"/>
        </w:rPr>
        <w:t>Было выработано более 70 конкретных рекомендаций в области политики, охватывающих, в частности, такие ключевые направления, как совместное использование инфраструктуры широкополосной связи, инвестиции и политика в области спектра. Комиссия разработала также семь признанных на международном уровне целевых показателей в области информационно-пропагандистской деятельности, которые служили программной основой для региональных и международных действий по развитию широкополосной связи и обеспечению универсальной возможности установления соединений. Среди них – целевой показатель приемлемости в ценовом отношении, первоначально установленный на уровне 5%</w:t>
      </w:r>
      <w:r w:rsidR="00C97F0D" w:rsidRPr="00945782">
        <w:rPr>
          <w:lang w:val="ru-RU"/>
        </w:rPr>
        <w:t> </w:t>
      </w:r>
      <w:r w:rsidRPr="00945782">
        <w:rPr>
          <w:lang w:val="ru-RU"/>
        </w:rPr>
        <w:t>ежемесячного дохода, а затем пересмотренный с понижением до 2%, который был принят правительствами и отраслью во всем мире в качестве ориентира и отслеживается МСЭ на ежегодной основе.</w:t>
      </w:r>
    </w:p>
    <w:p w14:paraId="137B0D2E" w14:textId="77777777" w:rsidR="00D82062" w:rsidRPr="00945782" w:rsidRDefault="00D82062" w:rsidP="00C97F0D">
      <w:pPr>
        <w:rPr>
          <w:lang w:val="ru-RU"/>
        </w:rPr>
      </w:pPr>
      <w:r w:rsidRPr="00945782">
        <w:rPr>
          <w:lang w:val="ru-RU"/>
        </w:rPr>
        <w:t xml:space="preserve">В год своего 15-летия Комиссия выпустила новую серию из четырех отчетов "Состояние широкополосной связи" 2025 года. Такой расширенный подход стал отражением возрастающей сложности экосистемы широкополосной связи и цифровых технологий и стремлением предложить углубленный анализ по отдельным направлениям: прогресс в достижении семи </w:t>
      </w:r>
      <w:hyperlink r:id="rId505" w:history="1">
        <w:r w:rsidRPr="00945782">
          <w:rPr>
            <w:rStyle w:val="Hyperlink"/>
            <w:lang w:val="ru-RU"/>
          </w:rPr>
          <w:t>Целевых показателей Комиссии в области информационно-пропагандистской деятельности</w:t>
        </w:r>
      </w:hyperlink>
      <w:r w:rsidRPr="00945782">
        <w:rPr>
          <w:lang w:val="ru-RU"/>
        </w:rPr>
        <w:t xml:space="preserve">; региональные тенденции, включая детальное рассмотрение </w:t>
      </w:r>
      <w:r w:rsidRPr="00945782">
        <w:rPr>
          <w:lang w:val="ru-RU"/>
        </w:rPr>
        <w:lastRenderedPageBreak/>
        <w:t xml:space="preserve">ситуации в Африке; появляющиеся спутниковые и иные неназемные технологии; а также более общая трансформация цифровых обществ, включая ИИ, управление данными и цифровую инфраструктуру. В дополнение к этой специальной серии была также выпущена </w:t>
      </w:r>
      <w:hyperlink r:id="rId506" w:history="1">
        <w:r w:rsidRPr="00945782">
          <w:rPr>
            <w:rStyle w:val="Hyperlink"/>
            <w:lang w:val="ru-RU"/>
          </w:rPr>
          <w:t>серия подкастов</w:t>
        </w:r>
      </w:hyperlink>
      <w:r w:rsidRPr="00945782">
        <w:rPr>
          <w:lang w:val="ru-RU"/>
        </w:rPr>
        <w:t>.</w:t>
      </w:r>
    </w:p>
    <w:p w14:paraId="72B56317" w14:textId="77777777" w:rsidR="00D82062" w:rsidRPr="00945782" w:rsidRDefault="00D82062" w:rsidP="00C97F0D">
      <w:pPr>
        <w:rPr>
          <w:lang w:val="ru-RU"/>
        </w:rPr>
      </w:pPr>
      <w:r w:rsidRPr="00945782">
        <w:rPr>
          <w:lang w:val="ru-RU"/>
        </w:rPr>
        <w:t xml:space="preserve">Комиссия способствовала приданию импульса таким глобальным инициативам, как "РАВНЫЕ" − для преодоления гендерного цифрового разрыва, Giga − для подключения каждой школы к интернету, а также инициативе ЮНЕСКО по созданию электронных школ. Она также сыграла роль в принятии Всеобщей декларации безопасности ребенка в онлайновой среде и опубликовала </w:t>
      </w:r>
      <w:r w:rsidRPr="00945782">
        <w:rPr>
          <w:i/>
          <w:iCs/>
          <w:lang w:val="ru-RU"/>
        </w:rPr>
        <w:t>Программу действий</w:t>
      </w:r>
      <w:r w:rsidRPr="00945782">
        <w:rPr>
          <w:lang w:val="ru-RU"/>
        </w:rPr>
        <w:t xml:space="preserve"> для поддержки цифровых стратегий реагирования в период пандемии COVID-19. Комиссия создала важный прецедент, подчеркнув значимость совместной работы по обеспечению возможности установления соединений для тех, кто ее не имеет, и помогла заложить основы цифрового будущего. Некоторые направления работы Комиссии продолжают использоваться в ее совместной работе в рамках других стратегических инициатив, включая </w:t>
      </w:r>
      <w:hyperlink r:id="rId507" w:history="1">
        <w:r w:rsidRPr="00945782">
          <w:rPr>
            <w:rStyle w:val="Hyperlink"/>
            <w:lang w:val="ru-RU"/>
          </w:rPr>
          <w:t>Глобальное партнерство "РАВНЫЕ"</w:t>
        </w:r>
      </w:hyperlink>
      <w:r w:rsidRPr="00945782">
        <w:rPr>
          <w:lang w:val="ru-RU"/>
        </w:rPr>
        <w:t xml:space="preserve">, </w:t>
      </w:r>
      <w:hyperlink r:id="rId508" w:history="1">
        <w:r w:rsidRPr="00945782">
          <w:rPr>
            <w:rStyle w:val="Hyperlink"/>
            <w:lang w:val="ru-RU"/>
          </w:rPr>
          <w:t>проект ЮНИСЕФ и МСЭ Giga</w:t>
        </w:r>
      </w:hyperlink>
      <w:r w:rsidRPr="00945782">
        <w:rPr>
          <w:lang w:val="ru-RU"/>
        </w:rPr>
        <w:t xml:space="preserve">, </w:t>
      </w:r>
      <w:hyperlink r:id="rId509" w:history="1">
        <w:r w:rsidRPr="00945782">
          <w:rPr>
            <w:rStyle w:val="Hyperlink"/>
            <w:lang w:val="ru-RU"/>
          </w:rPr>
          <w:t>Комплект материалов по управлению данными</w:t>
        </w:r>
      </w:hyperlink>
      <w:r w:rsidRPr="00945782">
        <w:rPr>
          <w:lang w:val="ru-RU"/>
        </w:rPr>
        <w:t xml:space="preserve"> и </w:t>
      </w:r>
      <w:hyperlink r:id="rId510" w:history="1">
        <w:r w:rsidRPr="00945782">
          <w:rPr>
            <w:rStyle w:val="Hyperlink"/>
            <w:lang w:val="ru-RU"/>
          </w:rPr>
          <w:t>Цифровую коалицию МСЭ "Партнерства для подключения"</w:t>
        </w:r>
      </w:hyperlink>
      <w:r w:rsidRPr="00945782">
        <w:rPr>
          <w:lang w:val="ru-RU"/>
        </w:rPr>
        <w:t>.</w:t>
      </w:r>
    </w:p>
    <w:p w14:paraId="33A77134" w14:textId="77777777" w:rsidR="00D82062" w:rsidRPr="00945782" w:rsidRDefault="00D82062" w:rsidP="00C97F0D">
      <w:pPr>
        <w:rPr>
          <w:lang w:val="ru-RU"/>
        </w:rPr>
      </w:pPr>
      <w:r w:rsidRPr="00945782">
        <w:rPr>
          <w:lang w:val="ru-RU"/>
        </w:rPr>
        <w:t>Теперь Комиссия переходит к новому этапу, в рамках которого ее опыт и экспертные знания продолжат приносить пользу в эру ИИ и данных. Ее наследие целенаправленного и устойчивого многостороннего сотрудничества создает прочную основу для решения задач следующего поколения в сфере цифрового развития.</w:t>
      </w:r>
    </w:p>
    <w:p w14:paraId="39AE9781" w14:textId="77777777" w:rsidR="00D82062" w:rsidRPr="00945782" w:rsidRDefault="00D82062" w:rsidP="00C97F0D">
      <w:pPr>
        <w:pStyle w:val="Headingb"/>
        <w:rPr>
          <w:lang w:val="ru-RU"/>
        </w:rPr>
      </w:pPr>
      <w:r w:rsidRPr="00945782">
        <w:rPr>
          <w:b w:val="0"/>
          <w:bCs/>
          <w:lang w:val="ru-RU"/>
        </w:rPr>
        <w:t>"</w:t>
      </w:r>
      <w:r w:rsidRPr="00945782">
        <w:rPr>
          <w:lang w:val="ru-RU"/>
        </w:rPr>
        <w:t>РАВНЫЕ</w:t>
      </w:r>
      <w:r w:rsidRPr="00945782">
        <w:rPr>
          <w:b w:val="0"/>
          <w:bCs/>
          <w:lang w:val="ru-RU"/>
        </w:rPr>
        <w:t>"</w:t>
      </w:r>
      <w:r w:rsidRPr="00945782">
        <w:rPr>
          <w:lang w:val="ru-RU"/>
        </w:rPr>
        <w:t xml:space="preserve"> – содействие доступу, навыкам и лидерству в области ИКТ для женщин и девушек</w:t>
      </w:r>
    </w:p>
    <w:p w14:paraId="79F711DE" w14:textId="77777777" w:rsidR="00D82062" w:rsidRPr="00945782" w:rsidRDefault="00D82062" w:rsidP="00C97F0D">
      <w:pPr>
        <w:rPr>
          <w:lang w:val="ru-RU"/>
        </w:rPr>
      </w:pPr>
      <w:r w:rsidRPr="00945782">
        <w:rPr>
          <w:lang w:val="ru-RU"/>
        </w:rPr>
        <w:t xml:space="preserve">В качестве принимающей стороны и одного из основателей </w:t>
      </w:r>
      <w:hyperlink r:id="rId511" w:history="1">
        <w:r w:rsidRPr="00945782">
          <w:rPr>
            <w:rStyle w:val="Hyperlink"/>
            <w:lang w:val="ru-RU"/>
          </w:rPr>
          <w:t>Глобального партнерства "РАВНЫЕ" за гендерное равенство в цифровую эпоху</w:t>
        </w:r>
      </w:hyperlink>
      <w:r w:rsidRPr="00945782">
        <w:rPr>
          <w:lang w:val="ru-RU"/>
        </w:rPr>
        <w:t xml:space="preserve"> МСЭ сотрудничал более чем со 100 партнерами из всех секторов в рамках работы по сокращению гендерного цифрового разрыва, поддерживая усилия коалиций по доступу, навыкам, лидерству и исследованиям. Глобальное партнерство за гендерное равенство в цифровую эпоху </w:t>
      </w:r>
      <w:hyperlink r:id="rId512" w:history="1">
        <w:r w:rsidRPr="00945782">
          <w:rPr>
            <w:rStyle w:val="Hyperlink"/>
            <w:lang w:val="ru-RU"/>
          </w:rPr>
          <w:t>"РАВНЫЕ"</w:t>
        </w:r>
      </w:hyperlink>
      <w:r w:rsidRPr="00945782">
        <w:rPr>
          <w:lang w:val="ru-RU"/>
        </w:rPr>
        <w:t xml:space="preserve"> – это партнерство руководителей корпораций, правительств, частных компаний, некоммерческих организаций, академических институтов, НПО и общественных групп по всему миру, которое способствует достижению гендерного баланса в технологическом секторе, отстаивая равный доступ, развитие навыков и возможности карьерного роста как для женщин, так и для мужчин.</w:t>
      </w:r>
    </w:p>
    <w:p w14:paraId="167561F8" w14:textId="77777777" w:rsidR="00D82062" w:rsidRPr="00945782" w:rsidRDefault="00D82062" w:rsidP="00C97F0D">
      <w:pPr>
        <w:rPr>
          <w:lang w:val="ru-RU"/>
        </w:rPr>
      </w:pPr>
      <w:r w:rsidRPr="00945782">
        <w:rPr>
          <w:lang w:val="ru-RU"/>
        </w:rPr>
        <w:t xml:space="preserve">Партнерство "РАВНЫЕ" поддерживает сотрудничество и масштабирование успешных инициатив в рамках своих коалиций по </w:t>
      </w:r>
      <w:hyperlink r:id="rId513" w:history="1">
        <w:r w:rsidRPr="00945782">
          <w:rPr>
            <w:rStyle w:val="Hyperlink"/>
            <w:lang w:val="ru-RU"/>
          </w:rPr>
          <w:t>доступу</w:t>
        </w:r>
      </w:hyperlink>
      <w:r w:rsidRPr="00945782">
        <w:rPr>
          <w:lang w:val="ru-RU"/>
        </w:rPr>
        <w:t xml:space="preserve">, </w:t>
      </w:r>
      <w:hyperlink r:id="rId514" w:history="1">
        <w:r w:rsidRPr="00945782">
          <w:rPr>
            <w:rStyle w:val="Hyperlink"/>
            <w:lang w:val="ru-RU"/>
          </w:rPr>
          <w:t>навыкам</w:t>
        </w:r>
      </w:hyperlink>
      <w:r w:rsidRPr="00945782">
        <w:rPr>
          <w:lang w:val="ru-RU"/>
        </w:rPr>
        <w:t xml:space="preserve">, </w:t>
      </w:r>
      <w:hyperlink r:id="rId515" w:history="1">
        <w:r w:rsidRPr="00945782">
          <w:rPr>
            <w:rStyle w:val="Hyperlink"/>
            <w:lang w:val="ru-RU"/>
          </w:rPr>
          <w:t>лидерству</w:t>
        </w:r>
      </w:hyperlink>
      <w:r w:rsidRPr="00945782">
        <w:rPr>
          <w:lang w:val="ru-RU"/>
        </w:rPr>
        <w:t xml:space="preserve"> и </w:t>
      </w:r>
      <w:hyperlink r:id="rId516" w:history="1">
        <w:r w:rsidRPr="00945782">
          <w:rPr>
            <w:rStyle w:val="Hyperlink"/>
            <w:lang w:val="ru-RU"/>
          </w:rPr>
          <w:t>исследованиям</w:t>
        </w:r>
      </w:hyperlink>
      <w:r w:rsidRPr="00945782">
        <w:rPr>
          <w:lang w:val="ru-RU"/>
        </w:rPr>
        <w:t xml:space="preserve"> в целях преодоления нарастающего гендерного цифрового разрыва и ускорения прогресса в достижении Цели устойчивого развития 5, в частности задачи 5.B по расширению доступа женщин к ИКТ, посредством проведения </w:t>
      </w:r>
      <w:hyperlink r:id="rId517" w:history="1">
        <w:r w:rsidRPr="00945782">
          <w:rPr>
            <w:rStyle w:val="Hyperlink"/>
            <w:lang w:val="ru-RU"/>
          </w:rPr>
          <w:t>семинаров-практикумов</w:t>
        </w:r>
      </w:hyperlink>
      <w:r w:rsidRPr="00945782">
        <w:rPr>
          <w:lang w:val="ru-RU"/>
        </w:rPr>
        <w:t xml:space="preserve">, </w:t>
      </w:r>
      <w:hyperlink r:id="rId518" w:history="1">
        <w:r w:rsidRPr="00945782">
          <w:rPr>
            <w:rStyle w:val="Hyperlink"/>
            <w:lang w:val="ru-RU"/>
          </w:rPr>
          <w:t>программ электронного наставничества</w:t>
        </w:r>
      </w:hyperlink>
      <w:r w:rsidRPr="00945782">
        <w:rPr>
          <w:lang w:val="ru-RU"/>
        </w:rPr>
        <w:t xml:space="preserve"> с участием опытных специалистов в области технологий и </w:t>
      </w:r>
      <w:hyperlink r:id="rId519" w:history="1">
        <w:r w:rsidRPr="00945782">
          <w:rPr>
            <w:rStyle w:val="Hyperlink"/>
            <w:lang w:val="ru-RU"/>
          </w:rPr>
          <w:t>программы обучения, по итогам которой выдаются подтверждающие электронные метки</w:t>
        </w:r>
      </w:hyperlink>
      <w:r w:rsidRPr="00945782">
        <w:rPr>
          <w:lang w:val="ru-RU"/>
        </w:rPr>
        <w:t>.</w:t>
      </w:r>
    </w:p>
    <w:p w14:paraId="303C255C" w14:textId="77777777" w:rsidR="00D82062" w:rsidRPr="00945782" w:rsidRDefault="00D82062" w:rsidP="00C97F0D">
      <w:pPr>
        <w:rPr>
          <w:lang w:val="ru-RU"/>
        </w:rPr>
      </w:pPr>
      <w:r w:rsidRPr="00945782">
        <w:rPr>
          <w:lang w:val="ru-RU"/>
        </w:rPr>
        <w:t xml:space="preserve">Совместно с партнерами МСЭ продвигал такие программы, как инициатива </w:t>
      </w:r>
      <w:hyperlink r:id="rId520" w:history="1">
        <w:r w:rsidRPr="00945782">
          <w:rPr>
            <w:rStyle w:val="Hyperlink"/>
            <w:lang w:val="ru-RU"/>
          </w:rPr>
          <w:t>"Ее цифровые навыки"</w:t>
        </w:r>
      </w:hyperlink>
      <w:r w:rsidRPr="00945782">
        <w:rPr>
          <w:lang w:val="ru-RU"/>
        </w:rPr>
        <w:t xml:space="preserve"> партнерства "РАВНЫЕ", а также Совместную инициативу МСЭ-РКР партнерства "РАВНЫЕ" под названием </w:t>
      </w:r>
      <w:hyperlink r:id="rId521" w:history="1">
        <w:r w:rsidRPr="00945782">
          <w:rPr>
            <w:rStyle w:val="Hyperlink"/>
            <w:lang w:val="ru-RU"/>
          </w:rPr>
          <w:t>"Технологии как движущая сила экономических возможностей женщин"</w:t>
        </w:r>
      </w:hyperlink>
      <w:r w:rsidRPr="00945782">
        <w:rPr>
          <w:lang w:val="ru-RU"/>
        </w:rPr>
        <w:t xml:space="preserve">, в рамках которых проводились семинары-практикумы, осуществлялось наставничество и оказывалась поддержка в области предпринимательства для женщин и девушек в различных странах и секторах. В рамках </w:t>
      </w:r>
      <w:hyperlink r:id="rId522" w:history="1">
        <w:r w:rsidRPr="00945782">
          <w:rPr>
            <w:rStyle w:val="Hyperlink"/>
            <w:lang w:val="ru-RU"/>
          </w:rPr>
          <w:t>конкурса "РАВНЫЕ в технологиях"</w:t>
        </w:r>
      </w:hyperlink>
      <w:r w:rsidRPr="00945782">
        <w:rPr>
          <w:lang w:val="ru-RU"/>
        </w:rPr>
        <w:t>, отметившего свое 10-летие, продолжают получать признание выдающиеся инициативы со всего мира, способствующие участию и лидерству женщин в цифровой экономике.</w:t>
      </w:r>
    </w:p>
    <w:p w14:paraId="492CC3C3" w14:textId="77777777" w:rsidR="00D82062" w:rsidRPr="00945782" w:rsidRDefault="00D82062" w:rsidP="00C97F0D">
      <w:pPr>
        <w:pStyle w:val="Headingb"/>
        <w:rPr>
          <w:lang w:val="ru-RU"/>
        </w:rPr>
      </w:pPr>
      <w:r w:rsidRPr="00945782">
        <w:rPr>
          <w:lang w:val="ru-RU"/>
        </w:rPr>
        <w:lastRenderedPageBreak/>
        <w:t>Giga − инициатива по подключению каждой школы к интернету</w:t>
      </w:r>
    </w:p>
    <w:p w14:paraId="555EEDA6" w14:textId="7B30705C" w:rsidR="00D82062" w:rsidRPr="00945782" w:rsidRDefault="00D82062" w:rsidP="00681819">
      <w:pPr>
        <w:keepLines/>
        <w:rPr>
          <w:lang w:val="ru-RU"/>
        </w:rPr>
      </w:pPr>
      <w:hyperlink r:id="rId523" w:history="1">
        <w:r w:rsidRPr="00945782">
          <w:rPr>
            <w:rStyle w:val="Hyperlink"/>
            <w:lang w:val="ru-RU"/>
          </w:rPr>
          <w:t>Инициатива Giga </w:t>
        </w:r>
      </w:hyperlink>
      <w:r w:rsidRPr="00945782">
        <w:rPr>
          <w:lang w:val="ru-RU"/>
        </w:rPr>
        <w:t>– это совместный проект МСЭ и ЮНИСЕФ, реализация которого началась в 2019 году и который предусматривает оказание поддержки правительствам и другим заинтересованным сторонам в обеспечении подключения каждой школы к интернету и предоставлении каждому учащемуся доступа к информации, возможностям и выбору к 2030</w:t>
      </w:r>
      <w:r w:rsidR="00C97F0D" w:rsidRPr="00945782">
        <w:rPr>
          <w:lang w:val="ru-RU"/>
        </w:rPr>
        <w:t> </w:t>
      </w:r>
      <w:r w:rsidRPr="00945782">
        <w:rPr>
          <w:lang w:val="ru-RU"/>
        </w:rPr>
        <w:t>году. С 2019 года в рамках Giga более 2,2 млн. школ в 218 странах были нанесены на карту, и в 9 странах было проведено моделирование инфраструктуры для подключения школ; работа по этому направлению ведется еще в 21 стране.</w:t>
      </w:r>
    </w:p>
    <w:p w14:paraId="35CFE308" w14:textId="77777777" w:rsidR="00D82062" w:rsidRPr="00945782" w:rsidRDefault="00D82062" w:rsidP="00C97F0D">
      <w:pPr>
        <w:rPr>
          <w:lang w:val="ru-RU"/>
        </w:rPr>
      </w:pPr>
      <w:r w:rsidRPr="00945782">
        <w:rPr>
          <w:lang w:val="ru-RU"/>
        </w:rPr>
        <w:t>Инициатива Giga продолжала поддерживать правительства посредством инструментов, консультативных услуг и наращивания потенциала для реализации возможности установления соединений в тысячах школ, охватывая миллионы учащихся в Африке, Центральной Азии, Латинской Америке, Карибском бассейне и других регионах. Работа инициативы строится по четырем направлениям: картирование местоположения школ, картирование и моделирование инфраструктуры, привлечение финансирования, а также закупки и заключение контрактов для обеспечения возможности установления соединений. В основе этой работы лежит развитие потенциала правительств, в том числе через такие платформы, как Центр обучения Giga, предоставляющий обучение через Академию МСЭ. В 2025 году было проведено пять учебных сессий (очно и онлайн), создавших возможности для 128 человек из 52 стран по укреплению потенциала в различных аспектах обеспечения возможности установления соединений для школ. В рамках инициативы Giga была также разработана Программа ускорения − инициатива по развитию бизнеса, направленная на поддержку компаний на ранних стадиях посредством развития навыков, наставничества и грантового финансирования в целях ускорения разработки решений, способствующих подключению школ в глобальном масштабе. В рамках первой когорты было отобрано 9 команд со всего мира, которые вели работу с ноября 2025 года по март 2026 года.</w:t>
      </w:r>
    </w:p>
    <w:p w14:paraId="034568B3" w14:textId="79C6DCEF" w:rsidR="00D82062" w:rsidRPr="00945782" w:rsidRDefault="00D82062" w:rsidP="00C97F0D">
      <w:pPr>
        <w:rPr>
          <w:lang w:val="ru-RU"/>
        </w:rPr>
      </w:pPr>
      <w:r w:rsidRPr="00945782">
        <w:rPr>
          <w:lang w:val="ru-RU"/>
        </w:rPr>
        <w:t>Используя платформы Giga и "ИИ во благо", МСЭ в партнерстве с компанией Google, а также музыкантом, технологическим предпринимателем и филантропом will.i.am приступила к реализации программы обучения школьников из Африки в области искусственного интеллекта и робототехники, начиная с пяти стран: Ганы, Кот-д’Ивуара, Кении, Нигерии и Южной Африки. В</w:t>
      </w:r>
      <w:r w:rsidR="00C97F0D" w:rsidRPr="00945782">
        <w:rPr>
          <w:lang w:val="ru-RU"/>
        </w:rPr>
        <w:t> </w:t>
      </w:r>
      <w:r w:rsidRPr="00945782">
        <w:rPr>
          <w:lang w:val="ru-RU"/>
        </w:rPr>
        <w:t>рамках этой программы также предусмотрена поддержка стран в создании в школах, имеющих доступ к интернету, школьных клубов по искусственному интеллекту.</w:t>
      </w:r>
    </w:p>
    <w:p w14:paraId="18CE56BF" w14:textId="77777777" w:rsidR="00D82062" w:rsidRPr="00945782" w:rsidRDefault="00D82062" w:rsidP="00C97F0D">
      <w:pPr>
        <w:rPr>
          <w:lang w:val="ru-RU"/>
        </w:rPr>
      </w:pPr>
      <w:r w:rsidRPr="00945782">
        <w:rPr>
          <w:lang w:val="ru-RU"/>
        </w:rPr>
        <w:t>Инициатива Giga была признана в рамках Глобального цифрового договора как одна из ключевых инициатив по подключению школ и медицинских учреждений к интернету. Это также соответствует цели 1.5 Стратегического плана МСЭ и направлению деятельности С2 ВВУИО "Информационно-коммуникационная инфраструктура".</w:t>
      </w:r>
    </w:p>
    <w:p w14:paraId="3EE2AE50" w14:textId="77777777" w:rsidR="00D82062" w:rsidRPr="00945782" w:rsidRDefault="00D82062" w:rsidP="00C97F0D">
      <w:pPr>
        <w:pStyle w:val="Headingb"/>
        <w:rPr>
          <w:lang w:val="ru-RU"/>
        </w:rPr>
      </w:pPr>
      <w:r w:rsidRPr="00945782">
        <w:rPr>
          <w:lang w:val="ru-RU"/>
        </w:rPr>
        <w:t>Инициатива по виртуальным мирам и ИИ</w:t>
      </w:r>
    </w:p>
    <w:p w14:paraId="19460423" w14:textId="32700B72" w:rsidR="00D82062" w:rsidRPr="00945782" w:rsidRDefault="00D82062" w:rsidP="00C97F0D">
      <w:pPr>
        <w:rPr>
          <w:lang w:val="ru-RU"/>
        </w:rPr>
      </w:pPr>
      <w:r w:rsidRPr="00945782">
        <w:rPr>
          <w:lang w:val="ru-RU"/>
        </w:rPr>
        <w:t xml:space="preserve">В июне 2024 года МСЭ совместно с МВЦ ООН и "Цифровым Дубаем" приступил к осуществлению </w:t>
      </w:r>
      <w:hyperlink r:id="rId524" w:history="1">
        <w:r w:rsidRPr="00945782">
          <w:rPr>
            <w:rStyle w:val="Hyperlink"/>
            <w:lang w:val="ru-RU"/>
          </w:rPr>
          <w:t>Глобальной инициативы в области виртуальных миров и ИИ "Открывая городскую вселенную"</w:t>
        </w:r>
      </w:hyperlink>
      <w:r w:rsidRPr="00945782">
        <w:rPr>
          <w:lang w:val="ru-RU"/>
        </w:rPr>
        <w:t>, направленной на использование потенциала иммерсивных технологий и ИИ в интересах развития. Эта инициатива, поддерживаемая более чем 70 партнерами, служит глобальной платформой для создания открытых, функционально совместимых и надежных виртуальных миров на базе ИИ для людей, предприятий и государственных служб. В</w:t>
      </w:r>
      <w:r w:rsidR="00C97F0D" w:rsidRPr="00945782">
        <w:rPr>
          <w:lang w:val="ru-RU"/>
        </w:rPr>
        <w:t> </w:t>
      </w:r>
      <w:r w:rsidRPr="00945782">
        <w:rPr>
          <w:lang w:val="ru-RU"/>
        </w:rPr>
        <w:t xml:space="preserve">рамках </w:t>
      </w:r>
      <w:hyperlink r:id="rId525" w:history="1">
        <w:r w:rsidRPr="00945782">
          <w:rPr>
            <w:rStyle w:val="Hyperlink"/>
            <w:lang w:val="ru-RU"/>
          </w:rPr>
          <w:t>Дня виртуальных миров ООН</w:t>
        </w:r>
      </w:hyperlink>
      <w:r w:rsidRPr="00945782">
        <w:rPr>
          <w:lang w:val="ru-RU"/>
        </w:rPr>
        <w:t xml:space="preserve">, который организуют 17 учреждений системы ООН, изучается, как ИИ, пространственный интеллект и метавселенная для городов могут поддерживать глобальные приоритеты в рамках Пакта во имя будущего и Глобального цифрового договора. Первое мероприятие, прошедшее </w:t>
      </w:r>
      <w:hyperlink r:id="rId526" w:history="1">
        <w:r w:rsidRPr="00945782">
          <w:rPr>
            <w:rStyle w:val="Hyperlink"/>
            <w:lang w:val="ru-RU"/>
          </w:rPr>
          <w:t>в 2024 году в Женеве</w:t>
        </w:r>
      </w:hyperlink>
      <w:r w:rsidRPr="00945782">
        <w:rPr>
          <w:lang w:val="ru-RU"/>
        </w:rPr>
        <w:t xml:space="preserve">, и мероприятие, состоявшееся </w:t>
      </w:r>
      <w:hyperlink r:id="rId527" w:history="1">
        <w:r w:rsidRPr="00945782">
          <w:rPr>
            <w:rStyle w:val="Hyperlink"/>
            <w:lang w:val="ru-RU"/>
          </w:rPr>
          <w:t>в 2025 году в Турине</w:t>
        </w:r>
      </w:hyperlink>
      <w:r w:rsidRPr="00945782">
        <w:rPr>
          <w:lang w:val="ru-RU"/>
        </w:rPr>
        <w:t xml:space="preserve">, показывают, как виртуальные миры могут быть задействованы в общественной цифровой инфраструктуре и как они могут способствовать </w:t>
      </w:r>
      <w:r w:rsidRPr="00945782">
        <w:rPr>
          <w:lang w:val="ru-RU"/>
        </w:rPr>
        <w:lastRenderedPageBreak/>
        <w:t>всеохватному развитию. Следующий День виртуальных миров ООН состоится 11 мая 2026 года в Женеве.</w:t>
      </w:r>
    </w:p>
    <w:p w14:paraId="2E197AB9" w14:textId="77777777" w:rsidR="00D82062" w:rsidRPr="00945782" w:rsidRDefault="00D82062" w:rsidP="00C97F0D">
      <w:pPr>
        <w:pStyle w:val="Headingb"/>
        <w:rPr>
          <w:lang w:val="ru-RU"/>
        </w:rPr>
      </w:pPr>
      <w:r w:rsidRPr="00945782">
        <w:rPr>
          <w:lang w:val="ru-RU"/>
        </w:rPr>
        <w:t xml:space="preserve">Цифровая трансформация для </w:t>
      </w:r>
      <w:r w:rsidRPr="00945782">
        <w:rPr>
          <w:b w:val="0"/>
          <w:bCs/>
          <w:lang w:val="ru-RU"/>
        </w:rPr>
        <w:t>"</w:t>
      </w:r>
      <w:r w:rsidRPr="00945782">
        <w:rPr>
          <w:lang w:val="ru-RU"/>
        </w:rPr>
        <w:t>умных</w:t>
      </w:r>
      <w:r w:rsidRPr="00945782">
        <w:rPr>
          <w:b w:val="0"/>
          <w:bCs/>
          <w:lang w:val="ru-RU"/>
        </w:rPr>
        <w:t>"</w:t>
      </w:r>
      <w:r w:rsidRPr="00945782">
        <w:rPr>
          <w:lang w:val="ru-RU"/>
        </w:rPr>
        <w:t xml:space="preserve"> городов и сообществ</w:t>
      </w:r>
    </w:p>
    <w:p w14:paraId="2285D40A" w14:textId="77777777" w:rsidR="00D82062" w:rsidRPr="00945782" w:rsidRDefault="00D82062" w:rsidP="00C97F0D">
      <w:pPr>
        <w:rPr>
          <w:lang w:val="ru-RU"/>
        </w:rPr>
      </w:pPr>
      <w:r w:rsidRPr="00945782">
        <w:rPr>
          <w:lang w:val="ru-RU"/>
        </w:rPr>
        <w:t xml:space="preserve">20-я Исследовательская комиссия МСЭ-T продолжает работу по цифровой трансформации для "умных" городов и сообществ в рамках инициативы </w:t>
      </w:r>
      <w:hyperlink r:id="rId528" w:history="1">
        <w:r w:rsidRPr="00945782">
          <w:rPr>
            <w:rStyle w:val="Hyperlink"/>
            <w:lang w:val="ru-RU"/>
          </w:rPr>
          <w:t>"Объединение усилий в целях построения "умных" устойчивых городов" (U4SSC)</w:t>
        </w:r>
      </w:hyperlink>
      <w:r w:rsidRPr="00945782">
        <w:rPr>
          <w:lang w:val="ru-RU"/>
        </w:rPr>
        <w:t>, оказывая городам поддержку во внедрении основанных на стандартах МСЭ подходов к устойчивому городскому развитию. В этой работе большое внимание уделено городскому управлению, интеграции данных и ориентированным на человека цифровым стратегиям, что помогает городам планировать, внедрять и масштабировать "умные" и устойчивые решения.</w:t>
      </w:r>
    </w:p>
    <w:p w14:paraId="03244C64" w14:textId="77777777" w:rsidR="00D82062" w:rsidRPr="00945782" w:rsidRDefault="00D82062" w:rsidP="00C97F0D">
      <w:pPr>
        <w:rPr>
          <w:lang w:val="ru-RU"/>
        </w:rPr>
      </w:pPr>
      <w:r w:rsidRPr="00945782">
        <w:rPr>
          <w:lang w:val="ru-RU"/>
        </w:rPr>
        <w:t xml:space="preserve">Инициатива U4SSC, поддерживаемая 20 учреждениями системы ООН, напрямую способствует достижению Цели 11 в области устойчивого развития ("Обеспечение открытости, безопасности, жизнестойкости и устойчивости городов и населенных пунктов") и реализации Пакта во имя будущего. Этой инициативой, в рамках которой применяются </w:t>
      </w:r>
      <w:hyperlink r:id="rId529" w:history="1">
        <w:r w:rsidRPr="00945782">
          <w:rPr>
            <w:rStyle w:val="Hyperlink"/>
            <w:lang w:val="ru-RU"/>
          </w:rPr>
          <w:t>ключевые показатели эффективности U4SSC</w:t>
        </w:r>
      </w:hyperlink>
      <w:r w:rsidRPr="00945782">
        <w:rPr>
          <w:lang w:val="ru-RU"/>
        </w:rPr>
        <w:t xml:space="preserve">, основанные на стандартах МСЭ, охвачены более 250 городов по всему миру. Результаты представляются в виде </w:t>
      </w:r>
      <w:hyperlink r:id="rId530" w:history="1">
        <w:r w:rsidRPr="00945782">
          <w:rPr>
            <w:rStyle w:val="Hyperlink"/>
            <w:lang w:val="ru-RU"/>
          </w:rPr>
          <w:t>"портретов" городов, отчетов и исследований конкретных ситуаций</w:t>
        </w:r>
      </w:hyperlink>
      <w:r w:rsidRPr="00945782">
        <w:rPr>
          <w:lang w:val="ru-RU"/>
        </w:rPr>
        <w:t>, содержащих основанные на данных рекомендации для цифровой трансформации городов.</w:t>
      </w:r>
    </w:p>
    <w:p w14:paraId="22935A1E" w14:textId="77777777" w:rsidR="00D82062" w:rsidRPr="00945782" w:rsidRDefault="00D82062" w:rsidP="00C97F0D">
      <w:pPr>
        <w:rPr>
          <w:lang w:val="ru-RU"/>
        </w:rPr>
      </w:pPr>
      <w:r w:rsidRPr="00945782">
        <w:rPr>
          <w:lang w:val="ru-RU"/>
        </w:rPr>
        <w:t xml:space="preserve">U4SSC расширила тематический охват по семи направлениям экспертной работы, результаты которой представляются в </w:t>
      </w:r>
      <w:hyperlink r:id="rId531" w:history="1">
        <w:r w:rsidRPr="00945782">
          <w:rPr>
            <w:rStyle w:val="Hyperlink"/>
            <w:lang w:val="ru-RU"/>
          </w:rPr>
          <w:t>отчетах U4SSC</w:t>
        </w:r>
      </w:hyperlink>
      <w:r w:rsidRPr="00945782">
        <w:rPr>
          <w:lang w:val="ru-RU"/>
        </w:rPr>
        <w:t xml:space="preserve">: городские платформы и пространства данных, искусственный интеллект в городах, цифровая трансформация для ориентированных на человека городов, цифровая инфраструктура общего пользования, городская энергетика и здания, социокультурная устойчивость, а также перспективное прогнозирование. Регулярные </w:t>
      </w:r>
      <w:hyperlink r:id="rId532" w:history="1">
        <w:r w:rsidRPr="00945782">
          <w:rPr>
            <w:rStyle w:val="Hyperlink"/>
            <w:lang w:val="ru-RU"/>
          </w:rPr>
          <w:t>собрания U4SSC</w:t>
        </w:r>
      </w:hyperlink>
      <w:r w:rsidRPr="00945782">
        <w:rPr>
          <w:lang w:val="ru-RU"/>
        </w:rPr>
        <w:t xml:space="preserve"> способствовали укреплению структур управления, при этом новые тематические группы помогают городам разрабатывать устойчивые, жизнестойкие и интеграционные цифровые стратегии.</w:t>
      </w:r>
    </w:p>
    <w:p w14:paraId="09F4F6D0" w14:textId="77777777" w:rsidR="00D82062" w:rsidRPr="00945782" w:rsidRDefault="00D82062" w:rsidP="00C97F0D">
      <w:pPr>
        <w:rPr>
          <w:lang w:val="ru-RU"/>
        </w:rPr>
      </w:pPr>
      <w:r w:rsidRPr="00945782">
        <w:rPr>
          <w:lang w:val="ru-RU"/>
        </w:rPr>
        <w:t xml:space="preserve">Эту работу дополняют </w:t>
      </w:r>
      <w:hyperlink r:id="rId533" w:history="1">
        <w:r w:rsidRPr="00945782">
          <w:rPr>
            <w:rStyle w:val="Hyperlink"/>
            <w:lang w:val="ru-RU"/>
          </w:rPr>
          <w:t>Диалоги МСЭ по цифровой трансформации</w:t>
        </w:r>
      </w:hyperlink>
      <w:r w:rsidRPr="00945782">
        <w:rPr>
          <w:lang w:val="ru-RU"/>
        </w:rPr>
        <w:t>, которые служат динамичной платформой для обмена знаниями и углубления понимания новых технологий и технической стандартизации в различных областях. Посредством интереснейших сессий серия Диалогов способствует обсуждению быстро меняющегося цифрового ландшафта и его влияния на отрасли экономики и общество.</w:t>
      </w:r>
    </w:p>
    <w:p w14:paraId="15AD3FBD" w14:textId="77777777" w:rsidR="00D82062" w:rsidRPr="00945782" w:rsidRDefault="00D82062" w:rsidP="00C97F0D">
      <w:pPr>
        <w:rPr>
          <w:lang w:val="ru-RU"/>
        </w:rPr>
      </w:pPr>
      <w:hyperlink r:id="rId534" w:history="1">
        <w:r w:rsidRPr="00945782">
          <w:rPr>
            <w:rStyle w:val="Hyperlink"/>
            <w:lang w:val="ru-RU"/>
          </w:rPr>
          <w:t>Дайджест отчета МСЭ по цифровой трансформации и городам</w:t>
        </w:r>
      </w:hyperlink>
      <w:r w:rsidRPr="00945782">
        <w:rPr>
          <w:lang w:val="ru-RU"/>
        </w:rPr>
        <w:t xml:space="preserve"> содержит актуальную информацию о деятельности МСЭ в области цифровой трансформации, "умных" городов, виртуальных миров и метавселенной. В нем представлены также сведения о предстоящих мероприятиях и новых публикациях.</w:t>
      </w:r>
    </w:p>
    <w:p w14:paraId="3272F5A6" w14:textId="77777777" w:rsidR="00D82062" w:rsidRPr="00945782" w:rsidRDefault="00D82062" w:rsidP="00C97F0D">
      <w:pPr>
        <w:rPr>
          <w:lang w:val="ru-RU"/>
        </w:rPr>
      </w:pPr>
      <w:r w:rsidRPr="00945782">
        <w:rPr>
          <w:lang w:val="ru-RU"/>
        </w:rPr>
        <w:t xml:space="preserve">Помимо этого, МСЭ продолжает формировать обширную базу знаний в рамках </w:t>
      </w:r>
      <w:hyperlink r:id="rId535" w:history="1">
        <w:r w:rsidRPr="00945782">
          <w:rPr>
            <w:rStyle w:val="Hyperlink"/>
            <w:lang w:val="ru-RU"/>
          </w:rPr>
          <w:t>Центра информационных ресурсов по цифровой трансформации</w:t>
        </w:r>
      </w:hyperlink>
      <w:r w:rsidRPr="00945782">
        <w:rPr>
          <w:lang w:val="ru-RU"/>
        </w:rPr>
        <w:t>, предлагая высококачественные публикации по ключевым темам, относящимся к цифровой трансформации. Это такие темы, как цифровая инфраструктура общего пользования, ИИ, интернет вещей, блокчейн, цифровые двойники, метавселенная и виртуальные миры, а также новые тенденции цифровой трансформации.</w:t>
      </w:r>
    </w:p>
    <w:p w14:paraId="7F46BFC9" w14:textId="77777777" w:rsidR="00D82062" w:rsidRPr="00945782" w:rsidRDefault="00D82062" w:rsidP="00C97F0D">
      <w:pPr>
        <w:pStyle w:val="Headingb"/>
        <w:rPr>
          <w:lang w:val="ru-RU"/>
        </w:rPr>
      </w:pPr>
      <w:r w:rsidRPr="00945782">
        <w:rPr>
          <w:lang w:val="ru-RU"/>
        </w:rPr>
        <w:t>Интеллектуальные транспортные системы</w:t>
      </w:r>
    </w:p>
    <w:p w14:paraId="58388418" w14:textId="77777777" w:rsidR="00D82062" w:rsidRPr="00945782" w:rsidRDefault="00D82062" w:rsidP="00C97F0D">
      <w:pPr>
        <w:rPr>
          <w:lang w:val="ru-RU"/>
        </w:rPr>
      </w:pPr>
      <w:r w:rsidRPr="00945782">
        <w:rPr>
          <w:lang w:val="ru-RU"/>
        </w:rPr>
        <w:t xml:space="preserve">В ходе ВАСЭ-24 была принята новая </w:t>
      </w:r>
      <w:hyperlink r:id="rId536" w:history="1">
        <w:r w:rsidRPr="00945782">
          <w:rPr>
            <w:rStyle w:val="Hyperlink"/>
            <w:lang w:val="ru-RU"/>
          </w:rPr>
          <w:t>Резолюция 104</w:t>
        </w:r>
      </w:hyperlink>
      <w:r w:rsidRPr="00945782">
        <w:rPr>
          <w:lang w:val="ru-RU"/>
        </w:rPr>
        <w:t xml:space="preserve"> "Поощрение и укрепление деятельности по стандартизации связи транспортных средств". В рамках этой новой Резолюции 104 11 июля 2025 года МСЭ подписал </w:t>
      </w:r>
      <w:hyperlink r:id="rId537" w:history="1">
        <w:r w:rsidRPr="00945782">
          <w:rPr>
            <w:rStyle w:val="Hyperlink"/>
            <w:lang w:val="ru-RU"/>
          </w:rPr>
          <w:t>меморандум о взаимопонимании с SAE International</w:t>
        </w:r>
      </w:hyperlink>
      <w:r w:rsidRPr="00945782">
        <w:rPr>
          <w:lang w:val="ru-RU"/>
        </w:rPr>
        <w:t xml:space="preserve">, имеющий целью расширение сотрудничества в области связи транспортных средств и интеллектуальных транспортных систем, что будет способствовать глобальным усилиям по повышению </w:t>
      </w:r>
      <w:r w:rsidRPr="00945782">
        <w:rPr>
          <w:lang w:val="ru-RU"/>
        </w:rPr>
        <w:lastRenderedPageBreak/>
        <w:t>безопасности дорожного движения, развитию автоматизированного вождения и достижению соответствующих целей в области устойчивого развития.</w:t>
      </w:r>
    </w:p>
    <w:p w14:paraId="0B307326" w14:textId="77777777" w:rsidR="00D82062" w:rsidRPr="00945782" w:rsidRDefault="00D82062" w:rsidP="00C97F0D">
      <w:pPr>
        <w:rPr>
          <w:lang w:val="ru-RU"/>
        </w:rPr>
      </w:pPr>
      <w:r w:rsidRPr="00945782">
        <w:rPr>
          <w:lang w:val="ru-RU"/>
        </w:rPr>
        <w:t>Группа "Сотрудничество по стандартам связи для ИТС " (</w:t>
      </w:r>
      <w:hyperlink r:id="rId538" w:history="1">
        <w:r w:rsidRPr="00945782">
          <w:rPr>
            <w:rStyle w:val="Hyperlink"/>
            <w:lang w:val="ru-RU"/>
          </w:rPr>
          <w:t>CITS</w:t>
        </w:r>
      </w:hyperlink>
      <w:r w:rsidRPr="00945782">
        <w:rPr>
          <w:lang w:val="ru-RU"/>
        </w:rPr>
        <w:t xml:space="preserve">) закрепила свою роль в качестве признанной глобальной платформы, объединяющей экспертов органов по стандартизации, отрасли и правительств для обмена информацией и анализа мировых стандартов в области </w:t>
      </w:r>
      <w:hyperlink r:id="rId539" w:history="1">
        <w:r w:rsidRPr="00945782">
          <w:rPr>
            <w:rStyle w:val="Hyperlink"/>
            <w:lang w:val="ru-RU"/>
          </w:rPr>
          <w:t>интеллектуальных транспортных систем (ИТС)</w:t>
        </w:r>
      </w:hyperlink>
      <w:r w:rsidRPr="00945782">
        <w:rPr>
          <w:lang w:val="ru-RU"/>
        </w:rPr>
        <w:t xml:space="preserve">. В рамках CITS была создана </w:t>
      </w:r>
      <w:hyperlink r:id="rId540" w:history="1">
        <w:r w:rsidRPr="00945782">
          <w:rPr>
            <w:rStyle w:val="Hyperlink"/>
            <w:lang w:val="ru-RU"/>
          </w:rPr>
          <w:t>Группа экспертов по технологиям связи для автоматизированного вождения (ГЭ-ComAD)</w:t>
        </w:r>
      </w:hyperlink>
      <w:r w:rsidRPr="00945782">
        <w:rPr>
          <w:lang w:val="ru-RU"/>
        </w:rPr>
        <w:t xml:space="preserve">. Деятельность ГЭ-ComAD осуществляется в трех рабочих группах: РГ1 – </w:t>
      </w:r>
      <w:hyperlink r:id="rId541" w:history="1">
        <w:r w:rsidRPr="00945782">
          <w:rPr>
            <w:rStyle w:val="Hyperlink"/>
            <w:lang w:val="ru-RU"/>
          </w:rPr>
          <w:t>"</w:t>
        </w:r>
        <w:r w:rsidRPr="00945782">
          <w:rPr>
            <w:rStyle w:val="Hyperlink"/>
            <w:i/>
            <w:iCs/>
            <w:lang w:val="ru-RU"/>
          </w:rPr>
          <w:t>Автомобильная связь для перестроения в перегруженные полосы движения в автоматическом режиме</w:t>
        </w:r>
        <w:r w:rsidRPr="00945782">
          <w:rPr>
            <w:rStyle w:val="Hyperlink"/>
            <w:lang w:val="ru-RU"/>
          </w:rPr>
          <w:t>"</w:t>
        </w:r>
      </w:hyperlink>
      <w:r w:rsidRPr="00945782">
        <w:rPr>
          <w:lang w:val="ru-RU"/>
        </w:rPr>
        <w:t xml:space="preserve">, РГ2 – </w:t>
      </w:r>
      <w:hyperlink r:id="rId542" w:history="1">
        <w:r w:rsidRPr="00945782">
          <w:rPr>
            <w:rStyle w:val="Hyperlink"/>
            <w:lang w:val="ru-RU"/>
          </w:rPr>
          <w:t>"</w:t>
        </w:r>
        <w:r w:rsidRPr="00945782">
          <w:rPr>
            <w:rStyle w:val="Hyperlink"/>
            <w:i/>
            <w:iCs/>
            <w:lang w:val="ru-RU"/>
          </w:rPr>
          <w:t>Автомобильная связь для упреждающего экстренного торможения, в том числе для защиты уязвимых участников дорожного движения</w:t>
        </w:r>
        <w:r w:rsidRPr="00945782">
          <w:rPr>
            <w:rStyle w:val="Hyperlink"/>
            <w:lang w:val="ru-RU"/>
          </w:rPr>
          <w:t>"</w:t>
        </w:r>
      </w:hyperlink>
      <w:r w:rsidRPr="00945782">
        <w:rPr>
          <w:lang w:val="ru-RU"/>
        </w:rPr>
        <w:t xml:space="preserve">, РГ3 – </w:t>
      </w:r>
      <w:hyperlink r:id="rId543" w:history="1">
        <w:r w:rsidRPr="00945782">
          <w:rPr>
            <w:rStyle w:val="Hyperlink"/>
            <w:lang w:val="ru-RU"/>
          </w:rPr>
          <w:t>"</w:t>
        </w:r>
        <w:r w:rsidRPr="00945782">
          <w:rPr>
            <w:rStyle w:val="Hyperlink"/>
            <w:i/>
            <w:iCs/>
            <w:lang w:val="ru-RU"/>
          </w:rPr>
          <w:t>Техническая и экономическая устойчивость автомобильной связи</w:t>
        </w:r>
        <w:r w:rsidRPr="00945782">
          <w:rPr>
            <w:rStyle w:val="Hyperlink"/>
            <w:lang w:val="ru-RU"/>
          </w:rPr>
          <w:t>"</w:t>
        </w:r>
      </w:hyperlink>
      <w:r w:rsidRPr="00945782">
        <w:rPr>
          <w:lang w:val="ru-RU"/>
        </w:rPr>
        <w:t>.</w:t>
      </w:r>
    </w:p>
    <w:p w14:paraId="5CBE37E5" w14:textId="5FB3EBC0" w:rsidR="00D82062" w:rsidRPr="00945782" w:rsidRDefault="00D82062" w:rsidP="00C97F0D">
      <w:pPr>
        <w:rPr>
          <w:lang w:val="ru-RU"/>
        </w:rPr>
      </w:pPr>
      <w:r w:rsidRPr="00945782">
        <w:rPr>
          <w:lang w:val="ru-RU"/>
        </w:rPr>
        <w:t xml:space="preserve">МСЭ продолжает также работу по интеллектуальным транспортным системам (ИТС) в рамках сотрудничества с Европейской экономической комиссией ООН (ЕЭК ООН) и экосистемой автомобильной отрасли. </w:t>
      </w:r>
      <w:hyperlink r:id="rId544" w:history="1">
        <w:r w:rsidRPr="00945782">
          <w:rPr>
            <w:rStyle w:val="Hyperlink"/>
            <w:lang w:val="ru-RU"/>
          </w:rPr>
          <w:t>Организуемый МСЭ и ЕЭК ООН симпозиум "Будущий подключенный к</w:t>
        </w:r>
        <w:r w:rsidR="00FD3047" w:rsidRPr="00945782">
          <w:rPr>
            <w:rStyle w:val="Hyperlink"/>
            <w:lang w:val="ru-RU"/>
          </w:rPr>
          <w:t> </w:t>
        </w:r>
        <w:r w:rsidRPr="00945782">
          <w:rPr>
            <w:rStyle w:val="Hyperlink"/>
            <w:lang w:val="ru-RU"/>
          </w:rPr>
          <w:t>сети автомобиль"</w:t>
        </w:r>
      </w:hyperlink>
      <w:r w:rsidRPr="00945782">
        <w:rPr>
          <w:lang w:val="ru-RU"/>
        </w:rPr>
        <w:t xml:space="preserve"> (FNC) объединяет представителей отрасли, регуляторных органов и экспертов для рассмотрения последних достижений в области автоматизации транспортных средств, возможности установления соединений и регулирования. МСЭ и ЕЭК ООН провели целый ряд таких симпозиумов: один в 2022 году, два в 2023 году (включая отдельный симпозиум в Катаре), один в 2024 году и два в 2025 году, которые состоялись в рамках Саммита </w:t>
      </w:r>
      <w:hyperlink r:id="rId545" w:history="1">
        <w:r w:rsidRPr="00945782">
          <w:rPr>
            <w:rStyle w:val="Hyperlink"/>
            <w:lang w:val="ru-RU"/>
          </w:rPr>
          <w:t>"ИИ во благо"</w:t>
        </w:r>
      </w:hyperlink>
      <w:r w:rsidRPr="00945782">
        <w:rPr>
          <w:lang w:val="ru-RU"/>
        </w:rPr>
        <w:t xml:space="preserve">. Дополнительную информацию о </w:t>
      </w:r>
      <w:hyperlink r:id="rId546" w:history="1">
        <w:r w:rsidRPr="00945782">
          <w:rPr>
            <w:rStyle w:val="Hyperlink"/>
            <w:lang w:val="ru-RU"/>
          </w:rPr>
          <w:t>мероприятиях, связанных с ИТС</w:t>
        </w:r>
      </w:hyperlink>
      <w:r w:rsidRPr="00945782">
        <w:rPr>
          <w:lang w:val="ru-RU"/>
        </w:rPr>
        <w:t xml:space="preserve">, см. по </w:t>
      </w:r>
      <w:hyperlink r:id="rId547" w:history="1">
        <w:r w:rsidRPr="00945782">
          <w:rPr>
            <w:rStyle w:val="Hyperlink"/>
            <w:lang w:val="ru-RU"/>
          </w:rPr>
          <w:t>ссылке</w:t>
        </w:r>
      </w:hyperlink>
      <w:r w:rsidRPr="00945782">
        <w:rPr>
          <w:lang w:val="ru-RU"/>
        </w:rPr>
        <w:t>.</w:t>
      </w:r>
    </w:p>
    <w:p w14:paraId="087323C9" w14:textId="77777777" w:rsidR="00D82062" w:rsidRPr="00945782" w:rsidRDefault="00D82062" w:rsidP="00C97F0D">
      <w:pPr>
        <w:pStyle w:val="Headingb"/>
        <w:rPr>
          <w:lang w:val="ru-RU"/>
        </w:rPr>
      </w:pPr>
      <w:r w:rsidRPr="00945782">
        <w:rPr>
          <w:lang w:val="ru-RU"/>
        </w:rPr>
        <w:t>Собрания главных директоров по технологиям и других руководителей</w:t>
      </w:r>
    </w:p>
    <w:p w14:paraId="44309675" w14:textId="77777777" w:rsidR="00D82062" w:rsidRPr="00945782" w:rsidRDefault="00D82062" w:rsidP="00C97F0D">
      <w:pPr>
        <w:rPr>
          <w:lang w:val="ru-RU"/>
        </w:rPr>
      </w:pPr>
      <w:r w:rsidRPr="00945782">
        <w:rPr>
          <w:lang w:val="ru-RU"/>
        </w:rPr>
        <w:t>Ежегодные организуемые МСЭ круглые столы руководителей высшего звена в период с декабря 2023 года по ноябрь 2025 года служили важными площадками высокого уровня, на которых руководители отрасли обсуждали приоритеты и деятельность по стандартизации в условиях стремительного развития электросвязи и появляющихся технологий. Эти мероприятия неизменно подчеркивали необходимость исполнения МСЭ ведущей роли в формировании будущего цифрового ландшафта.</w:t>
      </w:r>
    </w:p>
    <w:p w14:paraId="1708E870" w14:textId="77777777" w:rsidR="00D82062" w:rsidRPr="00945782" w:rsidRDefault="00D82062" w:rsidP="00C97F0D">
      <w:pPr>
        <w:rPr>
          <w:lang w:val="ru-RU"/>
        </w:rPr>
      </w:pPr>
      <w:r w:rsidRPr="00945782">
        <w:rPr>
          <w:lang w:val="ru-RU"/>
        </w:rPr>
        <w:t>Роль МСЭ в разработке стандартов для транспортных сетей 6G была подчеркнута на состоявшемся в декабре 2023 года в Дубае круглом столе, при этом основное внимание было уделено экономически эффективным оптическим решениям. В ходе обсуждений особый акцент был сделан на применении ИИ и машинного обучения для оптимизации сетей, потенциале неназемных сетей (NTN) для обеспечения возможности установления соединений в отдаленных районах, а также на важности стандартизации в области установления соединений транспортных средств для "умной" мобильности и реагирования на бедствия. Новые угрозы безопасности, такие как мошенничество с голосовым трафиком и регистрация SIM-карт с использованием биометрических данных, требуют от МСЭ разработки соответствующих руководящих указаний наряду с поддержкой стандартизации квантовых информационных технологий.</w:t>
      </w:r>
    </w:p>
    <w:p w14:paraId="4BC9D3AC" w14:textId="77777777" w:rsidR="00D82062" w:rsidRPr="00945782" w:rsidRDefault="00D82062" w:rsidP="00C97F0D">
      <w:pPr>
        <w:rPr>
          <w:lang w:val="ru-RU"/>
        </w:rPr>
      </w:pPr>
      <w:r w:rsidRPr="00945782">
        <w:rPr>
          <w:lang w:val="ru-RU"/>
        </w:rPr>
        <w:t xml:space="preserve">Годом позднее, в декабре 2024 года, на круглом столе, который снова проходил в Дубае, продолжилось развитие этих тем и был сформулирован призыв к разработке "дорожной карты" МСЭ до 2030 года в области стандартизации для оптических сетей, поддерживающих IMT-2030 (также известную как 6G). Руководители высшего звена уделили особое внимание вопросам сетевого интеллекта и обеспечения экологической устойчивости посредством больших языковых моделей (LLM), а также разработке многоязычных ИИ-решений на основе открытого исходного кода. Ключевые обсуждения касались обеспечения согласованности стандартов для трансграничных потоков данных, внедрения глобальных мер противодействия голосовому мошенничеству (таких как списки номеров, не предназначенных для исходящих вызовов), а также разработки руководящих указаний МСЭ по внедрению NTN для расширения </w:t>
      </w:r>
      <w:r w:rsidRPr="00945782">
        <w:rPr>
          <w:lang w:val="ru-RU"/>
        </w:rPr>
        <w:lastRenderedPageBreak/>
        <w:t>возможностей установления соединений и усиления общественной безопасности. Приоритетное внимание было также уделено надежным широкополосным сетям для служб экстренного реагирования.</w:t>
      </w:r>
    </w:p>
    <w:p w14:paraId="18CA5629" w14:textId="77777777" w:rsidR="00D82062" w:rsidRPr="00945782" w:rsidRDefault="00D82062" w:rsidP="00C97F0D">
      <w:pPr>
        <w:rPr>
          <w:lang w:val="ru-RU"/>
        </w:rPr>
      </w:pPr>
      <w:r w:rsidRPr="00945782">
        <w:rPr>
          <w:lang w:val="ru-RU"/>
        </w:rPr>
        <w:t>Эти обсуждения получили развитие в ходе круглого стола руководителей высшего звена, который состоялся в ноябре 2025 года в Мюнхене и был посвящен ключевым приоритетам отрасли, в которых искусственный интеллект играет центральную роль: производительности, жизнестойкости, экологической устойчивости и безопасности. Были подчеркнуты потребность в ответственном и надежном ИИ, а также необходимость разработки стандартов в области этики, целостности данных и архитектур "нулевого доверия". Значительное внимание было уделено инновациям в области центров обработки данных, обусловленным рабочими нагрузками ИИ и сотрудничеством с энергетическим сектором в целях использования возобновляемых источников энергии. Неназемные сети оставались в центре внимания как средство расширения возможности установления соединений в сельских районах и зонах бедствий, при этом был озвучен призыв к разработке новых показателей эффективности. Также были обозначены появляющиеся технологии, требующие стандартизации: в частности, распределенное оптоволоконное зондирование, квантовые информационные технологии и медиа сверхвысокого разрешения.</w:t>
      </w:r>
    </w:p>
    <w:p w14:paraId="25583338" w14:textId="77777777" w:rsidR="00D82062" w:rsidRPr="00945782" w:rsidRDefault="00D82062" w:rsidP="00C97F0D">
      <w:pPr>
        <w:rPr>
          <w:lang w:val="ru-RU"/>
        </w:rPr>
      </w:pPr>
      <w:r w:rsidRPr="00945782">
        <w:rPr>
          <w:lang w:val="ru-RU"/>
        </w:rPr>
        <w:t>В совокупности эти совещания продемонстрировали последовательный и эволюционирующий мандат МСЭ как ведущей организации в разработке глобальных стандартов для преобразующих технологий, таких как ИИ, 6G, NTN и квантовые вычисления, при одновременном противодействии угрозам в области кибербезопасности и содействии экологической устойчивости цифровой экосистемы.</w:t>
      </w:r>
    </w:p>
    <w:p w14:paraId="43B1BA65" w14:textId="77777777" w:rsidR="00D82062" w:rsidRPr="00945782" w:rsidRDefault="00D82062" w:rsidP="00C97F0D">
      <w:pPr>
        <w:pStyle w:val="Headingb"/>
        <w:rPr>
          <w:lang w:val="ru-RU"/>
        </w:rPr>
      </w:pPr>
      <w:r w:rsidRPr="00945782">
        <w:rPr>
          <w:lang w:val="ru-RU"/>
        </w:rPr>
        <w:t>Всемирное сотрудничество по стандартам</w:t>
      </w:r>
    </w:p>
    <w:p w14:paraId="1448805F" w14:textId="77777777" w:rsidR="00D82062" w:rsidRPr="00945782" w:rsidRDefault="00D82062" w:rsidP="00C97F0D">
      <w:pPr>
        <w:rPr>
          <w:lang w:val="ru-RU"/>
        </w:rPr>
      </w:pPr>
      <w:hyperlink r:id="rId548" w:history="1">
        <w:r w:rsidRPr="00945782">
          <w:rPr>
            <w:rStyle w:val="Hyperlink"/>
            <w:lang w:val="ru-RU"/>
          </w:rPr>
          <w:t>Всемирное сотрудничество по стандартам</w:t>
        </w:r>
      </w:hyperlink>
      <w:r w:rsidRPr="00945782">
        <w:rPr>
          <w:lang w:val="ru-RU"/>
        </w:rPr>
        <w:t xml:space="preserve"> – это партнерство МСЭ, Международной электротехнической комиссии (МЭК) и Международной организации по стандартизации (ИСО), направленное на развитие международной системы стандартизации, основанной на добровольном консенсусе.</w:t>
      </w:r>
    </w:p>
    <w:p w14:paraId="3C718185" w14:textId="79532256" w:rsidR="00D82062" w:rsidRPr="00945782" w:rsidRDefault="00D82062" w:rsidP="00C97F0D">
      <w:pPr>
        <w:rPr>
          <w:lang w:val="ru-RU"/>
        </w:rPr>
      </w:pPr>
      <w:r w:rsidRPr="00945782">
        <w:rPr>
          <w:lang w:val="ru-RU"/>
        </w:rPr>
        <w:t xml:space="preserve">Совместная деятельность включает проведение </w:t>
      </w:r>
      <w:hyperlink r:id="rId549" w:history="1">
        <w:r w:rsidRPr="00945782">
          <w:rPr>
            <w:rStyle w:val="Hyperlink"/>
            <w:lang w:val="ru-RU"/>
          </w:rPr>
          <w:t>Всемирного дня стандартов</w:t>
        </w:r>
      </w:hyperlink>
      <w:r w:rsidRPr="00945782">
        <w:rPr>
          <w:lang w:val="ru-RU"/>
        </w:rPr>
        <w:t xml:space="preserve">, посвященного роли стандартов как общей основы, обеспечивающей эффективное сотрудничество между отраслями, правительствами и организациями для достижения общих целей в области устойчивого развития (см. </w:t>
      </w:r>
      <w:hyperlink r:id="rId550" w:history="1">
        <w:r w:rsidR="00FD3047" w:rsidRPr="00945782">
          <w:rPr>
            <w:rStyle w:val="Hyperlink"/>
            <w:lang w:val="ru-RU"/>
          </w:rPr>
          <w:t>информацию о мероприятиях, проводившихся в рамках всемирного дня стандартов в прошлые годы</w:t>
        </w:r>
      </w:hyperlink>
      <w:r w:rsidRPr="00945782">
        <w:rPr>
          <w:lang w:val="ru-RU"/>
        </w:rPr>
        <w:t>).</w:t>
      </w:r>
    </w:p>
    <w:p w14:paraId="6982B051" w14:textId="77777777" w:rsidR="00D82062" w:rsidRPr="00945782" w:rsidRDefault="00D82062" w:rsidP="00C97F0D">
      <w:pPr>
        <w:rPr>
          <w:lang w:val="ru-RU"/>
        </w:rPr>
      </w:pPr>
      <w:r w:rsidRPr="00945782">
        <w:rPr>
          <w:lang w:val="ru-RU"/>
        </w:rPr>
        <w:t xml:space="preserve">Партнеры также углубили сотрудничество в области устойчивого развития и ИИ, в том числе выступив с совместными заявлениями на </w:t>
      </w:r>
      <w:hyperlink r:id="rId551" w:history="1">
        <w:r w:rsidRPr="00945782">
          <w:rPr>
            <w:rStyle w:val="Hyperlink"/>
            <w:lang w:val="ru-RU"/>
          </w:rPr>
          <w:t>КС-28</w:t>
        </w:r>
      </w:hyperlink>
      <w:r w:rsidRPr="00945782">
        <w:rPr>
          <w:lang w:val="ru-RU"/>
        </w:rPr>
        <w:t xml:space="preserve"> и </w:t>
      </w:r>
      <w:hyperlink r:id="rId552" w:history="1">
        <w:r w:rsidRPr="00945782">
          <w:rPr>
            <w:rStyle w:val="Hyperlink"/>
            <w:lang w:val="ru-RU"/>
          </w:rPr>
          <w:t>КС-29</w:t>
        </w:r>
      </w:hyperlink>
      <w:r w:rsidRPr="00945782">
        <w:rPr>
          <w:lang w:val="ru-RU"/>
        </w:rPr>
        <w:t xml:space="preserve"> о внедрении принципов экологической устойчивости в технические стандарты на этапе их разработки в целях достижения нулевого уровня выбросов и формирования ресурсоэффективной, циркуляционной и низкоуглеродной экономики в рамках сотрудничества по направлению "Зеленая цифровая кампания". Члены партнерства были также совместно представлены в павильоне стандартов на КС-29 и КС-30, продемонстрировав согласованный подход к отстаиванию роли международных стандартов в борьбе с изменением климата.</w:t>
      </w:r>
    </w:p>
    <w:p w14:paraId="55B30DEF" w14:textId="77777777" w:rsidR="00D82062" w:rsidRPr="00945782" w:rsidRDefault="00D82062" w:rsidP="00C97F0D">
      <w:pPr>
        <w:rPr>
          <w:lang w:val="ru-RU"/>
        </w:rPr>
      </w:pPr>
      <w:r w:rsidRPr="00945782">
        <w:rPr>
          <w:lang w:val="ru-RU"/>
        </w:rPr>
        <w:t xml:space="preserve">К числу других недавних совместных инициатив относится </w:t>
      </w:r>
      <w:hyperlink r:id="rId553" w:history="1">
        <w:r w:rsidRPr="00945782">
          <w:rPr>
            <w:rStyle w:val="Hyperlink"/>
            <w:lang w:val="ru-RU"/>
          </w:rPr>
          <w:t>Сотрудничество по стандартам установления аутентичности ИИ и мультимедиа (AMAS)</w:t>
        </w:r>
      </w:hyperlink>
      <w:r w:rsidRPr="00945782">
        <w:rPr>
          <w:lang w:val="ru-RU"/>
        </w:rPr>
        <w:t xml:space="preserve">, направленное на борьбу с дипфейками, а также недостоверной и вводящей в заблуждение информацией. Сотрудничество по стандартам установления аутентичности ИИ и мультимедиа объединяет органы по разработке стандартов, технологических лидеров, экспертов академических учреждений, директивные органы и гражданское общество для формирования будущего, в котором цифровому контенту можно доверять. Работа AMAS сосредоточена на анализе ландшафта существующих стандартов в области аутентичности мультимедийного контента, а </w:t>
      </w:r>
      <w:r w:rsidRPr="00945782">
        <w:rPr>
          <w:lang w:val="ru-RU"/>
        </w:rPr>
        <w:lastRenderedPageBreak/>
        <w:t xml:space="preserve">также правовых и политических мер, принимаемых различными правительствами, отраслью и гражданским обществом для решения проблем, связанных с дипфейками и недостоверной информацией. 11 июля 2025 года в рамках Саммита </w:t>
      </w:r>
      <w:r w:rsidRPr="00945782">
        <w:rPr>
          <w:i/>
          <w:iCs/>
          <w:lang w:val="ru-RU"/>
        </w:rPr>
        <w:t>"ИИ во благо"</w:t>
      </w:r>
      <w:r w:rsidRPr="00945782">
        <w:rPr>
          <w:lang w:val="ru-RU"/>
        </w:rPr>
        <w:t xml:space="preserve"> группа AMAS представила </w:t>
      </w:r>
      <w:hyperlink r:id="rId554" w:anchor="reports" w:history="1">
        <w:r w:rsidRPr="00945782">
          <w:rPr>
            <w:rStyle w:val="Hyperlink"/>
            <w:lang w:val="ru-RU"/>
          </w:rPr>
          <w:t>два отчета</w:t>
        </w:r>
      </w:hyperlink>
      <w:r w:rsidRPr="00945782">
        <w:rPr>
          <w:lang w:val="ru-RU"/>
        </w:rPr>
        <w:t xml:space="preserve"> − технический документ с обзором стандартов в области аутентичности мультимедийного контента и аналитический отчет с рекомендациями по формированию глобального управления ИИ и противодействию дипфейкам, а также недостоверной и вводящей в заблуждение информации. Кроме того, партнеры организовали Международный саммит по стандартам ИИ, ключевые мероприятия которого прошли в </w:t>
      </w:r>
      <w:hyperlink r:id="rId555" w:history="1">
        <w:r w:rsidRPr="00945782">
          <w:rPr>
            <w:rStyle w:val="Hyperlink"/>
            <w:lang w:val="ru-RU"/>
          </w:rPr>
          <w:t>Нью-Дели (2024 г.)</w:t>
        </w:r>
      </w:hyperlink>
      <w:r w:rsidRPr="00945782">
        <w:rPr>
          <w:lang w:val="ru-RU"/>
        </w:rPr>
        <w:t xml:space="preserve"> и </w:t>
      </w:r>
      <w:hyperlink r:id="rId556" w:history="1">
        <w:r w:rsidRPr="00945782">
          <w:rPr>
            <w:rStyle w:val="Hyperlink"/>
            <w:lang w:val="ru-RU"/>
          </w:rPr>
          <w:t>Сеуле (2025 г.)</w:t>
        </w:r>
      </w:hyperlink>
      <w:r w:rsidRPr="00945782">
        <w:rPr>
          <w:lang w:val="ru-RU"/>
        </w:rPr>
        <w:t xml:space="preserve">, а также отдельный День стандартов ИИ в рамках Саммита "ИИ во благо" (июль 2025 г.). Эти усилия были дополнительно подкреплены публикацией в 2025 году </w:t>
      </w:r>
      <w:hyperlink r:id="rId557" w:history="1">
        <w:r w:rsidRPr="00945782">
          <w:rPr>
            <w:rStyle w:val="Hyperlink"/>
            <w:lang w:val="ru-RU"/>
          </w:rPr>
          <w:t>Базы данных по обмену стандартами в области ИИ</w:t>
        </w:r>
      </w:hyperlink>
      <w:r w:rsidRPr="00945782">
        <w:rPr>
          <w:lang w:val="ru-RU"/>
        </w:rPr>
        <w:t>, предоставляющей единый доступ с возможностью поиска к более чем 800 стандартам и техническим документам в области ИИ от трех партнеров и других организаций по разработке стандартов, таких как IEEE и IETF, что способствует согласованной разработке стандартов и практическому применению стандартов для надежного ИИ.</w:t>
      </w:r>
    </w:p>
    <w:p w14:paraId="512A62FD" w14:textId="77777777" w:rsidR="00D82062" w:rsidRPr="00945782" w:rsidRDefault="00D82062" w:rsidP="00C97F0D">
      <w:pPr>
        <w:pStyle w:val="Headingb"/>
        <w:rPr>
          <w:lang w:val="ru-RU"/>
        </w:rPr>
      </w:pPr>
      <w:r w:rsidRPr="00945782">
        <w:rPr>
          <w:lang w:val="ru-RU"/>
        </w:rPr>
        <w:t xml:space="preserve">Использование ИИ в рамках инициативы </w:t>
      </w:r>
      <w:r w:rsidRPr="00945782">
        <w:rPr>
          <w:b w:val="0"/>
          <w:bCs/>
          <w:lang w:val="ru-RU"/>
        </w:rPr>
        <w:t>"</w:t>
      </w:r>
      <w:r w:rsidRPr="00945782">
        <w:rPr>
          <w:lang w:val="ru-RU"/>
        </w:rPr>
        <w:t>Раннее предупреждение для всех</w:t>
      </w:r>
      <w:r w:rsidRPr="00945782">
        <w:rPr>
          <w:b w:val="0"/>
          <w:bCs/>
          <w:lang w:val="ru-RU"/>
        </w:rPr>
        <w:t>"</w:t>
      </w:r>
    </w:p>
    <w:p w14:paraId="62246398" w14:textId="77777777" w:rsidR="00D82062" w:rsidRPr="00945782" w:rsidRDefault="00D82062" w:rsidP="00C97F0D">
      <w:pPr>
        <w:rPr>
          <w:lang w:val="ru-RU"/>
        </w:rPr>
      </w:pPr>
      <w:r w:rsidRPr="00945782">
        <w:rPr>
          <w:lang w:val="ru-RU"/>
        </w:rPr>
        <w:t xml:space="preserve">МСЭ совместно со Всемирной метеорологической организацией (ВМО), Управлением ООН по снижению риска бедствий (УСРБ ООН) и Международной федерацией обществ Красного Креста и Красного Полумесяца (МФКК) сформировал </w:t>
      </w:r>
      <w:hyperlink r:id="rId558" w:history="1">
        <w:r w:rsidRPr="00945782">
          <w:rPr>
            <w:rStyle w:val="Hyperlink"/>
            <w:lang w:val="ru-RU"/>
          </w:rPr>
          <w:t>Рабочую подгруппу по ИИ в рамках инициативы "Раннее предупреждение для всех"</w:t>
        </w:r>
      </w:hyperlink>
      <w:r w:rsidRPr="00945782">
        <w:rPr>
          <w:lang w:val="ru-RU"/>
        </w:rPr>
        <w:t xml:space="preserve"> для использования ИИ в целях совершенствования систем раннего предупреждения путем объединения усилий экспертов в области ИИ, науки о данных и управления рисками бедствий. Деятельность группы призвана преодолеть разрыв между исследованиями в области ИИ и практическими потребностями специалистов-практиков и сообществ раннего предупреждения во всем мире, где ведется работа по содействию реализации экспериментальных страновых инициатив. Одним из таких экспериментальных проектов является работа с использованием </w:t>
      </w:r>
      <w:hyperlink r:id="rId559" w:history="1">
        <w:r w:rsidRPr="00945782">
          <w:rPr>
            <w:rStyle w:val="Hyperlink"/>
            <w:lang w:val="ru-RU"/>
          </w:rPr>
          <w:t>карты установления соединений в чрезвычайных ситуациях</w:t>
        </w:r>
      </w:hyperlink>
      <w:r w:rsidRPr="00945782">
        <w:rPr>
          <w:lang w:val="ru-RU"/>
        </w:rPr>
        <w:t xml:space="preserve">, в рамках которой МСЭ в партнерстве с исследовательской лабораторией Microsoft "ИИ во благо", компанией Planet и Институтом измерения показателей и оценки здоровья использовал ИИ для анализа спутниковых снимков и создания карт плотности населения с высоким разрешением. Эта карта установления соединений для раннего предупреждения (EWCM) используется для выявления цифровых "белых пятен" − районов, где отсутствует возможность установления соединения, в связи с чем с жителями нельзя связаться и они не могут получить предупреждение через цифровые сети. На примере карты EWCM было наглядно </w:t>
      </w:r>
      <w:hyperlink r:id="rId560" w:history="1">
        <w:r w:rsidRPr="00945782">
          <w:rPr>
            <w:rStyle w:val="Hyperlink"/>
            <w:lang w:val="ru-RU"/>
          </w:rPr>
          <w:t>продемонстрировано</w:t>
        </w:r>
      </w:hyperlink>
      <w:r w:rsidRPr="00945782">
        <w:rPr>
          <w:lang w:val="ru-RU"/>
        </w:rPr>
        <w:t>, как выявление зон, не имеющих возможности установления соединений, может помочь обеспечить защиту населения с помощью систем раннего предупреждения. Первоначально проект был реализован в Фиджи, Тонга и Вануату, а затем в рамках инициативы "Раннее предупреждение для всех" расширен более чем на 30 стран.</w:t>
      </w:r>
    </w:p>
    <w:p w14:paraId="290D9656" w14:textId="77777777" w:rsidR="00D82062" w:rsidRPr="00945782" w:rsidRDefault="00D82062" w:rsidP="00C97F0D">
      <w:pPr>
        <w:pStyle w:val="Headingb"/>
        <w:rPr>
          <w:lang w:val="ru-RU"/>
        </w:rPr>
      </w:pPr>
      <w:r w:rsidRPr="00945782">
        <w:rPr>
          <w:lang w:val="ru-RU"/>
        </w:rPr>
        <w:t>Работа по обеспечению готовности в случае бедствий на основе ИИ</w:t>
      </w:r>
    </w:p>
    <w:p w14:paraId="094D2C19" w14:textId="77777777" w:rsidR="00D82062" w:rsidRPr="00945782" w:rsidRDefault="00D82062" w:rsidP="00C97F0D">
      <w:pPr>
        <w:rPr>
          <w:lang w:val="ru-RU"/>
        </w:rPr>
      </w:pPr>
      <w:r w:rsidRPr="00945782">
        <w:rPr>
          <w:lang w:val="ru-RU"/>
        </w:rPr>
        <w:t xml:space="preserve">МСЭ сотрудничает с ВМО, ЮНЕП и другими партнерами в рамках работы по обеспечению готовности к бедствиям на основе ИИ и созданию основы для разработки стандартов. </w:t>
      </w:r>
      <w:hyperlink r:id="rId561" w:history="1">
        <w:r w:rsidRPr="00945782">
          <w:rPr>
            <w:rStyle w:val="Hyperlink"/>
            <w:lang w:val="ru-RU"/>
          </w:rPr>
          <w:t>Оперативная группа МСЭ, ВМО и ЮНЕП по ИИ в управлении операциями в случае стихийных бедствий (ОГ-AI4NDM)</w:t>
        </w:r>
      </w:hyperlink>
      <w:r w:rsidRPr="00945782">
        <w:rPr>
          <w:lang w:val="ru-RU"/>
        </w:rPr>
        <w:t xml:space="preserve"> подготовила технические отчеты, </w:t>
      </w:r>
      <w:hyperlink r:id="rId562" w:history="1">
        <w:r w:rsidRPr="00945782">
          <w:rPr>
            <w:rStyle w:val="Hyperlink"/>
            <w:lang w:val="ru-RU"/>
          </w:rPr>
          <w:t>глоссарии</w:t>
        </w:r>
      </w:hyperlink>
      <w:r w:rsidRPr="00945782">
        <w:rPr>
          <w:lang w:val="ru-RU"/>
        </w:rPr>
        <w:t xml:space="preserve">, </w:t>
      </w:r>
      <w:hyperlink r:id="rId563" w:history="1">
        <w:r w:rsidRPr="00945782">
          <w:rPr>
            <w:rStyle w:val="Hyperlink"/>
            <w:lang w:val="ru-RU"/>
          </w:rPr>
          <w:t>дорожную карту по тенденциям и стандартам</w:t>
        </w:r>
      </w:hyperlink>
      <w:r w:rsidRPr="00945782">
        <w:rPr>
          <w:lang w:val="ru-RU"/>
        </w:rPr>
        <w:t xml:space="preserve">, а также перечень передовых практик по применению ИИ для </w:t>
      </w:r>
      <w:hyperlink r:id="rId564" w:history="1">
        <w:r w:rsidRPr="00945782">
          <w:rPr>
            <w:rStyle w:val="Hyperlink"/>
            <w:lang w:val="ru-RU"/>
          </w:rPr>
          <w:t>сбора данных</w:t>
        </w:r>
      </w:hyperlink>
      <w:r w:rsidRPr="00945782">
        <w:rPr>
          <w:lang w:val="ru-RU"/>
        </w:rPr>
        <w:t xml:space="preserve">, </w:t>
      </w:r>
      <w:hyperlink r:id="rId565" w:history="1">
        <w:r w:rsidRPr="00945782">
          <w:rPr>
            <w:rStyle w:val="Hyperlink"/>
            <w:lang w:val="ru-RU"/>
          </w:rPr>
          <w:t>моделирования</w:t>
        </w:r>
      </w:hyperlink>
      <w:r w:rsidRPr="00945782">
        <w:rPr>
          <w:lang w:val="ru-RU"/>
        </w:rPr>
        <w:t xml:space="preserve"> и </w:t>
      </w:r>
      <w:hyperlink r:id="rId566" w:history="1">
        <w:r w:rsidRPr="00945782">
          <w:rPr>
            <w:rStyle w:val="Hyperlink"/>
            <w:lang w:val="ru-RU"/>
          </w:rPr>
          <w:t>связи</w:t>
        </w:r>
      </w:hyperlink>
      <w:r w:rsidRPr="00945782">
        <w:rPr>
          <w:lang w:val="ru-RU"/>
        </w:rPr>
        <w:t xml:space="preserve"> на всех этапах управления операциями в случае стихийных бедствий. За последние четыре года ОГ-AI4NDM провела 12 собраний и </w:t>
      </w:r>
      <w:hyperlink r:id="rId567" w:history="1">
        <w:r w:rsidRPr="00945782">
          <w:rPr>
            <w:rStyle w:val="Hyperlink"/>
            <w:lang w:val="ru-RU"/>
          </w:rPr>
          <w:t>10 семинаров-практикумов и вебинаров</w:t>
        </w:r>
      </w:hyperlink>
      <w:r w:rsidRPr="00945782">
        <w:rPr>
          <w:lang w:val="ru-RU"/>
        </w:rPr>
        <w:t xml:space="preserve">. Результаты ее работы уже используются в рамках таких инициатив, как финансируемый Европейским союзом проект </w:t>
      </w:r>
      <w:hyperlink r:id="rId568" w:history="1">
        <w:r w:rsidRPr="00945782">
          <w:rPr>
            <w:rStyle w:val="Hyperlink"/>
            <w:lang w:val="ru-RU"/>
          </w:rPr>
          <w:t>MedEWSa</w:t>
        </w:r>
      </w:hyperlink>
      <w:r w:rsidRPr="00945782">
        <w:rPr>
          <w:lang w:val="ru-RU"/>
        </w:rPr>
        <w:t xml:space="preserve">. В продолжение этой деятельности в 2024 году был дан старт </w:t>
      </w:r>
      <w:hyperlink r:id="rId569" w:history="1">
        <w:r w:rsidRPr="00945782">
          <w:rPr>
            <w:rStyle w:val="Hyperlink"/>
            <w:lang w:val="ru-RU"/>
          </w:rPr>
          <w:t>Глобальной инициативе по обеспечению устойчивости к стихийным бедствиям с помощью решений на основе ИИ</w:t>
        </w:r>
      </w:hyperlink>
      <w:r w:rsidRPr="00945782">
        <w:rPr>
          <w:lang w:val="ru-RU"/>
        </w:rPr>
        <w:t xml:space="preserve">, объединяющей МСЭ, ВМО, ЮНЕП, ЮНЕСКО, </w:t>
      </w:r>
      <w:r w:rsidRPr="00945782">
        <w:rPr>
          <w:lang w:val="ru-RU"/>
        </w:rPr>
        <w:lastRenderedPageBreak/>
        <w:t>РКИК ООН и ВПС для координации исследований, инноваций и разработки будущих стандартов, направленных на повышение устойчивости к опасным природным явлениям во всем мире. С 2022 года финансирование в размере почти 20 000 долларов США, полученное от Международного геодезического и геофизического союза (МГГС), способствует обеспечению участия экспертов в работе ОГ-AI4NDM и собраниях и семинарах-практикумах Глобальной инициативы, что позволяет им внести свой экспертный вклад в развитие стандартов и передовой практики в данной области. С момента своего создания Глобальная инициатива уже провела три собрания, организованных соответственно Барселонским центром супервычислений в Испании, Европейским космическим агентством в Италии и Европейской комиссией в Брюсселе. Эти мероприятия были посвящены рассмотрению вкладов, проведению сессий по использованию инструментов ИИ для управления операциями в случае стихийных бедствий, а также дальнейшей доработке передовой практики и разработке других материалов.</w:t>
      </w:r>
    </w:p>
    <w:p w14:paraId="70A1802A" w14:textId="77777777" w:rsidR="00D82062" w:rsidRPr="00945782" w:rsidRDefault="00D82062" w:rsidP="00C97F0D">
      <w:pPr>
        <w:pStyle w:val="Headingb"/>
        <w:rPr>
          <w:lang w:val="ru-RU"/>
        </w:rPr>
      </w:pPr>
      <w:r w:rsidRPr="00945782">
        <w:rPr>
          <w:lang w:val="ru-RU"/>
        </w:rPr>
        <w:t>ИИ и интернет вещей для цифрового сельского хозяйства</w:t>
      </w:r>
    </w:p>
    <w:p w14:paraId="7EBEB73A" w14:textId="77777777" w:rsidR="00D82062" w:rsidRPr="00945782" w:rsidRDefault="00D82062" w:rsidP="00C97F0D">
      <w:pPr>
        <w:rPr>
          <w:lang w:val="ru-RU"/>
        </w:rPr>
      </w:pPr>
      <w:r w:rsidRPr="00945782">
        <w:rPr>
          <w:lang w:val="ru-RU"/>
        </w:rPr>
        <w:t xml:space="preserve">В сельскохозяйственной сфере </w:t>
      </w:r>
      <w:hyperlink r:id="rId570" w:history="1">
        <w:r w:rsidRPr="00945782">
          <w:rPr>
            <w:rStyle w:val="Hyperlink"/>
            <w:lang w:val="ru-RU"/>
          </w:rPr>
          <w:t>Оперативная группа МСЭ/ФАО по ИИ для сельского хозяйства (ОГ-AI4A)</w:t>
        </w:r>
      </w:hyperlink>
      <w:r w:rsidRPr="00945782">
        <w:rPr>
          <w:lang w:val="ru-RU"/>
        </w:rPr>
        <w:t xml:space="preserve"> изучала то, каким образом ИИ, интернет вещей и появляющиеся технологии могут повысить производительность, способность к восстановлению и экологическую устойчивость продовольственных систем. Эксперты из государственных органов, отрасли, академических и международных организаций приняли участие в серии совещаний, а также </w:t>
      </w:r>
      <w:hyperlink r:id="rId571" w:history="1">
        <w:r w:rsidRPr="00945782">
          <w:rPr>
            <w:rStyle w:val="Hyperlink"/>
            <w:lang w:val="ru-RU"/>
          </w:rPr>
          <w:t>более чем в 11 семинарах-практикумах и вебинарах</w:t>
        </w:r>
      </w:hyperlink>
      <w:r w:rsidRPr="00945782">
        <w:rPr>
          <w:lang w:val="ru-RU"/>
        </w:rPr>
        <w:t xml:space="preserve">, организованных группой и направленных на выявление пробелов в стандартизации, а также передовой практики в области точного земледелия, сельского хозяйства, устойчивого к изменению климата, и оптимизации ресурсов. Полученные результаты, отраженные в кратких и технических отчетах, способствуют формированию будущих стандартов и рекомендаций для цифрового сельского хозяйства, направленного на обеспечение продовольственной безопасности и устойчивого развития сельских районов (см. </w:t>
      </w:r>
      <w:hyperlink r:id="rId572" w:anchor="p=1" w:history="1">
        <w:r w:rsidRPr="00945782">
          <w:rPr>
            <w:rStyle w:val="Hyperlink"/>
            <w:lang w:val="ru-RU"/>
          </w:rPr>
          <w:t>краткий отчет ОГ-AI4A</w:t>
        </w:r>
      </w:hyperlink>
      <w:r w:rsidRPr="00945782">
        <w:rPr>
          <w:lang w:val="ru-RU"/>
        </w:rPr>
        <w:t>).</w:t>
      </w:r>
    </w:p>
    <w:p w14:paraId="75882287" w14:textId="77777777" w:rsidR="00D82062" w:rsidRPr="00945782" w:rsidRDefault="00D82062" w:rsidP="00C97F0D">
      <w:pPr>
        <w:rPr>
          <w:lang w:val="ru-RU"/>
        </w:rPr>
      </w:pPr>
      <w:r w:rsidRPr="00945782">
        <w:rPr>
          <w:lang w:val="ru-RU"/>
        </w:rPr>
        <w:t>Результаты работы были переданы в 20-ю Исследовательскую комиссию МСЭ-T, которая приступила к разработке международных стандартов, охватывающих сценарии использования, развертывание, рамочные основы и архитектурные модели для цифрового сельского хозяйства.</w:t>
      </w:r>
    </w:p>
    <w:p w14:paraId="02A19BFE" w14:textId="694502AD" w:rsidR="00D82062" w:rsidRPr="00945782" w:rsidRDefault="00D82062" w:rsidP="00C97F0D">
      <w:pPr>
        <w:rPr>
          <w:lang w:val="ru-RU"/>
        </w:rPr>
      </w:pPr>
      <w:r w:rsidRPr="00945782">
        <w:rPr>
          <w:lang w:val="ru-RU"/>
        </w:rPr>
        <w:t xml:space="preserve">В развитие деятельности ОГ-AI4A в июле 2025 года в рамках Саммита "ИИ во благо" был дан старт </w:t>
      </w:r>
      <w:hyperlink r:id="rId573" w:history="1">
        <w:r w:rsidRPr="00945782">
          <w:rPr>
            <w:rStyle w:val="Hyperlink"/>
            <w:lang w:val="ru-RU"/>
          </w:rPr>
          <w:t>Глобальной инициативе по ИИ для продовольственных систем</w:t>
        </w:r>
      </w:hyperlink>
      <w:r w:rsidRPr="00945782">
        <w:rPr>
          <w:lang w:val="ru-RU"/>
        </w:rPr>
        <w:t>, реализуемой совместно со Всемирной продовольственной программой (ВПП), Продовольственной и сельскохозяйственной организацией ООН (ФАО) и Международным фондом сельскохозяйственного развития (МФСР). Эта инициатива ориентирована на интеграцию цифровых решений, обмен знаниями, развитие синергии партнерств и реализацию экспериментальных проектов. По случаю Всемирного дня продовольствия 16 октября 2025</w:t>
      </w:r>
      <w:r w:rsidR="00681819" w:rsidRPr="00945782">
        <w:rPr>
          <w:lang w:val="ru-RU"/>
        </w:rPr>
        <w:t> </w:t>
      </w:r>
      <w:r w:rsidRPr="00945782">
        <w:rPr>
          <w:lang w:val="ru-RU"/>
        </w:rPr>
        <w:t>года в рамках серии мероприятий "Открытия ИИ во благо" была проведена групповая дискуссия на тему "ИИ для продовольственных систем", в ходе которой представители ВПП, МФСР, 20-й Исследовательской комиссии МСЭ-T и Фонда Рокфеллера обсудили, как стандарты в области ИИ могут способствовать развитию сельского хозяйства и продовольственных систем, преодолению барьеров внедрения и масштабированию решений на глобальном уровне с соблюдением принципов этичности, прозрачности и функциональной совместимости.</w:t>
      </w:r>
    </w:p>
    <w:p w14:paraId="0CEA17FF" w14:textId="77777777" w:rsidR="00D82062" w:rsidRPr="00945782" w:rsidRDefault="00D82062" w:rsidP="00C97F0D">
      <w:pPr>
        <w:pStyle w:val="Headingb"/>
        <w:rPr>
          <w:lang w:val="ru-RU"/>
        </w:rPr>
      </w:pPr>
      <w:r w:rsidRPr="00945782">
        <w:rPr>
          <w:lang w:val="ru-RU"/>
        </w:rPr>
        <w:t>ИИ для здравоохранения</w:t>
      </w:r>
    </w:p>
    <w:p w14:paraId="0BA75860" w14:textId="77777777" w:rsidR="00D82062" w:rsidRPr="00945782" w:rsidRDefault="00D82062" w:rsidP="00C97F0D">
      <w:pPr>
        <w:rPr>
          <w:lang w:val="ru-RU"/>
        </w:rPr>
      </w:pPr>
      <w:hyperlink r:id="rId574" w:history="1">
        <w:r w:rsidRPr="00945782">
          <w:rPr>
            <w:rStyle w:val="Hyperlink"/>
            <w:lang w:val="ru-RU"/>
          </w:rPr>
          <w:t>Глобальная инициатива по ИИ для здравоохранения (GI-AI4H)</w:t>
        </w:r>
      </w:hyperlink>
      <w:r w:rsidRPr="00945782">
        <w:rPr>
          <w:lang w:val="ru-RU"/>
        </w:rPr>
        <w:t xml:space="preserve">, координацию которой осуществляют МСЭ, Всемирная организация здравоохранения (ВОЗ) и Всемирная организация интеллектуальной собственности (ВОИС), направлена на ускорение безопасной и справедливой интеграции искусственного интеллекта в системы здравоохранения во всем мире. Опираясь на результаты деятельности </w:t>
      </w:r>
      <w:hyperlink r:id="rId575" w:history="1">
        <w:r w:rsidRPr="00945782">
          <w:rPr>
            <w:rStyle w:val="Hyperlink"/>
            <w:lang w:val="ru-RU"/>
          </w:rPr>
          <w:t xml:space="preserve">Оперативной группы МСЭ/ВОЗ по ИИ в </w:t>
        </w:r>
        <w:r w:rsidRPr="00945782">
          <w:rPr>
            <w:rStyle w:val="Hyperlink"/>
            <w:lang w:val="ru-RU"/>
          </w:rPr>
          <w:lastRenderedPageBreak/>
          <w:t>здравоохранении (ОГ-AI4H)</w:t>
        </w:r>
      </w:hyperlink>
      <w:r w:rsidRPr="00945782">
        <w:rPr>
          <w:lang w:val="ru-RU"/>
        </w:rPr>
        <w:t>, инициатива нацелена на разработку технических стандартов, рекомендаций по вопросам политики и механизмов, способствующих ответственному внедрению ИИ. Одной из ключевых задач является поддержка принятия решений на основе фактических данных при внедрении решений на базе ИИ, а также содействие глобальному обмену знаниями и данными для обеспечения выгод от технологического прогресса для всех групп населения.</w:t>
      </w:r>
    </w:p>
    <w:p w14:paraId="2DF610F7" w14:textId="77777777" w:rsidR="00D82062" w:rsidRPr="00945782" w:rsidRDefault="00D82062" w:rsidP="00C97F0D">
      <w:pPr>
        <w:rPr>
          <w:lang w:val="ru-RU"/>
        </w:rPr>
      </w:pPr>
      <w:hyperlink r:id="rId576" w:history="1">
        <w:r w:rsidRPr="00945782">
          <w:rPr>
            <w:rStyle w:val="Hyperlink"/>
            <w:lang w:val="ru-RU"/>
          </w:rPr>
          <w:t>ОГ-AI4H</w:t>
        </w:r>
      </w:hyperlink>
      <w:r w:rsidRPr="00945782">
        <w:rPr>
          <w:lang w:val="ru-RU"/>
        </w:rPr>
        <w:t xml:space="preserve"> в сотрудничестве с ВОЗ разработала масштабируемую систему опорных показателей, предназначенную для анализа методов на основе ИИ, применяемых в здравоохранении, диагностике, классификации больных или принятии решений о лечении. К 2025 году группа завершила подготовку 36 </w:t>
      </w:r>
      <w:hyperlink r:id="rId577" w:history="1">
        <w:r w:rsidRPr="00945782">
          <w:rPr>
            <w:rStyle w:val="Hyperlink"/>
            <w:lang w:val="ru-RU"/>
          </w:rPr>
          <w:t>итоговых документов</w:t>
        </w:r>
      </w:hyperlink>
      <w:r w:rsidRPr="00945782">
        <w:rPr>
          <w:lang w:val="ru-RU"/>
        </w:rPr>
        <w:t>. Помимо разработанных стандартов, при поддержке грантов (примерно 600 тыс. шв. фр.) Фонда Botnar Foundation была создана модульная (DevSecOps) эталонная реализация системы опорных показателей с открытым исходным кодом, лицензируемая таким образом, чтобы национальные регуляторные органы в области здравоохранения и другие заинтересованные субъекты могли адаптировать ее по мере необходимости. Кроме того, гранты использовались для финансирования поездок экспертов из стран с низким и средним уровнем доходов.</w:t>
      </w:r>
    </w:p>
    <w:p w14:paraId="53F5A3DB" w14:textId="77777777" w:rsidR="00D82062" w:rsidRPr="00945782" w:rsidRDefault="00D82062" w:rsidP="00C97F0D">
      <w:pPr>
        <w:pStyle w:val="Headingb"/>
        <w:rPr>
          <w:lang w:val="ru-RU"/>
        </w:rPr>
      </w:pPr>
      <w:r w:rsidRPr="00945782">
        <w:rPr>
          <w:lang w:val="ru-RU"/>
        </w:rPr>
        <w:t>Инициатива по инвестициям в цифровую инфраструктуру</w:t>
      </w:r>
    </w:p>
    <w:p w14:paraId="119BF07D" w14:textId="028A30CC" w:rsidR="00D82062" w:rsidRPr="00945782" w:rsidRDefault="00D82062" w:rsidP="00C97F0D">
      <w:pPr>
        <w:rPr>
          <w:lang w:val="ru-RU"/>
        </w:rPr>
      </w:pPr>
      <w:r w:rsidRPr="00945782">
        <w:rPr>
          <w:lang w:val="ru-RU"/>
        </w:rPr>
        <w:t xml:space="preserve">Инициатива по инвестициям в цифровую инфраструктуру (DIII), осуществление которой было начато в 2024 году в рамках председательства Бразилии в "Группе двадцати", была создана для всестороннего анализа дефицита инвестиций в цифровую инфраструктуру, ключевых барьеров для инвестиций и инновационных подходов к финансированию, необходимых для их преодоления. Под руководством МСЭ и многосторонних банков развития − АзБР, Азиатского банка инфраструктурных инвестиций (АБИИ), АфБР, ЕИБ, ЕБРР, МБР, ИБР и МФК − при поддержке компании BCG в качестве партнера по аналитике в рамках DIII было установлено, что для устранения дефицита инвестиций и обеспечения универсальной возможности установления соединений к 2030 году требуется 1,6 трлн. долларов США. В продолжение аналитического доклада DIII, опубликованного в январе 2025 года и посвященного исключительно инфраструктуре, МСЭ при поддержке Королевства Саудовская Аравия опубликовал документ </w:t>
      </w:r>
      <w:hyperlink r:id="rId578" w:history="1">
        <w:r w:rsidR="00226578" w:rsidRPr="00945782">
          <w:rPr>
            <w:rStyle w:val="Hyperlink"/>
            <w:lang w:val="ru-RU"/>
          </w:rPr>
          <w:t>"</w:t>
        </w:r>
        <w:r w:rsidRPr="00945782">
          <w:rPr>
            <w:rStyle w:val="Hyperlink"/>
            <w:lang w:val="ru-RU"/>
          </w:rPr>
          <w:t>План действий "Соединяя человечество": развитие устойчивых, приемлемых в ценовом отношении и инновационных решений</w:t>
        </w:r>
        <w:r w:rsidR="00226578" w:rsidRPr="00945782">
          <w:rPr>
            <w:rStyle w:val="Hyperlink"/>
            <w:lang w:val="ru-RU"/>
          </w:rPr>
          <w:t>"</w:t>
        </w:r>
      </w:hyperlink>
      <w:r w:rsidRPr="00945782">
        <w:rPr>
          <w:lang w:val="ru-RU"/>
        </w:rPr>
        <w:t>, в котором оценивается общий объем финансирования, необходимый для преодоления глобального цифрового разрыва с учетом факторов со стороны спроса. Согласно оценкам инициативы "Соединяя человечество", для преодоления разрывов не только в инфраструктуре, но и в приемлемости в ценовом отношении, цифровых навыках, а также в области политики и регулирования требуется от</w:t>
      </w:r>
      <w:r w:rsidR="00226578" w:rsidRPr="00945782">
        <w:rPr>
          <w:lang w:val="ru-RU"/>
        </w:rPr>
        <w:t> </w:t>
      </w:r>
      <w:r w:rsidRPr="00945782">
        <w:rPr>
          <w:lang w:val="ru-RU"/>
        </w:rPr>
        <w:t>2,6</w:t>
      </w:r>
      <w:r w:rsidR="00226578" w:rsidRPr="00945782">
        <w:rPr>
          <w:lang w:val="ru-RU"/>
        </w:rPr>
        <w:t> </w:t>
      </w:r>
      <w:r w:rsidRPr="00945782">
        <w:rPr>
          <w:lang w:val="ru-RU"/>
        </w:rPr>
        <w:t>до 2,8 трлн. долларов США.</w:t>
      </w:r>
    </w:p>
    <w:p w14:paraId="26659C6A" w14:textId="19B069AE" w:rsidR="00D82062" w:rsidRPr="00945782" w:rsidRDefault="00D82062" w:rsidP="00C97F0D">
      <w:pPr>
        <w:rPr>
          <w:lang w:val="ru-RU"/>
        </w:rPr>
      </w:pPr>
      <w:r w:rsidRPr="00945782">
        <w:rPr>
          <w:lang w:val="ru-RU"/>
        </w:rPr>
        <w:t>В развитие инициативы DIII в июле 2025 года в ходе 4-й Международной конференции по финансированию развития (FfD4) в Севилье (Испания) МСЭ совместно с ЮНКТАД и при поддержке правительств Бразилии, Испании и Южной Африки запустил новую платформу "Катализатор инвестиций в цифровую инфраструктуру (DII)". Платформа "Катализатор DII" получила официальную поддержку как часть Севильской платформы действий для содействия реализации итогового документа FfD4 − Севильских договоренностей. "Катализатор DII" представляет собой многостороннюю платформу, объединяющую организации системы ООН и многосторонние банки развития, а также инвесторов, компании частного сектора, правительства и организации гражданского общества для обмена знаниями и развития сотрудничества в целях ускорения инвестиций в жизнеспособные и перспективные в финансовом плане модели цифровой инфраструктуры. Ее деятельность сосредоточена на трех направлениях: 1) данные, инструменты и шаблоны</w:t>
      </w:r>
      <w:r w:rsidR="00226578" w:rsidRPr="00945782">
        <w:rPr>
          <w:lang w:val="ru-RU"/>
        </w:rPr>
        <w:t>;</w:t>
      </w:r>
      <w:r w:rsidRPr="00945782">
        <w:rPr>
          <w:lang w:val="ru-RU"/>
        </w:rPr>
        <w:t xml:space="preserve"> 2) наращивание потенциала в области инвестиционной политики и инновационного финансирования</w:t>
      </w:r>
      <w:r w:rsidR="00226578" w:rsidRPr="00945782">
        <w:rPr>
          <w:lang w:val="ru-RU"/>
        </w:rPr>
        <w:t>;</w:t>
      </w:r>
      <w:r w:rsidRPr="00945782">
        <w:rPr>
          <w:lang w:val="ru-RU"/>
        </w:rPr>
        <w:t xml:space="preserve"> 3) партнерства, инвестиции и возможности финансирования.</w:t>
      </w:r>
    </w:p>
    <w:p w14:paraId="232E6068" w14:textId="77777777" w:rsidR="00D82062" w:rsidRPr="00945782" w:rsidRDefault="00D82062" w:rsidP="00C97F0D">
      <w:pPr>
        <w:rPr>
          <w:lang w:val="ru-RU"/>
        </w:rPr>
      </w:pPr>
      <w:r w:rsidRPr="00945782">
        <w:rPr>
          <w:lang w:val="ru-RU"/>
        </w:rPr>
        <w:lastRenderedPageBreak/>
        <w:t>Платформа "Катализатор DII" начала работу к сентябрю 2025 года; она реализуется под совместным руководством МСЭ, ЮНКТАД и восьми многосторонних банков развития − АзБР, АфБР, АБИИ, ЕБРР, ЕИБ, МБР, ИБР и Группы Всемирного банка, а в рабочую группу входят более 50 организаций из различных секторов. К настоящему моменту в рамках "Катализатора DII" проводились встречи заинтересованных сторон параллельно с сессиями Генеральной Ассамблеи ООН (в сентябре 2025 г.), Саммитом по устойчивости подводных кабелей (в феврале 2026 г.), а также в формате двух онлайновых собраний рабочей группы (в ноябре 2025 года и феврале 2026 г.). В дальнейшем в рамках "Катализатора DII" планируется создание репозитория ресурсов, содержащего существующие инструменты и материалы по наращиванию потенциала для поддержки инвестиционного планирования в области цифровой инфраструктуры, проведение мероприятий по поиску инвестиционных партнеров, а также подготовка практического руководства по инвестициям в цифровую инфраструктуру и инфраструктуру ИИ.</w:t>
      </w:r>
    </w:p>
    <w:p w14:paraId="45353DB6" w14:textId="3901A417" w:rsidR="00D82062" w:rsidRPr="00945782" w:rsidRDefault="00D82062" w:rsidP="00C97F0D">
      <w:pPr>
        <w:pStyle w:val="Heading3"/>
        <w:ind w:left="794" w:hanging="794"/>
        <w:rPr>
          <w:lang w:val="ru-RU"/>
        </w:rPr>
      </w:pPr>
      <w:bookmarkStart w:id="145" w:name="_Toc227062887"/>
      <w:bookmarkStart w:id="146" w:name="_Toc227850275"/>
      <w:r w:rsidRPr="00945782">
        <w:rPr>
          <w:lang w:val="ru-RU"/>
        </w:rPr>
        <w:t>5.5.1</w:t>
      </w:r>
      <w:r w:rsidR="00C97F0D" w:rsidRPr="00945782">
        <w:rPr>
          <w:lang w:val="ru-RU"/>
        </w:rPr>
        <w:tab/>
      </w:r>
      <w:r w:rsidRPr="00945782">
        <w:rPr>
          <w:lang w:val="ru-RU"/>
        </w:rPr>
        <w:t>Сотрудничество с системой ООН и другими международными межправительственными процессами</w:t>
      </w:r>
      <w:bookmarkEnd w:id="145"/>
      <w:bookmarkEnd w:id="146"/>
    </w:p>
    <w:p w14:paraId="268D5758" w14:textId="02BD1911" w:rsidR="00D82062" w:rsidRPr="00945782" w:rsidRDefault="00D82062" w:rsidP="00C97F0D">
      <w:pPr>
        <w:rPr>
          <w:lang w:val="ru-RU"/>
        </w:rPr>
      </w:pPr>
      <w:r w:rsidRPr="00945782">
        <w:rPr>
          <w:lang w:val="ru-RU"/>
        </w:rPr>
        <w:t xml:space="preserve">МСЭ, будучи специализированным учреждением ООН по вопросам ИКТ, играет ведущую роль в глобальных усилиях по согласованию развития цифровых технологий с Повесткой дня в области устойчивого развития на период до 2030 года как внутри системы ООН, так и за ее пределами. В развитие инициативы Генерального секретаря ООН "Наша общая повестки дня", представленной в сентябре 2021 года, МСЭ сыграл ключевую руководящую роль в разработке и реализации </w:t>
      </w:r>
      <w:hyperlink r:id="rId579" w:history="1">
        <w:r w:rsidRPr="00945782">
          <w:rPr>
            <w:rStyle w:val="Hyperlink"/>
            <w:lang w:val="ru-RU"/>
          </w:rPr>
          <w:t>Пакта во имя будущего</w:t>
        </w:r>
      </w:hyperlink>
      <w:r w:rsidRPr="00945782">
        <w:rPr>
          <w:lang w:val="ru-RU"/>
        </w:rPr>
        <w:t xml:space="preserve"> (A/RES/79/1), принятого на Саммите будущего в сентябре 2024 года, включая прилагаемый к нему Глобальный цифровой договор (ГЦД). Посредством флагманских инициатив и укрепления сотрудничества в рамках процессов и форумов ООН МСЭ содействует согласованности цифровой стратегии и ее реализации в масштабах всей системы</w:t>
      </w:r>
      <w:r w:rsidR="00C97F0D" w:rsidRPr="00945782">
        <w:rPr>
          <w:lang w:val="ru-RU"/>
        </w:rPr>
        <w:t> </w:t>
      </w:r>
      <w:r w:rsidRPr="00945782">
        <w:rPr>
          <w:lang w:val="ru-RU"/>
        </w:rPr>
        <w:t>ООН.</w:t>
      </w:r>
    </w:p>
    <w:p w14:paraId="175C97D9" w14:textId="77777777" w:rsidR="00D82062" w:rsidRPr="00945782" w:rsidRDefault="00D82062" w:rsidP="00C97F0D">
      <w:pPr>
        <w:pStyle w:val="Headingb"/>
        <w:rPr>
          <w:lang w:val="ru-RU"/>
        </w:rPr>
      </w:pPr>
      <w:r w:rsidRPr="00945782">
        <w:rPr>
          <w:lang w:val="ru-RU"/>
        </w:rPr>
        <w:t>Реализация Пакта во имя будущего</w:t>
      </w:r>
    </w:p>
    <w:p w14:paraId="563A213E" w14:textId="77777777" w:rsidR="00D82062" w:rsidRPr="00945782" w:rsidRDefault="00D82062" w:rsidP="00C97F0D">
      <w:pPr>
        <w:rPr>
          <w:lang w:val="ru-RU"/>
        </w:rPr>
      </w:pPr>
      <w:r w:rsidRPr="00945782">
        <w:rPr>
          <w:lang w:val="ru-RU"/>
        </w:rPr>
        <w:t xml:space="preserve">Как указано в </w:t>
      </w:r>
      <w:hyperlink r:id="rId580" w:history="1">
        <w:r w:rsidRPr="00945782">
          <w:rPr>
            <w:rStyle w:val="Hyperlink"/>
            <w:lang w:val="ru-RU"/>
          </w:rPr>
          <w:t>Плане действий по осуществлению Глобального цифрового договора</w:t>
        </w:r>
      </w:hyperlink>
      <w:r w:rsidRPr="00945782">
        <w:rPr>
          <w:lang w:val="ru-RU"/>
        </w:rPr>
        <w:t xml:space="preserve">, МСЭ оказывает поддержку Государствам-Членам и другим заинтересованным сторонам в содействии установлению соединений и устойчивой цифровой трансформации посредством согласования целей ГЦД с существующими и новыми инициативами. В рамках возглавляемого Генеральным секретарем ООН Руководящего комитета по реализации Пакта МСЭ возглавляет совместно с Управлением цифровых и новейших технологий ООН (УЦНТ) Рабочую группу ООН по цифровым технологиям, в рамках которой координируются обязательства в масштабах всей системы ООН и был разработан </w:t>
      </w:r>
      <w:hyperlink r:id="rId581" w:history="1">
        <w:r w:rsidRPr="00945782">
          <w:rPr>
            <w:rStyle w:val="Hyperlink"/>
            <w:lang w:val="ru-RU"/>
          </w:rPr>
          <w:t>План осуществления ГЦД</w:t>
        </w:r>
      </w:hyperlink>
      <w:r w:rsidRPr="00945782">
        <w:rPr>
          <w:lang w:val="ru-RU"/>
        </w:rPr>
        <w:t>.</w:t>
      </w:r>
    </w:p>
    <w:p w14:paraId="0F1A3752" w14:textId="77777777" w:rsidR="00D82062" w:rsidRPr="00945782" w:rsidRDefault="00D82062" w:rsidP="00C97F0D">
      <w:pPr>
        <w:rPr>
          <w:lang w:val="ru-RU"/>
        </w:rPr>
      </w:pPr>
      <w:r w:rsidRPr="00945782">
        <w:rPr>
          <w:lang w:val="ru-RU"/>
        </w:rPr>
        <w:t>Будучи согласованными с реализацией ГЦД, ключевые инициативы МСЭ − Giga, "Партнерства для подключения", "Факты и цифры", "РАВНЫЕ", "Зеленая цифровая кампания" и "ИИ во благо" (среди прочих) − свидетельствуют о ведущей роли в преодолении цифрового разрыва, развитии цифровых навыков, ускорении "зеленого" цифрового перехода и внедрении ориентированного на человека подхода к разработке технологий. В 2024 году МСЭ совместно с многосторонними банками развития представил Инициативу по инвестициям в цифровую инфраструктуру (DIII), направленную на устранение дефицита инвестиций в инфраструктуру в объеме 1,6 трлн. долларов США. МСЭ координирует также Инициативу с высокой степенью воздействия, касающуюся цифровой инфраструктуры общего пользования (DPI), совместно организуя ежегодный Глобальный саммит по DPI (Каир, 2024 год; Кейптаун, 2025 г.) и конференцию Citizen Stack (Индия, 2025 г.) для укрепления глобальных механизмов защиты и обеспечения функциональной совместимости.</w:t>
      </w:r>
    </w:p>
    <w:p w14:paraId="7BC8F890" w14:textId="02B409FD" w:rsidR="00D82062" w:rsidRPr="00945782" w:rsidRDefault="00D82062" w:rsidP="00C97F0D">
      <w:pPr>
        <w:rPr>
          <w:lang w:val="ru-RU"/>
        </w:rPr>
      </w:pPr>
      <w:r w:rsidRPr="00945782">
        <w:rPr>
          <w:lang w:val="ru-RU"/>
        </w:rPr>
        <w:t xml:space="preserve">Помимо Глобального цифрового договора, МСЭ вносит вклад в реализацию </w:t>
      </w:r>
      <w:r w:rsidRPr="00945782">
        <w:rPr>
          <w:i/>
          <w:iCs/>
          <w:lang w:val="ru-RU"/>
        </w:rPr>
        <w:t>Пакта во имя будущего</w:t>
      </w:r>
      <w:r w:rsidRPr="00945782">
        <w:rPr>
          <w:lang w:val="ru-RU"/>
        </w:rPr>
        <w:t xml:space="preserve">, принимая участие в рабочих группах Руководящего комитета Генерального </w:t>
      </w:r>
      <w:r w:rsidRPr="00945782">
        <w:rPr>
          <w:lang w:val="ru-RU"/>
        </w:rPr>
        <w:lastRenderedPageBreak/>
        <w:t>секретаря ООН: по Целям в области устойчивого развития, по вопросам мира и безопасности, по реформированию международной финансовой архитектуры, по реформированию системы управления ООН и по вопросам молодежи. МСЭ является соисполнителем действия 27</w:t>
      </w:r>
      <w:r w:rsidR="00226578" w:rsidRPr="00945782">
        <w:rPr>
          <w:lang w:val="ru-RU"/>
        </w:rPr>
        <w:t> </w:t>
      </w:r>
      <w:r w:rsidRPr="00945782">
        <w:rPr>
          <w:lang w:val="ru-RU"/>
        </w:rPr>
        <w:t>c) по преодолению цифровых разрывов в рамках направления "мир и безопасность" и поддерживает реализацию пункта 24</w:t>
      </w:r>
      <w:r w:rsidR="00226578" w:rsidRPr="00945782">
        <w:rPr>
          <w:lang w:val="ru-RU"/>
        </w:rPr>
        <w:t> </w:t>
      </w:r>
      <w:r w:rsidRPr="00945782">
        <w:rPr>
          <w:lang w:val="ru-RU"/>
        </w:rPr>
        <w:t>b) по борьбе с транснациональной организованной преступностью путем продвижения использования безопасных и устойчивых цифровых сетей. В рамках группы по реформированию системы управления ООН МСЭ продвигает сотрудничество в космической сфере с Управлением ООН по вопросам космического пространства (УВКП ООН) и Комитетом Организации Объединенных Наций по использованию космического пространства в мирных целях (КОПУОС ООН), в том числе посредством деятельности по наращиванию потенциала в области космического права.</w:t>
      </w:r>
    </w:p>
    <w:p w14:paraId="67F499DB" w14:textId="77777777" w:rsidR="00D82062" w:rsidRPr="00945782" w:rsidRDefault="00D82062" w:rsidP="00C97F0D">
      <w:pPr>
        <w:pStyle w:val="Headingb"/>
        <w:rPr>
          <w:lang w:val="ru-RU"/>
        </w:rPr>
      </w:pPr>
      <w:r w:rsidRPr="00945782">
        <w:rPr>
          <w:lang w:val="ru-RU"/>
        </w:rPr>
        <w:t>Цифровое сотрудничество в масштабах системы ООН</w:t>
      </w:r>
    </w:p>
    <w:p w14:paraId="2DBF55FA" w14:textId="77777777" w:rsidR="00D82062" w:rsidRPr="00945782" w:rsidRDefault="00D82062" w:rsidP="00C97F0D">
      <w:pPr>
        <w:rPr>
          <w:lang w:val="ru-RU"/>
        </w:rPr>
      </w:pPr>
      <w:r w:rsidRPr="00945782">
        <w:rPr>
          <w:lang w:val="ru-RU"/>
        </w:rPr>
        <w:t>МСЭ сохраняет активное присутствие в системе ООН, содействуя согласованности цифровой стратегии и ее реализации. В рамках Координационного совета руководителей системы ООН и его Комитетов высокого уровня по программам (КВУП) и управлению (КВУУ), а также Группы ООН по устойчивому развитию МСЭ играет ведущую роль в продвижении универсальной возможности установления соединений и определения направлений цифровой трансформации, включая развитие искусственного интеллекта.</w:t>
      </w:r>
    </w:p>
    <w:p w14:paraId="2052357C" w14:textId="77777777" w:rsidR="00D82062" w:rsidRPr="00945782" w:rsidRDefault="00D82062" w:rsidP="00C97F0D">
      <w:pPr>
        <w:rPr>
          <w:lang w:val="ru-RU"/>
        </w:rPr>
      </w:pPr>
      <w:r w:rsidRPr="00945782">
        <w:rPr>
          <w:lang w:val="ru-RU"/>
        </w:rPr>
        <w:t xml:space="preserve">Благодаря активному взаимодействию с Государствами-Членами и другими заинтересованными сторонами на крупнейших конференциях и форумах ООН МСЭ целенаправленно отстаивает исключительную важность цифровых технологий для устойчивого развития. К таким платформам, в частности, относятся: ЭКОСОС и его функциональные комиссии − например, Комиссия социального развития (CSocD) и Комиссия по положению женщин (КПЖ), Многосторонний форум по науке, технологиям и инновациям (Форум STI), Политический форум высокого уровня (ПФВУ), сессии Генеральной Ассамблеи ООН (включая Digital@UNGA), а также другие конференции ООН, такие как конференции Сторон (КС) и конференции по малым островным развивающимся государствам (СИДС), наименее развитым странам (НРС) и странам, не имеющим выхода к морю (ЛЛДС), в Нью-Йорке и за его пределами. Так, на второй Всемирной встрече на высшем уровне в интересах социального развития (WSSD2), состоявшейся в Дохе в ноябре 2025 года, МСЭ внес вклад в </w:t>
      </w:r>
      <w:hyperlink r:id="rId582" w:history="1">
        <w:r w:rsidRPr="00945782">
          <w:rPr>
            <w:rStyle w:val="Hyperlink"/>
            <w:i/>
            <w:iCs/>
            <w:lang w:val="ru-RU"/>
          </w:rPr>
          <w:t>Дохинскую политическую декларацию</w:t>
        </w:r>
      </w:hyperlink>
      <w:r w:rsidRPr="00945782">
        <w:rPr>
          <w:lang w:val="ru-RU"/>
        </w:rPr>
        <w:t xml:space="preserve"> (A/RES/80/5), подчеркнув значение цифровых инструментов и ИИ для искоренения бедности, обеспечения достойной работы, социальной защиты и равноправного доступа.</w:t>
      </w:r>
    </w:p>
    <w:p w14:paraId="0CDA8B79" w14:textId="77777777" w:rsidR="00D82062" w:rsidRPr="00945782" w:rsidRDefault="00D82062" w:rsidP="00C97F0D">
      <w:pPr>
        <w:rPr>
          <w:lang w:val="ru-RU"/>
        </w:rPr>
      </w:pPr>
      <w:r w:rsidRPr="00945782">
        <w:rPr>
          <w:lang w:val="ru-RU"/>
        </w:rPr>
        <w:t>По результатам обследования ООН 2022 года в системе ООН было выявлено более 500 цифровых инициатив, и их число, вероятно, продолжает расти, поскольку цифровая тематика все чаще становится предметом рассмотрения на основных конференциях, в отчетах, резолюциях и итоговых документах. МСЭ сотрудничает с другими учреждениями системы ООН и партнерами по вопросам цифровых экосистем, данных, ИИ и инфраструктуры общего пользования, одновременно укрепляя устойчивость системы через партнерства в области стандартизации с МЭК и ИСО и координацию с учреждениями ООН в области гражданской авиации и морского транспорта (ИКАО и ИМО). МСЭ также поддерживает цифровые инициативы Совместного фонда ЦУР, выступает в качестве ведущего учреждения для Центра информационных ресурсов ООН по ИИ, Межучрежденческой рабочей группы по ИИ, ГИО ООН и обзора ВВУИО+20, а также ведет просветительско-пропагандистскую деятельность посредством Международного дня "Девушки в ИКТ", Международного дня женщин и девушек в науке и Международного дня образования, а также других многосторонних диалогов и региональных брифингов.</w:t>
      </w:r>
    </w:p>
    <w:p w14:paraId="372567FD" w14:textId="77777777" w:rsidR="00D82062" w:rsidRPr="00945782" w:rsidRDefault="00D82062" w:rsidP="00C97F0D">
      <w:pPr>
        <w:pStyle w:val="Headingb"/>
        <w:rPr>
          <w:lang w:val="ru-RU"/>
        </w:rPr>
      </w:pPr>
      <w:r w:rsidRPr="00945782">
        <w:rPr>
          <w:lang w:val="ru-RU"/>
        </w:rPr>
        <w:lastRenderedPageBreak/>
        <w:t xml:space="preserve">Руководящая роль МСЭ в рамках инициатив </w:t>
      </w:r>
      <w:r w:rsidRPr="00945782">
        <w:rPr>
          <w:b w:val="0"/>
          <w:bCs/>
          <w:lang w:val="ru-RU"/>
        </w:rPr>
        <w:t>"</w:t>
      </w:r>
      <w:r w:rsidRPr="00945782">
        <w:rPr>
          <w:lang w:val="ru-RU"/>
        </w:rPr>
        <w:t>ООН-80</w:t>
      </w:r>
      <w:r w:rsidRPr="00945782">
        <w:rPr>
          <w:b w:val="0"/>
          <w:bCs/>
          <w:lang w:val="ru-RU"/>
        </w:rPr>
        <w:t>"</w:t>
      </w:r>
    </w:p>
    <w:p w14:paraId="3113363E" w14:textId="0525680A" w:rsidR="00D82062" w:rsidRPr="00945782" w:rsidRDefault="00D82062" w:rsidP="00C97F0D">
      <w:pPr>
        <w:rPr>
          <w:lang w:val="ru-RU"/>
        </w:rPr>
      </w:pPr>
      <w:r w:rsidRPr="00945782">
        <w:rPr>
          <w:lang w:val="ru-RU"/>
        </w:rPr>
        <w:t xml:space="preserve">В рамках инициатив "ООН-80" Генеральный секретарь МСЭ совместно с Международной организацией труда (МОТ) возглавляла кластер специализированных учреждений, обеспечивая увязку цифровой трансформации с приоритетами реформы ООН. После публикации в сентябре 2025 года отчета Генерального секретаря ООН </w:t>
      </w:r>
      <w:hyperlink r:id="rId583" w:history="1">
        <w:r w:rsidR="00226578" w:rsidRPr="00945782">
          <w:rPr>
            <w:rStyle w:val="Hyperlink"/>
            <w:lang w:val="ru-RU"/>
          </w:rPr>
          <w:t>"</w:t>
        </w:r>
        <w:r w:rsidR="00226578" w:rsidRPr="00945782">
          <w:rPr>
            <w:rStyle w:val="Hyperlink"/>
            <w:i/>
            <w:iCs/>
            <w:lang w:val="ru-RU"/>
          </w:rPr>
          <w:t>Смена парадигм: объединяясь для достижения результатов</w:t>
        </w:r>
        <w:r w:rsidR="00226578" w:rsidRPr="00945782">
          <w:rPr>
            <w:rStyle w:val="Hyperlink"/>
            <w:lang w:val="ru-RU"/>
          </w:rPr>
          <w:t>"</w:t>
        </w:r>
      </w:hyperlink>
      <w:r w:rsidRPr="00945782">
        <w:rPr>
          <w:lang w:val="ru-RU"/>
        </w:rPr>
        <w:t xml:space="preserve"> и последующего </w:t>
      </w:r>
      <w:hyperlink r:id="rId584" w:history="1">
        <w:r w:rsidRPr="00945782">
          <w:rPr>
            <w:rStyle w:val="Hyperlink"/>
            <w:i/>
            <w:iCs/>
            <w:lang w:val="ru-RU"/>
          </w:rPr>
          <w:t>Плана действий "ООН-80"</w:t>
        </w:r>
      </w:hyperlink>
      <w:r w:rsidRPr="00945782">
        <w:rPr>
          <w:lang w:val="ru-RU"/>
        </w:rPr>
        <w:t xml:space="preserve"> в 2026 году инициатива вошла в фазу полномасштабной реализации. Совместно с ПРООН МСЭ руководит пакетом работ № 8 ("Экспертные знания по запросу"), обеспечивая страновым группам ООН доступ к специализированным экспертным знаниям, и совместно с заместителем Генерального секретаря по вопросам политики и председателем Сети ООН по вопросам цифровизации и технологий руководит пакетом работ № 15 ("Технологии"), который предусматривает консолидацию цифровой инфраструктуры и запуск Платформы ускорения технологий (TAP). МСЭ также участвует в работе по ряду других пакетов работ, включая № 5 ("Реорганизация страновых групп ООН"), № 6 ("Региональная перезагрузка"), № 7 ("Совместные центры знаний"), № 12 ("Региональные интегрированные платформы"), № 14 ("Дорожная карта объединенных услуг"), № 16 ("Данные"), № 17 ("Профессиональная подготовка и исследования"), № 21 ("Общеорганизационное управление результатами) и № 29 ("Реестры мандатов и инструменты").</w:t>
      </w:r>
    </w:p>
    <w:p w14:paraId="4914C07D" w14:textId="77777777" w:rsidR="00D82062" w:rsidRPr="00945782" w:rsidRDefault="00D82062" w:rsidP="00C97F0D">
      <w:pPr>
        <w:rPr>
          <w:lang w:val="ru-RU"/>
        </w:rPr>
      </w:pPr>
      <w:r w:rsidRPr="00945782">
        <w:rPr>
          <w:lang w:val="ru-RU"/>
        </w:rPr>
        <w:t>МСЭ продолжает сотрудничество с системой ООН в целях укрепления сотрудничества в цифровой сфере, выстраивания связей между мерами политики, инвестициями и инновациями, способствуя ускорению глобального прогресса в выполнении Повестки дня на период до 2030 года, а также обеспечению соблюдения прав человека и укреплению доверия к технологическому прогрессу.</w:t>
      </w:r>
    </w:p>
    <w:p w14:paraId="3C295EB1" w14:textId="77777777" w:rsidR="00D82062" w:rsidRPr="00945782" w:rsidRDefault="00D82062" w:rsidP="00D82062">
      <w:pPr>
        <w:pStyle w:val="Heading2"/>
        <w:rPr>
          <w:lang w:val="ru-RU"/>
        </w:rPr>
      </w:pPr>
      <w:bookmarkStart w:id="147" w:name="_Toc227062888"/>
      <w:bookmarkStart w:id="148" w:name="_Toc227850276"/>
      <w:r w:rsidRPr="00945782">
        <w:rPr>
          <w:lang w:val="ru-RU"/>
        </w:rPr>
        <w:t>5.6</w:t>
      </w:r>
      <w:r w:rsidRPr="00945782">
        <w:rPr>
          <w:lang w:val="ru-RU"/>
        </w:rPr>
        <w:tab/>
        <w:t>Мобилизация ресурсов</w:t>
      </w:r>
      <w:bookmarkEnd w:id="147"/>
      <w:bookmarkEnd w:id="148"/>
    </w:p>
    <w:p w14:paraId="1A2279A1" w14:textId="77777777" w:rsidR="00D82062" w:rsidRPr="00945782" w:rsidRDefault="00D82062" w:rsidP="00C97F0D">
      <w:pPr>
        <w:rPr>
          <w:lang w:val="ru-RU"/>
        </w:rPr>
      </w:pPr>
      <w:r w:rsidRPr="00945782">
        <w:rPr>
          <w:lang w:val="ru-RU"/>
        </w:rPr>
        <w:t xml:space="preserve">Совет МСЭ, следуя указаниям Полномочной конференции 2022 года (ПК-22), принял </w:t>
      </w:r>
      <w:hyperlink r:id="rId585" w:history="1">
        <w:r w:rsidRPr="00945782">
          <w:rPr>
            <w:rStyle w:val="Hyperlink"/>
            <w:lang w:val="ru-RU"/>
          </w:rPr>
          <w:t>стратегию мобилизации ресурсов</w:t>
        </w:r>
      </w:hyperlink>
      <w:r w:rsidRPr="00945782">
        <w:rPr>
          <w:lang w:val="ru-RU"/>
        </w:rPr>
        <w:t>, предложенную Генеральным секретарем на сессии Совета 2024 года. Стратегия включает три основных направления, в том числе повышение вовлеченности членов и доходов, эффективное использование мероприятий, продуктов и услуг, а также увеличение объемов добровольных взносов.</w:t>
      </w:r>
    </w:p>
    <w:p w14:paraId="37A0DA59" w14:textId="77777777" w:rsidR="00D82062" w:rsidRPr="00945782" w:rsidRDefault="00D82062" w:rsidP="00C97F0D">
      <w:pPr>
        <w:rPr>
          <w:lang w:val="ru-RU"/>
        </w:rPr>
      </w:pPr>
      <w:r w:rsidRPr="00945782">
        <w:rPr>
          <w:lang w:val="ru-RU"/>
        </w:rPr>
        <w:t>Взносы отдельных Государств-Членов обеспечивают около 70 процентов поступлений в регулярный бюджет. В ходе подготовки стратегии через Рабочую группу Совета по финансовым и людским ресурсам (РГС-ФЛР) делегаты обратились в секретариат МСЭ с просьбой оказать им помощь в составлении перечня аргументов в пользу поддержки МСЭ, которые они могли бы использовать в своих национальных администрациях для обоснования необходимости сохранения или увеличения числа единиц взносов. Секретариат разработал обоснование необходимости инвестирования в МСЭ, а также информационные материалы и обновленные веб-ресурсы по этой теме, которые могут быть использованы делегациями при проведении внутренних консультаций.</w:t>
      </w:r>
    </w:p>
    <w:p w14:paraId="30E55F66" w14:textId="77777777" w:rsidR="00D82062" w:rsidRPr="00945782" w:rsidRDefault="00D82062" w:rsidP="00C97F0D">
      <w:pPr>
        <w:rPr>
          <w:lang w:val="ru-RU"/>
        </w:rPr>
      </w:pPr>
      <w:r w:rsidRPr="00945782">
        <w:rPr>
          <w:lang w:val="ru-RU"/>
        </w:rPr>
        <w:t xml:space="preserve">Секретариат также предпринимает значительные усилия по модернизации своей деятельности с целью повышения ее эффективности и подготовки более подробной и прозрачной отчетности для Государств-Членов. Наконец, под руководством Рабочей группы Совета по разработке Стратегического и Финансового планов (РГС-СФП) в рамках всего МСЭ ведется работа по совершенствованию представления бюджета МСЭ и установлению более четких связей между бюджетом и оперативными и стратегическими планами, а также выявлению пробелов в финансировании. </w:t>
      </w:r>
    </w:p>
    <w:p w14:paraId="6A89A870" w14:textId="77777777" w:rsidR="00D82062" w:rsidRPr="00945782" w:rsidRDefault="00D82062" w:rsidP="00C97F0D">
      <w:pPr>
        <w:rPr>
          <w:lang w:val="ru-RU"/>
        </w:rPr>
      </w:pPr>
      <w:r w:rsidRPr="00945782">
        <w:rPr>
          <w:lang w:val="ru-RU"/>
        </w:rPr>
        <w:t xml:space="preserve">Для повышения вовлеченности членов Секторов и получаемых доходов, которые составляют около 10 процентов от поступлений в регулярный бюджет, стратегия предусматривает необходимость пересмотра членства в Секторах на основе консультаций с консультативными </w:t>
      </w:r>
      <w:r w:rsidRPr="00945782">
        <w:rPr>
          <w:lang w:val="ru-RU"/>
        </w:rPr>
        <w:lastRenderedPageBreak/>
        <w:t>группами Секторов. Речь идет о рассмотрении преимуществ, которые способствовали бы тому, чтобы существующие члены Секторов получали статус членов в нескольких Секторах, а Ассоциированные члены повышали свой статус до полного членства в рамках Секторов. Кроме того, это включает в себя пересмотр и модернизацию ключевых услуг для членов, таких как исследовательские комиссии. Для проведения целевых кампаний по обеспечению максимального разнообразия членского состава МСЭ были выявлены недостаточно представленные части цифровой экосистемы и Государства-Члены, в которых нет Членов Секторов.</w:t>
      </w:r>
    </w:p>
    <w:p w14:paraId="3E0FCF77" w14:textId="77777777" w:rsidR="00D82062" w:rsidRPr="00945782" w:rsidRDefault="00D82062" w:rsidP="00C97F0D">
      <w:pPr>
        <w:rPr>
          <w:lang w:val="ru-RU"/>
        </w:rPr>
      </w:pPr>
      <w:r w:rsidRPr="00945782">
        <w:rPr>
          <w:lang w:val="ru-RU"/>
        </w:rPr>
        <w:t xml:space="preserve">Стратегия мобилизации ресурсов также предусматривает проведение обзоров различных мероприятий, продуктов и услуг. На продукты и услуги приходится около 20 процентов регулярного бюджета за счет возмещения затрат. Около половины этой суммы приходится на заявки на регистрацию спутниковых сетей. Одна из рабочих групп МСЭ-R изучает способы модернизации заявок на регистрацию спутниковых сетей для отражения изменений на рынке. Были осуществлены инвестиции в новые системы в целях модернизации доставки морской продукции, на долю которой приходится вторая половина доходов от возмещения затрат, и планируются дальнейшие инвестиции для поддержки продажи цифровых продуктов и модернизации опыта МСЭ в области проведения мероприятий, что откроет возможности для создания новых источников дохода. </w:t>
      </w:r>
    </w:p>
    <w:p w14:paraId="7F96EEF4" w14:textId="77777777" w:rsidR="00D82062" w:rsidRPr="00945782" w:rsidRDefault="00D82062" w:rsidP="00C97F0D">
      <w:pPr>
        <w:rPr>
          <w:lang w:val="ru-RU"/>
        </w:rPr>
      </w:pPr>
      <w:r w:rsidRPr="00945782">
        <w:rPr>
          <w:lang w:val="ru-RU"/>
        </w:rPr>
        <w:t>Что касается добровольных взносов, которые используются для пополнения регулярного бюджета, Бакинский план действий, принятый Всемирной конференцией по развитию электросвязи в 2025 году, обеспечивает глобальную основу, наряду с набором региональных инициатив, которые направляют усилия секретариата по сбору средств для проектов и инициатив. Помимо этого, такие инициативы, как Giga, подтверждают возможность увеличения финансирования и достижения максимальных результатов за счет партнерства с другими учреждениями системы ООН. Секретариат также работает над совершенствованием основных факторов, способствующих реализации проектов, таких, как оптимизация процессов приема на работу и закупок, новые системы информационных технологий (ИТ) для обеспечения эффективной координации работы с членами и партнерами в рамках всего МСЭ, а также новая стратегия партнерства, направленная на использование партнерских связей для повышения результативности и обеспечения большей прозрачности деятельности при сохранении репутации МСЭ.</w:t>
      </w:r>
    </w:p>
    <w:p w14:paraId="5C5A07F7" w14:textId="3CC3A0DF" w:rsidR="00D82062" w:rsidRPr="00945782" w:rsidRDefault="00D82062" w:rsidP="00D82062">
      <w:pPr>
        <w:pStyle w:val="Heading2"/>
        <w:rPr>
          <w:lang w:val="ru-RU"/>
        </w:rPr>
      </w:pPr>
      <w:bookmarkStart w:id="149" w:name="_Toc227062889"/>
      <w:bookmarkStart w:id="150" w:name="_Toc227850277"/>
      <w:r w:rsidRPr="00945782">
        <w:rPr>
          <w:lang w:val="ru-RU"/>
        </w:rPr>
        <w:t>5.7</w:t>
      </w:r>
      <w:r w:rsidR="00C97F0D" w:rsidRPr="00945782">
        <w:rPr>
          <w:lang w:val="ru-RU"/>
        </w:rPr>
        <w:tab/>
      </w:r>
      <w:r w:rsidRPr="00945782">
        <w:rPr>
          <w:lang w:val="ru-RU"/>
        </w:rPr>
        <w:t>Процесс трансформации: достижение организационной эффективности</w:t>
      </w:r>
      <w:bookmarkEnd w:id="149"/>
      <w:bookmarkEnd w:id="150"/>
    </w:p>
    <w:p w14:paraId="04F07C5B" w14:textId="77777777" w:rsidR="00D82062" w:rsidRPr="00945782" w:rsidRDefault="00D82062" w:rsidP="00C97F0D">
      <w:pPr>
        <w:rPr>
          <w:lang w:val="ru-RU"/>
        </w:rPr>
      </w:pPr>
      <w:r w:rsidRPr="00945782">
        <w:rPr>
          <w:lang w:val="ru-RU"/>
        </w:rPr>
        <w:t>В 2023 году МСЭ начал реализацию инициативы по трансформации, опираясь на результаты всеобъемлющего процесса выработки концепции и программу "агенты изменений" с участием сотрудников всей организации. Это создало основу для преобразований и вовлекло персонал в совместную работу по подготовке МСЭ к будущему. Хотя трансформация осуществляется во всех подразделениях Генерального секретариата и Бюро, основное внимание в рамках инициативы уделяется достижению операционной эффективности в Генеральном секретариате как поставщике услуг для Бюро и членов.</w:t>
      </w:r>
    </w:p>
    <w:p w14:paraId="18DF5892" w14:textId="77777777" w:rsidR="00D82062" w:rsidRPr="00945782" w:rsidRDefault="00D82062" w:rsidP="00C97F0D">
      <w:pPr>
        <w:rPr>
          <w:lang w:val="ru-RU"/>
        </w:rPr>
      </w:pPr>
      <w:r w:rsidRPr="00945782">
        <w:rPr>
          <w:lang w:val="ru-RU"/>
        </w:rPr>
        <w:t xml:space="preserve">По мере развития инициативы по трансформации Секретариат в последнее время осуществляет переход от этапа выработки идей к их реализации. Ответственные за направления деятельности по возможности интегрируют соответствующие рекомендации в свои операционные планы и бюджеты, назначая ключевые инициативы в качестве приоритетных. Происходит внедрение трансформации в стратегическое и финансовое планирование в качестве средства достижения целей в области эффективности нежели в качестве отдельного направления деятельности, в соответствии с утвержденными стратегическими результатами и ключевыми показателями эффективности. Эволюция данного процесса отражалась в регулярной отчетности для Совета, включая Документы </w:t>
      </w:r>
      <w:hyperlink r:id="rId586" w:history="1">
        <w:r w:rsidRPr="00945782">
          <w:rPr>
            <w:rStyle w:val="Hyperlink"/>
            <w:lang w:val="ru-RU"/>
          </w:rPr>
          <w:t>C24/52</w:t>
        </w:r>
      </w:hyperlink>
      <w:r w:rsidRPr="00945782">
        <w:rPr>
          <w:lang w:val="ru-RU"/>
        </w:rPr>
        <w:t xml:space="preserve">, </w:t>
      </w:r>
      <w:hyperlink r:id="rId587" w:history="1">
        <w:r w:rsidRPr="00945782">
          <w:rPr>
            <w:rStyle w:val="Hyperlink"/>
            <w:lang w:val="ru-RU"/>
          </w:rPr>
          <w:t>C25/55</w:t>
        </w:r>
      </w:hyperlink>
      <w:r w:rsidRPr="00945782">
        <w:rPr>
          <w:lang w:val="ru-RU"/>
        </w:rPr>
        <w:t xml:space="preserve">, а также в отчетах для РГС-ФЛР, последним из которых является </w:t>
      </w:r>
      <w:hyperlink r:id="rId588" w:history="1">
        <w:r w:rsidRPr="00945782">
          <w:rPr>
            <w:rStyle w:val="Hyperlink"/>
            <w:lang w:val="ru-RU"/>
          </w:rPr>
          <w:t>CWG-FHR-22/15</w:t>
        </w:r>
      </w:hyperlink>
      <w:r w:rsidRPr="00945782">
        <w:rPr>
          <w:lang w:val="ru-RU"/>
        </w:rPr>
        <w:t>.</w:t>
      </w:r>
    </w:p>
    <w:p w14:paraId="4B55A4A4" w14:textId="77777777" w:rsidR="00D82062" w:rsidRPr="00945782" w:rsidRDefault="00D82062" w:rsidP="00C97F0D">
      <w:pPr>
        <w:pStyle w:val="Headingb"/>
        <w:rPr>
          <w:lang w:val="ru-RU"/>
        </w:rPr>
      </w:pPr>
      <w:r w:rsidRPr="00945782">
        <w:rPr>
          <w:lang w:val="ru-RU"/>
        </w:rPr>
        <w:lastRenderedPageBreak/>
        <w:t>Основные достижения</w:t>
      </w:r>
    </w:p>
    <w:p w14:paraId="2F9A0BFC" w14:textId="77777777" w:rsidR="00D82062" w:rsidRPr="00945782" w:rsidRDefault="00D82062" w:rsidP="00C97F0D">
      <w:pPr>
        <w:rPr>
          <w:lang w:val="ru-RU"/>
        </w:rPr>
      </w:pPr>
      <w:r w:rsidRPr="00945782">
        <w:rPr>
          <w:lang w:val="ru-RU"/>
        </w:rPr>
        <w:t>К 2025 году МСЭ достиг ряда основополагающих трансформационных результатов, которые способствовали укреплению системы управления, подотчетности и операционной эффективности.</w:t>
      </w:r>
    </w:p>
    <w:p w14:paraId="43CA854F" w14:textId="77777777" w:rsidR="00D82062" w:rsidRPr="00945782" w:rsidRDefault="00D82062" w:rsidP="00C97F0D">
      <w:pPr>
        <w:rPr>
          <w:lang w:val="ru-RU"/>
        </w:rPr>
      </w:pPr>
      <w:r w:rsidRPr="00945782">
        <w:rPr>
          <w:lang w:val="ru-RU"/>
        </w:rPr>
        <w:t>К ключевым достижениям относятся создание Подразделения по надзору, включающего функцию оценки и подготовки сотрудников по вопросам оценки, а также официальное учреждение должности омбудсмена. Процесс операционного планирования был изменен таким образом, чтобы обеспечить бóльшую согласованность между стратегическими приоритетами с одной стороны и операционными планами и финансовыми рамками с другой стороны, что повысило согласованность и исполнительную дисциплину в масштабах всей организации.</w:t>
      </w:r>
    </w:p>
    <w:p w14:paraId="4B68FB78" w14:textId="77777777" w:rsidR="00D82062" w:rsidRPr="00945782" w:rsidRDefault="00D82062" w:rsidP="00C97F0D">
      <w:pPr>
        <w:rPr>
          <w:lang w:val="ru-RU"/>
        </w:rPr>
      </w:pPr>
      <w:r w:rsidRPr="00945782">
        <w:rPr>
          <w:lang w:val="ru-RU"/>
        </w:rPr>
        <w:t>Значительный прогресс был достигнут в области финансового управления и контроля, включая преобразование бюджетного дефицита в устойчивые профициты, восстановление надлежащего хода внешнего аудита и обеспечение соблюдения Международных стандартов учета в государственном секторе (IPSAS) в полной мере, а также совершенствование казначейских операций, управления внебюджетными средствами и управления должностями. Кроме того, был переработан проект нового здания штаб-квартиры с тем, чтобы он соответствовал бюджету и одновременно учитывал будущие потребности. Реформы в области людских ресурсов продвинулись благодаря внедрению упрощенного инструмента ePMDS (электронной системы управления показателями деятельности и профессионального развития), проведению целевого обучения, укреплению подходов к решению проблемы недостаточной эффективности и разработке новых мер политики, направленных на упрощение процедур найма. В поддержку развития организационной культуры и лидерства для сотрудников и руководства была реализована комплексная программа лидерства. В ответ на результаты обследования вовлеченности персонала Генеральный секретарь объявила о введении системы поощрения и признания, а также о выделении специального времени для обучения и деятельности, связанной с инновациями. Параллельно МСЭ разработал первые общеорганизационные руководящие принципы по ответственному использованию генеративного ИИ, что стало важным шагом на пути к структурированному внедрению новых технологий.</w:t>
      </w:r>
    </w:p>
    <w:p w14:paraId="15840748" w14:textId="77777777" w:rsidR="00D82062" w:rsidRPr="00945782" w:rsidRDefault="00D82062" w:rsidP="00C97F0D">
      <w:pPr>
        <w:rPr>
          <w:lang w:val="ru-RU"/>
        </w:rPr>
      </w:pPr>
      <w:r w:rsidRPr="00945782">
        <w:rPr>
          <w:lang w:val="ru-RU"/>
        </w:rPr>
        <w:t>Помимо этого, в 2025 году в свою должность вступил директор по информационным технологиям (CIO), который взял на себя ведущую роль в обеспечении и ускорении процессов трансформации. CIO возглавляет внутреннюю цифровую трансформацию и модернизацию МСЭ, уделяя особое внимание обновлению систем, инструментов и процессов, а также формированию прочной институциональной основы для данных и ИИ как ключевых факторов операционной эффективности, инноваций и воздействия.</w:t>
      </w:r>
    </w:p>
    <w:p w14:paraId="05182316" w14:textId="5E13CB31" w:rsidR="00D82062" w:rsidRPr="00945782" w:rsidRDefault="00D82062" w:rsidP="00D82062">
      <w:pPr>
        <w:pStyle w:val="Heading2"/>
        <w:rPr>
          <w:lang w:val="ru-RU"/>
        </w:rPr>
      </w:pPr>
      <w:bookmarkStart w:id="151" w:name="_Toc227062890"/>
      <w:bookmarkStart w:id="152" w:name="_Toc227850278"/>
      <w:r w:rsidRPr="00945782">
        <w:rPr>
          <w:lang w:val="ru-RU"/>
        </w:rPr>
        <w:t>5.8</w:t>
      </w:r>
      <w:r w:rsidR="00C97F0D" w:rsidRPr="00945782">
        <w:rPr>
          <w:lang w:val="ru-RU"/>
        </w:rPr>
        <w:tab/>
      </w:r>
      <w:r w:rsidRPr="00945782">
        <w:rPr>
          <w:lang w:val="ru-RU"/>
        </w:rPr>
        <w:t>Людские ресурсы</w:t>
      </w:r>
      <w:bookmarkEnd w:id="151"/>
      <w:bookmarkEnd w:id="152"/>
    </w:p>
    <w:p w14:paraId="0A06B2E0" w14:textId="77777777" w:rsidR="00D82062" w:rsidRPr="00945782" w:rsidRDefault="00D82062" w:rsidP="00C97F0D">
      <w:pPr>
        <w:rPr>
          <w:lang w:val="ru-RU"/>
        </w:rPr>
      </w:pPr>
      <w:r w:rsidRPr="00945782">
        <w:rPr>
          <w:lang w:val="ru-RU"/>
        </w:rPr>
        <w:t>Центральным элементом институциональной трансформации МСЭ в более широком плане стало развитие его людских ресурсов. Этот процесс ускорился в 2024–2025 годах и направлен на формирование гибкого и способного кадрового состава, ориентированного на потребности людей, способного реагировать на меняющиеся приоритеты и обеспечивать выполнение мандата МСЭ.</w:t>
      </w:r>
    </w:p>
    <w:p w14:paraId="3E08F179" w14:textId="4E37BAAD" w:rsidR="00D82062" w:rsidRPr="00945782" w:rsidRDefault="00D82062" w:rsidP="00C97F0D">
      <w:pPr>
        <w:pStyle w:val="Headingb"/>
        <w:rPr>
          <w:lang w:val="ru-RU"/>
        </w:rPr>
      </w:pPr>
      <w:r w:rsidRPr="00945782">
        <w:rPr>
          <w:lang w:val="ru-RU"/>
        </w:rPr>
        <w:t>a</w:t>
      </w:r>
      <w:r w:rsidR="00C97F0D" w:rsidRPr="00945782">
        <w:rPr>
          <w:lang w:val="ru-RU"/>
        </w:rPr>
        <w:t>)</w:t>
      </w:r>
      <w:r w:rsidR="00C97F0D" w:rsidRPr="00945782">
        <w:rPr>
          <w:lang w:val="ru-RU"/>
        </w:rPr>
        <w:tab/>
      </w:r>
      <w:r w:rsidRPr="00945782">
        <w:rPr>
          <w:lang w:val="ru-RU"/>
        </w:rPr>
        <w:t>Персонал</w:t>
      </w:r>
    </w:p>
    <w:p w14:paraId="78248E56" w14:textId="28ED1C36"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Деятельность в области обучения и развития была усилена благодаря комплексному и экономически эффективному Плану обучения; его видимость была повышена посредством информационного бюллетеня "Давайте научимся" и централизованного сайта SharePoint, при этом план регулярно отслеживается и обновляется с учетом возникающих потребностей.</w:t>
      </w:r>
    </w:p>
    <w:p w14:paraId="2D758236" w14:textId="7F167F94" w:rsidR="00D82062" w:rsidRPr="00945782" w:rsidRDefault="00C97F0D" w:rsidP="00C97F0D">
      <w:pPr>
        <w:pStyle w:val="enumlev1"/>
        <w:rPr>
          <w:lang w:val="ru-RU"/>
        </w:rPr>
      </w:pPr>
      <w:r w:rsidRPr="00945782">
        <w:rPr>
          <w:lang w:val="ru-RU"/>
        </w:rPr>
        <w:lastRenderedPageBreak/>
        <w:t>•</w:t>
      </w:r>
      <w:r w:rsidRPr="00945782">
        <w:rPr>
          <w:lang w:val="ru-RU"/>
        </w:rPr>
        <w:tab/>
      </w:r>
      <w:r w:rsidR="00D82062" w:rsidRPr="00945782">
        <w:rPr>
          <w:lang w:val="ru-RU"/>
        </w:rPr>
        <w:t>В августе 2024 года была введена новая политика обязательного обучения в целях укрепления организационной культуры МСЭ и формирования общего понимания ожидаемых стандартов поведения. Соблюдение требований было усилено благодаря более тесному взаимодействию с координаторами по вопросам людских ресурсов; уровень прохождения обучения вырос с 5% до 45,7% по состоянию на январь 2026</w:t>
      </w:r>
      <w:r w:rsidR="00A45E95" w:rsidRPr="00945782">
        <w:rPr>
          <w:lang w:val="ru-RU"/>
        </w:rPr>
        <w:t> </w:t>
      </w:r>
      <w:r w:rsidR="00D82062" w:rsidRPr="00945782">
        <w:rPr>
          <w:lang w:val="ru-RU"/>
        </w:rPr>
        <w:t>года, а Департамент управления людскими ресурсами (HRMD) разработал механизм систематического мониторинга для поддержки руководителей в повышении показателей прохождения обучения.</w:t>
      </w:r>
    </w:p>
    <w:p w14:paraId="10112CF5" w14:textId="75E18E54"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Управление эффективностью было усовершенствовано путем оптимизации процессов и внедрения упрощенного инструмента ePMDS, что позволило повысить эффективность обсуждений и обратной связи по результатам работы, одновременно сократив по меньшей мере вдвое время, затрачиваемое руководителями на оценку эффективности; эти меры были дополнены целевыми учебными мероприятиями для сотрудников и руководителей.</w:t>
      </w:r>
    </w:p>
    <w:p w14:paraId="7DF67696" w14:textId="691E2C6B"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В начале 2025 года в целях обеспечения эффективного, справедливого и прозрачного процесса отбора был начат всесторонний пересмотр процедур найма, охватывающий разработку мер политики, оценку процессов, ключевые показатели эффективности и механизмы подотчетности с опорой на сопоставительный анализ практики организаций системы ООН.</w:t>
      </w:r>
    </w:p>
    <w:p w14:paraId="7330528C" w14:textId="459AE11C"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 xml:space="preserve">Развитие и гибкость кадров были дополнительно усилены благодаря </w:t>
      </w:r>
      <w:hyperlink r:id="rId589" w:history="1">
        <w:r w:rsidR="00D82062" w:rsidRPr="00945782">
          <w:rPr>
            <w:rStyle w:val="Hyperlink"/>
            <w:szCs w:val="22"/>
            <w:lang w:val="ru-RU"/>
          </w:rPr>
          <w:t>программе молодых специалистов</w:t>
        </w:r>
      </w:hyperlink>
      <w:r w:rsidR="00D82062" w:rsidRPr="00945782">
        <w:rPr>
          <w:lang w:val="ru-RU"/>
        </w:rPr>
        <w:t>, расширению программы для младших сотрудников категории специалистов и соглашению с Добровольцами Организации Объединенных Наций (ДООН). Были привлечены молодые специалисты из наименее развитых стран (НРС), что способствовало обеспечению географического разнообразия МСЭ, и в 2025 году на работу были приняты шесть молодых специалистов.</w:t>
      </w:r>
    </w:p>
    <w:p w14:paraId="1FDBC105" w14:textId="61BAB9A6"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МСЭ продолжил свою деятельность по обеспечению гендерного паритета и географического разнообразия среди персонала; соответствующие показатели отслеживаются на протяжении всего процесса найма. В поддержку целей ООН в области гендерного паритета был разработан План обеспечения гендерного паритета, в котором определены эффективные меры по содействию достижению равенства.</w:t>
      </w:r>
    </w:p>
    <w:p w14:paraId="4C888F8B" w14:textId="53710446"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В марте 2023 года был дан старт Программе добровольного прекращения службы (ДПС), второй этап которой начался в ноябре 2024 года; программа обеспечила гибкость для содействия структурной перестройке, оснащения МСЭ дополнительными навыками и компетенциями и оптимизации распределения ресурсов.</w:t>
      </w:r>
    </w:p>
    <w:p w14:paraId="2DF7A036" w14:textId="31BDCBA5"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 xml:space="preserve">Прозрачность и принятие решений на основе данных были усилены путем использования аналитики в области людских ресурсов, включая </w:t>
      </w:r>
      <w:hyperlink r:id="rId590" w:history="1">
        <w:r w:rsidR="00D82062" w:rsidRPr="00945782">
          <w:rPr>
            <w:rStyle w:val="Hyperlink"/>
            <w:szCs w:val="22"/>
            <w:lang w:val="ru-RU"/>
          </w:rPr>
          <w:t>Информационную панель для анализа кадровых ресурсов</w:t>
        </w:r>
      </w:hyperlink>
      <w:r w:rsidR="00D82062" w:rsidRPr="00945782">
        <w:rPr>
          <w:lang w:val="ru-RU"/>
        </w:rPr>
        <w:t>, доступную Государствам-Членам через портал Совета и постоянно совершенствуемую на основе обратной связи.</w:t>
      </w:r>
    </w:p>
    <w:p w14:paraId="0FCA13DB" w14:textId="3FC534EA" w:rsidR="00D82062" w:rsidRPr="00945782" w:rsidRDefault="00C97F0D" w:rsidP="00C97F0D">
      <w:pPr>
        <w:pStyle w:val="Figure"/>
        <w:spacing w:before="120" w:after="0"/>
        <w:rPr>
          <w:lang w:val="ru-RU"/>
        </w:rPr>
      </w:pPr>
      <w:r w:rsidRPr="00945782">
        <w:rPr>
          <w:rFonts w:eastAsia="SimSun" w:cs="Arial"/>
          <w:noProof/>
          <w:kern w:val="3"/>
          <w:szCs w:val="22"/>
          <w:lang w:val="ru-RU" w:eastAsia="zh-CN"/>
        </w:rPr>
        <w:drawing>
          <wp:inline distT="0" distB="0" distL="0" distR="0" wp14:anchorId="0B8BDA64" wp14:editId="4B9341B0">
            <wp:extent cx="3812400" cy="1947600"/>
            <wp:effectExtent l="0" t="0" r="0" b="0"/>
            <wp:docPr id="438162130" name="Picture 2"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a:srcRect/>
                    <a:stretch>
                      <a:fillRect/>
                    </a:stretch>
                  </pic:blipFill>
                  <pic:spPr>
                    <a:xfrm>
                      <a:off x="0" y="0"/>
                      <a:ext cx="3812400" cy="1947600"/>
                    </a:xfrm>
                    <a:prstGeom prst="rect">
                      <a:avLst/>
                    </a:prstGeom>
                    <a:noFill/>
                    <a:ln>
                      <a:noFill/>
                      <a:prstDash/>
                    </a:ln>
                  </pic:spPr>
                </pic:pic>
              </a:graphicData>
            </a:graphic>
          </wp:inline>
        </w:drawing>
      </w:r>
    </w:p>
    <w:p w14:paraId="56688309" w14:textId="6C7424DE" w:rsidR="00D82062" w:rsidRPr="00945782" w:rsidRDefault="00D82062" w:rsidP="00C97F0D">
      <w:pPr>
        <w:pStyle w:val="Headingb"/>
        <w:rPr>
          <w:lang w:val="ru-RU"/>
        </w:rPr>
      </w:pPr>
      <w:r w:rsidRPr="00945782">
        <w:rPr>
          <w:lang w:val="ru-RU"/>
        </w:rPr>
        <w:lastRenderedPageBreak/>
        <w:t>b</w:t>
      </w:r>
      <w:r w:rsidR="00C97F0D" w:rsidRPr="00945782">
        <w:rPr>
          <w:lang w:val="ru-RU"/>
        </w:rPr>
        <w:t>)</w:t>
      </w:r>
      <w:r w:rsidR="00C97F0D" w:rsidRPr="00945782">
        <w:rPr>
          <w:lang w:val="ru-RU"/>
        </w:rPr>
        <w:tab/>
      </w:r>
      <w:r w:rsidRPr="00945782">
        <w:rPr>
          <w:lang w:val="ru-RU"/>
        </w:rPr>
        <w:t>Организационная культура</w:t>
      </w:r>
    </w:p>
    <w:p w14:paraId="0277DF3E" w14:textId="66B42B76"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В ноябре 2024 года началась реализация комплексной программы развития лидерских качеств. Она была сосредоточена на инклюзивном руководстве (для уровней P5 и выше) с отдельным модулем, посвященным гендерным вопросам, а также на подготовке старшего руководства. Развитие лидерских компетенций было дополнительно усилено посредством командных семинаров-практикумов по адаптивному руководству для уровней P4 и выше, а также программы "Будущие руководители МСЭ" для участников программы "Проводники перемен", которая способствовала укреплению лидерства в условиях изменений и повышению эффективности командной работы.</w:t>
      </w:r>
    </w:p>
    <w:p w14:paraId="4BBC0160" w14:textId="00237650"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В ответ на результаты Общесистемного санитарно-медицинского обзора ООН 2023</w:t>
      </w:r>
      <w:r w:rsidRPr="00945782">
        <w:rPr>
          <w:lang w:val="ru-RU"/>
        </w:rPr>
        <w:t> </w:t>
      </w:r>
      <w:r w:rsidR="00D82062" w:rsidRPr="00945782">
        <w:rPr>
          <w:lang w:val="ru-RU"/>
        </w:rPr>
        <w:t>года был разработан первый План действий по охране психического здоровья и обеспечению благополучия, являющийся ключевым элементом программы "Люди и культура". План основан на комплексном подходе к благополучию, охватывающем физические, психологические и социальные аспекты, и предусматривает особое внимание к профилактике, раннему вмешательству и устойчивой поддержке.</w:t>
      </w:r>
    </w:p>
    <w:p w14:paraId="068D8E08" w14:textId="3BF161EA"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В январе 2025 года МСЭ провел первое обследование вовлеченности персонала, уровень участия в котором достиг 72%. Были организованы общее собрание сотрудников и стратегическая сессия для обсуждения результатов и совместной выработки решений по выявленным проблемам. Принятый впоследствии план действий включает как общеорганизационные инициативы (сессии "открытых дверей" с выборными должностными лицами, Дни инноваций, серию неофициальных встреч в обеденный перерыв и общеорганизационную программу наставничества), так и меры на уровне подразделений и бюро, разработанные с участием сотрудников.</w:t>
      </w:r>
    </w:p>
    <w:p w14:paraId="7F8E7E54" w14:textId="2A6F58B2"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Система поощрения и признания усиливается на основании комплексной программы, направленной на признание заслуг и результатов работы. В ходе церемонии чествования сотрудников с длительным стажем, состоявшейся 8 декабря 2025 года, был отмечен вклад 210 сотрудников, проработавших в МСЭ более 20 лет. В</w:t>
      </w:r>
      <w:r w:rsidRPr="00945782">
        <w:rPr>
          <w:lang w:val="ru-RU"/>
        </w:rPr>
        <w:t> </w:t>
      </w:r>
      <w:r w:rsidR="00D82062" w:rsidRPr="00945782">
        <w:rPr>
          <w:lang w:val="ru-RU"/>
        </w:rPr>
        <w:t>продолжение этих усилий в 2026 году продолжится реализация программы, а именно ее второго компонента – наград для команд, направленных на признание коллективных достижений и укрепление вовлеченности, сотрудничества и чувства принадлежности к организации; кроме того, будут внедрены неформальные формы признания и поощрения со стороны руководителей.</w:t>
      </w:r>
    </w:p>
    <w:p w14:paraId="189149EA" w14:textId="3C42A3B4"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В рамках меморандумов о взаимопонимании, подписанных МСЭ в партнерстве со Всемирной организацией интеллектуальной собственности (ВОИС) и Канцелярией омбудсмена и посредников Организации Объединенных Наций (ЮНОМС), 5 января 2026 года к исполнению своих обязанностей в МСЭ приступила новая омбудсмен.</w:t>
      </w:r>
    </w:p>
    <w:p w14:paraId="18CD50FB" w14:textId="7DE527BA" w:rsidR="00D82062" w:rsidRPr="00945782" w:rsidRDefault="00D82062" w:rsidP="00C97F0D">
      <w:pPr>
        <w:pStyle w:val="Headingb"/>
        <w:rPr>
          <w:lang w:val="ru-RU"/>
        </w:rPr>
      </w:pPr>
      <w:r w:rsidRPr="00945782">
        <w:rPr>
          <w:lang w:val="ru-RU"/>
        </w:rPr>
        <w:t>c</w:t>
      </w:r>
      <w:r w:rsidR="00C97F0D" w:rsidRPr="00945782">
        <w:rPr>
          <w:lang w:val="ru-RU"/>
        </w:rPr>
        <w:t>)</w:t>
      </w:r>
      <w:r w:rsidR="00C97F0D" w:rsidRPr="00945782">
        <w:rPr>
          <w:lang w:val="ru-RU"/>
        </w:rPr>
        <w:tab/>
      </w:r>
      <w:r w:rsidRPr="00945782">
        <w:rPr>
          <w:lang w:val="ru-RU"/>
        </w:rPr>
        <w:t>Услуги</w:t>
      </w:r>
    </w:p>
    <w:p w14:paraId="17A85ECA" w14:textId="01949467"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HRMD продолжил модернизацию нормативной базы МСЭ путем обновления и внедрения мер политики, направленных на более эффективную поддержку развивающегося кадрового состава. Проводимый пересмотр уже охватил ключевые области, к которым относятся наем на срочные должности, контракты консультантов, наем персонала по краткосрочным контрактам, а также льготы и выплаты, такие как субсидия на аренду жилья, пособие на образование и выплаты на иждивенцев.</w:t>
      </w:r>
    </w:p>
    <w:p w14:paraId="3149284D" w14:textId="3C0DEE3D"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Был реализован первый этап системы делегирования полномочий (DoA) в области людских ресурсов в целях упрощения процедур утверждения, призванного способствовать более оперативному принятию решений по ключевым кадровым вопросам. Кроме того, HRMD в настоящее время возглавляет общеорганизационную инициативу по разработке комплексной системы делегирования полномочий в МСЭ.</w:t>
      </w:r>
    </w:p>
    <w:p w14:paraId="5E9BDF4C" w14:textId="7D796430" w:rsidR="00D82062" w:rsidRPr="00945782" w:rsidRDefault="00C97F0D" w:rsidP="00C97F0D">
      <w:pPr>
        <w:pStyle w:val="enumlev1"/>
        <w:rPr>
          <w:lang w:val="ru-RU"/>
        </w:rPr>
      </w:pPr>
      <w:r w:rsidRPr="00945782">
        <w:rPr>
          <w:lang w:val="ru-RU"/>
        </w:rPr>
        <w:lastRenderedPageBreak/>
        <w:t>•</w:t>
      </w:r>
      <w:r w:rsidRPr="00945782">
        <w:rPr>
          <w:lang w:val="ru-RU"/>
        </w:rPr>
        <w:tab/>
      </w:r>
      <w:r w:rsidR="00D82062" w:rsidRPr="00945782">
        <w:rPr>
          <w:lang w:val="ru-RU"/>
        </w:rPr>
        <w:t>Была разработана стандартная операционная процедура (SOP) по выплатам по соглашениям о специальных услугах (SSA) для обеспечения своевременного закрытия контрактов; она предусматривает получение от руководителей подтверждения достижения запланированных результатов. Кроме того, были приняты руководящие указания по конфликту интересов в рамках SSA для содействия декларированию и мониторингу фактических или потенциальных конфликтов и обеспечения соблюдения этических норм.</w:t>
      </w:r>
    </w:p>
    <w:p w14:paraId="1CD251D6" w14:textId="35057C6D"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HRMD подтвердил свою приверженность принципам подотчетности посредством систематического мониторинга и устранения невыполненных рекомендаций, полученных по итогам аудита, с использованием структурированного подхода, согласующегося с приоритетами МСЭ в области управления рисками.</w:t>
      </w:r>
    </w:p>
    <w:p w14:paraId="4B9A2F72" w14:textId="2E832629"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Продолжается работа над политикой в отношении дистанционной работы и гибкого графика работы. Соответствующий служебный приказ подготовлен, при этом для обеспечения плавного перехода предусмотрены меры по информированию и обучению.</w:t>
      </w:r>
    </w:p>
    <w:p w14:paraId="751B04CC" w14:textId="785BAE16"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В тесном сотрудничестве с Советом персонала были разработаны стандартные операционные процедуры на случай чрезвычайных ситуаций для сотрудников в региональных представительствах и командировках в целях повышения готовности МСЭ к чрезвычайным ситуациям и укрепления протоколов безопасности персонала.</w:t>
      </w:r>
    </w:p>
    <w:p w14:paraId="289404E4" w14:textId="470EE500" w:rsidR="00D82062" w:rsidRPr="00945782" w:rsidRDefault="00C97F0D" w:rsidP="00C97F0D">
      <w:pPr>
        <w:pStyle w:val="enumlev1"/>
        <w:rPr>
          <w:lang w:val="ru-RU"/>
        </w:rPr>
      </w:pPr>
      <w:r w:rsidRPr="00945782">
        <w:rPr>
          <w:lang w:val="ru-RU"/>
        </w:rPr>
        <w:t>•</w:t>
      </w:r>
      <w:r w:rsidRPr="00945782">
        <w:rPr>
          <w:lang w:val="ru-RU"/>
        </w:rPr>
        <w:tab/>
      </w:r>
      <w:r w:rsidR="00D82062" w:rsidRPr="00945782">
        <w:rPr>
          <w:lang w:val="ru-RU"/>
        </w:rPr>
        <w:t>МСЭ активно участвовал в первом межучрежденческом проекте системы ООН по генеративному ИИ, возглавив разработку чат-бота на основе ИИ для анализа кадровых мер политики и обработки запросов сотрудников. В настоящее время проект масштабируется на весь персонал МСЭ; его оценка будет проводиться в течение 2026</w:t>
      </w:r>
      <w:r w:rsidRPr="00945782">
        <w:rPr>
          <w:lang w:val="ru-RU"/>
        </w:rPr>
        <w:t> </w:t>
      </w:r>
      <w:r w:rsidR="00D82062" w:rsidRPr="00945782">
        <w:rPr>
          <w:lang w:val="ru-RU"/>
        </w:rPr>
        <w:t>года.</w:t>
      </w:r>
    </w:p>
    <w:p w14:paraId="518C5F31" w14:textId="4D003B2D" w:rsidR="00D82062" w:rsidRPr="00945782" w:rsidRDefault="00D82062" w:rsidP="00D82062">
      <w:pPr>
        <w:pStyle w:val="Heading2"/>
        <w:rPr>
          <w:lang w:val="ru-RU"/>
        </w:rPr>
      </w:pPr>
      <w:bookmarkStart w:id="153" w:name="_Toc227062891"/>
      <w:bookmarkStart w:id="154" w:name="_Toc227850279"/>
      <w:r w:rsidRPr="00945782">
        <w:rPr>
          <w:lang w:val="ru-RU"/>
        </w:rPr>
        <w:t>5.9</w:t>
      </w:r>
      <w:r w:rsidR="00C97F0D" w:rsidRPr="00945782">
        <w:rPr>
          <w:lang w:val="ru-RU"/>
        </w:rPr>
        <w:tab/>
      </w:r>
      <w:r w:rsidRPr="00945782">
        <w:rPr>
          <w:lang w:val="ru-RU"/>
        </w:rPr>
        <w:t xml:space="preserve">Статус выполнения </w:t>
      </w:r>
      <w:r w:rsidR="00226578" w:rsidRPr="00945782">
        <w:rPr>
          <w:lang w:val="ru-RU"/>
        </w:rPr>
        <w:t xml:space="preserve">Резолюций </w:t>
      </w:r>
      <w:r w:rsidRPr="00945782">
        <w:rPr>
          <w:lang w:val="ru-RU"/>
        </w:rPr>
        <w:t>ПК</w:t>
      </w:r>
      <w:bookmarkEnd w:id="153"/>
      <w:bookmarkEnd w:id="154"/>
    </w:p>
    <w:p w14:paraId="112CB5C4" w14:textId="01655842" w:rsidR="00D82062" w:rsidRPr="00945782" w:rsidRDefault="00D82062" w:rsidP="00C97F0D">
      <w:pPr>
        <w:rPr>
          <w:lang w:val="ru-RU"/>
        </w:rPr>
      </w:pPr>
      <w:r w:rsidRPr="00945782">
        <w:rPr>
          <w:lang w:val="ru-RU"/>
        </w:rPr>
        <w:t xml:space="preserve">Статус выполнения </w:t>
      </w:r>
      <w:r w:rsidR="00226578" w:rsidRPr="00945782">
        <w:rPr>
          <w:lang w:val="ru-RU"/>
        </w:rPr>
        <w:t xml:space="preserve">Резолюций </w:t>
      </w:r>
      <w:r w:rsidRPr="00945782">
        <w:rPr>
          <w:lang w:val="ru-RU"/>
        </w:rPr>
        <w:t xml:space="preserve">ПК доступен на специальной веб-платформе по </w:t>
      </w:r>
      <w:hyperlink r:id="rId592" w:history="1">
        <w:r w:rsidRPr="00945782">
          <w:rPr>
            <w:rStyle w:val="Hyperlink"/>
            <w:lang w:val="ru-RU"/>
          </w:rPr>
          <w:t>ссылке</w:t>
        </w:r>
      </w:hyperlink>
      <w:r w:rsidRPr="00945782">
        <w:rPr>
          <w:lang w:val="ru-RU"/>
        </w:rPr>
        <w:t>.</w:t>
      </w:r>
    </w:p>
    <w:p w14:paraId="14A14EC5" w14:textId="42681361" w:rsidR="00796BD3" w:rsidRPr="00945782" w:rsidRDefault="00C462C5" w:rsidP="00945782">
      <w:pPr>
        <w:spacing w:before="480"/>
        <w:jc w:val="center"/>
        <w:rPr>
          <w:lang w:val="ru-RU"/>
        </w:rPr>
      </w:pPr>
      <w:r w:rsidRPr="00945782">
        <w:rPr>
          <w:lang w:val="ru-RU"/>
        </w:rPr>
        <w:t>______________</w:t>
      </w:r>
    </w:p>
    <w:sectPr w:rsidR="00796BD3" w:rsidRPr="00945782" w:rsidSect="00796BD3">
      <w:footerReference w:type="default" r:id="rId593"/>
      <w:headerReference w:type="first" r:id="rId594"/>
      <w:footerReference w:type="first" r:id="rId595"/>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C0F7A" w14:textId="77777777" w:rsidR="00D82062" w:rsidRDefault="00D82062">
      <w:r>
        <w:separator/>
      </w:r>
    </w:p>
  </w:endnote>
  <w:endnote w:type="continuationSeparator" w:id="0">
    <w:p w14:paraId="7B854B3D" w14:textId="77777777" w:rsidR="00D82062" w:rsidRDefault="00D8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5002EFF" w:usb1="C200ACF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672F8A" w:rsidRPr="00784011" w14:paraId="7D424B46" w14:textId="77777777" w:rsidTr="00E31DCE">
      <w:trPr>
        <w:jc w:val="center"/>
      </w:trPr>
      <w:tc>
        <w:tcPr>
          <w:tcW w:w="1803" w:type="dxa"/>
          <w:vAlign w:val="center"/>
        </w:tcPr>
        <w:p w14:paraId="73BF272E" w14:textId="21DFC96A" w:rsidR="00672F8A" w:rsidRDefault="00672F8A" w:rsidP="00672F8A">
          <w:pPr>
            <w:pStyle w:val="Header"/>
            <w:jc w:val="left"/>
            <w:rPr>
              <w:noProof/>
            </w:rPr>
          </w:pPr>
        </w:p>
      </w:tc>
      <w:tc>
        <w:tcPr>
          <w:tcW w:w="8261" w:type="dxa"/>
        </w:tcPr>
        <w:p w14:paraId="074F0367" w14:textId="6B9FD8E1" w:rsidR="00672F8A" w:rsidRPr="00E06FD5" w:rsidRDefault="00672F8A" w:rsidP="00D82062">
          <w:pPr>
            <w:pStyle w:val="Header"/>
            <w:tabs>
              <w:tab w:val="left" w:pos="6742"/>
              <w:tab w:val="right" w:pos="8505"/>
              <w:tab w:val="right" w:pos="9639"/>
            </w:tabs>
            <w:jc w:val="left"/>
            <w:rPr>
              <w:rFonts w:ascii="Arial" w:hAnsi="Arial" w:cs="Arial"/>
              <w:b/>
              <w:bCs/>
              <w:szCs w:val="18"/>
            </w:rPr>
          </w:pPr>
          <w:r>
            <w:rPr>
              <w:bCs/>
            </w:rPr>
            <w:tab/>
          </w:r>
          <w:proofErr w:type="spellStart"/>
          <w:r w:rsidRPr="00623AE3">
            <w:rPr>
              <w:bCs/>
            </w:rPr>
            <w:t>C</w:t>
          </w:r>
          <w:r>
            <w:rPr>
              <w:bCs/>
            </w:rPr>
            <w:t>2</w:t>
          </w:r>
          <w:r w:rsidR="00BE00DD">
            <w:rPr>
              <w:bCs/>
            </w:rPr>
            <w:t>6</w:t>
          </w:r>
          <w:proofErr w:type="spellEnd"/>
          <w:r w:rsidRPr="00623AE3">
            <w:rPr>
              <w:bCs/>
            </w:rPr>
            <w:t>/</w:t>
          </w:r>
          <w:r w:rsidR="00D82062">
            <w:rPr>
              <w:bCs/>
            </w:rPr>
            <w:t>35</w:t>
          </w:r>
          <w:r w:rsidRPr="00623AE3">
            <w:rPr>
              <w:bCs/>
            </w:rPr>
            <w:t>-</w:t>
          </w:r>
          <w:r w:rsidR="00165D06">
            <w:rPr>
              <w:bCs/>
            </w:rPr>
            <w:t>R</w:t>
          </w:r>
          <w:r>
            <w:rPr>
              <w:bCs/>
            </w:rPr>
            <w:tab/>
          </w:r>
          <w:r>
            <w:fldChar w:fldCharType="begin"/>
          </w:r>
          <w:r>
            <w:instrText>PAGE</w:instrText>
          </w:r>
          <w:r>
            <w:fldChar w:fldCharType="separate"/>
          </w:r>
          <w:r>
            <w:t>1</w:t>
          </w:r>
          <w:r>
            <w:rPr>
              <w:noProof/>
            </w:rPr>
            <w:fldChar w:fldCharType="end"/>
          </w:r>
        </w:p>
      </w:tc>
    </w:tr>
  </w:tbl>
  <w:p w14:paraId="734EB9DB" w14:textId="77777777" w:rsidR="000E568E" w:rsidRPr="00672F8A" w:rsidRDefault="000E568E" w:rsidP="00672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672F8A" w:rsidRPr="00784011" w14:paraId="29EB7F51" w14:textId="77777777" w:rsidTr="00E31DCE">
      <w:trPr>
        <w:jc w:val="center"/>
      </w:trPr>
      <w:tc>
        <w:tcPr>
          <w:tcW w:w="1803" w:type="dxa"/>
          <w:vAlign w:val="center"/>
        </w:tcPr>
        <w:p w14:paraId="066166C1" w14:textId="77777777" w:rsidR="00672F8A" w:rsidRDefault="00D631AA" w:rsidP="00672F8A">
          <w:pPr>
            <w:pStyle w:val="Header"/>
            <w:jc w:val="left"/>
            <w:rPr>
              <w:noProof/>
            </w:rPr>
          </w:pPr>
          <w:hyperlink r:id="rId1" w:anchor="/ru" w:history="1">
            <w:proofErr w:type="spellStart"/>
            <w:r w:rsidRPr="00BE00DD">
              <w:rPr>
                <w:rStyle w:val="Hyperlink"/>
                <w:szCs w:val="14"/>
              </w:rPr>
              <w:t>council.itu.int</w:t>
            </w:r>
            <w:proofErr w:type="spellEnd"/>
            <w:r w:rsidRPr="00BE00DD">
              <w:rPr>
                <w:rStyle w:val="Hyperlink"/>
                <w:szCs w:val="14"/>
              </w:rPr>
              <w:t>/202</w:t>
            </w:r>
            <w:r w:rsidR="00BE00DD" w:rsidRPr="00BE00DD">
              <w:rPr>
                <w:rStyle w:val="Hyperlink"/>
                <w:szCs w:val="14"/>
              </w:rPr>
              <w:t>6</w:t>
            </w:r>
          </w:hyperlink>
          <w:r w:rsidR="00BE00DD">
            <w:rPr>
              <w:color w:val="0563C1"/>
              <w:szCs w:val="14"/>
            </w:rPr>
            <w:t xml:space="preserve"> </w:t>
          </w:r>
        </w:p>
      </w:tc>
      <w:tc>
        <w:tcPr>
          <w:tcW w:w="8261" w:type="dxa"/>
        </w:tcPr>
        <w:p w14:paraId="61AFA220" w14:textId="41E01998" w:rsidR="00672F8A" w:rsidRPr="00E06FD5" w:rsidRDefault="00672F8A" w:rsidP="00D82062">
          <w:pPr>
            <w:pStyle w:val="Header"/>
            <w:tabs>
              <w:tab w:val="left" w:pos="6742"/>
              <w:tab w:val="right" w:pos="8505"/>
              <w:tab w:val="right" w:pos="9639"/>
            </w:tabs>
            <w:jc w:val="left"/>
            <w:rPr>
              <w:rFonts w:ascii="Arial" w:hAnsi="Arial" w:cs="Arial"/>
              <w:b/>
              <w:bCs/>
              <w:szCs w:val="18"/>
            </w:rPr>
          </w:pPr>
          <w:r>
            <w:rPr>
              <w:bCs/>
            </w:rPr>
            <w:tab/>
          </w:r>
          <w:proofErr w:type="spellStart"/>
          <w:r w:rsidRPr="00623AE3">
            <w:rPr>
              <w:bCs/>
            </w:rPr>
            <w:t>C</w:t>
          </w:r>
          <w:r>
            <w:rPr>
              <w:bCs/>
            </w:rPr>
            <w:t>2</w:t>
          </w:r>
          <w:r w:rsidR="00BE00DD">
            <w:rPr>
              <w:bCs/>
            </w:rPr>
            <w:t>6</w:t>
          </w:r>
          <w:proofErr w:type="spellEnd"/>
          <w:r w:rsidRPr="00623AE3">
            <w:rPr>
              <w:bCs/>
            </w:rPr>
            <w:t>/</w:t>
          </w:r>
          <w:r w:rsidR="00D82062">
            <w:rPr>
              <w:bCs/>
            </w:rPr>
            <w:t>35</w:t>
          </w:r>
          <w:r w:rsidRPr="00623AE3">
            <w:rPr>
              <w:bCs/>
            </w:rPr>
            <w:t>-</w:t>
          </w:r>
          <w:r>
            <w:rPr>
              <w:bCs/>
            </w:rPr>
            <w:t>R</w:t>
          </w:r>
          <w:r>
            <w:rPr>
              <w:bCs/>
            </w:rPr>
            <w:tab/>
          </w:r>
          <w:r>
            <w:fldChar w:fldCharType="begin"/>
          </w:r>
          <w:r>
            <w:instrText>PAGE</w:instrText>
          </w:r>
          <w:r>
            <w:fldChar w:fldCharType="separate"/>
          </w:r>
          <w:r>
            <w:t>1</w:t>
          </w:r>
          <w:r>
            <w:rPr>
              <w:noProof/>
            </w:rPr>
            <w:fldChar w:fldCharType="end"/>
          </w:r>
        </w:p>
      </w:tc>
    </w:tr>
  </w:tbl>
  <w:p w14:paraId="4A800A29" w14:textId="77777777" w:rsidR="000E568E" w:rsidRPr="00672F8A" w:rsidRDefault="000E568E" w:rsidP="00672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5DED4" w14:textId="77777777" w:rsidR="00D82062" w:rsidRDefault="00D82062">
      <w:r>
        <w:t>____________________</w:t>
      </w:r>
    </w:p>
  </w:footnote>
  <w:footnote w:type="continuationSeparator" w:id="0">
    <w:p w14:paraId="3EC2D38E" w14:textId="77777777" w:rsidR="00D82062" w:rsidRDefault="00D82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B3EE" w14:textId="77777777" w:rsidR="0014229E" w:rsidRPr="007E5FC4" w:rsidRDefault="00244C39" w:rsidP="00A74304">
    <w:pPr>
      <w:pStyle w:val="Header"/>
      <w:spacing w:before="60"/>
      <w:ind w:left="113"/>
      <w:jc w:val="left"/>
    </w:pPr>
    <w:r>
      <w:rPr>
        <w:noProof/>
      </w:rPr>
      <w:drawing>
        <wp:inline distT="0" distB="0" distL="0" distR="0" wp14:anchorId="733FC1F1" wp14:editId="3404D13B">
          <wp:extent cx="3992140" cy="720000"/>
          <wp:effectExtent l="0" t="0" r="0" b="0"/>
          <wp:docPr id="50127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72706" name="Picture 501272706"/>
                  <pic:cNvPicPr/>
                </pic:nvPicPr>
                <pic:blipFill>
                  <a:blip r:embed="rId1">
                    <a:extLst>
                      <a:ext uri="{28A0092B-C50C-407E-A947-70E740481C1C}">
                        <a14:useLocalDpi xmlns:a14="http://schemas.microsoft.com/office/drawing/2010/main" val="0"/>
                      </a:ext>
                    </a:extLst>
                  </a:blip>
                  <a:stretch>
                    <a:fillRect/>
                  </a:stretch>
                </pic:blipFill>
                <pic:spPr>
                  <a:xfrm>
                    <a:off x="0" y="0"/>
                    <a:ext cx="399214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52D37"/>
    <w:multiLevelType w:val="hybridMultilevel"/>
    <w:tmpl w:val="8AAC5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F3C2E"/>
    <w:multiLevelType w:val="hybridMultilevel"/>
    <w:tmpl w:val="042E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7382D"/>
    <w:multiLevelType w:val="hybridMultilevel"/>
    <w:tmpl w:val="AF6A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731DC7"/>
    <w:multiLevelType w:val="hybridMultilevel"/>
    <w:tmpl w:val="4B02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01DEF"/>
    <w:multiLevelType w:val="hybridMultilevel"/>
    <w:tmpl w:val="570E2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CE024B"/>
    <w:multiLevelType w:val="hybridMultilevel"/>
    <w:tmpl w:val="6C3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231262"/>
    <w:multiLevelType w:val="hybridMultilevel"/>
    <w:tmpl w:val="EF5C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0A19C5"/>
    <w:multiLevelType w:val="hybridMultilevel"/>
    <w:tmpl w:val="88E8B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4693786">
    <w:abstractNumId w:val="0"/>
  </w:num>
  <w:num w:numId="2" w16cid:durableId="16585264">
    <w:abstractNumId w:val="8"/>
  </w:num>
  <w:num w:numId="3" w16cid:durableId="50351276">
    <w:abstractNumId w:val="5"/>
  </w:num>
  <w:num w:numId="4" w16cid:durableId="354697888">
    <w:abstractNumId w:val="4"/>
  </w:num>
  <w:num w:numId="5" w16cid:durableId="1203514538">
    <w:abstractNumId w:val="6"/>
  </w:num>
  <w:num w:numId="6" w16cid:durableId="1300921585">
    <w:abstractNumId w:val="2"/>
  </w:num>
  <w:num w:numId="7" w16cid:durableId="651256844">
    <w:abstractNumId w:val="7"/>
  </w:num>
  <w:num w:numId="8" w16cid:durableId="594942394">
    <w:abstractNumId w:val="3"/>
  </w:num>
  <w:num w:numId="9" w16cid:durableId="2091655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062"/>
    <w:rsid w:val="00005BE0"/>
    <w:rsid w:val="0000794E"/>
    <w:rsid w:val="0002183E"/>
    <w:rsid w:val="00037912"/>
    <w:rsid w:val="00041D40"/>
    <w:rsid w:val="000569B4"/>
    <w:rsid w:val="0006007D"/>
    <w:rsid w:val="00080E82"/>
    <w:rsid w:val="000934DD"/>
    <w:rsid w:val="000A10CA"/>
    <w:rsid w:val="000B2DE7"/>
    <w:rsid w:val="000B4E93"/>
    <w:rsid w:val="000B5DF9"/>
    <w:rsid w:val="000C3312"/>
    <w:rsid w:val="000C581C"/>
    <w:rsid w:val="000E568E"/>
    <w:rsid w:val="00122EA1"/>
    <w:rsid w:val="0014229E"/>
    <w:rsid w:val="0014734F"/>
    <w:rsid w:val="00156890"/>
    <w:rsid w:val="0015710D"/>
    <w:rsid w:val="00163A32"/>
    <w:rsid w:val="00165D06"/>
    <w:rsid w:val="00192B41"/>
    <w:rsid w:val="001A0787"/>
    <w:rsid w:val="001B7B09"/>
    <w:rsid w:val="001E6719"/>
    <w:rsid w:val="001E7F50"/>
    <w:rsid w:val="00225368"/>
    <w:rsid w:val="00226578"/>
    <w:rsid w:val="00227FF0"/>
    <w:rsid w:val="00244C39"/>
    <w:rsid w:val="00246C8E"/>
    <w:rsid w:val="00276F05"/>
    <w:rsid w:val="00277DEA"/>
    <w:rsid w:val="00291EB6"/>
    <w:rsid w:val="002C3F32"/>
    <w:rsid w:val="002D2F57"/>
    <w:rsid w:val="002D48C5"/>
    <w:rsid w:val="002E4222"/>
    <w:rsid w:val="002F6E1F"/>
    <w:rsid w:val="00310902"/>
    <w:rsid w:val="0033025A"/>
    <w:rsid w:val="00345D2A"/>
    <w:rsid w:val="00381936"/>
    <w:rsid w:val="003935CB"/>
    <w:rsid w:val="003A4367"/>
    <w:rsid w:val="003E3CE6"/>
    <w:rsid w:val="003F099E"/>
    <w:rsid w:val="003F235E"/>
    <w:rsid w:val="00401FD7"/>
    <w:rsid w:val="004023E0"/>
    <w:rsid w:val="00403DD8"/>
    <w:rsid w:val="004070A0"/>
    <w:rsid w:val="00425CA7"/>
    <w:rsid w:val="00437339"/>
    <w:rsid w:val="00442515"/>
    <w:rsid w:val="0045686C"/>
    <w:rsid w:val="00465C35"/>
    <w:rsid w:val="004918C4"/>
    <w:rsid w:val="00497703"/>
    <w:rsid w:val="004A0374"/>
    <w:rsid w:val="004A45B5"/>
    <w:rsid w:val="004C4C94"/>
    <w:rsid w:val="004D0129"/>
    <w:rsid w:val="00515795"/>
    <w:rsid w:val="005A64D5"/>
    <w:rsid w:val="005B3DEC"/>
    <w:rsid w:val="005C681C"/>
    <w:rsid w:val="005D1DAD"/>
    <w:rsid w:val="00601994"/>
    <w:rsid w:val="00611DDE"/>
    <w:rsid w:val="006231B6"/>
    <w:rsid w:val="00660449"/>
    <w:rsid w:val="00672F8A"/>
    <w:rsid w:val="00681819"/>
    <w:rsid w:val="00686065"/>
    <w:rsid w:val="006A3A5E"/>
    <w:rsid w:val="006E2D42"/>
    <w:rsid w:val="00703676"/>
    <w:rsid w:val="00707304"/>
    <w:rsid w:val="007205F7"/>
    <w:rsid w:val="00732269"/>
    <w:rsid w:val="0074532C"/>
    <w:rsid w:val="00762555"/>
    <w:rsid w:val="0077110E"/>
    <w:rsid w:val="007743AB"/>
    <w:rsid w:val="00784980"/>
    <w:rsid w:val="007858FE"/>
    <w:rsid w:val="00785ABD"/>
    <w:rsid w:val="00796BD3"/>
    <w:rsid w:val="007A2DD4"/>
    <w:rsid w:val="007C0267"/>
    <w:rsid w:val="007D38B5"/>
    <w:rsid w:val="007E5FC4"/>
    <w:rsid w:val="007E7EA0"/>
    <w:rsid w:val="00800909"/>
    <w:rsid w:val="00807255"/>
    <w:rsid w:val="0081023E"/>
    <w:rsid w:val="008173AA"/>
    <w:rsid w:val="00830456"/>
    <w:rsid w:val="00831734"/>
    <w:rsid w:val="0083394A"/>
    <w:rsid w:val="00840A14"/>
    <w:rsid w:val="0084546D"/>
    <w:rsid w:val="008536AE"/>
    <w:rsid w:val="008B0EBF"/>
    <w:rsid w:val="008B62B4"/>
    <w:rsid w:val="008D2D7B"/>
    <w:rsid w:val="008E0737"/>
    <w:rsid w:val="008F7958"/>
    <w:rsid w:val="008F7C2C"/>
    <w:rsid w:val="00905EAE"/>
    <w:rsid w:val="00940E96"/>
    <w:rsid w:val="00945782"/>
    <w:rsid w:val="00950A82"/>
    <w:rsid w:val="00972F50"/>
    <w:rsid w:val="009A76A8"/>
    <w:rsid w:val="009B0BAE"/>
    <w:rsid w:val="009C1C89"/>
    <w:rsid w:val="009F3448"/>
    <w:rsid w:val="00A01CF9"/>
    <w:rsid w:val="00A01F4F"/>
    <w:rsid w:val="00A109AF"/>
    <w:rsid w:val="00A20B63"/>
    <w:rsid w:val="00A26298"/>
    <w:rsid w:val="00A3481C"/>
    <w:rsid w:val="00A405F9"/>
    <w:rsid w:val="00A447C2"/>
    <w:rsid w:val="00A45E95"/>
    <w:rsid w:val="00A71773"/>
    <w:rsid w:val="00A74304"/>
    <w:rsid w:val="00AA08B8"/>
    <w:rsid w:val="00AE168E"/>
    <w:rsid w:val="00AE2C85"/>
    <w:rsid w:val="00B0107F"/>
    <w:rsid w:val="00B12A37"/>
    <w:rsid w:val="00B37B6D"/>
    <w:rsid w:val="00B41837"/>
    <w:rsid w:val="00B63EF2"/>
    <w:rsid w:val="00B9276B"/>
    <w:rsid w:val="00BA7D89"/>
    <w:rsid w:val="00BC0D39"/>
    <w:rsid w:val="00BC7BC0"/>
    <w:rsid w:val="00BD163B"/>
    <w:rsid w:val="00BD461E"/>
    <w:rsid w:val="00BD57B7"/>
    <w:rsid w:val="00BE00DD"/>
    <w:rsid w:val="00BE63E2"/>
    <w:rsid w:val="00BF71B8"/>
    <w:rsid w:val="00C23153"/>
    <w:rsid w:val="00C36E6A"/>
    <w:rsid w:val="00C462C5"/>
    <w:rsid w:val="00C60105"/>
    <w:rsid w:val="00C7285D"/>
    <w:rsid w:val="00C96096"/>
    <w:rsid w:val="00C97F0D"/>
    <w:rsid w:val="00CC07F7"/>
    <w:rsid w:val="00CD2009"/>
    <w:rsid w:val="00CF629C"/>
    <w:rsid w:val="00D17718"/>
    <w:rsid w:val="00D47A84"/>
    <w:rsid w:val="00D631AA"/>
    <w:rsid w:val="00D82062"/>
    <w:rsid w:val="00D92EEA"/>
    <w:rsid w:val="00DA5D4E"/>
    <w:rsid w:val="00DA770A"/>
    <w:rsid w:val="00DD01BA"/>
    <w:rsid w:val="00DE4E61"/>
    <w:rsid w:val="00DE7861"/>
    <w:rsid w:val="00E05752"/>
    <w:rsid w:val="00E176BA"/>
    <w:rsid w:val="00E423EC"/>
    <w:rsid w:val="00E464F9"/>
    <w:rsid w:val="00E55121"/>
    <w:rsid w:val="00E954BB"/>
    <w:rsid w:val="00E96316"/>
    <w:rsid w:val="00EB4FCB"/>
    <w:rsid w:val="00EC15A2"/>
    <w:rsid w:val="00EC6BC5"/>
    <w:rsid w:val="00EE5B07"/>
    <w:rsid w:val="00EF2576"/>
    <w:rsid w:val="00F132BF"/>
    <w:rsid w:val="00F348D0"/>
    <w:rsid w:val="00F35898"/>
    <w:rsid w:val="00F5225B"/>
    <w:rsid w:val="00FD3047"/>
    <w:rsid w:val="00FE5701"/>
    <w:rsid w:val="00FF6D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11D45C"/>
  <w15:docId w15:val="{0F7AF0E1-5168-476D-B9D1-AF5FCD69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2062"/>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2"/>
      <w:lang w:val="en-GB" w:eastAsia="en-US"/>
    </w:rPr>
  </w:style>
  <w:style w:type="paragraph" w:styleId="Heading1">
    <w:name w:val="heading 1"/>
    <w:basedOn w:val="Normal"/>
    <w:next w:val="Normal"/>
    <w:link w:val="Heading1Char"/>
    <w:qFormat/>
    <w:rsid w:val="00611DDE"/>
    <w:pPr>
      <w:keepNext/>
      <w:keepLines/>
      <w:spacing w:before="360"/>
      <w:ind w:left="794" w:hanging="794"/>
      <w:outlineLvl w:val="0"/>
    </w:pPr>
    <w:rPr>
      <w:b/>
      <w:sz w:val="26"/>
    </w:rPr>
  </w:style>
  <w:style w:type="paragraph" w:styleId="Heading2">
    <w:name w:val="heading 2"/>
    <w:basedOn w:val="Heading1"/>
    <w:next w:val="Normal"/>
    <w:link w:val="Heading2Char"/>
    <w:uiPriority w:val="9"/>
    <w:qFormat/>
    <w:rsid w:val="00611DDE"/>
    <w:pPr>
      <w:spacing w:before="240"/>
      <w:outlineLvl w:val="1"/>
    </w:pPr>
    <w:rPr>
      <w:sz w:val="22"/>
    </w:rPr>
  </w:style>
  <w:style w:type="paragraph" w:styleId="Heading3">
    <w:name w:val="heading 3"/>
    <w:basedOn w:val="Heading1"/>
    <w:next w:val="Normal"/>
    <w:link w:val="Heading3Char"/>
    <w:uiPriority w:val="9"/>
    <w:qFormat/>
    <w:rsid w:val="00762555"/>
    <w:pPr>
      <w:spacing w:before="200"/>
      <w:ind w:left="0" w:firstLine="0"/>
      <w:outlineLvl w:val="2"/>
    </w:pPr>
    <w:rPr>
      <w:rFonts w:asciiTheme="minorHAnsi" w:hAnsiTheme="minorHAnsi"/>
      <w:sz w:val="22"/>
    </w:rPr>
  </w:style>
  <w:style w:type="paragraph" w:styleId="Heading4">
    <w:name w:val="heading 4"/>
    <w:basedOn w:val="Heading3"/>
    <w:next w:val="Normal"/>
    <w:link w:val="Heading4Char"/>
    <w:uiPriority w:val="9"/>
    <w:qFormat/>
    <w:rsid w:val="00227FF0"/>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227FF0"/>
    <w:pPr>
      <w:outlineLvl w:val="4"/>
    </w:pPr>
  </w:style>
  <w:style w:type="paragraph" w:styleId="Heading6">
    <w:name w:val="heading 6"/>
    <w:basedOn w:val="Heading4"/>
    <w:next w:val="Normal"/>
    <w:link w:val="Heading6Char"/>
    <w:uiPriority w:val="9"/>
    <w:qFormat/>
    <w:rsid w:val="00227FF0"/>
    <w:pPr>
      <w:outlineLvl w:val="5"/>
    </w:pPr>
  </w:style>
  <w:style w:type="paragraph" w:styleId="Heading7">
    <w:name w:val="heading 7"/>
    <w:basedOn w:val="Heading6"/>
    <w:next w:val="Normal"/>
    <w:link w:val="Heading7Char"/>
    <w:uiPriority w:val="9"/>
    <w:qFormat/>
    <w:rsid w:val="00227FF0"/>
    <w:pPr>
      <w:outlineLvl w:val="6"/>
    </w:pPr>
  </w:style>
  <w:style w:type="paragraph" w:styleId="Heading8">
    <w:name w:val="heading 8"/>
    <w:basedOn w:val="Heading6"/>
    <w:next w:val="Normal"/>
    <w:link w:val="Heading8Char"/>
    <w:uiPriority w:val="9"/>
    <w:qFormat/>
    <w:rsid w:val="00227FF0"/>
    <w:pPr>
      <w:outlineLvl w:val="7"/>
    </w:pPr>
  </w:style>
  <w:style w:type="paragraph" w:styleId="Heading9">
    <w:name w:val="heading 9"/>
    <w:basedOn w:val="Heading6"/>
    <w:next w:val="Normal"/>
    <w:link w:val="Heading9Char"/>
    <w:uiPriority w:val="9"/>
    <w:qFormat/>
    <w:rsid w:val="00227FF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7"/>
    <w:next w:val="Normal"/>
    <w:rsid w:val="00A405F9"/>
  </w:style>
  <w:style w:type="paragraph" w:styleId="TOC4">
    <w:name w:val="toc 4"/>
    <w:basedOn w:val="TOC1"/>
    <w:next w:val="Normal"/>
    <w:rsid w:val="00A405F9"/>
  </w:style>
  <w:style w:type="paragraph" w:styleId="TOC3">
    <w:name w:val="toc 3"/>
    <w:basedOn w:val="TOC1"/>
    <w:next w:val="Normal"/>
    <w:uiPriority w:val="39"/>
    <w:rsid w:val="00A405F9"/>
  </w:style>
  <w:style w:type="paragraph" w:styleId="TOC2">
    <w:name w:val="toc 2"/>
    <w:basedOn w:val="TOC1"/>
    <w:next w:val="Normal"/>
    <w:uiPriority w:val="39"/>
    <w:rsid w:val="00A405F9"/>
    <w:pPr>
      <w:spacing w:before="160"/>
    </w:pPr>
  </w:style>
  <w:style w:type="paragraph" w:styleId="TOC1">
    <w:name w:val="toc 1"/>
    <w:basedOn w:val="Normal"/>
    <w:uiPriority w:val="39"/>
    <w:rsid w:val="00A405F9"/>
    <w:pPr>
      <w:tabs>
        <w:tab w:val="clear" w:pos="794"/>
        <w:tab w:val="clear" w:pos="1191"/>
        <w:tab w:val="clear" w:pos="1588"/>
        <w:tab w:val="clear" w:pos="1985"/>
        <w:tab w:val="left" w:pos="964"/>
        <w:tab w:val="left" w:leader="dot" w:pos="7938"/>
        <w:tab w:val="right" w:pos="9072"/>
      </w:tabs>
      <w:spacing w:before="200"/>
      <w:ind w:left="964" w:hanging="964"/>
    </w:pPr>
    <w:rPr>
      <w:sz w:val="24"/>
      <w:lang w:val="fr-FR"/>
    </w:rPr>
  </w:style>
  <w:style w:type="paragraph" w:styleId="TOC7">
    <w:name w:val="toc 7"/>
    <w:basedOn w:val="TOC6"/>
    <w:next w:val="Normal"/>
    <w:rsid w:val="00A405F9"/>
  </w:style>
  <w:style w:type="paragraph" w:styleId="TOC6">
    <w:name w:val="toc 6"/>
    <w:basedOn w:val="TOC5"/>
    <w:next w:val="Normal"/>
    <w:rsid w:val="00A405F9"/>
  </w:style>
  <w:style w:type="paragraph" w:styleId="TOC5">
    <w:name w:val="toc 5"/>
    <w:basedOn w:val="TOC4"/>
    <w:next w:val="Normal"/>
    <w:rsid w:val="00A405F9"/>
    <w:rPr>
      <w:lang w:val="fr-CH"/>
    </w:rPr>
  </w:style>
  <w:style w:type="paragraph" w:styleId="Index7">
    <w:name w:val="index 7"/>
    <w:basedOn w:val="Normal"/>
    <w:next w:val="Normal"/>
    <w:rsid w:val="00227FF0"/>
    <w:pPr>
      <w:ind w:left="1698"/>
    </w:pPr>
  </w:style>
  <w:style w:type="paragraph" w:styleId="Index6">
    <w:name w:val="index 6"/>
    <w:basedOn w:val="Normal"/>
    <w:next w:val="Normal"/>
    <w:rsid w:val="00227FF0"/>
    <w:pPr>
      <w:ind w:left="1415"/>
    </w:pPr>
  </w:style>
  <w:style w:type="paragraph" w:styleId="Index5">
    <w:name w:val="index 5"/>
    <w:basedOn w:val="Normal"/>
    <w:next w:val="Normal"/>
    <w:rsid w:val="00227FF0"/>
    <w:pPr>
      <w:ind w:left="1132"/>
    </w:pPr>
  </w:style>
  <w:style w:type="paragraph" w:styleId="Index4">
    <w:name w:val="index 4"/>
    <w:basedOn w:val="Normal"/>
    <w:next w:val="Normal"/>
    <w:rsid w:val="00227FF0"/>
    <w:pPr>
      <w:ind w:left="849"/>
    </w:pPr>
  </w:style>
  <w:style w:type="paragraph" w:styleId="Index3">
    <w:name w:val="index 3"/>
    <w:basedOn w:val="Normal"/>
    <w:next w:val="Normal"/>
    <w:rsid w:val="00227FF0"/>
    <w:pPr>
      <w:ind w:left="566"/>
    </w:pPr>
  </w:style>
  <w:style w:type="paragraph" w:styleId="Index2">
    <w:name w:val="index 2"/>
    <w:basedOn w:val="Normal"/>
    <w:next w:val="Normal"/>
    <w:rsid w:val="00227FF0"/>
    <w:pPr>
      <w:ind w:left="283"/>
    </w:pPr>
  </w:style>
  <w:style w:type="paragraph" w:styleId="Index1">
    <w:name w:val="index 1"/>
    <w:basedOn w:val="Normal"/>
    <w:next w:val="Normal"/>
    <w:rsid w:val="00227FF0"/>
  </w:style>
  <w:style w:type="character" w:styleId="LineNumber">
    <w:name w:val="line number"/>
    <w:basedOn w:val="DefaultParagraphFont"/>
    <w:rsid w:val="00227FF0"/>
  </w:style>
  <w:style w:type="paragraph" w:styleId="IndexHeading">
    <w:name w:val="index heading"/>
    <w:basedOn w:val="Normal"/>
    <w:next w:val="Index1"/>
    <w:rsid w:val="00227FF0"/>
  </w:style>
  <w:style w:type="paragraph" w:styleId="Footer">
    <w:name w:val="footer"/>
    <w:basedOn w:val="Normal"/>
    <w:rsid w:val="00227FF0"/>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227FF0"/>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227FF0"/>
    <w:rPr>
      <w:position w:val="6"/>
      <w:sz w:val="16"/>
    </w:rPr>
  </w:style>
  <w:style w:type="paragraph" w:styleId="FootnoteText">
    <w:name w:val="footnote text"/>
    <w:basedOn w:val="Normal"/>
    <w:rsid w:val="0015710D"/>
    <w:pPr>
      <w:keepLines/>
      <w:tabs>
        <w:tab w:val="left" w:pos="255"/>
      </w:tabs>
      <w:spacing w:before="60"/>
      <w:ind w:left="284" w:hanging="284"/>
    </w:pPr>
    <w:rPr>
      <w:sz w:val="20"/>
    </w:rPr>
  </w:style>
  <w:style w:type="paragraph" w:styleId="NormalIndent">
    <w:name w:val="Normal Indent"/>
    <w:basedOn w:val="Normal"/>
    <w:rsid w:val="00227FF0"/>
    <w:pPr>
      <w:ind w:left="794"/>
    </w:pPr>
  </w:style>
  <w:style w:type="paragraph" w:customStyle="1" w:styleId="enumlev1">
    <w:name w:val="enumlev1"/>
    <w:basedOn w:val="Normal"/>
    <w:link w:val="enumlev1Char"/>
    <w:qFormat/>
    <w:rsid w:val="00227FF0"/>
    <w:pPr>
      <w:tabs>
        <w:tab w:val="left" w:pos="2608"/>
        <w:tab w:val="left" w:pos="3345"/>
      </w:tabs>
      <w:spacing w:before="80"/>
      <w:ind w:left="794" w:hanging="794"/>
    </w:pPr>
  </w:style>
  <w:style w:type="paragraph" w:customStyle="1" w:styleId="enumlev2">
    <w:name w:val="enumlev2"/>
    <w:basedOn w:val="enumlev1"/>
    <w:rsid w:val="00227FF0"/>
    <w:pPr>
      <w:ind w:left="1191" w:hanging="397"/>
    </w:pPr>
  </w:style>
  <w:style w:type="paragraph" w:customStyle="1" w:styleId="enumlev3">
    <w:name w:val="enumlev3"/>
    <w:basedOn w:val="enumlev2"/>
    <w:rsid w:val="00227FF0"/>
    <w:pPr>
      <w:ind w:left="1588"/>
    </w:pPr>
  </w:style>
  <w:style w:type="paragraph" w:customStyle="1" w:styleId="Normalaftertitle">
    <w:name w:val="Normal after title"/>
    <w:basedOn w:val="Normal"/>
    <w:next w:val="Normal"/>
    <w:rsid w:val="00227FF0"/>
    <w:pPr>
      <w:spacing w:before="320"/>
    </w:pPr>
  </w:style>
  <w:style w:type="paragraph" w:customStyle="1" w:styleId="Equation">
    <w:name w:val="Equation"/>
    <w:basedOn w:val="Normal"/>
    <w:rsid w:val="00227FF0"/>
    <w:pPr>
      <w:tabs>
        <w:tab w:val="clear" w:pos="1191"/>
        <w:tab w:val="clear" w:pos="1588"/>
        <w:tab w:val="clear" w:pos="1985"/>
        <w:tab w:val="center" w:pos="4820"/>
        <w:tab w:val="right" w:pos="9639"/>
      </w:tabs>
    </w:pPr>
  </w:style>
  <w:style w:type="paragraph" w:customStyle="1" w:styleId="Head">
    <w:name w:val="Head"/>
    <w:basedOn w:val="Normal"/>
    <w:rsid w:val="00227FF0"/>
    <w:pPr>
      <w:tabs>
        <w:tab w:val="left" w:pos="6663"/>
      </w:tabs>
      <w:overflowPunct/>
      <w:autoSpaceDE/>
      <w:autoSpaceDN/>
      <w:adjustRightInd/>
      <w:spacing w:before="0"/>
      <w:textAlignment w:val="auto"/>
    </w:pPr>
  </w:style>
  <w:style w:type="paragraph" w:customStyle="1" w:styleId="toc0">
    <w:name w:val="toc 0"/>
    <w:basedOn w:val="Normal"/>
    <w:next w:val="TOC1"/>
    <w:rsid w:val="00A405F9"/>
    <w:pPr>
      <w:tabs>
        <w:tab w:val="clear" w:pos="794"/>
        <w:tab w:val="clear" w:pos="1191"/>
        <w:tab w:val="clear" w:pos="1588"/>
        <w:tab w:val="clear" w:pos="1985"/>
        <w:tab w:val="right" w:pos="9781"/>
      </w:tabs>
    </w:pPr>
    <w:rPr>
      <w:b/>
      <w:sz w:val="24"/>
      <w:lang w:val="fr-FR"/>
    </w:rPr>
  </w:style>
  <w:style w:type="paragraph" w:styleId="List">
    <w:name w:val="List"/>
    <w:basedOn w:val="Normal"/>
    <w:rsid w:val="00227FF0"/>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227FF0"/>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227FF0"/>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A405F9"/>
    <w:pPr>
      <w:framePr w:hSpace="181" w:wrap="around" w:vAnchor="page" w:hAnchor="page" w:x="1589" w:y="2314"/>
      <w:spacing w:before="480"/>
      <w:suppressOverlap/>
    </w:pPr>
    <w:rPr>
      <w:rFonts w:cstheme="minorHAnsi"/>
      <w:b/>
      <w:sz w:val="32"/>
      <w:szCs w:val="32"/>
      <w:lang w:val="ru-RU"/>
    </w:rPr>
  </w:style>
  <w:style w:type="paragraph" w:customStyle="1" w:styleId="meeting">
    <w:name w:val="meeting"/>
    <w:basedOn w:val="Head"/>
    <w:next w:val="Head"/>
    <w:rsid w:val="00227FF0"/>
    <w:pPr>
      <w:tabs>
        <w:tab w:val="left" w:pos="7371"/>
      </w:tabs>
      <w:spacing w:after="567"/>
    </w:pPr>
  </w:style>
  <w:style w:type="paragraph" w:customStyle="1" w:styleId="Subject">
    <w:name w:val="Subject"/>
    <w:basedOn w:val="Normal"/>
    <w:next w:val="Source"/>
    <w:rsid w:val="00227FF0"/>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227FF0"/>
  </w:style>
  <w:style w:type="paragraph" w:customStyle="1" w:styleId="Data">
    <w:name w:val="Data"/>
    <w:basedOn w:val="Subject"/>
    <w:next w:val="Subject"/>
    <w:rsid w:val="00227FF0"/>
  </w:style>
  <w:style w:type="paragraph" w:customStyle="1" w:styleId="Reasons">
    <w:name w:val="Reasons"/>
    <w:basedOn w:val="Normal"/>
    <w:rsid w:val="00227FF0"/>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basedOn w:val="DefaultParagraphFont"/>
    <w:uiPriority w:val="99"/>
    <w:rsid w:val="00BE00DD"/>
    <w:rPr>
      <w:color w:val="4F81BD" w:themeColor="accent1"/>
      <w:u w:val="single"/>
    </w:rPr>
  </w:style>
  <w:style w:type="paragraph" w:customStyle="1" w:styleId="FirstFooter">
    <w:name w:val="FirstFooter"/>
    <w:basedOn w:val="Footer"/>
    <w:rsid w:val="00227FF0"/>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227FF0"/>
    <w:pPr>
      <w:tabs>
        <w:tab w:val="clear" w:pos="794"/>
        <w:tab w:val="clear" w:pos="1191"/>
        <w:tab w:val="clear" w:pos="1588"/>
        <w:tab w:val="clear" w:pos="1985"/>
      </w:tabs>
      <w:spacing w:before="80"/>
    </w:pPr>
  </w:style>
  <w:style w:type="paragraph" w:styleId="TOC9">
    <w:name w:val="toc 9"/>
    <w:basedOn w:val="Normal"/>
    <w:next w:val="Normal"/>
    <w:rsid w:val="00A405F9"/>
    <w:pPr>
      <w:tabs>
        <w:tab w:val="clear" w:pos="794"/>
        <w:tab w:val="clear" w:pos="1191"/>
        <w:tab w:val="clear" w:pos="1588"/>
        <w:tab w:val="clear" w:pos="1985"/>
        <w:tab w:val="right" w:leader="dot" w:pos="9645"/>
      </w:tabs>
      <w:ind w:left="1920"/>
    </w:pPr>
    <w:rPr>
      <w:sz w:val="24"/>
      <w:lang w:val="fr-FR"/>
    </w:rPr>
  </w:style>
  <w:style w:type="paragraph" w:customStyle="1" w:styleId="Headingb">
    <w:name w:val="Heading_b"/>
    <w:basedOn w:val="Heading3"/>
    <w:next w:val="Normal"/>
    <w:rsid w:val="00762555"/>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rFonts w:ascii="Calibri" w:hAnsi="Calibri"/>
    </w:rPr>
  </w:style>
  <w:style w:type="character" w:styleId="FollowedHyperlink">
    <w:name w:val="FollowedHyperlink"/>
    <w:basedOn w:val="DefaultParagraphFont"/>
    <w:uiPriority w:val="99"/>
    <w:rsid w:val="00227FF0"/>
    <w:rPr>
      <w:color w:val="800080"/>
      <w:u w:val="single"/>
    </w:rPr>
  </w:style>
  <w:style w:type="paragraph" w:customStyle="1" w:styleId="Title1">
    <w:name w:val="Title 1"/>
    <w:basedOn w:val="Source"/>
    <w:next w:val="Title2"/>
    <w:rsid w:val="00227FF0"/>
    <w:pPr>
      <w:framePr w:wrap="around"/>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227FF0"/>
    <w:pPr>
      <w:framePr w:wrap="around"/>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227FF0"/>
    <w:pPr>
      <w:framePr w:wrap="around"/>
      <w:spacing w:before="240"/>
    </w:pPr>
    <w:rPr>
      <w:caps w:val="0"/>
    </w:rPr>
  </w:style>
  <w:style w:type="paragraph" w:customStyle="1" w:styleId="Title4">
    <w:name w:val="Title 4"/>
    <w:basedOn w:val="Title3"/>
    <w:next w:val="Heading1"/>
    <w:rsid w:val="00227FF0"/>
    <w:pPr>
      <w:framePr w:wrap="around"/>
    </w:pPr>
    <w:rPr>
      <w:b/>
    </w:rPr>
  </w:style>
  <w:style w:type="paragraph" w:customStyle="1" w:styleId="dnum">
    <w:name w:val="dnum"/>
    <w:basedOn w:val="Normal"/>
    <w:rsid w:val="00227FF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227FF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227FF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227FF0"/>
    <w:pPr>
      <w:keepNext/>
      <w:keepLines/>
      <w:spacing w:before="480" w:after="80"/>
      <w:jc w:val="center"/>
    </w:pPr>
    <w:rPr>
      <w:caps/>
      <w:sz w:val="26"/>
    </w:rPr>
  </w:style>
  <w:style w:type="paragraph" w:customStyle="1" w:styleId="Annextitle">
    <w:name w:val="Annex_title"/>
    <w:basedOn w:val="Normal"/>
    <w:next w:val="Annexref"/>
    <w:rsid w:val="001E6719"/>
    <w:pPr>
      <w:keepNext/>
      <w:keepLines/>
      <w:spacing w:before="240" w:after="280"/>
      <w:jc w:val="center"/>
    </w:pPr>
    <w:rPr>
      <w:b/>
      <w:sz w:val="26"/>
    </w:rPr>
  </w:style>
  <w:style w:type="paragraph" w:customStyle="1" w:styleId="Annexref">
    <w:name w:val="Annex_ref"/>
    <w:basedOn w:val="Normal"/>
    <w:next w:val="Normalaftertitle"/>
    <w:rsid w:val="00227FF0"/>
    <w:pPr>
      <w:keepNext/>
      <w:keepLines/>
      <w:spacing w:after="280"/>
      <w:jc w:val="center"/>
    </w:pPr>
  </w:style>
  <w:style w:type="paragraph" w:customStyle="1" w:styleId="AppendixNo">
    <w:name w:val="Appendix_No"/>
    <w:basedOn w:val="AnnexNo"/>
    <w:next w:val="Appendixtitle"/>
    <w:rsid w:val="00227FF0"/>
  </w:style>
  <w:style w:type="paragraph" w:customStyle="1" w:styleId="Appendixtitle">
    <w:name w:val="Appendix_title"/>
    <w:basedOn w:val="Annextitle"/>
    <w:next w:val="Appendixref"/>
    <w:rsid w:val="00227FF0"/>
  </w:style>
  <w:style w:type="paragraph" w:customStyle="1" w:styleId="Appendixref">
    <w:name w:val="Appendix_ref"/>
    <w:basedOn w:val="Annexref"/>
    <w:next w:val="Normalaftertitle"/>
    <w:rsid w:val="00227FF0"/>
  </w:style>
  <w:style w:type="paragraph" w:customStyle="1" w:styleId="Call">
    <w:name w:val="Call"/>
    <w:basedOn w:val="Normal"/>
    <w:next w:val="Normal"/>
    <w:rsid w:val="00227FF0"/>
    <w:pPr>
      <w:keepNext/>
      <w:keepLines/>
      <w:spacing w:before="160"/>
      <w:ind w:left="794"/>
    </w:pPr>
    <w:rPr>
      <w:i/>
    </w:rPr>
  </w:style>
  <w:style w:type="character" w:styleId="EndnoteReference">
    <w:name w:val="endnote reference"/>
    <w:basedOn w:val="DefaultParagraphFont"/>
    <w:rsid w:val="00227FF0"/>
    <w:rPr>
      <w:vertAlign w:val="superscript"/>
    </w:rPr>
  </w:style>
  <w:style w:type="paragraph" w:customStyle="1" w:styleId="Equationlegend">
    <w:name w:val="Equation_legend"/>
    <w:basedOn w:val="Normal"/>
    <w:rsid w:val="00227FF0"/>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FF6D7F"/>
    <w:pPr>
      <w:spacing w:before="240" w:after="240"/>
      <w:jc w:val="center"/>
    </w:pPr>
  </w:style>
  <w:style w:type="paragraph" w:customStyle="1" w:styleId="Figuretitle">
    <w:name w:val="Figure_title"/>
    <w:basedOn w:val="Tabletitle"/>
    <w:next w:val="Figure"/>
    <w:rsid w:val="00A405F9"/>
    <w:pPr>
      <w:spacing w:before="120"/>
    </w:pPr>
  </w:style>
  <w:style w:type="paragraph" w:customStyle="1" w:styleId="Tabletitle">
    <w:name w:val="Table_title"/>
    <w:basedOn w:val="TableNo"/>
    <w:next w:val="Tabletext"/>
    <w:rsid w:val="00A405F9"/>
    <w:pPr>
      <w:spacing w:before="0"/>
    </w:pPr>
    <w:rPr>
      <w:b/>
      <w:caps w:val="0"/>
    </w:rPr>
  </w:style>
  <w:style w:type="paragraph" w:customStyle="1" w:styleId="TableNo">
    <w:name w:val="Table_No"/>
    <w:basedOn w:val="Normal"/>
    <w:next w:val="Tabletitle"/>
    <w:rsid w:val="00A405F9"/>
    <w:pPr>
      <w:keepNext/>
      <w:keepLines/>
      <w:spacing w:before="480" w:after="120"/>
      <w:jc w:val="center"/>
    </w:pPr>
    <w:rPr>
      <w:caps/>
    </w:rPr>
  </w:style>
  <w:style w:type="paragraph" w:customStyle="1" w:styleId="Tabletext">
    <w:name w:val="Table_text"/>
    <w:basedOn w:val="Normal"/>
    <w:rsid w:val="005D1D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18"/>
    </w:rPr>
  </w:style>
  <w:style w:type="paragraph" w:customStyle="1" w:styleId="Figurelegend">
    <w:name w:val="Figure_legend"/>
    <w:basedOn w:val="Normal"/>
    <w:next w:val="Normal"/>
    <w:rsid w:val="00A405F9"/>
    <w:pPr>
      <w:tabs>
        <w:tab w:val="clear" w:pos="794"/>
        <w:tab w:val="clear" w:pos="1191"/>
        <w:tab w:val="clear" w:pos="1588"/>
        <w:tab w:val="clear" w:pos="1985"/>
      </w:tabs>
      <w:spacing w:before="20" w:after="240"/>
    </w:pPr>
    <w:rPr>
      <w:sz w:val="18"/>
    </w:rPr>
  </w:style>
  <w:style w:type="paragraph" w:customStyle="1" w:styleId="FigureNo">
    <w:name w:val="Figure_No"/>
    <w:basedOn w:val="TableNo"/>
    <w:next w:val="Figuretitle"/>
    <w:rsid w:val="00A405F9"/>
    <w:rPr>
      <w:caps w:val="0"/>
    </w:rPr>
  </w:style>
  <w:style w:type="paragraph" w:customStyle="1" w:styleId="Figurewithouttitle">
    <w:name w:val="Figure_without_title"/>
    <w:basedOn w:val="Figure"/>
    <w:next w:val="Normal"/>
    <w:rsid w:val="00A405F9"/>
  </w:style>
  <w:style w:type="paragraph" w:customStyle="1" w:styleId="Headingi">
    <w:name w:val="Heading_i"/>
    <w:basedOn w:val="Heading3"/>
    <w:next w:val="Normal"/>
    <w:rsid w:val="00762555"/>
    <w:pPr>
      <w:spacing w:before="160"/>
    </w:pPr>
    <w:rPr>
      <w:b w:val="0"/>
      <w:i/>
    </w:rPr>
  </w:style>
  <w:style w:type="character" w:styleId="PageNumber">
    <w:name w:val="page number"/>
    <w:basedOn w:val="DefaultParagraphFont"/>
    <w:rsid w:val="001E6719"/>
    <w:rPr>
      <w:rFonts w:ascii="Calibri" w:hAnsi="Calibri"/>
    </w:rPr>
  </w:style>
  <w:style w:type="paragraph" w:customStyle="1" w:styleId="PartNo">
    <w:name w:val="Part_No"/>
    <w:basedOn w:val="AnnexNo"/>
    <w:next w:val="Parttitle"/>
    <w:rsid w:val="00227FF0"/>
  </w:style>
  <w:style w:type="paragraph" w:customStyle="1" w:styleId="Parttitle">
    <w:name w:val="Part_title"/>
    <w:basedOn w:val="Annextitle"/>
    <w:next w:val="Partref"/>
    <w:rsid w:val="00227FF0"/>
  </w:style>
  <w:style w:type="paragraph" w:customStyle="1" w:styleId="Partref">
    <w:name w:val="Part_ref"/>
    <w:basedOn w:val="Annexref"/>
    <w:next w:val="Normalaftertitle"/>
    <w:rsid w:val="00227FF0"/>
  </w:style>
  <w:style w:type="paragraph" w:customStyle="1" w:styleId="RecNo">
    <w:name w:val="Rec_No"/>
    <w:basedOn w:val="Normal"/>
    <w:next w:val="Rectitle"/>
    <w:rsid w:val="00227FF0"/>
    <w:pPr>
      <w:keepNext/>
      <w:keepLines/>
      <w:spacing w:before="480"/>
      <w:jc w:val="center"/>
    </w:pPr>
    <w:rPr>
      <w:caps/>
      <w:sz w:val="26"/>
    </w:rPr>
  </w:style>
  <w:style w:type="paragraph" w:customStyle="1" w:styleId="Rectitle">
    <w:name w:val="Rec_title"/>
    <w:basedOn w:val="RecNo"/>
    <w:next w:val="Recref"/>
    <w:rsid w:val="001E6719"/>
    <w:pPr>
      <w:spacing w:before="240"/>
    </w:pPr>
    <w:rPr>
      <w:b/>
      <w:caps w:val="0"/>
    </w:rPr>
  </w:style>
  <w:style w:type="paragraph" w:customStyle="1" w:styleId="Recref">
    <w:name w:val="Rec_ref"/>
    <w:basedOn w:val="Rectitle"/>
    <w:next w:val="Recdate"/>
    <w:rsid w:val="00227FF0"/>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227FF0"/>
    <w:pPr>
      <w:jc w:val="right"/>
    </w:pPr>
    <w:rPr>
      <w:sz w:val="22"/>
    </w:rPr>
  </w:style>
  <w:style w:type="paragraph" w:customStyle="1" w:styleId="Questiondate">
    <w:name w:val="Question_date"/>
    <w:basedOn w:val="Recdate"/>
    <w:next w:val="Normalaftertitle"/>
    <w:rsid w:val="00227FF0"/>
  </w:style>
  <w:style w:type="paragraph" w:customStyle="1" w:styleId="QuestionNo">
    <w:name w:val="Question_No"/>
    <w:basedOn w:val="RecNo"/>
    <w:next w:val="Questiontitle"/>
    <w:rsid w:val="00227FF0"/>
  </w:style>
  <w:style w:type="paragraph" w:customStyle="1" w:styleId="Questionref">
    <w:name w:val="Question_ref"/>
    <w:basedOn w:val="Recref"/>
    <w:next w:val="Questiondate"/>
    <w:rsid w:val="00227FF0"/>
  </w:style>
  <w:style w:type="paragraph" w:customStyle="1" w:styleId="Questiontitle">
    <w:name w:val="Question_title"/>
    <w:basedOn w:val="Rectitle"/>
    <w:next w:val="Questionref"/>
    <w:rsid w:val="001E6719"/>
  </w:style>
  <w:style w:type="paragraph" w:customStyle="1" w:styleId="Reftext">
    <w:name w:val="Ref_text"/>
    <w:basedOn w:val="Normal"/>
    <w:rsid w:val="00227FF0"/>
    <w:pPr>
      <w:ind w:left="794" w:hanging="794"/>
    </w:pPr>
  </w:style>
  <w:style w:type="paragraph" w:customStyle="1" w:styleId="Reftitle">
    <w:name w:val="Ref_title"/>
    <w:basedOn w:val="Normal"/>
    <w:next w:val="Reftext"/>
    <w:rsid w:val="00227FF0"/>
    <w:pPr>
      <w:spacing w:before="480"/>
      <w:jc w:val="center"/>
    </w:pPr>
    <w:rPr>
      <w:caps/>
    </w:rPr>
  </w:style>
  <w:style w:type="paragraph" w:customStyle="1" w:styleId="Repdate">
    <w:name w:val="Rep_date"/>
    <w:basedOn w:val="Recdate"/>
    <w:next w:val="Normalaftertitle"/>
    <w:rsid w:val="00227FF0"/>
  </w:style>
  <w:style w:type="paragraph" w:customStyle="1" w:styleId="RepNo">
    <w:name w:val="Rep_No"/>
    <w:basedOn w:val="RecNo"/>
    <w:next w:val="Reptitle"/>
    <w:rsid w:val="00227FF0"/>
  </w:style>
  <w:style w:type="paragraph" w:customStyle="1" w:styleId="Reptitle">
    <w:name w:val="Rep_title"/>
    <w:basedOn w:val="Rectitle"/>
    <w:next w:val="Repref"/>
    <w:rsid w:val="00227FF0"/>
  </w:style>
  <w:style w:type="paragraph" w:customStyle="1" w:styleId="Repref">
    <w:name w:val="Rep_ref"/>
    <w:basedOn w:val="Recref"/>
    <w:next w:val="Repdate"/>
    <w:rsid w:val="00227FF0"/>
  </w:style>
  <w:style w:type="paragraph" w:customStyle="1" w:styleId="Resdate">
    <w:name w:val="Res_date"/>
    <w:basedOn w:val="Recdate"/>
    <w:next w:val="Normalaftertitle"/>
    <w:rsid w:val="00227FF0"/>
  </w:style>
  <w:style w:type="paragraph" w:customStyle="1" w:styleId="ResNo">
    <w:name w:val="Res_No"/>
    <w:basedOn w:val="RecNo"/>
    <w:next w:val="Restitle"/>
    <w:rsid w:val="00227FF0"/>
  </w:style>
  <w:style w:type="paragraph" w:customStyle="1" w:styleId="Restitle">
    <w:name w:val="Res_title"/>
    <w:basedOn w:val="Rectitle"/>
    <w:next w:val="Resref"/>
    <w:rsid w:val="00227FF0"/>
  </w:style>
  <w:style w:type="paragraph" w:customStyle="1" w:styleId="Resref">
    <w:name w:val="Res_ref"/>
    <w:basedOn w:val="Recref"/>
    <w:next w:val="Resdate"/>
    <w:rsid w:val="00227FF0"/>
  </w:style>
  <w:style w:type="paragraph" w:customStyle="1" w:styleId="SectionNo">
    <w:name w:val="Section_No"/>
    <w:basedOn w:val="AnnexNo"/>
    <w:next w:val="Sectiontitle"/>
    <w:rsid w:val="00227FF0"/>
  </w:style>
  <w:style w:type="paragraph" w:customStyle="1" w:styleId="Sectiontitle">
    <w:name w:val="Section_title"/>
    <w:basedOn w:val="Normal"/>
    <w:next w:val="Normalaftertitle"/>
    <w:rsid w:val="00227FF0"/>
    <w:rPr>
      <w:sz w:val="26"/>
    </w:rPr>
  </w:style>
  <w:style w:type="paragraph" w:customStyle="1" w:styleId="SpecialFooter">
    <w:name w:val="Special Footer"/>
    <w:basedOn w:val="Footer"/>
    <w:rsid w:val="00227FF0"/>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5D1DAD"/>
    <w:pPr>
      <w:keepNext/>
      <w:spacing w:before="80" w:after="80"/>
      <w:jc w:val="center"/>
    </w:pPr>
    <w:rPr>
      <w:b/>
    </w:rPr>
  </w:style>
  <w:style w:type="paragraph" w:customStyle="1" w:styleId="Tablelegend">
    <w:name w:val="Table_legend"/>
    <w:basedOn w:val="Tabletext"/>
    <w:rsid w:val="00A405F9"/>
  </w:style>
  <w:style w:type="paragraph" w:customStyle="1" w:styleId="Tableref">
    <w:name w:val="Table_ref"/>
    <w:basedOn w:val="Normal"/>
    <w:next w:val="Tabletitle"/>
    <w:rsid w:val="00DE7861"/>
    <w:pPr>
      <w:keepNext/>
      <w:keepLines/>
      <w:jc w:val="center"/>
    </w:pPr>
    <w:rPr>
      <w:i/>
      <w:color w:val="1F497D" w:themeColor="text2"/>
      <w:sz w:val="18"/>
    </w:rPr>
  </w:style>
  <w:style w:type="paragraph" w:customStyle="1" w:styleId="Artheading">
    <w:name w:val="Art_heading"/>
    <w:basedOn w:val="Normal"/>
    <w:next w:val="Normalaftertitle"/>
    <w:rsid w:val="00227FF0"/>
    <w:pPr>
      <w:spacing w:before="480"/>
      <w:jc w:val="center"/>
    </w:pPr>
    <w:rPr>
      <w:rFonts w:ascii="Times New Roman Bold" w:hAnsi="Times New Roman Bold"/>
      <w:b/>
      <w:sz w:val="26"/>
    </w:rPr>
  </w:style>
  <w:style w:type="paragraph" w:customStyle="1" w:styleId="ArtNo">
    <w:name w:val="Art_No"/>
    <w:basedOn w:val="Normal"/>
    <w:next w:val="Normal"/>
    <w:rsid w:val="00227FF0"/>
    <w:pPr>
      <w:keepNext/>
      <w:keepLines/>
      <w:spacing w:before="480"/>
      <w:jc w:val="center"/>
    </w:pPr>
    <w:rPr>
      <w:caps/>
      <w:sz w:val="26"/>
    </w:rPr>
  </w:style>
  <w:style w:type="paragraph" w:customStyle="1" w:styleId="Arttitle">
    <w:name w:val="Art_title"/>
    <w:basedOn w:val="Normal"/>
    <w:next w:val="Normalaftertitle"/>
    <w:rsid w:val="00227FF0"/>
    <w:pPr>
      <w:keepNext/>
      <w:keepLines/>
      <w:spacing w:before="240"/>
      <w:jc w:val="center"/>
    </w:pPr>
    <w:rPr>
      <w:b/>
      <w:sz w:val="26"/>
    </w:rPr>
  </w:style>
  <w:style w:type="paragraph" w:customStyle="1" w:styleId="ChapNo">
    <w:name w:val="Chap_No"/>
    <w:basedOn w:val="ArtNo"/>
    <w:next w:val="Chaptitle"/>
    <w:rsid w:val="001E6719"/>
    <w:rPr>
      <w:b/>
    </w:rPr>
  </w:style>
  <w:style w:type="paragraph" w:customStyle="1" w:styleId="Chaptitle">
    <w:name w:val="Chap_title"/>
    <w:basedOn w:val="Arttitle"/>
    <w:next w:val="Normalaftertitle"/>
    <w:rsid w:val="00227FF0"/>
  </w:style>
  <w:style w:type="character" w:customStyle="1" w:styleId="HeaderChar">
    <w:name w:val="Header Char"/>
    <w:basedOn w:val="DefaultParagraphFont"/>
    <w:link w:val="Header"/>
    <w:uiPriority w:val="99"/>
    <w:rsid w:val="00796BD3"/>
    <w:rPr>
      <w:rFonts w:ascii="Calibri" w:hAnsi="Calibri"/>
      <w:sz w:val="18"/>
      <w:lang w:val="fr-FR" w:eastAsia="en-US"/>
    </w:rPr>
  </w:style>
  <w:style w:type="table" w:styleId="TableGrid">
    <w:name w:val="Table Grid"/>
    <w:basedOn w:val="TableNormal"/>
    <w:uiPriority w:val="39"/>
    <w:rsid w:val="00796BD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_title"/>
    <w:basedOn w:val="Title1"/>
    <w:qFormat/>
    <w:rsid w:val="00796BD3"/>
    <w:pPr>
      <w:framePr w:hSpace="180" w:wrap="around" w:vAnchor="margin" w:hAnchor="text" w:x="1821" w:y="2317"/>
      <w:spacing w:before="120" w:after="160"/>
    </w:pPr>
    <w:rPr>
      <w:caps w:val="0"/>
      <w:sz w:val="34"/>
    </w:rPr>
  </w:style>
  <w:style w:type="character" w:styleId="PlaceholderText">
    <w:name w:val="Placeholder Text"/>
    <w:basedOn w:val="DefaultParagraphFont"/>
    <w:uiPriority w:val="99"/>
    <w:semiHidden/>
    <w:rsid w:val="00D631AA"/>
    <w:rPr>
      <w:color w:val="666666"/>
    </w:rPr>
  </w:style>
  <w:style w:type="character" w:styleId="UnresolvedMention">
    <w:name w:val="Unresolved Mention"/>
    <w:basedOn w:val="DefaultParagraphFont"/>
    <w:uiPriority w:val="99"/>
    <w:semiHidden/>
    <w:unhideWhenUsed/>
    <w:rsid w:val="00BE00DD"/>
    <w:rPr>
      <w:color w:val="605E5C"/>
      <w:shd w:val="clear" w:color="auto" w:fill="E1DFDD"/>
    </w:rPr>
  </w:style>
  <w:style w:type="character" w:customStyle="1" w:styleId="Heading1Char">
    <w:name w:val="Heading 1 Char"/>
    <w:basedOn w:val="DefaultParagraphFont"/>
    <w:link w:val="Heading1"/>
    <w:rsid w:val="00611DDE"/>
    <w:rPr>
      <w:rFonts w:ascii="Calibri" w:hAnsi="Calibri"/>
      <w:b/>
      <w:sz w:val="26"/>
      <w:lang w:val="en-GB" w:eastAsia="en-US"/>
    </w:rPr>
  </w:style>
  <w:style w:type="character" w:customStyle="1" w:styleId="Heading2Char">
    <w:name w:val="Heading 2 Char"/>
    <w:basedOn w:val="DefaultParagraphFont"/>
    <w:link w:val="Heading2"/>
    <w:uiPriority w:val="9"/>
    <w:rsid w:val="00611DDE"/>
    <w:rPr>
      <w:rFonts w:ascii="Calibri" w:hAnsi="Calibri"/>
      <w:b/>
      <w:sz w:val="22"/>
      <w:lang w:val="en-GB" w:eastAsia="en-US"/>
    </w:rPr>
  </w:style>
  <w:style w:type="character" w:customStyle="1" w:styleId="Heading3Char">
    <w:name w:val="Heading 3 Char"/>
    <w:basedOn w:val="DefaultParagraphFont"/>
    <w:link w:val="Heading3"/>
    <w:uiPriority w:val="9"/>
    <w:rsid w:val="00D82062"/>
    <w:rPr>
      <w:rFonts w:asciiTheme="minorHAnsi" w:hAnsiTheme="minorHAnsi"/>
      <w:b/>
      <w:sz w:val="22"/>
      <w:lang w:val="en-GB" w:eastAsia="en-US"/>
    </w:rPr>
  </w:style>
  <w:style w:type="character" w:customStyle="1" w:styleId="Heading4Char">
    <w:name w:val="Heading 4 Char"/>
    <w:basedOn w:val="DefaultParagraphFont"/>
    <w:link w:val="Heading4"/>
    <w:uiPriority w:val="9"/>
    <w:rsid w:val="00D82062"/>
    <w:rPr>
      <w:rFonts w:asciiTheme="minorHAnsi" w:hAnsiTheme="minorHAnsi"/>
      <w:sz w:val="22"/>
      <w:lang w:val="en-GB" w:eastAsia="en-US"/>
    </w:rPr>
  </w:style>
  <w:style w:type="character" w:customStyle="1" w:styleId="Heading5Char">
    <w:name w:val="Heading 5 Char"/>
    <w:basedOn w:val="DefaultParagraphFont"/>
    <w:link w:val="Heading5"/>
    <w:uiPriority w:val="9"/>
    <w:rsid w:val="00D82062"/>
    <w:rPr>
      <w:rFonts w:asciiTheme="minorHAnsi" w:hAnsiTheme="minorHAnsi"/>
      <w:sz w:val="22"/>
      <w:lang w:val="en-GB" w:eastAsia="en-US"/>
    </w:rPr>
  </w:style>
  <w:style w:type="character" w:customStyle="1" w:styleId="Heading6Char">
    <w:name w:val="Heading 6 Char"/>
    <w:basedOn w:val="DefaultParagraphFont"/>
    <w:link w:val="Heading6"/>
    <w:uiPriority w:val="9"/>
    <w:rsid w:val="00D82062"/>
    <w:rPr>
      <w:rFonts w:asciiTheme="minorHAnsi" w:hAnsiTheme="minorHAnsi"/>
      <w:sz w:val="22"/>
      <w:lang w:val="en-GB" w:eastAsia="en-US"/>
    </w:rPr>
  </w:style>
  <w:style w:type="character" w:customStyle="1" w:styleId="Heading7Char">
    <w:name w:val="Heading 7 Char"/>
    <w:basedOn w:val="DefaultParagraphFont"/>
    <w:link w:val="Heading7"/>
    <w:uiPriority w:val="9"/>
    <w:rsid w:val="00D82062"/>
    <w:rPr>
      <w:rFonts w:asciiTheme="minorHAnsi" w:hAnsiTheme="minorHAnsi"/>
      <w:sz w:val="22"/>
      <w:lang w:val="en-GB" w:eastAsia="en-US"/>
    </w:rPr>
  </w:style>
  <w:style w:type="character" w:customStyle="1" w:styleId="Heading8Char">
    <w:name w:val="Heading 8 Char"/>
    <w:basedOn w:val="DefaultParagraphFont"/>
    <w:link w:val="Heading8"/>
    <w:uiPriority w:val="9"/>
    <w:rsid w:val="00D82062"/>
    <w:rPr>
      <w:rFonts w:asciiTheme="minorHAnsi" w:hAnsiTheme="minorHAnsi"/>
      <w:sz w:val="22"/>
      <w:lang w:val="en-GB" w:eastAsia="en-US"/>
    </w:rPr>
  </w:style>
  <w:style w:type="character" w:customStyle="1" w:styleId="Heading9Char">
    <w:name w:val="Heading 9 Char"/>
    <w:basedOn w:val="DefaultParagraphFont"/>
    <w:link w:val="Heading9"/>
    <w:uiPriority w:val="9"/>
    <w:rsid w:val="00D82062"/>
    <w:rPr>
      <w:rFonts w:asciiTheme="minorHAnsi" w:hAnsiTheme="minorHAnsi"/>
      <w:sz w:val="22"/>
      <w:lang w:val="en-GB" w:eastAsia="en-US"/>
    </w:rPr>
  </w:style>
  <w:style w:type="paragraph" w:styleId="Title">
    <w:name w:val="Title"/>
    <w:basedOn w:val="Normal"/>
    <w:next w:val="Normal"/>
    <w:link w:val="TitleChar"/>
    <w:uiPriority w:val="10"/>
    <w:qFormat/>
    <w:rsid w:val="00D82062"/>
    <w:pPr>
      <w:tabs>
        <w:tab w:val="clear" w:pos="794"/>
        <w:tab w:val="clear" w:pos="1191"/>
        <w:tab w:val="clear" w:pos="1588"/>
        <w:tab w:val="clear" w:pos="1985"/>
      </w:tabs>
      <w:overflowPunct/>
      <w:autoSpaceDE/>
      <w:autoSpaceDN/>
      <w:adjustRightInd/>
      <w:spacing w:before="0" w:after="80"/>
      <w:contextualSpacing/>
      <w:textAlignment w:val="auto"/>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82062"/>
    <w:rPr>
      <w:rFonts w:asciiTheme="majorHAnsi" w:eastAsiaTheme="majorEastAsia" w:hAnsiTheme="majorHAnsi" w:cstheme="majorBidi"/>
      <w:spacing w:val="-10"/>
      <w:kern w:val="28"/>
      <w:sz w:val="56"/>
      <w:szCs w:val="56"/>
      <w:lang w:val="en-GB" w:eastAsia="en-US"/>
      <w14:ligatures w14:val="standardContextual"/>
    </w:rPr>
  </w:style>
  <w:style w:type="paragraph" w:styleId="Subtitle0">
    <w:name w:val="Subtitle"/>
    <w:basedOn w:val="Normal"/>
    <w:next w:val="Normal"/>
    <w:link w:val="SubtitleChar"/>
    <w:uiPriority w:val="11"/>
    <w:qFormat/>
    <w:rsid w:val="00D82062"/>
    <w:pPr>
      <w:numPr>
        <w:ilvl w:val="1"/>
      </w:numPr>
      <w:tabs>
        <w:tab w:val="clear" w:pos="794"/>
        <w:tab w:val="clear" w:pos="1191"/>
        <w:tab w:val="clear" w:pos="1588"/>
        <w:tab w:val="clear" w:pos="1985"/>
      </w:tabs>
      <w:overflowPunct/>
      <w:autoSpaceDE/>
      <w:autoSpaceDN/>
      <w:adjustRightInd/>
      <w:spacing w:before="0" w:after="160" w:line="278" w:lineRule="auto"/>
      <w:textAlignment w:val="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0"/>
    <w:uiPriority w:val="11"/>
    <w:rsid w:val="00D82062"/>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paragraph" w:styleId="Quote">
    <w:name w:val="Quote"/>
    <w:basedOn w:val="Normal"/>
    <w:next w:val="Normal"/>
    <w:link w:val="QuoteChar"/>
    <w:uiPriority w:val="29"/>
    <w:qFormat/>
    <w:rsid w:val="00D82062"/>
    <w:pPr>
      <w:tabs>
        <w:tab w:val="clear" w:pos="794"/>
        <w:tab w:val="clear" w:pos="1191"/>
        <w:tab w:val="clear" w:pos="1588"/>
        <w:tab w:val="clear" w:pos="1985"/>
      </w:tabs>
      <w:overflowPunct/>
      <w:autoSpaceDE/>
      <w:autoSpaceDN/>
      <w:adjustRightInd/>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82062"/>
    <w:rPr>
      <w:rFonts w:asciiTheme="minorHAnsi" w:eastAsiaTheme="minorHAnsi" w:hAnsiTheme="minorHAnsi" w:cstheme="minorBidi"/>
      <w:i/>
      <w:iCs/>
      <w:color w:val="404040" w:themeColor="text1" w:themeTint="BF"/>
      <w:kern w:val="2"/>
      <w:sz w:val="24"/>
      <w:szCs w:val="24"/>
      <w:lang w:val="en-GB" w:eastAsia="en-US"/>
      <w14:ligatures w14:val="standardContextual"/>
    </w:rPr>
  </w:style>
  <w:style w:type="paragraph" w:styleId="ListParagraph">
    <w:name w:val="List Paragraph"/>
    <w:basedOn w:val="Normal"/>
    <w:uiPriority w:val="34"/>
    <w:qFormat/>
    <w:rsid w:val="00D82062"/>
    <w:pPr>
      <w:tabs>
        <w:tab w:val="clear" w:pos="794"/>
        <w:tab w:val="clear" w:pos="1191"/>
        <w:tab w:val="clear" w:pos="1588"/>
        <w:tab w:val="clear" w:pos="1985"/>
      </w:tabs>
      <w:overflowPunct/>
      <w:autoSpaceDE/>
      <w:autoSpaceDN/>
      <w:adjustRightInd/>
      <w:spacing w:before="0" w:after="160" w:line="278" w:lineRule="auto"/>
      <w:ind w:left="720"/>
      <w:contextualSpacing/>
      <w:textAlignment w:val="auto"/>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D82062"/>
    <w:rPr>
      <w:i/>
      <w:iCs/>
      <w:color w:val="365F91" w:themeColor="accent1" w:themeShade="BF"/>
    </w:rPr>
  </w:style>
  <w:style w:type="paragraph" w:styleId="IntenseQuote">
    <w:name w:val="Intense Quote"/>
    <w:basedOn w:val="Normal"/>
    <w:next w:val="Normal"/>
    <w:link w:val="IntenseQuoteChar"/>
    <w:uiPriority w:val="30"/>
    <w:qFormat/>
    <w:rsid w:val="00D82062"/>
    <w:pPr>
      <w:pBdr>
        <w:top w:val="single" w:sz="4" w:space="10" w:color="365F91" w:themeColor="accent1" w:themeShade="BF"/>
        <w:bottom w:val="single" w:sz="4" w:space="10" w:color="365F91" w:themeColor="accent1" w:themeShade="BF"/>
      </w:pBdr>
      <w:tabs>
        <w:tab w:val="clear" w:pos="794"/>
        <w:tab w:val="clear" w:pos="1191"/>
        <w:tab w:val="clear" w:pos="1588"/>
        <w:tab w:val="clear" w:pos="1985"/>
      </w:tabs>
      <w:overflowPunct/>
      <w:autoSpaceDE/>
      <w:autoSpaceDN/>
      <w:adjustRightInd/>
      <w:spacing w:before="360" w:after="360" w:line="278" w:lineRule="auto"/>
      <w:ind w:left="864" w:right="864"/>
      <w:jc w:val="center"/>
      <w:textAlignment w:val="auto"/>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82062"/>
    <w:rPr>
      <w:rFonts w:asciiTheme="minorHAnsi" w:eastAsiaTheme="minorHAnsi" w:hAnsiTheme="minorHAnsi" w:cstheme="minorBidi"/>
      <w:i/>
      <w:iCs/>
      <w:color w:val="365F91" w:themeColor="accent1" w:themeShade="BF"/>
      <w:kern w:val="2"/>
      <w:sz w:val="24"/>
      <w:szCs w:val="24"/>
      <w:lang w:val="en-GB" w:eastAsia="en-US"/>
      <w14:ligatures w14:val="standardContextual"/>
    </w:rPr>
  </w:style>
  <w:style w:type="character" w:styleId="IntenseReference">
    <w:name w:val="Intense Reference"/>
    <w:basedOn w:val="DefaultParagraphFont"/>
    <w:uiPriority w:val="32"/>
    <w:qFormat/>
    <w:rsid w:val="00D82062"/>
    <w:rPr>
      <w:b/>
      <w:bCs/>
      <w:smallCaps/>
      <w:color w:val="365F91" w:themeColor="accent1" w:themeShade="BF"/>
      <w:spacing w:val="5"/>
    </w:rPr>
  </w:style>
  <w:style w:type="character" w:styleId="CommentReference">
    <w:name w:val="annotation reference"/>
    <w:basedOn w:val="DefaultParagraphFont"/>
    <w:uiPriority w:val="99"/>
    <w:semiHidden/>
    <w:unhideWhenUsed/>
    <w:rsid w:val="00D82062"/>
    <w:rPr>
      <w:sz w:val="16"/>
      <w:szCs w:val="16"/>
    </w:rPr>
  </w:style>
  <w:style w:type="paragraph" w:styleId="CommentText">
    <w:name w:val="annotation text"/>
    <w:basedOn w:val="Normal"/>
    <w:link w:val="CommentTextChar"/>
    <w:uiPriority w:val="99"/>
    <w:semiHidden/>
    <w:unhideWhenUsed/>
    <w:rsid w:val="00D82062"/>
    <w:pPr>
      <w:tabs>
        <w:tab w:val="clear" w:pos="794"/>
        <w:tab w:val="clear" w:pos="1191"/>
        <w:tab w:val="clear" w:pos="1588"/>
        <w:tab w:val="clear" w:pos="1985"/>
      </w:tabs>
      <w:overflowPunct/>
      <w:autoSpaceDE/>
      <w:autoSpaceDN/>
      <w:adjustRightInd/>
      <w:spacing w:before="0" w:after="160"/>
      <w:textAlignment w:val="auto"/>
    </w:pPr>
    <w:rPr>
      <w:rFonts w:asciiTheme="minorHAnsi" w:eastAsiaTheme="minorHAnsi" w:hAnsiTheme="minorHAnsi" w:cstheme="minorBidi"/>
      <w:kern w:val="2"/>
      <w:sz w:val="20"/>
      <w14:ligatures w14:val="standardContextual"/>
    </w:rPr>
  </w:style>
  <w:style w:type="character" w:customStyle="1" w:styleId="CommentTextChar">
    <w:name w:val="Comment Text Char"/>
    <w:basedOn w:val="DefaultParagraphFont"/>
    <w:link w:val="CommentText"/>
    <w:uiPriority w:val="99"/>
    <w:semiHidden/>
    <w:rsid w:val="00D82062"/>
    <w:rPr>
      <w:rFonts w:asciiTheme="minorHAnsi" w:eastAsiaTheme="minorHAnsi" w:hAnsiTheme="minorHAnsi" w:cstheme="minorBidi"/>
      <w:kern w:val="2"/>
      <w:lang w:val="en-GB" w:eastAsia="en-US"/>
      <w14:ligatures w14:val="standardContextual"/>
    </w:rPr>
  </w:style>
  <w:style w:type="paragraph" w:styleId="CommentSubject">
    <w:name w:val="annotation subject"/>
    <w:basedOn w:val="CommentText"/>
    <w:next w:val="CommentText"/>
    <w:link w:val="CommentSubjectChar"/>
    <w:uiPriority w:val="99"/>
    <w:semiHidden/>
    <w:unhideWhenUsed/>
    <w:rsid w:val="00D82062"/>
    <w:rPr>
      <w:b/>
      <w:bCs/>
    </w:rPr>
  </w:style>
  <w:style w:type="character" w:customStyle="1" w:styleId="CommentSubjectChar">
    <w:name w:val="Comment Subject Char"/>
    <w:basedOn w:val="CommentTextChar"/>
    <w:link w:val="CommentSubject"/>
    <w:uiPriority w:val="99"/>
    <w:semiHidden/>
    <w:rsid w:val="00D82062"/>
    <w:rPr>
      <w:rFonts w:asciiTheme="minorHAnsi" w:eastAsiaTheme="minorHAnsi" w:hAnsiTheme="minorHAnsi" w:cstheme="minorBidi"/>
      <w:b/>
      <w:bCs/>
      <w:kern w:val="2"/>
      <w:lang w:val="en-GB" w:eastAsia="en-US"/>
      <w14:ligatures w14:val="standardContextual"/>
    </w:rPr>
  </w:style>
  <w:style w:type="character" w:customStyle="1" w:styleId="enumlev1Char">
    <w:name w:val="enumlev1 Char"/>
    <w:link w:val="enumlev1"/>
    <w:qFormat/>
    <w:rsid w:val="00D82062"/>
    <w:rPr>
      <w:rFonts w:ascii="Calibri" w:hAnsi="Calibri"/>
      <w:sz w:val="22"/>
      <w:lang w:val="en-GB" w:eastAsia="en-US"/>
    </w:rPr>
  </w:style>
  <w:style w:type="paragraph" w:styleId="Revision">
    <w:name w:val="Revision"/>
    <w:hidden/>
    <w:uiPriority w:val="99"/>
    <w:semiHidden/>
    <w:rsid w:val="00D82062"/>
    <w:rPr>
      <w:rFonts w:ascii="Calibri" w:hAnsi="Calibri"/>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02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ITU-R/BR-GeoCatalogue" TargetMode="External"/><Relationship Id="rId21" Type="http://schemas.openxmlformats.org/officeDocument/2006/relationships/hyperlink" Target="https://www.itu.int/cities/year-in-review-2023/fg-ai4a/" TargetMode="External"/><Relationship Id="rId324" Type="http://schemas.openxmlformats.org/officeDocument/2006/relationships/hyperlink" Target="https://www.itu.int/en/ITU-R/seminars/rrs/rrs-22-ee/Pages/default.aspx" TargetMode="External"/><Relationship Id="rId531" Type="http://schemas.openxmlformats.org/officeDocument/2006/relationships/hyperlink" Target="https://u4ssc.itu.int/publications/" TargetMode="External"/><Relationship Id="rId170" Type="http://schemas.openxmlformats.org/officeDocument/2006/relationships/hyperlink" Target="https://www.itu.int/hub/publication/d-str-cyb_joint-2025/" TargetMode="External"/><Relationship Id="rId268" Type="http://schemas.openxmlformats.org/officeDocument/2006/relationships/hyperlink" Target="https://www.itu.int/itu-d/meetings/wtdc25/wp-content/uploads/sites/29/2025/11/090-E.pdf" TargetMode="External"/><Relationship Id="rId475" Type="http://schemas.openxmlformats.org/officeDocument/2006/relationships/hyperlink" Target="https://www.itu.int/en/ITU-T/Workshops-and-Seminars/2025/1125/Documents/Louise%20Aubet.pdf" TargetMode="External"/><Relationship Id="rId32" Type="http://schemas.openxmlformats.org/officeDocument/2006/relationships/hyperlink" Target="https://www.itu.int/partner2connect/" TargetMode="External"/><Relationship Id="rId128" Type="http://schemas.openxmlformats.org/officeDocument/2006/relationships/hyperlink" Target="https://www.itu.int/en/ITU-T/publications/Pages/recs.aspx" TargetMode="External"/><Relationship Id="rId335" Type="http://schemas.openxmlformats.org/officeDocument/2006/relationships/hyperlink" Target="https://www.itu.int/en/ITU-R/seminars/Fixed-Wireless-Service/Pages/default.aspx" TargetMode="External"/><Relationship Id="rId542" Type="http://schemas.openxmlformats.org/officeDocument/2006/relationships/hyperlink" Target="https://www.itu.int/en/ITU-T/extcoop/cits/egcomad/wg02/Pages/default.aspx" TargetMode="External"/><Relationship Id="rId181" Type="http://schemas.openxmlformats.org/officeDocument/2006/relationships/hyperlink" Target="https://www.itu.int/en/ITU-T/focusgroups/ai4a/Pages/default.aspx" TargetMode="External"/><Relationship Id="rId402" Type="http://schemas.openxmlformats.org/officeDocument/2006/relationships/hyperlink" Target="https://www.youtube.com/watch?v=zZFNByEQ15k" TargetMode="External"/><Relationship Id="rId279" Type="http://schemas.openxmlformats.org/officeDocument/2006/relationships/hyperlink" Target="https://publicadministration.desa.un.org/wsis20" TargetMode="External"/><Relationship Id="rId486" Type="http://schemas.openxmlformats.org/officeDocument/2006/relationships/hyperlink" Target="https://www.itu.int/initiatives/green-digital-action/events/cop30/" TargetMode="External"/><Relationship Id="rId43" Type="http://schemas.openxmlformats.org/officeDocument/2006/relationships/image" Target="media/image1.png"/><Relationship Id="rId139" Type="http://schemas.openxmlformats.org/officeDocument/2006/relationships/hyperlink" Target="https://www.itu.int/en/council/Documents/basic-texts-2023/RES-123-R.pdf" TargetMode="External"/><Relationship Id="rId346" Type="http://schemas.openxmlformats.org/officeDocument/2006/relationships/hyperlink" Target="https://www.itu.int/en/events/Pages/Calendar-Events.aspx?sector=ITU-D%5c" TargetMode="External"/><Relationship Id="rId553" Type="http://schemas.openxmlformats.org/officeDocument/2006/relationships/hyperlink" Target="https://aiforgood.itu.int/multimedia-authenticity/" TargetMode="External"/><Relationship Id="rId192" Type="http://schemas.openxmlformats.org/officeDocument/2006/relationships/hyperlink" Target="https://aiforgood.itu.int/young-ai-leaders-community/" TargetMode="External"/><Relationship Id="rId206" Type="http://schemas.openxmlformats.org/officeDocument/2006/relationships/hyperlink" Target="https://docs.un.org/en/A/RES/79/325" TargetMode="External"/><Relationship Id="rId413" Type="http://schemas.openxmlformats.org/officeDocument/2006/relationships/hyperlink" Target="https://www.huawei.com/en/news/2022/8/seeds-for-future-camp" TargetMode="External"/><Relationship Id="rId497" Type="http://schemas.openxmlformats.org/officeDocument/2006/relationships/hyperlink" Target="https://www.itu.int/initiatives/sdgdigital2024/" TargetMode="External"/><Relationship Id="rId357" Type="http://schemas.openxmlformats.org/officeDocument/2006/relationships/hyperlink" Target="https://www.itu.int/md/S26-CL-INF-0010/en" TargetMode="External"/><Relationship Id="rId54" Type="http://schemas.openxmlformats.org/officeDocument/2006/relationships/hyperlink" Target="https://www.itu.int/pub/R-RES-R.1" TargetMode="External"/><Relationship Id="rId217" Type="http://schemas.openxmlformats.org/officeDocument/2006/relationships/hyperlink" Target="https://www.itu.int/rec/T-REC-Y.3814/en" TargetMode="External"/><Relationship Id="rId564" Type="http://schemas.openxmlformats.org/officeDocument/2006/relationships/hyperlink" Target="https://www.itu.int/pub/T-FG-AI4NDM-2023-3" TargetMode="External"/><Relationship Id="rId424" Type="http://schemas.openxmlformats.org/officeDocument/2006/relationships/hyperlink" Target="https://www.itu.int/metaverse/un-virtual-worlds-day/thinkathon/" TargetMode="External"/><Relationship Id="rId270" Type="http://schemas.openxmlformats.org/officeDocument/2006/relationships/hyperlink" Target="https://www.itu.int/pub/R-RES-R.61" TargetMode="External"/><Relationship Id="rId65" Type="http://schemas.openxmlformats.org/officeDocument/2006/relationships/hyperlink" Target="https://www.itu.int/en/ITU-T/studygroups/2022-2024/09/Pages/default.aspx" TargetMode="External"/><Relationship Id="rId130" Type="http://schemas.openxmlformats.org/officeDocument/2006/relationships/hyperlink" Target="https://www.itu.int/en/ITU-T/studygroups/2025-2028/" TargetMode="External"/><Relationship Id="rId368" Type="http://schemas.openxmlformats.org/officeDocument/2006/relationships/hyperlink" Target="https://www.youtube.com/playlist?list=PLdCp2BJdjaQAJmm_GD2T15HgepUAuENQ-" TargetMode="External"/><Relationship Id="rId575" Type="http://schemas.openxmlformats.org/officeDocument/2006/relationships/hyperlink" Target="https://www.itu.int/en/ITU-T/focusgroups/ai4h/Pages/default.aspx" TargetMode="External"/><Relationship Id="rId228" Type="http://schemas.openxmlformats.org/officeDocument/2006/relationships/hyperlink" Target="https://www.itu.int/metaverse/5th-forum-metaverse/" TargetMode="External"/><Relationship Id="rId435" Type="http://schemas.openxmlformats.org/officeDocument/2006/relationships/hyperlink" Target="https://www.itu.int/en/ITU-D/Digital-Inclusion/Persons-with-Disabilities/Documents/Toolkit_Interactive_Self-Assessment_in_ICT_Accessibility.xlsm" TargetMode="External"/><Relationship Id="rId281" Type="http://schemas.openxmlformats.org/officeDocument/2006/relationships/hyperlink" Target="https://www.itu.int/en/itu-wsis/Documents/WSIS20/WSIS+20Report.pdf" TargetMode="External"/><Relationship Id="rId502" Type="http://schemas.openxmlformats.org/officeDocument/2006/relationships/hyperlink" Target="https://eur03.safelinks.protection.outlook.com/?url=https%3A%2F%2Fbroadbandcommission.org%2Fstate-of-broadband-archive%2F&amp;data=05|02|fernando.rivera%40itu.int|25850ebcdcaa42ef3ee508de787057c6|23e464d704e64b87913c24bd89219fd3|0|0|639080621055853452|Unknown|TWFpbGZsb3d8eyJFbXB0eU1hcGkiOnRydWUsIlYiOiIwLjAuMDAwMCIsIlAiOiJXaW4zMiIsIkFOIjoiTWFpbCIsIldUIjoyfQ%3D%3D|0|||&amp;sdata=UyIYANuTJEqw2Dvx2tBLtNjokDOK5uGxDM%2Bh%2BEcZTJI%3D&amp;reserved=0" TargetMode="External"/><Relationship Id="rId76" Type="http://schemas.openxmlformats.org/officeDocument/2006/relationships/hyperlink" Target="https://www.itu.int/itu-d/meetings/wtdc25/wp-content/uploads/sites/29/2025/12/Study-Group-Questions-2026-2029.pdf" TargetMode="External"/><Relationship Id="rId141" Type="http://schemas.openxmlformats.org/officeDocument/2006/relationships/hyperlink" Target="https://www.itu.int/en/ITU-T/gap/Pages/default.aspx" TargetMode="External"/><Relationship Id="rId379" Type="http://schemas.openxmlformats.org/officeDocument/2006/relationships/hyperlink" Target="https://www.itu.int/initiatives/gender-equality/network-of-women/" TargetMode="External"/><Relationship Id="rId586" Type="http://schemas.openxmlformats.org/officeDocument/2006/relationships/hyperlink" Target="https://www.itu.int/md/S24-CL-C-0052/en" TargetMode="External"/><Relationship Id="rId7" Type="http://schemas.openxmlformats.org/officeDocument/2006/relationships/endnotes" Target="endnotes.xml"/><Relationship Id="rId239" Type="http://schemas.openxmlformats.org/officeDocument/2006/relationships/hyperlink" Target="https://u4ssc.itu.int/" TargetMode="External"/><Relationship Id="rId446" Type="http://schemas.openxmlformats.org/officeDocument/2006/relationships/hyperlink" Target="https://www.itu.int/rec/T-REC-F.780.2" TargetMode="External"/><Relationship Id="rId292" Type="http://schemas.openxmlformats.org/officeDocument/2006/relationships/hyperlink" Target="https://aiforgood.itu.int/" TargetMode="External"/><Relationship Id="rId306" Type="http://schemas.openxmlformats.org/officeDocument/2006/relationships/hyperlink" Target="https://www.itu.int/itu-d/meetings/gsr-24/wp-content/uploads/sites/24/2024/08/GSR-2024_BestPracticeGuidelines.pdf" TargetMode="External"/><Relationship Id="rId87" Type="http://schemas.openxmlformats.org/officeDocument/2006/relationships/hyperlink" Target="https://www.itu.int/itu-d/reports/statistics/2025/10/15/ff25-mobile-network-coverage/" TargetMode="External"/><Relationship Id="rId513" Type="http://schemas.openxmlformats.org/officeDocument/2006/relationships/hyperlink" Target="https://www.equalsintech.org/access" TargetMode="External"/><Relationship Id="rId597" Type="http://schemas.openxmlformats.org/officeDocument/2006/relationships/theme" Target="theme/theme1.xml"/><Relationship Id="rId152" Type="http://schemas.openxmlformats.org/officeDocument/2006/relationships/hyperlink" Target="https://www.itu.int/en/action/environment-and-climate-change/Pages/ewaste.aspx" TargetMode="External"/><Relationship Id="rId457" Type="http://schemas.openxmlformats.org/officeDocument/2006/relationships/hyperlink" Target="https://www.itu.int/pub/R-REP-BT.2207" TargetMode="External"/><Relationship Id="rId261" Type="http://schemas.openxmlformats.org/officeDocument/2006/relationships/chart" Target="charts/chart12.xml"/><Relationship Id="rId499" Type="http://schemas.openxmlformats.org/officeDocument/2006/relationships/hyperlink" Target="https://eur03.safelinks.protection.outlook.com/?url=https%3A%2F%2Fwww.broadbandcommission.org%2F&amp;data=05|02|fernando.rivera%40itu.int|25850ebcdcaa42ef3ee508de787057c6|23e464d704e64b87913c24bd89219fd3|0|0|639080621055789927|Unknown|TWFpbGZsb3d8eyJFbXB0eU1hcGkiOnRydWUsIlYiOiIwLjAuMDAwMCIsIlAiOiJXaW4zMiIsIkFOIjoiTWFpbCIsIldUIjoyfQ%3D%3D|0|||&amp;sdata=y81PkW0WoIAEOVlgiySwVwj7XKoF7E5dABbKz%2BAA0Gk%3D&amp;reserved=0" TargetMode="External"/><Relationship Id="rId14" Type="http://schemas.openxmlformats.org/officeDocument/2006/relationships/hyperlink" Target="https://pp.itu.int/2022/ru/" TargetMode="External"/><Relationship Id="rId56" Type="http://schemas.openxmlformats.org/officeDocument/2006/relationships/hyperlink" Target="https://www.itu.int/pub/R-RES-R.56" TargetMode="External"/><Relationship Id="rId317" Type="http://schemas.openxmlformats.org/officeDocument/2006/relationships/hyperlink" Target="https://www.itu.int/en/ITU-T/academia/kaleidoscope/2022/Pages/default.aspx" TargetMode="External"/><Relationship Id="rId359" Type="http://schemas.openxmlformats.org/officeDocument/2006/relationships/hyperlink" Target="https://www.itu.int/en/ITU-D/Pages/regional-initiatives-2026-2029.aspx" TargetMode="External"/><Relationship Id="rId524" Type="http://schemas.openxmlformats.org/officeDocument/2006/relationships/hyperlink" Target="https://www.itu.int/metaverse/virtual-worlds/about/" TargetMode="External"/><Relationship Id="rId566" Type="http://schemas.openxmlformats.org/officeDocument/2006/relationships/hyperlink" Target="https://www.itu.int/pub/T-FG-AI4NDM-2023-2" TargetMode="External"/><Relationship Id="rId98" Type="http://schemas.openxmlformats.org/officeDocument/2006/relationships/hyperlink" Target="https://databrowser.uis.unesco.org/" TargetMode="External"/><Relationship Id="rId121" Type="http://schemas.openxmlformats.org/officeDocument/2006/relationships/hyperlink" Target="https://www.itu.int/ITU-R/BR-GeoCatalogue" TargetMode="External"/><Relationship Id="rId163" Type="http://schemas.openxmlformats.org/officeDocument/2006/relationships/hyperlink" Target="https://academy.itu.int/" TargetMode="External"/><Relationship Id="rId219" Type="http://schemas.openxmlformats.org/officeDocument/2006/relationships/hyperlink" Target="https://www.itu.int/en/ITU-T/jca/qkdn/Pages/default.aspx" TargetMode="External"/><Relationship Id="rId370" Type="http://schemas.openxmlformats.org/officeDocument/2006/relationships/hyperlink" Target="https://www.itu.int/en/ITU-D/Cybersecurity/Pages/Skills-Development/Her-CyberTracks.aspx" TargetMode="External"/><Relationship Id="rId426" Type="http://schemas.openxmlformats.org/officeDocument/2006/relationships/hyperlink" Target="https://www.itu.int/md/S21-CL-C-0072/en" TargetMode="External"/><Relationship Id="rId230" Type="http://schemas.openxmlformats.org/officeDocument/2006/relationships/hyperlink" Target="https://www.itu.int/metaverse/un-virtual-worlds-day/thinkathon/" TargetMode="External"/><Relationship Id="rId468" Type="http://schemas.openxmlformats.org/officeDocument/2006/relationships/hyperlink" Target="https://academy.itu.int/training-courses/full-catalogue/icts-better-ageing-and-livelihood-digital-landscape-1" TargetMode="External"/><Relationship Id="rId25" Type="http://schemas.openxmlformats.org/officeDocument/2006/relationships/hyperlink" Target="https://academy.itu.int/" TargetMode="External"/><Relationship Id="rId67" Type="http://schemas.openxmlformats.org/officeDocument/2006/relationships/hyperlink" Target="https://www.itu.int/en/ITU-T/studygroups/2025-2028/21/Pages/default.aspx" TargetMode="External"/><Relationship Id="rId272" Type="http://schemas.openxmlformats.org/officeDocument/2006/relationships/hyperlink" Target="http://www.wsis.org/stocktaking" TargetMode="External"/><Relationship Id="rId328" Type="http://schemas.openxmlformats.org/officeDocument/2006/relationships/hyperlink" Target="https://www.itu.int/en/ITU-R/seminars/rrs/rrs-24-cis/Pages/default.aspx" TargetMode="External"/><Relationship Id="rId535" Type="http://schemas.openxmlformats.org/officeDocument/2006/relationships/hyperlink" Target="https://www.itu.int/cities/dt-resource-hub/" TargetMode="External"/><Relationship Id="rId577" Type="http://schemas.openxmlformats.org/officeDocument/2006/relationships/hyperlink" Target="https://www.itu.int/en/ITU-T/focusgroups/ai4h/Pages/deliverables.aspx" TargetMode="External"/><Relationship Id="rId132" Type="http://schemas.openxmlformats.org/officeDocument/2006/relationships/hyperlink" Target="https://itu.int/tdata/pubs/" TargetMode="External"/><Relationship Id="rId174" Type="http://schemas.openxmlformats.org/officeDocument/2006/relationships/hyperlink" Target="https://www.itu.int/en/ITU-T/studygroups/2025-2028/20/Pages/default.aspx" TargetMode="External"/><Relationship Id="rId381" Type="http://schemas.openxmlformats.org/officeDocument/2006/relationships/hyperlink" Target="https://www.itu.int/en/ITU-T/NoW/Pages/default.aspx" TargetMode="External"/><Relationship Id="rId241" Type="http://schemas.openxmlformats.org/officeDocument/2006/relationships/hyperlink" Target="https://toolkit-dt4c.itu.int/" TargetMode="External"/><Relationship Id="rId437" Type="http://schemas.openxmlformats.org/officeDocument/2006/relationships/hyperlink" Target="file:///C:\Users\maloletk\Downloads\Spanish" TargetMode="External"/><Relationship Id="rId479" Type="http://schemas.openxmlformats.org/officeDocument/2006/relationships/hyperlink" Target="https://academy.itu.int/training-courses/full-catalogue/green-data-centres-policy-makers" TargetMode="External"/><Relationship Id="rId36" Type="http://schemas.openxmlformats.org/officeDocument/2006/relationships/hyperlink" Target="https://www.itu.int/initiatives/green-digital-action/" TargetMode="External"/><Relationship Id="rId283" Type="http://schemas.openxmlformats.org/officeDocument/2006/relationships/hyperlink" Target="https://www.itu.int/md/meetingdoc.asp?lang=en&amp;parent=S26-CWGWSIS44-C-0005" TargetMode="External"/><Relationship Id="rId339" Type="http://schemas.openxmlformats.org/officeDocument/2006/relationships/hyperlink" Target="https://www.itu.int/en/ITU-R/study-groups/rsg7/rwp7d/Pages/seminar-radio-astronomy-2024.aspx" TargetMode="External"/><Relationship Id="rId490" Type="http://schemas.openxmlformats.org/officeDocument/2006/relationships/hyperlink" Target="https://www.itu.int/initiatives/green-digital-action/ai-climate-institute/" TargetMode="External"/><Relationship Id="rId504"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01043|Unknown|TWFpbGZsb3d8eyJFbXB0eU1hcGkiOnRydWUsIlYiOiIwLjAuMDAwMCIsIlAiOiJXaW4zMiIsIkFOIjoiTWFpbCIsIldUIjoyfQ%3D%3D|0|||&amp;sdata=GAN1gBpXIDcfVxFX%2FTj49L4aDTzWNI7VfYHi3MWtRjg%3D&amp;reserved=0" TargetMode="External"/><Relationship Id="rId546" Type="http://schemas.openxmlformats.org/officeDocument/2006/relationships/hyperlink" Target="https://www.itu.int/en/ITU-T/extcoop/cits/Pages/related-events.aspx" TargetMode="External"/><Relationship Id="rId78" Type="http://schemas.openxmlformats.org/officeDocument/2006/relationships/hyperlink" Target="https://www.itu.int/md/meetingdoc.asp?lang=en&amp;parent=D22-WTDC25-INF-0008" TargetMode="External"/><Relationship Id="rId101" Type="http://schemas.openxmlformats.org/officeDocument/2006/relationships/chart" Target="charts/chart7.xml"/><Relationship Id="rId143" Type="http://schemas.openxmlformats.org/officeDocument/2006/relationships/hyperlink" Target="https://www.itu.int/en/ITU-T/regionalgroups/sg15-afr/Pages/default.aspx" TargetMode="External"/><Relationship Id="rId185" Type="http://schemas.openxmlformats.org/officeDocument/2006/relationships/hyperlink" Target="https://aiforgood.itu.int/ai-for-food-systems/" TargetMode="External"/><Relationship Id="rId350" Type="http://schemas.openxmlformats.org/officeDocument/2006/relationships/hyperlink" Target="https://www.itu.int/women-and-girls/girls-in-ict/" TargetMode="External"/><Relationship Id="rId406" Type="http://schemas.openxmlformats.org/officeDocument/2006/relationships/hyperlink" Target="https://www.mwcbarcelona.com/" TargetMode="External"/><Relationship Id="rId588" Type="http://schemas.openxmlformats.org/officeDocument/2006/relationships/hyperlink" Target="https://www.itu.int/md/S26-CWGFHR22-C-0015/en" TargetMode="External"/><Relationship Id="rId9" Type="http://schemas.openxmlformats.org/officeDocument/2006/relationships/hyperlink" Target="https://www.itu.int/en/council/Documents/basic-texts-2023/RES-071-R.pdf" TargetMode="External"/><Relationship Id="rId210" Type="http://schemas.openxmlformats.org/officeDocument/2006/relationships/hyperlink" Target="https://aiforgood.itu.int/summit26/" TargetMode="External"/><Relationship Id="rId392" Type="http://schemas.openxmlformats.org/officeDocument/2006/relationships/hyperlink" Target="https://www.itu.int/hub/2025/11/lets-end-digital-violence-against-women-and-girls/" TargetMode="External"/><Relationship Id="rId448" Type="http://schemas.openxmlformats.org/officeDocument/2006/relationships/hyperlink" Target="https://www.itu.int/rec/T-REC-H.871" TargetMode="External"/><Relationship Id="rId252" Type="http://schemas.openxmlformats.org/officeDocument/2006/relationships/hyperlink" Target="https://academy.itu.int/" TargetMode="External"/><Relationship Id="rId294" Type="http://schemas.openxmlformats.org/officeDocument/2006/relationships/hyperlink" Target="https://aiforgood.itu.int/neural-network/" TargetMode="External"/><Relationship Id="rId308" Type="http://schemas.openxmlformats.org/officeDocument/2006/relationships/hyperlink" Target="https://www.itu.int/hub/membership/" TargetMode="External"/><Relationship Id="rId515" Type="http://schemas.openxmlformats.org/officeDocument/2006/relationships/hyperlink" Target="https://www.equalsintech.org/leadership" TargetMode="External"/><Relationship Id="rId47" Type="http://schemas.openxmlformats.org/officeDocument/2006/relationships/hyperlink" Target="https://www.itu.int/en/council/Documents/basic-texts-2023/DEC-005-R.pdf" TargetMode="External"/><Relationship Id="rId89" Type="http://schemas.openxmlformats.org/officeDocument/2006/relationships/image" Target="media/image4.svg"/><Relationship Id="rId112" Type="http://schemas.openxmlformats.org/officeDocument/2006/relationships/hyperlink" Target="https://www.itu.int/wrc-23/" TargetMode="External"/><Relationship Id="rId154" Type="http://schemas.openxmlformats.org/officeDocument/2006/relationships/hyperlink" Target="https://u4ssc.itu.int/" TargetMode="External"/><Relationship Id="rId361" Type="http://schemas.openxmlformats.org/officeDocument/2006/relationships/hyperlink" Target="https://www.itu.int/hub/publication/d-phcb-equal-02-2023/" TargetMode="External"/><Relationship Id="rId557" Type="http://schemas.openxmlformats.org/officeDocument/2006/relationships/hyperlink" Target="https://aiforgood.itu.int/ai-standards-exchange/" TargetMode="External"/><Relationship Id="rId196" Type="http://schemas.openxmlformats.org/officeDocument/2006/relationships/hyperlink" Target="https://www.itu.int/md/S25-SG-CIR-0052/en" TargetMode="External"/><Relationship Id="rId417" Type="http://schemas.openxmlformats.org/officeDocument/2006/relationships/hyperlink" Target="https://www.itu.int/en/action/youth/Pages/YPP.aspx" TargetMode="External"/><Relationship Id="rId459" Type="http://schemas.openxmlformats.org/officeDocument/2006/relationships/hyperlink" Target="http://www.itu.int/rec/R-REC-BT.1702" TargetMode="External"/><Relationship Id="rId16" Type="http://schemas.openxmlformats.org/officeDocument/2006/relationships/hyperlink" Target="https://www.itu.int/ra-23/" TargetMode="External"/><Relationship Id="rId221" Type="http://schemas.openxmlformats.org/officeDocument/2006/relationships/hyperlink" Target="https://docs.un.org/en/A/RES/78/287" TargetMode="External"/><Relationship Id="rId263" Type="http://schemas.openxmlformats.org/officeDocument/2006/relationships/hyperlink" Target="https://www.itu.int/en/ITU-D/Projects/Pages/reports/default.aspx" TargetMode="External"/><Relationship Id="rId319" Type="http://schemas.openxmlformats.org/officeDocument/2006/relationships/hyperlink" Target="https://www.itu.int/en/ITU-T/academia/kaleidoscope/2026/Pages/default.aspx" TargetMode="External"/><Relationship Id="rId470" Type="http://schemas.openxmlformats.org/officeDocument/2006/relationships/hyperlink" Target="https://www.itu.int/dms_pub/itu-t/opb/env/T-ENV-ENV-2025-3-PDF-E.pdf" TargetMode="External"/><Relationship Id="rId526" Type="http://schemas.openxmlformats.org/officeDocument/2006/relationships/hyperlink" Target="https://www.itu.int/un-virtual-worlds-day/2024/" TargetMode="External"/><Relationship Id="rId58" Type="http://schemas.openxmlformats.org/officeDocument/2006/relationships/hyperlink" Target="https://www.itu.int/pub/R-RES-R.72" TargetMode="External"/><Relationship Id="rId123" Type="http://schemas.openxmlformats.org/officeDocument/2006/relationships/hyperlink" Target="https://www.itu.int/rec/T-REC-E.1121-202406-I" TargetMode="External"/><Relationship Id="rId330" Type="http://schemas.openxmlformats.org/officeDocument/2006/relationships/hyperlink" Target="https://www.itu.int/en/ITU-R/conferences/wrc/2023/irwsp/Pages/2023.aspx" TargetMode="External"/><Relationship Id="rId568" Type="http://schemas.openxmlformats.org/officeDocument/2006/relationships/hyperlink" Target="https://www.medewsa.eu/" TargetMode="External"/><Relationship Id="rId165" Type="http://schemas.openxmlformats.org/officeDocument/2006/relationships/hyperlink" Target="https://www.itu.int/digital-resilience/submarine-cables/events/about-nigeria-summit/" TargetMode="External"/><Relationship Id="rId372" Type="http://schemas.openxmlformats.org/officeDocument/2006/relationships/hyperlink" Target="https://www.itu.int/hub/2020/12/americas-girls-can-code-leveling-the-tech-playing-field-for-girls-and-women/" TargetMode="External"/><Relationship Id="rId428" Type="http://schemas.openxmlformats.org/officeDocument/2006/relationships/hyperlink" Target="https://www.itu.int/en/ITU-D/Regional-Presence/AsiaPacific/Pages/v2/regional-events.aspx" TargetMode="External"/><Relationship Id="rId232" Type="http://schemas.openxmlformats.org/officeDocument/2006/relationships/hyperlink" Target="https://www.itu.int/metaverse/virtual-worlds/1st-un-citiverse-challenge/" TargetMode="External"/><Relationship Id="rId274" Type="http://schemas.openxmlformats.org/officeDocument/2006/relationships/hyperlink" Target="https://www.itu.int/en/itu-wsis/Pages/Contribution.aspx" TargetMode="External"/><Relationship Id="rId481" Type="http://schemas.openxmlformats.org/officeDocument/2006/relationships/hyperlink" Target="https://www.itu.int/hub/2025/10/open-access-repository-for-sustainable-software-options/" TargetMode="External"/><Relationship Id="rId27" Type="http://schemas.openxmlformats.org/officeDocument/2006/relationships/hyperlink" Target="https://www.itu.int/itu-d/meetings/digital-skills-forum/" TargetMode="External"/><Relationship Id="rId69" Type="http://schemas.openxmlformats.org/officeDocument/2006/relationships/hyperlink" Target="https://www.itu.int/dms_pub/itu-t/opb/res/T-RES-T.2-2024-PDF-R.pdf" TargetMode="External"/><Relationship Id="rId134" Type="http://schemas.openxmlformats.org/officeDocument/2006/relationships/hyperlink" Target="https://www.itu.int/en/gmpcs/Pages/default.aspx" TargetMode="External"/><Relationship Id="rId537" Type="http://schemas.openxmlformats.org/officeDocument/2006/relationships/hyperlink" Target="https://www.itu.int/en/ITU-T/extcoop/Documents/mou/ITU-SAE_International-20250711.pdf" TargetMode="External"/><Relationship Id="rId579" Type="http://schemas.openxmlformats.org/officeDocument/2006/relationships/hyperlink" Target="https://www.un.org/sites/un2.un.org/files/sotf-pact_for_the_future_adopted.pdf" TargetMode="External"/><Relationship Id="rId80" Type="http://schemas.openxmlformats.org/officeDocument/2006/relationships/hyperlink" Target="https://www.itu.int/highlights-report-activities/connect2030-agenda/" TargetMode="External"/><Relationship Id="rId176" Type="http://schemas.openxmlformats.org/officeDocument/2006/relationships/hyperlink" Target="https://www.itu.int/metaverse/virtual-worlds/" TargetMode="External"/><Relationship Id="rId341" Type="http://schemas.openxmlformats.org/officeDocument/2006/relationships/hyperlink" Target="https://www.itu.int/en/ITU-T/Workshops-and-Seminars/2022/0125/Pages/default.aspx" TargetMode="External"/><Relationship Id="rId383" Type="http://schemas.openxmlformats.org/officeDocument/2006/relationships/hyperlink" Target="https://academy.itu.int/training-courses/full-catalogue/super-women-series-enhance-your-presence-influence-and-impact" TargetMode="External"/><Relationship Id="rId439" Type="http://schemas.openxmlformats.org/officeDocument/2006/relationships/hyperlink" Target="https://youtu.be/QHgdiGdzb6E" TargetMode="External"/><Relationship Id="rId590" Type="http://schemas.openxmlformats.org/officeDocument/2006/relationships/hyperlink" Target="https://www.itu.int/en/council/dashboard/Pages/HumanResourcesReport.aspx" TargetMode="External"/><Relationship Id="rId201" Type="http://schemas.openxmlformats.org/officeDocument/2006/relationships/hyperlink" Target="https://www.itu.int/en/action/ai/Pages/UN-inter-agency-working-group-on-AI.aspx" TargetMode="External"/><Relationship Id="rId243" Type="http://schemas.openxmlformats.org/officeDocument/2006/relationships/hyperlink" Target="https://www.itu.int/cities/dt-digest/" TargetMode="External"/><Relationship Id="rId285" Type="http://schemas.openxmlformats.org/officeDocument/2006/relationships/hyperlink" Target="https://www.itu.int/net4/wsis/ungis/Articles/View/2239" TargetMode="External"/><Relationship Id="rId450" Type="http://schemas.openxmlformats.org/officeDocument/2006/relationships/hyperlink" Target="https://www.itu.int/rec/T-REC-H.872" TargetMode="External"/><Relationship Id="rId506" Type="http://schemas.openxmlformats.org/officeDocument/2006/relationships/hyperlink" Target="https://eur03.safelinks.protection.outlook.com/?url=https%3A%2F%2Fbroadbandcommission.org%2Fstate-of-broadband-2025-podcast%2F&amp;data=05|02|fernando.rivera%40itu.int|25850ebcdcaa42ef3ee508de787057c6|23e464d704e64b87913c24bd89219fd3|0|0|639080621056137338|Unknown|TWFpbGZsb3d8eyJFbXB0eU1hcGkiOnRydWUsIlYiOiIwLjAuMDAwMCIsIlAiOiJXaW4zMiIsIkFOIjoiTWFpbCIsIldUIjoyfQ%3D%3D|0|||&amp;sdata=STYv%2BQQk0dQHhLXOxFJqtX3LkVsMebGazJSl408zVp8%3D&amp;reserved=0" TargetMode="External"/><Relationship Id="rId38" Type="http://schemas.openxmlformats.org/officeDocument/2006/relationships/hyperlink" Target="https://www.itu.int/digital-resilience/submarine-cables/events/about-porto-summit/" TargetMode="External"/><Relationship Id="rId103" Type="http://schemas.openxmlformats.org/officeDocument/2006/relationships/hyperlink" Target="https://www.itu.int/itu-d/reports/statistics/2025/10/15/ff25-youth-internet-use/" TargetMode="External"/><Relationship Id="rId310" Type="http://schemas.openxmlformats.org/officeDocument/2006/relationships/hyperlink" Target="https://www.itu.int/en/ITU-T/academia/kaleidoscope/Pages/default.aspx" TargetMode="External"/><Relationship Id="rId492" Type="http://schemas.openxmlformats.org/officeDocument/2006/relationships/hyperlink" Target="https://www.itu.int/initiatives/green-digital-action/about-us/partners/" TargetMode="External"/><Relationship Id="rId548" Type="http://schemas.openxmlformats.org/officeDocument/2006/relationships/hyperlink" Target="https://www.itu.int/en/ITU-T/extcoop/Pages/wsc.aspx" TargetMode="External"/><Relationship Id="rId91" Type="http://schemas.openxmlformats.org/officeDocument/2006/relationships/image" Target="media/image5.png"/><Relationship Id="rId145" Type="http://schemas.openxmlformats.org/officeDocument/2006/relationships/hyperlink" Target="https://www.itu.int/pub/T-RES-T.55-2024" TargetMode="External"/><Relationship Id="rId187" Type="http://schemas.openxmlformats.org/officeDocument/2006/relationships/hyperlink" Target="https://www.itu.int/en/ITU-T/extcoop/ai-data-commons/Pages/default.aspx" TargetMode="External"/><Relationship Id="rId352" Type="http://schemas.openxmlformats.org/officeDocument/2006/relationships/hyperlink" Target="https://www.itu.int/itu-d/sites/digital-impact-unlocked/building-digital-capacity-for-the-future-atc-programme-update/" TargetMode="External"/><Relationship Id="rId394" Type="http://schemas.openxmlformats.org/officeDocument/2006/relationships/hyperlink" Target="https://www.itu.int/initiatives/gender-equality/network-of-women/network-of-women-ministers-and-leaders-in-ict/" TargetMode="External"/><Relationship Id="rId408" Type="http://schemas.openxmlformats.org/officeDocument/2006/relationships/hyperlink" Target="https://www.itu.int/itu-d/meetings/global-youth-summit-25/" TargetMode="External"/><Relationship Id="rId212" Type="http://schemas.openxmlformats.org/officeDocument/2006/relationships/hyperlink" Target="https://www.itu.int/en/ITU-T/studygroups/2025-2028/11/Pages/default.aspx" TargetMode="External"/><Relationship Id="rId254" Type="http://schemas.openxmlformats.org/officeDocument/2006/relationships/hyperlink" Target="https://academy.itu.int/itu-d/projects-activities/itu-academy-training-centres" TargetMode="External"/><Relationship Id="rId49" Type="http://schemas.openxmlformats.org/officeDocument/2006/relationships/hyperlink" Target="https://pp.itu.int/2022/en/elections/elections-results/" TargetMode="External"/><Relationship Id="rId114" Type="http://schemas.openxmlformats.org/officeDocument/2006/relationships/hyperlink" Target="https://www.itu.int/pub/R-REG-RR-2024" TargetMode="External"/><Relationship Id="rId296" Type="http://schemas.openxmlformats.org/officeDocument/2006/relationships/hyperlink" Target="https://aiforgood.itu.int/summit23/" TargetMode="External"/><Relationship Id="rId461" Type="http://schemas.openxmlformats.org/officeDocument/2006/relationships/image" Target="media/image14.png"/><Relationship Id="rId517" Type="http://schemas.openxmlformats.org/officeDocument/2006/relationships/hyperlink" Target="https://www.equalsintech.org/tech4girls" TargetMode="External"/><Relationship Id="rId559" Type="http://schemas.openxmlformats.org/officeDocument/2006/relationships/hyperlink" Target="https://dcm.itu.int/" TargetMode="External"/><Relationship Id="rId60" Type="http://schemas.openxmlformats.org/officeDocument/2006/relationships/hyperlink" Target="https://www.itu.int/pub/R-RES-R.74" TargetMode="External"/><Relationship Id="rId156" Type="http://schemas.openxmlformats.org/officeDocument/2006/relationships/hyperlink" Target="https://www.itu.int/en/ITU-T/studygroups/2022-2024/16/Pages/sl.aspx" TargetMode="External"/><Relationship Id="rId198" Type="http://schemas.openxmlformats.org/officeDocument/2006/relationships/hyperlink" Target="https://academy.itu.int/" TargetMode="External"/><Relationship Id="rId321" Type="http://schemas.openxmlformats.org/officeDocument/2006/relationships/hyperlink" Target="https://www.itu.int/wrs-22/" TargetMode="External"/><Relationship Id="rId363" Type="http://schemas.openxmlformats.org/officeDocument/2006/relationships/hyperlink" Target="https://www.itu.int/hub/publication/d-phcb-equal-02-2023" TargetMode="External"/><Relationship Id="rId419" Type="http://schemas.openxmlformats.org/officeDocument/2006/relationships/hyperlink" Target="https://www.itu.int/md/S24-CL-C-0031/en" TargetMode="External"/><Relationship Id="rId570" Type="http://schemas.openxmlformats.org/officeDocument/2006/relationships/hyperlink" Target="https://www.itu.int/en/ITU-T/focusgroups/ai4a/Pages/default.aspx" TargetMode="External"/><Relationship Id="rId223" Type="http://schemas.openxmlformats.org/officeDocument/2006/relationships/hyperlink" Target="https://aiforgood.itu.int/search-result-programme/?keyword=&amp;category=802&amp;event-venue=&amp;enddate=&amp;startdate=" TargetMode="External"/><Relationship Id="rId430" Type="http://schemas.openxmlformats.org/officeDocument/2006/relationships/hyperlink" Target="https://www.itu.int/en/ITU-D/Regional-Presence/Europe/Pages/Events/2022/Accessible%20Europe%20ICT%204%20All%20Forum%20-%206%20Dec%202022/Accessible-Europe-ICT-4-All-Forum--Celebration-of-the-International-Day-of-Persons-with-Disabilities-.aspx" TargetMode="External"/><Relationship Id="rId18" Type="http://schemas.openxmlformats.org/officeDocument/2006/relationships/hyperlink" Target="https://www.itu.int/itu-d/meetings/wtdc25/" TargetMode="External"/><Relationship Id="rId265" Type="http://schemas.openxmlformats.org/officeDocument/2006/relationships/hyperlink" Target="https://www.itu.int/en/council/Documents/basic-texts-2023/RES-140-R.pdf" TargetMode="External"/><Relationship Id="rId472" Type="http://schemas.openxmlformats.org/officeDocument/2006/relationships/hyperlink" Target="https://www.itu.int/hub/publication/d-hdb-guidelines-04-2023/" TargetMode="External"/><Relationship Id="rId528" Type="http://schemas.openxmlformats.org/officeDocument/2006/relationships/hyperlink" Target="https://u4ssc.itu.int/" TargetMode="External"/><Relationship Id="rId125" Type="http://schemas.openxmlformats.org/officeDocument/2006/relationships/hyperlink" Target="https://www.itu.int/epublications/publication/itu-t-tr-mmwf-2025-02-methodologies-to-mitigate-wangiri-fraud" TargetMode="External"/><Relationship Id="rId167" Type="http://schemas.openxmlformats.org/officeDocument/2006/relationships/hyperlink" Target="https://www.itu.int/digital-resilience/submarine-cables/wp-content/uploads/sites/2/2026/02/Porto-Summit-Declaration.pdf" TargetMode="External"/><Relationship Id="rId332" Type="http://schemas.openxmlformats.org/officeDocument/2006/relationships/hyperlink" Target="https://www.itu.int/en/ITU-R/study-groups/workshops/sg6-itu-ebu-btc-2023/Pages/default.aspx" TargetMode="External"/><Relationship Id="rId374" Type="http://schemas.openxmlformats.org/officeDocument/2006/relationships/hyperlink" Target="https://academy.itu.int/training-courses/full-catalogue/gender-analysis-and-digital-inclusion-how-achieve-gender-equality-digital-sector" TargetMode="External"/><Relationship Id="rId581" Type="http://schemas.openxmlformats.org/officeDocument/2006/relationships/hyperlink" Target="https://unctad.org/system/files/information-document/gdc_implementation_map_en.pdf" TargetMode="External"/><Relationship Id="rId71" Type="http://schemas.openxmlformats.org/officeDocument/2006/relationships/hyperlink" Target="https://www.itu.int/itu-d/meetings/wtdc25/" TargetMode="External"/><Relationship Id="rId234"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s://www.itu.int/net4/wsis/forum/2026/" TargetMode="External"/><Relationship Id="rId276" Type="http://schemas.openxmlformats.org/officeDocument/2006/relationships/hyperlink" Target="https://www.itu.int/net4/wsis/forum/2023/en" TargetMode="External"/><Relationship Id="rId441" Type="http://schemas.openxmlformats.org/officeDocument/2006/relationships/hyperlink" Target="https://youtu.be/wJmsFRl5x-k" TargetMode="External"/><Relationship Id="rId483" Type="http://schemas.openxmlformats.org/officeDocument/2006/relationships/hyperlink" Target="http://itu.int/partner2connect/events/past-events/" TargetMode="External"/><Relationship Id="rId539" Type="http://schemas.openxmlformats.org/officeDocument/2006/relationships/hyperlink" Target="https://www.itu.int/itu-t/landscape/?topic=tx21&amp;group=g&amp;search_text=" TargetMode="External"/><Relationship Id="rId40" Type="http://schemas.openxmlformats.org/officeDocument/2006/relationships/hyperlink" Target="https://www.itu.int/md/S26-PP-C-0020/en" TargetMode="External"/><Relationship Id="rId136" Type="http://schemas.openxmlformats.org/officeDocument/2006/relationships/hyperlink" Target="https://aiforgood.itu.int/ai-standards-exchange/" TargetMode="External"/><Relationship Id="rId178" Type="http://schemas.openxmlformats.org/officeDocument/2006/relationships/hyperlink" Target="https://www.itu.int/en/action/ai/Pages/default.aspx" TargetMode="External"/><Relationship Id="rId301" Type="http://schemas.openxmlformats.org/officeDocument/2006/relationships/hyperlink" Target="http://gss.itu.int/" TargetMode="External"/><Relationship Id="rId343" Type="http://schemas.openxmlformats.org/officeDocument/2006/relationships/hyperlink" Target="https://www.itu.int/en/ITU-T/Workshops-and-Seminars/2023/Pages/default.aspx" TargetMode="External"/><Relationship Id="rId550" Type="http://schemas.openxmlformats.org/officeDocument/2006/relationships/hyperlink" Target="https://www.worldstandardscooperation.org/what-we-do/world-standards-day/" TargetMode="External"/><Relationship Id="rId82" Type="http://schemas.openxmlformats.org/officeDocument/2006/relationships/hyperlink" Target="https://www.itu.int/highlights-report-activities/connect2030-agenda/" TargetMode="External"/><Relationship Id="rId203" Type="http://schemas.openxmlformats.org/officeDocument/2006/relationships/hyperlink" Target="https://unsceb.org/sites/default/files/2024-04/United%20Nations%20System%20White%20Paper%20on%20AI%20Governance.pdf" TargetMode="External"/><Relationship Id="rId385" Type="http://schemas.openxmlformats.org/officeDocument/2006/relationships/hyperlink" Target="https://www.itu.int/now4wrc23/" TargetMode="External"/><Relationship Id="rId592" Type="http://schemas.openxmlformats.org/officeDocument/2006/relationships/hyperlink" Target="https://www.itu.int/net4/Search/CL26" TargetMode="External"/><Relationship Id="rId245" Type="http://schemas.openxmlformats.org/officeDocument/2006/relationships/hyperlink" Target="https://www.itu.int/en/ITU-D/Statistics/Pages/definitions/default.aspx" TargetMode="External"/><Relationship Id="rId287" Type="http://schemas.openxmlformats.org/officeDocument/2006/relationships/hyperlink" Target="https://docs.un.org/en/E/RES/2025/18" TargetMode="External"/><Relationship Id="rId410" Type="http://schemas.openxmlformats.org/officeDocument/2006/relationships/hyperlink" Target="https://www.itu.int/generationconnect/generation-connect-podcast/" TargetMode="External"/><Relationship Id="rId452" Type="http://schemas.openxmlformats.org/officeDocument/2006/relationships/hyperlink" Target="https://itu.int/go/tsg21" TargetMode="External"/><Relationship Id="rId494" Type="http://schemas.openxmlformats.org/officeDocument/2006/relationships/hyperlink" Target="https://www.itu.int/initiatives/green-digital-action/events/all/green-digital-action-summit-2025/" TargetMode="External"/><Relationship Id="rId508" Type="http://schemas.openxmlformats.org/officeDocument/2006/relationships/hyperlink" Target="https://eur03.safelinks.protection.outlook.com/?url=https%3A%2F%2Fgiga.global%2F&amp;data=05|02|fernando.rivera%40itu.int|25850ebcdcaa42ef3ee508de787057c6|23e464d704e64b87913c24bd89219fd3|0|0|639080621056172495|Unknown|TWFpbGZsb3d8eyJFbXB0eU1hcGkiOnRydWUsIlYiOiIwLjAuMDAwMCIsIlAiOiJXaW4zMiIsIkFOIjoiTWFpbCIsIldUIjoyfQ%3D%3D|0|||&amp;sdata=tl3GCQkO8KZAPu%2Byf%2FsaAnkMY%2FSkG1y66JtrIhcLX5A%3D&amp;reserved=0" TargetMode="External"/><Relationship Id="rId105" Type="http://schemas.openxmlformats.org/officeDocument/2006/relationships/hyperlink" Target="https://www.itu.int/en/ITU-D/Statistics/Documents/publications/manual/ITU_HHManual_ICTskills_rev2025.pdf" TargetMode="External"/><Relationship Id="rId147" Type="http://schemas.openxmlformats.org/officeDocument/2006/relationships/hyperlink" Target="https://www.itu.int/myworkspace" TargetMode="External"/><Relationship Id="rId312" Type="http://schemas.openxmlformats.org/officeDocument/2006/relationships/hyperlink" Target="https://www.itu.int/hub/2025/09/new-itu-academic-collaboration-on-technology-trends/" TargetMode="External"/><Relationship Id="rId354" Type="http://schemas.openxmlformats.org/officeDocument/2006/relationships/hyperlink" Target="https://www.itu.int/itu-d/sites/priorities/enablers-of-itu-d-priorities/regional-presence/" TargetMode="External"/><Relationship Id="rId51" Type="http://schemas.openxmlformats.org/officeDocument/2006/relationships/hyperlink" Target="https://www.itu.int/en/publications/ITU-R/pages/publications.aspx?parent=R-ACT-WRC.16-2024&amp;media=electronic" TargetMode="External"/><Relationship Id="rId93" Type="http://schemas.openxmlformats.org/officeDocument/2006/relationships/hyperlink" Target="https://www.itu.int/en/ITU-D/Statistics/Pages/ICTprices/default.aspx" TargetMode="External"/><Relationship Id="rId189" Type="http://schemas.openxmlformats.org/officeDocument/2006/relationships/hyperlink" Target="https://www.worldstandardscooperation.org/" TargetMode="External"/><Relationship Id="rId396" Type="http://schemas.openxmlformats.org/officeDocument/2006/relationships/hyperlink" Target="https://www.itu.int/md/S25-CL-C-0006/en" TargetMode="External"/><Relationship Id="rId561" Type="http://schemas.openxmlformats.org/officeDocument/2006/relationships/hyperlink" Target="https://www.itu.int/en/ITU-T/focusgroups/ai4ndm/Pages/default.aspx" TargetMode="External"/><Relationship Id="rId214" Type="http://schemas.openxmlformats.org/officeDocument/2006/relationships/hyperlink" Target="https://www.itu.int/en/ITU-T/studygroups/2025-2028/17/Pages/default.aspx" TargetMode="External"/><Relationship Id="rId256" Type="http://schemas.openxmlformats.org/officeDocument/2006/relationships/hyperlink" Target="https://www.itu.int/itu-d/meetings/digital-skills-forum/" TargetMode="External"/><Relationship Id="rId298" Type="http://schemas.openxmlformats.org/officeDocument/2006/relationships/hyperlink" Target="https://aiforgood.itu.int/ai-skills-coalition/" TargetMode="External"/><Relationship Id="rId421" Type="http://schemas.openxmlformats.org/officeDocument/2006/relationships/hyperlink" Target="https://www.itu.int/md/S25-CL-C-0032/en" TargetMode="External"/><Relationship Id="rId463" Type="http://schemas.openxmlformats.org/officeDocument/2006/relationships/hyperlink" Target="https://academy.itu.int/training-courses/full-catalogue/formacion-de-promotoras-y-promotores-tecnicos-en-comunidades-indigenas-en-telecomunicaciones-y-0" TargetMode="External"/><Relationship Id="rId519" Type="http://schemas.openxmlformats.org/officeDocument/2006/relationships/hyperlink" Target="https://www.equalsintech.org/equals-badge" TargetMode="External"/><Relationship Id="rId116" Type="http://schemas.openxmlformats.org/officeDocument/2006/relationships/hyperlink" Target="https://www.itu.int/hub/publication/r-reg-rrx-2025/" TargetMode="External"/><Relationship Id="rId158" Type="http://schemas.openxmlformats.org/officeDocument/2006/relationships/hyperlink" Target="https://www.itu.int/en/ITU-D/Cybersecurity/Pages/national-CIRT.aspx" TargetMode="External"/><Relationship Id="rId323" Type="http://schemas.openxmlformats.org/officeDocument/2006/relationships/hyperlink" Target="https://www.itu.int/en/ITU-R/seminars/rrs/2022-Arab/Pages/default.aspx" TargetMode="External"/><Relationship Id="rId530" Type="http://schemas.openxmlformats.org/officeDocument/2006/relationships/hyperlink" Target="https://u4ssc.itu.int/u4ssc-kpis-report/" TargetMode="External"/><Relationship Id="rId20" Type="http://schemas.openxmlformats.org/officeDocument/2006/relationships/hyperlink" Target="https://www.itu.int/en/ITU-T/jca/mv/Pages/default.aspx" TargetMode="External"/><Relationship Id="rId62" Type="http://schemas.openxmlformats.org/officeDocument/2006/relationships/hyperlink" Target="https://www.itu.int/md/R23-WRC23-C-0217/en" TargetMode="External"/><Relationship Id="rId365" Type="http://schemas.openxmlformats.org/officeDocument/2006/relationships/hyperlink" Target="https://www.itu.int/women-and-girls/girls-in-ict/" TargetMode="External"/><Relationship Id="rId572" Type="http://schemas.openxmlformats.org/officeDocument/2006/relationships/hyperlink" Target="https://www.itu.int/net/epub/TSB/2025-Digital-Agriculture-A-Standards-Snapshot/index.html" TargetMode="External"/><Relationship Id="rId225" Type="http://schemas.openxmlformats.org/officeDocument/2006/relationships/hyperlink" Target="https://aiforgood.itu.int/the-future-leaders-in-quantum-hackathon/" TargetMode="External"/><Relationship Id="rId267" Type="http://schemas.openxmlformats.org/officeDocument/2006/relationships/hyperlink" Target="https://www.itu.int/md/S23-CL-C-0120/en" TargetMode="External"/><Relationship Id="rId432" Type="http://schemas.openxmlformats.org/officeDocument/2006/relationships/hyperlink" Target="https://academy.itu.int/" TargetMode="External"/><Relationship Id="rId474" Type="http://schemas.openxmlformats.org/officeDocument/2006/relationships/hyperlink" Target="https://www.itu.int/pub/D-IND-CLIM-2025" TargetMode="External"/><Relationship Id="rId127" Type="http://schemas.openxmlformats.org/officeDocument/2006/relationships/hyperlink" Target="https://www.itu.int/dms_pub/itu-t/opb/res/T-RES-T.91-2024-PDF-R.pdf" TargetMode="External"/><Relationship Id="rId31" Type="http://schemas.openxmlformats.org/officeDocument/2006/relationships/hyperlink" Target="https://www.itu.int/en/ITU-T/extcoop/Pages/wsc.aspx" TargetMode="External"/><Relationship Id="rId73" Type="http://schemas.openxmlformats.org/officeDocument/2006/relationships/hyperlink" Target="https://www.itu.int/itu-d/meetings/wtdc25/wp-content/uploads/sites/29/2025/11/090-E.pdf" TargetMode="External"/><Relationship Id="rId169" Type="http://schemas.openxmlformats.org/officeDocument/2006/relationships/hyperlink" Target="https://www.itu.int/en/ITU-D/Cybersecurity/Pages/COP/COP%20Industry%20Connect/COP-Industry-Connect.aspx" TargetMode="External"/><Relationship Id="rId334" Type="http://schemas.openxmlformats.org/officeDocument/2006/relationships/hyperlink" Target="https://www.itu.int/en/ITU-R/seminars/Future-of-tv-europe/Documents/Demos%20on%20Future%20of%20Broadcasting.pdf" TargetMode="External"/><Relationship Id="rId376" Type="http://schemas.openxmlformats.org/officeDocument/2006/relationships/hyperlink" Target="https://www.equalsintech.org/_files/ugd/04bfff_cc8e6f166c2e41beabc88cbb3226f66f.pdf" TargetMode="External"/><Relationship Id="rId541" Type="http://schemas.openxmlformats.org/officeDocument/2006/relationships/hyperlink" Target="https://www.itu.int/en/ITU-T/extcoop/cits/egcomad/wg01/Pages/default.aspx" TargetMode="External"/><Relationship Id="rId583" Type="http://schemas.openxmlformats.org/officeDocument/2006/relationships/hyperlink" Target="https://www.un.org/un80-initiative/sites/default/files/2025-09/UN80_WS3-1_250921_1238.pdf" TargetMode="External"/><Relationship Id="rId4" Type="http://schemas.openxmlformats.org/officeDocument/2006/relationships/settings" Target="settings.xml"/><Relationship Id="rId180" Type="http://schemas.openxmlformats.org/officeDocument/2006/relationships/hyperlink" Target="https://www.itu.int/en/ITU-T/focusgroups/ainn/Pages/default.aspx" TargetMode="External"/><Relationship Id="rId236" Type="http://schemas.openxmlformats.org/officeDocument/2006/relationships/hyperlink" Target="https://www.itu.int/en/ITU-T/studygroups/2025-2028/20/Pages/default.aspx" TargetMode="External"/><Relationship Id="rId278" Type="http://schemas.openxmlformats.org/officeDocument/2006/relationships/hyperlink" Target="http://www.wsis.org/forum" TargetMode="External"/><Relationship Id="rId401" Type="http://schemas.openxmlformats.org/officeDocument/2006/relationships/hyperlink" Target="https://www.itu.int/generationconnect/youthsummit/youth-summit-resources/" TargetMode="External"/><Relationship Id="rId443" Type="http://schemas.openxmlformats.org/officeDocument/2006/relationships/hyperlink" Target="https://youtu.be/FsFOxfCois0" TargetMode="External"/><Relationship Id="rId303" Type="http://schemas.openxmlformats.org/officeDocument/2006/relationships/hyperlink" Target="https://www.itu.int/en/ITU-D/Conferences/GSR/Pages/GSR.aspx" TargetMode="External"/><Relationship Id="rId485" Type="http://schemas.openxmlformats.org/officeDocument/2006/relationships/hyperlink" Target="https://www.itu.int/initiatives/green-digital-action/events/all/cop29/declaration/" TargetMode="External"/><Relationship Id="rId42" Type="http://schemas.openxmlformats.org/officeDocument/2006/relationships/hyperlink" Target="https://www.itu.int/en/council/Documents/basic-texts-2023/RES-071-E.pdf" TargetMode="External"/><Relationship Id="rId84" Type="http://schemas.openxmlformats.org/officeDocument/2006/relationships/chart" Target="charts/chart1.xml"/><Relationship Id="rId138" Type="http://schemas.openxmlformats.org/officeDocument/2006/relationships/hyperlink" Target="https://www.itu.int/pub/T-RES-T.44-2024" TargetMode="External"/><Relationship Id="rId345" Type="http://schemas.openxmlformats.org/officeDocument/2006/relationships/hyperlink" Target="https://aiforgood.itu.int/ai-events-calendar/" TargetMode="External"/><Relationship Id="rId387" Type="http://schemas.openxmlformats.org/officeDocument/2006/relationships/hyperlink" Target="https://www.itu.int/hub/publication/d-hdb-gender-2023-01/" TargetMode="External"/><Relationship Id="rId510" Type="http://schemas.openxmlformats.org/officeDocument/2006/relationships/hyperlink" Target="https://www.itu.int/partner2connect/" TargetMode="External"/><Relationship Id="rId552" Type="http://schemas.openxmlformats.org/officeDocument/2006/relationships/hyperlink" Target="https://www.itu.int/initiatives/green-digital-action/events/all/cop29/world-standards-cooperation-paving-the-path-for-sustainability-by-design/" TargetMode="External"/><Relationship Id="rId594" Type="http://schemas.openxmlformats.org/officeDocument/2006/relationships/header" Target="header1.xml"/><Relationship Id="rId191" Type="http://schemas.openxmlformats.org/officeDocument/2006/relationships/hyperlink" Target="https://aiforgood.itu.int/ai-skills-coalition/" TargetMode="External"/><Relationship Id="rId205" Type="http://schemas.openxmlformats.org/officeDocument/2006/relationships/hyperlink" Target="https://www.itu.int/pub/S-GEN-UNACT-2024" TargetMode="External"/><Relationship Id="rId247" Type="http://schemas.openxmlformats.org/officeDocument/2006/relationships/hyperlink" Target="https://www.itu.int/en/ITU-D/Statistics/Pages/publications/default.aspx" TargetMode="External"/><Relationship Id="rId412" Type="http://schemas.openxmlformats.org/officeDocument/2006/relationships/hyperlink" Target="https://www.youtube.com/watch?v=uB2eLaPDdDc" TargetMode="External"/><Relationship Id="rId107" Type="http://schemas.openxmlformats.org/officeDocument/2006/relationships/hyperlink" Target="https://www.itu.int/en/ITU-D/Statistics/Pages/facts/default.aspx" TargetMode="External"/><Relationship Id="rId289" Type="http://schemas.openxmlformats.org/officeDocument/2006/relationships/hyperlink" Target="https://www.itu.int/en/itu-wsis/Pages/WSIS-Fund-in-Trust.aspx" TargetMode="External"/><Relationship Id="rId454" Type="http://schemas.openxmlformats.org/officeDocument/2006/relationships/hyperlink" Target="https://www.itu.int/metaverse/virtual-worlds/" TargetMode="External"/><Relationship Id="rId496" Type="http://schemas.openxmlformats.org/officeDocument/2006/relationships/hyperlink" Target="https://www.itu.int/initiatives/sdgdigital/" TargetMode="External"/><Relationship Id="rId11" Type="http://schemas.openxmlformats.org/officeDocument/2006/relationships/hyperlink" Target="https://www.itu.int/en/council/Documents/basic-texts/Convention-R.pdf" TargetMode="External"/><Relationship Id="rId53" Type="http://schemas.openxmlformats.org/officeDocument/2006/relationships/hyperlink" Target="https://www.itu.int/ra-23/" TargetMode="External"/><Relationship Id="rId149" Type="http://schemas.openxmlformats.org/officeDocument/2006/relationships/hyperlink" Target="https://www.itu.int/pub/T-RES-T.67-2024" TargetMode="External"/><Relationship Id="rId314" Type="http://schemas.openxmlformats.org/officeDocument/2006/relationships/hyperlink" Target="https://www.itu.int/en/journal/j-fet/webinars/Pages/default.aspx" TargetMode="External"/><Relationship Id="rId356" Type="http://schemas.openxmlformats.org/officeDocument/2006/relationships/hyperlink" Target="https://www.itu.int/md/S26-CL-C-0024/en" TargetMode="External"/><Relationship Id="rId398" Type="http://schemas.openxmlformats.org/officeDocument/2006/relationships/hyperlink" Target="https://www.itu.int/md/S23-CL-C-0006/en" TargetMode="External"/><Relationship Id="rId521" Type="http://schemas.openxmlformats.org/officeDocument/2006/relationships/hyperlink" Target="https://www.itu.int/en/ITU-D/Digital-Inclusion/Pages/EIF-Regional-Project-.aspx" TargetMode="External"/><Relationship Id="rId563" Type="http://schemas.openxmlformats.org/officeDocument/2006/relationships/hyperlink" Target="https://www.itu.int/pub/publications.aspx?lang=en&amp;parent=T-FG-AI4NDM-2022" TargetMode="External"/><Relationship Id="rId95" Type="http://schemas.openxmlformats.org/officeDocument/2006/relationships/hyperlink" Target="https://www.itu.int/itu-d/reports/statistics/2025/10/15/ff25-mobile-phone-ownership/" TargetMode="External"/><Relationship Id="rId160" Type="http://schemas.openxmlformats.org/officeDocument/2006/relationships/hyperlink" Target="https://www.itu.int/en/ITU-D/Cybersecurity/Pages/global-cybersecurity-index.aspx" TargetMode="External"/><Relationship Id="rId216" Type="http://schemas.openxmlformats.org/officeDocument/2006/relationships/hyperlink" Target="https://www.itu.int/rec/T-REC-Y.3809/en" TargetMode="External"/><Relationship Id="rId423" Type="http://schemas.openxmlformats.org/officeDocument/2006/relationships/hyperlink" Target="https://aiforgood.itu.int/robotics-for-good-youth-challenge/" TargetMode="External"/><Relationship Id="rId258" Type="http://schemas.openxmlformats.org/officeDocument/2006/relationships/hyperlink" Target="https://www.itu.int/en/ITU-T/info/Pages/resources.aspx" TargetMode="External"/><Relationship Id="rId465" Type="http://schemas.openxmlformats.org/officeDocument/2006/relationships/hyperlink" Target="https://desapublications.un.org/policy-dialogues/leaving-no-one-behind-ageing-world-un-desa-global-policy-dialogue" TargetMode="External"/><Relationship Id="rId22" Type="http://schemas.openxmlformats.org/officeDocument/2006/relationships/hyperlink" Target="https://aiforgood.itu.int/ai-for-health/" TargetMode="External"/><Relationship Id="rId64" Type="http://schemas.openxmlformats.org/officeDocument/2006/relationships/hyperlink" Target="https://gss.itu.int/" TargetMode="External"/><Relationship Id="rId118" Type="http://schemas.openxmlformats.org/officeDocument/2006/relationships/hyperlink" Target="https://www.itu.int/sales/digital-publications/pub/r-sp-lm.mm" TargetMode="External"/><Relationship Id="rId325" Type="http://schemas.openxmlformats.org/officeDocument/2006/relationships/hyperlink" Target="https://www.itu.int/en/ITU-R/seminars/rrs/RRS-22-Asia-Pacific/Pages/default.aspx" TargetMode="External"/><Relationship Id="rId367" Type="http://schemas.openxmlformats.org/officeDocument/2006/relationships/hyperlink" Target="https://www.itu.int/en/ITU-D/Cybersecurity/Pages/Women-in-Cyber/Women-in-Cyber-Mentorship-Programme.aspx" TargetMode="External"/><Relationship Id="rId532" Type="http://schemas.openxmlformats.org/officeDocument/2006/relationships/hyperlink" Target="https://u4ssc.itu.int/latest-meetings/" TargetMode="External"/><Relationship Id="rId574" Type="http://schemas.openxmlformats.org/officeDocument/2006/relationships/hyperlink" Target="https://www.itu.int/hub/2023/07/new-un-initiative-aims-to-step-up-ais-contribution-to-health/" TargetMode="External"/><Relationship Id="rId171" Type="http://schemas.openxmlformats.org/officeDocument/2006/relationships/hyperlink" Target="https://www.itu.int/en/ITU-T/publications/Pages/recs.aspx" TargetMode="External"/><Relationship Id="rId227" Type="http://schemas.openxmlformats.org/officeDocument/2006/relationships/hyperlink" Target="https://www.itu.int/en/ITU-T/focusgroups/mv/Pages/default.aspx" TargetMode="External"/><Relationship Id="rId269" Type="http://schemas.openxmlformats.org/officeDocument/2006/relationships/hyperlink" Target="https://www.itu.int/pub/T-RES-T.75-2022" TargetMode="External"/><Relationship Id="rId434" Type="http://schemas.openxmlformats.org/officeDocument/2006/relationships/hyperlink" Target="https://www.itu.int/en/ITU-D/Digital-Inclusion/Pages/ICT-digital-accessibility/toolkits/towards-building-inclusive-digital-communities/2023/default.aspx" TargetMode="External"/><Relationship Id="rId476" Type="http://schemas.openxmlformats.org/officeDocument/2006/relationships/hyperlink" Target="https://www.itu.int/en/ITU-D/Environment/Pages/Publications/Measuring-Emissions-and-Energy-Footprint-ICT-Sector.aspx" TargetMode="External"/><Relationship Id="rId33" Type="http://schemas.openxmlformats.org/officeDocument/2006/relationships/hyperlink" Target="https://giga.global/" TargetMode="External"/><Relationship Id="rId129" Type="http://schemas.openxmlformats.org/officeDocument/2006/relationships/hyperlink" Target="https://www.itu.int/pub/R-REC" TargetMode="External"/><Relationship Id="rId280" Type="http://schemas.openxmlformats.org/officeDocument/2006/relationships/hyperlink" Target="https://www.itu.int/md/S22-CL-C-0059/en" TargetMode="External"/><Relationship Id="rId336" Type="http://schemas.openxmlformats.org/officeDocument/2006/relationships/hyperlink" Target="https://www.itu.int/en/ITU-R/seminars/ntfa/Pages/default.aspx" TargetMode="External"/><Relationship Id="rId501"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36163|Unknown|TWFpbGZsb3d8eyJFbXB0eU1hcGkiOnRydWUsIlYiOiIwLjAuMDAwMCIsIlAiOiJXaW4zMiIsIkFOIjoiTWFpbCIsIldUIjoyfQ%3D%3D|0|||&amp;sdata=qS8dAdJ1cDPPPgJ1oz64M7zuDrd7O8OfLzRSXDAENuQ%3D&amp;reserved=0" TargetMode="External"/><Relationship Id="rId543" Type="http://schemas.openxmlformats.org/officeDocument/2006/relationships/hyperlink" Target="https://www.itu.int/en/ITU-T/extcoop/cits/egcomad/wg03/Pages/default.aspx" TargetMode="External"/><Relationship Id="rId75" Type="http://schemas.openxmlformats.org/officeDocument/2006/relationships/hyperlink" Target="https://www.itu.int/itu-d/meetings/wtdc25/wp-content/uploads/sites/29/2025/11/090-E.pdf" TargetMode="External"/><Relationship Id="rId140" Type="http://schemas.openxmlformats.org/officeDocument/2006/relationships/image" Target="media/image8.png"/><Relationship Id="rId182" Type="http://schemas.openxmlformats.org/officeDocument/2006/relationships/hyperlink" Target="https://www.itu.int/en/ITU-T/focusgroups/ai4ndm/Pages/default.aspx" TargetMode="External"/><Relationship Id="rId378" Type="http://schemas.openxmlformats.org/officeDocument/2006/relationships/hyperlink" Target="https://www.itu.int/women-and-girls/girls-in-ict/" TargetMode="External"/><Relationship Id="rId403" Type="http://schemas.openxmlformats.org/officeDocument/2006/relationships/hyperlink" Target="https://www.youtube.com/watch?v=j1o2mY676TA" TargetMode="External"/><Relationship Id="rId585" Type="http://schemas.openxmlformats.org/officeDocument/2006/relationships/hyperlink" Target="https://www.itu.int/md/S24-CL-C-0070/en" TargetMode="External"/><Relationship Id="rId6" Type="http://schemas.openxmlformats.org/officeDocument/2006/relationships/footnotes" Target="footnotes.xml"/><Relationship Id="rId238" Type="http://schemas.openxmlformats.org/officeDocument/2006/relationships/hyperlink" Target="https://www.itu.int/ITU-T/recommendations/index_sg.aspx?sg=20" TargetMode="External"/><Relationship Id="rId445" Type="http://schemas.openxmlformats.org/officeDocument/2006/relationships/hyperlink" Target="https://www.itu.int/net4/itu-t/search" TargetMode="External"/><Relationship Id="rId487" Type="http://schemas.openxmlformats.org/officeDocument/2006/relationships/hyperlink" Target="https://www.itu.int/initiatives/green-digital-action/events/cop30/" TargetMode="External"/><Relationship Id="rId291" Type="http://schemas.openxmlformats.org/officeDocument/2006/relationships/hyperlink" Target="https://datahub.itu.int/" TargetMode="External"/><Relationship Id="rId305" Type="http://schemas.openxmlformats.org/officeDocument/2006/relationships/hyperlink" Target="https://www.itu.int/en/ITU-D/Regulatory-Market/Documents/GSR23/GSR-23_Best%20Practice%20Guidelines-E.pdf" TargetMode="External"/><Relationship Id="rId347" Type="http://schemas.openxmlformats.org/officeDocument/2006/relationships/hyperlink" Target="https://www.itu.int/net4/ITU-D/CDS/sg/doc/rgq/2018/D18-SG01-RGQ05.1-en.pdf" TargetMode="External"/><Relationship Id="rId512" Type="http://schemas.openxmlformats.org/officeDocument/2006/relationships/hyperlink" Target="https://www.equalsintech.org/" TargetMode="External"/><Relationship Id="rId44" Type="http://schemas.openxmlformats.org/officeDocument/2006/relationships/hyperlink" Target="https://pp.itu.int/2022/ru" TargetMode="External"/><Relationship Id="rId86" Type="http://schemas.openxmlformats.org/officeDocument/2006/relationships/chart" Target="charts/chart2.xml"/><Relationship Id="rId151" Type="http://schemas.openxmlformats.org/officeDocument/2006/relationships/hyperlink" Target="https://www.itu.int/en/ITU-T/gap/Documents/nss-rep-may.pdf" TargetMode="External"/><Relationship Id="rId389" Type="http://schemas.openxmlformats.org/officeDocument/2006/relationships/hyperlink" Target="https://wtisd.itu.int/2025/about/2025-theme/" TargetMode="External"/><Relationship Id="rId554" Type="http://schemas.openxmlformats.org/officeDocument/2006/relationships/hyperlink" Target="https://aiforgood.itu.int/multimedia-authenticity/" TargetMode="External"/><Relationship Id="rId596" Type="http://schemas.openxmlformats.org/officeDocument/2006/relationships/fontTable" Target="fontTable.xml"/><Relationship Id="rId193" Type="http://schemas.openxmlformats.org/officeDocument/2006/relationships/hyperlink" Target="https://aiforgood.itu.int/robotics-for-good-youth-challenge/" TargetMode="External"/><Relationship Id="rId207" Type="http://schemas.openxmlformats.org/officeDocument/2006/relationships/hyperlink" Target="https://docs.un.org/en/A/RES/80/173" TargetMode="External"/><Relationship Id="rId249" Type="http://schemas.openxmlformats.org/officeDocument/2006/relationships/hyperlink" Target="https://www.itu.int/en/ITU-D/Statistics/Pages/capacitydev/default.aspx" TargetMode="External"/><Relationship Id="rId414" Type="http://schemas.openxmlformats.org/officeDocument/2006/relationships/hyperlink" Target="https://www.itu.int/net4/wsis/forum/2023/Home/ICTsYouthPrize" TargetMode="External"/><Relationship Id="rId456" Type="http://schemas.openxmlformats.org/officeDocument/2006/relationships/hyperlink" Target="https://www.itu.int/pub/R-RES-R.67" TargetMode="External"/><Relationship Id="rId498" Type="http://schemas.openxmlformats.org/officeDocument/2006/relationships/hyperlink" Target="https://www.itu.int/initiatives/digital-unga2025/" TargetMode="External"/><Relationship Id="rId13" Type="http://schemas.openxmlformats.org/officeDocument/2006/relationships/hyperlink" Target="https://www.itu.int/en/council/Documents/basic-texts-2023/RES-071-R.pdf" TargetMode="External"/><Relationship Id="rId109" Type="http://schemas.openxmlformats.org/officeDocument/2006/relationships/hyperlink" Target="https://www.itu.int/itu-d/reports/statistics/global-connectivity-report-2025/" TargetMode="External"/><Relationship Id="rId260" Type="http://schemas.openxmlformats.org/officeDocument/2006/relationships/chart" Target="charts/chart11.xml"/><Relationship Id="rId316" Type="http://schemas.openxmlformats.org/officeDocument/2006/relationships/hyperlink" Target="https://www.itu.int/en/ITU-T/academia/kaleidoscope/Pages/default.aspx" TargetMode="External"/><Relationship Id="rId523" Type="http://schemas.openxmlformats.org/officeDocument/2006/relationships/hyperlink" Target="https://giga.global/" TargetMode="External"/><Relationship Id="rId55" Type="http://schemas.openxmlformats.org/officeDocument/2006/relationships/hyperlink" Target="https://www.itu.int/pub/R-RES-R.5" TargetMode="External"/><Relationship Id="rId97" Type="http://schemas.openxmlformats.org/officeDocument/2006/relationships/chart" Target="charts/chart4.xml"/><Relationship Id="rId120" Type="http://schemas.openxmlformats.org/officeDocument/2006/relationships/hyperlink" Target="https://www.itu.int/ITU-R/terrasys" TargetMode="External"/><Relationship Id="rId358" Type="http://schemas.openxmlformats.org/officeDocument/2006/relationships/hyperlink" Target="https://www.itu.int/itu-d/meetings/wtdc25/" TargetMode="External"/><Relationship Id="rId565" Type="http://schemas.openxmlformats.org/officeDocument/2006/relationships/hyperlink" Target="https://www.itu.int/en/ITU-T/focusgroups/ai4ndm/Documents/Deliverables/FG-AI4NDM%20WG-MODELING%20-%20AI%20for%20Modeling.pdf" TargetMode="External"/><Relationship Id="rId162" Type="http://schemas.openxmlformats.org/officeDocument/2006/relationships/hyperlink" Target="https://www.itu.int/en/ITU-D/Cybersecurity/Pages/Skills-Development/Her-CyberTracks.aspx" TargetMode="External"/><Relationship Id="rId218" Type="http://schemas.openxmlformats.org/officeDocument/2006/relationships/hyperlink" Target="https://www.itu.int/en/ITU-T/jca/qkdn/Pages/default.aspx" TargetMode="External"/><Relationship Id="rId425" Type="http://schemas.openxmlformats.org/officeDocument/2006/relationships/hyperlink" Target="https://www.itu.int/metaverse/virtual-worlds/1st-un-citiverse-challenge/" TargetMode="External"/><Relationship Id="rId467" Type="http://schemas.openxmlformats.org/officeDocument/2006/relationships/hyperlink" Target="https://www.itu.int/pub/D-PHCB-DIG_AGE-2021" TargetMode="External"/><Relationship Id="rId271" Type="http://schemas.openxmlformats.org/officeDocument/2006/relationships/hyperlink" Target="http://www.wsis.org/forum" TargetMode="External"/><Relationship Id="rId24" Type="http://schemas.openxmlformats.org/officeDocument/2006/relationships/hyperlink" Target="https://www.itu.int/itu-d/reports/statistics/global-connectivity-report-2025/" TargetMode="External"/><Relationship Id="rId66" Type="http://schemas.openxmlformats.org/officeDocument/2006/relationships/hyperlink" Target="https://en.wikipedia.org/wiki/ITU-T_Study_Group_16" TargetMode="External"/><Relationship Id="rId131" Type="http://schemas.openxmlformats.org/officeDocument/2006/relationships/hyperlink" Target="https://www.itu.int/en/ITU-T/focusgroups/Pages/default.aspx" TargetMode="External"/><Relationship Id="rId327" Type="http://schemas.openxmlformats.org/officeDocument/2006/relationships/hyperlink" Target="https://www.itu.int/en/ITU-R/seminars/rrs/RRS-23-Africa/Pages/default.aspx" TargetMode="External"/><Relationship Id="rId369" Type="http://schemas.openxmlformats.org/officeDocument/2006/relationships/hyperlink" Target="https://www.itu.int/en/ITU-D/Cybersecurity/Pages/Skills-Development/Her-CyberTracks.aspx" TargetMode="External"/><Relationship Id="rId534" Type="http://schemas.openxmlformats.org/officeDocument/2006/relationships/hyperlink" Target="https://www.itu.int/cities/dt-digest/" TargetMode="External"/><Relationship Id="rId576" Type="http://schemas.openxmlformats.org/officeDocument/2006/relationships/hyperlink" Target="https://www.itu.int/en/ITU-T/focusgroups/ai4h/Pages/default.aspx" TargetMode="External"/><Relationship Id="rId173" Type="http://schemas.openxmlformats.org/officeDocument/2006/relationships/hyperlink" Target="https://itu.int/go/SIG-SECURITY" TargetMode="External"/><Relationship Id="rId229" Type="http://schemas.openxmlformats.org/officeDocument/2006/relationships/hyperlink" Target="https://www.itu.int/en/ITU-T/focusgroups/mv/Pages/FG-MV-structure-and-workplan.aspx" TargetMode="External"/><Relationship Id="rId380" Type="http://schemas.openxmlformats.org/officeDocument/2006/relationships/hyperlink" Target="https://www.itu.int/now4wrc/" TargetMode="External"/><Relationship Id="rId436" Type="http://schemas.openxmlformats.org/officeDocument/2006/relationships/hyperlink" Target="https://www.itu.int/en/ITU-D/Digital-Inclusion/Documents/Auto-evaluation%20UIT%20pour%20la%20mise%20en%20oeuvre%20de%20TIC%20accessibles%20-%20FINAL_1.xlsm" TargetMode="External"/><Relationship Id="rId240" Type="http://schemas.openxmlformats.org/officeDocument/2006/relationships/image" Target="media/image10.png"/><Relationship Id="rId478" Type="http://schemas.openxmlformats.org/officeDocument/2006/relationships/hyperlink" Target="https://www.itu.int/en/ITU-D/Environment/Documents/Publications/2025/ITU-World%20Bank%20Green%20data%20centers_2023.pdf" TargetMode="External"/><Relationship Id="rId35" Type="http://schemas.openxmlformats.org/officeDocument/2006/relationships/hyperlink" Target="https://www.equalsintech.org/" TargetMode="External"/><Relationship Id="rId77" Type="http://schemas.openxmlformats.org/officeDocument/2006/relationships/hyperlink" Target="https://www.itu.int/md/meetingdoc.asp?lang=en&amp;parent=D22-WTDC25-C-0002" TargetMode="External"/><Relationship Id="rId100" Type="http://schemas.openxmlformats.org/officeDocument/2006/relationships/chart" Target="charts/chart6.xml"/><Relationship Id="rId282" Type="http://schemas.openxmlformats.org/officeDocument/2006/relationships/hyperlink" Target="https://www.itu.int/en/itu-wsis/Pages/CWG-WSIS%26SDG_Call_for_Inputs_2025.aspx" TargetMode="External"/><Relationship Id="rId338" Type="http://schemas.openxmlformats.org/officeDocument/2006/relationships/hyperlink" Target="https://www.itu.int/Global-ITU-WMO/" TargetMode="External"/><Relationship Id="rId503" Type="http://schemas.openxmlformats.org/officeDocument/2006/relationships/hyperlink" Target="https://eur03.safelinks.protection.outlook.com/?url=https%3A%2F%2Fbroadbandcommission.org%2Fworking-groups%2F&amp;data=05|02|fernando.rivera%40itu.int|25850ebcdcaa42ef3ee508de787057c6|23e464d704e64b87913c24bd89219fd3|0|0|639080621056073225|Unknown|TWFpbGZsb3d8eyJFbXB0eU1hcGkiOnRydWUsIlYiOiIwLjAuMDAwMCIsIlAiOiJXaW4zMiIsIkFOIjoiTWFpbCIsIldUIjoyfQ%3D%3D|0|||&amp;sdata=v3zmw5nMd5didUxUL7wp%2FuXMCFlJ1mb8sUSSPJZV21U%3D&amp;reserved=0" TargetMode="External"/><Relationship Id="rId545" Type="http://schemas.openxmlformats.org/officeDocument/2006/relationships/hyperlink" Target="https://aiforgood.itu.int/" TargetMode="External"/><Relationship Id="rId587" Type="http://schemas.openxmlformats.org/officeDocument/2006/relationships/hyperlink" Target="https://www.itu.int/md/S25-CL-C-0055/en" TargetMode="External"/><Relationship Id="rId8" Type="http://schemas.openxmlformats.org/officeDocument/2006/relationships/hyperlink" Target="https://www.itu.int/md/S26-PP-C-0020/en" TargetMode="External"/><Relationship Id="rId142" Type="http://schemas.openxmlformats.org/officeDocument/2006/relationships/hyperlink" Target="https://www.itu.int/en/ITU-T/regionalgroups/Pages/default.aspx" TargetMode="External"/><Relationship Id="rId184" Type="http://schemas.openxmlformats.org/officeDocument/2006/relationships/hyperlink" Target="https://www.itu.int/en/ITU-T/extcoop/ai4resilience/Pages/default.aspx" TargetMode="External"/><Relationship Id="rId391" Type="http://schemas.openxmlformats.org/officeDocument/2006/relationships/hyperlink" Target="https://publicadministration.desa.un.org/wsis20" TargetMode="External"/><Relationship Id="rId405" Type="http://schemas.openxmlformats.org/officeDocument/2006/relationships/hyperlink" Target="https://www.itu.int/generationconnect/generation-connect-at-ldc5/" TargetMode="External"/><Relationship Id="rId447" Type="http://schemas.openxmlformats.org/officeDocument/2006/relationships/hyperlink" Target="https://www.itu.int/rec/T-REC-H.870" TargetMode="External"/><Relationship Id="rId251" Type="http://schemas.openxmlformats.org/officeDocument/2006/relationships/hyperlink" Target="https://www.itu.int/en/ITU-D/Statistics/Pages/intlcoop/default.aspx" TargetMode="External"/><Relationship Id="rId489" Type="http://schemas.openxmlformats.org/officeDocument/2006/relationships/hyperlink" Target="https://www.itu.int/en/mediacentre/Pages/PR-2025-11-10-Green-Digital-Action-COP30-announcement.aspx" TargetMode="External"/><Relationship Id="rId46" Type="http://schemas.openxmlformats.org/officeDocument/2006/relationships/hyperlink" Target="https://www.itu.int/en/council/Documents/basic-texts-2023/RES-071-R.pdf" TargetMode="External"/><Relationship Id="rId293" Type="http://schemas.openxmlformats.org/officeDocument/2006/relationships/hyperlink" Target="https://aiforgood.itu.int/ai-events-calendar/" TargetMode="External"/><Relationship Id="rId307" Type="http://schemas.openxmlformats.org/officeDocument/2006/relationships/hyperlink" Target="https://www.itu.int/net/epub/BDT/2025-GSR-25-Best-Practice-Guidelines/index.html" TargetMode="External"/><Relationship Id="rId349" Type="http://schemas.openxmlformats.org/officeDocument/2006/relationships/hyperlink" Target="https://www.itu.int/en/ITU-D/Cybersecurity/pages/cyberdrills.aspx" TargetMode="External"/><Relationship Id="rId514" Type="http://schemas.openxmlformats.org/officeDocument/2006/relationships/hyperlink" Target="https://www.equalsintech.org/skills" TargetMode="External"/><Relationship Id="rId556" Type="http://schemas.openxmlformats.org/officeDocument/2006/relationships/hyperlink" Target="https://aiforgood.itu.int/event/international-ai-standards-summit-2/" TargetMode="External"/><Relationship Id="rId88" Type="http://schemas.openxmlformats.org/officeDocument/2006/relationships/image" Target="media/image3.png"/><Relationship Id="rId111" Type="http://schemas.openxmlformats.org/officeDocument/2006/relationships/hyperlink" Target="https://www.itu.int/en/ITU-D/Environment/Documents/Publications/2025/d-gen-e_waste.01-2024-pdf-e.pdf" TargetMode="External"/><Relationship Id="rId153" Type="http://schemas.openxmlformats.org/officeDocument/2006/relationships/hyperlink" Target="https://www.itu.int/en/ITU-T/dfs/seclab/Pages/default.aspx" TargetMode="External"/><Relationship Id="rId195" Type="http://schemas.openxmlformats.org/officeDocument/2006/relationships/hyperlink" Target="https://aiforgood.itu.int/event/impact-africa/" TargetMode="External"/><Relationship Id="rId209" Type="http://schemas.openxmlformats.org/officeDocument/2006/relationships/hyperlink" Target="https://www.itu.int/epublications/publication/the-annual-ai-governance-report-2025-steering-the-future-of-ai" TargetMode="External"/><Relationship Id="rId360" Type="http://schemas.openxmlformats.org/officeDocument/2006/relationships/image" Target="media/image13.png"/><Relationship Id="rId416" Type="http://schemas.openxmlformats.org/officeDocument/2006/relationships/hyperlink" Target="https://www.itu.int/generationconnect/empower/generation-connect-young-leadership-programme-in-partnership-with-huawei/" TargetMode="External"/><Relationship Id="rId220" Type="http://schemas.openxmlformats.org/officeDocument/2006/relationships/hyperlink" Target="https://www.itu.int/itu-t/landscape/?topic=tx467&amp;group=g&amp;search_text=" TargetMode="External"/><Relationship Id="rId458" Type="http://schemas.openxmlformats.org/officeDocument/2006/relationships/hyperlink" Target="https://www.itu.int/pub/R-REP-SM.2153" TargetMode="External"/><Relationship Id="rId15" Type="http://schemas.openxmlformats.org/officeDocument/2006/relationships/hyperlink" Target="https://www.itu.int/wrc-23/" TargetMode="External"/><Relationship Id="rId57" Type="http://schemas.openxmlformats.org/officeDocument/2006/relationships/hyperlink" Target="https://www.itu.int/pub/R-RES-R.65" TargetMode="External"/><Relationship Id="rId262" Type="http://schemas.openxmlformats.org/officeDocument/2006/relationships/hyperlink" Target="https://www.itu.int/itu-d/sites/projects/home/projects/" TargetMode="External"/><Relationship Id="rId318" Type="http://schemas.openxmlformats.org/officeDocument/2006/relationships/hyperlink" Target="https://www.itu.int/en/ITU-T/academia/kaleidoscope/2024/Pages/default.aspx" TargetMode="External"/><Relationship Id="rId525" Type="http://schemas.openxmlformats.org/officeDocument/2006/relationships/hyperlink" Target="https://www.itu.int/un-virtual-worlds-day/" TargetMode="External"/><Relationship Id="rId567" Type="http://schemas.openxmlformats.org/officeDocument/2006/relationships/hyperlink" Target="https://www.itu.int/en/ITU-T/focusgroups/ai4ndm/Pages/events.aspx" TargetMode="External"/><Relationship Id="rId99" Type="http://schemas.openxmlformats.org/officeDocument/2006/relationships/chart" Target="charts/chart5.xml"/><Relationship Id="rId122" Type="http://schemas.openxmlformats.org/officeDocument/2006/relationships/hyperlink" Target="https://www.itu.int/rec/T-REC-E.1120-202502-I" TargetMode="External"/><Relationship Id="rId164" Type="http://schemas.openxmlformats.org/officeDocument/2006/relationships/hyperlink" Target="https://meetings.unoda.org/meeting/57871" TargetMode="External"/><Relationship Id="rId371" Type="http://schemas.openxmlformats.org/officeDocument/2006/relationships/hyperlink" Target="https://www.itu.int/en/ITU-D/Regional-Presence/Africa/Pages/African-Girls-Can-Code-Initiative-(AGCCI)-II.aspx" TargetMode="External"/><Relationship Id="rId427" Type="http://schemas.openxmlformats.org/officeDocument/2006/relationships/hyperlink" Target="https://www.itu.int/en/ITU-D/Digital-Inclusion/Pages/ICT-digital-accessibility/default.aspx" TargetMode="External"/><Relationship Id="rId469" Type="http://schemas.openxmlformats.org/officeDocument/2006/relationships/hyperlink" Target="https://www.itu.int/cities/wp-content/uploads/2023/04/The-role-of-Digital-Technologies-in-Aging-and-Health.pdf" TargetMode="External"/><Relationship Id="rId26" Type="http://schemas.openxmlformats.org/officeDocument/2006/relationships/hyperlink" Target="https://academy.itu.int/digital-skills-communities/digital-transformation-centres-initiative" TargetMode="External"/><Relationship Id="rId231" Type="http://schemas.openxmlformats.org/officeDocument/2006/relationships/hyperlink" Target="https://www.itu.int/un-virtual-worlds-day/2025/" TargetMode="External"/><Relationship Id="rId273" Type="http://schemas.openxmlformats.org/officeDocument/2006/relationships/hyperlink" Target="https://www.itu.int/md/S26-CWGWSIS44-C-0002/en" TargetMode="External"/><Relationship Id="rId329" Type="http://schemas.openxmlformats.org/officeDocument/2006/relationships/hyperlink" Target="https://www.itu.int/wrs-24/" TargetMode="External"/><Relationship Id="rId480" Type="http://schemas.openxmlformats.org/officeDocument/2006/relationships/hyperlink" Target="https://www.itu.int/hub/publication/s-gen-gda-001-2025/" TargetMode="External"/><Relationship Id="rId536" Type="http://schemas.openxmlformats.org/officeDocument/2006/relationships/hyperlink" Target="https://www.itu.int/en/ITU-T/ITS/Pages/WTSA-Resolution-104.aspx" TargetMode="External"/><Relationship Id="rId68" Type="http://schemas.openxmlformats.org/officeDocument/2006/relationships/hyperlink" Target="https://www.itu.int/wtsa/2024/candidates/" TargetMode="External"/><Relationship Id="rId133" Type="http://schemas.openxmlformats.org/officeDocument/2006/relationships/hyperlink" Target="https://www.itu.int/md/meetingdoc.asp?lang=en&amp;parent=T25-SG11-260303-TD-GEN-0909" TargetMode="External"/><Relationship Id="rId175" Type="http://schemas.openxmlformats.org/officeDocument/2006/relationships/hyperlink" Target="https://u4ssc.itu.int/" TargetMode="External"/><Relationship Id="rId340" Type="http://schemas.openxmlformats.org/officeDocument/2006/relationships/hyperlink" Target="https://www.itu.int/en/ITU-T/Workshops-and-Seminars/pages/default.aspx" TargetMode="External"/><Relationship Id="rId578" Type="http://schemas.openxmlformats.org/officeDocument/2006/relationships/hyperlink" Target="https://www.itu.int/hub/publication/s-gen-invest-con-2025/" TargetMode="External"/><Relationship Id="rId200" Type="http://schemas.openxmlformats.org/officeDocument/2006/relationships/hyperlink" Target="https://www.itu.int/itu-d/meetings/wtdc25/wp-content/uploads/sites/29/2025/11/090-E.pdf" TargetMode="External"/><Relationship Id="rId382" Type="http://schemas.openxmlformats.org/officeDocument/2006/relationships/hyperlink" Target="https://www.itu.int/en/ITU-D/Digital-Inclusion/Women-and-Girls/NoW/Pages/default.aspx" TargetMode="External"/><Relationship Id="rId438" Type="http://schemas.openxmlformats.org/officeDocument/2006/relationships/hyperlink" Target="https://youtu.be/IJmo71yujBY" TargetMode="External"/><Relationship Id="rId242" Type="http://schemas.openxmlformats.org/officeDocument/2006/relationships/hyperlink" Target="https://www.itu.int/cities/digitaltransformationdialogues/" TargetMode="External"/><Relationship Id="rId284" Type="http://schemas.openxmlformats.org/officeDocument/2006/relationships/hyperlink" Target="http://www.ungis.org/" TargetMode="External"/><Relationship Id="rId491" Type="http://schemas.openxmlformats.org/officeDocument/2006/relationships/hyperlink" Target="https://www.itu.int/initiatives/green-digital-action/events/all/green-digital-action-summit-2025/" TargetMode="External"/><Relationship Id="rId505"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6119294|Unknown|TWFpbGZsb3d8eyJFbXB0eU1hcGkiOnRydWUsIlYiOiIwLjAuMDAwMCIsIlAiOiJXaW4zMiIsIkFOIjoiTWFpbCIsIldUIjoyfQ%3D%3D|0|||&amp;sdata=ZySl%2FncpRrEwmJw1ekS6rEjXuZNK22c8lgWdGz%2Bkj2A%3D&amp;reserved=0" TargetMode="External"/><Relationship Id="rId37" Type="http://schemas.openxmlformats.org/officeDocument/2006/relationships/hyperlink" Target="https://www.itu.int/digital-resilience/submarine-cables/events/about-nigeria-summit/" TargetMode="External"/><Relationship Id="rId79" Type="http://schemas.openxmlformats.org/officeDocument/2006/relationships/hyperlink" Target="https://www.itu.int/md/D22-WTDC25-251117/sum/en" TargetMode="External"/><Relationship Id="rId102" Type="http://schemas.openxmlformats.org/officeDocument/2006/relationships/chart" Target="charts/chart8.xml"/><Relationship Id="rId144" Type="http://schemas.openxmlformats.org/officeDocument/2006/relationships/hyperlink" Target="https://www.itu.int/bsg/training-modules/" TargetMode="External"/><Relationship Id="rId547" Type="http://schemas.openxmlformats.org/officeDocument/2006/relationships/hyperlink" Target="https://www.itu.int/en/ITU-T/extcoop/cits/Pages/related-events.aspx" TargetMode="External"/><Relationship Id="rId589" Type="http://schemas.openxmlformats.org/officeDocument/2006/relationships/hyperlink" Target="https://www.itu.int/en/action/youth/Pages/YPP.aspx" TargetMode="External"/><Relationship Id="rId90" Type="http://schemas.openxmlformats.org/officeDocument/2006/relationships/hyperlink" Target="https://datahub.itu.int/data/?e=KAZ&amp;i=36056" TargetMode="External"/><Relationship Id="rId186" Type="http://schemas.openxmlformats.org/officeDocument/2006/relationships/hyperlink" Target="https://www.itu.int/hub/2023/07/new-un-initiative-aims-to-step-up-ais-contribution-to-health/" TargetMode="External"/><Relationship Id="rId351" Type="http://schemas.openxmlformats.org/officeDocument/2006/relationships/hyperlink" Target="https://www.itu.int/en/ITU-D/ICT-Applications/Pages/digital-government.aspx" TargetMode="External"/><Relationship Id="rId393" Type="http://schemas.openxmlformats.org/officeDocument/2006/relationships/hyperlink" Target="https://www.unwomen.org/en/how-we-work/un-system-coordination/promoting-un-accountability" TargetMode="External"/><Relationship Id="rId407" Type="http://schemas.openxmlformats.org/officeDocument/2006/relationships/hyperlink" Target="https://indico.un.org/event/1002946/" TargetMode="External"/><Relationship Id="rId449" Type="http://schemas.openxmlformats.org/officeDocument/2006/relationships/hyperlink" Target="https://www.itu.int/pub/T-TUT-EHT-2024-3" TargetMode="External"/><Relationship Id="rId211" Type="http://schemas.openxmlformats.org/officeDocument/2006/relationships/hyperlink" Target="https://www.itu.int/net4/wsis/forum/2026/en" TargetMode="External"/><Relationship Id="rId253" Type="http://schemas.openxmlformats.org/officeDocument/2006/relationships/image" Target="media/image11.png"/><Relationship Id="rId295" Type="http://schemas.openxmlformats.org/officeDocument/2006/relationships/hyperlink" Target="https://aiforgood.itu.int/" TargetMode="External"/><Relationship Id="rId309" Type="http://schemas.openxmlformats.org/officeDocument/2006/relationships/hyperlink" Target="https://www.itu.int/en/journal/j-fet/Pages/default.aspx" TargetMode="External"/><Relationship Id="rId460" Type="http://schemas.openxmlformats.org/officeDocument/2006/relationships/hyperlink" Target="http://www.itu.int/pub/R-HDB-63" TargetMode="External"/><Relationship Id="rId516" Type="http://schemas.openxmlformats.org/officeDocument/2006/relationships/hyperlink" Target="https://www.equalsintech.org/research" TargetMode="External"/><Relationship Id="rId48" Type="http://schemas.openxmlformats.org/officeDocument/2006/relationships/hyperlink" Target="https://www.itu.int/dms_pub/itu-s/opb/conf/S-CONF-ACTF-2022-PDF-R.pdf" TargetMode="External"/><Relationship Id="rId113" Type="http://schemas.openxmlformats.org/officeDocument/2006/relationships/hyperlink" Target="https://www.itu.int/wrc-27/" TargetMode="External"/><Relationship Id="rId320" Type="http://schemas.openxmlformats.org/officeDocument/2006/relationships/hyperlink" Target="https://aiforgood.itu.int/summit26/" TargetMode="External"/><Relationship Id="rId558" Type="http://schemas.openxmlformats.org/officeDocument/2006/relationships/hyperlink" Target="https://www.itu.int/en/ITU-D/Emergency-Telecommunications/Pages/AI-Sub-Group-EW4All-.aspx" TargetMode="External"/><Relationship Id="rId155" Type="http://schemas.openxmlformats.org/officeDocument/2006/relationships/hyperlink" Target="https://www.itu.int/en/ITU-T/C-I/Pages/default.aspx" TargetMode="External"/><Relationship Id="rId197" Type="http://schemas.openxmlformats.org/officeDocument/2006/relationships/hyperlink" Target="https://www.itu.int/en/ITU-D/Emergency-Telecommunications/Pages/AI-Sub-Group-EW4All-.aspx" TargetMode="External"/><Relationship Id="rId362" Type="http://schemas.openxmlformats.org/officeDocument/2006/relationships/hyperlink" Target="https://www.itu.int/hub/publication/d-phcb-equal-03-2023/" TargetMode="External"/><Relationship Id="rId418" Type="http://schemas.openxmlformats.org/officeDocument/2006/relationships/hyperlink" Target="https://www.itu.int/generationconnect/empower/generation-connect-young-leadership-programme-in-partnership-with-huawei/" TargetMode="External"/><Relationship Id="rId222" Type="http://schemas.openxmlformats.org/officeDocument/2006/relationships/hyperlink" Target="https://aiforgood.itu.int/quantum-for-good/" TargetMode="External"/><Relationship Id="rId264" Type="http://schemas.openxmlformats.org/officeDocument/2006/relationships/hyperlink" Target="http://www.wsis.org/" TargetMode="External"/><Relationship Id="rId471" Type="http://schemas.openxmlformats.org/officeDocument/2006/relationships/hyperlink" Target="https://www.itu.int/en/ITU-D/Environment/Pages/Publications/WEEE-Saudi-Arabia-Toolkit.aspx" TargetMode="External"/><Relationship Id="rId17" Type="http://schemas.openxmlformats.org/officeDocument/2006/relationships/hyperlink" Target="https://www.itu.int/wtsa/2024/" TargetMode="External"/><Relationship Id="rId59" Type="http://schemas.openxmlformats.org/officeDocument/2006/relationships/hyperlink" Target="https://www.itu.int/pub/R-RES-R.73" TargetMode="External"/><Relationship Id="rId124" Type="http://schemas.openxmlformats.org/officeDocument/2006/relationships/hyperlink" Target="https://www.itu.int/dms_pub/itu-t/opb/res/T-RES-T.61-2024-PDF-R.pdf" TargetMode="External"/><Relationship Id="rId527" Type="http://schemas.openxmlformats.org/officeDocument/2006/relationships/hyperlink" Target="https://www.itu.int/un-virtual-worlds-day/2025/" TargetMode="External"/><Relationship Id="rId569" Type="http://schemas.openxmlformats.org/officeDocument/2006/relationships/hyperlink" Target="https://www.itu.int/en/ITU-T/extcoop/ai4resilience/Pages/default.aspx" TargetMode="External"/><Relationship Id="rId70" Type="http://schemas.openxmlformats.org/officeDocument/2006/relationships/hyperlink" Target="https://www.itu.int/rec/dologin_pub.asp?lang=e&amp;id=T-REC-A.25-202410-I!!PDF-E&amp;type=items" TargetMode="External"/><Relationship Id="rId166" Type="http://schemas.openxmlformats.org/officeDocument/2006/relationships/hyperlink" Target="https://www.itu.int/digital-resilience/submarine-cables/events/about-porto-summit/" TargetMode="External"/><Relationship Id="rId331" Type="http://schemas.openxmlformats.org/officeDocument/2006/relationships/hyperlink" Target="https://www.itu.int/en/ITU-R/study-groups/rsg4/Pages/Workshop-ITU-in-Service-of-Space.aspx" TargetMode="External"/><Relationship Id="rId373" Type="http://schemas.openxmlformats.org/officeDocument/2006/relationships/hyperlink" Target="https://www.equalsintech.org/post/evidence-to-impact-advancing-gender-empowerment-in-the-digital-age" TargetMode="External"/><Relationship Id="rId429" Type="http://schemas.openxmlformats.org/officeDocument/2006/relationships/hyperlink" Target="https://www.itu.int/en/ITU-D/Regional-Presence/Americas/Pages/EVENTS/2022/AA-2022.aspx" TargetMode="External"/><Relationship Id="rId580" Type="http://schemas.openxmlformats.org/officeDocument/2006/relationships/hyperlink" Target="https://www.itu.int/md/S25-CWGWSIS42-C-0010/en" TargetMode="External"/><Relationship Id="rId1" Type="http://schemas.openxmlformats.org/officeDocument/2006/relationships/customXml" Target="../customXml/item1.xml"/><Relationship Id="rId233" Type="http://schemas.openxmlformats.org/officeDocument/2006/relationships/hyperlink" Target="https://www.itu.int/net/epub/TSB/2024-UN-Executive-Briefing-on-unlocking-potential/index.html" TargetMode="External"/><Relationship Id="rId440" Type="http://schemas.openxmlformats.org/officeDocument/2006/relationships/hyperlink" Target="https://youtu.be/KDDTwsxAaqs" TargetMode="External"/><Relationship Id="rId28" Type="http://schemas.openxmlformats.org/officeDocument/2006/relationships/hyperlink" Target="https://academy.itu.int/research-advocacy-and-convening-platforms/research-publications/digital-skills-toolkit" TargetMode="External"/><Relationship Id="rId275" Type="http://schemas.openxmlformats.org/officeDocument/2006/relationships/hyperlink" Target="http://www.wsis.org/forum" TargetMode="External"/><Relationship Id="rId300" Type="http://schemas.openxmlformats.org/officeDocument/2006/relationships/hyperlink" Target="https://aiforgood.itu.int/event/impact-africa/" TargetMode="External"/><Relationship Id="rId482" Type="http://schemas.openxmlformats.org/officeDocument/2006/relationships/hyperlink" Target="https://www.itu.int/partner2connect/" TargetMode="External"/><Relationship Id="rId538" Type="http://schemas.openxmlformats.org/officeDocument/2006/relationships/hyperlink" Target="https://www.itu.int/en/ITU-T/extcoop/cits/Pages/default.aspx" TargetMode="External"/><Relationship Id="rId81" Type="http://schemas.openxmlformats.org/officeDocument/2006/relationships/image" Target="media/image2.png"/><Relationship Id="rId135" Type="http://schemas.openxmlformats.org/officeDocument/2006/relationships/hyperlink" Target="https://www.itu.int/md/meetingdoc.asp?lang=en&amp;parent=T25-SG11-260303-TD-GEN-0939" TargetMode="External"/><Relationship Id="rId177" Type="http://schemas.openxmlformats.org/officeDocument/2006/relationships/hyperlink" Target="https://www.itu.int/en/action/cybersecurity/Pages/default.aspx" TargetMode="External"/><Relationship Id="rId342" Type="http://schemas.openxmlformats.org/officeDocument/2006/relationships/hyperlink" Target="https://www.itu.int/en/ITU-T/Workshops-and-Seminars/2022/Pages/default.aspx" TargetMode="External"/><Relationship Id="rId384" Type="http://schemas.openxmlformats.org/officeDocument/2006/relationships/hyperlink" Target="https://www.itu.int/wtsa/2024/now/about/" TargetMode="External"/><Relationship Id="rId591" Type="http://schemas.openxmlformats.org/officeDocument/2006/relationships/image" Target="media/image15.png"/><Relationship Id="rId202" Type="http://schemas.openxmlformats.org/officeDocument/2006/relationships/hyperlink" Target="https://unsceb.org/sites/default/files/2022-09/Principles%20for%20the%20Ethical%20Use%20of%20AI%20in%20the%20UN%20System_1.pdf" TargetMode="External"/><Relationship Id="rId244" Type="http://schemas.openxmlformats.org/officeDocument/2006/relationships/hyperlink" Target="http://www.itu.int/en/ITU-D/Statistics" TargetMode="External"/><Relationship Id="rId39" Type="http://schemas.openxmlformats.org/officeDocument/2006/relationships/hyperlink" Target="https://pp.itu.int/2026/en/" TargetMode="External"/><Relationship Id="rId286" Type="http://schemas.openxmlformats.org/officeDocument/2006/relationships/hyperlink" Target="http://www.wsis.org/stocktaking" TargetMode="External"/><Relationship Id="rId451" Type="http://schemas.openxmlformats.org/officeDocument/2006/relationships/hyperlink" Target="https://www.itu.int/en/ITU-T/focusgroups/ai4h/Pages/default.aspx" TargetMode="External"/><Relationship Id="rId493" Type="http://schemas.openxmlformats.org/officeDocument/2006/relationships/hyperlink" Target="https://www.itu.int/initiatives/green-digital-action/impact/all/" TargetMode="External"/><Relationship Id="rId507" Type="http://schemas.openxmlformats.org/officeDocument/2006/relationships/hyperlink" Target="https://eur03.safelinks.protection.outlook.com/?url=https%3A%2F%2Fwww.equalsintech.org%2F&amp;data=05|02|fernando.rivera%40itu.int|25850ebcdcaa42ef3ee508de787057c6|23e464d704e64b87913c24bd89219fd3|0|0|639080621056155187|Unknown|TWFpbGZsb3d8eyJFbXB0eU1hcGkiOnRydWUsIlYiOiIwLjAuMDAwMCIsIlAiOiJXaW4zMiIsIkFOIjoiTWFpbCIsIldUIjoyfQ%3D%3D|0|||&amp;sdata=NOL9h1C6LtYF1ELJBO6tSrHKhasuKmx15clz77i8sk4%3D&amp;reserved=0" TargetMode="External"/><Relationship Id="rId549" Type="http://schemas.openxmlformats.org/officeDocument/2006/relationships/hyperlink" Target="https://www.worldstandardsday.org/home.html" TargetMode="External"/><Relationship Id="rId50" Type="http://schemas.openxmlformats.org/officeDocument/2006/relationships/hyperlink" Target="https://www.itu.int/wrc-23/" TargetMode="External"/><Relationship Id="rId104" Type="http://schemas.openxmlformats.org/officeDocument/2006/relationships/chart" Target="charts/chart9.xml"/><Relationship Id="rId146" Type="http://schemas.openxmlformats.org/officeDocument/2006/relationships/hyperlink" Target="https://www.itu.int/pub/T-RES-T.107-2024" TargetMode="External"/><Relationship Id="rId188" Type="http://schemas.openxmlformats.org/officeDocument/2006/relationships/hyperlink" Target="https://www.itu.int/metaverse/virtual-worlds/" TargetMode="External"/><Relationship Id="rId311" Type="http://schemas.openxmlformats.org/officeDocument/2006/relationships/hyperlink" Target="https://www.itu.int/hub/2025/09/new-itu-academic-collaboration-on-technology-trends/" TargetMode="External"/><Relationship Id="rId353" Type="http://schemas.openxmlformats.org/officeDocument/2006/relationships/image" Target="media/image12.png"/><Relationship Id="rId395" Type="http://schemas.openxmlformats.org/officeDocument/2006/relationships/hyperlink" Target="http://www.itu.int/gender" TargetMode="External"/><Relationship Id="rId409" Type="http://schemas.openxmlformats.org/officeDocument/2006/relationships/hyperlink" Target="https://academy.itu.int/training-courses/full-catalogue/generation-connect-digital-learning" TargetMode="External"/><Relationship Id="rId560" Type="http://schemas.openxmlformats.org/officeDocument/2006/relationships/hyperlink" Target="https://eur03.safelinks.protection.outlook.com/?url=https%3A%2F%2Fwww.youtube.com%2Fwatch%3Fv%3DxjKjamBKHAw%26feature%3Dyoutu.be&amp;data=05|02|vanessa.gray%40itu.int|6d58bd5fc83240215f7f08de51d9734a|23e464d704e64b87913c24bd89219fd3|0|0|639038191533613038|Unknown|TWFpbGZsb3d8eyJFbXB0eU1hcGkiOnRydWUsIlYiOiIwLjAuMDAwMCIsIlAiOiJXaW4zMiIsIkFOIjoiTWFpbCIsIldUIjoyfQ%3D%3D|0|||&amp;sdata=pqQRDmH%2BPPboHWpgzscemcT244Uv%2FEWC%2FM1GW0wKen8%3D&amp;reserved=0" TargetMode="External"/><Relationship Id="rId92" Type="http://schemas.openxmlformats.org/officeDocument/2006/relationships/image" Target="media/image6.svg"/><Relationship Id="rId213" Type="http://schemas.openxmlformats.org/officeDocument/2006/relationships/hyperlink" Target="https://www.itu.int/en/ITU-T/studygroups/2025-2028/13/Pages/default.aspx" TargetMode="External"/><Relationship Id="rId420" Type="http://schemas.openxmlformats.org/officeDocument/2006/relationships/hyperlink" Target="https://www.itu.int/md/S24-CL-C-0032/en" TargetMode="External"/><Relationship Id="rId255" Type="http://schemas.openxmlformats.org/officeDocument/2006/relationships/chart" Target="charts/chart10.xml"/><Relationship Id="rId297" Type="http://schemas.openxmlformats.org/officeDocument/2006/relationships/hyperlink" Target="https://aiforgood.itu.int/summit24/" TargetMode="External"/><Relationship Id="rId462" Type="http://schemas.openxmlformats.org/officeDocument/2006/relationships/hyperlink" Target="https://academy.itu.int/training-courses/full-catalogue/formacion-en-herramientas-innovadoras-de-comunicacion-para-el-fortalecimiento-de-las-capacidades-de-2" TargetMode="External"/><Relationship Id="rId518" Type="http://schemas.openxmlformats.org/officeDocument/2006/relationships/hyperlink" Target="https://www.equalsintech.org/e-mentoring" TargetMode="External"/><Relationship Id="rId115" Type="http://schemas.openxmlformats.org/officeDocument/2006/relationships/hyperlink" Target="https://www.itu.int/hub/publication/r-reg-rr5-2020/" TargetMode="External"/><Relationship Id="rId157" Type="http://schemas.openxmlformats.org/officeDocument/2006/relationships/hyperlink" Target="https://www.itu.int/en/ITU-D/Cybersecurity/Pages/cybersecurity-national-strategies.aspx" TargetMode="External"/><Relationship Id="rId322" Type="http://schemas.openxmlformats.org/officeDocument/2006/relationships/hyperlink" Target="https://www.itu.int/en/ITU-R/seminars/Pages/default.aspx" TargetMode="External"/><Relationship Id="rId364" Type="http://schemas.openxmlformats.org/officeDocument/2006/relationships/hyperlink" Target="https://www.itu.int/hub/publication/d-phcb-equal-03-2023" TargetMode="External"/><Relationship Id="rId61" Type="http://schemas.openxmlformats.org/officeDocument/2006/relationships/hyperlink" Target="https://www.itu.int/pub/R-RES-R.75" TargetMode="External"/><Relationship Id="rId199"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571" Type="http://schemas.openxmlformats.org/officeDocument/2006/relationships/hyperlink" Target="https://www.itu.int/en/ITU-T/focusgroups/ai4a/Pages/events.aspx" TargetMode="External"/><Relationship Id="rId19" Type="http://schemas.openxmlformats.org/officeDocument/2006/relationships/hyperlink" Target="https://aiforgood.itu.int/quantum-for-good/" TargetMode="External"/><Relationship Id="rId224" Type="http://schemas.openxmlformats.org/officeDocument/2006/relationships/hyperlink" Target="https://www.quantum-course.com/" TargetMode="External"/><Relationship Id="rId266" Type="http://schemas.openxmlformats.org/officeDocument/2006/relationships/hyperlink" Target="https://www.itu.int/md/S24-CL-C-0141/en" TargetMode="External"/><Relationship Id="rId431" Type="http://schemas.openxmlformats.org/officeDocument/2006/relationships/hyperlink" Target="https://www.itu.int/net/events/eventdetails.asp?lang=en&amp;eventid=23284" TargetMode="External"/><Relationship Id="rId473" Type="http://schemas.openxmlformats.org/officeDocument/2006/relationships/hyperlink" Target="https://www.itu.int/rec/T-REC-L.1061/en" TargetMode="External"/><Relationship Id="rId529" Type="http://schemas.openxmlformats.org/officeDocument/2006/relationships/hyperlink" Target="https://u4ssc.itu.int/u4ssc-kpi/" TargetMode="External"/><Relationship Id="rId30" Type="http://schemas.openxmlformats.org/officeDocument/2006/relationships/hyperlink" Target="https://aiforgood.itu.int/" TargetMode="External"/><Relationship Id="rId126" Type="http://schemas.openxmlformats.org/officeDocument/2006/relationships/hyperlink" Target="https://www.itu.int/pub/T-SP/e" TargetMode="External"/><Relationship Id="rId168" Type="http://schemas.openxmlformats.org/officeDocument/2006/relationships/hyperlink" Target="https://www.itu.int/en/ITU-D/Cybersecurity/Pages/COP/POP.aspx" TargetMode="External"/><Relationship Id="rId333" Type="http://schemas.openxmlformats.org/officeDocument/2006/relationships/hyperlink" Target="https://www.itu.int/en/ITU-R/seminars/Future-of-tv-europe/Pages/default.aspx" TargetMode="External"/><Relationship Id="rId540" Type="http://schemas.openxmlformats.org/officeDocument/2006/relationships/hyperlink" Target="https://www.itu.int/en/ITU-T/extcoop/cits/Pages/egcomad.aspx" TargetMode="External"/><Relationship Id="rId72" Type="http://schemas.openxmlformats.org/officeDocument/2006/relationships/hyperlink" Target="https://www.itu.int/itu-d/meetings/wtdc25/wp-content/uploads/sites/29/2025/11/WTDC-25-Declaration.pdf" TargetMode="External"/><Relationship Id="rId375" Type="http://schemas.openxmlformats.org/officeDocument/2006/relationships/hyperlink" Target="https://www.itu.int/hub/publication/d-hdb-gender-2023-01/" TargetMode="External"/><Relationship Id="rId582" Type="http://schemas.openxmlformats.org/officeDocument/2006/relationships/hyperlink" Target="https://social.desa.un.org/world-summit-2025/documents/doha-political-declaration-of-the-world-social-summit-under-the-title" TargetMode="External"/><Relationship Id="rId3" Type="http://schemas.openxmlformats.org/officeDocument/2006/relationships/styles" Target="styles.xml"/><Relationship Id="rId235" Type="http://schemas.openxmlformats.org/officeDocument/2006/relationships/hyperlink" Target="https://www.itu.int/en/ITU-T/techwatch/Pages/internetofthings.aspx" TargetMode="External"/><Relationship Id="rId277" Type="http://schemas.openxmlformats.org/officeDocument/2006/relationships/hyperlink" Target="https://www.itu.int/net4/wsis/forum/2024/en" TargetMode="External"/><Relationship Id="rId400" Type="http://schemas.openxmlformats.org/officeDocument/2006/relationships/hyperlink" Target="https://www.itu.int/generationconnect/wp-content/uploads/2020/11/ITU_Youth_Strategy.pdf" TargetMode="External"/><Relationship Id="rId442" Type="http://schemas.openxmlformats.org/officeDocument/2006/relationships/hyperlink" Target="https://youtu.be/SpCcmMSrCz8" TargetMode="External"/><Relationship Id="rId484" Type="http://schemas.openxmlformats.org/officeDocument/2006/relationships/hyperlink" Target="https://www.itu.int/initiatives/green-digital-action/events/all/cop28/" TargetMode="External"/><Relationship Id="rId137" Type="http://schemas.openxmlformats.org/officeDocument/2006/relationships/hyperlink" Target="https://www.itu.int/pub/R-REC" TargetMode="External"/><Relationship Id="rId302" Type="http://schemas.openxmlformats.org/officeDocument/2006/relationships/hyperlink" Target="https://www.itu.int/net/epub/TSB/2024-GSS-Conclusions/index.html" TargetMode="External"/><Relationship Id="rId344" Type="http://schemas.openxmlformats.org/officeDocument/2006/relationships/hyperlink" Target="https://www.itu.int/en/ITU-T/Workshops-and-Seminars/2024/Pages/default.aspx" TargetMode="External"/><Relationship Id="rId41" Type="http://schemas.openxmlformats.org/officeDocument/2006/relationships/hyperlink" Target="https://www.itu.int/en/council/planning/Documents/ITU_Strategic_plan_2020-2023.pdf" TargetMode="External"/><Relationship Id="rId83" Type="http://schemas.openxmlformats.org/officeDocument/2006/relationships/hyperlink" Target="https://www.itu.int/en/ITU-D/Statistics/pages/facts/default.aspx" TargetMode="External"/><Relationship Id="rId179" Type="http://schemas.openxmlformats.org/officeDocument/2006/relationships/hyperlink" Target="https://www.itu.int/en/council/Documents/basic-texts-2023/RES-214-R.pdf" TargetMode="External"/><Relationship Id="rId386" Type="http://schemas.openxmlformats.org/officeDocument/2006/relationships/hyperlink" Target="https://www.itu.int/initiatives/gender-equality/network-of-women/network-of-women-ministers-and-leaders-in-ict/" TargetMode="External"/><Relationship Id="rId551" Type="http://schemas.openxmlformats.org/officeDocument/2006/relationships/hyperlink" Target="https://www.worldstandardscooperation.org/" TargetMode="External"/><Relationship Id="rId593" Type="http://schemas.openxmlformats.org/officeDocument/2006/relationships/footer" Target="footer1.xml"/><Relationship Id="rId190" Type="http://schemas.openxmlformats.org/officeDocument/2006/relationships/hyperlink" Target="https://www.itu.int/dms_pub/itu-t/opb/res/T-RES-T.101-2024-PDF-R.pdf" TargetMode="External"/><Relationship Id="rId204" Type="http://schemas.openxmlformats.org/officeDocument/2006/relationships/hyperlink" Target="https://unaihub.aiforgood.itu.int/" TargetMode="External"/><Relationship Id="rId246" Type="http://schemas.openxmlformats.org/officeDocument/2006/relationships/hyperlink" Target="https://datahub.itu.int/" TargetMode="External"/><Relationship Id="rId288" Type="http://schemas.openxmlformats.org/officeDocument/2006/relationships/hyperlink" Target="http://www.wsis.org/prizes" TargetMode="External"/><Relationship Id="rId411" Type="http://schemas.openxmlformats.org/officeDocument/2006/relationships/hyperlink" Target="https://www.kofiannanfoundation.org/our-work/kofi-annan-changemakers/" TargetMode="External"/><Relationship Id="rId453" Type="http://schemas.openxmlformats.org/officeDocument/2006/relationships/hyperlink" Target="https://www.itu.int/en/ITU-T/studygroups/2025-2028/20/Pages/default.aspx" TargetMode="External"/><Relationship Id="rId509"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89478|Unknown|TWFpbGZsb3d8eyJFbXB0eU1hcGkiOnRydWUsIlYiOiIwLjAuMDAwMCIsIlAiOiJXaW4zMiIsIkFOIjoiTWFpbCIsIldUIjoyfQ%3D%3D|0|||&amp;sdata=3y4UEJMAfevInE%2FLd8QEoDl1nwRHmyFMTZJLmU%2BY3VE%3D&amp;reserved=0" TargetMode="External"/><Relationship Id="rId106" Type="http://schemas.openxmlformats.org/officeDocument/2006/relationships/hyperlink" Target="https://www.itu.int/hub/publication/d-gdc-clim-2025/" TargetMode="External"/><Relationship Id="rId313" Type="http://schemas.openxmlformats.org/officeDocument/2006/relationships/hyperlink" Target="https://www.itu.int/en/journal/j-fet/Pages/default.aspx" TargetMode="External"/><Relationship Id="rId495" Type="http://schemas.openxmlformats.org/officeDocument/2006/relationships/hyperlink" Target="https://www.itu.int/initiatives/digital-unga2025/" TargetMode="External"/><Relationship Id="rId10" Type="http://schemas.openxmlformats.org/officeDocument/2006/relationships/hyperlink" Target="https://www.itu.int/en/council/Documents/basic-texts-2023/RES-200-R.pdf" TargetMode="External"/><Relationship Id="rId52" Type="http://schemas.openxmlformats.org/officeDocument/2006/relationships/hyperlink" Target="https://www.itu.int/pub/R-REG-RR-2024" TargetMode="External"/><Relationship Id="rId94" Type="http://schemas.openxmlformats.org/officeDocument/2006/relationships/chart" Target="charts/chart3.xml"/><Relationship Id="rId148" Type="http://schemas.openxmlformats.org/officeDocument/2006/relationships/hyperlink" Target="https://www.itu.int/pub/T-RES-T.32-2024" TargetMode="External"/><Relationship Id="rId355" Type="http://schemas.openxmlformats.org/officeDocument/2006/relationships/hyperlink" Target="https://www.itu.int/md/S25-CL-C-0105/en" TargetMode="External"/><Relationship Id="rId397" Type="http://schemas.openxmlformats.org/officeDocument/2006/relationships/hyperlink" Target="https://www.itu.int/md/S24-CL-C-0006/en" TargetMode="External"/><Relationship Id="rId520" Type="http://schemas.openxmlformats.org/officeDocument/2006/relationships/hyperlink" Target="https://www.equalsintech.org/her-digital-skills" TargetMode="External"/><Relationship Id="rId562" Type="http://schemas.openxmlformats.org/officeDocument/2006/relationships/hyperlink" Target="https://ituint.sharepoint.com/sites/DocsC2635andPP2620/Shared%20Documents/General/itu.int/pub/publications.aspx?lang=en&amp;parent=T-FG-AI4NDM-2022-1" TargetMode="External"/><Relationship Id="rId215" Type="http://schemas.openxmlformats.org/officeDocument/2006/relationships/hyperlink" Target="https://www.itu.int/rec/T-REC-X.1715/es" TargetMode="External"/><Relationship Id="rId257" Type="http://schemas.openxmlformats.org/officeDocument/2006/relationships/hyperlink" Target="https://academy.itu.int/itu-d/projects-activities/research-publications/digital-skills-toolkit" TargetMode="External"/><Relationship Id="rId422" Type="http://schemas.openxmlformats.org/officeDocument/2006/relationships/hyperlink" Target="https://aiforgood.itu.int/the-5th-edition-of-the-itu-ai-ml-in-5g-challenge-a-year-of-competitions-in-review/" TargetMode="External"/><Relationship Id="rId464" Type="http://schemas.openxmlformats.org/officeDocument/2006/relationships/hyperlink" Target="https://www.itu.int/net4/wsis/forum/2023/Agenda/Session/383" TargetMode="External"/><Relationship Id="rId299" Type="http://schemas.openxmlformats.org/officeDocument/2006/relationships/hyperlink" Target="https://aiforgood.itu.int/impact-initiative/" TargetMode="External"/><Relationship Id="rId63" Type="http://schemas.openxmlformats.org/officeDocument/2006/relationships/hyperlink" Target="https://www.itu.int/wtsa/2024/" TargetMode="External"/><Relationship Id="rId159" Type="http://schemas.openxmlformats.org/officeDocument/2006/relationships/hyperlink" Target="https://www.itu.int/en/ITU-D/Cybersecurity/Pages/cyberdrills.aspx" TargetMode="External"/><Relationship Id="rId366" Type="http://schemas.openxmlformats.org/officeDocument/2006/relationships/hyperlink" Target="https://www.equalsintech.org/" TargetMode="External"/><Relationship Id="rId573" Type="http://schemas.openxmlformats.org/officeDocument/2006/relationships/hyperlink" Target="https://aiforgood.itu.int/ai-for-food-systems/" TargetMode="External"/><Relationship Id="rId226" Type="http://schemas.openxmlformats.org/officeDocument/2006/relationships/hyperlink" Target="https://www.itu.int/metaverse/5th-forum-metaverse/" TargetMode="External"/><Relationship Id="rId433" Type="http://schemas.openxmlformats.org/officeDocument/2006/relationships/hyperlink" Target="https://www.itu.int/en/ITU-D/Digital-Inclusion/Pages/itu-ilo/default.aspx" TargetMode="External"/><Relationship Id="rId74" Type="http://schemas.openxmlformats.org/officeDocument/2006/relationships/hyperlink" Target="https://www.itu.int/en/ITU-D/Pages/regional-initiatives-2026-2029.aspx" TargetMode="External"/><Relationship Id="rId377" Type="http://schemas.openxmlformats.org/officeDocument/2006/relationships/hyperlink" Target="https://www.itu.int/women-and-girls/women-in-ict/ai-skills-accelerator-for-girls/" TargetMode="External"/><Relationship Id="rId500"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17585|Unknown|TWFpbGZsb3d8eyJFbXB0eU1hcGkiOnRydWUsIlYiOiIwLjAuMDAwMCIsIlAiOiJXaW4zMiIsIkFOIjoiTWFpbCIsIldUIjoyfQ%3D%3D|0|||&amp;sdata=J8lDblSbqY2Xrn%2B5MyEFSqfWmw1%2F6GX1YMEfzfleFJU%3D&amp;reserved=0" TargetMode="External"/><Relationship Id="rId584" Type="http://schemas.openxmlformats.org/officeDocument/2006/relationships/hyperlink" Target="https://www.un.org/un80-initiative/sites/default/files/2025-11/UN80_Initiative_Action_Plan.pdf" TargetMode="External"/><Relationship Id="rId5" Type="http://schemas.openxmlformats.org/officeDocument/2006/relationships/webSettings" Target="webSettings.xml"/><Relationship Id="rId237" Type="http://schemas.openxmlformats.org/officeDocument/2006/relationships/hyperlink" Target="https://www.itu.int/go/tsg20" TargetMode="External"/><Relationship Id="rId444" Type="http://schemas.openxmlformats.org/officeDocument/2006/relationships/hyperlink" Target="https://www.itu.int/en/ITU-T/accessibility/Pages/default.aspx" TargetMode="External"/><Relationship Id="rId290" Type="http://schemas.openxmlformats.org/officeDocument/2006/relationships/hyperlink" Target="https://www.itu.int/en/ITU-D/Statistics/Pages/intlcoop/partnership/default.aspx" TargetMode="External"/><Relationship Id="rId304" Type="http://schemas.openxmlformats.org/officeDocument/2006/relationships/hyperlink" Target="https://www.itu.int/en/ITU-D/Regulatory-Market/Pages/bestpractices.aspx" TargetMode="External"/><Relationship Id="rId388" Type="http://schemas.openxmlformats.org/officeDocument/2006/relationships/hyperlink" Target="https://www.itu.int/160/" TargetMode="External"/><Relationship Id="rId511" Type="http://schemas.openxmlformats.org/officeDocument/2006/relationships/hyperlink" Target="https://www.equalsintech.org/" TargetMode="External"/><Relationship Id="rId85" Type="http://schemas.openxmlformats.org/officeDocument/2006/relationships/hyperlink" Target="https://www.itu.int/itu-d/reports/statistics/2025/10/15/ff25-mobile-network-coverage/" TargetMode="External"/><Relationship Id="rId150"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595" Type="http://schemas.openxmlformats.org/officeDocument/2006/relationships/footer" Target="footer2.xml"/><Relationship Id="rId248" Type="http://schemas.openxmlformats.org/officeDocument/2006/relationships/hyperlink" Target="https://www.itu.int/en/ITU-D/Statistics/Pages/bigdata/default.aspx" TargetMode="External"/><Relationship Id="rId455" Type="http://schemas.openxmlformats.org/officeDocument/2006/relationships/hyperlink" Target="https://www.itu.int/en/ITU-R/information/Pages/disabilities-divide.aspx" TargetMode="External"/><Relationship Id="rId12" Type="http://schemas.openxmlformats.org/officeDocument/2006/relationships/hyperlink" Target="https://www.itu.int/en/council/Documents/basic-texts/RES-071-R.pdf" TargetMode="External"/><Relationship Id="rId108" Type="http://schemas.openxmlformats.org/officeDocument/2006/relationships/hyperlink" Target="https://www.itu.int/itu-d/reports/statistics/facts-figures-for-lldc/" TargetMode="External"/><Relationship Id="rId315" Type="http://schemas.openxmlformats.org/officeDocument/2006/relationships/hyperlink" Target="https://www.itu.int/en/journal/j-fet/webinars/Pages/default.aspx" TargetMode="External"/><Relationship Id="rId522" Type="http://schemas.openxmlformats.org/officeDocument/2006/relationships/hyperlink" Target="https://www.equalsintech.org/awards" TargetMode="External"/><Relationship Id="rId96" Type="http://schemas.openxmlformats.org/officeDocument/2006/relationships/hyperlink" Target="https://www.unesco.org/en/sdg4scorecard-dashboard" TargetMode="External"/><Relationship Id="rId161" Type="http://schemas.openxmlformats.org/officeDocument/2006/relationships/hyperlink" Target="https://www.itu.int/en/ITU-D/Cybersecurity/Pages/Cyber4Good/Cyber4Good.aspx" TargetMode="External"/><Relationship Id="rId399" Type="http://schemas.openxmlformats.org/officeDocument/2006/relationships/hyperlink" Target="https://www.itu.int/generationconnect/wp-content/uploads/2020/11/ITU_Youth_Strategy.pdf" TargetMode="External"/><Relationship Id="rId259" Type="http://schemas.openxmlformats.org/officeDocument/2006/relationships/hyperlink" Target="https://aiforgood.itu.int/ai-skills-coalition/" TargetMode="External"/><Relationship Id="rId466" Type="http://schemas.openxmlformats.org/officeDocument/2006/relationships/hyperlink" Target="https://www.silvereconomyforum.com/" TargetMode="External"/><Relationship Id="rId23" Type="http://schemas.openxmlformats.org/officeDocument/2006/relationships/hyperlink" Target="https://www.itu.int/itu-d/reports/statistics/facts-figures-2025/" TargetMode="External"/><Relationship Id="rId119" Type="http://schemas.openxmlformats.org/officeDocument/2006/relationships/hyperlink" Target="https://www.itu.int/epublications/brific-space/en/home/index" TargetMode="External"/><Relationship Id="rId326" Type="http://schemas.openxmlformats.org/officeDocument/2006/relationships/hyperlink" Target="https://www.itu.int/en/ITU-R/seminars/rrs/RRS-23-Americas/Pages/default.aspx" TargetMode="External"/><Relationship Id="rId533" Type="http://schemas.openxmlformats.org/officeDocument/2006/relationships/hyperlink" Target="https://www.itu.int/cities/digitaltransformationdialogues/" TargetMode="External"/><Relationship Id="rId172" Type="http://schemas.openxmlformats.org/officeDocument/2006/relationships/hyperlink" Target="https://www.itu.int/itu-t/workprog/wp_search.aspx?sg=17" TargetMode="External"/><Relationship Id="rId477" Type="http://schemas.openxmlformats.org/officeDocument/2006/relationships/hyperlink" Target="https://www.itu.int/en/action/environment-and-climate-change/Documents/publications/2023/Scope-3-Guidance-2023.pdf" TargetMode="External"/><Relationship Id="rId337" Type="http://schemas.openxmlformats.org/officeDocument/2006/relationships/hyperlink" Target="https://www.itu.int/en/ITU-D/Regional-Presence/Africa/Pages/EVENTS/2024/SADC-NETP-EW4All-Workshop.aspx" TargetMode="External"/><Relationship Id="rId34" Type="http://schemas.openxmlformats.org/officeDocument/2006/relationships/hyperlink" Target="https://www.broadbandcommission.org/" TargetMode="External"/><Relationship Id="rId544" Type="http://schemas.openxmlformats.org/officeDocument/2006/relationships/hyperlink" Target="https://fnc.itu.int/" TargetMode="External"/><Relationship Id="rId183" Type="http://schemas.openxmlformats.org/officeDocument/2006/relationships/hyperlink" Target="https://www.itu.int/en/ITU-T/focusgroups/ai4h/Pages/default.aspx" TargetMode="External"/><Relationship Id="rId390" Type="http://schemas.openxmlformats.org/officeDocument/2006/relationships/hyperlink" Target="https://wtisd.itu.int/2025/itu160-gender-champions/" TargetMode="External"/><Relationship Id="rId404" Type="http://schemas.openxmlformats.org/officeDocument/2006/relationships/hyperlink" Target="https://youngaglobal.com/" TargetMode="External"/><Relationship Id="rId250" Type="http://schemas.openxmlformats.org/officeDocument/2006/relationships/hyperlink" Target="https://www.itu.int/itu-d/meetings/wtis25/" TargetMode="External"/><Relationship Id="rId488" Type="http://schemas.openxmlformats.org/officeDocument/2006/relationships/hyperlink" Target="https://www.itu.int/initiatives/green-digital-action/events/all/cop29/declaration/" TargetMode="External"/><Relationship Id="rId45" Type="http://schemas.openxmlformats.org/officeDocument/2006/relationships/hyperlink" Target="https://www.itu.int/en/council/Documents/basic-texts-2023/RES-071-R.pdf" TargetMode="External"/><Relationship Id="rId110" Type="http://schemas.openxmlformats.org/officeDocument/2006/relationships/image" Target="media/image7.png"/><Relationship Id="rId348" Type="http://schemas.openxmlformats.org/officeDocument/2006/relationships/hyperlink" Target="https://www.itu.int/md/S22-PP-C-0094" TargetMode="External"/><Relationship Id="rId555" Type="http://schemas.openxmlformats.org/officeDocument/2006/relationships/hyperlink" Target="https://aiforgood.itu.int/ai-standards/" TargetMode="External"/><Relationship Id="rId194" Type="http://schemas.openxmlformats.org/officeDocument/2006/relationships/hyperlink" Target="https://aiforgood.itu.int/about-ai-for-good/innovation-factory/" TargetMode="External"/><Relationship Id="rId208" Type="http://schemas.openxmlformats.org/officeDocument/2006/relationships/hyperlink" Target="https://aiforgood.itu.int/" TargetMode="External"/><Relationship Id="rId415" Type="http://schemas.openxmlformats.org/officeDocument/2006/relationships/hyperlink" Target="https://www.itu.int/en/action/youth/Pages/itu-secretary-generals-youth-advisory-board.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missar\AppData\Roaming\Microsoft\Templates\POOL%20R%20-%20ITU\GS\PR_Council26.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wolftown\Desktop\Ustya%20iMac\Translation\ITU\ITU%20jobs\March%202026\Report\Original\&#1044;&#1080;&#1072;&#1075;&#1088;&#1072;&#1084;&#1084;&#1099;%20&#1080;%20&#1088;&#1080;&#1089;&#1091;&#1085;&#1082;&#1080;\C26-035e-Figs-3-4-5-6-7-8-9-10-11-12-13-pages-22-to-29_FIG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wolftown\Desktop\Ustya%20iMac\Translation\ITU\ITU%20jobs\March%202026\Report\Original\&#1044;&#1080;&#1072;&#1075;&#1088;&#1072;&#1084;&#1084;&#1099;%20&#1080;%20&#1088;&#1080;&#1089;&#1091;&#1085;&#1082;&#1080;\C26-035e-fig-17-page-46_FIG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Users\wolftown\Desktop\Ustya%20iMac\Translation\ITU\ITU%20jobs\March%202026\Report\Original\&#1044;&#1080;&#1072;&#1075;&#1088;&#1072;&#1084;&#1084;&#1099;%20&#1080;%20&#1088;&#1080;&#1089;&#1091;&#1085;&#1082;&#1080;\C26-035e-Figs-3-4-5-6-7-8-9-10-11-12-13-pages-22-to-29_FIG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wolftown\Desktop\Ustya%20iMac\Translation\ITU\ITU%20jobs\March%202026\Report\Original\&#1044;&#1080;&#1072;&#1075;&#1088;&#1072;&#1084;&#1084;&#1099;%20&#1080;%20&#1088;&#1080;&#1089;&#1091;&#1085;&#1082;&#1080;\C26-035e-Figs-3-4-5-6-7-8-9-10-11-12-13-pages-22-to-29_FIG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wolftown\Desktop\Ustya%20iMac\Translation\ITU\ITU%20jobs\March%202026\Report\Original\&#1044;&#1080;&#1072;&#1075;&#1088;&#1072;&#1084;&#1084;&#1099;%20&#1080;%20&#1088;&#1080;&#1089;&#1091;&#1085;&#1082;&#1080;\C26-035e-Figs-3-4-5-6-7-8-9-10-11-12-13-pages-22-to-29_FIG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wolftown\Desktop\Ustya%20iMac\Translation\ITU\ITU%20jobs\March%202026\Report\Original\&#1044;&#1080;&#1072;&#1075;&#1088;&#1072;&#1084;&#1084;&#1099;%20&#1080;%20&#1088;&#1080;&#1089;&#1091;&#1085;&#1082;&#1080;\C26-035e-Figs-3-4-5-6-7-8-9-10-11-12-13-pages-22-to-29_FIG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'Fig-3-page-22'!$M$3</c:f>
              <c:strCache>
                <c:ptCount val="1"/>
                <c:pt idx="0">
                  <c:v>2G</c:v>
                </c:pt>
              </c:strCache>
            </c:strRef>
          </c:tx>
          <c:spPr>
            <a:solidFill>
              <a:srgbClr val="A2D45E"/>
            </a:solidFill>
            <a:ln w="25400">
              <a:noFill/>
            </a:ln>
            <a:effectLst/>
          </c:spPr>
          <c:cat>
            <c:strRef>
              <c:f>'Fig-3-page-22'!$N$2:$X$2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'Fig-3-page-22'!$N$3:$X$3</c:f>
              <c:numCache>
                <c:formatCode>_-* #,##0.0_-;\-* #,##0.0_-;_-* "-"??_-;_-@_-</c:formatCode>
                <c:ptCount val="11"/>
                <c:pt idx="0">
                  <c:v>94.9</c:v>
                </c:pt>
                <c:pt idx="1">
                  <c:v>95.5</c:v>
                </c:pt>
                <c:pt idx="2">
                  <c:v>96.2</c:v>
                </c:pt>
                <c:pt idx="3">
                  <c:v>96.5</c:v>
                </c:pt>
                <c:pt idx="4">
                  <c:v>96.9</c:v>
                </c:pt>
                <c:pt idx="5">
                  <c:v>97</c:v>
                </c:pt>
                <c:pt idx="6">
                  <c:v>97.2</c:v>
                </c:pt>
                <c:pt idx="7">
                  <c:v>97.5</c:v>
                </c:pt>
                <c:pt idx="8">
                  <c:v>97.8</c:v>
                </c:pt>
                <c:pt idx="9">
                  <c:v>97.9</c:v>
                </c:pt>
                <c:pt idx="10">
                  <c:v>98.1</c:v>
                </c:pt>
              </c:numCache>
            </c:numRef>
          </c:val>
          <c:extLst>
            <c:ext xmlns:c16="http://schemas.microsoft.com/office/drawing/2014/chart" uri="{C3380CC4-5D6E-409C-BE32-E72D297353CC}">
              <c16:uniqueId val="{00000000-26D9-452B-884E-83C0F12FA1BF}"/>
            </c:ext>
          </c:extLst>
        </c:ser>
        <c:ser>
          <c:idx val="1"/>
          <c:order val="1"/>
          <c:tx>
            <c:strRef>
              <c:f>'Fig-3-page-22'!$M$4</c:f>
              <c:strCache>
                <c:ptCount val="1"/>
                <c:pt idx="0">
                  <c:v>3G</c:v>
                </c:pt>
              </c:strCache>
            </c:strRef>
          </c:tx>
          <c:spPr>
            <a:solidFill>
              <a:srgbClr val="FFC629"/>
            </a:solidFill>
            <a:ln w="25400">
              <a:noFill/>
            </a:ln>
            <a:effectLst/>
          </c:spPr>
          <c:cat>
            <c:strRef>
              <c:f>'Fig-3-page-22'!$N$2:$X$2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'Fig-3-page-22'!$N$4:$X$4</c:f>
              <c:numCache>
                <c:formatCode>_-* #,##0.0_-;\-* #,##0.0_-;_-* "-"??_-;_-@_-</c:formatCode>
                <c:ptCount val="11"/>
                <c:pt idx="0">
                  <c:v>78</c:v>
                </c:pt>
                <c:pt idx="1">
                  <c:v>84.2</c:v>
                </c:pt>
                <c:pt idx="2">
                  <c:v>87.7</c:v>
                </c:pt>
                <c:pt idx="3">
                  <c:v>90.6</c:v>
                </c:pt>
                <c:pt idx="4">
                  <c:v>92.6</c:v>
                </c:pt>
                <c:pt idx="5">
                  <c:v>93.1</c:v>
                </c:pt>
                <c:pt idx="6">
                  <c:v>93.4</c:v>
                </c:pt>
                <c:pt idx="7">
                  <c:v>94.5</c:v>
                </c:pt>
                <c:pt idx="8">
                  <c:v>95.3</c:v>
                </c:pt>
                <c:pt idx="9">
                  <c:v>95.9</c:v>
                </c:pt>
                <c:pt idx="10">
                  <c:v>96.3</c:v>
                </c:pt>
              </c:numCache>
            </c:numRef>
          </c:val>
          <c:extLst>
            <c:ext xmlns:c16="http://schemas.microsoft.com/office/drawing/2014/chart" uri="{C3380CC4-5D6E-409C-BE32-E72D297353CC}">
              <c16:uniqueId val="{00000001-26D9-452B-884E-83C0F12FA1BF}"/>
            </c:ext>
          </c:extLst>
        </c:ser>
        <c:ser>
          <c:idx val="2"/>
          <c:order val="2"/>
          <c:tx>
            <c:strRef>
              <c:f>'Fig-3-page-22'!$M$5</c:f>
              <c:strCache>
                <c:ptCount val="1"/>
                <c:pt idx="0">
                  <c:v>4G</c:v>
                </c:pt>
              </c:strCache>
            </c:strRef>
          </c:tx>
          <c:spPr>
            <a:solidFill>
              <a:srgbClr val="00A0DF"/>
            </a:solidFill>
            <a:ln w="25400">
              <a:noFill/>
            </a:ln>
            <a:effectLst/>
          </c:spPr>
          <c:cat>
            <c:strRef>
              <c:f>'Fig-3-page-22'!$N$2:$X$2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'Fig-3-page-22'!$N$5:$X$5</c:f>
              <c:numCache>
                <c:formatCode>_-* #,##0.0_-;\-* #,##0.0_-;_-* "-"??_-;_-@_-</c:formatCode>
                <c:ptCount val="11"/>
                <c:pt idx="0">
                  <c:v>43.5</c:v>
                </c:pt>
                <c:pt idx="1">
                  <c:v>63.8</c:v>
                </c:pt>
                <c:pt idx="2">
                  <c:v>74.5</c:v>
                </c:pt>
                <c:pt idx="3">
                  <c:v>79.3</c:v>
                </c:pt>
                <c:pt idx="4">
                  <c:v>82.9</c:v>
                </c:pt>
                <c:pt idx="5">
                  <c:v>85.3</c:v>
                </c:pt>
                <c:pt idx="6">
                  <c:v>87</c:v>
                </c:pt>
                <c:pt idx="7">
                  <c:v>89.4</c:v>
                </c:pt>
                <c:pt idx="8">
                  <c:v>91.4</c:v>
                </c:pt>
                <c:pt idx="9">
                  <c:v>92.2</c:v>
                </c:pt>
                <c:pt idx="10">
                  <c:v>92.7</c:v>
                </c:pt>
              </c:numCache>
            </c:numRef>
          </c:val>
          <c:extLst>
            <c:ext xmlns:c16="http://schemas.microsoft.com/office/drawing/2014/chart" uri="{C3380CC4-5D6E-409C-BE32-E72D297353CC}">
              <c16:uniqueId val="{00000002-26D9-452B-884E-83C0F12FA1BF}"/>
            </c:ext>
          </c:extLst>
        </c:ser>
        <c:ser>
          <c:idx val="3"/>
          <c:order val="3"/>
          <c:tx>
            <c:strRef>
              <c:f>'Fig-3-page-22'!$M$6</c:f>
              <c:strCache>
                <c:ptCount val="1"/>
                <c:pt idx="0">
                  <c:v>5G</c:v>
                </c:pt>
              </c:strCache>
            </c:strRef>
          </c:tx>
          <c:spPr>
            <a:solidFill>
              <a:srgbClr val="FF8674"/>
            </a:solidFill>
            <a:ln w="25400">
              <a:noFill/>
            </a:ln>
            <a:effectLst/>
          </c:spPr>
          <c:cat>
            <c:strRef>
              <c:f>'Fig-3-page-22'!$N$2:$X$2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'Fig-3-page-22'!$N$6:$X$6</c:f>
              <c:numCache>
                <c:formatCode>General</c:formatCode>
                <c:ptCount val="11"/>
                <c:pt idx="5" formatCode="_-* #,##0.0_-;\-* #,##0.0_-;_-* &quot;-&quot;??_-;_-@_-">
                  <c:v>9.1999999999999993</c:v>
                </c:pt>
                <c:pt idx="6" formatCode="_-* #,##0.0_-;\-* #,##0.0_-;_-* &quot;-&quot;??_-;_-@_-">
                  <c:v>17.8</c:v>
                </c:pt>
                <c:pt idx="7" formatCode="_-* #,##0.0_-;\-* #,##0.0_-;_-* &quot;-&quot;??_-;_-@_-">
                  <c:v>39</c:v>
                </c:pt>
                <c:pt idx="8" formatCode="_-* #,##0.0_-;\-* #,##0.0_-;_-* &quot;-&quot;??_-;_-@_-">
                  <c:v>50.9</c:v>
                </c:pt>
                <c:pt idx="9" formatCode="_-* #,##0.0_-;\-* #,##0.0_-;_-* &quot;-&quot;??_-;_-@_-">
                  <c:v>53.1</c:v>
                </c:pt>
                <c:pt idx="10" formatCode="_-* #,##0.0_-;\-* #,##0.0_-;_-* &quot;-&quot;??_-;_-@_-">
                  <c:v>55.1</c:v>
                </c:pt>
              </c:numCache>
            </c:numRef>
          </c:val>
          <c:extLst>
            <c:ext xmlns:c16="http://schemas.microsoft.com/office/drawing/2014/chart" uri="{C3380CC4-5D6E-409C-BE32-E72D297353CC}">
              <c16:uniqueId val="{00000003-26D9-452B-884E-83C0F12FA1BF}"/>
            </c:ext>
          </c:extLst>
        </c:ser>
        <c:dLbls>
          <c:showLegendKey val="0"/>
          <c:showVal val="0"/>
          <c:showCatName val="0"/>
          <c:showSerName val="0"/>
          <c:showPercent val="0"/>
          <c:showBubbleSize val="0"/>
        </c:dLbls>
        <c:axId val="1409304527"/>
        <c:axId val="1409305775"/>
      </c:area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09305775"/>
        <c:crosses val="autoZero"/>
        <c:auto val="1"/>
        <c:lblAlgn val="ctr"/>
        <c:lblOffset val="100"/>
        <c:noMultiLvlLbl val="0"/>
      </c:catAx>
      <c:valAx>
        <c:axId val="140930577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0930452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9966"/>
              </a:solidFill>
              <a:ln w="19050">
                <a:solidFill>
                  <a:schemeClr val="lt1"/>
                </a:solidFill>
              </a:ln>
              <a:effectLst/>
            </c:spPr>
            <c:extLst>
              <c:ext xmlns:c16="http://schemas.microsoft.com/office/drawing/2014/chart" uri="{C3380CC4-5D6E-409C-BE32-E72D297353CC}">
                <c16:uniqueId val="{00000001-3A3C-485A-BD1A-810FBA91AD1A}"/>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3A3C-485A-BD1A-810FBA91AD1A}"/>
              </c:ext>
            </c:extLst>
          </c:dPt>
          <c:dPt>
            <c:idx val="2"/>
            <c:bubble3D val="0"/>
            <c:spPr>
              <a:solidFill>
                <a:srgbClr val="002060"/>
              </a:solidFill>
              <a:ln w="19050">
                <a:solidFill>
                  <a:schemeClr val="lt1"/>
                </a:solidFill>
              </a:ln>
              <a:effectLst/>
            </c:spPr>
            <c:extLst>
              <c:ext xmlns:c16="http://schemas.microsoft.com/office/drawing/2014/chart" uri="{C3380CC4-5D6E-409C-BE32-E72D297353CC}">
                <c16:uniqueId val="{00000005-3A3C-485A-BD1A-810FBA91AD1A}"/>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3A3C-485A-BD1A-810FBA91AD1A}"/>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3A3C-485A-BD1A-810FBA91AD1A}"/>
              </c:ext>
            </c:extLst>
          </c:dPt>
          <c:dPt>
            <c:idx val="5"/>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B-3A3C-485A-BD1A-810FBA91AD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Sheet1!$A$42:$A$47</c:f>
              <c:strCache>
                <c:ptCount val="6"/>
                <c:pt idx="0">
                  <c:v>СНГ</c:v>
                </c:pt>
                <c:pt idx="1">
                  <c:v>Африка</c:v>
                </c:pt>
                <c:pt idx="2">
                  <c:v>Северная и Южная Америка</c:v>
                </c:pt>
                <c:pt idx="3">
                  <c:v>Азиатско-Тихоокеанский регион</c:v>
                </c:pt>
                <c:pt idx="4">
                  <c:v>Арабские государства</c:v>
                </c:pt>
                <c:pt idx="5">
                  <c:v>Европа</c:v>
                </c:pt>
              </c:strCache>
            </c:strRef>
          </c:cat>
          <c:val>
            <c:numRef>
              <c:f>Sheet1!$B$42:$B$47</c:f>
              <c:numCache>
                <c:formatCode>0%</c:formatCode>
                <c:ptCount val="6"/>
                <c:pt idx="0">
                  <c:v>0.02</c:v>
                </c:pt>
                <c:pt idx="1">
                  <c:v>0.38</c:v>
                </c:pt>
                <c:pt idx="2">
                  <c:v>0.23</c:v>
                </c:pt>
                <c:pt idx="3">
                  <c:v>0.17</c:v>
                </c:pt>
                <c:pt idx="4">
                  <c:v>0.1</c:v>
                </c:pt>
                <c:pt idx="5">
                  <c:v>0.09</c:v>
                </c:pt>
              </c:numCache>
            </c:numRef>
          </c:val>
          <c:extLst>
            <c:ext xmlns:c16="http://schemas.microsoft.com/office/drawing/2014/chart" uri="{C3380CC4-5D6E-409C-BE32-E72D297353CC}">
              <c16:uniqueId val="{0000000C-3A3C-485A-BD1A-810FBA91AD1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053668956300985E-2"/>
          <c:y val="6.7059912722374312E-2"/>
          <c:w val="0.94633273400660534"/>
          <c:h val="0.73551054125504722"/>
        </c:manualLayout>
      </c:layout>
      <c:barChart>
        <c:barDir val="col"/>
        <c:grouping val="clustered"/>
        <c:varyColors val="0"/>
        <c:ser>
          <c:idx val="0"/>
          <c:order val="0"/>
          <c:tx>
            <c:strRef>
              <c:f>'Fig-18-page-48'!$A$3</c:f>
              <c:strCache>
                <c:ptCount val="1"/>
                <c:pt idx="0">
                  <c:v>Общий объем привлеченных средств (шв. фр.)</c:v>
                </c:pt>
              </c:strCache>
            </c:strRef>
          </c:tx>
          <c:spPr>
            <a:solidFill>
              <a:srgbClr val="2469A8"/>
            </a:solidFill>
            <a:ln>
              <a:solidFill>
                <a:srgbClr val="2469A8"/>
              </a:solidFill>
            </a:ln>
            <a:effectLst/>
          </c:spPr>
          <c:invertIfNegative val="0"/>
          <c:dLbls>
            <c:dLbl>
              <c:idx val="2"/>
              <c:layout>
                <c:manualLayout>
                  <c:x val="-3.0053668956301006E-2"/>
                  <c:y val="-1.8627753533992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D9-426A-AF0B-66C619982B4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'Fig-18-page-48'!$B$2:$L$2</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'Fig-18-page-48'!$B$3:$L$3</c:f>
              <c:numCache>
                <c:formatCode>#,##0.0</c:formatCode>
                <c:ptCount val="11"/>
                <c:pt idx="0">
                  <c:v>4944540</c:v>
                </c:pt>
                <c:pt idx="1">
                  <c:v>2931852</c:v>
                </c:pt>
                <c:pt idx="2">
                  <c:v>9842259</c:v>
                </c:pt>
                <c:pt idx="3">
                  <c:v>10761271</c:v>
                </c:pt>
                <c:pt idx="4">
                  <c:v>14700791</c:v>
                </c:pt>
                <c:pt idx="5">
                  <c:v>9965564</c:v>
                </c:pt>
                <c:pt idx="6">
                  <c:v>21258706</c:v>
                </c:pt>
                <c:pt idx="7">
                  <c:v>2791841</c:v>
                </c:pt>
                <c:pt idx="8">
                  <c:v>19509697</c:v>
                </c:pt>
                <c:pt idx="9">
                  <c:v>28072827</c:v>
                </c:pt>
                <c:pt idx="10">
                  <c:v>4256381</c:v>
                </c:pt>
              </c:numCache>
            </c:numRef>
          </c:val>
          <c:extLst>
            <c:ext xmlns:c16="http://schemas.microsoft.com/office/drawing/2014/chart" uri="{C3380CC4-5D6E-409C-BE32-E72D297353CC}">
              <c16:uniqueId val="{00000001-EBD9-426A-AF0B-66C619982B46}"/>
            </c:ext>
          </c:extLst>
        </c:ser>
        <c:dLbls>
          <c:dLblPos val="outEnd"/>
          <c:showLegendKey val="0"/>
          <c:showVal val="1"/>
          <c:showCatName val="0"/>
          <c:showSerName val="0"/>
          <c:showPercent val="0"/>
          <c:showBubbleSize val="0"/>
        </c:dLbls>
        <c:gapWidth val="219"/>
        <c:overlap val="-27"/>
        <c:axId val="1522438704"/>
        <c:axId val="1522439184"/>
      </c:barChart>
      <c:catAx>
        <c:axId val="152243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522439184"/>
        <c:crosses val="autoZero"/>
        <c:auto val="1"/>
        <c:lblAlgn val="ctr"/>
        <c:lblOffset val="100"/>
        <c:noMultiLvlLbl val="0"/>
      </c:catAx>
      <c:valAx>
        <c:axId val="1522439184"/>
        <c:scaling>
          <c:orientation val="minMax"/>
        </c:scaling>
        <c:delete val="1"/>
        <c:axPos val="l"/>
        <c:numFmt formatCode="#,##0.0" sourceLinked="1"/>
        <c:majorTickMark val="none"/>
        <c:minorTickMark val="none"/>
        <c:tickLblPos val="nextTo"/>
        <c:crossAx val="152243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469A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'fig-19-page-49'!$A$1:$C$1</c:f>
              <c:numCache>
                <c:formatCode>#,##0.0</c:formatCode>
                <c:ptCount val="3"/>
                <c:pt idx="0">
                  <c:v>15309827.800000001</c:v>
                </c:pt>
                <c:pt idx="1">
                  <c:v>49682025.899999999</c:v>
                </c:pt>
                <c:pt idx="2">
                  <c:v>46871131.899999999</c:v>
                </c:pt>
              </c:numCache>
            </c:numRef>
          </c:val>
          <c:extLst>
            <c:ext xmlns:c16="http://schemas.microsoft.com/office/drawing/2014/chart" uri="{C3380CC4-5D6E-409C-BE32-E72D297353CC}">
              <c16:uniqueId val="{00000000-A4F6-4AC0-83A7-94072A5E3738}"/>
            </c:ext>
          </c:extLst>
        </c:ser>
        <c:dLbls>
          <c:dLblPos val="outEnd"/>
          <c:showLegendKey val="0"/>
          <c:showVal val="1"/>
          <c:showCatName val="0"/>
          <c:showSerName val="0"/>
          <c:showPercent val="0"/>
          <c:showBubbleSize val="0"/>
        </c:dLbls>
        <c:gapWidth val="219"/>
        <c:overlap val="-27"/>
        <c:axId val="762725599"/>
        <c:axId val="762732319"/>
      </c:barChart>
      <c:catAx>
        <c:axId val="76272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62732319"/>
        <c:crosses val="autoZero"/>
        <c:auto val="1"/>
        <c:lblAlgn val="ctr"/>
        <c:lblOffset val="100"/>
        <c:noMultiLvlLbl val="0"/>
      </c:catAx>
      <c:valAx>
        <c:axId val="762732319"/>
        <c:scaling>
          <c:orientation val="minMax"/>
        </c:scaling>
        <c:delete val="1"/>
        <c:axPos val="l"/>
        <c:numFmt formatCode="#,##0.0" sourceLinked="1"/>
        <c:majorTickMark val="none"/>
        <c:minorTickMark val="none"/>
        <c:tickLblPos val="nextTo"/>
        <c:crossAx val="762725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'Fig-4-page-22'!$G$3</c:f>
              <c:strCache>
                <c:ptCount val="1"/>
                <c:pt idx="0">
                  <c:v>Не менее 5G</c:v>
                </c:pt>
              </c:strCache>
            </c:strRef>
          </c:tx>
          <c:spPr>
            <a:solidFill>
              <a:srgbClr val="FF867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85000"/>
                        <a:lumOff val="1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'Fig-4-page-22'!$A$4:$A$20</c:f>
              <c:strCache>
                <c:ptCount val="17"/>
                <c:pt idx="0">
                  <c:v> НРС </c:v>
                </c:pt>
                <c:pt idx="1">
                  <c:v> ЛЛДС </c:v>
                </c:pt>
                <c:pt idx="2">
                  <c:v> СИДС </c:v>
                </c:pt>
                <c:pt idx="4">
                  <c:v> Страны с низким уровнем доходов </c:v>
                </c:pt>
                <c:pt idx="5">
                  <c:v> Страны со средне-низким уровнем доходов </c:v>
                </c:pt>
                <c:pt idx="6">
                  <c:v> Страны со средне-высоким уровнем доходов </c:v>
                </c:pt>
                <c:pt idx="7">
                  <c:v> Страны с высоким уровнем доходов </c:v>
                </c:pt>
                <c:pt idx="9">
                  <c:v> Африка </c:v>
                </c:pt>
                <c:pt idx="10">
                  <c:v> Северная и Южная Америка </c:v>
                </c:pt>
                <c:pt idx="11">
                  <c:v> Арабские государства </c:v>
                </c:pt>
                <c:pt idx="12">
                  <c:v> Азиатско-Тихоокеанский регион </c:v>
                </c:pt>
                <c:pt idx="13">
                  <c:v> СНГ </c:v>
                </c:pt>
                <c:pt idx="14">
                  <c:v> Европа </c:v>
                </c:pt>
                <c:pt idx="16">
                  <c:v> Весь мир </c:v>
                </c:pt>
              </c:strCache>
            </c:strRef>
          </c:cat>
          <c:val>
            <c:numRef>
              <c:f>'Fig-4-page-22'!$G$4:$G$20</c:f>
              <c:numCache>
                <c:formatCode>_-* #,##0_-;\-* #,##0_-;_-* "-"??_-;_-@_-</c:formatCode>
                <c:ptCount val="17"/>
                <c:pt idx="0">
                  <c:v>5</c:v>
                </c:pt>
                <c:pt idx="1">
                  <c:v>9.4</c:v>
                </c:pt>
                <c:pt idx="2">
                  <c:v>25.1</c:v>
                </c:pt>
                <c:pt idx="4">
                  <c:v>4.3</c:v>
                </c:pt>
                <c:pt idx="5">
                  <c:v>45.8</c:v>
                </c:pt>
                <c:pt idx="6">
                  <c:v>65.7</c:v>
                </c:pt>
                <c:pt idx="7">
                  <c:v>83.7</c:v>
                </c:pt>
                <c:pt idx="9">
                  <c:v>11.8</c:v>
                </c:pt>
                <c:pt idx="10">
                  <c:v>59.9</c:v>
                </c:pt>
                <c:pt idx="11">
                  <c:v>12.5</c:v>
                </c:pt>
                <c:pt idx="12">
                  <c:v>70.400000000000006</c:v>
                </c:pt>
                <c:pt idx="13">
                  <c:v>7.6</c:v>
                </c:pt>
                <c:pt idx="14">
                  <c:v>73.8</c:v>
                </c:pt>
                <c:pt idx="16">
                  <c:v>55.1</c:v>
                </c:pt>
              </c:numCache>
            </c:numRef>
          </c:val>
          <c:extLst>
            <c:ext xmlns:c16="http://schemas.microsoft.com/office/drawing/2014/chart" uri="{C3380CC4-5D6E-409C-BE32-E72D297353CC}">
              <c16:uniqueId val="{00000000-998D-4773-8F8A-58C709B07B8B}"/>
            </c:ext>
          </c:extLst>
        </c:ser>
        <c:ser>
          <c:idx val="1"/>
          <c:order val="1"/>
          <c:tx>
            <c:strRef>
              <c:f>'Fig-4-page-22'!$H$3</c:f>
              <c:strCache>
                <c:ptCount val="1"/>
                <c:pt idx="0">
                  <c:v>Не менее 4G</c:v>
                </c:pt>
              </c:strCache>
            </c:strRef>
          </c:tx>
          <c:spPr>
            <a:solidFill>
              <a:srgbClr val="00A0D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85000"/>
                        <a:lumOff val="1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'Fig-4-page-22'!$A$4:$A$20</c:f>
              <c:strCache>
                <c:ptCount val="17"/>
                <c:pt idx="0">
                  <c:v> НРС </c:v>
                </c:pt>
                <c:pt idx="1">
                  <c:v> ЛЛДС </c:v>
                </c:pt>
                <c:pt idx="2">
                  <c:v> СИДС </c:v>
                </c:pt>
                <c:pt idx="4">
                  <c:v> Страны с низким уровнем доходов </c:v>
                </c:pt>
                <c:pt idx="5">
                  <c:v> Страны со средне-низким уровнем доходов </c:v>
                </c:pt>
                <c:pt idx="6">
                  <c:v> Страны со средне-высоким уровнем доходов </c:v>
                </c:pt>
                <c:pt idx="7">
                  <c:v> Страны с высоким уровнем доходов </c:v>
                </c:pt>
                <c:pt idx="9">
                  <c:v> Африка </c:v>
                </c:pt>
                <c:pt idx="10">
                  <c:v> Северная и Южная Америка </c:v>
                </c:pt>
                <c:pt idx="11">
                  <c:v> Арабские государства </c:v>
                </c:pt>
                <c:pt idx="12">
                  <c:v> Азиатско-Тихоокеанский регион </c:v>
                </c:pt>
                <c:pt idx="13">
                  <c:v> СНГ </c:v>
                </c:pt>
                <c:pt idx="14">
                  <c:v> Европа </c:v>
                </c:pt>
                <c:pt idx="16">
                  <c:v> Весь мир </c:v>
                </c:pt>
              </c:strCache>
            </c:strRef>
          </c:cat>
          <c:val>
            <c:numRef>
              <c:f>'Fig-4-page-22'!$H$4:$H$20</c:f>
              <c:numCache>
                <c:formatCode>_-* #,##0_-;\-* #,##0_-;_-* "-"??_-;_-@_-</c:formatCode>
                <c:ptCount val="17"/>
                <c:pt idx="0">
                  <c:v>66.2</c:v>
                </c:pt>
                <c:pt idx="1">
                  <c:v>56.699999999999996</c:v>
                </c:pt>
                <c:pt idx="2">
                  <c:v>48.300000000000004</c:v>
                </c:pt>
                <c:pt idx="4">
                  <c:v>51.7</c:v>
                </c:pt>
                <c:pt idx="5">
                  <c:v>48.600000000000009</c:v>
                </c:pt>
                <c:pt idx="6">
                  <c:v>32.599999999999994</c:v>
                </c:pt>
                <c:pt idx="7">
                  <c:v>14.700000000000003</c:v>
                </c:pt>
                <c:pt idx="9">
                  <c:v>63.400000000000006</c:v>
                </c:pt>
                <c:pt idx="10">
                  <c:v>34.4</c:v>
                </c:pt>
                <c:pt idx="11">
                  <c:v>74.8</c:v>
                </c:pt>
                <c:pt idx="12">
                  <c:v>26.399999999999991</c:v>
                </c:pt>
                <c:pt idx="13">
                  <c:v>85.800000000000011</c:v>
                </c:pt>
                <c:pt idx="14">
                  <c:v>25.700000000000003</c:v>
                </c:pt>
                <c:pt idx="16">
                  <c:v>37.6</c:v>
                </c:pt>
              </c:numCache>
            </c:numRef>
          </c:val>
          <c:extLst>
            <c:ext xmlns:c16="http://schemas.microsoft.com/office/drawing/2014/chart" uri="{C3380CC4-5D6E-409C-BE32-E72D297353CC}">
              <c16:uniqueId val="{00000001-998D-4773-8F8A-58C709B07B8B}"/>
            </c:ext>
          </c:extLst>
        </c:ser>
        <c:ser>
          <c:idx val="2"/>
          <c:order val="2"/>
          <c:tx>
            <c:strRef>
              <c:f>'Fig-4-page-22'!$I$3</c:f>
              <c:strCache>
                <c:ptCount val="1"/>
                <c:pt idx="0">
                  <c:v>Не менее 3G</c:v>
                </c:pt>
              </c:strCache>
            </c:strRef>
          </c:tx>
          <c:spPr>
            <a:solidFill>
              <a:srgbClr val="FFC629"/>
            </a:solidFill>
            <a:ln>
              <a:noFill/>
            </a:ln>
            <a:effectLst/>
          </c:spPr>
          <c:invertIfNegative val="0"/>
          <c:dLbls>
            <c:dLbl>
              <c:idx val="14"/>
              <c:delete val="1"/>
              <c:extLst>
                <c:ext xmlns:c15="http://schemas.microsoft.com/office/drawing/2012/chart" uri="{CE6537A1-D6FC-4f65-9D91-7224C49458BB}"/>
                <c:ext xmlns:c16="http://schemas.microsoft.com/office/drawing/2014/chart" uri="{C3380CC4-5D6E-409C-BE32-E72D297353CC}">
                  <c16:uniqueId val="{00000002-998D-4773-8F8A-58C709B07B8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85000"/>
                        <a:lumOff val="1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'Fig-4-page-22'!$A$4:$A$20</c:f>
              <c:strCache>
                <c:ptCount val="17"/>
                <c:pt idx="0">
                  <c:v> НРС </c:v>
                </c:pt>
                <c:pt idx="1">
                  <c:v> ЛЛДС </c:v>
                </c:pt>
                <c:pt idx="2">
                  <c:v> СИДС </c:v>
                </c:pt>
                <c:pt idx="4">
                  <c:v> Страны с низким уровнем доходов </c:v>
                </c:pt>
                <c:pt idx="5">
                  <c:v> Страны со средне-низким уровнем доходов </c:v>
                </c:pt>
                <c:pt idx="6">
                  <c:v> Страны со средне-высоким уровнем доходов </c:v>
                </c:pt>
                <c:pt idx="7">
                  <c:v> Страны с высоким уровнем доходов </c:v>
                </c:pt>
                <c:pt idx="9">
                  <c:v> Африка </c:v>
                </c:pt>
                <c:pt idx="10">
                  <c:v> Северная и Южная Америка </c:v>
                </c:pt>
                <c:pt idx="11">
                  <c:v> Арабские государства </c:v>
                </c:pt>
                <c:pt idx="12">
                  <c:v> Азиатско-Тихоокеанский регион </c:v>
                </c:pt>
                <c:pt idx="13">
                  <c:v> СНГ </c:v>
                </c:pt>
                <c:pt idx="14">
                  <c:v> Европа </c:v>
                </c:pt>
                <c:pt idx="16">
                  <c:v> Весь мир </c:v>
                </c:pt>
              </c:strCache>
            </c:strRef>
          </c:cat>
          <c:val>
            <c:numRef>
              <c:f>'Fig-4-page-22'!$I$4:$I$20</c:f>
              <c:numCache>
                <c:formatCode>_-* #,##0_-;\-* #,##0_-;_-* "-"??_-;_-@_-</c:formatCode>
                <c:ptCount val="17"/>
                <c:pt idx="0">
                  <c:v>16.700000000000003</c:v>
                </c:pt>
                <c:pt idx="1">
                  <c:v>22.5</c:v>
                </c:pt>
                <c:pt idx="2">
                  <c:v>12.399999999999991</c:v>
                </c:pt>
                <c:pt idx="4">
                  <c:v>28.200000000000003</c:v>
                </c:pt>
                <c:pt idx="5">
                  <c:v>1.5</c:v>
                </c:pt>
                <c:pt idx="6">
                  <c:v>0.40000000000000568</c:v>
                </c:pt>
                <c:pt idx="7">
                  <c:v>0.89999999999999147</c:v>
                </c:pt>
                <c:pt idx="9">
                  <c:v>13.599999999999994</c:v>
                </c:pt>
                <c:pt idx="10">
                  <c:v>2</c:v>
                </c:pt>
                <c:pt idx="11">
                  <c:v>8.4000000000000057</c:v>
                </c:pt>
                <c:pt idx="12">
                  <c:v>1.1000000000000085</c:v>
                </c:pt>
                <c:pt idx="13">
                  <c:v>3.5</c:v>
                </c:pt>
                <c:pt idx="14">
                  <c:v>9.9999999999994316E-2</c:v>
                </c:pt>
                <c:pt idx="16">
                  <c:v>3.5999999999999943</c:v>
                </c:pt>
              </c:numCache>
            </c:numRef>
          </c:val>
          <c:extLst>
            <c:ext xmlns:c16="http://schemas.microsoft.com/office/drawing/2014/chart" uri="{C3380CC4-5D6E-409C-BE32-E72D297353CC}">
              <c16:uniqueId val="{00000003-998D-4773-8F8A-58C709B07B8B}"/>
            </c:ext>
          </c:extLst>
        </c:ser>
        <c:ser>
          <c:idx val="3"/>
          <c:order val="3"/>
          <c:tx>
            <c:strRef>
              <c:f>'Fig-4-page-22'!$J$3</c:f>
              <c:strCache>
                <c:ptCount val="1"/>
                <c:pt idx="0">
                  <c:v>Не менее 2G</c:v>
                </c:pt>
              </c:strCache>
            </c:strRef>
          </c:tx>
          <c:spPr>
            <a:solidFill>
              <a:srgbClr val="A2D45E"/>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4-998D-4773-8F8A-58C709B07B8B}"/>
                </c:ext>
              </c:extLst>
            </c:dLbl>
            <c:dLbl>
              <c:idx val="14"/>
              <c:delete val="1"/>
              <c:extLst>
                <c:ext xmlns:c15="http://schemas.microsoft.com/office/drawing/2012/chart" uri="{CE6537A1-D6FC-4f65-9D91-7224C49458BB}"/>
                <c:ext xmlns:c16="http://schemas.microsoft.com/office/drawing/2014/chart" uri="{C3380CC4-5D6E-409C-BE32-E72D297353CC}">
                  <c16:uniqueId val="{00000005-998D-4773-8F8A-58C709B07B8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85000"/>
                        <a:lumOff val="1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'Fig-4-page-22'!$A$4:$A$20</c:f>
              <c:strCache>
                <c:ptCount val="17"/>
                <c:pt idx="0">
                  <c:v> НРС </c:v>
                </c:pt>
                <c:pt idx="1">
                  <c:v> ЛЛДС </c:v>
                </c:pt>
                <c:pt idx="2">
                  <c:v> СИДС </c:v>
                </c:pt>
                <c:pt idx="4">
                  <c:v> Страны с низким уровнем доходов </c:v>
                </c:pt>
                <c:pt idx="5">
                  <c:v> Страны со средне-низким уровнем доходов </c:v>
                </c:pt>
                <c:pt idx="6">
                  <c:v> Страны со средне-высоким уровнем доходов </c:v>
                </c:pt>
                <c:pt idx="7">
                  <c:v> Страны с высоким уровнем доходов </c:v>
                </c:pt>
                <c:pt idx="9">
                  <c:v> Африка </c:v>
                </c:pt>
                <c:pt idx="10">
                  <c:v> Северная и Южная Америка </c:v>
                </c:pt>
                <c:pt idx="11">
                  <c:v> Арабские государства </c:v>
                </c:pt>
                <c:pt idx="12">
                  <c:v> Азиатско-Тихоокеанский регион </c:v>
                </c:pt>
                <c:pt idx="13">
                  <c:v> СНГ </c:v>
                </c:pt>
                <c:pt idx="14">
                  <c:v> Европа </c:v>
                </c:pt>
                <c:pt idx="16">
                  <c:v> Весь мир </c:v>
                </c:pt>
              </c:strCache>
            </c:strRef>
          </c:cat>
          <c:val>
            <c:numRef>
              <c:f>'Fig-4-page-22'!$J$4:$J$20</c:f>
              <c:numCache>
                <c:formatCode>_-* #,##0_-;\-* #,##0_-;_-* "-"??_-;_-@_-</c:formatCode>
                <c:ptCount val="17"/>
                <c:pt idx="0">
                  <c:v>6</c:v>
                </c:pt>
                <c:pt idx="1">
                  <c:v>7.7000000000000028</c:v>
                </c:pt>
                <c:pt idx="2">
                  <c:v>4.6000000000000085</c:v>
                </c:pt>
                <c:pt idx="4">
                  <c:v>7.7000000000000028</c:v>
                </c:pt>
                <c:pt idx="5">
                  <c:v>2.1999999999999886</c:v>
                </c:pt>
                <c:pt idx="6">
                  <c:v>0.5</c:v>
                </c:pt>
                <c:pt idx="7">
                  <c:v>0.29999999999999716</c:v>
                </c:pt>
                <c:pt idx="9">
                  <c:v>5.2999999999999972</c:v>
                </c:pt>
                <c:pt idx="10">
                  <c:v>0.70000000000000284</c:v>
                </c:pt>
                <c:pt idx="11">
                  <c:v>2.3999999999999915</c:v>
                </c:pt>
                <c:pt idx="12">
                  <c:v>1.1999999999999886</c:v>
                </c:pt>
                <c:pt idx="13">
                  <c:v>2.3999999999999915</c:v>
                </c:pt>
                <c:pt idx="14">
                  <c:v>0.20000000000000284</c:v>
                </c:pt>
                <c:pt idx="16">
                  <c:v>1.7999999999999972</c:v>
                </c:pt>
              </c:numCache>
            </c:numRef>
          </c:val>
          <c:extLst>
            <c:ext xmlns:c16="http://schemas.microsoft.com/office/drawing/2014/chart" uri="{C3380CC4-5D6E-409C-BE32-E72D297353CC}">
              <c16:uniqueId val="{00000006-998D-4773-8F8A-58C709B07B8B}"/>
            </c:ext>
          </c:extLst>
        </c:ser>
        <c:dLbls>
          <c:dLblPos val="inBase"/>
          <c:showLegendKey val="0"/>
          <c:showVal val="1"/>
          <c:showCatName val="0"/>
          <c:showSerName val="0"/>
          <c:showPercent val="0"/>
          <c:showBubbleSize val="0"/>
        </c:dLbls>
        <c:gapWidth val="50"/>
        <c:overlap val="100"/>
        <c:axId val="1332154208"/>
        <c:axId val="1332159616"/>
      </c:barChart>
      <c:catAx>
        <c:axId val="1332154208"/>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32159616"/>
        <c:crosses val="autoZero"/>
        <c:auto val="1"/>
        <c:lblAlgn val="ctr"/>
        <c:lblOffset val="100"/>
        <c:noMultiLvlLbl val="0"/>
      </c:catAx>
      <c:valAx>
        <c:axId val="133215961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3215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85571142816564E-2"/>
          <c:y val="8.7488132433001214E-2"/>
          <c:w val="0.91064142486059729"/>
          <c:h val="0.43824698368569098"/>
        </c:manualLayout>
      </c:layout>
      <c:barChart>
        <c:barDir val="col"/>
        <c:grouping val="clustered"/>
        <c:varyColors val="0"/>
        <c:ser>
          <c:idx val="0"/>
          <c:order val="1"/>
          <c:tx>
            <c:strRef>
              <c:f>'Fig-7-page-25'!$C$3</c:f>
              <c:strCache>
                <c:ptCount val="1"/>
                <c:pt idx="0">
                  <c:v>Пользуются интернетом</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'Fig-7-page-25'!$A$4:$A$20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'Fig-7-page-25'!$C$4:$C$20</c:f>
              <c:numCache>
                <c:formatCode>General</c:formatCode>
                <c:ptCount val="17"/>
                <c:pt idx="0" formatCode="_-* #\ ##0_-;\-* #\ ##0_-;_-* &quot;-&quot;??_-;_-@_-">
                  <c:v>73.599999999999994</c:v>
                </c:pt>
                <c:pt idx="2" formatCode="_-* #\ ##0_-;\-* #\ ##0_-;_-* &quot;-&quot;??_-;_-@_-">
                  <c:v>35.700000000000003</c:v>
                </c:pt>
                <c:pt idx="3" formatCode="_-* #\ ##0_-;\-* #\ ##0_-;_-* &quot;-&quot;??_-;_-@_-">
                  <c:v>88.1</c:v>
                </c:pt>
                <c:pt idx="4" formatCode="_-* #\ ##0_-;\-* #\ ##0_-;_-* &quot;-&quot;??_-;_-@_-">
                  <c:v>69.5</c:v>
                </c:pt>
                <c:pt idx="5" formatCode="_-* #\ ##0_-;\-* #\ ##0_-;_-* &quot;-&quot;??_-;_-@_-">
                  <c:v>77.099999999999994</c:v>
                </c:pt>
                <c:pt idx="6" formatCode="_-* #\ ##0_-;\-* #\ ##0_-;_-* &quot;-&quot;??_-;_-@_-">
                  <c:v>92.9</c:v>
                </c:pt>
                <c:pt idx="7" formatCode="_-* #\ ##0_-;\-* #\ ##0_-;_-* &quot;-&quot;??_-;_-@_-">
                  <c:v>92.2</c:v>
                </c:pt>
                <c:pt idx="9" formatCode="_-* #\ ##0_-;\-* #\ ##0_-;_-* &quot;-&quot;??_-;_-@_-">
                  <c:v>23.4</c:v>
                </c:pt>
                <c:pt idx="10" formatCode="_-* #\ ##0_-;\-* #\ ##0_-;_-* &quot;-&quot;??_-;_-@_-">
                  <c:v>62.9</c:v>
                </c:pt>
                <c:pt idx="11" formatCode="_-* #\ ##0_-;\-* #\ ##0_-;_-* &quot;-&quot;??_-;_-@_-">
                  <c:v>88.8</c:v>
                </c:pt>
                <c:pt idx="12" formatCode="_-* #\ ##0_-;\-* #\ ##0_-;_-* &quot;-&quot;??_-;_-@_-">
                  <c:v>94.2</c:v>
                </c:pt>
                <c:pt idx="14" formatCode="_-* #\ ##0_-;\-* #\ ##0_-;_-* &quot;-&quot;??_-;_-@_-">
                  <c:v>33.700000000000003</c:v>
                </c:pt>
                <c:pt idx="15" formatCode="_-* #\ ##0_-;\-* #\ ##0_-;_-* &quot;-&quot;??_-;_-@_-">
                  <c:v>37.6</c:v>
                </c:pt>
                <c:pt idx="16" formatCode="_-* #\ ##0_-;\-* #\ ##0_-;_-* &quot;-&quot;??_-;_-@_-">
                  <c:v>64.099999999999994</c:v>
                </c:pt>
              </c:numCache>
            </c:numRef>
          </c:val>
          <c:extLst>
            <c:ext xmlns:c16="http://schemas.microsoft.com/office/drawing/2014/chart" uri="{C3380CC4-5D6E-409C-BE32-E72D297353CC}">
              <c16:uniqueId val="{00000000-B0E9-4BD4-8760-9524B5F8F6B6}"/>
            </c:ext>
          </c:extLst>
        </c:ser>
        <c:dLbls>
          <c:showLegendKey val="0"/>
          <c:showVal val="0"/>
          <c:showCatName val="0"/>
          <c:showSerName val="0"/>
          <c:showPercent val="0"/>
          <c:showBubbleSize val="0"/>
        </c:dLbls>
        <c:gapWidth val="50"/>
        <c:overlap val="-27"/>
        <c:axId val="1326348864"/>
        <c:axId val="1326347200"/>
      </c:barChart>
      <c:lineChart>
        <c:grouping val="standard"/>
        <c:varyColors val="0"/>
        <c:ser>
          <c:idx val="1"/>
          <c:order val="0"/>
          <c:tx>
            <c:strRef>
              <c:f>'Fig-7-page-25'!$B$3</c:f>
              <c:strCache>
                <c:ptCount val="1"/>
                <c:pt idx="0">
                  <c:v>Владеют мобильным телефоном</c:v>
                </c:pt>
              </c:strCache>
            </c:strRef>
          </c:tx>
          <c:spPr>
            <a:ln w="25400" cap="rnd">
              <a:noFill/>
              <a:round/>
            </a:ln>
            <a:effectLst/>
          </c:spPr>
          <c:marker>
            <c:symbol val="dash"/>
            <c:size val="17"/>
            <c:spPr>
              <a:solidFill>
                <a:srgbClr val="A2D45E"/>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'Fig-7-page-25'!$A$4:$A$20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'Fig-7-page-25'!$B$4:$B$20</c:f>
              <c:numCache>
                <c:formatCode>General</c:formatCode>
                <c:ptCount val="17"/>
                <c:pt idx="0" formatCode="0">
                  <c:v>82.336743506513429</c:v>
                </c:pt>
                <c:pt idx="2" formatCode="0">
                  <c:v>65.68112961087769</c:v>
                </c:pt>
                <c:pt idx="3" formatCode="0">
                  <c:v>89.409002851802228</c:v>
                </c:pt>
                <c:pt idx="4" formatCode="0">
                  <c:v>83.828882612651626</c:v>
                </c:pt>
                <c:pt idx="5" formatCode="0">
                  <c:v>81.546938329820335</c:v>
                </c:pt>
                <c:pt idx="6" formatCode="0">
                  <c:v>94.720619800175399</c:v>
                </c:pt>
                <c:pt idx="7" formatCode="0">
                  <c:v>95.655362794763775</c:v>
                </c:pt>
                <c:pt idx="9" formatCode="0">
                  <c:v>52.966818735897469</c:v>
                </c:pt>
                <c:pt idx="10" formatCode="0">
                  <c:v>73.774971078237272</c:v>
                </c:pt>
                <c:pt idx="11" formatCode="0">
                  <c:v>90.259161152790981</c:v>
                </c:pt>
                <c:pt idx="12" formatCode="0">
                  <c:v>96.544482341601878</c:v>
                </c:pt>
                <c:pt idx="14" formatCode="0">
                  <c:v>63.094605230214846</c:v>
                </c:pt>
                <c:pt idx="15" formatCode="0">
                  <c:v>64.336404804416858</c:v>
                </c:pt>
                <c:pt idx="16" formatCode="0">
                  <c:v>74.275320800253965</c:v>
                </c:pt>
              </c:numCache>
            </c:numRef>
          </c:val>
          <c:smooth val="0"/>
          <c:extLst>
            <c:ext xmlns:c16="http://schemas.microsoft.com/office/drawing/2014/chart" uri="{C3380CC4-5D6E-409C-BE32-E72D297353CC}">
              <c16:uniqueId val="{00000001-B0E9-4BD4-8760-9524B5F8F6B6}"/>
            </c:ext>
          </c:extLst>
        </c:ser>
        <c:dLbls>
          <c:showLegendKey val="0"/>
          <c:showVal val="0"/>
          <c:showCatName val="0"/>
          <c:showSerName val="0"/>
          <c:showPercent val="0"/>
          <c:showBubbleSize val="0"/>
        </c:dLbls>
        <c:marker val="1"/>
        <c:smooth val="0"/>
        <c:axId val="1326348864"/>
        <c:axId val="1326347200"/>
      </c:lineChart>
      <c:catAx>
        <c:axId val="132634886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7200"/>
        <c:crosses val="autoZero"/>
        <c:auto val="1"/>
        <c:lblAlgn val="ctr"/>
        <c:lblOffset val="100"/>
        <c:noMultiLvlLbl val="0"/>
      </c:catAx>
      <c:valAx>
        <c:axId val="13263472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8864"/>
        <c:crosses val="autoZero"/>
        <c:crossBetween val="between"/>
        <c:majorUnit val="20"/>
      </c:valAx>
      <c:spPr>
        <a:noFill/>
        <a:ln>
          <a:noFill/>
        </a:ln>
        <a:effectLst/>
      </c:spPr>
    </c:plotArea>
    <c:legend>
      <c:legendPos val="b"/>
      <c:layout>
        <c:manualLayout>
          <c:xMode val="edge"/>
          <c:yMode val="edge"/>
          <c:x val="0.21997921905666323"/>
          <c:y val="0.93790130480311018"/>
          <c:w val="0.56445121903583018"/>
          <c:h val="5.208701490321385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'Fig-8-page-25'!$B$2</c:f>
              <c:strCache>
                <c:ptCount val="1"/>
                <c:pt idx="0">
                  <c:v>Компьютеры</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'Fig-8-page-25'!$A$3:$A$5</c:f>
              <c:strCache>
                <c:ptCount val="3"/>
                <c:pt idx="0">
                  <c:v>Начальная школа</c:v>
                </c:pt>
                <c:pt idx="1">
                  <c:v>Младшие классы средней школы</c:v>
                </c:pt>
                <c:pt idx="2">
                  <c:v>Старшие классы средней школы</c:v>
                </c:pt>
              </c:strCache>
            </c:strRef>
          </c:cat>
          <c:val>
            <c:numRef>
              <c:f>'Fig-8-page-25'!$B$3:$B$5</c:f>
              <c:numCache>
                <c:formatCode>0</c:formatCode>
                <c:ptCount val="3"/>
                <c:pt idx="0">
                  <c:v>48.503620147705078</c:v>
                </c:pt>
                <c:pt idx="1">
                  <c:v>65.432510375976563</c:v>
                </c:pt>
                <c:pt idx="2">
                  <c:v>76.472976684570313</c:v>
                </c:pt>
              </c:numCache>
            </c:numRef>
          </c:val>
          <c:extLst>
            <c:ext xmlns:c16="http://schemas.microsoft.com/office/drawing/2014/chart" uri="{C3380CC4-5D6E-409C-BE32-E72D297353CC}">
              <c16:uniqueId val="{00000000-3ADD-463B-9E19-321460126DB6}"/>
            </c:ext>
          </c:extLst>
        </c:ser>
        <c:ser>
          <c:idx val="1"/>
          <c:order val="1"/>
          <c:tx>
            <c:strRef>
              <c:f>'Fig-8-page-25'!$C$2</c:f>
              <c:strCache>
                <c:ptCount val="1"/>
                <c:pt idx="0">
                  <c:v>Интернет</c:v>
                </c:pt>
              </c:strCache>
            </c:strRef>
          </c:tx>
          <c:spPr>
            <a:solidFill>
              <a:srgbClr val="005C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'Fig-8-page-25'!$A$3:$A$5</c:f>
              <c:strCache>
                <c:ptCount val="3"/>
                <c:pt idx="0">
                  <c:v>Начальная школа</c:v>
                </c:pt>
                <c:pt idx="1">
                  <c:v>Младшие классы средней школы</c:v>
                </c:pt>
                <c:pt idx="2">
                  <c:v>Старшие классы средней школы</c:v>
                </c:pt>
              </c:strCache>
            </c:strRef>
          </c:cat>
          <c:val>
            <c:numRef>
              <c:f>'Fig-8-page-25'!$C$3:$C$5</c:f>
              <c:numCache>
                <c:formatCode>0</c:formatCode>
                <c:ptCount val="3"/>
                <c:pt idx="0">
                  <c:v>47.980010986328132</c:v>
                </c:pt>
                <c:pt idx="1">
                  <c:v>62.0283203125</c:v>
                </c:pt>
                <c:pt idx="2">
                  <c:v>69.732223510742188</c:v>
                </c:pt>
              </c:numCache>
            </c:numRef>
          </c:val>
          <c:extLst>
            <c:ext xmlns:c16="http://schemas.microsoft.com/office/drawing/2014/chart" uri="{C3380CC4-5D6E-409C-BE32-E72D297353CC}">
              <c16:uniqueId val="{00000001-3ADD-463B-9E19-321460126DB6}"/>
            </c:ext>
          </c:extLst>
        </c:ser>
        <c:dLbls>
          <c:showLegendKey val="0"/>
          <c:showVal val="0"/>
          <c:showCatName val="0"/>
          <c:showSerName val="0"/>
          <c:showPercent val="0"/>
          <c:showBubbleSize val="0"/>
        </c:dLbls>
        <c:gapWidth val="100"/>
        <c:overlap val="-20"/>
        <c:axId val="1705264175"/>
        <c:axId val="1705270895"/>
      </c:barChart>
      <c:catAx>
        <c:axId val="1705264175"/>
        <c:scaling>
          <c:orientation val="minMax"/>
        </c:scaling>
        <c:delete val="0"/>
        <c:axPos val="b"/>
        <c:numFmt formatCode="General" sourceLinked="1"/>
        <c:majorTickMark val="none"/>
        <c:minorTickMark val="none"/>
        <c:tickLblPos val="nextTo"/>
        <c:spPr>
          <a:noFill/>
          <a:ln w="12700"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705270895"/>
        <c:crosses val="autoZero"/>
        <c:auto val="1"/>
        <c:lblAlgn val="ctr"/>
        <c:lblOffset val="100"/>
        <c:noMultiLvlLbl val="0"/>
      </c:catAx>
      <c:valAx>
        <c:axId val="1705270895"/>
        <c:scaling>
          <c:orientation val="minMax"/>
          <c:max val="100"/>
        </c:scaling>
        <c:delete val="0"/>
        <c:axPos val="l"/>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705264175"/>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'Fig-9-page-26'!$A$3</c:f>
              <c:strCache>
                <c:ptCount val="1"/>
                <c:pt idx="0">
                  <c:v>млрд. (левая ось)</c:v>
                </c:pt>
              </c:strCache>
            </c:strRef>
          </c:tx>
          <c:spPr>
            <a:solidFill>
              <a:srgbClr val="00A0DF"/>
            </a:solidFill>
            <a:ln>
              <a:noFill/>
            </a:ln>
            <a:effectLst/>
          </c:spPr>
          <c:invertIfNegative val="0"/>
          <c:cat>
            <c:strRef>
              <c:f>'Fig-9-page-26'!$B$2:$V$2</c:f>
              <c:strCache>
                <c:ptCount val="21"/>
                <c:pt idx="0">
                  <c:v>2005 г.</c:v>
                </c:pt>
                <c:pt idx="1">
                  <c:v>2006 г.</c:v>
                </c:pt>
                <c:pt idx="2">
                  <c:v>2007 г.</c:v>
                </c:pt>
                <c:pt idx="3">
                  <c:v>2008 г.</c:v>
                </c:pt>
                <c:pt idx="4">
                  <c:v>2009 г.</c:v>
                </c:pt>
                <c:pt idx="5">
                  <c:v>2010 г.</c:v>
                </c:pt>
                <c:pt idx="6">
                  <c:v>2011 г.</c:v>
                </c:pt>
                <c:pt idx="7">
                  <c:v>2012 г.</c:v>
                </c:pt>
                <c:pt idx="8">
                  <c:v>2013 г.</c:v>
                </c:pt>
                <c:pt idx="9">
                  <c:v>2014 г.</c:v>
                </c:pt>
                <c:pt idx="10">
                  <c:v>2015 г.</c:v>
                </c:pt>
                <c:pt idx="11">
                  <c:v>2016 г.</c:v>
                </c:pt>
                <c:pt idx="12">
                  <c:v>2017 г.</c:v>
                </c:pt>
                <c:pt idx="13">
                  <c:v>2018 г.</c:v>
                </c:pt>
                <c:pt idx="14">
                  <c:v>2019 г.</c:v>
                </c:pt>
                <c:pt idx="15">
                  <c:v>2020 г.</c:v>
                </c:pt>
                <c:pt idx="16">
                  <c:v>2021 г.</c:v>
                </c:pt>
                <c:pt idx="17">
                  <c:v>2022 г.</c:v>
                </c:pt>
                <c:pt idx="18">
                  <c:v>2023 г.</c:v>
                </c:pt>
                <c:pt idx="19">
                  <c:v>2024 г.</c:v>
                </c:pt>
                <c:pt idx="20">
                  <c:v>2025 г.</c:v>
                </c:pt>
              </c:strCache>
            </c:strRef>
          </c:cat>
          <c:val>
            <c:numRef>
              <c:f>'Fig-9-page-26'!$B$3:$V$3</c:f>
              <c:numCache>
                <c:formatCode>General</c:formatCode>
                <c:ptCount val="21"/>
                <c:pt idx="0">
                  <c:v>1.0236000000000001</c:v>
                </c:pt>
                <c:pt idx="1">
                  <c:v>1.1471</c:v>
                </c:pt>
                <c:pt idx="2">
                  <c:v>1.3660999999999999</c:v>
                </c:pt>
                <c:pt idx="3">
                  <c:v>1.5552999999999999</c:v>
                </c:pt>
                <c:pt idx="4">
                  <c:v>1.7495999999999998</c:v>
                </c:pt>
                <c:pt idx="5">
                  <c:v>1.9932999999999998</c:v>
                </c:pt>
                <c:pt idx="6">
                  <c:v>2.1915999999999998</c:v>
                </c:pt>
                <c:pt idx="7">
                  <c:v>2.3965000000000001</c:v>
                </c:pt>
                <c:pt idx="8">
                  <c:v>2.5701999999999998</c:v>
                </c:pt>
                <c:pt idx="9">
                  <c:v>2.7585000000000002</c:v>
                </c:pt>
                <c:pt idx="10">
                  <c:v>2.9750000000000001</c:v>
                </c:pt>
                <c:pt idx="11">
                  <c:v>3.2887</c:v>
                </c:pt>
                <c:pt idx="12">
                  <c:v>3.5385999999999997</c:v>
                </c:pt>
                <c:pt idx="13">
                  <c:v>3.8170000000000002</c:v>
                </c:pt>
                <c:pt idx="14">
                  <c:v>4.2012999999999998</c:v>
                </c:pt>
                <c:pt idx="15">
                  <c:v>4.7332999999999998</c:v>
                </c:pt>
                <c:pt idx="16">
                  <c:v>5.0670000000000002</c:v>
                </c:pt>
                <c:pt idx="17">
                  <c:v>5.3686999999999996</c:v>
                </c:pt>
                <c:pt idx="18">
                  <c:v>5.5940000000000003</c:v>
                </c:pt>
                <c:pt idx="19">
                  <c:v>5.8048000000000002</c:v>
                </c:pt>
                <c:pt idx="20">
                  <c:v>6.0473999999999997</c:v>
                </c:pt>
              </c:numCache>
            </c:numRef>
          </c:val>
          <c:extLst>
            <c:ext xmlns:c16="http://schemas.microsoft.com/office/drawing/2014/chart" uri="{C3380CC4-5D6E-409C-BE32-E72D297353CC}">
              <c16:uniqueId val="{00000000-05FD-4245-A917-7E38279CCACE}"/>
            </c:ext>
          </c:extLst>
        </c:ser>
        <c:dLbls>
          <c:showLegendKey val="0"/>
          <c:showVal val="0"/>
          <c:showCatName val="0"/>
          <c:showSerName val="0"/>
          <c:showPercent val="0"/>
          <c:showBubbleSize val="0"/>
        </c:dLbls>
        <c:gapWidth val="100"/>
        <c:overlap val="-27"/>
        <c:axId val="1423043183"/>
        <c:axId val="1977454815"/>
      </c:barChart>
      <c:lineChart>
        <c:grouping val="standard"/>
        <c:varyColors val="0"/>
        <c:ser>
          <c:idx val="1"/>
          <c:order val="1"/>
          <c:tx>
            <c:strRef>
              <c:f>'Fig-9-page-26'!$A$4</c:f>
              <c:strCache>
                <c:ptCount val="1"/>
                <c:pt idx="0">
                  <c:v>% (правая ось)</c:v>
                </c:pt>
              </c:strCache>
            </c:strRef>
          </c:tx>
          <c:spPr>
            <a:ln w="28575" cap="rnd">
              <a:solidFill>
                <a:srgbClr val="92D050"/>
              </a:solidFill>
              <a:round/>
            </a:ln>
            <a:effectLst/>
          </c:spPr>
          <c:marker>
            <c:symbol val="none"/>
          </c:marker>
          <c:cat>
            <c:strRef>
              <c:f>'Fig-9-page-26'!$B$2:$V$2</c:f>
              <c:strCache>
                <c:ptCount val="21"/>
                <c:pt idx="0">
                  <c:v>2005 г.</c:v>
                </c:pt>
                <c:pt idx="1">
                  <c:v>2006 г.</c:v>
                </c:pt>
                <c:pt idx="2">
                  <c:v>2007 г.</c:v>
                </c:pt>
                <c:pt idx="3">
                  <c:v>2008 г.</c:v>
                </c:pt>
                <c:pt idx="4">
                  <c:v>2009 г.</c:v>
                </c:pt>
                <c:pt idx="5">
                  <c:v>2010 г.</c:v>
                </c:pt>
                <c:pt idx="6">
                  <c:v>2011 г.</c:v>
                </c:pt>
                <c:pt idx="7">
                  <c:v>2012 г.</c:v>
                </c:pt>
                <c:pt idx="8">
                  <c:v>2013 г.</c:v>
                </c:pt>
                <c:pt idx="9">
                  <c:v>2014 г.</c:v>
                </c:pt>
                <c:pt idx="10">
                  <c:v>2015 г.</c:v>
                </c:pt>
                <c:pt idx="11">
                  <c:v>2016 г.</c:v>
                </c:pt>
                <c:pt idx="12">
                  <c:v>2017 г.</c:v>
                </c:pt>
                <c:pt idx="13">
                  <c:v>2018 г.</c:v>
                </c:pt>
                <c:pt idx="14">
                  <c:v>2019 г.</c:v>
                </c:pt>
                <c:pt idx="15">
                  <c:v>2020 г.</c:v>
                </c:pt>
                <c:pt idx="16">
                  <c:v>2021 г.</c:v>
                </c:pt>
                <c:pt idx="17">
                  <c:v>2022 г.</c:v>
                </c:pt>
                <c:pt idx="18">
                  <c:v>2023 г.</c:v>
                </c:pt>
                <c:pt idx="19">
                  <c:v>2024 г.</c:v>
                </c:pt>
                <c:pt idx="20">
                  <c:v>2025 г.</c:v>
                </c:pt>
              </c:strCache>
            </c:strRef>
          </c:cat>
          <c:val>
            <c:numRef>
              <c:f>'Fig-9-page-26'!$B$4:$V$4</c:f>
              <c:numCache>
                <c:formatCode>_-* #,##0_-;\-* #,##0_-;_-* "-"??_-;_-@_-</c:formatCode>
                <c:ptCount val="21"/>
                <c:pt idx="0">
                  <c:v>15.6</c:v>
                </c:pt>
                <c:pt idx="1">
                  <c:v>17.2</c:v>
                </c:pt>
                <c:pt idx="2">
                  <c:v>20.2</c:v>
                </c:pt>
                <c:pt idx="3">
                  <c:v>22.8</c:v>
                </c:pt>
                <c:pt idx="4">
                  <c:v>25.3</c:v>
                </c:pt>
                <c:pt idx="5">
                  <c:v>28.4</c:v>
                </c:pt>
                <c:pt idx="6">
                  <c:v>30.9</c:v>
                </c:pt>
                <c:pt idx="7">
                  <c:v>33.299999999999997</c:v>
                </c:pt>
                <c:pt idx="8">
                  <c:v>35.299999999999997</c:v>
                </c:pt>
                <c:pt idx="9">
                  <c:v>37.4</c:v>
                </c:pt>
                <c:pt idx="10">
                  <c:v>39.9</c:v>
                </c:pt>
                <c:pt idx="11">
                  <c:v>43.6</c:v>
                </c:pt>
                <c:pt idx="12">
                  <c:v>46.3</c:v>
                </c:pt>
                <c:pt idx="13">
                  <c:v>49.4</c:v>
                </c:pt>
                <c:pt idx="14">
                  <c:v>53.9</c:v>
                </c:pt>
                <c:pt idx="15">
                  <c:v>60.1</c:v>
                </c:pt>
                <c:pt idx="16">
                  <c:v>63.8</c:v>
                </c:pt>
                <c:pt idx="17">
                  <c:v>67</c:v>
                </c:pt>
                <c:pt idx="18">
                  <c:v>69.2</c:v>
                </c:pt>
                <c:pt idx="19">
                  <c:v>71.2</c:v>
                </c:pt>
                <c:pt idx="20">
                  <c:v>73.599999999999994</c:v>
                </c:pt>
              </c:numCache>
            </c:numRef>
          </c:val>
          <c:smooth val="0"/>
          <c:extLst>
            <c:ext xmlns:c16="http://schemas.microsoft.com/office/drawing/2014/chart" uri="{C3380CC4-5D6E-409C-BE32-E72D297353CC}">
              <c16:uniqueId val="{00000001-05FD-4245-A917-7E38279CCACE}"/>
            </c:ext>
          </c:extLst>
        </c:ser>
        <c:dLbls>
          <c:showLegendKey val="0"/>
          <c:showVal val="0"/>
          <c:showCatName val="0"/>
          <c:showSerName val="0"/>
          <c:showPercent val="0"/>
          <c:showBubbleSize val="0"/>
        </c:dLbls>
        <c:marker val="1"/>
        <c:smooth val="0"/>
        <c:axId val="639871967"/>
        <c:axId val="639871487"/>
      </c:lineChart>
      <c:catAx>
        <c:axId val="142304318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977454815"/>
        <c:crosses val="autoZero"/>
        <c:auto val="1"/>
        <c:lblAlgn val="ctr"/>
        <c:lblOffset val="100"/>
        <c:noMultiLvlLbl val="0"/>
      </c:catAx>
      <c:valAx>
        <c:axId val="1977454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23043183"/>
        <c:crosses val="autoZero"/>
        <c:crossBetween val="between"/>
      </c:valAx>
      <c:valAx>
        <c:axId val="63987148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639871967"/>
        <c:crosses val="max"/>
        <c:crossBetween val="between"/>
      </c:valAx>
      <c:catAx>
        <c:axId val="639871967"/>
        <c:scaling>
          <c:orientation val="minMax"/>
        </c:scaling>
        <c:delete val="1"/>
        <c:axPos val="b"/>
        <c:numFmt formatCode="General" sourceLinked="1"/>
        <c:majorTickMark val="out"/>
        <c:minorTickMark val="none"/>
        <c:tickLblPos val="nextTo"/>
        <c:crossAx val="6398714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27198318846657E-2"/>
          <c:y val="4.9803921568627452E-2"/>
          <c:w val="0.91907001138348021"/>
          <c:h val="0.45209841786536459"/>
        </c:manualLayout>
      </c:layout>
      <c:barChart>
        <c:barDir val="col"/>
        <c:grouping val="clustered"/>
        <c:varyColors val="0"/>
        <c:ser>
          <c:idx val="0"/>
          <c:order val="1"/>
          <c:tx>
            <c:strRef>
              <c:f>'Fig-10-page-27'!$C$5</c:f>
              <c:strCache>
                <c:ptCount val="1"/>
                <c:pt idx="0">
                  <c:v>2025 г.</c:v>
                </c:pt>
              </c:strCache>
            </c:strRef>
          </c:tx>
          <c:spPr>
            <a:solidFill>
              <a:srgbClr val="00A0DF"/>
            </a:solidFill>
            <a:ln>
              <a:solidFill>
                <a:schemeClr val="bg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'Fig-10-page-27'!$A$6:$A$22</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'Fig-10-page-27'!$C$6:$C$22</c:f>
              <c:numCache>
                <c:formatCode>General</c:formatCode>
                <c:ptCount val="17"/>
                <c:pt idx="0" formatCode="_-* #,##0_-;\-* #,##0_-;_-* &quot;-&quot;??_-;_-@_-">
                  <c:v>73.599999999999994</c:v>
                </c:pt>
                <c:pt idx="2" formatCode="_-* #,##0_-;\-* #,##0_-;_-* &quot;-&quot;??_-;_-@_-">
                  <c:v>35.700000000000003</c:v>
                </c:pt>
                <c:pt idx="3" formatCode="_-* #,##0_-;\-* #,##0_-;_-* &quot;-&quot;??_-;_-@_-">
                  <c:v>88.1</c:v>
                </c:pt>
                <c:pt idx="4" formatCode="_-* #,##0_-;\-* #,##0_-;_-* &quot;-&quot;??_-;_-@_-">
                  <c:v>69.5</c:v>
                </c:pt>
                <c:pt idx="5" formatCode="_-* #,##0_-;\-* #,##0_-;_-* &quot;-&quot;??_-;_-@_-">
                  <c:v>77.099999999999994</c:v>
                </c:pt>
                <c:pt idx="6" formatCode="_-* #,##0_-;\-* #,##0_-;_-* &quot;-&quot;??_-;_-@_-">
                  <c:v>92.9</c:v>
                </c:pt>
                <c:pt idx="7" formatCode="_-* #,##0_-;\-* #,##0_-;_-* &quot;-&quot;??_-;_-@_-">
                  <c:v>92.2</c:v>
                </c:pt>
                <c:pt idx="9" formatCode="_-* #,##0_-;\-* #,##0_-;_-* &quot;-&quot;??_-;_-@_-">
                  <c:v>23.4</c:v>
                </c:pt>
                <c:pt idx="10" formatCode="_-* #,##0_-;\-* #,##0_-;_-* &quot;-&quot;??_-;_-@_-">
                  <c:v>62.9</c:v>
                </c:pt>
                <c:pt idx="11" formatCode="_-* #,##0_-;\-* #,##0_-;_-* &quot;-&quot;??_-;_-@_-">
                  <c:v>88.8</c:v>
                </c:pt>
                <c:pt idx="12" formatCode="_-* #,##0_-;\-* #,##0_-;_-* &quot;-&quot;??_-;_-@_-">
                  <c:v>94.2</c:v>
                </c:pt>
                <c:pt idx="14" formatCode="_-* #,##0_-;\-* #,##0_-;_-* &quot;-&quot;??_-;_-@_-">
                  <c:v>33.700000000000003</c:v>
                </c:pt>
                <c:pt idx="15" formatCode="_-* #,##0_-;\-* #,##0_-;_-* &quot;-&quot;??_-;_-@_-">
                  <c:v>37.6</c:v>
                </c:pt>
                <c:pt idx="16" formatCode="_-* #,##0_-;\-* #,##0_-;_-* &quot;-&quot;??_-;_-@_-">
                  <c:v>64.099999999999994</c:v>
                </c:pt>
              </c:numCache>
            </c:numRef>
          </c:val>
          <c:extLst>
            <c:ext xmlns:c16="http://schemas.microsoft.com/office/drawing/2014/chart" uri="{C3380CC4-5D6E-409C-BE32-E72D297353CC}">
              <c16:uniqueId val="{00000000-B91F-4228-9CC6-97B33768108A}"/>
            </c:ext>
          </c:extLst>
        </c:ser>
        <c:dLbls>
          <c:showLegendKey val="0"/>
          <c:showVal val="0"/>
          <c:showCatName val="0"/>
          <c:showSerName val="0"/>
          <c:showPercent val="0"/>
          <c:showBubbleSize val="0"/>
        </c:dLbls>
        <c:gapWidth val="50"/>
        <c:overlap val="-27"/>
        <c:axId val="1326348864"/>
        <c:axId val="1326347200"/>
      </c:barChart>
      <c:lineChart>
        <c:grouping val="standard"/>
        <c:varyColors val="0"/>
        <c:ser>
          <c:idx val="1"/>
          <c:order val="0"/>
          <c:tx>
            <c:strRef>
              <c:f>'Fig-10-page-27'!$B$5</c:f>
              <c:strCache>
                <c:ptCount val="1"/>
                <c:pt idx="0">
                  <c:v>2022 г.</c:v>
                </c:pt>
              </c:strCache>
            </c:strRef>
          </c:tx>
          <c:spPr>
            <a:ln w="25400" cap="rnd">
              <a:noFill/>
              <a:round/>
            </a:ln>
            <a:effectLst/>
          </c:spPr>
          <c:marker>
            <c:symbol val="dash"/>
            <c:size val="17"/>
            <c:spPr>
              <a:solidFill>
                <a:srgbClr val="A2D45E"/>
              </a:solidFill>
              <a:ln w="9525">
                <a:noFill/>
              </a:ln>
              <a:effectLst/>
            </c:spPr>
          </c:marker>
          <c:cat>
            <c:strRef>
              <c:f>'Fig-10-page-27'!$A$6:$A$22</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'Fig-10-page-27'!$B$6:$B$22</c:f>
              <c:numCache>
                <c:formatCode>General</c:formatCode>
                <c:ptCount val="17"/>
                <c:pt idx="0" formatCode="_-* #,##0_-;\-* #,##0_-;_-* &quot;-&quot;??_-;_-@_-">
                  <c:v>67</c:v>
                </c:pt>
                <c:pt idx="2" formatCode="_-* #,##0_-;\-* #,##0_-;_-* &quot;-&quot;??_-;_-@_-">
                  <c:v>31.1</c:v>
                </c:pt>
                <c:pt idx="3" formatCode="_-* #,##0_-;\-* #,##0_-;_-* &quot;-&quot;??_-;_-@_-">
                  <c:v>82.8</c:v>
                </c:pt>
                <c:pt idx="4" formatCode="_-* #,##0_-;\-* #,##0_-;_-* &quot;-&quot;??_-;_-@_-">
                  <c:v>66.900000000000006</c:v>
                </c:pt>
                <c:pt idx="5" formatCode="_-* #,##0_-;\-* #,##0_-;_-* &quot;-&quot;??_-;_-@_-">
                  <c:v>68.3</c:v>
                </c:pt>
                <c:pt idx="6" formatCode="_-* #,##0_-;\-* #,##0_-;_-* &quot;-&quot;??_-;_-@_-">
                  <c:v>86.8</c:v>
                </c:pt>
                <c:pt idx="7" formatCode="_-* #,##0_-;\-* #,##0_-;_-* &quot;-&quot;??_-;_-@_-">
                  <c:v>88.3</c:v>
                </c:pt>
                <c:pt idx="9" formatCode="_-* #,##0_-;\-* #,##0_-;_-* &quot;-&quot;??_-;_-@_-">
                  <c:v>21.2</c:v>
                </c:pt>
                <c:pt idx="10" formatCode="_-* #,##0_-;\-* #,##0_-;_-* &quot;-&quot;??_-;_-@_-">
                  <c:v>52.3</c:v>
                </c:pt>
                <c:pt idx="11" formatCode="_-* #,##0_-;\-* #,##0_-;_-* &quot;-&quot;??_-;_-@_-">
                  <c:v>82.7</c:v>
                </c:pt>
                <c:pt idx="12" formatCode="_-* #,##0_-;\-* #,##0_-;_-* &quot;-&quot;??_-;_-@_-">
                  <c:v>91</c:v>
                </c:pt>
                <c:pt idx="14" formatCode="_-* #,##0_-;\-* #,##0_-;_-* &quot;-&quot;??_-;_-@_-">
                  <c:v>28.2</c:v>
                </c:pt>
                <c:pt idx="15" formatCode="_-* #,##0_-;\-* #,##0_-;_-* &quot;-&quot;??_-;_-@_-">
                  <c:v>33.299999999999997</c:v>
                </c:pt>
                <c:pt idx="16" formatCode="_-* #,##0_-;\-* #,##0_-;_-* &quot;-&quot;??_-;_-@_-">
                  <c:v>60.1</c:v>
                </c:pt>
              </c:numCache>
            </c:numRef>
          </c:val>
          <c:smooth val="0"/>
          <c:extLst>
            <c:ext xmlns:c16="http://schemas.microsoft.com/office/drawing/2014/chart" uri="{C3380CC4-5D6E-409C-BE32-E72D297353CC}">
              <c16:uniqueId val="{00000001-B91F-4228-9CC6-97B33768108A}"/>
            </c:ext>
          </c:extLst>
        </c:ser>
        <c:dLbls>
          <c:showLegendKey val="0"/>
          <c:showVal val="0"/>
          <c:showCatName val="0"/>
          <c:showSerName val="0"/>
          <c:showPercent val="0"/>
          <c:showBubbleSize val="0"/>
        </c:dLbls>
        <c:marker val="1"/>
        <c:smooth val="0"/>
        <c:axId val="1326348864"/>
        <c:axId val="1326347200"/>
      </c:lineChart>
      <c:catAx>
        <c:axId val="132634886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7200"/>
        <c:crosses val="autoZero"/>
        <c:auto val="1"/>
        <c:lblAlgn val="ctr"/>
        <c:lblOffset val="100"/>
        <c:noMultiLvlLbl val="0"/>
      </c:catAx>
      <c:valAx>
        <c:axId val="13263472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8864"/>
        <c:crosses val="autoZero"/>
        <c:crossBetween val="between"/>
        <c:majorUnit val="20"/>
      </c:valAx>
      <c:spPr>
        <a:noFill/>
        <a:ln>
          <a:noFill/>
        </a:ln>
        <a:effectLst/>
      </c:spPr>
    </c:plotArea>
    <c:legend>
      <c:legendPos val="b"/>
      <c:layout>
        <c:manualLayout>
          <c:xMode val="edge"/>
          <c:yMode val="edge"/>
          <c:x val="0.4556401511436029"/>
          <c:y val="0.9363351181102364"/>
          <c:w val="0.18573215499424053"/>
          <c:h val="5.11230724393974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27198318846657E-2"/>
          <c:y val="4.9803921568627452E-2"/>
          <c:w val="0.91907001138348021"/>
          <c:h val="0.44044446220872141"/>
        </c:manualLayout>
      </c:layout>
      <c:barChart>
        <c:barDir val="col"/>
        <c:grouping val="clustered"/>
        <c:varyColors val="0"/>
        <c:ser>
          <c:idx val="0"/>
          <c:order val="1"/>
          <c:tx>
            <c:strRef>
              <c:f>'Fig-11-page-27'!$C$3</c:f>
              <c:strCache>
                <c:ptCount val="1"/>
                <c:pt idx="0">
                  <c:v>Женщины</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'Fig-11-page-27'!$A$4:$A$20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'Fig-11-page-27'!$C$4:$C$20</c:f>
              <c:numCache>
                <c:formatCode>General</c:formatCode>
                <c:ptCount val="17"/>
                <c:pt idx="0" formatCode="_-* #,##0_-;\-* #,##0_-;_-* &quot;-&quot;??_-;_-@_-">
                  <c:v>70.5</c:v>
                </c:pt>
                <c:pt idx="2" formatCode="_-* #,##0_-;\-* #,##0_-;_-* &quot;-&quot;??_-;_-@_-">
                  <c:v>31.2</c:v>
                </c:pt>
                <c:pt idx="3" formatCode="_-* #,##0_-;\-* #,##0_-;_-* &quot;-&quot;??_-;_-@_-">
                  <c:v>87.4</c:v>
                </c:pt>
                <c:pt idx="4" formatCode="_-* #,##0_-;\-* #,##0_-;_-* &quot;-&quot;??_-;_-@_-">
                  <c:v>64.099999999999994</c:v>
                </c:pt>
                <c:pt idx="5" formatCode="_-* #,##0_-;\-* #,##0_-;_-* &quot;-&quot;??_-;_-@_-">
                  <c:v>73.599999999999994</c:v>
                </c:pt>
                <c:pt idx="6" formatCode="_-* #,##0_-;\-* #,##0_-;_-* &quot;-&quot;??_-;_-@_-">
                  <c:v>92.1</c:v>
                </c:pt>
                <c:pt idx="7" formatCode="_-* #,##0_-;\-* #,##0_-;_-* &quot;-&quot;??_-;_-@_-">
                  <c:v>91.5</c:v>
                </c:pt>
                <c:pt idx="9" formatCode="_-* #,##0_-;\-* #,##0_-;_-* &quot;-&quot;??_-;_-@_-">
                  <c:v>18.3</c:v>
                </c:pt>
                <c:pt idx="10" formatCode="_-* #,##0_-;\-* #,##0_-;_-* &quot;-&quot;??_-;_-@_-">
                  <c:v>56.9</c:v>
                </c:pt>
                <c:pt idx="11" formatCode="_-* #,##0_-;\-* #,##0_-;_-* &quot;-&quot;??_-;_-@_-">
                  <c:v>87.9</c:v>
                </c:pt>
                <c:pt idx="12" formatCode="_-* #,##0_-;\-* #,##0_-;_-* &quot;-&quot;??_-;_-@_-">
                  <c:v>93.6</c:v>
                </c:pt>
                <c:pt idx="14" formatCode="_-* #,##0_-;\-* #,##0_-;_-* &quot;-&quot;??_-;_-@_-">
                  <c:v>28.4</c:v>
                </c:pt>
                <c:pt idx="15" formatCode="_-* #,##0_-;\-* #,##0_-;_-* &quot;-&quot;??_-;_-@_-">
                  <c:v>34.1</c:v>
                </c:pt>
                <c:pt idx="16" formatCode="_-* #,##0_-;\-* #,##0_-;_-* &quot;-&quot;??_-;_-@_-">
                  <c:v>64.2</c:v>
                </c:pt>
              </c:numCache>
            </c:numRef>
          </c:val>
          <c:extLst>
            <c:ext xmlns:c16="http://schemas.microsoft.com/office/drawing/2014/chart" uri="{C3380CC4-5D6E-409C-BE32-E72D297353CC}">
              <c16:uniqueId val="{00000000-785E-4274-A743-3114F62DE268}"/>
            </c:ext>
          </c:extLst>
        </c:ser>
        <c:dLbls>
          <c:showLegendKey val="0"/>
          <c:showVal val="0"/>
          <c:showCatName val="0"/>
          <c:showSerName val="0"/>
          <c:showPercent val="0"/>
          <c:showBubbleSize val="0"/>
        </c:dLbls>
        <c:gapWidth val="50"/>
        <c:overlap val="-27"/>
        <c:axId val="1326348864"/>
        <c:axId val="1326347200"/>
      </c:barChart>
      <c:lineChart>
        <c:grouping val="standard"/>
        <c:varyColors val="0"/>
        <c:ser>
          <c:idx val="1"/>
          <c:order val="0"/>
          <c:tx>
            <c:strRef>
              <c:f>'Fig-11-page-27'!$B$3</c:f>
              <c:strCache>
                <c:ptCount val="1"/>
                <c:pt idx="0">
                  <c:v>Мужчины</c:v>
                </c:pt>
              </c:strCache>
            </c:strRef>
          </c:tx>
          <c:spPr>
            <a:ln w="25400" cap="rnd">
              <a:noFill/>
              <a:round/>
            </a:ln>
            <a:effectLst/>
          </c:spPr>
          <c:marker>
            <c:symbol val="dash"/>
            <c:size val="17"/>
            <c:spPr>
              <a:solidFill>
                <a:srgbClr val="A2D45E"/>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'Fig-11-page-27'!$A$4:$A$20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'Fig-11-page-27'!$B$4:$B$20</c:f>
              <c:numCache>
                <c:formatCode>General</c:formatCode>
                <c:ptCount val="17"/>
                <c:pt idx="0" formatCode="_-* #,##0_-;\-* #,##0_-;_-* &quot;-&quot;??_-;_-@_-">
                  <c:v>76.599999999999994</c:v>
                </c:pt>
                <c:pt idx="2" formatCode="_-* #,##0_-;\-* #,##0_-;_-* &quot;-&quot;??_-;_-@_-">
                  <c:v>40.299999999999997</c:v>
                </c:pt>
                <c:pt idx="3" formatCode="_-* #,##0_-;\-* #,##0_-;_-* &quot;-&quot;??_-;_-@_-">
                  <c:v>88.8</c:v>
                </c:pt>
                <c:pt idx="4" formatCode="_-* #,##0_-;\-* #,##0_-;_-* &quot;-&quot;??_-;_-@_-">
                  <c:v>74.599999999999994</c:v>
                </c:pt>
                <c:pt idx="5" formatCode="_-* #,##0_-;\-* #,##0_-;_-* &quot;-&quot;??_-;_-@_-">
                  <c:v>80.599999999999994</c:v>
                </c:pt>
                <c:pt idx="6" formatCode="_-* #,##0_-;\-* #,##0_-;_-* &quot;-&quot;??_-;_-@_-">
                  <c:v>93.8</c:v>
                </c:pt>
                <c:pt idx="7" formatCode="_-* #,##0_-;\-* #,##0_-;_-* &quot;-&quot;??_-;_-@_-">
                  <c:v>93</c:v>
                </c:pt>
                <c:pt idx="9" formatCode="_-* #,##0_-;\-* #,##0_-;_-* &quot;-&quot;??_-;_-@_-">
                  <c:v>28.6</c:v>
                </c:pt>
                <c:pt idx="10" formatCode="_-* #,##0_-;\-* #,##0_-;_-* &quot;-&quot;??_-;_-@_-">
                  <c:v>68.7</c:v>
                </c:pt>
                <c:pt idx="11" formatCode="_-* #,##0_-;\-* #,##0_-;_-* &quot;-&quot;??_-;_-@_-">
                  <c:v>89.7</c:v>
                </c:pt>
                <c:pt idx="12" formatCode="_-* #,##0_-;\-* #,##0_-;_-* &quot;-&quot;??_-;_-@_-">
                  <c:v>94.9</c:v>
                </c:pt>
                <c:pt idx="14" formatCode="_-* #,##0_-;\-* #,##0_-;_-* &quot;-&quot;??_-;_-@_-">
                  <c:v>39.1</c:v>
                </c:pt>
                <c:pt idx="15" formatCode="_-* #,##0_-;\-* #,##0_-;_-* &quot;-&quot;??_-;_-@_-">
                  <c:v>41</c:v>
                </c:pt>
                <c:pt idx="16" formatCode="_-* #,##0_-;\-* #,##0_-;_-* &quot;-&quot;??_-;_-@_-">
                  <c:v>64</c:v>
                </c:pt>
              </c:numCache>
            </c:numRef>
          </c:val>
          <c:smooth val="0"/>
          <c:extLst>
            <c:ext xmlns:c16="http://schemas.microsoft.com/office/drawing/2014/chart" uri="{C3380CC4-5D6E-409C-BE32-E72D297353CC}">
              <c16:uniqueId val="{00000001-785E-4274-A743-3114F62DE268}"/>
            </c:ext>
          </c:extLst>
        </c:ser>
        <c:dLbls>
          <c:showLegendKey val="0"/>
          <c:showVal val="0"/>
          <c:showCatName val="0"/>
          <c:showSerName val="0"/>
          <c:showPercent val="0"/>
          <c:showBubbleSize val="0"/>
        </c:dLbls>
        <c:marker val="1"/>
        <c:smooth val="0"/>
        <c:axId val="1326348864"/>
        <c:axId val="1326347200"/>
      </c:lineChart>
      <c:catAx>
        <c:axId val="132634886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7200"/>
        <c:crosses val="autoZero"/>
        <c:auto val="1"/>
        <c:lblAlgn val="ctr"/>
        <c:lblOffset val="100"/>
        <c:noMultiLvlLbl val="0"/>
      </c:catAx>
      <c:valAx>
        <c:axId val="13263472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8864"/>
        <c:crosses val="autoZero"/>
        <c:crossBetween val="between"/>
        <c:majorUnit val="20"/>
      </c:valAx>
      <c:spPr>
        <a:noFill/>
        <a:ln>
          <a:noFill/>
        </a:ln>
        <a:effectLst/>
      </c:spPr>
    </c:plotArea>
    <c:legend>
      <c:legendPos val="b"/>
      <c:layout>
        <c:manualLayout>
          <c:xMode val="edge"/>
          <c:yMode val="edge"/>
          <c:x val="0.38221935961014464"/>
          <c:y val="0.93590122626335492"/>
          <c:w val="0.22674179287284824"/>
          <c:h val="5.376463663709277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27198318846657E-2"/>
          <c:y val="6.9190083065141891E-2"/>
          <c:w val="0.91907001138348021"/>
          <c:h val="0.42818697281160467"/>
        </c:manualLayout>
      </c:layout>
      <c:barChart>
        <c:barDir val="col"/>
        <c:grouping val="clustered"/>
        <c:varyColors val="0"/>
        <c:ser>
          <c:idx val="0"/>
          <c:order val="1"/>
          <c:tx>
            <c:strRef>
              <c:f>'Fig-12-page-28'!$C$3</c:f>
              <c:strCache>
                <c:ptCount val="1"/>
                <c:pt idx="0">
                  <c:v>Остальное население</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'Fig-12-page-28'!$A$4:$A$20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'Fig-12-page-28'!$C$4:$C$20</c:f>
              <c:numCache>
                <c:formatCode>General</c:formatCode>
                <c:ptCount val="17"/>
                <c:pt idx="0" formatCode="_-* #,##0_-;\-* #,##0_-;_-* &quot;-&quot;??_-;_-@_-">
                  <c:v>71.900000000000006</c:v>
                </c:pt>
                <c:pt idx="2" formatCode="_-* #,##0_-;\-* #,##0_-;_-* &quot;-&quot;??_-;_-@_-">
                  <c:v>32.200000000000003</c:v>
                </c:pt>
                <c:pt idx="3" formatCode="_-* #,##0_-;\-* #,##0_-;_-* &quot;-&quot;??_-;_-@_-">
                  <c:v>86.6</c:v>
                </c:pt>
                <c:pt idx="4" formatCode="_-* #,##0_-;\-* #,##0_-;_-* &quot;-&quot;??_-;_-@_-">
                  <c:v>67</c:v>
                </c:pt>
                <c:pt idx="5" formatCode="_-* #,##0_-;\-* #,##0_-;_-* &quot;-&quot;??_-;_-@_-">
                  <c:v>75</c:v>
                </c:pt>
                <c:pt idx="6" formatCode="_-* #,##0_-;\-* #,##0_-;_-* &quot;-&quot;??_-;_-@_-">
                  <c:v>92.5</c:v>
                </c:pt>
                <c:pt idx="7" formatCode="_-* #,##0_-;\-* #,##0_-;_-* &quot;-&quot;??_-;_-@_-">
                  <c:v>91.4</c:v>
                </c:pt>
                <c:pt idx="9" formatCode="_-* #,##0_-;\-* #,##0_-;_-* &quot;-&quot;??_-;_-@_-">
                  <c:v>19.600000000000001</c:v>
                </c:pt>
                <c:pt idx="10" formatCode="_-* #,##0_-;\-* #,##0_-;_-* &quot;-&quot;??_-;_-@_-">
                  <c:v>59</c:v>
                </c:pt>
                <c:pt idx="11" formatCode="_-* #,##0_-;\-* #,##0_-;_-* &quot;-&quot;??_-;_-@_-">
                  <c:v>87.4</c:v>
                </c:pt>
                <c:pt idx="12" formatCode="_-* #,##0_-;\-* #,##0_-;_-* &quot;-&quot;??_-;_-@_-">
                  <c:v>93.6</c:v>
                </c:pt>
                <c:pt idx="14" formatCode="_-* #,##0_-;\-* #,##0_-;_-* &quot;-&quot;??_-;_-@_-">
                  <c:v>29.8</c:v>
                </c:pt>
                <c:pt idx="15" formatCode="_-* #,##0_-;\-* #,##0_-;_-* &quot;-&quot;??_-;_-@_-">
                  <c:v>35.4</c:v>
                </c:pt>
                <c:pt idx="16" formatCode="_-* #,##0_-;\-* #,##0_-;_-* &quot;-&quot;??_-;_-@_-">
                  <c:v>61.8</c:v>
                </c:pt>
              </c:numCache>
            </c:numRef>
          </c:val>
          <c:extLst>
            <c:ext xmlns:c16="http://schemas.microsoft.com/office/drawing/2014/chart" uri="{C3380CC4-5D6E-409C-BE32-E72D297353CC}">
              <c16:uniqueId val="{00000000-1B04-4491-8841-E8D46A558CD0}"/>
            </c:ext>
          </c:extLst>
        </c:ser>
        <c:dLbls>
          <c:showLegendKey val="0"/>
          <c:showVal val="0"/>
          <c:showCatName val="0"/>
          <c:showSerName val="0"/>
          <c:showPercent val="0"/>
          <c:showBubbleSize val="0"/>
        </c:dLbls>
        <c:gapWidth val="50"/>
        <c:overlap val="-27"/>
        <c:axId val="1326348864"/>
        <c:axId val="1326347200"/>
      </c:barChart>
      <c:lineChart>
        <c:grouping val="standard"/>
        <c:varyColors val="0"/>
        <c:ser>
          <c:idx val="1"/>
          <c:order val="0"/>
          <c:tx>
            <c:strRef>
              <c:f>'Fig-12-page-28'!$B$3</c:f>
              <c:strCache>
                <c:ptCount val="1"/>
                <c:pt idx="0">
                  <c:v>Лица в возрасте 15–24 лет</c:v>
                </c:pt>
              </c:strCache>
            </c:strRef>
          </c:tx>
          <c:spPr>
            <a:ln w="25400" cap="rnd">
              <a:noFill/>
              <a:round/>
            </a:ln>
            <a:effectLst/>
          </c:spPr>
          <c:marker>
            <c:symbol val="dash"/>
            <c:size val="17"/>
            <c:spPr>
              <a:solidFill>
                <a:srgbClr val="A2D45E"/>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'Fig-12-page-28'!$A$4:$A$20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'Fig-12-page-28'!$B$4:$B$20</c:f>
              <c:numCache>
                <c:formatCode>General</c:formatCode>
                <c:ptCount val="17"/>
                <c:pt idx="0" formatCode="_-* #,##0_-;\-* #,##0_-;_-* &quot;-&quot;??_-;_-@_-">
                  <c:v>82.2</c:v>
                </c:pt>
                <c:pt idx="2" formatCode="_-* #,##0_-;\-* #,##0_-;_-* &quot;-&quot;??_-;_-@_-">
                  <c:v>49.6</c:v>
                </c:pt>
                <c:pt idx="3" formatCode="_-* #,##0_-;\-* #,##0_-;_-* &quot;-&quot;??_-;_-@_-">
                  <c:v>96.5</c:v>
                </c:pt>
                <c:pt idx="4" formatCode="_-* #,##0_-;\-* #,##0_-;_-* &quot;-&quot;??_-;_-@_-">
                  <c:v>81</c:v>
                </c:pt>
                <c:pt idx="5" formatCode="_-* #,##0_-;\-* #,##0_-;_-* &quot;-&quot;??_-;_-@_-">
                  <c:v>89.1</c:v>
                </c:pt>
                <c:pt idx="6" formatCode="_-* #,##0_-;\-* #,##0_-;_-* &quot;-&quot;??_-;_-@_-">
                  <c:v>95.6</c:v>
                </c:pt>
                <c:pt idx="7" formatCode="_-* #,##0_-;\-* #,##0_-;_-* &quot;-&quot;??_-;_-@_-">
                  <c:v>97.8</c:v>
                </c:pt>
                <c:pt idx="9" formatCode="_-* #,##0_-;\-* #,##0_-;_-* &quot;-&quot;??_-;_-@_-">
                  <c:v>38.200000000000003</c:v>
                </c:pt>
                <c:pt idx="10" formatCode="_-* #,##0_-;\-* #,##0_-;_-* &quot;-&quot;??_-;_-@_-">
                  <c:v>80</c:v>
                </c:pt>
                <c:pt idx="11" formatCode="_-* #,##0_-;\-* #,##0_-;_-* &quot;-&quot;??_-;_-@_-">
                  <c:v>97.4</c:v>
                </c:pt>
                <c:pt idx="12" formatCode="_-* #,##0_-;\-* #,##0_-;_-* &quot;-&quot;??_-;_-@_-">
                  <c:v>98.7</c:v>
                </c:pt>
                <c:pt idx="14" formatCode="_-* #,##0_-;\-* #,##0_-;_-* &quot;-&quot;??_-;_-@_-">
                  <c:v>49.5</c:v>
                </c:pt>
                <c:pt idx="15" formatCode="_-* #,##0_-;\-* #,##0_-;_-* &quot;-&quot;??_-;_-@_-">
                  <c:v>46</c:v>
                </c:pt>
                <c:pt idx="16" formatCode="_-* #,##0_-;\-* #,##0_-;_-* &quot;-&quot;??_-;_-@_-">
                  <c:v>76</c:v>
                </c:pt>
              </c:numCache>
            </c:numRef>
          </c:val>
          <c:smooth val="0"/>
          <c:extLst>
            <c:ext xmlns:c16="http://schemas.microsoft.com/office/drawing/2014/chart" uri="{C3380CC4-5D6E-409C-BE32-E72D297353CC}">
              <c16:uniqueId val="{00000001-1B04-4491-8841-E8D46A558CD0}"/>
            </c:ext>
          </c:extLst>
        </c:ser>
        <c:dLbls>
          <c:showLegendKey val="0"/>
          <c:showVal val="0"/>
          <c:showCatName val="0"/>
          <c:showSerName val="0"/>
          <c:showPercent val="0"/>
          <c:showBubbleSize val="0"/>
        </c:dLbls>
        <c:marker val="1"/>
        <c:smooth val="0"/>
        <c:axId val="1326348864"/>
        <c:axId val="1326347200"/>
      </c:lineChart>
      <c:catAx>
        <c:axId val="132634886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7200"/>
        <c:crosses val="autoZero"/>
        <c:auto val="1"/>
        <c:lblAlgn val="ctr"/>
        <c:lblOffset val="100"/>
        <c:noMultiLvlLbl val="0"/>
      </c:catAx>
      <c:valAx>
        <c:axId val="13263472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8864"/>
        <c:crosses val="autoZero"/>
        <c:crossBetween val="between"/>
        <c:majorUnit val="20"/>
      </c:valAx>
      <c:spPr>
        <a:noFill/>
        <a:ln>
          <a:noFill/>
        </a:ln>
        <a:effectLst/>
      </c:spPr>
    </c:plotArea>
    <c:legend>
      <c:legendPos val="b"/>
      <c:layout>
        <c:manualLayout>
          <c:xMode val="edge"/>
          <c:yMode val="edge"/>
          <c:x val="0.24267124530280368"/>
          <c:y val="0.9369015648862532"/>
          <c:w val="0.48819939289090353"/>
          <c:h val="5.0429318306132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27198318846657E-2"/>
          <c:y val="4.9803921568627452E-2"/>
          <c:w val="0.91907001138348021"/>
          <c:h val="0.42239569420910994"/>
        </c:manualLayout>
      </c:layout>
      <c:barChart>
        <c:barDir val="col"/>
        <c:grouping val="clustered"/>
        <c:varyColors val="0"/>
        <c:ser>
          <c:idx val="0"/>
          <c:order val="1"/>
          <c:tx>
            <c:strRef>
              <c:f>'Fig-13-page-29'!$C$3</c:f>
              <c:strCache>
                <c:ptCount val="1"/>
                <c:pt idx="0">
                  <c:v>Сельское население</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'Fig-13-page-29'!$A$4:$A$20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'Fig-13-page-29'!$C$4:$C$20</c:f>
              <c:numCache>
                <c:formatCode>General</c:formatCode>
                <c:ptCount val="17"/>
                <c:pt idx="0" formatCode="0">
                  <c:v>59.3</c:v>
                </c:pt>
                <c:pt idx="2" formatCode="0">
                  <c:v>20.7</c:v>
                </c:pt>
                <c:pt idx="3" formatCode="0">
                  <c:v>75.2</c:v>
                </c:pt>
                <c:pt idx="4" formatCode="0">
                  <c:v>52</c:v>
                </c:pt>
                <c:pt idx="5" formatCode="0">
                  <c:v>66.5</c:v>
                </c:pt>
                <c:pt idx="6" formatCode="0">
                  <c:v>87.7</c:v>
                </c:pt>
                <c:pt idx="7" formatCode="0">
                  <c:v>87.1</c:v>
                </c:pt>
                <c:pt idx="9" formatCode="0">
                  <c:v>14.5</c:v>
                </c:pt>
                <c:pt idx="10" formatCode="0">
                  <c:v>53.5</c:v>
                </c:pt>
                <c:pt idx="11" formatCode="0">
                  <c:v>82.9</c:v>
                </c:pt>
                <c:pt idx="12" formatCode="0">
                  <c:v>89.5</c:v>
                </c:pt>
                <c:pt idx="14" formatCode="0">
                  <c:v>25.5</c:v>
                </c:pt>
                <c:pt idx="15" formatCode="0">
                  <c:v>26.4</c:v>
                </c:pt>
                <c:pt idx="16" formatCode="0">
                  <c:v>34.9</c:v>
                </c:pt>
              </c:numCache>
            </c:numRef>
          </c:val>
          <c:extLst>
            <c:ext xmlns:c16="http://schemas.microsoft.com/office/drawing/2014/chart" uri="{C3380CC4-5D6E-409C-BE32-E72D297353CC}">
              <c16:uniqueId val="{00000000-BA1F-4B70-B27E-6F51C30D6C07}"/>
            </c:ext>
          </c:extLst>
        </c:ser>
        <c:dLbls>
          <c:showLegendKey val="0"/>
          <c:showVal val="0"/>
          <c:showCatName val="0"/>
          <c:showSerName val="0"/>
          <c:showPercent val="0"/>
          <c:showBubbleSize val="0"/>
        </c:dLbls>
        <c:gapWidth val="50"/>
        <c:overlap val="-27"/>
        <c:axId val="1326348864"/>
        <c:axId val="1326347200"/>
      </c:barChart>
      <c:lineChart>
        <c:grouping val="standard"/>
        <c:varyColors val="0"/>
        <c:ser>
          <c:idx val="1"/>
          <c:order val="0"/>
          <c:tx>
            <c:strRef>
              <c:f>'Fig-13-page-29'!$B$3</c:f>
              <c:strCache>
                <c:ptCount val="1"/>
                <c:pt idx="0">
                  <c:v>Городское население</c:v>
                </c:pt>
              </c:strCache>
            </c:strRef>
          </c:tx>
          <c:spPr>
            <a:ln w="25400" cap="rnd">
              <a:noFill/>
              <a:round/>
            </a:ln>
            <a:effectLst/>
          </c:spPr>
          <c:marker>
            <c:symbol val="dash"/>
            <c:size val="17"/>
            <c:spPr>
              <a:solidFill>
                <a:srgbClr val="A2D45E"/>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'Fig-13-page-29'!$A$4:$A$20</c:f>
              <c:strCache>
                <c:ptCount val="17"/>
                <c:pt idx="0">
                  <c:v> Весь мир </c:v>
                </c:pt>
                <c:pt idx="2">
                  <c:v> Африка </c:v>
                </c:pt>
                <c:pt idx="3">
                  <c:v> Северная и Южная Америка </c:v>
                </c:pt>
                <c:pt idx="4">
                  <c:v> Арабские государства </c:v>
                </c:pt>
                <c:pt idx="5">
                  <c:v> Азиатско-Тихоокеанский регион </c:v>
                </c:pt>
                <c:pt idx="6">
                  <c:v> СНГ </c:v>
                </c:pt>
                <c:pt idx="7">
                  <c:v> Европа </c:v>
                </c:pt>
                <c:pt idx="9">
                  <c:v> Страны с низким уровнем доходов </c:v>
                </c:pt>
                <c:pt idx="10">
                  <c:v> Страны со средне-низким уровнем доходов </c:v>
                </c:pt>
                <c:pt idx="11">
                  <c:v> Страны со средне-высоким уровнем доходов </c:v>
                </c:pt>
                <c:pt idx="12">
                  <c:v> Страны с высоким уровнем доходов </c:v>
                </c:pt>
                <c:pt idx="14">
                  <c:v> НРС </c:v>
                </c:pt>
                <c:pt idx="15">
                  <c:v> ЛЛДС </c:v>
                </c:pt>
                <c:pt idx="16">
                  <c:v> СИДС </c:v>
                </c:pt>
              </c:strCache>
            </c:strRef>
          </c:cat>
          <c:val>
            <c:numRef>
              <c:f>'Fig-13-page-29'!$B$4:$B$20</c:f>
              <c:numCache>
                <c:formatCode>General</c:formatCode>
                <c:ptCount val="17"/>
                <c:pt idx="0" formatCode="0">
                  <c:v>86</c:v>
                </c:pt>
                <c:pt idx="2" formatCode="0">
                  <c:v>55</c:v>
                </c:pt>
                <c:pt idx="3" formatCode="0">
                  <c:v>90.9</c:v>
                </c:pt>
                <c:pt idx="4" formatCode="0">
                  <c:v>82.3</c:v>
                </c:pt>
                <c:pt idx="5" formatCode="0">
                  <c:v>88.7</c:v>
                </c:pt>
                <c:pt idx="6" formatCode="0">
                  <c:v>95.9</c:v>
                </c:pt>
                <c:pt idx="7" formatCode="0">
                  <c:v>94</c:v>
                </c:pt>
                <c:pt idx="9" formatCode="0">
                  <c:v>39.799999999999997</c:v>
                </c:pt>
                <c:pt idx="10" formatCode="0">
                  <c:v>77.400000000000006</c:v>
                </c:pt>
                <c:pt idx="11" formatCode="0">
                  <c:v>91.6</c:v>
                </c:pt>
                <c:pt idx="12" formatCode="0">
                  <c:v>95.7</c:v>
                </c:pt>
                <c:pt idx="14" formatCode="0">
                  <c:v>50.5</c:v>
                </c:pt>
                <c:pt idx="15" formatCode="0">
                  <c:v>60.3</c:v>
                </c:pt>
                <c:pt idx="16" formatCode="0">
                  <c:v>84.3</c:v>
                </c:pt>
              </c:numCache>
            </c:numRef>
          </c:val>
          <c:smooth val="0"/>
          <c:extLst>
            <c:ext xmlns:c16="http://schemas.microsoft.com/office/drawing/2014/chart" uri="{C3380CC4-5D6E-409C-BE32-E72D297353CC}">
              <c16:uniqueId val="{00000001-BA1F-4B70-B27E-6F51C30D6C07}"/>
            </c:ext>
          </c:extLst>
        </c:ser>
        <c:dLbls>
          <c:showLegendKey val="0"/>
          <c:showVal val="0"/>
          <c:showCatName val="0"/>
          <c:showSerName val="0"/>
          <c:showPercent val="0"/>
          <c:showBubbleSize val="0"/>
        </c:dLbls>
        <c:marker val="1"/>
        <c:smooth val="0"/>
        <c:axId val="1326348864"/>
        <c:axId val="1326347200"/>
      </c:lineChart>
      <c:catAx>
        <c:axId val="132634886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7200"/>
        <c:crosses val="autoZero"/>
        <c:auto val="1"/>
        <c:lblAlgn val="ctr"/>
        <c:lblOffset val="100"/>
        <c:noMultiLvlLbl val="0"/>
      </c:catAx>
      <c:valAx>
        <c:axId val="13263472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326348864"/>
        <c:crosses val="autoZero"/>
        <c:crossBetween val="between"/>
        <c:majorUnit val="20"/>
      </c:valAx>
      <c:spPr>
        <a:noFill/>
        <a:ln>
          <a:noFill/>
        </a:ln>
        <a:effectLst/>
      </c:spPr>
    </c:plotArea>
    <c:legend>
      <c:legendPos val="b"/>
      <c:layout>
        <c:manualLayout>
          <c:xMode val="edge"/>
          <c:yMode val="edge"/>
          <c:x val="0.29815150297261239"/>
          <c:y val="0.93104196152696117"/>
          <c:w val="0.42574527980055848"/>
          <c:h val="4.760675313633683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263EB-86A8-4E8E-AC8E-4305F0A2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PR_Council26.dotx</Template>
  <TotalTime>1</TotalTime>
  <Pages>104</Pages>
  <Words>46434</Words>
  <Characters>317147</Characters>
  <Application>Microsoft Office Word</Application>
  <DocSecurity>0</DocSecurity>
  <Lines>5199</Lines>
  <Paragraphs>1398</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362183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October 2022 - March 2026</dc:title>
  <dc:subject>ITU Council 2026</dc:subject>
  <cp:keywords>C26; C2026; Council 2026; PP26</cp:keywords>
  <dc:description/>
  <cp:lastPrinted>2006-03-28T16:12:00Z</cp:lastPrinted>
  <dcterms:created xsi:type="dcterms:W3CDTF">2026-04-24T17:45:00Z</dcterms:created>
  <dcterms:modified xsi:type="dcterms:W3CDTF">2026-04-24T17:45:00Z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Документ C05/xx-R</vt:lpwstr>
  </property>
  <property fmtid="{D5CDD505-2E9C-101B-9397-08002B2CF9AE}" pid="3" name="Docdate">
    <vt:lpwstr>Дата</vt:lpwstr>
  </property>
  <property fmtid="{D5CDD505-2E9C-101B-9397-08002B2CF9AE}" pid="4" name="Docorlang">
    <vt:lpwstr>Оригинал: английский</vt:lpwstr>
  </property>
  <property fmtid="{D5CDD505-2E9C-101B-9397-08002B2CF9AE}" pid="5" name="Docbluepink">
    <vt:lpwstr/>
  </property>
  <property fmtid="{D5CDD505-2E9C-101B-9397-08002B2CF9AE}" pid="6" name="Docdest">
    <vt:lpwstr/>
  </property>
  <property fmtid="{D5CDD505-2E9C-101B-9397-08002B2CF9AE}" pid="7" name="Docauthor">
    <vt:lpwstr>Отчет [Записка] Генерального секретаря</vt:lpwstr>
  </property>
  <property fmtid="{D5CDD505-2E9C-101B-9397-08002B2CF9AE}" pid="8" name="GrammarlyDocumentId">
    <vt:lpwstr>9788a1e2cff90a8b0a0b89c964e56f6e6a612f9769bc84c067c7d1a91603ee22</vt:lpwstr>
  </property>
</Properties>
</file>