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page" w:horzAnchor="page" w:tblpX="1589" w:tblpY="2314"/>
        <w:tblW w:w="9214" w:type="dxa"/>
        <w:tblLayout w:type="fixed"/>
        <w:tblLook w:val="0000" w:firstRow="0" w:lastRow="0" w:firstColumn="0" w:lastColumn="0" w:noHBand="0" w:noVBand="0"/>
      </w:tblPr>
      <w:tblGrid>
        <w:gridCol w:w="3969"/>
        <w:gridCol w:w="5245"/>
      </w:tblGrid>
      <w:tr w:rsidR="00D72F49" w:rsidRPr="007D4988" w14:paraId="70539ADE" w14:textId="77777777" w:rsidTr="00796BDB">
        <w:trPr>
          <w:cantSplit/>
          <w:trHeight w:val="23"/>
        </w:trPr>
        <w:tc>
          <w:tcPr>
            <w:tcW w:w="3969" w:type="dxa"/>
            <w:vMerge w:val="restart"/>
            <w:tcMar>
              <w:left w:w="0" w:type="dxa"/>
            </w:tcMar>
          </w:tcPr>
          <w:p w14:paraId="1330B43A" w14:textId="391788C7" w:rsidR="00D72F49" w:rsidRPr="007D4988" w:rsidRDefault="00D72F49" w:rsidP="00796BDB">
            <w:pPr>
              <w:tabs>
                <w:tab w:val="left" w:pos="851"/>
              </w:tabs>
              <w:spacing w:before="0" w:line="240" w:lineRule="atLeast"/>
              <w:rPr>
                <w:b/>
              </w:rPr>
            </w:pPr>
            <w:r w:rsidRPr="007D4988">
              <w:rPr>
                <w:b/>
              </w:rPr>
              <w:t>Point de l'ordre du jour:</w:t>
            </w:r>
            <w:r w:rsidR="008D0C6D" w:rsidRPr="007D4988">
              <w:rPr>
                <w:b/>
              </w:rPr>
              <w:t xml:space="preserve"> </w:t>
            </w:r>
            <w:r w:rsidR="008D0C6D" w:rsidRPr="007D4988">
              <w:rPr>
                <w:b/>
                <w:bCs/>
                <w:color w:val="000000"/>
              </w:rPr>
              <w:t>PL 3.1</w:t>
            </w:r>
          </w:p>
        </w:tc>
        <w:tc>
          <w:tcPr>
            <w:tcW w:w="5245" w:type="dxa"/>
          </w:tcPr>
          <w:p w14:paraId="4E7EC4E0" w14:textId="1993EA40" w:rsidR="00D72F49" w:rsidRPr="007D4988" w:rsidRDefault="00D72F49" w:rsidP="00796BDB">
            <w:pPr>
              <w:tabs>
                <w:tab w:val="left" w:pos="851"/>
              </w:tabs>
              <w:spacing w:before="0" w:line="240" w:lineRule="atLeast"/>
              <w:jc w:val="right"/>
              <w:rPr>
                <w:b/>
              </w:rPr>
            </w:pPr>
            <w:r w:rsidRPr="007D4988">
              <w:rPr>
                <w:b/>
              </w:rPr>
              <w:t>Document C2</w:t>
            </w:r>
            <w:r w:rsidR="00E4448E" w:rsidRPr="007D4988">
              <w:rPr>
                <w:b/>
              </w:rPr>
              <w:t>6</w:t>
            </w:r>
            <w:r w:rsidRPr="007D4988">
              <w:rPr>
                <w:b/>
              </w:rPr>
              <w:t>/</w:t>
            </w:r>
            <w:r w:rsidR="008D0C6D" w:rsidRPr="007D4988">
              <w:rPr>
                <w:b/>
              </w:rPr>
              <w:t>35</w:t>
            </w:r>
            <w:r w:rsidRPr="007D4988">
              <w:rPr>
                <w:b/>
              </w:rPr>
              <w:t>-F</w:t>
            </w:r>
          </w:p>
        </w:tc>
      </w:tr>
      <w:tr w:rsidR="00D72F49" w:rsidRPr="007D4988" w14:paraId="6B3D23E9" w14:textId="77777777" w:rsidTr="00796BDB">
        <w:trPr>
          <w:cantSplit/>
        </w:trPr>
        <w:tc>
          <w:tcPr>
            <w:tcW w:w="3969" w:type="dxa"/>
            <w:vMerge/>
          </w:tcPr>
          <w:p w14:paraId="52691A27" w14:textId="77777777" w:rsidR="00D72F49" w:rsidRPr="007D4988" w:rsidRDefault="00D72F49" w:rsidP="00796BDB">
            <w:pPr>
              <w:tabs>
                <w:tab w:val="left" w:pos="851"/>
              </w:tabs>
              <w:spacing w:line="240" w:lineRule="atLeast"/>
              <w:rPr>
                <w:b/>
              </w:rPr>
            </w:pPr>
          </w:p>
        </w:tc>
        <w:tc>
          <w:tcPr>
            <w:tcW w:w="5245" w:type="dxa"/>
          </w:tcPr>
          <w:p w14:paraId="251D2C67" w14:textId="3A436A78" w:rsidR="00D72F49" w:rsidRPr="007D4988" w:rsidRDefault="00E63031" w:rsidP="00796BDB">
            <w:pPr>
              <w:tabs>
                <w:tab w:val="left" w:pos="851"/>
              </w:tabs>
              <w:spacing w:before="0"/>
              <w:jc w:val="right"/>
              <w:rPr>
                <w:b/>
              </w:rPr>
            </w:pPr>
            <w:r w:rsidRPr="007D4988">
              <w:rPr>
                <w:b/>
                <w:bCs/>
                <w:color w:val="000000"/>
              </w:rPr>
              <w:t>2</w:t>
            </w:r>
            <w:r w:rsidR="008D0C6D" w:rsidRPr="007D4988">
              <w:rPr>
                <w:b/>
                <w:bCs/>
                <w:color w:val="000000"/>
              </w:rPr>
              <w:t>3 mars 2026</w:t>
            </w:r>
          </w:p>
        </w:tc>
      </w:tr>
      <w:tr w:rsidR="00D72F49" w:rsidRPr="007D4988" w14:paraId="3E3C9B87" w14:textId="77777777" w:rsidTr="00796BDB">
        <w:trPr>
          <w:cantSplit/>
          <w:trHeight w:val="23"/>
        </w:trPr>
        <w:tc>
          <w:tcPr>
            <w:tcW w:w="3969" w:type="dxa"/>
            <w:vMerge/>
          </w:tcPr>
          <w:p w14:paraId="2397A033" w14:textId="77777777" w:rsidR="00D72F49" w:rsidRPr="007D4988" w:rsidRDefault="00D72F49" w:rsidP="00796BDB">
            <w:pPr>
              <w:tabs>
                <w:tab w:val="left" w:pos="851"/>
              </w:tabs>
              <w:spacing w:line="240" w:lineRule="atLeast"/>
              <w:rPr>
                <w:b/>
              </w:rPr>
            </w:pPr>
          </w:p>
        </w:tc>
        <w:tc>
          <w:tcPr>
            <w:tcW w:w="5245" w:type="dxa"/>
          </w:tcPr>
          <w:p w14:paraId="0AE9966D" w14:textId="77777777" w:rsidR="00D72F49" w:rsidRPr="007D4988" w:rsidRDefault="00D72F49" w:rsidP="00796BDB">
            <w:pPr>
              <w:tabs>
                <w:tab w:val="left" w:pos="851"/>
              </w:tabs>
              <w:spacing w:before="0" w:line="240" w:lineRule="atLeast"/>
              <w:jc w:val="right"/>
              <w:rPr>
                <w:b/>
              </w:rPr>
            </w:pPr>
            <w:r w:rsidRPr="007D4988">
              <w:rPr>
                <w:b/>
              </w:rPr>
              <w:t>Original: anglais</w:t>
            </w:r>
          </w:p>
        </w:tc>
      </w:tr>
      <w:tr w:rsidR="00D72F49" w:rsidRPr="007D4988" w14:paraId="13ED3E54" w14:textId="77777777" w:rsidTr="00796BDB">
        <w:trPr>
          <w:cantSplit/>
          <w:trHeight w:val="23"/>
        </w:trPr>
        <w:tc>
          <w:tcPr>
            <w:tcW w:w="3969" w:type="dxa"/>
          </w:tcPr>
          <w:p w14:paraId="36277245" w14:textId="77777777" w:rsidR="00D72F49" w:rsidRPr="007D4988" w:rsidRDefault="00D72F49" w:rsidP="00796BDB">
            <w:pPr>
              <w:tabs>
                <w:tab w:val="left" w:pos="851"/>
              </w:tabs>
              <w:spacing w:line="240" w:lineRule="atLeast"/>
              <w:rPr>
                <w:b/>
              </w:rPr>
            </w:pPr>
          </w:p>
        </w:tc>
        <w:tc>
          <w:tcPr>
            <w:tcW w:w="5245" w:type="dxa"/>
          </w:tcPr>
          <w:p w14:paraId="22578DF2" w14:textId="77777777" w:rsidR="00D72F49" w:rsidRPr="007D4988" w:rsidRDefault="00D72F49" w:rsidP="00796BDB">
            <w:pPr>
              <w:tabs>
                <w:tab w:val="left" w:pos="851"/>
              </w:tabs>
              <w:spacing w:before="0" w:line="240" w:lineRule="atLeast"/>
              <w:jc w:val="right"/>
              <w:rPr>
                <w:b/>
              </w:rPr>
            </w:pPr>
          </w:p>
        </w:tc>
      </w:tr>
      <w:tr w:rsidR="00D72F49" w:rsidRPr="007D4988" w14:paraId="458E4F0E" w14:textId="77777777" w:rsidTr="00796BDB">
        <w:trPr>
          <w:cantSplit/>
        </w:trPr>
        <w:tc>
          <w:tcPr>
            <w:tcW w:w="9214" w:type="dxa"/>
            <w:gridSpan w:val="2"/>
            <w:tcMar>
              <w:left w:w="0" w:type="dxa"/>
            </w:tcMar>
          </w:tcPr>
          <w:p w14:paraId="0F7CE5F3" w14:textId="71888963" w:rsidR="00D72F49" w:rsidRPr="007D4988" w:rsidRDefault="00D72F49" w:rsidP="00796BDB">
            <w:pPr>
              <w:pStyle w:val="Source"/>
              <w:jc w:val="left"/>
              <w:rPr>
                <w:sz w:val="34"/>
                <w:szCs w:val="34"/>
              </w:rPr>
            </w:pPr>
            <w:r w:rsidRPr="007D4988">
              <w:rPr>
                <w:rFonts w:cstheme="minorHAnsi"/>
                <w:color w:val="000000"/>
                <w:sz w:val="34"/>
                <w:szCs w:val="34"/>
              </w:rPr>
              <w:t xml:space="preserve">Rapport </w:t>
            </w:r>
            <w:r w:rsidR="00E95647" w:rsidRPr="007D4988">
              <w:rPr>
                <w:rFonts w:cstheme="minorHAnsi"/>
                <w:color w:val="000000"/>
                <w:sz w:val="34"/>
                <w:szCs w:val="34"/>
              </w:rPr>
              <w:t xml:space="preserve">de la </w:t>
            </w:r>
            <w:r w:rsidRPr="007D4988">
              <w:rPr>
                <w:rFonts w:cstheme="minorHAnsi"/>
                <w:color w:val="000000"/>
                <w:sz w:val="34"/>
                <w:szCs w:val="34"/>
              </w:rPr>
              <w:t>Secrétaire général</w:t>
            </w:r>
            <w:r w:rsidR="00E95647" w:rsidRPr="007D4988">
              <w:rPr>
                <w:rFonts w:cstheme="minorHAnsi"/>
                <w:color w:val="000000"/>
                <w:sz w:val="34"/>
                <w:szCs w:val="34"/>
              </w:rPr>
              <w:t>e</w:t>
            </w:r>
          </w:p>
        </w:tc>
      </w:tr>
      <w:tr w:rsidR="00D72F49" w:rsidRPr="007D4988" w14:paraId="42CD86F9" w14:textId="77777777" w:rsidTr="0033464D">
        <w:trPr>
          <w:cantSplit/>
        </w:trPr>
        <w:tc>
          <w:tcPr>
            <w:tcW w:w="9214" w:type="dxa"/>
            <w:gridSpan w:val="2"/>
            <w:tcBorders>
              <w:bottom w:val="single" w:sz="4" w:space="0" w:color="auto"/>
            </w:tcBorders>
            <w:tcMar>
              <w:left w:w="0" w:type="dxa"/>
            </w:tcMar>
          </w:tcPr>
          <w:p w14:paraId="7F7B9344" w14:textId="3A7C05E8" w:rsidR="00D72F49" w:rsidRPr="007D4988" w:rsidRDefault="008D0C6D" w:rsidP="00796BDB">
            <w:pPr>
              <w:pStyle w:val="Subtitle"/>
              <w:framePr w:hSpace="0" w:wrap="auto" w:hAnchor="text" w:xAlign="left" w:yAlign="inline"/>
              <w:rPr>
                <w:sz w:val="32"/>
                <w:szCs w:val="32"/>
                <w:lang w:val="fr-FR"/>
              </w:rPr>
            </w:pPr>
            <w:r w:rsidRPr="007D4988">
              <w:rPr>
                <w:rFonts w:cstheme="minorHAnsi"/>
                <w:sz w:val="32"/>
                <w:szCs w:val="32"/>
                <w:lang w:val="fr-FR"/>
              </w:rPr>
              <w:t xml:space="preserve">RAPPORT SUR LA MISE EN ŒUVRE DU PLAN STRATÉGIQUE ET LES ACTIVITÉS DE L'UNION, </w:t>
            </w:r>
            <w:r w:rsidR="00E62B13" w:rsidRPr="007D4988">
              <w:rPr>
                <w:rFonts w:cstheme="minorHAnsi"/>
                <w:sz w:val="32"/>
                <w:szCs w:val="32"/>
                <w:lang w:val="fr-FR"/>
              </w:rPr>
              <w:t xml:space="preserve">OCTOBRE </w:t>
            </w:r>
            <w:r w:rsidRPr="007D4988">
              <w:rPr>
                <w:rFonts w:cstheme="minorHAnsi"/>
                <w:sz w:val="32"/>
                <w:szCs w:val="32"/>
                <w:lang w:val="fr-FR"/>
              </w:rPr>
              <w:t>2022 –</w:t>
            </w:r>
            <w:r w:rsidR="00391DD9" w:rsidRPr="007D4988">
              <w:rPr>
                <w:rFonts w:cstheme="minorHAnsi"/>
                <w:sz w:val="32"/>
                <w:szCs w:val="32"/>
                <w:lang w:val="fr-FR"/>
              </w:rPr>
              <w:t xml:space="preserve"> </w:t>
            </w:r>
            <w:r w:rsidR="00E62B13" w:rsidRPr="007D4988">
              <w:rPr>
                <w:rFonts w:cstheme="minorHAnsi"/>
                <w:sz w:val="32"/>
                <w:szCs w:val="32"/>
                <w:lang w:val="fr-FR"/>
              </w:rPr>
              <w:t xml:space="preserve">MARS </w:t>
            </w:r>
            <w:r w:rsidRPr="007D4988">
              <w:rPr>
                <w:rFonts w:cstheme="minorHAnsi"/>
                <w:sz w:val="32"/>
                <w:szCs w:val="32"/>
                <w:lang w:val="fr-FR"/>
              </w:rPr>
              <w:t>202</w:t>
            </w:r>
            <w:r w:rsidR="00E62B13" w:rsidRPr="007D4988">
              <w:rPr>
                <w:rFonts w:cstheme="minorHAnsi"/>
                <w:sz w:val="32"/>
                <w:szCs w:val="32"/>
                <w:lang w:val="fr-FR"/>
              </w:rPr>
              <w:t>6</w:t>
            </w:r>
          </w:p>
        </w:tc>
      </w:tr>
      <w:tr w:rsidR="00D72F49" w:rsidRPr="007D4988" w14:paraId="709BE9E5" w14:textId="77777777" w:rsidTr="0033464D">
        <w:trPr>
          <w:cantSplit/>
        </w:trPr>
        <w:tc>
          <w:tcPr>
            <w:tcW w:w="9214" w:type="dxa"/>
            <w:gridSpan w:val="2"/>
            <w:tcBorders>
              <w:top w:val="single" w:sz="4" w:space="0" w:color="auto"/>
            </w:tcBorders>
            <w:tcMar>
              <w:left w:w="0" w:type="dxa"/>
            </w:tcMar>
          </w:tcPr>
          <w:p w14:paraId="61BFCE41" w14:textId="77777777" w:rsidR="00D72F49" w:rsidRPr="007D4988" w:rsidRDefault="00F37FE5" w:rsidP="00796BDB">
            <w:pPr>
              <w:spacing w:before="160"/>
              <w:rPr>
                <w:b/>
                <w:bCs/>
                <w:sz w:val="26"/>
                <w:szCs w:val="26"/>
              </w:rPr>
            </w:pPr>
            <w:r w:rsidRPr="007D4988">
              <w:rPr>
                <w:b/>
                <w:bCs/>
                <w:sz w:val="26"/>
                <w:szCs w:val="26"/>
              </w:rPr>
              <w:t>Objet</w:t>
            </w:r>
          </w:p>
          <w:p w14:paraId="723B0F7B" w14:textId="19D7B3C5" w:rsidR="008D0C6D" w:rsidRPr="007D4988" w:rsidRDefault="008D0C6D" w:rsidP="008D0C6D">
            <w:r w:rsidRPr="007D4988">
              <w:t>Le présent rapport porte sur les activités menées par l'UIT durant la période allant d</w:t>
            </w:r>
            <w:r w:rsidR="009D0146" w:rsidRPr="007D4988">
              <w:t>'octobre</w:t>
            </w:r>
            <w:r w:rsidR="001F6F64" w:rsidRPr="007D4988">
              <w:t> </w:t>
            </w:r>
            <w:r w:rsidRPr="007D4988">
              <w:t xml:space="preserve">2022 à </w:t>
            </w:r>
            <w:r w:rsidR="00E62B13" w:rsidRPr="007D4988">
              <w:t xml:space="preserve">mars </w:t>
            </w:r>
            <w:r w:rsidRPr="007D4988">
              <w:t>202</w:t>
            </w:r>
            <w:r w:rsidR="00E62B13" w:rsidRPr="007D4988">
              <w:t>6</w:t>
            </w:r>
            <w:r w:rsidRPr="007D4988">
              <w:t xml:space="preserve"> et devrait constituer le fondement du rapport quadriennal à l'intention de la Conférence de plénipotentiaires de 2026 de l'UIT (PP-26) (Document </w:t>
            </w:r>
            <w:hyperlink r:id="rId8" w:history="1">
              <w:r w:rsidRPr="007D4988">
                <w:rPr>
                  <w:rStyle w:val="Hyperlink"/>
                  <w:rFonts w:eastAsia="Times New Roman" w:cs="Times New Roman"/>
                  <w:szCs w:val="20"/>
                </w:rPr>
                <w:t>20</w:t>
              </w:r>
            </w:hyperlink>
            <w:r w:rsidRPr="007D4988">
              <w:t xml:space="preserve">). Il rend compte de la mise en œuvre du </w:t>
            </w:r>
            <w:r w:rsidR="001F6F64" w:rsidRPr="007D4988">
              <w:t>"</w:t>
            </w:r>
            <w:r w:rsidRPr="007D4988">
              <w:t>Programme Connect 2030 pour les télécommunications/technologies de l</w:t>
            </w:r>
            <w:r w:rsidR="001F6F64" w:rsidRPr="007D4988">
              <w:t>'</w:t>
            </w:r>
            <w:r w:rsidRPr="007D4988">
              <w:t>information et de la communication dans le monde, y</w:t>
            </w:r>
            <w:r w:rsidR="00FD43BD" w:rsidRPr="007D4988">
              <w:t> </w:t>
            </w:r>
            <w:r w:rsidRPr="007D4988">
              <w:t>compris le large bande, au service du développement durable</w:t>
            </w:r>
            <w:r w:rsidR="001F6F64" w:rsidRPr="007D4988">
              <w:t>"</w:t>
            </w:r>
            <w:r w:rsidRPr="007D4988">
              <w:t xml:space="preserve">, adopté par la PP-22 (Résolution 200 (Rév. Bucarest, 2022)). Il porte sur les deux dernières années de la mise en œuvre du </w:t>
            </w:r>
            <w:r w:rsidR="001D65AA" w:rsidRPr="007D4988">
              <w:t>P</w:t>
            </w:r>
            <w:r w:rsidRPr="007D4988">
              <w:t xml:space="preserve">lan stratégique pour la période 2020-2023 et les deux premières années du </w:t>
            </w:r>
            <w:r w:rsidR="001D65AA" w:rsidRPr="007D4988">
              <w:t>P</w:t>
            </w:r>
            <w:r w:rsidRPr="007D4988">
              <w:t>lan stratégique actuel pour la période 2024-2027. Il est aligné sur la structure du Plan stratégique pour 2024-2027.</w:t>
            </w:r>
          </w:p>
          <w:p w14:paraId="5ECDCDCE" w14:textId="70F9D76A" w:rsidR="008D0C6D" w:rsidRPr="007D4988" w:rsidRDefault="008D0C6D" w:rsidP="008D0C6D">
            <w:r w:rsidRPr="007D4988">
              <w:t xml:space="preserve">Il réunit en un seul document le rapport annuel sur l'activité de l'Union (conformément au numéro 102 de la Convention) et le rapport sur la mise en œuvre du Plan stratégique (conformément au numéro 61 de la Convention et à la Résolution 71 (Rév. </w:t>
            </w:r>
            <w:r w:rsidR="001F6F64" w:rsidRPr="007D4988">
              <w:t>Bucarest, 2022</w:t>
            </w:r>
            <w:r w:rsidRPr="007D4988">
              <w:t>) de la Conférence de plénipotentiaires).</w:t>
            </w:r>
          </w:p>
          <w:p w14:paraId="16587E9D" w14:textId="6A18A8FD" w:rsidR="00D72F49" w:rsidRPr="007D4988" w:rsidRDefault="008D0C6D" w:rsidP="008D0C6D">
            <w:r w:rsidRPr="007D4988">
              <w:t>Le présent document a pour objet de présenter toutes les activités pertinentes en mettant l</w:t>
            </w:r>
            <w:r w:rsidR="001F6F64" w:rsidRPr="007D4988">
              <w:t>'</w:t>
            </w:r>
            <w:r w:rsidRPr="007D4988">
              <w:t>accent sur les résultats, les données factuelles et les thématiques et fournit des liens vers des données analytiques montrant les progrès accomplis en vue d'atteindre les cibles stratégiques de l</w:t>
            </w:r>
            <w:r w:rsidR="001F6F64" w:rsidRPr="007D4988">
              <w:t>'</w:t>
            </w:r>
            <w:r w:rsidRPr="007D4988">
              <w:t>UIT.</w:t>
            </w:r>
          </w:p>
          <w:p w14:paraId="5BFE0F32" w14:textId="77777777" w:rsidR="00D72F49" w:rsidRPr="007D4988" w:rsidRDefault="00D72F49" w:rsidP="00796BDB">
            <w:pPr>
              <w:spacing w:before="160"/>
              <w:rPr>
                <w:b/>
                <w:bCs/>
                <w:sz w:val="26"/>
                <w:szCs w:val="26"/>
              </w:rPr>
            </w:pPr>
            <w:r w:rsidRPr="007D4988">
              <w:rPr>
                <w:b/>
                <w:bCs/>
                <w:sz w:val="26"/>
                <w:szCs w:val="26"/>
              </w:rPr>
              <w:t>Suite à donner par le Conseil</w:t>
            </w:r>
          </w:p>
          <w:p w14:paraId="4AE28F2F" w14:textId="716127F0" w:rsidR="00D72F49" w:rsidRPr="007D4988" w:rsidRDefault="008D0C6D" w:rsidP="00E63031">
            <w:r w:rsidRPr="007D4988">
              <w:t xml:space="preserve">Le Conseil est invité à </w:t>
            </w:r>
            <w:r w:rsidRPr="007D4988">
              <w:rPr>
                <w:b/>
                <w:bCs/>
              </w:rPr>
              <w:t>approuver</w:t>
            </w:r>
            <w:r w:rsidRPr="007D4988">
              <w:t xml:space="preserve"> le rapport et à le </w:t>
            </w:r>
            <w:r w:rsidRPr="007D4988">
              <w:rPr>
                <w:b/>
                <w:bCs/>
              </w:rPr>
              <w:t xml:space="preserve">transmettre </w:t>
            </w:r>
            <w:r w:rsidRPr="007D4988">
              <w:t>à la PP-2</w:t>
            </w:r>
            <w:r w:rsidR="001F6F64" w:rsidRPr="007D4988">
              <w:t>6</w:t>
            </w:r>
            <w:r w:rsidRPr="007D4988">
              <w:t>.</w:t>
            </w:r>
          </w:p>
        </w:tc>
      </w:tr>
    </w:tbl>
    <w:p w14:paraId="65D9259D" w14:textId="58E842F8" w:rsidR="001F6F64" w:rsidRPr="007D4988" w:rsidRDefault="001F6F64">
      <w:r w:rsidRPr="007D4988">
        <w:br w:type="page"/>
      </w:r>
    </w:p>
    <w:p w14:paraId="615DFC82" w14:textId="77777777" w:rsidR="001F6F64" w:rsidRPr="007D4988" w:rsidRDefault="001F6F64"/>
    <w:tbl>
      <w:tblPr>
        <w:tblStyle w:val="TableGrid"/>
        <w:tblW w:w="9214" w:type="dxa"/>
        <w:tblInd w:w="13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1F6F64" w:rsidRPr="007D4988" w14:paraId="4F7B3822" w14:textId="77777777" w:rsidTr="0033464D">
        <w:tc>
          <w:tcPr>
            <w:tcW w:w="9214" w:type="dxa"/>
            <w:tcBorders>
              <w:top w:val="nil"/>
              <w:bottom w:val="single" w:sz="4" w:space="0" w:color="auto"/>
            </w:tcBorders>
          </w:tcPr>
          <w:p w14:paraId="0E48B7A2" w14:textId="2D769466" w:rsidR="00E63031" w:rsidRPr="007D4988" w:rsidRDefault="00E63031" w:rsidP="00E63031">
            <w:pPr>
              <w:spacing w:before="160"/>
              <w:rPr>
                <w:b/>
                <w:bCs/>
                <w:sz w:val="26"/>
                <w:szCs w:val="26"/>
              </w:rPr>
            </w:pPr>
            <w:r w:rsidRPr="007D4988">
              <w:rPr>
                <w:b/>
                <w:bCs/>
                <w:sz w:val="26"/>
                <w:szCs w:val="26"/>
              </w:rPr>
              <w:t>Liens pertinents avec le plan stratégique</w:t>
            </w:r>
          </w:p>
          <w:p w14:paraId="33B0B6F2" w14:textId="2FB51CD5" w:rsidR="001F6F64" w:rsidRPr="007D4988" w:rsidRDefault="00E63031" w:rsidP="001F6F64">
            <w:pPr>
              <w:rPr>
                <w:szCs w:val="24"/>
              </w:rPr>
            </w:pPr>
            <w:r w:rsidRPr="007D4988">
              <w:rPr>
                <w:szCs w:val="24"/>
              </w:rPr>
              <w:t>On trouvera dans le présent document le rapport annuel au Conseil de l'UIT sur la mise en œuvre du Plan stratégique et les activités de l'Union, conformément à la Résolution 71 (Rév. Bucarest, 2022) de la Conférence de plénipotentiaires. Il réunit en un seul document le rapport annuel sur les activités de l'Union (conformément au numéro 102 de la Convention) et le Rapport sur la mise en œuvre du plan stratégique (conformément au numéro 61 de la Convention).</w:t>
            </w:r>
          </w:p>
          <w:p w14:paraId="1D672B92" w14:textId="77777777" w:rsidR="001F6F64" w:rsidRPr="007D4988" w:rsidRDefault="001F6F64" w:rsidP="001F6F64">
            <w:pPr>
              <w:spacing w:before="160"/>
              <w:rPr>
                <w:caps/>
                <w:sz w:val="22"/>
              </w:rPr>
            </w:pPr>
            <w:r w:rsidRPr="007D4988">
              <w:rPr>
                <w:sz w:val="22"/>
              </w:rPr>
              <w:t>__________________</w:t>
            </w:r>
          </w:p>
          <w:p w14:paraId="138F8293" w14:textId="77777777" w:rsidR="001F6F64" w:rsidRPr="007D4988" w:rsidRDefault="001F6F64" w:rsidP="001F6F64">
            <w:pPr>
              <w:spacing w:before="160"/>
              <w:rPr>
                <w:b/>
                <w:bCs/>
                <w:sz w:val="26"/>
                <w:szCs w:val="26"/>
              </w:rPr>
            </w:pPr>
            <w:r w:rsidRPr="007D4988">
              <w:rPr>
                <w:b/>
                <w:bCs/>
                <w:sz w:val="26"/>
                <w:szCs w:val="26"/>
              </w:rPr>
              <w:t>Références</w:t>
            </w:r>
          </w:p>
          <w:p w14:paraId="41B17250" w14:textId="78319578" w:rsidR="001F6F64" w:rsidRPr="007D4988" w:rsidRDefault="001F6F64" w:rsidP="001F6F64">
            <w:pPr>
              <w:spacing w:after="120"/>
              <w:rPr>
                <w:i/>
                <w:iCs/>
              </w:rPr>
            </w:pPr>
            <w:r w:rsidRPr="007D4988">
              <w:rPr>
                <w:i/>
                <w:iCs/>
                <w:szCs w:val="24"/>
              </w:rPr>
              <w:t xml:space="preserve">Résolutions </w:t>
            </w:r>
            <w:hyperlink r:id="rId9" w:history="1">
              <w:r w:rsidRPr="007D4988">
                <w:rPr>
                  <w:rStyle w:val="Hyperlink"/>
                  <w:rFonts w:eastAsia="Times New Roman" w:cs="Times New Roman"/>
                  <w:i/>
                  <w:iCs/>
                  <w:szCs w:val="24"/>
                </w:rPr>
                <w:t>71</w:t>
              </w:r>
            </w:hyperlink>
            <w:r w:rsidRPr="007D4988">
              <w:rPr>
                <w:i/>
                <w:iCs/>
                <w:szCs w:val="24"/>
              </w:rPr>
              <w:t xml:space="preserve"> </w:t>
            </w:r>
            <w:r w:rsidR="00E63031" w:rsidRPr="007D4988">
              <w:rPr>
                <w:i/>
                <w:iCs/>
                <w:szCs w:val="24"/>
              </w:rPr>
              <w:t xml:space="preserve">(Rév. Bucarest, 2022) </w:t>
            </w:r>
            <w:r w:rsidRPr="007D4988">
              <w:rPr>
                <w:i/>
                <w:iCs/>
                <w:szCs w:val="24"/>
              </w:rPr>
              <w:t xml:space="preserve">et </w:t>
            </w:r>
            <w:hyperlink r:id="rId10" w:history="1">
              <w:r w:rsidRPr="007D4988">
                <w:rPr>
                  <w:rStyle w:val="Hyperlink"/>
                  <w:rFonts w:eastAsia="Times New Roman" w:cs="Times New Roman"/>
                  <w:i/>
                  <w:iCs/>
                  <w:szCs w:val="24"/>
                </w:rPr>
                <w:t>200</w:t>
              </w:r>
            </w:hyperlink>
            <w:r w:rsidRPr="007D4988">
              <w:rPr>
                <w:i/>
                <w:iCs/>
                <w:szCs w:val="24"/>
              </w:rPr>
              <w:t xml:space="preserve"> </w:t>
            </w:r>
            <w:r w:rsidR="00E63031" w:rsidRPr="007D4988">
              <w:rPr>
                <w:i/>
                <w:iCs/>
                <w:szCs w:val="24"/>
              </w:rPr>
              <w:t xml:space="preserve">(Rév. Bucarest, 2022) </w:t>
            </w:r>
            <w:r w:rsidRPr="007D4988">
              <w:rPr>
                <w:i/>
                <w:iCs/>
                <w:szCs w:val="24"/>
              </w:rPr>
              <w:t xml:space="preserve">de la Conférence de plénipotentiaires; </w:t>
            </w:r>
            <w:r w:rsidR="00E63031" w:rsidRPr="007D4988">
              <w:rPr>
                <w:i/>
                <w:iCs/>
                <w:szCs w:val="24"/>
              </w:rPr>
              <w:t xml:space="preserve">et </w:t>
            </w:r>
            <w:r w:rsidRPr="007D4988">
              <w:rPr>
                <w:i/>
                <w:iCs/>
                <w:szCs w:val="24"/>
              </w:rPr>
              <w:t xml:space="preserve">numéros </w:t>
            </w:r>
            <w:hyperlink r:id="rId11" w:history="1">
              <w:r w:rsidRPr="007D4988">
                <w:rPr>
                  <w:rStyle w:val="Hyperlink"/>
                  <w:rFonts w:eastAsia="Times New Roman" w:cs="Times New Roman"/>
                  <w:i/>
                  <w:iCs/>
                  <w:szCs w:val="24"/>
                </w:rPr>
                <w:t>61</w:t>
              </w:r>
            </w:hyperlink>
            <w:r w:rsidRPr="007D4988">
              <w:rPr>
                <w:i/>
                <w:iCs/>
                <w:szCs w:val="24"/>
              </w:rPr>
              <w:t xml:space="preserve"> et </w:t>
            </w:r>
            <w:hyperlink r:id="rId12" w:history="1">
              <w:r w:rsidRPr="007D4988">
                <w:rPr>
                  <w:rStyle w:val="Hyperlink"/>
                  <w:rFonts w:eastAsia="Times New Roman" w:cs="Times New Roman"/>
                  <w:i/>
                  <w:iCs/>
                  <w:szCs w:val="24"/>
                </w:rPr>
                <w:t>102</w:t>
              </w:r>
            </w:hyperlink>
            <w:r w:rsidRPr="007D4988">
              <w:rPr>
                <w:i/>
                <w:iCs/>
                <w:szCs w:val="24"/>
              </w:rPr>
              <w:t xml:space="preserve"> de la Convention</w:t>
            </w:r>
          </w:p>
        </w:tc>
      </w:tr>
    </w:tbl>
    <w:p w14:paraId="5A321B82" w14:textId="77777777" w:rsidR="00A51849" w:rsidRPr="007D4988" w:rsidRDefault="00A51849">
      <w:pPr>
        <w:tabs>
          <w:tab w:val="clear" w:pos="567"/>
          <w:tab w:val="clear" w:pos="1134"/>
          <w:tab w:val="clear" w:pos="1701"/>
          <w:tab w:val="clear" w:pos="2268"/>
          <w:tab w:val="clear" w:pos="2835"/>
        </w:tabs>
        <w:overflowPunct/>
        <w:autoSpaceDE/>
        <w:autoSpaceDN/>
        <w:adjustRightInd/>
        <w:spacing w:before="0"/>
        <w:textAlignment w:val="auto"/>
      </w:pPr>
      <w:r w:rsidRPr="007D4988">
        <w:br w:type="page"/>
      </w:r>
    </w:p>
    <w:p w14:paraId="0429FB68" w14:textId="77777777" w:rsidR="008D0C6D" w:rsidRPr="007D4988" w:rsidRDefault="008D0C6D" w:rsidP="008D0C6D">
      <w:pPr>
        <w:pStyle w:val="Headingb"/>
        <w:rPr>
          <w:rFonts w:eastAsia="MS Mincho" w:cs="Calibri"/>
          <w:sz w:val="22"/>
          <w:szCs w:val="18"/>
        </w:rPr>
      </w:pPr>
      <w:r w:rsidRPr="007D4988">
        <w:lastRenderedPageBreak/>
        <w:t>Avant-propos</w:t>
      </w:r>
    </w:p>
    <w:p w14:paraId="599E7003" w14:textId="6DACEDF3" w:rsidR="008D0C6D" w:rsidRPr="007D4988" w:rsidRDefault="008D0C6D" w:rsidP="008D0C6D">
      <w:pPr>
        <w:rPr>
          <w:rFonts w:eastAsia="Calibri" w:cs="Calibri"/>
          <w:sz w:val="22"/>
          <w:szCs w:val="22"/>
        </w:rPr>
      </w:pPr>
      <w:r w:rsidRPr="007D4988">
        <w:t>Partout dans le monde, la transformation numérique modifie profondément le quotidien des populations, leurs moyens de subsistance, et même la société dans son ensemble. L</w:t>
      </w:r>
      <w:r w:rsidR="001F6F64" w:rsidRPr="007D4988">
        <w:t>'</w:t>
      </w:r>
      <w:r w:rsidRPr="007D4988">
        <w:t>Union internationale des télécommunications (UIT) est à l</w:t>
      </w:r>
      <w:r w:rsidR="001F6F64" w:rsidRPr="007D4988">
        <w:t>'</w:t>
      </w:r>
      <w:r w:rsidRPr="007D4988">
        <w:t>avant-garde de cette évolution mondiale et mène ses activités dans toutes les régions et tous les secteurs pour élargir les possibilités et renforcer la résilience.</w:t>
      </w:r>
    </w:p>
    <w:p w14:paraId="2E3C1BE0" w14:textId="7917F5FA" w:rsidR="008D0C6D" w:rsidRPr="007D4988" w:rsidRDefault="008D0C6D" w:rsidP="008D0C6D">
      <w:pPr>
        <w:rPr>
          <w:rFonts w:eastAsia="Calibri" w:cs="Calibri"/>
          <w:sz w:val="22"/>
          <w:szCs w:val="22"/>
        </w:rPr>
      </w:pPr>
      <w:r w:rsidRPr="007D4988">
        <w:t xml:space="preserve">La période allant </w:t>
      </w:r>
      <w:r w:rsidR="00E63031" w:rsidRPr="007D4988">
        <w:t>d'octobre</w:t>
      </w:r>
      <w:r w:rsidRPr="007D4988">
        <w:t xml:space="preserve"> 2022 à </w:t>
      </w:r>
      <w:r w:rsidR="00E62B13" w:rsidRPr="007D4988">
        <w:t xml:space="preserve">mars </w:t>
      </w:r>
      <w:r w:rsidRPr="007D4988">
        <w:t>202</w:t>
      </w:r>
      <w:r w:rsidR="00E62B13" w:rsidRPr="007D4988">
        <w:t>6</w:t>
      </w:r>
      <w:r w:rsidRPr="007D4988">
        <w:t xml:space="preserve"> témoigne de profondes mutations à l</w:t>
      </w:r>
      <w:r w:rsidR="001F6F64" w:rsidRPr="007D4988">
        <w:t>'</w:t>
      </w:r>
      <w:r w:rsidRPr="007D4988">
        <w:t>échelle mondiale, ainsi que de notre détermination commune à promouvoir une connectivité numérique efficace pour tous à travers le monde.</w:t>
      </w:r>
    </w:p>
    <w:p w14:paraId="530632B8" w14:textId="1E31849B" w:rsidR="008D0C6D" w:rsidRPr="007D4988" w:rsidRDefault="008D0C6D" w:rsidP="008D0C6D">
      <w:pPr>
        <w:rPr>
          <w:rFonts w:asciiTheme="minorHAnsi" w:eastAsia="Calibri" w:hAnsiTheme="minorHAnsi" w:cstheme="minorHAnsi"/>
          <w:sz w:val="22"/>
          <w:szCs w:val="22"/>
        </w:rPr>
      </w:pPr>
      <w:r w:rsidRPr="007D4988">
        <w:t>Derrière chaque réussite se cachent des expériences humaines: un enfant qui, pour la première fois, accède à l</w:t>
      </w:r>
      <w:r w:rsidR="001F6F64" w:rsidRPr="007D4988">
        <w:t>'</w:t>
      </w:r>
      <w:r w:rsidRPr="007D4988">
        <w:t>apprentissage en ligne, des communautés dévastées qui se reconnectent après un ouragan ou un cyclone; des jeunes femmes qui lancent leur entreprise en ligne.</w:t>
      </w:r>
    </w:p>
    <w:p w14:paraId="2FD4AE96" w14:textId="4ACED8CB" w:rsidR="008D0C6D" w:rsidRPr="007D4988" w:rsidRDefault="00AF1AC5" w:rsidP="008D0C6D">
      <w:pPr>
        <w:rPr>
          <w:rFonts w:asciiTheme="minorHAnsi" w:eastAsia="Calibri" w:hAnsiTheme="minorHAnsi" w:cstheme="minorHAnsi"/>
          <w:sz w:val="22"/>
          <w:szCs w:val="22"/>
        </w:rPr>
      </w:pPr>
      <w:r w:rsidRPr="007D4988">
        <w:t>À la fin de 2025, l'utilisation de l'Internet dans le monde s'établissait à 74%, soit 6 milliards de personnes, ramenant le nombre de personnes non connectées à quelque 2,2 milliards. Des disparités subsistent pourtant: 93% des habitants des pays à revenu élevé utilisent l'Internet contre 23% seulement dans les pays à faible revenu. La probabilité de posséder un téléphone mobile est plus faible de 10% pour une femme que pour un homme. Le nombre de pays dotés de politiques en matière d'accessibilité des TIC est passé de 117 (à la fin de 2022) à 127 (à la fin de 2024).</w:t>
      </w:r>
    </w:p>
    <w:p w14:paraId="0D3A7FFF" w14:textId="6651A73D" w:rsidR="008D0C6D" w:rsidRPr="007D4988" w:rsidRDefault="008D0C6D" w:rsidP="008D0C6D">
      <w:pPr>
        <w:rPr>
          <w:rFonts w:asciiTheme="minorHAnsi" w:eastAsia="Calibri" w:hAnsiTheme="minorHAnsi" w:cstheme="minorHAnsi"/>
          <w:sz w:val="22"/>
          <w:szCs w:val="22"/>
        </w:rPr>
      </w:pPr>
      <w:r w:rsidRPr="007D4988">
        <w:t>La connectivité est essentielle pour la sécurité, la dignité et l'accomplissement du potentiel de chacun.</w:t>
      </w:r>
    </w:p>
    <w:p w14:paraId="184D0267" w14:textId="723B5C16" w:rsidR="008D0C6D" w:rsidRPr="007D4988" w:rsidRDefault="008D0C6D" w:rsidP="008D0C6D">
      <w:pPr>
        <w:rPr>
          <w:rFonts w:asciiTheme="minorHAnsi" w:eastAsia="MS Mincho" w:hAnsiTheme="minorHAnsi" w:cstheme="minorHAnsi"/>
          <w:sz w:val="22"/>
        </w:rPr>
      </w:pPr>
      <w:r w:rsidRPr="007D4988">
        <w:t>L</w:t>
      </w:r>
      <w:r w:rsidR="001F6F64" w:rsidRPr="007D4988">
        <w:t>'</w:t>
      </w:r>
      <w:r w:rsidRPr="007D4988">
        <w:t>UIT a conclu des accords mondiaux essentiels pour préserver le spectre et les orbites de satellites, qui sont des ressources partagées à l</w:t>
      </w:r>
      <w:r w:rsidR="001F6F64" w:rsidRPr="007D4988">
        <w:t>'</w:t>
      </w:r>
      <w:r w:rsidRPr="007D4988">
        <w:t xml:space="preserve">échelle mondiale. Notre </w:t>
      </w:r>
      <w:r w:rsidRPr="007D4988">
        <w:rPr>
          <w:b/>
          <w:bCs/>
        </w:rPr>
        <w:t>cadre sur les IMT</w:t>
      </w:r>
      <w:r w:rsidR="001F6F64" w:rsidRPr="007D4988">
        <w:rPr>
          <w:b/>
          <w:bCs/>
        </w:rPr>
        <w:noBreakHyphen/>
      </w:r>
      <w:r w:rsidRPr="007D4988">
        <w:rPr>
          <w:b/>
          <w:bCs/>
        </w:rPr>
        <w:t xml:space="preserve">2030 pour les télécommunications de sixième génération (6G) </w:t>
      </w:r>
      <w:r w:rsidRPr="007D4988">
        <w:t>constitue l</w:t>
      </w:r>
      <w:r w:rsidR="001F6F64" w:rsidRPr="007D4988">
        <w:t>'</w:t>
      </w:r>
      <w:r w:rsidRPr="007D4988">
        <w:t>épine dorsale réglementaire et technique de la connectivité évoluée pour la décennie qui s'ouvre devant nous.</w:t>
      </w:r>
    </w:p>
    <w:p w14:paraId="5D61D5B3" w14:textId="7C5FBB8F" w:rsidR="008D0C6D" w:rsidRPr="007D4988" w:rsidRDefault="008D0C6D" w:rsidP="008D0C6D">
      <w:pPr>
        <w:rPr>
          <w:rFonts w:asciiTheme="minorHAnsi" w:eastAsia="Calibri" w:hAnsiTheme="minorHAnsi" w:cstheme="minorHAnsi"/>
          <w:sz w:val="22"/>
          <w:szCs w:val="22"/>
        </w:rPr>
      </w:pPr>
      <w:r w:rsidRPr="007D4988">
        <w:t>Sur le plan des nouvelles technologies, l</w:t>
      </w:r>
      <w:r w:rsidR="001F6F64" w:rsidRPr="007D4988">
        <w:t>'</w:t>
      </w:r>
      <w:r w:rsidRPr="007D4988">
        <w:t>UIT a établi des normes essentielles pour les technologies quantiques, préparant ainsi le terrain pour des solutions interopérables et centrées sur l</w:t>
      </w:r>
      <w:r w:rsidR="001F6F64" w:rsidRPr="007D4988">
        <w:t>'</w:t>
      </w:r>
      <w:r w:rsidRPr="007D4988">
        <w:t>humain.</w:t>
      </w:r>
    </w:p>
    <w:p w14:paraId="0D501B48" w14:textId="6E24AAC6" w:rsidR="008D0C6D" w:rsidRPr="007D4988" w:rsidRDefault="008D0C6D" w:rsidP="008D0C6D">
      <w:pPr>
        <w:rPr>
          <w:rFonts w:asciiTheme="minorHAnsi" w:eastAsia="Calibri" w:hAnsiTheme="minorHAnsi" w:cstheme="minorHAnsi"/>
          <w:sz w:val="22"/>
          <w:szCs w:val="22"/>
        </w:rPr>
      </w:pPr>
      <w:r w:rsidRPr="007D4988">
        <w:t>En 2025, l</w:t>
      </w:r>
      <w:r w:rsidR="001F6F64" w:rsidRPr="007D4988">
        <w:t>'</w:t>
      </w:r>
      <w:r w:rsidRPr="007D4988">
        <w:t>Académie de l</w:t>
      </w:r>
      <w:r w:rsidR="001F6F64" w:rsidRPr="007D4988">
        <w:t>'</w:t>
      </w:r>
      <w:r w:rsidRPr="007D4988">
        <w:t>UIT comptait 83 000 apprenants, dont 40</w:t>
      </w:r>
      <w:r w:rsidR="001F6F64" w:rsidRPr="007D4988">
        <w:t>%</w:t>
      </w:r>
      <w:r w:rsidRPr="007D4988">
        <w:t xml:space="preserve"> de femmes. Notre initiative sur les centres de transformation numérique a bénéficié à plus de 610</w:t>
      </w:r>
      <w:r w:rsidR="00801087" w:rsidRPr="007D4988">
        <w:t> </w:t>
      </w:r>
      <w:r w:rsidRPr="007D4988">
        <w:t>000</w:t>
      </w:r>
      <w:r w:rsidR="00801087" w:rsidRPr="007D4988">
        <w:t> </w:t>
      </w:r>
      <w:r w:rsidRPr="007D4988">
        <w:t>personnes entre 2022 et 2025, dont plus de la moitié étaient des femmes.</w:t>
      </w:r>
    </w:p>
    <w:p w14:paraId="5533582C" w14:textId="77777777" w:rsidR="008D0C6D" w:rsidRPr="007D4988" w:rsidRDefault="008D0C6D" w:rsidP="008D0C6D">
      <w:pPr>
        <w:rPr>
          <w:rFonts w:asciiTheme="minorHAnsi" w:eastAsia="MS Mincho" w:hAnsiTheme="minorHAnsi" w:cstheme="minorHAnsi"/>
          <w:sz w:val="22"/>
        </w:rPr>
      </w:pPr>
      <w:r w:rsidRPr="007D4988">
        <w:t>Nous avons aidé les pays à mettre en place une réglementation sur les déchets d'équipements électriques et électroniques (DEEE) et fédéré les entreprises du numérique autour de pratiques numériques plus écologiques, notamment la déclaration transparente des émissions et les normes durables.</w:t>
      </w:r>
    </w:p>
    <w:p w14:paraId="1D3DDBE9" w14:textId="77777777" w:rsidR="00801087" w:rsidRPr="007D4988" w:rsidRDefault="008D0C6D" w:rsidP="008D0C6D">
      <w:r w:rsidRPr="007D4988">
        <w:t>La Conférence de plénipotentiaires (PP-22) tenue à Bucarest nous a permis de mettre l</w:t>
      </w:r>
      <w:r w:rsidR="001F6F64" w:rsidRPr="007D4988">
        <w:t>'</w:t>
      </w:r>
      <w:r w:rsidRPr="007D4988">
        <w:t>accent sur la gouvernance de l</w:t>
      </w:r>
      <w:r w:rsidR="001F6F64" w:rsidRPr="007D4988">
        <w:t>'</w:t>
      </w:r>
      <w:r w:rsidRPr="007D4988">
        <w:t>intelligence artificielle (IA) et la durabilité de l</w:t>
      </w:r>
      <w:r w:rsidR="001F6F64" w:rsidRPr="007D4988">
        <w:t>'</w:t>
      </w:r>
      <w:r w:rsidRPr="007D4988">
        <w:t>espace. La Conférence mondiale des radiocommunications (CMR-23) tenue à Dubaï a posé les bases de l'utilisation du spectre pour l</w:t>
      </w:r>
      <w:r w:rsidR="001F6F64" w:rsidRPr="007D4988">
        <w:t>'</w:t>
      </w:r>
      <w:r w:rsidRPr="007D4988">
        <w:t>ère des services par satellite et de la 6G. L</w:t>
      </w:r>
      <w:r w:rsidR="001F6F64" w:rsidRPr="007D4988">
        <w:t>'</w:t>
      </w:r>
      <w:r w:rsidRPr="007D4988">
        <w:t xml:space="preserve">Assemblée mondiale de normalisation des télécommunications (AMNT-24) a fait évoluer les normes techniques afin que les normes soient applicables à tous. Plus récemment, la Conférence mondiale de </w:t>
      </w:r>
      <w:r w:rsidR="00801087" w:rsidRPr="007D4988">
        <w:br w:type="page"/>
      </w:r>
    </w:p>
    <w:p w14:paraId="2DCA609C" w14:textId="2D6F2DD4" w:rsidR="008D0C6D" w:rsidRPr="007D4988" w:rsidRDefault="008D0C6D" w:rsidP="008D0C6D">
      <w:pPr>
        <w:rPr>
          <w:rFonts w:asciiTheme="minorHAnsi" w:eastAsia="MS Mincho" w:hAnsiTheme="minorHAnsi" w:cstheme="minorHAnsi"/>
          <w:sz w:val="22"/>
        </w:rPr>
      </w:pPr>
      <w:r w:rsidRPr="007D4988">
        <w:t>développement des télécommunications (CMDT-25), qui s</w:t>
      </w:r>
      <w:r w:rsidR="001F6F64" w:rsidRPr="007D4988">
        <w:t>'</w:t>
      </w:r>
      <w:r w:rsidRPr="007D4988">
        <w:t>est tenue à Bakou, a transposé ces cadres mondiaux en plans d</w:t>
      </w:r>
      <w:r w:rsidR="001F6F64" w:rsidRPr="007D4988">
        <w:t>'</w:t>
      </w:r>
      <w:r w:rsidRPr="007D4988">
        <w:t>action régionaux visant à mettre les avantages du numérique à la portée des personnes et des communautés du monde entier.</w:t>
      </w:r>
    </w:p>
    <w:p w14:paraId="47E9053B" w14:textId="060D5256" w:rsidR="008D0C6D" w:rsidRPr="007D4988" w:rsidRDefault="00AF1AC5" w:rsidP="008D0C6D">
      <w:pPr>
        <w:rPr>
          <w:rFonts w:asciiTheme="minorHAnsi" w:eastAsia="Calibri" w:hAnsiTheme="minorHAnsi" w:cstheme="minorHAnsi"/>
          <w:sz w:val="22"/>
          <w:szCs w:val="22"/>
        </w:rPr>
      </w:pPr>
      <w:r w:rsidRPr="007D4988">
        <w:t>À ces succès s'est ajoutée l'approbation, par l'Assemblée générale des Nations Unies, des résultats de l'examen des 20 ans du Sommet mondial sur la société de l'information (SMSI), en tant que fondement pour l'édification de l'avenir numérique de tous. En outre, la Résolution de l'ONU établit les données de l'UIT comme étant la référence pour suivre les progrès accomplis dans le domaine du numérique à travers le monde.</w:t>
      </w:r>
    </w:p>
    <w:p w14:paraId="517A89FD" w14:textId="57630EED" w:rsidR="008D0C6D" w:rsidRPr="007D4988" w:rsidRDefault="008D0C6D" w:rsidP="008D0C6D">
      <w:pPr>
        <w:rPr>
          <w:rFonts w:asciiTheme="minorHAnsi" w:eastAsia="Calibri" w:hAnsiTheme="minorHAnsi" w:cstheme="minorHAnsi"/>
          <w:sz w:val="22"/>
          <w:szCs w:val="22"/>
        </w:rPr>
      </w:pPr>
      <w:r w:rsidRPr="007D4988">
        <w:t>Dans le même temps, nous avons bâti des communautés plus larges et multiplié les partenariats innovants sur des questions cruciales pour le monde d</w:t>
      </w:r>
      <w:r w:rsidR="001F6F64" w:rsidRPr="007D4988">
        <w:t>'</w:t>
      </w:r>
      <w:r w:rsidRPr="007D4988">
        <w:t>aujourd</w:t>
      </w:r>
      <w:r w:rsidR="001F6F64" w:rsidRPr="007D4988">
        <w:t>'</w:t>
      </w:r>
      <w:r w:rsidRPr="007D4988">
        <w:t>hui.</w:t>
      </w:r>
    </w:p>
    <w:p w14:paraId="650C9BC7" w14:textId="24229006" w:rsidR="008D0C6D" w:rsidRPr="007D4988" w:rsidRDefault="008D0C6D" w:rsidP="008D0C6D">
      <w:pPr>
        <w:rPr>
          <w:rFonts w:asciiTheme="minorHAnsi" w:eastAsia="MS Mincho" w:hAnsiTheme="minorHAnsi" w:cstheme="minorHAnsi"/>
          <w:sz w:val="22"/>
        </w:rPr>
      </w:pPr>
      <w:r w:rsidRPr="007D4988">
        <w:t>Notre Sommet mondial sur l</w:t>
      </w:r>
      <w:r w:rsidR="001F6F64" w:rsidRPr="007D4988">
        <w:t>'</w:t>
      </w:r>
      <w:r w:rsidRPr="007D4988">
        <w:t>intelligence artificielle au service du bien social, qui existe depuis huit ans, ainsi que notre manifestation de haut niveau du SMSI+20, ont permis d'attirer quelque 11 000 visiteurs à Genève en 2025. La communauté virtuelle de l</w:t>
      </w:r>
      <w:r w:rsidR="001F6F64" w:rsidRPr="007D4988">
        <w:t>'</w:t>
      </w:r>
      <w:r w:rsidRPr="007D4988">
        <w:t>intelligence artificielle au service du bien social, qui a permis de poursuivre les débats sur l</w:t>
      </w:r>
      <w:r w:rsidR="001F6F64" w:rsidRPr="007D4988">
        <w:t>'</w:t>
      </w:r>
      <w:r w:rsidRPr="007D4988">
        <w:t>avenir pendant la pandémie, a atteint 35 000 membres et continue de croître, permettant aux idées et aux personnes de se rencontrer à travers le monde.</w:t>
      </w:r>
    </w:p>
    <w:p w14:paraId="2FC11E93" w14:textId="6C178604" w:rsidR="008D0C6D" w:rsidRPr="007D4988" w:rsidRDefault="00AF1AC5" w:rsidP="008D0C6D">
      <w:pPr>
        <w:rPr>
          <w:rFonts w:eastAsia="MS Mincho"/>
          <w:sz w:val="22"/>
        </w:rPr>
      </w:pPr>
      <w:r w:rsidRPr="007D4988">
        <w:t>Depuis plus de 160 ans, l'UIT évolue au rythme des technologies, du télégraphe à l'intelligence artificielle et à l'informatique quantique. Alors que nous venons de célébrer notre 160ème anniversaire, nous avons consolidé notre rôle actuel en tant qu'institution des Nations Unies chargée des technologies numériques, idéalement placée pour assurer la coexistence entre l'humain et le numérique à l'ère des liaisons satellitaires directes et de la 6G, avec une expérience utilisateur qui dépasse notre imagination actuelle, et les communications en dehors de la Terre, en particulier les communications lunaires.</w:t>
      </w:r>
    </w:p>
    <w:p w14:paraId="1EBEBBDB" w14:textId="25D77BF5" w:rsidR="008D0C6D" w:rsidRPr="007D4988" w:rsidRDefault="008D0C6D" w:rsidP="008D0C6D">
      <w:pPr>
        <w:rPr>
          <w:rFonts w:eastAsia="MS Mincho"/>
          <w:sz w:val="22"/>
        </w:rPr>
      </w:pPr>
      <w:r w:rsidRPr="007D4988">
        <w:t>Sous l</w:t>
      </w:r>
      <w:r w:rsidR="001F6F64" w:rsidRPr="007D4988">
        <w:t>'</w:t>
      </w:r>
      <w:r w:rsidRPr="007D4988">
        <w:t>impulsion de l</w:t>
      </w:r>
      <w:r w:rsidR="001F6F64" w:rsidRPr="007D4988">
        <w:t>'</w:t>
      </w:r>
      <w:r w:rsidRPr="007D4988">
        <w:t xml:space="preserve">UIT, la Coalition pour le numérique </w:t>
      </w:r>
      <w:r w:rsidR="001F6F64" w:rsidRPr="007D4988">
        <w:t>"</w:t>
      </w:r>
      <w:r w:rsidRPr="007D4988">
        <w:t>Partner2Connect</w:t>
      </w:r>
      <w:r w:rsidR="001F6F64" w:rsidRPr="007D4988">
        <w:t>"</w:t>
      </w:r>
      <w:r w:rsidRPr="007D4988">
        <w:t xml:space="preserve"> a mobilisé</w:t>
      </w:r>
      <w:r w:rsidR="00AF1AC5" w:rsidRPr="007D4988">
        <w:t> </w:t>
      </w:r>
      <w:r w:rsidRPr="007D4988">
        <w:t>1</w:t>
      </w:r>
      <w:r w:rsidR="00801087" w:rsidRPr="007D4988">
        <w:t> </w:t>
      </w:r>
      <w:r w:rsidRPr="007D4988">
        <w:t>060</w:t>
      </w:r>
      <w:r w:rsidR="00801087" w:rsidRPr="007D4988">
        <w:t> </w:t>
      </w:r>
      <w:r w:rsidRPr="007D4988">
        <w:t>engagements d</w:t>
      </w:r>
      <w:r w:rsidR="001F6F64" w:rsidRPr="007D4988">
        <w:t>'</w:t>
      </w:r>
      <w:r w:rsidRPr="007D4988">
        <w:t>une valeur de plus de 80 milliards USD dans 149 pays, pour atteindre les endroits les plus difficiles à connecter. De plus, l</w:t>
      </w:r>
      <w:r w:rsidR="001F6F64" w:rsidRPr="007D4988">
        <w:t>'</w:t>
      </w:r>
      <w:r w:rsidRPr="007D4988">
        <w:t>initiative Giga menée par l'UIT et l'UNICEF a permis de cartographier plus de 2 millions d</w:t>
      </w:r>
      <w:r w:rsidR="001F6F64" w:rsidRPr="007D4988">
        <w:t>'</w:t>
      </w:r>
      <w:r w:rsidRPr="007D4988">
        <w:t>écoles dans plus de 140 pays, et ainsi de mettre en évidence les lacunes les plus urgentes en matière de connectivité dans les écoles.</w:t>
      </w:r>
    </w:p>
    <w:p w14:paraId="16397ADB" w14:textId="28162ED2" w:rsidR="008D0C6D" w:rsidRPr="007D4988" w:rsidRDefault="00AF1AC5" w:rsidP="008D0C6D">
      <w:pPr>
        <w:rPr>
          <w:rFonts w:eastAsia="MS Mincho"/>
          <w:sz w:val="22"/>
        </w:rPr>
      </w:pPr>
      <w:r w:rsidRPr="007D4988">
        <w:t>Sur le plan de l'infrastructure, notre nouvel Organe consultatif sur la résilience des câbles sous</w:t>
      </w:r>
      <w:r w:rsidRPr="007D4988">
        <w:noBreakHyphen/>
        <w:t>marins, composé de 42 membres, fait progresser la coopération afin de contribuer à préserver cette infrastructure physique vitale des communications mondiales.</w:t>
      </w:r>
    </w:p>
    <w:p w14:paraId="362AE32C" w14:textId="4EF27548" w:rsidR="008D0C6D" w:rsidRPr="007D4988" w:rsidRDefault="008D0C6D" w:rsidP="008D0C6D">
      <w:pPr>
        <w:rPr>
          <w:rFonts w:eastAsia="MS Mincho"/>
          <w:sz w:val="22"/>
        </w:rPr>
      </w:pPr>
      <w:r w:rsidRPr="007D4988">
        <w:t>Au total, le coût estimé du déploiement d'une connexion efficace pour tous d</w:t>
      </w:r>
      <w:r w:rsidR="001F6F64" w:rsidRPr="007D4988">
        <w:t>'</w:t>
      </w:r>
      <w:r w:rsidRPr="007D4988">
        <w:t>ici à 2030 serait de 2</w:t>
      </w:r>
      <w:r w:rsidR="00801087" w:rsidRPr="007D4988">
        <w:t xml:space="preserve"> </w:t>
      </w:r>
      <w:r w:rsidRPr="007D4988">
        <w:t>600 à 2</w:t>
      </w:r>
      <w:r w:rsidR="00801087" w:rsidRPr="007D4988">
        <w:t xml:space="preserve"> </w:t>
      </w:r>
      <w:r w:rsidRPr="007D4988">
        <w:t>800 milliards USD – en premier lieu pour les infrastructures, mais aussi pour renforcer les compétences numériques, garantir l</w:t>
      </w:r>
      <w:r w:rsidR="001F6F64" w:rsidRPr="007D4988">
        <w:t>'</w:t>
      </w:r>
      <w:r w:rsidRPr="007D4988">
        <w:t>accessibilité financière et donner aux pays des options politiques solides.</w:t>
      </w:r>
    </w:p>
    <w:p w14:paraId="2659F0FE" w14:textId="468A3C5F" w:rsidR="008D0C6D" w:rsidRPr="007D4988" w:rsidRDefault="008D0C6D" w:rsidP="008D0C6D">
      <w:pPr>
        <w:rPr>
          <w:rFonts w:eastAsia="Calibri" w:cs="Calibri"/>
          <w:sz w:val="22"/>
          <w:szCs w:val="22"/>
        </w:rPr>
      </w:pPr>
      <w:r w:rsidRPr="007D4988">
        <w:t>L'engagement, la confiance et la coopération sont les maîtres mots si l'on veut parvenir à une connectivité universelle et efficace.</w:t>
      </w:r>
    </w:p>
    <w:p w14:paraId="637F0A3A" w14:textId="128A9211" w:rsidR="008D0C6D" w:rsidRPr="007D4988" w:rsidRDefault="008D0C6D" w:rsidP="008D0C6D">
      <w:pPr>
        <w:rPr>
          <w:rFonts w:eastAsia="MS Mincho"/>
          <w:sz w:val="22"/>
        </w:rPr>
      </w:pPr>
      <w:r w:rsidRPr="007D4988">
        <w:t>Les résultats mis en évidence dans le présent rapport témoignent du dévouement des membres, des partenaires et du personnel de l</w:t>
      </w:r>
      <w:r w:rsidR="001F6F64" w:rsidRPr="007D4988">
        <w:t>'</w:t>
      </w:r>
      <w:r w:rsidRPr="007D4988">
        <w:t>UIT et montrent ce qui peut être accompli lorsque toute la communauté mondiale s</w:t>
      </w:r>
      <w:r w:rsidR="001F6F64" w:rsidRPr="007D4988">
        <w:t>'</w:t>
      </w:r>
      <w:r w:rsidRPr="007D4988">
        <w:t>unit autour d</w:t>
      </w:r>
      <w:r w:rsidR="001F6F64" w:rsidRPr="007D4988">
        <w:t>'</w:t>
      </w:r>
      <w:r w:rsidRPr="007D4988">
        <w:t>un objectif commun.</w:t>
      </w:r>
    </w:p>
    <w:p w14:paraId="1BB837A0" w14:textId="74AF5C3D" w:rsidR="008D0C6D" w:rsidRPr="007D4988" w:rsidRDefault="008D0C6D" w:rsidP="00AF1AC5">
      <w:pPr>
        <w:keepNext/>
        <w:rPr>
          <w:rFonts w:eastAsia="Calibri" w:cs="Calibri"/>
          <w:sz w:val="22"/>
          <w:szCs w:val="22"/>
        </w:rPr>
      </w:pPr>
      <w:r w:rsidRPr="007D4988">
        <w:t>Cette dynamique commune est essentielle alors que nous entamons la prochaine phase de notre plan stratégique.</w:t>
      </w:r>
    </w:p>
    <w:p w14:paraId="053AC5D4" w14:textId="7EEAEE77" w:rsidR="008D0C6D" w:rsidRPr="007D4988" w:rsidRDefault="008D0C6D" w:rsidP="008D0C6D">
      <w:pPr>
        <w:rPr>
          <w:rFonts w:eastAsia="Calibri" w:cs="Calibri"/>
          <w:sz w:val="22"/>
          <w:szCs w:val="22"/>
        </w:rPr>
      </w:pPr>
      <w:r w:rsidRPr="007D4988">
        <w:t>Ensemble, veillons à ce que chaque personne, où qu</w:t>
      </w:r>
      <w:r w:rsidR="001F6F64" w:rsidRPr="007D4988">
        <w:t>'</w:t>
      </w:r>
      <w:r w:rsidRPr="007D4988">
        <w:t>elle se trouve, puisse profiter pleinement des avantages de la transformation numérique.</w:t>
      </w:r>
    </w:p>
    <w:p w14:paraId="793B05AF" w14:textId="637AED03" w:rsidR="008D0C6D" w:rsidRPr="007D4988" w:rsidRDefault="008D0C6D" w:rsidP="008D0C6D">
      <w:pPr>
        <w:spacing w:before="840"/>
      </w:pPr>
      <w:r w:rsidRPr="007D4988">
        <w:t>Doreen Bogdan-Martin</w:t>
      </w:r>
      <w:r w:rsidRPr="007D4988">
        <w:br/>
        <w:t>Secrétaire générale de l'UIT</w:t>
      </w:r>
    </w:p>
    <w:p w14:paraId="3D4AF0F8" w14:textId="576482AB" w:rsidR="00E649A2" w:rsidRPr="007D4988" w:rsidRDefault="00E649A2" w:rsidP="00E649A2">
      <w:r w:rsidRPr="007D4988">
        <w:br w:type="page"/>
      </w:r>
    </w:p>
    <w:p w14:paraId="68560455" w14:textId="26B80CFD" w:rsidR="008D0C6D" w:rsidRPr="007D4988" w:rsidRDefault="001D65AA" w:rsidP="008D0C6D">
      <w:pPr>
        <w:pStyle w:val="Title2"/>
        <w:rPr>
          <w:rFonts w:eastAsia="MS Mincho"/>
          <w:sz w:val="28"/>
          <w:szCs w:val="22"/>
        </w:rPr>
      </w:pPr>
      <w:r w:rsidRPr="007D4988">
        <w:rPr>
          <w:rFonts w:eastAsia="MS Mincho"/>
          <w:sz w:val="28"/>
          <w:szCs w:val="22"/>
        </w:rPr>
        <w:t>Table des matières</w:t>
      </w:r>
    </w:p>
    <w:p w14:paraId="7F910B79" w14:textId="0FA2E3B8" w:rsidR="008D0C6D" w:rsidRPr="007D4988" w:rsidRDefault="008D0C6D" w:rsidP="008D0C6D">
      <w:pPr>
        <w:pStyle w:val="Headingb"/>
        <w:jc w:val="right"/>
        <w:rPr>
          <w:rFonts w:eastAsia="MS Mincho"/>
        </w:rPr>
      </w:pPr>
      <w:r w:rsidRPr="007D4988">
        <w:rPr>
          <w:rFonts w:eastAsia="MS Mincho"/>
        </w:rPr>
        <w:t>Page</w:t>
      </w:r>
    </w:p>
    <w:p w14:paraId="53C978D7" w14:textId="6048ADDA" w:rsidR="003F1540" w:rsidRPr="007D4988" w:rsidRDefault="003F1540">
      <w:pPr>
        <w:pStyle w:val="TOC1"/>
        <w:rPr>
          <w:rFonts w:asciiTheme="minorHAnsi" w:eastAsiaTheme="minorEastAsia" w:hAnsiTheme="minorHAnsi" w:cstheme="minorBidi"/>
          <w:kern w:val="2"/>
          <w:szCs w:val="24"/>
          <w:lang w:eastAsia="fr-FR"/>
          <w14:ligatures w14:val="standardContextual"/>
        </w:rPr>
      </w:pPr>
      <w:r w:rsidRPr="007D4988">
        <w:rPr>
          <w:rFonts w:eastAsia="MS Mincho"/>
        </w:rPr>
        <w:fldChar w:fldCharType="begin"/>
      </w:r>
      <w:r w:rsidRPr="007D4988">
        <w:rPr>
          <w:rFonts w:eastAsia="MS Mincho"/>
        </w:rPr>
        <w:instrText xml:space="preserve"> TOC \o "2-3" \h \z \t "Heading 1;1" </w:instrText>
      </w:r>
      <w:r w:rsidRPr="007D4988">
        <w:rPr>
          <w:rFonts w:eastAsia="MS Mincho"/>
        </w:rPr>
        <w:fldChar w:fldCharType="separate"/>
      </w:r>
      <w:hyperlink w:anchor="_Toc225488864" w:history="1">
        <w:r w:rsidRPr="007D4988">
          <w:rPr>
            <w:rStyle w:val="Hyperlink"/>
          </w:rPr>
          <w:t>i</w:t>
        </w:r>
        <w:r w:rsidRPr="007D4988">
          <w:rPr>
            <w:rFonts w:asciiTheme="minorHAnsi" w:eastAsiaTheme="minorEastAsia" w:hAnsiTheme="minorHAnsi" w:cstheme="minorBidi"/>
            <w:kern w:val="2"/>
            <w:szCs w:val="24"/>
            <w:lang w:eastAsia="fr-FR"/>
            <w14:ligatures w14:val="standardContextual"/>
          </w:rPr>
          <w:tab/>
        </w:r>
        <w:r w:rsidRPr="007D4988">
          <w:rPr>
            <w:rStyle w:val="Hyperlink"/>
          </w:rPr>
          <w:t>Résumé analytique</w:t>
        </w:r>
        <w:r w:rsidRPr="007D4988">
          <w:rPr>
            <w:webHidden/>
          </w:rPr>
          <w:tab/>
        </w:r>
        <w:r w:rsidR="0019098D" w:rsidRPr="007D4988">
          <w:rPr>
            <w:webHidden/>
          </w:rPr>
          <w:tab/>
        </w:r>
        <w:r w:rsidRPr="007D4988">
          <w:rPr>
            <w:webHidden/>
          </w:rPr>
          <w:fldChar w:fldCharType="begin"/>
        </w:r>
        <w:r w:rsidRPr="007D4988">
          <w:rPr>
            <w:webHidden/>
          </w:rPr>
          <w:instrText xml:space="preserve"> PAGEREF _Toc225488864 \h </w:instrText>
        </w:r>
        <w:r w:rsidRPr="007D4988">
          <w:rPr>
            <w:webHidden/>
          </w:rPr>
        </w:r>
        <w:r w:rsidRPr="007D4988">
          <w:rPr>
            <w:webHidden/>
          </w:rPr>
          <w:fldChar w:fldCharType="separate"/>
        </w:r>
        <w:r w:rsidR="00B02520" w:rsidRPr="007D4988">
          <w:rPr>
            <w:webHidden/>
          </w:rPr>
          <w:t>9</w:t>
        </w:r>
        <w:r w:rsidRPr="007D4988">
          <w:rPr>
            <w:webHidden/>
          </w:rPr>
          <w:fldChar w:fldCharType="end"/>
        </w:r>
      </w:hyperlink>
    </w:p>
    <w:p w14:paraId="732DAA9E" w14:textId="352DBCAC" w:rsidR="003F1540" w:rsidRPr="007D4988" w:rsidRDefault="003F1540">
      <w:pPr>
        <w:pStyle w:val="TOC1"/>
        <w:rPr>
          <w:rFonts w:asciiTheme="minorHAnsi" w:eastAsiaTheme="minorEastAsia" w:hAnsiTheme="minorHAnsi" w:cstheme="minorBidi"/>
          <w:kern w:val="2"/>
          <w:szCs w:val="24"/>
          <w:lang w:eastAsia="fr-FR"/>
          <w14:ligatures w14:val="standardContextual"/>
        </w:rPr>
      </w:pPr>
      <w:hyperlink w:anchor="_Toc225488865" w:history="1">
        <w:r w:rsidRPr="007D4988">
          <w:rPr>
            <w:rStyle w:val="Hyperlink"/>
          </w:rPr>
          <w:t>ii</w:t>
        </w:r>
        <w:r w:rsidRPr="007D4988">
          <w:rPr>
            <w:rFonts w:asciiTheme="minorHAnsi" w:eastAsiaTheme="minorEastAsia" w:hAnsiTheme="minorHAnsi" w:cstheme="minorBidi"/>
            <w:kern w:val="2"/>
            <w:szCs w:val="24"/>
            <w:lang w:eastAsia="fr-FR"/>
            <w14:ligatures w14:val="standardContextual"/>
          </w:rPr>
          <w:tab/>
        </w:r>
        <w:r w:rsidRPr="007D4988">
          <w:rPr>
            <w:rStyle w:val="Hyperlink"/>
          </w:rPr>
          <w:t>Informations et points à retenir pour 2022-2025</w:t>
        </w:r>
        <w:r w:rsidRPr="007D4988">
          <w:rPr>
            <w:webHidden/>
          </w:rPr>
          <w:tab/>
        </w:r>
        <w:r w:rsidR="0019098D" w:rsidRPr="007D4988">
          <w:rPr>
            <w:webHidden/>
          </w:rPr>
          <w:tab/>
        </w:r>
        <w:r w:rsidRPr="007D4988">
          <w:rPr>
            <w:webHidden/>
          </w:rPr>
          <w:fldChar w:fldCharType="begin"/>
        </w:r>
        <w:r w:rsidRPr="007D4988">
          <w:rPr>
            <w:webHidden/>
          </w:rPr>
          <w:instrText xml:space="preserve"> PAGEREF _Toc225488865 \h </w:instrText>
        </w:r>
        <w:r w:rsidRPr="007D4988">
          <w:rPr>
            <w:webHidden/>
          </w:rPr>
        </w:r>
        <w:r w:rsidRPr="007D4988">
          <w:rPr>
            <w:webHidden/>
          </w:rPr>
          <w:fldChar w:fldCharType="separate"/>
        </w:r>
        <w:r w:rsidR="00B02520" w:rsidRPr="007D4988">
          <w:rPr>
            <w:webHidden/>
          </w:rPr>
          <w:t>16</w:t>
        </w:r>
        <w:r w:rsidRPr="007D4988">
          <w:rPr>
            <w:webHidden/>
          </w:rPr>
          <w:fldChar w:fldCharType="end"/>
        </w:r>
      </w:hyperlink>
    </w:p>
    <w:p w14:paraId="39F7596C" w14:textId="334536D8" w:rsidR="003F1540" w:rsidRPr="007D4988" w:rsidRDefault="003F1540">
      <w:pPr>
        <w:pStyle w:val="TOC1"/>
        <w:rPr>
          <w:rFonts w:asciiTheme="minorHAnsi" w:eastAsiaTheme="minorEastAsia" w:hAnsiTheme="minorHAnsi" w:cstheme="minorBidi"/>
          <w:kern w:val="2"/>
          <w:szCs w:val="24"/>
          <w:lang w:eastAsia="fr-FR"/>
          <w14:ligatures w14:val="standardContextual"/>
        </w:rPr>
      </w:pPr>
      <w:hyperlink w:anchor="_Toc225488866" w:history="1">
        <w:r w:rsidRPr="007D4988">
          <w:rPr>
            <w:rStyle w:val="Hyperlink"/>
          </w:rPr>
          <w:t>1</w:t>
        </w:r>
        <w:r w:rsidRPr="007D4988">
          <w:rPr>
            <w:rFonts w:asciiTheme="minorHAnsi" w:eastAsiaTheme="minorEastAsia" w:hAnsiTheme="minorHAnsi" w:cstheme="minorBidi"/>
            <w:kern w:val="2"/>
            <w:szCs w:val="24"/>
            <w:lang w:eastAsia="fr-FR"/>
            <w14:ligatures w14:val="standardContextual"/>
          </w:rPr>
          <w:tab/>
        </w:r>
        <w:r w:rsidRPr="007D4988">
          <w:rPr>
            <w:rStyle w:val="Hyperlink"/>
          </w:rPr>
          <w:t>Introduction</w:t>
        </w:r>
        <w:r w:rsidRPr="007D4988">
          <w:rPr>
            <w:webHidden/>
          </w:rPr>
          <w:tab/>
        </w:r>
        <w:r w:rsidR="0019098D" w:rsidRPr="007D4988">
          <w:rPr>
            <w:webHidden/>
          </w:rPr>
          <w:tab/>
        </w:r>
        <w:r w:rsidRPr="007D4988">
          <w:rPr>
            <w:webHidden/>
          </w:rPr>
          <w:fldChar w:fldCharType="begin"/>
        </w:r>
        <w:r w:rsidRPr="007D4988">
          <w:rPr>
            <w:webHidden/>
          </w:rPr>
          <w:instrText xml:space="preserve"> PAGEREF _Toc225488866 \h </w:instrText>
        </w:r>
        <w:r w:rsidRPr="007D4988">
          <w:rPr>
            <w:webHidden/>
          </w:rPr>
        </w:r>
        <w:r w:rsidRPr="007D4988">
          <w:rPr>
            <w:webHidden/>
          </w:rPr>
          <w:fldChar w:fldCharType="separate"/>
        </w:r>
        <w:r w:rsidR="00B02520" w:rsidRPr="007D4988">
          <w:rPr>
            <w:webHidden/>
          </w:rPr>
          <w:t>21</w:t>
        </w:r>
        <w:r w:rsidRPr="007D4988">
          <w:rPr>
            <w:webHidden/>
          </w:rPr>
          <w:fldChar w:fldCharType="end"/>
        </w:r>
      </w:hyperlink>
    </w:p>
    <w:p w14:paraId="612E5EF9" w14:textId="10AC0BC1" w:rsidR="003F1540" w:rsidRPr="007D4988" w:rsidRDefault="003F1540">
      <w:pPr>
        <w:pStyle w:val="TOC1"/>
        <w:rPr>
          <w:rFonts w:asciiTheme="minorHAnsi" w:eastAsiaTheme="minorEastAsia" w:hAnsiTheme="minorHAnsi" w:cstheme="minorBidi"/>
          <w:kern w:val="2"/>
          <w:szCs w:val="24"/>
          <w:lang w:eastAsia="fr-FR"/>
          <w14:ligatures w14:val="standardContextual"/>
        </w:rPr>
      </w:pPr>
      <w:hyperlink w:anchor="_Toc225488867" w:history="1">
        <w:r w:rsidRPr="007D4988">
          <w:rPr>
            <w:rStyle w:val="Hyperlink"/>
          </w:rPr>
          <w:t>2</w:t>
        </w:r>
        <w:r w:rsidRPr="007D4988">
          <w:rPr>
            <w:rFonts w:asciiTheme="minorHAnsi" w:eastAsiaTheme="minorEastAsia" w:hAnsiTheme="minorHAnsi" w:cstheme="minorBidi"/>
            <w:kern w:val="2"/>
            <w:szCs w:val="24"/>
            <w:lang w:eastAsia="fr-FR"/>
            <w14:ligatures w14:val="standardContextual"/>
          </w:rPr>
          <w:tab/>
        </w:r>
        <w:r w:rsidRPr="007D4988">
          <w:rPr>
            <w:rStyle w:val="Hyperlink"/>
          </w:rPr>
          <w:t>Conférences statutaires mondiales de l'UIT entre 2022 et 2025</w:t>
        </w:r>
        <w:r w:rsidRPr="007D4988">
          <w:rPr>
            <w:webHidden/>
          </w:rPr>
          <w:tab/>
        </w:r>
        <w:r w:rsidR="0019098D" w:rsidRPr="007D4988">
          <w:rPr>
            <w:webHidden/>
          </w:rPr>
          <w:tab/>
        </w:r>
        <w:r w:rsidRPr="007D4988">
          <w:rPr>
            <w:webHidden/>
          </w:rPr>
          <w:fldChar w:fldCharType="begin"/>
        </w:r>
        <w:r w:rsidRPr="007D4988">
          <w:rPr>
            <w:webHidden/>
          </w:rPr>
          <w:instrText xml:space="preserve"> PAGEREF _Toc225488867 \h </w:instrText>
        </w:r>
        <w:r w:rsidRPr="007D4988">
          <w:rPr>
            <w:webHidden/>
          </w:rPr>
        </w:r>
        <w:r w:rsidRPr="007D4988">
          <w:rPr>
            <w:webHidden/>
          </w:rPr>
          <w:fldChar w:fldCharType="separate"/>
        </w:r>
        <w:r w:rsidR="00B02520" w:rsidRPr="007D4988">
          <w:rPr>
            <w:webHidden/>
          </w:rPr>
          <w:t>22</w:t>
        </w:r>
        <w:r w:rsidRPr="007D4988">
          <w:rPr>
            <w:webHidden/>
          </w:rPr>
          <w:fldChar w:fldCharType="end"/>
        </w:r>
      </w:hyperlink>
    </w:p>
    <w:p w14:paraId="4AFE4F06" w14:textId="730C0891" w:rsidR="003F1540" w:rsidRPr="007D4988" w:rsidRDefault="003F1540" w:rsidP="001761E3">
      <w:pPr>
        <w:pStyle w:val="TOC2"/>
        <w:ind w:left="1928"/>
        <w:rPr>
          <w:rFonts w:asciiTheme="minorHAnsi" w:eastAsiaTheme="minorEastAsia" w:hAnsiTheme="minorHAnsi" w:cstheme="minorBidi"/>
          <w:kern w:val="2"/>
          <w:szCs w:val="24"/>
          <w:lang w:eastAsia="fr-FR"/>
          <w14:ligatures w14:val="standardContextual"/>
        </w:rPr>
      </w:pPr>
      <w:hyperlink w:anchor="_Toc225488868" w:history="1">
        <w:r w:rsidRPr="007D4988">
          <w:rPr>
            <w:rStyle w:val="Hyperlink"/>
          </w:rPr>
          <w:t>2.1</w:t>
        </w:r>
        <w:r w:rsidRPr="007D4988">
          <w:rPr>
            <w:rFonts w:asciiTheme="minorHAnsi" w:eastAsiaTheme="minorEastAsia" w:hAnsiTheme="minorHAnsi" w:cstheme="minorBidi"/>
            <w:kern w:val="2"/>
            <w:szCs w:val="24"/>
            <w:lang w:eastAsia="fr-FR"/>
            <w14:ligatures w14:val="standardContextual"/>
          </w:rPr>
          <w:tab/>
        </w:r>
        <w:r w:rsidRPr="007D4988">
          <w:rPr>
            <w:rStyle w:val="Hyperlink"/>
          </w:rPr>
          <w:t>Conférence de plénipotentiaires de l'UIT (PP</w:t>
        </w:r>
        <w:r w:rsidRPr="007D4988">
          <w:rPr>
            <w:rStyle w:val="Hyperlink"/>
          </w:rPr>
          <w:noBreakHyphen/>
          <w:t>22)</w:t>
        </w:r>
        <w:r w:rsidRPr="007D4988">
          <w:rPr>
            <w:webHidden/>
          </w:rPr>
          <w:tab/>
        </w:r>
        <w:r w:rsidR="0019098D" w:rsidRPr="007D4988">
          <w:rPr>
            <w:webHidden/>
          </w:rPr>
          <w:tab/>
        </w:r>
        <w:r w:rsidRPr="007D4988">
          <w:rPr>
            <w:webHidden/>
          </w:rPr>
          <w:fldChar w:fldCharType="begin"/>
        </w:r>
        <w:r w:rsidRPr="007D4988">
          <w:rPr>
            <w:webHidden/>
          </w:rPr>
          <w:instrText xml:space="preserve"> PAGEREF _Toc225488868 \h </w:instrText>
        </w:r>
        <w:r w:rsidRPr="007D4988">
          <w:rPr>
            <w:webHidden/>
          </w:rPr>
        </w:r>
        <w:r w:rsidRPr="007D4988">
          <w:rPr>
            <w:webHidden/>
          </w:rPr>
          <w:fldChar w:fldCharType="separate"/>
        </w:r>
        <w:r w:rsidR="00B02520" w:rsidRPr="007D4988">
          <w:rPr>
            <w:webHidden/>
          </w:rPr>
          <w:t>22</w:t>
        </w:r>
        <w:r w:rsidRPr="007D4988">
          <w:rPr>
            <w:webHidden/>
          </w:rPr>
          <w:fldChar w:fldCharType="end"/>
        </w:r>
      </w:hyperlink>
    </w:p>
    <w:p w14:paraId="192A677C" w14:textId="08FC1DB4" w:rsidR="003F1540" w:rsidRPr="007D4988" w:rsidRDefault="003F1540" w:rsidP="001761E3">
      <w:pPr>
        <w:pStyle w:val="TOC3"/>
        <w:ind w:left="2404"/>
        <w:rPr>
          <w:rFonts w:asciiTheme="minorHAnsi" w:eastAsiaTheme="minorEastAsia" w:hAnsiTheme="minorHAnsi" w:cstheme="minorBidi"/>
          <w:kern w:val="2"/>
          <w:szCs w:val="24"/>
          <w:lang w:eastAsia="fr-FR"/>
          <w14:ligatures w14:val="standardContextual"/>
        </w:rPr>
      </w:pPr>
      <w:hyperlink w:anchor="_Toc225488869" w:history="1">
        <w:r w:rsidRPr="007D4988">
          <w:rPr>
            <w:rStyle w:val="Hyperlink"/>
          </w:rPr>
          <w:t>2.1.1</w:t>
        </w:r>
        <w:r w:rsidRPr="007D4988">
          <w:rPr>
            <w:rFonts w:asciiTheme="minorHAnsi" w:eastAsiaTheme="minorEastAsia" w:hAnsiTheme="minorHAnsi" w:cstheme="minorBidi"/>
            <w:kern w:val="2"/>
            <w:szCs w:val="24"/>
            <w:lang w:eastAsia="fr-FR"/>
            <w14:ligatures w14:val="standardContextual"/>
          </w:rPr>
          <w:tab/>
        </w:r>
        <w:r w:rsidRPr="007D4988">
          <w:rPr>
            <w:rStyle w:val="Hyperlink"/>
          </w:rPr>
          <w:t>Élections à l'UIT</w:t>
        </w:r>
        <w:r w:rsidRPr="007D4988">
          <w:rPr>
            <w:webHidden/>
          </w:rPr>
          <w:tab/>
        </w:r>
        <w:r w:rsidR="0019098D" w:rsidRPr="007D4988">
          <w:rPr>
            <w:webHidden/>
          </w:rPr>
          <w:tab/>
        </w:r>
        <w:r w:rsidRPr="007D4988">
          <w:rPr>
            <w:webHidden/>
          </w:rPr>
          <w:fldChar w:fldCharType="begin"/>
        </w:r>
        <w:r w:rsidRPr="007D4988">
          <w:rPr>
            <w:webHidden/>
          </w:rPr>
          <w:instrText xml:space="preserve"> PAGEREF _Toc225488869 \h </w:instrText>
        </w:r>
        <w:r w:rsidRPr="007D4988">
          <w:rPr>
            <w:webHidden/>
          </w:rPr>
        </w:r>
        <w:r w:rsidRPr="007D4988">
          <w:rPr>
            <w:webHidden/>
          </w:rPr>
          <w:fldChar w:fldCharType="separate"/>
        </w:r>
        <w:r w:rsidR="00B02520" w:rsidRPr="007D4988">
          <w:rPr>
            <w:webHidden/>
          </w:rPr>
          <w:t>23</w:t>
        </w:r>
        <w:r w:rsidRPr="007D4988">
          <w:rPr>
            <w:webHidden/>
          </w:rPr>
          <w:fldChar w:fldCharType="end"/>
        </w:r>
      </w:hyperlink>
    </w:p>
    <w:p w14:paraId="0AD0AC68" w14:textId="12500FA1" w:rsidR="003F1540" w:rsidRPr="007D4988" w:rsidRDefault="003F1540" w:rsidP="001761E3">
      <w:pPr>
        <w:pStyle w:val="TOC2"/>
        <w:ind w:left="1928"/>
        <w:rPr>
          <w:rFonts w:asciiTheme="minorHAnsi" w:eastAsiaTheme="minorEastAsia" w:hAnsiTheme="minorHAnsi" w:cstheme="minorBidi"/>
          <w:kern w:val="2"/>
          <w:szCs w:val="24"/>
          <w:lang w:eastAsia="fr-FR"/>
          <w14:ligatures w14:val="standardContextual"/>
        </w:rPr>
      </w:pPr>
      <w:hyperlink w:anchor="_Toc225488870" w:history="1">
        <w:r w:rsidRPr="007D4988">
          <w:rPr>
            <w:rStyle w:val="Hyperlink"/>
          </w:rPr>
          <w:t>2.2</w:t>
        </w:r>
        <w:r w:rsidRPr="007D4988">
          <w:rPr>
            <w:rFonts w:asciiTheme="minorHAnsi" w:eastAsiaTheme="minorEastAsia" w:hAnsiTheme="minorHAnsi" w:cstheme="minorBidi"/>
            <w:kern w:val="2"/>
            <w:szCs w:val="24"/>
            <w:lang w:eastAsia="fr-FR"/>
            <w14:ligatures w14:val="standardContextual"/>
          </w:rPr>
          <w:tab/>
        </w:r>
        <w:r w:rsidRPr="007D4988">
          <w:rPr>
            <w:rStyle w:val="Hyperlink"/>
          </w:rPr>
          <w:t>CMR-23 et AR-23</w:t>
        </w:r>
        <w:r w:rsidRPr="007D4988">
          <w:rPr>
            <w:webHidden/>
          </w:rPr>
          <w:tab/>
        </w:r>
        <w:r w:rsidR="0019098D" w:rsidRPr="007D4988">
          <w:rPr>
            <w:webHidden/>
          </w:rPr>
          <w:tab/>
        </w:r>
        <w:r w:rsidRPr="007D4988">
          <w:rPr>
            <w:webHidden/>
          </w:rPr>
          <w:fldChar w:fldCharType="begin"/>
        </w:r>
        <w:r w:rsidRPr="007D4988">
          <w:rPr>
            <w:webHidden/>
          </w:rPr>
          <w:instrText xml:space="preserve"> PAGEREF _Toc225488870 \h </w:instrText>
        </w:r>
        <w:r w:rsidRPr="007D4988">
          <w:rPr>
            <w:webHidden/>
          </w:rPr>
        </w:r>
        <w:r w:rsidRPr="007D4988">
          <w:rPr>
            <w:webHidden/>
          </w:rPr>
          <w:fldChar w:fldCharType="separate"/>
        </w:r>
        <w:r w:rsidR="00B02520" w:rsidRPr="007D4988">
          <w:rPr>
            <w:webHidden/>
          </w:rPr>
          <w:t>23</w:t>
        </w:r>
        <w:r w:rsidRPr="007D4988">
          <w:rPr>
            <w:webHidden/>
          </w:rPr>
          <w:fldChar w:fldCharType="end"/>
        </w:r>
      </w:hyperlink>
    </w:p>
    <w:p w14:paraId="0272D9A4" w14:textId="70956514" w:rsidR="003F1540" w:rsidRPr="007D4988" w:rsidRDefault="003F1540" w:rsidP="001761E3">
      <w:pPr>
        <w:pStyle w:val="TOC3"/>
        <w:ind w:left="2404"/>
        <w:rPr>
          <w:rFonts w:asciiTheme="minorHAnsi" w:eastAsiaTheme="minorEastAsia" w:hAnsiTheme="minorHAnsi" w:cstheme="minorBidi"/>
          <w:kern w:val="2"/>
          <w:szCs w:val="24"/>
          <w:lang w:eastAsia="fr-FR"/>
          <w14:ligatures w14:val="standardContextual"/>
        </w:rPr>
      </w:pPr>
      <w:hyperlink w:anchor="_Toc225488871" w:history="1">
        <w:r w:rsidRPr="007D4988">
          <w:rPr>
            <w:rStyle w:val="Hyperlink"/>
          </w:rPr>
          <w:t>2.2.1</w:t>
        </w:r>
        <w:r w:rsidRPr="007D4988">
          <w:rPr>
            <w:rFonts w:asciiTheme="minorHAnsi" w:eastAsiaTheme="minorEastAsia" w:hAnsiTheme="minorHAnsi" w:cstheme="minorBidi"/>
            <w:kern w:val="2"/>
            <w:szCs w:val="24"/>
            <w:lang w:eastAsia="fr-FR"/>
            <w14:ligatures w14:val="standardContextual"/>
          </w:rPr>
          <w:tab/>
        </w:r>
        <w:r w:rsidRPr="007D4988">
          <w:rPr>
            <w:rStyle w:val="Hyperlink"/>
          </w:rPr>
          <w:t>Conférence mondiale des radiocommunications de 2023</w:t>
        </w:r>
        <w:r w:rsidRPr="007D4988">
          <w:rPr>
            <w:webHidden/>
          </w:rPr>
          <w:tab/>
        </w:r>
        <w:r w:rsidR="0019098D" w:rsidRPr="007D4988">
          <w:rPr>
            <w:webHidden/>
          </w:rPr>
          <w:tab/>
        </w:r>
        <w:r w:rsidRPr="007D4988">
          <w:rPr>
            <w:webHidden/>
          </w:rPr>
          <w:fldChar w:fldCharType="begin"/>
        </w:r>
        <w:r w:rsidRPr="007D4988">
          <w:rPr>
            <w:webHidden/>
          </w:rPr>
          <w:instrText xml:space="preserve"> PAGEREF _Toc225488871 \h </w:instrText>
        </w:r>
        <w:r w:rsidRPr="007D4988">
          <w:rPr>
            <w:webHidden/>
          </w:rPr>
        </w:r>
        <w:r w:rsidRPr="007D4988">
          <w:rPr>
            <w:webHidden/>
          </w:rPr>
          <w:fldChar w:fldCharType="separate"/>
        </w:r>
        <w:r w:rsidR="00B02520" w:rsidRPr="007D4988">
          <w:rPr>
            <w:webHidden/>
          </w:rPr>
          <w:t>23</w:t>
        </w:r>
        <w:r w:rsidRPr="007D4988">
          <w:rPr>
            <w:webHidden/>
          </w:rPr>
          <w:fldChar w:fldCharType="end"/>
        </w:r>
      </w:hyperlink>
    </w:p>
    <w:p w14:paraId="0B14237A" w14:textId="5DCBF1E8" w:rsidR="003F1540" w:rsidRPr="007D4988" w:rsidRDefault="003F1540" w:rsidP="001761E3">
      <w:pPr>
        <w:pStyle w:val="TOC3"/>
        <w:ind w:left="2404"/>
        <w:rPr>
          <w:rFonts w:asciiTheme="minorHAnsi" w:eastAsiaTheme="minorEastAsia" w:hAnsiTheme="minorHAnsi" w:cstheme="minorBidi"/>
          <w:kern w:val="2"/>
          <w:szCs w:val="24"/>
          <w:lang w:eastAsia="fr-FR"/>
          <w14:ligatures w14:val="standardContextual"/>
        </w:rPr>
      </w:pPr>
      <w:hyperlink w:anchor="_Toc225488872" w:history="1">
        <w:r w:rsidRPr="007D4988">
          <w:rPr>
            <w:rStyle w:val="Hyperlink"/>
          </w:rPr>
          <w:t>2.2.2</w:t>
        </w:r>
        <w:r w:rsidRPr="007D4988">
          <w:rPr>
            <w:rFonts w:asciiTheme="minorHAnsi" w:eastAsiaTheme="minorEastAsia" w:hAnsiTheme="minorHAnsi" w:cstheme="minorBidi"/>
            <w:kern w:val="2"/>
            <w:szCs w:val="24"/>
            <w:lang w:eastAsia="fr-FR"/>
            <w14:ligatures w14:val="standardContextual"/>
          </w:rPr>
          <w:tab/>
        </w:r>
        <w:r w:rsidRPr="007D4988">
          <w:rPr>
            <w:rStyle w:val="Hyperlink"/>
          </w:rPr>
          <w:t>Assemblée des radiocommunications de 2023</w:t>
        </w:r>
        <w:r w:rsidRPr="007D4988">
          <w:rPr>
            <w:webHidden/>
          </w:rPr>
          <w:tab/>
        </w:r>
        <w:r w:rsidR="0019098D" w:rsidRPr="007D4988">
          <w:rPr>
            <w:webHidden/>
          </w:rPr>
          <w:tab/>
        </w:r>
        <w:r w:rsidRPr="007D4988">
          <w:rPr>
            <w:webHidden/>
          </w:rPr>
          <w:fldChar w:fldCharType="begin"/>
        </w:r>
        <w:r w:rsidRPr="007D4988">
          <w:rPr>
            <w:webHidden/>
          </w:rPr>
          <w:instrText xml:space="preserve"> PAGEREF _Toc225488872 \h </w:instrText>
        </w:r>
        <w:r w:rsidRPr="007D4988">
          <w:rPr>
            <w:webHidden/>
          </w:rPr>
        </w:r>
        <w:r w:rsidRPr="007D4988">
          <w:rPr>
            <w:webHidden/>
          </w:rPr>
          <w:fldChar w:fldCharType="separate"/>
        </w:r>
        <w:r w:rsidR="00B02520" w:rsidRPr="007D4988">
          <w:rPr>
            <w:webHidden/>
          </w:rPr>
          <w:t>24</w:t>
        </w:r>
        <w:r w:rsidRPr="007D4988">
          <w:rPr>
            <w:webHidden/>
          </w:rPr>
          <w:fldChar w:fldCharType="end"/>
        </w:r>
      </w:hyperlink>
    </w:p>
    <w:p w14:paraId="1EA1A9F6" w14:textId="7D98B149" w:rsidR="003F1540" w:rsidRPr="007D4988" w:rsidRDefault="003F1540" w:rsidP="001761E3">
      <w:pPr>
        <w:pStyle w:val="TOC2"/>
        <w:ind w:left="1928"/>
        <w:rPr>
          <w:rFonts w:asciiTheme="minorHAnsi" w:eastAsiaTheme="minorEastAsia" w:hAnsiTheme="minorHAnsi" w:cstheme="minorBidi"/>
          <w:kern w:val="2"/>
          <w:szCs w:val="24"/>
          <w:lang w:eastAsia="fr-FR"/>
          <w14:ligatures w14:val="standardContextual"/>
        </w:rPr>
      </w:pPr>
      <w:hyperlink w:anchor="_Toc225488873" w:history="1">
        <w:r w:rsidRPr="007D4988">
          <w:rPr>
            <w:rStyle w:val="Hyperlink"/>
          </w:rPr>
          <w:t>2.3</w:t>
        </w:r>
        <w:r w:rsidRPr="007D4988">
          <w:rPr>
            <w:rFonts w:asciiTheme="minorHAnsi" w:eastAsiaTheme="minorEastAsia" w:hAnsiTheme="minorHAnsi" w:cstheme="minorBidi"/>
            <w:kern w:val="2"/>
            <w:szCs w:val="24"/>
            <w:lang w:eastAsia="fr-FR"/>
            <w14:ligatures w14:val="standardContextual"/>
          </w:rPr>
          <w:tab/>
        </w:r>
        <w:r w:rsidRPr="007D4988">
          <w:rPr>
            <w:rStyle w:val="Hyperlink"/>
          </w:rPr>
          <w:t>Assemblée mondiale de normalisation des télécommunications</w:t>
        </w:r>
        <w:r w:rsidR="001761E3" w:rsidRPr="007D4988">
          <w:rPr>
            <w:rStyle w:val="Hyperlink"/>
          </w:rPr>
          <w:br/>
        </w:r>
        <w:r w:rsidRPr="007D4988">
          <w:rPr>
            <w:rStyle w:val="Hyperlink"/>
          </w:rPr>
          <w:t>de 2024</w:t>
        </w:r>
        <w:r w:rsidRPr="007D4988">
          <w:rPr>
            <w:webHidden/>
          </w:rPr>
          <w:tab/>
        </w:r>
        <w:r w:rsidR="001761E3" w:rsidRPr="007D4988">
          <w:rPr>
            <w:webHidden/>
          </w:rPr>
          <w:tab/>
        </w:r>
        <w:r w:rsidRPr="007D4988">
          <w:rPr>
            <w:webHidden/>
          </w:rPr>
          <w:fldChar w:fldCharType="begin"/>
        </w:r>
        <w:r w:rsidRPr="007D4988">
          <w:rPr>
            <w:webHidden/>
          </w:rPr>
          <w:instrText xml:space="preserve"> PAGEREF _Toc225488873 \h </w:instrText>
        </w:r>
        <w:r w:rsidRPr="007D4988">
          <w:rPr>
            <w:webHidden/>
          </w:rPr>
        </w:r>
        <w:r w:rsidRPr="007D4988">
          <w:rPr>
            <w:webHidden/>
          </w:rPr>
          <w:fldChar w:fldCharType="separate"/>
        </w:r>
        <w:r w:rsidR="00B02520" w:rsidRPr="007D4988">
          <w:rPr>
            <w:webHidden/>
          </w:rPr>
          <w:t>25</w:t>
        </w:r>
        <w:r w:rsidRPr="007D4988">
          <w:rPr>
            <w:webHidden/>
          </w:rPr>
          <w:fldChar w:fldCharType="end"/>
        </w:r>
      </w:hyperlink>
    </w:p>
    <w:p w14:paraId="3B01F409" w14:textId="60DAF588" w:rsidR="003F1540" w:rsidRPr="007D4988" w:rsidRDefault="003F1540" w:rsidP="001761E3">
      <w:pPr>
        <w:pStyle w:val="TOC2"/>
        <w:ind w:left="1928"/>
        <w:rPr>
          <w:rFonts w:asciiTheme="minorHAnsi" w:eastAsiaTheme="minorEastAsia" w:hAnsiTheme="minorHAnsi" w:cstheme="minorBidi"/>
          <w:kern w:val="2"/>
          <w:szCs w:val="24"/>
          <w:lang w:eastAsia="fr-FR"/>
          <w14:ligatures w14:val="standardContextual"/>
        </w:rPr>
      </w:pPr>
      <w:hyperlink w:anchor="_Toc225488874" w:history="1">
        <w:r w:rsidRPr="007D4988">
          <w:rPr>
            <w:rStyle w:val="Hyperlink"/>
          </w:rPr>
          <w:t>2.4</w:t>
        </w:r>
        <w:r w:rsidRPr="007D4988">
          <w:rPr>
            <w:rFonts w:asciiTheme="minorHAnsi" w:eastAsiaTheme="minorEastAsia" w:hAnsiTheme="minorHAnsi" w:cstheme="minorBidi"/>
            <w:kern w:val="2"/>
            <w:szCs w:val="24"/>
            <w:lang w:eastAsia="fr-FR"/>
            <w14:ligatures w14:val="standardContextual"/>
          </w:rPr>
          <w:tab/>
        </w:r>
        <w:r w:rsidRPr="007D4988">
          <w:rPr>
            <w:rStyle w:val="Hyperlink"/>
          </w:rPr>
          <w:t>Conférence mondiale de développement des télécommunications</w:t>
        </w:r>
        <w:r w:rsidR="001761E3" w:rsidRPr="007D4988">
          <w:rPr>
            <w:rStyle w:val="Hyperlink"/>
          </w:rPr>
          <w:br/>
        </w:r>
        <w:r w:rsidRPr="007D4988">
          <w:rPr>
            <w:rStyle w:val="Hyperlink"/>
          </w:rPr>
          <w:t>de 2025</w:t>
        </w:r>
        <w:r w:rsidRPr="007D4988">
          <w:rPr>
            <w:webHidden/>
          </w:rPr>
          <w:tab/>
        </w:r>
        <w:r w:rsidR="001761E3" w:rsidRPr="007D4988">
          <w:rPr>
            <w:webHidden/>
          </w:rPr>
          <w:tab/>
        </w:r>
        <w:r w:rsidRPr="007D4988">
          <w:rPr>
            <w:webHidden/>
          </w:rPr>
          <w:fldChar w:fldCharType="begin"/>
        </w:r>
        <w:r w:rsidRPr="007D4988">
          <w:rPr>
            <w:webHidden/>
          </w:rPr>
          <w:instrText xml:space="preserve"> PAGEREF _Toc225488874 \h </w:instrText>
        </w:r>
        <w:r w:rsidRPr="007D4988">
          <w:rPr>
            <w:webHidden/>
          </w:rPr>
        </w:r>
        <w:r w:rsidRPr="007D4988">
          <w:rPr>
            <w:webHidden/>
          </w:rPr>
          <w:fldChar w:fldCharType="separate"/>
        </w:r>
        <w:r w:rsidR="00B02520" w:rsidRPr="007D4988">
          <w:rPr>
            <w:webHidden/>
          </w:rPr>
          <w:t>25</w:t>
        </w:r>
        <w:r w:rsidRPr="007D4988">
          <w:rPr>
            <w:webHidden/>
          </w:rPr>
          <w:fldChar w:fldCharType="end"/>
        </w:r>
      </w:hyperlink>
    </w:p>
    <w:p w14:paraId="54FBD845" w14:textId="1FA483B5" w:rsidR="003F1540" w:rsidRPr="007D4988" w:rsidRDefault="003F1540">
      <w:pPr>
        <w:pStyle w:val="TOC1"/>
        <w:rPr>
          <w:rFonts w:asciiTheme="minorHAnsi" w:eastAsiaTheme="minorEastAsia" w:hAnsiTheme="minorHAnsi" w:cstheme="minorBidi"/>
          <w:kern w:val="2"/>
          <w:szCs w:val="24"/>
          <w:lang w:eastAsia="fr-FR"/>
          <w14:ligatures w14:val="standardContextual"/>
        </w:rPr>
      </w:pPr>
      <w:hyperlink w:anchor="_Toc225488875" w:history="1">
        <w:r w:rsidRPr="007D4988">
          <w:rPr>
            <w:rStyle w:val="Hyperlink"/>
          </w:rPr>
          <w:t>3</w:t>
        </w:r>
        <w:r w:rsidRPr="007D4988">
          <w:rPr>
            <w:rFonts w:asciiTheme="minorHAnsi" w:eastAsiaTheme="minorEastAsia" w:hAnsiTheme="minorHAnsi" w:cstheme="minorBidi"/>
            <w:kern w:val="2"/>
            <w:szCs w:val="24"/>
            <w:lang w:eastAsia="fr-FR"/>
            <w14:ligatures w14:val="standardContextual"/>
          </w:rPr>
          <w:tab/>
        </w:r>
        <w:r w:rsidRPr="007D4988">
          <w:rPr>
            <w:rStyle w:val="Hyperlink"/>
          </w:rPr>
          <w:t>Incidences des travaux de l'UIT</w:t>
        </w:r>
        <w:r w:rsidRPr="007D4988">
          <w:rPr>
            <w:webHidden/>
          </w:rPr>
          <w:tab/>
        </w:r>
        <w:r w:rsidR="0019098D" w:rsidRPr="007D4988">
          <w:rPr>
            <w:webHidden/>
          </w:rPr>
          <w:tab/>
        </w:r>
        <w:r w:rsidRPr="007D4988">
          <w:rPr>
            <w:webHidden/>
          </w:rPr>
          <w:fldChar w:fldCharType="begin"/>
        </w:r>
        <w:r w:rsidRPr="007D4988">
          <w:rPr>
            <w:webHidden/>
          </w:rPr>
          <w:instrText xml:space="preserve"> PAGEREF _Toc225488875 \h </w:instrText>
        </w:r>
        <w:r w:rsidRPr="007D4988">
          <w:rPr>
            <w:webHidden/>
          </w:rPr>
        </w:r>
        <w:r w:rsidRPr="007D4988">
          <w:rPr>
            <w:webHidden/>
          </w:rPr>
          <w:fldChar w:fldCharType="separate"/>
        </w:r>
        <w:r w:rsidR="00B02520" w:rsidRPr="007D4988">
          <w:rPr>
            <w:webHidden/>
          </w:rPr>
          <w:t>27</w:t>
        </w:r>
        <w:r w:rsidRPr="007D4988">
          <w:rPr>
            <w:webHidden/>
          </w:rPr>
          <w:fldChar w:fldCharType="end"/>
        </w:r>
      </w:hyperlink>
    </w:p>
    <w:p w14:paraId="5CA4ACE0" w14:textId="4F66BE6C" w:rsidR="003F1540" w:rsidRPr="007D4988" w:rsidRDefault="003F1540" w:rsidP="001761E3">
      <w:pPr>
        <w:pStyle w:val="TOC2"/>
        <w:ind w:left="1928"/>
        <w:rPr>
          <w:rFonts w:asciiTheme="minorHAnsi" w:eastAsiaTheme="minorEastAsia" w:hAnsiTheme="minorHAnsi" w:cstheme="minorBidi"/>
          <w:kern w:val="2"/>
          <w:szCs w:val="24"/>
          <w:lang w:eastAsia="fr-FR"/>
          <w14:ligatures w14:val="standardContextual"/>
        </w:rPr>
      </w:pPr>
      <w:hyperlink w:anchor="_Toc225488876" w:history="1">
        <w:r w:rsidRPr="007D4988">
          <w:rPr>
            <w:rStyle w:val="Hyperlink"/>
          </w:rPr>
          <w:t>3.1</w:t>
        </w:r>
        <w:r w:rsidRPr="007D4988">
          <w:rPr>
            <w:rFonts w:asciiTheme="minorHAnsi" w:eastAsiaTheme="minorEastAsia" w:hAnsiTheme="minorHAnsi" w:cstheme="minorBidi"/>
            <w:kern w:val="2"/>
            <w:szCs w:val="24"/>
            <w:lang w:eastAsia="fr-FR"/>
            <w14:ligatures w14:val="standardContextual"/>
          </w:rPr>
          <w:tab/>
        </w:r>
        <w:r w:rsidRPr="007D4988">
          <w:rPr>
            <w:rStyle w:val="Hyperlink"/>
          </w:rPr>
          <w:t>Plan stratégique de l'UIT pour la période 2020-2023 (résultats définitifs)</w:t>
        </w:r>
        <w:r w:rsidRPr="007D4988">
          <w:rPr>
            <w:webHidden/>
          </w:rPr>
          <w:tab/>
        </w:r>
        <w:r w:rsidR="003E1BE8" w:rsidRPr="007D4988">
          <w:rPr>
            <w:webHidden/>
          </w:rPr>
          <w:tab/>
        </w:r>
        <w:r w:rsidRPr="007D4988">
          <w:rPr>
            <w:webHidden/>
          </w:rPr>
          <w:fldChar w:fldCharType="begin"/>
        </w:r>
        <w:r w:rsidRPr="007D4988">
          <w:rPr>
            <w:webHidden/>
          </w:rPr>
          <w:instrText xml:space="preserve"> PAGEREF _Toc225488876 \h </w:instrText>
        </w:r>
        <w:r w:rsidRPr="007D4988">
          <w:rPr>
            <w:webHidden/>
          </w:rPr>
        </w:r>
        <w:r w:rsidRPr="007D4988">
          <w:rPr>
            <w:webHidden/>
          </w:rPr>
          <w:fldChar w:fldCharType="separate"/>
        </w:r>
        <w:r w:rsidR="00B02520" w:rsidRPr="007D4988">
          <w:rPr>
            <w:webHidden/>
          </w:rPr>
          <w:t>27</w:t>
        </w:r>
        <w:r w:rsidRPr="007D4988">
          <w:rPr>
            <w:webHidden/>
          </w:rPr>
          <w:fldChar w:fldCharType="end"/>
        </w:r>
      </w:hyperlink>
    </w:p>
    <w:p w14:paraId="3488F71A" w14:textId="5FF6BF65" w:rsidR="003F1540" w:rsidRPr="007D4988" w:rsidRDefault="003F1540" w:rsidP="001761E3">
      <w:pPr>
        <w:pStyle w:val="TOC2"/>
        <w:ind w:left="1928"/>
        <w:rPr>
          <w:rFonts w:asciiTheme="minorHAnsi" w:eastAsiaTheme="minorEastAsia" w:hAnsiTheme="minorHAnsi" w:cstheme="minorBidi"/>
          <w:kern w:val="2"/>
          <w:szCs w:val="24"/>
          <w:lang w:eastAsia="fr-FR"/>
          <w14:ligatures w14:val="standardContextual"/>
        </w:rPr>
      </w:pPr>
      <w:hyperlink w:anchor="_Toc225488877" w:history="1">
        <w:r w:rsidRPr="007D4988">
          <w:rPr>
            <w:rStyle w:val="Hyperlink"/>
          </w:rPr>
          <w:t>3.2</w:t>
        </w:r>
        <w:r w:rsidRPr="007D4988">
          <w:rPr>
            <w:rFonts w:asciiTheme="minorHAnsi" w:eastAsiaTheme="minorEastAsia" w:hAnsiTheme="minorHAnsi" w:cstheme="minorBidi"/>
            <w:kern w:val="2"/>
            <w:szCs w:val="24"/>
            <w:lang w:eastAsia="fr-FR"/>
            <w14:ligatures w14:val="standardContextual"/>
          </w:rPr>
          <w:tab/>
        </w:r>
        <w:r w:rsidRPr="007D4988">
          <w:rPr>
            <w:rStyle w:val="Hyperlink"/>
          </w:rPr>
          <w:t>Incidences des travaux de l'UIT de 2024 à 2025 (deux premières années</w:t>
        </w:r>
        <w:r w:rsidR="0019098D" w:rsidRPr="007D4988">
          <w:rPr>
            <w:rStyle w:val="Hyperlink"/>
          </w:rPr>
          <w:br/>
        </w:r>
        <w:r w:rsidRPr="007D4988">
          <w:rPr>
            <w:rStyle w:val="Hyperlink"/>
          </w:rPr>
          <w:t>du Plan stratégique pour la période 2024-2027)</w:t>
        </w:r>
        <w:r w:rsidRPr="007D4988">
          <w:rPr>
            <w:webHidden/>
          </w:rPr>
          <w:tab/>
        </w:r>
        <w:r w:rsidR="0019098D" w:rsidRPr="007D4988">
          <w:rPr>
            <w:webHidden/>
          </w:rPr>
          <w:tab/>
        </w:r>
        <w:r w:rsidRPr="007D4988">
          <w:rPr>
            <w:webHidden/>
          </w:rPr>
          <w:fldChar w:fldCharType="begin"/>
        </w:r>
        <w:r w:rsidRPr="007D4988">
          <w:rPr>
            <w:webHidden/>
          </w:rPr>
          <w:instrText xml:space="preserve"> PAGEREF _Toc225488877 \h </w:instrText>
        </w:r>
        <w:r w:rsidRPr="007D4988">
          <w:rPr>
            <w:webHidden/>
          </w:rPr>
        </w:r>
        <w:r w:rsidRPr="007D4988">
          <w:rPr>
            <w:webHidden/>
          </w:rPr>
          <w:fldChar w:fldCharType="separate"/>
        </w:r>
        <w:r w:rsidR="00B02520" w:rsidRPr="007D4988">
          <w:rPr>
            <w:webHidden/>
          </w:rPr>
          <w:t>28</w:t>
        </w:r>
        <w:r w:rsidRPr="007D4988">
          <w:rPr>
            <w:webHidden/>
          </w:rPr>
          <w:fldChar w:fldCharType="end"/>
        </w:r>
      </w:hyperlink>
    </w:p>
    <w:p w14:paraId="057C5F3D" w14:textId="49F2FA2B" w:rsidR="003F1540" w:rsidRPr="007D4988" w:rsidRDefault="003F1540" w:rsidP="001761E3">
      <w:pPr>
        <w:pStyle w:val="TOC3"/>
        <w:ind w:left="2404"/>
        <w:rPr>
          <w:rFonts w:asciiTheme="minorHAnsi" w:eastAsiaTheme="minorEastAsia" w:hAnsiTheme="minorHAnsi" w:cstheme="minorBidi"/>
          <w:kern w:val="2"/>
          <w:szCs w:val="24"/>
          <w:lang w:eastAsia="fr-FR"/>
          <w14:ligatures w14:val="standardContextual"/>
        </w:rPr>
      </w:pPr>
      <w:hyperlink w:anchor="_Toc225488878" w:history="1">
        <w:r w:rsidRPr="007D4988">
          <w:rPr>
            <w:rStyle w:val="Hyperlink"/>
          </w:rPr>
          <w:t>3.2.1</w:t>
        </w:r>
        <w:r w:rsidRPr="007D4988">
          <w:rPr>
            <w:rFonts w:asciiTheme="minorHAnsi" w:eastAsiaTheme="minorEastAsia" w:hAnsiTheme="minorHAnsi" w:cstheme="minorBidi"/>
            <w:kern w:val="2"/>
            <w:szCs w:val="24"/>
            <w:lang w:eastAsia="fr-FR"/>
            <w14:ligatures w14:val="standardContextual"/>
          </w:rPr>
          <w:tab/>
        </w:r>
        <w:r w:rsidRPr="007D4988">
          <w:rPr>
            <w:rStyle w:val="Hyperlink"/>
          </w:rPr>
          <w:t>Connectivité universelle</w:t>
        </w:r>
        <w:r w:rsidRPr="007D4988">
          <w:rPr>
            <w:webHidden/>
          </w:rPr>
          <w:tab/>
        </w:r>
        <w:r w:rsidR="0019098D" w:rsidRPr="007D4988">
          <w:rPr>
            <w:webHidden/>
          </w:rPr>
          <w:tab/>
        </w:r>
        <w:r w:rsidRPr="007D4988">
          <w:rPr>
            <w:webHidden/>
          </w:rPr>
          <w:fldChar w:fldCharType="begin"/>
        </w:r>
        <w:r w:rsidRPr="007D4988">
          <w:rPr>
            <w:webHidden/>
          </w:rPr>
          <w:instrText xml:space="preserve"> PAGEREF _Toc225488878 \h </w:instrText>
        </w:r>
        <w:r w:rsidRPr="007D4988">
          <w:rPr>
            <w:webHidden/>
          </w:rPr>
        </w:r>
        <w:r w:rsidRPr="007D4988">
          <w:rPr>
            <w:webHidden/>
          </w:rPr>
          <w:fldChar w:fldCharType="separate"/>
        </w:r>
        <w:r w:rsidR="00B02520" w:rsidRPr="007D4988">
          <w:rPr>
            <w:webHidden/>
          </w:rPr>
          <w:t>29</w:t>
        </w:r>
        <w:r w:rsidRPr="007D4988">
          <w:rPr>
            <w:webHidden/>
          </w:rPr>
          <w:fldChar w:fldCharType="end"/>
        </w:r>
      </w:hyperlink>
    </w:p>
    <w:p w14:paraId="0F5E62E2" w14:textId="6B91A436" w:rsidR="003F1540" w:rsidRPr="007D4988" w:rsidRDefault="003F1540" w:rsidP="001761E3">
      <w:pPr>
        <w:pStyle w:val="TOC3"/>
        <w:ind w:left="2404"/>
        <w:rPr>
          <w:rFonts w:asciiTheme="minorHAnsi" w:eastAsiaTheme="minorEastAsia" w:hAnsiTheme="minorHAnsi" w:cstheme="minorBidi"/>
          <w:kern w:val="2"/>
          <w:szCs w:val="24"/>
          <w:lang w:eastAsia="fr-FR"/>
          <w14:ligatures w14:val="standardContextual"/>
        </w:rPr>
      </w:pPr>
      <w:hyperlink w:anchor="_Toc225488879" w:history="1">
        <w:r w:rsidRPr="007D4988">
          <w:rPr>
            <w:rStyle w:val="Hyperlink"/>
          </w:rPr>
          <w:t>3.2.2</w:t>
        </w:r>
        <w:r w:rsidRPr="007D4988">
          <w:rPr>
            <w:rFonts w:asciiTheme="minorHAnsi" w:eastAsiaTheme="minorEastAsia" w:hAnsiTheme="minorHAnsi" w:cstheme="minorBidi"/>
            <w:kern w:val="2"/>
            <w:szCs w:val="24"/>
            <w:lang w:eastAsia="fr-FR"/>
            <w14:ligatures w14:val="standardContextual"/>
          </w:rPr>
          <w:tab/>
        </w:r>
        <w:r w:rsidRPr="007D4988">
          <w:rPr>
            <w:rStyle w:val="Hyperlink"/>
          </w:rPr>
          <w:t>Transformation numérique durable</w:t>
        </w:r>
        <w:r w:rsidRPr="007D4988">
          <w:rPr>
            <w:webHidden/>
          </w:rPr>
          <w:tab/>
        </w:r>
        <w:r w:rsidR="0019098D" w:rsidRPr="007D4988">
          <w:rPr>
            <w:webHidden/>
          </w:rPr>
          <w:tab/>
        </w:r>
        <w:r w:rsidRPr="007D4988">
          <w:rPr>
            <w:webHidden/>
          </w:rPr>
          <w:fldChar w:fldCharType="begin"/>
        </w:r>
        <w:r w:rsidRPr="007D4988">
          <w:rPr>
            <w:webHidden/>
          </w:rPr>
          <w:instrText xml:space="preserve"> PAGEREF _Toc225488879 \h </w:instrText>
        </w:r>
        <w:r w:rsidRPr="007D4988">
          <w:rPr>
            <w:webHidden/>
          </w:rPr>
        </w:r>
        <w:r w:rsidRPr="007D4988">
          <w:rPr>
            <w:webHidden/>
          </w:rPr>
          <w:fldChar w:fldCharType="separate"/>
        </w:r>
        <w:r w:rsidR="00B02520" w:rsidRPr="007D4988">
          <w:rPr>
            <w:webHidden/>
          </w:rPr>
          <w:t>36</w:t>
        </w:r>
        <w:r w:rsidRPr="007D4988">
          <w:rPr>
            <w:webHidden/>
          </w:rPr>
          <w:fldChar w:fldCharType="end"/>
        </w:r>
      </w:hyperlink>
    </w:p>
    <w:p w14:paraId="330422A9" w14:textId="7818B5D3" w:rsidR="003F1540" w:rsidRPr="007D4988" w:rsidRDefault="003F1540">
      <w:pPr>
        <w:pStyle w:val="TOC1"/>
        <w:rPr>
          <w:rFonts w:asciiTheme="minorHAnsi" w:eastAsiaTheme="minorEastAsia" w:hAnsiTheme="minorHAnsi" w:cstheme="minorBidi"/>
          <w:kern w:val="2"/>
          <w:szCs w:val="24"/>
          <w:lang w:eastAsia="fr-FR"/>
          <w14:ligatures w14:val="standardContextual"/>
        </w:rPr>
      </w:pPr>
      <w:hyperlink w:anchor="_Toc225488880" w:history="1">
        <w:r w:rsidRPr="007D4988">
          <w:rPr>
            <w:rStyle w:val="Hyperlink"/>
          </w:rPr>
          <w:t>4</w:t>
        </w:r>
        <w:r w:rsidRPr="007D4988">
          <w:rPr>
            <w:rFonts w:asciiTheme="minorHAnsi" w:eastAsiaTheme="minorEastAsia" w:hAnsiTheme="minorHAnsi" w:cstheme="minorBidi"/>
            <w:kern w:val="2"/>
            <w:szCs w:val="24"/>
            <w:lang w:eastAsia="fr-FR"/>
            <w14:ligatures w14:val="standardContextual"/>
          </w:rPr>
          <w:tab/>
        </w:r>
        <w:r w:rsidRPr="007D4988">
          <w:rPr>
            <w:rStyle w:val="Hyperlink"/>
          </w:rPr>
          <w:t>Produits et services</w:t>
        </w:r>
        <w:r w:rsidRPr="007D4988">
          <w:rPr>
            <w:webHidden/>
          </w:rPr>
          <w:tab/>
        </w:r>
        <w:r w:rsidR="0019098D" w:rsidRPr="007D4988">
          <w:rPr>
            <w:webHidden/>
          </w:rPr>
          <w:tab/>
        </w:r>
        <w:r w:rsidRPr="007D4988">
          <w:rPr>
            <w:webHidden/>
          </w:rPr>
          <w:fldChar w:fldCharType="begin"/>
        </w:r>
        <w:r w:rsidRPr="007D4988">
          <w:rPr>
            <w:webHidden/>
          </w:rPr>
          <w:instrText xml:space="preserve"> PAGEREF _Toc225488880 \h </w:instrText>
        </w:r>
        <w:r w:rsidRPr="007D4988">
          <w:rPr>
            <w:webHidden/>
          </w:rPr>
        </w:r>
        <w:r w:rsidRPr="007D4988">
          <w:rPr>
            <w:webHidden/>
          </w:rPr>
          <w:fldChar w:fldCharType="separate"/>
        </w:r>
        <w:r w:rsidR="00B02520" w:rsidRPr="007D4988">
          <w:rPr>
            <w:webHidden/>
          </w:rPr>
          <w:t>42</w:t>
        </w:r>
        <w:r w:rsidRPr="007D4988">
          <w:rPr>
            <w:webHidden/>
          </w:rPr>
          <w:fldChar w:fldCharType="end"/>
        </w:r>
      </w:hyperlink>
    </w:p>
    <w:p w14:paraId="40B28DD4" w14:textId="73FCA9EF" w:rsidR="003F1540" w:rsidRPr="007D4988" w:rsidRDefault="003F1540" w:rsidP="001761E3">
      <w:pPr>
        <w:pStyle w:val="TOC2"/>
        <w:ind w:left="1928"/>
        <w:rPr>
          <w:rFonts w:asciiTheme="minorHAnsi" w:eastAsiaTheme="minorEastAsia" w:hAnsiTheme="minorHAnsi" w:cstheme="minorBidi"/>
          <w:kern w:val="2"/>
          <w:szCs w:val="24"/>
          <w:lang w:eastAsia="fr-FR"/>
          <w14:ligatures w14:val="standardContextual"/>
        </w:rPr>
      </w:pPr>
      <w:hyperlink w:anchor="_Toc225488881" w:history="1">
        <w:r w:rsidRPr="007D4988">
          <w:rPr>
            <w:rStyle w:val="Hyperlink"/>
          </w:rPr>
          <w:t>4.1</w:t>
        </w:r>
        <w:r w:rsidRPr="007D4988">
          <w:rPr>
            <w:rFonts w:asciiTheme="minorHAnsi" w:eastAsiaTheme="minorEastAsia" w:hAnsiTheme="minorHAnsi" w:cstheme="minorBidi"/>
            <w:kern w:val="2"/>
            <w:szCs w:val="24"/>
            <w:lang w:eastAsia="fr-FR"/>
            <w14:ligatures w14:val="standardContextual"/>
          </w:rPr>
          <w:tab/>
        </w:r>
        <w:r w:rsidRPr="007D4988">
          <w:rPr>
            <w:rStyle w:val="Hyperlink"/>
          </w:rPr>
          <w:t>Élaboration et application des règlements administratifs de l'UIT</w:t>
        </w:r>
        <w:r w:rsidRPr="007D4988">
          <w:rPr>
            <w:webHidden/>
          </w:rPr>
          <w:tab/>
        </w:r>
        <w:r w:rsidR="0019098D" w:rsidRPr="007D4988">
          <w:rPr>
            <w:webHidden/>
          </w:rPr>
          <w:tab/>
        </w:r>
        <w:r w:rsidRPr="007D4988">
          <w:rPr>
            <w:webHidden/>
          </w:rPr>
          <w:fldChar w:fldCharType="begin"/>
        </w:r>
        <w:r w:rsidRPr="007D4988">
          <w:rPr>
            <w:webHidden/>
          </w:rPr>
          <w:instrText xml:space="preserve"> PAGEREF _Toc225488881 \h </w:instrText>
        </w:r>
        <w:r w:rsidRPr="007D4988">
          <w:rPr>
            <w:webHidden/>
          </w:rPr>
        </w:r>
        <w:r w:rsidRPr="007D4988">
          <w:rPr>
            <w:webHidden/>
          </w:rPr>
          <w:fldChar w:fldCharType="separate"/>
        </w:r>
        <w:r w:rsidR="00B02520" w:rsidRPr="007D4988">
          <w:rPr>
            <w:webHidden/>
          </w:rPr>
          <w:t>42</w:t>
        </w:r>
        <w:r w:rsidRPr="007D4988">
          <w:rPr>
            <w:webHidden/>
          </w:rPr>
          <w:fldChar w:fldCharType="end"/>
        </w:r>
      </w:hyperlink>
    </w:p>
    <w:p w14:paraId="1CF7CF17" w14:textId="16D889FB" w:rsidR="003F1540" w:rsidRPr="007D4988" w:rsidRDefault="003F1540" w:rsidP="001761E3">
      <w:pPr>
        <w:pStyle w:val="TOC3"/>
        <w:ind w:left="2404"/>
        <w:rPr>
          <w:rFonts w:asciiTheme="minorHAnsi" w:eastAsiaTheme="minorEastAsia" w:hAnsiTheme="minorHAnsi" w:cstheme="minorBidi"/>
          <w:kern w:val="2"/>
          <w:szCs w:val="24"/>
          <w:lang w:eastAsia="fr-FR"/>
          <w14:ligatures w14:val="standardContextual"/>
        </w:rPr>
      </w:pPr>
      <w:hyperlink w:anchor="_Toc225488882" w:history="1">
        <w:r w:rsidRPr="007D4988">
          <w:rPr>
            <w:rStyle w:val="Hyperlink"/>
          </w:rPr>
          <w:t>4.1.1</w:t>
        </w:r>
        <w:r w:rsidRPr="007D4988">
          <w:rPr>
            <w:rFonts w:asciiTheme="minorHAnsi" w:eastAsiaTheme="minorEastAsia" w:hAnsiTheme="minorHAnsi" w:cstheme="minorBidi"/>
            <w:kern w:val="2"/>
            <w:szCs w:val="24"/>
            <w:lang w:eastAsia="fr-FR"/>
            <w14:ligatures w14:val="standardContextual"/>
          </w:rPr>
          <w:tab/>
        </w:r>
        <w:r w:rsidRPr="007D4988">
          <w:rPr>
            <w:rStyle w:val="Hyperlink"/>
          </w:rPr>
          <w:t>Règlement des radiocommunications</w:t>
        </w:r>
        <w:r w:rsidRPr="007D4988">
          <w:rPr>
            <w:webHidden/>
          </w:rPr>
          <w:tab/>
        </w:r>
        <w:r w:rsidR="0019098D" w:rsidRPr="007D4988">
          <w:rPr>
            <w:webHidden/>
          </w:rPr>
          <w:tab/>
        </w:r>
        <w:r w:rsidRPr="007D4988">
          <w:rPr>
            <w:webHidden/>
          </w:rPr>
          <w:fldChar w:fldCharType="begin"/>
        </w:r>
        <w:r w:rsidRPr="007D4988">
          <w:rPr>
            <w:webHidden/>
          </w:rPr>
          <w:instrText xml:space="preserve"> PAGEREF _Toc225488882 \h </w:instrText>
        </w:r>
        <w:r w:rsidRPr="007D4988">
          <w:rPr>
            <w:webHidden/>
          </w:rPr>
        </w:r>
        <w:r w:rsidRPr="007D4988">
          <w:rPr>
            <w:webHidden/>
          </w:rPr>
          <w:fldChar w:fldCharType="separate"/>
        </w:r>
        <w:r w:rsidR="00B02520" w:rsidRPr="007D4988">
          <w:rPr>
            <w:webHidden/>
          </w:rPr>
          <w:t>42</w:t>
        </w:r>
        <w:r w:rsidRPr="007D4988">
          <w:rPr>
            <w:webHidden/>
          </w:rPr>
          <w:fldChar w:fldCharType="end"/>
        </w:r>
      </w:hyperlink>
    </w:p>
    <w:p w14:paraId="69D06D5C" w14:textId="4A9B6BFF" w:rsidR="003F1540" w:rsidRPr="007D4988" w:rsidRDefault="003F1540" w:rsidP="001761E3">
      <w:pPr>
        <w:pStyle w:val="TOC2"/>
        <w:ind w:left="1928"/>
        <w:rPr>
          <w:rFonts w:asciiTheme="minorHAnsi" w:eastAsiaTheme="minorEastAsia" w:hAnsiTheme="minorHAnsi" w:cstheme="minorBidi"/>
          <w:kern w:val="2"/>
          <w:szCs w:val="24"/>
          <w:lang w:eastAsia="fr-FR"/>
          <w14:ligatures w14:val="standardContextual"/>
        </w:rPr>
      </w:pPr>
      <w:hyperlink w:anchor="_Toc225488883" w:history="1">
        <w:r w:rsidRPr="007D4988">
          <w:rPr>
            <w:rStyle w:val="Hyperlink"/>
          </w:rPr>
          <w:t>4.2</w:t>
        </w:r>
        <w:r w:rsidRPr="007D4988">
          <w:rPr>
            <w:rFonts w:asciiTheme="minorHAnsi" w:eastAsiaTheme="minorEastAsia" w:hAnsiTheme="minorHAnsi" w:cstheme="minorBidi"/>
            <w:kern w:val="2"/>
            <w:szCs w:val="24"/>
            <w:lang w:eastAsia="fr-FR"/>
            <w14:ligatures w14:val="standardContextual"/>
          </w:rPr>
          <w:tab/>
        </w:r>
        <w:r w:rsidRPr="007D4988">
          <w:rPr>
            <w:rStyle w:val="Hyperlink"/>
          </w:rPr>
          <w:t>Attribution et gestion des ressources</w:t>
        </w:r>
        <w:r w:rsidRPr="007D4988">
          <w:rPr>
            <w:webHidden/>
          </w:rPr>
          <w:tab/>
        </w:r>
        <w:r w:rsidR="0019098D" w:rsidRPr="007D4988">
          <w:rPr>
            <w:webHidden/>
          </w:rPr>
          <w:tab/>
        </w:r>
        <w:r w:rsidRPr="007D4988">
          <w:rPr>
            <w:webHidden/>
          </w:rPr>
          <w:fldChar w:fldCharType="begin"/>
        </w:r>
        <w:r w:rsidRPr="007D4988">
          <w:rPr>
            <w:webHidden/>
          </w:rPr>
          <w:instrText xml:space="preserve"> PAGEREF _Toc225488883 \h </w:instrText>
        </w:r>
        <w:r w:rsidRPr="007D4988">
          <w:rPr>
            <w:webHidden/>
          </w:rPr>
        </w:r>
        <w:r w:rsidRPr="007D4988">
          <w:rPr>
            <w:webHidden/>
          </w:rPr>
          <w:fldChar w:fldCharType="separate"/>
        </w:r>
        <w:r w:rsidR="00B02520" w:rsidRPr="007D4988">
          <w:rPr>
            <w:webHidden/>
          </w:rPr>
          <w:t>43</w:t>
        </w:r>
        <w:r w:rsidRPr="007D4988">
          <w:rPr>
            <w:webHidden/>
          </w:rPr>
          <w:fldChar w:fldCharType="end"/>
        </w:r>
      </w:hyperlink>
    </w:p>
    <w:p w14:paraId="7C00519D" w14:textId="04FBE3E1" w:rsidR="003F1540" w:rsidRPr="007D4988" w:rsidRDefault="003F1540" w:rsidP="001761E3">
      <w:pPr>
        <w:pStyle w:val="TOC3"/>
        <w:ind w:left="2404"/>
        <w:rPr>
          <w:rFonts w:asciiTheme="minorHAnsi" w:eastAsiaTheme="minorEastAsia" w:hAnsiTheme="minorHAnsi" w:cstheme="minorBidi"/>
          <w:kern w:val="2"/>
          <w:szCs w:val="24"/>
          <w:lang w:eastAsia="fr-FR"/>
          <w14:ligatures w14:val="standardContextual"/>
        </w:rPr>
      </w:pPr>
      <w:hyperlink w:anchor="_Toc225488884" w:history="1">
        <w:r w:rsidRPr="007D4988">
          <w:rPr>
            <w:rStyle w:val="Hyperlink"/>
          </w:rPr>
          <w:t>4.2.1</w:t>
        </w:r>
        <w:r w:rsidRPr="007D4988">
          <w:rPr>
            <w:rFonts w:asciiTheme="minorHAnsi" w:eastAsiaTheme="minorEastAsia" w:hAnsiTheme="minorHAnsi" w:cstheme="minorBidi"/>
            <w:kern w:val="2"/>
            <w:szCs w:val="24"/>
            <w:lang w:eastAsia="fr-FR"/>
            <w14:ligatures w14:val="standardContextual"/>
          </w:rPr>
          <w:tab/>
        </w:r>
        <w:r w:rsidRPr="007D4988">
          <w:rPr>
            <w:rStyle w:val="Hyperlink"/>
          </w:rPr>
          <w:t>Utilisation du spectre pour les services spatiaux et les services de Terre</w:t>
        </w:r>
        <w:r w:rsidRPr="007D4988">
          <w:rPr>
            <w:webHidden/>
          </w:rPr>
          <w:tab/>
        </w:r>
        <w:r w:rsidR="0019098D" w:rsidRPr="007D4988">
          <w:rPr>
            <w:webHidden/>
          </w:rPr>
          <w:tab/>
        </w:r>
        <w:r w:rsidRPr="007D4988">
          <w:rPr>
            <w:webHidden/>
          </w:rPr>
          <w:fldChar w:fldCharType="begin"/>
        </w:r>
        <w:r w:rsidRPr="007D4988">
          <w:rPr>
            <w:webHidden/>
          </w:rPr>
          <w:instrText xml:space="preserve"> PAGEREF _Toc225488884 \h </w:instrText>
        </w:r>
        <w:r w:rsidRPr="007D4988">
          <w:rPr>
            <w:webHidden/>
          </w:rPr>
        </w:r>
        <w:r w:rsidRPr="007D4988">
          <w:rPr>
            <w:webHidden/>
          </w:rPr>
          <w:fldChar w:fldCharType="separate"/>
        </w:r>
        <w:r w:rsidR="00B02520" w:rsidRPr="007D4988">
          <w:rPr>
            <w:webHidden/>
          </w:rPr>
          <w:t>43</w:t>
        </w:r>
        <w:r w:rsidRPr="007D4988">
          <w:rPr>
            <w:webHidden/>
          </w:rPr>
          <w:fldChar w:fldCharType="end"/>
        </w:r>
      </w:hyperlink>
    </w:p>
    <w:p w14:paraId="3347E328" w14:textId="3707DB7D" w:rsidR="003F1540" w:rsidRPr="007D4988" w:rsidRDefault="003F1540" w:rsidP="001761E3">
      <w:pPr>
        <w:pStyle w:val="TOC3"/>
        <w:ind w:left="2404"/>
        <w:rPr>
          <w:rFonts w:asciiTheme="minorHAnsi" w:eastAsiaTheme="minorEastAsia" w:hAnsiTheme="minorHAnsi" w:cstheme="minorBidi"/>
          <w:kern w:val="2"/>
          <w:szCs w:val="24"/>
          <w:lang w:eastAsia="fr-FR"/>
          <w14:ligatures w14:val="standardContextual"/>
        </w:rPr>
      </w:pPr>
      <w:hyperlink w:anchor="_Toc225488885" w:history="1">
        <w:r w:rsidRPr="007D4988">
          <w:rPr>
            <w:rStyle w:val="Hyperlink"/>
          </w:rPr>
          <w:t>4.2.2</w:t>
        </w:r>
        <w:r w:rsidRPr="007D4988">
          <w:rPr>
            <w:rFonts w:asciiTheme="minorHAnsi" w:eastAsiaTheme="minorEastAsia" w:hAnsiTheme="minorHAnsi" w:cstheme="minorBidi"/>
            <w:kern w:val="2"/>
            <w:szCs w:val="24"/>
            <w:lang w:eastAsia="fr-FR"/>
            <w14:ligatures w14:val="standardContextual"/>
          </w:rPr>
          <w:tab/>
        </w:r>
        <w:r w:rsidRPr="007D4988">
          <w:rPr>
            <w:rStyle w:val="Hyperlink"/>
          </w:rPr>
          <w:t>Ressources de numérotage, de nommage, d'adressage et</w:t>
        </w:r>
        <w:r w:rsidR="0019098D" w:rsidRPr="007D4988">
          <w:rPr>
            <w:rStyle w:val="Hyperlink"/>
          </w:rPr>
          <w:br/>
        </w:r>
        <w:r w:rsidRPr="007D4988">
          <w:rPr>
            <w:rStyle w:val="Hyperlink"/>
          </w:rPr>
          <w:t>d'identification (NNAI)</w:t>
        </w:r>
        <w:r w:rsidRPr="007D4988">
          <w:rPr>
            <w:webHidden/>
          </w:rPr>
          <w:tab/>
        </w:r>
        <w:r w:rsidR="0019098D" w:rsidRPr="007D4988">
          <w:rPr>
            <w:webHidden/>
          </w:rPr>
          <w:tab/>
        </w:r>
        <w:r w:rsidRPr="007D4988">
          <w:rPr>
            <w:webHidden/>
          </w:rPr>
          <w:fldChar w:fldCharType="begin"/>
        </w:r>
        <w:r w:rsidRPr="007D4988">
          <w:rPr>
            <w:webHidden/>
          </w:rPr>
          <w:instrText xml:space="preserve"> PAGEREF _Toc225488885 \h </w:instrText>
        </w:r>
        <w:r w:rsidRPr="007D4988">
          <w:rPr>
            <w:webHidden/>
          </w:rPr>
        </w:r>
        <w:r w:rsidRPr="007D4988">
          <w:rPr>
            <w:webHidden/>
          </w:rPr>
          <w:fldChar w:fldCharType="separate"/>
        </w:r>
        <w:r w:rsidR="00B02520" w:rsidRPr="007D4988">
          <w:rPr>
            <w:webHidden/>
          </w:rPr>
          <w:t>46</w:t>
        </w:r>
        <w:r w:rsidRPr="007D4988">
          <w:rPr>
            <w:webHidden/>
          </w:rPr>
          <w:fldChar w:fldCharType="end"/>
        </w:r>
      </w:hyperlink>
    </w:p>
    <w:p w14:paraId="67E23764" w14:textId="33CEFCED" w:rsidR="003F1540" w:rsidRPr="007D4988" w:rsidRDefault="003F1540" w:rsidP="001761E3">
      <w:pPr>
        <w:pStyle w:val="TOC2"/>
        <w:ind w:left="1928"/>
        <w:rPr>
          <w:rFonts w:asciiTheme="minorHAnsi" w:eastAsiaTheme="minorEastAsia" w:hAnsiTheme="minorHAnsi" w:cstheme="minorBidi"/>
          <w:kern w:val="2"/>
          <w:szCs w:val="24"/>
          <w:lang w:eastAsia="fr-FR"/>
          <w14:ligatures w14:val="standardContextual"/>
        </w:rPr>
      </w:pPr>
      <w:hyperlink w:anchor="_Toc225488886" w:history="1">
        <w:r w:rsidRPr="007D4988">
          <w:rPr>
            <w:rStyle w:val="Hyperlink"/>
          </w:rPr>
          <w:t>4.3</w:t>
        </w:r>
        <w:r w:rsidRPr="007D4988">
          <w:rPr>
            <w:rFonts w:asciiTheme="minorHAnsi" w:eastAsiaTheme="minorEastAsia" w:hAnsiTheme="minorHAnsi" w:cstheme="minorBidi"/>
            <w:kern w:val="2"/>
            <w:szCs w:val="24"/>
            <w:lang w:eastAsia="fr-FR"/>
            <w14:ligatures w14:val="standardContextual"/>
          </w:rPr>
          <w:tab/>
        </w:r>
        <w:r w:rsidRPr="007D4988">
          <w:rPr>
            <w:rStyle w:val="Hyperlink"/>
          </w:rPr>
          <w:t>Élaboration de normes internationales</w:t>
        </w:r>
        <w:r w:rsidRPr="007D4988">
          <w:rPr>
            <w:webHidden/>
          </w:rPr>
          <w:tab/>
        </w:r>
        <w:r w:rsidR="0019098D" w:rsidRPr="007D4988">
          <w:rPr>
            <w:webHidden/>
          </w:rPr>
          <w:tab/>
        </w:r>
        <w:r w:rsidRPr="007D4988">
          <w:rPr>
            <w:webHidden/>
          </w:rPr>
          <w:fldChar w:fldCharType="begin"/>
        </w:r>
        <w:r w:rsidRPr="007D4988">
          <w:rPr>
            <w:webHidden/>
          </w:rPr>
          <w:instrText xml:space="preserve"> PAGEREF _Toc225488886 \h </w:instrText>
        </w:r>
        <w:r w:rsidRPr="007D4988">
          <w:rPr>
            <w:webHidden/>
          </w:rPr>
        </w:r>
        <w:r w:rsidRPr="007D4988">
          <w:rPr>
            <w:webHidden/>
          </w:rPr>
          <w:fldChar w:fldCharType="separate"/>
        </w:r>
        <w:r w:rsidR="00B02520" w:rsidRPr="007D4988">
          <w:rPr>
            <w:webHidden/>
          </w:rPr>
          <w:t>47</w:t>
        </w:r>
        <w:r w:rsidRPr="007D4988">
          <w:rPr>
            <w:webHidden/>
          </w:rPr>
          <w:fldChar w:fldCharType="end"/>
        </w:r>
      </w:hyperlink>
    </w:p>
    <w:p w14:paraId="6C73EA91" w14:textId="5C17ED9E" w:rsidR="003F1540" w:rsidRPr="007D4988" w:rsidRDefault="003F1540" w:rsidP="001761E3">
      <w:pPr>
        <w:pStyle w:val="TOC3"/>
        <w:ind w:left="2404"/>
        <w:rPr>
          <w:rFonts w:asciiTheme="minorHAnsi" w:eastAsiaTheme="minorEastAsia" w:hAnsiTheme="minorHAnsi" w:cstheme="minorBidi"/>
          <w:kern w:val="2"/>
          <w:szCs w:val="24"/>
          <w:lang w:eastAsia="fr-FR"/>
          <w14:ligatures w14:val="standardContextual"/>
        </w:rPr>
      </w:pPr>
      <w:hyperlink w:anchor="_Toc225488887" w:history="1">
        <w:r w:rsidRPr="007D4988">
          <w:rPr>
            <w:rStyle w:val="Hyperlink"/>
          </w:rPr>
          <w:t>4.3.1</w:t>
        </w:r>
        <w:r w:rsidRPr="007D4988">
          <w:rPr>
            <w:rFonts w:asciiTheme="minorHAnsi" w:eastAsiaTheme="minorEastAsia" w:hAnsiTheme="minorHAnsi" w:cstheme="minorBidi"/>
            <w:kern w:val="2"/>
            <w:szCs w:val="24"/>
            <w:lang w:eastAsia="fr-FR"/>
            <w14:ligatures w14:val="standardContextual"/>
          </w:rPr>
          <w:tab/>
        </w:r>
        <w:r w:rsidRPr="007D4988">
          <w:rPr>
            <w:rStyle w:val="Hyperlink"/>
          </w:rPr>
          <w:t>Recommandations et publications connexes de l'UIT-T</w:t>
        </w:r>
        <w:r w:rsidRPr="007D4988">
          <w:rPr>
            <w:webHidden/>
          </w:rPr>
          <w:tab/>
        </w:r>
        <w:r w:rsidR="0019098D" w:rsidRPr="007D4988">
          <w:rPr>
            <w:webHidden/>
          </w:rPr>
          <w:tab/>
        </w:r>
        <w:r w:rsidRPr="007D4988">
          <w:rPr>
            <w:webHidden/>
          </w:rPr>
          <w:fldChar w:fldCharType="begin"/>
        </w:r>
        <w:r w:rsidRPr="007D4988">
          <w:rPr>
            <w:webHidden/>
          </w:rPr>
          <w:instrText xml:space="preserve"> PAGEREF _Toc225488887 \h </w:instrText>
        </w:r>
        <w:r w:rsidRPr="007D4988">
          <w:rPr>
            <w:webHidden/>
          </w:rPr>
        </w:r>
        <w:r w:rsidRPr="007D4988">
          <w:rPr>
            <w:webHidden/>
          </w:rPr>
          <w:fldChar w:fldCharType="separate"/>
        </w:r>
        <w:r w:rsidR="00B02520" w:rsidRPr="007D4988">
          <w:rPr>
            <w:webHidden/>
          </w:rPr>
          <w:t>48</w:t>
        </w:r>
        <w:r w:rsidRPr="007D4988">
          <w:rPr>
            <w:webHidden/>
          </w:rPr>
          <w:fldChar w:fldCharType="end"/>
        </w:r>
      </w:hyperlink>
    </w:p>
    <w:p w14:paraId="35FAA474" w14:textId="2E77543E" w:rsidR="003F1540" w:rsidRPr="007D4988" w:rsidRDefault="003F1540" w:rsidP="001761E3">
      <w:pPr>
        <w:pStyle w:val="TOC3"/>
        <w:ind w:left="2404"/>
        <w:rPr>
          <w:rFonts w:asciiTheme="minorHAnsi" w:eastAsiaTheme="minorEastAsia" w:hAnsiTheme="minorHAnsi" w:cstheme="minorBidi"/>
          <w:kern w:val="2"/>
          <w:szCs w:val="24"/>
          <w:lang w:eastAsia="fr-FR"/>
          <w14:ligatures w14:val="standardContextual"/>
        </w:rPr>
      </w:pPr>
      <w:hyperlink w:anchor="_Toc225488888" w:history="1">
        <w:r w:rsidRPr="007D4988">
          <w:rPr>
            <w:rStyle w:val="Hyperlink"/>
          </w:rPr>
          <w:t>4.3.2</w:t>
        </w:r>
        <w:r w:rsidRPr="007D4988">
          <w:rPr>
            <w:rFonts w:asciiTheme="minorHAnsi" w:eastAsiaTheme="minorEastAsia" w:hAnsiTheme="minorHAnsi" w:cstheme="minorBidi"/>
            <w:kern w:val="2"/>
            <w:szCs w:val="24"/>
            <w:lang w:eastAsia="fr-FR"/>
            <w14:ligatures w14:val="standardContextual"/>
          </w:rPr>
          <w:tab/>
        </w:r>
        <w:r w:rsidRPr="007D4988">
          <w:rPr>
            <w:rStyle w:val="Hyperlink"/>
          </w:rPr>
          <w:t>Recommandations UIT-R</w:t>
        </w:r>
        <w:r w:rsidRPr="007D4988">
          <w:rPr>
            <w:webHidden/>
          </w:rPr>
          <w:tab/>
        </w:r>
        <w:r w:rsidR="0019098D" w:rsidRPr="007D4988">
          <w:rPr>
            <w:webHidden/>
          </w:rPr>
          <w:tab/>
        </w:r>
        <w:r w:rsidRPr="007D4988">
          <w:rPr>
            <w:webHidden/>
          </w:rPr>
          <w:fldChar w:fldCharType="begin"/>
        </w:r>
        <w:r w:rsidRPr="007D4988">
          <w:rPr>
            <w:webHidden/>
          </w:rPr>
          <w:instrText xml:space="preserve"> PAGEREF _Toc225488888 \h </w:instrText>
        </w:r>
        <w:r w:rsidRPr="007D4988">
          <w:rPr>
            <w:webHidden/>
          </w:rPr>
        </w:r>
        <w:r w:rsidRPr="007D4988">
          <w:rPr>
            <w:webHidden/>
          </w:rPr>
          <w:fldChar w:fldCharType="separate"/>
        </w:r>
        <w:r w:rsidR="00B02520" w:rsidRPr="007D4988">
          <w:rPr>
            <w:webHidden/>
          </w:rPr>
          <w:t>49</w:t>
        </w:r>
        <w:r w:rsidRPr="007D4988">
          <w:rPr>
            <w:webHidden/>
          </w:rPr>
          <w:fldChar w:fldCharType="end"/>
        </w:r>
      </w:hyperlink>
    </w:p>
    <w:p w14:paraId="6B83BFA5" w14:textId="5983357D" w:rsidR="003F1540" w:rsidRPr="007D4988" w:rsidRDefault="003F1540" w:rsidP="001761E3">
      <w:pPr>
        <w:pStyle w:val="TOC3"/>
        <w:ind w:left="2404"/>
        <w:rPr>
          <w:rFonts w:asciiTheme="minorHAnsi" w:eastAsiaTheme="minorEastAsia" w:hAnsiTheme="minorHAnsi" w:cstheme="minorBidi"/>
          <w:kern w:val="2"/>
          <w:szCs w:val="24"/>
          <w:lang w:eastAsia="fr-FR"/>
          <w14:ligatures w14:val="standardContextual"/>
        </w:rPr>
      </w:pPr>
      <w:hyperlink w:anchor="_Toc225488889" w:history="1">
        <w:r w:rsidRPr="007D4988">
          <w:rPr>
            <w:rStyle w:val="Hyperlink"/>
          </w:rPr>
          <w:t>4.3.3</w:t>
        </w:r>
        <w:r w:rsidRPr="007D4988">
          <w:rPr>
            <w:rFonts w:asciiTheme="minorHAnsi" w:eastAsiaTheme="minorEastAsia" w:hAnsiTheme="minorHAnsi" w:cstheme="minorBidi"/>
            <w:kern w:val="2"/>
            <w:szCs w:val="24"/>
            <w:lang w:eastAsia="fr-FR"/>
            <w14:ligatures w14:val="standardContextual"/>
          </w:rPr>
          <w:tab/>
        </w:r>
        <w:r w:rsidRPr="007D4988">
          <w:rPr>
            <w:rStyle w:val="Hyperlink"/>
          </w:rPr>
          <w:t>Réduire l'écart en matière de normalisation</w:t>
        </w:r>
        <w:r w:rsidRPr="007D4988">
          <w:rPr>
            <w:webHidden/>
          </w:rPr>
          <w:tab/>
        </w:r>
        <w:r w:rsidR="0019098D" w:rsidRPr="007D4988">
          <w:rPr>
            <w:webHidden/>
          </w:rPr>
          <w:tab/>
        </w:r>
        <w:r w:rsidRPr="007D4988">
          <w:rPr>
            <w:webHidden/>
          </w:rPr>
          <w:fldChar w:fldCharType="begin"/>
        </w:r>
        <w:r w:rsidRPr="007D4988">
          <w:rPr>
            <w:webHidden/>
          </w:rPr>
          <w:instrText xml:space="preserve"> PAGEREF _Toc225488889 \h </w:instrText>
        </w:r>
        <w:r w:rsidRPr="007D4988">
          <w:rPr>
            <w:webHidden/>
          </w:rPr>
        </w:r>
        <w:r w:rsidRPr="007D4988">
          <w:rPr>
            <w:webHidden/>
          </w:rPr>
          <w:fldChar w:fldCharType="separate"/>
        </w:r>
        <w:r w:rsidR="00B02520" w:rsidRPr="007D4988">
          <w:rPr>
            <w:webHidden/>
          </w:rPr>
          <w:t>50</w:t>
        </w:r>
        <w:r w:rsidRPr="007D4988">
          <w:rPr>
            <w:webHidden/>
          </w:rPr>
          <w:fldChar w:fldCharType="end"/>
        </w:r>
      </w:hyperlink>
    </w:p>
    <w:p w14:paraId="385BFE0D" w14:textId="5D735EC7" w:rsidR="003F1540" w:rsidRPr="007D4988" w:rsidRDefault="003F1540" w:rsidP="001761E3">
      <w:pPr>
        <w:pStyle w:val="TOC2"/>
        <w:ind w:left="1928"/>
        <w:rPr>
          <w:rFonts w:asciiTheme="minorHAnsi" w:eastAsiaTheme="minorEastAsia" w:hAnsiTheme="minorHAnsi" w:cstheme="minorBidi"/>
          <w:kern w:val="2"/>
          <w:szCs w:val="24"/>
          <w:lang w:eastAsia="fr-FR"/>
          <w14:ligatures w14:val="standardContextual"/>
        </w:rPr>
      </w:pPr>
      <w:hyperlink w:anchor="_Toc225488890" w:history="1">
        <w:r w:rsidRPr="007D4988">
          <w:rPr>
            <w:rStyle w:val="Hyperlink"/>
          </w:rPr>
          <w:t>4.4</w:t>
        </w:r>
        <w:r w:rsidRPr="007D4988">
          <w:rPr>
            <w:rFonts w:asciiTheme="minorHAnsi" w:eastAsiaTheme="minorEastAsia" w:hAnsiTheme="minorHAnsi" w:cstheme="minorBidi"/>
            <w:kern w:val="2"/>
            <w:szCs w:val="24"/>
            <w:lang w:eastAsia="fr-FR"/>
            <w14:ligatures w14:val="standardContextual"/>
          </w:rPr>
          <w:tab/>
        </w:r>
        <w:r w:rsidRPr="007D4988">
          <w:rPr>
            <w:rStyle w:val="Hyperlink"/>
          </w:rPr>
          <w:t>Élaboration de cadres politiques et de supports d'information</w:t>
        </w:r>
        <w:r w:rsidRPr="007D4988">
          <w:rPr>
            <w:webHidden/>
          </w:rPr>
          <w:tab/>
        </w:r>
        <w:r w:rsidR="0019098D" w:rsidRPr="007D4988">
          <w:rPr>
            <w:webHidden/>
          </w:rPr>
          <w:tab/>
        </w:r>
        <w:r w:rsidRPr="007D4988">
          <w:rPr>
            <w:webHidden/>
          </w:rPr>
          <w:fldChar w:fldCharType="begin"/>
        </w:r>
        <w:r w:rsidRPr="007D4988">
          <w:rPr>
            <w:webHidden/>
          </w:rPr>
          <w:instrText xml:space="preserve"> PAGEREF _Toc225488890 \h </w:instrText>
        </w:r>
        <w:r w:rsidRPr="007D4988">
          <w:rPr>
            <w:webHidden/>
          </w:rPr>
        </w:r>
        <w:r w:rsidRPr="007D4988">
          <w:rPr>
            <w:webHidden/>
          </w:rPr>
          <w:fldChar w:fldCharType="separate"/>
        </w:r>
        <w:r w:rsidR="00B02520" w:rsidRPr="007D4988">
          <w:rPr>
            <w:webHidden/>
          </w:rPr>
          <w:t>52</w:t>
        </w:r>
        <w:r w:rsidRPr="007D4988">
          <w:rPr>
            <w:webHidden/>
          </w:rPr>
          <w:fldChar w:fldCharType="end"/>
        </w:r>
      </w:hyperlink>
    </w:p>
    <w:p w14:paraId="3C2DFBC9" w14:textId="5955C9E5" w:rsidR="003F1540" w:rsidRPr="007D4988" w:rsidRDefault="003F1540" w:rsidP="001761E3">
      <w:pPr>
        <w:pStyle w:val="TOC3"/>
        <w:ind w:left="2404"/>
        <w:rPr>
          <w:rFonts w:asciiTheme="minorHAnsi" w:eastAsiaTheme="minorEastAsia" w:hAnsiTheme="minorHAnsi" w:cstheme="minorBidi"/>
          <w:kern w:val="2"/>
          <w:szCs w:val="24"/>
          <w:lang w:eastAsia="fr-FR"/>
          <w14:ligatures w14:val="standardContextual"/>
        </w:rPr>
      </w:pPr>
      <w:hyperlink w:anchor="_Toc225488891" w:history="1">
        <w:r w:rsidRPr="007D4988">
          <w:rPr>
            <w:rStyle w:val="Hyperlink"/>
          </w:rPr>
          <w:t>4.4.1</w:t>
        </w:r>
        <w:r w:rsidRPr="007D4988">
          <w:rPr>
            <w:rFonts w:asciiTheme="minorHAnsi" w:eastAsiaTheme="minorEastAsia" w:hAnsiTheme="minorHAnsi" w:cstheme="minorBidi"/>
            <w:kern w:val="2"/>
            <w:szCs w:val="24"/>
            <w:lang w:eastAsia="fr-FR"/>
            <w14:ligatures w14:val="standardContextual"/>
          </w:rPr>
          <w:tab/>
        </w:r>
        <w:r w:rsidRPr="007D4988">
          <w:rPr>
            <w:rStyle w:val="Hyperlink"/>
          </w:rPr>
          <w:t>Cybersécurité: Instaurer la confiance et la sécurité dans</w:t>
        </w:r>
        <w:r w:rsidR="00BB473A" w:rsidRPr="007D4988">
          <w:rPr>
            <w:rStyle w:val="Hyperlink"/>
          </w:rPr>
          <w:br/>
        </w:r>
        <w:r w:rsidRPr="007D4988">
          <w:rPr>
            <w:rStyle w:val="Hyperlink"/>
          </w:rPr>
          <w:t>l'utilisation des TIC</w:t>
        </w:r>
        <w:r w:rsidRPr="007D4988">
          <w:rPr>
            <w:webHidden/>
          </w:rPr>
          <w:tab/>
        </w:r>
        <w:r w:rsidR="00BB473A" w:rsidRPr="007D4988">
          <w:rPr>
            <w:webHidden/>
          </w:rPr>
          <w:tab/>
        </w:r>
        <w:r w:rsidRPr="007D4988">
          <w:rPr>
            <w:webHidden/>
          </w:rPr>
          <w:fldChar w:fldCharType="begin"/>
        </w:r>
        <w:r w:rsidRPr="007D4988">
          <w:rPr>
            <w:webHidden/>
          </w:rPr>
          <w:instrText xml:space="preserve"> PAGEREF _Toc225488891 \h </w:instrText>
        </w:r>
        <w:r w:rsidRPr="007D4988">
          <w:rPr>
            <w:webHidden/>
          </w:rPr>
        </w:r>
        <w:r w:rsidRPr="007D4988">
          <w:rPr>
            <w:webHidden/>
          </w:rPr>
          <w:fldChar w:fldCharType="separate"/>
        </w:r>
        <w:r w:rsidR="00B02520" w:rsidRPr="007D4988">
          <w:rPr>
            <w:webHidden/>
          </w:rPr>
          <w:t>53</w:t>
        </w:r>
        <w:r w:rsidRPr="007D4988">
          <w:rPr>
            <w:webHidden/>
          </w:rPr>
          <w:fldChar w:fldCharType="end"/>
        </w:r>
      </w:hyperlink>
    </w:p>
    <w:p w14:paraId="4B21174D" w14:textId="2AB0B3E3" w:rsidR="003F1540" w:rsidRPr="007D4988" w:rsidRDefault="003F1540" w:rsidP="001761E3">
      <w:pPr>
        <w:pStyle w:val="TOC3"/>
        <w:ind w:left="2404"/>
        <w:rPr>
          <w:rFonts w:asciiTheme="minorHAnsi" w:eastAsiaTheme="minorEastAsia" w:hAnsiTheme="minorHAnsi" w:cstheme="minorBidi"/>
          <w:kern w:val="2"/>
          <w:szCs w:val="24"/>
          <w:lang w:eastAsia="fr-FR"/>
          <w14:ligatures w14:val="standardContextual"/>
        </w:rPr>
      </w:pPr>
      <w:hyperlink w:anchor="_Toc225488892" w:history="1">
        <w:r w:rsidRPr="007D4988">
          <w:rPr>
            <w:rStyle w:val="Hyperlink"/>
          </w:rPr>
          <w:t>4.4.2</w:t>
        </w:r>
        <w:r w:rsidRPr="007D4988">
          <w:rPr>
            <w:rFonts w:asciiTheme="minorHAnsi" w:eastAsiaTheme="minorEastAsia" w:hAnsiTheme="minorHAnsi" w:cstheme="minorBidi"/>
            <w:kern w:val="2"/>
            <w:szCs w:val="24"/>
            <w:lang w:eastAsia="fr-FR"/>
            <w14:ligatures w14:val="standardContextual"/>
          </w:rPr>
          <w:tab/>
        </w:r>
        <w:r w:rsidRPr="007D4988">
          <w:rPr>
            <w:rStyle w:val="Hyperlink"/>
          </w:rPr>
          <w:t>Technologies émergentes: élaborer des cadres propices à la transformation</w:t>
        </w:r>
        <w:r w:rsidRPr="007D4988">
          <w:rPr>
            <w:webHidden/>
          </w:rPr>
          <w:tab/>
        </w:r>
        <w:r w:rsidR="00BB473A" w:rsidRPr="007D4988">
          <w:rPr>
            <w:webHidden/>
          </w:rPr>
          <w:tab/>
        </w:r>
        <w:r w:rsidRPr="007D4988">
          <w:rPr>
            <w:webHidden/>
          </w:rPr>
          <w:fldChar w:fldCharType="begin"/>
        </w:r>
        <w:r w:rsidRPr="007D4988">
          <w:rPr>
            <w:webHidden/>
          </w:rPr>
          <w:instrText xml:space="preserve"> PAGEREF _Toc225488892 \h </w:instrText>
        </w:r>
        <w:r w:rsidRPr="007D4988">
          <w:rPr>
            <w:webHidden/>
          </w:rPr>
        </w:r>
        <w:r w:rsidRPr="007D4988">
          <w:rPr>
            <w:webHidden/>
          </w:rPr>
          <w:fldChar w:fldCharType="separate"/>
        </w:r>
        <w:r w:rsidR="00B02520" w:rsidRPr="007D4988">
          <w:rPr>
            <w:webHidden/>
          </w:rPr>
          <w:t>55</w:t>
        </w:r>
        <w:r w:rsidRPr="007D4988">
          <w:rPr>
            <w:webHidden/>
          </w:rPr>
          <w:fldChar w:fldCharType="end"/>
        </w:r>
      </w:hyperlink>
    </w:p>
    <w:p w14:paraId="4F87B12D" w14:textId="48374830" w:rsidR="003F1540" w:rsidRPr="007D4988" w:rsidRDefault="003F1540" w:rsidP="001761E3">
      <w:pPr>
        <w:pStyle w:val="TOC2"/>
        <w:ind w:left="1928"/>
        <w:rPr>
          <w:rFonts w:asciiTheme="minorHAnsi" w:eastAsiaTheme="minorEastAsia" w:hAnsiTheme="minorHAnsi" w:cstheme="minorBidi"/>
          <w:kern w:val="2"/>
          <w:szCs w:val="24"/>
          <w:lang w:eastAsia="fr-FR"/>
          <w14:ligatures w14:val="standardContextual"/>
        </w:rPr>
      </w:pPr>
      <w:hyperlink w:anchor="_Toc225488893" w:history="1">
        <w:r w:rsidRPr="007D4988">
          <w:rPr>
            <w:rStyle w:val="Hyperlink"/>
          </w:rPr>
          <w:t>4.5</w:t>
        </w:r>
        <w:r w:rsidRPr="007D4988">
          <w:rPr>
            <w:rFonts w:asciiTheme="minorHAnsi" w:eastAsiaTheme="minorEastAsia" w:hAnsiTheme="minorHAnsi" w:cstheme="minorBidi"/>
            <w:kern w:val="2"/>
            <w:szCs w:val="24"/>
            <w:lang w:eastAsia="fr-FR"/>
            <w14:ligatures w14:val="standardContextual"/>
          </w:rPr>
          <w:tab/>
        </w:r>
        <w:r w:rsidRPr="007D4988">
          <w:rPr>
            <w:rStyle w:val="Hyperlink"/>
          </w:rPr>
          <w:t>Fourniture de données et de statistiques</w:t>
        </w:r>
        <w:r w:rsidRPr="007D4988">
          <w:rPr>
            <w:webHidden/>
          </w:rPr>
          <w:tab/>
        </w:r>
        <w:r w:rsidR="0019098D" w:rsidRPr="007D4988">
          <w:rPr>
            <w:webHidden/>
          </w:rPr>
          <w:tab/>
        </w:r>
        <w:r w:rsidRPr="007D4988">
          <w:rPr>
            <w:webHidden/>
          </w:rPr>
          <w:fldChar w:fldCharType="begin"/>
        </w:r>
        <w:r w:rsidRPr="007D4988">
          <w:rPr>
            <w:webHidden/>
          </w:rPr>
          <w:instrText xml:space="preserve"> PAGEREF _Toc225488893 \h </w:instrText>
        </w:r>
        <w:r w:rsidRPr="007D4988">
          <w:rPr>
            <w:webHidden/>
          </w:rPr>
        </w:r>
        <w:r w:rsidRPr="007D4988">
          <w:rPr>
            <w:webHidden/>
          </w:rPr>
          <w:fldChar w:fldCharType="separate"/>
        </w:r>
        <w:r w:rsidR="00B02520" w:rsidRPr="007D4988">
          <w:rPr>
            <w:webHidden/>
          </w:rPr>
          <w:t>60</w:t>
        </w:r>
        <w:r w:rsidRPr="007D4988">
          <w:rPr>
            <w:webHidden/>
          </w:rPr>
          <w:fldChar w:fldCharType="end"/>
        </w:r>
      </w:hyperlink>
    </w:p>
    <w:p w14:paraId="23A4DAC6" w14:textId="7D1BED8D" w:rsidR="003F1540" w:rsidRPr="007D4988" w:rsidRDefault="003F1540" w:rsidP="001761E3">
      <w:pPr>
        <w:pStyle w:val="TOC2"/>
        <w:ind w:left="1928"/>
        <w:rPr>
          <w:rFonts w:asciiTheme="minorHAnsi" w:eastAsiaTheme="minorEastAsia" w:hAnsiTheme="minorHAnsi" w:cstheme="minorBidi"/>
          <w:kern w:val="2"/>
          <w:szCs w:val="24"/>
          <w:lang w:eastAsia="fr-FR"/>
          <w14:ligatures w14:val="standardContextual"/>
        </w:rPr>
      </w:pPr>
      <w:hyperlink w:anchor="_Toc225488894" w:history="1">
        <w:r w:rsidRPr="007D4988">
          <w:rPr>
            <w:rStyle w:val="Hyperlink"/>
          </w:rPr>
          <w:t>4.6</w:t>
        </w:r>
        <w:r w:rsidRPr="007D4988">
          <w:rPr>
            <w:rFonts w:asciiTheme="minorHAnsi" w:eastAsiaTheme="minorEastAsia" w:hAnsiTheme="minorHAnsi" w:cstheme="minorBidi"/>
            <w:kern w:val="2"/>
            <w:szCs w:val="24"/>
            <w:lang w:eastAsia="fr-FR"/>
            <w14:ligatures w14:val="standardContextual"/>
          </w:rPr>
          <w:tab/>
        </w:r>
        <w:r w:rsidRPr="007D4988">
          <w:rPr>
            <w:rStyle w:val="Hyperlink"/>
          </w:rPr>
          <w:t>Renforcement des capacités et compétences numériques</w:t>
        </w:r>
        <w:r w:rsidRPr="007D4988">
          <w:rPr>
            <w:webHidden/>
          </w:rPr>
          <w:tab/>
        </w:r>
        <w:r w:rsidR="0019098D" w:rsidRPr="007D4988">
          <w:rPr>
            <w:webHidden/>
          </w:rPr>
          <w:tab/>
        </w:r>
        <w:r w:rsidRPr="007D4988">
          <w:rPr>
            <w:webHidden/>
          </w:rPr>
          <w:fldChar w:fldCharType="begin"/>
        </w:r>
        <w:r w:rsidRPr="007D4988">
          <w:rPr>
            <w:webHidden/>
          </w:rPr>
          <w:instrText xml:space="preserve"> PAGEREF _Toc225488894 \h </w:instrText>
        </w:r>
        <w:r w:rsidRPr="007D4988">
          <w:rPr>
            <w:webHidden/>
          </w:rPr>
        </w:r>
        <w:r w:rsidRPr="007D4988">
          <w:rPr>
            <w:webHidden/>
          </w:rPr>
          <w:fldChar w:fldCharType="separate"/>
        </w:r>
        <w:r w:rsidR="00B02520" w:rsidRPr="007D4988">
          <w:rPr>
            <w:webHidden/>
          </w:rPr>
          <w:t>60</w:t>
        </w:r>
        <w:r w:rsidRPr="007D4988">
          <w:rPr>
            <w:webHidden/>
          </w:rPr>
          <w:fldChar w:fldCharType="end"/>
        </w:r>
      </w:hyperlink>
    </w:p>
    <w:p w14:paraId="0669A617" w14:textId="69347E8F" w:rsidR="003F1540" w:rsidRPr="007D4988" w:rsidRDefault="003F1540" w:rsidP="001761E3">
      <w:pPr>
        <w:pStyle w:val="TOC2"/>
        <w:ind w:left="1928"/>
        <w:rPr>
          <w:rFonts w:asciiTheme="minorHAnsi" w:eastAsiaTheme="minorEastAsia" w:hAnsiTheme="minorHAnsi" w:cstheme="minorBidi"/>
          <w:kern w:val="2"/>
          <w:szCs w:val="24"/>
          <w:lang w:eastAsia="fr-FR"/>
          <w14:ligatures w14:val="standardContextual"/>
        </w:rPr>
      </w:pPr>
      <w:hyperlink w:anchor="_Toc225488895" w:history="1">
        <w:r w:rsidRPr="007D4988">
          <w:rPr>
            <w:rStyle w:val="Hyperlink"/>
          </w:rPr>
          <w:t>4.7</w:t>
        </w:r>
        <w:r w:rsidRPr="007D4988">
          <w:rPr>
            <w:rFonts w:asciiTheme="minorHAnsi" w:eastAsiaTheme="minorEastAsia" w:hAnsiTheme="minorHAnsi" w:cstheme="minorBidi"/>
            <w:kern w:val="2"/>
            <w:szCs w:val="24"/>
            <w:lang w:eastAsia="fr-FR"/>
            <w14:ligatures w14:val="standardContextual"/>
          </w:rPr>
          <w:tab/>
        </w:r>
        <w:r w:rsidRPr="007D4988">
          <w:rPr>
            <w:rStyle w:val="Hyperlink"/>
          </w:rPr>
          <w:t>Fourniture d'une assistance technique</w:t>
        </w:r>
        <w:r w:rsidRPr="007D4988">
          <w:rPr>
            <w:webHidden/>
          </w:rPr>
          <w:tab/>
        </w:r>
        <w:r w:rsidR="0019098D" w:rsidRPr="007D4988">
          <w:rPr>
            <w:webHidden/>
          </w:rPr>
          <w:tab/>
        </w:r>
        <w:r w:rsidRPr="007D4988">
          <w:rPr>
            <w:webHidden/>
          </w:rPr>
          <w:fldChar w:fldCharType="begin"/>
        </w:r>
        <w:r w:rsidRPr="007D4988">
          <w:rPr>
            <w:webHidden/>
          </w:rPr>
          <w:instrText xml:space="preserve"> PAGEREF _Toc225488895 \h </w:instrText>
        </w:r>
        <w:r w:rsidRPr="007D4988">
          <w:rPr>
            <w:webHidden/>
          </w:rPr>
        </w:r>
        <w:r w:rsidRPr="007D4988">
          <w:rPr>
            <w:webHidden/>
          </w:rPr>
          <w:fldChar w:fldCharType="separate"/>
        </w:r>
        <w:r w:rsidR="00B02520" w:rsidRPr="007D4988">
          <w:rPr>
            <w:webHidden/>
          </w:rPr>
          <w:t>64</w:t>
        </w:r>
        <w:r w:rsidRPr="007D4988">
          <w:rPr>
            <w:webHidden/>
          </w:rPr>
          <w:fldChar w:fldCharType="end"/>
        </w:r>
      </w:hyperlink>
    </w:p>
    <w:p w14:paraId="1E1570C3" w14:textId="5668DCBB" w:rsidR="003F1540" w:rsidRPr="007D4988" w:rsidRDefault="003F1540" w:rsidP="001761E3">
      <w:pPr>
        <w:pStyle w:val="TOC2"/>
        <w:ind w:left="1928"/>
        <w:rPr>
          <w:rFonts w:asciiTheme="minorHAnsi" w:eastAsiaTheme="minorEastAsia" w:hAnsiTheme="minorHAnsi" w:cstheme="minorBidi"/>
          <w:kern w:val="2"/>
          <w:szCs w:val="24"/>
          <w:lang w:eastAsia="fr-FR"/>
          <w14:ligatures w14:val="standardContextual"/>
        </w:rPr>
      </w:pPr>
      <w:hyperlink w:anchor="_Toc225488896" w:history="1">
        <w:r w:rsidRPr="007D4988">
          <w:rPr>
            <w:rStyle w:val="Hyperlink"/>
          </w:rPr>
          <w:t>4.8</w:t>
        </w:r>
        <w:r w:rsidRPr="007D4988">
          <w:rPr>
            <w:rFonts w:asciiTheme="minorHAnsi" w:eastAsiaTheme="minorEastAsia" w:hAnsiTheme="minorHAnsi" w:cstheme="minorBidi"/>
            <w:kern w:val="2"/>
            <w:szCs w:val="24"/>
            <w:lang w:eastAsia="fr-FR"/>
            <w14:ligatures w14:val="standardContextual"/>
          </w:rPr>
          <w:tab/>
        </w:r>
        <w:r w:rsidRPr="007D4988">
          <w:rPr>
            <w:rStyle w:val="Hyperlink"/>
          </w:rPr>
          <w:t>Plates-formes fédératrices</w:t>
        </w:r>
        <w:r w:rsidRPr="007D4988">
          <w:rPr>
            <w:webHidden/>
          </w:rPr>
          <w:tab/>
        </w:r>
        <w:r w:rsidR="0019098D" w:rsidRPr="007D4988">
          <w:rPr>
            <w:webHidden/>
          </w:rPr>
          <w:tab/>
        </w:r>
        <w:r w:rsidRPr="007D4988">
          <w:rPr>
            <w:webHidden/>
          </w:rPr>
          <w:fldChar w:fldCharType="begin"/>
        </w:r>
        <w:r w:rsidRPr="007D4988">
          <w:rPr>
            <w:webHidden/>
          </w:rPr>
          <w:instrText xml:space="preserve"> PAGEREF _Toc225488896 \h </w:instrText>
        </w:r>
        <w:r w:rsidRPr="007D4988">
          <w:rPr>
            <w:webHidden/>
          </w:rPr>
        </w:r>
        <w:r w:rsidRPr="007D4988">
          <w:rPr>
            <w:webHidden/>
          </w:rPr>
          <w:fldChar w:fldCharType="separate"/>
        </w:r>
        <w:r w:rsidR="00B02520" w:rsidRPr="007D4988">
          <w:rPr>
            <w:webHidden/>
          </w:rPr>
          <w:t>66</w:t>
        </w:r>
        <w:r w:rsidRPr="007D4988">
          <w:rPr>
            <w:webHidden/>
          </w:rPr>
          <w:fldChar w:fldCharType="end"/>
        </w:r>
      </w:hyperlink>
    </w:p>
    <w:p w14:paraId="3793A95B" w14:textId="6ABD8949" w:rsidR="003F1540" w:rsidRPr="007D4988" w:rsidRDefault="003F1540" w:rsidP="001761E3">
      <w:pPr>
        <w:pStyle w:val="TOC3"/>
        <w:ind w:left="2404"/>
        <w:rPr>
          <w:rFonts w:asciiTheme="minorHAnsi" w:eastAsiaTheme="minorEastAsia" w:hAnsiTheme="minorHAnsi" w:cstheme="minorBidi"/>
          <w:kern w:val="2"/>
          <w:szCs w:val="24"/>
          <w:lang w:eastAsia="fr-FR"/>
          <w14:ligatures w14:val="standardContextual"/>
        </w:rPr>
      </w:pPr>
      <w:hyperlink w:anchor="_Toc225488897" w:history="1">
        <w:r w:rsidRPr="007D4988">
          <w:rPr>
            <w:rStyle w:val="Hyperlink"/>
          </w:rPr>
          <w:t>4.8.1</w:t>
        </w:r>
        <w:r w:rsidRPr="007D4988">
          <w:rPr>
            <w:rFonts w:asciiTheme="minorHAnsi" w:eastAsiaTheme="minorEastAsia" w:hAnsiTheme="minorHAnsi" w:cstheme="minorBidi"/>
            <w:kern w:val="2"/>
            <w:szCs w:val="24"/>
            <w:lang w:eastAsia="fr-FR"/>
            <w14:ligatures w14:val="standardContextual"/>
          </w:rPr>
          <w:tab/>
        </w:r>
        <w:r w:rsidRPr="007D4988">
          <w:rPr>
            <w:rStyle w:val="Hyperlink"/>
          </w:rPr>
          <w:t>Processus du SMSI</w:t>
        </w:r>
        <w:r w:rsidRPr="007D4988">
          <w:rPr>
            <w:webHidden/>
          </w:rPr>
          <w:tab/>
        </w:r>
        <w:r w:rsidR="0019098D" w:rsidRPr="007D4988">
          <w:rPr>
            <w:webHidden/>
          </w:rPr>
          <w:tab/>
        </w:r>
        <w:r w:rsidRPr="007D4988">
          <w:rPr>
            <w:webHidden/>
          </w:rPr>
          <w:fldChar w:fldCharType="begin"/>
        </w:r>
        <w:r w:rsidRPr="007D4988">
          <w:rPr>
            <w:webHidden/>
          </w:rPr>
          <w:instrText xml:space="preserve"> PAGEREF _Toc225488897 \h </w:instrText>
        </w:r>
        <w:r w:rsidRPr="007D4988">
          <w:rPr>
            <w:webHidden/>
          </w:rPr>
        </w:r>
        <w:r w:rsidRPr="007D4988">
          <w:rPr>
            <w:webHidden/>
          </w:rPr>
          <w:fldChar w:fldCharType="separate"/>
        </w:r>
        <w:r w:rsidR="00B02520" w:rsidRPr="007D4988">
          <w:rPr>
            <w:webHidden/>
          </w:rPr>
          <w:t>66</w:t>
        </w:r>
        <w:r w:rsidRPr="007D4988">
          <w:rPr>
            <w:webHidden/>
          </w:rPr>
          <w:fldChar w:fldCharType="end"/>
        </w:r>
      </w:hyperlink>
    </w:p>
    <w:p w14:paraId="36D4CA99" w14:textId="08F016A6" w:rsidR="003F1540" w:rsidRPr="007D4988" w:rsidRDefault="003F1540" w:rsidP="001761E3">
      <w:pPr>
        <w:pStyle w:val="TOC3"/>
        <w:ind w:left="2404"/>
        <w:rPr>
          <w:rFonts w:asciiTheme="minorHAnsi" w:eastAsiaTheme="minorEastAsia" w:hAnsiTheme="minorHAnsi" w:cstheme="minorBidi"/>
          <w:kern w:val="2"/>
          <w:szCs w:val="24"/>
          <w:lang w:eastAsia="fr-FR"/>
          <w14:ligatures w14:val="standardContextual"/>
        </w:rPr>
      </w:pPr>
      <w:hyperlink w:anchor="_Toc225488898" w:history="1">
        <w:r w:rsidRPr="007D4988">
          <w:rPr>
            <w:rStyle w:val="Hyperlink"/>
          </w:rPr>
          <w:t>4.8.2</w:t>
        </w:r>
        <w:r w:rsidRPr="007D4988">
          <w:rPr>
            <w:rFonts w:asciiTheme="minorHAnsi" w:eastAsiaTheme="minorEastAsia" w:hAnsiTheme="minorHAnsi" w:cstheme="minorBidi"/>
            <w:kern w:val="2"/>
            <w:szCs w:val="24"/>
            <w:lang w:eastAsia="fr-FR"/>
            <w14:ligatures w14:val="standardContextual"/>
          </w:rPr>
          <w:tab/>
        </w:r>
        <w:r w:rsidRPr="007D4988">
          <w:rPr>
            <w:rStyle w:val="Hyperlink"/>
          </w:rPr>
          <w:t>L'intelligence artificielle au service du bien social</w:t>
        </w:r>
        <w:r w:rsidRPr="007D4988">
          <w:rPr>
            <w:webHidden/>
          </w:rPr>
          <w:tab/>
        </w:r>
        <w:r w:rsidR="0019098D" w:rsidRPr="007D4988">
          <w:rPr>
            <w:webHidden/>
          </w:rPr>
          <w:tab/>
        </w:r>
        <w:r w:rsidRPr="007D4988">
          <w:rPr>
            <w:webHidden/>
          </w:rPr>
          <w:fldChar w:fldCharType="begin"/>
        </w:r>
        <w:r w:rsidRPr="007D4988">
          <w:rPr>
            <w:webHidden/>
          </w:rPr>
          <w:instrText xml:space="preserve"> PAGEREF _Toc225488898 \h </w:instrText>
        </w:r>
        <w:r w:rsidRPr="007D4988">
          <w:rPr>
            <w:webHidden/>
          </w:rPr>
        </w:r>
        <w:r w:rsidRPr="007D4988">
          <w:rPr>
            <w:webHidden/>
          </w:rPr>
          <w:fldChar w:fldCharType="separate"/>
        </w:r>
        <w:r w:rsidR="00B02520" w:rsidRPr="007D4988">
          <w:rPr>
            <w:webHidden/>
          </w:rPr>
          <w:t>69</w:t>
        </w:r>
        <w:r w:rsidRPr="007D4988">
          <w:rPr>
            <w:webHidden/>
          </w:rPr>
          <w:fldChar w:fldCharType="end"/>
        </w:r>
      </w:hyperlink>
    </w:p>
    <w:p w14:paraId="1C6D0E73" w14:textId="05F09338" w:rsidR="003F1540" w:rsidRPr="007D4988" w:rsidRDefault="003F1540" w:rsidP="001761E3">
      <w:pPr>
        <w:pStyle w:val="TOC3"/>
        <w:ind w:left="2404"/>
        <w:rPr>
          <w:rFonts w:asciiTheme="minorHAnsi" w:eastAsiaTheme="minorEastAsia" w:hAnsiTheme="minorHAnsi" w:cstheme="minorBidi"/>
          <w:kern w:val="2"/>
          <w:szCs w:val="24"/>
          <w:lang w:eastAsia="fr-FR"/>
          <w14:ligatures w14:val="standardContextual"/>
        </w:rPr>
      </w:pPr>
      <w:hyperlink w:anchor="_Toc225488899" w:history="1">
        <w:r w:rsidRPr="007D4988">
          <w:rPr>
            <w:rStyle w:val="Hyperlink"/>
          </w:rPr>
          <w:t>4.8.3</w:t>
        </w:r>
        <w:r w:rsidRPr="007D4988">
          <w:rPr>
            <w:rFonts w:asciiTheme="minorHAnsi" w:eastAsiaTheme="minorEastAsia" w:hAnsiTheme="minorHAnsi" w:cstheme="minorBidi"/>
            <w:kern w:val="2"/>
            <w:szCs w:val="24"/>
            <w:lang w:eastAsia="fr-FR"/>
            <w14:ligatures w14:val="standardContextual"/>
          </w:rPr>
          <w:tab/>
        </w:r>
        <w:r w:rsidRPr="007D4988">
          <w:rPr>
            <w:rStyle w:val="Hyperlink"/>
          </w:rPr>
          <w:t>Colloque mondial sur la normalisation</w:t>
        </w:r>
        <w:r w:rsidRPr="007D4988">
          <w:rPr>
            <w:webHidden/>
          </w:rPr>
          <w:tab/>
        </w:r>
        <w:r w:rsidR="0019098D" w:rsidRPr="007D4988">
          <w:rPr>
            <w:webHidden/>
          </w:rPr>
          <w:tab/>
        </w:r>
        <w:r w:rsidRPr="007D4988">
          <w:rPr>
            <w:webHidden/>
          </w:rPr>
          <w:fldChar w:fldCharType="begin"/>
        </w:r>
        <w:r w:rsidRPr="007D4988">
          <w:rPr>
            <w:webHidden/>
          </w:rPr>
          <w:instrText xml:space="preserve"> PAGEREF _Toc225488899 \h </w:instrText>
        </w:r>
        <w:r w:rsidRPr="007D4988">
          <w:rPr>
            <w:webHidden/>
          </w:rPr>
        </w:r>
        <w:r w:rsidRPr="007D4988">
          <w:rPr>
            <w:webHidden/>
          </w:rPr>
          <w:fldChar w:fldCharType="separate"/>
        </w:r>
        <w:r w:rsidR="00B02520" w:rsidRPr="007D4988">
          <w:rPr>
            <w:webHidden/>
          </w:rPr>
          <w:t>70</w:t>
        </w:r>
        <w:r w:rsidRPr="007D4988">
          <w:rPr>
            <w:webHidden/>
          </w:rPr>
          <w:fldChar w:fldCharType="end"/>
        </w:r>
      </w:hyperlink>
    </w:p>
    <w:p w14:paraId="1ED01477" w14:textId="73BEE6B2" w:rsidR="003F1540" w:rsidRPr="007D4988" w:rsidRDefault="003F1540" w:rsidP="001761E3">
      <w:pPr>
        <w:pStyle w:val="TOC3"/>
        <w:ind w:left="2404"/>
        <w:rPr>
          <w:rFonts w:asciiTheme="minorHAnsi" w:eastAsiaTheme="minorEastAsia" w:hAnsiTheme="minorHAnsi" w:cstheme="minorBidi"/>
          <w:kern w:val="2"/>
          <w:szCs w:val="24"/>
          <w:lang w:eastAsia="fr-FR"/>
          <w14:ligatures w14:val="standardContextual"/>
        </w:rPr>
      </w:pPr>
      <w:hyperlink w:anchor="_Toc225488900" w:history="1">
        <w:r w:rsidRPr="007D4988">
          <w:rPr>
            <w:rStyle w:val="Hyperlink"/>
          </w:rPr>
          <w:t>4.8.4</w:t>
        </w:r>
        <w:r w:rsidRPr="007D4988">
          <w:rPr>
            <w:rFonts w:asciiTheme="minorHAnsi" w:eastAsiaTheme="minorEastAsia" w:hAnsiTheme="minorHAnsi" w:cstheme="minorBidi"/>
            <w:kern w:val="2"/>
            <w:szCs w:val="24"/>
            <w:lang w:eastAsia="fr-FR"/>
            <w14:ligatures w14:val="standardContextual"/>
          </w:rPr>
          <w:tab/>
        </w:r>
        <w:r w:rsidRPr="007D4988">
          <w:rPr>
            <w:rStyle w:val="Hyperlink"/>
          </w:rPr>
          <w:t>Colloque mondial des régulateurs</w:t>
        </w:r>
        <w:r w:rsidRPr="007D4988">
          <w:rPr>
            <w:webHidden/>
          </w:rPr>
          <w:tab/>
        </w:r>
        <w:r w:rsidR="0019098D" w:rsidRPr="007D4988">
          <w:rPr>
            <w:webHidden/>
          </w:rPr>
          <w:tab/>
        </w:r>
        <w:r w:rsidRPr="007D4988">
          <w:rPr>
            <w:webHidden/>
          </w:rPr>
          <w:fldChar w:fldCharType="begin"/>
        </w:r>
        <w:r w:rsidRPr="007D4988">
          <w:rPr>
            <w:webHidden/>
          </w:rPr>
          <w:instrText xml:space="preserve"> PAGEREF _Toc225488900 \h </w:instrText>
        </w:r>
        <w:r w:rsidRPr="007D4988">
          <w:rPr>
            <w:webHidden/>
          </w:rPr>
        </w:r>
        <w:r w:rsidRPr="007D4988">
          <w:rPr>
            <w:webHidden/>
          </w:rPr>
          <w:fldChar w:fldCharType="separate"/>
        </w:r>
        <w:r w:rsidR="00B02520" w:rsidRPr="007D4988">
          <w:rPr>
            <w:webHidden/>
          </w:rPr>
          <w:t>70</w:t>
        </w:r>
        <w:r w:rsidRPr="007D4988">
          <w:rPr>
            <w:webHidden/>
          </w:rPr>
          <w:fldChar w:fldCharType="end"/>
        </w:r>
      </w:hyperlink>
    </w:p>
    <w:p w14:paraId="2FADE609" w14:textId="0879F999" w:rsidR="003F1540" w:rsidRPr="007D4988" w:rsidRDefault="003F1540" w:rsidP="001761E3">
      <w:pPr>
        <w:pStyle w:val="TOC3"/>
        <w:ind w:left="2404"/>
        <w:rPr>
          <w:rFonts w:asciiTheme="minorHAnsi" w:eastAsiaTheme="minorEastAsia" w:hAnsiTheme="minorHAnsi" w:cstheme="minorBidi"/>
          <w:kern w:val="2"/>
          <w:szCs w:val="24"/>
          <w:lang w:eastAsia="fr-FR"/>
          <w14:ligatures w14:val="standardContextual"/>
        </w:rPr>
      </w:pPr>
      <w:hyperlink w:anchor="_Toc225488901" w:history="1">
        <w:r w:rsidRPr="007D4988">
          <w:rPr>
            <w:rStyle w:val="Hyperlink"/>
          </w:rPr>
          <w:t>4.8.5</w:t>
        </w:r>
        <w:r w:rsidRPr="007D4988">
          <w:rPr>
            <w:rFonts w:asciiTheme="minorHAnsi" w:eastAsiaTheme="minorEastAsia" w:hAnsiTheme="minorHAnsi" w:cstheme="minorBidi"/>
            <w:kern w:val="2"/>
            <w:szCs w:val="24"/>
            <w:lang w:eastAsia="fr-FR"/>
            <w14:ligatures w14:val="standardContextual"/>
          </w:rPr>
          <w:tab/>
        </w:r>
        <w:r w:rsidRPr="007D4988">
          <w:rPr>
            <w:rStyle w:val="Hyperlink"/>
          </w:rPr>
          <w:t>Participation des établissements universitaires aux travaux</w:t>
        </w:r>
        <w:r w:rsidR="00BB473A" w:rsidRPr="007D4988">
          <w:rPr>
            <w:rStyle w:val="Hyperlink"/>
          </w:rPr>
          <w:br/>
        </w:r>
        <w:r w:rsidRPr="007D4988">
          <w:rPr>
            <w:rStyle w:val="Hyperlink"/>
          </w:rPr>
          <w:t>de l'UIT</w:t>
        </w:r>
        <w:r w:rsidRPr="007D4988">
          <w:rPr>
            <w:webHidden/>
          </w:rPr>
          <w:tab/>
        </w:r>
        <w:r w:rsidR="0019098D" w:rsidRPr="007D4988">
          <w:rPr>
            <w:webHidden/>
          </w:rPr>
          <w:tab/>
        </w:r>
        <w:r w:rsidRPr="007D4988">
          <w:rPr>
            <w:webHidden/>
          </w:rPr>
          <w:fldChar w:fldCharType="begin"/>
        </w:r>
        <w:r w:rsidRPr="007D4988">
          <w:rPr>
            <w:webHidden/>
          </w:rPr>
          <w:instrText xml:space="preserve"> PAGEREF _Toc225488901 \h </w:instrText>
        </w:r>
        <w:r w:rsidRPr="007D4988">
          <w:rPr>
            <w:webHidden/>
          </w:rPr>
        </w:r>
        <w:r w:rsidRPr="007D4988">
          <w:rPr>
            <w:webHidden/>
          </w:rPr>
          <w:fldChar w:fldCharType="separate"/>
        </w:r>
        <w:r w:rsidR="00B02520" w:rsidRPr="007D4988">
          <w:rPr>
            <w:webHidden/>
          </w:rPr>
          <w:t>71</w:t>
        </w:r>
        <w:r w:rsidRPr="007D4988">
          <w:rPr>
            <w:webHidden/>
          </w:rPr>
          <w:fldChar w:fldCharType="end"/>
        </w:r>
      </w:hyperlink>
    </w:p>
    <w:p w14:paraId="3D5EA1B7" w14:textId="502D51BF" w:rsidR="003F1540" w:rsidRPr="007D4988" w:rsidRDefault="003F1540">
      <w:pPr>
        <w:pStyle w:val="TOC1"/>
        <w:rPr>
          <w:rFonts w:asciiTheme="minorHAnsi" w:eastAsiaTheme="minorEastAsia" w:hAnsiTheme="minorHAnsi" w:cstheme="minorBidi"/>
          <w:kern w:val="2"/>
          <w:szCs w:val="24"/>
          <w:lang w:eastAsia="fr-FR"/>
          <w14:ligatures w14:val="standardContextual"/>
        </w:rPr>
      </w:pPr>
      <w:hyperlink w:anchor="_Toc225488902" w:history="1">
        <w:r w:rsidRPr="007D4988">
          <w:rPr>
            <w:rStyle w:val="Hyperlink"/>
          </w:rPr>
          <w:t>5</w:t>
        </w:r>
        <w:r w:rsidRPr="007D4988">
          <w:rPr>
            <w:rFonts w:asciiTheme="minorHAnsi" w:eastAsiaTheme="minorEastAsia" w:hAnsiTheme="minorHAnsi" w:cstheme="minorBidi"/>
            <w:kern w:val="2"/>
            <w:szCs w:val="24"/>
            <w:lang w:eastAsia="fr-FR"/>
            <w14:ligatures w14:val="standardContextual"/>
          </w:rPr>
          <w:tab/>
        </w:r>
        <w:r w:rsidRPr="007D4988">
          <w:rPr>
            <w:rStyle w:val="Hyperlink"/>
          </w:rPr>
          <w:t>Catalyseurs</w:t>
        </w:r>
        <w:r w:rsidRPr="007D4988">
          <w:rPr>
            <w:webHidden/>
          </w:rPr>
          <w:tab/>
        </w:r>
        <w:r w:rsidR="0019098D" w:rsidRPr="007D4988">
          <w:rPr>
            <w:webHidden/>
          </w:rPr>
          <w:tab/>
        </w:r>
        <w:r w:rsidRPr="007D4988">
          <w:rPr>
            <w:webHidden/>
          </w:rPr>
          <w:fldChar w:fldCharType="begin"/>
        </w:r>
        <w:r w:rsidRPr="007D4988">
          <w:rPr>
            <w:webHidden/>
          </w:rPr>
          <w:instrText xml:space="preserve"> PAGEREF _Toc225488902 \h </w:instrText>
        </w:r>
        <w:r w:rsidRPr="007D4988">
          <w:rPr>
            <w:webHidden/>
          </w:rPr>
        </w:r>
        <w:r w:rsidRPr="007D4988">
          <w:rPr>
            <w:webHidden/>
          </w:rPr>
          <w:fldChar w:fldCharType="separate"/>
        </w:r>
        <w:r w:rsidR="00B02520" w:rsidRPr="007D4988">
          <w:rPr>
            <w:webHidden/>
          </w:rPr>
          <w:t>75</w:t>
        </w:r>
        <w:r w:rsidRPr="007D4988">
          <w:rPr>
            <w:webHidden/>
          </w:rPr>
          <w:fldChar w:fldCharType="end"/>
        </w:r>
      </w:hyperlink>
    </w:p>
    <w:p w14:paraId="726EB707" w14:textId="0356C74F" w:rsidR="003F1540" w:rsidRPr="007D4988" w:rsidRDefault="003F1540" w:rsidP="001761E3">
      <w:pPr>
        <w:pStyle w:val="TOC2"/>
        <w:ind w:left="1928"/>
        <w:rPr>
          <w:rFonts w:asciiTheme="minorHAnsi" w:eastAsiaTheme="minorEastAsia" w:hAnsiTheme="minorHAnsi" w:cstheme="minorBidi"/>
          <w:kern w:val="2"/>
          <w:szCs w:val="24"/>
          <w:lang w:eastAsia="fr-FR"/>
          <w14:ligatures w14:val="standardContextual"/>
        </w:rPr>
      </w:pPr>
      <w:hyperlink w:anchor="_Toc225488903" w:history="1">
        <w:r w:rsidRPr="007D4988">
          <w:rPr>
            <w:rStyle w:val="Hyperlink"/>
          </w:rPr>
          <w:t>5.1</w:t>
        </w:r>
        <w:r w:rsidRPr="007D4988">
          <w:rPr>
            <w:rFonts w:asciiTheme="minorHAnsi" w:eastAsiaTheme="minorEastAsia" w:hAnsiTheme="minorHAnsi" w:cstheme="minorBidi"/>
            <w:kern w:val="2"/>
            <w:szCs w:val="24"/>
            <w:lang w:eastAsia="fr-FR"/>
            <w14:ligatures w14:val="standardContextual"/>
          </w:rPr>
          <w:tab/>
        </w:r>
        <w:r w:rsidRPr="007D4988">
          <w:rPr>
            <w:rStyle w:val="Hyperlink"/>
          </w:rPr>
          <w:t>Une approche reposant sur les contributions des membres</w:t>
        </w:r>
        <w:r w:rsidRPr="007D4988">
          <w:rPr>
            <w:webHidden/>
          </w:rPr>
          <w:tab/>
        </w:r>
        <w:r w:rsidR="0019098D" w:rsidRPr="007D4988">
          <w:rPr>
            <w:webHidden/>
          </w:rPr>
          <w:tab/>
        </w:r>
        <w:r w:rsidRPr="007D4988">
          <w:rPr>
            <w:webHidden/>
          </w:rPr>
          <w:fldChar w:fldCharType="begin"/>
        </w:r>
        <w:r w:rsidRPr="007D4988">
          <w:rPr>
            <w:webHidden/>
          </w:rPr>
          <w:instrText xml:space="preserve"> PAGEREF _Toc225488903 \h </w:instrText>
        </w:r>
        <w:r w:rsidRPr="007D4988">
          <w:rPr>
            <w:webHidden/>
          </w:rPr>
        </w:r>
        <w:r w:rsidRPr="007D4988">
          <w:rPr>
            <w:webHidden/>
          </w:rPr>
          <w:fldChar w:fldCharType="separate"/>
        </w:r>
        <w:r w:rsidR="00B02520" w:rsidRPr="007D4988">
          <w:rPr>
            <w:webHidden/>
          </w:rPr>
          <w:t>75</w:t>
        </w:r>
        <w:r w:rsidRPr="007D4988">
          <w:rPr>
            <w:webHidden/>
          </w:rPr>
          <w:fldChar w:fldCharType="end"/>
        </w:r>
      </w:hyperlink>
    </w:p>
    <w:p w14:paraId="1C7087AC" w14:textId="000A8495" w:rsidR="003F1540" w:rsidRPr="007D4988" w:rsidRDefault="003F1540" w:rsidP="001761E3">
      <w:pPr>
        <w:pStyle w:val="TOC2"/>
        <w:ind w:left="1928"/>
        <w:rPr>
          <w:rFonts w:asciiTheme="minorHAnsi" w:eastAsiaTheme="minorEastAsia" w:hAnsiTheme="minorHAnsi" w:cstheme="minorBidi"/>
          <w:kern w:val="2"/>
          <w:szCs w:val="24"/>
          <w:lang w:eastAsia="fr-FR"/>
          <w14:ligatures w14:val="standardContextual"/>
        </w:rPr>
      </w:pPr>
      <w:hyperlink w:anchor="_Toc225488904" w:history="1">
        <w:r w:rsidRPr="007D4988">
          <w:rPr>
            <w:rStyle w:val="Hyperlink"/>
          </w:rPr>
          <w:t>5.2</w:t>
        </w:r>
        <w:r w:rsidRPr="007D4988">
          <w:rPr>
            <w:rFonts w:asciiTheme="minorHAnsi" w:eastAsiaTheme="minorEastAsia" w:hAnsiTheme="minorHAnsi" w:cstheme="minorBidi"/>
            <w:kern w:val="2"/>
            <w:szCs w:val="24"/>
            <w:lang w:eastAsia="fr-FR"/>
            <w14:ligatures w14:val="standardContextual"/>
          </w:rPr>
          <w:tab/>
        </w:r>
        <w:r w:rsidRPr="007D4988">
          <w:rPr>
            <w:rStyle w:val="Hyperlink"/>
          </w:rPr>
          <w:t>Présence régionale</w:t>
        </w:r>
        <w:r w:rsidRPr="007D4988">
          <w:rPr>
            <w:webHidden/>
          </w:rPr>
          <w:tab/>
        </w:r>
        <w:r w:rsidR="0019098D" w:rsidRPr="007D4988">
          <w:rPr>
            <w:webHidden/>
          </w:rPr>
          <w:tab/>
        </w:r>
        <w:r w:rsidRPr="007D4988">
          <w:rPr>
            <w:webHidden/>
          </w:rPr>
          <w:fldChar w:fldCharType="begin"/>
        </w:r>
        <w:r w:rsidRPr="007D4988">
          <w:rPr>
            <w:webHidden/>
          </w:rPr>
          <w:instrText xml:space="preserve"> PAGEREF _Toc225488904 \h </w:instrText>
        </w:r>
        <w:r w:rsidRPr="007D4988">
          <w:rPr>
            <w:webHidden/>
          </w:rPr>
        </w:r>
        <w:r w:rsidRPr="007D4988">
          <w:rPr>
            <w:webHidden/>
          </w:rPr>
          <w:fldChar w:fldCharType="separate"/>
        </w:r>
        <w:r w:rsidR="00B02520" w:rsidRPr="007D4988">
          <w:rPr>
            <w:webHidden/>
          </w:rPr>
          <w:t>76</w:t>
        </w:r>
        <w:r w:rsidRPr="007D4988">
          <w:rPr>
            <w:webHidden/>
          </w:rPr>
          <w:fldChar w:fldCharType="end"/>
        </w:r>
      </w:hyperlink>
    </w:p>
    <w:p w14:paraId="24119C57" w14:textId="36C25A05" w:rsidR="003F1540" w:rsidRPr="007D4988" w:rsidRDefault="003F1540" w:rsidP="001761E3">
      <w:pPr>
        <w:pStyle w:val="TOC2"/>
        <w:ind w:left="1928"/>
        <w:rPr>
          <w:rFonts w:asciiTheme="minorHAnsi" w:eastAsiaTheme="minorEastAsia" w:hAnsiTheme="minorHAnsi" w:cstheme="minorBidi"/>
          <w:kern w:val="2"/>
          <w:szCs w:val="24"/>
          <w:lang w:eastAsia="fr-FR"/>
          <w14:ligatures w14:val="standardContextual"/>
        </w:rPr>
      </w:pPr>
      <w:hyperlink w:anchor="_Toc225488905" w:history="1">
        <w:r w:rsidRPr="007D4988">
          <w:rPr>
            <w:rStyle w:val="Hyperlink"/>
          </w:rPr>
          <w:t>5.3</w:t>
        </w:r>
        <w:r w:rsidRPr="007D4988">
          <w:rPr>
            <w:rFonts w:asciiTheme="minorHAnsi" w:eastAsiaTheme="minorEastAsia" w:hAnsiTheme="minorHAnsi" w:cstheme="minorBidi"/>
            <w:kern w:val="2"/>
            <w:szCs w:val="24"/>
            <w:lang w:eastAsia="fr-FR"/>
            <w14:ligatures w14:val="standardContextual"/>
          </w:rPr>
          <w:tab/>
        </w:r>
        <w:r w:rsidRPr="007D4988">
          <w:rPr>
            <w:rStyle w:val="Hyperlink"/>
          </w:rPr>
          <w:t>Réunir tout le monde à la table des discussions</w:t>
        </w:r>
        <w:r w:rsidRPr="007D4988">
          <w:rPr>
            <w:webHidden/>
          </w:rPr>
          <w:tab/>
        </w:r>
        <w:r w:rsidR="0019098D" w:rsidRPr="007D4988">
          <w:rPr>
            <w:webHidden/>
          </w:rPr>
          <w:tab/>
        </w:r>
        <w:r w:rsidRPr="007D4988">
          <w:rPr>
            <w:webHidden/>
          </w:rPr>
          <w:fldChar w:fldCharType="begin"/>
        </w:r>
        <w:r w:rsidRPr="007D4988">
          <w:rPr>
            <w:webHidden/>
          </w:rPr>
          <w:instrText xml:space="preserve"> PAGEREF _Toc225488905 \h </w:instrText>
        </w:r>
        <w:r w:rsidRPr="007D4988">
          <w:rPr>
            <w:webHidden/>
          </w:rPr>
        </w:r>
        <w:r w:rsidRPr="007D4988">
          <w:rPr>
            <w:webHidden/>
          </w:rPr>
          <w:fldChar w:fldCharType="separate"/>
        </w:r>
        <w:r w:rsidR="00B02520" w:rsidRPr="007D4988">
          <w:rPr>
            <w:webHidden/>
          </w:rPr>
          <w:t>77</w:t>
        </w:r>
        <w:r w:rsidRPr="007D4988">
          <w:rPr>
            <w:webHidden/>
          </w:rPr>
          <w:fldChar w:fldCharType="end"/>
        </w:r>
      </w:hyperlink>
    </w:p>
    <w:p w14:paraId="52A77AB0" w14:textId="3E6B47AB" w:rsidR="003F1540" w:rsidRPr="007D4988" w:rsidRDefault="003F1540" w:rsidP="001761E3">
      <w:pPr>
        <w:pStyle w:val="TOC3"/>
        <w:ind w:left="2404"/>
        <w:rPr>
          <w:rFonts w:asciiTheme="minorHAnsi" w:eastAsiaTheme="minorEastAsia" w:hAnsiTheme="minorHAnsi" w:cstheme="minorBidi"/>
          <w:kern w:val="2"/>
          <w:szCs w:val="24"/>
          <w:lang w:eastAsia="fr-FR"/>
          <w14:ligatures w14:val="standardContextual"/>
        </w:rPr>
      </w:pPr>
      <w:hyperlink w:anchor="_Toc225488906" w:history="1">
        <w:r w:rsidRPr="007D4988">
          <w:rPr>
            <w:rStyle w:val="Hyperlink"/>
          </w:rPr>
          <w:t>5.3.1</w:t>
        </w:r>
        <w:r w:rsidRPr="007D4988">
          <w:rPr>
            <w:rFonts w:asciiTheme="minorHAnsi" w:eastAsiaTheme="minorEastAsia" w:hAnsiTheme="minorHAnsi" w:cstheme="minorBidi"/>
            <w:kern w:val="2"/>
            <w:szCs w:val="24"/>
            <w:lang w:eastAsia="fr-FR"/>
            <w14:ligatures w14:val="standardContextual"/>
          </w:rPr>
          <w:tab/>
        </w:r>
        <w:r w:rsidRPr="007D4988">
          <w:rPr>
            <w:rStyle w:val="Hyperlink"/>
          </w:rPr>
          <w:t>Égalité hommes-femmes</w:t>
        </w:r>
        <w:r w:rsidRPr="007D4988">
          <w:rPr>
            <w:webHidden/>
          </w:rPr>
          <w:tab/>
        </w:r>
        <w:r w:rsidR="0019098D" w:rsidRPr="007D4988">
          <w:rPr>
            <w:webHidden/>
          </w:rPr>
          <w:tab/>
        </w:r>
        <w:r w:rsidRPr="007D4988">
          <w:rPr>
            <w:webHidden/>
          </w:rPr>
          <w:fldChar w:fldCharType="begin"/>
        </w:r>
        <w:r w:rsidRPr="007D4988">
          <w:rPr>
            <w:webHidden/>
          </w:rPr>
          <w:instrText xml:space="preserve"> PAGEREF _Toc225488906 \h </w:instrText>
        </w:r>
        <w:r w:rsidRPr="007D4988">
          <w:rPr>
            <w:webHidden/>
          </w:rPr>
        </w:r>
        <w:r w:rsidRPr="007D4988">
          <w:rPr>
            <w:webHidden/>
          </w:rPr>
          <w:fldChar w:fldCharType="separate"/>
        </w:r>
        <w:r w:rsidR="00B02520" w:rsidRPr="007D4988">
          <w:rPr>
            <w:webHidden/>
          </w:rPr>
          <w:t>79</w:t>
        </w:r>
        <w:r w:rsidRPr="007D4988">
          <w:rPr>
            <w:webHidden/>
          </w:rPr>
          <w:fldChar w:fldCharType="end"/>
        </w:r>
      </w:hyperlink>
    </w:p>
    <w:p w14:paraId="7E1A9DE8" w14:textId="09CFE4DA" w:rsidR="003F1540" w:rsidRPr="007D4988" w:rsidRDefault="003F1540" w:rsidP="001761E3">
      <w:pPr>
        <w:pStyle w:val="TOC3"/>
        <w:ind w:left="2404"/>
        <w:rPr>
          <w:rFonts w:asciiTheme="minorHAnsi" w:eastAsiaTheme="minorEastAsia" w:hAnsiTheme="minorHAnsi" w:cstheme="minorBidi"/>
          <w:kern w:val="2"/>
          <w:szCs w:val="24"/>
          <w:lang w:eastAsia="fr-FR"/>
          <w14:ligatures w14:val="standardContextual"/>
        </w:rPr>
      </w:pPr>
      <w:hyperlink w:anchor="_Toc225488907" w:history="1">
        <w:r w:rsidRPr="007D4988">
          <w:rPr>
            <w:rStyle w:val="Hyperlink"/>
          </w:rPr>
          <w:t>5.3.2</w:t>
        </w:r>
        <w:r w:rsidRPr="007D4988">
          <w:rPr>
            <w:rFonts w:asciiTheme="minorHAnsi" w:eastAsiaTheme="minorEastAsia" w:hAnsiTheme="minorHAnsi" w:cstheme="minorBidi"/>
            <w:kern w:val="2"/>
            <w:szCs w:val="24"/>
            <w:lang w:eastAsia="fr-FR"/>
            <w14:ligatures w14:val="standardContextual"/>
          </w:rPr>
          <w:tab/>
        </w:r>
        <w:r w:rsidRPr="007D4988">
          <w:rPr>
            <w:rStyle w:val="Hyperlink"/>
          </w:rPr>
          <w:t>Autonomisation des jeunes</w:t>
        </w:r>
        <w:r w:rsidRPr="007D4988">
          <w:rPr>
            <w:webHidden/>
          </w:rPr>
          <w:tab/>
        </w:r>
        <w:r w:rsidR="0019098D" w:rsidRPr="007D4988">
          <w:rPr>
            <w:webHidden/>
          </w:rPr>
          <w:tab/>
        </w:r>
        <w:r w:rsidRPr="007D4988">
          <w:rPr>
            <w:webHidden/>
          </w:rPr>
          <w:fldChar w:fldCharType="begin"/>
        </w:r>
        <w:r w:rsidRPr="007D4988">
          <w:rPr>
            <w:webHidden/>
          </w:rPr>
          <w:instrText xml:space="preserve"> PAGEREF _Toc225488907 \h </w:instrText>
        </w:r>
        <w:r w:rsidRPr="007D4988">
          <w:rPr>
            <w:webHidden/>
          </w:rPr>
        </w:r>
        <w:r w:rsidRPr="007D4988">
          <w:rPr>
            <w:webHidden/>
          </w:rPr>
          <w:fldChar w:fldCharType="separate"/>
        </w:r>
        <w:r w:rsidR="00B02520" w:rsidRPr="007D4988">
          <w:rPr>
            <w:webHidden/>
          </w:rPr>
          <w:t>83</w:t>
        </w:r>
        <w:r w:rsidRPr="007D4988">
          <w:rPr>
            <w:webHidden/>
          </w:rPr>
          <w:fldChar w:fldCharType="end"/>
        </w:r>
      </w:hyperlink>
    </w:p>
    <w:p w14:paraId="5E28C3AB" w14:textId="32E6D349" w:rsidR="003F1540" w:rsidRPr="007D4988" w:rsidRDefault="003F1540" w:rsidP="001761E3">
      <w:pPr>
        <w:pStyle w:val="TOC3"/>
        <w:ind w:left="2404"/>
        <w:rPr>
          <w:rFonts w:asciiTheme="minorHAnsi" w:eastAsiaTheme="minorEastAsia" w:hAnsiTheme="minorHAnsi" w:cstheme="minorBidi"/>
          <w:kern w:val="2"/>
          <w:szCs w:val="24"/>
          <w:lang w:eastAsia="fr-FR"/>
          <w14:ligatures w14:val="standardContextual"/>
        </w:rPr>
      </w:pPr>
      <w:hyperlink w:anchor="_Toc225488908" w:history="1">
        <w:r w:rsidRPr="007D4988">
          <w:rPr>
            <w:rStyle w:val="Hyperlink"/>
          </w:rPr>
          <w:t>5.3.3</w:t>
        </w:r>
        <w:r w:rsidRPr="007D4988">
          <w:rPr>
            <w:rFonts w:asciiTheme="minorHAnsi" w:eastAsiaTheme="minorEastAsia" w:hAnsiTheme="minorHAnsi" w:cstheme="minorBidi"/>
            <w:kern w:val="2"/>
            <w:szCs w:val="24"/>
            <w:lang w:eastAsia="fr-FR"/>
            <w14:ligatures w14:val="standardContextual"/>
          </w:rPr>
          <w:tab/>
        </w:r>
        <w:r w:rsidRPr="007D4988">
          <w:rPr>
            <w:rStyle w:val="Hyperlink"/>
          </w:rPr>
          <w:t>Accessibilité des TIC/du numérique</w:t>
        </w:r>
        <w:r w:rsidRPr="007D4988">
          <w:rPr>
            <w:webHidden/>
          </w:rPr>
          <w:tab/>
        </w:r>
        <w:r w:rsidR="0019098D" w:rsidRPr="007D4988">
          <w:rPr>
            <w:webHidden/>
          </w:rPr>
          <w:tab/>
        </w:r>
        <w:r w:rsidRPr="007D4988">
          <w:rPr>
            <w:webHidden/>
          </w:rPr>
          <w:fldChar w:fldCharType="begin"/>
        </w:r>
        <w:r w:rsidRPr="007D4988">
          <w:rPr>
            <w:webHidden/>
          </w:rPr>
          <w:instrText xml:space="preserve"> PAGEREF _Toc225488908 \h </w:instrText>
        </w:r>
        <w:r w:rsidRPr="007D4988">
          <w:rPr>
            <w:webHidden/>
          </w:rPr>
        </w:r>
        <w:r w:rsidRPr="007D4988">
          <w:rPr>
            <w:webHidden/>
          </w:rPr>
          <w:fldChar w:fldCharType="separate"/>
        </w:r>
        <w:r w:rsidR="00B02520" w:rsidRPr="007D4988">
          <w:rPr>
            <w:webHidden/>
          </w:rPr>
          <w:t>85</w:t>
        </w:r>
        <w:r w:rsidRPr="007D4988">
          <w:rPr>
            <w:webHidden/>
          </w:rPr>
          <w:fldChar w:fldCharType="end"/>
        </w:r>
      </w:hyperlink>
    </w:p>
    <w:p w14:paraId="5CE750A9" w14:textId="0DCBADEC" w:rsidR="003F1540" w:rsidRPr="007D4988" w:rsidRDefault="003F1540" w:rsidP="001761E3">
      <w:pPr>
        <w:pStyle w:val="TOC3"/>
        <w:ind w:left="2404"/>
        <w:rPr>
          <w:rFonts w:asciiTheme="minorHAnsi" w:eastAsiaTheme="minorEastAsia" w:hAnsiTheme="minorHAnsi" w:cstheme="minorBidi"/>
          <w:kern w:val="2"/>
          <w:szCs w:val="24"/>
          <w:lang w:eastAsia="fr-FR"/>
          <w14:ligatures w14:val="standardContextual"/>
        </w:rPr>
      </w:pPr>
      <w:hyperlink w:anchor="_Toc225488909" w:history="1">
        <w:r w:rsidRPr="007D4988">
          <w:rPr>
            <w:rStyle w:val="Hyperlink"/>
          </w:rPr>
          <w:t>5.3.4</w:t>
        </w:r>
        <w:r w:rsidRPr="007D4988">
          <w:rPr>
            <w:rFonts w:asciiTheme="minorHAnsi" w:eastAsiaTheme="minorEastAsia" w:hAnsiTheme="minorHAnsi" w:cstheme="minorBidi"/>
            <w:kern w:val="2"/>
            <w:szCs w:val="24"/>
            <w:lang w:eastAsia="fr-FR"/>
            <w14:ligatures w14:val="standardContextual"/>
          </w:rPr>
          <w:tab/>
        </w:r>
        <w:r w:rsidRPr="007D4988">
          <w:rPr>
            <w:rStyle w:val="Hyperlink"/>
          </w:rPr>
          <w:t>Amélioration des compétences dans les communautés rurales, isolées ou autochtones</w:t>
        </w:r>
        <w:r w:rsidRPr="007D4988">
          <w:rPr>
            <w:webHidden/>
          </w:rPr>
          <w:tab/>
        </w:r>
        <w:r w:rsidR="0019098D" w:rsidRPr="007D4988">
          <w:rPr>
            <w:webHidden/>
          </w:rPr>
          <w:tab/>
        </w:r>
        <w:r w:rsidRPr="007D4988">
          <w:rPr>
            <w:webHidden/>
          </w:rPr>
          <w:fldChar w:fldCharType="begin"/>
        </w:r>
        <w:r w:rsidRPr="007D4988">
          <w:rPr>
            <w:webHidden/>
          </w:rPr>
          <w:instrText xml:space="preserve"> PAGEREF _Toc225488909 \h </w:instrText>
        </w:r>
        <w:r w:rsidRPr="007D4988">
          <w:rPr>
            <w:webHidden/>
          </w:rPr>
        </w:r>
        <w:r w:rsidRPr="007D4988">
          <w:rPr>
            <w:webHidden/>
          </w:rPr>
          <w:fldChar w:fldCharType="separate"/>
        </w:r>
        <w:r w:rsidR="00B02520" w:rsidRPr="007D4988">
          <w:rPr>
            <w:webHidden/>
          </w:rPr>
          <w:t>88</w:t>
        </w:r>
        <w:r w:rsidRPr="007D4988">
          <w:rPr>
            <w:webHidden/>
          </w:rPr>
          <w:fldChar w:fldCharType="end"/>
        </w:r>
      </w:hyperlink>
    </w:p>
    <w:p w14:paraId="310E3F8F" w14:textId="5759A4B8" w:rsidR="003F1540" w:rsidRPr="007D4988" w:rsidRDefault="003F1540" w:rsidP="001761E3">
      <w:pPr>
        <w:pStyle w:val="TOC3"/>
        <w:ind w:left="2404"/>
        <w:rPr>
          <w:rFonts w:asciiTheme="minorHAnsi" w:eastAsiaTheme="minorEastAsia" w:hAnsiTheme="minorHAnsi" w:cstheme="minorBidi"/>
          <w:kern w:val="2"/>
          <w:szCs w:val="24"/>
          <w:lang w:eastAsia="fr-FR"/>
          <w14:ligatures w14:val="standardContextual"/>
        </w:rPr>
      </w:pPr>
      <w:hyperlink w:anchor="_Toc225488910" w:history="1">
        <w:r w:rsidRPr="007D4988">
          <w:rPr>
            <w:rStyle w:val="Hyperlink"/>
          </w:rPr>
          <w:t>5.3.5</w:t>
        </w:r>
        <w:r w:rsidRPr="007D4988">
          <w:rPr>
            <w:rFonts w:asciiTheme="minorHAnsi" w:eastAsiaTheme="minorEastAsia" w:hAnsiTheme="minorHAnsi" w:cstheme="minorBidi"/>
            <w:kern w:val="2"/>
            <w:szCs w:val="24"/>
            <w:lang w:eastAsia="fr-FR"/>
            <w14:ligatures w14:val="standardContextual"/>
          </w:rPr>
          <w:tab/>
        </w:r>
        <w:r w:rsidRPr="007D4988">
          <w:rPr>
            <w:rStyle w:val="Hyperlink"/>
          </w:rPr>
          <w:t>Soutien aux personnes âgées</w:t>
        </w:r>
        <w:r w:rsidRPr="007D4988">
          <w:rPr>
            <w:webHidden/>
          </w:rPr>
          <w:tab/>
        </w:r>
        <w:r w:rsidR="0019098D" w:rsidRPr="007D4988">
          <w:rPr>
            <w:webHidden/>
          </w:rPr>
          <w:tab/>
        </w:r>
        <w:r w:rsidRPr="007D4988">
          <w:rPr>
            <w:webHidden/>
          </w:rPr>
          <w:fldChar w:fldCharType="begin"/>
        </w:r>
        <w:r w:rsidRPr="007D4988">
          <w:rPr>
            <w:webHidden/>
          </w:rPr>
          <w:instrText xml:space="preserve"> PAGEREF _Toc225488910 \h </w:instrText>
        </w:r>
        <w:r w:rsidRPr="007D4988">
          <w:rPr>
            <w:webHidden/>
          </w:rPr>
        </w:r>
        <w:r w:rsidRPr="007D4988">
          <w:rPr>
            <w:webHidden/>
          </w:rPr>
          <w:fldChar w:fldCharType="separate"/>
        </w:r>
        <w:r w:rsidR="00B02520" w:rsidRPr="007D4988">
          <w:rPr>
            <w:webHidden/>
          </w:rPr>
          <w:t>89</w:t>
        </w:r>
        <w:r w:rsidRPr="007D4988">
          <w:rPr>
            <w:webHidden/>
          </w:rPr>
          <w:fldChar w:fldCharType="end"/>
        </w:r>
      </w:hyperlink>
    </w:p>
    <w:p w14:paraId="0AA91477" w14:textId="7C8D44CE" w:rsidR="003F1540" w:rsidRPr="007D4988" w:rsidRDefault="003F1540" w:rsidP="001761E3">
      <w:pPr>
        <w:pStyle w:val="TOC2"/>
        <w:ind w:left="1928"/>
        <w:rPr>
          <w:rFonts w:asciiTheme="minorHAnsi" w:eastAsiaTheme="minorEastAsia" w:hAnsiTheme="minorHAnsi" w:cstheme="minorBidi"/>
          <w:kern w:val="2"/>
          <w:szCs w:val="24"/>
          <w:lang w:eastAsia="fr-FR"/>
          <w14:ligatures w14:val="standardContextual"/>
        </w:rPr>
      </w:pPr>
      <w:hyperlink w:anchor="_Toc225488911" w:history="1">
        <w:r w:rsidRPr="007D4988">
          <w:rPr>
            <w:rStyle w:val="Hyperlink"/>
          </w:rPr>
          <w:t>5.4</w:t>
        </w:r>
        <w:r w:rsidRPr="007D4988">
          <w:rPr>
            <w:rFonts w:asciiTheme="minorHAnsi" w:eastAsiaTheme="minorEastAsia" w:hAnsiTheme="minorHAnsi" w:cstheme="minorBidi"/>
            <w:kern w:val="2"/>
            <w:szCs w:val="24"/>
            <w:lang w:eastAsia="fr-FR"/>
            <w14:ligatures w14:val="standardContextual"/>
          </w:rPr>
          <w:tab/>
        </w:r>
        <w:r w:rsidRPr="007D4988">
          <w:rPr>
            <w:rStyle w:val="Hyperlink"/>
          </w:rPr>
          <w:t>Engagement en faveur de la durabilité environnementale</w:t>
        </w:r>
        <w:r w:rsidRPr="007D4988">
          <w:rPr>
            <w:webHidden/>
          </w:rPr>
          <w:tab/>
        </w:r>
        <w:r w:rsidR="0019098D" w:rsidRPr="007D4988">
          <w:rPr>
            <w:webHidden/>
          </w:rPr>
          <w:tab/>
        </w:r>
        <w:r w:rsidRPr="007D4988">
          <w:rPr>
            <w:webHidden/>
          </w:rPr>
          <w:fldChar w:fldCharType="begin"/>
        </w:r>
        <w:r w:rsidRPr="007D4988">
          <w:rPr>
            <w:webHidden/>
          </w:rPr>
          <w:instrText xml:space="preserve"> PAGEREF _Toc225488911 \h </w:instrText>
        </w:r>
        <w:r w:rsidRPr="007D4988">
          <w:rPr>
            <w:webHidden/>
          </w:rPr>
        </w:r>
        <w:r w:rsidRPr="007D4988">
          <w:rPr>
            <w:webHidden/>
          </w:rPr>
          <w:fldChar w:fldCharType="separate"/>
        </w:r>
        <w:r w:rsidR="00B02520" w:rsidRPr="007D4988">
          <w:rPr>
            <w:webHidden/>
          </w:rPr>
          <w:t>89</w:t>
        </w:r>
        <w:r w:rsidRPr="007D4988">
          <w:rPr>
            <w:webHidden/>
          </w:rPr>
          <w:fldChar w:fldCharType="end"/>
        </w:r>
      </w:hyperlink>
    </w:p>
    <w:p w14:paraId="1382BF99" w14:textId="607B956C" w:rsidR="003F1540" w:rsidRPr="007D4988" w:rsidRDefault="003F1540" w:rsidP="001761E3">
      <w:pPr>
        <w:pStyle w:val="TOC2"/>
        <w:ind w:left="1928"/>
        <w:rPr>
          <w:rFonts w:asciiTheme="minorHAnsi" w:eastAsiaTheme="minorEastAsia" w:hAnsiTheme="minorHAnsi" w:cstheme="minorBidi"/>
          <w:kern w:val="2"/>
          <w:szCs w:val="24"/>
          <w:lang w:eastAsia="fr-FR"/>
          <w14:ligatures w14:val="standardContextual"/>
        </w:rPr>
      </w:pPr>
      <w:hyperlink w:anchor="_Toc225488912" w:history="1">
        <w:r w:rsidRPr="007D4988">
          <w:rPr>
            <w:rStyle w:val="Hyperlink"/>
          </w:rPr>
          <w:t>5.5</w:t>
        </w:r>
        <w:r w:rsidRPr="007D4988">
          <w:rPr>
            <w:rFonts w:asciiTheme="minorHAnsi" w:eastAsiaTheme="minorEastAsia" w:hAnsiTheme="minorHAnsi" w:cstheme="minorBidi"/>
            <w:kern w:val="2"/>
            <w:szCs w:val="24"/>
            <w:lang w:eastAsia="fr-FR"/>
            <w14:ligatures w14:val="standardContextual"/>
          </w:rPr>
          <w:tab/>
        </w:r>
        <w:r w:rsidRPr="007D4988">
          <w:rPr>
            <w:rStyle w:val="Hyperlink"/>
          </w:rPr>
          <w:t>Partenariats et coopération internationale</w:t>
        </w:r>
        <w:r w:rsidRPr="007D4988">
          <w:rPr>
            <w:webHidden/>
          </w:rPr>
          <w:tab/>
        </w:r>
        <w:r w:rsidR="0019098D" w:rsidRPr="007D4988">
          <w:rPr>
            <w:webHidden/>
          </w:rPr>
          <w:tab/>
        </w:r>
        <w:r w:rsidRPr="007D4988">
          <w:rPr>
            <w:webHidden/>
          </w:rPr>
          <w:fldChar w:fldCharType="begin"/>
        </w:r>
        <w:r w:rsidRPr="007D4988">
          <w:rPr>
            <w:webHidden/>
          </w:rPr>
          <w:instrText xml:space="preserve"> PAGEREF _Toc225488912 \h </w:instrText>
        </w:r>
        <w:r w:rsidRPr="007D4988">
          <w:rPr>
            <w:webHidden/>
          </w:rPr>
        </w:r>
        <w:r w:rsidRPr="007D4988">
          <w:rPr>
            <w:webHidden/>
          </w:rPr>
          <w:fldChar w:fldCharType="separate"/>
        </w:r>
        <w:r w:rsidR="00B02520" w:rsidRPr="007D4988">
          <w:rPr>
            <w:webHidden/>
          </w:rPr>
          <w:t>95</w:t>
        </w:r>
        <w:r w:rsidRPr="007D4988">
          <w:rPr>
            <w:webHidden/>
          </w:rPr>
          <w:fldChar w:fldCharType="end"/>
        </w:r>
      </w:hyperlink>
    </w:p>
    <w:p w14:paraId="19FD040F" w14:textId="678F61C2" w:rsidR="003F1540" w:rsidRPr="007D4988" w:rsidRDefault="003F1540" w:rsidP="001761E3">
      <w:pPr>
        <w:pStyle w:val="TOC3"/>
        <w:ind w:left="2404"/>
        <w:rPr>
          <w:rFonts w:asciiTheme="minorHAnsi" w:eastAsiaTheme="minorEastAsia" w:hAnsiTheme="minorHAnsi" w:cstheme="minorBidi"/>
          <w:kern w:val="2"/>
          <w:szCs w:val="24"/>
          <w:lang w:eastAsia="fr-FR"/>
          <w14:ligatures w14:val="standardContextual"/>
        </w:rPr>
      </w:pPr>
      <w:hyperlink w:anchor="_Toc225488913" w:history="1">
        <w:r w:rsidRPr="007D4988">
          <w:rPr>
            <w:rStyle w:val="Hyperlink"/>
          </w:rPr>
          <w:t>5.5.1</w:t>
        </w:r>
        <w:r w:rsidRPr="007D4988">
          <w:rPr>
            <w:rFonts w:asciiTheme="minorHAnsi" w:eastAsiaTheme="minorEastAsia" w:hAnsiTheme="minorHAnsi" w:cstheme="minorBidi"/>
            <w:kern w:val="2"/>
            <w:szCs w:val="24"/>
            <w:lang w:eastAsia="fr-FR"/>
            <w14:ligatures w14:val="standardContextual"/>
          </w:rPr>
          <w:tab/>
        </w:r>
        <w:r w:rsidRPr="007D4988">
          <w:rPr>
            <w:rStyle w:val="Hyperlink"/>
          </w:rPr>
          <w:t>Collaboration avec le système des Nations Unies et avec</w:t>
        </w:r>
        <w:r w:rsidR="0095746D" w:rsidRPr="007D4988">
          <w:rPr>
            <w:rStyle w:val="Hyperlink"/>
          </w:rPr>
          <w:br/>
        </w:r>
        <w:r w:rsidRPr="007D4988">
          <w:rPr>
            <w:rStyle w:val="Hyperlink"/>
          </w:rPr>
          <w:t>d'autres initiatives intergouvernementales au niveau</w:t>
        </w:r>
        <w:r w:rsidR="0095746D" w:rsidRPr="007D4988">
          <w:rPr>
            <w:rStyle w:val="Hyperlink"/>
          </w:rPr>
          <w:br/>
        </w:r>
        <w:r w:rsidRPr="007D4988">
          <w:rPr>
            <w:rStyle w:val="Hyperlink"/>
          </w:rPr>
          <w:t>international</w:t>
        </w:r>
        <w:r w:rsidRPr="007D4988">
          <w:rPr>
            <w:webHidden/>
          </w:rPr>
          <w:tab/>
        </w:r>
        <w:r w:rsidR="0019098D" w:rsidRPr="007D4988">
          <w:rPr>
            <w:webHidden/>
          </w:rPr>
          <w:tab/>
        </w:r>
        <w:r w:rsidRPr="007D4988">
          <w:rPr>
            <w:webHidden/>
          </w:rPr>
          <w:fldChar w:fldCharType="begin"/>
        </w:r>
        <w:r w:rsidRPr="007D4988">
          <w:rPr>
            <w:webHidden/>
          </w:rPr>
          <w:instrText xml:space="preserve"> PAGEREF _Toc225488913 \h </w:instrText>
        </w:r>
        <w:r w:rsidRPr="007D4988">
          <w:rPr>
            <w:webHidden/>
          </w:rPr>
        </w:r>
        <w:r w:rsidRPr="007D4988">
          <w:rPr>
            <w:webHidden/>
          </w:rPr>
          <w:fldChar w:fldCharType="separate"/>
        </w:r>
        <w:r w:rsidR="00B02520" w:rsidRPr="007D4988">
          <w:rPr>
            <w:webHidden/>
          </w:rPr>
          <w:t>108</w:t>
        </w:r>
        <w:r w:rsidRPr="007D4988">
          <w:rPr>
            <w:webHidden/>
          </w:rPr>
          <w:fldChar w:fldCharType="end"/>
        </w:r>
      </w:hyperlink>
    </w:p>
    <w:p w14:paraId="1A918520" w14:textId="5A920DAA" w:rsidR="003F1540" w:rsidRPr="007D4988" w:rsidRDefault="003F1540" w:rsidP="001761E3">
      <w:pPr>
        <w:pStyle w:val="TOC2"/>
        <w:ind w:left="1928"/>
        <w:rPr>
          <w:rFonts w:asciiTheme="minorHAnsi" w:eastAsiaTheme="minorEastAsia" w:hAnsiTheme="minorHAnsi" w:cstheme="minorBidi"/>
          <w:kern w:val="2"/>
          <w:szCs w:val="24"/>
          <w:lang w:eastAsia="fr-FR"/>
          <w14:ligatures w14:val="standardContextual"/>
        </w:rPr>
      </w:pPr>
      <w:hyperlink w:anchor="_Toc225488914" w:history="1">
        <w:r w:rsidRPr="007D4988">
          <w:rPr>
            <w:rStyle w:val="Hyperlink"/>
          </w:rPr>
          <w:t>5.6</w:t>
        </w:r>
        <w:r w:rsidRPr="007D4988">
          <w:rPr>
            <w:rFonts w:asciiTheme="minorHAnsi" w:eastAsiaTheme="minorEastAsia" w:hAnsiTheme="minorHAnsi" w:cstheme="minorBidi"/>
            <w:kern w:val="2"/>
            <w:szCs w:val="24"/>
            <w:lang w:eastAsia="fr-FR"/>
            <w14:ligatures w14:val="standardContextual"/>
          </w:rPr>
          <w:tab/>
        </w:r>
        <w:r w:rsidRPr="007D4988">
          <w:rPr>
            <w:rStyle w:val="Hyperlink"/>
          </w:rPr>
          <w:t>Mobilisation des ressources</w:t>
        </w:r>
        <w:r w:rsidRPr="007D4988">
          <w:rPr>
            <w:webHidden/>
          </w:rPr>
          <w:tab/>
        </w:r>
        <w:r w:rsidR="0019098D" w:rsidRPr="007D4988">
          <w:rPr>
            <w:webHidden/>
          </w:rPr>
          <w:tab/>
        </w:r>
        <w:r w:rsidRPr="007D4988">
          <w:rPr>
            <w:webHidden/>
          </w:rPr>
          <w:fldChar w:fldCharType="begin"/>
        </w:r>
        <w:r w:rsidRPr="007D4988">
          <w:rPr>
            <w:webHidden/>
          </w:rPr>
          <w:instrText xml:space="preserve"> PAGEREF _Toc225488914 \h </w:instrText>
        </w:r>
        <w:r w:rsidRPr="007D4988">
          <w:rPr>
            <w:webHidden/>
          </w:rPr>
        </w:r>
        <w:r w:rsidRPr="007D4988">
          <w:rPr>
            <w:webHidden/>
          </w:rPr>
          <w:fldChar w:fldCharType="separate"/>
        </w:r>
        <w:r w:rsidR="00B02520" w:rsidRPr="007D4988">
          <w:rPr>
            <w:webHidden/>
          </w:rPr>
          <w:t>110</w:t>
        </w:r>
        <w:r w:rsidRPr="007D4988">
          <w:rPr>
            <w:webHidden/>
          </w:rPr>
          <w:fldChar w:fldCharType="end"/>
        </w:r>
      </w:hyperlink>
    </w:p>
    <w:p w14:paraId="5BACCFA6" w14:textId="71F858D6" w:rsidR="003F1540" w:rsidRPr="007D4988" w:rsidRDefault="003F1540" w:rsidP="001761E3">
      <w:pPr>
        <w:pStyle w:val="TOC2"/>
        <w:ind w:left="1928"/>
        <w:rPr>
          <w:rFonts w:asciiTheme="minorHAnsi" w:eastAsiaTheme="minorEastAsia" w:hAnsiTheme="minorHAnsi" w:cstheme="minorBidi"/>
          <w:kern w:val="2"/>
          <w:szCs w:val="24"/>
          <w:lang w:eastAsia="fr-FR"/>
          <w14:ligatures w14:val="standardContextual"/>
        </w:rPr>
      </w:pPr>
      <w:hyperlink w:anchor="_Toc225488915" w:history="1">
        <w:r w:rsidRPr="007D4988">
          <w:rPr>
            <w:rStyle w:val="Hyperlink"/>
          </w:rPr>
          <w:t>5.7</w:t>
        </w:r>
        <w:r w:rsidRPr="007D4988">
          <w:rPr>
            <w:rFonts w:asciiTheme="minorHAnsi" w:eastAsiaTheme="minorEastAsia" w:hAnsiTheme="minorHAnsi" w:cstheme="minorBidi"/>
            <w:kern w:val="2"/>
            <w:szCs w:val="24"/>
            <w:lang w:eastAsia="fr-FR"/>
            <w14:ligatures w14:val="standardContextual"/>
          </w:rPr>
          <w:tab/>
        </w:r>
        <w:r w:rsidRPr="007D4988">
          <w:rPr>
            <w:rStyle w:val="Hyperlink"/>
          </w:rPr>
          <w:t>Processus de transformation: atteindre l'excellence</w:t>
        </w:r>
        <w:r w:rsidR="0095746D" w:rsidRPr="007D4988">
          <w:rPr>
            <w:rStyle w:val="Hyperlink"/>
          </w:rPr>
          <w:br/>
        </w:r>
        <w:r w:rsidRPr="007D4988">
          <w:rPr>
            <w:rStyle w:val="Hyperlink"/>
          </w:rPr>
          <w:t>organisationnelle</w:t>
        </w:r>
        <w:r w:rsidRPr="007D4988">
          <w:rPr>
            <w:webHidden/>
          </w:rPr>
          <w:tab/>
        </w:r>
        <w:r w:rsidR="0019098D" w:rsidRPr="007D4988">
          <w:rPr>
            <w:webHidden/>
          </w:rPr>
          <w:tab/>
        </w:r>
        <w:r w:rsidRPr="007D4988">
          <w:rPr>
            <w:webHidden/>
          </w:rPr>
          <w:fldChar w:fldCharType="begin"/>
        </w:r>
        <w:r w:rsidRPr="007D4988">
          <w:rPr>
            <w:webHidden/>
          </w:rPr>
          <w:instrText xml:space="preserve"> PAGEREF _Toc225488915 \h </w:instrText>
        </w:r>
        <w:r w:rsidRPr="007D4988">
          <w:rPr>
            <w:webHidden/>
          </w:rPr>
        </w:r>
        <w:r w:rsidRPr="007D4988">
          <w:rPr>
            <w:webHidden/>
          </w:rPr>
          <w:fldChar w:fldCharType="separate"/>
        </w:r>
        <w:r w:rsidR="00B02520" w:rsidRPr="007D4988">
          <w:rPr>
            <w:webHidden/>
          </w:rPr>
          <w:t>111</w:t>
        </w:r>
        <w:r w:rsidRPr="007D4988">
          <w:rPr>
            <w:webHidden/>
          </w:rPr>
          <w:fldChar w:fldCharType="end"/>
        </w:r>
      </w:hyperlink>
    </w:p>
    <w:p w14:paraId="0FA707E5" w14:textId="301839C3" w:rsidR="003F1540" w:rsidRPr="007D4988" w:rsidRDefault="003F1540" w:rsidP="001761E3">
      <w:pPr>
        <w:pStyle w:val="TOC2"/>
        <w:ind w:left="1928"/>
        <w:rPr>
          <w:rFonts w:asciiTheme="minorHAnsi" w:eastAsiaTheme="minorEastAsia" w:hAnsiTheme="minorHAnsi" w:cstheme="minorBidi"/>
          <w:kern w:val="2"/>
          <w:szCs w:val="24"/>
          <w:lang w:eastAsia="fr-FR"/>
          <w14:ligatures w14:val="standardContextual"/>
        </w:rPr>
      </w:pPr>
      <w:hyperlink w:anchor="_Toc225488916" w:history="1">
        <w:r w:rsidRPr="007D4988">
          <w:rPr>
            <w:rStyle w:val="Hyperlink"/>
          </w:rPr>
          <w:t>5.8</w:t>
        </w:r>
        <w:r w:rsidRPr="007D4988">
          <w:rPr>
            <w:rFonts w:asciiTheme="minorHAnsi" w:eastAsiaTheme="minorEastAsia" w:hAnsiTheme="minorHAnsi" w:cstheme="minorBidi"/>
            <w:kern w:val="2"/>
            <w:szCs w:val="24"/>
            <w:lang w:eastAsia="fr-FR"/>
            <w14:ligatures w14:val="standardContextual"/>
          </w:rPr>
          <w:tab/>
        </w:r>
        <w:r w:rsidRPr="007D4988">
          <w:rPr>
            <w:rStyle w:val="Hyperlink"/>
          </w:rPr>
          <w:t>Ressources humaines</w:t>
        </w:r>
        <w:r w:rsidRPr="007D4988">
          <w:rPr>
            <w:webHidden/>
          </w:rPr>
          <w:tab/>
        </w:r>
        <w:r w:rsidR="0019098D" w:rsidRPr="007D4988">
          <w:rPr>
            <w:webHidden/>
          </w:rPr>
          <w:tab/>
        </w:r>
        <w:r w:rsidRPr="007D4988">
          <w:rPr>
            <w:webHidden/>
          </w:rPr>
          <w:fldChar w:fldCharType="begin"/>
        </w:r>
        <w:r w:rsidRPr="007D4988">
          <w:rPr>
            <w:webHidden/>
          </w:rPr>
          <w:instrText xml:space="preserve"> PAGEREF _Toc225488916 \h </w:instrText>
        </w:r>
        <w:r w:rsidRPr="007D4988">
          <w:rPr>
            <w:webHidden/>
          </w:rPr>
        </w:r>
        <w:r w:rsidRPr="007D4988">
          <w:rPr>
            <w:webHidden/>
          </w:rPr>
          <w:fldChar w:fldCharType="separate"/>
        </w:r>
        <w:r w:rsidR="00B02520" w:rsidRPr="007D4988">
          <w:rPr>
            <w:webHidden/>
          </w:rPr>
          <w:t>113</w:t>
        </w:r>
        <w:r w:rsidRPr="007D4988">
          <w:rPr>
            <w:webHidden/>
          </w:rPr>
          <w:fldChar w:fldCharType="end"/>
        </w:r>
      </w:hyperlink>
    </w:p>
    <w:p w14:paraId="15E6A7F2" w14:textId="014C63CA" w:rsidR="003F1540" w:rsidRPr="007D4988" w:rsidRDefault="003F1540" w:rsidP="001761E3">
      <w:pPr>
        <w:pStyle w:val="TOC2"/>
        <w:ind w:left="1928"/>
        <w:rPr>
          <w:rFonts w:asciiTheme="minorHAnsi" w:eastAsiaTheme="minorEastAsia" w:hAnsiTheme="minorHAnsi" w:cstheme="minorBidi"/>
          <w:kern w:val="2"/>
          <w:szCs w:val="24"/>
          <w:lang w:eastAsia="fr-FR"/>
          <w14:ligatures w14:val="standardContextual"/>
        </w:rPr>
      </w:pPr>
      <w:hyperlink w:anchor="_Toc225488917" w:history="1">
        <w:r w:rsidRPr="007D4988">
          <w:rPr>
            <w:rStyle w:val="Hyperlink"/>
          </w:rPr>
          <w:t>5.9</w:t>
        </w:r>
        <w:r w:rsidRPr="007D4988">
          <w:rPr>
            <w:rFonts w:asciiTheme="minorHAnsi" w:eastAsiaTheme="minorEastAsia" w:hAnsiTheme="minorHAnsi" w:cstheme="minorBidi"/>
            <w:kern w:val="2"/>
            <w:szCs w:val="24"/>
            <w:lang w:eastAsia="fr-FR"/>
            <w14:ligatures w14:val="standardContextual"/>
          </w:rPr>
          <w:tab/>
        </w:r>
        <w:r w:rsidRPr="007D4988">
          <w:rPr>
            <w:rStyle w:val="Hyperlink"/>
          </w:rPr>
          <w:t>État d'avancement de la mise en œuvre des Résolutions de la Conférence</w:t>
        </w:r>
        <w:r w:rsidR="0095746D" w:rsidRPr="007D4988">
          <w:rPr>
            <w:rStyle w:val="Hyperlink"/>
          </w:rPr>
          <w:t xml:space="preserve"> </w:t>
        </w:r>
        <w:r w:rsidRPr="007D4988">
          <w:rPr>
            <w:rStyle w:val="Hyperlink"/>
          </w:rPr>
          <w:t>de plénipotentiaires</w:t>
        </w:r>
        <w:r w:rsidRPr="007D4988">
          <w:rPr>
            <w:webHidden/>
          </w:rPr>
          <w:tab/>
        </w:r>
        <w:r w:rsidR="0019098D" w:rsidRPr="007D4988">
          <w:rPr>
            <w:webHidden/>
          </w:rPr>
          <w:tab/>
        </w:r>
        <w:r w:rsidRPr="007D4988">
          <w:rPr>
            <w:webHidden/>
          </w:rPr>
          <w:fldChar w:fldCharType="begin"/>
        </w:r>
        <w:r w:rsidRPr="007D4988">
          <w:rPr>
            <w:webHidden/>
          </w:rPr>
          <w:instrText xml:space="preserve"> PAGEREF _Toc225488917 \h </w:instrText>
        </w:r>
        <w:r w:rsidRPr="007D4988">
          <w:rPr>
            <w:webHidden/>
          </w:rPr>
        </w:r>
        <w:r w:rsidRPr="007D4988">
          <w:rPr>
            <w:webHidden/>
          </w:rPr>
          <w:fldChar w:fldCharType="separate"/>
        </w:r>
        <w:r w:rsidR="00B02520" w:rsidRPr="007D4988">
          <w:rPr>
            <w:webHidden/>
          </w:rPr>
          <w:t>116</w:t>
        </w:r>
        <w:r w:rsidRPr="007D4988">
          <w:rPr>
            <w:webHidden/>
          </w:rPr>
          <w:fldChar w:fldCharType="end"/>
        </w:r>
      </w:hyperlink>
    </w:p>
    <w:p w14:paraId="17A14002" w14:textId="0AD61DC8" w:rsidR="008D0C6D" w:rsidRPr="007D4988" w:rsidRDefault="003F1540" w:rsidP="008D0C6D">
      <w:pPr>
        <w:rPr>
          <w:rFonts w:eastAsia="MS Mincho"/>
        </w:rPr>
      </w:pPr>
      <w:r w:rsidRPr="007D4988">
        <w:rPr>
          <w:rFonts w:eastAsia="MS Mincho"/>
        </w:rPr>
        <w:fldChar w:fldCharType="end"/>
      </w:r>
      <w:r w:rsidR="008D0C6D" w:rsidRPr="007D4988">
        <w:rPr>
          <w:rFonts w:eastAsia="MS Mincho"/>
        </w:rPr>
        <w:br w:type="page"/>
      </w:r>
    </w:p>
    <w:p w14:paraId="46F11129" w14:textId="10F9AD85" w:rsidR="008D0C6D" w:rsidRPr="007D4988" w:rsidRDefault="008D0C6D" w:rsidP="008D0C6D">
      <w:pPr>
        <w:pStyle w:val="Heading1"/>
      </w:pPr>
      <w:bookmarkStart w:id="0" w:name="_Toc224288787"/>
      <w:bookmarkStart w:id="1" w:name="_Toc225488864"/>
      <w:bookmarkStart w:id="2" w:name="_Toc148012655"/>
      <w:r w:rsidRPr="007D4988">
        <w:t>i</w:t>
      </w:r>
      <w:r w:rsidRPr="007D4988">
        <w:tab/>
        <w:t>Résumé analytique</w:t>
      </w:r>
      <w:bookmarkEnd w:id="0"/>
      <w:bookmarkEnd w:id="1"/>
    </w:p>
    <w:p w14:paraId="292C3B65" w14:textId="4F4F5D58" w:rsidR="008D0C6D" w:rsidRPr="007D4988" w:rsidRDefault="008D0C6D" w:rsidP="008D0C6D">
      <w:pPr>
        <w:rPr>
          <w:rFonts w:asciiTheme="minorHAnsi" w:eastAsia="MS Mincho" w:hAnsiTheme="minorHAnsi" w:cstheme="minorHAnsi"/>
          <w:sz w:val="22"/>
          <w:szCs w:val="22"/>
        </w:rPr>
      </w:pPr>
      <w:r w:rsidRPr="007D4988">
        <w:t>Le présent rapport rend compte de la mise en œuvre des plans stratégiques et des activités de l</w:t>
      </w:r>
      <w:r w:rsidR="001F6F64" w:rsidRPr="007D4988">
        <w:t>'</w:t>
      </w:r>
      <w:r w:rsidRPr="007D4988">
        <w:t>Union internationale des télécommunications (UIT) au cours de la période allant d</w:t>
      </w:r>
      <w:r w:rsidR="00AF1AC5" w:rsidRPr="007D4988">
        <w:t>'octobre</w:t>
      </w:r>
      <w:r w:rsidR="00E649A2" w:rsidRPr="007D4988">
        <w:t> </w:t>
      </w:r>
      <w:r w:rsidRPr="007D4988">
        <w:t xml:space="preserve">2022 à </w:t>
      </w:r>
      <w:r w:rsidR="00E62B13" w:rsidRPr="007D4988">
        <w:t xml:space="preserve">mars </w:t>
      </w:r>
      <w:r w:rsidRPr="007D4988">
        <w:t>202</w:t>
      </w:r>
      <w:r w:rsidR="00E62B13" w:rsidRPr="007D4988">
        <w:t>6</w:t>
      </w:r>
      <w:r w:rsidRPr="007D4988">
        <w:t>. Il porte sur l</w:t>
      </w:r>
      <w:r w:rsidR="001F6F64" w:rsidRPr="007D4988">
        <w:t>'</w:t>
      </w:r>
      <w:r w:rsidRPr="007D4988">
        <w:t xml:space="preserve">achèvement du </w:t>
      </w:r>
      <w:r w:rsidR="001D65AA" w:rsidRPr="007D4988">
        <w:t>P</w:t>
      </w:r>
      <w:r w:rsidRPr="007D4988">
        <w:t>lan stratégique quadriennal de l</w:t>
      </w:r>
      <w:r w:rsidR="001F6F64" w:rsidRPr="007D4988">
        <w:t>'</w:t>
      </w:r>
      <w:r w:rsidRPr="007D4988">
        <w:t xml:space="preserve">organisation pour la période 2020-2023 (Résolution </w:t>
      </w:r>
      <w:hyperlink r:id="rId13" w:history="1">
        <w:r w:rsidRPr="007D4988">
          <w:rPr>
            <w:rStyle w:val="Hyperlink"/>
            <w:rFonts w:eastAsia="Times New Roman" w:cs="Times New Roman"/>
            <w:szCs w:val="20"/>
          </w:rPr>
          <w:t>71</w:t>
        </w:r>
      </w:hyperlink>
      <w:r w:rsidRPr="007D4988">
        <w:t xml:space="preserve"> (Rév. Dubaï, 2018)) et sur les progrès accomplis au cours des deux premières années au regard du </w:t>
      </w:r>
      <w:r w:rsidR="001D65AA" w:rsidRPr="007D4988">
        <w:t>P</w:t>
      </w:r>
      <w:r w:rsidRPr="007D4988">
        <w:t xml:space="preserve">lan stratégique pour la période 2024-2027 (Résolution </w:t>
      </w:r>
      <w:hyperlink r:id="rId14" w:history="1">
        <w:r w:rsidRPr="007D4988">
          <w:rPr>
            <w:rStyle w:val="Hyperlink"/>
            <w:rFonts w:eastAsia="Times New Roman" w:cs="Times New Roman"/>
            <w:szCs w:val="20"/>
          </w:rPr>
          <w:t>71</w:t>
        </w:r>
      </w:hyperlink>
      <w:r w:rsidRPr="007D4988">
        <w:t xml:space="preserve"> (Rév. Bucarest, 2022)).</w:t>
      </w:r>
      <w:hyperlink r:id="rId15" w:history="1"/>
      <w:hyperlink r:id="rId16" w:history="1"/>
    </w:p>
    <w:p w14:paraId="20EF61F1" w14:textId="3B25A862" w:rsidR="008D0C6D" w:rsidRPr="007D4988" w:rsidRDefault="008D0C6D" w:rsidP="008D0C6D">
      <w:pPr>
        <w:rPr>
          <w:rFonts w:asciiTheme="minorHAnsi" w:eastAsia="MS Mincho" w:hAnsiTheme="minorHAnsi" w:cstheme="minorHAnsi"/>
          <w:sz w:val="22"/>
          <w:szCs w:val="22"/>
        </w:rPr>
      </w:pPr>
      <w:r w:rsidRPr="007D4988">
        <w:t>Au cours de la dernière période considérée, l</w:t>
      </w:r>
      <w:r w:rsidR="001F6F64" w:rsidRPr="007D4988">
        <w:t>'</w:t>
      </w:r>
      <w:r w:rsidRPr="007D4988">
        <w:t>UIT a mis en place un programme ambitieux visant à connecter tous les habitants de la planète et à faire en sorte que les technologies numériques profitent à tous de manière durable. Cette période de près de quatre ans a été marquée par l</w:t>
      </w:r>
      <w:r w:rsidR="001F6F64" w:rsidRPr="007D4988">
        <w:t>'</w:t>
      </w:r>
      <w:r w:rsidRPr="007D4988">
        <w:t>accélération de l</w:t>
      </w:r>
      <w:r w:rsidR="001F6F64" w:rsidRPr="007D4988">
        <w:t>'</w:t>
      </w:r>
      <w:r w:rsidRPr="007D4988">
        <w:t>évolution technologique, l</w:t>
      </w:r>
      <w:r w:rsidR="001F6F64" w:rsidRPr="007D4988">
        <w:t>'</w:t>
      </w:r>
      <w:r w:rsidRPr="007D4988">
        <w:t>élargissement des partenariats et l</w:t>
      </w:r>
      <w:r w:rsidR="001F6F64" w:rsidRPr="007D4988">
        <w:t>'</w:t>
      </w:r>
      <w:r w:rsidRPr="007D4988">
        <w:t>approfondissement de la transformation institutionnelle visant à renforcer l</w:t>
      </w:r>
      <w:r w:rsidR="001F6F64" w:rsidRPr="007D4988">
        <w:t>'</w:t>
      </w:r>
      <w:r w:rsidRPr="007D4988">
        <w:t>efficacité et la portée de l</w:t>
      </w:r>
      <w:r w:rsidR="001F6F64" w:rsidRPr="007D4988">
        <w:t>'</w:t>
      </w:r>
      <w:r w:rsidRPr="007D4988">
        <w:t>UIT pour les années à venir.</w:t>
      </w:r>
    </w:p>
    <w:p w14:paraId="1A8D22A2" w14:textId="557F2754" w:rsidR="008D0C6D" w:rsidRPr="007D4988" w:rsidRDefault="008D0C6D" w:rsidP="008D0C6D">
      <w:pPr>
        <w:rPr>
          <w:rFonts w:asciiTheme="minorHAnsi" w:eastAsia="Calibri" w:hAnsiTheme="minorHAnsi" w:cstheme="minorHAnsi"/>
          <w:sz w:val="22"/>
          <w:szCs w:val="22"/>
        </w:rPr>
      </w:pPr>
      <w:r w:rsidRPr="007D4988">
        <w:t>Dans le monde qui nous entoure, la connectivité Internet a continué de se développer, l</w:t>
      </w:r>
      <w:r w:rsidR="001F6F64" w:rsidRPr="007D4988">
        <w:t>'</w:t>
      </w:r>
      <w:r w:rsidRPr="007D4988">
        <w:t>utilisation passant d</w:t>
      </w:r>
      <w:r w:rsidR="001F6F64" w:rsidRPr="007D4988">
        <w:t>'</w:t>
      </w:r>
      <w:r w:rsidRPr="007D4988">
        <w:t>environ 67</w:t>
      </w:r>
      <w:r w:rsidR="001F6F64" w:rsidRPr="007D4988">
        <w:t>%</w:t>
      </w:r>
      <w:r w:rsidRPr="007D4988">
        <w:t xml:space="preserve"> de la population mondiale en 2022 à près de</w:t>
      </w:r>
      <w:r w:rsidR="00AF1AC5" w:rsidRPr="007D4988">
        <w:t> </w:t>
      </w:r>
      <w:r w:rsidRPr="007D4988">
        <w:t>74</w:t>
      </w:r>
      <w:r w:rsidR="001F6F64" w:rsidRPr="007D4988">
        <w:t>%</w:t>
      </w:r>
      <w:r w:rsidR="00E649A2" w:rsidRPr="007D4988">
        <w:t> </w:t>
      </w:r>
      <w:r w:rsidRPr="007D4988">
        <w:t>en</w:t>
      </w:r>
      <w:r w:rsidR="00E649A2" w:rsidRPr="007D4988">
        <w:t> </w:t>
      </w:r>
      <w:r w:rsidRPr="007D4988">
        <w:t>2025. Cette croissance masque pourtant des inégalités profondes et persistantes. En</w:t>
      </w:r>
      <w:r w:rsidR="00E649A2" w:rsidRPr="007D4988">
        <w:t> </w:t>
      </w:r>
      <w:r w:rsidRPr="007D4988">
        <w:t>2025, seuls 23</w:t>
      </w:r>
      <w:r w:rsidR="001F6F64" w:rsidRPr="007D4988">
        <w:t>%</w:t>
      </w:r>
      <w:r w:rsidRPr="007D4988">
        <w:t xml:space="preserve"> des habitants des pays à faible revenu étaient connectés, contre</w:t>
      </w:r>
      <w:r w:rsidR="00AF1AC5" w:rsidRPr="007D4988">
        <w:t> </w:t>
      </w:r>
      <w:r w:rsidRPr="007D4988">
        <w:t>94</w:t>
      </w:r>
      <w:r w:rsidR="001F6F64" w:rsidRPr="007D4988">
        <w:t>%</w:t>
      </w:r>
      <w:r w:rsidR="00E649A2" w:rsidRPr="007D4988">
        <w:t> </w:t>
      </w:r>
      <w:r w:rsidRPr="007D4988">
        <w:t>dans les pays à revenu élevé. Des disparités importantes subsistent également entre les populations urbaines (85</w:t>
      </w:r>
      <w:r w:rsidR="001F6F64" w:rsidRPr="007D4988">
        <w:t>%</w:t>
      </w:r>
      <w:r w:rsidRPr="007D4988">
        <w:t xml:space="preserve"> de la population connectée) et les populations rurales (58</w:t>
      </w:r>
      <w:r w:rsidR="001F6F64" w:rsidRPr="007D4988">
        <w:t>%</w:t>
      </w:r>
      <w:r w:rsidRPr="007D4988">
        <w:t xml:space="preserve"> de la population connectée).</w:t>
      </w:r>
    </w:p>
    <w:p w14:paraId="337670A7" w14:textId="719D2B1E" w:rsidR="008D0C6D" w:rsidRPr="007D4988" w:rsidRDefault="008D0C6D" w:rsidP="008D0C6D">
      <w:pPr>
        <w:rPr>
          <w:rFonts w:asciiTheme="minorHAnsi" w:eastAsia="Calibri" w:hAnsiTheme="minorHAnsi" w:cstheme="minorHAnsi"/>
          <w:sz w:val="22"/>
          <w:szCs w:val="22"/>
        </w:rPr>
      </w:pPr>
      <w:r w:rsidRPr="007D4988">
        <w:t>Des écarts subsistent aussi entre les hommes et les femmes en matière d</w:t>
      </w:r>
      <w:r w:rsidR="001F6F64" w:rsidRPr="007D4988">
        <w:t>'</w:t>
      </w:r>
      <w:r w:rsidRPr="007D4988">
        <w:t>accès au numérique et d</w:t>
      </w:r>
      <w:r w:rsidR="001F6F64" w:rsidRPr="007D4988">
        <w:t>'</w:t>
      </w:r>
      <w:r w:rsidRPr="007D4988">
        <w:t>utilisation du numérique, en particulier dans les pays les moins avancés. À</w:t>
      </w:r>
      <w:r w:rsidR="00AF1AC5" w:rsidRPr="007D4988">
        <w:t> </w:t>
      </w:r>
      <w:r w:rsidRPr="007D4988">
        <w:t>l</w:t>
      </w:r>
      <w:r w:rsidR="001F6F64" w:rsidRPr="007D4988">
        <w:t>'</w:t>
      </w:r>
      <w:r w:rsidRPr="007D4988">
        <w:t>échelle mondiale, 77</w:t>
      </w:r>
      <w:r w:rsidR="001F6F64" w:rsidRPr="007D4988">
        <w:t>%</w:t>
      </w:r>
      <w:r w:rsidRPr="007D4988">
        <w:t xml:space="preserve"> des hommes utilisaient l</w:t>
      </w:r>
      <w:r w:rsidR="001F6F64" w:rsidRPr="007D4988">
        <w:t>'</w:t>
      </w:r>
      <w:r w:rsidRPr="007D4988">
        <w:t>Internet en 2025, contre 71</w:t>
      </w:r>
      <w:r w:rsidR="001F6F64" w:rsidRPr="007D4988">
        <w:t>%</w:t>
      </w:r>
      <w:r w:rsidRPr="007D4988">
        <w:t xml:space="preserve"> des femmes. Les hommes étaient 280 millions plus nombreux que les femmes à utiliser l'Internet en</w:t>
      </w:r>
      <w:r w:rsidR="003E1BE8" w:rsidRPr="007D4988">
        <w:t> </w:t>
      </w:r>
      <w:r w:rsidRPr="007D4988">
        <w:t>2025, malgré une augmentation de près de 45</w:t>
      </w:r>
      <w:r w:rsidR="001F6F64" w:rsidRPr="007D4988">
        <w:t>%</w:t>
      </w:r>
      <w:r w:rsidRPr="007D4988">
        <w:t xml:space="preserve"> de l</w:t>
      </w:r>
      <w:r w:rsidR="001F6F64" w:rsidRPr="007D4988">
        <w:t>'</w:t>
      </w:r>
      <w:r w:rsidRPr="007D4988">
        <w:t>utilisation de l</w:t>
      </w:r>
      <w:r w:rsidR="001F6F64" w:rsidRPr="007D4988">
        <w:t>'</w:t>
      </w:r>
      <w:r w:rsidRPr="007D4988">
        <w:t>Internet chez les femmes et les hommes depuis 2019. Les jeunes utilisateurs, quant à eux, restent à l</w:t>
      </w:r>
      <w:r w:rsidR="001F6F64" w:rsidRPr="007D4988">
        <w:t>'</w:t>
      </w:r>
      <w:r w:rsidRPr="007D4988">
        <w:t>avant</w:t>
      </w:r>
      <w:r w:rsidR="00AF1AC5" w:rsidRPr="007D4988">
        <w:noBreakHyphen/>
      </w:r>
      <w:r w:rsidRPr="007D4988">
        <w:t>garde de l</w:t>
      </w:r>
      <w:r w:rsidR="001F6F64" w:rsidRPr="007D4988">
        <w:t>'</w:t>
      </w:r>
      <w:r w:rsidRPr="007D4988">
        <w:t>adoption du numérique, 82</w:t>
      </w:r>
      <w:r w:rsidR="001F6F64" w:rsidRPr="007D4988">
        <w:t>%</w:t>
      </w:r>
      <w:r w:rsidRPr="007D4988">
        <w:t xml:space="preserve"> des jeunes âgés de 15 à 24 ans utilisant l'Internet en 2025, contre 72</w:t>
      </w:r>
      <w:r w:rsidR="001F6F64" w:rsidRPr="007D4988">
        <w:t>%</w:t>
      </w:r>
      <w:r w:rsidRPr="007D4988">
        <w:t xml:space="preserve"> du reste de la population.</w:t>
      </w:r>
    </w:p>
    <w:p w14:paraId="61CC7B4D" w14:textId="4ECC7C3C" w:rsidR="008D0C6D" w:rsidRPr="007D4988" w:rsidRDefault="008D0C6D" w:rsidP="008D0C6D">
      <w:pPr>
        <w:rPr>
          <w:rFonts w:asciiTheme="minorHAnsi" w:eastAsia="Calibri" w:hAnsiTheme="minorHAnsi" w:cstheme="minorHAnsi"/>
          <w:sz w:val="22"/>
          <w:szCs w:val="22"/>
        </w:rPr>
      </w:pPr>
      <w:r w:rsidRPr="007D4988">
        <w:t>L</w:t>
      </w:r>
      <w:r w:rsidR="001F6F64" w:rsidRPr="007D4988">
        <w:t>'</w:t>
      </w:r>
      <w:r w:rsidRPr="007D4988">
        <w:t>accessibilité financière du numérique s</w:t>
      </w:r>
      <w:r w:rsidR="001F6F64" w:rsidRPr="007D4988">
        <w:t>'</w:t>
      </w:r>
      <w:r w:rsidRPr="007D4988">
        <w:t>est améliorée dans le monde entier: les prix médians du large bande mobile sont passés de 2</w:t>
      </w:r>
      <w:r w:rsidR="001F6F64" w:rsidRPr="007D4988">
        <w:t>%</w:t>
      </w:r>
      <w:r w:rsidRPr="007D4988">
        <w:t xml:space="preserve"> à 1,4</w:t>
      </w:r>
      <w:r w:rsidR="001F6F64" w:rsidRPr="007D4988">
        <w:t>%</w:t>
      </w:r>
      <w:r w:rsidRPr="007D4988">
        <w:t xml:space="preserve"> du revenu national brut (RNB) par habitant et une baisse des prix du large bande fixe de 3,1</w:t>
      </w:r>
      <w:r w:rsidR="001F6F64" w:rsidRPr="007D4988">
        <w:t>%</w:t>
      </w:r>
      <w:r w:rsidRPr="007D4988">
        <w:t xml:space="preserve"> à 2,5</w:t>
      </w:r>
      <w:r w:rsidR="001F6F64" w:rsidRPr="007D4988">
        <w:t>%</w:t>
      </w:r>
      <w:r w:rsidRPr="007D4988">
        <w:t xml:space="preserve"> au cours de la période</w:t>
      </w:r>
      <w:r w:rsidR="00E649A2" w:rsidRPr="007D4988">
        <w:t> </w:t>
      </w:r>
      <w:r w:rsidRPr="007D4988">
        <w:t>2022-2025. Malgré ces avancées, des milliards de personnes n</w:t>
      </w:r>
      <w:r w:rsidR="001F6F64" w:rsidRPr="007D4988">
        <w:t>'</w:t>
      </w:r>
      <w:r w:rsidRPr="007D4988">
        <w:t>ont toujours pas accès à des services abordables, ne disposent pas des compétences numériques de base, n</w:t>
      </w:r>
      <w:r w:rsidR="001F6F64" w:rsidRPr="007D4988">
        <w:t>'</w:t>
      </w:r>
      <w:r w:rsidRPr="007D4988">
        <w:t>ont pas accès aux dispositifs ou n</w:t>
      </w:r>
      <w:r w:rsidR="001F6F64" w:rsidRPr="007D4988">
        <w:t>'</w:t>
      </w:r>
      <w:r w:rsidRPr="007D4988">
        <w:t>ont pas confiance dans la sécurité sur Internet.</w:t>
      </w:r>
    </w:p>
    <w:p w14:paraId="7CA3217F" w14:textId="77777777" w:rsidR="008D0C6D" w:rsidRPr="007D4988" w:rsidRDefault="008D0C6D" w:rsidP="008D0C6D">
      <w:pPr>
        <w:pStyle w:val="Headingb"/>
        <w:rPr>
          <w:rFonts w:asciiTheme="minorHAnsi" w:eastAsia="Calibri" w:hAnsiTheme="minorHAnsi" w:cstheme="minorHAnsi"/>
          <w:sz w:val="22"/>
          <w:szCs w:val="22"/>
        </w:rPr>
      </w:pPr>
      <w:r w:rsidRPr="007D4988">
        <w:t>Conférences statutaires mondiales</w:t>
      </w:r>
    </w:p>
    <w:p w14:paraId="1948EDE4" w14:textId="48272941" w:rsidR="008D0C6D" w:rsidRPr="007D4988" w:rsidRDefault="008D0C6D" w:rsidP="008D0C6D">
      <w:pPr>
        <w:rPr>
          <w:rFonts w:asciiTheme="minorHAnsi" w:eastAsia="Calibri" w:hAnsiTheme="minorHAnsi" w:cstheme="minorHAnsi"/>
          <w:sz w:val="22"/>
          <w:szCs w:val="22"/>
        </w:rPr>
      </w:pPr>
      <w:r w:rsidRPr="007D4988">
        <w:t>Au cours de la période, cinq conférences statutaires de l</w:t>
      </w:r>
      <w:r w:rsidR="001F6F64" w:rsidRPr="007D4988">
        <w:t>'</w:t>
      </w:r>
      <w:r w:rsidRPr="007D4988">
        <w:t>UIT ont permis d'encadrer les discussions sur les politiques et les technologies, permettant aux membres et aux partenaires de trouver un alignement en ce qui concerne la coordination du spectre partagé, la normalisation des technologies et les objectifs de développement du numérique.</w:t>
      </w:r>
    </w:p>
    <w:p w14:paraId="1DDAF4E9" w14:textId="3B746C0B" w:rsidR="008D0C6D" w:rsidRPr="007D4988" w:rsidRDefault="008D0C6D" w:rsidP="008D0C6D">
      <w:pPr>
        <w:rPr>
          <w:rFonts w:asciiTheme="minorHAnsi" w:eastAsia="MS Mincho" w:hAnsiTheme="minorHAnsi" w:cstheme="minorHAnsi"/>
          <w:sz w:val="22"/>
          <w:szCs w:val="22"/>
        </w:rPr>
      </w:pPr>
      <w:r w:rsidRPr="007D4988">
        <w:t>La Conférence de plénipotentiaires (</w:t>
      </w:r>
      <w:hyperlink r:id="rId17" w:history="1">
        <w:r w:rsidRPr="007D4988">
          <w:rPr>
            <w:rStyle w:val="Hyperlink"/>
            <w:rFonts w:eastAsia="Times New Roman" w:cs="Times New Roman"/>
            <w:szCs w:val="20"/>
          </w:rPr>
          <w:t>PP-22</w:t>
        </w:r>
      </w:hyperlink>
      <w:r w:rsidRPr="007D4988">
        <w:t>), qui s</w:t>
      </w:r>
      <w:r w:rsidR="001F6F64" w:rsidRPr="007D4988">
        <w:t>'</w:t>
      </w:r>
      <w:r w:rsidRPr="007D4988">
        <w:t>est tenue à Bucarest (Roumanie), a défini les orientations stratégiques de l</w:t>
      </w:r>
      <w:r w:rsidR="001F6F64" w:rsidRPr="007D4988">
        <w:t>'</w:t>
      </w:r>
      <w:r w:rsidRPr="007D4988">
        <w:t xml:space="preserve">UIT pour la période à venir dans le cadre du </w:t>
      </w:r>
      <w:r w:rsidR="001D65AA" w:rsidRPr="007D4988">
        <w:t>P</w:t>
      </w:r>
      <w:r w:rsidRPr="007D4988">
        <w:t>lan stratégique pour 2024-2027. La Conférence a modifié 56 Résolutions, en a adopté six</w:t>
      </w:r>
      <w:r w:rsidR="00AF0F8F" w:rsidRPr="007D4988">
        <w:t> </w:t>
      </w:r>
      <w:r w:rsidRPr="007D4988">
        <w:t>nouvelles et a lancé d</w:t>
      </w:r>
      <w:r w:rsidR="001F6F64" w:rsidRPr="007D4988">
        <w:t>'</w:t>
      </w:r>
      <w:r w:rsidRPr="007D4988">
        <w:t>importants axes de travail sur l</w:t>
      </w:r>
      <w:r w:rsidR="001F6F64" w:rsidRPr="007D4988">
        <w:t>'</w:t>
      </w:r>
      <w:r w:rsidRPr="007D4988">
        <w:t>intelligence artificielle (IA), la durabilité de l</w:t>
      </w:r>
      <w:r w:rsidR="001F6F64" w:rsidRPr="007D4988">
        <w:t>'</w:t>
      </w:r>
      <w:r w:rsidRPr="007D4988">
        <w:t>espace extra-atmosphérique, l</w:t>
      </w:r>
      <w:r w:rsidR="001F6F64" w:rsidRPr="007D4988">
        <w:t>'</w:t>
      </w:r>
      <w:r w:rsidRPr="007D4988">
        <w:t>égalité hommes-femmes, l</w:t>
      </w:r>
      <w:r w:rsidR="001F6F64" w:rsidRPr="007D4988">
        <w:t>'</w:t>
      </w:r>
      <w:r w:rsidRPr="007D4988">
        <w:t>action climatique, la préparation aux pandémies et les villes intelligentes. Cette Conférence a également franchi une étape historique, avec l</w:t>
      </w:r>
      <w:r w:rsidR="001F6F64" w:rsidRPr="007D4988">
        <w:t>'</w:t>
      </w:r>
      <w:r w:rsidRPr="007D4988">
        <w:t>élection de la première femme en tant que Secrétaire générale de l</w:t>
      </w:r>
      <w:r w:rsidR="001F6F64" w:rsidRPr="007D4988">
        <w:t>'</w:t>
      </w:r>
      <w:r w:rsidRPr="007D4988">
        <w:t>UIT.</w:t>
      </w:r>
      <w:hyperlink r:id="rId18" w:history="1"/>
    </w:p>
    <w:p w14:paraId="73F24125" w14:textId="77777777" w:rsidR="008D0C6D" w:rsidRPr="007D4988" w:rsidRDefault="008D0C6D" w:rsidP="008D0C6D">
      <w:pPr>
        <w:rPr>
          <w:rFonts w:asciiTheme="minorHAnsi" w:eastAsia="Calibri" w:hAnsiTheme="minorHAnsi" w:cstheme="minorHAnsi"/>
          <w:sz w:val="22"/>
          <w:szCs w:val="22"/>
        </w:rPr>
      </w:pPr>
      <w:r w:rsidRPr="007D4988">
        <w:t>Les conférences statutaires qui ont été organisées jusqu'à 2025 ont renforcé et actualisé diverses activités sectorielles.</w:t>
      </w:r>
    </w:p>
    <w:p w14:paraId="2FBA129E" w14:textId="100F0E7C" w:rsidR="008D0C6D" w:rsidRPr="007D4988" w:rsidRDefault="008D0C6D" w:rsidP="008D0C6D">
      <w:pPr>
        <w:rPr>
          <w:rFonts w:asciiTheme="minorHAnsi" w:eastAsia="MS Mincho" w:hAnsiTheme="minorHAnsi" w:cstheme="minorHAnsi"/>
          <w:sz w:val="22"/>
          <w:szCs w:val="22"/>
        </w:rPr>
      </w:pPr>
      <w:r w:rsidRPr="007D4988">
        <w:t>La Conférence mondiale des radiocommunications (</w:t>
      </w:r>
      <w:hyperlink r:id="rId19" w:anchor="/fr" w:history="1">
        <w:r w:rsidRPr="007D4988">
          <w:rPr>
            <w:rStyle w:val="Hyperlink"/>
            <w:rFonts w:eastAsia="Times New Roman" w:cs="Times New Roman"/>
            <w:szCs w:val="20"/>
          </w:rPr>
          <w:t>CMR-23</w:t>
        </w:r>
      </w:hyperlink>
      <w:r w:rsidRPr="007D4988">
        <w:t>), qui s</w:t>
      </w:r>
      <w:r w:rsidR="001F6F64" w:rsidRPr="007D4988">
        <w:t>'</w:t>
      </w:r>
      <w:r w:rsidRPr="007D4988">
        <w:t>est tenue à Dubaï (Émirats arabes unis), a examiné plus de 30 points de l</w:t>
      </w:r>
      <w:r w:rsidR="001F6F64" w:rsidRPr="007D4988">
        <w:t>'</w:t>
      </w:r>
      <w:r w:rsidRPr="007D4988">
        <w:t>ordre du jour portant sur les télécommunications mobiles internationales (IMT), les services par satellite, les services maritimes et les services aéronautiques. L</w:t>
      </w:r>
      <w:r w:rsidR="001F6F64" w:rsidRPr="007D4988">
        <w:t>'</w:t>
      </w:r>
      <w:r w:rsidRPr="007D4988">
        <w:t>Assemblée des radiocommunications (</w:t>
      </w:r>
      <w:hyperlink r:id="rId20" w:anchor="/fr" w:history="1">
        <w:r w:rsidRPr="007D4988">
          <w:rPr>
            <w:rStyle w:val="Hyperlink"/>
            <w:rFonts w:eastAsia="Times New Roman" w:cs="Times New Roman"/>
            <w:szCs w:val="20"/>
          </w:rPr>
          <w:t>AR-23</w:t>
        </w:r>
      </w:hyperlink>
      <w:r w:rsidRPr="007D4988">
        <w:t xml:space="preserve">), qui a précédé la CMR-23, a élaboré le cadre applicable aux IMT-2030 (fondement pour les réseaux de télécommunication 6G en projet) et adopté de nouvelles </w:t>
      </w:r>
      <w:r w:rsidR="003E1153" w:rsidRPr="007D4988">
        <w:t>R</w:t>
      </w:r>
      <w:r w:rsidRPr="007D4988">
        <w:t>ésolutions sur l</w:t>
      </w:r>
      <w:r w:rsidR="001F6F64" w:rsidRPr="007D4988">
        <w:t>'</w:t>
      </w:r>
      <w:r w:rsidRPr="007D4988">
        <w:t>égalité hommes-femmes, le large bande et la durabilité du spectre. Ces conférences ont permis de renforcer le fonctionnement du Secteur des radiocommunications de l</w:t>
      </w:r>
      <w:r w:rsidR="001F6F64" w:rsidRPr="007D4988">
        <w:t>'</w:t>
      </w:r>
      <w:r w:rsidRPr="007D4988">
        <w:t>UIT (UIT-R), de protéger les services existants et de protéger les attributions de fréquences pour les systèmes de prochaine génération, et ont confirmé l</w:t>
      </w:r>
      <w:r w:rsidR="001F6F64" w:rsidRPr="007D4988">
        <w:t>'</w:t>
      </w:r>
      <w:r w:rsidRPr="007D4988">
        <w:t>importance croissante que revêtent l</w:t>
      </w:r>
      <w:r w:rsidR="001F6F64" w:rsidRPr="007D4988">
        <w:t>'</w:t>
      </w:r>
      <w:r w:rsidRPr="007D4988">
        <w:t>espace et les satellites pour les communications mondiales.</w:t>
      </w:r>
      <w:hyperlink r:id="rId21" w:history="1"/>
      <w:hyperlink r:id="rId22" w:history="1"/>
    </w:p>
    <w:p w14:paraId="1068F9B7" w14:textId="17B26E1A" w:rsidR="008D0C6D" w:rsidRPr="007D4988" w:rsidRDefault="008D0C6D" w:rsidP="008D0C6D">
      <w:pPr>
        <w:rPr>
          <w:rFonts w:asciiTheme="minorHAnsi" w:eastAsia="MS Mincho" w:hAnsiTheme="minorHAnsi" w:cstheme="minorHAnsi"/>
          <w:sz w:val="22"/>
          <w:szCs w:val="22"/>
        </w:rPr>
      </w:pPr>
      <w:r w:rsidRPr="007D4988">
        <w:t>L</w:t>
      </w:r>
      <w:r w:rsidR="001F6F64" w:rsidRPr="007D4988">
        <w:t>'</w:t>
      </w:r>
      <w:r w:rsidRPr="007D4988">
        <w:t>Assemblée mondiale de normalisation des télécommunications (</w:t>
      </w:r>
      <w:hyperlink r:id="rId23" w:anchor="/fr" w:history="1">
        <w:r w:rsidRPr="007D4988">
          <w:rPr>
            <w:rStyle w:val="Hyperlink"/>
            <w:rFonts w:eastAsia="Times New Roman" w:cs="Times New Roman"/>
            <w:szCs w:val="20"/>
          </w:rPr>
          <w:t>AMNT-24</w:t>
        </w:r>
      </w:hyperlink>
      <w:r w:rsidRPr="007D4988">
        <w:t>), tenue à New</w:t>
      </w:r>
      <w:r w:rsidR="00AF0F8F" w:rsidRPr="007D4988">
        <w:t> </w:t>
      </w:r>
      <w:r w:rsidRPr="007D4988">
        <w:t>Delhi (Inde), a mis l</w:t>
      </w:r>
      <w:r w:rsidR="001F6F64" w:rsidRPr="007D4988">
        <w:t>'</w:t>
      </w:r>
      <w:r w:rsidRPr="007D4988">
        <w:t>accent sur l</w:t>
      </w:r>
      <w:r w:rsidR="001F6F64" w:rsidRPr="007D4988">
        <w:t>'</w:t>
      </w:r>
      <w:r w:rsidRPr="007D4988">
        <w:t>IA, les communications d</w:t>
      </w:r>
      <w:r w:rsidR="001F6F64" w:rsidRPr="007D4988">
        <w:t>'</w:t>
      </w:r>
      <w:r w:rsidRPr="007D4988">
        <w:t>urgence et d</w:t>
      </w:r>
      <w:r w:rsidR="001F6F64" w:rsidRPr="007D4988">
        <w:t>'</w:t>
      </w:r>
      <w:r w:rsidRPr="007D4988">
        <w:t>autres priorités numériques qui évoluent rapidement. La Conférence a mis à jour la structure du Secteur de la normalisation des télécommunications de l</w:t>
      </w:r>
      <w:r w:rsidR="001F6F64" w:rsidRPr="007D4988">
        <w:t>'</w:t>
      </w:r>
      <w:r w:rsidRPr="007D4988">
        <w:t>UIT (UIT-T) et a créé la nouvelle Commission d</w:t>
      </w:r>
      <w:r w:rsidR="001F6F64" w:rsidRPr="007D4988">
        <w:t>'</w:t>
      </w:r>
      <w:r w:rsidRPr="007D4988">
        <w:t>études 21 de l</w:t>
      </w:r>
      <w:r w:rsidR="001F6F64" w:rsidRPr="007D4988">
        <w:t>'</w:t>
      </w:r>
      <w:r w:rsidRPr="007D4988">
        <w:t xml:space="preserve">UIT-T, chargée des technologies multimédia, de la fourniture de contenu et des technologies par câble. Le </w:t>
      </w:r>
      <w:r w:rsidR="001F6F64" w:rsidRPr="007D4988">
        <w:t>"</w:t>
      </w:r>
      <w:r w:rsidRPr="007D4988">
        <w:t>festival de normes</w:t>
      </w:r>
      <w:r w:rsidR="001F6F64" w:rsidRPr="007D4988">
        <w:t>"</w:t>
      </w:r>
      <w:r w:rsidRPr="007D4988">
        <w:t xml:space="preserve"> qui l</w:t>
      </w:r>
      <w:r w:rsidR="001F6F64" w:rsidRPr="007D4988">
        <w:t>'</w:t>
      </w:r>
      <w:r w:rsidRPr="007D4988">
        <w:t>accompagnait a permis de donner une vue d'ensemble de l</w:t>
      </w:r>
      <w:r w:rsidR="001F6F64" w:rsidRPr="007D4988">
        <w:t>'</w:t>
      </w:r>
      <w:r w:rsidRPr="007D4988">
        <w:t>innovation et de la collaboration intersectorielle, conformément aux objectifs de coopération numérique des Nations Unies.</w:t>
      </w:r>
      <w:hyperlink r:id="rId24" w:history="1"/>
    </w:p>
    <w:p w14:paraId="26408B71" w14:textId="4E75A894" w:rsidR="008D0C6D" w:rsidRPr="007D4988" w:rsidRDefault="008D0C6D" w:rsidP="008D0C6D">
      <w:pPr>
        <w:rPr>
          <w:rFonts w:asciiTheme="minorHAnsi" w:eastAsia="MS Mincho" w:hAnsiTheme="minorHAnsi" w:cstheme="minorHAnsi"/>
          <w:sz w:val="22"/>
          <w:szCs w:val="22"/>
        </w:rPr>
      </w:pPr>
      <w:r w:rsidRPr="007D4988">
        <w:t>La Conférence mondiale de développement des télécommunications (</w:t>
      </w:r>
      <w:hyperlink r:id="rId25" w:anchor="/fr" w:history="1">
        <w:r w:rsidRPr="007D4988">
          <w:rPr>
            <w:rStyle w:val="Hyperlink"/>
            <w:rFonts w:eastAsia="Times New Roman" w:cs="Times New Roman"/>
            <w:szCs w:val="20"/>
          </w:rPr>
          <w:t>CMDT-25</w:t>
        </w:r>
      </w:hyperlink>
      <w:r w:rsidRPr="007D4988">
        <w:t>) a adopté la Déclaration de Bakou ainsi que le Plan d</w:t>
      </w:r>
      <w:r w:rsidR="001F6F64" w:rsidRPr="007D4988">
        <w:t>'</w:t>
      </w:r>
      <w:r w:rsidRPr="007D4988">
        <w:t>action de Bakou, dont la vision est tournée vers l</w:t>
      </w:r>
      <w:r w:rsidR="001F6F64" w:rsidRPr="007D4988">
        <w:t>'</w:t>
      </w:r>
      <w:r w:rsidRPr="007D4988">
        <w:t>avenir et qui énonce les priorités du Secteur du développement des télécommunications de l</w:t>
      </w:r>
      <w:r w:rsidR="001F6F64" w:rsidRPr="007D4988">
        <w:t>'</w:t>
      </w:r>
      <w:r w:rsidRPr="007D4988">
        <w:t>UIT (UIT-D) pour la période 2026-2029. Cette Conférence a également approuvé de nouvelles initiatives régionales pour l</w:t>
      </w:r>
      <w:r w:rsidR="001F6F64" w:rsidRPr="007D4988">
        <w:t>'</w:t>
      </w:r>
      <w:r w:rsidRPr="007D4988">
        <w:t>Afrique, les Amériques, les États arabes, l</w:t>
      </w:r>
      <w:r w:rsidR="001F6F64" w:rsidRPr="007D4988">
        <w:t>'</w:t>
      </w:r>
      <w:r w:rsidRPr="007D4988">
        <w:t>Asie</w:t>
      </w:r>
      <w:r w:rsidR="00AF0F8F" w:rsidRPr="007D4988">
        <w:noBreakHyphen/>
      </w:r>
      <w:r w:rsidRPr="007D4988">
        <w:t>Pacifique, la Communauté des États indépendants (CEI) et l</w:t>
      </w:r>
      <w:r w:rsidR="001F6F64" w:rsidRPr="007D4988">
        <w:t>'</w:t>
      </w:r>
      <w:r w:rsidRPr="007D4988">
        <w:t>Europe, ciblant les besoins les plus urgents de chaque région en matière de développement numérique. Grâce à ces initiatives, l</w:t>
      </w:r>
      <w:r w:rsidR="001F6F64" w:rsidRPr="007D4988">
        <w:t>'</w:t>
      </w:r>
      <w:r w:rsidRPr="007D4988">
        <w:t xml:space="preserve">UIT est en mesure de mobiliser des ressources et de nouer des partenariats propres à </w:t>
      </w:r>
      <w:r w:rsidR="00AF0F8F" w:rsidRPr="007D4988">
        <w:t>accélérer</w:t>
      </w:r>
      <w:r w:rsidRPr="007D4988">
        <w:t xml:space="preserve"> la transformation numérique, à combler les lacunes persistantes en matière de connectivité et à soutenir les communautés vulnérables – y compris les pays les moins avancés (PMA), les pays en développement sans littoral (PDSL) et les petits États</w:t>
      </w:r>
      <w:r w:rsidR="00AF0F8F" w:rsidRPr="007D4988">
        <w:t> </w:t>
      </w:r>
      <w:r w:rsidRPr="007D4988">
        <w:t>insulaires en développement (PEID), au moyen de projets de développement concrets et axés sur les retombées.</w:t>
      </w:r>
      <w:hyperlink r:id="rId26" w:history="1"/>
    </w:p>
    <w:p w14:paraId="15323D1A" w14:textId="77777777" w:rsidR="008D0C6D" w:rsidRPr="007D4988" w:rsidRDefault="008D0C6D" w:rsidP="008D0C6D">
      <w:pPr>
        <w:pStyle w:val="Headingb"/>
        <w:rPr>
          <w:rFonts w:asciiTheme="minorHAnsi" w:eastAsia="Calibri" w:hAnsiTheme="minorHAnsi" w:cstheme="minorHAnsi"/>
          <w:sz w:val="22"/>
          <w:szCs w:val="22"/>
        </w:rPr>
      </w:pPr>
      <w:r w:rsidRPr="007D4988">
        <w:t>Résultats et impact du Plan stratégique</w:t>
      </w:r>
    </w:p>
    <w:p w14:paraId="492CF7E0" w14:textId="582A02B2" w:rsidR="00AF0F8F" w:rsidRPr="007D4988" w:rsidRDefault="008D0C6D" w:rsidP="008D0C6D">
      <w:r w:rsidRPr="007D4988">
        <w:t xml:space="preserve">Le </w:t>
      </w:r>
      <w:r w:rsidR="00AF1AC5" w:rsidRPr="007D4988">
        <w:t>P</w:t>
      </w:r>
      <w:r w:rsidRPr="007D4988">
        <w:t>lan stratégique pour la période 2020-2023 a aidé les pays du monde entier à élargir l</w:t>
      </w:r>
      <w:r w:rsidR="001F6F64" w:rsidRPr="007D4988">
        <w:t>'</w:t>
      </w:r>
      <w:r w:rsidRPr="007D4988">
        <w:t>accès à l</w:t>
      </w:r>
      <w:r w:rsidR="001F6F64" w:rsidRPr="007D4988">
        <w:t>'</w:t>
      </w:r>
      <w:r w:rsidRPr="007D4988">
        <w:t>Internet, à améliorer l</w:t>
      </w:r>
      <w:r w:rsidR="001F6F64" w:rsidRPr="007D4988">
        <w:t>'</w:t>
      </w:r>
      <w:r w:rsidRPr="007D4988">
        <w:t>accessibilité financière, à renforcer la cybersécurité et à promouvoir les politiques en matière d</w:t>
      </w:r>
      <w:r w:rsidR="001F6F64" w:rsidRPr="007D4988">
        <w:t>'</w:t>
      </w:r>
      <w:r w:rsidRPr="007D4988">
        <w:t xml:space="preserve">innovation. Le </w:t>
      </w:r>
      <w:r w:rsidR="003E1BE8" w:rsidRPr="007D4988">
        <w:t>p</w:t>
      </w:r>
      <w:r w:rsidRPr="007D4988">
        <w:t>lan stratégique suivant, concernant la période 2024-2027 a permis d'organiser les travaux de grande envergure de l</w:t>
      </w:r>
      <w:r w:rsidR="001F6F64" w:rsidRPr="007D4988">
        <w:t>'</w:t>
      </w:r>
      <w:r w:rsidRPr="007D4988">
        <w:t xml:space="preserve">UIT autour de deux objectifs primordiaux, à savoir la connectivité universelle et la transformation </w:t>
      </w:r>
      <w:r w:rsidR="00AF0F8F" w:rsidRPr="007D4988">
        <w:br w:type="page"/>
      </w:r>
    </w:p>
    <w:p w14:paraId="435EDA1F" w14:textId="2305EC81" w:rsidR="008D0C6D" w:rsidRPr="007D4988" w:rsidRDefault="008D0C6D" w:rsidP="008D0C6D">
      <w:pPr>
        <w:rPr>
          <w:rFonts w:asciiTheme="minorHAnsi" w:eastAsia="MS Mincho" w:hAnsiTheme="minorHAnsi" w:cstheme="minorHAnsi"/>
          <w:sz w:val="22"/>
          <w:szCs w:val="22"/>
        </w:rPr>
      </w:pPr>
      <w:r w:rsidRPr="007D4988">
        <w:t>numérique durable. Divers axes de travail visent à aider les pays à améliorer la qualité, la disponibilité et l</w:t>
      </w:r>
      <w:r w:rsidR="001F6F64" w:rsidRPr="007D4988">
        <w:t>'</w:t>
      </w:r>
      <w:r w:rsidRPr="007D4988">
        <w:t>accessibilité économique des connexions, ainsi que l</w:t>
      </w:r>
      <w:r w:rsidR="001F6F64" w:rsidRPr="007D4988">
        <w:t>'</w:t>
      </w:r>
      <w:r w:rsidRPr="007D4988">
        <w:t>accès aux dispositifs, les compétences, l</w:t>
      </w:r>
      <w:r w:rsidR="001F6F64" w:rsidRPr="007D4988">
        <w:t>'</w:t>
      </w:r>
      <w:r w:rsidRPr="007D4988">
        <w:t>accessibilité et la sécurité, autant d'élément</w:t>
      </w:r>
      <w:r w:rsidR="00AF0F8F" w:rsidRPr="007D4988">
        <w:t>s</w:t>
      </w:r>
      <w:r w:rsidRPr="007D4988">
        <w:t xml:space="preserve"> qui, pris ensembles, définissent une connectivité efficace.</w:t>
      </w:r>
    </w:p>
    <w:p w14:paraId="28E2C2A3" w14:textId="58F06E05" w:rsidR="008D0C6D" w:rsidRPr="007D4988" w:rsidRDefault="008D0C6D" w:rsidP="008D0C6D">
      <w:pPr>
        <w:rPr>
          <w:rFonts w:asciiTheme="minorHAnsi" w:eastAsia="MS Mincho" w:hAnsiTheme="minorHAnsi" w:cstheme="minorHAnsi"/>
          <w:sz w:val="22"/>
          <w:szCs w:val="22"/>
        </w:rPr>
      </w:pPr>
      <w:r w:rsidRPr="007D4988">
        <w:t>Au cours de la période considérée, l</w:t>
      </w:r>
      <w:r w:rsidR="001F6F64" w:rsidRPr="007D4988">
        <w:t>'</w:t>
      </w:r>
      <w:r w:rsidRPr="007D4988">
        <w:t>UIT a enregistré des avancées en matière d</w:t>
      </w:r>
      <w:r w:rsidR="001F6F64" w:rsidRPr="007D4988">
        <w:t>'</w:t>
      </w:r>
      <w:r w:rsidRPr="007D4988">
        <w:t>accessibilité financière, de possession de dispositifs et de systèmes de données. La collaboration avec l</w:t>
      </w:r>
      <w:r w:rsidR="001F6F64" w:rsidRPr="007D4988">
        <w:t>'</w:t>
      </w:r>
      <w:r w:rsidRPr="007D4988">
        <w:t>Organisation des Nations Unies pour l</w:t>
      </w:r>
      <w:r w:rsidR="001F6F64" w:rsidRPr="007D4988">
        <w:t>'</w:t>
      </w:r>
      <w:r w:rsidRPr="007D4988">
        <w:t>éducation, la science et la culture (UNESCO) a permis d</w:t>
      </w:r>
      <w:r w:rsidR="001F6F64" w:rsidRPr="007D4988">
        <w:t>'</w:t>
      </w:r>
      <w:r w:rsidRPr="007D4988">
        <w:t>améliorer la mesure du développement numérique et de la connectivité des écoles dans plus de 200 pays. L</w:t>
      </w:r>
      <w:r w:rsidR="001F6F64" w:rsidRPr="007D4988">
        <w:t>'</w:t>
      </w:r>
      <w:r w:rsidRPr="007D4988">
        <w:t>UIT appuie également l</w:t>
      </w:r>
      <w:r w:rsidR="001F6F64" w:rsidRPr="007D4988">
        <w:t>'</w:t>
      </w:r>
      <w:r w:rsidRPr="007D4988">
        <w:t>initiative Giga (voir l</w:t>
      </w:r>
      <w:r w:rsidR="004958AD" w:rsidRPr="007D4988">
        <w:t>a section</w:t>
      </w:r>
      <w:r w:rsidRPr="007D4988">
        <w:t xml:space="preserve"> </w:t>
      </w:r>
      <w:hyperlink w:anchor="Para55" w:history="1">
        <w:r w:rsidRPr="007D4988">
          <w:rPr>
            <w:rStyle w:val="Hyperlink"/>
            <w:rFonts w:eastAsia="Times New Roman" w:cs="Times New Roman"/>
            <w:szCs w:val="20"/>
          </w:rPr>
          <w:t>5.5</w:t>
        </w:r>
      </w:hyperlink>
      <w:r w:rsidRPr="007D4988">
        <w:t>), initiative menée conjointement avec le Fonds des Nations Unies pour l</w:t>
      </w:r>
      <w:r w:rsidR="001F6F64" w:rsidRPr="007D4988">
        <w:t>'</w:t>
      </w:r>
      <w:r w:rsidRPr="007D4988">
        <w:t>enfance (UNICEF) en vue de connecter toutes les écoles du monde à l</w:t>
      </w:r>
      <w:r w:rsidR="001F6F64" w:rsidRPr="007D4988">
        <w:t>'</w:t>
      </w:r>
      <w:r w:rsidRPr="007D4988">
        <w:t>Internet.</w:t>
      </w:r>
      <w:hyperlink w:anchor="_5.5￼Partnerships_and_international" w:history="1"/>
    </w:p>
    <w:p w14:paraId="1E51A5DB" w14:textId="5A5BE70D" w:rsidR="008D0C6D" w:rsidRPr="007D4988" w:rsidRDefault="00AF1AC5" w:rsidP="008D0C6D">
      <w:pPr>
        <w:rPr>
          <w:rFonts w:asciiTheme="minorHAnsi" w:eastAsia="Calibri" w:hAnsiTheme="minorHAnsi" w:cstheme="minorHAnsi"/>
          <w:sz w:val="22"/>
          <w:szCs w:val="22"/>
        </w:rPr>
      </w:pPr>
      <w:r w:rsidRPr="007D4988">
        <w:t>Les capacités en matière de cybersécurité ont continué de croître: le nombre de pays ayant créé des équipes nationales d'intervention en cas d</w:t>
      </w:r>
      <w:r w:rsidR="00292D54" w:rsidRPr="007D4988">
        <w:t>'</w:t>
      </w:r>
      <w:r w:rsidR="0020130E" w:rsidRPr="007D4988">
        <w:t>incident informatique</w:t>
      </w:r>
      <w:r w:rsidRPr="007D4988">
        <w:t xml:space="preserve"> (CIRT) est passé de</w:t>
      </w:r>
      <w:r w:rsidR="00292D54" w:rsidRPr="007D4988">
        <w:t> </w:t>
      </w:r>
      <w:r w:rsidRPr="007D4988">
        <w:t>109 en 2020 à 132 en 2024, tandis que le nombre de pays ayant adopté des stratégies nationales de cybersécurité est passé de 107 à 127 au cours de la même période. Le nombre de politiques d'accessibilité pour les personnes handicapées a considérablement augmenté, 127 pays mettant en œuvre des cadres nationaux pour l'accessibilité des technologies de l'information et de la communication (TIC) à la fin de 2024.</w:t>
      </w:r>
    </w:p>
    <w:p w14:paraId="3D5496B4" w14:textId="2DE21D35" w:rsidR="008D0C6D" w:rsidRPr="007D4988" w:rsidRDefault="008D0C6D" w:rsidP="008D0C6D">
      <w:pPr>
        <w:rPr>
          <w:rFonts w:asciiTheme="minorHAnsi" w:eastAsia="Calibri" w:hAnsiTheme="minorHAnsi" w:cstheme="minorHAnsi"/>
          <w:sz w:val="22"/>
          <w:szCs w:val="22"/>
        </w:rPr>
      </w:pPr>
      <w:r w:rsidRPr="007D4988">
        <w:t>Entre 2022 et 2025, l</w:t>
      </w:r>
      <w:r w:rsidR="001F6F64" w:rsidRPr="007D4988">
        <w:t>'</w:t>
      </w:r>
      <w:r w:rsidRPr="007D4988">
        <w:t>UIT a aidé six pays d</w:t>
      </w:r>
      <w:r w:rsidR="001F6F64" w:rsidRPr="007D4988">
        <w:t>'</w:t>
      </w:r>
      <w:r w:rsidRPr="007D4988">
        <w:t>Afrique de l</w:t>
      </w:r>
      <w:r w:rsidR="001F6F64" w:rsidRPr="007D4988">
        <w:t>'</w:t>
      </w:r>
      <w:r w:rsidRPr="007D4988">
        <w:t>Est à élaborer des réglementations et des systèmes de données sur les déchets d'équipements électriques et électroniques (DEEE). Parallèlement, l'UIT a fait progresser de nouvelles normes internationales sur la responsabilité élargie des producteurs et les marchés publics durables.</w:t>
      </w:r>
    </w:p>
    <w:p w14:paraId="7126508D" w14:textId="3E85D9A8" w:rsidR="008D0C6D" w:rsidRPr="007D4988" w:rsidRDefault="008D0C6D" w:rsidP="008D0C6D">
      <w:pPr>
        <w:rPr>
          <w:rFonts w:asciiTheme="minorHAnsi" w:eastAsia="Calibri" w:hAnsiTheme="minorHAnsi" w:cstheme="minorHAnsi"/>
          <w:sz w:val="22"/>
          <w:szCs w:val="22"/>
        </w:rPr>
      </w:pPr>
      <w:r w:rsidRPr="007D4988">
        <w:t>Au cours de la même période, 28 pays ont bénéficié de l</w:t>
      </w:r>
      <w:r w:rsidR="001F6F64" w:rsidRPr="007D4988">
        <w:t>'</w:t>
      </w:r>
      <w:r w:rsidRPr="007D4988">
        <w:t>appui de l</w:t>
      </w:r>
      <w:r w:rsidR="001F6F64" w:rsidRPr="007D4988">
        <w:t>'</w:t>
      </w:r>
      <w:r w:rsidRPr="007D4988">
        <w:t>UIT dans le cadre de plans nationaux de télécommunications d</w:t>
      </w:r>
      <w:r w:rsidR="001F6F64" w:rsidRPr="007D4988">
        <w:t>'</w:t>
      </w:r>
      <w:r w:rsidRPr="007D4988">
        <w:t>urgence visant à renforcer la préparation mondiale aux catastrophes. L</w:t>
      </w:r>
      <w:r w:rsidR="001F6F64" w:rsidRPr="007D4988">
        <w:t>'</w:t>
      </w:r>
      <w:r w:rsidRPr="007D4988">
        <w:t>UIT a également fourni une assistance d</w:t>
      </w:r>
      <w:r w:rsidR="001F6F64" w:rsidRPr="007D4988">
        <w:t>'</w:t>
      </w:r>
      <w:r w:rsidRPr="007D4988">
        <w:t>urgence en matière de télécommunications lors de catastrophes majeures, en fournissant des équipements et un appui technique aux communautés touchées après l'ouragan Julia et le cyclone Freddy.</w:t>
      </w:r>
    </w:p>
    <w:p w14:paraId="65ED3744" w14:textId="67C47903" w:rsidR="008D0C6D" w:rsidRPr="007D4988" w:rsidRDefault="008D0C6D" w:rsidP="008D0C6D">
      <w:pPr>
        <w:rPr>
          <w:rFonts w:asciiTheme="minorHAnsi" w:eastAsia="MS Mincho" w:hAnsiTheme="minorHAnsi" w:cstheme="minorHAnsi"/>
          <w:sz w:val="22"/>
          <w:szCs w:val="22"/>
        </w:rPr>
      </w:pPr>
      <w:r w:rsidRPr="007D4988">
        <w:t>L</w:t>
      </w:r>
      <w:r w:rsidR="001F6F64" w:rsidRPr="007D4988">
        <w:t>'</w:t>
      </w:r>
      <w:r w:rsidRPr="007D4988">
        <w:t>organisation a joué un rôle clé dans l</w:t>
      </w:r>
      <w:r w:rsidR="001F6F64" w:rsidRPr="007D4988">
        <w:t>'</w:t>
      </w:r>
      <w:r w:rsidRPr="007D4988">
        <w:t>initiative du Secrétaire général de l</w:t>
      </w:r>
      <w:r w:rsidR="001F6F64" w:rsidRPr="007D4988">
        <w:t>'</w:t>
      </w:r>
      <w:r w:rsidRPr="007D4988">
        <w:t>ONU sur l</w:t>
      </w:r>
      <w:r w:rsidR="001F6F64" w:rsidRPr="007D4988">
        <w:t>'</w:t>
      </w:r>
      <w:r w:rsidRPr="007D4988">
        <w:t>alerte précoce pour tous (lancée à la COP27 en 2022), qui vise à faire en sorte que tous les habitants de la planète puissent être couverts par des alertes rapides en cas de catastrophe d</w:t>
      </w:r>
      <w:r w:rsidR="001F6F64" w:rsidRPr="007D4988">
        <w:t>'</w:t>
      </w:r>
      <w:r w:rsidRPr="007D4988">
        <w:t>ici à 2027. L</w:t>
      </w:r>
      <w:r w:rsidR="001F6F64" w:rsidRPr="007D4988">
        <w:t>'</w:t>
      </w:r>
      <w:r w:rsidRPr="007D4988">
        <w:t>UIT s</w:t>
      </w:r>
      <w:r w:rsidR="001F6F64" w:rsidRPr="007D4988">
        <w:t>'</w:t>
      </w:r>
      <w:r w:rsidRPr="007D4988">
        <w:t>est associée à l</w:t>
      </w:r>
      <w:r w:rsidR="001F6F64" w:rsidRPr="007D4988">
        <w:t>'</w:t>
      </w:r>
      <w:r w:rsidRPr="007D4988">
        <w:t>Organisation météorologique mondiale (OMM), au Bureau des Nations Unies pour la prévention des catastrophes (UNDRR) et à la Fédération internationale des Sociétés de la Croix-Rouge et du Croissant-Rouge (FICR) pour former le sous</w:t>
      </w:r>
      <w:r w:rsidR="00B32AB1" w:rsidRPr="007D4988">
        <w:noBreakHyphen/>
      </w:r>
      <w:r w:rsidRPr="007D4988">
        <w:t>groupe de l</w:t>
      </w:r>
      <w:r w:rsidR="001F6F64" w:rsidRPr="007D4988">
        <w:t>'</w:t>
      </w:r>
      <w:r w:rsidRPr="007D4988">
        <w:t>initiative sur l</w:t>
      </w:r>
      <w:r w:rsidR="001F6F64" w:rsidRPr="007D4988">
        <w:t>'</w:t>
      </w:r>
      <w:r w:rsidRPr="007D4988">
        <w:t>intelligence artificielle afin d</w:t>
      </w:r>
      <w:r w:rsidR="001F6F64" w:rsidRPr="007D4988">
        <w:t>'</w:t>
      </w:r>
      <w:r w:rsidRPr="007D4988">
        <w:t>améliorer les systèmes d</w:t>
      </w:r>
      <w:r w:rsidR="001F6F64" w:rsidRPr="007D4988">
        <w:t>'</w:t>
      </w:r>
      <w:r w:rsidRPr="007D4988">
        <w:t>alerte avancée.</w:t>
      </w:r>
    </w:p>
    <w:p w14:paraId="586E2A41" w14:textId="77777777" w:rsidR="008D0C6D" w:rsidRPr="007D4988" w:rsidRDefault="008D0C6D" w:rsidP="008D0C6D">
      <w:pPr>
        <w:pStyle w:val="Headingb"/>
        <w:rPr>
          <w:rFonts w:asciiTheme="minorHAnsi" w:eastAsia="Calibri" w:hAnsiTheme="minorHAnsi" w:cstheme="minorHAnsi"/>
          <w:sz w:val="22"/>
          <w:szCs w:val="22"/>
        </w:rPr>
      </w:pPr>
      <w:r w:rsidRPr="007D4988">
        <w:t>Rôle de premier plan en matière de normalisation technologique</w:t>
      </w:r>
    </w:p>
    <w:p w14:paraId="1557F7CD" w14:textId="6A70EED1" w:rsidR="008D0C6D" w:rsidRPr="007D4988" w:rsidRDefault="008D0C6D" w:rsidP="008D0C6D">
      <w:pPr>
        <w:rPr>
          <w:rFonts w:asciiTheme="minorHAnsi" w:eastAsia="MS Mincho" w:hAnsiTheme="minorHAnsi" w:cstheme="minorHAnsi"/>
          <w:sz w:val="22"/>
          <w:szCs w:val="22"/>
        </w:rPr>
      </w:pPr>
      <w:r w:rsidRPr="007D4988">
        <w:t>L</w:t>
      </w:r>
      <w:r w:rsidR="001F6F64" w:rsidRPr="007D4988">
        <w:t>'</w:t>
      </w:r>
      <w:r w:rsidRPr="007D4988">
        <w:t>UIT a renforcé son rôle d</w:t>
      </w:r>
      <w:r w:rsidR="001F6F64" w:rsidRPr="007D4988">
        <w:t>'</w:t>
      </w:r>
      <w:r w:rsidRPr="007D4988">
        <w:t>organisation de normalisation de premier plan en menant de nouveaux travaux axés sur les défis et les possibilités que présentent les technologies nouvelles et émergentes. L'Union a contribué à façonner les technologies de l</w:t>
      </w:r>
      <w:r w:rsidR="001F6F64" w:rsidRPr="007D4988">
        <w:t>'</w:t>
      </w:r>
      <w:r w:rsidRPr="007D4988">
        <w:t>information quantique, grâce à des initiatives telles que la base de données sur les normes quantiques, élaborée entre 2023 et 2024, et l</w:t>
      </w:r>
      <w:r w:rsidR="001F6F64" w:rsidRPr="007D4988">
        <w:t>'</w:t>
      </w:r>
      <w:r w:rsidRPr="007D4988">
        <w:t xml:space="preserve">adoption de nouvelles </w:t>
      </w:r>
      <w:r w:rsidR="003E1153" w:rsidRPr="007D4988">
        <w:t>R</w:t>
      </w:r>
      <w:r w:rsidRPr="007D4988">
        <w:t>ecommandations sur la sécurité quantique par les commissions d</w:t>
      </w:r>
      <w:r w:rsidR="001F6F64" w:rsidRPr="007D4988">
        <w:t>'</w:t>
      </w:r>
      <w:r w:rsidRPr="007D4988">
        <w:t>études de l</w:t>
      </w:r>
      <w:r w:rsidR="001F6F64" w:rsidRPr="007D4988">
        <w:t>'</w:t>
      </w:r>
      <w:r w:rsidRPr="007D4988">
        <w:t>UIT-T.</w:t>
      </w:r>
    </w:p>
    <w:p w14:paraId="6ACA346F" w14:textId="296BB5F8" w:rsidR="008D0C6D" w:rsidRPr="007D4988" w:rsidRDefault="008D0C6D" w:rsidP="00AF1AC5">
      <w:pPr>
        <w:keepLines/>
        <w:rPr>
          <w:rFonts w:asciiTheme="minorHAnsi" w:eastAsia="MS Mincho" w:hAnsiTheme="minorHAnsi" w:cstheme="minorHAnsi"/>
          <w:sz w:val="22"/>
          <w:szCs w:val="22"/>
        </w:rPr>
      </w:pPr>
      <w:r w:rsidRPr="007D4988">
        <w:t>L</w:t>
      </w:r>
      <w:r w:rsidR="001F6F64" w:rsidRPr="007D4988">
        <w:t>'</w:t>
      </w:r>
      <w:r w:rsidRPr="007D4988">
        <w:t>ONU ayant proclamé l'année 2025 "Année internationale de la science et de la technologie quantiques", l</w:t>
      </w:r>
      <w:r w:rsidR="001F6F64" w:rsidRPr="007D4988">
        <w:t>'</w:t>
      </w:r>
      <w:r w:rsidRPr="007D4988">
        <w:t xml:space="preserve">UIT a contribué à la sensibilisation au niveau mondial et a lancé sa propre initiative </w:t>
      </w:r>
      <w:r w:rsidR="001F6F64" w:rsidRPr="007D4988">
        <w:t>"</w:t>
      </w:r>
      <w:hyperlink r:id="rId27" w:anchor="/fr" w:history="1">
        <w:r w:rsidRPr="007D4988">
          <w:rPr>
            <w:rStyle w:val="Hyperlink"/>
            <w:rFonts w:eastAsia="Times New Roman" w:cs="Times New Roman"/>
            <w:szCs w:val="20"/>
          </w:rPr>
          <w:t>L'informatique quantique au service du bien social</w:t>
        </w:r>
      </w:hyperlink>
      <w:r w:rsidR="001F6F64" w:rsidRPr="007D4988">
        <w:t>"</w:t>
      </w:r>
      <w:r w:rsidRPr="007D4988">
        <w:t xml:space="preserve"> mettant en évidence les avantages potentiels et la nécessité de faire face aux risques.</w:t>
      </w:r>
      <w:hyperlink r:id="rId28" w:history="1"/>
    </w:p>
    <w:p w14:paraId="6A4A72AB" w14:textId="6AE64527" w:rsidR="008D0C6D" w:rsidRPr="007D4988" w:rsidRDefault="008D0C6D" w:rsidP="008D0C6D">
      <w:pPr>
        <w:rPr>
          <w:rFonts w:asciiTheme="minorHAnsi" w:eastAsia="MS Mincho" w:hAnsiTheme="minorHAnsi" w:cstheme="minorHAnsi"/>
          <w:sz w:val="22"/>
          <w:szCs w:val="22"/>
        </w:rPr>
      </w:pPr>
      <w:r w:rsidRPr="007D4988">
        <w:t>Un groupe spécialisé sur les mondes virtuels et le métavers dirigé par l</w:t>
      </w:r>
      <w:r w:rsidR="001F6F64" w:rsidRPr="007D4988">
        <w:t>'</w:t>
      </w:r>
      <w:r w:rsidRPr="007D4988">
        <w:t>UIT, actif jusqu</w:t>
      </w:r>
      <w:r w:rsidR="001F6F64" w:rsidRPr="007D4988">
        <w:t>'</w:t>
      </w:r>
      <w:r w:rsidRPr="007D4988">
        <w:t>à la mi</w:t>
      </w:r>
      <w:r w:rsidR="0092484B" w:rsidRPr="007D4988">
        <w:noBreakHyphen/>
      </w:r>
      <w:r w:rsidRPr="007D4988">
        <w:t>2024, a réuni plus de 17 000 participants et produit plus de 50 résultats techniques, ouvrant ainsi la voie à la nouvelle Initiative mondiale sur les mondes virtuels et l</w:t>
      </w:r>
      <w:r w:rsidR="001F6F64" w:rsidRPr="007D4988">
        <w:t>'</w:t>
      </w:r>
      <w:r w:rsidRPr="007D4988">
        <w:t>intelligence artificielle. En outre, l</w:t>
      </w:r>
      <w:r w:rsidR="001F6F64" w:rsidRPr="007D4988">
        <w:t>'</w:t>
      </w:r>
      <w:r w:rsidRPr="007D4988">
        <w:t>Activité conjointe de coordination sur la normalisation du métavers (</w:t>
      </w:r>
      <w:hyperlink r:id="rId29" w:history="1">
        <w:r w:rsidRPr="007D4988">
          <w:rPr>
            <w:rStyle w:val="Hyperlink"/>
            <w:rFonts w:eastAsia="Times New Roman" w:cs="Times New Roman"/>
            <w:szCs w:val="20"/>
          </w:rPr>
          <w:t>JCA-MV</w:t>
        </w:r>
      </w:hyperlink>
      <w:r w:rsidRPr="007D4988">
        <w:t>), créée et activée en 2025, coordonne les travaux de l</w:t>
      </w:r>
      <w:r w:rsidR="001F6F64" w:rsidRPr="007D4988">
        <w:t>'</w:t>
      </w:r>
      <w:r w:rsidRPr="007D4988">
        <w:t>UIT-T sur la normalisation du métavers et renforce la collaboration avec les organisations de normalisation externes. Parallèlement, des efforts ont été déployés pour faire progresser l</w:t>
      </w:r>
      <w:r w:rsidR="001F6F64" w:rsidRPr="007D4988">
        <w:t>'</w:t>
      </w:r>
      <w:r w:rsidRPr="007D4988">
        <w:t>Internet des objets, les jumeaux numériques et les cadres pour les villes intelligentes.</w:t>
      </w:r>
      <w:hyperlink r:id="rId30" w:history="1"/>
    </w:p>
    <w:p w14:paraId="451DFD23" w14:textId="0AAC11E4" w:rsidR="008D0C6D" w:rsidRPr="007D4988" w:rsidRDefault="008D0C6D" w:rsidP="008D0C6D">
      <w:pPr>
        <w:rPr>
          <w:rFonts w:asciiTheme="minorHAnsi" w:eastAsia="MS Mincho" w:hAnsiTheme="minorHAnsi" w:cstheme="minorHAnsi"/>
          <w:sz w:val="22"/>
          <w:szCs w:val="22"/>
        </w:rPr>
      </w:pPr>
      <w:r w:rsidRPr="007D4988">
        <w:t>L</w:t>
      </w:r>
      <w:r w:rsidR="001F6F64" w:rsidRPr="007D4988">
        <w:t>'</w:t>
      </w:r>
      <w:r w:rsidRPr="007D4988">
        <w:t>UIT a également collaboré avec d</w:t>
      </w:r>
      <w:r w:rsidR="001F6F64" w:rsidRPr="007D4988">
        <w:t>'</w:t>
      </w:r>
      <w:r w:rsidRPr="007D4988">
        <w:t>autres institutions du système des Nations Unies pour jeter les bases d</w:t>
      </w:r>
      <w:r w:rsidR="001F6F64" w:rsidRPr="007D4988">
        <w:t>'</w:t>
      </w:r>
      <w:r w:rsidRPr="007D4988">
        <w:t>une IA responsable dans un large éventail d</w:t>
      </w:r>
      <w:r w:rsidR="001F6F64" w:rsidRPr="007D4988">
        <w:t>'</w:t>
      </w:r>
      <w:r w:rsidRPr="007D4988">
        <w:t xml:space="preserve">applications. Le </w:t>
      </w:r>
      <w:hyperlink r:id="rId31" w:anchor="/fr" w:history="1">
        <w:r w:rsidRPr="007D4988">
          <w:rPr>
            <w:rStyle w:val="Hyperlink"/>
            <w:rFonts w:eastAsia="Times New Roman" w:cs="Times New Roman"/>
            <w:szCs w:val="20"/>
          </w:rPr>
          <w:t>Groupe spécialisé UIT/FAO sur l</w:t>
        </w:r>
        <w:r w:rsidR="001F6F64" w:rsidRPr="007D4988">
          <w:rPr>
            <w:rStyle w:val="Hyperlink"/>
            <w:rFonts w:eastAsia="Times New Roman" w:cs="Times New Roman"/>
            <w:szCs w:val="20"/>
          </w:rPr>
          <w:t>'</w:t>
        </w:r>
        <w:r w:rsidRPr="007D4988">
          <w:rPr>
            <w:rStyle w:val="Hyperlink"/>
            <w:rFonts w:eastAsia="Times New Roman" w:cs="Times New Roman"/>
            <w:szCs w:val="20"/>
          </w:rPr>
          <w:t>IA au service de l</w:t>
        </w:r>
        <w:r w:rsidR="001F6F64" w:rsidRPr="007D4988">
          <w:rPr>
            <w:rStyle w:val="Hyperlink"/>
            <w:rFonts w:eastAsia="Times New Roman" w:cs="Times New Roman"/>
            <w:szCs w:val="20"/>
          </w:rPr>
          <w:t>'</w:t>
        </w:r>
        <w:r w:rsidRPr="007D4988">
          <w:rPr>
            <w:rStyle w:val="Hyperlink"/>
            <w:rFonts w:eastAsia="Times New Roman" w:cs="Times New Roman"/>
            <w:szCs w:val="20"/>
          </w:rPr>
          <w:t>agriculture</w:t>
        </w:r>
      </w:hyperlink>
      <w:r w:rsidRPr="007D4988">
        <w:t xml:space="preserve"> (dirigé conjointement avec l</w:t>
      </w:r>
      <w:r w:rsidR="001F6F64" w:rsidRPr="007D4988">
        <w:t>'</w:t>
      </w:r>
      <w:r w:rsidRPr="007D4988">
        <w:t>Organisation des Nations Unies pour l</w:t>
      </w:r>
      <w:r w:rsidR="001F6F64" w:rsidRPr="007D4988">
        <w:t>'</w:t>
      </w:r>
      <w:r w:rsidRPr="007D4988">
        <w:t>alimentation et l</w:t>
      </w:r>
      <w:r w:rsidR="001F6F64" w:rsidRPr="007D4988">
        <w:t>'</w:t>
      </w:r>
      <w:r w:rsidRPr="007D4988">
        <w:t>agriculture – FAO), par exemple, a fourni des orientations sur l</w:t>
      </w:r>
      <w:r w:rsidR="001F6F64" w:rsidRPr="007D4988">
        <w:t>'</w:t>
      </w:r>
      <w:r w:rsidRPr="007D4988">
        <w:t>agriculture de précision et les systèmes alimentaires résilients au climat.</w:t>
      </w:r>
      <w:hyperlink r:id="rId32" w:history="1"/>
    </w:p>
    <w:p w14:paraId="2A84FA96" w14:textId="59A92EA2" w:rsidR="008D0C6D" w:rsidRPr="007D4988" w:rsidRDefault="008D0C6D" w:rsidP="008D0C6D">
      <w:pPr>
        <w:rPr>
          <w:rFonts w:asciiTheme="minorHAnsi" w:eastAsia="MS Mincho" w:hAnsiTheme="minorHAnsi" w:cstheme="minorHAnsi"/>
          <w:sz w:val="22"/>
          <w:szCs w:val="22"/>
        </w:rPr>
      </w:pPr>
      <w:r w:rsidRPr="007D4988">
        <w:t>L</w:t>
      </w:r>
      <w:r w:rsidR="001F6F64" w:rsidRPr="007D4988">
        <w:t>'</w:t>
      </w:r>
      <w:hyperlink r:id="rId33" w:anchor="/fr" w:history="1">
        <w:r w:rsidRPr="007D4988">
          <w:rPr>
            <w:rStyle w:val="Hyperlink"/>
            <w:rFonts w:eastAsia="Times New Roman" w:cs="Times New Roman"/>
            <w:szCs w:val="20"/>
          </w:rPr>
          <w:t>Initiative mondiale UIT-OMS-OMPI sur l</w:t>
        </w:r>
        <w:r w:rsidR="001F6F64" w:rsidRPr="007D4988">
          <w:rPr>
            <w:rStyle w:val="Hyperlink"/>
            <w:rFonts w:eastAsia="Times New Roman" w:cs="Times New Roman"/>
            <w:szCs w:val="20"/>
          </w:rPr>
          <w:t>'</w:t>
        </w:r>
        <w:r w:rsidRPr="007D4988">
          <w:rPr>
            <w:rStyle w:val="Hyperlink"/>
            <w:rFonts w:eastAsia="Times New Roman" w:cs="Times New Roman"/>
            <w:szCs w:val="20"/>
          </w:rPr>
          <w:t>IA au service de la santé</w:t>
        </w:r>
      </w:hyperlink>
      <w:r w:rsidRPr="007D4988">
        <w:t xml:space="preserve"> a donné lieu à l'élaboration de cadres d</w:t>
      </w:r>
      <w:r w:rsidR="001F6F64" w:rsidRPr="007D4988">
        <w:t>'</w:t>
      </w:r>
      <w:r w:rsidRPr="007D4988">
        <w:t>évaluation solides pour soutenir une adoption de l</w:t>
      </w:r>
      <w:r w:rsidR="001F6F64" w:rsidRPr="007D4988">
        <w:t>'</w:t>
      </w:r>
      <w:r w:rsidRPr="007D4988">
        <w:t>IA en milieu clinique qui soit sûre et fondée sur des données factuelles, complétés par des mises en œuvre de référence qui montrent comment ces normes peuvent être appliquées dans la pratique et adaptées par les régulateurs nationaux dans le domaine de la santé. Ces efforts sont encore renforcés par un appui ciblé permettant une plus grande participation des pays à revenu faible et intermédiaire.</w:t>
      </w:r>
      <w:hyperlink r:id="rId34" w:history="1"/>
    </w:p>
    <w:p w14:paraId="4A8E2249" w14:textId="77777777" w:rsidR="008D0C6D" w:rsidRPr="007D4988" w:rsidRDefault="008D0C6D" w:rsidP="008D0C6D">
      <w:pPr>
        <w:pStyle w:val="Headingb"/>
        <w:rPr>
          <w:rFonts w:asciiTheme="minorHAnsi" w:eastAsia="Calibri" w:hAnsiTheme="minorHAnsi" w:cstheme="minorHAnsi"/>
          <w:sz w:val="22"/>
          <w:szCs w:val="22"/>
        </w:rPr>
      </w:pPr>
      <w:r w:rsidRPr="007D4988">
        <w:t>Produits et services favorisant le développement du numérique</w:t>
      </w:r>
    </w:p>
    <w:p w14:paraId="49C62389" w14:textId="103C6F4A" w:rsidR="008D0C6D" w:rsidRPr="007D4988" w:rsidRDefault="008D0C6D" w:rsidP="008D0C6D">
      <w:pPr>
        <w:rPr>
          <w:rFonts w:asciiTheme="minorHAnsi" w:eastAsia="MS Mincho" w:hAnsiTheme="minorHAnsi" w:cstheme="minorHAnsi"/>
          <w:sz w:val="22"/>
          <w:szCs w:val="22"/>
        </w:rPr>
      </w:pPr>
      <w:r w:rsidRPr="007D4988">
        <w:t>L</w:t>
      </w:r>
      <w:r w:rsidR="001F6F64" w:rsidRPr="007D4988">
        <w:t>'</w:t>
      </w:r>
      <w:r w:rsidRPr="007D4988">
        <w:t>UIT a continué de faire fonction de source mondiale de confiance pour les statistiques et les analyses sur les TIC, en publiant des publications phares telles que le rapport "</w:t>
      </w:r>
      <w:hyperlink r:id="rId35" w:history="1">
        <w:r w:rsidRPr="007D4988">
          <w:rPr>
            <w:rStyle w:val="Hyperlink"/>
            <w:rFonts w:eastAsia="Times New Roman" w:cs="Times New Roman"/>
            <w:szCs w:val="20"/>
          </w:rPr>
          <w:t>Faits et chiffres</w:t>
        </w:r>
      </w:hyperlink>
      <w:r w:rsidRPr="007D4988">
        <w:t xml:space="preserve">" et le </w:t>
      </w:r>
      <w:hyperlink r:id="rId36" w:history="1">
        <w:r w:rsidRPr="007D4988">
          <w:rPr>
            <w:rStyle w:val="Hyperlink"/>
            <w:rFonts w:eastAsia="Times New Roman" w:cs="Times New Roman"/>
            <w:szCs w:val="20"/>
          </w:rPr>
          <w:t>Rapport sur la connectivité dans le monde</w:t>
        </w:r>
      </w:hyperlink>
      <w:r w:rsidRPr="007D4988">
        <w:t>. L</w:t>
      </w:r>
      <w:r w:rsidR="001F6F64" w:rsidRPr="007D4988">
        <w:t>'</w:t>
      </w:r>
      <w:r w:rsidRPr="007D4988">
        <w:t>organisation a renforcé les normes statistiques, élargi les méthodologies relatives aux mégadonnées et renforcé la coopération internationale par le biais de plates-formes telles que le Partenariat sur la mesure des TIC au service du développement. Ces activités étayent l</w:t>
      </w:r>
      <w:r w:rsidR="001F6F64" w:rsidRPr="007D4988">
        <w:t>'</w:t>
      </w:r>
      <w:r w:rsidRPr="007D4988">
        <w:t>élaboration de politiques fondées sur des données factuelles et permettent aux pays de suivre les progrès accomplis dans la réalisation des objectifs de connectivité et d</w:t>
      </w:r>
      <w:r w:rsidR="001F6F64" w:rsidRPr="007D4988">
        <w:t>'</w:t>
      </w:r>
      <w:r w:rsidRPr="007D4988">
        <w:t>inclusion numérique.</w:t>
      </w:r>
      <w:hyperlink r:id="rId37" w:history="1"/>
      <w:hyperlink r:id="rId38" w:history="1"/>
    </w:p>
    <w:p w14:paraId="514E1084" w14:textId="247310D3" w:rsidR="008D0C6D" w:rsidRPr="007D4988" w:rsidRDefault="008D0C6D" w:rsidP="008D0C6D">
      <w:pPr>
        <w:rPr>
          <w:rFonts w:asciiTheme="minorHAnsi" w:eastAsia="MS Mincho" w:hAnsiTheme="minorHAnsi" w:cstheme="minorHAnsi"/>
          <w:sz w:val="22"/>
          <w:szCs w:val="22"/>
        </w:rPr>
      </w:pPr>
      <w:r w:rsidRPr="007D4988">
        <w:t>Le renforcement des capacités a considérablement augmenté au cours de la période considérée. La participation aux programmes de l</w:t>
      </w:r>
      <w:r w:rsidR="001F6F64" w:rsidRPr="007D4988">
        <w:t>'</w:t>
      </w:r>
      <w:hyperlink r:id="rId39" w:anchor="/fr" w:history="1">
        <w:r w:rsidRPr="007D4988">
          <w:rPr>
            <w:rStyle w:val="Hyperlink"/>
            <w:rFonts w:eastAsia="Times New Roman" w:cs="Times New Roman"/>
            <w:szCs w:val="20"/>
          </w:rPr>
          <w:t>Académie de l</w:t>
        </w:r>
        <w:r w:rsidR="001F6F64" w:rsidRPr="007D4988">
          <w:rPr>
            <w:rStyle w:val="Hyperlink"/>
            <w:rFonts w:eastAsia="Times New Roman" w:cs="Times New Roman"/>
            <w:szCs w:val="20"/>
          </w:rPr>
          <w:t>'</w:t>
        </w:r>
        <w:r w:rsidRPr="007D4988">
          <w:rPr>
            <w:rStyle w:val="Hyperlink"/>
            <w:rFonts w:eastAsia="Times New Roman" w:cs="Times New Roman"/>
            <w:szCs w:val="20"/>
          </w:rPr>
          <w:t>UIT</w:t>
        </w:r>
      </w:hyperlink>
      <w:r w:rsidRPr="007D4988">
        <w:t xml:space="preserve"> est passée d</w:t>
      </w:r>
      <w:r w:rsidR="001F6F64" w:rsidRPr="007D4988">
        <w:t>'</w:t>
      </w:r>
      <w:r w:rsidRPr="007D4988">
        <w:t>environ</w:t>
      </w:r>
      <w:r w:rsidR="00B02520" w:rsidRPr="007D4988">
        <w:t> </w:t>
      </w:r>
      <w:r w:rsidRPr="007D4988">
        <w:t>26</w:t>
      </w:r>
      <w:r w:rsidR="001E53B8" w:rsidRPr="007D4988">
        <w:t> </w:t>
      </w:r>
      <w:r w:rsidRPr="007D4988">
        <w:t>000 apprenants en 2022 à plus de 83 000 en 2025, les femmes représentant</w:t>
      </w:r>
      <w:r w:rsidR="00AF1AC5" w:rsidRPr="007D4988">
        <w:t xml:space="preserve"> </w:t>
      </w:r>
      <w:r w:rsidRPr="007D4988">
        <w:t>40</w:t>
      </w:r>
      <w:r w:rsidR="001F6F64" w:rsidRPr="007D4988">
        <w:t>%</w:t>
      </w:r>
      <w:r w:rsidRPr="007D4988">
        <w:t xml:space="preserve"> des participants. Environ 150 cours ont été dispensés chaque année et ont abouti à</w:t>
      </w:r>
      <w:r w:rsidR="00B02520" w:rsidRPr="007D4988">
        <w:t> </w:t>
      </w:r>
      <w:r w:rsidRPr="007D4988">
        <w:t>plus</w:t>
      </w:r>
      <w:r w:rsidR="00B02520" w:rsidRPr="007D4988">
        <w:t> </w:t>
      </w:r>
      <w:r w:rsidRPr="007D4988">
        <w:t>de</w:t>
      </w:r>
      <w:r w:rsidR="00AF1AC5" w:rsidRPr="007D4988">
        <w:t> </w:t>
      </w:r>
      <w:r w:rsidRPr="007D4988">
        <w:t>17</w:t>
      </w:r>
      <w:r w:rsidR="001E53B8" w:rsidRPr="007D4988">
        <w:t> </w:t>
      </w:r>
      <w:r w:rsidRPr="007D4988">
        <w:t>500 certifications depuis 2023.</w:t>
      </w:r>
      <w:hyperlink r:id="rId40" w:history="1"/>
    </w:p>
    <w:p w14:paraId="03C50283" w14:textId="46F5E8BE" w:rsidR="001E53B8" w:rsidRPr="007D4988" w:rsidRDefault="008D0C6D" w:rsidP="008D0C6D">
      <w:r w:rsidRPr="007D4988">
        <w:t xml:space="preserve">Les </w:t>
      </w:r>
      <w:hyperlink r:id="rId41" w:anchor="/fr" w:history="1">
        <w:r w:rsidRPr="007D4988">
          <w:rPr>
            <w:rStyle w:val="Hyperlink"/>
            <w:rFonts w:eastAsia="Times New Roman" w:cs="Times New Roman"/>
            <w:szCs w:val="20"/>
          </w:rPr>
          <w:t>Centres UIT-Cisco pour la transformation numérique</w:t>
        </w:r>
      </w:hyperlink>
      <w:r w:rsidRPr="007D4988">
        <w:t xml:space="preserve"> ont permis de dispenser une formation à plus de 610 000 participants dans le monde, dont plus de la moitié étaient des femmes, tandis que le </w:t>
      </w:r>
      <w:hyperlink r:id="rId42" w:history="1">
        <w:r w:rsidRPr="007D4988">
          <w:rPr>
            <w:rStyle w:val="Hyperlink"/>
            <w:rFonts w:eastAsia="Times New Roman" w:cs="Times New Roman"/>
            <w:szCs w:val="20"/>
          </w:rPr>
          <w:t>Forum de l'UIT sur les compétences numériques</w:t>
        </w:r>
      </w:hyperlink>
      <w:r w:rsidRPr="007D4988">
        <w:t xml:space="preserve"> et le lancement d</w:t>
      </w:r>
      <w:r w:rsidR="001F6F64" w:rsidRPr="007D4988">
        <w:t>'</w:t>
      </w:r>
      <w:r w:rsidRPr="007D4988">
        <w:t xml:space="preserve">un </w:t>
      </w:r>
      <w:r w:rsidR="001E53B8" w:rsidRPr="007D4988">
        <w:br w:type="page"/>
      </w:r>
    </w:p>
    <w:p w14:paraId="3ADC7850" w14:textId="40FB66A3" w:rsidR="008D0C6D" w:rsidRPr="007D4988" w:rsidRDefault="008D0C6D" w:rsidP="008D0C6D">
      <w:pPr>
        <w:rPr>
          <w:rFonts w:asciiTheme="minorHAnsi" w:eastAsia="MS Mincho" w:hAnsiTheme="minorHAnsi" w:cstheme="minorHAnsi"/>
          <w:sz w:val="22"/>
          <w:szCs w:val="22"/>
        </w:rPr>
      </w:pPr>
      <w:hyperlink r:id="rId43" w:anchor="/fr" w:history="1">
        <w:r w:rsidRPr="007D4988">
          <w:rPr>
            <w:rStyle w:val="Hyperlink"/>
            <w:rFonts w:eastAsia="Times New Roman" w:cs="Times New Roman"/>
            <w:szCs w:val="20"/>
          </w:rPr>
          <w:t>kit pratique sur les compétences numériques</w:t>
        </w:r>
      </w:hyperlink>
      <w:r w:rsidRPr="007D4988">
        <w:t xml:space="preserve"> ont permis de renforcer encore les capacités nationales. Ces initiatives ont directement contribué à la formation de la main-d</w:t>
      </w:r>
      <w:r w:rsidR="001F6F64" w:rsidRPr="007D4988">
        <w:t>'</w:t>
      </w:r>
      <w:r w:rsidRPr="007D4988">
        <w:t>œuvre et au renforcement de la capacité institutionnelle dans les économies en développement.</w:t>
      </w:r>
    </w:p>
    <w:p w14:paraId="37005F2B" w14:textId="5002C7FC" w:rsidR="008D0C6D" w:rsidRPr="007D4988" w:rsidRDefault="008D0C6D" w:rsidP="008D0C6D">
      <w:pPr>
        <w:rPr>
          <w:rFonts w:asciiTheme="minorHAnsi" w:eastAsia="MS Mincho" w:hAnsiTheme="minorHAnsi" w:cstheme="minorHAnsi"/>
          <w:sz w:val="22"/>
          <w:szCs w:val="22"/>
        </w:rPr>
      </w:pPr>
      <w:r w:rsidRPr="007D4988">
        <w:t>Pour la seule année 2025, l</w:t>
      </w:r>
      <w:r w:rsidR="001F6F64" w:rsidRPr="007D4988">
        <w:t>'</w:t>
      </w:r>
      <w:r w:rsidRPr="007D4988">
        <w:t>UIT a mis en œuvre ou contribué à mettre en œuvre 106 projets d</w:t>
      </w:r>
      <w:r w:rsidR="001F6F64" w:rsidRPr="007D4988">
        <w:t>'</w:t>
      </w:r>
      <w:r w:rsidRPr="007D4988">
        <w:t>un montant de 79,7 millions CHF par l</w:t>
      </w:r>
      <w:r w:rsidR="001F6F64" w:rsidRPr="007D4988">
        <w:t>'</w:t>
      </w:r>
      <w:r w:rsidRPr="007D4988">
        <w:t>intermédiaire de son Bureau de développement des télécommunications (BDT), dont 26 nouveaux projets. La plupart des nouveaux financements proviennent de partenaires extérieurs, ce qui témoigne d'une confiance croissante dans la capacité d</w:t>
      </w:r>
      <w:r w:rsidR="001F6F64" w:rsidRPr="007D4988">
        <w:t>'</w:t>
      </w:r>
      <w:r w:rsidRPr="007D4988">
        <w:t>exécution de l</w:t>
      </w:r>
      <w:r w:rsidR="001F6F64" w:rsidRPr="007D4988">
        <w:t>'</w:t>
      </w:r>
      <w:r w:rsidRPr="007D4988">
        <w:t>UIT. Tous les projets étaient conformes au Plan d</w:t>
      </w:r>
      <w:r w:rsidR="001F6F64" w:rsidRPr="007D4988">
        <w:t>'</w:t>
      </w:r>
      <w:r w:rsidRPr="007D4988">
        <w:t>action de Kigali pour la période 2023-2025 et portaient sur les priorités nationales et régionales liées à la connectivité, aux cadres politiques et à la transformation numérique, entre autres thématiques.</w:t>
      </w:r>
    </w:p>
    <w:p w14:paraId="244FC0C0" w14:textId="079D446C" w:rsidR="008D0C6D" w:rsidRPr="007D4988" w:rsidRDefault="008D0C6D" w:rsidP="008D0C6D">
      <w:pPr>
        <w:rPr>
          <w:rFonts w:asciiTheme="minorHAnsi" w:eastAsia="Calibri" w:hAnsiTheme="minorHAnsi" w:cstheme="minorHAnsi"/>
          <w:sz w:val="22"/>
          <w:szCs w:val="22"/>
        </w:rPr>
      </w:pPr>
      <w:r w:rsidRPr="007D4988">
        <w:t>Entre 2022 et 2025, l</w:t>
      </w:r>
      <w:r w:rsidR="001F6F64" w:rsidRPr="007D4988">
        <w:t>'</w:t>
      </w:r>
      <w:r w:rsidRPr="007D4988">
        <w:t>UIT a aidé six pays d</w:t>
      </w:r>
      <w:r w:rsidR="001F6F64" w:rsidRPr="007D4988">
        <w:t>'</w:t>
      </w:r>
      <w:r w:rsidRPr="007D4988">
        <w:t>Afrique de l</w:t>
      </w:r>
      <w:r w:rsidR="001F6F64" w:rsidRPr="007D4988">
        <w:t>'</w:t>
      </w:r>
      <w:r w:rsidRPr="007D4988">
        <w:t>Est à élaborer des réglementations et des systèmes de données sur les DEEE. Parallèlement, l'UIT a fait progresser de nouvelles normes internationales sur la responsabilité élargie des producteurs et les marchés publics durables.</w:t>
      </w:r>
    </w:p>
    <w:p w14:paraId="22A24E35" w14:textId="0564E774" w:rsidR="008D0C6D" w:rsidRPr="007D4988" w:rsidRDefault="008D0C6D" w:rsidP="008D0C6D">
      <w:pPr>
        <w:rPr>
          <w:rFonts w:asciiTheme="minorHAnsi" w:eastAsia="MS Mincho" w:hAnsiTheme="minorHAnsi" w:cstheme="minorHAnsi"/>
          <w:sz w:val="22"/>
          <w:szCs w:val="22"/>
        </w:rPr>
      </w:pPr>
      <w:r w:rsidRPr="007D4988">
        <w:t>Au cours de la même période, l</w:t>
      </w:r>
      <w:r w:rsidR="001F6F64" w:rsidRPr="007D4988">
        <w:t>'</w:t>
      </w:r>
      <w:r w:rsidRPr="007D4988">
        <w:t>UIT a fourni une assistance d</w:t>
      </w:r>
      <w:r w:rsidR="001F6F64" w:rsidRPr="007D4988">
        <w:t>'</w:t>
      </w:r>
      <w:r w:rsidRPr="007D4988">
        <w:t>urgence en matière de télécommunications lors de catastrophes majeures, notamment en fournissant du matériel et un appui à la suite de l'ouragan Julia et du cyclone Freddy.</w:t>
      </w:r>
    </w:p>
    <w:p w14:paraId="479F1388" w14:textId="77777777" w:rsidR="008D0C6D" w:rsidRPr="007D4988" w:rsidRDefault="008D0C6D" w:rsidP="008D0C6D">
      <w:pPr>
        <w:pStyle w:val="Headingb"/>
        <w:rPr>
          <w:rFonts w:asciiTheme="minorHAnsi" w:eastAsia="Calibri" w:hAnsiTheme="minorHAnsi" w:cstheme="minorHAnsi"/>
          <w:sz w:val="22"/>
          <w:szCs w:val="22"/>
        </w:rPr>
      </w:pPr>
      <w:r w:rsidRPr="007D4988">
        <w:t>Plates-formes et partenariats mondiaux</w:t>
      </w:r>
    </w:p>
    <w:p w14:paraId="3CBD1ECD" w14:textId="00A29088" w:rsidR="008D0C6D" w:rsidRPr="007D4988" w:rsidRDefault="008D0C6D" w:rsidP="008D0C6D">
      <w:pPr>
        <w:rPr>
          <w:rFonts w:asciiTheme="minorHAnsi" w:eastAsia="Calibri" w:hAnsiTheme="minorHAnsi" w:cstheme="minorHAnsi"/>
          <w:sz w:val="22"/>
          <w:szCs w:val="22"/>
        </w:rPr>
      </w:pPr>
      <w:r w:rsidRPr="007D4988">
        <w:t>L</w:t>
      </w:r>
      <w:r w:rsidR="001F6F64" w:rsidRPr="007D4988">
        <w:t>'</w:t>
      </w:r>
      <w:r w:rsidRPr="007D4988">
        <w:t>UIT a appuyé un renforcement de la mobilisation et des partenariats public-privé par le biais de plates-formes multi-parties prenantes et d</w:t>
      </w:r>
      <w:r w:rsidR="001F6F64" w:rsidRPr="007D4988">
        <w:t>'</w:t>
      </w:r>
      <w:r w:rsidRPr="007D4988">
        <w:t>initiatives axées sur des questions, des défis et des possibilités spécifiques, dans le but d'édifier un avenir numérique meilleur à travers le monde.</w:t>
      </w:r>
    </w:p>
    <w:p w14:paraId="3E536282" w14:textId="3A7C04EE" w:rsidR="008D0C6D" w:rsidRPr="007D4988" w:rsidRDefault="008D0C6D" w:rsidP="008D0C6D">
      <w:pPr>
        <w:rPr>
          <w:rFonts w:asciiTheme="minorHAnsi" w:eastAsia="MS Mincho" w:hAnsiTheme="minorHAnsi" w:cstheme="minorHAnsi"/>
          <w:sz w:val="22"/>
          <w:szCs w:val="22"/>
        </w:rPr>
      </w:pPr>
      <w:r w:rsidRPr="007D4988">
        <w:t xml:space="preserve">Le </w:t>
      </w:r>
      <w:hyperlink r:id="rId44" w:history="1">
        <w:r w:rsidRPr="007D4988">
          <w:rPr>
            <w:rStyle w:val="Hyperlink"/>
            <w:rFonts w:eastAsia="Times New Roman" w:cs="Times New Roman"/>
            <w:szCs w:val="20"/>
          </w:rPr>
          <w:t>Sommet mondial sur la société de l</w:t>
        </w:r>
        <w:r w:rsidR="001F6F64" w:rsidRPr="007D4988">
          <w:rPr>
            <w:rStyle w:val="Hyperlink"/>
            <w:rFonts w:eastAsia="Times New Roman" w:cs="Times New Roman"/>
            <w:szCs w:val="20"/>
          </w:rPr>
          <w:t>'</w:t>
        </w:r>
        <w:r w:rsidRPr="007D4988">
          <w:rPr>
            <w:rStyle w:val="Hyperlink"/>
            <w:rFonts w:eastAsia="Times New Roman" w:cs="Times New Roman"/>
            <w:szCs w:val="20"/>
          </w:rPr>
          <w:t>information (SMSI)</w:t>
        </w:r>
      </w:hyperlink>
      <w:r w:rsidRPr="007D4988">
        <w:t xml:space="preserve"> demeure le principal mécanisme de coopération numérique dirigé par les Nations Unies, appuyé par le Forum annuel du SMSI de l</w:t>
      </w:r>
      <w:r w:rsidR="001F6F64" w:rsidRPr="007D4988">
        <w:t>'</w:t>
      </w:r>
      <w:r w:rsidRPr="007D4988">
        <w:t>UIT et les activités connexes. La base de données sur l'inventaire des activités du SMSI recense plus de 15 000 initiatives auxquelles participent plus de 2,2 millions de parties prenantes qui œuvrent pour un développement responsable du numérique pour le bien de tous.</w:t>
      </w:r>
      <w:hyperlink r:id="rId45" w:history="1"/>
    </w:p>
    <w:p w14:paraId="1FF6EC5F" w14:textId="7D475802" w:rsidR="008D0C6D" w:rsidRPr="007D4988" w:rsidRDefault="008D0C6D" w:rsidP="008D0C6D">
      <w:pPr>
        <w:rPr>
          <w:rFonts w:asciiTheme="minorHAnsi" w:eastAsia="MS Mincho" w:hAnsiTheme="minorHAnsi" w:cstheme="minorHAnsi"/>
          <w:sz w:val="22"/>
          <w:szCs w:val="22"/>
        </w:rPr>
      </w:pPr>
      <w:r w:rsidRPr="007D4988">
        <w:t>Le projet sur l'</w:t>
      </w:r>
      <w:hyperlink r:id="rId46" w:anchor="/fr" w:history="1">
        <w:r w:rsidRPr="007D4988">
          <w:rPr>
            <w:rStyle w:val="Hyperlink"/>
            <w:rFonts w:eastAsia="Times New Roman" w:cs="Times New Roman"/>
            <w:szCs w:val="20"/>
          </w:rPr>
          <w:t>intelligence artificielle au service du bien social</w:t>
        </w:r>
      </w:hyperlink>
      <w:r w:rsidRPr="007D4988">
        <w:t xml:space="preserve"> a continué de prendre de l</w:t>
      </w:r>
      <w:r w:rsidR="001F6F64" w:rsidRPr="007D4988">
        <w:t>'</w:t>
      </w:r>
      <w:r w:rsidRPr="007D4988">
        <w:t>ampleur tout au long de la période 2022-2025, le Réseau neuronal fondé sur l</w:t>
      </w:r>
      <w:r w:rsidR="001F6F64" w:rsidRPr="007D4988">
        <w:t>'</w:t>
      </w:r>
      <w:r w:rsidRPr="007D4988">
        <w:t>IA comptant plus de 35 000 membres et plus de 137 000 participants en ligne. Les Sommets mondiaux sur l</w:t>
      </w:r>
      <w:r w:rsidR="001F6F64" w:rsidRPr="007D4988">
        <w:t>'</w:t>
      </w:r>
      <w:r w:rsidRPr="007D4988">
        <w:t>intelligence artificielle au service du bien social, manifestations phares de l'UIT, ont consolidé son rôle en tant que principale instance du système des Nations Unies pour la présentation de solutions de pointe en matière d</w:t>
      </w:r>
      <w:r w:rsidR="001F6F64" w:rsidRPr="007D4988">
        <w:t>'</w:t>
      </w:r>
      <w:r w:rsidRPr="007D4988">
        <w:t>intelligence artificielle, puisque l</w:t>
      </w:r>
      <w:r w:rsidR="001F6F64" w:rsidRPr="007D4988">
        <w:t>'</w:t>
      </w:r>
      <w:r w:rsidRPr="007D4988">
        <w:t>édition de</w:t>
      </w:r>
      <w:r w:rsidR="007A0B90" w:rsidRPr="007D4988">
        <w:t> </w:t>
      </w:r>
      <w:r w:rsidRPr="007D4988">
        <w:t>2025 (organisée parallèlement à la manifestation de haut niveau du SMSI+20) a attiré quelque 11 000 visiteurs dans le plus grand lieu de conférence de Genève.</w:t>
      </w:r>
      <w:hyperlink r:id="rId47" w:history="1"/>
    </w:p>
    <w:p w14:paraId="5ED6B580" w14:textId="35082D8D" w:rsidR="008D0C6D" w:rsidRPr="007D4988" w:rsidRDefault="008D0C6D" w:rsidP="008D0C6D">
      <w:pPr>
        <w:rPr>
          <w:rFonts w:asciiTheme="minorHAnsi" w:eastAsia="Calibri" w:hAnsiTheme="minorHAnsi" w:cstheme="minorHAnsi"/>
          <w:sz w:val="22"/>
          <w:szCs w:val="22"/>
        </w:rPr>
      </w:pPr>
      <w:r w:rsidRPr="007D4988">
        <w:t>Poursuivant sur cette lancée, l</w:t>
      </w:r>
      <w:r w:rsidR="001F6F64" w:rsidRPr="007D4988">
        <w:t>'</w:t>
      </w:r>
      <w:r w:rsidRPr="007D4988">
        <w:t>UIT a engagé de nouvelles initiatives sur l</w:t>
      </w:r>
      <w:r w:rsidR="001F6F64" w:rsidRPr="007D4988">
        <w:t>'</w:t>
      </w:r>
      <w:r w:rsidRPr="007D4988">
        <w:t>intelligence artificielle au service du bien social, telles que la Coalition pour les compétences en matière d'IA et les accélérateurs régionaux AI for Good Impact (les effets de l'IA au service du bien social). Les éditions de 2024 et 2025 du Sommet mondial comprenaient des journées dédiées à la gouvernance de l</w:t>
      </w:r>
      <w:r w:rsidR="001F6F64" w:rsidRPr="007D4988">
        <w:t>'</w:t>
      </w:r>
      <w:r w:rsidRPr="007D4988">
        <w:t>IA, avec des sessions de haut niveau explorant le passage des principes à la pratique alors que différents marchés et sociétés cherchent à développer une IA éthique et responsable.</w:t>
      </w:r>
    </w:p>
    <w:p w14:paraId="6DFDEA28" w14:textId="1ED7B479" w:rsidR="008D0C6D" w:rsidRPr="007D4988" w:rsidRDefault="008D0C6D" w:rsidP="008D0C6D">
      <w:pPr>
        <w:rPr>
          <w:rFonts w:asciiTheme="minorHAnsi" w:eastAsia="MS Mincho" w:hAnsiTheme="minorHAnsi" w:cstheme="minorHAnsi"/>
          <w:sz w:val="22"/>
          <w:szCs w:val="22"/>
        </w:rPr>
      </w:pPr>
      <w:r w:rsidRPr="007D4988">
        <w:t xml:space="preserve">Les </w:t>
      </w:r>
      <w:r w:rsidRPr="007D4988">
        <w:rPr>
          <w:rFonts w:eastAsiaTheme="minorHAnsi" w:cstheme="minorBidi"/>
          <w:szCs w:val="22"/>
        </w:rPr>
        <w:t xml:space="preserve">partenaires de la </w:t>
      </w:r>
      <w:hyperlink r:id="rId48" w:anchor="/fr" w:history="1">
        <w:r w:rsidRPr="007D4988">
          <w:rPr>
            <w:rStyle w:val="Hyperlink"/>
          </w:rPr>
          <w:t>Coopération mondiale en matière de normalisation</w:t>
        </w:r>
      </w:hyperlink>
      <w:r w:rsidRPr="007D4988">
        <w:t>, à savoir l</w:t>
      </w:r>
      <w:r w:rsidR="001F6F64" w:rsidRPr="007D4988">
        <w:t>'</w:t>
      </w:r>
      <w:r w:rsidRPr="007D4988">
        <w:t>UIT, l</w:t>
      </w:r>
      <w:r w:rsidR="001F6F64" w:rsidRPr="007D4988">
        <w:t>'</w:t>
      </w:r>
      <w:r w:rsidRPr="007D4988">
        <w:t>Organisation internationale de normalisation (ISO) et la Commission électrotechnique internationale (CEI), ont annoncé la tenue d</w:t>
      </w:r>
      <w:r w:rsidR="001F6F64" w:rsidRPr="007D4988">
        <w:t>'</w:t>
      </w:r>
      <w:r w:rsidRPr="007D4988">
        <w:t>un nouveau Sommet international sur les normes relatives à l</w:t>
      </w:r>
      <w:r w:rsidR="001F6F64" w:rsidRPr="007D4988">
        <w:t>'</w:t>
      </w:r>
      <w:r w:rsidRPr="007D4988">
        <w:t>IA à l</w:t>
      </w:r>
      <w:r w:rsidR="001F6F64" w:rsidRPr="007D4988">
        <w:t>'</w:t>
      </w:r>
      <w:r w:rsidRPr="007D4988">
        <w:t>occasion de l</w:t>
      </w:r>
      <w:r w:rsidR="001F6F64" w:rsidRPr="007D4988">
        <w:t>'</w:t>
      </w:r>
      <w:r w:rsidRPr="007D4988">
        <w:t>AMNT-24 à New Delhi, ont dévoilé la base de données complète sur l</w:t>
      </w:r>
      <w:r w:rsidR="001F6F64" w:rsidRPr="007D4988">
        <w:t>'</w:t>
      </w:r>
      <w:r w:rsidRPr="007D4988">
        <w:t>échange de normes relatives à l</w:t>
      </w:r>
      <w:r w:rsidR="001F6F64" w:rsidRPr="007D4988">
        <w:t>'</w:t>
      </w:r>
      <w:r w:rsidRPr="007D4988">
        <w:t>IA lors du Sommet sur l</w:t>
      </w:r>
      <w:r w:rsidR="001F6F64" w:rsidRPr="007D4988">
        <w:t>'</w:t>
      </w:r>
      <w:r w:rsidRPr="007D4988">
        <w:t>IA au service du bien social en 2025 et se sont résolument engagés en faveur d</w:t>
      </w:r>
      <w:r w:rsidR="001F6F64" w:rsidRPr="007D4988">
        <w:t>'</w:t>
      </w:r>
      <w:r w:rsidRPr="007D4988">
        <w:t>une coopération en matière d</w:t>
      </w:r>
      <w:r w:rsidR="001F6F64" w:rsidRPr="007D4988">
        <w:t>'</w:t>
      </w:r>
      <w:r w:rsidRPr="007D4988">
        <w:t>IA responsable dans la Déclaration conjointe de Séoul en décembre 2025</w:t>
      </w:r>
      <w:r w:rsidR="00AF1AC5" w:rsidRPr="007D4988">
        <w:t xml:space="preserve"> élaborée lors du deuxième Sommet international sur les normes relatives à l'IA</w:t>
      </w:r>
      <w:r w:rsidRPr="007D4988">
        <w:t>.</w:t>
      </w:r>
    </w:p>
    <w:p w14:paraId="410CE7A2" w14:textId="23DE2002" w:rsidR="008D0C6D" w:rsidRPr="007D4988" w:rsidRDefault="008D0C6D" w:rsidP="008D0C6D">
      <w:pPr>
        <w:rPr>
          <w:rFonts w:asciiTheme="minorHAnsi" w:eastAsia="MS Mincho" w:hAnsiTheme="minorHAnsi" w:cstheme="minorHAnsi"/>
          <w:sz w:val="22"/>
          <w:szCs w:val="22"/>
        </w:rPr>
      </w:pPr>
      <w:r w:rsidRPr="007D4988">
        <w:t>Les partenariats phares ont continué de mobiliser des ressources et des activités. L</w:t>
      </w:r>
      <w:r w:rsidR="001F6F64" w:rsidRPr="007D4988">
        <w:t>'</w:t>
      </w:r>
      <w:r w:rsidRPr="007D4988">
        <w:t xml:space="preserve">initiative </w:t>
      </w:r>
      <w:hyperlink r:id="rId49" w:anchor="/fr" w:history="1">
        <w:r w:rsidRPr="007D4988">
          <w:rPr>
            <w:rStyle w:val="Hyperlink"/>
            <w:rFonts w:eastAsia="Times New Roman" w:cs="Times New Roman"/>
            <w:szCs w:val="20"/>
          </w:rPr>
          <w:t>Partner2Connect</w:t>
        </w:r>
      </w:hyperlink>
      <w:r w:rsidRPr="007D4988">
        <w:t xml:space="preserve"> a obtenu plus de 1 060 engagements d</w:t>
      </w:r>
      <w:r w:rsidR="001F6F64" w:rsidRPr="007D4988">
        <w:t>'</w:t>
      </w:r>
      <w:r w:rsidRPr="007D4988">
        <w:t>une valeur de plus de</w:t>
      </w:r>
      <w:r w:rsidR="0092484B" w:rsidRPr="007D4988">
        <w:t> </w:t>
      </w:r>
      <w:r w:rsidRPr="007D4988">
        <w:t>80</w:t>
      </w:r>
      <w:r w:rsidR="007A0B90" w:rsidRPr="007D4988">
        <w:t> </w:t>
      </w:r>
      <w:r w:rsidRPr="007D4988">
        <w:t>milliards</w:t>
      </w:r>
      <w:r w:rsidR="007A0B90" w:rsidRPr="007D4988">
        <w:t> </w:t>
      </w:r>
      <w:r w:rsidRPr="007D4988">
        <w:t>USD, sur la voie de l'objectif de 100 milliards USD pour 2026. L</w:t>
      </w:r>
      <w:r w:rsidR="001F6F64" w:rsidRPr="007D4988">
        <w:t>'</w:t>
      </w:r>
      <w:r w:rsidRPr="007D4988">
        <w:t xml:space="preserve">initiative </w:t>
      </w:r>
      <w:hyperlink r:id="rId50" w:history="1">
        <w:r w:rsidRPr="007D4988">
          <w:rPr>
            <w:rStyle w:val="Hyperlink"/>
            <w:rFonts w:eastAsia="Times New Roman" w:cs="Times New Roman"/>
            <w:szCs w:val="20"/>
          </w:rPr>
          <w:t>Giga</w:t>
        </w:r>
      </w:hyperlink>
      <w:r w:rsidRPr="007D4988">
        <w:t xml:space="preserve"> a permis de cartographier plus de 2 millions d</w:t>
      </w:r>
      <w:r w:rsidR="001F6F64" w:rsidRPr="007D4988">
        <w:t>'</w:t>
      </w:r>
      <w:r w:rsidRPr="007D4988">
        <w:t xml:space="preserve">écoles dans 140 pays en vue d'assurer la connectivité universelle des écoles. La </w:t>
      </w:r>
      <w:hyperlink r:id="rId51" w:history="1">
        <w:r w:rsidRPr="007D4988">
          <w:rPr>
            <w:rStyle w:val="Hyperlink"/>
            <w:rFonts w:eastAsia="Times New Roman" w:cs="Times New Roman"/>
            <w:szCs w:val="20"/>
          </w:rPr>
          <w:t>Commission sur le large bande</w:t>
        </w:r>
      </w:hyperlink>
      <w:r w:rsidRPr="007D4988">
        <w:t xml:space="preserve"> a étendu son champ d</w:t>
      </w:r>
      <w:r w:rsidR="001F6F64" w:rsidRPr="007D4988">
        <w:t>'</w:t>
      </w:r>
      <w:r w:rsidRPr="007D4988">
        <w:t xml:space="preserve">action, tandis que le </w:t>
      </w:r>
      <w:hyperlink r:id="rId52" w:history="1">
        <w:r w:rsidRPr="007D4988">
          <w:rPr>
            <w:rStyle w:val="Hyperlink"/>
            <w:rFonts w:eastAsia="Times New Roman" w:cs="Times New Roman"/>
            <w:szCs w:val="20"/>
          </w:rPr>
          <w:t>Partenariat mondial EQUALS</w:t>
        </w:r>
      </w:hyperlink>
      <w:r w:rsidRPr="007D4988">
        <w:t xml:space="preserve"> a fait progresser l</w:t>
      </w:r>
      <w:r w:rsidR="001F6F64" w:rsidRPr="007D4988">
        <w:t>'</w:t>
      </w:r>
      <w:r w:rsidRPr="007D4988">
        <w:t>égalité hommes</w:t>
      </w:r>
      <w:r w:rsidR="007A0B90" w:rsidRPr="007D4988">
        <w:noBreakHyphen/>
      </w:r>
      <w:r w:rsidRPr="007D4988">
        <w:t>femmes grâce à des initiatives relatives aux compétences numériques et à l</w:t>
      </w:r>
      <w:r w:rsidR="001F6F64" w:rsidRPr="007D4988">
        <w:t>'</w:t>
      </w:r>
      <w:r w:rsidRPr="007D4988">
        <w:t>autonomisation.</w:t>
      </w:r>
      <w:hyperlink r:id="rId53" w:history="1"/>
      <w:hyperlink r:id="rId54" w:history="1"/>
      <w:hyperlink r:id="rId55" w:history="1"/>
      <w:hyperlink r:id="rId56" w:history="1"/>
    </w:p>
    <w:p w14:paraId="73D1E067" w14:textId="41F876DC" w:rsidR="00AF1AC5" w:rsidRPr="007D4988" w:rsidRDefault="008D0C6D" w:rsidP="008D0C6D">
      <w:r w:rsidRPr="007D4988">
        <w:t>L</w:t>
      </w:r>
      <w:r w:rsidR="001F6F64" w:rsidRPr="007D4988">
        <w:t>'</w:t>
      </w:r>
      <w:r w:rsidRPr="007D4988">
        <w:t xml:space="preserve">UIT a mobilisé des partenaires pour le volet </w:t>
      </w:r>
      <w:r w:rsidR="001F6F64" w:rsidRPr="007D4988">
        <w:t>"</w:t>
      </w:r>
      <w:hyperlink r:id="rId57" w:history="1">
        <w:r w:rsidRPr="007D4988">
          <w:rPr>
            <w:rStyle w:val="Hyperlink"/>
            <w:rFonts w:eastAsia="Times New Roman" w:cs="Times New Roman"/>
            <w:szCs w:val="20"/>
          </w:rPr>
          <w:t>Action du secteur du numérique pour l</w:t>
        </w:r>
        <w:r w:rsidR="001F6F64" w:rsidRPr="007D4988">
          <w:rPr>
            <w:rStyle w:val="Hyperlink"/>
            <w:rFonts w:eastAsia="Times New Roman" w:cs="Times New Roman"/>
            <w:szCs w:val="20"/>
          </w:rPr>
          <w:t>'</w:t>
        </w:r>
        <w:r w:rsidRPr="007D4988">
          <w:rPr>
            <w:rStyle w:val="Hyperlink"/>
            <w:rFonts w:eastAsia="Times New Roman" w:cs="Times New Roman"/>
            <w:szCs w:val="20"/>
          </w:rPr>
          <w:t>environnement</w:t>
        </w:r>
      </w:hyperlink>
      <w:r w:rsidR="001F6F64" w:rsidRPr="007D4988">
        <w:t>"</w:t>
      </w:r>
      <w:r w:rsidRPr="007D4988">
        <w:t xml:space="preserve"> (voir l</w:t>
      </w:r>
      <w:r w:rsidR="004958AD" w:rsidRPr="007D4988">
        <w:t>a section</w:t>
      </w:r>
      <w:r w:rsidRPr="007D4988">
        <w:t xml:space="preserve"> </w:t>
      </w:r>
      <w:hyperlink w:anchor="Para55" w:history="1">
        <w:r w:rsidRPr="007D4988">
          <w:rPr>
            <w:rStyle w:val="Hyperlink"/>
            <w:rFonts w:eastAsia="Times New Roman" w:cs="Times New Roman"/>
            <w:szCs w:val="20"/>
          </w:rPr>
          <w:t>5.5</w:t>
        </w:r>
      </w:hyperlink>
      <w:r w:rsidRPr="007D4988">
        <w:t>) lors des conférences successives des Nations Unies sur les changements climatiques, à commencer par la COP28, qui s'est tenue à Dubaï en 2023. Lancé à l</w:t>
      </w:r>
      <w:r w:rsidR="001F6F64" w:rsidRPr="007D4988">
        <w:t>'</w:t>
      </w:r>
      <w:r w:rsidRPr="007D4988">
        <w:t>occasion de la COP30 tenue au Brésil, le nouveau pôle d</w:t>
      </w:r>
      <w:r w:rsidR="001F6F64" w:rsidRPr="007D4988">
        <w:t>'</w:t>
      </w:r>
      <w:r w:rsidRPr="007D4988">
        <w:t>action sur l'action du secteur du numérique pour l'environnement vise à appuyer l</w:t>
      </w:r>
      <w:r w:rsidR="001F6F64" w:rsidRPr="007D4988">
        <w:t>'</w:t>
      </w:r>
      <w:r w:rsidRPr="007D4988">
        <w:t>analyse approfondie des incidences environnementales et à aider les pays en développement à tirer parti de technologies telles que l</w:t>
      </w:r>
      <w:r w:rsidR="001F6F64" w:rsidRPr="007D4988">
        <w:t>'</w:t>
      </w:r>
      <w:r w:rsidRPr="007D4988">
        <w:t>IA dans l'action climatique. D</w:t>
      </w:r>
      <w:r w:rsidR="001F6F64" w:rsidRPr="007D4988">
        <w:t>'</w:t>
      </w:r>
      <w:r w:rsidRPr="007D4988">
        <w:t>autres travaux analytiques menés par l</w:t>
      </w:r>
      <w:r w:rsidR="001F6F64" w:rsidRPr="007D4988">
        <w:t>'</w:t>
      </w:r>
      <w:r w:rsidRPr="007D4988">
        <w:t>UIT et ses partenaires mettent en évidence les tendances en matière d</w:t>
      </w:r>
      <w:r w:rsidR="001F6F64" w:rsidRPr="007D4988">
        <w:t>'</w:t>
      </w:r>
      <w:r w:rsidRPr="007D4988">
        <w:t>émissions de gaz à effet de serre des grandes entreprises du numérique, renforçant ainsi la base contenant des données factuelles pour une décarbonation efficace dans l</w:t>
      </w:r>
      <w:r w:rsidR="001F6F64" w:rsidRPr="007D4988">
        <w:t>'</w:t>
      </w:r>
      <w:r w:rsidRPr="007D4988">
        <w:t>ensemble du secteur.</w:t>
      </w:r>
    </w:p>
    <w:p w14:paraId="32FEE8CA" w14:textId="4E3A5175" w:rsidR="00AF1AC5" w:rsidRPr="007D4988" w:rsidRDefault="00AF1AC5" w:rsidP="00AF1AC5">
      <w:r w:rsidRPr="007D4988">
        <w:t>L'Organe consultatif international sur la résilience des câbles sous-marins a été créé en</w:t>
      </w:r>
      <w:r w:rsidR="00FF214D" w:rsidRPr="007D4988">
        <w:t> </w:t>
      </w:r>
      <w:r w:rsidRPr="007D4988">
        <w:t xml:space="preserve">2024 avec le Comité international de protection des câbles pour partager et promouvoir les bonnes pratiques auprès des gouvernements et des acteurs du secteur afin d'améliorer la résilience des câbles à travers le monde. Lors du Sommet d'Abuja de 2025, trois groupes de travail ont été créés pour examiner la gestion des risques, la connectivité et la diversité de routage, ainsi que le déploiement et la réparation rapides des câbles. </w:t>
      </w:r>
    </w:p>
    <w:p w14:paraId="783560ED" w14:textId="5FB43215" w:rsidR="00AF1AC5" w:rsidRPr="007D4988" w:rsidRDefault="00AF1AC5" w:rsidP="00AF1AC5">
      <w:r w:rsidRPr="007D4988">
        <w:t xml:space="preserve">Lors du deuxième Sommet sur la résilience des câbles sous-marins, qui s'est tenu les 2 et 3 février </w:t>
      </w:r>
      <w:hyperlink r:id="rId58" w:anchor="/fr" w:history="1">
        <w:r w:rsidRPr="007D4988">
          <w:rPr>
            <w:rStyle w:val="Hyperlink"/>
            <w:rFonts w:eastAsia="Times New Roman" w:cs="Times New Roman"/>
            <w:szCs w:val="20"/>
          </w:rPr>
          <w:t>2026 à Porto</w:t>
        </w:r>
      </w:hyperlink>
      <w:r w:rsidRPr="007D4988">
        <w:t xml:space="preserve"> (Portugal), l'Organe consultatif a approuvé les recommandations du Groupe de travail et la Déclaration de Porto, renforçant ainsi les efforts internationaux visant à renforcer l'infrastructure des câbles sous-marins. </w:t>
      </w:r>
    </w:p>
    <w:p w14:paraId="7A9274D2" w14:textId="77777777" w:rsidR="00AF1AC5" w:rsidRPr="007D4988" w:rsidRDefault="00AF1AC5" w:rsidP="00AF1AC5">
      <w:r w:rsidRPr="007D4988">
        <w:t xml:space="preserve">Selon les estimations effectuées dans le cadre de l'Initiative pour l'investissement dans les infrastructures numériques (DIII), menée par l'UIT avec des banques multilatérales de développement, 1 600 milliards USD seraient nécessaires pour connecter toute la population de manière efficace d'ici à 2030, rien que pour les infrastructures physiques. Le Plan d'action "Connecting Humanity" "Connecter l'humanité" (2025), élaboré en partenariat avec le Royaume d'Arabie saoudite, estime le coût total entre 2 600 et 2 800 milliards USD, en tenant compte de la demande, des compétences, de l'accessibilité financière et des politiques. Le catalyseur sur l'investissement dans l'infrastructure numérique (DII), initiative </w:t>
      </w:r>
      <w:r w:rsidRPr="007D4988">
        <w:br w:type="page"/>
      </w:r>
    </w:p>
    <w:p w14:paraId="271F094B" w14:textId="74D3C0A5" w:rsidR="008D0C6D" w:rsidRPr="007D4988" w:rsidRDefault="00AF1AC5" w:rsidP="00AF1AC5">
      <w:pPr>
        <w:rPr>
          <w:rFonts w:asciiTheme="minorHAnsi" w:eastAsia="MS Mincho" w:hAnsiTheme="minorHAnsi" w:cstheme="minorHAnsi"/>
          <w:sz w:val="22"/>
          <w:szCs w:val="22"/>
        </w:rPr>
      </w:pPr>
      <w:r w:rsidRPr="007D4988">
        <w:t>conjointe de l'UIT, de la CNUCED et des banques multilatérales de développement, mobilise des partenaires pour renforcer les investissements attrayants dans les infrastructures numériques à l'échelle mondiale.</w:t>
      </w:r>
      <w:hyperlink r:id="rId59" w:history="1"/>
    </w:p>
    <w:p w14:paraId="6CB45B1C" w14:textId="77777777" w:rsidR="008D0C6D" w:rsidRPr="007D4988" w:rsidRDefault="008D0C6D" w:rsidP="008D0C6D">
      <w:pPr>
        <w:pStyle w:val="Headingb"/>
        <w:rPr>
          <w:rFonts w:asciiTheme="minorHAnsi" w:eastAsia="Calibri" w:hAnsiTheme="minorHAnsi" w:cstheme="minorHAnsi"/>
          <w:sz w:val="22"/>
          <w:szCs w:val="22"/>
        </w:rPr>
      </w:pPr>
      <w:r w:rsidRPr="007D4988">
        <w:t>Activités futures</w:t>
      </w:r>
    </w:p>
    <w:p w14:paraId="5E182B58" w14:textId="74A4871E" w:rsidR="008D0C6D" w:rsidRPr="007D4988" w:rsidRDefault="008D0C6D" w:rsidP="008D0C6D">
      <w:r w:rsidRPr="007D4988">
        <w:t>Depuis 2023, l</w:t>
      </w:r>
      <w:r w:rsidR="001F6F64" w:rsidRPr="007D4988">
        <w:t>'</w:t>
      </w:r>
      <w:r w:rsidRPr="007D4988">
        <w:t>UIT a entrepris une transformation interne complète pour renforcer la gouvernance institutionnelle, la responsabilisation et l</w:t>
      </w:r>
      <w:r w:rsidR="001F6F64" w:rsidRPr="007D4988">
        <w:t>'</w:t>
      </w:r>
      <w:r w:rsidRPr="007D4988">
        <w:t>efficacité opérationnelle. Parmi les principales réalisations, on peut citer la création d</w:t>
      </w:r>
      <w:r w:rsidR="001F6F64" w:rsidRPr="007D4988">
        <w:t>'</w:t>
      </w:r>
      <w:r w:rsidRPr="007D4988">
        <w:t>une Unité de contrôle et d</w:t>
      </w:r>
      <w:r w:rsidR="001F6F64" w:rsidRPr="007D4988">
        <w:t>'</w:t>
      </w:r>
      <w:r w:rsidRPr="007D4988">
        <w:t>une fonction de médiateur, la refonte des processus de planification opérationnelle, le respect intégral des normes comptables internationales pour le secteur public et les progrès accomplis dans la réforme de la trésorerie et des ressources humaines.</w:t>
      </w:r>
    </w:p>
    <w:p w14:paraId="5040F7CF" w14:textId="42B75E23" w:rsidR="00AF1AC5" w:rsidRPr="007D4988" w:rsidRDefault="00AF1AC5" w:rsidP="00AF1AC5">
      <w:pPr>
        <w:rPr>
          <w:rFonts w:eastAsia="Calibri"/>
        </w:rPr>
      </w:pPr>
      <w:r w:rsidRPr="007D4988">
        <w:t>Sur le plan financier, les efforts ont consisté à transformer les déficits budgétaires persistants en excédents réguliers, à corriger la gestion financière et à remettre sur les rails le processus de vérification extérieure des comptes, ainsi qu</w:t>
      </w:r>
      <w:r w:rsidR="000C1550" w:rsidRPr="007D4988">
        <w:t>'</w:t>
      </w:r>
      <w:r w:rsidRPr="007D4988">
        <w:t>à repenser le projet de nouveau bâtiment du siège pour s</w:t>
      </w:r>
      <w:r w:rsidR="000C1550" w:rsidRPr="007D4988">
        <w:t>'</w:t>
      </w:r>
      <w:r w:rsidRPr="007D4988">
        <w:t>assurer qu</w:t>
      </w:r>
      <w:r w:rsidR="000C1550" w:rsidRPr="007D4988">
        <w:t>'</w:t>
      </w:r>
      <w:r w:rsidRPr="007D4988">
        <w:t>il s</w:t>
      </w:r>
      <w:r w:rsidR="000C1550" w:rsidRPr="007D4988">
        <w:t>'</w:t>
      </w:r>
      <w:r w:rsidRPr="007D4988">
        <w:t>inscrive dans l</w:t>
      </w:r>
      <w:r w:rsidR="000C1550" w:rsidRPr="007D4988">
        <w:t>'</w:t>
      </w:r>
      <w:r w:rsidRPr="007D4988">
        <w:t>enveloppe budgétaire tout en répondant aux besoins futurs de l</w:t>
      </w:r>
      <w:r w:rsidR="000C1550" w:rsidRPr="007D4988">
        <w:t>'</w:t>
      </w:r>
      <w:r w:rsidRPr="007D4988">
        <w:t>UIT.</w:t>
      </w:r>
    </w:p>
    <w:p w14:paraId="6043B7A4" w14:textId="418A9029" w:rsidR="008D0C6D" w:rsidRPr="007D4988" w:rsidRDefault="008D0C6D" w:rsidP="008D0C6D">
      <w:pPr>
        <w:rPr>
          <w:rFonts w:asciiTheme="minorHAnsi" w:eastAsia="Calibri" w:hAnsiTheme="minorHAnsi" w:cstheme="minorHAnsi"/>
          <w:sz w:val="22"/>
          <w:szCs w:val="22"/>
        </w:rPr>
      </w:pPr>
      <w:r w:rsidRPr="007D4988">
        <w:t xml:space="preserve">La modernisation des ressources humaines a </w:t>
      </w:r>
      <w:r w:rsidR="000C1550" w:rsidRPr="007D4988">
        <w:t xml:space="preserve">également </w:t>
      </w:r>
      <w:r w:rsidRPr="007D4988">
        <w:t>mis l</w:t>
      </w:r>
      <w:r w:rsidR="001F6F64" w:rsidRPr="007D4988">
        <w:t>'</w:t>
      </w:r>
      <w:r w:rsidRPr="007D4988">
        <w:t>accent sur l</w:t>
      </w:r>
      <w:r w:rsidR="001F6F64" w:rsidRPr="007D4988">
        <w:t>'</w:t>
      </w:r>
      <w:r w:rsidRPr="007D4988">
        <w:t>apprentissage, la gestion de la performance, le perfectionnement du leadership, la parité hommes-femmes, la santé mentale et les modalités de travail flexibles. L</w:t>
      </w:r>
      <w:r w:rsidR="001F6F64" w:rsidRPr="007D4988">
        <w:t>'</w:t>
      </w:r>
      <w:r w:rsidRPr="007D4988">
        <w:t>UIT a également adopté des lignes directrices organisationnelles sur l</w:t>
      </w:r>
      <w:r w:rsidR="001F6F64" w:rsidRPr="007D4988">
        <w:t>'</w:t>
      </w:r>
      <w:r w:rsidRPr="007D4988">
        <w:t>utilisation responsable de l</w:t>
      </w:r>
      <w:r w:rsidR="001F6F64" w:rsidRPr="007D4988">
        <w:t>'</w:t>
      </w:r>
      <w:r w:rsidRPr="007D4988">
        <w:t>IA générative et a accueilli un nouveau directeur des systèmes d</w:t>
      </w:r>
      <w:r w:rsidR="001F6F64" w:rsidRPr="007D4988">
        <w:t>'</w:t>
      </w:r>
      <w:r w:rsidRPr="007D4988">
        <w:t>information pour accélérer la modernisation numérique.</w:t>
      </w:r>
    </w:p>
    <w:p w14:paraId="20E90544" w14:textId="51456F72" w:rsidR="008D0C6D" w:rsidRPr="007D4988" w:rsidRDefault="008D0C6D" w:rsidP="008D0C6D">
      <w:pPr>
        <w:rPr>
          <w:rFonts w:asciiTheme="minorHAnsi" w:eastAsia="Calibri" w:hAnsiTheme="minorHAnsi" w:cstheme="minorHAnsi"/>
          <w:sz w:val="22"/>
          <w:szCs w:val="22"/>
        </w:rPr>
      </w:pPr>
      <w:r w:rsidRPr="007D4988">
        <w:t>Une nouvelle stratégie de mobilisation des ressources a été adoptée en 2024 pour renforcer la participation des membres, améliorer les produits et services et accroître les contributions volontaires.</w:t>
      </w:r>
    </w:p>
    <w:p w14:paraId="267BD0C1" w14:textId="3BAF6314" w:rsidR="008D0C6D" w:rsidRPr="007D4988" w:rsidRDefault="008D0C6D" w:rsidP="008D0C6D">
      <w:pPr>
        <w:rPr>
          <w:rFonts w:asciiTheme="minorHAnsi" w:eastAsia="Calibri" w:hAnsiTheme="minorHAnsi" w:cstheme="minorHAnsi"/>
          <w:sz w:val="22"/>
          <w:szCs w:val="22"/>
        </w:rPr>
      </w:pPr>
      <w:r w:rsidRPr="007D4988">
        <w:t>Parmi les priorités notables figuraient la modernisation des fiches de notification des réseaux à satellite, le développement des produits numériques, l</w:t>
      </w:r>
      <w:r w:rsidR="001F6F64" w:rsidRPr="007D4988">
        <w:t>'</w:t>
      </w:r>
      <w:r w:rsidRPr="007D4988">
        <w:t>amélioration des modèles de produits liés aux manifestations et l</w:t>
      </w:r>
      <w:r w:rsidR="001F6F64" w:rsidRPr="007D4988">
        <w:t>'</w:t>
      </w:r>
      <w:r w:rsidRPr="007D4988">
        <w:t>élaboration d</w:t>
      </w:r>
      <w:r w:rsidR="001F6F64" w:rsidRPr="007D4988">
        <w:t>'</w:t>
      </w:r>
      <w:r w:rsidRPr="007D4988">
        <w:t>une nouvelle stratégie de partenariat pour optimiser l</w:t>
      </w:r>
      <w:r w:rsidR="001F6F64" w:rsidRPr="007D4988">
        <w:t>'</w:t>
      </w:r>
      <w:r w:rsidRPr="007D4988">
        <w:t>impact de l</w:t>
      </w:r>
      <w:r w:rsidR="001F6F64" w:rsidRPr="007D4988">
        <w:t>'</w:t>
      </w:r>
      <w:r w:rsidRPr="007D4988">
        <w:t>UIT tout en préservant l</w:t>
      </w:r>
      <w:r w:rsidR="001F6F64" w:rsidRPr="007D4988">
        <w:t>'</w:t>
      </w:r>
      <w:r w:rsidRPr="007D4988">
        <w:t>intégrité institutionnelle.</w:t>
      </w:r>
    </w:p>
    <w:p w14:paraId="770447CA" w14:textId="12AAE552" w:rsidR="008D0C6D" w:rsidRPr="007D4988" w:rsidRDefault="008D0C6D" w:rsidP="008D0C6D">
      <w:r w:rsidRPr="007D4988">
        <w:t>À mi-parcours de son plan stratégique actuel, l</w:t>
      </w:r>
      <w:r w:rsidR="001F6F64" w:rsidRPr="007D4988">
        <w:t>'</w:t>
      </w:r>
      <w:r w:rsidRPr="007D4988">
        <w:t>organisation est parvenue à une position plus forte pour faire face aux défis mondiaux actuels et émergents. Dans une perspective d'avenir, l</w:t>
      </w:r>
      <w:r w:rsidR="001F6F64" w:rsidRPr="007D4988">
        <w:t>'</w:t>
      </w:r>
      <w:r w:rsidRPr="007D4988">
        <w:t>UIT continue d</w:t>
      </w:r>
      <w:r w:rsidR="001F6F64" w:rsidRPr="007D4988">
        <w:t>'</w:t>
      </w:r>
      <w:r w:rsidRPr="007D4988">
        <w:t>évoluer grâce aux technologies et d</w:t>
      </w:r>
      <w:r w:rsidR="001F6F64" w:rsidRPr="007D4988">
        <w:t>'</w:t>
      </w:r>
      <w:r w:rsidRPr="007D4988">
        <w:t>aider les pays et les communautés en sa qualité de plate-forme internationale de coopération technique pour garantir des retombées réelles et durables pour tous.</w:t>
      </w:r>
    </w:p>
    <w:p w14:paraId="49DEE9AC" w14:textId="1EB73E22" w:rsidR="00280AE6" w:rsidRPr="007D4988" w:rsidRDefault="00280AE6" w:rsidP="008D0C6D">
      <w:r w:rsidRPr="007D4988">
        <w:br w:type="page"/>
      </w:r>
    </w:p>
    <w:p w14:paraId="76C10030" w14:textId="53D99596" w:rsidR="008D0C6D" w:rsidRPr="007D4988" w:rsidRDefault="008D0C6D" w:rsidP="008D0C6D">
      <w:pPr>
        <w:pStyle w:val="Heading1"/>
      </w:pPr>
      <w:bookmarkStart w:id="3" w:name="_Toc224288788"/>
      <w:bookmarkStart w:id="4" w:name="_Toc225488865"/>
      <w:r w:rsidRPr="007D4988">
        <w:t>ii</w:t>
      </w:r>
      <w:r w:rsidRPr="007D4988">
        <w:tab/>
        <w:t>Informations et points à retenir pour 2022-2025</w:t>
      </w:r>
      <w:bookmarkEnd w:id="3"/>
      <w:bookmarkEnd w:id="4"/>
    </w:p>
    <w:p w14:paraId="653132FD" w14:textId="77777777" w:rsidR="008D0C6D" w:rsidRPr="007D4988" w:rsidRDefault="008D0C6D" w:rsidP="008D0C6D">
      <w:pPr>
        <w:pStyle w:val="Headingb"/>
        <w:rPr>
          <w:rFonts w:eastAsia="MS Mincho"/>
          <w:sz w:val="22"/>
        </w:rPr>
      </w:pPr>
      <w:r w:rsidRPr="007D4988">
        <w:t>Principaux résultats et points à retenir</w:t>
      </w:r>
    </w:p>
    <w:p w14:paraId="2B7DF000" w14:textId="77777777" w:rsidR="008D0C6D" w:rsidRPr="007D4988" w:rsidRDefault="008D0C6D" w:rsidP="008D0C6D">
      <w:pPr>
        <w:pStyle w:val="Headingb"/>
        <w:rPr>
          <w:rFonts w:eastAsia="MS Mincho"/>
          <w:sz w:val="22"/>
        </w:rPr>
      </w:pPr>
      <w:r w:rsidRPr="007D4988">
        <w:t>Connectivité, accessibilité financière et tendances numériques</w:t>
      </w:r>
    </w:p>
    <w:p w14:paraId="196CEC8B" w14:textId="2C76910F" w:rsidR="008D0C6D" w:rsidRPr="007D4988" w:rsidRDefault="008D0C6D" w:rsidP="008D0C6D">
      <w:pPr>
        <w:pStyle w:val="enumlev1"/>
        <w:rPr>
          <w:rFonts w:eastAsia="PMingLiU"/>
          <w:sz w:val="22"/>
          <w:szCs w:val="22"/>
        </w:rPr>
      </w:pPr>
      <w:r w:rsidRPr="007D4988">
        <w:t>•</w:t>
      </w:r>
      <w:r w:rsidRPr="007D4988">
        <w:tab/>
        <w:t>L</w:t>
      </w:r>
      <w:r w:rsidR="001F6F64" w:rsidRPr="007D4988">
        <w:t>'</w:t>
      </w:r>
      <w:r w:rsidRPr="007D4988">
        <w:t>utilisation mondiale de l</w:t>
      </w:r>
      <w:r w:rsidR="001F6F64" w:rsidRPr="007D4988">
        <w:t>'</w:t>
      </w:r>
      <w:r w:rsidRPr="007D4988">
        <w:t xml:space="preserve">Internet est passée de </w:t>
      </w:r>
      <w:r w:rsidRPr="007D4988">
        <w:rPr>
          <w:b/>
          <w:bCs/>
        </w:rPr>
        <w:t>67</w:t>
      </w:r>
      <w:r w:rsidR="001F6F64" w:rsidRPr="007D4988">
        <w:rPr>
          <w:b/>
          <w:bCs/>
        </w:rPr>
        <w:t>%</w:t>
      </w:r>
      <w:r w:rsidRPr="007D4988">
        <w:rPr>
          <w:b/>
          <w:bCs/>
        </w:rPr>
        <w:t xml:space="preserve"> en 2022 à 74</w:t>
      </w:r>
      <w:r w:rsidR="001F6F64" w:rsidRPr="007D4988">
        <w:rPr>
          <w:b/>
          <w:bCs/>
        </w:rPr>
        <w:t>%</w:t>
      </w:r>
      <w:r w:rsidRPr="007D4988">
        <w:rPr>
          <w:b/>
          <w:bCs/>
        </w:rPr>
        <w:t xml:space="preserve"> en 2025</w:t>
      </w:r>
      <w:r w:rsidRPr="007D4988">
        <w:t xml:space="preserve"> (de</w:t>
      </w:r>
      <w:r w:rsidR="00FF214D" w:rsidRPr="007D4988">
        <w:t> </w:t>
      </w:r>
      <w:r w:rsidRPr="007D4988">
        <w:rPr>
          <w:b/>
          <w:bCs/>
        </w:rPr>
        <w:t>5,4</w:t>
      </w:r>
      <w:r w:rsidR="00FF214D" w:rsidRPr="007D4988">
        <w:rPr>
          <w:b/>
          <w:bCs/>
        </w:rPr>
        <w:t> </w:t>
      </w:r>
      <w:r w:rsidRPr="007D4988">
        <w:rPr>
          <w:b/>
          <w:bCs/>
        </w:rPr>
        <w:t>à</w:t>
      </w:r>
      <w:r w:rsidR="00FF214D" w:rsidRPr="007D4988">
        <w:rPr>
          <w:b/>
          <w:bCs/>
        </w:rPr>
        <w:t> </w:t>
      </w:r>
      <w:r w:rsidRPr="007D4988">
        <w:rPr>
          <w:b/>
          <w:bCs/>
        </w:rPr>
        <w:t>6 milliards d</w:t>
      </w:r>
      <w:r w:rsidR="001F6F64" w:rsidRPr="007D4988">
        <w:rPr>
          <w:b/>
          <w:bCs/>
        </w:rPr>
        <w:t>'</w:t>
      </w:r>
      <w:r w:rsidRPr="007D4988">
        <w:rPr>
          <w:b/>
          <w:bCs/>
        </w:rPr>
        <w:t>utilisateurs</w:t>
      </w:r>
      <w:r w:rsidRPr="007D4988">
        <w:t xml:space="preserve">), laissant </w:t>
      </w:r>
      <w:r w:rsidRPr="007D4988">
        <w:rPr>
          <w:b/>
          <w:bCs/>
        </w:rPr>
        <w:t>2,</w:t>
      </w:r>
      <w:r w:rsidR="000C1550" w:rsidRPr="007D4988">
        <w:rPr>
          <w:b/>
          <w:bCs/>
        </w:rPr>
        <w:t>2</w:t>
      </w:r>
      <w:r w:rsidRPr="007D4988">
        <w:rPr>
          <w:b/>
          <w:bCs/>
        </w:rPr>
        <w:t xml:space="preserve"> milliards d</w:t>
      </w:r>
      <w:r w:rsidR="001F6F64" w:rsidRPr="007D4988">
        <w:rPr>
          <w:b/>
          <w:bCs/>
        </w:rPr>
        <w:t>'</w:t>
      </w:r>
      <w:r w:rsidRPr="007D4988">
        <w:rPr>
          <w:b/>
          <w:bCs/>
        </w:rPr>
        <w:t>utilisateurs non connectés</w:t>
      </w:r>
      <w:r w:rsidRPr="007D4988">
        <w:t>.</w:t>
      </w:r>
    </w:p>
    <w:p w14:paraId="02BB6159" w14:textId="12F8A41D" w:rsidR="008D0C6D" w:rsidRPr="007D4988" w:rsidRDefault="008D0C6D" w:rsidP="008D0C6D">
      <w:pPr>
        <w:pStyle w:val="enumlev1"/>
        <w:rPr>
          <w:rFonts w:eastAsia="PMingLiU"/>
          <w:sz w:val="22"/>
          <w:szCs w:val="22"/>
        </w:rPr>
      </w:pPr>
      <w:r w:rsidRPr="007D4988">
        <w:t>•</w:t>
      </w:r>
      <w:r w:rsidRPr="007D4988">
        <w:tab/>
        <w:t xml:space="preserve">Les écarts en matière de connectivité subsistent: </w:t>
      </w:r>
      <w:r w:rsidRPr="007D4988">
        <w:rPr>
          <w:b/>
          <w:bCs/>
        </w:rPr>
        <w:t>94</w:t>
      </w:r>
      <w:r w:rsidR="001F6F64" w:rsidRPr="007D4988">
        <w:rPr>
          <w:b/>
          <w:bCs/>
        </w:rPr>
        <w:t>%</w:t>
      </w:r>
      <w:r w:rsidRPr="007D4988">
        <w:t xml:space="preserve"> des personnes sont connectées dans les pays à revenu élevé, contre </w:t>
      </w:r>
      <w:r w:rsidRPr="007D4988">
        <w:rPr>
          <w:b/>
          <w:bCs/>
        </w:rPr>
        <w:t>23</w:t>
      </w:r>
      <w:r w:rsidR="001F6F64" w:rsidRPr="007D4988">
        <w:rPr>
          <w:b/>
          <w:bCs/>
        </w:rPr>
        <w:t>%</w:t>
      </w:r>
      <w:r w:rsidRPr="007D4988">
        <w:t xml:space="preserve"> dans les pays à faible revenu.</w:t>
      </w:r>
    </w:p>
    <w:p w14:paraId="6992466E" w14:textId="4AD1DF12" w:rsidR="008D0C6D" w:rsidRPr="007D4988" w:rsidRDefault="008D0C6D" w:rsidP="008D0C6D">
      <w:pPr>
        <w:pStyle w:val="enumlev1"/>
        <w:rPr>
          <w:rFonts w:eastAsia="PMingLiU"/>
          <w:sz w:val="22"/>
          <w:szCs w:val="22"/>
        </w:rPr>
      </w:pPr>
      <w:r w:rsidRPr="007D4988">
        <w:t>•</w:t>
      </w:r>
      <w:r w:rsidRPr="007D4988">
        <w:tab/>
        <w:t xml:space="preserve">Les prix médians du large bande mobile sont passés de </w:t>
      </w:r>
      <w:r w:rsidRPr="007D4988">
        <w:rPr>
          <w:b/>
          <w:bCs/>
        </w:rPr>
        <w:t>2,0</w:t>
      </w:r>
      <w:r w:rsidR="001F6F64" w:rsidRPr="007D4988">
        <w:rPr>
          <w:b/>
          <w:bCs/>
        </w:rPr>
        <w:t>%</w:t>
      </w:r>
      <w:r w:rsidRPr="007D4988">
        <w:rPr>
          <w:b/>
          <w:bCs/>
        </w:rPr>
        <w:t xml:space="preserve"> à 1,4</w:t>
      </w:r>
      <w:r w:rsidR="001F6F64" w:rsidRPr="007D4988">
        <w:rPr>
          <w:b/>
          <w:bCs/>
        </w:rPr>
        <w:t>%</w:t>
      </w:r>
      <w:r w:rsidRPr="007D4988">
        <w:rPr>
          <w:b/>
          <w:bCs/>
        </w:rPr>
        <w:t xml:space="preserve"> du revenu national brut (RNB) par habitant</w:t>
      </w:r>
      <w:r w:rsidRPr="007D4988">
        <w:t xml:space="preserve">, et ceux du large bande fixe de </w:t>
      </w:r>
      <w:r w:rsidRPr="007D4988">
        <w:rPr>
          <w:b/>
          <w:bCs/>
        </w:rPr>
        <w:t>3,1</w:t>
      </w:r>
      <w:r w:rsidR="001F6F64" w:rsidRPr="007D4988">
        <w:rPr>
          <w:b/>
          <w:bCs/>
        </w:rPr>
        <w:t>%</w:t>
      </w:r>
      <w:r w:rsidRPr="007D4988">
        <w:rPr>
          <w:b/>
          <w:bCs/>
        </w:rPr>
        <w:t xml:space="preserve"> à 2,5</w:t>
      </w:r>
      <w:r w:rsidR="001F6F64" w:rsidRPr="007D4988">
        <w:rPr>
          <w:b/>
          <w:bCs/>
        </w:rPr>
        <w:t>%</w:t>
      </w:r>
      <w:r w:rsidRPr="007D4988">
        <w:t xml:space="preserve"> (2022</w:t>
      </w:r>
      <w:r w:rsidR="00280AE6" w:rsidRPr="007D4988">
        <w:noBreakHyphen/>
      </w:r>
      <w:r w:rsidRPr="007D4988">
        <w:t>2025).</w:t>
      </w:r>
    </w:p>
    <w:p w14:paraId="2BA4E586" w14:textId="51757C94" w:rsidR="008D0C6D" w:rsidRPr="007D4988" w:rsidRDefault="008D0C6D" w:rsidP="008D0C6D">
      <w:pPr>
        <w:pStyle w:val="enumlev1"/>
        <w:rPr>
          <w:rFonts w:eastAsia="PMingLiU"/>
          <w:sz w:val="22"/>
          <w:szCs w:val="22"/>
        </w:rPr>
      </w:pPr>
      <w:r w:rsidRPr="007D4988">
        <w:t>•</w:t>
      </w:r>
      <w:r w:rsidRPr="007D4988">
        <w:tab/>
        <w:t xml:space="preserve">La </w:t>
      </w:r>
      <w:r w:rsidRPr="007D4988">
        <w:rPr>
          <w:b/>
          <w:bCs/>
        </w:rPr>
        <w:t>couverture 5G a atteint 55</w:t>
      </w:r>
      <w:r w:rsidR="001F6F64" w:rsidRPr="007D4988">
        <w:rPr>
          <w:b/>
          <w:bCs/>
        </w:rPr>
        <w:t>%</w:t>
      </w:r>
      <w:r w:rsidRPr="007D4988">
        <w:t xml:space="preserve"> de la population mondiale en 2025, contre 39</w:t>
      </w:r>
      <w:r w:rsidR="001F6F64" w:rsidRPr="007D4988">
        <w:t>%</w:t>
      </w:r>
      <w:r w:rsidRPr="007D4988">
        <w:t xml:space="preserve"> en</w:t>
      </w:r>
      <w:r w:rsidR="00280AE6" w:rsidRPr="007D4988">
        <w:t> </w:t>
      </w:r>
      <w:r w:rsidRPr="007D4988">
        <w:t xml:space="preserve">2022, mais elle est seulement de </w:t>
      </w:r>
      <w:r w:rsidRPr="007D4988">
        <w:rPr>
          <w:b/>
          <w:bCs/>
        </w:rPr>
        <w:t>4</w:t>
      </w:r>
      <w:r w:rsidR="001F6F64" w:rsidRPr="007D4988">
        <w:rPr>
          <w:b/>
          <w:bCs/>
        </w:rPr>
        <w:t>%</w:t>
      </w:r>
      <w:r w:rsidRPr="007D4988">
        <w:t xml:space="preserve"> dans les pays à faible revenu.</w:t>
      </w:r>
    </w:p>
    <w:p w14:paraId="7005FDF3" w14:textId="6E79E0BC" w:rsidR="008D0C6D" w:rsidRPr="007D4988" w:rsidRDefault="008D0C6D" w:rsidP="008D0C6D">
      <w:pPr>
        <w:pStyle w:val="enumlev1"/>
        <w:rPr>
          <w:rFonts w:eastAsia="PMingLiU"/>
          <w:sz w:val="22"/>
          <w:szCs w:val="22"/>
        </w:rPr>
      </w:pPr>
      <w:r w:rsidRPr="007D4988">
        <w:t>•</w:t>
      </w:r>
      <w:r w:rsidRPr="007D4988">
        <w:tab/>
        <w:t xml:space="preserve">Quelque </w:t>
      </w:r>
      <w:r w:rsidRPr="007D4988">
        <w:rPr>
          <w:b/>
          <w:bCs/>
        </w:rPr>
        <w:t>82</w:t>
      </w:r>
      <w:r w:rsidR="001F6F64" w:rsidRPr="007D4988">
        <w:rPr>
          <w:b/>
          <w:bCs/>
        </w:rPr>
        <w:t>%</w:t>
      </w:r>
      <w:r w:rsidRPr="007D4988">
        <w:t xml:space="preserve"> des personnes âgées de 15 à 24 ans ont utilisé l</w:t>
      </w:r>
      <w:r w:rsidR="001F6F64" w:rsidRPr="007D4988">
        <w:t>'</w:t>
      </w:r>
      <w:r w:rsidRPr="007D4988">
        <w:t>Internet en 2025, contre</w:t>
      </w:r>
      <w:r w:rsidR="000C1550" w:rsidRPr="007D4988">
        <w:t> </w:t>
      </w:r>
      <w:r w:rsidRPr="007D4988">
        <w:rPr>
          <w:b/>
          <w:bCs/>
        </w:rPr>
        <w:t>72</w:t>
      </w:r>
      <w:r w:rsidR="001F6F64" w:rsidRPr="007D4988">
        <w:rPr>
          <w:b/>
          <w:bCs/>
        </w:rPr>
        <w:t>%</w:t>
      </w:r>
      <w:r w:rsidRPr="007D4988">
        <w:t xml:space="preserve"> du reste de la population.</w:t>
      </w:r>
    </w:p>
    <w:p w14:paraId="30EC3CED" w14:textId="744DC529" w:rsidR="008D0C6D" w:rsidRPr="007D4988" w:rsidRDefault="008D0C6D" w:rsidP="008D0C6D">
      <w:pPr>
        <w:pStyle w:val="enumlev1"/>
        <w:rPr>
          <w:rFonts w:eastAsia="PMingLiU"/>
          <w:sz w:val="22"/>
          <w:szCs w:val="22"/>
        </w:rPr>
      </w:pPr>
      <w:r w:rsidRPr="007D4988">
        <w:t>•</w:t>
      </w:r>
      <w:r w:rsidRPr="007D4988">
        <w:tab/>
        <w:t>L</w:t>
      </w:r>
      <w:r w:rsidR="001F6F64" w:rsidRPr="007D4988">
        <w:t>'</w:t>
      </w:r>
      <w:r w:rsidRPr="007D4988">
        <w:t>écart d</w:t>
      </w:r>
      <w:r w:rsidR="001F6F64" w:rsidRPr="007D4988">
        <w:t>'</w:t>
      </w:r>
      <w:r w:rsidRPr="007D4988">
        <w:t>utilisation entre les zones urbaines et les zones rurales s</w:t>
      </w:r>
      <w:r w:rsidR="001F6F64" w:rsidRPr="007D4988">
        <w:t>'</w:t>
      </w:r>
      <w:r w:rsidRPr="007D4988">
        <w:t xml:space="preserve">est légèrement réduit, passant de </w:t>
      </w:r>
      <w:r w:rsidRPr="007D4988">
        <w:rPr>
          <w:b/>
          <w:bCs/>
        </w:rPr>
        <w:t>1,6 à 1,5</w:t>
      </w:r>
      <w:r w:rsidRPr="007D4988">
        <w:t xml:space="preserve">: en effet, </w:t>
      </w:r>
      <w:r w:rsidRPr="007D4988">
        <w:rPr>
          <w:b/>
          <w:bCs/>
        </w:rPr>
        <w:t>85</w:t>
      </w:r>
      <w:r w:rsidR="001F6F64" w:rsidRPr="007D4988">
        <w:rPr>
          <w:b/>
          <w:bCs/>
        </w:rPr>
        <w:t>%</w:t>
      </w:r>
      <w:r w:rsidRPr="007D4988">
        <w:rPr>
          <w:b/>
          <w:bCs/>
        </w:rPr>
        <w:t xml:space="preserve"> des citadins</w:t>
      </w:r>
      <w:r w:rsidRPr="007D4988">
        <w:t xml:space="preserve"> et </w:t>
      </w:r>
      <w:r w:rsidRPr="007D4988">
        <w:rPr>
          <w:b/>
          <w:bCs/>
        </w:rPr>
        <w:t>58</w:t>
      </w:r>
      <w:r w:rsidR="001F6F64" w:rsidRPr="007D4988">
        <w:rPr>
          <w:b/>
          <w:bCs/>
        </w:rPr>
        <w:t>%</w:t>
      </w:r>
      <w:r w:rsidRPr="007D4988">
        <w:rPr>
          <w:b/>
          <w:bCs/>
        </w:rPr>
        <w:t xml:space="preserve"> des ruraux</w:t>
      </w:r>
      <w:r w:rsidRPr="007D4988">
        <w:t xml:space="preserve"> ont utilisé l'Internet en 2025.</w:t>
      </w:r>
    </w:p>
    <w:p w14:paraId="71EA2E6E" w14:textId="77777777" w:rsidR="008D0C6D" w:rsidRPr="007D4988" w:rsidRDefault="008D0C6D" w:rsidP="000A1CCC">
      <w:pPr>
        <w:pStyle w:val="Headingb"/>
        <w:rPr>
          <w:rFonts w:eastAsia="MS Mincho"/>
          <w:sz w:val="22"/>
        </w:rPr>
      </w:pPr>
      <w:r w:rsidRPr="007D4988">
        <w:t>Collecte de données et d'informations stratégiques</w:t>
      </w:r>
    </w:p>
    <w:p w14:paraId="4004261A" w14:textId="4C978805" w:rsidR="008D0C6D" w:rsidRPr="007D4988" w:rsidRDefault="008D0C6D" w:rsidP="008D0C6D">
      <w:pPr>
        <w:pStyle w:val="enumlev1"/>
        <w:rPr>
          <w:rFonts w:eastAsia="PMingLiU"/>
          <w:sz w:val="22"/>
          <w:szCs w:val="22"/>
        </w:rPr>
      </w:pPr>
      <w:r w:rsidRPr="007D4988">
        <w:t>•</w:t>
      </w:r>
      <w:r w:rsidRPr="007D4988">
        <w:tab/>
        <w:t>L</w:t>
      </w:r>
      <w:r w:rsidR="001F6F64" w:rsidRPr="007D4988">
        <w:t>'</w:t>
      </w:r>
      <w:r w:rsidRPr="007D4988">
        <w:t>Union internationale des télécommunications (UIT) a recueilli des statistiques sur les technologies de l</w:t>
      </w:r>
      <w:r w:rsidR="001F6F64" w:rsidRPr="007D4988">
        <w:t>'</w:t>
      </w:r>
      <w:r w:rsidRPr="007D4988">
        <w:t xml:space="preserve">information et de la communication (TIC) auprès de </w:t>
      </w:r>
      <w:r w:rsidRPr="007D4988">
        <w:rPr>
          <w:b/>
          <w:bCs/>
        </w:rPr>
        <w:t>plus de</w:t>
      </w:r>
      <w:r w:rsidR="000C1550" w:rsidRPr="007D4988">
        <w:rPr>
          <w:b/>
          <w:bCs/>
        </w:rPr>
        <w:t xml:space="preserve"> </w:t>
      </w:r>
      <w:r w:rsidRPr="007D4988">
        <w:rPr>
          <w:b/>
          <w:bCs/>
        </w:rPr>
        <w:t>200</w:t>
      </w:r>
      <w:r w:rsidR="00280AE6" w:rsidRPr="007D4988">
        <w:rPr>
          <w:b/>
          <w:bCs/>
        </w:rPr>
        <w:t> </w:t>
      </w:r>
      <w:r w:rsidRPr="007D4988">
        <w:rPr>
          <w:b/>
          <w:bCs/>
        </w:rPr>
        <w:t>économies</w:t>
      </w:r>
      <w:r w:rsidRPr="007D4988">
        <w:t xml:space="preserve">, a renforcé les méthodes relatives aux mégadonnées et a publié des éditions annuelles du rapport </w:t>
      </w:r>
      <w:r w:rsidRPr="007D4988">
        <w:rPr>
          <w:b/>
          <w:bCs/>
        </w:rPr>
        <w:t>Faits et chiffres</w:t>
      </w:r>
      <w:r w:rsidRPr="007D4988">
        <w:t xml:space="preserve"> et du </w:t>
      </w:r>
      <w:r w:rsidRPr="007D4988">
        <w:rPr>
          <w:b/>
          <w:bCs/>
        </w:rPr>
        <w:t>Rapport sur la connectivité mondiale</w:t>
      </w:r>
      <w:r w:rsidRPr="007D4988">
        <w:t>.</w:t>
      </w:r>
    </w:p>
    <w:p w14:paraId="7A367BE6" w14:textId="0C4A5470" w:rsidR="008D0C6D" w:rsidRPr="007D4988" w:rsidRDefault="008D0C6D" w:rsidP="008D0C6D">
      <w:pPr>
        <w:pStyle w:val="enumlev1"/>
        <w:rPr>
          <w:rFonts w:eastAsia="PMingLiU"/>
          <w:sz w:val="22"/>
          <w:szCs w:val="22"/>
        </w:rPr>
      </w:pPr>
      <w:r w:rsidRPr="007D4988">
        <w:t>•</w:t>
      </w:r>
      <w:r w:rsidRPr="007D4988">
        <w:tab/>
        <w:t>Le nombre de pays dotés d</w:t>
      </w:r>
      <w:r w:rsidR="001F6F64" w:rsidRPr="007D4988">
        <w:t>'</w:t>
      </w:r>
      <w:r w:rsidRPr="007D4988">
        <w:t>un cadre national d</w:t>
      </w:r>
      <w:r w:rsidR="001F6F64" w:rsidRPr="007D4988">
        <w:t>'</w:t>
      </w:r>
      <w:r w:rsidRPr="007D4988">
        <w:t>accessibilité des TIC est passé de</w:t>
      </w:r>
      <w:r w:rsidR="000C1550" w:rsidRPr="007D4988">
        <w:t> </w:t>
      </w:r>
      <w:r w:rsidRPr="007D4988">
        <w:rPr>
          <w:b/>
          <w:bCs/>
        </w:rPr>
        <w:t>61</w:t>
      </w:r>
      <w:r w:rsidR="000C1550" w:rsidRPr="007D4988">
        <w:rPr>
          <w:b/>
          <w:bCs/>
        </w:rPr>
        <w:t> </w:t>
      </w:r>
      <w:r w:rsidRPr="007D4988">
        <w:rPr>
          <w:b/>
          <w:bCs/>
        </w:rPr>
        <w:t>à</w:t>
      </w:r>
      <w:r w:rsidR="00280AE6" w:rsidRPr="007D4988">
        <w:rPr>
          <w:b/>
          <w:bCs/>
        </w:rPr>
        <w:t> </w:t>
      </w:r>
      <w:r w:rsidRPr="007D4988">
        <w:rPr>
          <w:b/>
          <w:bCs/>
        </w:rPr>
        <w:t>100</w:t>
      </w:r>
      <w:r w:rsidRPr="007D4988">
        <w:t xml:space="preserve"> (2018-2023) et est passé à </w:t>
      </w:r>
      <w:r w:rsidRPr="007D4988">
        <w:rPr>
          <w:b/>
          <w:bCs/>
        </w:rPr>
        <w:t>101</w:t>
      </w:r>
      <w:r w:rsidRPr="007D4988">
        <w:t xml:space="preserve"> en 2025.</w:t>
      </w:r>
    </w:p>
    <w:p w14:paraId="173C1933" w14:textId="7BD37847" w:rsidR="008D0C6D" w:rsidRPr="007D4988" w:rsidRDefault="008D0C6D" w:rsidP="008D0C6D">
      <w:pPr>
        <w:pStyle w:val="enumlev1"/>
        <w:rPr>
          <w:rFonts w:eastAsia="PMingLiU"/>
          <w:sz w:val="22"/>
          <w:szCs w:val="22"/>
        </w:rPr>
      </w:pPr>
      <w:r w:rsidRPr="007D4988">
        <w:t>•</w:t>
      </w:r>
      <w:r w:rsidRPr="007D4988">
        <w:tab/>
        <w:t>Le nombre de pays dotés d</w:t>
      </w:r>
      <w:r w:rsidR="001F6F64" w:rsidRPr="007D4988">
        <w:t>'</w:t>
      </w:r>
      <w:r w:rsidRPr="007D4988">
        <w:t>équipes d</w:t>
      </w:r>
      <w:r w:rsidR="001F6F64" w:rsidRPr="007D4988">
        <w:t>'</w:t>
      </w:r>
      <w:r w:rsidRPr="007D4988">
        <w:t>intervention en cas d</w:t>
      </w:r>
      <w:r w:rsidR="00292D54" w:rsidRPr="007D4988">
        <w:t>'</w:t>
      </w:r>
      <w:r w:rsidR="0020130E" w:rsidRPr="007D4988">
        <w:t>incident informatiqu</w:t>
      </w:r>
      <w:r w:rsidRPr="007D4988">
        <w:t>e (CIRT) est passé de</w:t>
      </w:r>
      <w:r w:rsidRPr="007D4988">
        <w:rPr>
          <w:b/>
          <w:bCs/>
        </w:rPr>
        <w:t xml:space="preserve"> 109 (2020) </w:t>
      </w:r>
      <w:r w:rsidRPr="007D4988">
        <w:t xml:space="preserve">à </w:t>
      </w:r>
      <w:r w:rsidRPr="007D4988">
        <w:rPr>
          <w:b/>
          <w:bCs/>
        </w:rPr>
        <w:t>132 (2024)</w:t>
      </w:r>
      <w:r w:rsidRPr="007D4988">
        <w:t xml:space="preserve">, et le nombre de pays dotés de stratégies nationales de cybersécurité est passé de </w:t>
      </w:r>
      <w:r w:rsidRPr="007D4988">
        <w:rPr>
          <w:b/>
          <w:bCs/>
        </w:rPr>
        <w:t>107 à 148 pays</w:t>
      </w:r>
      <w:r w:rsidRPr="007D4988">
        <w:t>.</w:t>
      </w:r>
    </w:p>
    <w:p w14:paraId="779F69B4" w14:textId="0A0C605A" w:rsidR="008D0C6D" w:rsidRPr="007D4988" w:rsidRDefault="008D0C6D" w:rsidP="008D0C6D">
      <w:pPr>
        <w:pStyle w:val="enumlev1"/>
        <w:rPr>
          <w:rFonts w:eastAsia="PMingLiU"/>
          <w:sz w:val="22"/>
          <w:szCs w:val="22"/>
        </w:rPr>
      </w:pPr>
      <w:r w:rsidRPr="007D4988">
        <w:t>•</w:t>
      </w:r>
      <w:r w:rsidRPr="007D4988">
        <w:tab/>
        <w:t xml:space="preserve">La largeur de bande internationale par internaute a plus que doublé (2020-2024) pour atteindre </w:t>
      </w:r>
      <w:r w:rsidRPr="007D4988">
        <w:rPr>
          <w:b/>
          <w:bCs/>
        </w:rPr>
        <w:t>322,8 kilobits par seconde (kbit/s)</w:t>
      </w:r>
      <w:r w:rsidRPr="007D4988">
        <w:t xml:space="preserve">, la largeur de bande totale atteignant </w:t>
      </w:r>
      <w:r w:rsidRPr="007D4988">
        <w:rPr>
          <w:b/>
          <w:bCs/>
        </w:rPr>
        <w:t>1,78</w:t>
      </w:r>
      <w:r w:rsidR="000C1550" w:rsidRPr="007D4988">
        <w:rPr>
          <w:b/>
          <w:bCs/>
        </w:rPr>
        <w:t> </w:t>
      </w:r>
      <w:r w:rsidRPr="007D4988">
        <w:rPr>
          <w:b/>
          <w:bCs/>
        </w:rPr>
        <w:t>térabits par seconde (Tbit/s)</w:t>
      </w:r>
      <w:r w:rsidRPr="007D4988">
        <w:t>.</w:t>
      </w:r>
    </w:p>
    <w:p w14:paraId="39A716BA" w14:textId="6EC22B2F" w:rsidR="008D0C6D" w:rsidRPr="007D4988" w:rsidRDefault="008D0C6D" w:rsidP="000A1CCC">
      <w:pPr>
        <w:pStyle w:val="Headingb"/>
        <w:rPr>
          <w:rFonts w:eastAsia="MS Mincho"/>
          <w:sz w:val="22"/>
        </w:rPr>
      </w:pPr>
      <w:r w:rsidRPr="007D4988">
        <w:t>Conférences statutaires mondiales de l</w:t>
      </w:r>
      <w:r w:rsidR="001F6F64" w:rsidRPr="007D4988">
        <w:t>'</w:t>
      </w:r>
      <w:r w:rsidRPr="007D4988">
        <w:t>UIT (2022-2025)</w:t>
      </w:r>
    </w:p>
    <w:p w14:paraId="5A1FAC9E" w14:textId="1E7A7D8E" w:rsidR="008D0C6D" w:rsidRPr="007D4988" w:rsidRDefault="008D0C6D" w:rsidP="008D0C6D">
      <w:pPr>
        <w:pStyle w:val="enumlev1"/>
        <w:rPr>
          <w:rFonts w:eastAsia="PMingLiU"/>
          <w:sz w:val="22"/>
          <w:szCs w:val="22"/>
        </w:rPr>
      </w:pPr>
      <w:r w:rsidRPr="007D4988">
        <w:t>•</w:t>
      </w:r>
      <w:r w:rsidRPr="007D4988">
        <w:tab/>
        <w:t xml:space="preserve">La Conférence a modifié </w:t>
      </w:r>
      <w:r w:rsidRPr="007D4988">
        <w:rPr>
          <w:b/>
          <w:bCs/>
        </w:rPr>
        <w:t>56 Résolutions</w:t>
      </w:r>
      <w:r w:rsidRPr="007D4988">
        <w:t xml:space="preserve">, en a adopté </w:t>
      </w:r>
      <w:r w:rsidRPr="007D4988">
        <w:rPr>
          <w:b/>
          <w:bCs/>
        </w:rPr>
        <w:t>six nouvelles</w:t>
      </w:r>
      <w:r w:rsidRPr="007D4988">
        <w:t xml:space="preserve"> et a lancé d</w:t>
      </w:r>
      <w:r w:rsidR="001F6F64" w:rsidRPr="007D4988">
        <w:t>'</w:t>
      </w:r>
      <w:r w:rsidRPr="007D4988">
        <w:t>importants axes de travail sur l</w:t>
      </w:r>
      <w:r w:rsidR="001F6F64" w:rsidRPr="007D4988">
        <w:t>'</w:t>
      </w:r>
      <w:r w:rsidRPr="007D4988">
        <w:rPr>
          <w:b/>
          <w:bCs/>
        </w:rPr>
        <w:t>intelligence artificielle</w:t>
      </w:r>
      <w:r w:rsidRPr="007D4988">
        <w:t xml:space="preserve">, la </w:t>
      </w:r>
      <w:r w:rsidRPr="007D4988">
        <w:rPr>
          <w:b/>
          <w:bCs/>
        </w:rPr>
        <w:t>durabilité de l</w:t>
      </w:r>
      <w:r w:rsidR="001F6F64" w:rsidRPr="007D4988">
        <w:rPr>
          <w:b/>
          <w:bCs/>
        </w:rPr>
        <w:t>'</w:t>
      </w:r>
      <w:r w:rsidRPr="007D4988">
        <w:rPr>
          <w:b/>
          <w:bCs/>
        </w:rPr>
        <w:t>espace extra-atmosphérique</w:t>
      </w:r>
      <w:r w:rsidRPr="007D4988">
        <w:t>, l</w:t>
      </w:r>
      <w:r w:rsidR="001F6F64" w:rsidRPr="007D4988">
        <w:t>'</w:t>
      </w:r>
      <w:r w:rsidRPr="007D4988">
        <w:rPr>
          <w:b/>
          <w:bCs/>
        </w:rPr>
        <w:t>égalité hommes-femmes</w:t>
      </w:r>
      <w:r w:rsidRPr="007D4988">
        <w:t>, l</w:t>
      </w:r>
      <w:r w:rsidR="001F6F64" w:rsidRPr="007D4988">
        <w:t>'</w:t>
      </w:r>
      <w:r w:rsidRPr="007D4988">
        <w:rPr>
          <w:b/>
          <w:bCs/>
        </w:rPr>
        <w:t>action climatique</w:t>
      </w:r>
      <w:r w:rsidRPr="007D4988">
        <w:t xml:space="preserve">, la </w:t>
      </w:r>
      <w:r w:rsidRPr="007D4988">
        <w:rPr>
          <w:b/>
          <w:bCs/>
        </w:rPr>
        <w:t>préparation aux pandémies</w:t>
      </w:r>
      <w:r w:rsidRPr="007D4988">
        <w:t xml:space="preserve"> et les </w:t>
      </w:r>
      <w:r w:rsidRPr="007D4988">
        <w:rPr>
          <w:b/>
          <w:bCs/>
        </w:rPr>
        <w:t>villes intelligentes</w:t>
      </w:r>
      <w:r w:rsidRPr="007D4988">
        <w:t>.</w:t>
      </w:r>
    </w:p>
    <w:p w14:paraId="0C2E1B71" w14:textId="49BD4C9D" w:rsidR="008D0C6D" w:rsidRPr="007D4988" w:rsidRDefault="008D0C6D" w:rsidP="008D0C6D">
      <w:pPr>
        <w:pStyle w:val="enumlev1"/>
        <w:rPr>
          <w:rFonts w:eastAsia="PMingLiU"/>
          <w:sz w:val="22"/>
          <w:szCs w:val="22"/>
        </w:rPr>
      </w:pPr>
      <w:r w:rsidRPr="007D4988">
        <w:t>•</w:t>
      </w:r>
      <w:r w:rsidRPr="007D4988">
        <w:tab/>
        <w:t xml:space="preserve">La PP-22 a élu </w:t>
      </w:r>
      <w:r w:rsidRPr="007D4988">
        <w:rPr>
          <w:b/>
          <w:bCs/>
        </w:rPr>
        <w:t>Doreen Bogdan-Martin</w:t>
      </w:r>
      <w:r w:rsidRPr="007D4988">
        <w:t xml:space="preserve"> en tant que </w:t>
      </w:r>
      <w:r w:rsidRPr="007D4988">
        <w:rPr>
          <w:b/>
          <w:bCs/>
        </w:rPr>
        <w:t>première femme Secrétaire</w:t>
      </w:r>
      <w:r w:rsidR="00FF214D" w:rsidRPr="007D4988">
        <w:rPr>
          <w:b/>
          <w:bCs/>
        </w:rPr>
        <w:t> </w:t>
      </w:r>
      <w:r w:rsidRPr="007D4988">
        <w:rPr>
          <w:b/>
          <w:bCs/>
        </w:rPr>
        <w:t>générale de l</w:t>
      </w:r>
      <w:r w:rsidR="001F6F64" w:rsidRPr="007D4988">
        <w:rPr>
          <w:b/>
          <w:bCs/>
        </w:rPr>
        <w:t>'</w:t>
      </w:r>
      <w:r w:rsidRPr="007D4988">
        <w:rPr>
          <w:b/>
          <w:bCs/>
        </w:rPr>
        <w:t>UIT</w:t>
      </w:r>
      <w:r w:rsidRPr="007D4988">
        <w:t>.</w:t>
      </w:r>
    </w:p>
    <w:p w14:paraId="5FDF830F" w14:textId="37C0F64A" w:rsidR="008D0C6D" w:rsidRPr="007D4988" w:rsidRDefault="008D0C6D" w:rsidP="00280AE6">
      <w:pPr>
        <w:pStyle w:val="enumlev1"/>
        <w:keepNext/>
        <w:keepLines/>
        <w:rPr>
          <w:rFonts w:eastAsia="PMingLiU"/>
          <w:sz w:val="22"/>
          <w:szCs w:val="22"/>
        </w:rPr>
      </w:pPr>
      <w:r w:rsidRPr="007D4988">
        <w:t>•</w:t>
      </w:r>
      <w:r w:rsidRPr="007D4988">
        <w:tab/>
        <w:t xml:space="preserve">La Conférence mondiale des radiocommunications (CMR-23) a rassemblé </w:t>
      </w:r>
      <w:r w:rsidRPr="007D4988">
        <w:rPr>
          <w:b/>
          <w:bCs/>
        </w:rPr>
        <w:t>3</w:t>
      </w:r>
      <w:r w:rsidR="00280AE6" w:rsidRPr="007D4988">
        <w:rPr>
          <w:b/>
          <w:bCs/>
        </w:rPr>
        <w:t> </w:t>
      </w:r>
      <w:r w:rsidRPr="007D4988">
        <w:rPr>
          <w:b/>
          <w:bCs/>
        </w:rPr>
        <w:t>982</w:t>
      </w:r>
      <w:r w:rsidR="00280AE6" w:rsidRPr="007D4988">
        <w:rPr>
          <w:b/>
          <w:bCs/>
        </w:rPr>
        <w:t> </w:t>
      </w:r>
      <w:r w:rsidRPr="007D4988">
        <w:rPr>
          <w:b/>
          <w:bCs/>
        </w:rPr>
        <w:t>participants de 163 États Membres</w:t>
      </w:r>
      <w:r w:rsidRPr="007D4988">
        <w:t xml:space="preserve">, dont </w:t>
      </w:r>
      <w:r w:rsidRPr="007D4988">
        <w:rPr>
          <w:b/>
          <w:bCs/>
        </w:rPr>
        <w:t>22</w:t>
      </w:r>
      <w:r w:rsidR="001F6F64" w:rsidRPr="007D4988">
        <w:rPr>
          <w:b/>
          <w:bCs/>
        </w:rPr>
        <w:t>%</w:t>
      </w:r>
      <w:r w:rsidRPr="007D4988">
        <w:t xml:space="preserve"> de femmes, et a traité </w:t>
      </w:r>
      <w:r w:rsidRPr="007D4988">
        <w:rPr>
          <w:b/>
          <w:bCs/>
        </w:rPr>
        <w:t>plus</w:t>
      </w:r>
      <w:r w:rsidR="00FF214D" w:rsidRPr="007D4988">
        <w:rPr>
          <w:b/>
          <w:bCs/>
        </w:rPr>
        <w:t> </w:t>
      </w:r>
      <w:r w:rsidRPr="007D4988">
        <w:rPr>
          <w:b/>
          <w:bCs/>
        </w:rPr>
        <w:t>de</w:t>
      </w:r>
      <w:r w:rsidR="0098530A" w:rsidRPr="007D4988">
        <w:rPr>
          <w:b/>
          <w:bCs/>
        </w:rPr>
        <w:t> </w:t>
      </w:r>
      <w:r w:rsidRPr="007D4988">
        <w:rPr>
          <w:b/>
          <w:bCs/>
        </w:rPr>
        <w:t>30</w:t>
      </w:r>
      <w:r w:rsidR="00280AE6" w:rsidRPr="007D4988">
        <w:rPr>
          <w:b/>
          <w:bCs/>
        </w:rPr>
        <w:t> </w:t>
      </w:r>
      <w:r w:rsidRPr="007D4988">
        <w:rPr>
          <w:b/>
          <w:bCs/>
        </w:rPr>
        <w:t>points de l</w:t>
      </w:r>
      <w:r w:rsidR="001F6F64" w:rsidRPr="007D4988">
        <w:rPr>
          <w:b/>
          <w:bCs/>
        </w:rPr>
        <w:t>'</w:t>
      </w:r>
      <w:r w:rsidRPr="007D4988">
        <w:rPr>
          <w:b/>
          <w:bCs/>
        </w:rPr>
        <w:t>ordre du jour</w:t>
      </w:r>
      <w:r w:rsidRPr="007D4988">
        <w:t xml:space="preserve"> concernant les télécommunications mobiles internationales (IMT) et les services par satellite, maritimes, aéronautiques et scientifiques.</w:t>
      </w:r>
    </w:p>
    <w:p w14:paraId="1CB3BB74" w14:textId="43AC9F7E" w:rsidR="008D0C6D" w:rsidRPr="007D4988" w:rsidRDefault="008D0C6D" w:rsidP="008D0C6D">
      <w:pPr>
        <w:pStyle w:val="enumlev1"/>
        <w:rPr>
          <w:rFonts w:eastAsia="PMingLiU"/>
          <w:sz w:val="22"/>
          <w:szCs w:val="22"/>
        </w:rPr>
      </w:pPr>
      <w:r w:rsidRPr="007D4988">
        <w:t>•</w:t>
      </w:r>
      <w:r w:rsidRPr="007D4988">
        <w:tab/>
        <w:t>L</w:t>
      </w:r>
      <w:r w:rsidR="001F6F64" w:rsidRPr="007D4988">
        <w:t>'</w:t>
      </w:r>
      <w:r w:rsidRPr="007D4988">
        <w:t xml:space="preserve">Assemblée des radiocommunications (AR-23) a adopté le </w:t>
      </w:r>
      <w:r w:rsidRPr="007D4988">
        <w:rPr>
          <w:b/>
          <w:bCs/>
        </w:rPr>
        <w:t>cadre pour les IMT-2030</w:t>
      </w:r>
      <w:r w:rsidRPr="007D4988">
        <w:t xml:space="preserve"> applicable aux réseaux de télécommunication 6G, révisé </w:t>
      </w:r>
      <w:r w:rsidRPr="007D4988">
        <w:rPr>
          <w:b/>
          <w:bCs/>
        </w:rPr>
        <w:t xml:space="preserve">26 </w:t>
      </w:r>
      <w:r w:rsidR="0098530A" w:rsidRPr="007D4988">
        <w:rPr>
          <w:b/>
          <w:bCs/>
        </w:rPr>
        <w:t>R</w:t>
      </w:r>
      <w:r w:rsidRPr="007D4988">
        <w:rPr>
          <w:b/>
          <w:bCs/>
        </w:rPr>
        <w:t>ésolutions</w:t>
      </w:r>
      <w:r w:rsidRPr="007D4988">
        <w:t xml:space="preserve"> du Secteur des radiocommunications de l</w:t>
      </w:r>
      <w:r w:rsidR="001F6F64" w:rsidRPr="007D4988">
        <w:t>'</w:t>
      </w:r>
      <w:r w:rsidRPr="007D4988">
        <w:t xml:space="preserve">UIT (UIT-R) et approuvé de nouvelles </w:t>
      </w:r>
      <w:r w:rsidR="003E1153" w:rsidRPr="007D4988">
        <w:t>R</w:t>
      </w:r>
      <w:r w:rsidRPr="007D4988">
        <w:t>ésolutions sur l</w:t>
      </w:r>
      <w:r w:rsidR="001F6F64" w:rsidRPr="007D4988">
        <w:t>'</w:t>
      </w:r>
      <w:r w:rsidRPr="007D4988">
        <w:rPr>
          <w:b/>
          <w:bCs/>
        </w:rPr>
        <w:t>égalité hommes-femmes</w:t>
      </w:r>
      <w:r w:rsidRPr="007D4988">
        <w:t xml:space="preserve">, le </w:t>
      </w:r>
      <w:r w:rsidRPr="007D4988">
        <w:rPr>
          <w:b/>
          <w:bCs/>
        </w:rPr>
        <w:t>large bande</w:t>
      </w:r>
      <w:r w:rsidRPr="007D4988">
        <w:t xml:space="preserve">, la </w:t>
      </w:r>
      <w:r w:rsidRPr="007D4988">
        <w:rPr>
          <w:b/>
          <w:bCs/>
        </w:rPr>
        <w:t>durabilité du spectre</w:t>
      </w:r>
      <w:r w:rsidRPr="007D4988">
        <w:t xml:space="preserve"> et la </w:t>
      </w:r>
      <w:r w:rsidRPr="007D4988">
        <w:rPr>
          <w:b/>
          <w:bCs/>
        </w:rPr>
        <w:t>coordination intersectorielle</w:t>
      </w:r>
      <w:r w:rsidRPr="007D4988">
        <w:t>.</w:t>
      </w:r>
    </w:p>
    <w:p w14:paraId="362B2549" w14:textId="1AE4997E" w:rsidR="008D0C6D" w:rsidRPr="007D4988" w:rsidRDefault="008D0C6D" w:rsidP="008D0C6D">
      <w:pPr>
        <w:pStyle w:val="enumlev1"/>
        <w:rPr>
          <w:rFonts w:eastAsia="PMingLiU"/>
          <w:sz w:val="22"/>
          <w:szCs w:val="22"/>
        </w:rPr>
      </w:pPr>
      <w:r w:rsidRPr="007D4988">
        <w:t>•</w:t>
      </w:r>
      <w:r w:rsidRPr="007D4988">
        <w:tab/>
        <w:t>L</w:t>
      </w:r>
      <w:r w:rsidR="001F6F64" w:rsidRPr="007D4988">
        <w:t>'</w:t>
      </w:r>
      <w:r w:rsidRPr="007D4988">
        <w:t xml:space="preserve">Assemblée mondiale de normalisation des télécommunications (AMNT-24) a accueilli </w:t>
      </w:r>
      <w:r w:rsidRPr="007D4988">
        <w:rPr>
          <w:b/>
          <w:bCs/>
        </w:rPr>
        <w:t>3</w:t>
      </w:r>
      <w:r w:rsidR="00FF214D" w:rsidRPr="007D4988">
        <w:rPr>
          <w:b/>
          <w:bCs/>
        </w:rPr>
        <w:t> </w:t>
      </w:r>
      <w:r w:rsidRPr="007D4988">
        <w:rPr>
          <w:b/>
          <w:bCs/>
        </w:rPr>
        <w:t>700</w:t>
      </w:r>
      <w:r w:rsidR="00FF214D" w:rsidRPr="007D4988">
        <w:rPr>
          <w:b/>
          <w:bCs/>
        </w:rPr>
        <w:t> </w:t>
      </w:r>
      <w:r w:rsidRPr="007D4988">
        <w:rPr>
          <w:b/>
          <w:bCs/>
        </w:rPr>
        <w:t>délégués (dont 27</w:t>
      </w:r>
      <w:r w:rsidR="001F6F64" w:rsidRPr="007D4988">
        <w:rPr>
          <w:b/>
          <w:bCs/>
        </w:rPr>
        <w:t>%</w:t>
      </w:r>
      <w:r w:rsidRPr="007D4988">
        <w:rPr>
          <w:b/>
          <w:bCs/>
        </w:rPr>
        <w:t xml:space="preserve"> de femmes)</w:t>
      </w:r>
      <w:r w:rsidRPr="007D4988">
        <w:t>, a fusionné les Commissions d</w:t>
      </w:r>
      <w:r w:rsidR="001F6F64" w:rsidRPr="007D4988">
        <w:t>'</w:t>
      </w:r>
      <w:r w:rsidRPr="007D4988">
        <w:t xml:space="preserve">études 9 et 16 pour former la </w:t>
      </w:r>
      <w:r w:rsidRPr="007D4988">
        <w:rPr>
          <w:b/>
          <w:bCs/>
        </w:rPr>
        <w:t>Commission d</w:t>
      </w:r>
      <w:r w:rsidR="001F6F64" w:rsidRPr="007D4988">
        <w:rPr>
          <w:b/>
          <w:bCs/>
        </w:rPr>
        <w:t>'</w:t>
      </w:r>
      <w:r w:rsidRPr="007D4988">
        <w:rPr>
          <w:b/>
          <w:bCs/>
        </w:rPr>
        <w:t>études 21</w:t>
      </w:r>
      <w:r w:rsidRPr="007D4988">
        <w:t xml:space="preserve"> et a adopté </w:t>
      </w:r>
      <w:r w:rsidRPr="007D4988">
        <w:rPr>
          <w:b/>
          <w:bCs/>
        </w:rPr>
        <w:t xml:space="preserve">8 nouvelles </w:t>
      </w:r>
      <w:r w:rsidR="0098530A" w:rsidRPr="007D4988">
        <w:rPr>
          <w:b/>
          <w:bCs/>
        </w:rPr>
        <w:t>R</w:t>
      </w:r>
      <w:r w:rsidRPr="007D4988">
        <w:rPr>
          <w:b/>
          <w:bCs/>
        </w:rPr>
        <w:t>ésolutions</w:t>
      </w:r>
      <w:r w:rsidRPr="007D4988">
        <w:t xml:space="preserve"> et</w:t>
      </w:r>
      <w:r w:rsidR="0098530A" w:rsidRPr="007D4988">
        <w:t> </w:t>
      </w:r>
      <w:r w:rsidRPr="007D4988">
        <w:rPr>
          <w:b/>
          <w:bCs/>
        </w:rPr>
        <w:t>44</w:t>
      </w:r>
      <w:r w:rsidR="00280AE6" w:rsidRPr="007D4988">
        <w:rPr>
          <w:b/>
          <w:bCs/>
        </w:rPr>
        <w:t> </w:t>
      </w:r>
      <w:r w:rsidR="0098530A" w:rsidRPr="007D4988">
        <w:rPr>
          <w:b/>
          <w:bCs/>
        </w:rPr>
        <w:t>R</w:t>
      </w:r>
      <w:r w:rsidRPr="007D4988">
        <w:rPr>
          <w:b/>
          <w:bCs/>
        </w:rPr>
        <w:t>ésolutions révisées</w:t>
      </w:r>
      <w:r w:rsidRPr="007D4988">
        <w:t>.</w:t>
      </w:r>
    </w:p>
    <w:p w14:paraId="30423AAF" w14:textId="5F86DB01" w:rsidR="008D0C6D" w:rsidRPr="007D4988" w:rsidRDefault="008D0C6D" w:rsidP="008D0C6D">
      <w:pPr>
        <w:pStyle w:val="enumlev1"/>
        <w:rPr>
          <w:rFonts w:eastAsia="PMingLiU"/>
          <w:sz w:val="22"/>
          <w:szCs w:val="22"/>
        </w:rPr>
      </w:pPr>
      <w:r w:rsidRPr="007D4988">
        <w:t>•</w:t>
      </w:r>
      <w:r w:rsidRPr="007D4988">
        <w:tab/>
        <w:t xml:space="preserve">La Conférence mondiale de développement des télécommunications (CMDT-25) a adopté la </w:t>
      </w:r>
      <w:r w:rsidRPr="007D4988">
        <w:rPr>
          <w:b/>
          <w:bCs/>
        </w:rPr>
        <w:t>Déclaration de Bakou</w:t>
      </w:r>
      <w:r w:rsidRPr="007D4988">
        <w:t xml:space="preserve"> et le </w:t>
      </w:r>
      <w:r w:rsidRPr="007D4988">
        <w:rPr>
          <w:b/>
          <w:bCs/>
        </w:rPr>
        <w:t>Plan d</w:t>
      </w:r>
      <w:r w:rsidR="001F6F64" w:rsidRPr="007D4988">
        <w:rPr>
          <w:b/>
          <w:bCs/>
        </w:rPr>
        <w:t>'</w:t>
      </w:r>
      <w:r w:rsidRPr="007D4988">
        <w:rPr>
          <w:b/>
          <w:bCs/>
        </w:rPr>
        <w:t>action de Bakou</w:t>
      </w:r>
      <w:r w:rsidRPr="007D4988">
        <w:t xml:space="preserve"> et a mis à jour les </w:t>
      </w:r>
      <w:r w:rsidRPr="007D4988">
        <w:rPr>
          <w:b/>
          <w:bCs/>
        </w:rPr>
        <w:t>initiatives régionales pour la période 2026-2029</w:t>
      </w:r>
      <w:r w:rsidRPr="007D4988">
        <w:t>.</w:t>
      </w:r>
    </w:p>
    <w:p w14:paraId="77D22B41" w14:textId="726935E8" w:rsidR="008D0C6D" w:rsidRPr="007D4988" w:rsidRDefault="008D0C6D" w:rsidP="000A1CCC">
      <w:pPr>
        <w:pStyle w:val="Headingb"/>
        <w:rPr>
          <w:rFonts w:eastAsia="MS Mincho"/>
          <w:sz w:val="22"/>
        </w:rPr>
      </w:pPr>
      <w:r w:rsidRPr="007D4988">
        <w:t>Rôle directeur en matière de normalisation et de technologie</w:t>
      </w:r>
    </w:p>
    <w:p w14:paraId="54D25B17" w14:textId="049A64A2" w:rsidR="008D0C6D" w:rsidRPr="007D4988" w:rsidRDefault="008D0C6D" w:rsidP="008D0C6D">
      <w:pPr>
        <w:pStyle w:val="enumlev1"/>
        <w:rPr>
          <w:rFonts w:eastAsia="PMingLiU"/>
          <w:sz w:val="22"/>
          <w:szCs w:val="22"/>
        </w:rPr>
      </w:pPr>
      <w:r w:rsidRPr="007D4988">
        <w:t>•</w:t>
      </w:r>
      <w:r w:rsidRPr="007D4988">
        <w:tab/>
        <w:t>Au total, le Secteur de la normalisation des télécommunications de l</w:t>
      </w:r>
      <w:r w:rsidR="001F6F64" w:rsidRPr="007D4988">
        <w:t>'</w:t>
      </w:r>
      <w:r w:rsidRPr="007D4988">
        <w:t>UIT (UIT-T) et l</w:t>
      </w:r>
      <w:r w:rsidR="000C1550" w:rsidRPr="007D4988">
        <w:t>e Secteur des radiocommunications de l</w:t>
      </w:r>
      <w:r w:rsidR="001F6F64" w:rsidRPr="007D4988">
        <w:t>'</w:t>
      </w:r>
      <w:r w:rsidRPr="007D4988">
        <w:t>UIT</w:t>
      </w:r>
      <w:r w:rsidR="000C1550" w:rsidRPr="007D4988">
        <w:t xml:space="preserve"> (UIT</w:t>
      </w:r>
      <w:r w:rsidRPr="007D4988">
        <w:t>-R</w:t>
      </w:r>
      <w:r w:rsidR="000C1550" w:rsidRPr="007D4988">
        <w:t>)</w:t>
      </w:r>
      <w:r w:rsidRPr="007D4988">
        <w:t xml:space="preserve"> ont approuvé</w:t>
      </w:r>
      <w:r w:rsidRPr="007D4988">
        <w:rPr>
          <w:b/>
          <w:bCs/>
        </w:rPr>
        <w:t xml:space="preserve"> 1 225 </w:t>
      </w:r>
      <w:r w:rsidRPr="007D4988">
        <w:t>normes entre</w:t>
      </w:r>
      <w:r w:rsidR="000C1550" w:rsidRPr="007D4988">
        <w:t> </w:t>
      </w:r>
      <w:r w:rsidRPr="007D4988">
        <w:t>2022 et 2025.</w:t>
      </w:r>
    </w:p>
    <w:p w14:paraId="24FD7293" w14:textId="248BFAD2" w:rsidR="008D0C6D" w:rsidRPr="007D4988" w:rsidRDefault="008D0C6D" w:rsidP="008D0C6D">
      <w:pPr>
        <w:pStyle w:val="enumlev1"/>
        <w:rPr>
          <w:rFonts w:eastAsia="PMingLiU"/>
          <w:sz w:val="22"/>
          <w:szCs w:val="22"/>
        </w:rPr>
      </w:pPr>
      <w:r w:rsidRPr="007D4988">
        <w:t>•</w:t>
      </w:r>
      <w:r w:rsidRPr="007D4988">
        <w:tab/>
        <w:t xml:space="preserve">Le nombre de </w:t>
      </w:r>
      <w:r w:rsidRPr="007D4988">
        <w:rPr>
          <w:b/>
          <w:bCs/>
        </w:rPr>
        <w:t xml:space="preserve">Recommandations UIT-R </w:t>
      </w:r>
      <w:r w:rsidRPr="007D4988">
        <w:t>en vigueur à la fin de 2025 s</w:t>
      </w:r>
      <w:r w:rsidR="001F6F64" w:rsidRPr="007D4988">
        <w:t>'</w:t>
      </w:r>
      <w:r w:rsidRPr="007D4988">
        <w:t xml:space="preserve">élevait à </w:t>
      </w:r>
      <w:r w:rsidRPr="007D4988">
        <w:rPr>
          <w:b/>
          <w:bCs/>
        </w:rPr>
        <w:t>1 161</w:t>
      </w:r>
      <w:r w:rsidRPr="007D4988">
        <w:t>.</w:t>
      </w:r>
    </w:p>
    <w:p w14:paraId="2A21367D" w14:textId="7881D664" w:rsidR="008D0C6D" w:rsidRPr="007D4988" w:rsidRDefault="008D0C6D" w:rsidP="008D0C6D">
      <w:pPr>
        <w:pStyle w:val="enumlev1"/>
        <w:rPr>
          <w:rFonts w:eastAsia="PMingLiU"/>
          <w:sz w:val="22"/>
          <w:szCs w:val="22"/>
        </w:rPr>
      </w:pPr>
      <w:r w:rsidRPr="007D4988">
        <w:t>•</w:t>
      </w:r>
      <w:r w:rsidRPr="007D4988">
        <w:tab/>
      </w:r>
      <w:r w:rsidR="000C1550" w:rsidRPr="007D4988">
        <w:t xml:space="preserve">La </w:t>
      </w:r>
      <w:r w:rsidR="000C1550" w:rsidRPr="007D4988">
        <w:rPr>
          <w:b/>
          <w:bCs/>
        </w:rPr>
        <w:t>base de données de l'Échange de normes sur l'intelligence artificielle</w:t>
      </w:r>
      <w:r w:rsidR="000C1550" w:rsidRPr="007D4988">
        <w:t xml:space="preserve"> a été lancée en 2025, avec </w:t>
      </w:r>
      <w:r w:rsidR="000C1550" w:rsidRPr="007D4988">
        <w:rPr>
          <w:b/>
          <w:bCs/>
        </w:rPr>
        <w:t>plus de 700 normes relatives à l'intelligence artificielle</w:t>
      </w:r>
      <w:r w:rsidR="000C1550" w:rsidRPr="007D4988">
        <w:t>, dont plus de </w:t>
      </w:r>
      <w:r w:rsidR="000C1550" w:rsidRPr="007D4988">
        <w:rPr>
          <w:b/>
          <w:bCs/>
        </w:rPr>
        <w:t>200 normes publiées</w:t>
      </w:r>
      <w:r w:rsidR="000C1550" w:rsidRPr="007D4988">
        <w:t xml:space="preserve"> par l'UIT et quelque </w:t>
      </w:r>
      <w:r w:rsidR="000C1550" w:rsidRPr="007D4988">
        <w:rPr>
          <w:b/>
          <w:bCs/>
        </w:rPr>
        <w:t>200 en cours d'élaboration</w:t>
      </w:r>
      <w:r w:rsidRPr="007D4988">
        <w:t>.</w:t>
      </w:r>
    </w:p>
    <w:p w14:paraId="57341F04" w14:textId="4BA8A71A" w:rsidR="008D0C6D" w:rsidRPr="007D4988" w:rsidRDefault="008D0C6D" w:rsidP="008D0C6D">
      <w:pPr>
        <w:pStyle w:val="enumlev1"/>
        <w:rPr>
          <w:rFonts w:eastAsia="PMingLiU"/>
          <w:sz w:val="22"/>
          <w:szCs w:val="22"/>
        </w:rPr>
      </w:pPr>
      <w:r w:rsidRPr="007D4988">
        <w:t>•</w:t>
      </w:r>
      <w:r w:rsidRPr="007D4988">
        <w:tab/>
        <w:t xml:space="preserve">Le Groupe spécialisé sur le métavers (FG-MV) a mobilisé </w:t>
      </w:r>
      <w:r w:rsidRPr="007D4988">
        <w:rPr>
          <w:b/>
          <w:bCs/>
        </w:rPr>
        <w:t xml:space="preserve">plus de 17 000 participants </w:t>
      </w:r>
      <w:r w:rsidRPr="007D4988">
        <w:t xml:space="preserve">et élaboré </w:t>
      </w:r>
      <w:r w:rsidRPr="007D4988">
        <w:rPr>
          <w:b/>
          <w:bCs/>
        </w:rPr>
        <w:t xml:space="preserve">52 produits </w:t>
      </w:r>
      <w:r w:rsidRPr="007D4988">
        <w:t>avant de transférer les travaux aux commissions d</w:t>
      </w:r>
      <w:r w:rsidR="001F6F64" w:rsidRPr="007D4988">
        <w:t>'</w:t>
      </w:r>
      <w:r w:rsidRPr="007D4988">
        <w:t>études.</w:t>
      </w:r>
    </w:p>
    <w:p w14:paraId="0596D2D8" w14:textId="23925079" w:rsidR="008D0C6D" w:rsidRPr="007D4988" w:rsidRDefault="008D0C6D" w:rsidP="008D0C6D">
      <w:pPr>
        <w:pStyle w:val="enumlev1"/>
        <w:rPr>
          <w:rFonts w:eastAsia="PMingLiU"/>
          <w:sz w:val="22"/>
          <w:szCs w:val="22"/>
        </w:rPr>
      </w:pPr>
      <w:r w:rsidRPr="007D4988">
        <w:t>•</w:t>
      </w:r>
      <w:r w:rsidRPr="007D4988">
        <w:tab/>
        <w:t xml:space="preserve">La </w:t>
      </w:r>
      <w:r w:rsidRPr="007D4988">
        <w:rPr>
          <w:b/>
          <w:bCs/>
        </w:rPr>
        <w:t>base de données de l'</w:t>
      </w:r>
      <w:r w:rsidR="00280AE6" w:rsidRPr="007D4988">
        <w:rPr>
          <w:b/>
          <w:bCs/>
        </w:rPr>
        <w:t>Échange</w:t>
      </w:r>
      <w:r w:rsidRPr="007D4988">
        <w:rPr>
          <w:b/>
          <w:bCs/>
        </w:rPr>
        <w:t xml:space="preserve"> de normes sur l</w:t>
      </w:r>
      <w:r w:rsidR="001F6F64" w:rsidRPr="007D4988">
        <w:rPr>
          <w:b/>
          <w:bCs/>
        </w:rPr>
        <w:t>'</w:t>
      </w:r>
      <w:r w:rsidRPr="007D4988">
        <w:rPr>
          <w:b/>
          <w:bCs/>
        </w:rPr>
        <w:t>intelligence artificielle</w:t>
      </w:r>
      <w:r w:rsidRPr="007D4988">
        <w:t xml:space="preserve"> a été lancée en 2025, avec </w:t>
      </w:r>
      <w:r w:rsidRPr="007D4988">
        <w:rPr>
          <w:b/>
          <w:bCs/>
        </w:rPr>
        <w:t>700 normes relatives à l</w:t>
      </w:r>
      <w:r w:rsidR="001F6F64" w:rsidRPr="007D4988">
        <w:rPr>
          <w:b/>
          <w:bCs/>
        </w:rPr>
        <w:t>'</w:t>
      </w:r>
      <w:r w:rsidRPr="007D4988">
        <w:rPr>
          <w:b/>
          <w:bCs/>
        </w:rPr>
        <w:t>intelligence artificielle</w:t>
      </w:r>
      <w:r w:rsidRPr="007D4988">
        <w:t xml:space="preserve">, dont </w:t>
      </w:r>
      <w:r w:rsidRPr="007D4988">
        <w:rPr>
          <w:b/>
          <w:bCs/>
        </w:rPr>
        <w:t xml:space="preserve">200 normes publiées </w:t>
      </w:r>
      <w:r w:rsidRPr="007D4988">
        <w:t xml:space="preserve">et </w:t>
      </w:r>
      <w:r w:rsidRPr="007D4988">
        <w:rPr>
          <w:b/>
          <w:bCs/>
        </w:rPr>
        <w:t>200 en cours d</w:t>
      </w:r>
      <w:r w:rsidR="001F6F64" w:rsidRPr="007D4988">
        <w:rPr>
          <w:b/>
          <w:bCs/>
        </w:rPr>
        <w:t>'</w:t>
      </w:r>
      <w:r w:rsidRPr="007D4988">
        <w:rPr>
          <w:b/>
          <w:bCs/>
        </w:rPr>
        <w:t>élaboration</w:t>
      </w:r>
      <w:r w:rsidRPr="007D4988">
        <w:t>.</w:t>
      </w:r>
    </w:p>
    <w:p w14:paraId="06235BA6" w14:textId="2DBCCF88" w:rsidR="008D0C6D" w:rsidRPr="007D4988" w:rsidRDefault="008D0C6D" w:rsidP="008D0C6D">
      <w:pPr>
        <w:pStyle w:val="enumlev1"/>
        <w:rPr>
          <w:rFonts w:eastAsia="PMingLiU"/>
          <w:sz w:val="22"/>
          <w:szCs w:val="22"/>
        </w:rPr>
      </w:pPr>
      <w:r w:rsidRPr="007D4988">
        <w:t>•</w:t>
      </w:r>
      <w:r w:rsidRPr="007D4988">
        <w:tab/>
        <w:t>En 2023, l</w:t>
      </w:r>
      <w:r w:rsidR="001F6F64" w:rsidRPr="007D4988">
        <w:t>'</w:t>
      </w:r>
      <w:r w:rsidRPr="007D4988">
        <w:t>UIT-R a reçu l</w:t>
      </w:r>
      <w:r w:rsidR="001F6F64" w:rsidRPr="007D4988">
        <w:t>'</w:t>
      </w:r>
      <w:r w:rsidRPr="007D4988">
        <w:rPr>
          <w:b/>
          <w:bCs/>
        </w:rPr>
        <w:t xml:space="preserve">Emmy Award dans la catégorie </w:t>
      </w:r>
      <w:r w:rsidR="001F6F64" w:rsidRPr="007D4988">
        <w:rPr>
          <w:b/>
          <w:bCs/>
        </w:rPr>
        <w:t>"</w:t>
      </w:r>
      <w:r w:rsidRPr="007D4988">
        <w:rPr>
          <w:b/>
          <w:bCs/>
        </w:rPr>
        <w:t>Ingénierie, science et technologie</w:t>
      </w:r>
      <w:r w:rsidR="001F6F64" w:rsidRPr="007D4988">
        <w:rPr>
          <w:b/>
          <w:bCs/>
        </w:rPr>
        <w:t>"</w:t>
      </w:r>
      <w:r w:rsidRPr="007D4988">
        <w:rPr>
          <w:b/>
          <w:bCs/>
        </w:rPr>
        <w:t xml:space="preserve"> </w:t>
      </w:r>
      <w:r w:rsidRPr="007D4988">
        <w:t xml:space="preserve">pour la norme mondiale </w:t>
      </w:r>
      <w:r w:rsidRPr="007D4988">
        <w:rPr>
          <w:b/>
          <w:bCs/>
        </w:rPr>
        <w:t>sur la télévision à grande plage dynamique (TV</w:t>
      </w:r>
      <w:r w:rsidR="00280AE6" w:rsidRPr="007D4988">
        <w:rPr>
          <w:b/>
          <w:bCs/>
        </w:rPr>
        <w:noBreakHyphen/>
      </w:r>
      <w:r w:rsidRPr="007D4988">
        <w:rPr>
          <w:b/>
          <w:bCs/>
        </w:rPr>
        <w:t>HDR)</w:t>
      </w:r>
      <w:r w:rsidRPr="007D4988">
        <w:t>.</w:t>
      </w:r>
    </w:p>
    <w:p w14:paraId="157FA51B" w14:textId="77777777" w:rsidR="008D0C6D" w:rsidRPr="007D4988" w:rsidRDefault="008D0C6D" w:rsidP="000A1CCC">
      <w:pPr>
        <w:pStyle w:val="Headingb"/>
        <w:rPr>
          <w:rFonts w:eastAsia="MS Mincho"/>
          <w:sz w:val="22"/>
        </w:rPr>
      </w:pPr>
      <w:r w:rsidRPr="007D4988">
        <w:t>Renforcement des capacités et compétences numériques</w:t>
      </w:r>
    </w:p>
    <w:p w14:paraId="5CEDC051" w14:textId="21CEA275" w:rsidR="008D0C6D" w:rsidRPr="007D4988" w:rsidRDefault="008D0C6D" w:rsidP="008D0C6D">
      <w:pPr>
        <w:pStyle w:val="enumlev1"/>
        <w:rPr>
          <w:rFonts w:eastAsia="PMingLiU"/>
          <w:sz w:val="22"/>
          <w:szCs w:val="22"/>
        </w:rPr>
      </w:pPr>
      <w:r w:rsidRPr="007D4988">
        <w:t>•</w:t>
      </w:r>
      <w:r w:rsidRPr="007D4988">
        <w:tab/>
        <w:t>L</w:t>
      </w:r>
      <w:r w:rsidR="001F6F64" w:rsidRPr="007D4988">
        <w:t>'</w:t>
      </w:r>
      <w:r w:rsidRPr="007D4988">
        <w:t>Académie de l</w:t>
      </w:r>
      <w:r w:rsidR="001F6F64" w:rsidRPr="007D4988">
        <w:t>'</w:t>
      </w:r>
      <w:r w:rsidRPr="007D4988">
        <w:t xml:space="preserve">UIT est passée de </w:t>
      </w:r>
      <w:r w:rsidRPr="007D4988">
        <w:rPr>
          <w:b/>
          <w:bCs/>
        </w:rPr>
        <w:t xml:space="preserve">26 000 à 83 000 apprenants </w:t>
      </w:r>
      <w:r w:rsidRPr="007D4988">
        <w:t>(2022-2025), dont</w:t>
      </w:r>
      <w:r w:rsidR="00D92391" w:rsidRPr="007D4988">
        <w:t> </w:t>
      </w:r>
      <w:r w:rsidRPr="007D4988">
        <w:rPr>
          <w:b/>
          <w:bCs/>
        </w:rPr>
        <w:t>40</w:t>
      </w:r>
      <w:r w:rsidR="001F6F64" w:rsidRPr="007D4988">
        <w:rPr>
          <w:b/>
          <w:bCs/>
        </w:rPr>
        <w:t>%</w:t>
      </w:r>
      <w:r w:rsidR="00280AE6" w:rsidRPr="007D4988">
        <w:rPr>
          <w:b/>
          <w:bCs/>
        </w:rPr>
        <w:t> </w:t>
      </w:r>
      <w:r w:rsidRPr="007D4988">
        <w:rPr>
          <w:b/>
          <w:bCs/>
        </w:rPr>
        <w:t>de femmes</w:t>
      </w:r>
      <w:r w:rsidRPr="007D4988">
        <w:t xml:space="preserve">, et a dispensé environ </w:t>
      </w:r>
      <w:r w:rsidRPr="007D4988">
        <w:rPr>
          <w:b/>
          <w:bCs/>
        </w:rPr>
        <w:t xml:space="preserve">150 cours par an </w:t>
      </w:r>
      <w:r w:rsidRPr="007D4988">
        <w:t xml:space="preserve">aboutissant à </w:t>
      </w:r>
      <w:r w:rsidRPr="007D4988">
        <w:rPr>
          <w:b/>
          <w:bCs/>
        </w:rPr>
        <w:t>plus</w:t>
      </w:r>
      <w:r w:rsidR="00D92391" w:rsidRPr="007D4988">
        <w:rPr>
          <w:b/>
          <w:bCs/>
        </w:rPr>
        <w:t> </w:t>
      </w:r>
      <w:r w:rsidRPr="007D4988">
        <w:rPr>
          <w:b/>
          <w:bCs/>
        </w:rPr>
        <w:t>de</w:t>
      </w:r>
      <w:r w:rsidR="0098530A" w:rsidRPr="007D4988">
        <w:t> </w:t>
      </w:r>
      <w:r w:rsidRPr="007D4988">
        <w:rPr>
          <w:b/>
          <w:bCs/>
        </w:rPr>
        <w:t>17</w:t>
      </w:r>
      <w:r w:rsidR="00280AE6" w:rsidRPr="007D4988">
        <w:rPr>
          <w:b/>
          <w:bCs/>
        </w:rPr>
        <w:t> </w:t>
      </w:r>
      <w:r w:rsidRPr="007D4988">
        <w:rPr>
          <w:b/>
          <w:bCs/>
        </w:rPr>
        <w:t>500</w:t>
      </w:r>
      <w:r w:rsidR="00280AE6" w:rsidRPr="007D4988">
        <w:rPr>
          <w:b/>
          <w:bCs/>
        </w:rPr>
        <w:t> </w:t>
      </w:r>
      <w:r w:rsidRPr="007D4988">
        <w:rPr>
          <w:b/>
          <w:bCs/>
        </w:rPr>
        <w:t xml:space="preserve">certifications </w:t>
      </w:r>
      <w:r w:rsidRPr="007D4988">
        <w:t>depuis 2023.</w:t>
      </w:r>
    </w:p>
    <w:p w14:paraId="27F7D684" w14:textId="69008D44" w:rsidR="008D0C6D" w:rsidRPr="007D4988" w:rsidRDefault="008D0C6D" w:rsidP="008D0C6D">
      <w:pPr>
        <w:pStyle w:val="enumlev1"/>
        <w:rPr>
          <w:rFonts w:eastAsia="PMingLiU"/>
          <w:sz w:val="22"/>
          <w:szCs w:val="22"/>
        </w:rPr>
      </w:pPr>
      <w:r w:rsidRPr="007D4988">
        <w:t>•</w:t>
      </w:r>
      <w:r w:rsidRPr="007D4988">
        <w:tab/>
        <w:t>Les centres de formation accrédités de l</w:t>
      </w:r>
      <w:r w:rsidR="001F6F64" w:rsidRPr="007D4988">
        <w:t>'</w:t>
      </w:r>
      <w:r w:rsidRPr="007D4988">
        <w:t>Académie de l</w:t>
      </w:r>
      <w:r w:rsidR="001F6F64" w:rsidRPr="007D4988">
        <w:t>'</w:t>
      </w:r>
      <w:r w:rsidRPr="007D4988">
        <w:t xml:space="preserve">UIT ont dispensé </w:t>
      </w:r>
      <w:r w:rsidRPr="007D4988">
        <w:rPr>
          <w:b/>
          <w:bCs/>
        </w:rPr>
        <w:t>159 cours</w:t>
      </w:r>
      <w:r w:rsidRPr="007D4988">
        <w:t xml:space="preserve"> au</w:t>
      </w:r>
      <w:r w:rsidR="00D92391" w:rsidRPr="007D4988">
        <w:t> </w:t>
      </w:r>
      <w:r w:rsidRPr="007D4988">
        <w:t xml:space="preserve">profit de </w:t>
      </w:r>
      <w:r w:rsidRPr="007D4988">
        <w:rPr>
          <w:b/>
          <w:bCs/>
        </w:rPr>
        <w:t xml:space="preserve">4 048 participants </w:t>
      </w:r>
      <w:r w:rsidRPr="007D4988">
        <w:t>(2023-2025), dont 86</w:t>
      </w:r>
      <w:r w:rsidR="001F6F64" w:rsidRPr="007D4988">
        <w:t>%</w:t>
      </w:r>
      <w:r w:rsidRPr="007D4988">
        <w:t xml:space="preserve"> étaient issus de pays en développement.</w:t>
      </w:r>
    </w:p>
    <w:p w14:paraId="69ED5FCA" w14:textId="7BFA24BA" w:rsidR="008D0C6D" w:rsidRPr="007D4988" w:rsidRDefault="008D0C6D" w:rsidP="008D0C6D">
      <w:pPr>
        <w:pStyle w:val="enumlev1"/>
        <w:rPr>
          <w:rFonts w:eastAsia="PMingLiU"/>
          <w:sz w:val="22"/>
          <w:szCs w:val="22"/>
        </w:rPr>
      </w:pPr>
      <w:r w:rsidRPr="007D4988">
        <w:t>•</w:t>
      </w:r>
      <w:r w:rsidRPr="007D4988">
        <w:tab/>
        <w:t xml:space="preserve">Les Centres UIT-Cisco pour la transformation numérique ont formé </w:t>
      </w:r>
      <w:r w:rsidRPr="007D4988">
        <w:rPr>
          <w:b/>
          <w:bCs/>
        </w:rPr>
        <w:t>plus</w:t>
      </w:r>
      <w:r w:rsidR="00FF214D" w:rsidRPr="007D4988">
        <w:rPr>
          <w:b/>
          <w:bCs/>
        </w:rPr>
        <w:t> </w:t>
      </w:r>
      <w:r w:rsidRPr="007D4988">
        <w:rPr>
          <w:b/>
          <w:bCs/>
        </w:rPr>
        <w:t>de</w:t>
      </w:r>
      <w:r w:rsidR="00FF214D" w:rsidRPr="007D4988">
        <w:t> </w:t>
      </w:r>
      <w:r w:rsidRPr="007D4988">
        <w:rPr>
          <w:b/>
          <w:bCs/>
        </w:rPr>
        <w:t>610</w:t>
      </w:r>
      <w:r w:rsidR="00280AE6" w:rsidRPr="007D4988">
        <w:rPr>
          <w:b/>
          <w:bCs/>
        </w:rPr>
        <w:t> </w:t>
      </w:r>
      <w:r w:rsidRPr="007D4988">
        <w:rPr>
          <w:b/>
          <w:bCs/>
        </w:rPr>
        <w:t>000</w:t>
      </w:r>
      <w:r w:rsidR="00280AE6" w:rsidRPr="007D4988">
        <w:rPr>
          <w:b/>
          <w:bCs/>
        </w:rPr>
        <w:t> </w:t>
      </w:r>
      <w:r w:rsidRPr="007D4988">
        <w:rPr>
          <w:b/>
          <w:bCs/>
        </w:rPr>
        <w:t>participants, dont 53</w:t>
      </w:r>
      <w:r w:rsidR="001F6F64" w:rsidRPr="007D4988">
        <w:rPr>
          <w:b/>
          <w:bCs/>
        </w:rPr>
        <w:t>%</w:t>
      </w:r>
      <w:r w:rsidRPr="007D4988">
        <w:rPr>
          <w:b/>
          <w:bCs/>
        </w:rPr>
        <w:t xml:space="preserve"> de femmes</w:t>
      </w:r>
      <w:r w:rsidRPr="007D4988">
        <w:t>, dans quatre régions.</w:t>
      </w:r>
    </w:p>
    <w:p w14:paraId="5280C06B" w14:textId="77777777" w:rsidR="008D0C6D" w:rsidRPr="007D4988" w:rsidRDefault="008D0C6D" w:rsidP="000A1CCC">
      <w:pPr>
        <w:pStyle w:val="Headingb"/>
        <w:rPr>
          <w:rFonts w:eastAsia="MS Mincho"/>
          <w:sz w:val="22"/>
        </w:rPr>
      </w:pPr>
      <w:r w:rsidRPr="007D4988">
        <w:t>Assistance technique et mise en œuvre</w:t>
      </w:r>
    </w:p>
    <w:p w14:paraId="3062A243" w14:textId="1A66B61A" w:rsidR="008D0C6D" w:rsidRPr="007D4988" w:rsidRDefault="008D0C6D" w:rsidP="008D0C6D">
      <w:pPr>
        <w:pStyle w:val="enumlev1"/>
        <w:rPr>
          <w:rFonts w:eastAsia="PMingLiU"/>
          <w:sz w:val="22"/>
          <w:szCs w:val="22"/>
        </w:rPr>
      </w:pPr>
      <w:r w:rsidRPr="007D4988">
        <w:t>•</w:t>
      </w:r>
      <w:r w:rsidRPr="007D4988">
        <w:tab/>
      </w:r>
      <w:r w:rsidR="0098530A" w:rsidRPr="007D4988">
        <w:t xml:space="preserve">En 2025, </w:t>
      </w:r>
      <w:r w:rsidR="0098530A" w:rsidRPr="007D4988">
        <w:rPr>
          <w:b/>
          <w:bCs/>
        </w:rPr>
        <w:t>106 projets</w:t>
      </w:r>
      <w:r w:rsidR="0098530A" w:rsidRPr="007D4988">
        <w:t xml:space="preserve"> d'un montant de </w:t>
      </w:r>
      <w:r w:rsidR="0098530A" w:rsidRPr="007D4988">
        <w:rPr>
          <w:b/>
          <w:bCs/>
        </w:rPr>
        <w:t xml:space="preserve">79,7 millions francs suisses (CHF) </w:t>
      </w:r>
      <w:r w:rsidR="0098530A" w:rsidRPr="007D4988">
        <w:t xml:space="preserve">ont été mis en œuvre au sein du Secteur du développement des télécommunications de l'UIT (UIT-D), dont </w:t>
      </w:r>
      <w:r w:rsidR="0098530A" w:rsidRPr="007D4988">
        <w:rPr>
          <w:b/>
          <w:bCs/>
        </w:rPr>
        <w:t xml:space="preserve">90% </w:t>
      </w:r>
      <w:r w:rsidR="0098530A" w:rsidRPr="007D4988">
        <w:t>des fonds pour le projet provenaient de partenaires extérieurs.</w:t>
      </w:r>
    </w:p>
    <w:p w14:paraId="52F7B290" w14:textId="549A2253" w:rsidR="008D0C6D" w:rsidRPr="007D4988" w:rsidRDefault="008D0C6D" w:rsidP="008D0C6D">
      <w:pPr>
        <w:pStyle w:val="enumlev1"/>
        <w:rPr>
          <w:rFonts w:eastAsia="PMingLiU"/>
          <w:sz w:val="22"/>
          <w:szCs w:val="22"/>
        </w:rPr>
      </w:pPr>
      <w:r w:rsidRPr="007D4988">
        <w:t>•</w:t>
      </w:r>
      <w:r w:rsidRPr="007D4988">
        <w:tab/>
      </w:r>
      <w:r w:rsidR="0098530A" w:rsidRPr="007D4988">
        <w:t xml:space="preserve">En 2025, les nouveaux accords de l'UIT-D portaient sur </w:t>
      </w:r>
      <w:r w:rsidR="0098530A" w:rsidRPr="007D4988">
        <w:rPr>
          <w:b/>
          <w:bCs/>
        </w:rPr>
        <w:t xml:space="preserve">26 projets </w:t>
      </w:r>
      <w:r w:rsidR="0098530A" w:rsidRPr="007D4988">
        <w:t>d'un montant de </w:t>
      </w:r>
      <w:r w:rsidR="0098530A" w:rsidRPr="007D4988">
        <w:rPr>
          <w:b/>
          <w:bCs/>
        </w:rPr>
        <w:t>4,3 millions CHF</w:t>
      </w:r>
      <w:r w:rsidRPr="007D4988">
        <w:rPr>
          <w:b/>
          <w:bCs/>
        </w:rPr>
        <w:t>.</w:t>
      </w:r>
    </w:p>
    <w:p w14:paraId="038A306F" w14:textId="77777777" w:rsidR="008D0C6D" w:rsidRPr="007D4988" w:rsidRDefault="008D0C6D" w:rsidP="000A1CCC">
      <w:pPr>
        <w:pStyle w:val="Headingb"/>
        <w:rPr>
          <w:rFonts w:eastAsia="MS Mincho"/>
          <w:sz w:val="22"/>
        </w:rPr>
      </w:pPr>
      <w:r w:rsidRPr="007D4988">
        <w:t>Plates-formes et partenariats mondiaux</w:t>
      </w:r>
    </w:p>
    <w:p w14:paraId="6770B7F0" w14:textId="0397BA4B" w:rsidR="008D0C6D" w:rsidRPr="007D4988" w:rsidRDefault="008D0C6D" w:rsidP="008D0C6D">
      <w:pPr>
        <w:pStyle w:val="enumlev1"/>
        <w:rPr>
          <w:rFonts w:eastAsia="PMingLiU"/>
          <w:sz w:val="22"/>
          <w:szCs w:val="22"/>
        </w:rPr>
      </w:pPr>
      <w:r w:rsidRPr="007D4988">
        <w:t>•</w:t>
      </w:r>
      <w:r w:rsidRPr="007D4988">
        <w:tab/>
        <w:t xml:space="preserve">Plus de </w:t>
      </w:r>
      <w:r w:rsidR="0098530A" w:rsidRPr="007D4988">
        <w:rPr>
          <w:b/>
          <w:bCs/>
        </w:rPr>
        <w:t>21</w:t>
      </w:r>
      <w:r w:rsidRPr="007D4988">
        <w:rPr>
          <w:b/>
          <w:bCs/>
        </w:rPr>
        <w:t xml:space="preserve"> 000 initiatives sur les TIC au service du développement (ICT4D) </w:t>
      </w:r>
      <w:r w:rsidRPr="007D4988">
        <w:t>ont été recensées dans le cadre de l</w:t>
      </w:r>
      <w:r w:rsidR="001F6F64" w:rsidRPr="007D4988">
        <w:t>'</w:t>
      </w:r>
      <w:r w:rsidRPr="007D4988">
        <w:t>inventaire des activités du SMSI, et</w:t>
      </w:r>
      <w:r w:rsidRPr="007D4988">
        <w:rPr>
          <w:b/>
          <w:bCs/>
        </w:rPr>
        <w:t xml:space="preserve"> plus de</w:t>
      </w:r>
      <w:r w:rsidR="0098530A" w:rsidRPr="007D4988">
        <w:rPr>
          <w:b/>
          <w:bCs/>
        </w:rPr>
        <w:t> </w:t>
      </w:r>
      <w:r w:rsidRPr="007D4988">
        <w:rPr>
          <w:b/>
          <w:bCs/>
        </w:rPr>
        <w:t>3</w:t>
      </w:r>
      <w:r w:rsidR="00280AE6" w:rsidRPr="007D4988">
        <w:rPr>
          <w:b/>
          <w:bCs/>
        </w:rPr>
        <w:t> </w:t>
      </w:r>
      <w:r w:rsidRPr="007D4988">
        <w:rPr>
          <w:b/>
          <w:bCs/>
        </w:rPr>
        <w:t>000</w:t>
      </w:r>
      <w:r w:rsidR="00280AE6" w:rsidRPr="007D4988">
        <w:rPr>
          <w:b/>
          <w:bCs/>
        </w:rPr>
        <w:t> </w:t>
      </w:r>
      <w:r w:rsidRPr="007D4988">
        <w:rPr>
          <w:b/>
          <w:bCs/>
        </w:rPr>
        <w:t>candidatures</w:t>
      </w:r>
      <w:r w:rsidRPr="007D4988">
        <w:t xml:space="preserve"> pour les Prix du SMSI ont été reçues en trois ans.</w:t>
      </w:r>
    </w:p>
    <w:p w14:paraId="6A4D5311" w14:textId="00473C13" w:rsidR="008D0C6D" w:rsidRPr="007D4988" w:rsidRDefault="008D0C6D" w:rsidP="008D0C6D">
      <w:pPr>
        <w:pStyle w:val="enumlev1"/>
        <w:rPr>
          <w:rFonts w:eastAsia="PMingLiU"/>
          <w:sz w:val="22"/>
          <w:szCs w:val="22"/>
        </w:rPr>
      </w:pPr>
      <w:r w:rsidRPr="007D4988">
        <w:t>•</w:t>
      </w:r>
      <w:r w:rsidRPr="007D4988">
        <w:tab/>
        <w:t>La communauté du Réseau neuronal sur l'intelligence artificielle au service du bien social compte aujourd</w:t>
      </w:r>
      <w:r w:rsidR="001F6F64" w:rsidRPr="007D4988">
        <w:t>'</w:t>
      </w:r>
      <w:r w:rsidRPr="007D4988">
        <w:t xml:space="preserve">hui </w:t>
      </w:r>
      <w:r w:rsidRPr="007D4988">
        <w:rPr>
          <w:b/>
          <w:bCs/>
        </w:rPr>
        <w:t>35 000 membres</w:t>
      </w:r>
      <w:r w:rsidRPr="007D4988">
        <w:t xml:space="preserve"> (137 000 participants en ligne). L'édition de 2025 du sommet a attiré </w:t>
      </w:r>
      <w:r w:rsidRPr="007D4988">
        <w:rPr>
          <w:b/>
          <w:bCs/>
        </w:rPr>
        <w:t>11 000 visiteurs sur place</w:t>
      </w:r>
      <w:r w:rsidRPr="007D4988">
        <w:t>.</w:t>
      </w:r>
    </w:p>
    <w:p w14:paraId="3378AE0F" w14:textId="68DCEAB5" w:rsidR="008D0C6D" w:rsidRPr="007D4988" w:rsidRDefault="008D0C6D" w:rsidP="008D0C6D">
      <w:pPr>
        <w:pStyle w:val="enumlev1"/>
        <w:rPr>
          <w:rFonts w:eastAsia="PMingLiU"/>
          <w:sz w:val="22"/>
          <w:szCs w:val="22"/>
        </w:rPr>
      </w:pPr>
      <w:r w:rsidRPr="007D4988">
        <w:t>•</w:t>
      </w:r>
      <w:r w:rsidRPr="007D4988">
        <w:tab/>
      </w:r>
      <w:r w:rsidR="0098530A" w:rsidRPr="007D4988">
        <w:t xml:space="preserve">La Déclaration de la COP29 sur l'Action du secteur du numérique pour l'environnement a été approuvée par </w:t>
      </w:r>
      <w:r w:rsidR="0098530A" w:rsidRPr="007D4988">
        <w:rPr>
          <w:b/>
          <w:bCs/>
        </w:rPr>
        <w:t>plus de 80 pays</w:t>
      </w:r>
      <w:r w:rsidR="0098530A" w:rsidRPr="007D4988">
        <w:t xml:space="preserve"> et </w:t>
      </w:r>
      <w:r w:rsidR="0098530A" w:rsidRPr="007D4988">
        <w:rPr>
          <w:b/>
          <w:bCs/>
        </w:rPr>
        <w:t xml:space="preserve">près de 1 800 entreprises et organisations, </w:t>
      </w:r>
      <w:r w:rsidR="0098530A" w:rsidRPr="007D4988">
        <w:rPr>
          <w:bCs/>
        </w:rPr>
        <w:t>suscitant un véritable élan qui aboutira au lancement d'un</w:t>
      </w:r>
      <w:r w:rsidR="0098530A" w:rsidRPr="007D4988">
        <w:t xml:space="preserve"> </w:t>
      </w:r>
      <w:r w:rsidR="0098530A" w:rsidRPr="007D4988">
        <w:rPr>
          <w:b/>
          <w:bCs/>
        </w:rPr>
        <w:t>Pôle d'action du secteur du numérique pour l'environnement</w:t>
      </w:r>
      <w:r w:rsidR="0098530A" w:rsidRPr="007D4988">
        <w:t xml:space="preserve"> et </w:t>
      </w:r>
      <w:r w:rsidR="0098530A" w:rsidRPr="007D4988">
        <w:rPr>
          <w:b/>
          <w:bCs/>
        </w:rPr>
        <w:t xml:space="preserve">l'Institut sur l'IA et le climat </w:t>
      </w:r>
      <w:r w:rsidR="0098530A" w:rsidRPr="007D4988">
        <w:t>lors de la prochaine conférence des Nations Unies sur les changements climatiques (COP30)</w:t>
      </w:r>
      <w:r w:rsidRPr="007D4988">
        <w:t>.</w:t>
      </w:r>
    </w:p>
    <w:p w14:paraId="37BA4B18" w14:textId="4E1F0AE7" w:rsidR="008D0C6D" w:rsidRPr="007D4988" w:rsidRDefault="008D0C6D" w:rsidP="008D0C6D">
      <w:pPr>
        <w:pStyle w:val="enumlev1"/>
      </w:pPr>
      <w:r w:rsidRPr="007D4988">
        <w:t>•</w:t>
      </w:r>
      <w:r w:rsidRPr="007D4988">
        <w:tab/>
        <w:t>L</w:t>
      </w:r>
      <w:r w:rsidR="001F6F64" w:rsidRPr="007D4988">
        <w:t>'</w:t>
      </w:r>
      <w:r w:rsidRPr="007D4988">
        <w:t xml:space="preserve">initiative Partner2Connect a mobilisé </w:t>
      </w:r>
      <w:r w:rsidRPr="007D4988">
        <w:rPr>
          <w:b/>
          <w:bCs/>
        </w:rPr>
        <w:t>1 060 engagements d</w:t>
      </w:r>
      <w:r w:rsidR="001F6F64" w:rsidRPr="007D4988">
        <w:rPr>
          <w:b/>
          <w:bCs/>
        </w:rPr>
        <w:t>'</w:t>
      </w:r>
      <w:r w:rsidRPr="007D4988">
        <w:rPr>
          <w:b/>
          <w:bCs/>
        </w:rPr>
        <w:t>un montant de</w:t>
      </w:r>
      <w:r w:rsidR="0098530A" w:rsidRPr="007D4988">
        <w:rPr>
          <w:b/>
          <w:bCs/>
        </w:rPr>
        <w:t> </w:t>
      </w:r>
      <w:r w:rsidRPr="007D4988">
        <w:rPr>
          <w:b/>
          <w:bCs/>
        </w:rPr>
        <w:t>80,72</w:t>
      </w:r>
      <w:r w:rsidR="00EA1115" w:rsidRPr="007D4988">
        <w:rPr>
          <w:b/>
          <w:bCs/>
        </w:rPr>
        <w:t> </w:t>
      </w:r>
      <w:r w:rsidRPr="007D4988">
        <w:rPr>
          <w:b/>
          <w:bCs/>
        </w:rPr>
        <w:t xml:space="preserve">milliards USD </w:t>
      </w:r>
      <w:r w:rsidRPr="007D4988">
        <w:t xml:space="preserve">dans </w:t>
      </w:r>
      <w:r w:rsidRPr="007D4988">
        <w:rPr>
          <w:b/>
          <w:bCs/>
        </w:rPr>
        <w:t>149 pays</w:t>
      </w:r>
      <w:r w:rsidRPr="007D4988">
        <w:t>, progressant ainsi vers l</w:t>
      </w:r>
      <w:r w:rsidR="001F6F64" w:rsidRPr="007D4988">
        <w:t>'</w:t>
      </w:r>
      <w:r w:rsidRPr="007D4988">
        <w:t>objectif de</w:t>
      </w:r>
      <w:r w:rsidR="0098530A" w:rsidRPr="007D4988">
        <w:t> </w:t>
      </w:r>
      <w:r w:rsidRPr="007D4988">
        <w:rPr>
          <w:b/>
          <w:bCs/>
        </w:rPr>
        <w:t>100</w:t>
      </w:r>
      <w:r w:rsidR="00EA1115" w:rsidRPr="007D4988">
        <w:rPr>
          <w:b/>
          <w:bCs/>
        </w:rPr>
        <w:t> </w:t>
      </w:r>
      <w:r w:rsidRPr="007D4988">
        <w:rPr>
          <w:b/>
          <w:bCs/>
        </w:rPr>
        <w:t>milliards</w:t>
      </w:r>
      <w:r w:rsidR="00EA1115" w:rsidRPr="007D4988">
        <w:rPr>
          <w:b/>
          <w:bCs/>
        </w:rPr>
        <w:t> </w:t>
      </w:r>
      <w:r w:rsidRPr="007D4988">
        <w:rPr>
          <w:b/>
          <w:bCs/>
        </w:rPr>
        <w:t xml:space="preserve">USD </w:t>
      </w:r>
      <w:r w:rsidRPr="007D4988">
        <w:t>pour 2026.</w:t>
      </w:r>
    </w:p>
    <w:p w14:paraId="343AEB3B" w14:textId="7B785813" w:rsidR="0098530A" w:rsidRPr="007D4988" w:rsidRDefault="0098530A" w:rsidP="0098530A">
      <w:pPr>
        <w:pStyle w:val="enumlev1"/>
        <w:rPr>
          <w:rFonts w:eastAsia="PMingLiU"/>
          <w:szCs w:val="24"/>
        </w:rPr>
      </w:pPr>
      <w:r w:rsidRPr="007D4988">
        <w:t>•</w:t>
      </w:r>
      <w:r w:rsidRPr="007D4988">
        <w:tab/>
      </w:r>
      <w:r w:rsidRPr="007D4988">
        <w:rPr>
          <w:rFonts w:eastAsia="PMingLiU"/>
          <w:szCs w:val="24"/>
        </w:rPr>
        <w:t>En 2024, l'UIT et ses partenaires ont créé l'Organe consultatif international sur la résilience des câbles sous-marins, qui rassemble plus de 40 experts des secteurs public et privé afin de renforcer la coopération dans le domaine des câbles de télécommunication sous-marins et d</w:t>
      </w:r>
      <w:r w:rsidR="00292D54" w:rsidRPr="007D4988">
        <w:rPr>
          <w:rFonts w:eastAsia="PMingLiU"/>
          <w:szCs w:val="24"/>
        </w:rPr>
        <w:t>'</w:t>
      </w:r>
      <w:r w:rsidRPr="007D4988">
        <w:rPr>
          <w:rFonts w:eastAsia="PMingLiU"/>
          <w:szCs w:val="24"/>
        </w:rPr>
        <w:t>améliorer la résilience numérique à l'échelle mondiale.</w:t>
      </w:r>
    </w:p>
    <w:p w14:paraId="535EFD04" w14:textId="767A853B" w:rsidR="0098530A" w:rsidRPr="007D4988" w:rsidRDefault="0098530A" w:rsidP="0098530A">
      <w:pPr>
        <w:pStyle w:val="enumlev1"/>
        <w:rPr>
          <w:rFonts w:eastAsia="PMingLiU"/>
          <w:szCs w:val="24"/>
        </w:rPr>
      </w:pPr>
      <w:r w:rsidRPr="007D4988">
        <w:rPr>
          <w:sz w:val="28"/>
          <w:szCs w:val="22"/>
        </w:rPr>
        <w:t>•</w:t>
      </w:r>
      <w:r w:rsidRPr="007D4988">
        <w:rPr>
          <w:sz w:val="28"/>
          <w:szCs w:val="22"/>
        </w:rPr>
        <w:tab/>
      </w:r>
      <w:r w:rsidRPr="007D4988">
        <w:rPr>
          <w:rFonts w:eastAsia="PMingLiU"/>
          <w:szCs w:val="24"/>
        </w:rPr>
        <w:t xml:space="preserve">Le </w:t>
      </w:r>
      <w:r w:rsidRPr="007D4988">
        <w:rPr>
          <w:rFonts w:eastAsia="PMingLiU"/>
          <w:b/>
          <w:bCs/>
          <w:szCs w:val="24"/>
        </w:rPr>
        <w:t>catalyseur pour les investissements dans les infrastructures numériques</w:t>
      </w:r>
      <w:r w:rsidRPr="007D4988">
        <w:rPr>
          <w:rFonts w:eastAsia="PMingLiU"/>
          <w:szCs w:val="24"/>
        </w:rPr>
        <w:t xml:space="preserve"> a été lancé par l'UIT et la CNUCED et est codirigé par huit </w:t>
      </w:r>
      <w:r w:rsidRPr="007D4988">
        <w:rPr>
          <w:rFonts w:eastAsia="PMingLiU"/>
          <w:b/>
          <w:bCs/>
          <w:szCs w:val="24"/>
        </w:rPr>
        <w:t>banques multilatérales de développement</w:t>
      </w:r>
      <w:r w:rsidRPr="007D4988">
        <w:rPr>
          <w:rFonts w:eastAsia="PMingLiU"/>
          <w:szCs w:val="24"/>
        </w:rPr>
        <w:t xml:space="preserve"> dans le but de combler le déficit d'investissement dans les infrastructures numériques d'un montant de </w:t>
      </w:r>
      <w:r w:rsidRPr="007D4988">
        <w:rPr>
          <w:rFonts w:eastAsia="PMingLiU"/>
          <w:b/>
          <w:bCs/>
          <w:szCs w:val="24"/>
        </w:rPr>
        <w:t>1 600 milliards USD</w:t>
      </w:r>
      <w:r w:rsidRPr="007D4988">
        <w:rPr>
          <w:rFonts w:eastAsia="PMingLiU"/>
          <w:szCs w:val="24"/>
        </w:rPr>
        <w:t xml:space="preserve"> par l</w:t>
      </w:r>
      <w:r w:rsidR="00D05CDB" w:rsidRPr="007D4988">
        <w:rPr>
          <w:rFonts w:eastAsia="PMingLiU"/>
          <w:szCs w:val="24"/>
        </w:rPr>
        <w:t>'</w:t>
      </w:r>
      <w:r w:rsidRPr="007D4988">
        <w:rPr>
          <w:rFonts w:eastAsia="PMingLiU"/>
          <w:szCs w:val="24"/>
        </w:rPr>
        <w:t xml:space="preserve">intermédiaire d'un groupe de travail réunissant </w:t>
      </w:r>
      <w:r w:rsidRPr="007D4988">
        <w:rPr>
          <w:rFonts w:eastAsia="PMingLiU"/>
          <w:b/>
          <w:bCs/>
          <w:szCs w:val="24"/>
        </w:rPr>
        <w:t>plus de 50 organisations</w:t>
      </w:r>
      <w:r w:rsidRPr="007D4988">
        <w:rPr>
          <w:rFonts w:eastAsia="PMingLiU"/>
          <w:szCs w:val="24"/>
        </w:rPr>
        <w:t xml:space="preserve"> </w:t>
      </w:r>
    </w:p>
    <w:p w14:paraId="00DFA2CD" w14:textId="77777777" w:rsidR="008D0C6D" w:rsidRPr="007D4988" w:rsidRDefault="008D0C6D" w:rsidP="000A1CCC">
      <w:pPr>
        <w:pStyle w:val="Headingb"/>
        <w:rPr>
          <w:rFonts w:eastAsia="MS Mincho"/>
          <w:sz w:val="22"/>
        </w:rPr>
      </w:pPr>
      <w:r w:rsidRPr="007D4988">
        <w:t>Veiller à ce que chacun profite des avantages</w:t>
      </w:r>
    </w:p>
    <w:p w14:paraId="1E75461A" w14:textId="69ECA68A" w:rsidR="008D0C6D" w:rsidRPr="007D4988" w:rsidRDefault="008D0C6D" w:rsidP="008D0C6D">
      <w:pPr>
        <w:pStyle w:val="enumlev1"/>
        <w:rPr>
          <w:rFonts w:eastAsia="PMingLiU"/>
          <w:sz w:val="22"/>
          <w:szCs w:val="22"/>
        </w:rPr>
      </w:pPr>
      <w:r w:rsidRPr="007D4988">
        <w:t>•</w:t>
      </w:r>
      <w:r w:rsidRPr="007D4988">
        <w:tab/>
        <w:t xml:space="preserve">En 2025, </w:t>
      </w:r>
      <w:r w:rsidRPr="007D4988">
        <w:rPr>
          <w:b/>
          <w:bCs/>
        </w:rPr>
        <w:t>77</w:t>
      </w:r>
      <w:r w:rsidR="001F6F64" w:rsidRPr="007D4988">
        <w:rPr>
          <w:b/>
          <w:bCs/>
        </w:rPr>
        <w:t>%</w:t>
      </w:r>
      <w:r w:rsidRPr="007D4988">
        <w:rPr>
          <w:b/>
          <w:bCs/>
        </w:rPr>
        <w:t xml:space="preserve"> des hommes </w:t>
      </w:r>
      <w:r w:rsidRPr="007D4988">
        <w:t xml:space="preserve">et </w:t>
      </w:r>
      <w:r w:rsidRPr="007D4988">
        <w:rPr>
          <w:b/>
          <w:bCs/>
        </w:rPr>
        <w:t>71</w:t>
      </w:r>
      <w:r w:rsidR="001F6F64" w:rsidRPr="007D4988">
        <w:rPr>
          <w:b/>
          <w:bCs/>
        </w:rPr>
        <w:t>%</w:t>
      </w:r>
      <w:r w:rsidRPr="007D4988">
        <w:rPr>
          <w:b/>
          <w:bCs/>
        </w:rPr>
        <w:t xml:space="preserve"> des femmes </w:t>
      </w:r>
      <w:r w:rsidRPr="007D4988">
        <w:t>utilisaient l'Internet, le score de parité hommes</w:t>
      </w:r>
      <w:r w:rsidR="00FF214D" w:rsidRPr="007D4988">
        <w:noBreakHyphen/>
      </w:r>
      <w:r w:rsidRPr="007D4988">
        <w:t xml:space="preserve">femmes s'établissant à </w:t>
      </w:r>
      <w:r w:rsidRPr="007D4988">
        <w:rPr>
          <w:b/>
          <w:bCs/>
        </w:rPr>
        <w:t xml:space="preserve">0,92 </w:t>
      </w:r>
      <w:r w:rsidRPr="007D4988">
        <w:t>au niveau mondial, soit un score inchangé depuis</w:t>
      </w:r>
      <w:r w:rsidR="00EA1115" w:rsidRPr="007D4988">
        <w:t> </w:t>
      </w:r>
      <w:r w:rsidRPr="007D4988">
        <w:t>2019.</w:t>
      </w:r>
    </w:p>
    <w:p w14:paraId="140F0CB2" w14:textId="69FF0A42" w:rsidR="008D0C6D" w:rsidRPr="007D4988" w:rsidRDefault="008D0C6D" w:rsidP="008D0C6D">
      <w:pPr>
        <w:pStyle w:val="enumlev1"/>
        <w:rPr>
          <w:rFonts w:eastAsia="PMingLiU"/>
          <w:sz w:val="22"/>
          <w:szCs w:val="22"/>
        </w:rPr>
      </w:pPr>
      <w:r w:rsidRPr="007D4988">
        <w:t>•</w:t>
      </w:r>
      <w:r w:rsidRPr="007D4988">
        <w:tab/>
        <w:t xml:space="preserve">La Journée internationale des jeunes filles dans le secteur des TIC (2023-2025) a réuni </w:t>
      </w:r>
      <w:r w:rsidRPr="007D4988">
        <w:rPr>
          <w:b/>
          <w:bCs/>
        </w:rPr>
        <w:t>76 000 jeunes filles</w:t>
      </w:r>
      <w:r w:rsidRPr="007D4988">
        <w:t xml:space="preserve"> dans le cadre de </w:t>
      </w:r>
      <w:r w:rsidRPr="007D4988">
        <w:rPr>
          <w:b/>
          <w:bCs/>
        </w:rPr>
        <w:t>472 manifestations</w:t>
      </w:r>
      <w:r w:rsidRPr="007D4988">
        <w:t>.</w:t>
      </w:r>
    </w:p>
    <w:p w14:paraId="2066BEF4" w14:textId="2C9A0A33" w:rsidR="008D0C6D" w:rsidRPr="007D4988" w:rsidRDefault="008D0C6D" w:rsidP="008D0C6D">
      <w:pPr>
        <w:pStyle w:val="enumlev1"/>
        <w:rPr>
          <w:rFonts w:eastAsia="PMingLiU"/>
          <w:sz w:val="22"/>
          <w:szCs w:val="22"/>
        </w:rPr>
      </w:pPr>
      <w:r w:rsidRPr="007D4988">
        <w:t>•</w:t>
      </w:r>
      <w:r w:rsidRPr="007D4988">
        <w:tab/>
        <w:t>L</w:t>
      </w:r>
      <w:r w:rsidR="001F6F64" w:rsidRPr="007D4988">
        <w:t>'</w:t>
      </w:r>
      <w:r w:rsidRPr="007D4988">
        <w:t xml:space="preserve">Accélérateur de compétences en matière d'intelligence artificielle, destiné aux jeunes filles, a profité à </w:t>
      </w:r>
      <w:r w:rsidRPr="007D4988">
        <w:rPr>
          <w:b/>
          <w:bCs/>
        </w:rPr>
        <w:t>820 jeunes femmes</w:t>
      </w:r>
      <w:r w:rsidRPr="007D4988">
        <w:t xml:space="preserve"> dans </w:t>
      </w:r>
      <w:r w:rsidRPr="007D4988">
        <w:rPr>
          <w:b/>
          <w:bCs/>
        </w:rPr>
        <w:t>six régions</w:t>
      </w:r>
      <w:r w:rsidRPr="007D4988">
        <w:t>.</w:t>
      </w:r>
    </w:p>
    <w:p w14:paraId="20B84DE7" w14:textId="6F309DB9" w:rsidR="008D0C6D" w:rsidRPr="007D4988" w:rsidRDefault="008D0C6D" w:rsidP="008D0C6D">
      <w:pPr>
        <w:pStyle w:val="enumlev1"/>
        <w:rPr>
          <w:rFonts w:eastAsia="PMingLiU"/>
          <w:sz w:val="22"/>
          <w:szCs w:val="22"/>
        </w:rPr>
      </w:pPr>
      <w:r w:rsidRPr="007D4988">
        <w:t>•</w:t>
      </w:r>
      <w:r w:rsidRPr="007D4988">
        <w:tab/>
        <w:t xml:space="preserve">Le nombre de représentants pour la jeunesse a atteint </w:t>
      </w:r>
      <w:r w:rsidRPr="007D4988">
        <w:rPr>
          <w:b/>
          <w:bCs/>
        </w:rPr>
        <w:t>180 représentants de 120 pays</w:t>
      </w:r>
      <w:r w:rsidRPr="007D4988">
        <w:t>, et le Sommet mondial de la jeunesse de l</w:t>
      </w:r>
      <w:r w:rsidR="001F6F64" w:rsidRPr="007D4988">
        <w:t>'</w:t>
      </w:r>
      <w:r w:rsidRPr="007D4988">
        <w:t xml:space="preserve">UIT (GYS-25) a rassemblé </w:t>
      </w:r>
      <w:r w:rsidRPr="007D4988">
        <w:rPr>
          <w:b/>
          <w:bCs/>
        </w:rPr>
        <w:t xml:space="preserve">400 participants </w:t>
      </w:r>
      <w:r w:rsidRPr="007D4988">
        <w:t xml:space="preserve">issus de </w:t>
      </w:r>
      <w:r w:rsidRPr="007D4988">
        <w:rPr>
          <w:b/>
          <w:bCs/>
        </w:rPr>
        <w:t>31 pays</w:t>
      </w:r>
      <w:r w:rsidRPr="007D4988">
        <w:t>.</w:t>
      </w:r>
    </w:p>
    <w:p w14:paraId="3884C7E8" w14:textId="7D51DADB" w:rsidR="008D0C6D" w:rsidRPr="007D4988" w:rsidRDefault="008D0C6D" w:rsidP="008D0C6D">
      <w:pPr>
        <w:pStyle w:val="enumlev1"/>
        <w:rPr>
          <w:rFonts w:eastAsia="PMingLiU"/>
          <w:sz w:val="22"/>
          <w:szCs w:val="22"/>
        </w:rPr>
      </w:pPr>
      <w:r w:rsidRPr="007D4988">
        <w:t>•</w:t>
      </w:r>
      <w:r w:rsidRPr="007D4988">
        <w:tab/>
        <w:t xml:space="preserve">Le nombre de pays dotés de cadres pour l'accessibilité des TIC a atteint </w:t>
      </w:r>
      <w:r w:rsidRPr="007D4988">
        <w:rPr>
          <w:b/>
          <w:bCs/>
        </w:rPr>
        <w:t>101 pays</w:t>
      </w:r>
      <w:r w:rsidRPr="007D4988">
        <w:t>, et l</w:t>
      </w:r>
      <w:r w:rsidR="001F6F64" w:rsidRPr="007D4988">
        <w:t>'</w:t>
      </w:r>
      <w:r w:rsidRPr="007D4988">
        <w:t>UIT-R a approuvé la mise à jour de cinq publications relatives à l</w:t>
      </w:r>
      <w:r w:rsidR="001F6F64" w:rsidRPr="007D4988">
        <w:t>'</w:t>
      </w:r>
      <w:r w:rsidRPr="007D4988">
        <w:t>accessibilité.</w:t>
      </w:r>
    </w:p>
    <w:p w14:paraId="58F5F063" w14:textId="6462472F" w:rsidR="008D0C6D" w:rsidRPr="007D4988" w:rsidRDefault="008D0C6D" w:rsidP="008D0C6D">
      <w:pPr>
        <w:pStyle w:val="enumlev1"/>
        <w:rPr>
          <w:rFonts w:eastAsia="PMingLiU"/>
          <w:sz w:val="22"/>
          <w:szCs w:val="22"/>
        </w:rPr>
      </w:pPr>
      <w:r w:rsidRPr="007D4988">
        <w:t>•</w:t>
      </w:r>
      <w:r w:rsidRPr="007D4988">
        <w:tab/>
        <w:t xml:space="preserve">Les programmes de formation des communautés autochtones ont été étendus à </w:t>
      </w:r>
      <w:r w:rsidRPr="007D4988">
        <w:rPr>
          <w:b/>
          <w:bCs/>
        </w:rPr>
        <w:t>l</w:t>
      </w:r>
      <w:r w:rsidR="001F6F64" w:rsidRPr="007D4988">
        <w:rPr>
          <w:b/>
          <w:bCs/>
        </w:rPr>
        <w:t>'</w:t>
      </w:r>
      <w:r w:rsidRPr="007D4988">
        <w:rPr>
          <w:b/>
          <w:bCs/>
        </w:rPr>
        <w:t>Amérique latine, à l</w:t>
      </w:r>
      <w:r w:rsidR="001F6F64" w:rsidRPr="007D4988">
        <w:rPr>
          <w:b/>
          <w:bCs/>
        </w:rPr>
        <w:t>'</w:t>
      </w:r>
      <w:r w:rsidRPr="007D4988">
        <w:rPr>
          <w:b/>
          <w:bCs/>
        </w:rPr>
        <w:t>Afrique et aux Caraïbes</w:t>
      </w:r>
      <w:r w:rsidRPr="007D4988">
        <w:t>, afin de dispenser une formation à des centaines de gestionnaires de réseaux locaux.</w:t>
      </w:r>
    </w:p>
    <w:p w14:paraId="6E13EF63" w14:textId="77777777" w:rsidR="008D0C6D" w:rsidRPr="007D4988" w:rsidRDefault="008D0C6D" w:rsidP="00B22514">
      <w:pPr>
        <w:pStyle w:val="Headingb"/>
        <w:rPr>
          <w:rFonts w:eastAsia="MS Mincho"/>
          <w:sz w:val="22"/>
        </w:rPr>
      </w:pPr>
      <w:r w:rsidRPr="007D4988">
        <w:t>Durabilité environnementale, action climatique et circularité</w:t>
      </w:r>
    </w:p>
    <w:p w14:paraId="0DD3989D" w14:textId="6B310C20" w:rsidR="008D0C6D" w:rsidRPr="007D4988" w:rsidRDefault="008D0C6D" w:rsidP="00FF214D">
      <w:pPr>
        <w:pStyle w:val="enumlev1"/>
        <w:rPr>
          <w:rFonts w:eastAsia="PMingLiU"/>
          <w:sz w:val="22"/>
          <w:szCs w:val="22"/>
        </w:rPr>
      </w:pPr>
      <w:r w:rsidRPr="007D4988">
        <w:t>•</w:t>
      </w:r>
      <w:r w:rsidRPr="007D4988">
        <w:tab/>
        <w:t>Le volume de déchets d</w:t>
      </w:r>
      <w:r w:rsidR="001F6F64" w:rsidRPr="007D4988">
        <w:t>'</w:t>
      </w:r>
      <w:r w:rsidRPr="007D4988">
        <w:t xml:space="preserve">équipements électriques et électroniques dans le monde a atteint </w:t>
      </w:r>
      <w:r w:rsidRPr="007D4988">
        <w:rPr>
          <w:b/>
          <w:bCs/>
        </w:rPr>
        <w:t xml:space="preserve">62 milliards de kg </w:t>
      </w:r>
      <w:r w:rsidRPr="007D4988">
        <w:t xml:space="preserve">en 2022, tandis que le taux de recyclage est resté à </w:t>
      </w:r>
      <w:r w:rsidRPr="007D4988">
        <w:rPr>
          <w:b/>
          <w:bCs/>
        </w:rPr>
        <w:t>22,3</w:t>
      </w:r>
      <w:r w:rsidR="001F6F64" w:rsidRPr="007D4988">
        <w:rPr>
          <w:b/>
          <w:bCs/>
        </w:rPr>
        <w:t>%</w:t>
      </w:r>
      <w:r w:rsidRPr="007D4988">
        <w:t>. La</w:t>
      </w:r>
      <w:r w:rsidR="009057DA" w:rsidRPr="007D4988">
        <w:t> </w:t>
      </w:r>
      <w:r w:rsidRPr="007D4988">
        <w:t>production de déchets d</w:t>
      </w:r>
      <w:r w:rsidR="001F6F64" w:rsidRPr="007D4988">
        <w:t>'</w:t>
      </w:r>
      <w:r w:rsidRPr="007D4988">
        <w:t xml:space="preserve">équipements électriques et électroniques devrait atteindre </w:t>
      </w:r>
      <w:r w:rsidRPr="007D4988">
        <w:rPr>
          <w:b/>
          <w:bCs/>
        </w:rPr>
        <w:t>82</w:t>
      </w:r>
      <w:r w:rsidR="00B22514" w:rsidRPr="007D4988">
        <w:rPr>
          <w:b/>
          <w:bCs/>
        </w:rPr>
        <w:t> </w:t>
      </w:r>
      <w:r w:rsidRPr="007D4988">
        <w:rPr>
          <w:b/>
          <w:bCs/>
        </w:rPr>
        <w:t>milliards de kg d</w:t>
      </w:r>
      <w:r w:rsidR="001F6F64" w:rsidRPr="007D4988">
        <w:rPr>
          <w:b/>
          <w:bCs/>
        </w:rPr>
        <w:t>'</w:t>
      </w:r>
      <w:r w:rsidRPr="007D4988">
        <w:rPr>
          <w:b/>
          <w:bCs/>
        </w:rPr>
        <w:t>ici à 2030</w:t>
      </w:r>
      <w:r w:rsidRPr="007D4988">
        <w:t>.</w:t>
      </w:r>
    </w:p>
    <w:p w14:paraId="09926507" w14:textId="341A3C30" w:rsidR="008D0C6D" w:rsidRPr="007D4988" w:rsidRDefault="008D0C6D" w:rsidP="008D0C6D">
      <w:pPr>
        <w:pStyle w:val="enumlev1"/>
        <w:rPr>
          <w:rFonts w:eastAsia="PMingLiU"/>
          <w:sz w:val="22"/>
          <w:szCs w:val="22"/>
        </w:rPr>
      </w:pPr>
      <w:r w:rsidRPr="007D4988">
        <w:t>•</w:t>
      </w:r>
      <w:r w:rsidRPr="007D4988">
        <w:tab/>
        <w:t>L</w:t>
      </w:r>
      <w:r w:rsidR="001F6F64" w:rsidRPr="007D4988">
        <w:t>'</w:t>
      </w:r>
      <w:r w:rsidRPr="007D4988">
        <w:t xml:space="preserve">UIT a soutenu </w:t>
      </w:r>
      <w:r w:rsidRPr="007D4988">
        <w:rPr>
          <w:b/>
          <w:bCs/>
        </w:rPr>
        <w:t xml:space="preserve">14 pays </w:t>
      </w:r>
      <w:r w:rsidRPr="007D4988">
        <w:t>(2023-2025) dans le domaine de la réglementation de la responsabilité des producteurs et des politiques d</w:t>
      </w:r>
      <w:r w:rsidR="001F6F64" w:rsidRPr="007D4988">
        <w:t>'</w:t>
      </w:r>
      <w:r w:rsidRPr="007D4988">
        <w:t>économie circulaire.</w:t>
      </w:r>
    </w:p>
    <w:p w14:paraId="503A748A" w14:textId="74A8170F" w:rsidR="008D0C6D" w:rsidRPr="007D4988" w:rsidRDefault="008D0C6D" w:rsidP="008D0C6D">
      <w:pPr>
        <w:pStyle w:val="enumlev1"/>
        <w:rPr>
          <w:rFonts w:eastAsia="PMingLiU"/>
          <w:sz w:val="22"/>
          <w:szCs w:val="22"/>
        </w:rPr>
      </w:pPr>
      <w:r w:rsidRPr="007D4988">
        <w:t>•</w:t>
      </w:r>
      <w:r w:rsidRPr="007D4988">
        <w:tab/>
        <w:t>Le tableau de bord de l</w:t>
      </w:r>
      <w:r w:rsidR="001F6F64" w:rsidRPr="007D4988">
        <w:t>'</w:t>
      </w:r>
      <w:r w:rsidRPr="007D4988">
        <w:t>UIT sur l</w:t>
      </w:r>
      <w:r w:rsidR="001F6F64" w:rsidRPr="007D4988">
        <w:t>'</w:t>
      </w:r>
      <w:r w:rsidRPr="007D4988">
        <w:t>écologisation du numérique contient des données sur</w:t>
      </w:r>
      <w:r w:rsidR="00FF214D" w:rsidRPr="007D4988">
        <w:t> </w:t>
      </w:r>
      <w:r w:rsidRPr="007D4988">
        <w:rPr>
          <w:b/>
          <w:bCs/>
        </w:rPr>
        <w:t>200 entreprises numériques</w:t>
      </w:r>
      <w:r w:rsidRPr="007D4988">
        <w:t xml:space="preserve"> et faisait état de </w:t>
      </w:r>
      <w:r w:rsidRPr="007D4988">
        <w:rPr>
          <w:b/>
          <w:bCs/>
        </w:rPr>
        <w:t>297,3 millions de tonnes d</w:t>
      </w:r>
      <w:r w:rsidR="001F6F64" w:rsidRPr="007D4988">
        <w:rPr>
          <w:b/>
          <w:bCs/>
        </w:rPr>
        <w:t>'</w:t>
      </w:r>
      <w:r w:rsidRPr="007D4988">
        <w:rPr>
          <w:b/>
          <w:bCs/>
        </w:rPr>
        <w:t xml:space="preserve">émissions équivalentes CO₂ (tCO₂e) </w:t>
      </w:r>
      <w:r w:rsidRPr="007D4988">
        <w:t>en 2023, soit 0,8</w:t>
      </w:r>
      <w:r w:rsidR="001F6F64" w:rsidRPr="007D4988">
        <w:t>%</w:t>
      </w:r>
      <w:r w:rsidRPr="007D4988">
        <w:t xml:space="preserve"> des émissions mondiales liées à la consommation d</w:t>
      </w:r>
      <w:r w:rsidR="001F6F64" w:rsidRPr="007D4988">
        <w:t>'</w:t>
      </w:r>
      <w:r w:rsidRPr="007D4988">
        <w:t>énergie.</w:t>
      </w:r>
    </w:p>
    <w:p w14:paraId="6D95B868" w14:textId="0959BFC3" w:rsidR="008D0C6D" w:rsidRPr="007D4988" w:rsidRDefault="008D0C6D" w:rsidP="008D0C6D">
      <w:pPr>
        <w:pStyle w:val="enumlev1"/>
      </w:pPr>
      <w:r w:rsidRPr="007D4988">
        <w:t>•</w:t>
      </w:r>
      <w:r w:rsidRPr="007D4988">
        <w:tab/>
        <w:t>La Commission d</w:t>
      </w:r>
      <w:r w:rsidR="001F6F64" w:rsidRPr="007D4988">
        <w:t>'</w:t>
      </w:r>
      <w:r w:rsidRPr="007D4988">
        <w:t>études 5 de l</w:t>
      </w:r>
      <w:r w:rsidR="001F6F64" w:rsidRPr="007D4988">
        <w:t>'</w:t>
      </w:r>
      <w:r w:rsidRPr="007D4988">
        <w:t xml:space="preserve">UIT-T a approuvé </w:t>
      </w:r>
      <w:r w:rsidRPr="007D4988">
        <w:rPr>
          <w:b/>
          <w:bCs/>
        </w:rPr>
        <w:t>110 Recommandations</w:t>
      </w:r>
      <w:r w:rsidRPr="007D4988">
        <w:t xml:space="preserve"> sur la durabilité environnementale entre 2022 et 2025.</w:t>
      </w:r>
    </w:p>
    <w:p w14:paraId="56E0D8D2" w14:textId="6E1EEE34" w:rsidR="00D05CDB" w:rsidRPr="007D4988" w:rsidRDefault="00D05CDB" w:rsidP="00D05CDB">
      <w:pPr>
        <w:pStyle w:val="enumlev1"/>
        <w:rPr>
          <w:rFonts w:eastAsia="PMingLiU"/>
        </w:rPr>
      </w:pPr>
      <w:r w:rsidRPr="007D4988">
        <w:t>•</w:t>
      </w:r>
      <w:r w:rsidRPr="007D4988">
        <w:tab/>
        <w:t xml:space="preserve">L'initiative de l'UIT sur l'Action du secteur du numérique pour l'environnement a mobilisé </w:t>
      </w:r>
      <w:r w:rsidRPr="007D4988">
        <w:rPr>
          <w:b/>
          <w:bCs/>
        </w:rPr>
        <w:t xml:space="preserve">82 pays </w:t>
      </w:r>
      <w:r w:rsidRPr="007D4988">
        <w:t xml:space="preserve">et près de </w:t>
      </w:r>
      <w:r w:rsidRPr="007D4988">
        <w:rPr>
          <w:b/>
          <w:bCs/>
        </w:rPr>
        <w:t xml:space="preserve">1 800 acteurs non étatiques, </w:t>
      </w:r>
      <w:r w:rsidRPr="007D4988">
        <w:t>qui ont approuvé la Déclaration de la Présidence de la COP29 sur l'action du secteur du numérique pour l'environnement.</w:t>
      </w:r>
    </w:p>
    <w:p w14:paraId="23D06BAA" w14:textId="55E445B7" w:rsidR="008D0C6D" w:rsidRPr="007D4988" w:rsidRDefault="00D05CDB" w:rsidP="000A1CCC">
      <w:pPr>
        <w:pStyle w:val="Headingb"/>
        <w:rPr>
          <w:rFonts w:eastAsia="MS Mincho"/>
          <w:sz w:val="22"/>
        </w:rPr>
      </w:pPr>
      <w:r w:rsidRPr="007D4988">
        <w:t>C</w:t>
      </w:r>
      <w:r w:rsidR="008D0C6D" w:rsidRPr="007D4988">
        <w:t>omposition</w:t>
      </w:r>
    </w:p>
    <w:p w14:paraId="0DBF123B" w14:textId="7ABD8026" w:rsidR="008D0C6D" w:rsidRPr="007D4988" w:rsidRDefault="008D0C6D" w:rsidP="008D0C6D">
      <w:pPr>
        <w:pStyle w:val="enumlev1"/>
        <w:rPr>
          <w:rFonts w:eastAsia="PMingLiU"/>
          <w:sz w:val="22"/>
          <w:szCs w:val="22"/>
        </w:rPr>
      </w:pPr>
      <w:r w:rsidRPr="007D4988">
        <w:t>•</w:t>
      </w:r>
      <w:r w:rsidRPr="007D4988">
        <w:tab/>
        <w:t>L</w:t>
      </w:r>
      <w:r w:rsidR="001F6F64" w:rsidRPr="007D4988">
        <w:t>'</w:t>
      </w:r>
      <w:r w:rsidRPr="007D4988">
        <w:t xml:space="preserve">UIT a atteint </w:t>
      </w:r>
      <w:r w:rsidRPr="007D4988">
        <w:rPr>
          <w:b/>
          <w:bCs/>
        </w:rPr>
        <w:t xml:space="preserve">1 048 entités membres </w:t>
      </w:r>
      <w:r w:rsidRPr="007D4988">
        <w:t>en 2025, soit une augmentation nette de</w:t>
      </w:r>
      <w:r w:rsidR="00D05CDB" w:rsidRPr="007D4988">
        <w:t> </w:t>
      </w:r>
      <w:r w:rsidRPr="007D4988">
        <w:rPr>
          <w:b/>
          <w:bCs/>
        </w:rPr>
        <w:t>139</w:t>
      </w:r>
      <w:r w:rsidR="00B22514" w:rsidRPr="007D4988">
        <w:rPr>
          <w:b/>
          <w:bCs/>
        </w:rPr>
        <w:t> </w:t>
      </w:r>
      <w:r w:rsidRPr="007D4988">
        <w:t>adhésions (402 nouvelles adhésions, 263 suppressions) depuis 2022.</w:t>
      </w:r>
    </w:p>
    <w:p w14:paraId="762B211F" w14:textId="46AF56BA" w:rsidR="008D0C6D" w:rsidRPr="007D4988" w:rsidRDefault="008D0C6D" w:rsidP="008D0C6D">
      <w:pPr>
        <w:pStyle w:val="enumlev1"/>
      </w:pPr>
      <w:r w:rsidRPr="007D4988">
        <w:t>•</w:t>
      </w:r>
      <w:r w:rsidRPr="007D4988">
        <w:tab/>
        <w:t>Le nombre d</w:t>
      </w:r>
      <w:r w:rsidR="001F6F64" w:rsidRPr="007D4988">
        <w:t>'</w:t>
      </w:r>
      <w:r w:rsidRPr="007D4988">
        <w:t xml:space="preserve">Associés à contribution réduite pour les PME a atteint </w:t>
      </w:r>
      <w:r w:rsidRPr="007D4988">
        <w:rPr>
          <w:b/>
          <w:bCs/>
        </w:rPr>
        <w:t>120 adhésions,</w:t>
      </w:r>
      <w:r w:rsidRPr="007D4988">
        <w:t xml:space="preserve"> avec </w:t>
      </w:r>
      <w:r w:rsidRPr="007D4988">
        <w:rPr>
          <w:b/>
          <w:bCs/>
        </w:rPr>
        <w:t xml:space="preserve">plus de 26 nouvelles adhésions nettes </w:t>
      </w:r>
      <w:r w:rsidRPr="007D4988">
        <w:t>en 2025.</w:t>
      </w:r>
    </w:p>
    <w:p w14:paraId="1F459E90" w14:textId="77777777" w:rsidR="00E746C6" w:rsidRPr="007D4988" w:rsidRDefault="00E746C6" w:rsidP="00E746C6">
      <w:pPr>
        <w:pStyle w:val="Headingb"/>
        <w:rPr>
          <w:rFonts w:eastAsia="PMingLiU"/>
        </w:rPr>
      </w:pPr>
      <w:r w:rsidRPr="007D4988">
        <w:rPr>
          <w:rFonts w:eastAsia="PMingLiU"/>
        </w:rPr>
        <w:t>Transformation organisationnelle</w:t>
      </w:r>
    </w:p>
    <w:p w14:paraId="4CE0C0BF" w14:textId="08C03B4E" w:rsidR="00E746C6" w:rsidRPr="007D4988" w:rsidRDefault="00E746C6" w:rsidP="00E746C6">
      <w:pPr>
        <w:pStyle w:val="enumlev1"/>
        <w:rPr>
          <w:rFonts w:eastAsia="PMingLiU"/>
          <w:szCs w:val="24"/>
        </w:rPr>
      </w:pPr>
      <w:r w:rsidRPr="007D4988">
        <w:rPr>
          <w:rFonts w:eastAsia="PMingLiU"/>
          <w:szCs w:val="24"/>
        </w:rPr>
        <w:t>•</w:t>
      </w:r>
      <w:r w:rsidRPr="007D4988">
        <w:rPr>
          <w:rFonts w:eastAsia="PMingLiU"/>
          <w:szCs w:val="24"/>
        </w:rPr>
        <w:tab/>
        <w:t xml:space="preserve">L'UIT a obtenu une série d'avis sans réserve, se </w:t>
      </w:r>
      <w:r w:rsidRPr="007D4988">
        <w:rPr>
          <w:rFonts w:eastAsia="PMingLiU"/>
          <w:b/>
          <w:bCs/>
          <w:szCs w:val="24"/>
        </w:rPr>
        <w:t>conformant pleinement aux normes</w:t>
      </w:r>
      <w:r w:rsidR="00FF214D" w:rsidRPr="007D4988">
        <w:rPr>
          <w:rFonts w:eastAsia="PMingLiU"/>
          <w:b/>
          <w:bCs/>
          <w:szCs w:val="24"/>
        </w:rPr>
        <w:t> </w:t>
      </w:r>
      <w:r w:rsidRPr="007D4988">
        <w:rPr>
          <w:rFonts w:eastAsia="PMingLiU"/>
          <w:b/>
          <w:bCs/>
          <w:szCs w:val="24"/>
        </w:rPr>
        <w:t>IPSAS</w:t>
      </w:r>
      <w:r w:rsidRPr="007D4988">
        <w:rPr>
          <w:rFonts w:eastAsia="PMingLiU"/>
          <w:szCs w:val="24"/>
        </w:rPr>
        <w:t xml:space="preserve"> grâce à des améliorations apportées aux systèmes de trésorerie, de fonds extrabudgétaires et d'allocation budgétaire.</w:t>
      </w:r>
    </w:p>
    <w:p w14:paraId="654F2F55" w14:textId="6A28CB03" w:rsidR="00E746C6" w:rsidRPr="007D4988" w:rsidRDefault="00E746C6" w:rsidP="00E746C6">
      <w:pPr>
        <w:pStyle w:val="enumlev1"/>
        <w:rPr>
          <w:rFonts w:eastAsia="PMingLiU"/>
          <w:szCs w:val="24"/>
        </w:rPr>
      </w:pPr>
      <w:r w:rsidRPr="007D4988">
        <w:rPr>
          <w:rFonts w:eastAsia="PMingLiU"/>
          <w:szCs w:val="24"/>
        </w:rPr>
        <w:t>•</w:t>
      </w:r>
      <w:r w:rsidRPr="007D4988">
        <w:rPr>
          <w:rFonts w:eastAsia="PMingLiU"/>
          <w:szCs w:val="24"/>
        </w:rPr>
        <w:tab/>
        <w:t xml:space="preserve">L'UIT, grâce à une gestion financière proactive et disciplinée, a enregistré un </w:t>
      </w:r>
      <w:r w:rsidRPr="007D4988">
        <w:rPr>
          <w:rFonts w:eastAsia="PMingLiU"/>
          <w:b/>
          <w:bCs/>
          <w:szCs w:val="24"/>
        </w:rPr>
        <w:t>excédent budgétaire de 3%</w:t>
      </w:r>
      <w:r w:rsidRPr="007D4988">
        <w:rPr>
          <w:rFonts w:eastAsia="PMingLiU"/>
          <w:szCs w:val="24"/>
        </w:rPr>
        <w:t xml:space="preserve"> en 2024 et </w:t>
      </w:r>
      <w:r w:rsidRPr="007D4988">
        <w:rPr>
          <w:rFonts w:eastAsia="PMingLiU"/>
          <w:b/>
          <w:bCs/>
          <w:szCs w:val="24"/>
        </w:rPr>
        <w:t>de 7%</w:t>
      </w:r>
      <w:r w:rsidRPr="007D4988">
        <w:rPr>
          <w:rFonts w:eastAsia="PMingLiU"/>
          <w:szCs w:val="24"/>
        </w:rPr>
        <w:t xml:space="preserve"> en 2025.</w:t>
      </w:r>
    </w:p>
    <w:p w14:paraId="29D7C8D1" w14:textId="1E1DCE12" w:rsidR="00E746C6" w:rsidRPr="007D4988" w:rsidRDefault="00E746C6" w:rsidP="00E746C6">
      <w:pPr>
        <w:pStyle w:val="enumlev1"/>
        <w:rPr>
          <w:rFonts w:eastAsia="PMingLiU"/>
          <w:szCs w:val="24"/>
        </w:rPr>
      </w:pPr>
      <w:r w:rsidRPr="007D4988">
        <w:rPr>
          <w:rFonts w:eastAsia="PMingLiU"/>
          <w:szCs w:val="24"/>
        </w:rPr>
        <w:t>•</w:t>
      </w:r>
      <w:r w:rsidRPr="007D4988">
        <w:rPr>
          <w:rFonts w:eastAsia="PMingLiU"/>
          <w:szCs w:val="24"/>
        </w:rPr>
        <w:tab/>
        <w:t xml:space="preserve">L'UIT a donné la priorité à la transformation des personnes et de la culture, avec le lancement de la première </w:t>
      </w:r>
      <w:r w:rsidRPr="007D4988">
        <w:rPr>
          <w:rFonts w:eastAsia="PMingLiU"/>
          <w:b/>
          <w:bCs/>
          <w:szCs w:val="24"/>
        </w:rPr>
        <w:t xml:space="preserve">enquête sur la mobilisation des employés </w:t>
      </w:r>
      <w:r w:rsidRPr="007D4988">
        <w:rPr>
          <w:rFonts w:eastAsia="PMingLiU"/>
          <w:szCs w:val="24"/>
        </w:rPr>
        <w:t xml:space="preserve">et des plans d'action de suivi, le </w:t>
      </w:r>
      <w:r w:rsidRPr="007D4988">
        <w:rPr>
          <w:rFonts w:eastAsia="PMingLiU"/>
          <w:b/>
          <w:bCs/>
          <w:szCs w:val="24"/>
        </w:rPr>
        <w:t>programme de leadership adaptatif en cours</w:t>
      </w:r>
      <w:r w:rsidRPr="007D4988">
        <w:rPr>
          <w:rFonts w:eastAsia="PMingLiU"/>
          <w:szCs w:val="24"/>
        </w:rPr>
        <w:t xml:space="preserve"> et le lancement du </w:t>
      </w:r>
      <w:r w:rsidRPr="007D4988">
        <w:rPr>
          <w:rFonts w:eastAsia="PMingLiU"/>
          <w:b/>
          <w:bCs/>
          <w:szCs w:val="24"/>
        </w:rPr>
        <w:t>programme de récompenses et de reconnaissance</w:t>
      </w:r>
      <w:r w:rsidRPr="007D4988">
        <w:rPr>
          <w:rFonts w:eastAsia="PMingLiU"/>
          <w:szCs w:val="24"/>
        </w:rPr>
        <w:t>.</w:t>
      </w:r>
    </w:p>
    <w:p w14:paraId="563FB3D8" w14:textId="5FEF95FA" w:rsidR="00E746C6" w:rsidRPr="007D4988" w:rsidRDefault="00E746C6" w:rsidP="00E746C6">
      <w:pPr>
        <w:pStyle w:val="enumlev1"/>
        <w:keepLines/>
        <w:rPr>
          <w:rFonts w:eastAsia="PMingLiU"/>
          <w:szCs w:val="24"/>
        </w:rPr>
      </w:pPr>
      <w:r w:rsidRPr="007D4988">
        <w:rPr>
          <w:rFonts w:eastAsia="PMingLiU"/>
          <w:szCs w:val="24"/>
        </w:rPr>
        <w:t>•</w:t>
      </w:r>
      <w:r w:rsidRPr="007D4988">
        <w:rPr>
          <w:rFonts w:eastAsia="PMingLiU"/>
          <w:szCs w:val="24"/>
        </w:rPr>
        <w:tab/>
        <w:t>L'UIT a considérablement renforcé sa gouvernance et ses activités de contrôle interne, avec la création de l'</w:t>
      </w:r>
      <w:r w:rsidRPr="007D4988">
        <w:rPr>
          <w:rFonts w:eastAsia="PMingLiU"/>
          <w:b/>
          <w:bCs/>
          <w:szCs w:val="24"/>
        </w:rPr>
        <w:t>Unité du contrôle interne</w:t>
      </w:r>
      <w:r w:rsidRPr="007D4988">
        <w:rPr>
          <w:rFonts w:eastAsia="PMingLiU"/>
          <w:szCs w:val="24"/>
        </w:rPr>
        <w:t xml:space="preserve"> (dotée d'un effectif complet à la date de janvier</w:t>
      </w:r>
      <w:r w:rsidR="00FF214D" w:rsidRPr="007D4988">
        <w:rPr>
          <w:rFonts w:eastAsia="PMingLiU"/>
          <w:szCs w:val="24"/>
        </w:rPr>
        <w:t> </w:t>
      </w:r>
      <w:r w:rsidRPr="007D4988">
        <w:rPr>
          <w:rFonts w:eastAsia="PMingLiU"/>
          <w:szCs w:val="24"/>
        </w:rPr>
        <w:t xml:space="preserve">2026), la création de la </w:t>
      </w:r>
      <w:r w:rsidRPr="007D4988">
        <w:rPr>
          <w:rFonts w:eastAsia="PMingLiU"/>
          <w:b/>
          <w:bCs/>
          <w:szCs w:val="24"/>
        </w:rPr>
        <w:t>fonction d'évaluation</w:t>
      </w:r>
      <w:r w:rsidRPr="007D4988">
        <w:rPr>
          <w:rFonts w:eastAsia="PMingLiU"/>
          <w:szCs w:val="24"/>
        </w:rPr>
        <w:t xml:space="preserve">, l'officialisation de la </w:t>
      </w:r>
      <w:r w:rsidRPr="007D4988">
        <w:rPr>
          <w:rFonts w:eastAsia="PMingLiU"/>
          <w:b/>
          <w:bCs/>
          <w:szCs w:val="24"/>
        </w:rPr>
        <w:t>Charte d'éthique</w:t>
      </w:r>
      <w:r w:rsidRPr="007D4988">
        <w:rPr>
          <w:rFonts w:eastAsia="PMingLiU"/>
          <w:szCs w:val="24"/>
        </w:rPr>
        <w:t xml:space="preserve">, la création d'une </w:t>
      </w:r>
      <w:r w:rsidRPr="007D4988">
        <w:rPr>
          <w:rFonts w:eastAsia="PMingLiU"/>
          <w:b/>
          <w:bCs/>
          <w:szCs w:val="24"/>
        </w:rPr>
        <w:t>fonction d'ombudsman</w:t>
      </w:r>
      <w:r w:rsidRPr="007D4988">
        <w:rPr>
          <w:rFonts w:eastAsia="PMingLiU"/>
          <w:szCs w:val="24"/>
        </w:rPr>
        <w:t xml:space="preserve"> indépendante et la formation à l'évaluation dispensée au personnel pour renforcer la communauté et les compétences.</w:t>
      </w:r>
    </w:p>
    <w:p w14:paraId="64E34EF7" w14:textId="2E16B486" w:rsidR="00E746C6" w:rsidRPr="007D4988" w:rsidRDefault="00E746C6" w:rsidP="00E746C6">
      <w:pPr>
        <w:pStyle w:val="enumlev1"/>
        <w:rPr>
          <w:rFonts w:eastAsia="PMingLiU"/>
          <w:szCs w:val="24"/>
        </w:rPr>
      </w:pPr>
      <w:r w:rsidRPr="007D4988">
        <w:rPr>
          <w:rFonts w:eastAsia="PMingLiU"/>
          <w:szCs w:val="24"/>
        </w:rPr>
        <w:t>•</w:t>
      </w:r>
      <w:r w:rsidRPr="007D4988">
        <w:rPr>
          <w:rFonts w:eastAsia="PMingLiU"/>
          <w:szCs w:val="24"/>
        </w:rPr>
        <w:tab/>
        <w:t xml:space="preserve">L'UIT a réalisé d'importants gains d'efficacité en tirant parti des outils de traduction et d'édition fondés sur l'intelligence artificielle pour </w:t>
      </w:r>
      <w:r w:rsidRPr="007D4988">
        <w:rPr>
          <w:rFonts w:eastAsia="PMingLiU"/>
          <w:b/>
          <w:bCs/>
          <w:szCs w:val="24"/>
        </w:rPr>
        <w:t>augmenter de 20% l'efficacité</w:t>
      </w:r>
      <w:r w:rsidRPr="007D4988">
        <w:rPr>
          <w:rFonts w:eastAsia="PMingLiU"/>
          <w:szCs w:val="24"/>
        </w:rPr>
        <w:t xml:space="preserve"> de la productivité des traductions.</w:t>
      </w:r>
    </w:p>
    <w:p w14:paraId="7F595057" w14:textId="570CC027" w:rsidR="00E746C6" w:rsidRPr="007D4988" w:rsidRDefault="00E746C6" w:rsidP="00E746C6">
      <w:pPr>
        <w:pStyle w:val="enumlev1"/>
        <w:rPr>
          <w:rFonts w:eastAsia="PMingLiU"/>
          <w:szCs w:val="24"/>
        </w:rPr>
      </w:pPr>
      <w:r w:rsidRPr="007D4988">
        <w:rPr>
          <w:rFonts w:eastAsia="PMingLiU"/>
          <w:szCs w:val="24"/>
        </w:rPr>
        <w:t>•</w:t>
      </w:r>
      <w:r w:rsidRPr="007D4988">
        <w:rPr>
          <w:rFonts w:eastAsia="PMingLiU"/>
          <w:szCs w:val="24"/>
        </w:rPr>
        <w:tab/>
        <w:t xml:space="preserve">L'UIT a réalisé des économies sur les coûts de l'électricité, notamment une </w:t>
      </w:r>
      <w:r w:rsidRPr="007D4988">
        <w:rPr>
          <w:rFonts w:eastAsia="PMingLiU"/>
          <w:b/>
          <w:bCs/>
          <w:szCs w:val="24"/>
        </w:rPr>
        <w:t>réduction de 40%</w:t>
      </w:r>
      <w:r w:rsidRPr="007D4988">
        <w:rPr>
          <w:rFonts w:eastAsia="PMingLiU"/>
          <w:szCs w:val="24"/>
        </w:rPr>
        <w:t xml:space="preserve"> en 2024 par rapport à 2023 (environ 650 000 CHF) et une autre </w:t>
      </w:r>
      <w:r w:rsidRPr="007D4988">
        <w:rPr>
          <w:rFonts w:eastAsia="PMingLiU"/>
          <w:b/>
          <w:bCs/>
          <w:szCs w:val="24"/>
        </w:rPr>
        <w:t>réduction de 20%</w:t>
      </w:r>
      <w:r w:rsidRPr="007D4988">
        <w:rPr>
          <w:rFonts w:eastAsia="PMingLiU"/>
          <w:szCs w:val="24"/>
        </w:rPr>
        <w:t xml:space="preserve"> en 2025 (environ 200 000 CHF)</w:t>
      </w:r>
    </w:p>
    <w:p w14:paraId="206C080D" w14:textId="04A43870" w:rsidR="00E746C6" w:rsidRPr="007D4988" w:rsidRDefault="00E746C6" w:rsidP="00E746C6">
      <w:pPr>
        <w:pStyle w:val="enumlev1"/>
        <w:rPr>
          <w:rFonts w:eastAsia="PMingLiU"/>
          <w:szCs w:val="24"/>
        </w:rPr>
      </w:pPr>
      <w:r w:rsidRPr="007D4988">
        <w:rPr>
          <w:rFonts w:eastAsia="PMingLiU"/>
          <w:szCs w:val="24"/>
        </w:rPr>
        <w:t>•</w:t>
      </w:r>
      <w:r w:rsidRPr="007D4988">
        <w:rPr>
          <w:rFonts w:eastAsia="PMingLiU"/>
          <w:szCs w:val="24"/>
        </w:rPr>
        <w:tab/>
        <w:t xml:space="preserve">L'UIT a repensé le </w:t>
      </w:r>
      <w:r w:rsidRPr="007D4988">
        <w:rPr>
          <w:rFonts w:eastAsia="PMingLiU"/>
          <w:b/>
          <w:bCs/>
          <w:szCs w:val="24"/>
        </w:rPr>
        <w:t>projet de nouveau bâtiment</w:t>
      </w:r>
      <w:r w:rsidRPr="007D4988">
        <w:rPr>
          <w:rFonts w:eastAsia="PMingLiU"/>
          <w:szCs w:val="24"/>
        </w:rPr>
        <w:t xml:space="preserve"> et renforcé la gouvernance, avec un processus itératif associant les principales parties prenantes, en tenant compte des fonds disponibles.</w:t>
      </w:r>
    </w:p>
    <w:p w14:paraId="1FE6313D" w14:textId="23F05E19" w:rsidR="00E746C6" w:rsidRPr="007D4988" w:rsidRDefault="00E746C6" w:rsidP="00E746C6">
      <w:pPr>
        <w:pStyle w:val="enumlev1"/>
        <w:rPr>
          <w:rFonts w:eastAsia="PMingLiU"/>
          <w:szCs w:val="24"/>
        </w:rPr>
      </w:pPr>
      <w:r w:rsidRPr="007D4988">
        <w:rPr>
          <w:rFonts w:eastAsia="PMingLiU"/>
          <w:szCs w:val="24"/>
        </w:rPr>
        <w:t>•</w:t>
      </w:r>
      <w:r w:rsidRPr="007D4988">
        <w:rPr>
          <w:rFonts w:eastAsia="PMingLiU"/>
          <w:szCs w:val="24"/>
        </w:rPr>
        <w:tab/>
        <w:t xml:space="preserve">Une nouvelle </w:t>
      </w:r>
      <w:r w:rsidRPr="007D4988">
        <w:rPr>
          <w:rFonts w:eastAsia="PMingLiU"/>
          <w:b/>
          <w:bCs/>
          <w:szCs w:val="24"/>
        </w:rPr>
        <w:t>stratégie de transformation numérique</w:t>
      </w:r>
      <w:r w:rsidRPr="007D4988">
        <w:rPr>
          <w:rFonts w:eastAsia="PMingLiU"/>
          <w:szCs w:val="24"/>
        </w:rPr>
        <w:t xml:space="preserve">, un </w:t>
      </w:r>
      <w:r w:rsidRPr="007D4988">
        <w:rPr>
          <w:rFonts w:eastAsia="PMingLiU"/>
          <w:b/>
          <w:bCs/>
          <w:szCs w:val="24"/>
        </w:rPr>
        <w:t>site web de l'UIT fondé sur l'intelligence artificielle</w:t>
      </w:r>
      <w:r w:rsidRPr="007D4988">
        <w:rPr>
          <w:rFonts w:eastAsia="PMingLiU"/>
          <w:szCs w:val="24"/>
        </w:rPr>
        <w:t xml:space="preserve"> et un </w:t>
      </w:r>
      <w:r w:rsidRPr="007D4988">
        <w:rPr>
          <w:rFonts w:eastAsia="PMingLiU"/>
          <w:b/>
          <w:bCs/>
          <w:szCs w:val="24"/>
        </w:rPr>
        <w:t>programme de perfectionnement du personnel en matière d'intelligence artificielle</w:t>
      </w:r>
      <w:r w:rsidRPr="007D4988">
        <w:rPr>
          <w:rFonts w:eastAsia="PMingLiU"/>
          <w:szCs w:val="24"/>
        </w:rPr>
        <w:t xml:space="preserve"> témoignent des améliorations apportées au système tant pour les membres que pour le personnel de l'UIT.</w:t>
      </w:r>
    </w:p>
    <w:p w14:paraId="681B35FF" w14:textId="20AD83E1" w:rsidR="00D05CDB" w:rsidRPr="007D4988" w:rsidRDefault="008D0C6D" w:rsidP="008D0C6D">
      <w:pPr>
        <w:pStyle w:val="enumlev1"/>
      </w:pPr>
      <w:r w:rsidRPr="007D4988">
        <w:t>•</w:t>
      </w:r>
      <w:r w:rsidRPr="007D4988">
        <w:tab/>
        <w:t>L</w:t>
      </w:r>
      <w:r w:rsidR="001F6F64" w:rsidRPr="007D4988">
        <w:t>'</w:t>
      </w:r>
      <w:r w:rsidRPr="007D4988">
        <w:t>UIT a mis en place un système de gestion environnementale conforme à la norme</w:t>
      </w:r>
      <w:r w:rsidR="005445E9" w:rsidRPr="007D4988">
        <w:t> </w:t>
      </w:r>
      <w:r w:rsidRPr="007D4988">
        <w:t>ISO</w:t>
      </w:r>
      <w:r w:rsidR="00B22514" w:rsidRPr="007D4988">
        <w:noBreakHyphen/>
      </w:r>
      <w:r w:rsidRPr="007D4988">
        <w:t>14001 pour toutes ses activités.</w:t>
      </w:r>
    </w:p>
    <w:p w14:paraId="49C46911" w14:textId="77777777" w:rsidR="008D0C6D" w:rsidRPr="007D4988" w:rsidRDefault="008D0C6D" w:rsidP="008D0C6D">
      <w:pPr>
        <w:tabs>
          <w:tab w:val="clear" w:pos="567"/>
          <w:tab w:val="clear" w:pos="1134"/>
          <w:tab w:val="clear" w:pos="1701"/>
          <w:tab w:val="clear" w:pos="2268"/>
          <w:tab w:val="clear" w:pos="2835"/>
        </w:tabs>
        <w:overflowPunct/>
        <w:autoSpaceDE/>
        <w:autoSpaceDN/>
        <w:adjustRightInd/>
        <w:spacing w:before="0"/>
        <w:textAlignment w:val="auto"/>
        <w:rPr>
          <w:rFonts w:eastAsia="Calibri" w:cs="Calibri"/>
          <w:sz w:val="22"/>
        </w:rPr>
      </w:pPr>
      <w:r w:rsidRPr="007D4988">
        <w:rPr>
          <w:rFonts w:eastAsia="Calibri" w:cs="Calibri"/>
          <w:sz w:val="22"/>
        </w:rPr>
        <w:br w:type="page"/>
      </w:r>
    </w:p>
    <w:p w14:paraId="7F3C8AD3" w14:textId="660178F9" w:rsidR="008D0C6D" w:rsidRPr="007D4988" w:rsidRDefault="002F48E2" w:rsidP="002F48E2">
      <w:pPr>
        <w:pStyle w:val="Heading1"/>
      </w:pPr>
      <w:bookmarkStart w:id="5" w:name="_Toc224288789"/>
      <w:bookmarkStart w:id="6" w:name="_Toc225488866"/>
      <w:r w:rsidRPr="007D4988">
        <w:t>1</w:t>
      </w:r>
      <w:r w:rsidRPr="007D4988">
        <w:tab/>
      </w:r>
      <w:r w:rsidR="008D0C6D" w:rsidRPr="007D4988">
        <w:t>Introduction</w:t>
      </w:r>
      <w:bookmarkEnd w:id="5"/>
      <w:bookmarkEnd w:id="6"/>
    </w:p>
    <w:p w14:paraId="50A6C08E" w14:textId="2FAAC8CC" w:rsidR="008D0C6D" w:rsidRPr="007D4988" w:rsidRDefault="008D0C6D" w:rsidP="002F48E2">
      <w:pPr>
        <w:rPr>
          <w:rFonts w:eastAsia="MS Mincho"/>
          <w:sz w:val="22"/>
        </w:rPr>
      </w:pPr>
      <w:r w:rsidRPr="007D4988">
        <w:t>L</w:t>
      </w:r>
      <w:r w:rsidR="001F6F64" w:rsidRPr="007D4988">
        <w:t>'</w:t>
      </w:r>
      <w:r w:rsidRPr="007D4988">
        <w:t>Union internationale des télécommunications (UIT) s</w:t>
      </w:r>
      <w:r w:rsidR="001F6F64" w:rsidRPr="007D4988">
        <w:t>'</w:t>
      </w:r>
      <w:r w:rsidRPr="007D4988">
        <w:t>emploie à faire en sorte que les technologies numériques apportent des avantages significatifs et durables à tous dans le monde. Conformément à son mandat en tant qu</w:t>
      </w:r>
      <w:r w:rsidR="001F6F64" w:rsidRPr="007D4988">
        <w:t>'</w:t>
      </w:r>
      <w:r w:rsidRPr="007D4988">
        <w:t>institution spécialisée des Nations Unies, l</w:t>
      </w:r>
      <w:r w:rsidR="001F6F64" w:rsidRPr="007D4988">
        <w:t>'</w:t>
      </w:r>
      <w:r w:rsidRPr="007D4988">
        <w:t>UIT s</w:t>
      </w:r>
      <w:r w:rsidR="001F6F64" w:rsidRPr="007D4988">
        <w:t>'</w:t>
      </w:r>
      <w:r w:rsidRPr="007D4988">
        <w:t>emploie à promouvoir la coordination du spectre des fréquences radioélectriques, la normalisation technique et le développement axé sur l</w:t>
      </w:r>
      <w:r w:rsidR="001F6F64" w:rsidRPr="007D4988">
        <w:t>'</w:t>
      </w:r>
      <w:r w:rsidRPr="007D4988">
        <w:t>humain et fondé sur la technologie, afin de bâtir un avenir numérique meilleur pour tous.</w:t>
      </w:r>
    </w:p>
    <w:p w14:paraId="2835E3D3" w14:textId="6BD42669" w:rsidR="008D0C6D" w:rsidRPr="007D4988" w:rsidRDefault="008D0C6D" w:rsidP="002F48E2">
      <w:pPr>
        <w:rPr>
          <w:rFonts w:eastAsia="MS Mincho"/>
          <w:sz w:val="22"/>
        </w:rPr>
      </w:pPr>
      <w:r w:rsidRPr="007D4988">
        <w:t>Le présent rapport à la session de 2026 du Conseil de l</w:t>
      </w:r>
      <w:r w:rsidR="001F6F64" w:rsidRPr="007D4988">
        <w:t>'</w:t>
      </w:r>
      <w:r w:rsidRPr="007D4988">
        <w:t xml:space="preserve">UIT sur la mise en œuvre du </w:t>
      </w:r>
      <w:r w:rsidR="001D65AA" w:rsidRPr="007D4988">
        <w:t>P</w:t>
      </w:r>
      <w:r w:rsidRPr="007D4988">
        <w:t>lan stratégique et les activités de l</w:t>
      </w:r>
      <w:r w:rsidR="001F6F64" w:rsidRPr="007D4988">
        <w:t>'</w:t>
      </w:r>
      <w:r w:rsidRPr="007D4988">
        <w:t>organisation porte sur la période 2022-2025 et devrait servir de base pour le rapport quadriennal à la Conférence de plénipotentiaires de 2026 (</w:t>
      </w:r>
      <w:hyperlink r:id="rId60" w:anchor="/fr" w:history="1">
        <w:r w:rsidRPr="007D4988">
          <w:rPr>
            <w:rStyle w:val="Hyperlink"/>
            <w:rFonts w:eastAsia="Times New Roman" w:cs="Times New Roman"/>
            <w:szCs w:val="20"/>
          </w:rPr>
          <w:t>PP-26</w:t>
        </w:r>
      </w:hyperlink>
      <w:r w:rsidRPr="007D4988">
        <w:t>) (Document</w:t>
      </w:r>
      <w:r w:rsidR="005445E9" w:rsidRPr="007D4988">
        <w:t> </w:t>
      </w:r>
      <w:hyperlink r:id="rId61" w:history="1">
        <w:r w:rsidRPr="007D4988">
          <w:rPr>
            <w:rStyle w:val="Hyperlink"/>
            <w:rFonts w:eastAsia="Times New Roman" w:cs="Times New Roman"/>
            <w:szCs w:val="20"/>
          </w:rPr>
          <w:t>20</w:t>
        </w:r>
      </w:hyperlink>
      <w:r w:rsidRPr="007D4988">
        <w:t>)</w:t>
      </w:r>
      <w:r w:rsidR="005445E9" w:rsidRPr="007D4988">
        <w:t xml:space="preserve"> en 2026</w:t>
      </w:r>
      <w:r w:rsidRPr="007D4988">
        <w:t>. Le rapport est fondé sur le cadre de présentation des résultats qui sous-tend le Plan stratégique de l</w:t>
      </w:r>
      <w:r w:rsidR="001F6F64" w:rsidRPr="007D4988">
        <w:t>'</w:t>
      </w:r>
      <w:r w:rsidRPr="007D4988">
        <w:t>UIT.</w:t>
      </w:r>
      <w:hyperlink r:id="rId62" w:history="1"/>
    </w:p>
    <w:p w14:paraId="3671E022" w14:textId="7A64D08B" w:rsidR="008D0C6D" w:rsidRPr="007D4988" w:rsidRDefault="008D0C6D" w:rsidP="002F48E2">
      <w:pPr>
        <w:rPr>
          <w:rFonts w:eastAsia="MS Mincho"/>
          <w:sz w:val="22"/>
        </w:rPr>
      </w:pPr>
      <w:r w:rsidRPr="007D4988">
        <w:t xml:space="preserve">Alors que les deux premières années étaient couvertes par le </w:t>
      </w:r>
      <w:hyperlink r:id="rId63" w:history="1">
        <w:r w:rsidRPr="007D4988">
          <w:rPr>
            <w:rStyle w:val="Hyperlink"/>
            <w:rFonts w:eastAsia="Times New Roman" w:cs="Times New Roman"/>
            <w:szCs w:val="20"/>
          </w:rPr>
          <w:t>Plan stratégique précédent (2020-2023)</w:t>
        </w:r>
      </w:hyperlink>
      <w:r w:rsidRPr="007D4988">
        <w:t xml:space="preserve">, le présent rapport tient compte du cadre du </w:t>
      </w:r>
      <w:hyperlink r:id="rId64" w:history="1">
        <w:r w:rsidRPr="007D4988">
          <w:rPr>
            <w:rStyle w:val="Hyperlink"/>
            <w:rFonts w:eastAsia="Times New Roman" w:cs="Times New Roman"/>
            <w:szCs w:val="20"/>
          </w:rPr>
          <w:t>Plan stratégique actuel (2024</w:t>
        </w:r>
        <w:r w:rsidR="00E90647" w:rsidRPr="007D4988">
          <w:rPr>
            <w:rStyle w:val="Hyperlink"/>
            <w:rFonts w:eastAsia="Times New Roman" w:cs="Times New Roman"/>
            <w:szCs w:val="20"/>
          </w:rPr>
          <w:noBreakHyphen/>
        </w:r>
        <w:r w:rsidRPr="007D4988">
          <w:rPr>
            <w:rStyle w:val="Hyperlink"/>
            <w:rFonts w:eastAsia="Times New Roman" w:cs="Times New Roman"/>
            <w:szCs w:val="20"/>
          </w:rPr>
          <w:t>2027)</w:t>
        </w:r>
      </w:hyperlink>
      <w:r w:rsidRPr="007D4988">
        <w:t xml:space="preserve"> et établit une correspondance minutieuse des activités entre les deux périodes.</w:t>
      </w:r>
      <w:hyperlink r:id="rId65" w:history="1"/>
      <w:hyperlink r:id="rId66" w:history="1"/>
    </w:p>
    <w:p w14:paraId="49B040F5" w14:textId="5CD9E034" w:rsidR="008D0C6D" w:rsidRPr="007D4988" w:rsidRDefault="008D0C6D" w:rsidP="002F48E2">
      <w:r w:rsidRPr="007D4988">
        <w:t>Ce cadre de résultats établit un lien entre la fourniture de produits et de services et les grandes priorités thématiques, les buts stratégiques, la mission et la vision de l</w:t>
      </w:r>
      <w:r w:rsidR="001F6F64" w:rsidRPr="007D4988">
        <w:t>'</w:t>
      </w:r>
      <w:r w:rsidRPr="007D4988">
        <w:t>UIT et les objectifs mondiaux de développement:</w:t>
      </w:r>
    </w:p>
    <w:p w14:paraId="09B8D139" w14:textId="77777777" w:rsidR="008D0C6D" w:rsidRPr="007D4988" w:rsidRDefault="008D0C6D" w:rsidP="003F7B0C">
      <w:pPr>
        <w:pStyle w:val="Figuretitle"/>
        <w:spacing w:before="240"/>
        <w:rPr>
          <w:rFonts w:eastAsia="MS Mincho"/>
        </w:rPr>
      </w:pPr>
      <w:r w:rsidRPr="007D4988">
        <w:rPr>
          <w:rFonts w:eastAsia="MS Mincho"/>
        </w:rPr>
        <w:t>Plan stratégique de l'UIT pour la période 2024-2027</w:t>
      </w:r>
    </w:p>
    <w:p w14:paraId="123F1F7F" w14:textId="77777777" w:rsidR="008D0C6D" w:rsidRPr="007D4988" w:rsidRDefault="008D0C6D" w:rsidP="003F7B0C">
      <w:pPr>
        <w:pStyle w:val="Figuretitle"/>
        <w:rPr>
          <w:rFonts w:eastAsia="MS Mincho"/>
        </w:rPr>
      </w:pPr>
      <w:r w:rsidRPr="007D4988">
        <w:rPr>
          <w:rFonts w:eastAsia="MS Mincho"/>
        </w:rPr>
        <w:t>Cadre stratégique</w:t>
      </w:r>
    </w:p>
    <w:p w14:paraId="1AA80FEC" w14:textId="78E97123" w:rsidR="008D0C6D" w:rsidRPr="007D4988" w:rsidRDefault="00FD43BD" w:rsidP="00FD43BD">
      <w:pPr>
        <w:pStyle w:val="Figure"/>
        <w:jc w:val="left"/>
        <w:rPr>
          <w:rFonts w:eastAsia="MS Mincho"/>
        </w:rPr>
      </w:pPr>
      <w:r w:rsidRPr="007D4988">
        <w:rPr>
          <w:rFonts w:eastAsia="MS Mincho"/>
          <w:noProof/>
        </w:rPr>
        <w:drawing>
          <wp:inline distT="0" distB="0" distL="0" distR="0" wp14:anchorId="56CBF5A2" wp14:editId="2EA6330B">
            <wp:extent cx="5760085" cy="3007995"/>
            <wp:effectExtent l="0" t="0" r="0" b="1905"/>
            <wp:docPr id="1658835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35625" name=""/>
                    <pic:cNvPicPr/>
                  </pic:nvPicPr>
                  <pic:blipFill>
                    <a:blip r:embed="rId67"/>
                    <a:stretch>
                      <a:fillRect/>
                    </a:stretch>
                  </pic:blipFill>
                  <pic:spPr>
                    <a:xfrm>
                      <a:off x="0" y="0"/>
                      <a:ext cx="5760085" cy="3007995"/>
                    </a:xfrm>
                    <a:prstGeom prst="rect">
                      <a:avLst/>
                    </a:prstGeom>
                  </pic:spPr>
                </pic:pic>
              </a:graphicData>
            </a:graphic>
          </wp:inline>
        </w:drawing>
      </w:r>
    </w:p>
    <w:p w14:paraId="6419C6CB" w14:textId="38304877" w:rsidR="003F7B0C" w:rsidRPr="007D4988" w:rsidRDefault="00FD43BD" w:rsidP="00FD43BD">
      <w:pPr>
        <w:pStyle w:val="Figurelegend"/>
        <w:spacing w:before="100" w:beforeAutospacing="1"/>
        <w:jc w:val="right"/>
        <w:rPr>
          <w:rFonts w:eastAsia="MS Mincho"/>
          <w:i/>
          <w:iCs/>
          <w:sz w:val="14"/>
          <w:szCs w:val="16"/>
        </w:rPr>
      </w:pPr>
      <w:r w:rsidRPr="007D4988">
        <w:rPr>
          <w:rFonts w:eastAsia="MS Mincho"/>
          <w:i/>
          <w:iCs/>
          <w:sz w:val="14"/>
          <w:szCs w:val="16"/>
        </w:rPr>
        <w:t>TIC = technologies de l'information et de la communication</w:t>
      </w:r>
    </w:p>
    <w:p w14:paraId="4BA33B81" w14:textId="5D4ECCBE" w:rsidR="008D0C6D" w:rsidRPr="007D4988" w:rsidRDefault="008D0C6D" w:rsidP="003F7B0C">
      <w:pPr>
        <w:pStyle w:val="Figurelegend"/>
      </w:pPr>
      <w:bookmarkStart w:id="7" w:name="Figure1"/>
      <w:bookmarkEnd w:id="7"/>
      <w:r w:rsidRPr="007D4988">
        <w:rPr>
          <w:i/>
          <w:iCs/>
        </w:rPr>
        <w:t>Figure 1</w:t>
      </w:r>
      <w:r w:rsidR="00942378" w:rsidRPr="007D4988">
        <w:rPr>
          <w:i/>
          <w:iCs/>
        </w:rPr>
        <w:t xml:space="preserve"> – </w:t>
      </w:r>
      <w:r w:rsidRPr="007D4988">
        <w:rPr>
          <w:i/>
          <w:iCs/>
        </w:rPr>
        <w:t>Plan stratégique de l'UIT pour la période 2024-2027.</w:t>
      </w:r>
      <w:r w:rsidRPr="007D4988">
        <w:t xml:space="preserve"> </w:t>
      </w:r>
      <w:r w:rsidRPr="007D4988">
        <w:rPr>
          <w:i/>
          <w:iCs/>
        </w:rPr>
        <w:t>Cadre stratégique global</w:t>
      </w:r>
      <w:r w:rsidR="00E45EDC" w:rsidRPr="007D4988">
        <w:rPr>
          <w:i/>
          <w:iCs/>
        </w:rPr>
        <w:t>.</w:t>
      </w:r>
      <w:r w:rsidRPr="007D4988">
        <w:t xml:space="preserve"> La </w:t>
      </w:r>
      <w:r w:rsidR="000D2510" w:rsidRPr="007D4988">
        <w:t>f</w:t>
      </w:r>
      <w:r w:rsidRPr="007D4988">
        <w:t>igure ci-dessus indique les principales composantes du cadre stratégique de l'UIT, à savoir la vision, la mission, les buts et les cibles stratégiques, les priorités thématiques et les réalisations, les offres de produits et de services et les catalyseurs.</w:t>
      </w:r>
    </w:p>
    <w:p w14:paraId="502EAE1C" w14:textId="63444C2E" w:rsidR="008D0C6D" w:rsidRPr="007D4988" w:rsidRDefault="008D0C6D" w:rsidP="00FD43BD">
      <w:pPr>
        <w:keepLines/>
        <w:rPr>
          <w:rFonts w:eastAsia="MS Mincho"/>
          <w:sz w:val="22"/>
        </w:rPr>
      </w:pPr>
      <w:r w:rsidRPr="007D4988">
        <w:t>Les sections qui suivent donnent un aperçu des conférences statutaires de l</w:t>
      </w:r>
      <w:r w:rsidR="001F6F64" w:rsidRPr="007D4988">
        <w:t>'</w:t>
      </w:r>
      <w:r w:rsidRPr="007D4988">
        <w:t xml:space="preserve">UIT tenues pendant la période considérée, un résumé </w:t>
      </w:r>
      <w:r w:rsidR="00E45EDC" w:rsidRPr="007D4988">
        <w:t>d</w:t>
      </w:r>
      <w:r w:rsidRPr="007D4988">
        <w:t>es résultats du Plan stratégique pour la période</w:t>
      </w:r>
      <w:r w:rsidR="00E45EDC" w:rsidRPr="007D4988">
        <w:t> </w:t>
      </w:r>
      <w:r w:rsidRPr="007D4988">
        <w:t>2020-2023 ainsi qu'une présentation des progrès accomplis dans la réalisation des objectifs de connectivité universelle et de transformation numérique durable au cours de la période 2024-2027, et mettent en évidence les principales réalisations liées aux produits et services de l</w:t>
      </w:r>
      <w:r w:rsidR="001F6F64" w:rsidRPr="007D4988">
        <w:t>'</w:t>
      </w:r>
      <w:r w:rsidRPr="007D4988">
        <w:t>UIT et décrivent les catalyseurs organisationnels qui appuient les travaux de l</w:t>
      </w:r>
      <w:r w:rsidR="001F6F64" w:rsidRPr="007D4988">
        <w:t>'</w:t>
      </w:r>
      <w:r w:rsidRPr="007D4988">
        <w:t>organisation et sa portée en général.</w:t>
      </w:r>
    </w:p>
    <w:p w14:paraId="29DA57BE" w14:textId="53955F17" w:rsidR="008D0C6D" w:rsidRPr="007D4988" w:rsidRDefault="008D0C6D" w:rsidP="002F48E2">
      <w:pPr>
        <w:pStyle w:val="Heading1"/>
      </w:pPr>
      <w:bookmarkStart w:id="8" w:name="_Toc224288790"/>
      <w:bookmarkStart w:id="9" w:name="_Toc225488867"/>
      <w:bookmarkStart w:id="10" w:name="_Toc137211288"/>
      <w:bookmarkEnd w:id="2"/>
      <w:r w:rsidRPr="007D4988">
        <w:t>2</w:t>
      </w:r>
      <w:r w:rsidR="002F48E2" w:rsidRPr="007D4988">
        <w:tab/>
      </w:r>
      <w:r w:rsidRPr="007D4988">
        <w:t>Conférences statutaires mondiales de l</w:t>
      </w:r>
      <w:r w:rsidR="001F6F64" w:rsidRPr="007D4988">
        <w:t>'</w:t>
      </w:r>
      <w:r w:rsidRPr="007D4988">
        <w:t>UIT entre 2022 et 2025</w:t>
      </w:r>
      <w:bookmarkEnd w:id="8"/>
      <w:bookmarkEnd w:id="9"/>
    </w:p>
    <w:p w14:paraId="3864D942" w14:textId="77777777" w:rsidR="008D0C6D" w:rsidRPr="007D4988" w:rsidRDefault="008D0C6D" w:rsidP="002F48E2">
      <w:pPr>
        <w:pStyle w:val="Heading2"/>
        <w:rPr>
          <w:rFonts w:eastAsia="MS Mincho"/>
        </w:rPr>
      </w:pPr>
      <w:bookmarkStart w:id="11" w:name="_Toc224288791"/>
      <w:bookmarkStart w:id="12" w:name="_Toc225488868"/>
      <w:r w:rsidRPr="007D4988">
        <w:t>2.1</w:t>
      </w:r>
      <w:r w:rsidRPr="007D4988">
        <w:tab/>
        <w:t>Conférence de plénipotentiaires de l'UIT (PP</w:t>
      </w:r>
      <w:r w:rsidRPr="007D4988">
        <w:noBreakHyphen/>
        <w:t>22)</w:t>
      </w:r>
      <w:bookmarkEnd w:id="11"/>
      <w:bookmarkEnd w:id="12"/>
    </w:p>
    <w:p w14:paraId="0FEF8C86" w14:textId="23FFE530" w:rsidR="008D0C6D" w:rsidRPr="007D4988" w:rsidRDefault="008D0C6D" w:rsidP="002F48E2">
      <w:pPr>
        <w:rPr>
          <w:rFonts w:eastAsia="MS Mincho"/>
          <w:sz w:val="22"/>
        </w:rPr>
      </w:pPr>
      <w:r w:rsidRPr="007D4988">
        <w:t>La 21ème Conférence de plénipotentiaires de l</w:t>
      </w:r>
      <w:r w:rsidR="001F6F64" w:rsidRPr="007D4988">
        <w:t>'</w:t>
      </w:r>
      <w:r w:rsidRPr="007D4988">
        <w:t>UIT (</w:t>
      </w:r>
      <w:hyperlink r:id="rId68" w:history="1">
        <w:r w:rsidRPr="007D4988">
          <w:rPr>
            <w:rStyle w:val="Hyperlink"/>
            <w:rFonts w:eastAsia="Times New Roman" w:cs="Times New Roman"/>
            <w:szCs w:val="20"/>
          </w:rPr>
          <w:t>PP-22</w:t>
        </w:r>
      </w:hyperlink>
      <w:r w:rsidRPr="007D4988">
        <w:t>) s</w:t>
      </w:r>
      <w:r w:rsidR="001F6F64" w:rsidRPr="007D4988">
        <w:t>'</w:t>
      </w:r>
      <w:r w:rsidRPr="007D4988">
        <w:t>est tenue du 26 septembre au</w:t>
      </w:r>
      <w:r w:rsidR="005445E9" w:rsidRPr="007D4988">
        <w:t> </w:t>
      </w:r>
      <w:r w:rsidRPr="007D4988">
        <w:t>14 octobre 2022 au Palais du Parlement de Bucarest (Roumanie), sous la présidence de M.</w:t>
      </w:r>
      <w:r w:rsidR="00E45EDC" w:rsidRPr="007D4988">
        <w:t> </w:t>
      </w:r>
      <w:r w:rsidRPr="007D4988">
        <w:t>Sabin Sărmaș, Président de la Commission des technologies de l</w:t>
      </w:r>
      <w:r w:rsidR="001F6F64" w:rsidRPr="007D4988">
        <w:t>'</w:t>
      </w:r>
      <w:r w:rsidRPr="007D4988">
        <w:t>information et des communications de la Chambre des députés de Roumanie. La PP-22 a défini les politiques générales et l</w:t>
      </w:r>
      <w:r w:rsidR="001F6F64" w:rsidRPr="007D4988">
        <w:t>'</w:t>
      </w:r>
      <w:r w:rsidRPr="007D4988">
        <w:t>orientation stratégique de l</w:t>
      </w:r>
      <w:r w:rsidR="001F6F64" w:rsidRPr="007D4988">
        <w:t>'</w:t>
      </w:r>
      <w:r w:rsidRPr="007D4988">
        <w:t xml:space="preserve">UIT pour la période à venir, en adoptant un plan stratégique quadriennal (Résolution </w:t>
      </w:r>
      <w:hyperlink r:id="rId69" w:history="1">
        <w:r w:rsidRPr="007D4988">
          <w:rPr>
            <w:rStyle w:val="Hyperlink"/>
            <w:rFonts w:eastAsia="Times New Roman" w:cs="Times New Roman"/>
            <w:szCs w:val="20"/>
          </w:rPr>
          <w:t>71</w:t>
        </w:r>
      </w:hyperlink>
      <w:r w:rsidRPr="007D4988">
        <w:t>) et un plan financier quadriennal (Résolution</w:t>
      </w:r>
      <w:r w:rsidR="005445E9" w:rsidRPr="007D4988">
        <w:t> </w:t>
      </w:r>
      <w:hyperlink r:id="rId70" w:history="1">
        <w:r w:rsidRPr="007D4988">
          <w:rPr>
            <w:rStyle w:val="Hyperlink"/>
            <w:rFonts w:eastAsia="Times New Roman" w:cs="Times New Roman"/>
            <w:szCs w:val="20"/>
          </w:rPr>
          <w:t>71</w:t>
        </w:r>
      </w:hyperlink>
      <w:r w:rsidRPr="007D4988">
        <w:t xml:space="preserve">, Décision </w:t>
      </w:r>
      <w:hyperlink r:id="rId71" w:history="1">
        <w:r w:rsidRPr="007D4988">
          <w:rPr>
            <w:rStyle w:val="Hyperlink"/>
            <w:rFonts w:eastAsia="Times New Roman" w:cs="Times New Roman"/>
            <w:szCs w:val="20"/>
          </w:rPr>
          <w:t>5</w:t>
        </w:r>
      </w:hyperlink>
      <w:r w:rsidRPr="007D4988">
        <w:t>) et en examinant des questions essentielles liées aux technologies de l</w:t>
      </w:r>
      <w:r w:rsidR="001F6F64" w:rsidRPr="007D4988">
        <w:t>'</w:t>
      </w:r>
      <w:r w:rsidRPr="007D4988">
        <w:t>information et de la communication (TIC), conformément aux demandes des membres de</w:t>
      </w:r>
      <w:r w:rsidR="005445E9" w:rsidRPr="007D4988">
        <w:t> </w:t>
      </w:r>
      <w:r w:rsidRPr="007D4988">
        <w:t>l</w:t>
      </w:r>
      <w:r w:rsidR="001F6F64" w:rsidRPr="007D4988">
        <w:t>'</w:t>
      </w:r>
      <w:r w:rsidRPr="007D4988">
        <w:t>UIT.</w:t>
      </w:r>
      <w:hyperlink r:id="rId72" w:history="1">
        <w:bookmarkStart w:id="13" w:name="_Hlt220579220"/>
        <w:bookmarkEnd w:id="13"/>
      </w:hyperlink>
      <w:hyperlink r:id="rId73" w:history="1"/>
      <w:hyperlink r:id="rId74" w:history="1"/>
      <w:hyperlink r:id="rId75" w:history="1"/>
    </w:p>
    <w:p w14:paraId="73EEB875" w14:textId="46852B0C" w:rsidR="008D0C6D" w:rsidRPr="007D4988" w:rsidRDefault="008D0C6D" w:rsidP="002F48E2">
      <w:pPr>
        <w:rPr>
          <w:rFonts w:eastAsia="MS Mincho"/>
          <w:sz w:val="22"/>
        </w:rPr>
      </w:pPr>
      <w:r w:rsidRPr="007D4988">
        <w:t>La stratégie quadriennale de l'UIT met en évidence les grandes priorités des travaux dans les domaines des radiocommunications, de la normalisation et du développement, l'objectif étant de connecter le monde, de favoriser une transformation numérique inclusive à l'échelle mondiale et de contribuer à la réalisation des ODD fixés par les Nations Unies à l'horizon</w:t>
      </w:r>
      <w:r w:rsidR="005445E9" w:rsidRPr="007D4988">
        <w:t> </w:t>
      </w:r>
      <w:r w:rsidRPr="007D4988">
        <w:t xml:space="preserve">2030. Les </w:t>
      </w:r>
      <w:hyperlink r:id="rId76" w:history="1">
        <w:r w:rsidRPr="007D4988">
          <w:rPr>
            <w:rStyle w:val="Hyperlink"/>
            <w:rFonts w:eastAsia="Times New Roman" w:cs="Times New Roman"/>
            <w:szCs w:val="20"/>
          </w:rPr>
          <w:t>Actes finals de la Conférence de plénipotentiaires (Bucarest, 2022)</w:t>
        </w:r>
      </w:hyperlink>
      <w:r w:rsidRPr="007D4988">
        <w:t xml:space="preserve"> ont été signés par 159 États Membres. En résumé, les membres ont modifié 56 </w:t>
      </w:r>
      <w:r w:rsidR="005445E9" w:rsidRPr="007D4988">
        <w:t>R</w:t>
      </w:r>
      <w:r w:rsidRPr="007D4988">
        <w:t xml:space="preserve">ésolutions et deux </w:t>
      </w:r>
      <w:r w:rsidR="005445E9" w:rsidRPr="007D4988">
        <w:t>D</w:t>
      </w:r>
      <w:r w:rsidRPr="007D4988">
        <w:t xml:space="preserve">écisions, ont adopté six nouvelles </w:t>
      </w:r>
      <w:r w:rsidR="005445E9" w:rsidRPr="007D4988">
        <w:t>R</w:t>
      </w:r>
      <w:r w:rsidRPr="007D4988">
        <w:t>ésolutions et en ont supprimé une.</w:t>
      </w:r>
      <w:hyperlink r:id="rId77" w:history="1"/>
    </w:p>
    <w:p w14:paraId="28276128" w14:textId="40C6BDD7" w:rsidR="008D0C6D" w:rsidRPr="007D4988" w:rsidRDefault="008D0C6D" w:rsidP="002F48E2">
      <w:pPr>
        <w:rPr>
          <w:rFonts w:eastAsia="Calibri" w:cs="Calibri"/>
          <w:sz w:val="22"/>
          <w:szCs w:val="22"/>
        </w:rPr>
      </w:pPr>
      <w:r w:rsidRPr="007D4988">
        <w:t xml:space="preserve">La Conférence a pris des décisions essentielles, notamment avec l'adoption de </w:t>
      </w:r>
      <w:r w:rsidR="005445E9" w:rsidRPr="007D4988">
        <w:t>R</w:t>
      </w:r>
      <w:r w:rsidRPr="007D4988">
        <w:t>ésolutions sur les questions suivantes:</w:t>
      </w:r>
    </w:p>
    <w:p w14:paraId="09C710BA" w14:textId="236DCB48" w:rsidR="008D0C6D" w:rsidRPr="007D4988" w:rsidRDefault="002F48E2" w:rsidP="002F48E2">
      <w:pPr>
        <w:pStyle w:val="enumlev1"/>
        <w:rPr>
          <w:rFonts w:eastAsia="PMingLiU"/>
          <w:sz w:val="22"/>
          <w:szCs w:val="22"/>
        </w:rPr>
      </w:pPr>
      <w:r w:rsidRPr="007D4988">
        <w:t>•</w:t>
      </w:r>
      <w:r w:rsidRPr="007D4988">
        <w:tab/>
      </w:r>
      <w:r w:rsidR="008D0C6D" w:rsidRPr="007D4988">
        <w:t>Application des technologies fondées sur l'intelligence artificielle (IA) au service du bien social</w:t>
      </w:r>
      <w:r w:rsidR="005445E9" w:rsidRPr="007D4988">
        <w:t>.</w:t>
      </w:r>
    </w:p>
    <w:p w14:paraId="34D97734" w14:textId="29280164" w:rsidR="008D0C6D" w:rsidRPr="007D4988" w:rsidRDefault="002F48E2" w:rsidP="002F48E2">
      <w:pPr>
        <w:pStyle w:val="enumlev1"/>
        <w:rPr>
          <w:rFonts w:eastAsia="PMingLiU"/>
          <w:sz w:val="22"/>
          <w:szCs w:val="22"/>
        </w:rPr>
      </w:pPr>
      <w:r w:rsidRPr="007D4988">
        <w:t>•</w:t>
      </w:r>
      <w:r w:rsidRPr="007D4988">
        <w:tab/>
      </w:r>
      <w:r w:rsidR="008D0C6D" w:rsidRPr="007D4988">
        <w:t>Instauration de la confiance et développement durable dans l'espace extra</w:t>
      </w:r>
      <w:r w:rsidR="00E45EDC" w:rsidRPr="007D4988">
        <w:noBreakHyphen/>
      </w:r>
      <w:r w:rsidR="008D0C6D" w:rsidRPr="007D4988">
        <w:t>atmosphérique</w:t>
      </w:r>
    </w:p>
    <w:p w14:paraId="15BED23F" w14:textId="371A43C2" w:rsidR="008D0C6D" w:rsidRPr="007D4988" w:rsidRDefault="002F48E2" w:rsidP="002F48E2">
      <w:pPr>
        <w:pStyle w:val="enumlev1"/>
        <w:rPr>
          <w:rFonts w:eastAsia="PMingLiU"/>
          <w:sz w:val="22"/>
          <w:szCs w:val="22"/>
        </w:rPr>
      </w:pPr>
      <w:r w:rsidRPr="007D4988">
        <w:t>•</w:t>
      </w:r>
      <w:r w:rsidRPr="007D4988">
        <w:tab/>
      </w:r>
      <w:r w:rsidR="008D0C6D" w:rsidRPr="007D4988">
        <w:t>Autonomisation des femmes et des jeunes filles grâce à la transformation numérique</w:t>
      </w:r>
    </w:p>
    <w:p w14:paraId="549471E2" w14:textId="05A64531" w:rsidR="008D0C6D" w:rsidRPr="007D4988" w:rsidRDefault="002F48E2" w:rsidP="002F48E2">
      <w:pPr>
        <w:pStyle w:val="enumlev1"/>
        <w:rPr>
          <w:rFonts w:eastAsia="PMingLiU"/>
          <w:sz w:val="22"/>
          <w:szCs w:val="22"/>
        </w:rPr>
      </w:pPr>
      <w:r w:rsidRPr="007D4988">
        <w:t>•</w:t>
      </w:r>
      <w:r w:rsidRPr="007D4988">
        <w:tab/>
      </w:r>
      <w:r w:rsidR="008D0C6D" w:rsidRPr="007D4988">
        <w:t>Utilisation des assignations de fréquence par les installations radioélectriques militaires pour les services de défense nationale</w:t>
      </w:r>
    </w:p>
    <w:p w14:paraId="5DE1D161" w14:textId="56B928DD" w:rsidR="008D0C6D" w:rsidRPr="007D4988" w:rsidRDefault="002F48E2" w:rsidP="002F48E2">
      <w:pPr>
        <w:pStyle w:val="enumlev1"/>
        <w:rPr>
          <w:rFonts w:eastAsia="PMingLiU"/>
          <w:sz w:val="22"/>
          <w:szCs w:val="22"/>
        </w:rPr>
      </w:pPr>
      <w:r w:rsidRPr="007D4988">
        <w:t>•</w:t>
      </w:r>
      <w:r w:rsidRPr="007D4988">
        <w:tab/>
      </w:r>
      <w:r w:rsidR="008D0C6D" w:rsidRPr="007D4988">
        <w:t>Rôle des nouvelles technologies pour atténuer, plutôt qu'exacerber, la crise due aux changements climatiques</w:t>
      </w:r>
    </w:p>
    <w:p w14:paraId="3B2A4DC1" w14:textId="18618BBE" w:rsidR="008D0C6D" w:rsidRPr="007D4988" w:rsidRDefault="002F48E2" w:rsidP="002F48E2">
      <w:pPr>
        <w:pStyle w:val="enumlev1"/>
        <w:rPr>
          <w:rFonts w:eastAsia="PMingLiU"/>
          <w:sz w:val="22"/>
          <w:szCs w:val="22"/>
        </w:rPr>
      </w:pPr>
      <w:r w:rsidRPr="007D4988">
        <w:t>•</w:t>
      </w:r>
      <w:r w:rsidRPr="007D4988">
        <w:tab/>
      </w:r>
      <w:r w:rsidR="008D0C6D" w:rsidRPr="007D4988">
        <w:t>Rôle des technologies dans la protection contre les pandémies mondiales</w:t>
      </w:r>
    </w:p>
    <w:p w14:paraId="60F5C4F2" w14:textId="713AA940" w:rsidR="008D0C6D" w:rsidRPr="007D4988" w:rsidRDefault="002F48E2" w:rsidP="002F48E2">
      <w:pPr>
        <w:pStyle w:val="enumlev1"/>
        <w:rPr>
          <w:rFonts w:eastAsia="PMingLiU"/>
          <w:sz w:val="22"/>
          <w:szCs w:val="22"/>
        </w:rPr>
      </w:pPr>
      <w:r w:rsidRPr="007D4988">
        <w:t>•</w:t>
      </w:r>
      <w:r w:rsidRPr="007D4988">
        <w:tab/>
      </w:r>
      <w:r w:rsidR="008D0C6D" w:rsidRPr="007D4988">
        <w:t>L'Internet des objets (IoT) au service des villes et communautés intelligentes et durables.</w:t>
      </w:r>
    </w:p>
    <w:p w14:paraId="4F915DF7" w14:textId="631DF583" w:rsidR="008D0C6D" w:rsidRPr="007D4988" w:rsidRDefault="008D0C6D" w:rsidP="002F48E2">
      <w:pPr>
        <w:pStyle w:val="Heading3"/>
        <w:tabs>
          <w:tab w:val="clear" w:pos="567"/>
          <w:tab w:val="clear" w:pos="1134"/>
          <w:tab w:val="clear" w:pos="1701"/>
          <w:tab w:val="clear" w:pos="2268"/>
          <w:tab w:val="clear" w:pos="2835"/>
        </w:tabs>
        <w:ind w:left="0" w:firstLine="0"/>
        <w:rPr>
          <w:rFonts w:eastAsia="MS Mincho"/>
          <w:color w:val="0D0D0D"/>
        </w:rPr>
      </w:pPr>
      <w:bookmarkStart w:id="14" w:name="_Toc224288792"/>
      <w:bookmarkStart w:id="15" w:name="_Toc225488869"/>
      <w:r w:rsidRPr="007D4988">
        <w:t>2.1.1</w:t>
      </w:r>
      <w:r w:rsidR="002F48E2" w:rsidRPr="007D4988">
        <w:tab/>
      </w:r>
      <w:r w:rsidRPr="007D4988">
        <w:t>Élections à l'UIT</w:t>
      </w:r>
      <w:bookmarkEnd w:id="14"/>
      <w:bookmarkEnd w:id="15"/>
    </w:p>
    <w:p w14:paraId="16CEB5B5" w14:textId="7C66F14F" w:rsidR="008D0C6D" w:rsidRPr="007D4988" w:rsidRDefault="008D0C6D" w:rsidP="002F48E2">
      <w:pPr>
        <w:rPr>
          <w:rFonts w:eastAsia="MS Mincho"/>
          <w:sz w:val="22"/>
        </w:rPr>
      </w:pPr>
      <w:r w:rsidRPr="007D4988">
        <w:t>La PP-22 a également servi de cadre pour l'élection de la haute direction de l'UIT. Ces élections sont entrées dans l'histoire après que les délégués ont élu Mme</w:t>
      </w:r>
      <w:r w:rsidR="00E45EDC" w:rsidRPr="007D4988">
        <w:t> </w:t>
      </w:r>
      <w:r w:rsidRPr="007D4988">
        <w:t>Doreen</w:t>
      </w:r>
      <w:r w:rsidR="00E45EDC" w:rsidRPr="007D4988">
        <w:t> </w:t>
      </w:r>
      <w:r w:rsidRPr="007D4988">
        <w:t>Bogdan</w:t>
      </w:r>
      <w:r w:rsidR="00E45EDC" w:rsidRPr="007D4988">
        <w:noBreakHyphen/>
      </w:r>
      <w:r w:rsidRPr="007D4988">
        <w:t>Martin (États-Unis) au poste de Secrétaire générale de l'UIT. Mme</w:t>
      </w:r>
      <w:r w:rsidR="00E45EDC" w:rsidRPr="007D4988">
        <w:t> </w:t>
      </w:r>
      <w:r w:rsidRPr="007D4988">
        <w:t>Bogdan-Martin est devenue la première femme à diriger cette organisation, qui avait 157 ans à l</w:t>
      </w:r>
      <w:r w:rsidR="001F6F64" w:rsidRPr="007D4988">
        <w:t>'</w:t>
      </w:r>
      <w:r w:rsidRPr="007D4988">
        <w:t>époque. M. Tomas Lamanauskas (Lituanie) a été élu au poste de Vice</w:t>
      </w:r>
      <w:r w:rsidR="009057DA" w:rsidRPr="007D4988">
        <w:noBreakHyphen/>
      </w:r>
      <w:r w:rsidRPr="007D4988">
        <w:t>Secrétaire</w:t>
      </w:r>
      <w:r w:rsidR="009057DA" w:rsidRPr="007D4988">
        <w:t> </w:t>
      </w:r>
      <w:r w:rsidRPr="007D4988">
        <w:t>général de l'UIT; M. Mario Maniewicz (Uruguay) a été réélu pour un second</w:t>
      </w:r>
      <w:r w:rsidR="009057DA" w:rsidRPr="007D4988">
        <w:t> </w:t>
      </w:r>
      <w:r w:rsidRPr="007D4988">
        <w:t>mandat au poste de Directeur du Bureau des radiocommunications de l'UIT (BR); M.</w:t>
      </w:r>
      <w:r w:rsidR="009057DA" w:rsidRPr="007D4988">
        <w:t> </w:t>
      </w:r>
      <w:r w:rsidRPr="007D4988">
        <w:t>Seizo</w:t>
      </w:r>
      <w:r w:rsidR="009057DA" w:rsidRPr="007D4988">
        <w:t> </w:t>
      </w:r>
      <w:r w:rsidRPr="007D4988">
        <w:t>Onoe (Japon) a été élu Directeur du Bureau de la normalisation des télécommunications de l'UIT (TSB)</w:t>
      </w:r>
      <w:r w:rsidR="00E45EDC" w:rsidRPr="007D4988">
        <w:t>;</w:t>
      </w:r>
      <w:r w:rsidRPr="007D4988">
        <w:t xml:space="preserve"> et M.</w:t>
      </w:r>
      <w:r w:rsidR="00E45EDC" w:rsidRPr="007D4988">
        <w:t> </w:t>
      </w:r>
      <w:r w:rsidRPr="007D4988">
        <w:t>Cosmas Zavazava (Zimbabwe) a été élu Directeur du Bureau de développement des télécommunications de l'UIT (BDT). Les 12 membres du Comité du Règlement des radiocommunications et les 48 membres du Conseil de l</w:t>
      </w:r>
      <w:r w:rsidR="001F6F64" w:rsidRPr="007D4988">
        <w:t>'</w:t>
      </w:r>
      <w:r w:rsidRPr="007D4988">
        <w:t>UIT ont également été élus (</w:t>
      </w:r>
      <w:hyperlink r:id="rId78" w:history="1">
        <w:r w:rsidRPr="007D4988">
          <w:rPr>
            <w:rStyle w:val="Hyperlink"/>
            <w:rFonts w:eastAsia="Times New Roman" w:cs="Times New Roman"/>
            <w:szCs w:val="20"/>
          </w:rPr>
          <w:t>voir les résultats complets des élections à la PP-22 ici</w:t>
        </w:r>
      </w:hyperlink>
      <w:r w:rsidRPr="007D4988">
        <w:t>).</w:t>
      </w:r>
      <w:bookmarkStart w:id="16" w:name="_Int_oL9KljHB"/>
      <w:bookmarkStart w:id="17" w:name="_Int_ZtBYgXe9"/>
      <w:bookmarkEnd w:id="16"/>
      <w:bookmarkEnd w:id="17"/>
      <w:r w:rsidRPr="007D4988">
        <w:fldChar w:fldCharType="begin"/>
      </w:r>
      <w:r w:rsidRPr="007D4988">
        <w:instrText>HYPERLINK "https://pp.itu.int/2022/en/elections/elections-results/"</w:instrText>
      </w:r>
      <w:r w:rsidRPr="007D4988">
        <w:fldChar w:fldCharType="separate"/>
      </w:r>
      <w:bookmarkStart w:id="18" w:name="_Hlt220489526"/>
      <w:bookmarkEnd w:id="18"/>
      <w:r w:rsidRPr="007D4988">
        <w:fldChar w:fldCharType="end"/>
      </w:r>
    </w:p>
    <w:p w14:paraId="131DA697" w14:textId="77777777" w:rsidR="008D0C6D" w:rsidRPr="007D4988" w:rsidRDefault="008D0C6D" w:rsidP="002F48E2">
      <w:pPr>
        <w:pStyle w:val="Heading2"/>
        <w:rPr>
          <w:rFonts w:eastAsia="MS Mincho"/>
        </w:rPr>
      </w:pPr>
      <w:bookmarkStart w:id="19" w:name="_Toc224288793"/>
      <w:bookmarkStart w:id="20" w:name="_Toc225488870"/>
      <w:r w:rsidRPr="007D4988">
        <w:t>2.2</w:t>
      </w:r>
      <w:r w:rsidRPr="007D4988">
        <w:tab/>
        <w:t>CMR-23 et AR-23</w:t>
      </w:r>
      <w:bookmarkEnd w:id="19"/>
      <w:bookmarkEnd w:id="20"/>
    </w:p>
    <w:p w14:paraId="738CAD6B" w14:textId="6ECB5A3A" w:rsidR="008D0C6D" w:rsidRPr="007D4988" w:rsidRDefault="008D0C6D" w:rsidP="002F48E2">
      <w:pPr>
        <w:pStyle w:val="Heading3"/>
        <w:tabs>
          <w:tab w:val="clear" w:pos="567"/>
          <w:tab w:val="clear" w:pos="1134"/>
          <w:tab w:val="clear" w:pos="1701"/>
          <w:tab w:val="clear" w:pos="2268"/>
          <w:tab w:val="clear" w:pos="2835"/>
        </w:tabs>
        <w:ind w:left="0" w:firstLine="0"/>
        <w:rPr>
          <w:rFonts w:eastAsia="MS Mincho"/>
          <w:color w:val="0D0D0D"/>
        </w:rPr>
      </w:pPr>
      <w:bookmarkStart w:id="21" w:name="_Toc224288794"/>
      <w:bookmarkStart w:id="22" w:name="_Toc225488871"/>
      <w:r w:rsidRPr="007D4988">
        <w:t>2.2.1</w:t>
      </w:r>
      <w:r w:rsidR="002F48E2" w:rsidRPr="007D4988">
        <w:tab/>
      </w:r>
      <w:r w:rsidRPr="007D4988">
        <w:t>Conférence mondiale des radiocommunications de 2023</w:t>
      </w:r>
      <w:bookmarkEnd w:id="21"/>
      <w:bookmarkEnd w:id="22"/>
    </w:p>
    <w:p w14:paraId="76E5D568" w14:textId="66614BE4" w:rsidR="008D0C6D" w:rsidRPr="007D4988" w:rsidRDefault="008D0C6D" w:rsidP="002F48E2">
      <w:pPr>
        <w:rPr>
          <w:rFonts w:eastAsia="MS Mincho"/>
          <w:sz w:val="22"/>
        </w:rPr>
      </w:pPr>
      <w:r w:rsidRPr="007D4988">
        <w:t>La Conférence mondiale des radiocommunications (</w:t>
      </w:r>
      <w:hyperlink r:id="rId79" w:anchor="/fr" w:history="1">
        <w:r w:rsidRPr="007D4988">
          <w:rPr>
            <w:rStyle w:val="Hyperlink"/>
            <w:rFonts w:eastAsia="Times New Roman" w:cs="Times New Roman"/>
            <w:szCs w:val="20"/>
          </w:rPr>
          <w:t>CMR-23</w:t>
        </w:r>
      </w:hyperlink>
      <w:r w:rsidRPr="007D4988">
        <w:t>) s'est tenue à Dubaï (Émirats</w:t>
      </w:r>
      <w:r w:rsidR="00023ED1" w:rsidRPr="007D4988">
        <w:t> </w:t>
      </w:r>
      <w:r w:rsidRPr="007D4988">
        <w:t>arabes unis) du 20 novembre au 15 décembre 2023. La Conférence était présidée par S. E. M. Mohammed Al Ramsi (</w:t>
      </w:r>
      <w:r w:rsidR="00023ED1" w:rsidRPr="007D4988">
        <w:t>Émirats</w:t>
      </w:r>
      <w:r w:rsidRPr="007D4988">
        <w:t xml:space="preserve"> arabes unis). Elle a réuni des représentants de la communauté mondiale des radiocommunications afin d</w:t>
      </w:r>
      <w:r w:rsidR="001F6F64" w:rsidRPr="007D4988">
        <w:t>'</w:t>
      </w:r>
      <w:r w:rsidRPr="007D4988">
        <w:t xml:space="preserve">actualiser et de renforcer le cadre réglementaire international régissant les travaux sur le spectre des fréquences radioélectriques, en vue de parvenir à la connectivité universelle et à une transformation numérique durable. La Conférence a rassemblé 3 982 participants de 163 </w:t>
      </w:r>
      <w:r w:rsidR="00023ED1" w:rsidRPr="007D4988">
        <w:t>États</w:t>
      </w:r>
      <w:r w:rsidRPr="007D4988">
        <w:t xml:space="preserve"> Membres de l</w:t>
      </w:r>
      <w:r w:rsidR="001F6F64" w:rsidRPr="007D4988">
        <w:t>'</w:t>
      </w:r>
      <w:r w:rsidRPr="007D4988">
        <w:t>UIT. En particulier, les femmes représentaient 22</w:t>
      </w:r>
      <w:r w:rsidR="001F6F64" w:rsidRPr="007D4988">
        <w:t>%</w:t>
      </w:r>
      <w:r w:rsidRPr="007D4988">
        <w:t xml:space="preserve"> des délégués, soit une augmentation positive par rapport aux 18</w:t>
      </w:r>
      <w:r w:rsidR="001F6F64" w:rsidRPr="007D4988">
        <w:t>%</w:t>
      </w:r>
      <w:r w:rsidRPr="007D4988">
        <w:t xml:space="preserve"> enregistrés à la CMR-19.</w:t>
      </w:r>
      <w:hyperlink r:id="rId80" w:history="1"/>
    </w:p>
    <w:p w14:paraId="6A38FA94" w14:textId="03F91939" w:rsidR="008D0C6D" w:rsidRPr="007D4988" w:rsidRDefault="008D0C6D" w:rsidP="002F48E2">
      <w:pPr>
        <w:rPr>
          <w:rFonts w:eastAsia="MS Mincho"/>
          <w:sz w:val="22"/>
        </w:rPr>
      </w:pPr>
      <w:r w:rsidRPr="007D4988">
        <w:t>La CMR-23 a examiné plus de 30 points de l</w:t>
      </w:r>
      <w:r w:rsidR="001F6F64" w:rsidRPr="007D4988">
        <w:t>'</w:t>
      </w:r>
      <w:r w:rsidRPr="007D4988">
        <w:t>ordre du jour concernant l</w:t>
      </w:r>
      <w:r w:rsidR="001F6F64" w:rsidRPr="007D4988">
        <w:t>'</w:t>
      </w:r>
      <w:r w:rsidRPr="007D4988">
        <w:t>attribution et le partage du spectre, ce qui a donné lieu à plusieurs avancées réglementaires importantes dans les domaines des communications mobiles, des systèmes à satellites, de la sécurité maritime et aéronautique et des services scientifiques.</w:t>
      </w:r>
    </w:p>
    <w:p w14:paraId="26F1ED16" w14:textId="522A12E2" w:rsidR="008D0C6D" w:rsidRPr="007D4988" w:rsidRDefault="008D0C6D" w:rsidP="002F48E2">
      <w:pPr>
        <w:rPr>
          <w:rFonts w:eastAsia="MS Mincho"/>
          <w:sz w:val="22"/>
        </w:rPr>
      </w:pPr>
      <w:r w:rsidRPr="007D4988">
        <w:t xml:space="preserve">Les </w:t>
      </w:r>
      <w:hyperlink r:id="rId81" w:history="1">
        <w:r w:rsidRPr="007D4988">
          <w:rPr>
            <w:rStyle w:val="Hyperlink"/>
            <w:rFonts w:eastAsia="Times New Roman" w:cs="Times New Roman"/>
            <w:szCs w:val="20"/>
          </w:rPr>
          <w:t>Actes finals de la CMR-23</w:t>
        </w:r>
      </w:hyperlink>
      <w:r w:rsidRPr="007D4988">
        <w:t xml:space="preserve"> font la synthèse des principaux résultats de la Conférence concernant tous les principaux points de l</w:t>
      </w:r>
      <w:r w:rsidR="001F6F64" w:rsidRPr="007D4988">
        <w:t>'</w:t>
      </w:r>
      <w:r w:rsidRPr="007D4988">
        <w:t>ordre du jour, notamment:</w:t>
      </w:r>
      <w:hyperlink r:id="rId82" w:history="1"/>
    </w:p>
    <w:p w14:paraId="2A213F5B" w14:textId="43D60782" w:rsidR="008D0C6D" w:rsidRPr="007D4988" w:rsidRDefault="002F48E2" w:rsidP="002F48E2">
      <w:pPr>
        <w:pStyle w:val="enumlev1"/>
        <w:rPr>
          <w:rFonts w:eastAsia="PMingLiU"/>
          <w:sz w:val="22"/>
          <w:szCs w:val="22"/>
        </w:rPr>
      </w:pPr>
      <w:r w:rsidRPr="007D4988">
        <w:t>•</w:t>
      </w:r>
      <w:r w:rsidRPr="007D4988">
        <w:tab/>
      </w:r>
      <w:r w:rsidR="008D0C6D" w:rsidRPr="007D4988">
        <w:t>L'identification des bandes de fréquences pour les Télécommunications mobiles internationales (IMT), bandes qui jouent un rôle essentiel pour étendre la connectivité large bande et développer les services mobiles IMT. L'identification de bandes de fréquences destinées à être utilisées par des stations placées sur des plates-formes à haute altitude en tant que stations de base IMT (HIBS) capables de prendre en charge le large bande mobile avec une infrastructure minimale</w:t>
      </w:r>
      <w:r w:rsidR="00501813" w:rsidRPr="007D4988">
        <w:t>.</w:t>
      </w:r>
    </w:p>
    <w:p w14:paraId="58886225" w14:textId="04EAD3B5" w:rsidR="008D0C6D" w:rsidRPr="007D4988" w:rsidRDefault="002F48E2" w:rsidP="002F48E2">
      <w:pPr>
        <w:pStyle w:val="enumlev1"/>
        <w:rPr>
          <w:rFonts w:eastAsia="PMingLiU"/>
          <w:sz w:val="22"/>
          <w:szCs w:val="22"/>
        </w:rPr>
      </w:pPr>
      <w:r w:rsidRPr="007D4988">
        <w:t>•</w:t>
      </w:r>
      <w:r w:rsidRPr="007D4988">
        <w:tab/>
      </w:r>
      <w:r w:rsidR="008D0C6D" w:rsidRPr="007D4988">
        <w:t>L'amélioration de la sécurité maritime en appuyant la modernisation du Système mondial de détresse et de sécurité en mer (SMDSM)</w:t>
      </w:r>
      <w:r w:rsidR="00501813" w:rsidRPr="007D4988">
        <w:t>.</w:t>
      </w:r>
    </w:p>
    <w:p w14:paraId="032A085A" w14:textId="47A4327A" w:rsidR="008D0C6D" w:rsidRPr="007D4988" w:rsidRDefault="002F48E2" w:rsidP="002F48E2">
      <w:pPr>
        <w:pStyle w:val="enumlev1"/>
        <w:rPr>
          <w:rFonts w:eastAsia="PMingLiU"/>
          <w:sz w:val="22"/>
          <w:szCs w:val="22"/>
        </w:rPr>
      </w:pPr>
      <w:r w:rsidRPr="007D4988">
        <w:t>•</w:t>
      </w:r>
      <w:r w:rsidRPr="007D4988">
        <w:tab/>
      </w:r>
      <w:r w:rsidR="008D0C6D" w:rsidRPr="007D4988">
        <w:t>La numérisation des systèmes en ondes décamétriques et nouvelles attributions non liées à la sécurité pour les services aéronautiques</w:t>
      </w:r>
      <w:r w:rsidR="00501813" w:rsidRPr="007D4988">
        <w:t>.</w:t>
      </w:r>
    </w:p>
    <w:p w14:paraId="7E8F0F2D" w14:textId="1CBF64F4" w:rsidR="008D0C6D" w:rsidRPr="007D4988" w:rsidRDefault="002F48E2" w:rsidP="00FD43BD">
      <w:pPr>
        <w:pStyle w:val="enumlev1"/>
        <w:keepLines/>
        <w:rPr>
          <w:rFonts w:eastAsia="PMingLiU"/>
          <w:sz w:val="22"/>
          <w:szCs w:val="22"/>
        </w:rPr>
      </w:pPr>
      <w:r w:rsidRPr="007D4988">
        <w:t>•</w:t>
      </w:r>
      <w:r w:rsidRPr="007D4988">
        <w:tab/>
      </w:r>
      <w:r w:rsidR="008D0C6D" w:rsidRPr="007D4988">
        <w:t xml:space="preserve">L'amélioration des services par satellite, </w:t>
      </w:r>
      <w:r w:rsidR="00501813" w:rsidRPr="007D4988">
        <w:t>notamment</w:t>
      </w:r>
      <w:r w:rsidR="008D0C6D" w:rsidRPr="007D4988">
        <w:t xml:space="preserve"> par l'adoption de mesures réglementaires pour la fourniture de liaisons inter-satellites. L'exploitation améliorée des stations terriennes en mouvement (ESIM) pour fournir le large bande à haut débit à bord d</w:t>
      </w:r>
      <w:r w:rsidR="001F6F64" w:rsidRPr="007D4988">
        <w:t>'</w:t>
      </w:r>
      <w:r w:rsidR="008D0C6D" w:rsidRPr="007D4988">
        <w:t>aéronefs, de navires, de trains et de véhicules, et les règles améliorées pour les constellations non OSG</w:t>
      </w:r>
      <w:r w:rsidR="00501813" w:rsidRPr="007D4988">
        <w:t>.</w:t>
      </w:r>
    </w:p>
    <w:p w14:paraId="5146312D" w14:textId="7590B6AF" w:rsidR="008D0C6D" w:rsidRPr="007D4988" w:rsidRDefault="002F48E2" w:rsidP="002F48E2">
      <w:pPr>
        <w:pStyle w:val="enumlev1"/>
        <w:rPr>
          <w:rFonts w:eastAsia="PMingLiU"/>
          <w:sz w:val="22"/>
          <w:szCs w:val="22"/>
        </w:rPr>
      </w:pPr>
      <w:r w:rsidRPr="007D4988">
        <w:t>•</w:t>
      </w:r>
      <w:r w:rsidRPr="007D4988">
        <w:tab/>
      </w:r>
      <w:r w:rsidR="008D0C6D" w:rsidRPr="007D4988">
        <w:t>Les services scientifiques (attributions nouvelles ou statut d'attributions relevé à l</w:t>
      </w:r>
      <w:r w:rsidR="001F6F64" w:rsidRPr="007D4988">
        <w:t>'</w:t>
      </w:r>
      <w:r w:rsidR="008D0C6D" w:rsidRPr="007D4988">
        <w:t>appui de l</w:t>
      </w:r>
      <w:r w:rsidR="001F6F64" w:rsidRPr="007D4988">
        <w:t>'</w:t>
      </w:r>
      <w:r w:rsidR="008D0C6D" w:rsidRPr="007D4988">
        <w:t>observation de la Terre, de la recherche spatiale et de la météorologie spatiale)</w:t>
      </w:r>
      <w:r w:rsidR="00501813" w:rsidRPr="007D4988">
        <w:t>.</w:t>
      </w:r>
    </w:p>
    <w:p w14:paraId="0CD9779F" w14:textId="7D06C9FB" w:rsidR="008D0C6D" w:rsidRPr="007D4988" w:rsidRDefault="002F48E2" w:rsidP="002F48E2">
      <w:pPr>
        <w:pStyle w:val="enumlev1"/>
        <w:rPr>
          <w:rFonts w:eastAsia="PMingLiU"/>
          <w:sz w:val="22"/>
          <w:szCs w:val="22"/>
        </w:rPr>
      </w:pPr>
      <w:r w:rsidRPr="007D4988">
        <w:t>•</w:t>
      </w:r>
      <w:r w:rsidRPr="007D4988">
        <w:tab/>
      </w:r>
      <w:r w:rsidR="008D0C6D" w:rsidRPr="007D4988">
        <w:t>L'appui à l</w:t>
      </w:r>
      <w:r w:rsidR="001F6F64" w:rsidRPr="007D4988">
        <w:t>'</w:t>
      </w:r>
      <w:r w:rsidR="008D0C6D" w:rsidRPr="007D4988">
        <w:t>État de Palestine pour la gestion du spectre et le déploiement de réseaux de télécommunication évolués.</w:t>
      </w:r>
    </w:p>
    <w:p w14:paraId="0DCED44C" w14:textId="02F05ED3" w:rsidR="008D0C6D" w:rsidRPr="007D4988" w:rsidRDefault="008D0C6D" w:rsidP="00501813">
      <w:pPr>
        <w:rPr>
          <w:rFonts w:eastAsia="MS Mincho"/>
          <w:sz w:val="22"/>
        </w:rPr>
      </w:pPr>
      <w:r w:rsidRPr="007D4988">
        <w:t>L</w:t>
      </w:r>
      <w:r w:rsidR="001F6F64" w:rsidRPr="007D4988">
        <w:t>'</w:t>
      </w:r>
      <w:r w:rsidRPr="007D4988">
        <w:t xml:space="preserve">édition de 2024 du Règlement des radiocommunications est disponible </w:t>
      </w:r>
      <w:hyperlink r:id="rId83" w:history="1">
        <w:r w:rsidRPr="007D4988">
          <w:rPr>
            <w:rStyle w:val="Hyperlink"/>
            <w:rFonts w:eastAsia="Times New Roman" w:cs="Times New Roman"/>
            <w:szCs w:val="20"/>
          </w:rPr>
          <w:t>ici</w:t>
        </w:r>
      </w:hyperlink>
      <w:r w:rsidRPr="007D4988">
        <w:t>.</w:t>
      </w:r>
      <w:hyperlink r:id="rId84" w:history="1"/>
    </w:p>
    <w:p w14:paraId="52B330AA" w14:textId="398DA879" w:rsidR="008D0C6D" w:rsidRPr="007D4988" w:rsidRDefault="008D0C6D" w:rsidP="002F48E2">
      <w:pPr>
        <w:pStyle w:val="Heading3"/>
        <w:tabs>
          <w:tab w:val="clear" w:pos="567"/>
          <w:tab w:val="clear" w:pos="1134"/>
          <w:tab w:val="clear" w:pos="1701"/>
          <w:tab w:val="clear" w:pos="2268"/>
          <w:tab w:val="clear" w:pos="2835"/>
        </w:tabs>
        <w:ind w:left="0" w:firstLine="0"/>
        <w:rPr>
          <w:rFonts w:eastAsia="MS Mincho"/>
          <w:color w:val="0D0D0D"/>
        </w:rPr>
      </w:pPr>
      <w:bookmarkStart w:id="23" w:name="_Toc224288795"/>
      <w:bookmarkStart w:id="24" w:name="_Toc225488872"/>
      <w:r w:rsidRPr="007D4988">
        <w:t>2.2.2</w:t>
      </w:r>
      <w:r w:rsidRPr="007D4988">
        <w:tab/>
        <w:t>Assemblée des radiocommunications de 2023</w:t>
      </w:r>
      <w:bookmarkEnd w:id="23"/>
      <w:bookmarkEnd w:id="24"/>
    </w:p>
    <w:p w14:paraId="3F5EC76B" w14:textId="4097F6FF" w:rsidR="008D0C6D" w:rsidRPr="007D4988" w:rsidRDefault="008D0C6D" w:rsidP="002F48E2">
      <w:pPr>
        <w:rPr>
          <w:rFonts w:eastAsia="MS Mincho"/>
          <w:sz w:val="22"/>
        </w:rPr>
      </w:pPr>
      <w:r w:rsidRPr="007D4988">
        <w:t>L</w:t>
      </w:r>
      <w:r w:rsidR="001F6F64" w:rsidRPr="007D4988">
        <w:t>'</w:t>
      </w:r>
      <w:r w:rsidRPr="007D4988">
        <w:t>Assemblée des radiocommunications (</w:t>
      </w:r>
      <w:hyperlink r:id="rId85" w:anchor="/fr" w:history="1">
        <w:r w:rsidRPr="007D4988">
          <w:rPr>
            <w:rStyle w:val="Hyperlink"/>
            <w:rFonts w:eastAsia="Times New Roman" w:cs="Times New Roman"/>
            <w:szCs w:val="20"/>
          </w:rPr>
          <w:t>AR-23</w:t>
        </w:r>
      </w:hyperlink>
      <w:r w:rsidRPr="007D4988">
        <w:t>) s</w:t>
      </w:r>
      <w:r w:rsidR="001F6F64" w:rsidRPr="007D4988">
        <w:t>'</w:t>
      </w:r>
      <w:r w:rsidRPr="007D4988">
        <w:t>est tenue du 13 au 17 novembre 2023, immédiatement avant la CMR-23. L</w:t>
      </w:r>
      <w:r w:rsidR="001F6F64" w:rsidRPr="007D4988">
        <w:t>'</w:t>
      </w:r>
      <w:r w:rsidRPr="007D4988">
        <w:t>Assemblée a rassemblé 566 participants de</w:t>
      </w:r>
      <w:r w:rsidR="0011013F" w:rsidRPr="007D4988">
        <w:t> </w:t>
      </w:r>
      <w:r w:rsidRPr="007D4988">
        <w:t>95</w:t>
      </w:r>
      <w:r w:rsidR="00501813" w:rsidRPr="007D4988">
        <w:t> </w:t>
      </w:r>
      <w:r w:rsidR="00D97CD7" w:rsidRPr="007D4988">
        <w:t>A</w:t>
      </w:r>
      <w:r w:rsidRPr="007D4988">
        <w:t>dministrations, ainsi que 41 Membres de Secteur, 1 établissement universitaire et</w:t>
      </w:r>
      <w:r w:rsidR="0011013F" w:rsidRPr="007D4988">
        <w:t> </w:t>
      </w:r>
      <w:r w:rsidRPr="007D4988">
        <w:t>2</w:t>
      </w:r>
      <w:r w:rsidR="00501813" w:rsidRPr="007D4988">
        <w:t> </w:t>
      </w:r>
      <w:r w:rsidRPr="007D4988">
        <w:t>institutions spécialisées des Nations Unies. Conformément à son mandat, l'AR-23 a défini l'orientation future pour les systèmes de radiocommunication et les TIC, en établissant les programmes de travail futurs du Secteur des radiocommunications de l'UIT (UIT-R), et a approuvé un ensemble de Recommandations et de Résolutions de l'UIT-R qui auront des incidences à l'échelle mondiale sur les technologies de radiocommunication de demain.</w:t>
      </w:r>
      <w:hyperlink r:id="rId86" w:history="1"/>
    </w:p>
    <w:p w14:paraId="32152FA9" w14:textId="5ECA28A7" w:rsidR="008D0C6D" w:rsidRPr="007D4988" w:rsidRDefault="008D0C6D" w:rsidP="002F48E2">
      <w:pPr>
        <w:rPr>
          <w:rFonts w:eastAsia="MS Mincho"/>
          <w:sz w:val="22"/>
        </w:rPr>
      </w:pPr>
      <w:r w:rsidRPr="007D4988">
        <w:t>L</w:t>
      </w:r>
      <w:r w:rsidR="001F6F64" w:rsidRPr="007D4988">
        <w:t>'</w:t>
      </w:r>
      <w:r w:rsidRPr="007D4988">
        <w:t>AR-23 a produit plusieurs résultats importants qui façonneront les travaux futurs de l</w:t>
      </w:r>
      <w:r w:rsidR="001F6F64" w:rsidRPr="007D4988">
        <w:t>'</w:t>
      </w:r>
      <w:r w:rsidRPr="007D4988">
        <w:t>UIT</w:t>
      </w:r>
      <w:r w:rsidR="00501813" w:rsidRPr="007D4988">
        <w:noBreakHyphen/>
      </w:r>
      <w:r w:rsidRPr="007D4988">
        <w:t>R, à savoir:</w:t>
      </w:r>
    </w:p>
    <w:p w14:paraId="71D22D6D" w14:textId="693A8419" w:rsidR="008D0C6D" w:rsidRPr="007D4988" w:rsidRDefault="002F48E2" w:rsidP="002F48E2">
      <w:pPr>
        <w:pStyle w:val="enumlev1"/>
        <w:rPr>
          <w:rFonts w:eastAsia="PMingLiU"/>
          <w:sz w:val="22"/>
          <w:szCs w:val="22"/>
        </w:rPr>
      </w:pPr>
      <w:r w:rsidRPr="007D4988">
        <w:t>•</w:t>
      </w:r>
      <w:r w:rsidRPr="007D4988">
        <w:tab/>
      </w:r>
      <w:r w:rsidR="008D0C6D" w:rsidRPr="007D4988">
        <w:t>La révision de 26 Résolutions de l</w:t>
      </w:r>
      <w:r w:rsidR="001F6F64" w:rsidRPr="007D4988">
        <w:t>'</w:t>
      </w:r>
      <w:r w:rsidR="008D0C6D" w:rsidRPr="007D4988">
        <w:t>UIT-R, notamment la mise à jour des méthodes de travail des organes de l</w:t>
      </w:r>
      <w:r w:rsidR="001F6F64" w:rsidRPr="007D4988">
        <w:t>'</w:t>
      </w:r>
      <w:r w:rsidR="008D0C6D" w:rsidRPr="007D4988">
        <w:t xml:space="preserve">UIT-R (Résolutions </w:t>
      </w:r>
      <w:hyperlink r:id="rId87" w:history="1">
        <w:r w:rsidR="008D0C6D" w:rsidRPr="007D4988">
          <w:rPr>
            <w:rStyle w:val="Hyperlink"/>
            <w:rFonts w:eastAsia="Times New Roman" w:cs="Times New Roman"/>
            <w:szCs w:val="20"/>
          </w:rPr>
          <w:t>1 à 9</w:t>
        </w:r>
      </w:hyperlink>
      <w:r w:rsidR="008D0C6D" w:rsidRPr="007D4988">
        <w:t>).</w:t>
      </w:r>
      <w:hyperlink r:id="rId88" w:history="1"/>
    </w:p>
    <w:p w14:paraId="27258FEE" w14:textId="6A45D7F8" w:rsidR="008D0C6D" w:rsidRPr="007D4988" w:rsidRDefault="002F48E2" w:rsidP="002F48E2">
      <w:pPr>
        <w:pStyle w:val="enumlev1"/>
        <w:rPr>
          <w:rFonts w:eastAsia="PMingLiU"/>
          <w:sz w:val="22"/>
          <w:szCs w:val="22"/>
        </w:rPr>
      </w:pPr>
      <w:r w:rsidRPr="007D4988">
        <w:t>•</w:t>
      </w:r>
      <w:r w:rsidRPr="007D4988">
        <w:tab/>
      </w:r>
      <w:r w:rsidR="008D0C6D" w:rsidRPr="007D4988">
        <w:t>La confirmation de la structure actuelle des commissions d</w:t>
      </w:r>
      <w:r w:rsidR="001F6F64" w:rsidRPr="007D4988">
        <w:t>'</w:t>
      </w:r>
      <w:r w:rsidR="008D0C6D" w:rsidRPr="007D4988">
        <w:t>études et l</w:t>
      </w:r>
      <w:r w:rsidR="001F6F64" w:rsidRPr="007D4988">
        <w:t>'</w:t>
      </w:r>
      <w:r w:rsidR="008D0C6D" w:rsidRPr="007D4988">
        <w:t>approbation du programme de travail et des Questions confiées aux commissions d</w:t>
      </w:r>
      <w:r w:rsidR="001F6F64" w:rsidRPr="007D4988">
        <w:t>'</w:t>
      </w:r>
      <w:r w:rsidR="008D0C6D" w:rsidRPr="007D4988">
        <w:t xml:space="preserve">études, ainsi que de quatre nouvelles Recommandations UIT-R (Résolutions </w:t>
      </w:r>
      <w:hyperlink r:id="rId89" w:history="1">
        <w:r w:rsidR="008D0C6D" w:rsidRPr="007D4988">
          <w:rPr>
            <w:rStyle w:val="Hyperlink"/>
            <w:rFonts w:eastAsia="Times New Roman" w:cs="Times New Roman"/>
            <w:szCs w:val="20"/>
          </w:rPr>
          <w:t>5 à 9</w:t>
        </w:r>
      </w:hyperlink>
      <w:r w:rsidR="008D0C6D" w:rsidRPr="007D4988">
        <w:t>).</w:t>
      </w:r>
      <w:hyperlink r:id="rId90" w:history="1"/>
    </w:p>
    <w:p w14:paraId="670F7580" w14:textId="7893DA0B" w:rsidR="008D0C6D" w:rsidRPr="007D4988" w:rsidRDefault="002F48E2" w:rsidP="002F48E2">
      <w:pPr>
        <w:pStyle w:val="enumlev1"/>
        <w:rPr>
          <w:rFonts w:eastAsia="PMingLiU"/>
          <w:sz w:val="22"/>
          <w:szCs w:val="22"/>
        </w:rPr>
      </w:pPr>
      <w:r w:rsidRPr="007D4988">
        <w:t>•</w:t>
      </w:r>
      <w:r w:rsidRPr="007D4988">
        <w:tab/>
      </w:r>
      <w:r w:rsidR="008D0C6D" w:rsidRPr="007D4988">
        <w:t>L</w:t>
      </w:r>
      <w:r w:rsidR="001F6F64" w:rsidRPr="007D4988">
        <w:t>'</w:t>
      </w:r>
      <w:r w:rsidR="008D0C6D" w:rsidRPr="007D4988">
        <w:t>Assemblée a également considérablement actualisé le cadre régissant l</w:t>
      </w:r>
      <w:r w:rsidR="001F6F64" w:rsidRPr="007D4988">
        <w:t>'</w:t>
      </w:r>
      <w:r w:rsidR="008D0C6D" w:rsidRPr="007D4988">
        <w:t>évolution des télécommunications mobiles internationales, en introduisant le concept d</w:t>
      </w:r>
      <w:r w:rsidR="001F6F64" w:rsidRPr="007D4988">
        <w:t>'</w:t>
      </w:r>
      <w:r w:rsidR="008D0C6D" w:rsidRPr="007D4988">
        <w:t xml:space="preserve">IMT-2030 (Résolution </w:t>
      </w:r>
      <w:hyperlink r:id="rId91" w:history="1">
        <w:r w:rsidR="008D0C6D" w:rsidRPr="007D4988">
          <w:rPr>
            <w:rStyle w:val="Hyperlink"/>
            <w:rFonts w:eastAsia="Times New Roman" w:cs="Times New Roman"/>
            <w:szCs w:val="20"/>
          </w:rPr>
          <w:t>56-3</w:t>
        </w:r>
      </w:hyperlink>
      <w:r w:rsidR="008D0C6D" w:rsidRPr="007D4988">
        <w:t xml:space="preserve">) et en alignant en conséquence les principes de développement futur (Résolution </w:t>
      </w:r>
      <w:hyperlink r:id="rId92" w:history="1">
        <w:r w:rsidR="008D0C6D" w:rsidRPr="007D4988">
          <w:rPr>
            <w:rStyle w:val="Hyperlink"/>
            <w:rFonts w:eastAsia="Times New Roman" w:cs="Times New Roman"/>
            <w:szCs w:val="20"/>
          </w:rPr>
          <w:t>65-1</w:t>
        </w:r>
      </w:hyperlink>
      <w:r w:rsidR="008D0C6D" w:rsidRPr="007D4988">
        <w:t>).</w:t>
      </w:r>
      <w:hyperlink r:id="rId93" w:history="1"/>
      <w:hyperlink r:id="rId94" w:history="1"/>
    </w:p>
    <w:p w14:paraId="571B99BF" w14:textId="5FB26635" w:rsidR="008D0C6D" w:rsidRPr="007D4988" w:rsidRDefault="002F48E2" w:rsidP="002F48E2">
      <w:pPr>
        <w:pStyle w:val="enumlev1"/>
        <w:rPr>
          <w:rFonts w:eastAsia="PMingLiU"/>
          <w:sz w:val="22"/>
          <w:szCs w:val="22"/>
        </w:rPr>
      </w:pPr>
      <w:r w:rsidRPr="007D4988">
        <w:t>•</w:t>
      </w:r>
      <w:r w:rsidRPr="007D4988">
        <w:tab/>
      </w:r>
      <w:r w:rsidR="008D0C6D" w:rsidRPr="007D4988">
        <w:t>En outre, l</w:t>
      </w:r>
      <w:r w:rsidR="001F6F64" w:rsidRPr="007D4988">
        <w:t>'</w:t>
      </w:r>
      <w:r w:rsidR="008D0C6D" w:rsidRPr="007D4988">
        <w:t xml:space="preserve">AR-23 a adopté quatre nouvelles </w:t>
      </w:r>
      <w:r w:rsidR="003E1153" w:rsidRPr="007D4988">
        <w:t>R</w:t>
      </w:r>
      <w:r w:rsidR="008D0C6D" w:rsidRPr="007D4988">
        <w:t>ésolutions axées sur la promotion de l</w:t>
      </w:r>
      <w:r w:rsidR="001F6F64" w:rsidRPr="007D4988">
        <w:t>'</w:t>
      </w:r>
      <w:r w:rsidR="008D0C6D" w:rsidRPr="007D4988">
        <w:t>égalité hommes-femmes dans les activités de l</w:t>
      </w:r>
      <w:r w:rsidR="001F6F64" w:rsidRPr="007D4988">
        <w:t>'</w:t>
      </w:r>
      <w:r w:rsidR="008D0C6D" w:rsidRPr="007D4988">
        <w:t xml:space="preserve">UIT-R (Résolution </w:t>
      </w:r>
      <w:hyperlink r:id="rId95" w:history="1">
        <w:r w:rsidR="008D0C6D" w:rsidRPr="007D4988">
          <w:rPr>
            <w:rStyle w:val="Hyperlink"/>
            <w:rFonts w:eastAsia="Times New Roman" w:cs="Times New Roman"/>
            <w:szCs w:val="20"/>
          </w:rPr>
          <w:t>72</w:t>
        </w:r>
      </w:hyperlink>
      <w:r w:rsidR="008D0C6D" w:rsidRPr="007D4988">
        <w:t>), l</w:t>
      </w:r>
      <w:r w:rsidR="001F6F64" w:rsidRPr="007D4988">
        <w:t>'</w:t>
      </w:r>
      <w:r w:rsidR="008D0C6D" w:rsidRPr="007D4988">
        <w:t>appui à l</w:t>
      </w:r>
      <w:r w:rsidR="001F6F64" w:rsidRPr="007D4988">
        <w:t>'</w:t>
      </w:r>
      <w:r w:rsidR="008D0C6D" w:rsidRPr="007D4988">
        <w:t xml:space="preserve">utilisation des technologies IMT pour le large bande hertzien fixe (Résolution </w:t>
      </w:r>
      <w:hyperlink r:id="rId96" w:history="1">
        <w:r w:rsidR="008D0C6D" w:rsidRPr="007D4988">
          <w:rPr>
            <w:rStyle w:val="Hyperlink"/>
            <w:rFonts w:eastAsia="Times New Roman" w:cs="Times New Roman"/>
            <w:szCs w:val="20"/>
          </w:rPr>
          <w:t>73</w:t>
        </w:r>
      </w:hyperlink>
      <w:r w:rsidR="008D0C6D" w:rsidRPr="007D4988">
        <w:t>) et la promotion de l</w:t>
      </w:r>
      <w:r w:rsidR="001F6F64" w:rsidRPr="007D4988">
        <w:t>'</w:t>
      </w:r>
      <w:r w:rsidR="008D0C6D" w:rsidRPr="007D4988">
        <w:t xml:space="preserve">utilisation durable des ressources spectre/orbites (Résolution </w:t>
      </w:r>
      <w:hyperlink r:id="rId97" w:history="1">
        <w:r w:rsidR="008D0C6D" w:rsidRPr="007D4988">
          <w:rPr>
            <w:rStyle w:val="Hyperlink"/>
            <w:rFonts w:eastAsia="Times New Roman" w:cs="Times New Roman"/>
            <w:szCs w:val="20"/>
          </w:rPr>
          <w:t>74</w:t>
        </w:r>
      </w:hyperlink>
      <w:r w:rsidR="008D0C6D" w:rsidRPr="007D4988">
        <w:t>).</w:t>
      </w:r>
      <w:hyperlink r:id="rId98" w:history="1"/>
      <w:hyperlink r:id="rId99" w:history="1"/>
      <w:hyperlink r:id="rId100" w:history="1"/>
    </w:p>
    <w:p w14:paraId="58E623F4" w14:textId="3E596495" w:rsidR="008D0C6D" w:rsidRPr="007D4988" w:rsidRDefault="002F48E2" w:rsidP="002F48E2">
      <w:pPr>
        <w:pStyle w:val="enumlev1"/>
        <w:rPr>
          <w:rFonts w:eastAsia="PMingLiU"/>
          <w:sz w:val="22"/>
          <w:szCs w:val="22"/>
        </w:rPr>
      </w:pPr>
      <w:r w:rsidRPr="007D4988">
        <w:t>•</w:t>
      </w:r>
      <w:r w:rsidRPr="007D4988">
        <w:tab/>
      </w:r>
      <w:r w:rsidR="008D0C6D" w:rsidRPr="007D4988">
        <w:t>Le renforcement de la coordination intersectorielle à l</w:t>
      </w:r>
      <w:r w:rsidR="001F6F64" w:rsidRPr="007D4988">
        <w:t>'</w:t>
      </w:r>
      <w:r w:rsidR="008D0C6D" w:rsidRPr="007D4988">
        <w:t>échelle de l</w:t>
      </w:r>
      <w:r w:rsidR="001F6F64" w:rsidRPr="007D4988">
        <w:t>'</w:t>
      </w:r>
      <w:r w:rsidR="008D0C6D" w:rsidRPr="007D4988">
        <w:t xml:space="preserve">UIT (Résolution </w:t>
      </w:r>
      <w:hyperlink r:id="rId101" w:history="1">
        <w:r w:rsidR="008D0C6D" w:rsidRPr="007D4988">
          <w:rPr>
            <w:rStyle w:val="Hyperlink"/>
            <w:rFonts w:eastAsia="Times New Roman" w:cs="Times New Roman"/>
            <w:szCs w:val="20"/>
          </w:rPr>
          <w:t>75</w:t>
        </w:r>
      </w:hyperlink>
      <w:r w:rsidR="008D0C6D" w:rsidRPr="007D4988">
        <w:t>) et la consolidation des textes antérieurs. Les décisions de l'AR-23 présentant un intérêt particulier pour la CMR-23 ont par la suite été consignées dans le Document</w:t>
      </w:r>
      <w:r w:rsidR="00501813" w:rsidRPr="007D4988">
        <w:t> </w:t>
      </w:r>
      <w:hyperlink r:id="rId102" w:history="1">
        <w:r w:rsidR="008D0C6D" w:rsidRPr="007D4988">
          <w:rPr>
            <w:rStyle w:val="Hyperlink"/>
            <w:rFonts w:eastAsia="Times New Roman" w:cs="Times New Roman"/>
            <w:szCs w:val="20"/>
          </w:rPr>
          <w:t>CMR</w:t>
        </w:r>
        <w:r w:rsidR="00501813" w:rsidRPr="007D4988">
          <w:rPr>
            <w:rStyle w:val="Hyperlink"/>
            <w:rFonts w:eastAsia="Times New Roman" w:cs="Times New Roman"/>
            <w:szCs w:val="20"/>
          </w:rPr>
          <w:noBreakHyphen/>
        </w:r>
        <w:r w:rsidR="008D0C6D" w:rsidRPr="007D4988">
          <w:rPr>
            <w:rStyle w:val="Hyperlink"/>
            <w:rFonts w:eastAsia="Times New Roman" w:cs="Times New Roman"/>
            <w:szCs w:val="20"/>
          </w:rPr>
          <w:t>23/217</w:t>
        </w:r>
      </w:hyperlink>
      <w:r w:rsidR="008D0C6D" w:rsidRPr="007D4988">
        <w:t>.</w:t>
      </w:r>
      <w:hyperlink r:id="rId103" w:history="1"/>
      <w:hyperlink r:id="rId104" w:history="1"/>
    </w:p>
    <w:p w14:paraId="0FFE333E" w14:textId="56F9A905" w:rsidR="008D0C6D" w:rsidRPr="007D4988" w:rsidRDefault="008D0C6D" w:rsidP="00501813">
      <w:pPr>
        <w:pStyle w:val="Heading2"/>
        <w:rPr>
          <w:rFonts w:eastAsia="MS Mincho"/>
        </w:rPr>
      </w:pPr>
      <w:bookmarkStart w:id="25" w:name="_Toc224288796"/>
      <w:bookmarkStart w:id="26" w:name="_Toc225488873"/>
      <w:r w:rsidRPr="007D4988">
        <w:t>2.3</w:t>
      </w:r>
      <w:r w:rsidRPr="007D4988">
        <w:tab/>
        <w:t>Assemblée mondiale de normalisation des télécommunications de 2024</w:t>
      </w:r>
      <w:bookmarkEnd w:id="25"/>
      <w:bookmarkEnd w:id="26"/>
    </w:p>
    <w:p w14:paraId="26007EB5" w14:textId="0EBC6B70" w:rsidR="008D0C6D" w:rsidRPr="007D4988" w:rsidRDefault="008D0C6D" w:rsidP="00501813">
      <w:pPr>
        <w:keepNext/>
        <w:keepLines/>
        <w:rPr>
          <w:rFonts w:eastAsia="MS Mincho"/>
          <w:sz w:val="22"/>
        </w:rPr>
      </w:pPr>
      <w:r w:rsidRPr="007D4988">
        <w:t>L'Assemblée mondiale de normalisation des télécommunications (</w:t>
      </w:r>
      <w:hyperlink r:id="rId105" w:anchor="/fr" w:history="1">
        <w:r w:rsidRPr="007D4988">
          <w:rPr>
            <w:rStyle w:val="Hyperlink"/>
            <w:rFonts w:eastAsia="Times New Roman" w:cs="Times New Roman"/>
            <w:szCs w:val="20"/>
          </w:rPr>
          <w:t>AMNT-24</w:t>
        </w:r>
      </w:hyperlink>
      <w:r w:rsidRPr="007D4988">
        <w:t>) s'est tenue du 15 au 24 octobre 2024 à New Delhi (Inde). Il s</w:t>
      </w:r>
      <w:r w:rsidR="001F6F64" w:rsidRPr="007D4988">
        <w:t>'</w:t>
      </w:r>
      <w:r w:rsidRPr="007D4988">
        <w:t>agissait de la première AMNT organisée en</w:t>
      </w:r>
      <w:r w:rsidR="00501813" w:rsidRPr="007D4988">
        <w:t> </w:t>
      </w:r>
      <w:r w:rsidRPr="007D4988">
        <w:t xml:space="preserve">Asie. Elle a été précédée du </w:t>
      </w:r>
      <w:hyperlink r:id="rId106" w:anchor="/fr" w:history="1">
        <w:r w:rsidRPr="007D4988">
          <w:rPr>
            <w:rStyle w:val="Hyperlink"/>
            <w:rFonts w:eastAsia="Times New Roman" w:cs="Times New Roman"/>
            <w:szCs w:val="20"/>
          </w:rPr>
          <w:t>GSS-24</w:t>
        </w:r>
      </w:hyperlink>
      <w:r w:rsidRPr="007D4988">
        <w:t xml:space="preserve"> (14 octobre 2024), et suivie d'une formation sur les fonctions de direction qui a été proposée aux présidents et vice-présidents nouvellement nommés</w:t>
      </w:r>
      <w:r w:rsidR="005445E9" w:rsidRPr="007D4988">
        <w:t xml:space="preserve"> des groupes de rédaction de l'AMNT</w:t>
      </w:r>
      <w:r w:rsidRPr="007D4988">
        <w:t>. La cérémonie d'ouverture de l'AMNT s'est déroulée en présence de S.</w:t>
      </w:r>
      <w:r w:rsidR="00AD0637" w:rsidRPr="007D4988">
        <w:t> </w:t>
      </w:r>
      <w:r w:rsidRPr="007D4988">
        <w:t>E.</w:t>
      </w:r>
      <w:r w:rsidR="00AD0637" w:rsidRPr="007D4988">
        <w:t> </w:t>
      </w:r>
      <w:r w:rsidRPr="007D4988">
        <w:t>M.</w:t>
      </w:r>
      <w:r w:rsidR="00AD0637" w:rsidRPr="007D4988">
        <w:t> </w:t>
      </w:r>
      <w:r w:rsidRPr="007D4988">
        <w:t>Narendra Modi, Premier ministre de l'Inde. L'Assemblée était présidée par M.</w:t>
      </w:r>
      <w:r w:rsidR="00AD0637" w:rsidRPr="007D4988">
        <w:t> </w:t>
      </w:r>
      <w:r w:rsidRPr="007D4988">
        <w:t>Ritu</w:t>
      </w:r>
      <w:r w:rsidR="00AD0637" w:rsidRPr="007D4988">
        <w:t> </w:t>
      </w:r>
      <w:r w:rsidRPr="007D4988">
        <w:t>Ranjan Mittar (Inde). Suivie par 3 700 délégués de 164 pays, elle a atteint un taux de</w:t>
      </w:r>
      <w:r w:rsidR="005445E9" w:rsidRPr="007D4988">
        <w:t> </w:t>
      </w:r>
      <w:r w:rsidRPr="007D4988">
        <w:t>27</w:t>
      </w:r>
      <w:r w:rsidR="001F6F64" w:rsidRPr="007D4988">
        <w:t>%</w:t>
      </w:r>
      <w:r w:rsidRPr="007D4988">
        <w:t xml:space="preserve"> de femmes, un record jamais atteint pour des conférences de l</w:t>
      </w:r>
      <w:r w:rsidR="001F6F64" w:rsidRPr="007D4988">
        <w:t>'</w:t>
      </w:r>
      <w:r w:rsidRPr="007D4988">
        <w:t>UIT tenues hors de Genève. Elle a également enregistré la participation la plus élevée, avec</w:t>
      </w:r>
      <w:r w:rsidR="0011013F" w:rsidRPr="007D4988">
        <w:t> </w:t>
      </w:r>
      <w:r w:rsidRPr="007D4988">
        <w:t>37</w:t>
      </w:r>
      <w:r w:rsidR="0011013F" w:rsidRPr="007D4988">
        <w:t> </w:t>
      </w:r>
      <w:r w:rsidRPr="007D4988">
        <w:t>États Membres qui ont envoyé des ministres. Plus de 20 manifestations parallèles se</w:t>
      </w:r>
      <w:r w:rsidR="0011013F" w:rsidRPr="007D4988">
        <w:t> </w:t>
      </w:r>
      <w:r w:rsidRPr="007D4988">
        <w:t>sont tenues en marge de l'AMNT-24.</w:t>
      </w:r>
      <w:hyperlink r:id="rId107" w:history="1"/>
      <w:hyperlink r:id="rId108" w:history="1"/>
    </w:p>
    <w:p w14:paraId="7C09AD88" w14:textId="77777777" w:rsidR="008D0C6D" w:rsidRPr="007D4988" w:rsidRDefault="008D0C6D" w:rsidP="002F48E2">
      <w:pPr>
        <w:rPr>
          <w:rFonts w:eastAsia="MS Mincho"/>
          <w:sz w:val="22"/>
        </w:rPr>
      </w:pPr>
      <w:r w:rsidRPr="007D4988">
        <w:t>L'AMNT-24 a abouti aux résultats suivants:</w:t>
      </w:r>
    </w:p>
    <w:p w14:paraId="1A533B10" w14:textId="20E6BD25" w:rsidR="008D0C6D" w:rsidRPr="007D4988" w:rsidRDefault="002F48E2" w:rsidP="002F48E2">
      <w:pPr>
        <w:pStyle w:val="enumlev1"/>
        <w:rPr>
          <w:rFonts w:eastAsia="PMingLiU"/>
          <w:sz w:val="22"/>
          <w:szCs w:val="22"/>
        </w:rPr>
      </w:pPr>
      <w:r w:rsidRPr="007D4988">
        <w:t>•</w:t>
      </w:r>
      <w:r w:rsidRPr="007D4988">
        <w:tab/>
      </w:r>
      <w:r w:rsidR="008D0C6D" w:rsidRPr="007D4988">
        <w:t>La fusion, au sein du Secteur de la normalisation des télécommunications de l</w:t>
      </w:r>
      <w:r w:rsidR="001F6F64" w:rsidRPr="007D4988">
        <w:t>'</w:t>
      </w:r>
      <w:r w:rsidR="008D0C6D" w:rsidRPr="007D4988">
        <w:t>UIT (UIT</w:t>
      </w:r>
      <w:r w:rsidR="00AD0637" w:rsidRPr="007D4988">
        <w:noBreakHyphen/>
      </w:r>
      <w:r w:rsidR="008D0C6D" w:rsidRPr="007D4988">
        <w:t>T), des Commissions d</w:t>
      </w:r>
      <w:r w:rsidR="001F6F64" w:rsidRPr="007D4988">
        <w:t>'</w:t>
      </w:r>
      <w:r w:rsidR="008D0C6D" w:rsidRPr="007D4988">
        <w:t xml:space="preserve">études </w:t>
      </w:r>
      <w:hyperlink r:id="rId109" w:history="1">
        <w:r w:rsidR="008D0C6D" w:rsidRPr="007D4988">
          <w:rPr>
            <w:rStyle w:val="Hyperlink"/>
            <w:rFonts w:eastAsia="Times New Roman" w:cs="Times New Roman"/>
            <w:szCs w:val="20"/>
          </w:rPr>
          <w:t>9</w:t>
        </w:r>
      </w:hyperlink>
      <w:r w:rsidR="008D0C6D" w:rsidRPr="007D4988">
        <w:t xml:space="preserve"> et </w:t>
      </w:r>
      <w:hyperlink r:id="rId110" w:history="1">
        <w:r w:rsidR="008D0C6D" w:rsidRPr="007D4988">
          <w:rPr>
            <w:rStyle w:val="Hyperlink"/>
            <w:rFonts w:eastAsia="Times New Roman" w:cs="Times New Roman"/>
            <w:szCs w:val="20"/>
          </w:rPr>
          <w:t>16</w:t>
        </w:r>
      </w:hyperlink>
      <w:r w:rsidR="008D0C6D" w:rsidRPr="007D4988">
        <w:t xml:space="preserve"> au sein d'une nouvelle entité, la Commission</w:t>
      </w:r>
      <w:r w:rsidR="00AD0637" w:rsidRPr="007D4988">
        <w:t> </w:t>
      </w:r>
      <w:r w:rsidR="008D0C6D" w:rsidRPr="007D4988">
        <w:t>d</w:t>
      </w:r>
      <w:r w:rsidR="001F6F64" w:rsidRPr="007D4988">
        <w:t>'</w:t>
      </w:r>
      <w:r w:rsidR="008D0C6D" w:rsidRPr="007D4988">
        <w:t xml:space="preserve">études </w:t>
      </w:r>
      <w:hyperlink r:id="rId111" w:anchor="/fr" w:history="1">
        <w:r w:rsidR="008D0C6D" w:rsidRPr="007D4988">
          <w:rPr>
            <w:rStyle w:val="Hyperlink"/>
            <w:rFonts w:eastAsia="Times New Roman" w:cs="Times New Roman"/>
            <w:szCs w:val="20"/>
          </w:rPr>
          <w:t>21</w:t>
        </w:r>
      </w:hyperlink>
      <w:r w:rsidR="008D0C6D" w:rsidRPr="007D4988">
        <w:t>, s</w:t>
      </w:r>
      <w:r w:rsidR="001F6F64" w:rsidRPr="007D4988">
        <w:t>'</w:t>
      </w:r>
      <w:r w:rsidR="008D0C6D" w:rsidRPr="007D4988">
        <w:t>occupant des technologies multimédias, de la fourniture de contenus et de la télévision par câble.</w:t>
      </w:r>
      <w:hyperlink r:id="rId112" w:history="1"/>
      <w:hyperlink r:id="rId113" w:history="1"/>
      <w:hyperlink r:id="rId114" w:history="1"/>
    </w:p>
    <w:p w14:paraId="060D83A6" w14:textId="16940C16" w:rsidR="008D0C6D" w:rsidRPr="007D4988" w:rsidRDefault="002F48E2" w:rsidP="002F48E2">
      <w:pPr>
        <w:pStyle w:val="enumlev1"/>
        <w:rPr>
          <w:rFonts w:eastAsia="PMingLiU"/>
          <w:sz w:val="22"/>
          <w:szCs w:val="22"/>
        </w:rPr>
      </w:pPr>
      <w:r w:rsidRPr="007D4988">
        <w:t>•</w:t>
      </w:r>
      <w:r w:rsidRPr="007D4988">
        <w:tab/>
      </w:r>
      <w:r w:rsidR="008D0C6D" w:rsidRPr="007D4988">
        <w:t xml:space="preserve">La nomination des </w:t>
      </w:r>
      <w:hyperlink r:id="rId115" w:anchor="/fr" w:history="1">
        <w:r w:rsidR="008D0C6D" w:rsidRPr="007D4988">
          <w:rPr>
            <w:rStyle w:val="Hyperlink"/>
            <w:rFonts w:eastAsia="Times New Roman" w:cs="Times New Roman"/>
            <w:szCs w:val="20"/>
          </w:rPr>
          <w:t>présidents et vice-présidents</w:t>
        </w:r>
      </w:hyperlink>
      <w:r w:rsidR="008D0C6D" w:rsidRPr="007D4988">
        <w:t xml:space="preserve"> des 10 commissions d'études, du Groupe consultatif de la normalisation des télécommunications et du Comité de normalisation pour le vocabulaire.</w:t>
      </w:r>
      <w:hyperlink r:id="rId116" w:history="1"/>
    </w:p>
    <w:p w14:paraId="4F801892" w14:textId="0D182A8E" w:rsidR="008D0C6D" w:rsidRPr="007D4988" w:rsidRDefault="002F48E2" w:rsidP="002F48E2">
      <w:pPr>
        <w:pStyle w:val="enumlev1"/>
        <w:rPr>
          <w:rFonts w:eastAsia="PMingLiU"/>
          <w:sz w:val="22"/>
          <w:szCs w:val="22"/>
        </w:rPr>
      </w:pPr>
      <w:r w:rsidRPr="007D4988">
        <w:t>•</w:t>
      </w:r>
      <w:r w:rsidRPr="007D4988">
        <w:tab/>
      </w:r>
      <w:r w:rsidR="008D0C6D" w:rsidRPr="007D4988">
        <w:t xml:space="preserve">Et la mise à jour du mandat au titre de la Résolution </w:t>
      </w:r>
      <w:hyperlink r:id="rId117" w:history="1">
        <w:r w:rsidR="008D0C6D" w:rsidRPr="007D4988">
          <w:rPr>
            <w:rStyle w:val="Hyperlink"/>
            <w:rFonts w:eastAsia="Times New Roman" w:cs="Times New Roman"/>
            <w:szCs w:val="20"/>
          </w:rPr>
          <w:t>2</w:t>
        </w:r>
      </w:hyperlink>
      <w:r w:rsidR="008D0C6D" w:rsidRPr="007D4988">
        <w:t>, l'adoption de nouvelles Questions pour les 10 commissions d</w:t>
      </w:r>
      <w:r w:rsidR="001F6F64" w:rsidRPr="007D4988">
        <w:t>'</w:t>
      </w:r>
      <w:r w:rsidR="008D0C6D" w:rsidRPr="007D4988">
        <w:t>études du Secteur et l'approbation d'un ensemble important de produits, dont huit nouvelles Résolutions, 44 Résolutions révisées et une Recommandation UIT-T révisée (</w:t>
      </w:r>
      <w:hyperlink r:id="rId118" w:history="1">
        <w:r w:rsidR="00AD0637" w:rsidRPr="007D4988">
          <w:rPr>
            <w:rStyle w:val="Hyperlink"/>
            <w:rFonts w:eastAsia="PMingLiU" w:cs="Times New Roman"/>
            <w:szCs w:val="24"/>
            <w:lang w:eastAsia="zh-TW"/>
          </w:rPr>
          <w:t>A.25</w:t>
        </w:r>
      </w:hyperlink>
      <w:r w:rsidR="008D0C6D" w:rsidRPr="007D4988">
        <w:t>).</w:t>
      </w:r>
      <w:hyperlink r:id="rId119" w:history="1"/>
      <w:hyperlink r:id="rId120" w:history="1"/>
    </w:p>
    <w:p w14:paraId="003B8BC2" w14:textId="77777777" w:rsidR="008D0C6D" w:rsidRPr="007D4988" w:rsidRDefault="008D0C6D" w:rsidP="002F48E2">
      <w:pPr>
        <w:pStyle w:val="Heading2"/>
        <w:rPr>
          <w:rFonts w:eastAsia="MS Mincho"/>
        </w:rPr>
      </w:pPr>
      <w:bookmarkStart w:id="27" w:name="_Toc224288797"/>
      <w:bookmarkStart w:id="28" w:name="_Toc225488874"/>
      <w:r w:rsidRPr="007D4988">
        <w:t>2.4</w:t>
      </w:r>
      <w:r w:rsidRPr="007D4988">
        <w:tab/>
        <w:t>Conférence mondiale de développement des télécommunications de 2025</w:t>
      </w:r>
      <w:bookmarkEnd w:id="27"/>
      <w:bookmarkEnd w:id="28"/>
    </w:p>
    <w:p w14:paraId="076D487A" w14:textId="64CD6F9F" w:rsidR="008D0C6D" w:rsidRPr="007D4988" w:rsidRDefault="008D0C6D" w:rsidP="002F48E2">
      <w:pPr>
        <w:rPr>
          <w:rFonts w:eastAsia="MS Mincho"/>
          <w:sz w:val="22"/>
        </w:rPr>
      </w:pPr>
      <w:r w:rsidRPr="007D4988">
        <w:t>La neuvième Conférence mondiale de développement des télécommunications tenue en</w:t>
      </w:r>
      <w:r w:rsidR="00BF00AF" w:rsidRPr="007D4988">
        <w:t> </w:t>
      </w:r>
      <w:r w:rsidRPr="007D4988">
        <w:t>2025 (</w:t>
      </w:r>
      <w:hyperlink r:id="rId121" w:anchor="/fr" w:history="1">
        <w:r w:rsidRPr="007D4988">
          <w:rPr>
            <w:rStyle w:val="Hyperlink"/>
            <w:rFonts w:eastAsia="Times New Roman" w:cs="Times New Roman"/>
            <w:szCs w:val="20"/>
          </w:rPr>
          <w:t>CMDT-25</w:t>
        </w:r>
      </w:hyperlink>
      <w:r w:rsidRPr="007D4988">
        <w:t>), qui a eu lieu du 17 au 28 novembre 2025 à Bakou (Azerbaïdjan), a marqué une étape importante en matière de connectivité mondiale et de développement du numérique. La CMDT-25 était présidée par S.</w:t>
      </w:r>
      <w:r w:rsidR="00BF00AF" w:rsidRPr="007D4988">
        <w:t xml:space="preserve"> </w:t>
      </w:r>
      <w:r w:rsidRPr="007D4988">
        <w:t>E. M. Samaddin Asadov, Vice-Ministre du développement du numérique et des transports de la République d'Azerbaïdjan. La Conférence a porté sur un thème essentiel, à savoir "Une connectivité universelle, efficace et financièrement abordable pour un avenir numérique inclusif et durable".</w:t>
      </w:r>
      <w:hyperlink r:id="rId122" w:history="1"/>
    </w:p>
    <w:p w14:paraId="0682303D" w14:textId="77777777" w:rsidR="008D0C6D" w:rsidRPr="007D4988" w:rsidRDefault="008D0C6D" w:rsidP="002F48E2">
      <w:pPr>
        <w:rPr>
          <w:rFonts w:eastAsia="MS Mincho"/>
          <w:sz w:val="22"/>
        </w:rPr>
      </w:pPr>
      <w:r w:rsidRPr="007D4988">
        <w:t>La CMDT-25 a rassemblé environ 2 000 participants, dont des États Membres, des Membres de Secteur, des Associés et des établissements universitaires issus de plus de 150 pays. Grâce à un dialogue et à des négociations collaboratifs, la Conférence a produit plusieurs résultats importants.</w:t>
      </w:r>
    </w:p>
    <w:p w14:paraId="4B8153B1" w14:textId="384021CB" w:rsidR="008D0C6D" w:rsidRPr="007D4988" w:rsidRDefault="008D0C6D" w:rsidP="002F48E2">
      <w:pPr>
        <w:rPr>
          <w:rFonts w:eastAsia="MS Mincho"/>
          <w:sz w:val="22"/>
        </w:rPr>
      </w:pPr>
      <w:r w:rsidRPr="007D4988">
        <w:t>Il s</w:t>
      </w:r>
      <w:r w:rsidR="001F6F64" w:rsidRPr="007D4988">
        <w:t>'</w:t>
      </w:r>
      <w:r w:rsidRPr="007D4988">
        <w:t>agit de:</w:t>
      </w:r>
    </w:p>
    <w:p w14:paraId="3B747915" w14:textId="4F60ED23" w:rsidR="008D0C6D" w:rsidRPr="007D4988" w:rsidRDefault="002F48E2" w:rsidP="002F48E2">
      <w:pPr>
        <w:pStyle w:val="enumlev1"/>
        <w:rPr>
          <w:rFonts w:eastAsia="PMingLiU"/>
          <w:sz w:val="22"/>
          <w:szCs w:val="22"/>
        </w:rPr>
      </w:pPr>
      <w:r w:rsidRPr="007D4988">
        <w:t>•</w:t>
      </w:r>
      <w:r w:rsidRPr="007D4988">
        <w:tab/>
      </w:r>
      <w:r w:rsidR="008D0C6D" w:rsidRPr="007D4988">
        <w:t xml:space="preserve">La </w:t>
      </w:r>
      <w:hyperlink r:id="rId123" w:history="1">
        <w:r w:rsidR="008D0C6D" w:rsidRPr="007D4988">
          <w:rPr>
            <w:rStyle w:val="Hyperlink"/>
            <w:rFonts w:eastAsia="Times New Roman" w:cs="Times New Roman"/>
            <w:szCs w:val="20"/>
          </w:rPr>
          <w:t>Déclaration de Bakou</w:t>
        </w:r>
      </w:hyperlink>
      <w:r w:rsidR="00BF00AF" w:rsidRPr="007D4988">
        <w:t>:</w:t>
      </w:r>
      <w:r w:rsidR="008D0C6D" w:rsidRPr="007D4988">
        <w:t xml:space="preserve"> </w:t>
      </w:r>
      <w:r w:rsidR="005445E9" w:rsidRPr="007D4988">
        <w:t>l</w:t>
      </w:r>
      <w:r w:rsidR="008D0C6D" w:rsidRPr="007D4988">
        <w:t>a Conférence a adopté la Déclaration de Bakou, réaffirmant l</w:t>
      </w:r>
      <w:r w:rsidR="001F6F64" w:rsidRPr="007D4988">
        <w:t>'</w:t>
      </w:r>
      <w:r w:rsidR="008D0C6D" w:rsidRPr="007D4988">
        <w:t>engagement des membres du Secteur du développement des télécommunications de l</w:t>
      </w:r>
      <w:r w:rsidR="001F6F64" w:rsidRPr="007D4988">
        <w:t>'</w:t>
      </w:r>
      <w:r w:rsidR="008D0C6D" w:rsidRPr="007D4988">
        <w:t>UIT (UIT-D) à réduire la fracture numérique, à renforcer la connectivité et à autonomiser les communautés grâce aux TIC. La Déclaration énonce les valeurs et les priorités pour les travaux de l</w:t>
      </w:r>
      <w:r w:rsidR="001F6F64" w:rsidRPr="007D4988">
        <w:t>'</w:t>
      </w:r>
      <w:r w:rsidR="008D0C6D" w:rsidRPr="007D4988">
        <w:t>UIT-D.</w:t>
      </w:r>
      <w:hyperlink r:id="rId124" w:history="1"/>
    </w:p>
    <w:p w14:paraId="7E55EE05" w14:textId="544F7228" w:rsidR="008D0C6D" w:rsidRPr="007D4988" w:rsidRDefault="002F48E2" w:rsidP="002F48E2">
      <w:pPr>
        <w:pStyle w:val="enumlev1"/>
        <w:rPr>
          <w:rFonts w:eastAsia="PMingLiU"/>
          <w:sz w:val="22"/>
          <w:szCs w:val="22"/>
        </w:rPr>
      </w:pPr>
      <w:r w:rsidRPr="007D4988">
        <w:t>•</w:t>
      </w:r>
      <w:r w:rsidRPr="007D4988">
        <w:tab/>
      </w:r>
      <w:r w:rsidR="008D0C6D" w:rsidRPr="007D4988">
        <w:t xml:space="preserve">Le </w:t>
      </w:r>
      <w:hyperlink r:id="rId125" w:history="1">
        <w:r w:rsidR="008D0C6D" w:rsidRPr="007D4988">
          <w:rPr>
            <w:rStyle w:val="Hyperlink"/>
            <w:rFonts w:eastAsia="Times New Roman" w:cs="Times New Roman"/>
            <w:szCs w:val="20"/>
          </w:rPr>
          <w:t>Plan d</w:t>
        </w:r>
        <w:r w:rsidR="001F6F64" w:rsidRPr="007D4988">
          <w:rPr>
            <w:rStyle w:val="Hyperlink"/>
            <w:rFonts w:eastAsia="Times New Roman" w:cs="Times New Roman"/>
            <w:szCs w:val="20"/>
          </w:rPr>
          <w:t>'</w:t>
        </w:r>
        <w:r w:rsidR="008D0C6D" w:rsidRPr="007D4988">
          <w:rPr>
            <w:rStyle w:val="Hyperlink"/>
            <w:rFonts w:eastAsia="Times New Roman" w:cs="Times New Roman"/>
            <w:szCs w:val="20"/>
          </w:rPr>
          <w:t>action de Bakou</w:t>
        </w:r>
      </w:hyperlink>
      <w:r w:rsidR="008D0C6D" w:rsidRPr="007D4988">
        <w:t xml:space="preserve">: </w:t>
      </w:r>
      <w:r w:rsidR="005445E9" w:rsidRPr="007D4988">
        <w:t>c</w:t>
      </w:r>
      <w:r w:rsidR="008D0C6D" w:rsidRPr="007D4988">
        <w:t>onformément aux objectifs de la Conférence, la CMDT-25 a défini les priorités de l</w:t>
      </w:r>
      <w:r w:rsidR="001F6F64" w:rsidRPr="007D4988">
        <w:t>'</w:t>
      </w:r>
      <w:r w:rsidR="008D0C6D" w:rsidRPr="007D4988">
        <w:t>UIT-D pour les quatre prochaines années (2026-2029) et a également approuvé un Plan d</w:t>
      </w:r>
      <w:r w:rsidR="001F6F64" w:rsidRPr="007D4988">
        <w:t>'</w:t>
      </w:r>
      <w:r w:rsidR="008D0C6D" w:rsidRPr="007D4988">
        <w:t>action détaillé de Bakou, qui guidera les initiatives de développement numérique de l</w:t>
      </w:r>
      <w:r w:rsidR="001F6F64" w:rsidRPr="007D4988">
        <w:t>'</w:t>
      </w:r>
      <w:r w:rsidR="008D0C6D" w:rsidRPr="007D4988">
        <w:t>UIT. Dans le cadre de ces efforts, une attention particulière sera portée aux zones les plus vulnérables dans le monde, notamment aux pays les moins avancés (PMA), aux pays en développement sans littoral (PDSL) et aux petits États insulaires en développement (PEID). La Conférence a conservé les priorités de l</w:t>
      </w:r>
      <w:r w:rsidR="001F6F64" w:rsidRPr="007D4988">
        <w:t>'</w:t>
      </w:r>
      <w:r w:rsidR="008D0C6D" w:rsidRPr="007D4988">
        <w:t>UIT-D qui avaient déjà été définies lors du dernier cycle:</w:t>
      </w:r>
      <w:hyperlink r:id="rId126" w:history="1"/>
    </w:p>
    <w:p w14:paraId="41993C63" w14:textId="5EC1E1C1" w:rsidR="008D0C6D" w:rsidRPr="007D4988" w:rsidRDefault="002F48E2" w:rsidP="002F48E2">
      <w:pPr>
        <w:pStyle w:val="enumlev2"/>
        <w:rPr>
          <w:rFonts w:eastAsia="PMingLiU"/>
          <w:sz w:val="22"/>
          <w:szCs w:val="22"/>
        </w:rPr>
      </w:pPr>
      <w:r w:rsidRPr="007D4988">
        <w:t>–</w:t>
      </w:r>
      <w:r w:rsidRPr="007D4988">
        <w:tab/>
      </w:r>
      <w:r w:rsidR="008D0C6D" w:rsidRPr="007D4988">
        <w:t>Connectivité financièrement abordable</w:t>
      </w:r>
      <w:r w:rsidR="005445E9" w:rsidRPr="007D4988">
        <w:t>.</w:t>
      </w:r>
    </w:p>
    <w:p w14:paraId="2EAE847F" w14:textId="4EFE966F" w:rsidR="008D0C6D" w:rsidRPr="007D4988" w:rsidRDefault="002F48E2" w:rsidP="002F48E2">
      <w:pPr>
        <w:pStyle w:val="enumlev2"/>
        <w:rPr>
          <w:rFonts w:eastAsia="PMingLiU"/>
          <w:sz w:val="22"/>
          <w:szCs w:val="22"/>
        </w:rPr>
      </w:pPr>
      <w:r w:rsidRPr="007D4988">
        <w:t>–</w:t>
      </w:r>
      <w:r w:rsidRPr="007D4988">
        <w:tab/>
      </w:r>
      <w:r w:rsidR="008D0C6D" w:rsidRPr="007D4988">
        <w:t>Transformation numérique</w:t>
      </w:r>
      <w:r w:rsidR="005445E9" w:rsidRPr="007D4988">
        <w:t>.</w:t>
      </w:r>
    </w:p>
    <w:p w14:paraId="781DD081" w14:textId="17DDFAB1" w:rsidR="008D0C6D" w:rsidRPr="007D4988" w:rsidRDefault="002F48E2" w:rsidP="002F48E2">
      <w:pPr>
        <w:pStyle w:val="enumlev2"/>
        <w:rPr>
          <w:rFonts w:eastAsia="PMingLiU"/>
          <w:sz w:val="22"/>
          <w:szCs w:val="22"/>
        </w:rPr>
      </w:pPr>
      <w:r w:rsidRPr="007D4988">
        <w:t>–</w:t>
      </w:r>
      <w:r w:rsidRPr="007D4988">
        <w:tab/>
      </w:r>
      <w:r w:rsidR="00BF00AF" w:rsidRPr="007D4988">
        <w:t>E</w:t>
      </w:r>
      <w:r w:rsidR="008D0C6D" w:rsidRPr="007D4988">
        <w:t>nvironnement politique et réglementaire propice</w:t>
      </w:r>
      <w:r w:rsidR="005445E9" w:rsidRPr="007D4988">
        <w:t>.</w:t>
      </w:r>
    </w:p>
    <w:p w14:paraId="2AD4D2EF" w14:textId="39E70E06" w:rsidR="008D0C6D" w:rsidRPr="007D4988" w:rsidRDefault="002F48E2" w:rsidP="002F48E2">
      <w:pPr>
        <w:pStyle w:val="enumlev2"/>
        <w:rPr>
          <w:rFonts w:eastAsia="PMingLiU"/>
          <w:sz w:val="22"/>
          <w:szCs w:val="22"/>
        </w:rPr>
      </w:pPr>
      <w:r w:rsidRPr="007D4988">
        <w:t>–</w:t>
      </w:r>
      <w:r w:rsidRPr="007D4988">
        <w:tab/>
      </w:r>
      <w:r w:rsidR="008D0C6D" w:rsidRPr="007D4988">
        <w:t>Mobilisation des ressources et coopération internationale</w:t>
      </w:r>
      <w:r w:rsidR="005445E9" w:rsidRPr="007D4988">
        <w:t>.</w:t>
      </w:r>
    </w:p>
    <w:p w14:paraId="41ACEE38" w14:textId="7011DF15" w:rsidR="008D0C6D" w:rsidRPr="007D4988" w:rsidRDefault="002F48E2" w:rsidP="002F48E2">
      <w:pPr>
        <w:pStyle w:val="enumlev2"/>
        <w:rPr>
          <w:rFonts w:eastAsia="PMingLiU"/>
          <w:sz w:val="22"/>
          <w:szCs w:val="22"/>
        </w:rPr>
      </w:pPr>
      <w:r w:rsidRPr="007D4988">
        <w:t>–</w:t>
      </w:r>
      <w:r w:rsidRPr="007D4988">
        <w:tab/>
      </w:r>
      <w:r w:rsidR="008D0C6D" w:rsidRPr="007D4988">
        <w:t>Télécommunications/TIC inclusives, sûres et sécurisées au service du développement durable</w:t>
      </w:r>
      <w:r w:rsidR="005445E9" w:rsidRPr="007D4988">
        <w:t>.</w:t>
      </w:r>
    </w:p>
    <w:p w14:paraId="223BBA8E" w14:textId="1DD49275" w:rsidR="008D0C6D" w:rsidRPr="007D4988" w:rsidRDefault="002F48E2" w:rsidP="002F48E2">
      <w:pPr>
        <w:pStyle w:val="enumlev1"/>
        <w:rPr>
          <w:rFonts w:eastAsia="PMingLiU"/>
          <w:sz w:val="22"/>
          <w:szCs w:val="22"/>
        </w:rPr>
      </w:pPr>
      <w:r w:rsidRPr="007D4988">
        <w:t>•</w:t>
      </w:r>
      <w:r w:rsidRPr="007D4988">
        <w:tab/>
      </w:r>
      <w:hyperlink r:id="rId127" w:history="1">
        <w:r w:rsidR="008D0C6D" w:rsidRPr="007D4988">
          <w:rPr>
            <w:rStyle w:val="Hyperlink"/>
          </w:rPr>
          <w:t>Initiatives régionales pour la période 2026-2029</w:t>
        </w:r>
      </w:hyperlink>
      <w:r w:rsidR="008D0C6D" w:rsidRPr="007D4988">
        <w:t xml:space="preserve">: </w:t>
      </w:r>
      <w:r w:rsidR="005445E9" w:rsidRPr="007D4988">
        <w:t>l</w:t>
      </w:r>
      <w:r w:rsidR="008D0C6D" w:rsidRPr="007D4988">
        <w:t>a CMDT-25 a approuvé un nouvel ensemble d'initiatives régionales, adaptées pour répondre aux besoins et priorités spécifiques de chacune des six régions. Ces initiatives permettront de mener des projets ciblés, de favoriser l'établissement de partenariats et de veiller à ce que les travaux de développement de l'UIT demeurent pertinents et efficaces à l'échelle locale.</w:t>
      </w:r>
    </w:p>
    <w:p w14:paraId="687095C0" w14:textId="084803AE" w:rsidR="008D0C6D" w:rsidRPr="007D4988" w:rsidRDefault="002F48E2" w:rsidP="002F48E2">
      <w:pPr>
        <w:pStyle w:val="enumlev1"/>
        <w:rPr>
          <w:rFonts w:eastAsia="PMingLiU"/>
          <w:sz w:val="22"/>
          <w:szCs w:val="22"/>
        </w:rPr>
      </w:pPr>
      <w:r w:rsidRPr="007D4988">
        <w:t>•</w:t>
      </w:r>
      <w:r w:rsidRPr="007D4988">
        <w:tab/>
      </w:r>
      <w:hyperlink r:id="rId128" w:history="1">
        <w:r w:rsidR="008D0C6D" w:rsidRPr="007D4988">
          <w:rPr>
            <w:rStyle w:val="Hyperlink"/>
          </w:rPr>
          <w:t>Résolutions</w:t>
        </w:r>
      </w:hyperlink>
      <w:r w:rsidR="008D0C6D" w:rsidRPr="007D4988">
        <w:t xml:space="preserve">: </w:t>
      </w:r>
      <w:r w:rsidR="005445E9" w:rsidRPr="007D4988">
        <w:t>o</w:t>
      </w:r>
      <w:r w:rsidR="008D0C6D" w:rsidRPr="007D4988">
        <w:t xml:space="preserve">utre la modification de 44 </w:t>
      </w:r>
      <w:r w:rsidR="005445E9" w:rsidRPr="007D4988">
        <w:t>R</w:t>
      </w:r>
      <w:r w:rsidR="008D0C6D" w:rsidRPr="007D4988">
        <w:t>ésolutions, la CMDT-25 a adopté quatre</w:t>
      </w:r>
      <w:r w:rsidR="00BF00AF" w:rsidRPr="007D4988">
        <w:t> </w:t>
      </w:r>
      <w:r w:rsidR="008D0C6D" w:rsidRPr="007D4988">
        <w:t xml:space="preserve">nouvelles </w:t>
      </w:r>
      <w:r w:rsidR="005445E9" w:rsidRPr="007D4988">
        <w:t>R</w:t>
      </w:r>
      <w:r w:rsidR="008D0C6D" w:rsidRPr="007D4988">
        <w:t xml:space="preserve">ésolutions. Ces </w:t>
      </w:r>
      <w:r w:rsidR="005445E9" w:rsidRPr="007D4988">
        <w:t>R</w:t>
      </w:r>
      <w:r w:rsidR="008D0C6D" w:rsidRPr="007D4988">
        <w:t>ésolutions portent sur les sujets suivants:</w:t>
      </w:r>
    </w:p>
    <w:p w14:paraId="422DE17C" w14:textId="4864BBBF" w:rsidR="008D0C6D" w:rsidRPr="007D4988" w:rsidRDefault="002F48E2" w:rsidP="002F48E2">
      <w:pPr>
        <w:pStyle w:val="enumlev2"/>
        <w:rPr>
          <w:rFonts w:eastAsia="PMingLiU"/>
          <w:sz w:val="22"/>
          <w:szCs w:val="22"/>
        </w:rPr>
      </w:pPr>
      <w:r w:rsidRPr="007D4988">
        <w:t>–</w:t>
      </w:r>
      <w:r w:rsidRPr="007D4988">
        <w:tab/>
      </w:r>
      <w:r w:rsidR="008D0C6D" w:rsidRPr="007D4988">
        <w:t>Les technologies d</w:t>
      </w:r>
      <w:r w:rsidR="001F6F64" w:rsidRPr="007D4988">
        <w:t>'</w:t>
      </w:r>
      <w:r w:rsidR="008D0C6D" w:rsidRPr="007D4988">
        <w:t>intelligence artificielle dans le développement des télécommunications</w:t>
      </w:r>
      <w:r w:rsidR="00BF00AF" w:rsidRPr="007D4988">
        <w:t>.</w:t>
      </w:r>
    </w:p>
    <w:p w14:paraId="753019C0" w14:textId="5B8374F6" w:rsidR="008D0C6D" w:rsidRPr="007D4988" w:rsidRDefault="002F48E2" w:rsidP="002F48E2">
      <w:pPr>
        <w:pStyle w:val="enumlev2"/>
        <w:rPr>
          <w:rFonts w:eastAsia="PMingLiU"/>
          <w:sz w:val="22"/>
          <w:szCs w:val="22"/>
        </w:rPr>
      </w:pPr>
      <w:r w:rsidRPr="007D4988">
        <w:t>–</w:t>
      </w:r>
      <w:r w:rsidRPr="007D4988">
        <w:tab/>
      </w:r>
      <w:r w:rsidR="008D0C6D" w:rsidRPr="007D4988">
        <w:t>Le renforcement du rôle des bureaux régionaux de l'UIT dans l'accélération de la transformation numérique et la mise à profit des partenariats</w:t>
      </w:r>
      <w:r w:rsidR="00BF00AF" w:rsidRPr="007D4988">
        <w:t>.</w:t>
      </w:r>
    </w:p>
    <w:p w14:paraId="5158D46F" w14:textId="5D2AF4C1" w:rsidR="008D0C6D" w:rsidRPr="007D4988" w:rsidRDefault="002F48E2" w:rsidP="002F48E2">
      <w:pPr>
        <w:pStyle w:val="enumlev2"/>
        <w:rPr>
          <w:rFonts w:eastAsia="PMingLiU"/>
          <w:sz w:val="22"/>
          <w:szCs w:val="22"/>
        </w:rPr>
      </w:pPr>
      <w:r w:rsidRPr="007D4988">
        <w:t>–</w:t>
      </w:r>
      <w:r w:rsidRPr="007D4988">
        <w:tab/>
      </w:r>
      <w:r w:rsidR="008D0C6D" w:rsidRPr="007D4988">
        <w:t>La fourniture au Soudan d'une assistance et d'un appui pour la reconstruction de ses infrastructures de télécommunication/technologies de l'information et de la communication endommagées et la réduction de la fracture numérique</w:t>
      </w:r>
      <w:r w:rsidR="00BF00AF" w:rsidRPr="007D4988">
        <w:t>.</w:t>
      </w:r>
    </w:p>
    <w:p w14:paraId="57DA7F90" w14:textId="53FC85D3" w:rsidR="008D0C6D" w:rsidRPr="007D4988" w:rsidRDefault="002F48E2" w:rsidP="002F48E2">
      <w:pPr>
        <w:pStyle w:val="enumlev2"/>
        <w:rPr>
          <w:rFonts w:eastAsia="PMingLiU"/>
          <w:sz w:val="22"/>
          <w:szCs w:val="22"/>
        </w:rPr>
      </w:pPr>
      <w:r w:rsidRPr="007D4988">
        <w:t>–</w:t>
      </w:r>
      <w:r w:rsidRPr="007D4988">
        <w:tab/>
      </w:r>
      <w:r w:rsidR="008D0C6D" w:rsidRPr="007D4988">
        <w:t>L'appui au processus de transformation numérique des pays insulaires du Pacifique en vertu de la Déclaration de Lagatoi</w:t>
      </w:r>
      <w:r w:rsidR="00BF00AF" w:rsidRPr="007D4988">
        <w:t>.</w:t>
      </w:r>
    </w:p>
    <w:p w14:paraId="745C9DF6" w14:textId="410AE03E" w:rsidR="008D0C6D" w:rsidRPr="007D4988" w:rsidRDefault="002F48E2" w:rsidP="002F48E2">
      <w:pPr>
        <w:pStyle w:val="enumlev1"/>
        <w:rPr>
          <w:rFonts w:eastAsia="PMingLiU"/>
          <w:sz w:val="22"/>
          <w:szCs w:val="22"/>
        </w:rPr>
      </w:pPr>
      <w:r w:rsidRPr="007D4988">
        <w:t>•</w:t>
      </w:r>
      <w:r w:rsidRPr="007D4988">
        <w:tab/>
      </w:r>
      <w:hyperlink r:id="rId129" w:history="1">
        <w:r w:rsidR="008D0C6D" w:rsidRPr="007D4988">
          <w:rPr>
            <w:rStyle w:val="Hyperlink"/>
          </w:rPr>
          <w:t>Questions confiées aux commissions d</w:t>
        </w:r>
        <w:r w:rsidR="001F6F64" w:rsidRPr="007D4988">
          <w:rPr>
            <w:rStyle w:val="Hyperlink"/>
          </w:rPr>
          <w:t>'</w:t>
        </w:r>
        <w:r w:rsidR="008D0C6D" w:rsidRPr="007D4988">
          <w:rPr>
            <w:rStyle w:val="Hyperlink"/>
          </w:rPr>
          <w:t>études pour la période 2026-2029</w:t>
        </w:r>
      </w:hyperlink>
      <w:r w:rsidR="008D0C6D" w:rsidRPr="007D4988">
        <w:t xml:space="preserve">: </w:t>
      </w:r>
      <w:r w:rsidR="005445E9" w:rsidRPr="007D4988">
        <w:t>d</w:t>
      </w:r>
      <w:r w:rsidR="008D0C6D" w:rsidRPr="007D4988">
        <w:t>es Questions nouvelles ou révisées ont été approuvées, reflétant l</w:t>
      </w:r>
      <w:r w:rsidR="001F6F64" w:rsidRPr="007D4988">
        <w:t>'</w:t>
      </w:r>
      <w:r w:rsidR="008D0C6D" w:rsidRPr="007D4988">
        <w:t>évolution du paysage des technologies numériques, les défis réglementaires et les besoins en matière de renforcement des capacités. Ces questions orienteront les travaux techniques de l</w:t>
      </w:r>
      <w:r w:rsidR="001F6F64" w:rsidRPr="007D4988">
        <w:t>'</w:t>
      </w:r>
      <w:r w:rsidR="008D0C6D" w:rsidRPr="007D4988">
        <w:t>UIT</w:t>
      </w:r>
      <w:r w:rsidR="00BF00AF" w:rsidRPr="007D4988">
        <w:noBreakHyphen/>
      </w:r>
      <w:r w:rsidR="008D0C6D" w:rsidRPr="007D4988">
        <w:t>D et les efforts de recherche, en favorisant l</w:t>
      </w:r>
      <w:r w:rsidR="001F6F64" w:rsidRPr="007D4988">
        <w:t>'</w:t>
      </w:r>
      <w:r w:rsidR="008D0C6D" w:rsidRPr="007D4988">
        <w:t>élaboration de politiques fondées sur des données factuelles et l</w:t>
      </w:r>
      <w:r w:rsidR="001F6F64" w:rsidRPr="007D4988">
        <w:t>'</w:t>
      </w:r>
      <w:r w:rsidR="008D0C6D" w:rsidRPr="007D4988">
        <w:t>échange de bonnes pratiques.</w:t>
      </w:r>
    </w:p>
    <w:p w14:paraId="2024E0BA" w14:textId="232CD4B7" w:rsidR="008D0C6D" w:rsidRPr="007D4988" w:rsidRDefault="008D0C6D" w:rsidP="002F48E2">
      <w:pPr>
        <w:rPr>
          <w:rFonts w:eastAsia="MS Mincho"/>
          <w:sz w:val="22"/>
        </w:rPr>
      </w:pPr>
      <w:r w:rsidRPr="007D4988">
        <w:t xml:space="preserve">La CMDT-25 a également accueilli avec satisfaction le </w:t>
      </w:r>
      <w:hyperlink r:id="rId130" w:history="1">
        <w:r w:rsidRPr="007D4988">
          <w:rPr>
            <w:rStyle w:val="Hyperlink"/>
            <w:rFonts w:eastAsia="Times New Roman" w:cs="Times New Roman"/>
            <w:szCs w:val="20"/>
          </w:rPr>
          <w:t>rapport</w:t>
        </w:r>
      </w:hyperlink>
      <w:r w:rsidRPr="007D4988">
        <w:t xml:space="preserve"> et la </w:t>
      </w:r>
      <w:hyperlink r:id="rId131" w:history="1">
        <w:r w:rsidRPr="007D4988">
          <w:rPr>
            <w:rStyle w:val="Hyperlink"/>
            <w:rFonts w:eastAsia="Times New Roman" w:cs="Times New Roman"/>
            <w:szCs w:val="20"/>
          </w:rPr>
          <w:t>présentation</w:t>
        </w:r>
      </w:hyperlink>
      <w:r w:rsidRPr="007D4988">
        <w:t xml:space="preserve"> du Secrétariat sur la mise en œuvre du Plan d</w:t>
      </w:r>
      <w:r w:rsidR="001F6F64" w:rsidRPr="007D4988">
        <w:t>'</w:t>
      </w:r>
      <w:r w:rsidRPr="007D4988">
        <w:t xml:space="preserve">action de Kigali. Le rapport détaillé et la présentation sont disponibles sur le </w:t>
      </w:r>
      <w:hyperlink r:id="rId132" w:history="1">
        <w:r w:rsidRPr="007D4988">
          <w:rPr>
            <w:rStyle w:val="Hyperlink"/>
            <w:rFonts w:eastAsia="Times New Roman" w:cs="Times New Roman"/>
            <w:szCs w:val="20"/>
          </w:rPr>
          <w:t>site web de la CMDT-25</w:t>
        </w:r>
      </w:hyperlink>
      <w:r w:rsidRPr="007D4988">
        <w:t>.</w:t>
      </w:r>
      <w:hyperlink r:id="rId133" w:history="1"/>
      <w:hyperlink r:id="rId134" w:history="1"/>
      <w:hyperlink r:id="rId135" w:history="1"/>
    </w:p>
    <w:p w14:paraId="41CE0AE0" w14:textId="58187C51" w:rsidR="008D0C6D" w:rsidRPr="007D4988" w:rsidRDefault="002F48E2" w:rsidP="002F48E2">
      <w:pPr>
        <w:pStyle w:val="Heading1"/>
      </w:pPr>
      <w:bookmarkStart w:id="29" w:name="_Toc224288798"/>
      <w:bookmarkStart w:id="30" w:name="_Toc225488875"/>
      <w:r w:rsidRPr="007D4988">
        <w:t>3</w:t>
      </w:r>
      <w:r w:rsidRPr="007D4988">
        <w:tab/>
      </w:r>
      <w:r w:rsidR="008D0C6D" w:rsidRPr="007D4988">
        <w:t>Incidences des travaux de l'UIT</w:t>
      </w:r>
      <w:bookmarkEnd w:id="29"/>
      <w:bookmarkEnd w:id="30"/>
    </w:p>
    <w:p w14:paraId="1883FBE9" w14:textId="22BE4A8A" w:rsidR="008D0C6D" w:rsidRPr="007D4988" w:rsidRDefault="008D0C6D" w:rsidP="00F46018">
      <w:pPr>
        <w:spacing w:after="120"/>
        <w:rPr>
          <w:rFonts w:eastAsia="MS Mincho"/>
          <w:sz w:val="22"/>
        </w:rPr>
      </w:pPr>
      <w:r w:rsidRPr="007D4988">
        <w:t>L</w:t>
      </w:r>
      <w:r w:rsidR="001F6F64" w:rsidRPr="007D4988">
        <w:t>'</w:t>
      </w:r>
      <w:r w:rsidRPr="007D4988">
        <w:t>évaluation finale de la mise en œuvre du Plan stratégique pour la période 2020-2023 et l</w:t>
      </w:r>
      <w:r w:rsidR="001F6F64" w:rsidRPr="007D4988">
        <w:t>'</w:t>
      </w:r>
      <w:r w:rsidRPr="007D4988">
        <w:t>état d</w:t>
      </w:r>
      <w:r w:rsidR="001F6F64" w:rsidRPr="007D4988">
        <w:t>'</w:t>
      </w:r>
      <w:r w:rsidRPr="007D4988">
        <w:t>avancement actuel de la mise en œuvre du Plan stratégique pour la période 2024</w:t>
      </w:r>
      <w:r w:rsidR="00F46018" w:rsidRPr="007D4988">
        <w:noBreakHyphen/>
      </w:r>
      <w:r w:rsidRPr="007D4988">
        <w:t xml:space="preserve">2027 sont présentés dans le tableau de bord, disponible </w:t>
      </w:r>
      <w:hyperlink r:id="rId136" w:history="1">
        <w:r w:rsidRPr="007D4988">
          <w:rPr>
            <w:rStyle w:val="Hyperlink"/>
            <w:rFonts w:eastAsia="Times New Roman" w:cs="Times New Roman"/>
            <w:szCs w:val="20"/>
          </w:rPr>
          <w:t>ici</w:t>
        </w:r>
      </w:hyperlink>
      <w:r w:rsidRPr="007D4988">
        <w:t>:</w:t>
      </w:r>
      <w:hyperlink r:id="rId137" w:history="1"/>
    </w:p>
    <w:p w14:paraId="305A9809" w14:textId="7C6C1624" w:rsidR="008D0C6D" w:rsidRPr="007D4988" w:rsidRDefault="00FF478E" w:rsidP="00FF478E">
      <w:pPr>
        <w:pStyle w:val="Figure"/>
        <w:rPr>
          <w:rFonts w:eastAsia="MS Mincho"/>
        </w:rPr>
      </w:pPr>
      <w:r w:rsidRPr="007D4988">
        <w:rPr>
          <w:rFonts w:eastAsia="MS Mincho"/>
          <w:noProof/>
          <w:sz w:val="22"/>
        </w:rPr>
        <w:drawing>
          <wp:inline distT="0" distB="0" distL="0" distR="0" wp14:anchorId="599A5917" wp14:editId="1158A47F">
            <wp:extent cx="5171846" cy="2650065"/>
            <wp:effectExtent l="0" t="0" r="0" b="0"/>
            <wp:docPr id="210276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6147" name=""/>
                    <pic:cNvPicPr/>
                  </pic:nvPicPr>
                  <pic:blipFill>
                    <a:blip r:embed="rId138"/>
                    <a:stretch>
                      <a:fillRect/>
                    </a:stretch>
                  </pic:blipFill>
                  <pic:spPr>
                    <a:xfrm>
                      <a:off x="0" y="0"/>
                      <a:ext cx="5179739" cy="2654109"/>
                    </a:xfrm>
                    <a:prstGeom prst="rect">
                      <a:avLst/>
                    </a:prstGeom>
                  </pic:spPr>
                </pic:pic>
              </a:graphicData>
            </a:graphic>
          </wp:inline>
        </w:drawing>
      </w:r>
    </w:p>
    <w:p w14:paraId="1E876843" w14:textId="095803A1" w:rsidR="008D0C6D" w:rsidRPr="007D4988" w:rsidRDefault="008D0C6D" w:rsidP="00F46018">
      <w:pPr>
        <w:pStyle w:val="Figurelegend"/>
        <w:rPr>
          <w:i/>
          <w:iCs/>
        </w:rPr>
      </w:pPr>
      <w:bookmarkStart w:id="31" w:name="_Ref224307300"/>
      <w:r w:rsidRPr="007D4988">
        <w:rPr>
          <w:i/>
          <w:iCs/>
        </w:rPr>
        <w:t>Figure 2</w:t>
      </w:r>
      <w:r w:rsidR="00F46018" w:rsidRPr="007D4988">
        <w:rPr>
          <w:i/>
          <w:iCs/>
        </w:rPr>
        <w:t xml:space="preserve"> –</w:t>
      </w:r>
      <w:r w:rsidRPr="007D4988">
        <w:rPr>
          <w:i/>
          <w:iCs/>
        </w:rPr>
        <w:t xml:space="preserve"> Program</w:t>
      </w:r>
      <w:bookmarkStart w:id="32" w:name="Figure2"/>
      <w:bookmarkEnd w:id="32"/>
      <w:r w:rsidRPr="007D4988">
        <w:rPr>
          <w:i/>
          <w:iCs/>
        </w:rPr>
        <w:t>me Connect 2030</w:t>
      </w:r>
      <w:bookmarkEnd w:id="31"/>
      <w:r w:rsidR="001F1628" w:rsidRPr="007D4988">
        <w:rPr>
          <w:i/>
          <w:iCs/>
        </w:rPr>
        <w:t>.</w:t>
      </w:r>
    </w:p>
    <w:p w14:paraId="4BB7A7C2" w14:textId="77777777" w:rsidR="008D0C6D" w:rsidRPr="007D4988" w:rsidRDefault="008D0C6D" w:rsidP="002F48E2">
      <w:pPr>
        <w:pStyle w:val="Heading2"/>
        <w:rPr>
          <w:rFonts w:eastAsia="MS Mincho"/>
        </w:rPr>
      </w:pPr>
      <w:bookmarkStart w:id="33" w:name="_Toc164927160"/>
      <w:bookmarkStart w:id="34" w:name="_Toc224288799"/>
      <w:bookmarkStart w:id="35" w:name="_Toc225488876"/>
      <w:bookmarkEnd w:id="10"/>
      <w:r w:rsidRPr="007D4988">
        <w:t>3.1</w:t>
      </w:r>
      <w:r w:rsidRPr="007D4988">
        <w:tab/>
        <w:t>Plan stratégique de l'UIT pour la période 2020-2023 (résultats définitifs)</w:t>
      </w:r>
      <w:bookmarkEnd w:id="33"/>
      <w:bookmarkEnd w:id="34"/>
      <w:bookmarkEnd w:id="35"/>
    </w:p>
    <w:p w14:paraId="5FAB9A03" w14:textId="3ACC10DA" w:rsidR="008D0C6D" w:rsidRPr="007D4988" w:rsidRDefault="008D0C6D" w:rsidP="002F48E2">
      <w:pPr>
        <w:rPr>
          <w:rFonts w:eastAsia="MS Mincho"/>
          <w:sz w:val="22"/>
        </w:rPr>
      </w:pPr>
      <w:r w:rsidRPr="007D4988">
        <w:t>L</w:t>
      </w:r>
      <w:r w:rsidR="001F6F64" w:rsidRPr="007D4988">
        <w:t>'</w:t>
      </w:r>
      <w:r w:rsidRPr="007D4988">
        <w:t xml:space="preserve">évaluation finale du Plan stratégique pour la période 2020-2023 fait apparaître des progrès constants dans la réalisation du </w:t>
      </w:r>
      <w:hyperlink r:id="rId139" w:history="1">
        <w:r w:rsidRPr="007D4988">
          <w:rPr>
            <w:rStyle w:val="Hyperlink"/>
            <w:rFonts w:eastAsia="Times New Roman" w:cs="Times New Roman"/>
            <w:szCs w:val="20"/>
          </w:rPr>
          <w:t>Programme Connect 2030</w:t>
        </w:r>
      </w:hyperlink>
      <w:r w:rsidRPr="007D4988">
        <w:t xml:space="preserve"> (voir la Figure </w:t>
      </w:r>
      <w:hyperlink w:anchor="Figure2" w:history="1">
        <w:r w:rsidRPr="007D4988">
          <w:rPr>
            <w:rStyle w:val="Hyperlink"/>
            <w:rFonts w:eastAsia="Times New Roman" w:cs="Times New Roman"/>
            <w:szCs w:val="20"/>
          </w:rPr>
          <w:t>2</w:t>
        </w:r>
      </w:hyperlink>
      <w:r w:rsidRPr="007D4988">
        <w:t>), avec des progrès notables en matière d</w:t>
      </w:r>
      <w:r w:rsidR="001F6F64" w:rsidRPr="007D4988">
        <w:t>'</w:t>
      </w:r>
      <w:r w:rsidRPr="007D4988">
        <w:t>accès, d</w:t>
      </w:r>
      <w:r w:rsidR="001F6F64" w:rsidRPr="007D4988">
        <w:t>'</w:t>
      </w:r>
      <w:r w:rsidRPr="007D4988">
        <w:t>accessibilité financière, d</w:t>
      </w:r>
      <w:r w:rsidR="001F6F64" w:rsidRPr="007D4988">
        <w:t>'</w:t>
      </w:r>
      <w:r w:rsidRPr="007D4988">
        <w:t>inclusion et d</w:t>
      </w:r>
      <w:r w:rsidR="001F6F64" w:rsidRPr="007D4988">
        <w:t>'</w:t>
      </w:r>
      <w:r w:rsidRPr="007D4988">
        <w:t>environnements politiques propices, mais d</w:t>
      </w:r>
      <w:r w:rsidR="001F6F64" w:rsidRPr="007D4988">
        <w:t>'</w:t>
      </w:r>
      <w:r w:rsidRPr="007D4988">
        <w:t>importantes lacunes subsistent qui nécessiteront des efforts soutenus dans les années à venir. À la fin de 2023, l</w:t>
      </w:r>
      <w:r w:rsidR="001F6F64" w:rsidRPr="007D4988">
        <w:t>'</w:t>
      </w:r>
      <w:r w:rsidRPr="007D4988">
        <w:t>utilisation de l</w:t>
      </w:r>
      <w:r w:rsidR="001F6F64" w:rsidRPr="007D4988">
        <w:t>'</w:t>
      </w:r>
      <w:r w:rsidRPr="007D4988">
        <w:t>Internet dans le monde s'établissait à 69</w:t>
      </w:r>
      <w:r w:rsidR="001F6F64" w:rsidRPr="007D4988">
        <w:t>%</w:t>
      </w:r>
      <w:r w:rsidRPr="007D4988">
        <w:t>, soit 5,6 milliards de personnes, ramenant le nombre de personnes non connectées à quelque 2,5 milliards. Les pays à revenu élevé se rapprochent de la connectivité quasi-universelle, le taux s'établissant à 92</w:t>
      </w:r>
      <w:r w:rsidR="001F6F64" w:rsidRPr="007D4988">
        <w:t>%</w:t>
      </w:r>
      <w:r w:rsidRPr="007D4988">
        <w:t>, bien que le nombre de pays dotés de plans pour le large bande ait stagné à 167, ce qui représente une baisse par rapport à</w:t>
      </w:r>
      <w:r w:rsidR="00316532" w:rsidRPr="007D4988">
        <w:t> </w:t>
      </w:r>
      <w:r w:rsidRPr="007D4988">
        <w:t>2022, où ces pays étaient au nombre de 170. L</w:t>
      </w:r>
      <w:r w:rsidR="001F6F64" w:rsidRPr="007D4988">
        <w:t>'</w:t>
      </w:r>
      <w:r w:rsidRPr="007D4988">
        <w:t>accessibilité financière a continué de s</w:t>
      </w:r>
      <w:r w:rsidR="001F6F64" w:rsidRPr="007D4988">
        <w:t>'</w:t>
      </w:r>
      <w:r w:rsidRPr="007D4988">
        <w:t>améliorer, le prix des données mobiles en pourcentage du revenu national brut (RNB) par habitant ayant chuté de 36</w:t>
      </w:r>
      <w:r w:rsidR="001F6F64" w:rsidRPr="007D4988">
        <w:t>%</w:t>
      </w:r>
      <w:r w:rsidRPr="007D4988">
        <w:t xml:space="preserve"> entre 2017 et 2023. Le nombre d</w:t>
      </w:r>
      <w:r w:rsidR="001F6F64" w:rsidRPr="007D4988">
        <w:t>'</w:t>
      </w:r>
      <w:r w:rsidRPr="007D4988">
        <w:t>abonnements au large bande a considérablement augmenté (le large bande fixe a augmenté de 19,2</w:t>
      </w:r>
      <w:r w:rsidR="001F6F64" w:rsidRPr="007D4988">
        <w:t>%</w:t>
      </w:r>
      <w:r w:rsidRPr="007D4988">
        <w:t xml:space="preserve"> et le large bande mobile de 21,0</w:t>
      </w:r>
      <w:r w:rsidR="001F6F64" w:rsidRPr="007D4988">
        <w:t>%</w:t>
      </w:r>
      <w:r w:rsidRPr="007D4988">
        <w:t>), la croissance la plus rapide étant enregistrée dans les pays à faible revenu, même si l</w:t>
      </w:r>
      <w:r w:rsidR="001F6F64" w:rsidRPr="007D4988">
        <w:t>'</w:t>
      </w:r>
      <w:r w:rsidRPr="007D4988">
        <w:t>objectif d</w:t>
      </w:r>
      <w:r w:rsidR="001F6F64" w:rsidRPr="007D4988">
        <w:t>'</w:t>
      </w:r>
      <w:r w:rsidRPr="007D4988">
        <w:t>une augmentation de 50</w:t>
      </w:r>
      <w:r w:rsidR="001F6F64" w:rsidRPr="007D4988">
        <w:t>%</w:t>
      </w:r>
      <w:r w:rsidRPr="007D4988">
        <w:t xml:space="preserve"> n</w:t>
      </w:r>
      <w:r w:rsidR="001F6F64" w:rsidRPr="007D4988">
        <w:t>'</w:t>
      </w:r>
      <w:r w:rsidRPr="007D4988">
        <w:t>a pas été entièrement atteint.</w:t>
      </w:r>
      <w:hyperlink r:id="rId140" w:history="1"/>
    </w:p>
    <w:p w14:paraId="55404B71" w14:textId="62E607E8" w:rsidR="008D0C6D" w:rsidRPr="007D4988" w:rsidRDefault="008D0C6D" w:rsidP="002F48E2">
      <w:pPr>
        <w:rPr>
          <w:rFonts w:eastAsia="MS Mincho"/>
          <w:sz w:val="22"/>
        </w:rPr>
      </w:pPr>
      <w:r w:rsidRPr="007D4988">
        <w:t>Malgré les progrès réalisés, l</w:t>
      </w:r>
      <w:r w:rsidR="001F6F64" w:rsidRPr="007D4988">
        <w:t>'</w:t>
      </w:r>
      <w:r w:rsidRPr="007D4988">
        <w:t>inclusion reste une gageure. Seuls 22</w:t>
      </w:r>
      <w:r w:rsidR="001F6F64" w:rsidRPr="007D4988">
        <w:t>%</w:t>
      </w:r>
      <w:r w:rsidRPr="007D4988">
        <w:t xml:space="preserve"> des habitants des pays à faible revenu ont utilisé l</w:t>
      </w:r>
      <w:r w:rsidR="001F6F64" w:rsidRPr="007D4988">
        <w:t>'</w:t>
      </w:r>
      <w:r w:rsidRPr="007D4988">
        <w:t>Internet en 2023, bien que ce chiffre représente une augmentation de</w:t>
      </w:r>
      <w:r w:rsidR="00316532" w:rsidRPr="007D4988">
        <w:t> </w:t>
      </w:r>
      <w:r w:rsidRPr="007D4988">
        <w:t>25</w:t>
      </w:r>
      <w:r w:rsidR="001F6F64" w:rsidRPr="007D4988">
        <w:t>%</w:t>
      </w:r>
      <w:r w:rsidRPr="007D4988">
        <w:t xml:space="preserve"> par rapport à 2020. Les disparités régionales subsistent, l'utilisation de l'Internet s'établissant à 36% seulement en Afrique, avec quelque 30% et 35% dans les PMA et PDSL, respectivement. L</w:t>
      </w:r>
      <w:r w:rsidR="001F6F64" w:rsidRPr="007D4988">
        <w:t>'</w:t>
      </w:r>
      <w:r w:rsidRPr="007D4988">
        <w:t>accessibilité financière demeure un obstacle pour les pays à faible revenu, même si l</w:t>
      </w:r>
      <w:r w:rsidR="001F6F64" w:rsidRPr="007D4988">
        <w:t>'</w:t>
      </w:r>
      <w:r w:rsidRPr="007D4988">
        <w:t>écart entre les pays à revenu élevé et les pays à revenu intermédiaire de la tranche inférieure s</w:t>
      </w:r>
      <w:r w:rsidR="001F6F64" w:rsidRPr="007D4988">
        <w:t>'</w:t>
      </w:r>
      <w:r w:rsidRPr="007D4988">
        <w:t>est réduit de 42</w:t>
      </w:r>
      <w:r w:rsidR="001F6F64" w:rsidRPr="007D4988">
        <w:t>%</w:t>
      </w:r>
      <w:r w:rsidRPr="007D4988">
        <w:t xml:space="preserve"> depuis 2017. Des inégalités entre les hommes et les femmes subsistent: 72</w:t>
      </w:r>
      <w:r w:rsidR="001F6F64" w:rsidRPr="007D4988">
        <w:t>%</w:t>
      </w:r>
      <w:r w:rsidRPr="007D4988">
        <w:t xml:space="preserve"> des hommes et 66</w:t>
      </w:r>
      <w:r w:rsidR="001F6F64" w:rsidRPr="007D4988">
        <w:t>%</w:t>
      </w:r>
      <w:r w:rsidRPr="007D4988">
        <w:t xml:space="preserve"> des femmes étaient connectés en 2023, de sorte que les hommes sont 260 millions plus nombreux que les femmes à utiliser l'Internet, et les femmes restent </w:t>
      </w:r>
      <w:r w:rsidR="00316532" w:rsidRPr="007D4988">
        <w:t>10</w:t>
      </w:r>
      <w:r w:rsidR="001F6F64" w:rsidRPr="007D4988">
        <w:t>%</w:t>
      </w:r>
      <w:r w:rsidRPr="007D4988">
        <w:t xml:space="preserve"> moins susceptibles de posséder un téléphone mobile. Les cadres d</w:t>
      </w:r>
      <w:r w:rsidR="001F6F64" w:rsidRPr="007D4988">
        <w:t>'</w:t>
      </w:r>
      <w:r w:rsidRPr="007D4988">
        <w:t xml:space="preserve">accessibilité pour les personnes handicapées se sont toutefois considérablement développés, puisque 61 pays en étaient dotés en 2018, contre 117 </w:t>
      </w:r>
      <w:r w:rsidR="00316532" w:rsidRPr="007D4988">
        <w:t>à la fin de 2022 et 127 à la fin de 2024</w:t>
      </w:r>
      <w:r w:rsidRPr="007D4988">
        <w:t>.</w:t>
      </w:r>
    </w:p>
    <w:p w14:paraId="1E9B0C8A" w14:textId="40B86C09" w:rsidR="008D0C6D" w:rsidRPr="007D4988" w:rsidRDefault="008D0C6D" w:rsidP="002F48E2">
      <w:pPr>
        <w:rPr>
          <w:rFonts w:eastAsia="MS Mincho"/>
          <w:sz w:val="22"/>
        </w:rPr>
      </w:pPr>
      <w:r w:rsidRPr="007D4988">
        <w:t>Le taux mondial de recyclage des DEEE est passé de 20</w:t>
      </w:r>
      <w:r w:rsidR="001F6F64" w:rsidRPr="007D4988">
        <w:t>%</w:t>
      </w:r>
      <w:r w:rsidRPr="007D4988">
        <w:t xml:space="preserve"> en 2017 à 22,3</w:t>
      </w:r>
      <w:r w:rsidR="001F6F64" w:rsidRPr="007D4988">
        <w:t>%</w:t>
      </w:r>
      <w:r w:rsidRPr="007D4988">
        <w:t xml:space="preserve"> en 2022, ce qui reste bien inférieur à l</w:t>
      </w:r>
      <w:r w:rsidR="001F6F64" w:rsidRPr="007D4988">
        <w:t>'</w:t>
      </w:r>
      <w:r w:rsidRPr="007D4988">
        <w:t>objectif de 30</w:t>
      </w:r>
      <w:r w:rsidR="001F6F64" w:rsidRPr="007D4988">
        <w:t>%</w:t>
      </w:r>
      <w:r w:rsidRPr="007D4988">
        <w:t xml:space="preserve">, tandis que la production de DEEE continue de croître rapidement et devrait atteindre </w:t>
      </w:r>
      <w:r w:rsidR="00316532" w:rsidRPr="007D4988">
        <w:t>82 mégatonnes</w:t>
      </w:r>
      <w:r w:rsidRPr="007D4988">
        <w:t xml:space="preserve"> </w:t>
      </w:r>
      <w:r w:rsidR="00316532" w:rsidRPr="007D4988">
        <w:t>(</w:t>
      </w:r>
      <w:r w:rsidRPr="007D4988">
        <w:t>Mt</w:t>
      </w:r>
      <w:r w:rsidR="00316532" w:rsidRPr="007D4988">
        <w:t>)</w:t>
      </w:r>
      <w:r w:rsidRPr="007D4988">
        <w:t xml:space="preserve"> d</w:t>
      </w:r>
      <w:r w:rsidR="001F6F64" w:rsidRPr="007D4988">
        <w:t>'</w:t>
      </w:r>
      <w:r w:rsidRPr="007D4988">
        <w:t>ici à 2030. Le nombre de pays dotés d</w:t>
      </w:r>
      <w:r w:rsidR="001F6F64" w:rsidRPr="007D4988">
        <w:t>'</w:t>
      </w:r>
      <w:r w:rsidRPr="007D4988">
        <w:t>une législation sur les DEEE est passé à 81 en 2023, se rapprochant ainsi de l</w:t>
      </w:r>
      <w:r w:rsidR="001F6F64" w:rsidRPr="007D4988">
        <w:t>'</w:t>
      </w:r>
      <w:r w:rsidRPr="007D4988">
        <w:t>objectif de</w:t>
      </w:r>
      <w:r w:rsidR="0011013F" w:rsidRPr="007D4988">
        <w:t> </w:t>
      </w:r>
      <w:r w:rsidRPr="007D4988">
        <w:t>97</w:t>
      </w:r>
      <w:r w:rsidR="0011013F" w:rsidRPr="007D4988">
        <w:t> </w:t>
      </w:r>
      <w:r w:rsidRPr="007D4988">
        <w:t>pays. Les travaux sur les incidences des changements climatiques ont progressé grâce à l</w:t>
      </w:r>
      <w:r w:rsidR="001F6F64" w:rsidRPr="007D4988">
        <w:t>'</w:t>
      </w:r>
      <w:r w:rsidRPr="007D4988">
        <w:t>élaboration par l</w:t>
      </w:r>
      <w:r w:rsidR="001F6F64" w:rsidRPr="007D4988">
        <w:t>'</w:t>
      </w:r>
      <w:r w:rsidRPr="007D4988">
        <w:t>UIT de normes mondiales relatives à la neutralité carbone des émissions des TIC, tandis que les émissions du secteur sont restées stables, à environ 133 mégatonnes de dioxyde de carbone (MtCO₂) en 2023. L</w:t>
      </w:r>
      <w:r w:rsidR="001F6F64" w:rsidRPr="007D4988">
        <w:t>'</w:t>
      </w:r>
      <w:r w:rsidRPr="007D4988">
        <w:t>état de préparation à la cybersécurité s</w:t>
      </w:r>
      <w:r w:rsidR="001F6F64" w:rsidRPr="007D4988">
        <w:t>'</w:t>
      </w:r>
      <w:r w:rsidRPr="007D4988">
        <w:t>est amélioré: la part des pays dotés d</w:t>
      </w:r>
      <w:r w:rsidR="001F6F64" w:rsidRPr="007D4988">
        <w:t>'</w:t>
      </w:r>
      <w:r w:rsidRPr="007D4988">
        <w:t>équipes CIRT/CERT nationales est passée d</w:t>
      </w:r>
      <w:r w:rsidR="001F6F64" w:rsidRPr="007D4988">
        <w:t>'</w:t>
      </w:r>
      <w:r w:rsidRPr="007D4988">
        <w:t>environ 55</w:t>
      </w:r>
      <w:r w:rsidR="001F6F64" w:rsidRPr="007D4988">
        <w:t>%</w:t>
      </w:r>
      <w:r w:rsidRPr="007D4988">
        <w:t xml:space="preserve"> en</w:t>
      </w:r>
      <w:r w:rsidR="003812AD" w:rsidRPr="007D4988">
        <w:t> </w:t>
      </w:r>
      <w:r w:rsidRPr="007D4988">
        <w:t>2018 à 65</w:t>
      </w:r>
      <w:r w:rsidR="001F6F64" w:rsidRPr="007D4988">
        <w:t>%</w:t>
      </w:r>
      <w:r w:rsidRPr="007D4988">
        <w:t xml:space="preserve"> en 2023, et 127 pays disposent désormais de stratégies nationales en matière de cybersécurité. La planification des télécommunications d</w:t>
      </w:r>
      <w:r w:rsidR="001F6F64" w:rsidRPr="007D4988">
        <w:t>'</w:t>
      </w:r>
      <w:r w:rsidRPr="007D4988">
        <w:t>urgence a également progressé, 83</w:t>
      </w:r>
      <w:r w:rsidR="001F6F64" w:rsidRPr="007D4988">
        <w:t>%</w:t>
      </w:r>
      <w:r w:rsidRPr="007D4988">
        <w:t xml:space="preserve"> des pays ayant adopté des plans nationaux en 2023.</w:t>
      </w:r>
    </w:p>
    <w:p w14:paraId="3D3CBF7B" w14:textId="4BFB8EA6" w:rsidR="008D0C6D" w:rsidRPr="007D4988" w:rsidRDefault="008D0C6D" w:rsidP="002F48E2">
      <w:pPr>
        <w:rPr>
          <w:rFonts w:eastAsia="MS Mincho"/>
          <w:sz w:val="22"/>
        </w:rPr>
      </w:pPr>
      <w:r w:rsidRPr="007D4988">
        <w:t>L</w:t>
      </w:r>
      <w:r w:rsidR="001F6F64" w:rsidRPr="007D4988">
        <w:t>'</w:t>
      </w:r>
      <w:r w:rsidRPr="007D4988">
        <w:t>innovation et les partenariats ont continué de renforcer l</w:t>
      </w:r>
      <w:r w:rsidR="001F6F64" w:rsidRPr="007D4988">
        <w:t>'</w:t>
      </w:r>
      <w:r w:rsidRPr="007D4988">
        <w:t>écosystème. Quatre</w:t>
      </w:r>
      <w:r w:rsidR="003812AD" w:rsidRPr="007D4988">
        <w:noBreakHyphen/>
      </w:r>
      <w:r w:rsidRPr="007D4988">
        <w:t>vingt</w:t>
      </w:r>
      <w:r w:rsidR="003812AD" w:rsidRPr="007D4988">
        <w:noBreakHyphen/>
      </w:r>
      <w:r w:rsidRPr="007D4988">
        <w:t>dix</w:t>
      </w:r>
      <w:r w:rsidR="003812AD" w:rsidRPr="007D4988">
        <w:noBreakHyphen/>
      </w:r>
      <w:r w:rsidRPr="007D4988">
        <w:t>sept pays ont fait état de politiques nationales d</w:t>
      </w:r>
      <w:r w:rsidR="001F6F64" w:rsidRPr="007D4988">
        <w:t>'</w:t>
      </w:r>
      <w:r w:rsidRPr="007D4988">
        <w:t>innovation en 2023, contre</w:t>
      </w:r>
      <w:r w:rsidR="003812AD" w:rsidRPr="007D4988">
        <w:t> </w:t>
      </w:r>
      <w:r w:rsidRPr="007D4988">
        <w:t>66 en 2016, bien que cela reste loin d</w:t>
      </w:r>
      <w:r w:rsidR="001F6F64" w:rsidRPr="007D4988">
        <w:t>'</w:t>
      </w:r>
      <w:r w:rsidRPr="007D4988">
        <w:t>être une adoption universelle. Les enquêtes menées auprès des membres montrent que l</w:t>
      </w:r>
      <w:r w:rsidR="001F6F64" w:rsidRPr="007D4988">
        <w:t>'</w:t>
      </w:r>
      <w:r w:rsidRPr="007D4988">
        <w:t>importance de la collaboration est de plus en plus reconnue, 61</w:t>
      </w:r>
      <w:r w:rsidR="001F6F64" w:rsidRPr="007D4988">
        <w:t>%</w:t>
      </w:r>
      <w:r w:rsidRPr="007D4988">
        <w:t xml:space="preserve"> d</w:t>
      </w:r>
      <w:r w:rsidR="001F6F64" w:rsidRPr="007D4988">
        <w:t>'</w:t>
      </w:r>
      <w:r w:rsidRPr="007D4988">
        <w:t>entre eux affirmant son importance et environ 70</w:t>
      </w:r>
      <w:r w:rsidR="001F6F64" w:rsidRPr="007D4988">
        <w:t>%</w:t>
      </w:r>
      <w:r w:rsidRPr="007D4988">
        <w:t xml:space="preserve"> signalant les avantages de la collaboration en partenariat. Dans le nouveau Plan stratégique pour la période 2024-2027, l</w:t>
      </w:r>
      <w:r w:rsidR="001F6F64" w:rsidRPr="007D4988">
        <w:t>'</w:t>
      </w:r>
      <w:r w:rsidRPr="007D4988">
        <w:t>innovation et les partenariats sont considérés comme des catalyseurs transversaux plutôt que comme des objectifs autonomes.</w:t>
      </w:r>
    </w:p>
    <w:p w14:paraId="5E8AB81C" w14:textId="0C9C40F0" w:rsidR="008D0C6D" w:rsidRPr="007D4988" w:rsidRDefault="008D0C6D" w:rsidP="002F48E2">
      <w:pPr>
        <w:pStyle w:val="Heading2"/>
        <w:rPr>
          <w:rFonts w:eastAsia="MS Mincho"/>
        </w:rPr>
      </w:pPr>
      <w:bookmarkStart w:id="36" w:name="_Toc224288800"/>
      <w:bookmarkStart w:id="37" w:name="_Toc225488877"/>
      <w:r w:rsidRPr="007D4988">
        <w:t>3.2</w:t>
      </w:r>
      <w:r w:rsidRPr="007D4988">
        <w:tab/>
        <w:t>Incidences des travaux de l</w:t>
      </w:r>
      <w:r w:rsidR="001F6F64" w:rsidRPr="007D4988">
        <w:t>'</w:t>
      </w:r>
      <w:r w:rsidRPr="007D4988">
        <w:t>UIT de 2024 à 2025 (deux premières années du Plan stratégique pour la période 2024-2027)</w:t>
      </w:r>
      <w:bookmarkEnd w:id="36"/>
      <w:bookmarkEnd w:id="37"/>
    </w:p>
    <w:p w14:paraId="0AC5EFA1" w14:textId="5FF6C519" w:rsidR="008D0C6D" w:rsidRPr="007D4988" w:rsidRDefault="008D0C6D" w:rsidP="002F48E2">
      <w:pPr>
        <w:rPr>
          <w:rFonts w:eastAsia="MS Mincho"/>
          <w:sz w:val="22"/>
        </w:rPr>
      </w:pPr>
      <w:r w:rsidRPr="007D4988">
        <w:t>La présente section évalue l</w:t>
      </w:r>
      <w:r w:rsidR="001F6F64" w:rsidRPr="007D4988">
        <w:t>'</w:t>
      </w:r>
      <w:r w:rsidRPr="007D4988">
        <w:t>état d</w:t>
      </w:r>
      <w:r w:rsidR="001F6F64" w:rsidRPr="007D4988">
        <w:t>'</w:t>
      </w:r>
      <w:r w:rsidRPr="007D4988">
        <w:t>avancement des indicateurs cibles associés aux deux buts du Plan stratégique pour la période 2024-2027, à savoir la connectivité universelle (section</w:t>
      </w:r>
      <w:r w:rsidR="003812AD" w:rsidRPr="007D4988">
        <w:t> </w:t>
      </w:r>
      <w:hyperlink w:anchor="Para321" w:history="1">
        <w:r w:rsidRPr="007D4988">
          <w:rPr>
            <w:rStyle w:val="Hyperlink"/>
            <w:rFonts w:eastAsia="Times New Roman" w:cs="Times New Roman"/>
            <w:szCs w:val="20"/>
          </w:rPr>
          <w:t>3.2.1</w:t>
        </w:r>
      </w:hyperlink>
      <w:r w:rsidRPr="007D4988">
        <w:t xml:space="preserve">) et la transformation numérique durable (section </w:t>
      </w:r>
      <w:hyperlink w:anchor="Para322" w:history="1">
        <w:r w:rsidRPr="007D4988">
          <w:rPr>
            <w:rStyle w:val="Hyperlink"/>
            <w:rFonts w:eastAsia="Times New Roman" w:cs="Times New Roman"/>
            <w:szCs w:val="20"/>
          </w:rPr>
          <w:t>3.2.2</w:t>
        </w:r>
      </w:hyperlink>
      <w:r w:rsidRPr="007D4988">
        <w:t>). Lorsque les données le permettent, l</w:t>
      </w:r>
      <w:r w:rsidR="001F6F64" w:rsidRPr="007D4988">
        <w:t>'</w:t>
      </w:r>
      <w:r w:rsidRPr="007D4988">
        <w:t>analyse évalue les progrès réalisés depuis 2022. L</w:t>
      </w:r>
      <w:r w:rsidR="001F6F64" w:rsidRPr="007D4988">
        <w:t>'</w:t>
      </w:r>
      <w:r w:rsidRPr="007D4988">
        <w:t>évaluation s</w:t>
      </w:r>
      <w:r w:rsidR="001F6F64" w:rsidRPr="007D4988">
        <w:t>'</w:t>
      </w:r>
      <w:r w:rsidRPr="007D4988">
        <w:t>appuie principalement sur le rapport de l</w:t>
      </w:r>
      <w:r w:rsidR="001F6F64" w:rsidRPr="007D4988">
        <w:t>'</w:t>
      </w:r>
      <w:r w:rsidRPr="007D4988">
        <w:t xml:space="preserve">UIT intitulé </w:t>
      </w:r>
      <w:r w:rsidR="001F6F64" w:rsidRPr="007D4988">
        <w:t>"</w:t>
      </w:r>
      <w:hyperlink r:id="rId141" w:history="1">
        <w:r w:rsidRPr="007D4988">
          <w:rPr>
            <w:rStyle w:val="Hyperlink"/>
            <w:rFonts w:eastAsia="Times New Roman" w:cs="Times New Roman"/>
            <w:szCs w:val="20"/>
          </w:rPr>
          <w:t>Mesurer le développement numérique: faits et chiffres 2025</w:t>
        </w:r>
      </w:hyperlink>
      <w:r w:rsidR="001F6F64" w:rsidRPr="007D4988">
        <w:t>"</w:t>
      </w:r>
      <w:r w:rsidRPr="007D4988">
        <w:t>, qui fournit les estimations les plus récentes pour plusieurs indicateurs fondamentaux de connectivité, ainsi que sur des ensembles de données de l</w:t>
      </w:r>
      <w:r w:rsidR="001F6F64" w:rsidRPr="007D4988">
        <w:t>'</w:t>
      </w:r>
      <w:r w:rsidRPr="007D4988">
        <w:t>UIT portant sur les déchets d</w:t>
      </w:r>
      <w:r w:rsidR="001F6F64" w:rsidRPr="007D4988">
        <w:t>'</w:t>
      </w:r>
      <w:r w:rsidRPr="007D4988">
        <w:t>équipements électriques et électroniques, les émissions de gaz à effet de serre, la réglementation et la cybersécurité. Des données supplémentaires ont été fournies par d</w:t>
      </w:r>
      <w:r w:rsidR="001F6F64" w:rsidRPr="007D4988">
        <w:t>'</w:t>
      </w:r>
      <w:r w:rsidRPr="007D4988">
        <w:t>autres institutions des Nations Unies, le cas échéant.</w:t>
      </w:r>
      <w:hyperlink r:id="rId142" w:history="1"/>
    </w:p>
    <w:p w14:paraId="6686A4B7" w14:textId="6944F324" w:rsidR="008D0C6D" w:rsidRPr="007D4988" w:rsidRDefault="008D0C6D" w:rsidP="002F48E2">
      <w:pPr>
        <w:rPr>
          <w:rFonts w:eastAsia="MS Mincho"/>
          <w:sz w:val="22"/>
        </w:rPr>
      </w:pPr>
      <w:r w:rsidRPr="007D4988">
        <w:t>L</w:t>
      </w:r>
      <w:r w:rsidR="001F6F64" w:rsidRPr="007D4988">
        <w:t>'</w:t>
      </w:r>
      <w:r w:rsidRPr="007D4988">
        <w:t>évaluation reste partielle, car pour plusieurs cibles et indicateurs définis dans le Plan stratégique, la couverture des données est encore insuffisante pour produire des agrégats mondiaux ou régionaux fiables. Si les progrès observés reflètent en partie les efforts de l</w:t>
      </w:r>
      <w:r w:rsidR="001F6F64" w:rsidRPr="007D4988">
        <w:t>'</w:t>
      </w:r>
      <w:r w:rsidRPr="007D4988">
        <w:t>UIT, les résultats sont également influencés par un large éventail de facteurs externes et de mesures prises par les gouvernements, le secteur privé et d</w:t>
      </w:r>
      <w:r w:rsidR="001F6F64" w:rsidRPr="007D4988">
        <w:t>'</w:t>
      </w:r>
      <w:r w:rsidRPr="007D4988">
        <w:t>autres parties prenantes. En tant que telle, l</w:t>
      </w:r>
      <w:r w:rsidR="001F6F64" w:rsidRPr="007D4988">
        <w:t>'</w:t>
      </w:r>
      <w:r w:rsidRPr="007D4988">
        <w:t>UIT ne peut pas être considérée comme le seul moteur des résultats présentés.</w:t>
      </w:r>
    </w:p>
    <w:p w14:paraId="5669E748" w14:textId="264881A5" w:rsidR="008D0C6D" w:rsidRPr="007D4988" w:rsidRDefault="008D0C6D" w:rsidP="002F48E2">
      <w:pPr>
        <w:pStyle w:val="Heading3"/>
        <w:tabs>
          <w:tab w:val="clear" w:pos="567"/>
          <w:tab w:val="clear" w:pos="1134"/>
          <w:tab w:val="clear" w:pos="1701"/>
          <w:tab w:val="clear" w:pos="2268"/>
          <w:tab w:val="clear" w:pos="2835"/>
        </w:tabs>
        <w:ind w:left="0" w:firstLine="0"/>
        <w:rPr>
          <w:rFonts w:eastAsia="MS Mincho"/>
          <w:color w:val="0D0D0D"/>
        </w:rPr>
      </w:pPr>
      <w:bookmarkStart w:id="38" w:name="_Toc197427032"/>
      <w:bookmarkStart w:id="39" w:name="_Toc224288801"/>
      <w:bookmarkStart w:id="40" w:name="_Toc225488878"/>
      <w:bookmarkStart w:id="41" w:name="Para321"/>
      <w:r w:rsidRPr="007D4988">
        <w:t>3.2.1</w:t>
      </w:r>
      <w:r w:rsidR="002F48E2" w:rsidRPr="007D4988">
        <w:tab/>
      </w:r>
      <w:r w:rsidRPr="007D4988">
        <w:t>Connectivité universelle</w:t>
      </w:r>
      <w:bookmarkEnd w:id="38"/>
      <w:bookmarkEnd w:id="39"/>
      <w:bookmarkEnd w:id="40"/>
    </w:p>
    <w:bookmarkEnd w:id="41"/>
    <w:p w14:paraId="37DA9717" w14:textId="6CECD81F" w:rsidR="008D0C6D" w:rsidRPr="007D4988" w:rsidRDefault="008D0C6D" w:rsidP="002F48E2">
      <w:pPr>
        <w:rPr>
          <w:rFonts w:eastAsia="MS Mincho"/>
          <w:sz w:val="22"/>
        </w:rPr>
      </w:pPr>
      <w:r w:rsidRPr="007D4988">
        <w:t>Le présent paragraphe traite des principaux aspects de la connectivité universelle, notamment la couverture large bande, l</w:t>
      </w:r>
      <w:r w:rsidR="001F6F64" w:rsidRPr="007D4988">
        <w:t>'</w:t>
      </w:r>
      <w:r w:rsidRPr="007D4988">
        <w:t>accessibilité financière, l</w:t>
      </w:r>
      <w:r w:rsidR="001F6F64" w:rsidRPr="007D4988">
        <w:t>'</w:t>
      </w:r>
      <w:r w:rsidRPr="007D4988">
        <w:t>accès aux dispositifs, l</w:t>
      </w:r>
      <w:r w:rsidR="001F6F64" w:rsidRPr="007D4988">
        <w:t>'</w:t>
      </w:r>
      <w:r w:rsidRPr="007D4988">
        <w:t>utilisation de l</w:t>
      </w:r>
      <w:r w:rsidR="001F6F64" w:rsidRPr="007D4988">
        <w:t>'</w:t>
      </w:r>
      <w:r w:rsidRPr="007D4988">
        <w:t>Internet et les conditions propices connexes.</w:t>
      </w:r>
    </w:p>
    <w:p w14:paraId="57E31057" w14:textId="06E067E9" w:rsidR="008D0C6D" w:rsidRPr="007D4988" w:rsidRDefault="008D0C6D" w:rsidP="008D0C6D">
      <w:pPr>
        <w:keepNext/>
        <w:keepLines/>
        <w:suppressAutoHyphens/>
        <w:adjustRightInd/>
        <w:spacing w:before="240" w:after="120"/>
        <w:ind w:left="1134" w:hanging="1134"/>
        <w:outlineLvl w:val="3"/>
        <w:rPr>
          <w:rFonts w:eastAsia="MS Mincho"/>
          <w:b/>
          <w:color w:val="0D0D0D"/>
          <w:sz w:val="22"/>
        </w:rPr>
      </w:pPr>
      <w:r w:rsidRPr="007D4988">
        <w:rPr>
          <w:b/>
          <w:bCs/>
        </w:rPr>
        <w:t>Cible 1.1 – Couverture large bande universelle</w:t>
      </w:r>
    </w:p>
    <w:p w14:paraId="3CF6C248" w14:textId="6BDC005C" w:rsidR="008D0C6D" w:rsidRPr="007D4988" w:rsidRDefault="008D0C6D" w:rsidP="002F48E2">
      <w:pPr>
        <w:rPr>
          <w:rFonts w:eastAsia="MS Mincho"/>
          <w:sz w:val="22"/>
        </w:rPr>
      </w:pPr>
      <w:r w:rsidRPr="007D4988">
        <w:t>La couverture 5G s</w:t>
      </w:r>
      <w:r w:rsidR="001F6F64" w:rsidRPr="007D4988">
        <w:t>'</w:t>
      </w:r>
      <w:r w:rsidRPr="007D4988">
        <w:t>est rapidement étendue ces dernières années et couvre désormais 55</w:t>
      </w:r>
      <w:r w:rsidR="001F6F64" w:rsidRPr="007D4988">
        <w:t>%</w:t>
      </w:r>
      <w:r w:rsidR="007F613C" w:rsidRPr="007D4988">
        <w:t> </w:t>
      </w:r>
      <w:r w:rsidRPr="007D4988">
        <w:t>de la population mondiale en 2025, contre 39</w:t>
      </w:r>
      <w:r w:rsidR="001F6F64" w:rsidRPr="007D4988">
        <w:t>%</w:t>
      </w:r>
      <w:r w:rsidRPr="007D4988">
        <w:t xml:space="preserve"> en 2022. Quatre-vingt-quatre</w:t>
      </w:r>
      <w:r w:rsidR="00292D54" w:rsidRPr="007D4988">
        <w:t> </w:t>
      </w:r>
      <w:r w:rsidRPr="007D4988">
        <w:t>pour</w:t>
      </w:r>
      <w:r w:rsidR="00292D54" w:rsidRPr="007D4988">
        <w:t> </w:t>
      </w:r>
      <w:r w:rsidRPr="007D4988">
        <w:t>cent de la population des pays à revenu élevé est desservie par la 5G, contre seulement 4</w:t>
      </w:r>
      <w:r w:rsidR="007F613C" w:rsidRPr="007D4988">
        <w:t>%</w:t>
      </w:r>
      <w:r w:rsidRPr="007D4988">
        <w:t xml:space="preserve"> des habitants des pays à faible revenu.</w:t>
      </w:r>
    </w:p>
    <w:p w14:paraId="6188147A" w14:textId="62941954" w:rsidR="008D0C6D" w:rsidRPr="007D4988" w:rsidRDefault="00316532" w:rsidP="002F48E2">
      <w:pPr>
        <w:rPr>
          <w:rFonts w:eastAsia="MS Mincho"/>
          <w:sz w:val="22"/>
          <w:szCs w:val="18"/>
        </w:rPr>
      </w:pPr>
      <w:r w:rsidRPr="007D4988">
        <w:t xml:space="preserve">Alors que la 5G est encore en cours de déploiement dans de nombreuses régions, la 4G reste une solution de connectivité fiable, actuellement disponible pour 93% de la population mondiale. En 2025, 96% de la population mondiale est desservie par une technologie 3G ou supérieure (voir la Figure </w:t>
      </w:r>
      <w:hyperlink w:anchor="Figure3" w:history="1">
        <w:r w:rsidRPr="007D4988">
          <w:rPr>
            <w:rStyle w:val="Hyperlink"/>
            <w:rFonts w:eastAsia="Times New Roman" w:cs="Times New Roman"/>
            <w:szCs w:val="20"/>
          </w:rPr>
          <w:t>3</w:t>
        </w:r>
      </w:hyperlink>
      <w:r w:rsidRPr="007D4988">
        <w:t xml:space="preserve">). Pourtant, l'extension des réseaux aux 4% restants, soit environ 312 millions de personnes, demeure un objectif non atteint, en raison de la fragilité de l'infrastructure, de l'accessibilité financière limitée et du faible niveau de possession d'un dispositif mobile. Depuis 2018, année où le taux de couverture a dépassé 90%, le gain mondial n'a été que de six points de pourcentage. Près de la moitié de la population qui n'a toujours pas accès à un réseau large bande mobile se trouve en Afrique </w:t>
      </w:r>
      <w:r w:rsidR="008D0C6D" w:rsidRPr="007D4988">
        <w:t xml:space="preserve">(voir </w:t>
      </w:r>
      <w:r w:rsidR="00EE06FE" w:rsidRPr="007D4988">
        <w:t xml:space="preserve">la </w:t>
      </w:r>
      <w:hyperlink w:anchor="Figure4" w:history="1">
        <w:r w:rsidR="008D0C6D" w:rsidRPr="007D4988">
          <w:t xml:space="preserve">Figure </w:t>
        </w:r>
        <w:r w:rsidR="008D0C6D" w:rsidRPr="007D4988">
          <w:rPr>
            <w:rStyle w:val="Hyperlink"/>
            <w:rFonts w:eastAsia="Times New Roman" w:cs="Times New Roman"/>
            <w:szCs w:val="20"/>
          </w:rPr>
          <w:t>4</w:t>
        </w:r>
      </w:hyperlink>
      <w:r w:rsidR="008D0C6D" w:rsidRPr="007D4988">
        <w:t>).</w:t>
      </w:r>
      <w:hyperlink w:anchor="Section_1_11" w:history="1"/>
      <w:hyperlink w:anchor="Section_1_12" w:history="1"/>
    </w:p>
    <w:p w14:paraId="0F2BD4FA" w14:textId="7E0A6252" w:rsidR="008D0C6D" w:rsidRPr="007D4988" w:rsidRDefault="008D0C6D" w:rsidP="001F1628">
      <w:pPr>
        <w:pStyle w:val="Figuretitle"/>
        <w:spacing w:before="240"/>
        <w:rPr>
          <w:rFonts w:eastAsia="MS Mincho"/>
          <w:sz w:val="22"/>
        </w:rPr>
      </w:pPr>
      <w:r w:rsidRPr="007D4988">
        <w:t>Couverture de la population, par type de réseau mobile, 2015-2025</w:t>
      </w:r>
    </w:p>
    <w:p w14:paraId="1F963FD5" w14:textId="77777777" w:rsidR="008D0C6D" w:rsidRPr="007D4988" w:rsidRDefault="008D0C6D" w:rsidP="007F613C">
      <w:pPr>
        <w:pStyle w:val="Figure"/>
        <w:rPr>
          <w:rFonts w:eastAsia="MS Mincho"/>
        </w:rPr>
      </w:pPr>
      <w:bookmarkStart w:id="42" w:name="Section_1_11"/>
      <w:r w:rsidRPr="007D4988">
        <w:rPr>
          <w:rFonts w:eastAsia="MS Mincho"/>
          <w:noProof/>
        </w:rPr>
        <w:drawing>
          <wp:inline distT="0" distB="0" distL="0" distR="0" wp14:anchorId="37DF7DA6" wp14:editId="13E40EEB">
            <wp:extent cx="4533119" cy="2646611"/>
            <wp:effectExtent l="0" t="0" r="781" b="1339"/>
            <wp:docPr id="1482291823" name="Graphic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4533119" cy="2646611"/>
                    </a:xfrm>
                    <a:prstGeom prst="rect">
                      <a:avLst/>
                    </a:prstGeom>
                    <a:noFill/>
                    <a:ln>
                      <a:noFill/>
                      <a:prstDash/>
                    </a:ln>
                  </pic:spPr>
                </pic:pic>
              </a:graphicData>
            </a:graphic>
          </wp:inline>
        </w:drawing>
      </w:r>
      <w:bookmarkEnd w:id="42"/>
    </w:p>
    <w:p w14:paraId="621B8D04" w14:textId="03E61817" w:rsidR="008D0C6D" w:rsidRPr="007D4988" w:rsidRDefault="008D0C6D" w:rsidP="007F613C">
      <w:pPr>
        <w:pStyle w:val="Figurelegend"/>
        <w:rPr>
          <w:rFonts w:eastAsia="MS Mincho"/>
          <w:i/>
          <w:iCs/>
          <w:szCs w:val="18"/>
        </w:rPr>
      </w:pPr>
      <w:bookmarkStart w:id="43" w:name="Figure3"/>
      <w:bookmarkEnd w:id="43"/>
      <w:r w:rsidRPr="007D4988">
        <w:rPr>
          <w:i/>
          <w:iCs/>
        </w:rPr>
        <w:t>Figure 3</w:t>
      </w:r>
      <w:r w:rsidR="007F613C" w:rsidRPr="007D4988">
        <w:rPr>
          <w:i/>
          <w:iCs/>
        </w:rPr>
        <w:t xml:space="preserve"> – </w:t>
      </w:r>
      <w:r w:rsidRPr="007D4988">
        <w:rPr>
          <w:i/>
          <w:iCs/>
        </w:rPr>
        <w:t>Couverture de la population, par type de réseau mobile, 2015-2025. Édition de 2025 du Rapport Faits et chiffres de l'UIT (page 9). Les valeurs pour les réseaux 2G, 3G et 4G indiquent le pourcentage progressif de la population qui n'est pas couverte par un réseau de technologie plus évoluée (par exemple, en 202</w:t>
      </w:r>
      <w:r w:rsidR="00EE06FE" w:rsidRPr="007D4988">
        <w:rPr>
          <w:i/>
          <w:iCs/>
        </w:rPr>
        <w:t>5</w:t>
      </w:r>
      <w:r w:rsidRPr="007D4988">
        <w:rPr>
          <w:i/>
          <w:iCs/>
        </w:rPr>
        <w:t xml:space="preserve">, 96% de la population mondiale était couverte par au moins un réseau 3G ou ultérieur, c'est-à-dire que 3,6% de la population ne disposait que d'un réseau 3G, 37,6% de la population disposait d'un réseau 4G et 55,1% d'un réseau 5G). Les données sont insuffisantes pour produire des estimations de la couverture 5G avant 2020. </w:t>
      </w:r>
      <w:hyperlink r:id="rId144" w:anchor="chart-1" w:history="1">
        <w:r w:rsidRPr="007D4988">
          <w:rPr>
            <w:rStyle w:val="Hyperlink"/>
            <w:rFonts w:eastAsia="Times New Roman" w:cs="Times New Roman"/>
            <w:i/>
            <w:iCs/>
            <w:szCs w:val="20"/>
          </w:rPr>
          <w:t>Graphique interactif</w:t>
        </w:r>
      </w:hyperlink>
      <w:r w:rsidRPr="007D4988">
        <w:rPr>
          <w:i/>
          <w:iCs/>
        </w:rPr>
        <w:t>.</w:t>
      </w:r>
      <w:hyperlink r:id="rId145" w:anchor="chart-1" w:history="1">
        <w:bookmarkStart w:id="44" w:name="_Hlt214030138"/>
        <w:bookmarkEnd w:id="44"/>
      </w:hyperlink>
    </w:p>
    <w:p w14:paraId="55FDCCF6" w14:textId="77777777" w:rsidR="008D0C6D" w:rsidRPr="007D4988" w:rsidRDefault="008D0C6D" w:rsidP="00EE06FE">
      <w:pPr>
        <w:pStyle w:val="Figuretitle"/>
        <w:rPr>
          <w:rFonts w:eastAsia="MS Mincho"/>
          <w:sz w:val="22"/>
        </w:rPr>
      </w:pPr>
      <w:r w:rsidRPr="007D4988">
        <w:t>Couverture de la population, par type de réseau mobile, 2025</w:t>
      </w:r>
    </w:p>
    <w:p w14:paraId="04ACD289" w14:textId="11563C79" w:rsidR="008D0C6D" w:rsidRPr="007D4988" w:rsidRDefault="009057DA" w:rsidP="00EE06FE">
      <w:pPr>
        <w:pStyle w:val="Figure"/>
        <w:rPr>
          <w:rFonts w:eastAsia="MS Mincho"/>
        </w:rPr>
      </w:pPr>
      <w:r w:rsidRPr="007D4988">
        <w:rPr>
          <w:rFonts w:eastAsia="MS Mincho"/>
          <w:noProof/>
        </w:rPr>
        <w:drawing>
          <wp:inline distT="0" distB="0" distL="0" distR="0" wp14:anchorId="53E7A5C3" wp14:editId="14139848">
            <wp:extent cx="4672977" cy="2460571"/>
            <wp:effectExtent l="0" t="0" r="0" b="0"/>
            <wp:docPr id="665570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691356" cy="2470248"/>
                    </a:xfrm>
                    <a:prstGeom prst="rect">
                      <a:avLst/>
                    </a:prstGeom>
                    <a:noFill/>
                  </pic:spPr>
                </pic:pic>
              </a:graphicData>
            </a:graphic>
          </wp:inline>
        </w:drawing>
      </w:r>
    </w:p>
    <w:p w14:paraId="21B60A97" w14:textId="6AD0AAB4" w:rsidR="00897553" w:rsidRPr="007D4988" w:rsidRDefault="008D0C6D" w:rsidP="00EE06FE">
      <w:pPr>
        <w:pStyle w:val="Figurelegend"/>
        <w:rPr>
          <w:i/>
          <w:iCs/>
        </w:rPr>
      </w:pPr>
      <w:bookmarkStart w:id="45" w:name="Figure4"/>
      <w:bookmarkEnd w:id="45"/>
      <w:r w:rsidRPr="007D4988">
        <w:rPr>
          <w:i/>
          <w:iCs/>
        </w:rPr>
        <w:t>Figure 4</w:t>
      </w:r>
      <w:r w:rsidR="00EE06FE" w:rsidRPr="007D4988">
        <w:rPr>
          <w:i/>
          <w:iCs/>
        </w:rPr>
        <w:t xml:space="preserve"> –</w:t>
      </w:r>
      <w:r w:rsidRPr="007D4988">
        <w:rPr>
          <w:i/>
          <w:iCs/>
        </w:rPr>
        <w:t xml:space="preserve"> Couverture de la population, par type de réseau mobile, 2025. Édition de 2025 du Rapport Faits et chiffres de l'UIT (page</w:t>
      </w:r>
      <w:r w:rsidR="0011013F" w:rsidRPr="007D4988">
        <w:rPr>
          <w:i/>
          <w:iCs/>
        </w:rPr>
        <w:t> </w:t>
      </w:r>
      <w:r w:rsidRPr="007D4988">
        <w:rPr>
          <w:i/>
          <w:iCs/>
        </w:rPr>
        <w:t>10). Les valeurs pour les réseaux 2G, 3G et 4G indiquent le pourcentage progressif de la population qui n'est pas couverte par un réseau de technologie plus évoluée (par exemple, en 202</w:t>
      </w:r>
      <w:r w:rsidR="00EE06FE" w:rsidRPr="007D4988">
        <w:rPr>
          <w:i/>
          <w:iCs/>
        </w:rPr>
        <w:t>5</w:t>
      </w:r>
      <w:r w:rsidRPr="007D4988">
        <w:rPr>
          <w:i/>
          <w:iCs/>
        </w:rPr>
        <w:t xml:space="preserve">, 96% de la population mondiale était couverte par au moins un réseau 3G ou ultérieur, c'est-à-dire que 3,6% de la population ne disposait que d'un réseau 3G, 37,6% de la population disposait d'un réseau 4G et 55,1% d'un réseau 5G). </w:t>
      </w:r>
      <w:hyperlink r:id="rId147" w:anchor="chart-2" w:history="1">
        <w:r w:rsidRPr="007D4988">
          <w:rPr>
            <w:rStyle w:val="Hyperlink"/>
            <w:rFonts w:eastAsia="Times New Roman" w:cs="Times New Roman"/>
            <w:i/>
            <w:iCs/>
            <w:szCs w:val="20"/>
          </w:rPr>
          <w:t>Graphique interactif</w:t>
        </w:r>
      </w:hyperlink>
      <w:r w:rsidRPr="007D4988">
        <w:rPr>
          <w:i/>
          <w:iCs/>
        </w:rPr>
        <w:t>.</w:t>
      </w:r>
    </w:p>
    <w:p w14:paraId="533814B5" w14:textId="77777777" w:rsidR="00015F90" w:rsidRPr="007D4988" w:rsidRDefault="00015F90" w:rsidP="00015F90">
      <w:pPr>
        <w:pStyle w:val="Headingb"/>
      </w:pPr>
      <w:r w:rsidRPr="007D4988">
        <w:t>Cible 1.2 – Services large bande pour tous à un coût abordable</w:t>
      </w:r>
    </w:p>
    <w:p w14:paraId="297F45D6" w14:textId="77777777" w:rsidR="00015F90" w:rsidRPr="007D4988" w:rsidRDefault="00015F90" w:rsidP="00015F90">
      <w:r w:rsidRPr="007D4988">
        <w:t xml:space="preserve">Durant la période allant de 2022 à 2025, les paniers pour le large bande mobile axé sur les données uniquement et pour le large bande fixe sont devenus plus accessibles financièrement dans toutes les régions et pour toutes les tranches de revenus. À l'échelle mondiale, le prix médian du panier du large bande mobile, mesuré en pourcentage du RNB par habitant à l'aide du panier du large bande mobile axé sur les données uniquement, comprenant un forfait mensuel de 5 Go (permettant l'utilisation de 5 gigaoctets de données par mois, voir la Figure </w:t>
      </w:r>
      <w:hyperlink w:anchor="Fig5" w:history="1">
        <w:r w:rsidRPr="007D4988">
          <w:rPr>
            <w:rStyle w:val="Hyperlink"/>
            <w:rFonts w:eastAsia="Times New Roman" w:cs="Times New Roman"/>
            <w:szCs w:val="20"/>
          </w:rPr>
          <w:t>5</w:t>
        </w:r>
      </w:hyperlink>
      <w:r w:rsidRPr="007D4988">
        <w:t xml:space="preserve">), qui est la mesure de référence la plus récente, est passé de 2,0 à 1,4%. De même, le prix médian du panier pour le large bande fixe est passé de 3% à 2,5% (voir la Figure </w:t>
      </w:r>
      <w:hyperlink w:anchor="Fig6" w:history="1">
        <w:r w:rsidRPr="007D4988">
          <w:rPr>
            <w:rStyle w:val="Hyperlink"/>
            <w:rFonts w:eastAsia="Times New Roman" w:cs="Times New Roman"/>
            <w:szCs w:val="20"/>
          </w:rPr>
          <w:t>6</w:t>
        </w:r>
      </w:hyperlink>
      <w:r w:rsidRPr="007D4988">
        <w:t>). Un nombre record de pays atteignent désormais l'objectif de la Commission sur le large bande visant à maintenir les coûts du large bande en dessous de 2% du RNB par habitant.</w:t>
      </w:r>
    </w:p>
    <w:p w14:paraId="12A6F3AB" w14:textId="06748665" w:rsidR="00015F90" w:rsidRPr="007D4988" w:rsidRDefault="00015F90" w:rsidP="00015F90">
      <w:r w:rsidRPr="007D4988">
        <w:t>Si le large bande mobile est de plus en plus abordable sur le plan financier, le large bande fixe reste trop cher pour beaucoup, en particulier dans les pays à faible revenu. Dans les pays à revenu intermédiaire de la tranche inférieure, les abonnés dépensent environ huit fois plus que ceux situés dans les pays à revenu élevé pour le large bande mobile, tandis que les abonnés issus de pays à faible revenu paient 24 fois plus. De plus, dans les pays à faible revenu où le large bande fixe est disponible, le coût de l'abonnement peut représenter près d'un tiers du revenu moyen d'un particulier. Même lorsque les services sont en moyenne financièrement abordables, des écarts importants subsistent au sein des pays. L'accessibilité financière reste un obstacle majeur à une connectivité universelle et efficace, étroitement liée à d'autres facteurs que sont la faiblesse des infrastructures, la baisse des investissements et les faibles niveaux de revenus.</w:t>
      </w:r>
    </w:p>
    <w:p w14:paraId="29DEA131" w14:textId="77777777" w:rsidR="00015F90" w:rsidRPr="007D4988" w:rsidRDefault="00015F90" w:rsidP="00015F90">
      <w:pPr>
        <w:pStyle w:val="Figuretitle"/>
        <w:spacing w:before="240" w:after="240"/>
      </w:pPr>
      <w:bookmarkStart w:id="46" w:name="Fig5"/>
      <w:r w:rsidRPr="007D4988">
        <w:t>Prix du panier pour le large bande mobile axé sur les données uniquement (5 GB), en pourcentage du revenu national brut par habitant pour 2022-2025</w:t>
      </w:r>
    </w:p>
    <w:bookmarkEnd w:id="46"/>
    <w:p w14:paraId="5CDAA5DF" w14:textId="1B2E006C" w:rsidR="00015F90" w:rsidRPr="007D4988" w:rsidRDefault="004266E1" w:rsidP="00015F90">
      <w:pPr>
        <w:pStyle w:val="Figure"/>
      </w:pPr>
      <w:r w:rsidRPr="007D4988">
        <w:rPr>
          <w:noProof/>
        </w:rPr>
        <w:drawing>
          <wp:inline distT="0" distB="0" distL="0" distR="0" wp14:anchorId="6C7A48AD" wp14:editId="2D02BFF0">
            <wp:extent cx="5420331" cy="2572603"/>
            <wp:effectExtent l="0" t="0" r="9525" b="0"/>
            <wp:docPr id="1759502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446565" cy="2585054"/>
                    </a:xfrm>
                    <a:prstGeom prst="rect">
                      <a:avLst/>
                    </a:prstGeom>
                    <a:noFill/>
                  </pic:spPr>
                </pic:pic>
              </a:graphicData>
            </a:graphic>
          </wp:inline>
        </w:drawing>
      </w:r>
    </w:p>
    <w:p w14:paraId="6A1E706A" w14:textId="4188A976" w:rsidR="00015F90" w:rsidRPr="007D4988" w:rsidRDefault="00015F90" w:rsidP="00015F90">
      <w:pPr>
        <w:pStyle w:val="Figurelegend"/>
        <w:rPr>
          <w:i/>
          <w:iCs/>
        </w:rPr>
      </w:pPr>
      <w:r w:rsidRPr="007D4988">
        <w:rPr>
          <w:i/>
          <w:iCs/>
        </w:rPr>
        <w:t xml:space="preserve">Figure 5 – Prix du panier pour le large bande mobile axé sur les données uniquement (5 GB), en pourcentage du revenu national brut par habitant pour 2022-2025. Édition de 2025 du Rapport Faits et chiffres de l'UIT (page 20). En 2025, les statistiques sur les prix du large bande mobile se rapportent au panier du large bande mobile axé sur les données uniquement comprenant un forfait mensuel d'au moins 5 Go, conformément à la méthodologie adoptée par le Groupe d'experts sur les indicateurs des télécommunications/TIC (EGTI) en 2024. À des fins de comparaison, les statistiques pour 2024 présentées ici sont fondées sur la collecte de données expérimentales de l'UIT pour le même panier axé sur les données uniquement. </w:t>
      </w:r>
      <w:hyperlink r:id="rId149" w:history="1">
        <w:r w:rsidRPr="007D4988">
          <w:rPr>
            <w:rStyle w:val="Hyperlink"/>
            <w:rFonts w:eastAsia="Times New Roman" w:cs="Times New Roman"/>
            <w:i/>
            <w:iCs/>
            <w:szCs w:val="20"/>
          </w:rPr>
          <w:t>Graphique interactif</w:t>
        </w:r>
      </w:hyperlink>
      <w:r w:rsidRPr="007D4988">
        <w:rPr>
          <w:i/>
          <w:iCs/>
        </w:rPr>
        <w:t>.</w:t>
      </w:r>
    </w:p>
    <w:p w14:paraId="2CCB7EC8" w14:textId="77777777" w:rsidR="00015F90" w:rsidRPr="007D4988" w:rsidRDefault="00015F90" w:rsidP="00015F90">
      <w:pPr>
        <w:pStyle w:val="Figuretitle"/>
        <w:spacing w:before="240" w:after="240"/>
      </w:pPr>
      <w:bookmarkStart w:id="47" w:name="Fig6"/>
      <w:r w:rsidRPr="007D4988">
        <w:t xml:space="preserve">Prix du panier pour le large bande fixe (5 GB), en pourcentage du </w:t>
      </w:r>
      <w:r w:rsidRPr="007D4988">
        <w:br/>
        <w:t>revenu national brut par habitant pour 2022-2025</w:t>
      </w:r>
      <w:bookmarkEnd w:id="47"/>
    </w:p>
    <w:p w14:paraId="15CB8431" w14:textId="02D7EEAA" w:rsidR="00015F90" w:rsidRPr="007D4988" w:rsidRDefault="004266E1" w:rsidP="00015F90">
      <w:pPr>
        <w:pStyle w:val="Figure"/>
      </w:pPr>
      <w:r w:rsidRPr="007D4988">
        <w:rPr>
          <w:noProof/>
        </w:rPr>
        <w:drawing>
          <wp:inline distT="0" distB="0" distL="0" distR="0" wp14:anchorId="7CD70635" wp14:editId="7F996136">
            <wp:extent cx="5411338" cy="2562984"/>
            <wp:effectExtent l="0" t="0" r="0" b="8890"/>
            <wp:docPr id="16043838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425231" cy="2569564"/>
                    </a:xfrm>
                    <a:prstGeom prst="rect">
                      <a:avLst/>
                    </a:prstGeom>
                    <a:noFill/>
                  </pic:spPr>
                </pic:pic>
              </a:graphicData>
            </a:graphic>
          </wp:inline>
        </w:drawing>
      </w:r>
    </w:p>
    <w:p w14:paraId="5B9FB2CA" w14:textId="6DA84E52" w:rsidR="00015F90" w:rsidRPr="007D4988" w:rsidRDefault="00015F90" w:rsidP="00015F90">
      <w:pPr>
        <w:rPr>
          <w:i/>
          <w:iCs/>
          <w:sz w:val="18"/>
        </w:rPr>
      </w:pPr>
      <w:r w:rsidRPr="007D4988">
        <w:rPr>
          <w:i/>
          <w:iCs/>
          <w:sz w:val="18"/>
        </w:rPr>
        <w:t>Figure 6 – Prix du panier pour le large bande fixe (5 GB), en pourcentage du revenu national brut par habitant pour 2022</w:t>
      </w:r>
      <w:r w:rsidRPr="007D4988">
        <w:rPr>
          <w:i/>
          <w:iCs/>
          <w:sz w:val="18"/>
        </w:rPr>
        <w:noBreakHyphen/>
        <w:t xml:space="preserve">2025. Édition de 2025 du Rapport Faits et chiffres de l'UIT (page 21). </w:t>
      </w:r>
      <w:hyperlink r:id="rId151" w:history="1">
        <w:r w:rsidRPr="007D4988">
          <w:rPr>
            <w:rStyle w:val="Hyperlink"/>
            <w:rFonts w:eastAsia="Times New Roman" w:cs="Times New Roman"/>
            <w:i/>
            <w:iCs/>
            <w:sz w:val="18"/>
            <w:szCs w:val="20"/>
          </w:rPr>
          <w:t>Graphique interactif</w:t>
        </w:r>
      </w:hyperlink>
      <w:r w:rsidRPr="007D4988">
        <w:rPr>
          <w:i/>
          <w:iCs/>
          <w:sz w:val="18"/>
        </w:rPr>
        <w:t>.</w:t>
      </w:r>
    </w:p>
    <w:p w14:paraId="189AD2AA" w14:textId="4EC5D09B" w:rsidR="00015F90" w:rsidRPr="007D4988" w:rsidRDefault="00015F90" w:rsidP="00015F90">
      <w:r w:rsidRPr="007D4988">
        <w:t xml:space="preserve">L'accessibilité financière est un catalyseur essentiel d'une connectivité efficace. L'indicateur actuel est fondé sur la </w:t>
      </w:r>
      <w:hyperlink r:id="rId152" w:history="1">
        <w:r w:rsidRPr="007D4988">
          <w:rPr>
            <w:rStyle w:val="Hyperlink"/>
            <w:rFonts w:eastAsia="Times New Roman" w:cs="Times New Roman"/>
            <w:szCs w:val="20"/>
          </w:rPr>
          <w:t>méthode établie par l'UIT</w:t>
        </w:r>
      </w:hyperlink>
      <w:r w:rsidRPr="007D4988">
        <w:t xml:space="preserve"> (la méthode dite des "paniers de prix"), mais doit être révisé dans le cadre du processus actuel d'élaboration du Plan stratégique de l'UIT pour la période 2028-2031. Il convient de supprimer la mention "pays en développement", car cette classification n'est plus utilisée et l'accessibilité financière doit être évaluée à l'échelle mondiale. En outre, l'accessibilité financière devrait être mesurée séparément selon qu'il s'agit de services large bande fixes, d'une part, et de services large bande mobiles, d'autre part, compte tenu de leurs structures de coûts différentes. Il convient de continuer d'exprimer ces deux indicateurs en pourcentage du RNB par habitant.</w:t>
      </w:r>
    </w:p>
    <w:p w14:paraId="06909116" w14:textId="77777777" w:rsidR="00015F90" w:rsidRPr="007D4988" w:rsidRDefault="00015F90" w:rsidP="00015F90">
      <w:pPr>
        <w:pStyle w:val="Headingb"/>
      </w:pPr>
      <w:r w:rsidRPr="007D4988">
        <w:t>Cible 1.3 – Accès de tous les ménages au large bande</w:t>
      </w:r>
    </w:p>
    <w:p w14:paraId="731ABDD9" w14:textId="77777777" w:rsidR="00015F90" w:rsidRPr="007D4988" w:rsidRDefault="00015F90" w:rsidP="00015F90">
      <w:r w:rsidRPr="007D4988">
        <w:t>L'accès des ménages à l'Internet reste un aspect important de la connectivité, mais il est de plus en plus difficile à évaluer de manière précise. La distinction entre accès individuel et accès des ménages perd de son sens en raison de la généralisation de l'accès mobile et du partage des dispositifs. Les personnes interrogées ont souvent une interprétation hétérogène de la notion d'"accès des ménages à l'Internet", ce qui pose des difficultés croissantes en matière de mesure et entraîne une diminution de la disponibilité des données. En outre, il n'existe pas de données comparables au niveau international concernant le nombre de ménages, pourtant nécessaires au calcul de cet indicateur. En conséquence, l'UIT ne produit plus d'agrégats mondiaux ou régionaux pour cet indicateur.</w:t>
      </w:r>
    </w:p>
    <w:p w14:paraId="63F22B43" w14:textId="77777777" w:rsidR="00015F90" w:rsidRPr="007D4988" w:rsidRDefault="00015F90" w:rsidP="00015F90">
      <w:r w:rsidRPr="007D4988">
        <w:t>En 2024, 167 pays avaient mis en place des plans ou des stratégies numériques pour le large bande, un chiffre qui stagne depuis 2019 et qui est en baisse par rapport à 2022 (170 pays). Afin de faire progresser la connectivité mondiale, des efforts supplémentaires sont nécessaires pour encourager les quelque 20 à 30 pays restants à élaborer et à adopter leurs plans nationaux pour le large bande.</w:t>
      </w:r>
    </w:p>
    <w:p w14:paraId="5C7285E0" w14:textId="77777777" w:rsidR="00015F90" w:rsidRPr="007D4988" w:rsidRDefault="00015F90" w:rsidP="00015F90">
      <w:pPr>
        <w:pStyle w:val="Headingb"/>
      </w:pPr>
      <w:r w:rsidRPr="007D4988">
        <w:t>Cible 1.4 – Possession de dispositifs utilisant l'Internet et accès à ces dispositifs</w:t>
      </w:r>
    </w:p>
    <w:p w14:paraId="3086C8BA" w14:textId="77777777" w:rsidR="00015F90" w:rsidRPr="007D4988" w:rsidRDefault="00015F90" w:rsidP="00015F90">
      <w:r w:rsidRPr="007D4988">
        <w:t xml:space="preserve">À l'échelle mondiale, 82% des personnes âgées de 10 ans ou plus possèdent un téléphone mobile. On considère que la possession est universelle lorsque le taux de pénétration atteint 95%. Ce seuil a été atteint dans les pays à revenu élevé, tandis que les pays à revenu intermédiaire de la tranche supérieure ont déjà dépassé la barre des 90%. Dans les pays à faible revenu, seulement 53% de la population âgée de 10 ans et plus possède un téléphone mobile (voir la Figure </w:t>
      </w:r>
      <w:hyperlink w:anchor="Fig7" w:history="1">
        <w:r w:rsidRPr="007D4988">
          <w:rPr>
            <w:rStyle w:val="Hyperlink"/>
            <w:rFonts w:eastAsia="Times New Roman" w:cs="Times New Roman"/>
            <w:szCs w:val="20"/>
          </w:rPr>
          <w:t>7</w:t>
        </w:r>
      </w:hyperlink>
      <w:r w:rsidRPr="007D4988">
        <w:t>).</w:t>
      </w:r>
    </w:p>
    <w:p w14:paraId="3DCF660E" w14:textId="77777777" w:rsidR="00015F90" w:rsidRPr="007D4988" w:rsidRDefault="00015F90" w:rsidP="00015F90">
      <w:pPr>
        <w:pStyle w:val="Figuretitle"/>
        <w:spacing w:before="240" w:after="240"/>
      </w:pPr>
      <w:bookmarkStart w:id="48" w:name="Fig7"/>
      <w:r w:rsidRPr="007D4988">
        <w:t xml:space="preserve">Pourcentage de personnes possédant un téléphone mobile </w:t>
      </w:r>
      <w:r w:rsidRPr="007D4988">
        <w:br/>
        <w:t>et utilisant l'Internet pour 2025</w:t>
      </w:r>
      <w:bookmarkEnd w:id="48"/>
    </w:p>
    <w:p w14:paraId="588B02CC" w14:textId="22D8F76E" w:rsidR="00015F90" w:rsidRPr="007D4988" w:rsidRDefault="00EA319C" w:rsidP="00015F90">
      <w:pPr>
        <w:pStyle w:val="Figure"/>
      </w:pPr>
      <w:r w:rsidRPr="007D4988">
        <w:rPr>
          <w:noProof/>
        </w:rPr>
        <w:drawing>
          <wp:inline distT="0" distB="0" distL="0" distR="0" wp14:anchorId="3C535A4E" wp14:editId="154584DE">
            <wp:extent cx="5579821" cy="3330794"/>
            <wp:effectExtent l="0" t="0" r="1905" b="3175"/>
            <wp:docPr id="14502289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579821" cy="3330794"/>
                    </a:xfrm>
                    <a:prstGeom prst="rect">
                      <a:avLst/>
                    </a:prstGeom>
                    <a:noFill/>
                  </pic:spPr>
                </pic:pic>
              </a:graphicData>
            </a:graphic>
          </wp:inline>
        </w:drawing>
      </w:r>
    </w:p>
    <w:p w14:paraId="115A973A" w14:textId="77777777" w:rsidR="00015F90" w:rsidRPr="007D4988" w:rsidRDefault="00015F90" w:rsidP="00015F90">
      <w:pPr>
        <w:rPr>
          <w:i/>
          <w:iCs/>
          <w:sz w:val="18"/>
        </w:rPr>
      </w:pPr>
      <w:r w:rsidRPr="007D4988">
        <w:rPr>
          <w:i/>
          <w:iCs/>
          <w:sz w:val="18"/>
        </w:rPr>
        <w:t xml:space="preserve">Figure 7 – Pourcentage de personnes possédant un téléphone mobile et utilisant l'Internet pour 2025. Édition de 2025 du Rapport Faits et chiffres de l'UIT (page 26). Le taux de possession de téléphone mobile concerne les personnes âgées de 10 ans ou plus. </w:t>
      </w:r>
      <w:hyperlink r:id="rId154" w:anchor="chart-2" w:history="1">
        <w:r w:rsidRPr="007D4988">
          <w:rPr>
            <w:rStyle w:val="Hyperlink"/>
            <w:rFonts w:eastAsia="Times New Roman" w:cs="Times New Roman"/>
            <w:i/>
            <w:iCs/>
            <w:sz w:val="18"/>
            <w:szCs w:val="20"/>
          </w:rPr>
          <w:t>Graphique interactif</w:t>
        </w:r>
      </w:hyperlink>
      <w:r w:rsidRPr="007D4988">
        <w:rPr>
          <w:i/>
          <w:iCs/>
          <w:sz w:val="18"/>
        </w:rPr>
        <w:t>.</w:t>
      </w:r>
    </w:p>
    <w:p w14:paraId="5B683D4C" w14:textId="77777777" w:rsidR="00015F90" w:rsidRPr="007D4988" w:rsidRDefault="00015F90" w:rsidP="00015F90">
      <w:r w:rsidRPr="007D4988">
        <w:t>L'accès à des dispositifs connectés à l'Internet est essentiel pour assurer une connectivité efficace, mais les indicateurs actuels (pourcentage de particuliers utilisant un smartphone et pourcentage de particuliers possédant un smartphone) présentent plusieurs difficultés. Ils se chevauchent en partie et la disponibilité des données est faible. De nombreux pays ne recueillent pas régulièrement de données sur la possession ou l'utilisation de smartphones, et aucun agrégat mondial ou régional n'est disponible. Un indicateur plus simple et plus largement disponible devrait être utilisé dans le Plan stratégique pour la période 2028</w:t>
      </w:r>
      <w:r w:rsidRPr="007D4988">
        <w:noBreakHyphen/>
        <w:t>2031. L'indicateur des ODD sur la possession d'un téléphone mobile offre une solution appropriée, en ce qu'il repose sur une méthodologie rigoureuse, est collecté par un plus grand nombre de pays et permet une ventilation par sexe et selon d'autres caractéristiques.</w:t>
      </w:r>
    </w:p>
    <w:p w14:paraId="49047369" w14:textId="77777777" w:rsidR="00015F90" w:rsidRPr="007D4988" w:rsidRDefault="00015F90" w:rsidP="00015F90">
      <w:pPr>
        <w:pStyle w:val="Headingb"/>
      </w:pPr>
      <w:r w:rsidRPr="007D4988">
        <w:t>Cible 1.5 – Accès à l'Internet dans toutes les écoles</w:t>
      </w:r>
    </w:p>
    <w:p w14:paraId="4ACC6513" w14:textId="2295E5E7" w:rsidR="00015F90" w:rsidRPr="007D4988" w:rsidRDefault="00015F90" w:rsidP="00015F90">
      <w:r w:rsidRPr="007D4988">
        <w:t xml:space="preserve">Ces données sont recueillies par l'Institut de statistique de l'Organisation des Nations Unies pour l'éducation, la science et la culture (UNESCO) et les indicateurs suivants sont disponibles dans </w:t>
      </w:r>
      <w:hyperlink r:id="rId155" w:history="1">
        <w:r w:rsidRPr="007D4988">
          <w:rPr>
            <w:rStyle w:val="Hyperlink"/>
            <w:rFonts w:eastAsia="Times New Roman" w:cs="Times New Roman"/>
            <w:szCs w:val="20"/>
          </w:rPr>
          <w:t>ce tableau de bord</w:t>
        </w:r>
      </w:hyperlink>
      <w:r w:rsidRPr="007D4988">
        <w:t xml:space="preserve"> (sous "Indicateur 4a, Cible 4a.1"):</w:t>
      </w:r>
    </w:p>
    <w:p w14:paraId="1E4E7341" w14:textId="77777777" w:rsidR="00015F90" w:rsidRPr="007D4988" w:rsidRDefault="00015F90" w:rsidP="00015F90">
      <w:pPr>
        <w:pStyle w:val="enumlev1"/>
      </w:pPr>
      <w:r w:rsidRPr="007D4988">
        <w:t>•</w:t>
      </w:r>
      <w:r w:rsidRPr="007D4988">
        <w:tab/>
        <w:t>Pourcentage d'écoles ayant accès à l'Internet à des fins pédagogiques.</w:t>
      </w:r>
    </w:p>
    <w:p w14:paraId="42A846ED" w14:textId="77777777" w:rsidR="00015F90" w:rsidRPr="007D4988" w:rsidRDefault="00015F90" w:rsidP="00015F90">
      <w:pPr>
        <w:pStyle w:val="enumlev1"/>
      </w:pPr>
      <w:r w:rsidRPr="007D4988">
        <w:t>•</w:t>
      </w:r>
      <w:r w:rsidRPr="007D4988">
        <w:tab/>
        <w:t>Pourcentage d'écoles ayant accès à un ordinateur à des fins pédagogiques.</w:t>
      </w:r>
    </w:p>
    <w:p w14:paraId="4CB5C26C" w14:textId="15E0AAF8" w:rsidR="00015F90" w:rsidRPr="007D4988" w:rsidRDefault="00015F90" w:rsidP="00015F90">
      <w:r w:rsidRPr="007D4988">
        <w:t>Les données sont disponibles par pays et ventilées par niveau (primaire, premier cycle du secondaire, deuxième cycle du secondaire). La dernière année disponible est 2024. Des estimations régionales et mondiales sont également disponibles.</w:t>
      </w:r>
    </w:p>
    <w:p w14:paraId="73F07848" w14:textId="77777777" w:rsidR="00015F90" w:rsidRPr="007D4988" w:rsidRDefault="00015F90" w:rsidP="00015F90">
      <w:pPr>
        <w:pStyle w:val="Figuretitle"/>
        <w:spacing w:before="240" w:after="240"/>
      </w:pPr>
      <w:bookmarkStart w:id="49" w:name="Fig8"/>
      <w:r w:rsidRPr="007D4988">
        <w:t xml:space="preserve">Proportion d'écoles ayant accès à un ordinateur ou à l'Internet </w:t>
      </w:r>
      <w:r w:rsidRPr="007D4988">
        <w:br/>
        <w:t>à des fins pédagogiques (%) pour 2024</w:t>
      </w:r>
      <w:bookmarkEnd w:id="49"/>
    </w:p>
    <w:p w14:paraId="6B435432" w14:textId="3B09195A" w:rsidR="00015F90" w:rsidRPr="007D4988" w:rsidRDefault="00EA319C" w:rsidP="00015F90">
      <w:pPr>
        <w:pStyle w:val="Figure"/>
      </w:pPr>
      <w:r w:rsidRPr="007D4988">
        <w:rPr>
          <w:noProof/>
        </w:rPr>
        <w:drawing>
          <wp:inline distT="0" distB="0" distL="0" distR="0" wp14:anchorId="53DBE869" wp14:editId="1538B1C9">
            <wp:extent cx="5761355" cy="2414270"/>
            <wp:effectExtent l="0" t="0" r="0" b="5080"/>
            <wp:docPr id="1298321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61355" cy="2414270"/>
                    </a:xfrm>
                    <a:prstGeom prst="rect">
                      <a:avLst/>
                    </a:prstGeom>
                    <a:noFill/>
                  </pic:spPr>
                </pic:pic>
              </a:graphicData>
            </a:graphic>
          </wp:inline>
        </w:drawing>
      </w:r>
    </w:p>
    <w:p w14:paraId="12084598" w14:textId="77777777" w:rsidR="00015F90" w:rsidRPr="007D4988" w:rsidRDefault="00015F90" w:rsidP="00015F90">
      <w:pPr>
        <w:rPr>
          <w:i/>
          <w:iCs/>
          <w:sz w:val="18"/>
        </w:rPr>
      </w:pPr>
      <w:r w:rsidRPr="007D4988">
        <w:rPr>
          <w:i/>
          <w:iCs/>
          <w:sz w:val="18"/>
        </w:rPr>
        <w:t xml:space="preserve">Figure 8 – Proportion d'écoles ayant accès à un ordinateur ou à l'Internet à des fins pédagogiques (%) pour 2024. Institut de statistique de l'UNESCO. En savoir plus </w:t>
      </w:r>
      <w:hyperlink r:id="rId157" w:history="1">
        <w:r w:rsidRPr="007D4988">
          <w:rPr>
            <w:rStyle w:val="Hyperlink"/>
            <w:rFonts w:eastAsia="Times New Roman" w:cs="Times New Roman"/>
            <w:i/>
            <w:iCs/>
            <w:sz w:val="18"/>
            <w:szCs w:val="20"/>
          </w:rPr>
          <w:t>ici</w:t>
        </w:r>
      </w:hyperlink>
      <w:r w:rsidRPr="007D4988">
        <w:rPr>
          <w:i/>
          <w:iCs/>
          <w:sz w:val="18"/>
        </w:rPr>
        <w:t>.</w:t>
      </w:r>
    </w:p>
    <w:p w14:paraId="626284B9" w14:textId="77777777" w:rsidR="00015F90" w:rsidRPr="007D4988" w:rsidRDefault="00015F90" w:rsidP="00015F90">
      <w:r w:rsidRPr="007D4988">
        <w:t xml:space="preserve">En 2024, environ la moitié des écoles primaires avaient accès à des ordinateurs et à l'Internet. Plus de 60% des établissements d'enseignement secondaire du premier cycle et plus de 70% des établissements d'enseignement secondaire du deuxième cycle avaient accès à ces installations (voir Figure </w:t>
      </w:r>
      <w:hyperlink w:anchor="Fig8" w:history="1">
        <w:r w:rsidRPr="007D4988">
          <w:rPr>
            <w:rStyle w:val="Hyperlink"/>
            <w:rFonts w:eastAsia="Times New Roman" w:cs="Times New Roman"/>
            <w:szCs w:val="20"/>
          </w:rPr>
          <w:t>8</w:t>
        </w:r>
      </w:hyperlink>
      <w:r w:rsidRPr="007D4988">
        <w:t>).</w:t>
      </w:r>
    </w:p>
    <w:p w14:paraId="788AA95C" w14:textId="77777777" w:rsidR="00015F90" w:rsidRPr="007D4988" w:rsidRDefault="00015F90" w:rsidP="00015F90">
      <w:r w:rsidRPr="007D4988">
        <w:t>Les données existantes ne permettent pas encore de tirer des conclusions sur l'évolution des moyennes au niveau mondial. La connectivité des écoles peut être une cible pertinente. Cependant, l'indicateur utilisé actuellement est inadéquat. Un seuil de 500 Mo par mois est très inférieur à ce qui est requis pour une utilisation à des fins pédagogiques. De plus, l'UIT n'est pas la principale source de données pour cet indicateur. L'UNESCO recueille des données sur les écoles ayant un accès à l'Internet.</w:t>
      </w:r>
    </w:p>
    <w:p w14:paraId="7A902DCC" w14:textId="77777777" w:rsidR="00015F90" w:rsidRPr="007D4988" w:rsidRDefault="00015F90" w:rsidP="00015F90">
      <w:pPr>
        <w:pStyle w:val="Headingb"/>
      </w:pPr>
      <w:r w:rsidRPr="007D4988">
        <w:t>Cible 1.6 – Amélioration de l'état de préparation des pays en matière de cybersécurité</w:t>
      </w:r>
    </w:p>
    <w:p w14:paraId="0839E339" w14:textId="284B6CF1" w:rsidR="00015F90" w:rsidRPr="007D4988" w:rsidRDefault="00015F90" w:rsidP="00015F90">
      <w:r w:rsidRPr="007D4988">
        <w:t>En ce qui concerne l'amélioration de l'état de préparation des pays en matière de cybersécurité, des progrès notables ont été enregistrés. En 2024, 132 pays avaient mis en place des équipes d'intervention en cas d</w:t>
      </w:r>
      <w:r w:rsidR="00292D54" w:rsidRPr="007D4988">
        <w:t>'</w:t>
      </w:r>
      <w:r w:rsidR="0020130E" w:rsidRPr="007D4988">
        <w:t>incident informatiqu</w:t>
      </w:r>
      <w:r w:rsidRPr="007D4988">
        <w:t>e (CIRT), contre 109 en 2020. De plus, 127 pays ont mis en œuvre des stratégies et des plans d'action en matière de cybersécurité à l'échelle nationale, contre 107 en 2020.</w:t>
      </w:r>
    </w:p>
    <w:p w14:paraId="2FCEBBC7" w14:textId="77777777" w:rsidR="00015F90" w:rsidRPr="007D4988" w:rsidRDefault="00015F90" w:rsidP="00015F90">
      <w:pPr>
        <w:pStyle w:val="Headingb"/>
      </w:pPr>
      <w:r w:rsidRPr="007D4988">
        <w:t>Cible 1.7 – Accès universel à l'Internet pour toutes les personnes</w:t>
      </w:r>
    </w:p>
    <w:p w14:paraId="2906925E" w14:textId="77777777" w:rsidR="00015F90" w:rsidRPr="007D4988" w:rsidRDefault="00015F90" w:rsidP="00015F90">
      <w:r w:rsidRPr="007D4988">
        <w:t xml:space="preserve">En 2025, 74% de la population mondiale était connectée, contre 71% l'année précédente. En chiffres absolus, cela correspond à 6 milliards de personnes, contre 5,4 milliards en 2022, soit une augmentation de 13% sur la période considérée (voir la Figure </w:t>
      </w:r>
      <w:hyperlink w:anchor="Fig9" w:history="1">
        <w:r w:rsidRPr="007D4988">
          <w:rPr>
            <w:rStyle w:val="Hyperlink"/>
            <w:rFonts w:eastAsia="Times New Roman" w:cs="Times New Roman"/>
            <w:szCs w:val="20"/>
          </w:rPr>
          <w:t>9</w:t>
        </w:r>
      </w:hyperlink>
      <w:r w:rsidRPr="007D4988">
        <w:t>). Alors que les progrès se poursuivent vers une connectivité universelle, plus d'un quart de la population mondiale n'est toujours pas connectée.</w:t>
      </w:r>
    </w:p>
    <w:p w14:paraId="7C29E827" w14:textId="77777777" w:rsidR="00015F90" w:rsidRPr="007D4988" w:rsidRDefault="00015F90" w:rsidP="00015F90">
      <w:pPr>
        <w:pStyle w:val="Figuretitle"/>
        <w:spacing w:before="240" w:after="240"/>
      </w:pPr>
      <w:bookmarkStart w:id="50" w:name="Fig9"/>
      <w:r w:rsidRPr="007D4988">
        <w:t>Particuliers utilisant l'Internet</w:t>
      </w:r>
    </w:p>
    <w:bookmarkEnd w:id="50"/>
    <w:p w14:paraId="6EBC0F5C" w14:textId="31DEBB55" w:rsidR="00015F90" w:rsidRPr="007D4988" w:rsidRDefault="00EA319C" w:rsidP="00015F90">
      <w:pPr>
        <w:pStyle w:val="Figure"/>
      </w:pPr>
      <w:r w:rsidRPr="007D4988">
        <w:rPr>
          <w:noProof/>
        </w:rPr>
        <w:drawing>
          <wp:inline distT="0" distB="0" distL="0" distR="0" wp14:anchorId="14721F8F" wp14:editId="1A1EFD0E">
            <wp:extent cx="5194300" cy="3023870"/>
            <wp:effectExtent l="0" t="0" r="6350" b="5080"/>
            <wp:docPr id="14718364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194300" cy="3023870"/>
                    </a:xfrm>
                    <a:prstGeom prst="rect">
                      <a:avLst/>
                    </a:prstGeom>
                    <a:noFill/>
                  </pic:spPr>
                </pic:pic>
              </a:graphicData>
            </a:graphic>
          </wp:inline>
        </w:drawing>
      </w:r>
    </w:p>
    <w:p w14:paraId="64E1355B" w14:textId="77777777" w:rsidR="00015F90" w:rsidRPr="007D4988" w:rsidRDefault="00015F90" w:rsidP="00015F90">
      <w:pPr>
        <w:rPr>
          <w:i/>
          <w:iCs/>
          <w:sz w:val="18"/>
        </w:rPr>
      </w:pPr>
      <w:r w:rsidRPr="007D4988">
        <w:rPr>
          <w:i/>
          <w:iCs/>
          <w:sz w:val="18"/>
        </w:rPr>
        <w:t xml:space="preserve">Figure 9 – Particuliers utilisant l'Internet. Édition de 2025 du Rapport Faits et chiffres de l'UIT (page 1). </w:t>
      </w:r>
      <w:hyperlink r:id="rId159" w:anchor="chart-1" w:history="1">
        <w:r w:rsidRPr="007D4988">
          <w:rPr>
            <w:rStyle w:val="Hyperlink"/>
            <w:rFonts w:eastAsia="Times New Roman" w:cs="Times New Roman"/>
            <w:i/>
            <w:iCs/>
            <w:sz w:val="18"/>
            <w:szCs w:val="20"/>
          </w:rPr>
          <w:t>Graphique interactif</w:t>
        </w:r>
      </w:hyperlink>
      <w:r w:rsidRPr="007D4988">
        <w:rPr>
          <w:i/>
          <w:iCs/>
          <w:sz w:val="18"/>
        </w:rPr>
        <w:t>.</w:t>
      </w:r>
    </w:p>
    <w:p w14:paraId="2EC8D74D" w14:textId="77777777" w:rsidR="00015F90" w:rsidRPr="007D4988" w:rsidRDefault="00015F90" w:rsidP="00015F90">
      <w:r w:rsidRPr="007D4988">
        <w:t>L'utilisation de l'Internet est étroitement liée au niveau de développement. Dans les pays à revenu élevé, l'utilisation de l'Internet est quasi universelle, 94% de la population utilisant l'Internet. Cependant, seulement 23% de la population des pays à faible revenu utilise l'Internet.</w:t>
      </w:r>
    </w:p>
    <w:p w14:paraId="69F86662" w14:textId="3E6154C5" w:rsidR="00015F90" w:rsidRPr="007D4988" w:rsidRDefault="00015F90" w:rsidP="00015F90">
      <w:r w:rsidRPr="007D4988">
        <w:t>Au sein de la Communauté des États indépendants (CEI), en Europe et dans la région Amériques, entre 88% et 93% de la population utilise l'Internet. Dans les régions Asie</w:t>
      </w:r>
      <w:r w:rsidRPr="007D4988">
        <w:noBreakHyphen/>
        <w:t xml:space="preserve">Pacifique et des États arabes, le taux d'utilisation de l'Internet s'élève respectivement à 77% et 70%, ce qui est conforme à la moyenne mondiale. </w:t>
      </w:r>
      <w:r w:rsidR="00BE78CC" w:rsidRPr="007D4988">
        <w:t>À</w:t>
      </w:r>
      <w:r w:rsidRPr="007D4988">
        <w:t xml:space="preserve"> contrario, le taux moyen d'utilisation de l'Internet dans la région Afrique n'est que de 36%.</w:t>
      </w:r>
    </w:p>
    <w:p w14:paraId="797CAD64" w14:textId="77777777" w:rsidR="00015F90" w:rsidRPr="007D4988" w:rsidRDefault="00015F90" w:rsidP="00015F90">
      <w:r w:rsidRPr="007D4988">
        <w:t xml:space="preserve">La connectivité universelle demeure également une perspective lointaine dans les pays les moins avancés (PMA) et les pays en développement sans littoral (PDSL), où seulement 34% et 38% de la population était connectée, respectivement. Si le taux de croissance annuel en 2025 dans ces pays était en moyenne de 7,4% et 5,5%, respectivement, ce qui est supérieur à celui de la plupart des autres groupes ou régions, l'écart en matière de connectivité ne devrait pas se combler de sitôt (voir la Figure </w:t>
      </w:r>
      <w:hyperlink w:anchor="Fig10" w:history="1">
        <w:r w:rsidRPr="007D4988">
          <w:rPr>
            <w:rStyle w:val="Hyperlink"/>
            <w:rFonts w:eastAsia="Times New Roman" w:cs="Times New Roman"/>
            <w:szCs w:val="20"/>
          </w:rPr>
          <w:t>10</w:t>
        </w:r>
      </w:hyperlink>
      <w:r w:rsidRPr="007D4988">
        <w:t>).</w:t>
      </w:r>
    </w:p>
    <w:p w14:paraId="3F14D5D5" w14:textId="77777777" w:rsidR="00015F90" w:rsidRPr="007D4988" w:rsidRDefault="00015F90" w:rsidP="00015F90">
      <w:pPr>
        <w:pStyle w:val="Figuretitle"/>
        <w:spacing w:before="240" w:after="240"/>
      </w:pPr>
      <w:bookmarkStart w:id="51" w:name="Fig10"/>
      <w:r w:rsidRPr="007D4988">
        <w:t xml:space="preserve">Pourcentage de particuliers utilisant l'Internet par région et </w:t>
      </w:r>
      <w:r w:rsidRPr="007D4988">
        <w:br/>
        <w:t>groupes spéciaux, pour 2022 et 2025</w:t>
      </w:r>
    </w:p>
    <w:bookmarkEnd w:id="51"/>
    <w:p w14:paraId="1D5C13A3" w14:textId="52E258B2" w:rsidR="00015F90" w:rsidRPr="007D4988" w:rsidRDefault="00913812" w:rsidP="00015F90">
      <w:pPr>
        <w:pStyle w:val="Figure"/>
      </w:pPr>
      <w:r w:rsidRPr="007D4988">
        <w:rPr>
          <w:noProof/>
        </w:rPr>
        <w:drawing>
          <wp:inline distT="0" distB="0" distL="0" distR="0" wp14:anchorId="40F0EF9D" wp14:editId="594E65B5">
            <wp:extent cx="5497261" cy="3446494"/>
            <wp:effectExtent l="0" t="0" r="8255" b="1905"/>
            <wp:docPr id="11907962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510536" cy="3454817"/>
                    </a:xfrm>
                    <a:prstGeom prst="rect">
                      <a:avLst/>
                    </a:prstGeom>
                    <a:noFill/>
                  </pic:spPr>
                </pic:pic>
              </a:graphicData>
            </a:graphic>
          </wp:inline>
        </w:drawing>
      </w:r>
    </w:p>
    <w:p w14:paraId="32F751F6" w14:textId="77777777" w:rsidR="00015F90" w:rsidRPr="007D4988" w:rsidRDefault="00015F90" w:rsidP="00015F90">
      <w:pPr>
        <w:rPr>
          <w:i/>
          <w:iCs/>
          <w:sz w:val="18"/>
        </w:rPr>
      </w:pPr>
      <w:r w:rsidRPr="007D4988">
        <w:rPr>
          <w:i/>
          <w:iCs/>
          <w:sz w:val="18"/>
        </w:rPr>
        <w:t xml:space="preserve">Figure 10 – Pourcentage de particuliers utilisant l'Internet par région et groupes spéciaux, pour 2022 et 2025. Édition de 2025 du Rapport Faits et chiffres de l'UIT (page 3). </w:t>
      </w:r>
      <w:hyperlink r:id="rId161" w:anchor="chart-2" w:history="1">
        <w:r w:rsidRPr="007D4988">
          <w:rPr>
            <w:rStyle w:val="Hyperlink"/>
            <w:rFonts w:eastAsia="Times New Roman" w:cs="Times New Roman"/>
            <w:i/>
            <w:iCs/>
            <w:sz w:val="18"/>
            <w:szCs w:val="20"/>
          </w:rPr>
          <w:t>Graphique interactif</w:t>
        </w:r>
      </w:hyperlink>
      <w:r w:rsidRPr="007D4988">
        <w:rPr>
          <w:i/>
          <w:iCs/>
          <w:sz w:val="18"/>
        </w:rPr>
        <w:t>.</w:t>
      </w:r>
    </w:p>
    <w:p w14:paraId="5510087B" w14:textId="77777777" w:rsidR="00015F90" w:rsidRPr="007D4988" w:rsidRDefault="00015F90" w:rsidP="00015F90">
      <w:pPr>
        <w:pStyle w:val="Heading3"/>
      </w:pPr>
      <w:bookmarkStart w:id="52" w:name="Para322"/>
      <w:bookmarkStart w:id="53" w:name="_Toc225488879"/>
      <w:bookmarkEnd w:id="52"/>
      <w:r w:rsidRPr="007D4988">
        <w:t>3.2.2</w:t>
      </w:r>
      <w:r w:rsidRPr="007D4988">
        <w:tab/>
        <w:t>Transformation numérique durable</w:t>
      </w:r>
      <w:bookmarkEnd w:id="53"/>
    </w:p>
    <w:p w14:paraId="632246C6" w14:textId="77777777" w:rsidR="00015F90" w:rsidRPr="007D4988" w:rsidRDefault="00015F90" w:rsidP="00015F90">
      <w:r w:rsidRPr="007D4988">
        <w:t>Cette sous-section porte sur les principaux aspects d'une transformation numérique durable, notamment les disparités en matière d'inclusion numérique, les compétences numériques, l'utilisation des services numériques, la préparation à la cybersécurité et la durabilité environnementale.</w:t>
      </w:r>
    </w:p>
    <w:p w14:paraId="35020FF1" w14:textId="77777777" w:rsidR="00015F90" w:rsidRPr="007D4988" w:rsidRDefault="00015F90" w:rsidP="00015F90">
      <w:pPr>
        <w:pStyle w:val="Headingb"/>
      </w:pPr>
      <w:r w:rsidRPr="007D4988">
        <w:t>Cible 2.1 – Réduction de toutes les fractures numériques (en particulier entre les hommes et les femmes, en fonction de l'âge et entre les zones urbaines et les zones rurales)</w:t>
      </w:r>
    </w:p>
    <w:p w14:paraId="2B2A6D9D" w14:textId="77777777" w:rsidR="00015F90" w:rsidRPr="007D4988" w:rsidRDefault="00015F90" w:rsidP="00015F90">
      <w:r w:rsidRPr="007D4988">
        <w:t>Cette cible montre des progrès inégaux selon la ventilation, tels que le sexe, l'âge et l'emplacement (milieu rural et milieu urbain). Cela indique que les progrès réalisés dans le domaine de l'accès au numérique ne sont pas uniformes, d'où la nécessité d'élaborer des stratégies ciblées pour combler certaines lacunes.</w:t>
      </w:r>
    </w:p>
    <w:p w14:paraId="15BBEA71" w14:textId="77777777" w:rsidR="00015F90" w:rsidRPr="007D4988" w:rsidRDefault="00015F90" w:rsidP="00015F90">
      <w:pPr>
        <w:pStyle w:val="Figuretitle"/>
        <w:spacing w:before="240" w:after="240"/>
      </w:pPr>
      <w:bookmarkStart w:id="54" w:name="Fig11"/>
      <w:r w:rsidRPr="007D4988">
        <w:t>Pourcentage de femmes et d'hommes utilisant l'Internet en 2025</w:t>
      </w:r>
    </w:p>
    <w:bookmarkEnd w:id="54"/>
    <w:p w14:paraId="651DB2B0" w14:textId="6BD7D37F" w:rsidR="00015F90" w:rsidRPr="007D4988" w:rsidRDefault="00EA319C" w:rsidP="00015F90">
      <w:pPr>
        <w:pStyle w:val="Figure"/>
      </w:pPr>
      <w:r w:rsidRPr="007D4988">
        <w:rPr>
          <w:noProof/>
        </w:rPr>
        <w:drawing>
          <wp:inline distT="0" distB="0" distL="0" distR="0" wp14:anchorId="73C1DF7C" wp14:editId="7F3D4CF0">
            <wp:extent cx="5425838" cy="2939389"/>
            <wp:effectExtent l="0" t="0" r="3810" b="0"/>
            <wp:docPr id="19571581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442534" cy="2948434"/>
                    </a:xfrm>
                    <a:prstGeom prst="rect">
                      <a:avLst/>
                    </a:prstGeom>
                    <a:noFill/>
                  </pic:spPr>
                </pic:pic>
              </a:graphicData>
            </a:graphic>
          </wp:inline>
        </w:drawing>
      </w:r>
    </w:p>
    <w:p w14:paraId="6A479334" w14:textId="77777777" w:rsidR="00015F90" w:rsidRPr="007D4988" w:rsidRDefault="00015F90" w:rsidP="00015F90">
      <w:pPr>
        <w:rPr>
          <w:i/>
          <w:iCs/>
          <w:sz w:val="18"/>
        </w:rPr>
      </w:pPr>
      <w:r w:rsidRPr="007D4988">
        <w:rPr>
          <w:i/>
          <w:iCs/>
          <w:sz w:val="18"/>
        </w:rPr>
        <w:t xml:space="preserve">Figure 11 – Pourcentage de particuliers utilisant l'Internet en 2025. Édition de 2025 du Rapport Faits et chiffres de l'UIT (page 5). </w:t>
      </w:r>
      <w:hyperlink r:id="rId163" w:anchor="chart-1" w:history="1">
        <w:r w:rsidRPr="007D4988">
          <w:rPr>
            <w:rStyle w:val="Hyperlink"/>
            <w:rFonts w:eastAsia="Times New Roman" w:cs="Times New Roman"/>
            <w:i/>
            <w:iCs/>
            <w:sz w:val="18"/>
            <w:szCs w:val="20"/>
          </w:rPr>
          <w:t>Graphique interactif</w:t>
        </w:r>
      </w:hyperlink>
      <w:r w:rsidRPr="007D4988">
        <w:rPr>
          <w:i/>
          <w:iCs/>
          <w:sz w:val="18"/>
        </w:rPr>
        <w:t>.</w:t>
      </w:r>
    </w:p>
    <w:p w14:paraId="56E7208F" w14:textId="77777777" w:rsidR="00015F90" w:rsidRPr="007D4988" w:rsidRDefault="00015F90" w:rsidP="00015F90">
      <w:r w:rsidRPr="007D4988">
        <w:t>À l'échelle mondiale, 77% des hommes utilisaient l'Internet, contre 71% des femmes (voir la Figure </w:t>
      </w:r>
      <w:hyperlink w:anchor="Fig11" w:history="1">
        <w:r w:rsidRPr="007D4988">
          <w:rPr>
            <w:rStyle w:val="Hyperlink"/>
            <w:rFonts w:eastAsia="Times New Roman" w:cs="Times New Roman"/>
            <w:szCs w:val="20"/>
          </w:rPr>
          <w:t>11</w:t>
        </w:r>
      </w:hyperlink>
      <w:r w:rsidRPr="007D4988">
        <w:t>). Le taux de pénétration d'Internet a augmenté de 10% tant chez les femmes que chez les hommes entre 2022 et 2025, mais en 2025, on comptait encore environ 280 millions d'hommes de plus que de femmes parmi les utilisateurs de l'Internet.</w:t>
      </w:r>
    </w:p>
    <w:p w14:paraId="7BD8F2A6" w14:textId="77777777" w:rsidR="00015F90" w:rsidRPr="007D4988" w:rsidRDefault="00015F90" w:rsidP="00015F90">
      <w:r w:rsidRPr="007D4988">
        <w:t>On parle de parité entre les hommes et les femmes lorsque l'indice de parité, défini comme étant le pourcentage de femmes divisé par le pourcentage d'hommes, se situe entre 0,98 et 1,02. Comme c'est le cas pour l'utilisation générale de l'Internet, la parité hommes</w:t>
      </w:r>
      <w:r w:rsidRPr="007D4988">
        <w:noBreakHyphen/>
        <w:t>femmes est étroitement liée au niveau de développement. Entre 2022 et 2025, le score mondial de parité hommes-femmes est resté à 0,92, ce qui témoigne d'un manque de progrès vers la parité hommes-femmes à l'échelle mondiale.</w:t>
      </w:r>
    </w:p>
    <w:p w14:paraId="4CE1CF4D" w14:textId="77777777" w:rsidR="00015F90" w:rsidRPr="007D4988" w:rsidRDefault="00015F90" w:rsidP="00D97CD7">
      <w:r w:rsidRPr="007D4988">
        <w:t>S'agissant des régions de l'UIT, la parité hommes-femmes a été atteinte en Europe, ainsi que dans les régions Amériques et au sein de la CEI. Dans le groupe des petits États insulaires en développement (PEID), le score de parité hommes-femmes s'est maintenu à 1, voire au</w:t>
      </w:r>
      <w:r w:rsidRPr="007D4988">
        <w:noBreakHyphen/>
        <w:t>dessus, entre 2022 et 2025, ce qui témoigne d'une parité hommes-femmes. Il est à noter que les PEID constituent un exemple d'exception positive à la forte corrélation que l'on constate entre la parité hommes-femmes et l'utilisation générale de l'Internet, car ces pays ont atteint la parité même si moins des deux tiers de leur population utilisent l'Internet.</w:t>
      </w:r>
    </w:p>
    <w:p w14:paraId="0DDAA6B3" w14:textId="77777777" w:rsidR="00015F90" w:rsidRPr="007D4988" w:rsidRDefault="00015F90" w:rsidP="00015F90">
      <w:pPr>
        <w:pStyle w:val="Figuretitle"/>
        <w:spacing w:before="240" w:after="240"/>
      </w:pPr>
      <w:bookmarkStart w:id="55" w:name="Fig12"/>
      <w:r w:rsidRPr="007D4988">
        <w:t xml:space="preserve">Pourcentage de particuliers utilisant l'Internet, </w:t>
      </w:r>
      <w:r w:rsidRPr="007D4988">
        <w:br/>
        <w:t>par tranche d'âge, en 2025</w:t>
      </w:r>
    </w:p>
    <w:bookmarkEnd w:id="55"/>
    <w:p w14:paraId="1839DFD2" w14:textId="44296B50" w:rsidR="00015F90" w:rsidRPr="007D4988" w:rsidRDefault="00EA319C" w:rsidP="00015F90">
      <w:pPr>
        <w:pStyle w:val="Figure"/>
      </w:pPr>
      <w:r w:rsidRPr="007D4988">
        <w:rPr>
          <w:noProof/>
        </w:rPr>
        <w:drawing>
          <wp:inline distT="0" distB="0" distL="0" distR="0" wp14:anchorId="1F083B6B" wp14:editId="5291AE6E">
            <wp:extent cx="5655338" cy="3441793"/>
            <wp:effectExtent l="0" t="0" r="2540" b="6350"/>
            <wp:docPr id="20997076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664954" cy="3447645"/>
                    </a:xfrm>
                    <a:prstGeom prst="rect">
                      <a:avLst/>
                    </a:prstGeom>
                    <a:noFill/>
                  </pic:spPr>
                </pic:pic>
              </a:graphicData>
            </a:graphic>
          </wp:inline>
        </w:drawing>
      </w:r>
    </w:p>
    <w:p w14:paraId="29E718A7" w14:textId="77777777" w:rsidR="00015F90" w:rsidRPr="007D4988" w:rsidRDefault="00015F90" w:rsidP="00015F90">
      <w:pPr>
        <w:rPr>
          <w:i/>
          <w:iCs/>
          <w:sz w:val="18"/>
        </w:rPr>
      </w:pPr>
      <w:r w:rsidRPr="007D4988">
        <w:rPr>
          <w:i/>
          <w:iCs/>
          <w:sz w:val="18"/>
        </w:rPr>
        <w:t xml:space="preserve">Figure 12 – Pourcentage de particuliers utilisant l'Internet, par tranche d'âge, en 2025. Édition de 2025 du Rapport Faits et chiffres de l'UIT (page 6). Le terme "jeunes" désigne les jeunes de 15 à 24 ans. </w:t>
      </w:r>
      <w:hyperlink r:id="rId165" w:anchor="chart-1" w:history="1">
        <w:r w:rsidRPr="007D4988">
          <w:rPr>
            <w:rStyle w:val="Hyperlink"/>
            <w:rFonts w:eastAsia="Times New Roman" w:cs="Times New Roman"/>
            <w:i/>
            <w:iCs/>
            <w:sz w:val="18"/>
            <w:szCs w:val="20"/>
          </w:rPr>
          <w:t>Graphique interactif</w:t>
        </w:r>
      </w:hyperlink>
      <w:r w:rsidRPr="007D4988">
        <w:rPr>
          <w:i/>
          <w:iCs/>
          <w:sz w:val="18"/>
        </w:rPr>
        <w:t>.</w:t>
      </w:r>
    </w:p>
    <w:p w14:paraId="21A978BD" w14:textId="77777777" w:rsidR="00015F90" w:rsidRPr="007D4988" w:rsidRDefault="00015F90" w:rsidP="00015F90">
      <w:r w:rsidRPr="007D4988">
        <w:t xml:space="preserve">En ce qui concerne l'utilisation de l'Internet par tranche d'âge, 82% des personnes âgées de 15 à 24 ans utilisent l'Internet, soit dix points de pourcentage de plus que le reste de la population (72%) (voir la Figure </w:t>
      </w:r>
      <w:hyperlink w:anchor="Fig12" w:history="1">
        <w:r w:rsidRPr="007D4988">
          <w:rPr>
            <w:rStyle w:val="Hyperlink"/>
            <w:rFonts w:eastAsia="Times New Roman" w:cs="Times New Roman"/>
            <w:szCs w:val="20"/>
          </w:rPr>
          <w:t>12</w:t>
        </w:r>
      </w:hyperlink>
      <w:r w:rsidRPr="007D4988">
        <w:t>). Ce fossé générationnel, observé dans toutes les régions, s'est lentement réduit au cours des quatre dernières années. Dans cette tranche d'âge, l'"universalité", c'est-à-dire lorsque le taux de pénétration est d'au moins 95%, a déjà été atteinte en Europe, dans la région de la CEI et dans la région Amériques.</w:t>
      </w:r>
    </w:p>
    <w:p w14:paraId="7D89BBBB" w14:textId="77777777" w:rsidR="00015F90" w:rsidRPr="007D4988" w:rsidRDefault="00015F90" w:rsidP="00015F90">
      <w:r w:rsidRPr="007D4988">
        <w:t>En termes relatifs, les jeunes de 15 à 24 ans des pays à faible revenu ont 1,9 fois plus de chances d'utiliser l'Internet que le reste de la population. Il s'agit de l'écart générationnel le plus important de tous les groupes de revenus, les jeunes de 15 à 24 ans des pays à revenu élevé n'ayant que 5% de chances d'utiliser l'Internet que le reste de la population.</w:t>
      </w:r>
    </w:p>
    <w:p w14:paraId="27F3E34E" w14:textId="77777777" w:rsidR="00015F90" w:rsidRPr="007D4988" w:rsidRDefault="00015F90" w:rsidP="00015F90">
      <w:pPr>
        <w:pStyle w:val="Figuretitle"/>
        <w:spacing w:before="240" w:after="240"/>
      </w:pPr>
      <w:bookmarkStart w:id="56" w:name="Fig13"/>
      <w:r w:rsidRPr="007D4988">
        <w:t xml:space="preserve">Pourcentage de particuliers utilisant l'Internet dans les </w:t>
      </w:r>
      <w:r w:rsidRPr="007D4988">
        <w:br/>
        <w:t>zones urbaines et les zones rurales, en 2025</w:t>
      </w:r>
    </w:p>
    <w:bookmarkEnd w:id="56"/>
    <w:p w14:paraId="5263F03E" w14:textId="6C831332" w:rsidR="00015F90" w:rsidRPr="007D4988" w:rsidRDefault="00913812" w:rsidP="00015F90">
      <w:pPr>
        <w:pStyle w:val="Figure"/>
      </w:pPr>
      <w:r w:rsidRPr="007D4988">
        <w:rPr>
          <w:noProof/>
        </w:rPr>
        <w:drawing>
          <wp:inline distT="0" distB="0" distL="0" distR="0" wp14:anchorId="6B41AA64" wp14:editId="5F0ED6B9">
            <wp:extent cx="5425838" cy="3512902"/>
            <wp:effectExtent l="0" t="0" r="3810" b="0"/>
            <wp:docPr id="12564134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433722" cy="3518006"/>
                    </a:xfrm>
                    <a:prstGeom prst="rect">
                      <a:avLst/>
                    </a:prstGeom>
                    <a:noFill/>
                  </pic:spPr>
                </pic:pic>
              </a:graphicData>
            </a:graphic>
          </wp:inline>
        </w:drawing>
      </w:r>
    </w:p>
    <w:p w14:paraId="42A136EB" w14:textId="77777777" w:rsidR="00015F90" w:rsidRPr="007D4988" w:rsidRDefault="00015F90" w:rsidP="00015F90">
      <w:pPr>
        <w:rPr>
          <w:i/>
          <w:iCs/>
          <w:sz w:val="18"/>
        </w:rPr>
      </w:pPr>
      <w:r w:rsidRPr="007D4988">
        <w:rPr>
          <w:i/>
          <w:iCs/>
          <w:sz w:val="18"/>
        </w:rPr>
        <w:t xml:space="preserve">Figure 13 – Pourcentage de particuliers utilisant l'Internet dans les zones urbaines et les zones rurales, en 2025. Édition de 2025 du Rapport Faits et chiffres de l'UIT (page 7). </w:t>
      </w:r>
      <w:hyperlink r:id="rId167" w:anchor="chart-1" w:history="1">
        <w:r w:rsidRPr="007D4988">
          <w:rPr>
            <w:rStyle w:val="Hyperlink"/>
            <w:rFonts w:eastAsia="Times New Roman" w:cs="Times New Roman"/>
            <w:i/>
            <w:iCs/>
            <w:sz w:val="18"/>
            <w:szCs w:val="20"/>
          </w:rPr>
          <w:t>Graphique interactif</w:t>
        </w:r>
      </w:hyperlink>
      <w:r w:rsidRPr="007D4988">
        <w:rPr>
          <w:i/>
          <w:iCs/>
          <w:sz w:val="18"/>
        </w:rPr>
        <w:t>.</w:t>
      </w:r>
    </w:p>
    <w:p w14:paraId="3DC49BA7" w14:textId="77777777" w:rsidR="00015F90" w:rsidRPr="007D4988" w:rsidRDefault="00015F90" w:rsidP="00015F90">
      <w:r w:rsidRPr="007D4988">
        <w:t>D'importantes disparités subsistent en matière d'utilisation de l'Internet entre les zones urbaines et les zones rurales. À l'échelle mondiale, 85% des citadins utilisent l'Internet en 2025, contre un peu plus de la moitié de la population rurale (58%).</w:t>
      </w:r>
    </w:p>
    <w:p w14:paraId="3A943E0B" w14:textId="77777777" w:rsidR="00015F90" w:rsidRPr="007D4988" w:rsidRDefault="00015F90" w:rsidP="00015F90">
      <w:r w:rsidRPr="007D4988">
        <w:t>L'écart entre les zones urbaines et les zones rurales, mesuré par le rapport entre ces deux pourcentages, a lentement diminué, passant de 1,6 à 1,5 au cours des quatre dernières années. Il n'est pas surprenant que l'écart entre zones urbaines et zones rurales soit le plus faible dans les régions où la pénétration de l'Internet est élevée, notamment en Europe, où le ratio n'est que de 1,1, contre 2,6 en Afrique. Dans toutes les régions, les progrès ont été modestes au cours des quatre dernières années.</w:t>
      </w:r>
    </w:p>
    <w:p w14:paraId="641D06CF" w14:textId="77777777" w:rsidR="00015F90" w:rsidRPr="007D4988" w:rsidRDefault="00015F90" w:rsidP="00015F90">
      <w:r w:rsidRPr="007D4988">
        <w:t xml:space="preserve">Dans les pays à revenu élevé, où 94% de la population utilise l'Internet, le fossé entre les zones urbaines et les zones rurales est pratiquement comblé, avec un ratio moyen de 1,1. Dans les pays à faible revenu, cependant, le fossé entre zones urbaines et zones rurales reste important: seul un habitant de la population rurale sur sept (14%) est connecté à l'Internet, soit à peine plus d'un tiers de la proportion observée chez les citadins (voir la Figure </w:t>
      </w:r>
      <w:hyperlink w:anchor="Fig13" w:history="1">
        <w:r w:rsidRPr="007D4988">
          <w:rPr>
            <w:rStyle w:val="Hyperlink"/>
            <w:rFonts w:eastAsia="Times New Roman" w:cs="Times New Roman"/>
            <w:szCs w:val="20"/>
          </w:rPr>
          <w:t>13</w:t>
        </w:r>
      </w:hyperlink>
      <w:r w:rsidRPr="007D4988">
        <w:t>).</w:t>
      </w:r>
    </w:p>
    <w:p w14:paraId="489B12BC" w14:textId="77777777" w:rsidR="00015F90" w:rsidRPr="007D4988" w:rsidRDefault="00015F90" w:rsidP="00015F90">
      <w:r w:rsidRPr="007D4988">
        <w:t xml:space="preserve">Cette cible est formulée en termes très généraux et recoupe la Cible 1.7 relative à l'utilisation universelle de l'Internet et d'autres cibles. Aucun indicateur ne permet à lui seul de mesurer toutes les fractures numériques. L'indicateur est identique à celui déjà proposé pour cette cible. Il est donc recommandé de ne pas utiliser cette cible dans le cadre du Plan stratégique pour la période 2028-2031 et de regrouper toutes les mesures concernant les écarts d'utilisation dans la Cible 1.7, où la ventilation par sexe, âge et emplacement est déjà proposée. </w:t>
      </w:r>
    </w:p>
    <w:p w14:paraId="002A807B" w14:textId="77777777" w:rsidR="00015F90" w:rsidRPr="007D4988" w:rsidRDefault="00015F90" w:rsidP="00015F90">
      <w:pPr>
        <w:pStyle w:val="Headingb"/>
      </w:pPr>
      <w:r w:rsidRPr="007D4988">
        <w:t>Cible 2.2 – La majorité des personnes sont dotées de compétences numériques</w:t>
      </w:r>
    </w:p>
    <w:p w14:paraId="798F9B6A" w14:textId="77777777" w:rsidR="00015F90" w:rsidRPr="007D4988" w:rsidRDefault="00015F90" w:rsidP="00015F90">
      <w:r w:rsidRPr="007D4988">
        <w:t>Les déclarations volontaires concernant les compétences dans le domaine des TIC des individus étant subjectives, ces compétences sont évaluées selon qu'une personne a récemment exécuté certaines activités qui supposent un certain niveau de maîtrise des compétences en question. Ces compétences en matière de TIC sont regroupées en cinq domaines: communication et collaboration; résolution de problèmes; sécurité; création de contenu numérique; maîtrise de l'information et des données.</w:t>
      </w:r>
    </w:p>
    <w:p w14:paraId="154A1C36" w14:textId="5E9A00FC" w:rsidR="00015F90" w:rsidRPr="007D4988" w:rsidRDefault="00015F90" w:rsidP="00015F90">
      <w:r w:rsidRPr="007D4988">
        <w:t>Si l'importance des compétences numériques pour mettre les TIC au service de la prospérité économique et du bien-être social n'est plus à prouver, les données restent très rares. Seuls 88 pays ont soumis des données depuis 2020, ces données portant rarement sur tous les domaines de compétence. Parmi ceux-ci, seuls 48 pays ont fourni des données comparables sur les niveaux de compétences en matière de TIC, et seuls huit ont communiqué des données sur les niveaux de compétences globaux.</w:t>
      </w:r>
    </w:p>
    <w:p w14:paraId="5728F84A" w14:textId="77777777" w:rsidR="00015F90" w:rsidRPr="007D4988" w:rsidRDefault="00015F90" w:rsidP="00015F90">
      <w:r w:rsidRPr="007D4988">
        <w:t>Malgré ces lacunes, certaines tendances et certains schémas se dessinent s'agissant des compétences dans le domaine des TIC. Les internautes font toujours preuve de solides compétences en matière de communication. Dans tous les pays qui soumettent des données sur le domaine de la communication et de la collaboration, au moins les trois quarts des internautes possèdent, a minima, des compétences de base dans ce domaine, quel que soit le niveau d'utilisation de l'Internet au niveau national.</w:t>
      </w:r>
    </w:p>
    <w:p w14:paraId="59CA2352" w14:textId="61B22A4C" w:rsidR="00015F90" w:rsidRPr="007D4988" w:rsidRDefault="00015F90" w:rsidP="00015F90">
      <w:r w:rsidRPr="007D4988">
        <w:t>Les niveaux de compétences dans d'autres domaines sont plus variés. Dans les pays ayant fourni des données, la proportion d'internautes possédant au moins des compétences de base en matière de maîtrise de l'information et des données tend à être plus élevée que dans d'autres domaines, à l'exception de la communication et de la collaboration. Cependant, des variations substantielles persistent dans tous les domaines de compétences, même parmi les pays ayant des niveaux d'utilisation de l'Internet similaires. Pour les huit</w:t>
      </w:r>
      <w:r w:rsidR="009057DA" w:rsidRPr="007D4988">
        <w:t> </w:t>
      </w:r>
      <w:r w:rsidRPr="007D4988">
        <w:t>(8)</w:t>
      </w:r>
      <w:r w:rsidR="009057DA" w:rsidRPr="007D4988">
        <w:t> </w:t>
      </w:r>
      <w:r w:rsidRPr="007D4988">
        <w:t>pays qui communiquent des niveaux globaux de compétences, la part des internautes possédant au moins des compétences de base varie de 16 à 74%, soit un écart de près de 60 points de pourcentage.</w:t>
      </w:r>
    </w:p>
    <w:p w14:paraId="3AB9E4F8" w14:textId="77777777" w:rsidR="00015F90" w:rsidRPr="007D4988" w:rsidRDefault="00015F90" w:rsidP="00015F90">
      <w:r w:rsidRPr="007D4988">
        <w:t xml:space="preserve">Les compétences numériques jouent un rôle essentiel en vue d'atteindre une connectivité efficace et de parvenir à la transformation numérique. L'indicateur actuel n'est plus collecté et a été remplacé par un indicateur utilisant une méthodologie affinée, qui a été mise en place en 2025 par l'UIT. La disponibilité des données reste limitée, mais devrait s'améliorer à mesure que davantage de pays adopteront la </w:t>
      </w:r>
      <w:hyperlink r:id="rId168" w:history="1">
        <w:r w:rsidRPr="007D4988">
          <w:rPr>
            <w:rStyle w:val="Hyperlink"/>
            <w:rFonts w:eastAsia="Times New Roman" w:cs="Times New Roman"/>
            <w:szCs w:val="20"/>
          </w:rPr>
          <w:t>méthodologie affinée</w:t>
        </w:r>
      </w:hyperlink>
      <w:r w:rsidRPr="007D4988">
        <w:t xml:space="preserve"> pour la collecte des données.</w:t>
      </w:r>
    </w:p>
    <w:p w14:paraId="0891D251" w14:textId="77777777" w:rsidR="00015F90" w:rsidRPr="007D4988" w:rsidRDefault="00015F90" w:rsidP="00015F90">
      <w:pPr>
        <w:pStyle w:val="Headingb"/>
      </w:pPr>
      <w:r w:rsidRPr="007D4988">
        <w:t>Cible 2.3 – Utilisation universelle des services Internet par les entreprises</w:t>
      </w:r>
    </w:p>
    <w:p w14:paraId="5D3E2732" w14:textId="77777777" w:rsidR="00015F90" w:rsidRPr="007D4988" w:rsidRDefault="00015F90" w:rsidP="00015F90">
      <w:r w:rsidRPr="007D4988">
        <w:t>L'utilisation de l'Internet par les entreprises est une dimension importante de la transformation numérique. Toutefois, l'UIT n'est pas la principale source pour ces données. La Conférence des Nations Unies sur le commerce et le développement (CNUCED) et Eurostat compilent des données sur l'utilisation des TIC par les entreprises. La disponibilité des données varie considérablement d'un pays à l'autre. Toutefois, on ne dispose pas actuellement de moyennes mondiales en raison du manque de données.</w:t>
      </w:r>
    </w:p>
    <w:p w14:paraId="347284BA" w14:textId="77777777" w:rsidR="00015F90" w:rsidRPr="007D4988" w:rsidRDefault="00015F90" w:rsidP="00015F90">
      <w:pPr>
        <w:pStyle w:val="Headingb"/>
      </w:pPr>
      <w:r w:rsidRPr="007D4988">
        <w:t>Cible 2.4 – La majorité des personnes ont accès aux services publics en ligne</w:t>
      </w:r>
    </w:p>
    <w:p w14:paraId="285AAC10" w14:textId="77777777" w:rsidR="00015F90" w:rsidRPr="007D4988" w:rsidRDefault="00015F90" w:rsidP="00015F90">
      <w:r w:rsidRPr="007D4988">
        <w:t>L'UIT est responsable de cet indicateur, mais on ne dispose pas encore de moyennes mondiales en raison du manque de données. L'utilisation des services publics en ligne est un aspect important de l'inclusion numérique, mais cette cible se concentre sur une application spécifique de l'Internet, mais en exclut d'autres comme le commerce électronique, les paiements numériques ou les services de santé. La disponibilité des données est faible et aucun agrégat mondial n'est produit.</w:t>
      </w:r>
    </w:p>
    <w:p w14:paraId="3987A925" w14:textId="77777777" w:rsidR="00015F90" w:rsidRPr="007D4988" w:rsidRDefault="00015F90" w:rsidP="00015F90">
      <w:pPr>
        <w:pStyle w:val="Headingb"/>
      </w:pPr>
      <w:r w:rsidRPr="007D4988">
        <w:t>Cible 2.5 – Action en faveur du climat et de l'environnement</w:t>
      </w:r>
    </w:p>
    <w:p w14:paraId="4D086E8C" w14:textId="7A37DF4E" w:rsidR="0050763E" w:rsidRPr="007D4988" w:rsidRDefault="0050763E" w:rsidP="0050763E">
      <w:r w:rsidRPr="007D4988">
        <w:t>Sur les 81 pays ayant adopté une politique, une loi ou un règlement sur les DEEE, 67 ont également pris des mesures pour faire respecter la responsabilité élargie des producteurs, 48 ont inscrit des objectifs nationaux de collecte des DEEE dans leur cadre réglementaire et</w:t>
      </w:r>
      <w:r w:rsidR="00D97CD7" w:rsidRPr="007D4988">
        <w:t> </w:t>
      </w:r>
      <w:r w:rsidRPr="007D4988">
        <w:t>37 ont fait de même pour les objectifs de recyclage des DEEE au niveau national.</w:t>
      </w:r>
    </w:p>
    <w:p w14:paraId="5785DEA1" w14:textId="241288F1" w:rsidR="0050763E" w:rsidRPr="007D4988" w:rsidRDefault="0050763E" w:rsidP="0050763E">
      <w:r w:rsidRPr="007D4988">
        <w:t>Il ressort de la quatrième édition du rapport "</w:t>
      </w:r>
      <w:hyperlink r:id="rId169" w:anchor="/fr" w:history="1">
        <w:r w:rsidRPr="007D4988">
          <w:rPr>
            <w:rStyle w:val="Hyperlink"/>
            <w:rFonts w:eastAsia="Times New Roman" w:cs="Times New Roman"/>
            <w:szCs w:val="20"/>
          </w:rPr>
          <w:t>Greening Digital Companies</w:t>
        </w:r>
      </w:hyperlink>
      <w:r w:rsidRPr="007D4988">
        <w:t>" (Pour des entreprises numériques plus écologiques) que les 166 entreprises numériques qui communiquent des données sur les émissions directes et indirectes de gaz à effet de serre provenant de l'électricité achetée (représentant 94% du chiffre d'affaires des 200 entreprises) ont déclaré émettre 297,3 millions de tonnes d'équivalent CO</w:t>
      </w:r>
      <w:r w:rsidRPr="007D4988">
        <w:rPr>
          <w:vertAlign w:val="subscript"/>
        </w:rPr>
        <w:t>2</w:t>
      </w:r>
      <w:r w:rsidRPr="007D4988">
        <w:t xml:space="preserve"> en 2023, soit 0,8% du total des émissions à l'échelle mondiale liées à l'énergie, ce qui représente une augmentation de 1,4% par rapport à 2022. (Pour plus de renseignements sur l'initiative "Action du secteur du numérique pour l'environnement", voir la section </w:t>
      </w:r>
      <w:hyperlink w:anchor="Para54" w:history="1">
        <w:r w:rsidRPr="007D4988">
          <w:rPr>
            <w:rStyle w:val="Hyperlink"/>
            <w:rFonts w:eastAsia="Times New Roman" w:cs="Times New Roman"/>
            <w:szCs w:val="20"/>
          </w:rPr>
          <w:t>5.4</w:t>
        </w:r>
      </w:hyperlink>
      <w:r w:rsidRPr="007D4988">
        <w:t>).</w:t>
      </w:r>
    </w:p>
    <w:p w14:paraId="45BAA44C" w14:textId="77777777" w:rsidR="0050763E" w:rsidRPr="007D4988" w:rsidRDefault="0050763E" w:rsidP="0050763E">
      <w:r w:rsidRPr="007D4988">
        <w:t>Les incidences environnementales des TIC augmentent rapidement, sous l'effet du nombre croissant de dispositifs connectés, de l'expansion des centres de données et de la mise à l'échelle des applications fondées sur l'IA. Ces tendances accélèrent la demande d'énergie et de matières premières et contribuent à une augmentation des émissions, de la pollution et de la production de DEEE. Cette cible devrait donc être redéfinie dans le Plan stratégique pour la période 2028-2031 afin d'inclure explicitement la réduction des incidences environnementales négatives des TIC.</w:t>
      </w:r>
    </w:p>
    <w:p w14:paraId="460BE6D1" w14:textId="60B72F9A" w:rsidR="00015F90" w:rsidRPr="007D4988" w:rsidRDefault="0050763E" w:rsidP="0050763E">
      <w:r w:rsidRPr="007D4988">
        <w:t xml:space="preserve">On trouvera des informations supplémentaires concernant ces cibles dans l'édition la plus récente des rapports phares de l'UIT suivants: </w:t>
      </w:r>
      <w:hyperlink r:id="rId170" w:history="1">
        <w:r w:rsidRPr="007D4988">
          <w:rPr>
            <w:rStyle w:val="Hyperlink"/>
            <w:rFonts w:eastAsia="Times New Roman" w:cs="Times New Roman"/>
            <w:szCs w:val="20"/>
          </w:rPr>
          <w:t>Mesurer le développement du numérique – Faits et chiffres 2024</w:t>
        </w:r>
      </w:hyperlink>
      <w:r w:rsidRPr="007D4988">
        <w:t xml:space="preserve">; </w:t>
      </w:r>
      <w:hyperlink r:id="rId171" w:history="1">
        <w:r w:rsidR="00D97CD7" w:rsidRPr="007D4988">
          <w:rPr>
            <w:rStyle w:val="Hyperlink"/>
            <w:rFonts w:eastAsia="Times New Roman" w:cs="Times New Roman"/>
            <w:szCs w:val="20"/>
          </w:rPr>
          <w:t>Mesurer le développement du numérique – Faits et chiffres: Pleins feux sur les pays en développement sans littoral (juillet 2025)</w:t>
        </w:r>
      </w:hyperlink>
      <w:r w:rsidRPr="007D4988">
        <w:t xml:space="preserve">; ainsi que dans le </w:t>
      </w:r>
      <w:hyperlink r:id="rId172" w:history="1">
        <w:r w:rsidRPr="007D4988">
          <w:rPr>
            <w:rStyle w:val="Hyperlink"/>
            <w:rFonts w:eastAsia="Times New Roman" w:cs="Times New Roman"/>
            <w:szCs w:val="20"/>
          </w:rPr>
          <w:t>Rapport 2025 sur la connectivité dans le monde</w:t>
        </w:r>
      </w:hyperlink>
      <w:r w:rsidRPr="007D4988">
        <w:t>.</w:t>
      </w:r>
    </w:p>
    <w:p w14:paraId="51A2B21F" w14:textId="77777777" w:rsidR="00015F90" w:rsidRPr="007D4988" w:rsidRDefault="00015F90" w:rsidP="00015F90">
      <w:pPr>
        <w:pStyle w:val="Figuretitle"/>
        <w:spacing w:before="240" w:after="240"/>
        <w:rPr>
          <w:bCs/>
        </w:rPr>
      </w:pPr>
      <w:r w:rsidRPr="007D4988">
        <w:rPr>
          <w:bCs/>
        </w:rPr>
        <w:t>Projection de la production de DEEE dans le monde, 2010-2030</w:t>
      </w:r>
    </w:p>
    <w:p w14:paraId="69983310" w14:textId="77777777" w:rsidR="00015F90" w:rsidRPr="007D4988" w:rsidRDefault="00015F90" w:rsidP="00015F90">
      <w:pPr>
        <w:pStyle w:val="Figure"/>
      </w:pPr>
      <w:r w:rsidRPr="007D4988">
        <w:rPr>
          <w:noProof/>
        </w:rPr>
        <w:drawing>
          <wp:inline distT="0" distB="0" distL="0" distR="0" wp14:anchorId="0AF876D7" wp14:editId="78F3DF62">
            <wp:extent cx="4462591" cy="25167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3">
                      <a:extLst>
                        <a:ext uri="{28A0092B-C50C-407E-A947-70E740481C1C}">
                          <a14:useLocalDpi xmlns:a14="http://schemas.microsoft.com/office/drawing/2010/main" val="0"/>
                        </a:ext>
                      </a:extLst>
                    </a:blip>
                    <a:srcRect l="18403" t="9653" r="7513" b="16062"/>
                    <a:stretch/>
                  </pic:blipFill>
                  <pic:spPr bwMode="auto">
                    <a:xfrm>
                      <a:off x="0" y="0"/>
                      <a:ext cx="4490397" cy="2532472"/>
                    </a:xfrm>
                    <a:prstGeom prst="rect">
                      <a:avLst/>
                    </a:prstGeom>
                    <a:noFill/>
                    <a:ln>
                      <a:noFill/>
                    </a:ln>
                    <a:extLst>
                      <a:ext uri="{53640926-AAD7-44D8-BBD7-CCE9431645EC}">
                        <a14:shadowObscured xmlns:a14="http://schemas.microsoft.com/office/drawing/2010/main"/>
                      </a:ext>
                    </a:extLst>
                  </pic:spPr>
                </pic:pic>
              </a:graphicData>
            </a:graphic>
          </wp:inline>
        </w:drawing>
      </w:r>
    </w:p>
    <w:p w14:paraId="0EEBEAEC" w14:textId="77777777" w:rsidR="00015F90" w:rsidRPr="007D4988" w:rsidRDefault="00015F90" w:rsidP="00015F90">
      <w:pPr>
        <w:pStyle w:val="Figurelegend"/>
        <w:rPr>
          <w:i/>
          <w:iCs/>
        </w:rPr>
      </w:pPr>
      <w:r w:rsidRPr="007D4988">
        <w:rPr>
          <w:i/>
          <w:iCs/>
        </w:rPr>
        <w:t xml:space="preserve">Figure 14 – Projection de la production de DEEE dans le monde, 2010-2030. Figure adaptée du Rapport mondial sur les déchets d'équipements électriques et électroniques 2024 (page 28), voir plus </w:t>
      </w:r>
      <w:hyperlink r:id="rId174" w:history="1">
        <w:r w:rsidRPr="007D4988">
          <w:rPr>
            <w:rStyle w:val="Hyperlink"/>
            <w:rFonts w:eastAsia="Times New Roman" w:cs="Times New Roman"/>
            <w:i/>
            <w:iCs/>
            <w:szCs w:val="20"/>
          </w:rPr>
          <w:t>ici</w:t>
        </w:r>
      </w:hyperlink>
      <w:r w:rsidRPr="007D4988">
        <w:rPr>
          <w:i/>
          <w:iCs/>
        </w:rPr>
        <w:t>.</w:t>
      </w:r>
    </w:p>
    <w:p w14:paraId="15560414" w14:textId="44F5441E" w:rsidR="00015F90" w:rsidRPr="007D4988" w:rsidRDefault="00015F90" w:rsidP="00015F90">
      <w:pPr>
        <w:pStyle w:val="Heading1"/>
      </w:pPr>
      <w:bookmarkStart w:id="57" w:name="_Toc225488880"/>
      <w:r w:rsidRPr="007D4988">
        <w:t>4</w:t>
      </w:r>
      <w:r w:rsidRPr="007D4988">
        <w:tab/>
        <w:t>Produits et services</w:t>
      </w:r>
      <w:bookmarkEnd w:id="57"/>
    </w:p>
    <w:p w14:paraId="1FE73701" w14:textId="77777777" w:rsidR="00015F90" w:rsidRPr="007D4988" w:rsidRDefault="00015F90" w:rsidP="00015F90">
      <w:pPr>
        <w:pStyle w:val="Heading2"/>
      </w:pPr>
      <w:bookmarkStart w:id="58" w:name="_Toc225488881"/>
      <w:r w:rsidRPr="007D4988">
        <w:t>4.1</w:t>
      </w:r>
      <w:r w:rsidRPr="007D4988">
        <w:tab/>
        <w:t>Élaboration et application des règlements administratifs de l'UIT</w:t>
      </w:r>
      <w:bookmarkEnd w:id="58"/>
    </w:p>
    <w:p w14:paraId="0435DCA3" w14:textId="77777777" w:rsidR="00015F90" w:rsidRPr="007D4988" w:rsidRDefault="00015F90" w:rsidP="00015F90">
      <w:pPr>
        <w:pStyle w:val="Heading3"/>
      </w:pPr>
      <w:bookmarkStart w:id="59" w:name="_Toc225488882"/>
      <w:r w:rsidRPr="007D4988">
        <w:t>4.1.1</w:t>
      </w:r>
      <w:r w:rsidRPr="007D4988">
        <w:tab/>
        <w:t>Règlement des radiocommunications</w:t>
      </w:r>
      <w:bookmarkEnd w:id="59"/>
    </w:p>
    <w:p w14:paraId="215E0054" w14:textId="77777777" w:rsidR="00015F90" w:rsidRPr="007D4988" w:rsidRDefault="00015F90" w:rsidP="00015F90">
      <w:r w:rsidRPr="007D4988">
        <w:t>L'UIT tient à jour le Règlement des radiocommunications, traité international régissant l'utilisation du spectre des fréquences radioélectriques et des orbites de satellites pour tous les types de communications hertziennes. En faisant respecter la réglementation et en facilitant la coopération internationale en la matière, l'organisation favorise l'accès équitable au spectre et aux orbites et leur utilisation rationnelle, dans la mesure où il s'agit de ressources naturelles limitées.</w:t>
      </w:r>
    </w:p>
    <w:p w14:paraId="2E3F6950" w14:textId="77777777" w:rsidR="00015F90" w:rsidRPr="007D4988" w:rsidRDefault="00015F90" w:rsidP="00015F90">
      <w:r w:rsidRPr="007D4988">
        <w:t>Par l'intermédiaire de l'UIT, les administrations conviennent de l'attribution des fréquences radioélectriques et de leur gestion, ainsi que des procédures de coordination pour éviter les brouillages radioélectriques préjudiciables. L'UIT et son Bureau des radiocommunications (BR) mènent à bien ces activités, en apportant aux États Membres du monde entier leurs compétences en matière de communications terrestres, maritimes, aériennes et spatiales.</w:t>
      </w:r>
    </w:p>
    <w:p w14:paraId="51B7F0E3" w14:textId="77777777" w:rsidR="00015F90" w:rsidRPr="007D4988" w:rsidRDefault="00015F90" w:rsidP="00015F90">
      <w:r w:rsidRPr="007D4988">
        <w:t xml:space="preserve">Le BR a mis en œuvre les résultats de la </w:t>
      </w:r>
      <w:hyperlink r:id="rId175" w:anchor="/fr" w:history="1">
        <w:r w:rsidRPr="007D4988">
          <w:rPr>
            <w:rStyle w:val="Hyperlink"/>
            <w:rFonts w:eastAsia="Times New Roman" w:cs="Times New Roman"/>
            <w:szCs w:val="20"/>
          </w:rPr>
          <w:t>CMR-23</w:t>
        </w:r>
      </w:hyperlink>
      <w:r w:rsidRPr="007D4988">
        <w:t xml:space="preserve"> et prépare actuellement la </w:t>
      </w:r>
      <w:hyperlink r:id="rId176" w:anchor="/fr" w:history="1">
        <w:r w:rsidRPr="007D4988">
          <w:rPr>
            <w:rStyle w:val="Hyperlink"/>
            <w:rFonts w:eastAsia="Times New Roman" w:cs="Times New Roman"/>
            <w:szCs w:val="20"/>
          </w:rPr>
          <w:t>CMR-27</w:t>
        </w:r>
      </w:hyperlink>
      <w:r w:rsidRPr="007D4988">
        <w:t>.</w:t>
      </w:r>
    </w:p>
    <w:p w14:paraId="18A1119A" w14:textId="77777777" w:rsidR="00015F90" w:rsidRPr="007D4988" w:rsidRDefault="00015F90" w:rsidP="00015F90">
      <w:r w:rsidRPr="007D4988">
        <w:t>En particulier:</w:t>
      </w:r>
    </w:p>
    <w:p w14:paraId="762D1251" w14:textId="77777777" w:rsidR="00015F90" w:rsidRPr="007D4988" w:rsidRDefault="00015F90" w:rsidP="00015F90">
      <w:pPr>
        <w:pStyle w:val="enumlev1"/>
      </w:pPr>
      <w:r w:rsidRPr="007D4988">
        <w:t>•</w:t>
      </w:r>
      <w:r w:rsidRPr="007D4988">
        <w:tab/>
        <w:t xml:space="preserve">La nouvelle édition du </w:t>
      </w:r>
      <w:hyperlink r:id="rId177" w:history="1">
        <w:r w:rsidRPr="007D4988">
          <w:rPr>
            <w:rStyle w:val="Hyperlink"/>
            <w:rFonts w:eastAsia="Times New Roman" w:cs="Times New Roman"/>
            <w:szCs w:val="20"/>
          </w:rPr>
          <w:t>Règlement des radiocommunications</w:t>
        </w:r>
      </w:hyperlink>
      <w:r w:rsidRPr="007D4988">
        <w:t xml:space="preserve"> contenant les Actes finals adoptés par la CMR-23 a été publiée en 2024 et peut être téléchargée gratuitement depuis le site web de l'UIT.</w:t>
      </w:r>
    </w:p>
    <w:p w14:paraId="3A24914E" w14:textId="77777777" w:rsidR="00015F90" w:rsidRPr="007D4988" w:rsidRDefault="00015F90" w:rsidP="00015F90">
      <w:pPr>
        <w:pStyle w:val="enumlev1"/>
      </w:pPr>
      <w:r w:rsidRPr="007D4988">
        <w:t>•</w:t>
      </w:r>
      <w:r w:rsidRPr="007D4988">
        <w:tab/>
        <w:t>Le BR continue d'actualiser et de tenir à jour les outils logiciels pour faciliter la mise en œuvre, l'utilisation et l'analyse du Règlement des radiocommunications.</w:t>
      </w:r>
    </w:p>
    <w:p w14:paraId="27E73C1F" w14:textId="10ED47C0" w:rsidR="00015F90" w:rsidRPr="007D4988" w:rsidRDefault="00015F90" w:rsidP="00015F90">
      <w:pPr>
        <w:pStyle w:val="enumlev1"/>
      </w:pPr>
      <w:r w:rsidRPr="007D4988">
        <w:t>•</w:t>
      </w:r>
      <w:r w:rsidRPr="007D4988">
        <w:tab/>
      </w:r>
      <w:hyperlink r:id="rId178" w:anchor="/fr" w:history="1">
        <w:r w:rsidRPr="007D4988">
          <w:rPr>
            <w:rStyle w:val="Hyperlink"/>
            <w:rFonts w:eastAsia="Times New Roman" w:cs="Times New Roman"/>
            <w:szCs w:val="20"/>
          </w:rPr>
          <w:t>L'outil relatif au Tableau d'attribution des bandes de fréquences de l'Article 5 du Règlement des radiocommunications</w:t>
        </w:r>
      </w:hyperlink>
      <w:r w:rsidRPr="007D4988">
        <w:t xml:space="preserve"> et l'</w:t>
      </w:r>
      <w:hyperlink r:id="rId179" w:anchor="/fr" w:history="1">
        <w:r w:rsidRPr="007D4988">
          <w:rPr>
            <w:rStyle w:val="Hyperlink"/>
            <w:rFonts w:eastAsia="Times New Roman" w:cs="Times New Roman"/>
            <w:szCs w:val="20"/>
          </w:rPr>
          <w:t>outil de consultation du Règlement des radiocommunications</w:t>
        </w:r>
      </w:hyperlink>
      <w:r w:rsidRPr="007D4988">
        <w:t xml:space="preserve"> ont été mis à jour conformément à l'édition de 2024.</w:t>
      </w:r>
    </w:p>
    <w:p w14:paraId="6CFA427B" w14:textId="77777777" w:rsidR="00015F90" w:rsidRPr="007D4988" w:rsidRDefault="00015F90" w:rsidP="00015F90">
      <w:pPr>
        <w:pStyle w:val="enumlev1"/>
      </w:pPr>
      <w:r w:rsidRPr="007D4988">
        <w:t>•</w:t>
      </w:r>
      <w:r w:rsidRPr="007D4988">
        <w:tab/>
        <w:t xml:space="preserve">On trouvera de plus amples informations sur les </w:t>
      </w:r>
      <w:hyperlink r:id="rId180" w:history="1">
        <w:r w:rsidRPr="007D4988">
          <w:rPr>
            <w:rStyle w:val="Hyperlink"/>
            <w:rFonts w:eastAsia="Times New Roman" w:cs="Times New Roman"/>
            <w:szCs w:val="20"/>
          </w:rPr>
          <w:t>outils logiciels de l'UIT-R dans la section "Améliorations et évolution des logiciels (2022-2025)"</w:t>
        </w:r>
      </w:hyperlink>
      <w:r w:rsidRPr="007D4988">
        <w:t>.</w:t>
      </w:r>
    </w:p>
    <w:p w14:paraId="57D564FD" w14:textId="77777777" w:rsidR="00015F90" w:rsidRPr="007D4988" w:rsidRDefault="00015F90" w:rsidP="00015F90">
      <w:pPr>
        <w:pStyle w:val="enumlev1"/>
      </w:pPr>
      <w:r w:rsidRPr="007D4988">
        <w:t>•</w:t>
      </w:r>
      <w:r w:rsidRPr="007D4988">
        <w:tab/>
        <w:t xml:space="preserve">Le </w:t>
      </w:r>
      <w:hyperlink r:id="rId181" w:history="1">
        <w:r w:rsidRPr="007D4988">
          <w:rPr>
            <w:rStyle w:val="Hyperlink"/>
            <w:rFonts w:eastAsia="Times New Roman" w:cs="Times New Roman"/>
            <w:szCs w:val="20"/>
          </w:rPr>
          <w:t>Manuel à l'usage des services mobile maritime et mobile maritime par satellite</w:t>
        </w:r>
      </w:hyperlink>
      <w:r w:rsidRPr="007D4988">
        <w:t xml:space="preserve"> (Manuel maritime), publié en décembre 2024, donne un aperçu complet des communications maritimes.</w:t>
      </w:r>
    </w:p>
    <w:p w14:paraId="309024F0" w14:textId="77777777" w:rsidR="00015F90" w:rsidRPr="007D4988" w:rsidRDefault="00015F90" w:rsidP="00015F90">
      <w:pPr>
        <w:pStyle w:val="enumlev1"/>
      </w:pPr>
      <w:r w:rsidRPr="007D4988">
        <w:t>•</w:t>
      </w:r>
      <w:r w:rsidRPr="007D4988">
        <w:tab/>
        <w:t>Le Conseil a adopté l'ordre du jour et arrêté les dates et le lieu de la Conférence mondiale des radiocommunications de 2027 (CMR-27).</w:t>
      </w:r>
    </w:p>
    <w:p w14:paraId="24E5DBAA" w14:textId="77777777" w:rsidR="00015F90" w:rsidRPr="007D4988" w:rsidRDefault="00015F90" w:rsidP="00015F90">
      <w:pPr>
        <w:pStyle w:val="enumlev1"/>
      </w:pPr>
      <w:r w:rsidRPr="007D4988">
        <w:t>•</w:t>
      </w:r>
      <w:r w:rsidRPr="007D4988">
        <w:tab/>
        <w:t>La CMR-27 et l'Assemblée des radiocommunications de 2027 (AR-27) se tiendront à Shanghai (Chine) du 11 octobre au 12 novembre 2027.</w:t>
      </w:r>
    </w:p>
    <w:p w14:paraId="2128BF62" w14:textId="77777777" w:rsidR="00015F90" w:rsidRPr="007D4988" w:rsidRDefault="00015F90" w:rsidP="00015F90">
      <w:pPr>
        <w:pStyle w:val="enumlev1"/>
      </w:pPr>
      <w:r w:rsidRPr="007D4988">
        <w:t>•</w:t>
      </w:r>
      <w:r w:rsidRPr="007D4988">
        <w:tab/>
        <w:t>Les groupes responsables et les groupes contributeurs pour chaque point de l'ordre du jour de la CMR-27, qui ont été identifiés à la première session de la Réunion de préparation à la Conférence (RPC27-1), ont entamé les études préparatoires en vue de la CMR-27.</w:t>
      </w:r>
    </w:p>
    <w:p w14:paraId="3342D60A" w14:textId="77777777" w:rsidR="00015F90" w:rsidRPr="007D4988" w:rsidRDefault="00015F90" w:rsidP="00015F90">
      <w:pPr>
        <w:pStyle w:val="enumlev1"/>
      </w:pPr>
      <w:r w:rsidRPr="007D4988">
        <w:t>•</w:t>
      </w:r>
      <w:r w:rsidRPr="007D4988">
        <w:tab/>
        <w:t>Le BR s'emploie actuellement à traiter les fiches de notification pour les services spatiaux et les services de Terre.</w:t>
      </w:r>
    </w:p>
    <w:p w14:paraId="261A0365" w14:textId="47670048" w:rsidR="00015F90" w:rsidRPr="007D4988" w:rsidRDefault="00015F90" w:rsidP="00015F90">
      <w:pPr>
        <w:pStyle w:val="enumlev1"/>
      </w:pPr>
      <w:r w:rsidRPr="007D4988">
        <w:t>•</w:t>
      </w:r>
      <w:r w:rsidRPr="007D4988">
        <w:tab/>
        <w:t>On trouvera de plus amples renseignements sur les résultats de ces travaux dans la section intitulée "</w:t>
      </w:r>
      <w:hyperlink w:anchor="Section_4_2_1" w:history="1">
        <w:r w:rsidRPr="007D4988">
          <w:rPr>
            <w:rStyle w:val="Hyperlink"/>
            <w:rFonts w:eastAsia="Times New Roman" w:cs="Times New Roman"/>
            <w:szCs w:val="20"/>
          </w:rPr>
          <w:t>Utilisation du spectre pour les services spatiaux et les services de Terre</w:t>
        </w:r>
      </w:hyperlink>
      <w:r w:rsidRPr="007D4988">
        <w:t>".</w:t>
      </w:r>
    </w:p>
    <w:p w14:paraId="4F00F14A" w14:textId="77777777" w:rsidR="00015F90" w:rsidRPr="007D4988" w:rsidRDefault="00015F90" w:rsidP="00015F90">
      <w:pPr>
        <w:pStyle w:val="Heading2"/>
      </w:pPr>
      <w:bookmarkStart w:id="60" w:name="_Toc225488883"/>
      <w:r w:rsidRPr="007D4988">
        <w:t>4.2</w:t>
      </w:r>
      <w:r w:rsidRPr="007D4988">
        <w:tab/>
        <w:t>Attribution et gestion des ressources</w:t>
      </w:r>
      <w:bookmarkEnd w:id="60"/>
    </w:p>
    <w:p w14:paraId="7235752D" w14:textId="77777777" w:rsidR="00015F90" w:rsidRPr="007D4988" w:rsidRDefault="00015F90" w:rsidP="00015F90">
      <w:pPr>
        <w:pStyle w:val="Heading3"/>
      </w:pPr>
      <w:bookmarkStart w:id="61" w:name="_Toc225488884"/>
      <w:bookmarkStart w:id="62" w:name="Section_4_2_1"/>
      <w:r w:rsidRPr="007D4988">
        <w:t>4.2.1</w:t>
      </w:r>
      <w:r w:rsidRPr="007D4988">
        <w:tab/>
        <w:t>Utilisation du spectre pour les services spatiaux et les services de Terre</w:t>
      </w:r>
      <w:bookmarkEnd w:id="61"/>
    </w:p>
    <w:bookmarkEnd w:id="62"/>
    <w:p w14:paraId="07DD42A0" w14:textId="77777777" w:rsidR="00015F90" w:rsidRPr="007D4988" w:rsidRDefault="00015F90" w:rsidP="00015F90">
      <w:pPr>
        <w:pStyle w:val="Tabletitle"/>
        <w:spacing w:before="240" w:after="240"/>
      </w:pPr>
      <w:r w:rsidRPr="007D4988">
        <w:t xml:space="preserve">Résultats du traitement des fiches de notification (services spatiaux) </w:t>
      </w:r>
      <w:r w:rsidRPr="007D4988">
        <w:br/>
        <w:t>et des autres activités connexes pour 2022-2025</w:t>
      </w:r>
    </w:p>
    <w:tbl>
      <w:tblPr>
        <w:tblW w:w="8955" w:type="dxa"/>
        <w:tblLayout w:type="fixed"/>
        <w:tblCellMar>
          <w:left w:w="10" w:type="dxa"/>
          <w:right w:w="10" w:type="dxa"/>
        </w:tblCellMar>
        <w:tblLook w:val="0000" w:firstRow="0" w:lastRow="0" w:firstColumn="0" w:lastColumn="0" w:noHBand="0" w:noVBand="0"/>
      </w:tblPr>
      <w:tblGrid>
        <w:gridCol w:w="3960"/>
        <w:gridCol w:w="810"/>
        <w:gridCol w:w="765"/>
        <w:gridCol w:w="945"/>
        <w:gridCol w:w="1080"/>
        <w:gridCol w:w="1395"/>
      </w:tblGrid>
      <w:tr w:rsidR="00015F90" w:rsidRPr="007D4988" w14:paraId="26B598D2" w14:textId="77777777" w:rsidTr="00E23B2E">
        <w:trPr>
          <w:trHeight w:val="300"/>
        </w:trPr>
        <w:tc>
          <w:tcPr>
            <w:tcW w:w="3960" w:type="dxa"/>
            <w:tcBorders>
              <w:top w:val="single" w:sz="4" w:space="0" w:color="4BACC6"/>
              <w:left w:val="single" w:sz="4" w:space="0" w:color="4BACC6"/>
            </w:tcBorders>
            <w:tcMar>
              <w:top w:w="0" w:type="dxa"/>
              <w:left w:w="108" w:type="dxa"/>
              <w:bottom w:w="0" w:type="dxa"/>
              <w:right w:w="108" w:type="dxa"/>
            </w:tcMar>
          </w:tcPr>
          <w:p w14:paraId="4E51B097" w14:textId="77777777" w:rsidR="00015F90" w:rsidRPr="007D4988" w:rsidRDefault="00015F90" w:rsidP="00E23B2E">
            <w:pPr>
              <w:pStyle w:val="Tablehead"/>
              <w:rPr>
                <w:rFonts w:eastAsia="Calibri"/>
                <w:highlight w:val="yellow"/>
              </w:rPr>
            </w:pPr>
            <w:r w:rsidRPr="007D4988">
              <w:t>Résultats du traitement des fiches de notification (services spatiaux) et des autres activités connexes</w:t>
            </w:r>
          </w:p>
        </w:tc>
        <w:tc>
          <w:tcPr>
            <w:tcW w:w="810" w:type="dxa"/>
            <w:tcBorders>
              <w:top w:val="single" w:sz="4" w:space="0" w:color="4BACC6"/>
            </w:tcBorders>
            <w:tcMar>
              <w:top w:w="0" w:type="dxa"/>
              <w:left w:w="108" w:type="dxa"/>
              <w:bottom w:w="0" w:type="dxa"/>
              <w:right w:w="108" w:type="dxa"/>
            </w:tcMar>
          </w:tcPr>
          <w:p w14:paraId="2EF08119" w14:textId="77777777" w:rsidR="00015F90" w:rsidRPr="007D4988" w:rsidRDefault="00015F90" w:rsidP="00E23B2E">
            <w:pPr>
              <w:pStyle w:val="Tablehead"/>
              <w:rPr>
                <w:rFonts w:eastAsia="Calibri"/>
                <w:highlight w:val="yellow"/>
              </w:rPr>
            </w:pPr>
            <w:r w:rsidRPr="007D4988">
              <w:t>2022</w:t>
            </w:r>
          </w:p>
        </w:tc>
        <w:tc>
          <w:tcPr>
            <w:tcW w:w="765" w:type="dxa"/>
            <w:tcBorders>
              <w:top w:val="single" w:sz="4" w:space="0" w:color="4BACC6"/>
            </w:tcBorders>
            <w:tcMar>
              <w:top w:w="0" w:type="dxa"/>
              <w:left w:w="108" w:type="dxa"/>
              <w:bottom w:w="0" w:type="dxa"/>
              <w:right w:w="108" w:type="dxa"/>
            </w:tcMar>
          </w:tcPr>
          <w:p w14:paraId="5B9579AB" w14:textId="77777777" w:rsidR="00015F90" w:rsidRPr="007D4988" w:rsidRDefault="00015F90" w:rsidP="00E23B2E">
            <w:pPr>
              <w:pStyle w:val="Tablehead"/>
              <w:rPr>
                <w:rFonts w:eastAsia="Calibri"/>
                <w:highlight w:val="yellow"/>
              </w:rPr>
            </w:pPr>
            <w:r w:rsidRPr="007D4988">
              <w:t>2023</w:t>
            </w:r>
          </w:p>
        </w:tc>
        <w:tc>
          <w:tcPr>
            <w:tcW w:w="945" w:type="dxa"/>
            <w:tcBorders>
              <w:top w:val="single" w:sz="4" w:space="0" w:color="4BACC6"/>
            </w:tcBorders>
            <w:tcMar>
              <w:top w:w="0" w:type="dxa"/>
              <w:left w:w="108" w:type="dxa"/>
              <w:bottom w:w="0" w:type="dxa"/>
              <w:right w:w="108" w:type="dxa"/>
            </w:tcMar>
          </w:tcPr>
          <w:p w14:paraId="106969F1" w14:textId="77777777" w:rsidR="00015F90" w:rsidRPr="007D4988" w:rsidRDefault="00015F90" w:rsidP="00E23B2E">
            <w:pPr>
              <w:pStyle w:val="Tablehead"/>
              <w:rPr>
                <w:rFonts w:eastAsia="Calibri"/>
                <w:highlight w:val="yellow"/>
              </w:rPr>
            </w:pPr>
            <w:r w:rsidRPr="007D4988">
              <w:t>2024</w:t>
            </w:r>
          </w:p>
        </w:tc>
        <w:tc>
          <w:tcPr>
            <w:tcW w:w="1080" w:type="dxa"/>
            <w:tcBorders>
              <w:top w:val="single" w:sz="4" w:space="0" w:color="4BACC6"/>
            </w:tcBorders>
            <w:tcMar>
              <w:top w:w="0" w:type="dxa"/>
              <w:left w:w="108" w:type="dxa"/>
              <w:bottom w:w="0" w:type="dxa"/>
              <w:right w:w="108" w:type="dxa"/>
            </w:tcMar>
          </w:tcPr>
          <w:p w14:paraId="37120DB4" w14:textId="77777777" w:rsidR="00015F90" w:rsidRPr="007D4988" w:rsidRDefault="00015F90" w:rsidP="00E23B2E">
            <w:pPr>
              <w:pStyle w:val="Tablehead"/>
              <w:rPr>
                <w:rFonts w:eastAsia="Calibri"/>
                <w:highlight w:val="yellow"/>
              </w:rPr>
            </w:pPr>
            <w:r w:rsidRPr="007D4988">
              <w:t>2025</w:t>
            </w:r>
          </w:p>
        </w:tc>
        <w:tc>
          <w:tcPr>
            <w:tcW w:w="1395" w:type="dxa"/>
            <w:tcBorders>
              <w:top w:val="single" w:sz="4" w:space="0" w:color="4BACC6"/>
              <w:right w:val="single" w:sz="4" w:space="0" w:color="4BACC6"/>
            </w:tcBorders>
            <w:tcMar>
              <w:top w:w="0" w:type="dxa"/>
              <w:left w:w="108" w:type="dxa"/>
              <w:bottom w:w="0" w:type="dxa"/>
              <w:right w:w="108" w:type="dxa"/>
            </w:tcMar>
          </w:tcPr>
          <w:p w14:paraId="4AA49359" w14:textId="77777777" w:rsidR="00015F90" w:rsidRPr="007D4988" w:rsidRDefault="00015F90" w:rsidP="00E23B2E">
            <w:pPr>
              <w:pStyle w:val="Tablehead"/>
              <w:rPr>
                <w:rFonts w:eastAsia="Calibri"/>
                <w:highlight w:val="yellow"/>
              </w:rPr>
            </w:pPr>
            <w:r w:rsidRPr="007D4988">
              <w:t>Total</w:t>
            </w:r>
          </w:p>
        </w:tc>
      </w:tr>
      <w:tr w:rsidR="00015F90" w:rsidRPr="007D4988" w14:paraId="2C736479" w14:textId="77777777" w:rsidTr="00E23B2E">
        <w:trPr>
          <w:trHeight w:val="619"/>
        </w:trPr>
        <w:tc>
          <w:tcPr>
            <w:tcW w:w="3960" w:type="dxa"/>
            <w:tcBorders>
              <w:left w:val="single" w:sz="4" w:space="0" w:color="4BACC6"/>
            </w:tcBorders>
            <w:tcMar>
              <w:top w:w="0" w:type="dxa"/>
              <w:left w:w="108" w:type="dxa"/>
              <w:bottom w:w="0" w:type="dxa"/>
              <w:right w:w="108" w:type="dxa"/>
            </w:tcMar>
            <w:vAlign w:val="center"/>
          </w:tcPr>
          <w:p w14:paraId="1FB481D0" w14:textId="77777777" w:rsidR="00015F90" w:rsidRPr="007D4988" w:rsidRDefault="00015F90" w:rsidP="00E23B2E">
            <w:pPr>
              <w:pStyle w:val="Tabletext"/>
              <w:rPr>
                <w:rFonts w:eastAsia="MS Mincho"/>
              </w:rPr>
            </w:pPr>
            <w:r w:rsidRPr="007D4988">
              <w:t>Demandes de coordination et de notification</w:t>
            </w:r>
          </w:p>
        </w:tc>
        <w:tc>
          <w:tcPr>
            <w:tcW w:w="810" w:type="dxa"/>
            <w:tcMar>
              <w:top w:w="0" w:type="dxa"/>
              <w:left w:w="108" w:type="dxa"/>
              <w:bottom w:w="0" w:type="dxa"/>
              <w:right w:w="108" w:type="dxa"/>
            </w:tcMar>
            <w:vAlign w:val="center"/>
          </w:tcPr>
          <w:p w14:paraId="6AE4D403" w14:textId="77777777" w:rsidR="00015F90" w:rsidRPr="007D4988" w:rsidRDefault="00015F90" w:rsidP="00E23B2E">
            <w:pPr>
              <w:pStyle w:val="Tabletext"/>
              <w:jc w:val="center"/>
              <w:rPr>
                <w:rFonts w:eastAsia="Calibri"/>
                <w:sz w:val="20"/>
                <w:szCs w:val="18"/>
              </w:rPr>
            </w:pPr>
            <w:r w:rsidRPr="007D4988">
              <w:t>1 518</w:t>
            </w:r>
          </w:p>
        </w:tc>
        <w:tc>
          <w:tcPr>
            <w:tcW w:w="765" w:type="dxa"/>
            <w:tcMar>
              <w:top w:w="0" w:type="dxa"/>
              <w:left w:w="108" w:type="dxa"/>
              <w:bottom w:w="0" w:type="dxa"/>
              <w:right w:w="108" w:type="dxa"/>
            </w:tcMar>
            <w:vAlign w:val="center"/>
          </w:tcPr>
          <w:p w14:paraId="67A673EB" w14:textId="77777777" w:rsidR="00015F90" w:rsidRPr="007D4988" w:rsidRDefault="00015F90" w:rsidP="00E23B2E">
            <w:pPr>
              <w:pStyle w:val="Tabletext"/>
              <w:jc w:val="center"/>
              <w:rPr>
                <w:rFonts w:eastAsia="Calibri"/>
                <w:sz w:val="20"/>
                <w:szCs w:val="18"/>
              </w:rPr>
            </w:pPr>
            <w:r w:rsidRPr="007D4988">
              <w:t>1 349</w:t>
            </w:r>
          </w:p>
        </w:tc>
        <w:tc>
          <w:tcPr>
            <w:tcW w:w="945" w:type="dxa"/>
            <w:tcMar>
              <w:top w:w="0" w:type="dxa"/>
              <w:left w:w="108" w:type="dxa"/>
              <w:bottom w:w="0" w:type="dxa"/>
              <w:right w:w="108" w:type="dxa"/>
            </w:tcMar>
            <w:vAlign w:val="center"/>
          </w:tcPr>
          <w:p w14:paraId="77B9EFE2" w14:textId="77777777" w:rsidR="00015F90" w:rsidRPr="007D4988" w:rsidRDefault="00015F90" w:rsidP="00E23B2E">
            <w:pPr>
              <w:pStyle w:val="Tabletext"/>
              <w:jc w:val="center"/>
              <w:rPr>
                <w:rFonts w:eastAsia="Calibri"/>
                <w:sz w:val="20"/>
                <w:szCs w:val="18"/>
              </w:rPr>
            </w:pPr>
            <w:r w:rsidRPr="007D4988">
              <w:t>1 384</w:t>
            </w:r>
          </w:p>
        </w:tc>
        <w:tc>
          <w:tcPr>
            <w:tcW w:w="1080" w:type="dxa"/>
            <w:tcMar>
              <w:top w:w="0" w:type="dxa"/>
              <w:left w:w="108" w:type="dxa"/>
              <w:bottom w:w="0" w:type="dxa"/>
              <w:right w:w="108" w:type="dxa"/>
            </w:tcMar>
            <w:vAlign w:val="center"/>
          </w:tcPr>
          <w:p w14:paraId="3334B86C" w14:textId="77777777" w:rsidR="00015F90" w:rsidRPr="007D4988" w:rsidRDefault="00015F90" w:rsidP="00E23B2E">
            <w:pPr>
              <w:pStyle w:val="Tabletext"/>
              <w:jc w:val="center"/>
              <w:rPr>
                <w:rFonts w:eastAsia="Calibri"/>
                <w:sz w:val="20"/>
                <w:szCs w:val="18"/>
              </w:rPr>
            </w:pPr>
            <w:r w:rsidRPr="007D4988">
              <w:t>1 198</w:t>
            </w:r>
          </w:p>
        </w:tc>
        <w:tc>
          <w:tcPr>
            <w:tcW w:w="1395" w:type="dxa"/>
            <w:tcBorders>
              <w:right w:val="single" w:sz="4" w:space="0" w:color="4BACC6"/>
            </w:tcBorders>
            <w:tcMar>
              <w:top w:w="0" w:type="dxa"/>
              <w:left w:w="108" w:type="dxa"/>
              <w:bottom w:w="0" w:type="dxa"/>
              <w:right w:w="108" w:type="dxa"/>
            </w:tcMar>
            <w:vAlign w:val="center"/>
          </w:tcPr>
          <w:p w14:paraId="0893E2E0" w14:textId="77777777" w:rsidR="00015F90" w:rsidRPr="007D4988" w:rsidRDefault="00015F90" w:rsidP="00E23B2E">
            <w:pPr>
              <w:pStyle w:val="Tabletext"/>
              <w:jc w:val="center"/>
              <w:rPr>
                <w:rFonts w:eastAsia="Calibri"/>
                <w:sz w:val="20"/>
                <w:szCs w:val="18"/>
              </w:rPr>
            </w:pPr>
            <w:r w:rsidRPr="007D4988">
              <w:t>5 459</w:t>
            </w:r>
          </w:p>
        </w:tc>
      </w:tr>
      <w:tr w:rsidR="00015F90" w:rsidRPr="007D4988" w14:paraId="6E46C464" w14:textId="77777777" w:rsidTr="00E23B2E">
        <w:trPr>
          <w:trHeight w:val="699"/>
        </w:trPr>
        <w:tc>
          <w:tcPr>
            <w:tcW w:w="3960" w:type="dxa"/>
            <w:tcBorders>
              <w:left w:val="single" w:sz="4" w:space="0" w:color="4BACC6"/>
            </w:tcBorders>
            <w:tcMar>
              <w:top w:w="0" w:type="dxa"/>
              <w:left w:w="108" w:type="dxa"/>
              <w:bottom w:w="0" w:type="dxa"/>
              <w:right w:w="108" w:type="dxa"/>
            </w:tcMar>
            <w:vAlign w:val="center"/>
          </w:tcPr>
          <w:p w14:paraId="61E2392A" w14:textId="77777777" w:rsidR="00015F90" w:rsidRPr="007D4988" w:rsidRDefault="00015F90" w:rsidP="00E23B2E">
            <w:pPr>
              <w:pStyle w:val="Tabletext"/>
              <w:rPr>
                <w:rFonts w:eastAsia="MS Mincho"/>
              </w:rPr>
            </w:pPr>
            <w:r w:rsidRPr="007D4988">
              <w:t>Demandes concernant le Plan pour le service de radiodiffusion par satellite et le Plan associé pour les liaisons de connexion</w:t>
            </w:r>
          </w:p>
        </w:tc>
        <w:tc>
          <w:tcPr>
            <w:tcW w:w="810" w:type="dxa"/>
            <w:tcMar>
              <w:top w:w="0" w:type="dxa"/>
              <w:left w:w="108" w:type="dxa"/>
              <w:bottom w:w="0" w:type="dxa"/>
              <w:right w:w="108" w:type="dxa"/>
            </w:tcMar>
            <w:vAlign w:val="center"/>
          </w:tcPr>
          <w:p w14:paraId="3EB7FDD7" w14:textId="77777777" w:rsidR="00015F90" w:rsidRPr="007D4988" w:rsidRDefault="00015F90" w:rsidP="00E23B2E">
            <w:pPr>
              <w:pStyle w:val="Tabletext"/>
              <w:jc w:val="center"/>
              <w:rPr>
                <w:rFonts w:eastAsia="Calibri"/>
                <w:sz w:val="20"/>
                <w:szCs w:val="18"/>
              </w:rPr>
            </w:pPr>
            <w:r w:rsidRPr="007D4988">
              <w:t>134</w:t>
            </w:r>
          </w:p>
        </w:tc>
        <w:tc>
          <w:tcPr>
            <w:tcW w:w="765" w:type="dxa"/>
            <w:tcMar>
              <w:top w:w="0" w:type="dxa"/>
              <w:left w:w="108" w:type="dxa"/>
              <w:bottom w:w="0" w:type="dxa"/>
              <w:right w:w="108" w:type="dxa"/>
            </w:tcMar>
            <w:vAlign w:val="center"/>
          </w:tcPr>
          <w:p w14:paraId="3391E511" w14:textId="77777777" w:rsidR="00015F90" w:rsidRPr="007D4988" w:rsidRDefault="00015F90" w:rsidP="00E23B2E">
            <w:pPr>
              <w:pStyle w:val="Tabletext"/>
              <w:jc w:val="center"/>
              <w:rPr>
                <w:rFonts w:eastAsia="Calibri"/>
                <w:sz w:val="20"/>
                <w:szCs w:val="18"/>
              </w:rPr>
            </w:pPr>
            <w:r w:rsidRPr="007D4988">
              <w:t>130*</w:t>
            </w:r>
          </w:p>
        </w:tc>
        <w:tc>
          <w:tcPr>
            <w:tcW w:w="945" w:type="dxa"/>
            <w:tcMar>
              <w:top w:w="0" w:type="dxa"/>
              <w:left w:w="108" w:type="dxa"/>
              <w:bottom w:w="0" w:type="dxa"/>
              <w:right w:w="108" w:type="dxa"/>
            </w:tcMar>
            <w:vAlign w:val="center"/>
          </w:tcPr>
          <w:p w14:paraId="7F0D8D58" w14:textId="77777777" w:rsidR="00015F90" w:rsidRPr="007D4988" w:rsidRDefault="00015F90" w:rsidP="00E23B2E">
            <w:pPr>
              <w:pStyle w:val="Tabletext"/>
              <w:jc w:val="center"/>
              <w:rPr>
                <w:rFonts w:eastAsia="Calibri"/>
                <w:sz w:val="20"/>
                <w:szCs w:val="18"/>
              </w:rPr>
            </w:pPr>
            <w:r w:rsidRPr="007D4988">
              <w:t>204**</w:t>
            </w:r>
          </w:p>
        </w:tc>
        <w:tc>
          <w:tcPr>
            <w:tcW w:w="1080" w:type="dxa"/>
            <w:tcMar>
              <w:top w:w="0" w:type="dxa"/>
              <w:left w:w="108" w:type="dxa"/>
              <w:bottom w:w="0" w:type="dxa"/>
              <w:right w:w="108" w:type="dxa"/>
            </w:tcMar>
            <w:vAlign w:val="center"/>
          </w:tcPr>
          <w:p w14:paraId="45F476CF" w14:textId="77777777" w:rsidR="00015F90" w:rsidRPr="007D4988" w:rsidRDefault="00015F90" w:rsidP="00E23B2E">
            <w:pPr>
              <w:pStyle w:val="Tabletext"/>
              <w:jc w:val="center"/>
              <w:rPr>
                <w:rFonts w:eastAsia="Calibri"/>
                <w:sz w:val="20"/>
                <w:szCs w:val="18"/>
              </w:rPr>
            </w:pPr>
            <w:r w:rsidRPr="007D4988">
              <w:t>90</w:t>
            </w:r>
          </w:p>
        </w:tc>
        <w:tc>
          <w:tcPr>
            <w:tcW w:w="1395" w:type="dxa"/>
            <w:tcBorders>
              <w:right w:val="single" w:sz="4" w:space="0" w:color="4BACC6"/>
            </w:tcBorders>
            <w:tcMar>
              <w:top w:w="0" w:type="dxa"/>
              <w:left w:w="108" w:type="dxa"/>
              <w:bottom w:w="0" w:type="dxa"/>
              <w:right w:w="108" w:type="dxa"/>
            </w:tcMar>
            <w:vAlign w:val="center"/>
          </w:tcPr>
          <w:p w14:paraId="4E7EB731" w14:textId="77777777" w:rsidR="00015F90" w:rsidRPr="007D4988" w:rsidRDefault="00015F90" w:rsidP="00E23B2E">
            <w:pPr>
              <w:pStyle w:val="Tabletext"/>
              <w:jc w:val="center"/>
              <w:rPr>
                <w:rFonts w:eastAsia="Calibri"/>
                <w:sz w:val="20"/>
                <w:szCs w:val="18"/>
              </w:rPr>
            </w:pPr>
            <w:r w:rsidRPr="007D4988">
              <w:t>558</w:t>
            </w:r>
          </w:p>
        </w:tc>
      </w:tr>
      <w:tr w:rsidR="00015F90" w:rsidRPr="007D4988" w14:paraId="05D261E4" w14:textId="77777777" w:rsidTr="00E23B2E">
        <w:trPr>
          <w:trHeight w:val="585"/>
        </w:trPr>
        <w:tc>
          <w:tcPr>
            <w:tcW w:w="3960" w:type="dxa"/>
            <w:tcBorders>
              <w:left w:val="single" w:sz="4" w:space="0" w:color="4BACC6"/>
              <w:bottom w:val="single" w:sz="4" w:space="0" w:color="4BACC6"/>
            </w:tcBorders>
            <w:tcMar>
              <w:top w:w="0" w:type="dxa"/>
              <w:left w:w="108" w:type="dxa"/>
              <w:bottom w:w="0" w:type="dxa"/>
              <w:right w:w="108" w:type="dxa"/>
            </w:tcMar>
            <w:vAlign w:val="center"/>
          </w:tcPr>
          <w:p w14:paraId="2BE91841" w14:textId="77777777" w:rsidR="00015F90" w:rsidRPr="007D4988" w:rsidRDefault="00015F90" w:rsidP="00E23B2E">
            <w:pPr>
              <w:pStyle w:val="Tabletext"/>
              <w:rPr>
                <w:rFonts w:eastAsia="MS Mincho"/>
              </w:rPr>
            </w:pPr>
            <w:r w:rsidRPr="007D4988">
              <w:t>Demandes concernant le Plan pour le service fixe par satellite</w:t>
            </w:r>
          </w:p>
        </w:tc>
        <w:tc>
          <w:tcPr>
            <w:tcW w:w="810" w:type="dxa"/>
            <w:tcBorders>
              <w:bottom w:val="single" w:sz="4" w:space="0" w:color="4BACC6"/>
            </w:tcBorders>
            <w:tcMar>
              <w:top w:w="0" w:type="dxa"/>
              <w:left w:w="108" w:type="dxa"/>
              <w:bottom w:w="0" w:type="dxa"/>
              <w:right w:w="108" w:type="dxa"/>
            </w:tcMar>
            <w:vAlign w:val="center"/>
          </w:tcPr>
          <w:p w14:paraId="28544D0E" w14:textId="77777777" w:rsidR="00015F90" w:rsidRPr="007D4988" w:rsidRDefault="00015F90" w:rsidP="00E23B2E">
            <w:pPr>
              <w:pStyle w:val="Tabletext"/>
              <w:jc w:val="center"/>
              <w:rPr>
                <w:rFonts w:eastAsia="Calibri"/>
                <w:sz w:val="20"/>
                <w:szCs w:val="18"/>
              </w:rPr>
            </w:pPr>
            <w:r w:rsidRPr="007D4988">
              <w:t>134</w:t>
            </w:r>
          </w:p>
        </w:tc>
        <w:tc>
          <w:tcPr>
            <w:tcW w:w="765" w:type="dxa"/>
            <w:tcBorders>
              <w:bottom w:val="single" w:sz="4" w:space="0" w:color="4BACC6"/>
            </w:tcBorders>
            <w:tcMar>
              <w:top w:w="0" w:type="dxa"/>
              <w:left w:w="108" w:type="dxa"/>
              <w:bottom w:w="0" w:type="dxa"/>
              <w:right w:w="108" w:type="dxa"/>
            </w:tcMar>
            <w:vAlign w:val="center"/>
          </w:tcPr>
          <w:p w14:paraId="451CEAF3" w14:textId="77777777" w:rsidR="00015F90" w:rsidRPr="007D4988" w:rsidRDefault="00015F90" w:rsidP="00E23B2E">
            <w:pPr>
              <w:pStyle w:val="Tabletext"/>
              <w:jc w:val="center"/>
              <w:rPr>
                <w:rFonts w:eastAsia="Calibri"/>
                <w:sz w:val="20"/>
                <w:szCs w:val="18"/>
              </w:rPr>
            </w:pPr>
            <w:r w:rsidRPr="007D4988">
              <w:t>92</w:t>
            </w:r>
          </w:p>
        </w:tc>
        <w:tc>
          <w:tcPr>
            <w:tcW w:w="945" w:type="dxa"/>
            <w:tcBorders>
              <w:bottom w:val="single" w:sz="4" w:space="0" w:color="4BACC6"/>
            </w:tcBorders>
            <w:tcMar>
              <w:top w:w="0" w:type="dxa"/>
              <w:left w:w="108" w:type="dxa"/>
              <w:bottom w:w="0" w:type="dxa"/>
              <w:right w:w="108" w:type="dxa"/>
            </w:tcMar>
            <w:vAlign w:val="center"/>
          </w:tcPr>
          <w:p w14:paraId="016E5674" w14:textId="77777777" w:rsidR="00015F90" w:rsidRPr="007D4988" w:rsidRDefault="00015F90" w:rsidP="00E23B2E">
            <w:pPr>
              <w:pStyle w:val="Tabletext"/>
              <w:jc w:val="center"/>
              <w:rPr>
                <w:rFonts w:eastAsia="Calibri"/>
                <w:sz w:val="20"/>
                <w:szCs w:val="18"/>
              </w:rPr>
            </w:pPr>
            <w:r w:rsidRPr="007D4988">
              <w:t>87***</w:t>
            </w:r>
          </w:p>
        </w:tc>
        <w:tc>
          <w:tcPr>
            <w:tcW w:w="1080" w:type="dxa"/>
            <w:tcBorders>
              <w:bottom w:val="single" w:sz="4" w:space="0" w:color="4BACC6"/>
            </w:tcBorders>
            <w:tcMar>
              <w:top w:w="0" w:type="dxa"/>
              <w:left w:w="108" w:type="dxa"/>
              <w:bottom w:w="0" w:type="dxa"/>
              <w:right w:w="108" w:type="dxa"/>
            </w:tcMar>
            <w:vAlign w:val="center"/>
          </w:tcPr>
          <w:p w14:paraId="00F76262" w14:textId="77777777" w:rsidR="00015F90" w:rsidRPr="007D4988" w:rsidRDefault="00015F90" w:rsidP="00E23B2E">
            <w:pPr>
              <w:pStyle w:val="Tabletext"/>
              <w:jc w:val="center"/>
              <w:rPr>
                <w:rFonts w:eastAsia="Calibri"/>
                <w:sz w:val="20"/>
                <w:szCs w:val="18"/>
              </w:rPr>
            </w:pPr>
            <w:r w:rsidRPr="007D4988">
              <w:t>53</w:t>
            </w:r>
          </w:p>
        </w:tc>
        <w:tc>
          <w:tcPr>
            <w:tcW w:w="1395" w:type="dxa"/>
            <w:tcBorders>
              <w:bottom w:val="single" w:sz="4" w:space="0" w:color="4BACC6"/>
              <w:right w:val="single" w:sz="4" w:space="0" w:color="4BACC6"/>
            </w:tcBorders>
            <w:tcMar>
              <w:top w:w="0" w:type="dxa"/>
              <w:left w:w="108" w:type="dxa"/>
              <w:bottom w:w="0" w:type="dxa"/>
              <w:right w:w="108" w:type="dxa"/>
            </w:tcMar>
            <w:vAlign w:val="center"/>
          </w:tcPr>
          <w:p w14:paraId="2D85EC99" w14:textId="77777777" w:rsidR="00015F90" w:rsidRPr="007D4988" w:rsidRDefault="00015F90" w:rsidP="00E23B2E">
            <w:pPr>
              <w:pStyle w:val="Tabletext"/>
              <w:jc w:val="center"/>
              <w:rPr>
                <w:rFonts w:eastAsia="Calibri"/>
                <w:sz w:val="20"/>
                <w:szCs w:val="18"/>
              </w:rPr>
            </w:pPr>
            <w:r w:rsidRPr="007D4988">
              <w:t>366</w:t>
            </w:r>
          </w:p>
        </w:tc>
      </w:tr>
    </w:tbl>
    <w:p w14:paraId="73022AC6" w14:textId="77777777" w:rsidR="00015F90" w:rsidRPr="007D4988" w:rsidRDefault="00015F90" w:rsidP="00015F90">
      <w:pPr>
        <w:pStyle w:val="Tablelegend"/>
        <w:tabs>
          <w:tab w:val="clear" w:pos="284"/>
        </w:tabs>
        <w:ind w:left="0" w:firstLine="0"/>
        <w:rPr>
          <w:i/>
          <w:iCs/>
        </w:rPr>
      </w:pPr>
      <w:r w:rsidRPr="007D4988">
        <w:rPr>
          <w:i/>
          <w:iCs/>
        </w:rPr>
        <w:t>Tableau 1 – Résultats du traitement des fiches de notification (services spatiaux) et des autres activités connexes pour 2022-2025.</w:t>
      </w:r>
    </w:p>
    <w:p w14:paraId="352FE64E" w14:textId="77777777" w:rsidR="00015F90" w:rsidRPr="007D4988" w:rsidRDefault="00015F90" w:rsidP="004E1DC9">
      <w:pPr>
        <w:pStyle w:val="Tablelegend"/>
        <w:tabs>
          <w:tab w:val="clear" w:pos="284"/>
          <w:tab w:val="clear" w:pos="567"/>
        </w:tabs>
        <w:ind w:left="448" w:hanging="448"/>
        <w:rPr>
          <w:i/>
          <w:iCs/>
        </w:rPr>
      </w:pPr>
      <w:r w:rsidRPr="007D4988">
        <w:rPr>
          <w:i/>
          <w:iCs/>
        </w:rPr>
        <w:t>*</w:t>
      </w:r>
      <w:r w:rsidRPr="007D4988">
        <w:rPr>
          <w:i/>
          <w:iCs/>
        </w:rPr>
        <w:tab/>
        <w:t>Dont 90 inscriptions dans la Liste des Régions 1 et 3 en application de la Résolution 559 (CMR</w:t>
      </w:r>
      <w:r w:rsidRPr="007D4988">
        <w:rPr>
          <w:i/>
          <w:iCs/>
        </w:rPr>
        <w:noBreakHyphen/>
        <w:t>19) par 45 pays.</w:t>
      </w:r>
    </w:p>
    <w:p w14:paraId="09A2FDA7" w14:textId="77777777" w:rsidR="00015F90" w:rsidRPr="007D4988" w:rsidRDefault="00015F90" w:rsidP="004E1DC9">
      <w:pPr>
        <w:pStyle w:val="Tablelegend"/>
        <w:tabs>
          <w:tab w:val="clear" w:pos="284"/>
          <w:tab w:val="clear" w:pos="567"/>
        </w:tabs>
        <w:ind w:left="426" w:hanging="426"/>
        <w:rPr>
          <w:i/>
          <w:iCs/>
        </w:rPr>
      </w:pPr>
      <w:r w:rsidRPr="007D4988">
        <w:rPr>
          <w:i/>
          <w:iCs/>
        </w:rPr>
        <w:t>**</w:t>
      </w:r>
      <w:r w:rsidRPr="007D4988">
        <w:rPr>
          <w:i/>
          <w:iCs/>
        </w:rPr>
        <w:tab/>
        <w:t>Dont 82 inscriptions dans la Liste des Régions 1 et 3 à la suite de l'application réussie de la Résolution 559 (CMR</w:t>
      </w:r>
      <w:r w:rsidRPr="007D4988">
        <w:rPr>
          <w:i/>
          <w:iCs/>
        </w:rPr>
        <w:noBreakHyphen/>
        <w:t>19) par 41 pays.</w:t>
      </w:r>
    </w:p>
    <w:p w14:paraId="4CE9B5CD" w14:textId="68A0A372" w:rsidR="00015F90" w:rsidRPr="007D4988" w:rsidRDefault="00015F90" w:rsidP="00015F90">
      <w:pPr>
        <w:pStyle w:val="Tablelegend"/>
        <w:tabs>
          <w:tab w:val="clear" w:pos="284"/>
        </w:tabs>
        <w:ind w:left="426" w:hanging="426"/>
        <w:rPr>
          <w:i/>
          <w:iCs/>
        </w:rPr>
      </w:pPr>
      <w:r w:rsidRPr="007D4988">
        <w:rPr>
          <w:i/>
          <w:iCs/>
        </w:rPr>
        <w:t>***</w:t>
      </w:r>
      <w:r w:rsidRPr="007D4988">
        <w:rPr>
          <w:i/>
          <w:iCs/>
        </w:rPr>
        <w:tab/>
        <w:t>Dont sept nouvelles inscriptions dans le Plan pour les États Membres de l'UIT n'ayant pas encore d'allotissement.</w:t>
      </w:r>
    </w:p>
    <w:p w14:paraId="3CF053E9" w14:textId="77777777" w:rsidR="00015F90" w:rsidRPr="007D4988" w:rsidRDefault="00015F90" w:rsidP="00015F90">
      <w:pPr>
        <w:pStyle w:val="Tabletitle"/>
        <w:spacing w:before="240" w:after="240"/>
      </w:pPr>
      <w:r w:rsidRPr="007D4988">
        <w:t>Fiches de notification relatives aux services de Terre pour 2022-2025</w:t>
      </w:r>
    </w:p>
    <w:tbl>
      <w:tblPr>
        <w:tblW w:w="8895" w:type="dxa"/>
        <w:tblLayout w:type="fixed"/>
        <w:tblCellMar>
          <w:left w:w="10" w:type="dxa"/>
          <w:right w:w="10" w:type="dxa"/>
        </w:tblCellMar>
        <w:tblLook w:val="0000" w:firstRow="0" w:lastRow="0" w:firstColumn="0" w:lastColumn="0" w:noHBand="0" w:noVBand="0"/>
      </w:tblPr>
      <w:tblGrid>
        <w:gridCol w:w="3225"/>
        <w:gridCol w:w="1110"/>
        <w:gridCol w:w="1110"/>
        <w:gridCol w:w="1035"/>
        <w:gridCol w:w="990"/>
        <w:gridCol w:w="1425"/>
      </w:tblGrid>
      <w:tr w:rsidR="00015F90" w:rsidRPr="007D4988" w14:paraId="39981B07" w14:textId="77777777" w:rsidTr="00840C7B">
        <w:trPr>
          <w:trHeight w:val="300"/>
          <w:tblHeader/>
        </w:trPr>
        <w:tc>
          <w:tcPr>
            <w:tcW w:w="3225" w:type="dxa"/>
            <w:tcBorders>
              <w:top w:val="single" w:sz="4" w:space="0" w:color="4BACC6"/>
              <w:left w:val="single" w:sz="4" w:space="0" w:color="4BACC6"/>
            </w:tcBorders>
            <w:tcMar>
              <w:top w:w="0" w:type="dxa"/>
              <w:left w:w="108" w:type="dxa"/>
              <w:bottom w:w="0" w:type="dxa"/>
              <w:right w:w="108" w:type="dxa"/>
            </w:tcMar>
          </w:tcPr>
          <w:p w14:paraId="6ACFF4B3" w14:textId="77777777" w:rsidR="00015F90" w:rsidRPr="007D4988" w:rsidRDefault="00015F90" w:rsidP="00E23B2E">
            <w:pPr>
              <w:pStyle w:val="Tablehead"/>
              <w:rPr>
                <w:rFonts w:eastAsia="Calibri"/>
              </w:rPr>
            </w:pPr>
            <w:r w:rsidRPr="007D4988">
              <w:t xml:space="preserve">Résultats du traitement des fiches de notification </w:t>
            </w:r>
            <w:r w:rsidRPr="007D4988">
              <w:br/>
              <w:t>(services de Terre)</w:t>
            </w:r>
          </w:p>
        </w:tc>
        <w:tc>
          <w:tcPr>
            <w:tcW w:w="1110" w:type="dxa"/>
            <w:tcBorders>
              <w:top w:val="single" w:sz="4" w:space="0" w:color="4BACC6"/>
            </w:tcBorders>
            <w:tcMar>
              <w:top w:w="0" w:type="dxa"/>
              <w:left w:w="108" w:type="dxa"/>
              <w:bottom w:w="0" w:type="dxa"/>
              <w:right w:w="108" w:type="dxa"/>
            </w:tcMar>
          </w:tcPr>
          <w:p w14:paraId="46EB55D0" w14:textId="77777777" w:rsidR="00015F90" w:rsidRPr="007D4988" w:rsidRDefault="00015F90" w:rsidP="00E23B2E">
            <w:pPr>
              <w:pStyle w:val="Tablehead"/>
              <w:rPr>
                <w:rFonts w:eastAsia="Calibri"/>
              </w:rPr>
            </w:pPr>
            <w:r w:rsidRPr="007D4988">
              <w:t>2022</w:t>
            </w:r>
          </w:p>
        </w:tc>
        <w:tc>
          <w:tcPr>
            <w:tcW w:w="1110" w:type="dxa"/>
            <w:tcBorders>
              <w:top w:val="single" w:sz="4" w:space="0" w:color="4BACC6"/>
            </w:tcBorders>
            <w:tcMar>
              <w:top w:w="0" w:type="dxa"/>
              <w:left w:w="108" w:type="dxa"/>
              <w:bottom w:w="0" w:type="dxa"/>
              <w:right w:w="108" w:type="dxa"/>
            </w:tcMar>
          </w:tcPr>
          <w:p w14:paraId="4D47DDDC" w14:textId="77777777" w:rsidR="00015F90" w:rsidRPr="007D4988" w:rsidRDefault="00015F90" w:rsidP="00E23B2E">
            <w:pPr>
              <w:pStyle w:val="Tablehead"/>
              <w:rPr>
                <w:rFonts w:eastAsia="Calibri"/>
              </w:rPr>
            </w:pPr>
            <w:r w:rsidRPr="007D4988">
              <w:t>2023</w:t>
            </w:r>
          </w:p>
        </w:tc>
        <w:tc>
          <w:tcPr>
            <w:tcW w:w="1035" w:type="dxa"/>
            <w:tcBorders>
              <w:top w:val="single" w:sz="4" w:space="0" w:color="4BACC6"/>
            </w:tcBorders>
            <w:tcMar>
              <w:top w:w="0" w:type="dxa"/>
              <w:left w:w="108" w:type="dxa"/>
              <w:bottom w:w="0" w:type="dxa"/>
              <w:right w:w="108" w:type="dxa"/>
            </w:tcMar>
          </w:tcPr>
          <w:p w14:paraId="59171DD5" w14:textId="77777777" w:rsidR="00015F90" w:rsidRPr="007D4988" w:rsidRDefault="00015F90" w:rsidP="00E23B2E">
            <w:pPr>
              <w:pStyle w:val="Tablehead"/>
              <w:rPr>
                <w:rFonts w:eastAsia="Calibri"/>
              </w:rPr>
            </w:pPr>
            <w:r w:rsidRPr="007D4988">
              <w:t>2024</w:t>
            </w:r>
          </w:p>
        </w:tc>
        <w:tc>
          <w:tcPr>
            <w:tcW w:w="990" w:type="dxa"/>
            <w:tcBorders>
              <w:top w:val="single" w:sz="4" w:space="0" w:color="4BACC6"/>
            </w:tcBorders>
            <w:tcMar>
              <w:top w:w="0" w:type="dxa"/>
              <w:left w:w="108" w:type="dxa"/>
              <w:bottom w:w="0" w:type="dxa"/>
              <w:right w:w="108" w:type="dxa"/>
            </w:tcMar>
          </w:tcPr>
          <w:p w14:paraId="66E05735" w14:textId="77777777" w:rsidR="00015F90" w:rsidRPr="007D4988" w:rsidRDefault="00015F90" w:rsidP="00E23B2E">
            <w:pPr>
              <w:pStyle w:val="Tablehead"/>
              <w:rPr>
                <w:rFonts w:eastAsia="Calibri"/>
              </w:rPr>
            </w:pPr>
            <w:r w:rsidRPr="007D4988">
              <w:t>2025</w:t>
            </w:r>
          </w:p>
        </w:tc>
        <w:tc>
          <w:tcPr>
            <w:tcW w:w="1425" w:type="dxa"/>
            <w:tcBorders>
              <w:top w:val="single" w:sz="4" w:space="0" w:color="4BACC6"/>
              <w:right w:val="single" w:sz="4" w:space="0" w:color="4BACC6"/>
            </w:tcBorders>
            <w:tcMar>
              <w:top w:w="0" w:type="dxa"/>
              <w:left w:w="108" w:type="dxa"/>
              <w:bottom w:w="0" w:type="dxa"/>
              <w:right w:w="108" w:type="dxa"/>
            </w:tcMar>
          </w:tcPr>
          <w:p w14:paraId="477E7C7F" w14:textId="77777777" w:rsidR="00015F90" w:rsidRPr="007D4988" w:rsidRDefault="00015F90" w:rsidP="00E23B2E">
            <w:pPr>
              <w:pStyle w:val="Tablehead"/>
            </w:pPr>
            <w:r w:rsidRPr="007D4988">
              <w:t>Total</w:t>
            </w:r>
          </w:p>
          <w:p w14:paraId="5A7AF1B9" w14:textId="77777777" w:rsidR="00015F90" w:rsidRPr="007D4988" w:rsidRDefault="00015F90" w:rsidP="00E23B2E">
            <w:pPr>
              <w:pStyle w:val="Tablehead"/>
              <w:rPr>
                <w:rFonts w:eastAsia="Calibri"/>
              </w:rPr>
            </w:pPr>
            <w:r w:rsidRPr="007D4988">
              <w:t>2022-2025</w:t>
            </w:r>
          </w:p>
        </w:tc>
      </w:tr>
      <w:tr w:rsidR="00015F90" w:rsidRPr="007D4988" w14:paraId="5234408B" w14:textId="77777777" w:rsidTr="00E23B2E">
        <w:trPr>
          <w:trHeight w:val="674"/>
        </w:trPr>
        <w:tc>
          <w:tcPr>
            <w:tcW w:w="3225" w:type="dxa"/>
            <w:tcBorders>
              <w:left w:val="single" w:sz="4" w:space="0" w:color="4BACC6"/>
            </w:tcBorders>
            <w:tcMar>
              <w:top w:w="0" w:type="dxa"/>
              <w:left w:w="108" w:type="dxa"/>
              <w:bottom w:w="0" w:type="dxa"/>
              <w:right w:w="108" w:type="dxa"/>
            </w:tcMar>
            <w:vAlign w:val="center"/>
          </w:tcPr>
          <w:p w14:paraId="1B51A6B3" w14:textId="77777777" w:rsidR="00015F90" w:rsidRPr="007D4988" w:rsidRDefault="00015F90" w:rsidP="00E23B2E">
            <w:pPr>
              <w:pStyle w:val="Tabletext"/>
              <w:rPr>
                <w:rFonts w:eastAsia="MS Mincho"/>
              </w:rPr>
            </w:pPr>
            <w:r w:rsidRPr="007D4988">
              <w:t>Fiches de notification inscrites dans le Fichier de référence ou dans les Plans</w:t>
            </w:r>
          </w:p>
        </w:tc>
        <w:tc>
          <w:tcPr>
            <w:tcW w:w="1110" w:type="dxa"/>
            <w:tcMar>
              <w:top w:w="0" w:type="dxa"/>
              <w:left w:w="108" w:type="dxa"/>
              <w:bottom w:w="0" w:type="dxa"/>
              <w:right w:w="108" w:type="dxa"/>
            </w:tcMar>
            <w:vAlign w:val="center"/>
          </w:tcPr>
          <w:p w14:paraId="2674DBA0" w14:textId="77777777" w:rsidR="00015F90" w:rsidRPr="007D4988" w:rsidRDefault="00015F90" w:rsidP="00E23B2E">
            <w:pPr>
              <w:pStyle w:val="Tabletext"/>
              <w:jc w:val="center"/>
              <w:rPr>
                <w:rFonts w:eastAsia="Calibri"/>
                <w:sz w:val="20"/>
              </w:rPr>
            </w:pPr>
            <w:r w:rsidRPr="007D4988">
              <w:t>63 893/</w:t>
            </w:r>
            <w:r w:rsidRPr="007D4988">
              <w:br/>
              <w:t>16 250</w:t>
            </w:r>
          </w:p>
        </w:tc>
        <w:tc>
          <w:tcPr>
            <w:tcW w:w="1110" w:type="dxa"/>
            <w:tcMar>
              <w:top w:w="0" w:type="dxa"/>
              <w:left w:w="108" w:type="dxa"/>
              <w:bottom w:w="0" w:type="dxa"/>
              <w:right w:w="108" w:type="dxa"/>
            </w:tcMar>
            <w:vAlign w:val="center"/>
          </w:tcPr>
          <w:p w14:paraId="6C1A3E3F" w14:textId="77777777" w:rsidR="00015F90" w:rsidRPr="007D4988" w:rsidRDefault="00015F90" w:rsidP="00E23B2E">
            <w:pPr>
              <w:pStyle w:val="Tabletext"/>
              <w:jc w:val="center"/>
              <w:rPr>
                <w:rFonts w:eastAsia="Calibri"/>
                <w:sz w:val="20"/>
              </w:rPr>
            </w:pPr>
            <w:r w:rsidRPr="007D4988">
              <w:t>71 083/</w:t>
            </w:r>
            <w:r w:rsidRPr="007D4988">
              <w:br/>
              <w:t>28 076</w:t>
            </w:r>
          </w:p>
        </w:tc>
        <w:tc>
          <w:tcPr>
            <w:tcW w:w="1035" w:type="dxa"/>
            <w:tcMar>
              <w:top w:w="0" w:type="dxa"/>
              <w:left w:w="108" w:type="dxa"/>
              <w:bottom w:w="0" w:type="dxa"/>
              <w:right w:w="108" w:type="dxa"/>
            </w:tcMar>
            <w:vAlign w:val="center"/>
          </w:tcPr>
          <w:p w14:paraId="45D2EEC6" w14:textId="77777777" w:rsidR="00015F90" w:rsidRPr="007D4988" w:rsidRDefault="00015F90" w:rsidP="00E23B2E">
            <w:pPr>
              <w:pStyle w:val="Tabletext"/>
              <w:jc w:val="center"/>
              <w:rPr>
                <w:rFonts w:eastAsia="Calibri"/>
                <w:sz w:val="20"/>
              </w:rPr>
            </w:pPr>
            <w:r w:rsidRPr="007D4988">
              <w:t>71 072/</w:t>
            </w:r>
            <w:r w:rsidRPr="007D4988">
              <w:br/>
              <w:t>16 878</w:t>
            </w:r>
          </w:p>
        </w:tc>
        <w:tc>
          <w:tcPr>
            <w:tcW w:w="990" w:type="dxa"/>
            <w:tcMar>
              <w:top w:w="0" w:type="dxa"/>
              <w:left w:w="108" w:type="dxa"/>
              <w:bottom w:w="0" w:type="dxa"/>
              <w:right w:w="108" w:type="dxa"/>
            </w:tcMar>
            <w:vAlign w:val="center"/>
          </w:tcPr>
          <w:p w14:paraId="481EED62" w14:textId="77777777" w:rsidR="00015F90" w:rsidRPr="007D4988" w:rsidRDefault="00015F90" w:rsidP="00E23B2E">
            <w:pPr>
              <w:pStyle w:val="Tabletext"/>
              <w:jc w:val="center"/>
              <w:rPr>
                <w:rFonts w:eastAsia="Calibri"/>
                <w:sz w:val="20"/>
              </w:rPr>
            </w:pPr>
            <w:r w:rsidRPr="007D4988">
              <w:t>45 109/</w:t>
            </w:r>
            <w:r w:rsidRPr="007D4988">
              <w:br/>
              <w:t>21 998</w:t>
            </w:r>
          </w:p>
        </w:tc>
        <w:tc>
          <w:tcPr>
            <w:tcW w:w="1425" w:type="dxa"/>
            <w:tcBorders>
              <w:right w:val="single" w:sz="4" w:space="0" w:color="4BACC6"/>
            </w:tcBorders>
            <w:tcMar>
              <w:top w:w="0" w:type="dxa"/>
              <w:left w:w="108" w:type="dxa"/>
              <w:bottom w:w="0" w:type="dxa"/>
              <w:right w:w="108" w:type="dxa"/>
            </w:tcMar>
            <w:vAlign w:val="center"/>
          </w:tcPr>
          <w:p w14:paraId="65859F11" w14:textId="77777777" w:rsidR="00015F90" w:rsidRPr="007D4988" w:rsidRDefault="00015F90" w:rsidP="00E23B2E">
            <w:pPr>
              <w:pStyle w:val="Tabletext"/>
              <w:jc w:val="center"/>
              <w:rPr>
                <w:rFonts w:eastAsia="Calibri"/>
                <w:sz w:val="20"/>
              </w:rPr>
            </w:pPr>
            <w:r w:rsidRPr="007D4988">
              <w:t>251 157/</w:t>
            </w:r>
            <w:r w:rsidRPr="007D4988">
              <w:br/>
              <w:t>83 202</w:t>
            </w:r>
          </w:p>
        </w:tc>
      </w:tr>
      <w:tr w:rsidR="00015F90" w:rsidRPr="007D4988" w14:paraId="6819E0A9" w14:textId="77777777" w:rsidTr="00E23B2E">
        <w:trPr>
          <w:trHeight w:val="300"/>
        </w:trPr>
        <w:tc>
          <w:tcPr>
            <w:tcW w:w="3225" w:type="dxa"/>
            <w:tcBorders>
              <w:left w:val="single" w:sz="4" w:space="0" w:color="4BACC6"/>
            </w:tcBorders>
            <w:tcMar>
              <w:top w:w="0" w:type="dxa"/>
              <w:left w:w="108" w:type="dxa"/>
              <w:bottom w:w="0" w:type="dxa"/>
              <w:right w:w="108" w:type="dxa"/>
            </w:tcMar>
            <w:vAlign w:val="center"/>
          </w:tcPr>
          <w:p w14:paraId="399CE784" w14:textId="77777777" w:rsidR="00015F90" w:rsidRPr="007D4988" w:rsidRDefault="00015F90" w:rsidP="00E23B2E">
            <w:pPr>
              <w:pStyle w:val="Tabletext"/>
              <w:rPr>
                <w:rFonts w:eastAsia="MS Mincho"/>
              </w:rPr>
            </w:pPr>
            <w:r w:rsidRPr="007D4988">
              <w:t>Examen des conclusions relatives aux stations de Terre inscrites dans le Fichier de référence</w:t>
            </w:r>
          </w:p>
        </w:tc>
        <w:tc>
          <w:tcPr>
            <w:tcW w:w="1110" w:type="dxa"/>
            <w:tcMar>
              <w:top w:w="0" w:type="dxa"/>
              <w:left w:w="108" w:type="dxa"/>
              <w:bottom w:w="0" w:type="dxa"/>
              <w:right w:w="108" w:type="dxa"/>
            </w:tcMar>
            <w:vAlign w:val="center"/>
          </w:tcPr>
          <w:p w14:paraId="536A96AF" w14:textId="77777777" w:rsidR="00015F90" w:rsidRPr="007D4988" w:rsidRDefault="00015F90" w:rsidP="00E23B2E">
            <w:pPr>
              <w:pStyle w:val="Tabletext"/>
              <w:jc w:val="center"/>
              <w:rPr>
                <w:rFonts w:eastAsia="Calibri"/>
                <w:sz w:val="20"/>
              </w:rPr>
            </w:pPr>
            <w:r w:rsidRPr="007D4988">
              <w:t>1 562</w:t>
            </w:r>
          </w:p>
        </w:tc>
        <w:tc>
          <w:tcPr>
            <w:tcW w:w="1110" w:type="dxa"/>
            <w:tcMar>
              <w:top w:w="0" w:type="dxa"/>
              <w:left w:w="108" w:type="dxa"/>
              <w:bottom w:w="0" w:type="dxa"/>
              <w:right w:w="108" w:type="dxa"/>
            </w:tcMar>
            <w:vAlign w:val="center"/>
          </w:tcPr>
          <w:p w14:paraId="3B238859" w14:textId="77777777" w:rsidR="00015F90" w:rsidRPr="007D4988" w:rsidRDefault="00015F90" w:rsidP="00E23B2E">
            <w:pPr>
              <w:pStyle w:val="Tabletext"/>
              <w:jc w:val="center"/>
              <w:rPr>
                <w:rFonts w:eastAsia="Calibri"/>
                <w:sz w:val="20"/>
              </w:rPr>
            </w:pPr>
            <w:r w:rsidRPr="007D4988">
              <w:t>11</w:t>
            </w:r>
          </w:p>
        </w:tc>
        <w:tc>
          <w:tcPr>
            <w:tcW w:w="1035" w:type="dxa"/>
            <w:tcMar>
              <w:top w:w="0" w:type="dxa"/>
              <w:left w:w="108" w:type="dxa"/>
              <w:bottom w:w="0" w:type="dxa"/>
              <w:right w:w="108" w:type="dxa"/>
            </w:tcMar>
            <w:vAlign w:val="center"/>
          </w:tcPr>
          <w:p w14:paraId="5D3290D4" w14:textId="77777777" w:rsidR="00015F90" w:rsidRPr="007D4988" w:rsidRDefault="00015F90" w:rsidP="00E23B2E">
            <w:pPr>
              <w:pStyle w:val="Tabletext"/>
              <w:jc w:val="center"/>
              <w:rPr>
                <w:rFonts w:eastAsia="Calibri"/>
                <w:sz w:val="20"/>
              </w:rPr>
            </w:pPr>
            <w:r w:rsidRPr="007D4988">
              <w:rPr>
                <w:rFonts w:eastAsia="Calibri"/>
                <w:sz w:val="20"/>
              </w:rPr>
              <w:t>–</w:t>
            </w:r>
          </w:p>
        </w:tc>
        <w:tc>
          <w:tcPr>
            <w:tcW w:w="990" w:type="dxa"/>
            <w:tcMar>
              <w:top w:w="0" w:type="dxa"/>
              <w:left w:w="108" w:type="dxa"/>
              <w:bottom w:w="0" w:type="dxa"/>
              <w:right w:w="108" w:type="dxa"/>
            </w:tcMar>
            <w:vAlign w:val="center"/>
          </w:tcPr>
          <w:p w14:paraId="77EAEE54" w14:textId="77777777" w:rsidR="00015F90" w:rsidRPr="007D4988" w:rsidRDefault="00015F90" w:rsidP="00E23B2E">
            <w:pPr>
              <w:pStyle w:val="Tabletext"/>
              <w:jc w:val="center"/>
              <w:rPr>
                <w:rFonts w:eastAsia="Calibri"/>
                <w:sz w:val="20"/>
              </w:rPr>
            </w:pPr>
            <w:r w:rsidRPr="007D4988">
              <w:t>6 490</w:t>
            </w:r>
          </w:p>
        </w:tc>
        <w:tc>
          <w:tcPr>
            <w:tcW w:w="1425" w:type="dxa"/>
            <w:tcBorders>
              <w:right w:val="single" w:sz="4" w:space="0" w:color="4BACC6"/>
            </w:tcBorders>
            <w:tcMar>
              <w:top w:w="0" w:type="dxa"/>
              <w:left w:w="108" w:type="dxa"/>
              <w:bottom w:w="0" w:type="dxa"/>
              <w:right w:w="108" w:type="dxa"/>
            </w:tcMar>
            <w:vAlign w:val="center"/>
          </w:tcPr>
          <w:p w14:paraId="0AC5FA24" w14:textId="77777777" w:rsidR="00015F90" w:rsidRPr="007D4988" w:rsidRDefault="00015F90" w:rsidP="00E23B2E">
            <w:pPr>
              <w:pStyle w:val="Tabletext"/>
              <w:jc w:val="center"/>
              <w:rPr>
                <w:rFonts w:eastAsia="Calibri"/>
                <w:sz w:val="20"/>
              </w:rPr>
            </w:pPr>
            <w:r w:rsidRPr="007D4988">
              <w:t>8 063</w:t>
            </w:r>
          </w:p>
        </w:tc>
      </w:tr>
      <w:tr w:rsidR="00015F90" w:rsidRPr="007D4988" w14:paraId="345D1348" w14:textId="77777777" w:rsidTr="00E23B2E">
        <w:trPr>
          <w:trHeight w:val="300"/>
        </w:trPr>
        <w:tc>
          <w:tcPr>
            <w:tcW w:w="3225" w:type="dxa"/>
            <w:tcBorders>
              <w:left w:val="single" w:sz="4" w:space="0" w:color="4BACC6"/>
            </w:tcBorders>
            <w:tcMar>
              <w:top w:w="0" w:type="dxa"/>
              <w:left w:w="108" w:type="dxa"/>
              <w:bottom w:w="0" w:type="dxa"/>
              <w:right w:w="108" w:type="dxa"/>
            </w:tcMar>
            <w:vAlign w:val="center"/>
          </w:tcPr>
          <w:p w14:paraId="43CCAC54" w14:textId="77777777" w:rsidR="00015F90" w:rsidRPr="007D4988" w:rsidRDefault="00015F90" w:rsidP="00E23B2E">
            <w:pPr>
              <w:pStyle w:val="Tabletext"/>
              <w:rPr>
                <w:rFonts w:eastAsia="MS Mincho"/>
              </w:rPr>
            </w:pPr>
            <w:r w:rsidRPr="007D4988">
              <w:t>Notifications des stations côtières et des stations de navire pour inscription dans la base de données de l'UIT sur le service maritime</w:t>
            </w:r>
          </w:p>
        </w:tc>
        <w:tc>
          <w:tcPr>
            <w:tcW w:w="1110" w:type="dxa"/>
            <w:tcMar>
              <w:top w:w="0" w:type="dxa"/>
              <w:left w:w="108" w:type="dxa"/>
              <w:bottom w:w="0" w:type="dxa"/>
              <w:right w:w="108" w:type="dxa"/>
            </w:tcMar>
            <w:vAlign w:val="center"/>
          </w:tcPr>
          <w:p w14:paraId="1DFBF2CD" w14:textId="77777777" w:rsidR="00015F90" w:rsidRPr="007D4988" w:rsidRDefault="00015F90" w:rsidP="00E23B2E">
            <w:pPr>
              <w:pStyle w:val="Tabletext"/>
              <w:jc w:val="center"/>
              <w:rPr>
                <w:rFonts w:eastAsia="Calibri"/>
                <w:sz w:val="20"/>
              </w:rPr>
            </w:pPr>
            <w:r w:rsidRPr="007D4988">
              <w:t>1 854</w:t>
            </w:r>
          </w:p>
        </w:tc>
        <w:tc>
          <w:tcPr>
            <w:tcW w:w="1110" w:type="dxa"/>
            <w:tcMar>
              <w:top w:w="0" w:type="dxa"/>
              <w:left w:w="108" w:type="dxa"/>
              <w:bottom w:w="0" w:type="dxa"/>
              <w:right w:w="108" w:type="dxa"/>
            </w:tcMar>
            <w:vAlign w:val="center"/>
          </w:tcPr>
          <w:p w14:paraId="659E659B" w14:textId="77777777" w:rsidR="00015F90" w:rsidRPr="007D4988" w:rsidRDefault="00015F90" w:rsidP="00E23B2E">
            <w:pPr>
              <w:pStyle w:val="Tabletext"/>
              <w:jc w:val="center"/>
              <w:rPr>
                <w:rFonts w:eastAsia="Calibri"/>
                <w:sz w:val="20"/>
              </w:rPr>
            </w:pPr>
            <w:r w:rsidRPr="007D4988">
              <w:t>1 818</w:t>
            </w:r>
          </w:p>
        </w:tc>
        <w:tc>
          <w:tcPr>
            <w:tcW w:w="1035" w:type="dxa"/>
            <w:tcMar>
              <w:top w:w="0" w:type="dxa"/>
              <w:left w:w="108" w:type="dxa"/>
              <w:bottom w:w="0" w:type="dxa"/>
              <w:right w:w="108" w:type="dxa"/>
            </w:tcMar>
            <w:vAlign w:val="center"/>
          </w:tcPr>
          <w:p w14:paraId="08ACE1EC" w14:textId="77777777" w:rsidR="00015F90" w:rsidRPr="007D4988" w:rsidRDefault="00015F90" w:rsidP="00E23B2E">
            <w:pPr>
              <w:pStyle w:val="Tabletext"/>
              <w:jc w:val="center"/>
              <w:rPr>
                <w:rFonts w:eastAsia="Calibri"/>
                <w:sz w:val="20"/>
              </w:rPr>
            </w:pPr>
            <w:r w:rsidRPr="007D4988">
              <w:t>683</w:t>
            </w:r>
          </w:p>
        </w:tc>
        <w:tc>
          <w:tcPr>
            <w:tcW w:w="990" w:type="dxa"/>
            <w:tcMar>
              <w:top w:w="0" w:type="dxa"/>
              <w:left w:w="108" w:type="dxa"/>
              <w:bottom w:w="0" w:type="dxa"/>
              <w:right w:w="108" w:type="dxa"/>
            </w:tcMar>
            <w:vAlign w:val="center"/>
          </w:tcPr>
          <w:p w14:paraId="6B63E2D0" w14:textId="77777777" w:rsidR="00015F90" w:rsidRPr="007D4988" w:rsidRDefault="00015F90" w:rsidP="00E23B2E">
            <w:pPr>
              <w:pStyle w:val="Tabletext"/>
              <w:jc w:val="center"/>
              <w:rPr>
                <w:rFonts w:eastAsia="Calibri"/>
                <w:sz w:val="20"/>
              </w:rPr>
            </w:pPr>
            <w:r w:rsidRPr="007D4988">
              <w:t>1 957</w:t>
            </w:r>
          </w:p>
        </w:tc>
        <w:tc>
          <w:tcPr>
            <w:tcW w:w="1425" w:type="dxa"/>
            <w:tcBorders>
              <w:right w:val="single" w:sz="4" w:space="0" w:color="4BACC6"/>
            </w:tcBorders>
            <w:tcMar>
              <w:top w:w="0" w:type="dxa"/>
              <w:left w:w="108" w:type="dxa"/>
              <w:bottom w:w="0" w:type="dxa"/>
              <w:right w:w="108" w:type="dxa"/>
            </w:tcMar>
            <w:vAlign w:val="center"/>
          </w:tcPr>
          <w:p w14:paraId="72013BB9" w14:textId="77777777" w:rsidR="00015F90" w:rsidRPr="007D4988" w:rsidRDefault="00015F90" w:rsidP="00E23B2E">
            <w:pPr>
              <w:pStyle w:val="Tabletext"/>
              <w:jc w:val="center"/>
              <w:rPr>
                <w:rFonts w:eastAsia="Calibri"/>
                <w:sz w:val="20"/>
              </w:rPr>
            </w:pPr>
            <w:r w:rsidRPr="007D4988">
              <w:t>7 312</w:t>
            </w:r>
          </w:p>
        </w:tc>
      </w:tr>
      <w:tr w:rsidR="00015F90" w:rsidRPr="007D4988" w14:paraId="39A97910" w14:textId="77777777" w:rsidTr="00E23B2E">
        <w:trPr>
          <w:trHeight w:val="300"/>
        </w:trPr>
        <w:tc>
          <w:tcPr>
            <w:tcW w:w="3225" w:type="dxa"/>
            <w:tcBorders>
              <w:left w:val="single" w:sz="4" w:space="0" w:color="4BACC6"/>
            </w:tcBorders>
            <w:tcMar>
              <w:top w:w="0" w:type="dxa"/>
              <w:left w:w="108" w:type="dxa"/>
              <w:bottom w:w="0" w:type="dxa"/>
              <w:right w:w="108" w:type="dxa"/>
            </w:tcMar>
            <w:vAlign w:val="center"/>
          </w:tcPr>
          <w:p w14:paraId="71B97A5C" w14:textId="77777777" w:rsidR="00015F90" w:rsidRPr="007D4988" w:rsidRDefault="00015F90" w:rsidP="00E23B2E">
            <w:pPr>
              <w:pStyle w:val="Tabletext"/>
              <w:rPr>
                <w:rFonts w:eastAsia="MS Mincho"/>
              </w:rPr>
            </w:pPr>
            <w:r w:rsidRPr="007D4988">
              <w:t>Besoins de radiodiffusion à ondes décamétriques</w:t>
            </w:r>
          </w:p>
        </w:tc>
        <w:tc>
          <w:tcPr>
            <w:tcW w:w="1110" w:type="dxa"/>
            <w:tcMar>
              <w:top w:w="0" w:type="dxa"/>
              <w:left w:w="108" w:type="dxa"/>
              <w:bottom w:w="0" w:type="dxa"/>
              <w:right w:w="108" w:type="dxa"/>
            </w:tcMar>
            <w:vAlign w:val="center"/>
          </w:tcPr>
          <w:p w14:paraId="73980704" w14:textId="77777777" w:rsidR="00015F90" w:rsidRPr="007D4988" w:rsidRDefault="00015F90" w:rsidP="00E23B2E">
            <w:pPr>
              <w:pStyle w:val="Tabletext"/>
              <w:jc w:val="center"/>
              <w:rPr>
                <w:rFonts w:eastAsia="Calibri"/>
                <w:sz w:val="20"/>
              </w:rPr>
            </w:pPr>
            <w:r w:rsidRPr="007D4988">
              <w:t>11 311</w:t>
            </w:r>
          </w:p>
        </w:tc>
        <w:tc>
          <w:tcPr>
            <w:tcW w:w="1110" w:type="dxa"/>
            <w:tcMar>
              <w:top w:w="0" w:type="dxa"/>
              <w:left w:w="108" w:type="dxa"/>
              <w:bottom w:w="0" w:type="dxa"/>
              <w:right w:w="108" w:type="dxa"/>
            </w:tcMar>
            <w:vAlign w:val="center"/>
          </w:tcPr>
          <w:p w14:paraId="2A521E5D" w14:textId="77777777" w:rsidR="00015F90" w:rsidRPr="007D4988" w:rsidRDefault="00015F90" w:rsidP="00E23B2E">
            <w:pPr>
              <w:pStyle w:val="Tabletext"/>
              <w:jc w:val="center"/>
              <w:rPr>
                <w:rFonts w:eastAsia="Calibri"/>
                <w:sz w:val="20"/>
              </w:rPr>
            </w:pPr>
            <w:r w:rsidRPr="007D4988">
              <w:t>7 969</w:t>
            </w:r>
          </w:p>
        </w:tc>
        <w:tc>
          <w:tcPr>
            <w:tcW w:w="1035" w:type="dxa"/>
            <w:tcMar>
              <w:top w:w="0" w:type="dxa"/>
              <w:left w:w="108" w:type="dxa"/>
              <w:bottom w:w="0" w:type="dxa"/>
              <w:right w:w="108" w:type="dxa"/>
            </w:tcMar>
            <w:vAlign w:val="center"/>
          </w:tcPr>
          <w:p w14:paraId="2B639DA5" w14:textId="77777777" w:rsidR="00015F90" w:rsidRPr="007D4988" w:rsidRDefault="00015F90" w:rsidP="00E23B2E">
            <w:pPr>
              <w:pStyle w:val="Tabletext"/>
              <w:jc w:val="center"/>
              <w:rPr>
                <w:rFonts w:eastAsia="Calibri"/>
                <w:sz w:val="20"/>
              </w:rPr>
            </w:pPr>
            <w:r w:rsidRPr="007D4988">
              <w:t>10 195</w:t>
            </w:r>
          </w:p>
        </w:tc>
        <w:tc>
          <w:tcPr>
            <w:tcW w:w="990" w:type="dxa"/>
            <w:tcMar>
              <w:top w:w="0" w:type="dxa"/>
              <w:left w:w="108" w:type="dxa"/>
              <w:bottom w:w="0" w:type="dxa"/>
              <w:right w:w="108" w:type="dxa"/>
            </w:tcMar>
            <w:vAlign w:val="center"/>
          </w:tcPr>
          <w:p w14:paraId="27A37DD6" w14:textId="77777777" w:rsidR="00015F90" w:rsidRPr="007D4988" w:rsidRDefault="00015F90" w:rsidP="00E23B2E">
            <w:pPr>
              <w:pStyle w:val="Tabletext"/>
              <w:jc w:val="center"/>
              <w:rPr>
                <w:rFonts w:eastAsia="Calibri"/>
                <w:sz w:val="20"/>
              </w:rPr>
            </w:pPr>
            <w:r w:rsidRPr="007D4988">
              <w:t>10 470</w:t>
            </w:r>
          </w:p>
        </w:tc>
        <w:tc>
          <w:tcPr>
            <w:tcW w:w="1425" w:type="dxa"/>
            <w:tcBorders>
              <w:right w:val="single" w:sz="4" w:space="0" w:color="4BACC6"/>
            </w:tcBorders>
            <w:tcMar>
              <w:top w:w="0" w:type="dxa"/>
              <w:left w:w="108" w:type="dxa"/>
              <w:bottom w:w="0" w:type="dxa"/>
              <w:right w:w="108" w:type="dxa"/>
            </w:tcMar>
            <w:vAlign w:val="center"/>
          </w:tcPr>
          <w:p w14:paraId="461F4BBD" w14:textId="77777777" w:rsidR="00015F90" w:rsidRPr="007D4988" w:rsidRDefault="00015F90" w:rsidP="00E23B2E">
            <w:pPr>
              <w:pStyle w:val="Tabletext"/>
              <w:jc w:val="center"/>
              <w:rPr>
                <w:rFonts w:eastAsia="Calibri"/>
                <w:sz w:val="20"/>
              </w:rPr>
            </w:pPr>
            <w:r w:rsidRPr="007D4988">
              <w:t>39 945</w:t>
            </w:r>
          </w:p>
        </w:tc>
      </w:tr>
      <w:tr w:rsidR="00015F90" w:rsidRPr="007D4988" w14:paraId="2F17C224" w14:textId="77777777" w:rsidTr="00E23B2E">
        <w:trPr>
          <w:trHeight w:val="300"/>
        </w:trPr>
        <w:tc>
          <w:tcPr>
            <w:tcW w:w="3225" w:type="dxa"/>
            <w:tcBorders>
              <w:left w:val="single" w:sz="4" w:space="0" w:color="4BACC6"/>
            </w:tcBorders>
            <w:tcMar>
              <w:top w:w="0" w:type="dxa"/>
              <w:left w:w="108" w:type="dxa"/>
              <w:bottom w:w="0" w:type="dxa"/>
              <w:right w:w="108" w:type="dxa"/>
            </w:tcMar>
            <w:vAlign w:val="center"/>
          </w:tcPr>
          <w:p w14:paraId="359627C4" w14:textId="77777777" w:rsidR="00015F90" w:rsidRPr="007D4988" w:rsidRDefault="00015F90" w:rsidP="00E23B2E">
            <w:pPr>
              <w:pStyle w:val="Tabletext"/>
              <w:rPr>
                <w:rFonts w:eastAsia="MS Mincho"/>
              </w:rPr>
            </w:pPr>
            <w:r w:rsidRPr="007D4988">
              <w:t>Observations concernant le programme de contrôle des émissions dans les bandes 2 850</w:t>
            </w:r>
            <w:r w:rsidRPr="007D4988">
              <w:noBreakHyphen/>
              <w:t>28 000 kHz et 406</w:t>
            </w:r>
            <w:r w:rsidRPr="007D4988">
              <w:noBreakHyphen/>
              <w:t xml:space="preserve">406,1 MHz </w:t>
            </w:r>
          </w:p>
        </w:tc>
        <w:tc>
          <w:tcPr>
            <w:tcW w:w="1110" w:type="dxa"/>
            <w:tcMar>
              <w:top w:w="0" w:type="dxa"/>
              <w:left w:w="108" w:type="dxa"/>
              <w:bottom w:w="0" w:type="dxa"/>
              <w:right w:w="108" w:type="dxa"/>
            </w:tcMar>
            <w:vAlign w:val="center"/>
          </w:tcPr>
          <w:p w14:paraId="5C805295" w14:textId="77777777" w:rsidR="00015F90" w:rsidRPr="007D4988" w:rsidRDefault="00015F90" w:rsidP="00E23B2E">
            <w:pPr>
              <w:pStyle w:val="Tabletext"/>
              <w:jc w:val="center"/>
              <w:rPr>
                <w:rFonts w:eastAsia="Calibri"/>
                <w:sz w:val="20"/>
              </w:rPr>
            </w:pPr>
            <w:r w:rsidRPr="007D4988">
              <w:t>25 530/</w:t>
            </w:r>
            <w:r w:rsidRPr="007D4988">
              <w:br/>
              <w:t>407</w:t>
            </w:r>
          </w:p>
        </w:tc>
        <w:tc>
          <w:tcPr>
            <w:tcW w:w="1110" w:type="dxa"/>
            <w:tcMar>
              <w:top w:w="0" w:type="dxa"/>
              <w:left w:w="108" w:type="dxa"/>
              <w:bottom w:w="0" w:type="dxa"/>
              <w:right w:w="108" w:type="dxa"/>
            </w:tcMar>
            <w:vAlign w:val="center"/>
          </w:tcPr>
          <w:p w14:paraId="41ED09CD" w14:textId="77777777" w:rsidR="00015F90" w:rsidRPr="007D4988" w:rsidRDefault="00015F90" w:rsidP="00E23B2E">
            <w:pPr>
              <w:pStyle w:val="Tabletext"/>
              <w:jc w:val="center"/>
              <w:rPr>
                <w:rFonts w:eastAsia="Calibri"/>
                <w:sz w:val="20"/>
              </w:rPr>
            </w:pPr>
            <w:r w:rsidRPr="007D4988">
              <w:t>29 909/</w:t>
            </w:r>
            <w:r w:rsidRPr="007D4988">
              <w:br/>
              <w:t>612</w:t>
            </w:r>
          </w:p>
        </w:tc>
        <w:tc>
          <w:tcPr>
            <w:tcW w:w="1035" w:type="dxa"/>
            <w:tcMar>
              <w:top w:w="0" w:type="dxa"/>
              <w:left w:w="108" w:type="dxa"/>
              <w:bottom w:w="0" w:type="dxa"/>
              <w:right w:w="108" w:type="dxa"/>
            </w:tcMar>
            <w:vAlign w:val="center"/>
          </w:tcPr>
          <w:p w14:paraId="3D9DD7FD" w14:textId="77777777" w:rsidR="00015F90" w:rsidRPr="007D4988" w:rsidRDefault="00015F90" w:rsidP="00E23B2E">
            <w:pPr>
              <w:pStyle w:val="Tabletext"/>
              <w:jc w:val="center"/>
              <w:rPr>
                <w:rFonts w:eastAsia="Calibri"/>
                <w:sz w:val="20"/>
              </w:rPr>
            </w:pPr>
            <w:r w:rsidRPr="007D4988">
              <w:t>27 854/</w:t>
            </w:r>
            <w:r w:rsidRPr="007D4988">
              <w:br/>
              <w:t>920</w:t>
            </w:r>
          </w:p>
        </w:tc>
        <w:tc>
          <w:tcPr>
            <w:tcW w:w="990" w:type="dxa"/>
            <w:tcMar>
              <w:top w:w="0" w:type="dxa"/>
              <w:left w:w="108" w:type="dxa"/>
              <w:bottom w:w="0" w:type="dxa"/>
              <w:right w:w="108" w:type="dxa"/>
            </w:tcMar>
            <w:vAlign w:val="center"/>
          </w:tcPr>
          <w:p w14:paraId="6B73C891" w14:textId="77777777" w:rsidR="00015F90" w:rsidRPr="007D4988" w:rsidRDefault="00015F90" w:rsidP="00E23B2E">
            <w:pPr>
              <w:pStyle w:val="Tabletext"/>
              <w:jc w:val="center"/>
              <w:rPr>
                <w:rFonts w:eastAsia="Calibri"/>
                <w:sz w:val="20"/>
              </w:rPr>
            </w:pPr>
            <w:r w:rsidRPr="007D4988">
              <w:t>33 406/</w:t>
            </w:r>
            <w:r w:rsidRPr="007D4988">
              <w:br/>
              <w:t>1 114</w:t>
            </w:r>
          </w:p>
        </w:tc>
        <w:tc>
          <w:tcPr>
            <w:tcW w:w="1425" w:type="dxa"/>
            <w:tcBorders>
              <w:right w:val="single" w:sz="4" w:space="0" w:color="4BACC6"/>
            </w:tcBorders>
            <w:tcMar>
              <w:top w:w="0" w:type="dxa"/>
              <w:left w:w="108" w:type="dxa"/>
              <w:bottom w:w="0" w:type="dxa"/>
              <w:right w:w="108" w:type="dxa"/>
            </w:tcMar>
            <w:vAlign w:val="center"/>
          </w:tcPr>
          <w:p w14:paraId="53E263B4" w14:textId="77777777" w:rsidR="00015F90" w:rsidRPr="007D4988" w:rsidRDefault="00015F90" w:rsidP="00E23B2E">
            <w:pPr>
              <w:pStyle w:val="Tabletext"/>
              <w:jc w:val="center"/>
              <w:rPr>
                <w:rFonts w:eastAsia="Calibri"/>
                <w:sz w:val="20"/>
              </w:rPr>
            </w:pPr>
            <w:r w:rsidRPr="007D4988">
              <w:t>116 699/</w:t>
            </w:r>
            <w:r w:rsidRPr="007D4988">
              <w:br/>
              <w:t>3 053</w:t>
            </w:r>
          </w:p>
        </w:tc>
      </w:tr>
      <w:tr w:rsidR="00015F90" w:rsidRPr="007D4988" w14:paraId="742F058C" w14:textId="77777777" w:rsidTr="00E23B2E">
        <w:trPr>
          <w:trHeight w:val="70"/>
        </w:trPr>
        <w:tc>
          <w:tcPr>
            <w:tcW w:w="3225" w:type="dxa"/>
            <w:tcBorders>
              <w:left w:val="single" w:sz="4" w:space="0" w:color="4BACC6"/>
              <w:bottom w:val="single" w:sz="4" w:space="0" w:color="4BACC6"/>
            </w:tcBorders>
            <w:tcMar>
              <w:top w:w="0" w:type="dxa"/>
              <w:left w:w="108" w:type="dxa"/>
              <w:bottom w:w="0" w:type="dxa"/>
              <w:right w:w="108" w:type="dxa"/>
            </w:tcMar>
            <w:vAlign w:val="center"/>
          </w:tcPr>
          <w:p w14:paraId="3D7F9913" w14:textId="77777777" w:rsidR="00015F90" w:rsidRPr="007D4988" w:rsidRDefault="00015F90" w:rsidP="00E23B2E">
            <w:pPr>
              <w:pStyle w:val="Tabletext"/>
              <w:rPr>
                <w:rFonts w:eastAsia="MS Mincho"/>
              </w:rPr>
            </w:pPr>
            <w:r w:rsidRPr="007D4988">
              <w:t xml:space="preserve">Rapports de brouillage préjudiciable </w:t>
            </w:r>
          </w:p>
        </w:tc>
        <w:tc>
          <w:tcPr>
            <w:tcW w:w="1110" w:type="dxa"/>
            <w:tcBorders>
              <w:bottom w:val="single" w:sz="4" w:space="0" w:color="4BACC6"/>
            </w:tcBorders>
            <w:tcMar>
              <w:top w:w="0" w:type="dxa"/>
              <w:left w:w="108" w:type="dxa"/>
              <w:bottom w:w="0" w:type="dxa"/>
              <w:right w:w="108" w:type="dxa"/>
            </w:tcMar>
            <w:vAlign w:val="center"/>
          </w:tcPr>
          <w:p w14:paraId="63203801" w14:textId="77777777" w:rsidR="00015F90" w:rsidRPr="007D4988" w:rsidRDefault="00015F90" w:rsidP="00E23B2E">
            <w:pPr>
              <w:pStyle w:val="Tabletext"/>
              <w:jc w:val="center"/>
              <w:rPr>
                <w:rFonts w:eastAsia="Calibri"/>
                <w:sz w:val="20"/>
              </w:rPr>
            </w:pPr>
            <w:r w:rsidRPr="007D4988">
              <w:t>1 007</w:t>
            </w:r>
          </w:p>
        </w:tc>
        <w:tc>
          <w:tcPr>
            <w:tcW w:w="1110" w:type="dxa"/>
            <w:tcBorders>
              <w:bottom w:val="single" w:sz="4" w:space="0" w:color="4BACC6"/>
            </w:tcBorders>
            <w:tcMar>
              <w:top w:w="0" w:type="dxa"/>
              <w:left w:w="108" w:type="dxa"/>
              <w:bottom w:w="0" w:type="dxa"/>
              <w:right w:w="108" w:type="dxa"/>
            </w:tcMar>
            <w:vAlign w:val="center"/>
          </w:tcPr>
          <w:p w14:paraId="661170DA" w14:textId="77777777" w:rsidR="00015F90" w:rsidRPr="007D4988" w:rsidRDefault="00015F90" w:rsidP="00E23B2E">
            <w:pPr>
              <w:pStyle w:val="Tabletext"/>
              <w:jc w:val="center"/>
              <w:rPr>
                <w:rFonts w:eastAsia="Calibri"/>
                <w:sz w:val="20"/>
              </w:rPr>
            </w:pPr>
            <w:r w:rsidRPr="007D4988">
              <w:t>1 110</w:t>
            </w:r>
          </w:p>
        </w:tc>
        <w:tc>
          <w:tcPr>
            <w:tcW w:w="1035" w:type="dxa"/>
            <w:tcBorders>
              <w:bottom w:val="single" w:sz="4" w:space="0" w:color="4BACC6"/>
            </w:tcBorders>
            <w:tcMar>
              <w:top w:w="0" w:type="dxa"/>
              <w:left w:w="108" w:type="dxa"/>
              <w:bottom w:w="0" w:type="dxa"/>
              <w:right w:w="108" w:type="dxa"/>
            </w:tcMar>
            <w:vAlign w:val="center"/>
          </w:tcPr>
          <w:p w14:paraId="46234A04" w14:textId="77777777" w:rsidR="00015F90" w:rsidRPr="007D4988" w:rsidRDefault="00015F90" w:rsidP="00E23B2E">
            <w:pPr>
              <w:pStyle w:val="Tabletext"/>
              <w:jc w:val="center"/>
              <w:rPr>
                <w:rFonts w:eastAsia="MS Mincho"/>
              </w:rPr>
            </w:pPr>
            <w:r w:rsidRPr="007D4988">
              <w:t>1 100</w:t>
            </w:r>
          </w:p>
        </w:tc>
        <w:tc>
          <w:tcPr>
            <w:tcW w:w="990" w:type="dxa"/>
            <w:tcBorders>
              <w:bottom w:val="single" w:sz="4" w:space="0" w:color="4BACC6"/>
            </w:tcBorders>
            <w:tcMar>
              <w:top w:w="0" w:type="dxa"/>
              <w:left w:w="108" w:type="dxa"/>
              <w:bottom w:w="0" w:type="dxa"/>
              <w:right w:w="108" w:type="dxa"/>
            </w:tcMar>
            <w:vAlign w:val="center"/>
          </w:tcPr>
          <w:p w14:paraId="52DB47BB" w14:textId="77777777" w:rsidR="00015F90" w:rsidRPr="007D4988" w:rsidRDefault="00015F90" w:rsidP="00E23B2E">
            <w:pPr>
              <w:pStyle w:val="Tabletext"/>
              <w:jc w:val="center"/>
              <w:rPr>
                <w:rFonts w:eastAsia="Calibri"/>
                <w:sz w:val="20"/>
              </w:rPr>
            </w:pPr>
            <w:r w:rsidRPr="007D4988">
              <w:t>1 140</w:t>
            </w:r>
          </w:p>
        </w:tc>
        <w:tc>
          <w:tcPr>
            <w:tcW w:w="1425" w:type="dxa"/>
            <w:tcBorders>
              <w:bottom w:val="single" w:sz="4" w:space="0" w:color="4BACC6"/>
              <w:right w:val="single" w:sz="4" w:space="0" w:color="4BACC6"/>
            </w:tcBorders>
            <w:tcMar>
              <w:top w:w="0" w:type="dxa"/>
              <w:left w:w="108" w:type="dxa"/>
              <w:bottom w:w="0" w:type="dxa"/>
              <w:right w:w="108" w:type="dxa"/>
            </w:tcMar>
            <w:vAlign w:val="center"/>
          </w:tcPr>
          <w:p w14:paraId="415BA753" w14:textId="77777777" w:rsidR="00015F90" w:rsidRPr="007D4988" w:rsidRDefault="00015F90" w:rsidP="00E23B2E">
            <w:pPr>
              <w:pStyle w:val="Tabletext"/>
              <w:jc w:val="center"/>
              <w:rPr>
                <w:rFonts w:eastAsia="Calibri"/>
                <w:sz w:val="20"/>
              </w:rPr>
            </w:pPr>
            <w:r w:rsidRPr="007D4988">
              <w:t>4 357</w:t>
            </w:r>
          </w:p>
        </w:tc>
      </w:tr>
    </w:tbl>
    <w:p w14:paraId="4AF4C95D" w14:textId="77777777" w:rsidR="00015F90" w:rsidRPr="007D4988" w:rsidRDefault="00015F90" w:rsidP="00015F90">
      <w:pPr>
        <w:pStyle w:val="Tablelegend"/>
        <w:rPr>
          <w:i/>
          <w:iCs/>
        </w:rPr>
      </w:pPr>
      <w:r w:rsidRPr="007D4988">
        <w:rPr>
          <w:i/>
          <w:iCs/>
        </w:rPr>
        <w:t>Tableau 2 – Fiches de notification relatives aux services de Terre pour 2022-2025</w:t>
      </w:r>
    </w:p>
    <w:p w14:paraId="2BDDD837" w14:textId="77777777" w:rsidR="00015F90" w:rsidRPr="007D4988" w:rsidRDefault="00015F90" w:rsidP="00015F90">
      <w:pPr>
        <w:pStyle w:val="Headingb"/>
      </w:pPr>
      <w:r w:rsidRPr="007D4988">
        <w:t>Améliorations et évolution des logiciels de l'UIT-R (2022-2025)</w:t>
      </w:r>
    </w:p>
    <w:p w14:paraId="78BC913D" w14:textId="1F5A4742" w:rsidR="00015F90" w:rsidRPr="007D4988" w:rsidRDefault="00840C7B" w:rsidP="00015F90">
      <w:r w:rsidRPr="007D4988">
        <w:t>De 2022 à 2025, des progrès considérables ont été accomplis dans le domaine des applications et outils logiciels, surtout en vue d'améliorer l'accès des utilisateurs aux produits de l'UIT-R et d'améliorer l'efficacité globale des services de radiocommunication.</w:t>
      </w:r>
    </w:p>
    <w:p w14:paraId="751CDA80" w14:textId="77777777" w:rsidR="00015F90" w:rsidRPr="007D4988" w:rsidRDefault="00015F90" w:rsidP="00015F90">
      <w:r w:rsidRPr="007D4988">
        <w:t>En 2022, le BR s'est concentré sur la mise à jour des applications logicielles essentielles qui permettent aux utilisateurs de consulter et d'analyser le Tableau d'attribution des bandes de fréquences de l'Article 5 du Règlement des radiocommunications, mais aussi d'avoir accès à d'autres textes. Parmi les principales améliorations, on peut citer l'élaboration d'outils pour le traitement des demandes de coordination et des notifications des stations placées sur des plates-formes à haute altitude (HAPS). La migration de la base de données TerRaSys vers le serveur SQL (langage de requête structuré) et l'intégration des outils web eTerrestrial pour divers services de Terre ont également constitué des progrès importants. De plus, les outils en ligne pour la compatibilité avec le Plan GE84 ont été perfectionnés et le logiciel de radiodiffusion en ondes décamétriques a été repensé pour améliorer l'expérience utilisateur. Un nouveau système en ligne de suivi des brouillages préjudiciables (HITS) a été créé pour traiter les signalements de brouillages préjudiciables, tandis que des efforts ont été faits pour moderniser les systèmes d'information spatiale et mettre en œuvre des systèmes de communication électronique pour les fiches de notification des réseaux à satellite.</w:t>
      </w:r>
    </w:p>
    <w:p w14:paraId="6EF75EC0" w14:textId="7B6230E7" w:rsidR="00015F90" w:rsidRPr="007D4988" w:rsidRDefault="00840C7B" w:rsidP="00015F90">
      <w:r w:rsidRPr="007D4988">
        <w:t xml:space="preserve">En 2023, des progrès ont été accomplis dans l'élaboration de logiciels centrés sur le système d'information du BR pour les services spatiaux. Parmi les principales réalisations, on peut citer la phase finale des essais d'acceptation par les utilisateurs du logiciel PXT modernisé et la poursuite du développement du système de soumission électronique, garantissant ainsi la conformité avec les récentes </w:t>
      </w:r>
      <w:r w:rsidR="003E1153" w:rsidRPr="007D4988">
        <w:t>R</w:t>
      </w:r>
      <w:r w:rsidRPr="007D4988">
        <w:t>ésolutions de la CMR-23. Un outil d'examen en ligne destiné à aider les administrations à vérifier la conformité avec les fiches de notification de réseaux à satellite a été une innovation notable. En outre, la Circulaire internationale d'information sur les fréquences du BR (BR IFIC) pour les services spatiaux est passée d'un format DVD à une application web plus accessible, ce qui a permis d'améliorer l'accès des utilisateurs aux informations essentielles sur les services spatiaux.</w:t>
      </w:r>
    </w:p>
    <w:p w14:paraId="22FAEE81" w14:textId="03523EFB" w:rsidR="00015F90" w:rsidRPr="007D4988" w:rsidRDefault="00015F90" w:rsidP="00015F90">
      <w:r w:rsidRPr="007D4988">
        <w:t xml:space="preserve">En 2024, le BR a officiellement lancé l'application en ligne </w:t>
      </w:r>
      <w:hyperlink r:id="rId182" w:history="1">
        <w:r w:rsidRPr="007D4988">
          <w:rPr>
            <w:rStyle w:val="Hyperlink"/>
            <w:rFonts w:eastAsia="Times New Roman" w:cs="Times New Roman"/>
            <w:szCs w:val="20"/>
          </w:rPr>
          <w:t>BR IFIC (services spatiaux)</w:t>
        </w:r>
      </w:hyperlink>
      <w:r w:rsidRPr="007D4988">
        <w:t xml:space="preserve">, qui permet d'accéder 24 heures sur 24 et 7 jours sur 7 à des informations cruciales sur les fréquences. Parmi les initiatives importantes de l'année, il convient de citer le déploiement de l'application web ITU Space Explorer, destinée à améliorer les soumissions de réseaux à satellite et l'introduction de nouvelles fonctionnalités dans le système de soumission électronique, permettant de télécharger des fichiers au nouveau format SNS v10 et facilitant la gestion de la correspondance grâce à l'intégration avec le système de communications électroniques. </w:t>
      </w:r>
    </w:p>
    <w:p w14:paraId="0F9C7CFE" w14:textId="77777777" w:rsidR="00015F90" w:rsidRPr="007D4988" w:rsidRDefault="00015F90" w:rsidP="00015F90">
      <w:r w:rsidRPr="007D4988">
        <w:t xml:space="preserve">En outre, le BR a fait des progrès considérables en ce qui concerne les </w:t>
      </w:r>
      <w:hyperlink r:id="rId183" w:history="1">
        <w:r w:rsidRPr="007D4988">
          <w:rPr>
            <w:rStyle w:val="Hyperlink"/>
            <w:rFonts w:eastAsia="Times New Roman" w:cs="Times New Roman"/>
            <w:szCs w:val="20"/>
          </w:rPr>
          <w:t>applications de Terre</w:t>
        </w:r>
      </w:hyperlink>
      <w:r w:rsidRPr="007D4988">
        <w:t xml:space="preserve"> en actualisant le logiciel de traitement des fiches de notification et des notifications conformément au numéro 9.21 du Règlement des radiocommunications. De nouveaux outils ont été élaborés et les outils existants ont été intégrés dans un portail unique, améliorant ainsi considérablement l'expérience globale de l'utilisateur. </w:t>
      </w:r>
    </w:p>
    <w:p w14:paraId="0173E39C" w14:textId="77777777" w:rsidR="00015F90" w:rsidRPr="007D4988" w:rsidRDefault="00015F90" w:rsidP="00015F90">
      <w:r w:rsidRPr="007D4988">
        <w:t>En 2025, le BR a fourni un logiciel mettant en œuvre la plupart des modifications demandées par la CMR-23, permettant de traiter les notifications de fréquences de Terre et spatiales conformément à l'édition de 2024 du Règlement des radiocommunications de l'UIT. Les applications web du BR ont également été améliorées, ce qui permet aux administrations et aux opérateurs de satellites de soumettre et d'échanger plus facilement des informations relatives aux fiches de notification des réseaux à satellite. Le logiciel d'application de la Décision 482 (Mod. 2025) du Conseil a été mis à disposition avant l'entrée en vigueur de la révision la plus récente. Le Système de notification et de règlement des cas de brouillages causés par les systèmes à satellites (SIRRS) a été amélioré pour permettre aux institutions des Nations Unies comme l'Organisation de l'aviation civile internationale (OACI) de signaler et de communiquer des cas de brouillages préjudiciables à l'UIT.</w:t>
      </w:r>
    </w:p>
    <w:p w14:paraId="55EF8826" w14:textId="43B068B9" w:rsidR="00015F90" w:rsidRPr="007D4988" w:rsidRDefault="00015F90" w:rsidP="00015F90">
      <w:r w:rsidRPr="007D4988">
        <w:t>En 2025, le BR a finalisé et publié la version actualisée de l'outil de navigation du Règlement des radiocommunications, qui intègre l'édition de 2024 du Règlement des radiocommunications (CMR-23) et les versions les plus récentes des textes fondamentaux de l'UIT (Constitution et Convention). L'outil logiciel relatif au Tableau d'attribution des bandes de fréquences de l'Article 5 du RR a également été mis à jour en conséquence. En outre, le</w:t>
      </w:r>
      <w:r w:rsidR="004E1DC9" w:rsidRPr="007D4988">
        <w:t> </w:t>
      </w:r>
      <w:r w:rsidRPr="007D4988">
        <w:t>BR a officiellement lancé l'application en ligne BR IFIC (Services de Terre), qui garantit un accès 24 heures sur 24 et 7 jours sur 7 aux informations relatives aux fréquences relatives aux services de Terre et permet de valider en ligne les notifications des assignations de fréquence de Terre, avant leur soumission au BR. De plus, le BR a achevé l'amélioration des publications de service maritime. Il s'agissait notamment de l'élaboration de publications maritimes numériques, de la création d'une plate-forme de vente et de l'application de mesures de lutte contre la contrefaçon.</w:t>
      </w:r>
    </w:p>
    <w:p w14:paraId="614707A6" w14:textId="64E12257" w:rsidR="00015F90" w:rsidRPr="007D4988" w:rsidRDefault="00840C7B" w:rsidP="00015F90">
      <w:r w:rsidRPr="007D4988">
        <w:t>E</w:t>
      </w:r>
      <w:r w:rsidR="00015F90" w:rsidRPr="007D4988">
        <w:t xml:space="preserve">n 2025, le </w:t>
      </w:r>
      <w:hyperlink r:id="rId184" w:history="1">
        <w:r w:rsidR="00015F90" w:rsidRPr="007D4988">
          <w:rPr>
            <w:rStyle w:val="Hyperlink"/>
            <w:rFonts w:eastAsia="Times New Roman" w:cs="Times New Roman"/>
            <w:szCs w:val="20"/>
          </w:rPr>
          <w:t>Catalogue de données géospatiales</w:t>
        </w:r>
      </w:hyperlink>
      <w:r w:rsidR="00015F90" w:rsidRPr="007D4988">
        <w:t xml:space="preserve"> de l'UIT</w:t>
      </w:r>
      <w:r w:rsidR="00015F90" w:rsidRPr="007D4988">
        <w:noBreakHyphen/>
        <w:t xml:space="preserve">R </w:t>
      </w:r>
      <w:r w:rsidRPr="007D4988">
        <w:t xml:space="preserve">a été publié, </w:t>
      </w:r>
      <w:r w:rsidR="00015F90" w:rsidRPr="007D4988">
        <w:t xml:space="preserve">comprenant des données géographiques, géopolitiques et radiométéorologiques à l'appui de l'élaboration et de l'application de méthodes de prévision de la propagation des ondes radioélectriques et permettant au BR de procéder à des analyses techniques précises, garantissant ainsi l'exploitation exempte de brouillages des systèmes de radiocommunication. </w:t>
      </w:r>
    </w:p>
    <w:p w14:paraId="7CFD5B8B" w14:textId="77777777" w:rsidR="00015F90" w:rsidRPr="007D4988" w:rsidRDefault="00015F90" w:rsidP="00015F90">
      <w:r w:rsidRPr="007D4988">
        <w:t>Dans l'ensemble, les améliorations apportées entre 2022 et 2025 ont permis de rationaliser les processus, de faciliter l'accès à des informations essentielles et de favoriser une interface plus efficace pour les membres et les parties prenantes participant aux travaux du Secteur des radiocommunications, jetant ainsi des bases solides pour les progrès technologiques futurs.</w:t>
      </w:r>
    </w:p>
    <w:p w14:paraId="1EADE772" w14:textId="77777777" w:rsidR="00015F90" w:rsidRPr="007D4988" w:rsidRDefault="00015F90" w:rsidP="00015F90">
      <w:pPr>
        <w:pStyle w:val="Heading3"/>
      </w:pPr>
      <w:bookmarkStart w:id="63" w:name="_Toc225488885"/>
      <w:r w:rsidRPr="007D4988">
        <w:t>4.2.2</w:t>
      </w:r>
      <w:r w:rsidRPr="007D4988">
        <w:tab/>
        <w:t>Ressources de numérotage, de nommage, d'adressage et d'identification (NNAI)</w:t>
      </w:r>
      <w:bookmarkEnd w:id="63"/>
    </w:p>
    <w:p w14:paraId="1094D550" w14:textId="5BAB9A8F" w:rsidR="00015F90" w:rsidRPr="007D4988" w:rsidRDefault="00015F90" w:rsidP="00015F90">
      <w:pPr>
        <w:pStyle w:val="Headingb"/>
      </w:pPr>
      <w:r w:rsidRPr="007D4988">
        <w:t xml:space="preserve">Amélioration de la connectivité mondiale: </w:t>
      </w:r>
      <w:r w:rsidR="004E1DC9" w:rsidRPr="007D4988">
        <w:t>é</w:t>
      </w:r>
      <w:r w:rsidRPr="007D4988">
        <w:t>volution de la gestion des ressources NNAI</w:t>
      </w:r>
    </w:p>
    <w:p w14:paraId="38C809D2" w14:textId="2F6B3D3E" w:rsidR="00015F90" w:rsidRPr="007D4988" w:rsidRDefault="00015F90" w:rsidP="003E1153">
      <w:r w:rsidRPr="007D4988">
        <w:t xml:space="preserve">Les ressources de numérotage, de nommage, d'adressage et d'identification (NNAI) régies par les Recommandations UIT-T pertinentes jouent un rôle indispensable pour assurer la connectivité mondiale des réseaux de télécommunication fixes, mobiles et par satellite. Les dispositions figurant dans la Constitution et la Convention de l'UIT, dans le Règlement des télécommunications internationales et dans les Recommandations </w:t>
      </w:r>
      <w:r w:rsidR="003E1153" w:rsidRPr="007D4988">
        <w:t xml:space="preserve">UIT-T </w:t>
      </w:r>
      <w:r w:rsidRPr="007D4988">
        <w:t>pertinentes ont été mises en œuvre en diffusant des informations approuvées par les administrations nationales. Les mises à jour concernant les attributions, les modifications et les retraits de ressources NNAI administrées par les administrateurs nationaux sont notifiées à l'UIT, publiées dans le Bulletin d'exploitation de l'UIT (deux numéros par mois), affichées sur le site web de l'UIT et reflétées dans les bases de données de l'UIT. De plus, pour certaines ressources internationales, l'UIT attribue des ressources directement aux États Membres et aux entités remplissant les conditions requises (par exemple, les opérateurs) conformément aux procédures établies dans les Recommandations UIT-T pertinentes, et après consultation de la commission d'études compétente de l'UIT-T, de son président et/ou des conseillers désignés.</w:t>
      </w:r>
    </w:p>
    <w:p w14:paraId="6D2D9A1F" w14:textId="03B2F215" w:rsidR="00015F90" w:rsidRPr="007D4988" w:rsidRDefault="00015F90" w:rsidP="00015F90">
      <w:r w:rsidRPr="007D4988">
        <w:t xml:space="preserve">Entre 2022 et 2025, la demande de ressources internationales NNAI pour les télécommunications a considérablement augmenté, essentiellement en raison de l'essor des services de machine à machine (M2M) et de l'Internet des objets (IoT), ainsi que de l'expansion des services fournis via des satellites en orbite terrestre basse (LEO). Cette croissance a nécessité une plus grande souplesse dans la gestion des ressources, notamment avec l'apparition des cartes SIM intégrées (eSIM). </w:t>
      </w:r>
      <w:r w:rsidR="00840C7B" w:rsidRPr="007D4988">
        <w:t>À l'AMNT-24, qui s'est tenue en octobre 2024, les Résolutions majeures relatives au numérotage des télécommunications internationales (à savoir les Résolutions 60, 61 et 20)</w:t>
      </w:r>
      <w:r w:rsidRPr="007D4988">
        <w:t xml:space="preserve"> ont été révisées afin de répondre à ces défis. Tout au long de cette période, la Commission d'études 2 de l'UIT-T a joué un rôle crucial dans l'examen des aspects complexes du numérotage en mettant à jour les Recommandations et en introduisant de nouvelles procédures pour améliorer la transparence du processus de demande. De plus, des Recommandations pertinentes ont été élaborées pour appuyer les nouveaux modèles de connectivité, notamment une nouvelle Recommandation UIT-T sur les ressources internationales NNAI pour les services/applications IoT/M2M et des travaux sur une nouvelle catégorie de ressources</w:t>
      </w:r>
      <w:r w:rsidR="004E1DC9" w:rsidRPr="007D4988">
        <w:t> </w:t>
      </w:r>
      <w:r w:rsidRPr="007D4988">
        <w:t>E.164 pour les services mondiaux par satellite, en coordination avec les groupes</w:t>
      </w:r>
      <w:r w:rsidR="004E1DC9" w:rsidRPr="007D4988">
        <w:t> </w:t>
      </w:r>
      <w:r w:rsidRPr="007D4988">
        <w:t>de travail compétents de l'UIT-R.</w:t>
      </w:r>
    </w:p>
    <w:p w14:paraId="097E997E" w14:textId="77777777" w:rsidR="00015F90" w:rsidRPr="007D4988" w:rsidRDefault="00015F90" w:rsidP="00015F90">
      <w:r w:rsidRPr="007D4988">
        <w:t xml:space="preserve">S'agissant des ressources internationales NNAI pour les télécommunications attribuées directement sous l'autorité du Directeur du Bureau de la normalisation des télécommunications (TSB) de l'UIT, la spécification de procédures d'attribution plus claires (Recommandation </w:t>
      </w:r>
      <w:hyperlink r:id="rId185" w:history="1">
        <w:r w:rsidRPr="007D4988">
          <w:rPr>
            <w:rStyle w:val="Hyperlink"/>
            <w:rFonts w:eastAsia="Times New Roman" w:cs="Times New Roman"/>
            <w:szCs w:val="20"/>
          </w:rPr>
          <w:t>UIT-T E.1120</w:t>
        </w:r>
      </w:hyperlink>
      <w:r w:rsidRPr="007D4988">
        <w:t xml:space="preserve">) a permis de renforcer la gouvernance, la transparence et la gestion opérationnelle, de renforcer les contrôles du cycle de vie (y compris la certification annuelle et le retrait) et de compléter l'écosystème en ajoutant un cadre d'audit (Recommandation </w:t>
      </w:r>
      <w:hyperlink r:id="rId186" w:history="1">
        <w:r w:rsidRPr="007D4988">
          <w:rPr>
            <w:rStyle w:val="Hyperlink"/>
            <w:rFonts w:eastAsia="Times New Roman" w:cs="Times New Roman"/>
            <w:szCs w:val="20"/>
          </w:rPr>
          <w:t>UIT-T E.1121</w:t>
        </w:r>
      </w:hyperlink>
      <w:r w:rsidRPr="007D4988">
        <w:t xml:space="preserve">) pour aider à vérifier que les assignations restent valables et bien administrées et utilisées. Les pages web sur le numérotage destinées aux utilisateurs et les directives à l'intention des demandeurs ont également été améliorées afin de réduire les retards liés aux demandes incomplètes. Les attentes concernant la certification annuelle et les conséquences en cas de non-paiement ont été renforcées, et les efforts sont passés de la discussion des politiques à des mesures concrètes de retrait, à en fournissant des bases de données précises et en réduisant l'accumulation de ressources inutilisées ou laissées à l'abandon. Les efforts visant à lutter contre l'utilisation abusive des ressources de numérotage ont conduit à la révision de la Résolution </w:t>
      </w:r>
      <w:hyperlink r:id="rId187" w:history="1">
        <w:r w:rsidRPr="007D4988">
          <w:rPr>
            <w:rStyle w:val="Hyperlink"/>
            <w:rFonts w:eastAsia="Times New Roman" w:cs="Times New Roman"/>
            <w:szCs w:val="20"/>
          </w:rPr>
          <w:t>61</w:t>
        </w:r>
      </w:hyperlink>
      <w:r w:rsidRPr="007D4988">
        <w:t xml:space="preserve"> de l'AMNT, qui a été élargie pour couvrir les ressources NNAI, tout en sensibilisant davantage le public et en favorisant les bonnes pratiques parmi les États Membres. En outre, la Résolution 65 de l'AMNT a été modifiée pour traiter de nouveaux problèmes tels que les technologies d'usurpation d'identité et de clonage de la voix, afin de garantir que les réseaux de télécommunication restent réactifs face à ces menaces. À cet égard, la Recommandation pertinente de l'UIT-T a été clarifiée et améliorée afin de fournir des dispositions plus claires sur le traitement des cas d'utilisation abusive dans le cadre des processus de l'UIT-T. En outre, le rapport technique "Méthodes pour lutter contre la fraude de type Wangiri" (</w:t>
      </w:r>
      <w:hyperlink r:id="rId188" w:history="1">
        <w:r w:rsidRPr="007D4988">
          <w:rPr>
            <w:rStyle w:val="Hyperlink"/>
            <w:rFonts w:eastAsia="Times New Roman" w:cs="Times New Roman"/>
            <w:szCs w:val="20"/>
          </w:rPr>
          <w:t>TR.MMWF</w:t>
        </w:r>
      </w:hyperlink>
      <w:r w:rsidRPr="007D4988">
        <w:t>) a été approuvé, fournissant une analyse et des méthodologies pour atténuer la fraude de type Wangiri. Le nouveau cadre d'audit mis en place est également un mécanisme complémentaire au signalement des utilisations abusives.</w:t>
      </w:r>
    </w:p>
    <w:p w14:paraId="58D31E8F" w14:textId="77777777" w:rsidR="00015F90" w:rsidRPr="007D4988" w:rsidRDefault="00015F90" w:rsidP="00015F90">
      <w:r w:rsidRPr="007D4988">
        <w:t xml:space="preserve">En outre, le </w:t>
      </w:r>
      <w:hyperlink r:id="rId189" w:history="1">
        <w:r w:rsidRPr="007D4988">
          <w:rPr>
            <w:rStyle w:val="Hyperlink"/>
            <w:rFonts w:eastAsia="Times New Roman" w:cs="Times New Roman"/>
            <w:szCs w:val="20"/>
          </w:rPr>
          <w:t>Bulletin d'exploitation</w:t>
        </w:r>
      </w:hyperlink>
      <w:r w:rsidRPr="007D4988">
        <w:t xml:space="preserve"> de l'UIT, qui diffuse des mises à jour officielles sur les ressources NNAI, a été modernisé pour améliorer la lisibilité et l'efficacité, conformément aux efforts de transformation numérique, et d'autres initiatives de numérisation sont en cours. En application de la Résolution </w:t>
      </w:r>
      <w:hyperlink r:id="rId190" w:history="1">
        <w:r w:rsidRPr="007D4988">
          <w:rPr>
            <w:rStyle w:val="Hyperlink"/>
            <w:rFonts w:eastAsia="Times New Roman" w:cs="Times New Roman"/>
            <w:szCs w:val="20"/>
          </w:rPr>
          <w:t>91</w:t>
        </w:r>
      </w:hyperlink>
      <w:r w:rsidRPr="007D4988">
        <w:t xml:space="preserve"> de l'AMNT, un répertoire des plans de numérotage nationaux a été créé, encourageant la participation active de diverses parties prenantes afin d'améliorer le répertoire en fonction de leurs commentaires. Cette évolution constante garantit que la gestion des ressources NNAI reste robuste et conforme aux progrès technologiques dans le paysage des télécommunications.</w:t>
      </w:r>
    </w:p>
    <w:p w14:paraId="36483F19" w14:textId="77777777" w:rsidR="00015F90" w:rsidRPr="007D4988" w:rsidRDefault="00015F90" w:rsidP="00015F90">
      <w:pPr>
        <w:pStyle w:val="Heading2"/>
      </w:pPr>
      <w:bookmarkStart w:id="64" w:name="Para43"/>
      <w:bookmarkStart w:id="65" w:name="_Toc225488886"/>
      <w:bookmarkEnd w:id="64"/>
      <w:r w:rsidRPr="007D4988">
        <w:t>4.3</w:t>
      </w:r>
      <w:r w:rsidRPr="007D4988">
        <w:tab/>
        <w:t>Élaboration de normes internationales</w:t>
      </w:r>
      <w:bookmarkEnd w:id="65"/>
    </w:p>
    <w:p w14:paraId="0CA9722F" w14:textId="77777777" w:rsidR="00015F90" w:rsidRPr="007D4988" w:rsidRDefault="00015F90" w:rsidP="00015F90">
      <w:pPr>
        <w:pStyle w:val="Headingb"/>
      </w:pPr>
      <w:r w:rsidRPr="007D4988">
        <w:t>Normalisation: les fondements des technologies d'aujourd'hui et de demain</w:t>
      </w:r>
    </w:p>
    <w:p w14:paraId="5B8E2F38" w14:textId="77777777" w:rsidR="00015F90" w:rsidRPr="007D4988" w:rsidRDefault="00015F90" w:rsidP="00015F90">
      <w:r w:rsidRPr="007D4988">
        <w:t>Si elles sont accessibles et élaborées conformément à des spécifications universelles, les technologies peuvent fonctionner efficacement pour tous. Grâce à un engagement résolu en faveur de l'interopérabilité, de l'accessibilité, de la sécurité, de l'accessibilité financière et de la résilience, l'UIT élabore des normes qui profitent à tous partout dans le monde. À l'aide des normes techniques de l'UIT, les dispositifs locaux sont reliés en toute compatibilité aux réseaux mondiaux. Des connexions sûres, à la portée de tous, permettent aux communautés d'accéder à des informations essentielles et contribuent à atténuer les effets des changements climatiques.</w:t>
      </w:r>
    </w:p>
    <w:p w14:paraId="78B64F62" w14:textId="77777777" w:rsidR="00015F90" w:rsidRPr="007D4988" w:rsidRDefault="00015F90" w:rsidP="00015F90">
      <w:r w:rsidRPr="007D4988">
        <w:t xml:space="preserve">Les normes de l'UIT sont élaborées par l'UIT-T et aussi l'UIT-R et publiées respectivement sous forme de </w:t>
      </w:r>
      <w:hyperlink r:id="rId191" w:history="1">
        <w:r w:rsidRPr="007D4988">
          <w:rPr>
            <w:rStyle w:val="Hyperlink"/>
            <w:rFonts w:eastAsia="Times New Roman" w:cs="Times New Roman"/>
            <w:szCs w:val="20"/>
          </w:rPr>
          <w:t>Recommandations UIT-T</w:t>
        </w:r>
      </w:hyperlink>
      <w:r w:rsidRPr="007D4988">
        <w:t xml:space="preserve"> et de </w:t>
      </w:r>
      <w:hyperlink r:id="rId192" w:history="1">
        <w:r w:rsidRPr="007D4988">
          <w:rPr>
            <w:rStyle w:val="Hyperlink"/>
            <w:rFonts w:eastAsia="Times New Roman" w:cs="Times New Roman"/>
            <w:szCs w:val="20"/>
          </w:rPr>
          <w:t>Recommandations UIT-R</w:t>
        </w:r>
      </w:hyperlink>
      <w:r w:rsidRPr="007D4988">
        <w:t>.</w:t>
      </w:r>
    </w:p>
    <w:p w14:paraId="05104CDB" w14:textId="77777777" w:rsidR="00015F90" w:rsidRPr="007D4988" w:rsidRDefault="00015F90" w:rsidP="00015F90">
      <w:pPr>
        <w:pStyle w:val="Heading3"/>
      </w:pPr>
      <w:bookmarkStart w:id="66" w:name="_Toc225488887"/>
      <w:r w:rsidRPr="007D4988">
        <w:t>4.3.1</w:t>
      </w:r>
      <w:r w:rsidRPr="007D4988">
        <w:tab/>
        <w:t>Recommandations et publications connexes de l'UIT-T</w:t>
      </w:r>
      <w:bookmarkEnd w:id="66"/>
    </w:p>
    <w:p w14:paraId="5D61108C" w14:textId="77777777" w:rsidR="00015F90" w:rsidRPr="007D4988" w:rsidRDefault="00015F90" w:rsidP="00015F90">
      <w:r w:rsidRPr="007D4988">
        <w:t>Les Recommandations UIT-T sont les normes techniques élaborées par l'UIT-T. Elles sont complétées par d'autres publications, telles que des suppléments, des documents techniques, des rapports techniques, auxquels s'ajoutent des produits préalables à la normalisation élaborés par les groupes spécialisés de l'UIT-T. Le Secteur compte actuellement 10 commissions d'études, après la fusion des Commissions d'études 9 et 16 de l'UIT-T au sein de la Commission d'études 21, conformément à la décision l'AMNT-24. En décembre 2025, un seul groupe spécialisé actif était actif, sur les 11 qui étaient actifs au cours de la période considérée (voir la page d'accueil du groupe spécialisé de l'UIT-T pour plus de renseignements):</w:t>
      </w:r>
    </w:p>
    <w:p w14:paraId="6FC4C464" w14:textId="77777777" w:rsidR="00015F90" w:rsidRPr="007D4988" w:rsidRDefault="00015F90" w:rsidP="00015F90">
      <w:pPr>
        <w:pStyle w:val="Tabletitle"/>
        <w:spacing w:before="240" w:after="240"/>
        <w:rPr>
          <w:bCs/>
        </w:rPr>
      </w:pPr>
      <w:r w:rsidRPr="007D4988">
        <w:rPr>
          <w:bCs/>
        </w:rPr>
        <w:t>Groupes spécialisés de l'UIT-T en 2025</w:t>
      </w:r>
    </w:p>
    <w:tbl>
      <w:tblPr>
        <w:tblW w:w="9061" w:type="dxa"/>
        <w:tblLayout w:type="fixed"/>
        <w:tblCellMar>
          <w:left w:w="10" w:type="dxa"/>
          <w:right w:w="10" w:type="dxa"/>
        </w:tblCellMar>
        <w:tblLook w:val="0000" w:firstRow="0" w:lastRow="0" w:firstColumn="0" w:lastColumn="0" w:noHBand="0" w:noVBand="0"/>
      </w:tblPr>
      <w:tblGrid>
        <w:gridCol w:w="1980"/>
        <w:gridCol w:w="3685"/>
        <w:gridCol w:w="1134"/>
        <w:gridCol w:w="1134"/>
        <w:gridCol w:w="1128"/>
      </w:tblGrid>
      <w:tr w:rsidR="00015F90" w:rsidRPr="007D4988" w14:paraId="76C1E66D" w14:textId="77777777" w:rsidTr="00E23B2E">
        <w:tc>
          <w:tcPr>
            <w:tcW w:w="1980" w:type="dxa"/>
            <w:tcBorders>
              <w:top w:val="single" w:sz="4" w:space="0" w:color="4BACC6"/>
              <w:left w:val="single" w:sz="4" w:space="0" w:color="4BACC6"/>
            </w:tcBorders>
            <w:tcMar>
              <w:top w:w="0" w:type="dxa"/>
              <w:left w:w="108" w:type="dxa"/>
              <w:bottom w:w="0" w:type="dxa"/>
              <w:right w:w="108" w:type="dxa"/>
            </w:tcMar>
            <w:vAlign w:val="center"/>
          </w:tcPr>
          <w:p w14:paraId="6AAF21FE" w14:textId="77777777" w:rsidR="00015F90" w:rsidRPr="007D4988" w:rsidRDefault="00015F90" w:rsidP="00E23B2E">
            <w:pPr>
              <w:pStyle w:val="Tablehead"/>
              <w:rPr>
                <w:rFonts w:eastAsia="MS Mincho"/>
                <w:szCs w:val="22"/>
              </w:rPr>
            </w:pPr>
            <w:r w:rsidRPr="007D4988">
              <w:rPr>
                <w:szCs w:val="22"/>
              </w:rPr>
              <w:t>Groupe spécialisé</w:t>
            </w:r>
          </w:p>
        </w:tc>
        <w:tc>
          <w:tcPr>
            <w:tcW w:w="3685" w:type="dxa"/>
            <w:tcBorders>
              <w:top w:val="single" w:sz="4" w:space="0" w:color="4BACC6"/>
            </w:tcBorders>
            <w:tcMar>
              <w:top w:w="0" w:type="dxa"/>
              <w:left w:w="108" w:type="dxa"/>
              <w:bottom w:w="0" w:type="dxa"/>
              <w:right w:w="108" w:type="dxa"/>
            </w:tcMar>
            <w:vAlign w:val="center"/>
          </w:tcPr>
          <w:p w14:paraId="5BB7FC3E" w14:textId="77777777" w:rsidR="00015F90" w:rsidRPr="007D4988" w:rsidRDefault="00015F90" w:rsidP="00E23B2E">
            <w:pPr>
              <w:pStyle w:val="Tablehead"/>
              <w:rPr>
                <w:rFonts w:eastAsia="MS Mincho"/>
                <w:szCs w:val="22"/>
              </w:rPr>
            </w:pPr>
            <w:r w:rsidRPr="007D4988">
              <w:rPr>
                <w:szCs w:val="22"/>
              </w:rPr>
              <w:t>Thème</w:t>
            </w:r>
          </w:p>
        </w:tc>
        <w:tc>
          <w:tcPr>
            <w:tcW w:w="1134" w:type="dxa"/>
            <w:tcBorders>
              <w:top w:val="single" w:sz="4" w:space="0" w:color="4BACC6"/>
            </w:tcBorders>
            <w:tcMar>
              <w:top w:w="0" w:type="dxa"/>
              <w:left w:w="108" w:type="dxa"/>
              <w:bottom w:w="0" w:type="dxa"/>
              <w:right w:w="108" w:type="dxa"/>
            </w:tcMar>
            <w:vAlign w:val="center"/>
          </w:tcPr>
          <w:p w14:paraId="3C54B0BD" w14:textId="77777777" w:rsidR="00015F90" w:rsidRPr="007D4988" w:rsidRDefault="00015F90" w:rsidP="00E23B2E">
            <w:pPr>
              <w:pStyle w:val="Tablehead"/>
              <w:rPr>
                <w:rFonts w:eastAsia="MS Mincho"/>
                <w:szCs w:val="22"/>
              </w:rPr>
            </w:pPr>
            <w:r w:rsidRPr="007D4988">
              <w:rPr>
                <w:szCs w:val="22"/>
              </w:rPr>
              <w:t>Début</w:t>
            </w:r>
          </w:p>
        </w:tc>
        <w:tc>
          <w:tcPr>
            <w:tcW w:w="1134" w:type="dxa"/>
            <w:tcBorders>
              <w:top w:val="single" w:sz="4" w:space="0" w:color="4BACC6"/>
            </w:tcBorders>
            <w:tcMar>
              <w:top w:w="0" w:type="dxa"/>
              <w:left w:w="108" w:type="dxa"/>
              <w:bottom w:w="0" w:type="dxa"/>
              <w:right w:w="108" w:type="dxa"/>
            </w:tcMar>
            <w:vAlign w:val="center"/>
          </w:tcPr>
          <w:p w14:paraId="180D10D0" w14:textId="77777777" w:rsidR="00015F90" w:rsidRPr="007D4988" w:rsidRDefault="00015F90" w:rsidP="00E23B2E">
            <w:pPr>
              <w:pStyle w:val="Tablehead"/>
              <w:rPr>
                <w:rFonts w:eastAsia="MS Mincho"/>
                <w:szCs w:val="22"/>
              </w:rPr>
            </w:pPr>
            <w:r w:rsidRPr="007D4988">
              <w:rPr>
                <w:szCs w:val="22"/>
              </w:rPr>
              <w:t>Fin</w:t>
            </w:r>
          </w:p>
        </w:tc>
        <w:tc>
          <w:tcPr>
            <w:tcW w:w="1128" w:type="dxa"/>
            <w:tcBorders>
              <w:top w:val="single" w:sz="4" w:space="0" w:color="4BACC6"/>
              <w:right w:val="single" w:sz="4" w:space="0" w:color="4BACC6"/>
            </w:tcBorders>
            <w:tcMar>
              <w:top w:w="0" w:type="dxa"/>
              <w:left w:w="108" w:type="dxa"/>
              <w:bottom w:w="0" w:type="dxa"/>
              <w:right w:w="108" w:type="dxa"/>
            </w:tcMar>
            <w:vAlign w:val="center"/>
          </w:tcPr>
          <w:p w14:paraId="484AC059" w14:textId="77777777" w:rsidR="00015F90" w:rsidRPr="007D4988" w:rsidRDefault="00015F90" w:rsidP="00E23B2E">
            <w:pPr>
              <w:pStyle w:val="Tablehead"/>
              <w:rPr>
                <w:rFonts w:eastAsia="MS Mincho"/>
                <w:szCs w:val="22"/>
              </w:rPr>
            </w:pPr>
            <w:r w:rsidRPr="007D4988">
              <w:rPr>
                <w:szCs w:val="22"/>
              </w:rPr>
              <w:t>Produits élaborés</w:t>
            </w:r>
          </w:p>
        </w:tc>
      </w:tr>
      <w:tr w:rsidR="00015F90" w:rsidRPr="007D4988" w14:paraId="2E39BF8B" w14:textId="77777777" w:rsidTr="00E23B2E">
        <w:tc>
          <w:tcPr>
            <w:tcW w:w="1980" w:type="dxa"/>
            <w:tcBorders>
              <w:left w:val="single" w:sz="4" w:space="0" w:color="4BACC6"/>
            </w:tcBorders>
            <w:tcMar>
              <w:top w:w="0" w:type="dxa"/>
              <w:left w:w="108" w:type="dxa"/>
              <w:bottom w:w="0" w:type="dxa"/>
              <w:right w:w="108" w:type="dxa"/>
            </w:tcMar>
            <w:vAlign w:val="center"/>
          </w:tcPr>
          <w:p w14:paraId="07B1EA79" w14:textId="77777777" w:rsidR="00015F90" w:rsidRPr="007D4988" w:rsidRDefault="00015F90" w:rsidP="00E23B2E">
            <w:pPr>
              <w:pStyle w:val="Tabletext"/>
              <w:rPr>
                <w:rFonts w:eastAsia="MS Mincho"/>
                <w:szCs w:val="22"/>
              </w:rPr>
            </w:pPr>
            <w:r w:rsidRPr="007D4988">
              <w:rPr>
                <w:szCs w:val="22"/>
              </w:rPr>
              <w:t>Groupe FG</w:t>
            </w:r>
            <w:r w:rsidRPr="007D4988">
              <w:rPr>
                <w:szCs w:val="22"/>
              </w:rPr>
              <w:noBreakHyphen/>
              <w:t>AINN</w:t>
            </w:r>
          </w:p>
        </w:tc>
        <w:tc>
          <w:tcPr>
            <w:tcW w:w="3685" w:type="dxa"/>
            <w:tcMar>
              <w:top w:w="0" w:type="dxa"/>
              <w:left w:w="108" w:type="dxa"/>
              <w:bottom w:w="0" w:type="dxa"/>
              <w:right w:w="108" w:type="dxa"/>
            </w:tcMar>
            <w:vAlign w:val="center"/>
          </w:tcPr>
          <w:p w14:paraId="4F7CD5A2" w14:textId="77777777" w:rsidR="00015F90" w:rsidRPr="007D4988" w:rsidRDefault="00015F90" w:rsidP="00E23B2E">
            <w:pPr>
              <w:pStyle w:val="Tabletext"/>
              <w:rPr>
                <w:rFonts w:eastAsia="MS Mincho"/>
                <w:szCs w:val="22"/>
              </w:rPr>
            </w:pPr>
            <w:r w:rsidRPr="007D4988">
              <w:rPr>
                <w:szCs w:val="22"/>
              </w:rPr>
              <w:t xml:space="preserve">Intelligence artificielle native pour les réseaux de télécommunication </w:t>
            </w:r>
          </w:p>
        </w:tc>
        <w:tc>
          <w:tcPr>
            <w:tcW w:w="1134" w:type="dxa"/>
            <w:tcMar>
              <w:top w:w="0" w:type="dxa"/>
              <w:left w:w="108" w:type="dxa"/>
              <w:bottom w:w="0" w:type="dxa"/>
              <w:right w:w="108" w:type="dxa"/>
            </w:tcMar>
            <w:vAlign w:val="center"/>
          </w:tcPr>
          <w:p w14:paraId="031C921B" w14:textId="77777777" w:rsidR="00015F90" w:rsidRPr="007D4988" w:rsidRDefault="00015F90" w:rsidP="00E23B2E">
            <w:pPr>
              <w:pStyle w:val="Tabletext"/>
              <w:jc w:val="center"/>
              <w:rPr>
                <w:rFonts w:eastAsia="MS Mincho" w:cs="Calibri"/>
                <w:szCs w:val="22"/>
              </w:rPr>
            </w:pPr>
            <w:r w:rsidRPr="007D4988">
              <w:rPr>
                <w:szCs w:val="22"/>
              </w:rPr>
              <w:t>07/2024</w:t>
            </w:r>
          </w:p>
        </w:tc>
        <w:tc>
          <w:tcPr>
            <w:tcW w:w="1134" w:type="dxa"/>
            <w:tcMar>
              <w:top w:w="0" w:type="dxa"/>
              <w:left w:w="108" w:type="dxa"/>
              <w:bottom w:w="0" w:type="dxa"/>
              <w:right w:w="108" w:type="dxa"/>
            </w:tcMar>
            <w:vAlign w:val="center"/>
          </w:tcPr>
          <w:p w14:paraId="7A1DB8A6" w14:textId="77777777" w:rsidR="00015F90" w:rsidRPr="007D4988" w:rsidRDefault="00015F90" w:rsidP="00E23B2E">
            <w:pPr>
              <w:pStyle w:val="Tabletext"/>
              <w:jc w:val="center"/>
              <w:rPr>
                <w:rFonts w:eastAsia="MS Mincho" w:cs="Calibri"/>
                <w:szCs w:val="22"/>
              </w:rPr>
            </w:pPr>
            <w:r w:rsidRPr="007D4988">
              <w:rPr>
                <w:szCs w:val="22"/>
              </w:rPr>
              <w:t>–</w:t>
            </w:r>
          </w:p>
        </w:tc>
        <w:tc>
          <w:tcPr>
            <w:tcW w:w="1128" w:type="dxa"/>
            <w:tcBorders>
              <w:right w:val="single" w:sz="4" w:space="0" w:color="4BACC6"/>
            </w:tcBorders>
            <w:tcMar>
              <w:top w:w="0" w:type="dxa"/>
              <w:left w:w="108" w:type="dxa"/>
              <w:bottom w:w="0" w:type="dxa"/>
              <w:right w:w="108" w:type="dxa"/>
            </w:tcMar>
            <w:vAlign w:val="center"/>
          </w:tcPr>
          <w:p w14:paraId="6141A3E7" w14:textId="77777777" w:rsidR="00015F90" w:rsidRPr="007D4988" w:rsidRDefault="00015F90" w:rsidP="00E23B2E">
            <w:pPr>
              <w:pStyle w:val="Tabletext"/>
              <w:jc w:val="center"/>
              <w:rPr>
                <w:rFonts w:eastAsia="MS Mincho"/>
                <w:szCs w:val="22"/>
              </w:rPr>
            </w:pPr>
            <w:r w:rsidRPr="007D4988">
              <w:rPr>
                <w:szCs w:val="22"/>
              </w:rPr>
              <w:t>–</w:t>
            </w:r>
          </w:p>
        </w:tc>
      </w:tr>
      <w:tr w:rsidR="00015F90" w:rsidRPr="007D4988" w14:paraId="25B12BFE" w14:textId="77777777" w:rsidTr="00E23B2E">
        <w:tc>
          <w:tcPr>
            <w:tcW w:w="1980" w:type="dxa"/>
            <w:tcBorders>
              <w:left w:val="single" w:sz="4" w:space="0" w:color="4BACC6"/>
            </w:tcBorders>
            <w:tcMar>
              <w:top w:w="0" w:type="dxa"/>
              <w:left w:w="108" w:type="dxa"/>
              <w:bottom w:w="0" w:type="dxa"/>
              <w:right w:w="108" w:type="dxa"/>
            </w:tcMar>
            <w:vAlign w:val="center"/>
          </w:tcPr>
          <w:p w14:paraId="7875FD2D" w14:textId="77777777" w:rsidR="00015F90" w:rsidRPr="007D4988" w:rsidRDefault="00015F90" w:rsidP="00E23B2E">
            <w:pPr>
              <w:pStyle w:val="Tabletext"/>
              <w:rPr>
                <w:rFonts w:eastAsia="MS Mincho" w:cs="Calibri"/>
                <w:szCs w:val="22"/>
              </w:rPr>
            </w:pPr>
            <w:r w:rsidRPr="007D4988">
              <w:rPr>
                <w:szCs w:val="22"/>
              </w:rPr>
              <w:t>Groupe FG-CD</w:t>
            </w:r>
          </w:p>
        </w:tc>
        <w:tc>
          <w:tcPr>
            <w:tcW w:w="3685" w:type="dxa"/>
            <w:tcMar>
              <w:top w:w="0" w:type="dxa"/>
              <w:left w:w="108" w:type="dxa"/>
              <w:bottom w:w="0" w:type="dxa"/>
              <w:right w:w="108" w:type="dxa"/>
            </w:tcMar>
            <w:vAlign w:val="center"/>
          </w:tcPr>
          <w:p w14:paraId="617EA4B3" w14:textId="77777777" w:rsidR="00015F90" w:rsidRPr="007D4988" w:rsidRDefault="00015F90" w:rsidP="00E23B2E">
            <w:pPr>
              <w:pStyle w:val="Tabletext"/>
              <w:rPr>
                <w:rFonts w:eastAsia="MS Mincho" w:cs="Calibri"/>
                <w:szCs w:val="22"/>
              </w:rPr>
            </w:pPr>
            <w:r w:rsidRPr="007D4988">
              <w:rPr>
                <w:szCs w:val="22"/>
              </w:rPr>
              <w:t>Modèles d'établissement des coûts visant à rendre les services de données financièrement abordables</w:t>
            </w:r>
          </w:p>
        </w:tc>
        <w:tc>
          <w:tcPr>
            <w:tcW w:w="1134" w:type="dxa"/>
            <w:tcMar>
              <w:top w:w="0" w:type="dxa"/>
              <w:left w:w="108" w:type="dxa"/>
              <w:bottom w:w="0" w:type="dxa"/>
              <w:right w:w="108" w:type="dxa"/>
            </w:tcMar>
            <w:vAlign w:val="center"/>
          </w:tcPr>
          <w:p w14:paraId="528162E2" w14:textId="77777777" w:rsidR="00015F90" w:rsidRPr="007D4988" w:rsidRDefault="00015F90" w:rsidP="00E23B2E">
            <w:pPr>
              <w:pStyle w:val="Tabletext"/>
              <w:jc w:val="center"/>
              <w:rPr>
                <w:rFonts w:eastAsia="MS Mincho" w:cs="Calibri"/>
                <w:szCs w:val="22"/>
              </w:rPr>
            </w:pPr>
            <w:r w:rsidRPr="007D4988">
              <w:rPr>
                <w:szCs w:val="22"/>
              </w:rPr>
              <w:t>03/2023</w:t>
            </w:r>
          </w:p>
        </w:tc>
        <w:tc>
          <w:tcPr>
            <w:tcW w:w="1134" w:type="dxa"/>
            <w:tcMar>
              <w:top w:w="0" w:type="dxa"/>
              <w:left w:w="108" w:type="dxa"/>
              <w:bottom w:w="0" w:type="dxa"/>
              <w:right w:w="108" w:type="dxa"/>
            </w:tcMar>
            <w:vAlign w:val="center"/>
          </w:tcPr>
          <w:p w14:paraId="48BB5B9B" w14:textId="77777777" w:rsidR="00015F90" w:rsidRPr="007D4988" w:rsidRDefault="00015F90" w:rsidP="00E23B2E">
            <w:pPr>
              <w:pStyle w:val="Tabletext"/>
              <w:jc w:val="center"/>
              <w:rPr>
                <w:rFonts w:eastAsia="MS Mincho" w:cs="Calibri"/>
                <w:szCs w:val="22"/>
              </w:rPr>
            </w:pPr>
            <w:r w:rsidRPr="007D4988">
              <w:rPr>
                <w:szCs w:val="22"/>
              </w:rPr>
              <w:t>10/2025</w:t>
            </w:r>
          </w:p>
        </w:tc>
        <w:tc>
          <w:tcPr>
            <w:tcW w:w="1128" w:type="dxa"/>
            <w:tcBorders>
              <w:right w:val="single" w:sz="4" w:space="0" w:color="4BACC6"/>
            </w:tcBorders>
            <w:tcMar>
              <w:top w:w="0" w:type="dxa"/>
              <w:left w:w="108" w:type="dxa"/>
              <w:bottom w:w="0" w:type="dxa"/>
              <w:right w:w="108" w:type="dxa"/>
            </w:tcMar>
            <w:vAlign w:val="center"/>
          </w:tcPr>
          <w:p w14:paraId="56B62B8A" w14:textId="77777777" w:rsidR="00015F90" w:rsidRPr="007D4988" w:rsidRDefault="00015F90" w:rsidP="00E23B2E">
            <w:pPr>
              <w:pStyle w:val="Tabletext"/>
              <w:jc w:val="center"/>
              <w:rPr>
                <w:rFonts w:eastAsia="MS Mincho" w:cs="Calibri"/>
                <w:szCs w:val="22"/>
              </w:rPr>
            </w:pPr>
            <w:r w:rsidRPr="007D4988">
              <w:rPr>
                <w:szCs w:val="22"/>
              </w:rPr>
              <w:t>6</w:t>
            </w:r>
          </w:p>
        </w:tc>
      </w:tr>
      <w:tr w:rsidR="00015F90" w:rsidRPr="007D4988" w14:paraId="2B9570EA" w14:textId="77777777" w:rsidTr="00E23B2E">
        <w:tc>
          <w:tcPr>
            <w:tcW w:w="1980" w:type="dxa"/>
            <w:tcBorders>
              <w:left w:val="single" w:sz="4" w:space="0" w:color="4BACC6"/>
            </w:tcBorders>
            <w:tcMar>
              <w:top w:w="0" w:type="dxa"/>
              <w:left w:w="108" w:type="dxa"/>
              <w:bottom w:w="0" w:type="dxa"/>
              <w:right w:w="108" w:type="dxa"/>
            </w:tcMar>
            <w:vAlign w:val="center"/>
          </w:tcPr>
          <w:p w14:paraId="18F18777" w14:textId="77777777" w:rsidR="00015F90" w:rsidRPr="007D4988" w:rsidRDefault="00015F90" w:rsidP="00E23B2E">
            <w:pPr>
              <w:pStyle w:val="Tabletext"/>
              <w:rPr>
                <w:rFonts w:eastAsia="MS Mincho" w:cs="Calibri"/>
                <w:szCs w:val="22"/>
              </w:rPr>
            </w:pPr>
            <w:r w:rsidRPr="007D4988">
              <w:rPr>
                <w:szCs w:val="22"/>
              </w:rPr>
              <w:t>Groupe FG-MV</w:t>
            </w:r>
          </w:p>
        </w:tc>
        <w:tc>
          <w:tcPr>
            <w:tcW w:w="3685" w:type="dxa"/>
            <w:tcMar>
              <w:top w:w="0" w:type="dxa"/>
              <w:left w:w="108" w:type="dxa"/>
              <w:bottom w:w="0" w:type="dxa"/>
              <w:right w:w="108" w:type="dxa"/>
            </w:tcMar>
            <w:vAlign w:val="center"/>
          </w:tcPr>
          <w:p w14:paraId="04E6B20E" w14:textId="77777777" w:rsidR="00015F90" w:rsidRPr="007D4988" w:rsidRDefault="00015F90" w:rsidP="00E23B2E">
            <w:pPr>
              <w:pStyle w:val="Tabletext"/>
              <w:rPr>
                <w:rFonts w:eastAsia="MS Mincho" w:cs="Calibri"/>
                <w:szCs w:val="22"/>
              </w:rPr>
            </w:pPr>
            <w:r w:rsidRPr="007D4988">
              <w:rPr>
                <w:szCs w:val="22"/>
              </w:rPr>
              <w:t>Métavers</w:t>
            </w:r>
          </w:p>
        </w:tc>
        <w:tc>
          <w:tcPr>
            <w:tcW w:w="1134" w:type="dxa"/>
            <w:tcMar>
              <w:top w:w="0" w:type="dxa"/>
              <w:left w:w="108" w:type="dxa"/>
              <w:bottom w:w="0" w:type="dxa"/>
              <w:right w:w="108" w:type="dxa"/>
            </w:tcMar>
            <w:vAlign w:val="center"/>
          </w:tcPr>
          <w:p w14:paraId="2149840D" w14:textId="77777777" w:rsidR="00015F90" w:rsidRPr="007D4988" w:rsidRDefault="00015F90" w:rsidP="00E23B2E">
            <w:pPr>
              <w:pStyle w:val="Tabletext"/>
              <w:jc w:val="center"/>
              <w:rPr>
                <w:rFonts w:eastAsia="MS Mincho" w:cs="Calibri"/>
                <w:szCs w:val="22"/>
              </w:rPr>
            </w:pPr>
            <w:r w:rsidRPr="007D4988">
              <w:rPr>
                <w:szCs w:val="22"/>
              </w:rPr>
              <w:t>12/2022</w:t>
            </w:r>
          </w:p>
        </w:tc>
        <w:tc>
          <w:tcPr>
            <w:tcW w:w="1134" w:type="dxa"/>
            <w:tcMar>
              <w:top w:w="0" w:type="dxa"/>
              <w:left w:w="108" w:type="dxa"/>
              <w:bottom w:w="0" w:type="dxa"/>
              <w:right w:w="108" w:type="dxa"/>
            </w:tcMar>
            <w:vAlign w:val="center"/>
          </w:tcPr>
          <w:p w14:paraId="1C5BACB5" w14:textId="77777777" w:rsidR="00015F90" w:rsidRPr="007D4988" w:rsidRDefault="00015F90" w:rsidP="00E23B2E">
            <w:pPr>
              <w:pStyle w:val="Tabletext"/>
              <w:jc w:val="center"/>
              <w:rPr>
                <w:rFonts w:eastAsia="MS Mincho" w:cs="Calibri"/>
                <w:szCs w:val="22"/>
              </w:rPr>
            </w:pPr>
            <w:r w:rsidRPr="007D4988">
              <w:rPr>
                <w:szCs w:val="22"/>
              </w:rPr>
              <w:t>06/2024</w:t>
            </w:r>
          </w:p>
        </w:tc>
        <w:tc>
          <w:tcPr>
            <w:tcW w:w="1128" w:type="dxa"/>
            <w:tcBorders>
              <w:right w:val="single" w:sz="4" w:space="0" w:color="4BACC6"/>
            </w:tcBorders>
            <w:tcMar>
              <w:top w:w="0" w:type="dxa"/>
              <w:left w:w="108" w:type="dxa"/>
              <w:bottom w:w="0" w:type="dxa"/>
              <w:right w:w="108" w:type="dxa"/>
            </w:tcMar>
            <w:vAlign w:val="center"/>
          </w:tcPr>
          <w:p w14:paraId="03FD6842" w14:textId="77777777" w:rsidR="00015F90" w:rsidRPr="007D4988" w:rsidRDefault="00015F90" w:rsidP="00E23B2E">
            <w:pPr>
              <w:pStyle w:val="Tabletext"/>
              <w:jc w:val="center"/>
              <w:rPr>
                <w:rFonts w:eastAsia="MS Mincho" w:cs="Calibri"/>
                <w:szCs w:val="22"/>
              </w:rPr>
            </w:pPr>
            <w:r w:rsidRPr="007D4988">
              <w:rPr>
                <w:szCs w:val="22"/>
              </w:rPr>
              <w:t>52</w:t>
            </w:r>
          </w:p>
        </w:tc>
      </w:tr>
      <w:tr w:rsidR="00015F90" w:rsidRPr="007D4988" w14:paraId="581E7E90" w14:textId="77777777" w:rsidTr="00E23B2E">
        <w:tc>
          <w:tcPr>
            <w:tcW w:w="1980" w:type="dxa"/>
            <w:tcBorders>
              <w:left w:val="single" w:sz="4" w:space="0" w:color="4BACC6"/>
            </w:tcBorders>
            <w:tcMar>
              <w:top w:w="0" w:type="dxa"/>
              <w:left w:w="108" w:type="dxa"/>
              <w:bottom w:w="0" w:type="dxa"/>
              <w:right w:w="108" w:type="dxa"/>
            </w:tcMar>
            <w:vAlign w:val="center"/>
          </w:tcPr>
          <w:p w14:paraId="1F1978AF" w14:textId="77777777" w:rsidR="00015F90" w:rsidRPr="007D4988" w:rsidRDefault="00015F90" w:rsidP="00E23B2E">
            <w:pPr>
              <w:pStyle w:val="Tabletext"/>
              <w:rPr>
                <w:rFonts w:eastAsia="MS Mincho" w:cs="Calibri"/>
                <w:szCs w:val="22"/>
              </w:rPr>
            </w:pPr>
            <w:r w:rsidRPr="007D4988">
              <w:rPr>
                <w:szCs w:val="22"/>
              </w:rPr>
              <w:t>Groupe FG-AI4A</w:t>
            </w:r>
          </w:p>
        </w:tc>
        <w:tc>
          <w:tcPr>
            <w:tcW w:w="3685" w:type="dxa"/>
            <w:tcMar>
              <w:top w:w="0" w:type="dxa"/>
              <w:left w:w="108" w:type="dxa"/>
              <w:bottom w:w="0" w:type="dxa"/>
              <w:right w:w="108" w:type="dxa"/>
            </w:tcMar>
            <w:vAlign w:val="center"/>
          </w:tcPr>
          <w:p w14:paraId="2F37837A" w14:textId="77777777" w:rsidR="00015F90" w:rsidRPr="007D4988" w:rsidRDefault="00015F90" w:rsidP="00E23B2E">
            <w:pPr>
              <w:pStyle w:val="Tabletext"/>
              <w:rPr>
                <w:rFonts w:eastAsia="MS Mincho" w:cs="Calibri"/>
                <w:szCs w:val="22"/>
              </w:rPr>
            </w:pPr>
            <w:r w:rsidRPr="007D4988">
              <w:rPr>
                <w:szCs w:val="22"/>
              </w:rPr>
              <w:t>L'intelligence artificielle et l'Internet des objets au service de l'agriculture numérique</w:t>
            </w:r>
          </w:p>
        </w:tc>
        <w:tc>
          <w:tcPr>
            <w:tcW w:w="1134" w:type="dxa"/>
            <w:tcMar>
              <w:top w:w="0" w:type="dxa"/>
              <w:left w:w="108" w:type="dxa"/>
              <w:bottom w:w="0" w:type="dxa"/>
              <w:right w:w="108" w:type="dxa"/>
            </w:tcMar>
            <w:vAlign w:val="center"/>
          </w:tcPr>
          <w:p w14:paraId="7FBBB81B" w14:textId="77777777" w:rsidR="00015F90" w:rsidRPr="007D4988" w:rsidRDefault="00015F90" w:rsidP="00E23B2E">
            <w:pPr>
              <w:pStyle w:val="Tabletext"/>
              <w:jc w:val="center"/>
              <w:rPr>
                <w:rFonts w:eastAsia="MS Mincho" w:cs="Calibri"/>
                <w:szCs w:val="22"/>
              </w:rPr>
            </w:pPr>
            <w:r w:rsidRPr="007D4988">
              <w:rPr>
                <w:szCs w:val="22"/>
              </w:rPr>
              <w:t>10/2021</w:t>
            </w:r>
          </w:p>
        </w:tc>
        <w:tc>
          <w:tcPr>
            <w:tcW w:w="1134" w:type="dxa"/>
            <w:tcMar>
              <w:top w:w="0" w:type="dxa"/>
              <w:left w:w="108" w:type="dxa"/>
              <w:bottom w:w="0" w:type="dxa"/>
              <w:right w:w="108" w:type="dxa"/>
            </w:tcMar>
            <w:vAlign w:val="center"/>
          </w:tcPr>
          <w:p w14:paraId="5F92ED60" w14:textId="77777777" w:rsidR="00015F90" w:rsidRPr="007D4988" w:rsidRDefault="00015F90" w:rsidP="00E23B2E">
            <w:pPr>
              <w:pStyle w:val="Tabletext"/>
              <w:jc w:val="center"/>
              <w:rPr>
                <w:rFonts w:eastAsia="MS Mincho" w:cs="Calibri"/>
                <w:szCs w:val="22"/>
              </w:rPr>
            </w:pPr>
            <w:r w:rsidRPr="007D4988">
              <w:rPr>
                <w:szCs w:val="22"/>
              </w:rPr>
              <w:t>06/2024</w:t>
            </w:r>
          </w:p>
        </w:tc>
        <w:tc>
          <w:tcPr>
            <w:tcW w:w="1128" w:type="dxa"/>
            <w:tcBorders>
              <w:right w:val="single" w:sz="4" w:space="0" w:color="4BACC6"/>
            </w:tcBorders>
            <w:tcMar>
              <w:top w:w="0" w:type="dxa"/>
              <w:left w:w="108" w:type="dxa"/>
              <w:bottom w:w="0" w:type="dxa"/>
              <w:right w:w="108" w:type="dxa"/>
            </w:tcMar>
            <w:vAlign w:val="center"/>
          </w:tcPr>
          <w:p w14:paraId="22A96899" w14:textId="77777777" w:rsidR="00015F90" w:rsidRPr="007D4988" w:rsidRDefault="00015F90" w:rsidP="00E23B2E">
            <w:pPr>
              <w:pStyle w:val="Tabletext"/>
              <w:jc w:val="center"/>
              <w:rPr>
                <w:rFonts w:eastAsia="MS Mincho" w:cs="Calibri"/>
                <w:szCs w:val="22"/>
              </w:rPr>
            </w:pPr>
            <w:r w:rsidRPr="007D4988">
              <w:rPr>
                <w:szCs w:val="22"/>
              </w:rPr>
              <w:t>5</w:t>
            </w:r>
          </w:p>
        </w:tc>
      </w:tr>
      <w:tr w:rsidR="00015F90" w:rsidRPr="007D4988" w14:paraId="0135E70B" w14:textId="77777777" w:rsidTr="00E23B2E">
        <w:tc>
          <w:tcPr>
            <w:tcW w:w="1980" w:type="dxa"/>
            <w:tcBorders>
              <w:left w:val="single" w:sz="4" w:space="0" w:color="4BACC6"/>
            </w:tcBorders>
            <w:tcMar>
              <w:top w:w="0" w:type="dxa"/>
              <w:left w:w="108" w:type="dxa"/>
              <w:bottom w:w="0" w:type="dxa"/>
              <w:right w:w="108" w:type="dxa"/>
            </w:tcMar>
            <w:vAlign w:val="center"/>
          </w:tcPr>
          <w:p w14:paraId="24EA3102" w14:textId="77777777" w:rsidR="00015F90" w:rsidRPr="007D4988" w:rsidRDefault="00015F90" w:rsidP="00E23B2E">
            <w:pPr>
              <w:pStyle w:val="Tabletext"/>
              <w:rPr>
                <w:rFonts w:eastAsia="MS Mincho" w:cs="Calibri"/>
                <w:szCs w:val="22"/>
              </w:rPr>
            </w:pPr>
            <w:r w:rsidRPr="007D4988">
              <w:rPr>
                <w:szCs w:val="22"/>
              </w:rPr>
              <w:t>Groupe FG</w:t>
            </w:r>
            <w:r w:rsidRPr="007D4988">
              <w:rPr>
                <w:szCs w:val="22"/>
              </w:rPr>
              <w:noBreakHyphen/>
              <w:t>TBFxG</w:t>
            </w:r>
          </w:p>
        </w:tc>
        <w:tc>
          <w:tcPr>
            <w:tcW w:w="3685" w:type="dxa"/>
            <w:tcMar>
              <w:top w:w="0" w:type="dxa"/>
              <w:left w:w="108" w:type="dxa"/>
              <w:bottom w:w="0" w:type="dxa"/>
              <w:right w:w="108" w:type="dxa"/>
            </w:tcMar>
            <w:vAlign w:val="center"/>
          </w:tcPr>
          <w:p w14:paraId="4766D345" w14:textId="77777777" w:rsidR="00015F90" w:rsidRPr="007D4988" w:rsidRDefault="00015F90" w:rsidP="00E23B2E">
            <w:pPr>
              <w:pStyle w:val="Tabletext"/>
              <w:rPr>
                <w:rFonts w:eastAsia="MS Mincho" w:cs="Calibri"/>
                <w:szCs w:val="22"/>
              </w:rPr>
            </w:pPr>
            <w:r w:rsidRPr="007D4988">
              <w:rPr>
                <w:szCs w:val="22"/>
              </w:rPr>
              <w:t>Fédérations de bancs d'essai pour les IMT-2020 et les systèmes ultérieurs</w:t>
            </w:r>
          </w:p>
        </w:tc>
        <w:tc>
          <w:tcPr>
            <w:tcW w:w="1134" w:type="dxa"/>
            <w:tcMar>
              <w:top w:w="0" w:type="dxa"/>
              <w:left w:w="108" w:type="dxa"/>
              <w:bottom w:w="0" w:type="dxa"/>
              <w:right w:w="108" w:type="dxa"/>
            </w:tcMar>
            <w:vAlign w:val="center"/>
          </w:tcPr>
          <w:p w14:paraId="4EC3EB16" w14:textId="77777777" w:rsidR="00015F90" w:rsidRPr="007D4988" w:rsidRDefault="00015F90" w:rsidP="00E23B2E">
            <w:pPr>
              <w:pStyle w:val="Tabletext"/>
              <w:jc w:val="center"/>
              <w:rPr>
                <w:rFonts w:eastAsia="MS Mincho" w:cs="Calibri"/>
                <w:szCs w:val="22"/>
              </w:rPr>
            </w:pPr>
            <w:r w:rsidRPr="007D4988">
              <w:rPr>
                <w:szCs w:val="22"/>
              </w:rPr>
              <w:t>12/2021</w:t>
            </w:r>
          </w:p>
        </w:tc>
        <w:tc>
          <w:tcPr>
            <w:tcW w:w="1134" w:type="dxa"/>
            <w:tcMar>
              <w:top w:w="0" w:type="dxa"/>
              <w:left w:w="108" w:type="dxa"/>
              <w:bottom w:w="0" w:type="dxa"/>
              <w:right w:w="108" w:type="dxa"/>
            </w:tcMar>
            <w:vAlign w:val="center"/>
          </w:tcPr>
          <w:p w14:paraId="4D1E8FD8" w14:textId="77777777" w:rsidR="00015F90" w:rsidRPr="007D4988" w:rsidRDefault="00015F90" w:rsidP="00E23B2E">
            <w:pPr>
              <w:pStyle w:val="Tabletext"/>
              <w:jc w:val="center"/>
              <w:rPr>
                <w:rFonts w:eastAsia="MS Mincho" w:cs="Calibri"/>
                <w:szCs w:val="22"/>
              </w:rPr>
            </w:pPr>
            <w:r w:rsidRPr="007D4988">
              <w:rPr>
                <w:szCs w:val="22"/>
              </w:rPr>
              <w:t>04/2024</w:t>
            </w:r>
          </w:p>
        </w:tc>
        <w:tc>
          <w:tcPr>
            <w:tcW w:w="1128" w:type="dxa"/>
            <w:tcBorders>
              <w:right w:val="single" w:sz="4" w:space="0" w:color="4BACC6"/>
            </w:tcBorders>
            <w:tcMar>
              <w:top w:w="0" w:type="dxa"/>
              <w:left w:w="108" w:type="dxa"/>
              <w:bottom w:w="0" w:type="dxa"/>
              <w:right w:w="108" w:type="dxa"/>
            </w:tcMar>
            <w:vAlign w:val="center"/>
          </w:tcPr>
          <w:p w14:paraId="28813E0B" w14:textId="77777777" w:rsidR="00015F90" w:rsidRPr="007D4988" w:rsidRDefault="00015F90" w:rsidP="00E23B2E">
            <w:pPr>
              <w:pStyle w:val="Tabletext"/>
              <w:jc w:val="center"/>
              <w:rPr>
                <w:rFonts w:eastAsia="MS Mincho" w:cs="Calibri"/>
                <w:szCs w:val="22"/>
              </w:rPr>
            </w:pPr>
            <w:r w:rsidRPr="007D4988">
              <w:rPr>
                <w:szCs w:val="22"/>
              </w:rPr>
              <w:t>8</w:t>
            </w:r>
          </w:p>
        </w:tc>
      </w:tr>
      <w:tr w:rsidR="00015F90" w:rsidRPr="007D4988" w14:paraId="5EF711E6" w14:textId="77777777" w:rsidTr="00E23B2E">
        <w:tc>
          <w:tcPr>
            <w:tcW w:w="1980" w:type="dxa"/>
            <w:tcBorders>
              <w:left w:val="single" w:sz="4" w:space="0" w:color="4BACC6"/>
            </w:tcBorders>
            <w:tcMar>
              <w:top w:w="0" w:type="dxa"/>
              <w:left w:w="108" w:type="dxa"/>
              <w:bottom w:w="0" w:type="dxa"/>
              <w:right w:w="108" w:type="dxa"/>
            </w:tcMar>
            <w:vAlign w:val="center"/>
          </w:tcPr>
          <w:p w14:paraId="0BED4992" w14:textId="77777777" w:rsidR="00015F90" w:rsidRPr="007D4988" w:rsidRDefault="00015F90" w:rsidP="00E23B2E">
            <w:pPr>
              <w:pStyle w:val="Tabletext"/>
              <w:rPr>
                <w:rFonts w:eastAsia="MS Mincho" w:cs="Calibri"/>
                <w:szCs w:val="22"/>
              </w:rPr>
            </w:pPr>
            <w:r w:rsidRPr="007D4988">
              <w:rPr>
                <w:szCs w:val="22"/>
              </w:rPr>
              <w:t>Groupe FG</w:t>
            </w:r>
            <w:r w:rsidRPr="007D4988">
              <w:rPr>
                <w:szCs w:val="22"/>
              </w:rPr>
              <w:noBreakHyphen/>
              <w:t>AI4NDM</w:t>
            </w:r>
          </w:p>
        </w:tc>
        <w:tc>
          <w:tcPr>
            <w:tcW w:w="3685" w:type="dxa"/>
            <w:tcMar>
              <w:top w:w="0" w:type="dxa"/>
              <w:left w:w="108" w:type="dxa"/>
              <w:bottom w:w="0" w:type="dxa"/>
              <w:right w:w="108" w:type="dxa"/>
            </w:tcMar>
            <w:vAlign w:val="center"/>
          </w:tcPr>
          <w:p w14:paraId="292C1ED6" w14:textId="77777777" w:rsidR="00015F90" w:rsidRPr="007D4988" w:rsidRDefault="00015F90" w:rsidP="00E23B2E">
            <w:pPr>
              <w:pStyle w:val="Tabletext"/>
              <w:rPr>
                <w:rFonts w:eastAsia="MS Mincho" w:cs="Calibri"/>
                <w:szCs w:val="22"/>
              </w:rPr>
            </w:pPr>
            <w:r w:rsidRPr="007D4988">
              <w:rPr>
                <w:szCs w:val="22"/>
              </w:rPr>
              <w:t>L'intelligence artificielle au service de la gestion des catastrophes naturelles</w:t>
            </w:r>
          </w:p>
        </w:tc>
        <w:tc>
          <w:tcPr>
            <w:tcW w:w="1134" w:type="dxa"/>
            <w:tcMar>
              <w:top w:w="0" w:type="dxa"/>
              <w:left w:w="108" w:type="dxa"/>
              <w:bottom w:w="0" w:type="dxa"/>
              <w:right w:w="108" w:type="dxa"/>
            </w:tcMar>
            <w:vAlign w:val="center"/>
          </w:tcPr>
          <w:p w14:paraId="1CA7D0F2" w14:textId="77777777" w:rsidR="00015F90" w:rsidRPr="007D4988" w:rsidRDefault="00015F90" w:rsidP="00E23B2E">
            <w:pPr>
              <w:pStyle w:val="Tabletext"/>
              <w:jc w:val="center"/>
              <w:rPr>
                <w:rFonts w:eastAsia="MS Mincho" w:cs="Calibri"/>
                <w:szCs w:val="22"/>
              </w:rPr>
            </w:pPr>
            <w:r w:rsidRPr="007D4988">
              <w:rPr>
                <w:szCs w:val="22"/>
              </w:rPr>
              <w:t>12/2020</w:t>
            </w:r>
          </w:p>
        </w:tc>
        <w:tc>
          <w:tcPr>
            <w:tcW w:w="1134" w:type="dxa"/>
            <w:tcMar>
              <w:top w:w="0" w:type="dxa"/>
              <w:left w:w="108" w:type="dxa"/>
              <w:bottom w:w="0" w:type="dxa"/>
              <w:right w:w="108" w:type="dxa"/>
            </w:tcMar>
            <w:vAlign w:val="center"/>
          </w:tcPr>
          <w:p w14:paraId="6D07A3E6" w14:textId="77777777" w:rsidR="00015F90" w:rsidRPr="007D4988" w:rsidRDefault="00015F90" w:rsidP="00E23B2E">
            <w:pPr>
              <w:pStyle w:val="Tabletext"/>
              <w:jc w:val="center"/>
              <w:rPr>
                <w:rFonts w:eastAsia="MS Mincho" w:cs="Calibri"/>
                <w:szCs w:val="22"/>
              </w:rPr>
            </w:pPr>
            <w:r w:rsidRPr="007D4988">
              <w:rPr>
                <w:szCs w:val="22"/>
              </w:rPr>
              <w:t>03/2024</w:t>
            </w:r>
          </w:p>
        </w:tc>
        <w:tc>
          <w:tcPr>
            <w:tcW w:w="1128" w:type="dxa"/>
            <w:tcBorders>
              <w:right w:val="single" w:sz="4" w:space="0" w:color="4BACC6"/>
            </w:tcBorders>
            <w:tcMar>
              <w:top w:w="0" w:type="dxa"/>
              <w:left w:w="108" w:type="dxa"/>
              <w:bottom w:w="0" w:type="dxa"/>
              <w:right w:w="108" w:type="dxa"/>
            </w:tcMar>
            <w:vAlign w:val="center"/>
          </w:tcPr>
          <w:p w14:paraId="592797CA" w14:textId="77777777" w:rsidR="00015F90" w:rsidRPr="007D4988" w:rsidRDefault="00015F90" w:rsidP="00E23B2E">
            <w:pPr>
              <w:pStyle w:val="Tabletext"/>
              <w:jc w:val="center"/>
              <w:rPr>
                <w:rFonts w:eastAsia="MS Mincho" w:cs="Calibri"/>
                <w:szCs w:val="22"/>
              </w:rPr>
            </w:pPr>
            <w:r w:rsidRPr="007D4988">
              <w:rPr>
                <w:szCs w:val="22"/>
              </w:rPr>
              <w:t>5</w:t>
            </w:r>
          </w:p>
        </w:tc>
      </w:tr>
      <w:tr w:rsidR="00015F90" w:rsidRPr="007D4988" w14:paraId="7679F8C4" w14:textId="77777777" w:rsidTr="00E23B2E">
        <w:tc>
          <w:tcPr>
            <w:tcW w:w="1980" w:type="dxa"/>
            <w:tcBorders>
              <w:left w:val="single" w:sz="4" w:space="0" w:color="4BACC6"/>
            </w:tcBorders>
            <w:tcMar>
              <w:top w:w="0" w:type="dxa"/>
              <w:left w:w="108" w:type="dxa"/>
              <w:bottom w:w="0" w:type="dxa"/>
              <w:right w:w="108" w:type="dxa"/>
            </w:tcMar>
            <w:vAlign w:val="center"/>
          </w:tcPr>
          <w:p w14:paraId="47768583" w14:textId="77777777" w:rsidR="00015F90" w:rsidRPr="007D4988" w:rsidRDefault="00015F90" w:rsidP="00E23B2E">
            <w:pPr>
              <w:pStyle w:val="Tabletext"/>
              <w:rPr>
                <w:rFonts w:eastAsia="MS Mincho" w:cs="Calibri"/>
                <w:szCs w:val="22"/>
              </w:rPr>
            </w:pPr>
            <w:r w:rsidRPr="007D4988">
              <w:rPr>
                <w:szCs w:val="22"/>
              </w:rPr>
              <w:t>Groupe FG-AN</w:t>
            </w:r>
          </w:p>
        </w:tc>
        <w:tc>
          <w:tcPr>
            <w:tcW w:w="3685" w:type="dxa"/>
            <w:tcMar>
              <w:top w:w="0" w:type="dxa"/>
              <w:left w:w="108" w:type="dxa"/>
              <w:bottom w:w="0" w:type="dxa"/>
              <w:right w:w="108" w:type="dxa"/>
            </w:tcMar>
            <w:vAlign w:val="center"/>
          </w:tcPr>
          <w:p w14:paraId="28ECCE14" w14:textId="77777777" w:rsidR="00015F90" w:rsidRPr="007D4988" w:rsidRDefault="00015F90" w:rsidP="00E23B2E">
            <w:pPr>
              <w:pStyle w:val="Tabletext"/>
              <w:rPr>
                <w:rFonts w:eastAsia="MS Mincho" w:cs="Calibri"/>
                <w:szCs w:val="22"/>
              </w:rPr>
            </w:pPr>
            <w:r w:rsidRPr="007D4988">
              <w:rPr>
                <w:szCs w:val="22"/>
              </w:rPr>
              <w:t>Réseaux autonomes</w:t>
            </w:r>
          </w:p>
        </w:tc>
        <w:tc>
          <w:tcPr>
            <w:tcW w:w="1134" w:type="dxa"/>
            <w:tcMar>
              <w:top w:w="0" w:type="dxa"/>
              <w:left w:w="108" w:type="dxa"/>
              <w:bottom w:w="0" w:type="dxa"/>
              <w:right w:w="108" w:type="dxa"/>
            </w:tcMar>
            <w:vAlign w:val="center"/>
          </w:tcPr>
          <w:p w14:paraId="1FAAA6CA" w14:textId="77777777" w:rsidR="00015F90" w:rsidRPr="007D4988" w:rsidRDefault="00015F90" w:rsidP="00E23B2E">
            <w:pPr>
              <w:pStyle w:val="Tabletext"/>
              <w:jc w:val="center"/>
              <w:rPr>
                <w:rFonts w:eastAsia="MS Mincho" w:cs="Calibri"/>
                <w:szCs w:val="22"/>
              </w:rPr>
            </w:pPr>
            <w:r w:rsidRPr="007D4988">
              <w:rPr>
                <w:szCs w:val="22"/>
              </w:rPr>
              <w:t>12/2020</w:t>
            </w:r>
          </w:p>
        </w:tc>
        <w:tc>
          <w:tcPr>
            <w:tcW w:w="1134" w:type="dxa"/>
            <w:tcMar>
              <w:top w:w="0" w:type="dxa"/>
              <w:left w:w="108" w:type="dxa"/>
              <w:bottom w:w="0" w:type="dxa"/>
              <w:right w:w="108" w:type="dxa"/>
            </w:tcMar>
            <w:vAlign w:val="center"/>
          </w:tcPr>
          <w:p w14:paraId="70CD5ED5" w14:textId="77777777" w:rsidR="00015F90" w:rsidRPr="007D4988" w:rsidRDefault="00015F90" w:rsidP="00E23B2E">
            <w:pPr>
              <w:pStyle w:val="Tabletext"/>
              <w:jc w:val="center"/>
              <w:rPr>
                <w:rFonts w:eastAsia="MS Mincho" w:cs="Calibri"/>
                <w:szCs w:val="22"/>
              </w:rPr>
            </w:pPr>
            <w:r w:rsidRPr="007D4988">
              <w:rPr>
                <w:szCs w:val="22"/>
              </w:rPr>
              <w:t>03/2024</w:t>
            </w:r>
          </w:p>
        </w:tc>
        <w:tc>
          <w:tcPr>
            <w:tcW w:w="1128" w:type="dxa"/>
            <w:tcBorders>
              <w:right w:val="single" w:sz="4" w:space="0" w:color="4BACC6"/>
            </w:tcBorders>
            <w:tcMar>
              <w:top w:w="0" w:type="dxa"/>
              <w:left w:w="108" w:type="dxa"/>
              <w:bottom w:w="0" w:type="dxa"/>
              <w:right w:w="108" w:type="dxa"/>
            </w:tcMar>
            <w:vAlign w:val="center"/>
          </w:tcPr>
          <w:p w14:paraId="11BC0E36" w14:textId="77777777" w:rsidR="00015F90" w:rsidRPr="007D4988" w:rsidRDefault="00015F90" w:rsidP="00E23B2E">
            <w:pPr>
              <w:pStyle w:val="Tabletext"/>
              <w:jc w:val="center"/>
              <w:rPr>
                <w:rFonts w:eastAsia="MS Mincho" w:cs="Calibri"/>
                <w:szCs w:val="22"/>
              </w:rPr>
            </w:pPr>
            <w:r w:rsidRPr="007D4988">
              <w:rPr>
                <w:szCs w:val="22"/>
              </w:rPr>
              <w:t>9</w:t>
            </w:r>
          </w:p>
        </w:tc>
      </w:tr>
      <w:tr w:rsidR="00015F90" w:rsidRPr="007D4988" w14:paraId="50F46323" w14:textId="77777777" w:rsidTr="00E23B2E">
        <w:tc>
          <w:tcPr>
            <w:tcW w:w="1980" w:type="dxa"/>
            <w:tcBorders>
              <w:left w:val="single" w:sz="4" w:space="0" w:color="4BACC6"/>
            </w:tcBorders>
            <w:tcMar>
              <w:top w:w="0" w:type="dxa"/>
              <w:left w:w="108" w:type="dxa"/>
              <w:bottom w:w="0" w:type="dxa"/>
              <w:right w:w="108" w:type="dxa"/>
            </w:tcMar>
            <w:vAlign w:val="center"/>
          </w:tcPr>
          <w:p w14:paraId="40497E86" w14:textId="77777777" w:rsidR="00015F90" w:rsidRPr="007D4988" w:rsidRDefault="00015F90" w:rsidP="00E23B2E">
            <w:pPr>
              <w:pStyle w:val="Tabletext"/>
              <w:rPr>
                <w:rFonts w:eastAsia="MS Mincho" w:cs="Calibri"/>
                <w:szCs w:val="22"/>
              </w:rPr>
            </w:pPr>
            <w:r w:rsidRPr="007D4988">
              <w:rPr>
                <w:szCs w:val="22"/>
              </w:rPr>
              <w:t>Groupe FG-AI4H</w:t>
            </w:r>
          </w:p>
        </w:tc>
        <w:tc>
          <w:tcPr>
            <w:tcW w:w="3685" w:type="dxa"/>
            <w:tcMar>
              <w:top w:w="0" w:type="dxa"/>
              <w:left w:w="108" w:type="dxa"/>
              <w:bottom w:w="0" w:type="dxa"/>
              <w:right w:w="108" w:type="dxa"/>
            </w:tcMar>
            <w:vAlign w:val="center"/>
          </w:tcPr>
          <w:p w14:paraId="5E87B651" w14:textId="77777777" w:rsidR="00015F90" w:rsidRPr="007D4988" w:rsidRDefault="00015F90" w:rsidP="00E23B2E">
            <w:pPr>
              <w:pStyle w:val="Tabletext"/>
              <w:rPr>
                <w:rFonts w:eastAsia="MS Mincho" w:cs="Calibri"/>
                <w:szCs w:val="22"/>
              </w:rPr>
            </w:pPr>
            <w:r w:rsidRPr="007D4988">
              <w:rPr>
                <w:szCs w:val="22"/>
              </w:rPr>
              <w:t>L'intelligence artificielle au service de la santé</w:t>
            </w:r>
          </w:p>
        </w:tc>
        <w:tc>
          <w:tcPr>
            <w:tcW w:w="1134" w:type="dxa"/>
            <w:tcMar>
              <w:top w:w="0" w:type="dxa"/>
              <w:left w:w="108" w:type="dxa"/>
              <w:bottom w:w="0" w:type="dxa"/>
              <w:right w:w="108" w:type="dxa"/>
            </w:tcMar>
            <w:vAlign w:val="center"/>
          </w:tcPr>
          <w:p w14:paraId="176A20E3" w14:textId="77777777" w:rsidR="00015F90" w:rsidRPr="007D4988" w:rsidRDefault="00015F90" w:rsidP="00E23B2E">
            <w:pPr>
              <w:pStyle w:val="Tabletext"/>
              <w:jc w:val="center"/>
              <w:rPr>
                <w:rFonts w:eastAsia="MS Mincho" w:cs="Calibri"/>
                <w:szCs w:val="22"/>
              </w:rPr>
            </w:pPr>
            <w:r w:rsidRPr="007D4988">
              <w:rPr>
                <w:szCs w:val="22"/>
              </w:rPr>
              <w:t>07/2018</w:t>
            </w:r>
          </w:p>
        </w:tc>
        <w:tc>
          <w:tcPr>
            <w:tcW w:w="1134" w:type="dxa"/>
            <w:tcMar>
              <w:top w:w="0" w:type="dxa"/>
              <w:left w:w="108" w:type="dxa"/>
              <w:bottom w:w="0" w:type="dxa"/>
              <w:right w:w="108" w:type="dxa"/>
            </w:tcMar>
            <w:vAlign w:val="center"/>
          </w:tcPr>
          <w:p w14:paraId="5D7C67AD" w14:textId="77777777" w:rsidR="00015F90" w:rsidRPr="007D4988" w:rsidRDefault="00015F90" w:rsidP="00E23B2E">
            <w:pPr>
              <w:pStyle w:val="Tabletext"/>
              <w:jc w:val="center"/>
              <w:rPr>
                <w:rFonts w:eastAsia="MS Mincho" w:cs="Calibri"/>
                <w:szCs w:val="22"/>
              </w:rPr>
            </w:pPr>
            <w:r w:rsidRPr="007D4988">
              <w:rPr>
                <w:szCs w:val="22"/>
              </w:rPr>
              <w:t>09/2023</w:t>
            </w:r>
          </w:p>
        </w:tc>
        <w:tc>
          <w:tcPr>
            <w:tcW w:w="1128" w:type="dxa"/>
            <w:tcBorders>
              <w:right w:val="single" w:sz="4" w:space="0" w:color="4BACC6"/>
            </w:tcBorders>
            <w:tcMar>
              <w:top w:w="0" w:type="dxa"/>
              <w:left w:w="108" w:type="dxa"/>
              <w:bottom w:w="0" w:type="dxa"/>
              <w:right w:w="108" w:type="dxa"/>
            </w:tcMar>
            <w:vAlign w:val="center"/>
          </w:tcPr>
          <w:p w14:paraId="08A22F11" w14:textId="77777777" w:rsidR="00015F90" w:rsidRPr="007D4988" w:rsidRDefault="00015F90" w:rsidP="00E23B2E">
            <w:pPr>
              <w:pStyle w:val="Tabletext"/>
              <w:jc w:val="center"/>
              <w:rPr>
                <w:rFonts w:eastAsia="MS Mincho" w:cs="Calibri"/>
                <w:szCs w:val="22"/>
              </w:rPr>
            </w:pPr>
            <w:r w:rsidRPr="007D4988">
              <w:rPr>
                <w:szCs w:val="22"/>
              </w:rPr>
              <w:t>36</w:t>
            </w:r>
          </w:p>
        </w:tc>
      </w:tr>
      <w:tr w:rsidR="00015F90" w:rsidRPr="007D4988" w14:paraId="616EEC88" w14:textId="77777777" w:rsidTr="00E23B2E">
        <w:tc>
          <w:tcPr>
            <w:tcW w:w="1980" w:type="dxa"/>
            <w:tcBorders>
              <w:left w:val="single" w:sz="4" w:space="0" w:color="4BACC6"/>
            </w:tcBorders>
            <w:tcMar>
              <w:top w:w="0" w:type="dxa"/>
              <w:left w:w="108" w:type="dxa"/>
              <w:bottom w:w="0" w:type="dxa"/>
              <w:right w:w="108" w:type="dxa"/>
            </w:tcMar>
            <w:vAlign w:val="center"/>
          </w:tcPr>
          <w:p w14:paraId="4A8C05E3" w14:textId="77777777" w:rsidR="00015F90" w:rsidRPr="007D4988" w:rsidRDefault="00015F90" w:rsidP="00E23B2E">
            <w:pPr>
              <w:pStyle w:val="Tabletext"/>
              <w:rPr>
                <w:rFonts w:eastAsia="MS Mincho" w:cs="Calibri"/>
                <w:szCs w:val="22"/>
              </w:rPr>
            </w:pPr>
            <w:r w:rsidRPr="007D4988">
              <w:rPr>
                <w:szCs w:val="22"/>
              </w:rPr>
              <w:t>Groupe FG</w:t>
            </w:r>
            <w:r w:rsidRPr="007D4988">
              <w:rPr>
                <w:szCs w:val="22"/>
              </w:rPr>
              <w:noBreakHyphen/>
              <w:t>AI4EE</w:t>
            </w:r>
          </w:p>
        </w:tc>
        <w:tc>
          <w:tcPr>
            <w:tcW w:w="3685" w:type="dxa"/>
            <w:tcMar>
              <w:top w:w="0" w:type="dxa"/>
              <w:left w:w="108" w:type="dxa"/>
              <w:bottom w:w="0" w:type="dxa"/>
              <w:right w:w="108" w:type="dxa"/>
            </w:tcMar>
            <w:vAlign w:val="center"/>
          </w:tcPr>
          <w:p w14:paraId="78CABCF0" w14:textId="77777777" w:rsidR="00015F90" w:rsidRPr="007D4988" w:rsidRDefault="00015F90" w:rsidP="00E23B2E">
            <w:pPr>
              <w:pStyle w:val="Tabletext"/>
              <w:rPr>
                <w:rFonts w:eastAsia="MS Mincho" w:cs="Calibri"/>
                <w:szCs w:val="22"/>
              </w:rPr>
            </w:pPr>
            <w:r w:rsidRPr="007D4988">
              <w:rPr>
                <w:szCs w:val="22"/>
              </w:rPr>
              <w:t>Efficacité environnementale de l'intelligence artificielle et des technologies émergentes</w:t>
            </w:r>
          </w:p>
        </w:tc>
        <w:tc>
          <w:tcPr>
            <w:tcW w:w="1134" w:type="dxa"/>
            <w:tcMar>
              <w:top w:w="0" w:type="dxa"/>
              <w:left w:w="108" w:type="dxa"/>
              <w:bottom w:w="0" w:type="dxa"/>
              <w:right w:w="108" w:type="dxa"/>
            </w:tcMar>
            <w:vAlign w:val="center"/>
          </w:tcPr>
          <w:p w14:paraId="14BF3D79" w14:textId="77777777" w:rsidR="00015F90" w:rsidRPr="007D4988" w:rsidRDefault="00015F90" w:rsidP="00E23B2E">
            <w:pPr>
              <w:pStyle w:val="Tabletext"/>
              <w:jc w:val="center"/>
              <w:rPr>
                <w:rFonts w:eastAsia="MS Mincho" w:cs="Calibri"/>
                <w:szCs w:val="22"/>
              </w:rPr>
            </w:pPr>
            <w:r w:rsidRPr="007D4988">
              <w:rPr>
                <w:szCs w:val="22"/>
              </w:rPr>
              <w:t>05/2019</w:t>
            </w:r>
          </w:p>
        </w:tc>
        <w:tc>
          <w:tcPr>
            <w:tcW w:w="1134" w:type="dxa"/>
            <w:tcMar>
              <w:top w:w="0" w:type="dxa"/>
              <w:left w:w="108" w:type="dxa"/>
              <w:bottom w:w="0" w:type="dxa"/>
              <w:right w:w="108" w:type="dxa"/>
            </w:tcMar>
            <w:vAlign w:val="center"/>
          </w:tcPr>
          <w:p w14:paraId="07A60F38" w14:textId="77777777" w:rsidR="00015F90" w:rsidRPr="007D4988" w:rsidRDefault="00015F90" w:rsidP="00E23B2E">
            <w:pPr>
              <w:pStyle w:val="Tabletext"/>
              <w:jc w:val="center"/>
              <w:rPr>
                <w:rFonts w:eastAsia="MS Mincho" w:cs="Calibri"/>
                <w:szCs w:val="22"/>
              </w:rPr>
            </w:pPr>
            <w:r w:rsidRPr="007D4988">
              <w:rPr>
                <w:szCs w:val="22"/>
              </w:rPr>
              <w:t>12/2022</w:t>
            </w:r>
          </w:p>
        </w:tc>
        <w:tc>
          <w:tcPr>
            <w:tcW w:w="1128" w:type="dxa"/>
            <w:tcBorders>
              <w:right w:val="single" w:sz="4" w:space="0" w:color="4BACC6"/>
            </w:tcBorders>
            <w:tcMar>
              <w:top w:w="0" w:type="dxa"/>
              <w:left w:w="108" w:type="dxa"/>
              <w:bottom w:w="0" w:type="dxa"/>
              <w:right w:w="108" w:type="dxa"/>
            </w:tcMar>
            <w:vAlign w:val="center"/>
          </w:tcPr>
          <w:p w14:paraId="08A29D08" w14:textId="77777777" w:rsidR="00015F90" w:rsidRPr="007D4988" w:rsidRDefault="00015F90" w:rsidP="00E23B2E">
            <w:pPr>
              <w:pStyle w:val="Tabletext"/>
              <w:jc w:val="center"/>
              <w:rPr>
                <w:rFonts w:eastAsia="MS Mincho" w:cs="Calibri"/>
                <w:szCs w:val="22"/>
              </w:rPr>
            </w:pPr>
            <w:r w:rsidRPr="007D4988">
              <w:rPr>
                <w:szCs w:val="22"/>
              </w:rPr>
              <w:t>20</w:t>
            </w:r>
          </w:p>
        </w:tc>
      </w:tr>
      <w:tr w:rsidR="00015F90" w:rsidRPr="007D4988" w14:paraId="0649D327" w14:textId="77777777" w:rsidTr="00E23B2E">
        <w:tc>
          <w:tcPr>
            <w:tcW w:w="1980" w:type="dxa"/>
            <w:tcBorders>
              <w:left w:val="single" w:sz="4" w:space="0" w:color="4BACC6"/>
            </w:tcBorders>
            <w:tcMar>
              <w:top w:w="0" w:type="dxa"/>
              <w:left w:w="108" w:type="dxa"/>
              <w:bottom w:w="0" w:type="dxa"/>
              <w:right w:w="108" w:type="dxa"/>
            </w:tcMar>
            <w:vAlign w:val="center"/>
          </w:tcPr>
          <w:p w14:paraId="7775192F" w14:textId="77777777" w:rsidR="00015F90" w:rsidRPr="007D4988" w:rsidRDefault="00015F90" w:rsidP="00E23B2E">
            <w:pPr>
              <w:pStyle w:val="Tabletext"/>
              <w:rPr>
                <w:rFonts w:eastAsia="MS Mincho" w:cs="Calibri"/>
                <w:szCs w:val="22"/>
              </w:rPr>
            </w:pPr>
            <w:r w:rsidRPr="007D4988">
              <w:rPr>
                <w:szCs w:val="22"/>
              </w:rPr>
              <w:t>Groupe FG</w:t>
            </w:r>
            <w:r w:rsidRPr="007D4988">
              <w:rPr>
                <w:szCs w:val="22"/>
              </w:rPr>
              <w:noBreakHyphen/>
              <w:t>AI4AD</w:t>
            </w:r>
          </w:p>
        </w:tc>
        <w:tc>
          <w:tcPr>
            <w:tcW w:w="3685" w:type="dxa"/>
            <w:tcMar>
              <w:top w:w="0" w:type="dxa"/>
              <w:left w:w="108" w:type="dxa"/>
              <w:bottom w:w="0" w:type="dxa"/>
              <w:right w:w="108" w:type="dxa"/>
            </w:tcMar>
            <w:vAlign w:val="center"/>
          </w:tcPr>
          <w:p w14:paraId="625422F9" w14:textId="77777777" w:rsidR="00015F90" w:rsidRPr="007D4988" w:rsidRDefault="00015F90" w:rsidP="00E23B2E">
            <w:pPr>
              <w:pStyle w:val="Tabletext"/>
              <w:rPr>
                <w:rFonts w:eastAsia="MS Mincho" w:cs="Calibri"/>
                <w:szCs w:val="22"/>
              </w:rPr>
            </w:pPr>
            <w:r w:rsidRPr="007D4988">
              <w:rPr>
                <w:szCs w:val="22"/>
              </w:rPr>
              <w:t>L'intelligence artificielle au service de la conduite autonome et de la conduite assistée</w:t>
            </w:r>
          </w:p>
        </w:tc>
        <w:tc>
          <w:tcPr>
            <w:tcW w:w="1134" w:type="dxa"/>
            <w:tcMar>
              <w:top w:w="0" w:type="dxa"/>
              <w:left w:w="108" w:type="dxa"/>
              <w:bottom w:w="0" w:type="dxa"/>
              <w:right w:w="108" w:type="dxa"/>
            </w:tcMar>
            <w:vAlign w:val="center"/>
          </w:tcPr>
          <w:p w14:paraId="50CE90E2" w14:textId="77777777" w:rsidR="00015F90" w:rsidRPr="007D4988" w:rsidRDefault="00015F90" w:rsidP="00E23B2E">
            <w:pPr>
              <w:pStyle w:val="Tabletext"/>
              <w:jc w:val="center"/>
              <w:rPr>
                <w:rFonts w:eastAsia="MS Mincho" w:cs="Calibri"/>
                <w:szCs w:val="22"/>
              </w:rPr>
            </w:pPr>
            <w:r w:rsidRPr="007D4988">
              <w:rPr>
                <w:szCs w:val="22"/>
              </w:rPr>
              <w:t>10/2019</w:t>
            </w:r>
          </w:p>
        </w:tc>
        <w:tc>
          <w:tcPr>
            <w:tcW w:w="1134" w:type="dxa"/>
            <w:tcMar>
              <w:top w:w="0" w:type="dxa"/>
              <w:left w:w="108" w:type="dxa"/>
              <w:bottom w:w="0" w:type="dxa"/>
              <w:right w:w="108" w:type="dxa"/>
            </w:tcMar>
            <w:vAlign w:val="center"/>
          </w:tcPr>
          <w:p w14:paraId="1F99138F" w14:textId="77777777" w:rsidR="00015F90" w:rsidRPr="007D4988" w:rsidRDefault="00015F90" w:rsidP="00E23B2E">
            <w:pPr>
              <w:pStyle w:val="Tabletext"/>
              <w:jc w:val="center"/>
              <w:rPr>
                <w:rFonts w:eastAsia="MS Mincho" w:cs="Calibri"/>
                <w:szCs w:val="22"/>
              </w:rPr>
            </w:pPr>
            <w:r w:rsidRPr="007D4988">
              <w:rPr>
                <w:szCs w:val="22"/>
              </w:rPr>
              <w:t>09/2022</w:t>
            </w:r>
          </w:p>
        </w:tc>
        <w:tc>
          <w:tcPr>
            <w:tcW w:w="1128" w:type="dxa"/>
            <w:tcBorders>
              <w:right w:val="single" w:sz="4" w:space="0" w:color="4BACC6"/>
            </w:tcBorders>
            <w:tcMar>
              <w:top w:w="0" w:type="dxa"/>
              <w:left w:w="108" w:type="dxa"/>
              <w:bottom w:w="0" w:type="dxa"/>
              <w:right w:w="108" w:type="dxa"/>
            </w:tcMar>
            <w:vAlign w:val="center"/>
          </w:tcPr>
          <w:p w14:paraId="4E90062D" w14:textId="77777777" w:rsidR="00015F90" w:rsidRPr="007D4988" w:rsidRDefault="00015F90" w:rsidP="00E23B2E">
            <w:pPr>
              <w:pStyle w:val="Tabletext"/>
              <w:jc w:val="center"/>
              <w:rPr>
                <w:rFonts w:eastAsia="MS Mincho" w:cs="Calibri"/>
                <w:szCs w:val="22"/>
              </w:rPr>
            </w:pPr>
            <w:r w:rsidRPr="007D4988">
              <w:rPr>
                <w:szCs w:val="22"/>
              </w:rPr>
              <w:t>3</w:t>
            </w:r>
          </w:p>
        </w:tc>
      </w:tr>
      <w:tr w:rsidR="00015F90" w:rsidRPr="007D4988" w14:paraId="1E043DA8" w14:textId="77777777" w:rsidTr="00E23B2E">
        <w:tc>
          <w:tcPr>
            <w:tcW w:w="1980" w:type="dxa"/>
            <w:tcBorders>
              <w:left w:val="single" w:sz="4" w:space="0" w:color="4BACC6"/>
              <w:bottom w:val="single" w:sz="4" w:space="0" w:color="4BACC6"/>
            </w:tcBorders>
            <w:tcMar>
              <w:top w:w="0" w:type="dxa"/>
              <w:left w:w="108" w:type="dxa"/>
              <w:bottom w:w="0" w:type="dxa"/>
              <w:right w:w="108" w:type="dxa"/>
            </w:tcMar>
            <w:vAlign w:val="center"/>
          </w:tcPr>
          <w:p w14:paraId="59363ABC" w14:textId="77777777" w:rsidR="00015F90" w:rsidRPr="007D4988" w:rsidRDefault="00015F90" w:rsidP="00E23B2E">
            <w:pPr>
              <w:pStyle w:val="Tabletext"/>
              <w:rPr>
                <w:rFonts w:eastAsia="MS Mincho" w:cs="Calibri"/>
                <w:szCs w:val="22"/>
              </w:rPr>
            </w:pPr>
            <w:r w:rsidRPr="007D4988">
              <w:rPr>
                <w:szCs w:val="22"/>
              </w:rPr>
              <w:t>Groupe FG-VM</w:t>
            </w:r>
          </w:p>
        </w:tc>
        <w:tc>
          <w:tcPr>
            <w:tcW w:w="3685" w:type="dxa"/>
            <w:tcBorders>
              <w:bottom w:val="single" w:sz="4" w:space="0" w:color="4BACC6"/>
            </w:tcBorders>
            <w:tcMar>
              <w:top w:w="0" w:type="dxa"/>
              <w:left w:w="108" w:type="dxa"/>
              <w:bottom w:w="0" w:type="dxa"/>
              <w:right w:w="108" w:type="dxa"/>
            </w:tcMar>
            <w:vAlign w:val="center"/>
          </w:tcPr>
          <w:p w14:paraId="107827A6" w14:textId="77777777" w:rsidR="00015F90" w:rsidRPr="007D4988" w:rsidRDefault="00015F90" w:rsidP="00E23B2E">
            <w:pPr>
              <w:pStyle w:val="Tabletext"/>
              <w:rPr>
                <w:rFonts w:eastAsia="MS Mincho" w:cs="Calibri"/>
                <w:szCs w:val="22"/>
              </w:rPr>
            </w:pPr>
            <w:r w:rsidRPr="007D4988">
              <w:rPr>
                <w:szCs w:val="22"/>
              </w:rPr>
              <w:t>Multimédia dans le véhicule</w:t>
            </w:r>
          </w:p>
        </w:tc>
        <w:tc>
          <w:tcPr>
            <w:tcW w:w="1134" w:type="dxa"/>
            <w:tcBorders>
              <w:bottom w:val="single" w:sz="4" w:space="0" w:color="4BACC6"/>
            </w:tcBorders>
            <w:tcMar>
              <w:top w:w="0" w:type="dxa"/>
              <w:left w:w="108" w:type="dxa"/>
              <w:bottom w:w="0" w:type="dxa"/>
              <w:right w:w="108" w:type="dxa"/>
            </w:tcMar>
            <w:vAlign w:val="center"/>
          </w:tcPr>
          <w:p w14:paraId="6C95CD9D" w14:textId="77777777" w:rsidR="00015F90" w:rsidRPr="007D4988" w:rsidRDefault="00015F90" w:rsidP="00E23B2E">
            <w:pPr>
              <w:pStyle w:val="Tabletext"/>
              <w:jc w:val="center"/>
              <w:rPr>
                <w:rFonts w:eastAsia="MS Mincho" w:cs="Calibri"/>
                <w:szCs w:val="22"/>
              </w:rPr>
            </w:pPr>
            <w:r w:rsidRPr="007D4988">
              <w:rPr>
                <w:szCs w:val="22"/>
              </w:rPr>
              <w:t>07/2018</w:t>
            </w:r>
          </w:p>
        </w:tc>
        <w:tc>
          <w:tcPr>
            <w:tcW w:w="1134" w:type="dxa"/>
            <w:tcBorders>
              <w:bottom w:val="single" w:sz="4" w:space="0" w:color="4BACC6"/>
            </w:tcBorders>
            <w:tcMar>
              <w:top w:w="0" w:type="dxa"/>
              <w:left w:w="108" w:type="dxa"/>
              <w:bottom w:w="0" w:type="dxa"/>
              <w:right w:w="108" w:type="dxa"/>
            </w:tcMar>
            <w:vAlign w:val="center"/>
          </w:tcPr>
          <w:p w14:paraId="49FDF6B9" w14:textId="77777777" w:rsidR="00015F90" w:rsidRPr="007D4988" w:rsidRDefault="00015F90" w:rsidP="00E23B2E">
            <w:pPr>
              <w:pStyle w:val="Tabletext"/>
              <w:jc w:val="center"/>
              <w:rPr>
                <w:rFonts w:eastAsia="MS Mincho" w:cs="Calibri"/>
                <w:szCs w:val="22"/>
              </w:rPr>
            </w:pPr>
            <w:r w:rsidRPr="007D4988">
              <w:rPr>
                <w:szCs w:val="22"/>
              </w:rPr>
              <w:t>09/2022</w:t>
            </w:r>
          </w:p>
        </w:tc>
        <w:tc>
          <w:tcPr>
            <w:tcW w:w="1128" w:type="dxa"/>
            <w:tcBorders>
              <w:bottom w:val="single" w:sz="4" w:space="0" w:color="4BACC6"/>
              <w:right w:val="single" w:sz="4" w:space="0" w:color="4BACC6"/>
            </w:tcBorders>
            <w:tcMar>
              <w:top w:w="0" w:type="dxa"/>
              <w:left w:w="108" w:type="dxa"/>
              <w:bottom w:w="0" w:type="dxa"/>
              <w:right w:w="108" w:type="dxa"/>
            </w:tcMar>
            <w:vAlign w:val="center"/>
          </w:tcPr>
          <w:p w14:paraId="2EEEE642" w14:textId="77777777" w:rsidR="00015F90" w:rsidRPr="007D4988" w:rsidRDefault="00015F90" w:rsidP="00E23B2E">
            <w:pPr>
              <w:pStyle w:val="Tabletext"/>
              <w:jc w:val="center"/>
              <w:rPr>
                <w:rFonts w:eastAsia="MS Mincho" w:cs="Calibri"/>
                <w:szCs w:val="22"/>
              </w:rPr>
            </w:pPr>
            <w:r w:rsidRPr="007D4988">
              <w:rPr>
                <w:szCs w:val="22"/>
              </w:rPr>
              <w:t>3</w:t>
            </w:r>
          </w:p>
        </w:tc>
      </w:tr>
    </w:tbl>
    <w:p w14:paraId="23BE1B0B" w14:textId="77777777" w:rsidR="00015F90" w:rsidRPr="007D4988" w:rsidRDefault="00015F90" w:rsidP="00015F90">
      <w:pPr>
        <w:pStyle w:val="Tablelegend"/>
        <w:rPr>
          <w:i/>
          <w:iCs/>
        </w:rPr>
      </w:pPr>
      <w:r w:rsidRPr="007D4988">
        <w:rPr>
          <w:i/>
          <w:iCs/>
        </w:rPr>
        <w:t>Tableau 3 – Groupes spécialisés de l'UIT-T en 2025</w:t>
      </w:r>
    </w:p>
    <w:p w14:paraId="4F2033A3" w14:textId="704F825E" w:rsidR="00015F90" w:rsidRPr="007D4988" w:rsidRDefault="00015F90" w:rsidP="00015F90">
      <w:r w:rsidRPr="007D4988">
        <w:t xml:space="preserve">Le tableau ci-après récapitule le nombre de publications normatives et non normatives approuvées pendant la période considérée (voir </w:t>
      </w:r>
      <w:hyperlink r:id="rId193" w:history="1">
        <w:r w:rsidRPr="007D4988">
          <w:rPr>
            <w:rStyle w:val="Hyperlink"/>
            <w:rFonts w:eastAsia="Times New Roman" w:cs="Times New Roman"/>
            <w:szCs w:val="20"/>
          </w:rPr>
          <w:t>https://itu.int/tdata/pubs/</w:t>
        </w:r>
      </w:hyperlink>
      <w:r w:rsidRPr="007D4988">
        <w:t xml:space="preserve"> pour d'autres statistiques sur les publications).</w:t>
      </w:r>
    </w:p>
    <w:p w14:paraId="2169C85D" w14:textId="77777777" w:rsidR="00015F90" w:rsidRPr="007D4988" w:rsidRDefault="00015F90" w:rsidP="00015F90">
      <w:pPr>
        <w:pStyle w:val="Tabletitle"/>
        <w:spacing w:before="240" w:after="240"/>
        <w:rPr>
          <w:bCs/>
        </w:rPr>
      </w:pPr>
      <w:r w:rsidRPr="007D4988">
        <w:rPr>
          <w:bCs/>
        </w:rPr>
        <w:t>Publications de l'UIT-T pour la période 2022-2025</w:t>
      </w:r>
    </w:p>
    <w:tbl>
      <w:tblPr>
        <w:tblW w:w="5000" w:type="pct"/>
        <w:tblLayout w:type="fixed"/>
        <w:tblCellMar>
          <w:left w:w="10" w:type="dxa"/>
          <w:right w:w="10" w:type="dxa"/>
        </w:tblCellMar>
        <w:tblLook w:val="0000" w:firstRow="0" w:lastRow="0" w:firstColumn="0" w:lastColumn="0" w:noHBand="0" w:noVBand="0"/>
      </w:tblPr>
      <w:tblGrid>
        <w:gridCol w:w="3776"/>
        <w:gridCol w:w="1322"/>
        <w:gridCol w:w="1321"/>
        <w:gridCol w:w="1321"/>
        <w:gridCol w:w="1321"/>
      </w:tblGrid>
      <w:tr w:rsidR="00015F90" w:rsidRPr="007D4988" w14:paraId="034335F9" w14:textId="77777777" w:rsidTr="00E23B2E">
        <w:trPr>
          <w:trHeight w:val="473"/>
        </w:trPr>
        <w:tc>
          <w:tcPr>
            <w:tcW w:w="3776" w:type="dxa"/>
            <w:tcBorders>
              <w:top w:val="single" w:sz="4" w:space="0" w:color="4BACC6"/>
              <w:left w:val="single" w:sz="4" w:space="0" w:color="4BACC6"/>
            </w:tcBorders>
            <w:tcMar>
              <w:top w:w="0" w:type="dxa"/>
              <w:left w:w="108" w:type="dxa"/>
              <w:bottom w:w="0" w:type="dxa"/>
              <w:right w:w="108" w:type="dxa"/>
            </w:tcMar>
          </w:tcPr>
          <w:p w14:paraId="72384A95" w14:textId="77777777" w:rsidR="00015F90" w:rsidRPr="007D4988" w:rsidRDefault="00015F90" w:rsidP="00E23B2E">
            <w:pPr>
              <w:pStyle w:val="Tablehead"/>
              <w:rPr>
                <w:rFonts w:eastAsia="MS Mincho"/>
              </w:rPr>
            </w:pPr>
            <w:r w:rsidRPr="007D4988">
              <w:t>Type de publication</w:t>
            </w:r>
          </w:p>
        </w:tc>
        <w:tc>
          <w:tcPr>
            <w:tcW w:w="1322" w:type="dxa"/>
            <w:tcBorders>
              <w:top w:val="single" w:sz="4" w:space="0" w:color="4BACC6"/>
            </w:tcBorders>
            <w:tcMar>
              <w:top w:w="0" w:type="dxa"/>
              <w:left w:w="108" w:type="dxa"/>
              <w:bottom w:w="0" w:type="dxa"/>
              <w:right w:w="108" w:type="dxa"/>
            </w:tcMar>
          </w:tcPr>
          <w:p w14:paraId="74923C2C" w14:textId="77777777" w:rsidR="00015F90" w:rsidRPr="007D4988" w:rsidRDefault="00015F90" w:rsidP="00E23B2E">
            <w:pPr>
              <w:pStyle w:val="Tablehead"/>
              <w:rPr>
                <w:rFonts w:eastAsia="MS Mincho"/>
              </w:rPr>
            </w:pPr>
            <w:r w:rsidRPr="007D4988">
              <w:t>2022</w:t>
            </w:r>
          </w:p>
        </w:tc>
        <w:tc>
          <w:tcPr>
            <w:tcW w:w="1321" w:type="dxa"/>
            <w:tcBorders>
              <w:top w:val="single" w:sz="4" w:space="0" w:color="4BACC6"/>
            </w:tcBorders>
            <w:tcMar>
              <w:top w:w="0" w:type="dxa"/>
              <w:left w:w="108" w:type="dxa"/>
              <w:bottom w:w="0" w:type="dxa"/>
              <w:right w:w="108" w:type="dxa"/>
            </w:tcMar>
          </w:tcPr>
          <w:p w14:paraId="291B628A" w14:textId="77777777" w:rsidR="00015F90" w:rsidRPr="007D4988" w:rsidRDefault="00015F90" w:rsidP="00E23B2E">
            <w:pPr>
              <w:pStyle w:val="Tablehead"/>
              <w:rPr>
                <w:rFonts w:eastAsia="MS Mincho"/>
              </w:rPr>
            </w:pPr>
            <w:r w:rsidRPr="007D4988">
              <w:t>2023</w:t>
            </w:r>
          </w:p>
        </w:tc>
        <w:tc>
          <w:tcPr>
            <w:tcW w:w="1321" w:type="dxa"/>
            <w:tcBorders>
              <w:top w:val="single" w:sz="4" w:space="0" w:color="4BACC6"/>
            </w:tcBorders>
            <w:tcMar>
              <w:top w:w="0" w:type="dxa"/>
              <w:left w:w="108" w:type="dxa"/>
              <w:bottom w:w="0" w:type="dxa"/>
              <w:right w:w="108" w:type="dxa"/>
            </w:tcMar>
          </w:tcPr>
          <w:p w14:paraId="1AA01A08" w14:textId="77777777" w:rsidR="00015F90" w:rsidRPr="007D4988" w:rsidRDefault="00015F90" w:rsidP="00E23B2E">
            <w:pPr>
              <w:pStyle w:val="Tablehead"/>
              <w:rPr>
                <w:rFonts w:eastAsia="MS Mincho"/>
              </w:rPr>
            </w:pPr>
            <w:r w:rsidRPr="007D4988">
              <w:t>2024</w:t>
            </w:r>
          </w:p>
        </w:tc>
        <w:tc>
          <w:tcPr>
            <w:tcW w:w="1321" w:type="dxa"/>
            <w:tcBorders>
              <w:top w:val="single" w:sz="4" w:space="0" w:color="4BACC6"/>
              <w:right w:val="single" w:sz="4" w:space="0" w:color="4BACC6"/>
            </w:tcBorders>
            <w:tcMar>
              <w:top w:w="0" w:type="dxa"/>
              <w:left w:w="108" w:type="dxa"/>
              <w:bottom w:w="0" w:type="dxa"/>
              <w:right w:w="108" w:type="dxa"/>
            </w:tcMar>
          </w:tcPr>
          <w:p w14:paraId="0B136CD7" w14:textId="77777777" w:rsidR="00015F90" w:rsidRPr="007D4988" w:rsidRDefault="00015F90" w:rsidP="00E23B2E">
            <w:pPr>
              <w:pStyle w:val="Tablehead"/>
              <w:rPr>
                <w:rFonts w:eastAsia="MS Mincho"/>
              </w:rPr>
            </w:pPr>
            <w:r w:rsidRPr="007D4988">
              <w:t>2025</w:t>
            </w:r>
          </w:p>
        </w:tc>
      </w:tr>
      <w:tr w:rsidR="00015F90" w:rsidRPr="007D4988" w14:paraId="1E0E0172" w14:textId="77777777" w:rsidTr="00E23B2E">
        <w:tc>
          <w:tcPr>
            <w:tcW w:w="3776" w:type="dxa"/>
            <w:tcBorders>
              <w:left w:val="single" w:sz="4" w:space="0" w:color="4BACC6"/>
            </w:tcBorders>
            <w:tcMar>
              <w:top w:w="0" w:type="dxa"/>
              <w:left w:w="108" w:type="dxa"/>
              <w:bottom w:w="0" w:type="dxa"/>
              <w:right w:w="108" w:type="dxa"/>
            </w:tcMar>
          </w:tcPr>
          <w:p w14:paraId="447A37F8" w14:textId="77777777" w:rsidR="00015F90" w:rsidRPr="007D4988" w:rsidRDefault="00015F90" w:rsidP="00E23B2E">
            <w:pPr>
              <w:pStyle w:val="Tabletext"/>
              <w:rPr>
                <w:rFonts w:eastAsia="MS Mincho"/>
                <w:sz w:val="20"/>
              </w:rPr>
            </w:pPr>
            <w:r w:rsidRPr="007D4988">
              <w:t>Recommandations (nouvelles et révisées)</w:t>
            </w:r>
          </w:p>
        </w:tc>
        <w:tc>
          <w:tcPr>
            <w:tcW w:w="1322" w:type="dxa"/>
            <w:tcMar>
              <w:top w:w="0" w:type="dxa"/>
              <w:left w:w="108" w:type="dxa"/>
              <w:bottom w:w="0" w:type="dxa"/>
              <w:right w:w="108" w:type="dxa"/>
            </w:tcMar>
          </w:tcPr>
          <w:p w14:paraId="1FC20CE0" w14:textId="77777777" w:rsidR="00015F90" w:rsidRPr="007D4988" w:rsidRDefault="00015F90" w:rsidP="00E23B2E">
            <w:pPr>
              <w:pStyle w:val="Tabletext"/>
              <w:jc w:val="center"/>
              <w:rPr>
                <w:rFonts w:eastAsia="MS Mincho"/>
                <w:sz w:val="20"/>
              </w:rPr>
            </w:pPr>
            <w:r w:rsidRPr="007D4988">
              <w:t>255</w:t>
            </w:r>
          </w:p>
        </w:tc>
        <w:tc>
          <w:tcPr>
            <w:tcW w:w="1321" w:type="dxa"/>
            <w:tcMar>
              <w:top w:w="0" w:type="dxa"/>
              <w:left w:w="108" w:type="dxa"/>
              <w:bottom w:w="0" w:type="dxa"/>
              <w:right w:w="108" w:type="dxa"/>
            </w:tcMar>
          </w:tcPr>
          <w:p w14:paraId="7274A771" w14:textId="77777777" w:rsidR="00015F90" w:rsidRPr="007D4988" w:rsidRDefault="00015F90" w:rsidP="00E23B2E">
            <w:pPr>
              <w:pStyle w:val="Tabletext"/>
              <w:jc w:val="center"/>
              <w:rPr>
                <w:rFonts w:eastAsia="MS Mincho"/>
                <w:sz w:val="20"/>
              </w:rPr>
            </w:pPr>
            <w:r w:rsidRPr="007D4988">
              <w:t>286</w:t>
            </w:r>
          </w:p>
        </w:tc>
        <w:tc>
          <w:tcPr>
            <w:tcW w:w="1321" w:type="dxa"/>
            <w:tcMar>
              <w:top w:w="0" w:type="dxa"/>
              <w:left w:w="108" w:type="dxa"/>
              <w:bottom w:w="0" w:type="dxa"/>
              <w:right w:w="108" w:type="dxa"/>
            </w:tcMar>
          </w:tcPr>
          <w:p w14:paraId="0048917E" w14:textId="77777777" w:rsidR="00015F90" w:rsidRPr="007D4988" w:rsidRDefault="00015F90" w:rsidP="00E23B2E">
            <w:pPr>
              <w:pStyle w:val="Tabletext"/>
              <w:jc w:val="center"/>
              <w:rPr>
                <w:rFonts w:eastAsia="MS Mincho"/>
                <w:sz w:val="20"/>
              </w:rPr>
            </w:pPr>
            <w:r w:rsidRPr="007D4988">
              <w:t>412</w:t>
            </w:r>
          </w:p>
        </w:tc>
        <w:tc>
          <w:tcPr>
            <w:tcW w:w="1321" w:type="dxa"/>
            <w:tcBorders>
              <w:right w:val="single" w:sz="4" w:space="0" w:color="4BACC6"/>
            </w:tcBorders>
            <w:tcMar>
              <w:top w:w="0" w:type="dxa"/>
              <w:left w:w="108" w:type="dxa"/>
              <w:bottom w:w="0" w:type="dxa"/>
              <w:right w:w="108" w:type="dxa"/>
            </w:tcMar>
          </w:tcPr>
          <w:p w14:paraId="7B023090" w14:textId="77777777" w:rsidR="00015F90" w:rsidRPr="007D4988" w:rsidRDefault="00015F90" w:rsidP="00E23B2E">
            <w:pPr>
              <w:pStyle w:val="Tabletext"/>
              <w:jc w:val="center"/>
              <w:rPr>
                <w:rFonts w:eastAsia="MS Mincho"/>
                <w:sz w:val="20"/>
              </w:rPr>
            </w:pPr>
            <w:r w:rsidRPr="007D4988">
              <w:t>272</w:t>
            </w:r>
          </w:p>
        </w:tc>
      </w:tr>
      <w:tr w:rsidR="00015F90" w:rsidRPr="007D4988" w14:paraId="1DD5E095" w14:textId="77777777" w:rsidTr="00E23B2E">
        <w:tc>
          <w:tcPr>
            <w:tcW w:w="3776" w:type="dxa"/>
            <w:tcBorders>
              <w:left w:val="single" w:sz="4" w:space="0" w:color="4BACC6"/>
            </w:tcBorders>
            <w:tcMar>
              <w:top w:w="0" w:type="dxa"/>
              <w:left w:w="108" w:type="dxa"/>
              <w:bottom w:w="0" w:type="dxa"/>
              <w:right w:w="108" w:type="dxa"/>
            </w:tcMar>
          </w:tcPr>
          <w:p w14:paraId="1A5A4151" w14:textId="77777777" w:rsidR="00015F90" w:rsidRPr="007D4988" w:rsidRDefault="00015F90" w:rsidP="00E23B2E">
            <w:pPr>
              <w:pStyle w:val="Tabletext"/>
              <w:rPr>
                <w:rFonts w:eastAsia="MS Mincho"/>
                <w:sz w:val="20"/>
              </w:rPr>
            </w:pPr>
            <w:r w:rsidRPr="007D4988">
              <w:t>Suppléments (nouveaux et révisés)</w:t>
            </w:r>
          </w:p>
        </w:tc>
        <w:tc>
          <w:tcPr>
            <w:tcW w:w="1322" w:type="dxa"/>
            <w:tcMar>
              <w:top w:w="0" w:type="dxa"/>
              <w:left w:w="108" w:type="dxa"/>
              <w:bottom w:w="0" w:type="dxa"/>
              <w:right w:w="108" w:type="dxa"/>
            </w:tcMar>
          </w:tcPr>
          <w:p w14:paraId="13887E2B" w14:textId="77777777" w:rsidR="00015F90" w:rsidRPr="007D4988" w:rsidRDefault="00015F90" w:rsidP="00E23B2E">
            <w:pPr>
              <w:pStyle w:val="Tabletext"/>
              <w:jc w:val="center"/>
              <w:rPr>
                <w:rFonts w:eastAsia="MS Mincho"/>
                <w:sz w:val="20"/>
              </w:rPr>
            </w:pPr>
            <w:r w:rsidRPr="007D4988">
              <w:t>33</w:t>
            </w:r>
          </w:p>
        </w:tc>
        <w:tc>
          <w:tcPr>
            <w:tcW w:w="1321" w:type="dxa"/>
            <w:tcMar>
              <w:top w:w="0" w:type="dxa"/>
              <w:left w:w="108" w:type="dxa"/>
              <w:bottom w:w="0" w:type="dxa"/>
              <w:right w:w="108" w:type="dxa"/>
            </w:tcMar>
          </w:tcPr>
          <w:p w14:paraId="765D04DF" w14:textId="77777777" w:rsidR="00015F90" w:rsidRPr="007D4988" w:rsidRDefault="00015F90" w:rsidP="00E23B2E">
            <w:pPr>
              <w:pStyle w:val="Tabletext"/>
              <w:jc w:val="center"/>
              <w:rPr>
                <w:rFonts w:eastAsia="MS Mincho"/>
                <w:sz w:val="20"/>
              </w:rPr>
            </w:pPr>
            <w:r w:rsidRPr="007D4988">
              <w:t>27</w:t>
            </w:r>
          </w:p>
        </w:tc>
        <w:tc>
          <w:tcPr>
            <w:tcW w:w="1321" w:type="dxa"/>
            <w:tcMar>
              <w:top w:w="0" w:type="dxa"/>
              <w:left w:w="108" w:type="dxa"/>
              <w:bottom w:w="0" w:type="dxa"/>
              <w:right w:w="108" w:type="dxa"/>
            </w:tcMar>
          </w:tcPr>
          <w:p w14:paraId="6990C343" w14:textId="77777777" w:rsidR="00015F90" w:rsidRPr="007D4988" w:rsidRDefault="00015F90" w:rsidP="00E23B2E">
            <w:pPr>
              <w:pStyle w:val="Tabletext"/>
              <w:jc w:val="center"/>
              <w:rPr>
                <w:rFonts w:eastAsia="MS Mincho"/>
                <w:sz w:val="20"/>
              </w:rPr>
            </w:pPr>
            <w:r w:rsidRPr="007D4988">
              <w:t>23</w:t>
            </w:r>
          </w:p>
        </w:tc>
        <w:tc>
          <w:tcPr>
            <w:tcW w:w="1321" w:type="dxa"/>
            <w:tcBorders>
              <w:right w:val="single" w:sz="4" w:space="0" w:color="4BACC6"/>
            </w:tcBorders>
            <w:tcMar>
              <w:top w:w="0" w:type="dxa"/>
              <w:left w:w="108" w:type="dxa"/>
              <w:bottom w:w="0" w:type="dxa"/>
              <w:right w:w="108" w:type="dxa"/>
            </w:tcMar>
          </w:tcPr>
          <w:p w14:paraId="719FE30A" w14:textId="77777777" w:rsidR="00015F90" w:rsidRPr="007D4988" w:rsidRDefault="00015F90" w:rsidP="00E23B2E">
            <w:pPr>
              <w:pStyle w:val="Tabletext"/>
              <w:jc w:val="center"/>
              <w:rPr>
                <w:rFonts w:eastAsia="MS Mincho"/>
                <w:sz w:val="20"/>
              </w:rPr>
            </w:pPr>
            <w:r w:rsidRPr="007D4988">
              <w:t>24</w:t>
            </w:r>
          </w:p>
        </w:tc>
      </w:tr>
      <w:tr w:rsidR="00015F90" w:rsidRPr="007D4988" w14:paraId="792D9B14" w14:textId="77777777" w:rsidTr="00E23B2E">
        <w:tc>
          <w:tcPr>
            <w:tcW w:w="3776" w:type="dxa"/>
            <w:tcBorders>
              <w:left w:val="single" w:sz="4" w:space="0" w:color="4BACC6"/>
            </w:tcBorders>
            <w:tcMar>
              <w:top w:w="0" w:type="dxa"/>
              <w:left w:w="108" w:type="dxa"/>
              <w:bottom w:w="0" w:type="dxa"/>
              <w:right w:w="108" w:type="dxa"/>
            </w:tcMar>
          </w:tcPr>
          <w:p w14:paraId="311587FA" w14:textId="77777777" w:rsidR="00015F90" w:rsidRPr="007D4988" w:rsidRDefault="00015F90" w:rsidP="00E23B2E">
            <w:pPr>
              <w:pStyle w:val="Tabletext"/>
              <w:rPr>
                <w:rFonts w:eastAsia="MS Mincho"/>
                <w:sz w:val="20"/>
              </w:rPr>
            </w:pPr>
            <w:r w:rsidRPr="007D4988">
              <w:t>Documents techniques et rapports techniques</w:t>
            </w:r>
          </w:p>
        </w:tc>
        <w:tc>
          <w:tcPr>
            <w:tcW w:w="1322" w:type="dxa"/>
            <w:tcMar>
              <w:top w:w="0" w:type="dxa"/>
              <w:left w:w="108" w:type="dxa"/>
              <w:bottom w:w="0" w:type="dxa"/>
              <w:right w:w="108" w:type="dxa"/>
            </w:tcMar>
          </w:tcPr>
          <w:p w14:paraId="220E3F1D" w14:textId="77777777" w:rsidR="00015F90" w:rsidRPr="007D4988" w:rsidRDefault="00015F90" w:rsidP="00E23B2E">
            <w:pPr>
              <w:pStyle w:val="Tabletext"/>
              <w:jc w:val="center"/>
              <w:rPr>
                <w:rFonts w:eastAsia="MS Mincho"/>
                <w:sz w:val="20"/>
              </w:rPr>
            </w:pPr>
            <w:r w:rsidRPr="007D4988">
              <w:t>14</w:t>
            </w:r>
          </w:p>
        </w:tc>
        <w:tc>
          <w:tcPr>
            <w:tcW w:w="1321" w:type="dxa"/>
            <w:tcMar>
              <w:top w:w="0" w:type="dxa"/>
              <w:left w:w="108" w:type="dxa"/>
              <w:bottom w:w="0" w:type="dxa"/>
              <w:right w:w="108" w:type="dxa"/>
            </w:tcMar>
          </w:tcPr>
          <w:p w14:paraId="17980558" w14:textId="77777777" w:rsidR="00015F90" w:rsidRPr="007D4988" w:rsidRDefault="00015F90" w:rsidP="00E23B2E">
            <w:pPr>
              <w:pStyle w:val="Tabletext"/>
              <w:jc w:val="center"/>
              <w:rPr>
                <w:rFonts w:eastAsia="MS Mincho"/>
                <w:sz w:val="20"/>
              </w:rPr>
            </w:pPr>
            <w:r w:rsidRPr="007D4988">
              <w:t>26</w:t>
            </w:r>
          </w:p>
        </w:tc>
        <w:tc>
          <w:tcPr>
            <w:tcW w:w="1321" w:type="dxa"/>
            <w:tcMar>
              <w:top w:w="0" w:type="dxa"/>
              <w:left w:w="108" w:type="dxa"/>
              <w:bottom w:w="0" w:type="dxa"/>
              <w:right w:w="108" w:type="dxa"/>
            </w:tcMar>
          </w:tcPr>
          <w:p w14:paraId="3E11B139" w14:textId="77777777" w:rsidR="00015F90" w:rsidRPr="007D4988" w:rsidRDefault="00015F90" w:rsidP="00E23B2E">
            <w:pPr>
              <w:pStyle w:val="Tabletext"/>
              <w:jc w:val="center"/>
              <w:rPr>
                <w:rFonts w:eastAsia="MS Mincho"/>
                <w:sz w:val="20"/>
              </w:rPr>
            </w:pPr>
            <w:r w:rsidRPr="007D4988">
              <w:t>22</w:t>
            </w:r>
          </w:p>
        </w:tc>
        <w:tc>
          <w:tcPr>
            <w:tcW w:w="1321" w:type="dxa"/>
            <w:tcBorders>
              <w:right w:val="single" w:sz="4" w:space="0" w:color="4BACC6"/>
            </w:tcBorders>
            <w:tcMar>
              <w:top w:w="0" w:type="dxa"/>
              <w:left w:w="108" w:type="dxa"/>
              <w:bottom w:w="0" w:type="dxa"/>
              <w:right w:w="108" w:type="dxa"/>
            </w:tcMar>
          </w:tcPr>
          <w:p w14:paraId="47C8B0A6" w14:textId="77777777" w:rsidR="00015F90" w:rsidRPr="007D4988" w:rsidRDefault="00015F90" w:rsidP="00E23B2E">
            <w:pPr>
              <w:pStyle w:val="Tabletext"/>
              <w:jc w:val="center"/>
              <w:rPr>
                <w:rFonts w:eastAsia="MS Mincho"/>
                <w:sz w:val="20"/>
              </w:rPr>
            </w:pPr>
            <w:r w:rsidRPr="007D4988">
              <w:t>18</w:t>
            </w:r>
          </w:p>
        </w:tc>
      </w:tr>
      <w:tr w:rsidR="00015F90" w:rsidRPr="007D4988" w14:paraId="6015AE55" w14:textId="77777777" w:rsidTr="00E23B2E">
        <w:tc>
          <w:tcPr>
            <w:tcW w:w="3776" w:type="dxa"/>
            <w:tcBorders>
              <w:left w:val="single" w:sz="4" w:space="0" w:color="4BACC6"/>
            </w:tcBorders>
            <w:tcMar>
              <w:top w:w="0" w:type="dxa"/>
              <w:left w:w="108" w:type="dxa"/>
              <w:bottom w:w="0" w:type="dxa"/>
              <w:right w:w="108" w:type="dxa"/>
            </w:tcMar>
          </w:tcPr>
          <w:p w14:paraId="65A3591B" w14:textId="77777777" w:rsidR="00015F90" w:rsidRPr="007D4988" w:rsidRDefault="00015F90" w:rsidP="00E23B2E">
            <w:pPr>
              <w:pStyle w:val="Tabletext"/>
              <w:rPr>
                <w:rFonts w:eastAsia="MS Mincho"/>
                <w:sz w:val="20"/>
              </w:rPr>
            </w:pPr>
            <w:r w:rsidRPr="007D4988">
              <w:t>Autres publications des commissions d'études</w:t>
            </w:r>
          </w:p>
        </w:tc>
        <w:tc>
          <w:tcPr>
            <w:tcW w:w="1322" w:type="dxa"/>
            <w:tcMar>
              <w:top w:w="0" w:type="dxa"/>
              <w:left w:w="108" w:type="dxa"/>
              <w:bottom w:w="0" w:type="dxa"/>
              <w:right w:w="108" w:type="dxa"/>
            </w:tcMar>
          </w:tcPr>
          <w:p w14:paraId="469E50FA" w14:textId="77777777" w:rsidR="00015F90" w:rsidRPr="007D4988" w:rsidRDefault="00015F90" w:rsidP="00E23B2E">
            <w:pPr>
              <w:pStyle w:val="Tabletext"/>
              <w:jc w:val="center"/>
              <w:rPr>
                <w:rFonts w:eastAsia="MS Mincho"/>
                <w:sz w:val="20"/>
              </w:rPr>
            </w:pPr>
            <w:r w:rsidRPr="007D4988">
              <w:t>13</w:t>
            </w:r>
          </w:p>
        </w:tc>
        <w:tc>
          <w:tcPr>
            <w:tcW w:w="1321" w:type="dxa"/>
            <w:tcMar>
              <w:top w:w="0" w:type="dxa"/>
              <w:left w:w="108" w:type="dxa"/>
              <w:bottom w:w="0" w:type="dxa"/>
              <w:right w:w="108" w:type="dxa"/>
            </w:tcMar>
          </w:tcPr>
          <w:p w14:paraId="42955D70" w14:textId="77777777" w:rsidR="00015F90" w:rsidRPr="007D4988" w:rsidRDefault="00015F90" w:rsidP="00E23B2E">
            <w:pPr>
              <w:pStyle w:val="Tabletext"/>
              <w:jc w:val="center"/>
              <w:rPr>
                <w:rFonts w:eastAsia="MS Mincho"/>
                <w:sz w:val="20"/>
              </w:rPr>
            </w:pPr>
            <w:r w:rsidRPr="007D4988">
              <w:t>3</w:t>
            </w:r>
          </w:p>
        </w:tc>
        <w:tc>
          <w:tcPr>
            <w:tcW w:w="1321" w:type="dxa"/>
            <w:tcMar>
              <w:top w:w="0" w:type="dxa"/>
              <w:left w:w="108" w:type="dxa"/>
              <w:bottom w:w="0" w:type="dxa"/>
              <w:right w:w="108" w:type="dxa"/>
            </w:tcMar>
          </w:tcPr>
          <w:p w14:paraId="772E6AA0" w14:textId="77777777" w:rsidR="00015F90" w:rsidRPr="007D4988" w:rsidRDefault="00015F90" w:rsidP="00E23B2E">
            <w:pPr>
              <w:pStyle w:val="Tabletext"/>
              <w:jc w:val="center"/>
              <w:rPr>
                <w:rFonts w:eastAsia="MS Mincho"/>
                <w:sz w:val="20"/>
              </w:rPr>
            </w:pPr>
            <w:r w:rsidRPr="007D4988">
              <w:t>3</w:t>
            </w:r>
          </w:p>
        </w:tc>
        <w:tc>
          <w:tcPr>
            <w:tcW w:w="1321" w:type="dxa"/>
            <w:tcBorders>
              <w:right w:val="single" w:sz="4" w:space="0" w:color="4BACC6"/>
            </w:tcBorders>
            <w:tcMar>
              <w:top w:w="0" w:type="dxa"/>
              <w:left w:w="108" w:type="dxa"/>
              <w:bottom w:w="0" w:type="dxa"/>
              <w:right w:w="108" w:type="dxa"/>
            </w:tcMar>
          </w:tcPr>
          <w:p w14:paraId="4ABD6D44" w14:textId="77777777" w:rsidR="00015F90" w:rsidRPr="007D4988" w:rsidRDefault="00015F90" w:rsidP="00E23B2E">
            <w:pPr>
              <w:pStyle w:val="Tabletext"/>
              <w:jc w:val="center"/>
              <w:rPr>
                <w:rFonts w:eastAsia="MS Mincho"/>
                <w:sz w:val="20"/>
              </w:rPr>
            </w:pPr>
            <w:r w:rsidRPr="007D4988">
              <w:t>2</w:t>
            </w:r>
          </w:p>
        </w:tc>
      </w:tr>
      <w:tr w:rsidR="00015F90" w:rsidRPr="007D4988" w14:paraId="19B40710" w14:textId="77777777" w:rsidTr="00E23B2E">
        <w:tc>
          <w:tcPr>
            <w:tcW w:w="3776" w:type="dxa"/>
            <w:tcBorders>
              <w:left w:val="single" w:sz="4" w:space="0" w:color="4BACC6"/>
              <w:bottom w:val="single" w:sz="4" w:space="0" w:color="4BACC6"/>
            </w:tcBorders>
            <w:tcMar>
              <w:top w:w="0" w:type="dxa"/>
              <w:left w:w="108" w:type="dxa"/>
              <w:bottom w:w="0" w:type="dxa"/>
              <w:right w:w="108" w:type="dxa"/>
            </w:tcMar>
          </w:tcPr>
          <w:p w14:paraId="3ACDCA8C" w14:textId="77777777" w:rsidR="00015F90" w:rsidRPr="007D4988" w:rsidRDefault="00015F90" w:rsidP="00E23B2E">
            <w:pPr>
              <w:pStyle w:val="Tabletext"/>
              <w:rPr>
                <w:rFonts w:eastAsia="MS Mincho"/>
                <w:sz w:val="20"/>
              </w:rPr>
            </w:pPr>
            <w:r w:rsidRPr="007D4988">
              <w:t>Produits des groupes spécialisés</w:t>
            </w:r>
          </w:p>
        </w:tc>
        <w:tc>
          <w:tcPr>
            <w:tcW w:w="1322" w:type="dxa"/>
            <w:tcBorders>
              <w:bottom w:val="single" w:sz="4" w:space="0" w:color="4BACC6"/>
            </w:tcBorders>
            <w:tcMar>
              <w:top w:w="0" w:type="dxa"/>
              <w:left w:w="108" w:type="dxa"/>
              <w:bottom w:w="0" w:type="dxa"/>
              <w:right w:w="108" w:type="dxa"/>
            </w:tcMar>
          </w:tcPr>
          <w:p w14:paraId="03E02445" w14:textId="77777777" w:rsidR="00015F90" w:rsidRPr="007D4988" w:rsidRDefault="00015F90" w:rsidP="00E23B2E">
            <w:pPr>
              <w:pStyle w:val="Tabletext"/>
              <w:jc w:val="center"/>
              <w:rPr>
                <w:rFonts w:eastAsia="MS Mincho"/>
                <w:sz w:val="20"/>
              </w:rPr>
            </w:pPr>
            <w:r w:rsidRPr="007D4988">
              <w:t>26</w:t>
            </w:r>
          </w:p>
        </w:tc>
        <w:tc>
          <w:tcPr>
            <w:tcW w:w="1321" w:type="dxa"/>
            <w:tcBorders>
              <w:bottom w:val="single" w:sz="4" w:space="0" w:color="4BACC6"/>
            </w:tcBorders>
            <w:tcMar>
              <w:top w:w="0" w:type="dxa"/>
              <w:left w:w="108" w:type="dxa"/>
              <w:bottom w:w="0" w:type="dxa"/>
              <w:right w:w="108" w:type="dxa"/>
            </w:tcMar>
          </w:tcPr>
          <w:p w14:paraId="48DC2283" w14:textId="77777777" w:rsidR="00015F90" w:rsidRPr="007D4988" w:rsidRDefault="00015F90" w:rsidP="00E23B2E">
            <w:pPr>
              <w:pStyle w:val="Tabletext"/>
              <w:jc w:val="center"/>
              <w:rPr>
                <w:rFonts w:eastAsia="MS Mincho"/>
                <w:sz w:val="20"/>
              </w:rPr>
            </w:pPr>
            <w:r w:rsidRPr="007D4988">
              <w:t>36</w:t>
            </w:r>
          </w:p>
        </w:tc>
        <w:tc>
          <w:tcPr>
            <w:tcW w:w="1321" w:type="dxa"/>
            <w:tcBorders>
              <w:bottom w:val="single" w:sz="4" w:space="0" w:color="4BACC6"/>
            </w:tcBorders>
            <w:tcMar>
              <w:top w:w="0" w:type="dxa"/>
              <w:left w:w="108" w:type="dxa"/>
              <w:bottom w:w="0" w:type="dxa"/>
              <w:right w:w="108" w:type="dxa"/>
            </w:tcMar>
          </w:tcPr>
          <w:p w14:paraId="4024E550" w14:textId="77777777" w:rsidR="00015F90" w:rsidRPr="007D4988" w:rsidRDefault="00015F90" w:rsidP="00E23B2E">
            <w:pPr>
              <w:pStyle w:val="Tabletext"/>
              <w:jc w:val="center"/>
              <w:rPr>
                <w:rFonts w:eastAsia="MS Mincho"/>
                <w:sz w:val="20"/>
              </w:rPr>
            </w:pPr>
            <w:r w:rsidRPr="007D4988">
              <w:t>79</w:t>
            </w:r>
          </w:p>
        </w:tc>
        <w:tc>
          <w:tcPr>
            <w:tcW w:w="1321" w:type="dxa"/>
            <w:tcBorders>
              <w:bottom w:val="single" w:sz="4" w:space="0" w:color="4BACC6"/>
              <w:right w:val="single" w:sz="4" w:space="0" w:color="4BACC6"/>
            </w:tcBorders>
            <w:tcMar>
              <w:top w:w="0" w:type="dxa"/>
              <w:left w:w="108" w:type="dxa"/>
              <w:bottom w:w="0" w:type="dxa"/>
              <w:right w:w="108" w:type="dxa"/>
            </w:tcMar>
          </w:tcPr>
          <w:p w14:paraId="627E1337" w14:textId="77777777" w:rsidR="00015F90" w:rsidRPr="007D4988" w:rsidRDefault="00015F90" w:rsidP="00E23B2E">
            <w:pPr>
              <w:pStyle w:val="Tabletext"/>
              <w:jc w:val="center"/>
              <w:rPr>
                <w:rFonts w:eastAsia="MS Mincho"/>
                <w:sz w:val="20"/>
              </w:rPr>
            </w:pPr>
            <w:r w:rsidRPr="007D4988">
              <w:t>6</w:t>
            </w:r>
          </w:p>
        </w:tc>
      </w:tr>
    </w:tbl>
    <w:p w14:paraId="2A7FC1BD" w14:textId="77777777" w:rsidR="00015F90" w:rsidRPr="007D4988" w:rsidRDefault="00015F90" w:rsidP="00015F90">
      <w:pPr>
        <w:pStyle w:val="Tablelegend"/>
        <w:rPr>
          <w:i/>
          <w:iCs/>
        </w:rPr>
      </w:pPr>
      <w:r w:rsidRPr="007D4988">
        <w:rPr>
          <w:i/>
          <w:iCs/>
        </w:rPr>
        <w:t>Tableau 4 – Publications de l'UIT-T pour la période 2022-2025</w:t>
      </w:r>
    </w:p>
    <w:p w14:paraId="5AD72BFD" w14:textId="77777777" w:rsidR="00840C7B" w:rsidRPr="007D4988" w:rsidRDefault="00840C7B" w:rsidP="00840C7B">
      <w:pPr>
        <w:pStyle w:val="Headingb"/>
      </w:pPr>
      <w:r w:rsidRPr="007D4988">
        <w:t>Conformité et interopérabilité</w:t>
      </w:r>
    </w:p>
    <w:p w14:paraId="19ECE4F1" w14:textId="703B8E6A" w:rsidR="00840C7B" w:rsidRPr="007D4988" w:rsidRDefault="00840C7B" w:rsidP="00840C7B">
      <w:r w:rsidRPr="007D4988">
        <w:t xml:space="preserve">En 2026, l'UIT a mené une enquête sur l'utilisation des Recommandations UIT-T dans les cadres nationaux d'évaluation de la conformité, qui a confirmé le vif intérêt suscité par le Programme de conformité et d'interopérabilité (C&amp;I) de l'UIT (Document </w:t>
      </w:r>
      <w:hyperlink r:id="rId194" w:history="1">
        <w:r w:rsidRPr="007D4988">
          <w:rPr>
            <w:rStyle w:val="Hyperlink"/>
            <w:rFonts w:eastAsia="Times New Roman" w:cs="Times New Roman"/>
            <w:szCs w:val="20"/>
          </w:rPr>
          <w:t>SG11-TD909/GEN</w:t>
        </w:r>
      </w:hyperlink>
      <w:r w:rsidRPr="007D4988">
        <w:t>). Conformément à la Résolution 177 (Rév. Bucarest, 2022) de la Conférence de plénipotentiaires, le TSB a élaboré des critères d'évaluation du Pilier 1 du Programme C&amp;I et préparé un projet de concept de "Marque UIT", en s'inspirant des programmes internationaux de conformité existants, comprenant la Marque UIT (</w:t>
      </w:r>
      <w:hyperlink r:id="rId195" w:history="1">
        <w:r w:rsidRPr="007D4988">
          <w:rPr>
            <w:rStyle w:val="Hyperlink"/>
            <w:rFonts w:eastAsia="Times New Roman" w:cs="Times New Roman"/>
            <w:szCs w:val="20"/>
          </w:rPr>
          <w:t>pour les systèmes mobiles mondiaux de communications personnelles par satellite (GMPCS)</w:t>
        </w:r>
      </w:hyperlink>
      <w:r w:rsidRPr="007D4988">
        <w:t>). Un rapport sur ces faits nouveaux, élaboré en collaboration avec la CE 11 de l'UIT-T, est disponible dans le Document </w:t>
      </w:r>
      <w:hyperlink r:id="rId196" w:history="1">
        <w:r w:rsidRPr="007D4988">
          <w:rPr>
            <w:rStyle w:val="Hyperlink"/>
            <w:rFonts w:eastAsia="Times New Roman" w:cs="Times New Roman"/>
            <w:szCs w:val="20"/>
          </w:rPr>
          <w:t>SG11-TD939R1/GEN</w:t>
        </w:r>
      </w:hyperlink>
      <w:r w:rsidRPr="007D4988">
        <w:t>.</w:t>
      </w:r>
    </w:p>
    <w:p w14:paraId="023829BC" w14:textId="7BFFA86A" w:rsidR="00015F90" w:rsidRPr="007D4988" w:rsidRDefault="00015F90" w:rsidP="00015F90">
      <w:pPr>
        <w:pStyle w:val="Headingb"/>
      </w:pPr>
      <w:r w:rsidRPr="007D4988">
        <w:t>Base de données d'échange de normes sur l'IA</w:t>
      </w:r>
    </w:p>
    <w:p w14:paraId="3FA5BC02" w14:textId="37D36588" w:rsidR="00015F90" w:rsidRPr="007D4988" w:rsidRDefault="00015F90" w:rsidP="00015F90">
      <w:r w:rsidRPr="007D4988">
        <w:t xml:space="preserve">Pour répondre à l'appel lancé au titre du Pacte numérique mondial (Articles 58, 59 et 60), dans lequel il est proposé de créer une plate-forme d'échange de normes sur l'IA pour faciliter le partage d'informations dans ce domaine, la </w:t>
      </w:r>
      <w:hyperlink r:id="rId197" w:anchor="/fr" w:history="1">
        <w:r w:rsidRPr="007D4988">
          <w:rPr>
            <w:rStyle w:val="Hyperlink"/>
            <w:rFonts w:eastAsia="Times New Roman" w:cs="Times New Roman"/>
            <w:szCs w:val="20"/>
          </w:rPr>
          <w:t>base de données d'échange de normes sur l'IA</w:t>
        </w:r>
      </w:hyperlink>
      <w:r w:rsidRPr="007D4988">
        <w:t xml:space="preserve"> a été mise en place. La base de données d'échange de normes sur l'IA a été créée en 2025 en tirant parti des données provenant de l'environnement des normes de l'UIT</w:t>
      </w:r>
      <w:r w:rsidRPr="007D4988">
        <w:noBreakHyphen/>
        <w:t>T. Elle a été élaborée dans le cadre de la Coopération mondiale en matière de normalisation, qui réunit l'UIT, l'Organisation internationale de normalisation (ISO) et la Commission électrotechnique internationale (CEI), en partenariat avec l'Institute of Electrical and Electronics Engineers (IEEE), le Groupe d'étude sur l'ingénierie Internet (IETF) et le Centre de normalisation de l'IA de l'Institut Alan Turing. Au moment du lancement de la base de données d'échange de normes sur l'IA lors du Sommet mondial sur l'IA au service du bien social de 2025, le 11 juillet 2025, on comptait quelque 700 normes sur l'IA et publications connexes de l'UIT, de l'ISO, de la CEI, de l'IEEE et de l'IETF. En janvier 2026, on dénombrait environ 200 normes de l'UIT-T sur l'IA publiées et 200 en cours d'élaboration.</w:t>
      </w:r>
    </w:p>
    <w:p w14:paraId="542A60BC" w14:textId="77777777" w:rsidR="00015F90" w:rsidRPr="007D4988" w:rsidRDefault="00015F90" w:rsidP="00015F90">
      <w:pPr>
        <w:pStyle w:val="Heading3"/>
      </w:pPr>
      <w:bookmarkStart w:id="67" w:name="_Toc225488888"/>
      <w:r w:rsidRPr="007D4988">
        <w:t>4.3.2</w:t>
      </w:r>
      <w:r w:rsidRPr="007D4988">
        <w:tab/>
        <w:t>Recommandations UIT-R</w:t>
      </w:r>
      <w:bookmarkEnd w:id="67"/>
    </w:p>
    <w:p w14:paraId="78CDEC21" w14:textId="77777777" w:rsidR="00015F90" w:rsidRPr="007D4988" w:rsidRDefault="00015F90" w:rsidP="00015F90">
      <w:r w:rsidRPr="007D4988">
        <w:t xml:space="preserve">Au cours de la période 2022-2025, les États Membres de l'UIT ont approuvé 164 Recommandations UIT-R nouvelles ou révisées. Toutes les Recommandations UIT-R sont disponibles à l'adresse </w:t>
      </w:r>
      <w:hyperlink r:id="rId198" w:history="1">
        <w:r w:rsidRPr="007D4988">
          <w:rPr>
            <w:rStyle w:val="Hyperlink"/>
            <w:rFonts w:eastAsia="Times New Roman" w:cs="Times New Roman"/>
            <w:szCs w:val="20"/>
          </w:rPr>
          <w:t>http://www.itu.int/pub/R-REC</w:t>
        </w:r>
      </w:hyperlink>
      <w:r w:rsidRPr="007D4988">
        <w:t>. Quelque 1 161 Recommandations UIT</w:t>
      </w:r>
      <w:r w:rsidRPr="007D4988">
        <w:noBreakHyphen/>
        <w:t>R sont actuellement en vigueur.</w:t>
      </w:r>
    </w:p>
    <w:p w14:paraId="0EE8940B" w14:textId="77777777" w:rsidR="00015F90" w:rsidRPr="007D4988" w:rsidRDefault="00015F90" w:rsidP="00015F90">
      <w:r w:rsidRPr="007D4988">
        <w:t>En 2023, les travaux de l'UIT-R ont été récompensés par le prix Emmy Award dans le domaine de l'ingénierie, des sciences et de la technologie pour l'élaboration d'une norme de radiocommunication applicable à la télévision à grande plage dynamique (TV-HDR). Décerné par l'Académie de la télévision, ce prix récompense les travaux novateurs réalisés par des ingénieurs et des spécialistes au sein de la Commission d'études 6 de l'UIT-R pour élaborer une norme mondiale sur la télévision HDR qui améliore l'expérience visuelle des téléspectateurs. Il s'agit du troisième Emmy Award reçu par une commission d'études de l'UIT</w:t>
      </w:r>
      <w:r w:rsidRPr="007D4988">
        <w:noBreakHyphen/>
        <w:t>R et du sixième pour l'UIT dans son ensemble.</w:t>
      </w:r>
    </w:p>
    <w:p w14:paraId="0B842CC3" w14:textId="77777777" w:rsidR="00015F90" w:rsidRPr="007D4988" w:rsidRDefault="00015F90" w:rsidP="00015F90">
      <w:pPr>
        <w:pStyle w:val="Heading3"/>
      </w:pPr>
      <w:bookmarkStart w:id="68" w:name="_Toc225488889"/>
      <w:r w:rsidRPr="007D4988">
        <w:t>4.3.3</w:t>
      </w:r>
      <w:r w:rsidRPr="007D4988">
        <w:tab/>
        <w:t>Réduire l'écart en matière de normalisation</w:t>
      </w:r>
      <w:bookmarkEnd w:id="68"/>
    </w:p>
    <w:p w14:paraId="68B5E23F" w14:textId="77777777" w:rsidR="00015F90" w:rsidRPr="007D4988" w:rsidRDefault="00015F90" w:rsidP="00015F90">
      <w:r w:rsidRPr="007D4988">
        <w:t xml:space="preserve">La Résolution </w:t>
      </w:r>
      <w:hyperlink r:id="rId199" w:history="1">
        <w:r w:rsidRPr="007D4988">
          <w:rPr>
            <w:rStyle w:val="Hyperlink"/>
            <w:rFonts w:eastAsia="Times New Roman" w:cs="Times New Roman"/>
            <w:szCs w:val="20"/>
          </w:rPr>
          <w:t>44</w:t>
        </w:r>
      </w:hyperlink>
      <w:r w:rsidRPr="007D4988">
        <w:t xml:space="preserve"> de l'AMNT, intitulée "Réduire l'écart en matière de normalisation entre pays en développement et pays développés", a été adoptée pour la première fois à Florianópolis en 2004 et a été adaptée au fil du temps pour suivre l'évolution des besoins et pour s'aligner sur la Résolution </w:t>
      </w:r>
      <w:hyperlink r:id="rId200" w:history="1">
        <w:r w:rsidRPr="007D4988">
          <w:rPr>
            <w:rStyle w:val="Hyperlink"/>
            <w:rFonts w:eastAsia="Times New Roman" w:cs="Times New Roman"/>
            <w:szCs w:val="20"/>
          </w:rPr>
          <w:t>123</w:t>
        </w:r>
      </w:hyperlink>
      <w:r w:rsidRPr="007D4988">
        <w:t xml:space="preserve"> (Rév. Bucarest, 2022) de la Conférence de plénipotentiaires. La Résolution 44 a été récemment mise à jour à l'AMNT-24 afin de réaffirmer et de clarifier le plan d'action en quatre points (voir la Figure </w:t>
      </w:r>
      <w:hyperlink w:anchor="Fig15" w:history="1">
        <w:r w:rsidRPr="007D4988">
          <w:rPr>
            <w:rStyle w:val="Hyperlink"/>
            <w:rFonts w:eastAsia="Times New Roman" w:cs="Times New Roman"/>
            <w:szCs w:val="20"/>
          </w:rPr>
          <w:t>15</w:t>
        </w:r>
      </w:hyperlink>
      <w:r w:rsidRPr="007D4988">
        <w:t>) pour les quatre prochaines années.</w:t>
      </w:r>
    </w:p>
    <w:p w14:paraId="24B56793" w14:textId="77777777" w:rsidR="00015F90" w:rsidRPr="007D4988" w:rsidRDefault="00015F90" w:rsidP="00015F90">
      <w:pPr>
        <w:pStyle w:val="Figuretitle"/>
        <w:spacing w:before="240" w:after="240"/>
        <w:rPr>
          <w:bCs/>
        </w:rPr>
      </w:pPr>
      <w:bookmarkStart w:id="69" w:name="Fig15"/>
      <w:r w:rsidRPr="007D4988">
        <w:rPr>
          <w:bCs/>
        </w:rPr>
        <w:t>Plan d'action en vue de réduire l'écart en matière de normalisation</w:t>
      </w:r>
    </w:p>
    <w:p w14:paraId="3D1C74DB" w14:textId="2F62D446" w:rsidR="00001F5A" w:rsidRPr="007D4988" w:rsidRDefault="00060483" w:rsidP="00001F5A">
      <w:pPr>
        <w:pStyle w:val="Figure"/>
      </w:pPr>
      <w:r w:rsidRPr="007D4988">
        <w:rPr>
          <w:noProof/>
        </w:rPr>
        <w:drawing>
          <wp:inline distT="0" distB="0" distL="0" distR="0" wp14:anchorId="7D763E6B" wp14:editId="263019DC">
            <wp:extent cx="5760085" cy="2390140"/>
            <wp:effectExtent l="0" t="0" r="0" b="0"/>
            <wp:docPr id="370432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432149" name=""/>
                    <pic:cNvPicPr/>
                  </pic:nvPicPr>
                  <pic:blipFill>
                    <a:blip r:embed="rId201"/>
                    <a:stretch>
                      <a:fillRect/>
                    </a:stretch>
                  </pic:blipFill>
                  <pic:spPr>
                    <a:xfrm>
                      <a:off x="0" y="0"/>
                      <a:ext cx="5760085" cy="2390140"/>
                    </a:xfrm>
                    <a:prstGeom prst="rect">
                      <a:avLst/>
                    </a:prstGeom>
                  </pic:spPr>
                </pic:pic>
              </a:graphicData>
            </a:graphic>
          </wp:inline>
        </w:drawing>
      </w:r>
    </w:p>
    <w:bookmarkEnd w:id="69"/>
    <w:p w14:paraId="1F257A08" w14:textId="77777777" w:rsidR="00015F90" w:rsidRPr="007D4988" w:rsidRDefault="00015F90" w:rsidP="00493759">
      <w:pPr>
        <w:pStyle w:val="Figurelegend"/>
        <w:spacing w:before="0"/>
        <w:rPr>
          <w:i/>
          <w:iCs/>
        </w:rPr>
      </w:pPr>
      <w:r w:rsidRPr="007D4988">
        <w:rPr>
          <w:i/>
          <w:iCs/>
        </w:rPr>
        <w:t>Figure 15 – Réduire l'écart en matière de normalisation</w:t>
      </w:r>
    </w:p>
    <w:p w14:paraId="7BC73CCD" w14:textId="37AF31D5" w:rsidR="00015F90" w:rsidRPr="007D4988" w:rsidRDefault="00015F90" w:rsidP="00015F90">
      <w:r w:rsidRPr="007D4988">
        <w:t xml:space="preserve">La mise en œuvre du </w:t>
      </w:r>
      <w:hyperlink r:id="rId202" w:anchor="/fr" w:history="1">
        <w:r w:rsidRPr="007D4988">
          <w:rPr>
            <w:rStyle w:val="Hyperlink"/>
            <w:rFonts w:eastAsia="Times New Roman" w:cs="Times New Roman"/>
            <w:szCs w:val="20"/>
          </w:rPr>
          <w:t>programme de l'UIT visant à réduire l'écart en matière de normalisation</w:t>
        </w:r>
      </w:hyperlink>
      <w:r w:rsidRPr="007D4988">
        <w:t xml:space="preserve"> a pour objet d'améliorer la capacité de tous les pays, en particulier les pays en développement, de participer à l'élaboration et à la mise en œuvre des normes de l'UIT-T.</w:t>
      </w:r>
    </w:p>
    <w:p w14:paraId="257471A5" w14:textId="77777777" w:rsidR="00015F90" w:rsidRPr="007D4988" w:rsidRDefault="00015F90" w:rsidP="00015F90">
      <w:r w:rsidRPr="007D4988">
        <w:t>Durant la période 2022-2025, le TSB a continué de s'appuyer sur les travaux menés précédemment, en axant ses efforts sur les mesures suivantes:</w:t>
      </w:r>
    </w:p>
    <w:p w14:paraId="7F389371" w14:textId="77777777" w:rsidR="00015F90" w:rsidRPr="007D4988" w:rsidRDefault="00015F90" w:rsidP="00015F90">
      <w:pPr>
        <w:pStyle w:val="enumlev1"/>
      </w:pPr>
      <w:r w:rsidRPr="007D4988">
        <w:t>1)</w:t>
      </w:r>
      <w:r w:rsidRPr="007D4988">
        <w:tab/>
      </w:r>
      <w:r w:rsidRPr="007D4988">
        <w:rPr>
          <w:b/>
          <w:bCs/>
        </w:rPr>
        <w:t>Organisation de 62 réunions de groupes régionaux</w:t>
      </w:r>
      <w:r w:rsidRPr="007D4988">
        <w:t xml:space="preserve"> dans les </w:t>
      </w:r>
      <w:hyperlink r:id="rId203" w:anchor="/fr" w:history="1">
        <w:r w:rsidRPr="007D4988">
          <w:rPr>
            <w:rStyle w:val="Hyperlink"/>
            <w:rFonts w:eastAsia="Times New Roman" w:cs="Times New Roman"/>
            <w:szCs w:val="20"/>
          </w:rPr>
          <w:t>27 groupes régionaux actuels</w:t>
        </w:r>
      </w:hyperlink>
      <w:r w:rsidRPr="007D4988">
        <w:t xml:space="preserve"> des commissions d'études de l'UIT-T. Le dernier de ces groupes est le Groupe régional de la Commission d'études 15 de l'UIT-T pour l'Afrique (</w:t>
      </w:r>
      <w:hyperlink r:id="rId204" w:anchor="/fr" w:history="1">
        <w:r w:rsidRPr="007D4988">
          <w:rPr>
            <w:rStyle w:val="Hyperlink"/>
            <w:rFonts w:eastAsia="Times New Roman" w:cs="Times New Roman"/>
            <w:szCs w:val="20"/>
          </w:rPr>
          <w:t>SG15RG-AFR</w:t>
        </w:r>
      </w:hyperlink>
      <w:r w:rsidRPr="007D4988">
        <w:t>), créé à la demande des Membres en octobre 2025. Les groupes régionaux sont un mécanisme efficace pour traiter les problèmes au niveau local, encourager la soumission de contributions à l'UIT et augmenter le nombre et la qualité des contributions techniques provenant des pays en développement.</w:t>
      </w:r>
    </w:p>
    <w:p w14:paraId="387D4159" w14:textId="77777777" w:rsidR="00015F90" w:rsidRPr="007D4988" w:rsidRDefault="00015F90" w:rsidP="00015F90">
      <w:pPr>
        <w:pStyle w:val="enumlev1"/>
      </w:pPr>
      <w:r w:rsidRPr="007D4988">
        <w:t>2)</w:t>
      </w:r>
      <w:r w:rsidRPr="007D4988">
        <w:tab/>
        <w:t xml:space="preserve">Octroi de </w:t>
      </w:r>
      <w:r w:rsidRPr="007D4988">
        <w:rPr>
          <w:b/>
          <w:bCs/>
        </w:rPr>
        <w:t>bourses</w:t>
      </w:r>
      <w:r w:rsidRPr="007D4988">
        <w:t xml:space="preserve"> visant à encourager l'engagement et la participation active et continue des délégués de l'UIT-T issus des pays en développement remplissant les conditions requises. Au cours de la période considérée, 713 bourses ont été accordées, en tenant compte de l'aptitude de chaque candidat et en privilégiant une répartition équitable en termes de région, de sexe et de délégués ayant des besoins particuliers, conformément à l'Ordre de service N° 21/02 sur la politique d'attribution de bourses dans le cadre de manifestations et d'activités financées sur le budget ordinaire de l'UIT.</w:t>
      </w:r>
    </w:p>
    <w:p w14:paraId="3840D15E" w14:textId="4C348F47" w:rsidR="00015F90" w:rsidRPr="007D4988" w:rsidRDefault="00015F90" w:rsidP="00015F90">
      <w:pPr>
        <w:pStyle w:val="enumlev1"/>
      </w:pPr>
      <w:r w:rsidRPr="007D4988">
        <w:t>3)</w:t>
      </w:r>
      <w:r w:rsidRPr="007D4988">
        <w:tab/>
        <w:t xml:space="preserve">Élargissement du contenu et des modalités de prestation des </w:t>
      </w:r>
      <w:r w:rsidRPr="007D4988">
        <w:rPr>
          <w:b/>
          <w:bCs/>
        </w:rPr>
        <w:t>formations</w:t>
      </w:r>
      <w:r w:rsidRPr="007D4988">
        <w:t xml:space="preserve"> afin de mieux répondre aux besoins des nouveaux délégués et des délégués expérimentés issus de pays en développement, y compris ceux qui occupent ou souhaitent occuper des fonctions de direction. Une formation actualisée est dispensée par le biais de </w:t>
      </w:r>
      <w:hyperlink r:id="rId205" w:anchor="/fr" w:history="1">
        <w:r w:rsidRPr="007D4988">
          <w:rPr>
            <w:rStyle w:val="Hyperlink"/>
            <w:rFonts w:eastAsia="Times New Roman" w:cs="Times New Roman"/>
            <w:szCs w:val="20"/>
          </w:rPr>
          <w:t>modules de formation en ligne</w:t>
        </w:r>
      </w:hyperlink>
      <w:r w:rsidRPr="007D4988">
        <w:t xml:space="preserve">, de réunions électroniques autonomes et de manifestations en présentiel, souvent en parallèle avec des réunions de commissions d'études ou de groupes régionaux, l'accent étant mis davantage sur les compétences pratiques et l'apprentissage interactif. Cette formation est étroitement liée aux exigences en matière de renforcement des capacités énoncées dans les Résolutions </w:t>
      </w:r>
      <w:hyperlink r:id="rId206" w:history="1">
        <w:r w:rsidRPr="007D4988">
          <w:rPr>
            <w:rStyle w:val="Hyperlink"/>
            <w:rFonts w:eastAsia="Times New Roman" w:cs="Times New Roman"/>
            <w:szCs w:val="20"/>
          </w:rPr>
          <w:t>55</w:t>
        </w:r>
      </w:hyperlink>
      <w:r w:rsidRPr="007D4988">
        <w:t xml:space="preserve"> (sur l'égalité hommes</w:t>
      </w:r>
      <w:r w:rsidRPr="007D4988">
        <w:noBreakHyphen/>
        <w:t xml:space="preserve">femmes) et </w:t>
      </w:r>
      <w:hyperlink r:id="rId207" w:history="1">
        <w:r w:rsidRPr="007D4988">
          <w:rPr>
            <w:rStyle w:val="Hyperlink"/>
            <w:rFonts w:eastAsia="Times New Roman" w:cs="Times New Roman"/>
            <w:szCs w:val="20"/>
          </w:rPr>
          <w:t>107</w:t>
        </w:r>
      </w:hyperlink>
      <w:r w:rsidRPr="007D4988">
        <w:t xml:space="preserve"> (sur la prochaine génération d'experts) de l'AMNT. Soixante</w:t>
      </w:r>
      <w:r w:rsidRPr="007D4988">
        <w:noBreakHyphen/>
        <w:t xml:space="preserve">deux (62) manifestations sur le renforcement des capacités ont été organisées pendant la période considérée, en présentiel et en ligne, et ont touché plus de 1 000 participants rien qu'en 2025. (Voir la section </w:t>
      </w:r>
      <w:hyperlink w:anchor="Para4853" w:history="1">
        <w:r w:rsidRPr="007D4988">
          <w:rPr>
            <w:rStyle w:val="Hyperlink"/>
            <w:rFonts w:eastAsia="Times New Roman" w:cs="Times New Roman"/>
            <w:szCs w:val="20"/>
          </w:rPr>
          <w:t>4.8.5.3</w:t>
        </w:r>
      </w:hyperlink>
      <w:r w:rsidRPr="007D4988">
        <w:t>)</w:t>
      </w:r>
    </w:p>
    <w:p w14:paraId="29ACDB6A" w14:textId="77777777" w:rsidR="00015F90" w:rsidRPr="007D4988" w:rsidRDefault="00015F90" w:rsidP="00015F90">
      <w:pPr>
        <w:pStyle w:val="enumlev1"/>
      </w:pPr>
      <w:r w:rsidRPr="007D4988">
        <w:t>4)</w:t>
      </w:r>
      <w:r w:rsidRPr="007D4988">
        <w:tab/>
      </w:r>
      <w:r w:rsidRPr="007D4988">
        <w:rPr>
          <w:b/>
          <w:bCs/>
        </w:rPr>
        <w:t>Renforcement des méthodes de travail électroniques</w:t>
      </w:r>
      <w:r w:rsidRPr="007D4988">
        <w:t xml:space="preserve"> pour faciliter la participation des délégués de pays en développement, essentiellement par l'intermédiaire du </w:t>
      </w:r>
      <w:hyperlink r:id="rId208" w:history="1">
        <w:r w:rsidRPr="007D4988">
          <w:rPr>
            <w:rStyle w:val="Hyperlink"/>
            <w:rFonts w:eastAsia="Times New Roman" w:cs="Times New Roman"/>
            <w:szCs w:val="20"/>
          </w:rPr>
          <w:t>portail MyWorkspace</w:t>
        </w:r>
      </w:hyperlink>
      <w:r w:rsidRPr="007D4988">
        <w:t xml:space="preserve">, et l'amélioration des services linguistiques, tels que la traduction automatique à la demande des documents de réunion officiels via le système de gestion des documents (DMS) de l'UIT. Ces améliorations aident l'UIT à mettre en œuvre les Résolutions </w:t>
      </w:r>
      <w:hyperlink r:id="rId209" w:history="1">
        <w:r w:rsidRPr="007D4988">
          <w:rPr>
            <w:rStyle w:val="Hyperlink"/>
            <w:rFonts w:eastAsia="Times New Roman" w:cs="Times New Roman"/>
            <w:szCs w:val="20"/>
          </w:rPr>
          <w:t>32</w:t>
        </w:r>
      </w:hyperlink>
      <w:r w:rsidRPr="007D4988">
        <w:t xml:space="preserve"> (renforcement des méthodes de travail électroniques) et </w:t>
      </w:r>
      <w:hyperlink r:id="rId210" w:history="1">
        <w:r w:rsidRPr="007D4988">
          <w:rPr>
            <w:rStyle w:val="Hyperlink"/>
            <w:rFonts w:eastAsia="Times New Roman" w:cs="Times New Roman"/>
            <w:szCs w:val="20"/>
          </w:rPr>
          <w:t>67</w:t>
        </w:r>
      </w:hyperlink>
      <w:r w:rsidRPr="007D4988">
        <w:t xml:space="preserve"> (utilisation de toutes les langues officielles sur un pied d'égalité) de l'AMNT.</w:t>
      </w:r>
    </w:p>
    <w:p w14:paraId="676A4A4C" w14:textId="77777777" w:rsidR="00015F90" w:rsidRPr="007D4988" w:rsidRDefault="00015F90" w:rsidP="00015F90">
      <w:pPr>
        <w:pStyle w:val="enumlev1"/>
      </w:pPr>
      <w:r w:rsidRPr="007D4988">
        <w:t>5)</w:t>
      </w:r>
      <w:r w:rsidRPr="007D4988">
        <w:tab/>
      </w:r>
      <w:r w:rsidRPr="007D4988">
        <w:rPr>
          <w:b/>
          <w:bCs/>
        </w:rPr>
        <w:t>Collaboration avec des partenaires</w:t>
      </w:r>
      <w:r w:rsidRPr="007D4988">
        <w:t>, y compris les sponsors et les hôtes, ainsi qu'avec le Bureau de développement des télécommunications (BDT) de l'UIT et les bureaux régionaux/de zone de l'UIT, afin de sensibiliser le public et de renforcer les capacités régionales. Dans sa Résolution 44, l'AMNT invite toutes les parties prenantes à faire des contributions volontaires afin de faciliter les efforts déployés par l'UIT-T pour réduire l'écart en matière de normalisation. Par exemple, le Ministère japonais des affaires intérieures et des communications soutient des activités depuis 2023, plus récemment dans le cadre du projet "</w:t>
      </w:r>
      <w:hyperlink r:id="rId211" w:history="1">
        <w:r w:rsidRPr="007D4988">
          <w:rPr>
            <w:rStyle w:val="Hyperlink"/>
            <w:rFonts w:eastAsia="Times New Roman" w:cs="Times New Roman"/>
            <w:szCs w:val="20"/>
          </w:rPr>
          <w:t>Renforcement des capacités en matière de technologies et de normes d'intelligence artificielle dans la région Asie-Pacifique</w:t>
        </w:r>
      </w:hyperlink>
      <w:r w:rsidRPr="007D4988">
        <w:t>". Dans ce contexte, en décembre 2025, quatre ateliers de renforcement des capacités avaient été organisés dans la région Asie, touchant plus de 200 participants au Programme sur la réduction de l'écart en matière de normalisation.</w:t>
      </w:r>
    </w:p>
    <w:p w14:paraId="73B128D0" w14:textId="77777777" w:rsidR="00015F90" w:rsidRPr="007D4988" w:rsidRDefault="00015F90" w:rsidP="00493759">
      <w:pPr>
        <w:pStyle w:val="enumlev1"/>
        <w:keepLines/>
      </w:pPr>
      <w:r w:rsidRPr="007D4988">
        <w:t>6)</w:t>
      </w:r>
      <w:r w:rsidRPr="007D4988">
        <w:tab/>
        <w:t>Rationalisation et harmonisation de l'</w:t>
      </w:r>
      <w:r w:rsidRPr="007D4988">
        <w:rPr>
          <w:b/>
          <w:bCs/>
        </w:rPr>
        <w:t>analyse des données internes</w:t>
      </w:r>
      <w:r w:rsidRPr="007D4988">
        <w:t>, des</w:t>
      </w:r>
      <w:r w:rsidRPr="007D4988">
        <w:rPr>
          <w:b/>
          <w:bCs/>
        </w:rPr>
        <w:t xml:space="preserve"> méthodes de travail</w:t>
      </w:r>
      <w:r w:rsidRPr="007D4988">
        <w:t xml:space="preserve"> et de l'</w:t>
      </w:r>
      <w:r w:rsidRPr="007D4988">
        <w:rPr>
          <w:b/>
          <w:bCs/>
        </w:rPr>
        <w:t>intégration des délégués</w:t>
      </w:r>
      <w:r w:rsidRPr="007D4988">
        <w:t xml:space="preserve"> afin d'aider ces derniers, en particulier ceux issus des pays en développement, à contribuer efficacement aux manifestations de l'UIT</w:t>
      </w:r>
      <w:r w:rsidRPr="007D4988">
        <w:noBreakHyphen/>
        <w:t>T et de rendre compte des progrès accomplis dans la mise en œuvre de la Résolution 44 de l'AMNT au Conseil, à l'AMNT et au Groupe consultatif de la normalisation des télécommunications.</w:t>
      </w:r>
    </w:p>
    <w:p w14:paraId="6E77A048" w14:textId="77777777" w:rsidR="00015F90" w:rsidRPr="007D4988" w:rsidRDefault="00015F90" w:rsidP="00015F90">
      <w:pPr>
        <w:pStyle w:val="enumlev1"/>
      </w:pPr>
      <w:r w:rsidRPr="007D4988">
        <w:t>7)</w:t>
      </w:r>
      <w:r w:rsidRPr="007D4988">
        <w:tab/>
        <w:t xml:space="preserve">Promotion des </w:t>
      </w:r>
      <w:hyperlink r:id="rId212" w:history="1">
        <w:r w:rsidRPr="007D4988">
          <w:rPr>
            <w:rStyle w:val="Hyperlink"/>
            <w:rFonts w:eastAsia="Times New Roman" w:cs="Times New Roman"/>
            <w:szCs w:val="20"/>
          </w:rPr>
          <w:t>Lignes directrices relatives à la mise en place de secrétariats nationaux chargés de la normalisation</w:t>
        </w:r>
      </w:hyperlink>
      <w:r w:rsidRPr="007D4988">
        <w:t>, qui définissent des mécanismes pratiques pour élaborer des structures et des procédures nationales visant à favoriser une participation efficace aux activités de l'UIT-T, conformément aux priorités nationales en matière de normalisation.</w:t>
      </w:r>
    </w:p>
    <w:p w14:paraId="7E4CD992" w14:textId="77777777" w:rsidR="00015F90" w:rsidRPr="007D4988" w:rsidRDefault="00015F90" w:rsidP="00015F90">
      <w:pPr>
        <w:pStyle w:val="enumlev1"/>
      </w:pPr>
      <w:r w:rsidRPr="007D4988">
        <w:t>8)</w:t>
      </w:r>
      <w:r w:rsidRPr="007D4988">
        <w:tab/>
        <w:t xml:space="preserve">Participation à diverses initiatives visant à promouvoir la mise en œuvre des Recommandations de l'UIT-T, notamment les </w:t>
      </w:r>
      <w:hyperlink r:id="rId213" w:history="1">
        <w:r w:rsidRPr="007D4988">
          <w:rPr>
            <w:rStyle w:val="Hyperlink"/>
            <w:rFonts w:eastAsia="Times New Roman" w:cs="Times New Roman"/>
            <w:szCs w:val="20"/>
          </w:rPr>
          <w:t>déchets d'équipements électriques et électroniques</w:t>
        </w:r>
      </w:hyperlink>
      <w:r w:rsidRPr="007D4988">
        <w:t xml:space="preserve">, le </w:t>
      </w:r>
      <w:hyperlink r:id="rId214" w:anchor="/fr" w:history="1">
        <w:r w:rsidRPr="007D4988">
          <w:rPr>
            <w:rStyle w:val="Hyperlink"/>
            <w:rFonts w:eastAsia="Times New Roman" w:cs="Times New Roman"/>
            <w:szCs w:val="20"/>
          </w:rPr>
          <w:t>Laboratoire de sécurité des services financiers numériques</w:t>
        </w:r>
      </w:hyperlink>
      <w:r w:rsidRPr="007D4988">
        <w:t>, l'initiative "</w:t>
      </w:r>
      <w:hyperlink r:id="rId215" w:anchor="/fr" w:history="1">
        <w:r w:rsidRPr="007D4988">
          <w:rPr>
            <w:rStyle w:val="Hyperlink"/>
            <w:rFonts w:eastAsia="Times New Roman" w:cs="Times New Roman"/>
            <w:szCs w:val="20"/>
          </w:rPr>
          <w:t>Tous unis pour des villes intelligentes et durables</w:t>
        </w:r>
      </w:hyperlink>
      <w:r w:rsidRPr="007D4988">
        <w:t xml:space="preserve">" (U4SSC), </w:t>
      </w:r>
      <w:hyperlink r:id="rId216" w:history="1">
        <w:r w:rsidRPr="007D4988">
          <w:rPr>
            <w:rStyle w:val="Hyperlink"/>
            <w:rFonts w:eastAsia="Times New Roman" w:cs="Times New Roman"/>
            <w:szCs w:val="20"/>
          </w:rPr>
          <w:t>la conformité et l'interopérabilité (C&amp;I)</w:t>
        </w:r>
      </w:hyperlink>
      <w:r w:rsidRPr="007D4988">
        <w:t xml:space="preserve"> et l'</w:t>
      </w:r>
      <w:hyperlink r:id="rId217" w:history="1">
        <w:r w:rsidRPr="007D4988">
          <w:rPr>
            <w:rStyle w:val="Hyperlink"/>
            <w:rFonts w:eastAsia="Times New Roman" w:cs="Times New Roman"/>
            <w:szCs w:val="20"/>
          </w:rPr>
          <w:t>écoute sans risque</w:t>
        </w:r>
      </w:hyperlink>
      <w:r w:rsidRPr="007D4988">
        <w:t>.</w:t>
      </w:r>
    </w:p>
    <w:p w14:paraId="6543BA23" w14:textId="77777777" w:rsidR="00015F90" w:rsidRPr="007D4988" w:rsidRDefault="00015F90" w:rsidP="00015F90">
      <w:pPr>
        <w:pStyle w:val="Heading2"/>
      </w:pPr>
      <w:bookmarkStart w:id="70" w:name="_Toc225488890"/>
      <w:r w:rsidRPr="007D4988">
        <w:t>4.4</w:t>
      </w:r>
      <w:r w:rsidRPr="007D4988">
        <w:tab/>
        <w:t>Élaboration de cadres politiques et de supports d'information</w:t>
      </w:r>
      <w:bookmarkEnd w:id="70"/>
    </w:p>
    <w:p w14:paraId="7248B38B" w14:textId="2598B188" w:rsidR="00015F90" w:rsidRPr="007D4988" w:rsidRDefault="00015F90" w:rsidP="00015F90">
      <w:r w:rsidRPr="007D4988">
        <w:t xml:space="preserve">Par l'intermédiaire de ses commissions d'études, l'UIT élabore des manuels, des rapports techniques et des documents pour fournir une assistance à ses membres sur les questions de télécommunication/TIC (voir par exemple la section </w:t>
      </w:r>
      <w:hyperlink w:anchor="Para43" w:history="1">
        <w:r w:rsidRPr="007D4988">
          <w:rPr>
            <w:rStyle w:val="Hyperlink"/>
            <w:rFonts w:eastAsia="Times New Roman" w:cs="Times New Roman"/>
            <w:szCs w:val="20"/>
          </w:rPr>
          <w:t>4.3</w:t>
        </w:r>
      </w:hyperlink>
      <w:r w:rsidRPr="007D4988">
        <w:t xml:space="preserve"> ci-dessus). Elle recueille des bonnes pratiques auprès des États Membres, du secteur privé, des instituts de recherche et des établissements universitaires et les communiquent à ses États Membres. </w:t>
      </w:r>
    </w:p>
    <w:p w14:paraId="6A1CCBBD" w14:textId="77777777" w:rsidR="00015F90" w:rsidRPr="007D4988" w:rsidRDefault="00015F90" w:rsidP="00015F90">
      <w:r w:rsidRPr="007D4988">
        <w:t>L'UIT fournit également des produits et des outils de partage des connaissances qui facilitent le dialogue et améliorent la coopération, aidant ainsi les pays à faire en sorte que tout un chacun tire le meilleur parti du numérique, et fournissant des informations essentielles pour leur permettre de mieux comprendre et gérer les défis et les possibilités qui découlent de la promotion de la connectivité et de la transformation numérique.</w:t>
      </w:r>
    </w:p>
    <w:p w14:paraId="6DC0EF65" w14:textId="68A080EE" w:rsidR="00015F90" w:rsidRPr="007D4988" w:rsidRDefault="00015F90" w:rsidP="00015F90">
      <w:r w:rsidRPr="007D4988">
        <w:t xml:space="preserve">Afin de renforcer la capacité des États Membres à faire progresser leurs cadres politiques, juridiques et réglementaires en matière de TIC, l'UIT-D fournit des conseils, des produits de connaissance, des activités de renforcement des capacités et une assistance technique. Cela permet aux décideurs nationaux de disposer des données et des outils nécessaires pour évoluer dans des marchés et des écosystèmes TIC et numériques de plus en plus complexes. Grâce à son action coordonnée, l'UIT-D a aussi veillé à ce que l'aide fournie aux pays tienne compte de dimensions essentielles comme l'accessibilité financière, l'inclusion, la concurrence et l'investissement, en adoptant une approche faisant intervenir toutes les entités publiques, pour mettre en application des stratégies numériques globales. Le BDT a aussi poursuivi son action visant à promouvoir au niveau mondial le rôle de la réglementation pour une transformation numérique durable, dans le cadre de manifestations phares de haut niveau, conformément à la Résolution 48 (Rév. </w:t>
      </w:r>
      <w:r w:rsidR="00E62B13" w:rsidRPr="007D4988">
        <w:t>Bakou, 2025</w:t>
      </w:r>
      <w:r w:rsidRPr="007D4988">
        <w:t xml:space="preserve">) de la CMDT sur le renforcement </w:t>
      </w:r>
      <w:r w:rsidR="00001F5A" w:rsidRPr="007D4988">
        <w:t>de la coopération</w:t>
      </w:r>
      <w:r w:rsidR="00E62B13" w:rsidRPr="007D4988">
        <w:t xml:space="preserve"> entre régulateurs de télécommunications</w:t>
      </w:r>
      <w:r w:rsidRPr="007D4988">
        <w:t>.</w:t>
      </w:r>
    </w:p>
    <w:p w14:paraId="7E487357" w14:textId="77777777" w:rsidR="00A540D1" w:rsidRPr="007D4988" w:rsidRDefault="00A540D1" w:rsidP="00A540D1">
      <w:pPr>
        <w:pStyle w:val="Heading3"/>
        <w:rPr>
          <w:rFonts w:eastAsia="MS Mincho"/>
        </w:rPr>
      </w:pPr>
      <w:bookmarkStart w:id="71" w:name="_Toc224288814"/>
      <w:bookmarkStart w:id="72" w:name="_Toc225488891"/>
      <w:r w:rsidRPr="007D4988">
        <w:t>4.4.1</w:t>
      </w:r>
      <w:r w:rsidRPr="007D4988">
        <w:tab/>
        <w:t>Cybersécurité: Instaurer la confiance et la sécurité dans l'utilisation des TIC</w:t>
      </w:r>
      <w:bookmarkEnd w:id="71"/>
      <w:bookmarkEnd w:id="72"/>
    </w:p>
    <w:p w14:paraId="35B1EDFC" w14:textId="77777777" w:rsidR="006C01FD" w:rsidRPr="007D4988" w:rsidRDefault="006C01FD" w:rsidP="00493759">
      <w:pPr>
        <w:keepLines/>
      </w:pPr>
      <w:r w:rsidRPr="007D4988">
        <w:t>À l'échelle de l'Union, dans le cadre des cinq piliers du Programme mondial de cybersécurité, les programmes de travail relatifs au développement des télécommunications, à la normalisation des télécommunications et aux radiocommunications ont joué un rôle dans l'élaboration d'un cadre de cybersécurité complet.</w:t>
      </w:r>
    </w:p>
    <w:p w14:paraId="0603B3FE" w14:textId="3F110B06" w:rsidR="006C01FD" w:rsidRPr="007D4988" w:rsidRDefault="006C01FD" w:rsidP="006C01FD">
      <w:r w:rsidRPr="007D4988">
        <w:t xml:space="preserve">Dans le domaine du développement des télécommunications, l'UIT a aidé les États Membres à renforcer leur préparation institutionnelle en leur prêtant main forte pour élaborer des </w:t>
      </w:r>
      <w:hyperlink r:id="rId218" w:history="1">
        <w:r w:rsidRPr="007D4988">
          <w:rPr>
            <w:rStyle w:val="Hyperlink"/>
            <w:rFonts w:eastAsia="Times New Roman" w:cs="Times New Roman"/>
            <w:szCs w:val="20"/>
          </w:rPr>
          <w:t>stratégies nationales en matière de cybersécurité</w:t>
        </w:r>
      </w:hyperlink>
      <w:r w:rsidRPr="007D4988">
        <w:t xml:space="preserve"> et pour créer et mettre en service des </w:t>
      </w:r>
      <w:hyperlink r:id="rId219" w:history="1">
        <w:r w:rsidRPr="007D4988">
          <w:rPr>
            <w:rStyle w:val="Hyperlink"/>
            <w:rFonts w:eastAsia="Times New Roman" w:cs="Times New Roman"/>
            <w:szCs w:val="20"/>
          </w:rPr>
          <w:t>équipes nationales d'intervention en cas d'incident informatique (CIRT)</w:t>
        </w:r>
      </w:hyperlink>
      <w:r w:rsidRPr="007D4988">
        <w:t>, ainsi que dans le cadre de cyberexercices nationaux, régionaux et mondiaux. Jusqu</w:t>
      </w:r>
      <w:r w:rsidR="00866631" w:rsidRPr="007D4988">
        <w:t>'</w:t>
      </w:r>
      <w:r w:rsidRPr="007D4988">
        <w:t>à présent, l</w:t>
      </w:r>
      <w:r w:rsidR="00866631" w:rsidRPr="007D4988">
        <w:t>'</w:t>
      </w:r>
      <w:r w:rsidRPr="007D4988">
        <w:t>UIT a aidé</w:t>
      </w:r>
      <w:r w:rsidR="00493759" w:rsidRPr="007D4988">
        <w:t> </w:t>
      </w:r>
      <w:r w:rsidRPr="007D4988">
        <w:t>85</w:t>
      </w:r>
      <w:r w:rsidR="00C103E2" w:rsidRPr="007D4988">
        <w:t> </w:t>
      </w:r>
      <w:r w:rsidRPr="007D4988">
        <w:t>pays en évaluant leur état de préparation en matière de cybersécurité, ce qui a conduit à la création ou au perfectionnement d</w:t>
      </w:r>
      <w:r w:rsidR="00866631" w:rsidRPr="007D4988">
        <w:t>'</w:t>
      </w:r>
      <w:r w:rsidRPr="007D4988">
        <w:t>équipes nationales CIRT. En mai 2026, l</w:t>
      </w:r>
      <w:r w:rsidR="00866631" w:rsidRPr="007D4988">
        <w:t>'</w:t>
      </w:r>
      <w:r w:rsidRPr="007D4988">
        <w:t xml:space="preserve">UIT aura organisé plus de 60 </w:t>
      </w:r>
      <w:hyperlink r:id="rId220" w:history="1">
        <w:r w:rsidRPr="007D4988">
          <w:rPr>
            <w:rStyle w:val="Hyperlink"/>
            <w:rFonts w:eastAsia="Times New Roman" w:cs="Times New Roman"/>
            <w:szCs w:val="20"/>
          </w:rPr>
          <w:t>cyberexercices</w:t>
        </w:r>
      </w:hyperlink>
      <w:r w:rsidRPr="007D4988">
        <w:t xml:space="preserve"> internationaux, régionaux ou nationaux (dont</w:t>
      </w:r>
      <w:r w:rsidR="00493759" w:rsidRPr="007D4988">
        <w:t> </w:t>
      </w:r>
      <w:r w:rsidRPr="007D4988">
        <w:t>4</w:t>
      </w:r>
      <w:r w:rsidR="00C103E2" w:rsidRPr="007D4988">
        <w:t> </w:t>
      </w:r>
      <w:r w:rsidRPr="007D4988">
        <w:t>cyberexercices mondiaux), avec la participation de plus de 160 pays de toutes les</w:t>
      </w:r>
      <w:r w:rsidR="00493759" w:rsidRPr="007D4988">
        <w:t> </w:t>
      </w:r>
      <w:r w:rsidRPr="007D4988">
        <w:t>régions de l</w:t>
      </w:r>
      <w:r w:rsidR="00866631" w:rsidRPr="007D4988">
        <w:t>'</w:t>
      </w:r>
      <w:r w:rsidRPr="007D4988">
        <w:t>UIT.</w:t>
      </w:r>
    </w:p>
    <w:p w14:paraId="571CC9C6" w14:textId="6944DC2B" w:rsidR="006C01FD" w:rsidRPr="007D4988" w:rsidRDefault="006C01FD" w:rsidP="006C01FD">
      <w:r w:rsidRPr="007D4988">
        <w:t>La cinquième édition de l</w:t>
      </w:r>
      <w:r w:rsidR="00866631" w:rsidRPr="007D4988">
        <w:t>'</w:t>
      </w:r>
      <w:hyperlink r:id="rId221" w:history="1">
        <w:r w:rsidRPr="007D4988">
          <w:rPr>
            <w:rStyle w:val="Hyperlink"/>
            <w:rFonts w:eastAsia="Times New Roman" w:cs="Times New Roman"/>
            <w:szCs w:val="20"/>
          </w:rPr>
          <w:t>Indice mondial de cybersécurité de l</w:t>
        </w:r>
        <w:r w:rsidR="00866631" w:rsidRPr="007D4988">
          <w:rPr>
            <w:rStyle w:val="Hyperlink"/>
            <w:rFonts w:eastAsia="Times New Roman" w:cs="Times New Roman"/>
            <w:szCs w:val="20"/>
          </w:rPr>
          <w:t>'</w:t>
        </w:r>
        <w:r w:rsidRPr="007D4988">
          <w:rPr>
            <w:rStyle w:val="Hyperlink"/>
            <w:rFonts w:eastAsia="Times New Roman" w:cs="Times New Roman"/>
            <w:szCs w:val="20"/>
          </w:rPr>
          <w:t>UIT</w:t>
        </w:r>
      </w:hyperlink>
      <w:r w:rsidRPr="007D4988">
        <w:t xml:space="preserve"> a été lancé en septembre</w:t>
      </w:r>
      <w:r w:rsidR="004E71C8" w:rsidRPr="007D4988">
        <w:t> </w:t>
      </w:r>
      <w:r w:rsidRPr="007D4988">
        <w:t xml:space="preserve">2024. L'UIT a fourni des activités ciblées de renforcement des capacités, une assistance technique et des orientations sur les politiques pour améliorer la cyberpréparation et les capacités d'intervention opérationnelle dans le cadre de programmes tels que </w:t>
      </w:r>
      <w:r w:rsidR="004E71C8" w:rsidRPr="007D4988">
        <w:t>"</w:t>
      </w:r>
      <w:hyperlink r:id="rId222" w:history="1">
        <w:r w:rsidRPr="007D4988">
          <w:rPr>
            <w:rStyle w:val="Hyperlink"/>
            <w:rFonts w:eastAsia="Times New Roman" w:cs="Times New Roman"/>
            <w:szCs w:val="20"/>
          </w:rPr>
          <w:t>La cybersécurité au service du bien social</w:t>
        </w:r>
      </w:hyperlink>
      <w:r w:rsidR="004E71C8" w:rsidRPr="007D4988">
        <w:t>"</w:t>
      </w:r>
      <w:r w:rsidRPr="007D4988">
        <w:t xml:space="preserve"> et "</w:t>
      </w:r>
      <w:hyperlink r:id="rId223" w:history="1">
        <w:r w:rsidRPr="007D4988">
          <w:rPr>
            <w:rStyle w:val="Hyperlink"/>
            <w:rFonts w:eastAsia="Times New Roman" w:cs="Times New Roman"/>
            <w:szCs w:val="20"/>
          </w:rPr>
          <w:t>Her CyberTracks</w:t>
        </w:r>
      </w:hyperlink>
      <w:r w:rsidRPr="007D4988">
        <w:t>", de l'</w:t>
      </w:r>
      <w:hyperlink r:id="rId224" w:anchor="/fr" w:history="1">
        <w:r w:rsidRPr="007D4988">
          <w:rPr>
            <w:rStyle w:val="Hyperlink"/>
            <w:rFonts w:eastAsia="Times New Roman" w:cs="Times New Roman"/>
            <w:szCs w:val="20"/>
          </w:rPr>
          <w:t>Académie de l'UIT</w:t>
        </w:r>
      </w:hyperlink>
      <w:r w:rsidRPr="007D4988">
        <w:t>, des Centres d</w:t>
      </w:r>
      <w:r w:rsidR="00866631" w:rsidRPr="007D4988">
        <w:t>'</w:t>
      </w:r>
      <w:r w:rsidRPr="007D4988">
        <w:t>excellence de l</w:t>
      </w:r>
      <w:r w:rsidR="00866631" w:rsidRPr="007D4988">
        <w:t>'</w:t>
      </w:r>
      <w:r w:rsidRPr="007D4988">
        <w:t>UIT et des Centres de formation de l</w:t>
      </w:r>
      <w:r w:rsidR="00866631" w:rsidRPr="007D4988">
        <w:t>'</w:t>
      </w:r>
      <w:r w:rsidRPr="007D4988">
        <w:t>Académie de l</w:t>
      </w:r>
      <w:r w:rsidR="00866631" w:rsidRPr="007D4988">
        <w:t>'</w:t>
      </w:r>
      <w:r w:rsidRPr="007D4988">
        <w:t xml:space="preserve">UIT. Ces activités sont venues s'ajouter aux efforts plus généraux déployés pour renforcer la résilience, améliorer la cybergouvernance et garantir un accès sûr et inclusif aux technologies numériques. L'UIT a continué de travailler avec les parties prenantes dans le cadre du </w:t>
      </w:r>
      <w:hyperlink r:id="rId225" w:history="1">
        <w:r w:rsidRPr="007D4988">
          <w:rPr>
            <w:rStyle w:val="Hyperlink"/>
            <w:rFonts w:eastAsia="Times New Roman" w:cs="Times New Roman"/>
            <w:szCs w:val="20"/>
          </w:rPr>
          <w:t>Groupe de travail à composition non limitée sur la sécurité des TIC et de leur utilisation (OEWG)</w:t>
        </w:r>
      </w:hyperlink>
      <w:r w:rsidRPr="007D4988">
        <w:t xml:space="preserve"> et est préparée à poursuivre la collaboration avec le nouveau mécanisme permanent et son groupe thématique sur le renforcement des capacités (OEWG).</w:t>
      </w:r>
    </w:p>
    <w:p w14:paraId="06759B1B" w14:textId="2127CF18" w:rsidR="006C01FD" w:rsidRPr="007D4988" w:rsidRDefault="006C01FD" w:rsidP="006C01FD">
      <w:r w:rsidRPr="007D4988">
        <w:t>En novembre 2024, l</w:t>
      </w:r>
      <w:r w:rsidR="00866631" w:rsidRPr="007D4988">
        <w:t>'</w:t>
      </w:r>
      <w:r w:rsidRPr="007D4988">
        <w:t>UIT a créé l</w:t>
      </w:r>
      <w:r w:rsidR="00866631" w:rsidRPr="007D4988">
        <w:t>'</w:t>
      </w:r>
      <w:r w:rsidRPr="007D4988">
        <w:t xml:space="preserve">Organe consultatif international pour la résilience des câbles sous-marins, en partenariat avec le Comité international de protection des câbles. Lors du </w:t>
      </w:r>
      <w:hyperlink r:id="rId226" w:anchor="/fr" w:history="1">
        <w:r w:rsidRPr="007D4988">
          <w:rPr>
            <w:rStyle w:val="Hyperlink"/>
            <w:rFonts w:eastAsia="Times New Roman" w:cs="Times New Roman"/>
            <w:szCs w:val="20"/>
          </w:rPr>
          <w:t>Sommet d</w:t>
        </w:r>
        <w:r w:rsidR="00866631" w:rsidRPr="007D4988">
          <w:rPr>
            <w:rStyle w:val="Hyperlink"/>
            <w:rFonts w:eastAsia="Times New Roman" w:cs="Times New Roman"/>
            <w:szCs w:val="20"/>
          </w:rPr>
          <w:t>'</w:t>
        </w:r>
        <w:r w:rsidRPr="007D4988">
          <w:rPr>
            <w:rStyle w:val="Hyperlink"/>
            <w:rFonts w:eastAsia="Times New Roman" w:cs="Times New Roman"/>
            <w:szCs w:val="20"/>
          </w:rPr>
          <w:t>Abuja, en 2025</w:t>
        </w:r>
      </w:hyperlink>
      <w:r w:rsidRPr="007D4988">
        <w:t>, l</w:t>
      </w:r>
      <w:r w:rsidR="00866631" w:rsidRPr="007D4988">
        <w:t>'</w:t>
      </w:r>
      <w:r w:rsidRPr="007D4988">
        <w:t>Organe consultatif a mis sur pied trois groupes de travail chargés de l'identification, du suivi et de l'atténuation des risques, mais aussi de la connectivité et de la diversité géographique des points d'atterrissement et des itinéraires, ainsi que du déploiement et de la réparation rapides des câbles. Dans le prolongement de la dynamique créée au Sommet d</w:t>
      </w:r>
      <w:r w:rsidR="00866631" w:rsidRPr="007D4988">
        <w:t>'</w:t>
      </w:r>
      <w:r w:rsidRPr="007D4988">
        <w:t xml:space="preserve">Abuja, la </w:t>
      </w:r>
      <w:hyperlink r:id="rId227" w:anchor="/fr" w:history="1">
        <w:r w:rsidRPr="007D4988">
          <w:rPr>
            <w:rStyle w:val="Hyperlink"/>
            <w:rFonts w:eastAsia="Times New Roman" w:cs="Times New Roman"/>
            <w:szCs w:val="20"/>
          </w:rPr>
          <w:t>deuxième édition du Sommet international sur la résilience des câbles sous-marins</w:t>
        </w:r>
      </w:hyperlink>
      <w:r w:rsidRPr="007D4988">
        <w:t xml:space="preserve"> s</w:t>
      </w:r>
      <w:r w:rsidR="00866631" w:rsidRPr="007D4988">
        <w:t>'</w:t>
      </w:r>
      <w:r w:rsidRPr="007D4988">
        <w:t xml:space="preserve">est déroulée les 2 et 3 février à Porto (Portugal). </w:t>
      </w:r>
      <w:r w:rsidRPr="007D4988">
        <w:rPr>
          <w:rFonts w:cs="Calibri"/>
        </w:rPr>
        <w:t>À</w:t>
      </w:r>
      <w:r w:rsidRPr="007D4988">
        <w:t xml:space="preserve"> cette occasion, l</w:t>
      </w:r>
      <w:r w:rsidR="00866631" w:rsidRPr="007D4988">
        <w:t>'</w:t>
      </w:r>
      <w:r w:rsidRPr="007D4988">
        <w:t xml:space="preserve">Organe consultatif international a approuvé les </w:t>
      </w:r>
      <w:r w:rsidR="003E1153" w:rsidRPr="007D4988">
        <w:t>r</w:t>
      </w:r>
      <w:r w:rsidRPr="007D4988">
        <w:t xml:space="preserve">ecommandations de ses groupes de travail et la </w:t>
      </w:r>
      <w:hyperlink r:id="rId228" w:history="1">
        <w:r w:rsidRPr="007D4988">
          <w:rPr>
            <w:rStyle w:val="Hyperlink"/>
            <w:rFonts w:eastAsia="Times New Roman" w:cs="Times New Roman"/>
            <w:szCs w:val="20"/>
          </w:rPr>
          <w:t>Déclaration de Porto</w:t>
        </w:r>
      </w:hyperlink>
      <w:r w:rsidRPr="007D4988">
        <w:t xml:space="preserve"> a été adoptée.</w:t>
      </w:r>
    </w:p>
    <w:p w14:paraId="68CC1D0B" w14:textId="5EF1319B" w:rsidR="006C01FD" w:rsidRPr="007D4988" w:rsidRDefault="006C01FD" w:rsidP="006C01FD">
      <w:r w:rsidRPr="007D4988">
        <w:t>L'UIT s'est en outre employée à faire progresser la protection en ligne des enfants grâce à des supports de sensibilisation, à la gestion des connaissances et à des programmes ciblés, ainsi qu'à la fourniture d'un appui stratégique et à la collaboration avec les parties prenantes nationales en vue de renforcer les cadres en matière de sécurité numérique des enfants. En</w:t>
      </w:r>
      <w:r w:rsidR="00493759" w:rsidRPr="007D4988">
        <w:t> </w:t>
      </w:r>
      <w:r w:rsidRPr="007D4988">
        <w:t>mars 2026, l'UIT avait soutenu l'élaboration de cadres nationaux relatifs à la protection en ligne des enfants ou d'évaluations en la matière dans 16 pays. Ces travaux ont été consolidés par l'</w:t>
      </w:r>
      <w:hyperlink r:id="rId229" w:history="1">
        <w:r w:rsidRPr="007D4988">
          <w:rPr>
            <w:rStyle w:val="Hyperlink"/>
            <w:rFonts w:eastAsia="Times New Roman" w:cs="Times New Roman"/>
            <w:szCs w:val="20"/>
          </w:rPr>
          <w:t>initiative sur la protection par la participation en ligne</w:t>
        </w:r>
      </w:hyperlink>
      <w:r w:rsidRPr="007D4988">
        <w:t>, qui combinait collaboration intersectorielle, travaux préparatoires de recherche et consultations multi</w:t>
      </w:r>
      <w:r w:rsidR="00493759" w:rsidRPr="007D4988">
        <w:noBreakHyphen/>
      </w:r>
      <w:r w:rsidRPr="007D4988">
        <w:t xml:space="preserve">parties prenantes et a conduit à l'adoption de principes directeurs en la matière. Parallèlement, l'UIT a renforcé la participation du secteur privé dans le cadre de la </w:t>
      </w:r>
      <w:hyperlink r:id="rId230" w:history="1">
        <w:r w:rsidRPr="007D4988">
          <w:rPr>
            <w:rStyle w:val="Hyperlink"/>
            <w:rFonts w:eastAsia="Times New Roman" w:cs="Times New Roman"/>
            <w:szCs w:val="20"/>
          </w:rPr>
          <w:t>série de manifestations Industry Connect</w:t>
        </w:r>
      </w:hyperlink>
      <w:r w:rsidRPr="007D4988">
        <w:t xml:space="preserve"> de 2025, encourageant ainsi le dialogue avec les fournisseurs de services numériques sur les risques émergents et le partage des responsabilités en matière de sécurité en ligne des enfants. En mars 2024, la Commission d</w:t>
      </w:r>
      <w:r w:rsidR="00866631" w:rsidRPr="007D4988">
        <w:t>'</w:t>
      </w:r>
      <w:r w:rsidRPr="007D4988">
        <w:t>études 17 de l</w:t>
      </w:r>
      <w:r w:rsidR="00866631" w:rsidRPr="007D4988">
        <w:t>'</w:t>
      </w:r>
      <w:r w:rsidRPr="007D4988">
        <w:t>UIT-T a créé le Groupe de travail par correspondance sur la protection en ligne des enfants (CG-COP), chargé de déterminer le champ de l</w:t>
      </w:r>
      <w:r w:rsidR="00866631" w:rsidRPr="007D4988">
        <w:t>'</w:t>
      </w:r>
      <w:r w:rsidRPr="007D4988">
        <w:t>action de normalisation dans ce domaine ainsi que les lacunes connexes.</w:t>
      </w:r>
      <w:hyperlink r:id="rId231" w:history="1"/>
      <w:hyperlink r:id="rId232" w:history="1"/>
      <w:hyperlink r:id="rId233" w:history="1"/>
      <w:hyperlink r:id="rId234" w:history="1"/>
      <w:hyperlink r:id="rId235" w:history="1"/>
      <w:hyperlink r:id="rId236" w:history="1"/>
      <w:hyperlink r:id="rId237" w:history="1"/>
      <w:hyperlink r:id="rId238" w:history="1"/>
    </w:p>
    <w:p w14:paraId="363E25A7" w14:textId="10850503" w:rsidR="006C01FD" w:rsidRPr="007D4988" w:rsidRDefault="006C01FD" w:rsidP="006C01FD">
      <w:r w:rsidRPr="007D4988">
        <w:t>En collaboration avec le Comité des droits de l</w:t>
      </w:r>
      <w:r w:rsidR="00866631" w:rsidRPr="007D4988">
        <w:t>'</w:t>
      </w:r>
      <w:r w:rsidRPr="007D4988">
        <w:t>enfant de l</w:t>
      </w:r>
      <w:r w:rsidR="00866631" w:rsidRPr="007D4988">
        <w:t>'</w:t>
      </w:r>
      <w:r w:rsidRPr="007D4988">
        <w:t>UNICEF, et plus de dix entités des Nations</w:t>
      </w:r>
      <w:r w:rsidR="003E1153" w:rsidRPr="007D4988">
        <w:t> </w:t>
      </w:r>
      <w:r w:rsidRPr="007D4988">
        <w:t>Unies cosignataires, l</w:t>
      </w:r>
      <w:r w:rsidR="00866631" w:rsidRPr="007D4988">
        <w:t>'</w:t>
      </w:r>
      <w:r w:rsidRPr="007D4988">
        <w:t xml:space="preserve">UIT a élaboré et adopté la </w:t>
      </w:r>
      <w:hyperlink r:id="rId239" w:anchor="/fr" w:history="1">
        <w:r w:rsidRPr="007D4988">
          <w:rPr>
            <w:rStyle w:val="Hyperlink"/>
            <w:rFonts w:eastAsia="Times New Roman" w:cs="Times New Roman"/>
            <w:szCs w:val="20"/>
          </w:rPr>
          <w:t>Déclaration commune sur l'intelligence artificielle et les droits de l'enfant</w:t>
        </w:r>
      </w:hyperlink>
      <w:r w:rsidRPr="007D4988">
        <w:t>.</w:t>
      </w:r>
      <w:r w:rsidR="00DB20A9" w:rsidRPr="007D4988">
        <w:t xml:space="preserve"> </w:t>
      </w:r>
      <w:r w:rsidRPr="007D4988">
        <w:t xml:space="preserve">Des activités techniques en matière de normalisation et de radiocommunication ont permis d'appuyer cet axe de travail à l'aide de </w:t>
      </w:r>
      <w:hyperlink r:id="rId240" w:history="1">
        <w:r w:rsidRPr="007D4988">
          <w:rPr>
            <w:rStyle w:val="Hyperlink"/>
            <w:rFonts w:eastAsia="Times New Roman" w:cs="Times New Roman"/>
            <w:szCs w:val="20"/>
          </w:rPr>
          <w:t>recommandations, d'études et de mises à jour axées sur la sécurité</w:t>
        </w:r>
      </w:hyperlink>
      <w:r w:rsidRPr="007D4988">
        <w:t xml:space="preserve"> qui tiennent compte de l'évolution des menaces et de la nécessité de protéger les infrastructures TIC essentielles.</w:t>
      </w:r>
    </w:p>
    <w:p w14:paraId="09374320" w14:textId="3CDE7928" w:rsidR="006C01FD" w:rsidRPr="007D4988" w:rsidRDefault="006C01FD" w:rsidP="006B02E2">
      <w:r w:rsidRPr="007D4988">
        <w:t>La Commission d</w:t>
      </w:r>
      <w:r w:rsidR="00866631" w:rsidRPr="007D4988">
        <w:t>'</w:t>
      </w:r>
      <w:r w:rsidRPr="007D4988">
        <w:t>études 17 de l</w:t>
      </w:r>
      <w:r w:rsidR="00866631" w:rsidRPr="007D4988">
        <w:t>'</w:t>
      </w:r>
      <w:r w:rsidRPr="007D4988">
        <w:t xml:space="preserve">UIT-T a poursuivi ses travaux sur </w:t>
      </w:r>
      <w:hyperlink r:id="rId241" w:history="1">
        <w:r w:rsidRPr="007D4988">
          <w:rPr>
            <w:rStyle w:val="Hyperlink"/>
            <w:rFonts w:eastAsia="Times New Roman" w:cs="Times New Roman"/>
            <w:szCs w:val="20"/>
          </w:rPr>
          <w:t>l'intelligence artificielle, les systèmes de télécommunications mobiles internationales, l'informatique en nuage, l'Internet des objets, les systèmes de transport intelligents, les systèmes de jumeaux numériques, la distribution de clés quantiques, le contrôle des accès, les services financiers numériques, la protection de la vie privée et d'autres services intelligents</w:t>
        </w:r>
      </w:hyperlink>
      <w:r w:rsidRPr="007D4988">
        <w:t>. Les Commissions d</w:t>
      </w:r>
      <w:r w:rsidR="00866631" w:rsidRPr="007D4988">
        <w:t>'</w:t>
      </w:r>
      <w:r w:rsidRPr="007D4988">
        <w:t xml:space="preserve">études 5, 13, 15 et 21 de l'UIT-T ont également approuvé des </w:t>
      </w:r>
      <w:r w:rsidR="003E1153" w:rsidRPr="007D4988">
        <w:t>r</w:t>
      </w:r>
      <w:r w:rsidRPr="007D4988">
        <w:t>ecommandations sur toute une série de questions allant de la fiabilité des IMT-2020 et des systèmes ultérieurs aux infrastructures (par exemple le réseau électrique ou le réseau optique passif), en passant par la convergence fixe, mobile et satellite, la gestion des droits numériques pour la diffusion de contenus vidéo et audio et l'authenticité des contenus multimédias. La Commission d</w:t>
      </w:r>
      <w:r w:rsidR="00866631" w:rsidRPr="007D4988">
        <w:t>'</w:t>
      </w:r>
      <w:r w:rsidRPr="007D4988">
        <w:t>études</w:t>
      </w:r>
      <w:r w:rsidR="000D6415" w:rsidRPr="007D4988">
        <w:t> </w:t>
      </w:r>
      <w:r w:rsidRPr="007D4988">
        <w:t xml:space="preserve">11 poursuit ses activités en matière de </w:t>
      </w:r>
      <w:hyperlink r:id="rId242" w:history="1">
        <w:r w:rsidRPr="007D4988">
          <w:rPr>
            <w:rStyle w:val="Hyperlink"/>
            <w:rFonts w:eastAsia="Times New Roman" w:cs="Times New Roman"/>
            <w:szCs w:val="20"/>
          </w:rPr>
          <w:t>sécurité de la signalisation</w:t>
        </w:r>
      </w:hyperlink>
      <w:r w:rsidRPr="007D4988">
        <w:t>, afin de lutter contre la contrefaçon et le vol de dispositifs mobiles TIC et contre les attaques visant les réseaux téléphoniques (par ex. le spam téléphonique, les appels robotisés, l'usurpation des numéros, etc.). La Commission d</w:t>
      </w:r>
      <w:r w:rsidR="00866631" w:rsidRPr="007D4988">
        <w:t>'</w:t>
      </w:r>
      <w:r w:rsidRPr="007D4988">
        <w:t xml:space="preserve">études </w:t>
      </w:r>
      <w:hyperlink r:id="rId243" w:anchor="/fr" w:history="1">
        <w:r w:rsidRPr="007D4988">
          <w:rPr>
            <w:rStyle w:val="Hyperlink"/>
            <w:rFonts w:eastAsia="Times New Roman" w:cs="Times New Roman"/>
            <w:szCs w:val="20"/>
          </w:rPr>
          <w:t>20</w:t>
        </w:r>
      </w:hyperlink>
      <w:r w:rsidRPr="007D4988">
        <w:t xml:space="preserve"> poursuit quant à elle ses travaux sur la sécurité, la confidentialité, la fiabilité et l</w:t>
      </w:r>
      <w:r w:rsidR="00866631" w:rsidRPr="007D4988">
        <w:t>'</w:t>
      </w:r>
      <w:r w:rsidRPr="007D4988">
        <w:t>identification concernant l</w:t>
      </w:r>
      <w:r w:rsidR="00866631" w:rsidRPr="007D4988">
        <w:t>'</w:t>
      </w:r>
      <w:r w:rsidRPr="007D4988">
        <w:t>Internet des objets (IoT) et les villes et communautés intelligentes et durables (SSC&amp;C). L'UIT-R a défini des principes de sécurité précis concernant les réseaux des Télécommunications mobiles internationales (IMT) (3G, 4G et 5G). L</w:t>
      </w:r>
      <w:r w:rsidR="00866631" w:rsidRPr="007D4988">
        <w:t>'</w:t>
      </w:r>
      <w:r w:rsidRPr="007D4988">
        <w:t xml:space="preserve">Initiative </w:t>
      </w:r>
      <w:r w:rsidR="004E71C8" w:rsidRPr="007D4988">
        <w:t>"</w:t>
      </w:r>
      <w:hyperlink r:id="rId244" w:anchor="/fr" w:history="1">
        <w:r w:rsidRPr="007D4988">
          <w:rPr>
            <w:rStyle w:val="Hyperlink"/>
            <w:rFonts w:eastAsia="Times New Roman" w:cs="Times New Roman"/>
            <w:szCs w:val="20"/>
          </w:rPr>
          <w:t>Tous unis pour des villes intelligentes et durables</w:t>
        </w:r>
      </w:hyperlink>
      <w:r w:rsidR="004E71C8" w:rsidRPr="007D4988">
        <w:t>"</w:t>
      </w:r>
      <w:r w:rsidRPr="007D4988">
        <w:t>, menée avec l</w:t>
      </w:r>
      <w:r w:rsidR="00866631" w:rsidRPr="007D4988">
        <w:t>'</w:t>
      </w:r>
      <w:r w:rsidRPr="007D4988">
        <w:t>appui de 20 entités des Nations Unies, poursuit ses travaux sur les aspects de sécurité et de confidentialité des infrastructures publiques numériques dans les villes. L'</w:t>
      </w:r>
      <w:hyperlink r:id="rId245" w:history="1">
        <w:r w:rsidRPr="007D4988">
          <w:rPr>
            <w:rStyle w:val="Hyperlink"/>
            <w:rFonts w:eastAsia="Times New Roman" w:cs="Times New Roman"/>
            <w:szCs w:val="20"/>
          </w:rPr>
          <w:t>Initiative mondiale sur les mondes virtuels et l'intelligence artificielle</w:t>
        </w:r>
      </w:hyperlink>
      <w:r w:rsidRPr="007D4988">
        <w:rPr>
          <w:rStyle w:val="Hyperlink"/>
        </w:rPr>
        <w:t xml:space="preserve"> – À la découverte des métavilles</w:t>
      </w:r>
      <w:r w:rsidRPr="007D4988">
        <w:rPr>
          <w:rFonts w:eastAsiaTheme="minorHAnsi"/>
        </w:rPr>
        <w:t>, qui bénéficie de l</w:t>
      </w:r>
      <w:r w:rsidR="00866631" w:rsidRPr="007D4988">
        <w:rPr>
          <w:rFonts w:eastAsiaTheme="minorHAnsi"/>
        </w:rPr>
        <w:t>'</w:t>
      </w:r>
      <w:r w:rsidRPr="007D4988">
        <w:rPr>
          <w:rFonts w:eastAsiaTheme="minorHAnsi"/>
        </w:rPr>
        <w:t>appui de plus de 70 partenaires, poursuit également ses travaux dans le cadre du volet sécurité et confiance en matière de développement de métavilles et de mondes virtuels.</w:t>
      </w:r>
    </w:p>
    <w:p w14:paraId="42A5EA1B" w14:textId="2816D2BB" w:rsidR="00A540D1" w:rsidRPr="007D4988" w:rsidRDefault="006C01FD" w:rsidP="006B02E2">
      <w:r w:rsidRPr="007D4988">
        <w:t xml:space="preserve">Pour de plus amples informations, consulter la page consacrée aux </w:t>
      </w:r>
      <w:hyperlink r:id="rId246" w:history="1">
        <w:r w:rsidRPr="007D4988">
          <w:rPr>
            <w:rStyle w:val="Hyperlink"/>
            <w:rFonts w:eastAsia="Times New Roman" w:cs="Times New Roman"/>
            <w:szCs w:val="20"/>
          </w:rPr>
          <w:t>activités de l'UIT en matière de cybersécurité</w:t>
        </w:r>
      </w:hyperlink>
      <w:r w:rsidRPr="007D4988">
        <w:t>.</w:t>
      </w:r>
    </w:p>
    <w:p w14:paraId="7212EADE" w14:textId="77777777" w:rsidR="00A540D1" w:rsidRPr="007D4988" w:rsidRDefault="00A540D1" w:rsidP="00A540D1">
      <w:pPr>
        <w:pStyle w:val="Heading3"/>
      </w:pPr>
      <w:bookmarkStart w:id="73" w:name="_4.4.2_Technologies_émergentes:"/>
      <w:bookmarkStart w:id="74" w:name="_Toc224288815"/>
      <w:bookmarkStart w:id="75" w:name="_Toc225488892"/>
      <w:bookmarkEnd w:id="73"/>
      <w:r w:rsidRPr="007D4988">
        <w:t>4.4.2</w:t>
      </w:r>
      <w:r w:rsidRPr="007D4988">
        <w:tab/>
        <w:t>Technologies émergentes: élaborer des cadres propices à la transformation</w:t>
      </w:r>
      <w:bookmarkEnd w:id="74"/>
      <w:bookmarkEnd w:id="75"/>
    </w:p>
    <w:p w14:paraId="5AC9376A" w14:textId="77777777" w:rsidR="00A540D1" w:rsidRPr="007D4988" w:rsidRDefault="00A540D1" w:rsidP="00493759">
      <w:pPr>
        <w:keepLines/>
      </w:pPr>
      <w:r w:rsidRPr="007D4988">
        <w:t>L'UIT continue d'élaborer des cadres mondiaux pour les technologies qui évoluent rapidement, en mettant tout particulièrement l'accent sur l'IA, l'informatique quantique, le métavers et les mondes virtuels, ainsi que l'Internet des objets (IoT). Ces travaux favorisent une transformation numérique inclusive et durable partout dans le monde et sont menés à bien au moyen de normes, d'une coordination à l'échelle du système des Nations Unies, d'initiatives spécifiques et de projets concrets sur le terrain.</w:t>
      </w:r>
    </w:p>
    <w:p w14:paraId="745FC595" w14:textId="77777777" w:rsidR="00A540D1" w:rsidRPr="007D4988" w:rsidRDefault="00A540D1" w:rsidP="00A540D1">
      <w:pPr>
        <w:pStyle w:val="Headingb"/>
      </w:pPr>
      <w:r w:rsidRPr="007D4988">
        <w:t>Intelligence artificielle</w:t>
      </w:r>
    </w:p>
    <w:p w14:paraId="192BCA6F" w14:textId="77777777" w:rsidR="00A540D1" w:rsidRPr="007D4988" w:rsidRDefault="00A540D1" w:rsidP="00A540D1">
      <w:r w:rsidRPr="007D4988">
        <w:t>Depuis 2017, l'UIT demeure à l'avant-garde de la coopération internationale en matière d'</w:t>
      </w:r>
      <w:hyperlink r:id="rId247" w:history="1">
        <w:r w:rsidRPr="007D4988">
          <w:rPr>
            <w:rStyle w:val="Hyperlink"/>
            <w:rFonts w:eastAsia="Times New Roman" w:cs="Times New Roman"/>
            <w:szCs w:val="20"/>
          </w:rPr>
          <w:t>intelligence artificielle</w:t>
        </w:r>
      </w:hyperlink>
      <w:r w:rsidRPr="007D4988">
        <w:t xml:space="preserve"> et fait en sorte que l'IA contribue au développement socio</w:t>
      </w:r>
      <w:r w:rsidRPr="007D4988">
        <w:noBreakHyphen/>
        <w:t xml:space="preserve">économique et facilite la réalisation des Objectifs de développement durable définis par l'ONU. Guidés par la Résolution </w:t>
      </w:r>
      <w:hyperlink r:id="rId248" w:history="1">
        <w:r w:rsidRPr="007D4988">
          <w:rPr>
            <w:rStyle w:val="Hyperlink"/>
            <w:rFonts w:eastAsia="Times New Roman" w:cs="Times New Roman"/>
            <w:szCs w:val="20"/>
          </w:rPr>
          <w:t>214</w:t>
        </w:r>
      </w:hyperlink>
      <w:r w:rsidRPr="007D4988">
        <w:t xml:space="preserve"> (Bucarest, 2022) de la Conférence de plénipotentiaires, les travaux de l'UIT en matière d'intelligence artificielle portent sur la coordination des activités de renforcement des capacités de normalisation à l'échelle du système des Nations Unies et sur les initiatives multi-parties prenantes.</w:t>
      </w:r>
      <w:hyperlink r:id="rId249" w:history="1"/>
      <w:hyperlink r:id="rId250" w:history="1"/>
    </w:p>
    <w:p w14:paraId="4001CDFB" w14:textId="22296E8F" w:rsidR="00A540D1" w:rsidRPr="007D4988" w:rsidRDefault="00A540D1" w:rsidP="00A540D1">
      <w:r w:rsidRPr="007D4988">
        <w:t xml:space="preserve">L'UIT a poursuivi les travaux de normalisation par l'intermédiaire des commissions d'études compétentes, des groupes spécialisés et de plusieurs initiatives chargées d'activités préalables à la normalisation. Ont notamment joué un rôle les commissions d'études du Secteur de la normalisation des télécommunications et certaines commissions d'études du Secteur des radiocommunications, les groupes spécialisés sur les </w:t>
      </w:r>
      <w:hyperlink r:id="rId251" w:anchor="/fr" w:history="1">
        <w:r w:rsidRPr="007D4988">
          <w:rPr>
            <w:rStyle w:val="Hyperlink"/>
            <w:rFonts w:eastAsia="Times New Roman" w:cs="Times New Roman"/>
            <w:szCs w:val="20"/>
          </w:rPr>
          <w:t>réseaux fondés sur l'IA native</w:t>
        </w:r>
      </w:hyperlink>
      <w:r w:rsidRPr="007D4988">
        <w:t>, sur l'</w:t>
      </w:r>
      <w:hyperlink r:id="rId252" w:anchor="/fr" w:history="1">
        <w:r w:rsidRPr="007D4988">
          <w:rPr>
            <w:rStyle w:val="Hyperlink"/>
            <w:rFonts w:eastAsia="Times New Roman" w:cs="Times New Roman"/>
            <w:szCs w:val="20"/>
          </w:rPr>
          <w:t>IA au service de l'agriculture</w:t>
        </w:r>
      </w:hyperlink>
      <w:r w:rsidRPr="007D4988">
        <w:t>, sur l'</w:t>
      </w:r>
      <w:hyperlink r:id="rId253" w:anchor="/fr" w:history="1">
        <w:r w:rsidRPr="007D4988">
          <w:rPr>
            <w:rStyle w:val="Hyperlink"/>
            <w:rFonts w:eastAsia="Times New Roman" w:cs="Times New Roman"/>
            <w:szCs w:val="20"/>
          </w:rPr>
          <w:t>IA au service de la gestion des catastrophes naturelles</w:t>
        </w:r>
      </w:hyperlink>
      <w:r w:rsidRPr="007D4988">
        <w:t xml:space="preserve"> et sur l'</w:t>
      </w:r>
      <w:hyperlink r:id="rId254" w:anchor="/fr" w:history="1">
        <w:r w:rsidRPr="007D4988">
          <w:rPr>
            <w:rStyle w:val="Hyperlink"/>
            <w:rFonts w:eastAsia="Times New Roman" w:cs="Times New Roman"/>
            <w:szCs w:val="20"/>
          </w:rPr>
          <w:t>IA au service de la santé</w:t>
        </w:r>
      </w:hyperlink>
      <w:r w:rsidRPr="007D4988">
        <w:t xml:space="preserve">, ainsi que les initiatives mondiales sur la </w:t>
      </w:r>
      <w:hyperlink r:id="rId255" w:history="1">
        <w:r w:rsidRPr="007D4988">
          <w:rPr>
            <w:rStyle w:val="Hyperlink"/>
            <w:rFonts w:eastAsia="Times New Roman" w:cs="Times New Roman"/>
            <w:szCs w:val="20"/>
          </w:rPr>
          <w:t>résilience face aux risques naturels grâce aux solutions fondées sur l'IA</w:t>
        </w:r>
      </w:hyperlink>
      <w:r w:rsidRPr="007D4988">
        <w:t>, sur l'</w:t>
      </w:r>
      <w:hyperlink r:id="rId256" w:anchor="/fr" w:history="1">
        <w:r w:rsidRPr="007D4988">
          <w:rPr>
            <w:rStyle w:val="Hyperlink"/>
            <w:rFonts w:eastAsia="Times New Roman" w:cs="Times New Roman"/>
            <w:szCs w:val="20"/>
          </w:rPr>
          <w:t>IA au service des systèmes alimentaires</w:t>
        </w:r>
      </w:hyperlink>
      <w:r w:rsidRPr="007D4988">
        <w:t>, sur l'</w:t>
      </w:r>
      <w:hyperlink r:id="rId257" w:anchor="/fr" w:history="1">
        <w:r w:rsidRPr="007D4988">
          <w:rPr>
            <w:rStyle w:val="Hyperlink"/>
            <w:rFonts w:eastAsia="Times New Roman" w:cs="Times New Roman"/>
            <w:szCs w:val="20"/>
          </w:rPr>
          <w:t>IA au service de la santé</w:t>
        </w:r>
      </w:hyperlink>
      <w:r w:rsidRPr="007D4988">
        <w:t xml:space="preserve">, sur les </w:t>
      </w:r>
      <w:hyperlink r:id="rId258" w:history="1">
        <w:r w:rsidRPr="007D4988">
          <w:rPr>
            <w:rStyle w:val="Hyperlink"/>
            <w:rFonts w:eastAsia="Times New Roman" w:cs="Times New Roman"/>
            <w:szCs w:val="20"/>
          </w:rPr>
          <w:t>biens communs en matière d'IA et de données</w:t>
        </w:r>
      </w:hyperlink>
      <w:r w:rsidRPr="007D4988">
        <w:t xml:space="preserve"> et sur les </w:t>
      </w:r>
      <w:hyperlink r:id="rId259" w:history="1">
        <w:r w:rsidRPr="007D4988">
          <w:rPr>
            <w:rStyle w:val="Hyperlink"/>
            <w:rFonts w:eastAsia="Times New Roman" w:cs="Times New Roman"/>
            <w:szCs w:val="20"/>
          </w:rPr>
          <w:t>mondes virtuels et l'IA</w:t>
        </w:r>
      </w:hyperlink>
      <w:r w:rsidRPr="007D4988">
        <w:t xml:space="preserve">. Ces travaux ont été complétés par la collaboration sur les normes liées à l'intelligence artificielle nouée par l'UIT avec d'autres organisations de normalisation dans le cadre de la </w:t>
      </w:r>
      <w:hyperlink r:id="rId260" w:history="1">
        <w:r w:rsidRPr="007D4988">
          <w:rPr>
            <w:rStyle w:val="Hyperlink"/>
            <w:rFonts w:eastAsia="Times New Roman" w:cs="Times New Roman"/>
            <w:szCs w:val="20"/>
          </w:rPr>
          <w:t>Coopération mondiale en matière de normalisation</w:t>
        </w:r>
      </w:hyperlink>
      <w:r w:rsidRPr="007D4988">
        <w:t xml:space="preserve"> (voir la </w:t>
      </w:r>
      <w:r w:rsidR="00E80EE6" w:rsidRPr="007D4988">
        <w:t>section</w:t>
      </w:r>
      <w:r w:rsidR="00797EC8" w:rsidRPr="007D4988">
        <w:t> </w:t>
      </w:r>
      <w:r w:rsidRPr="007D4988">
        <w:t xml:space="preserve">4.3.1), afin de promouvoir des normes internationales fondées sur le consensus. Les Sommets internationaux annuels sur les normes relatives à l'IA ont commencé à répondre à la demande mondiale en matière de normes sur l'IA complètes et efficaces. Le rôle joué par l'UIT dans le domaine de la normalisation de l'IA a été officiellement renforcé par l'adoption de la Résolution </w:t>
      </w:r>
      <w:hyperlink r:id="rId261" w:history="1">
        <w:r w:rsidRPr="007D4988">
          <w:rPr>
            <w:rStyle w:val="Hyperlink"/>
            <w:rFonts w:eastAsia="Times New Roman" w:cs="Times New Roman"/>
            <w:szCs w:val="20"/>
          </w:rPr>
          <w:t>101</w:t>
        </w:r>
      </w:hyperlink>
      <w:r w:rsidRPr="007D4988">
        <w:t xml:space="preserve"> (New Delhi, 2024) de l'AMNT, qui met l'accent sur le mandat incontesté de l'UIT en ce qui concerne l'élaboration de normes internationales fiables relatives à l'intelligence artificielle.</w:t>
      </w:r>
      <w:hyperlink r:id="rId262" w:history="1"/>
      <w:hyperlink r:id="rId263" w:history="1"/>
      <w:hyperlink r:id="rId264" w:history="1"/>
      <w:hyperlink r:id="rId265" w:history="1"/>
      <w:hyperlink r:id="rId266" w:history="1"/>
      <w:hyperlink r:id="rId267" w:history="1"/>
      <w:hyperlink r:id="rId268" w:history="1"/>
      <w:hyperlink r:id="rId269" w:history="1"/>
      <w:hyperlink r:id="rId270" w:history="1"/>
      <w:hyperlink r:id="rId271" w:history="1"/>
      <w:hyperlink r:id="rId272" w:history="1"/>
    </w:p>
    <w:p w14:paraId="2047DEDE" w14:textId="0909A668" w:rsidR="00A540D1" w:rsidRPr="007D4988" w:rsidRDefault="00A540D1" w:rsidP="00A540D1">
      <w:r w:rsidRPr="007D4988">
        <w:t xml:space="preserve">L'UIT contribue à doter les pays du monde entier des connaissances et des outils nécessaires pour tirer parti de l'IA, afin de faire en sorte que les avantages qui en découlent soient accessibles dans des conditions d'égalité à tous les habitants de la planète. L'initiative "AI for Good Impact" (Les effets de l'IA au service du bien social) comprend des programmes phares tels que la </w:t>
      </w:r>
      <w:hyperlink r:id="rId273" w:anchor="/fr" w:history="1">
        <w:r w:rsidRPr="007D4988">
          <w:rPr>
            <w:rStyle w:val="Hyperlink"/>
            <w:rFonts w:eastAsia="Times New Roman" w:cs="Times New Roman"/>
            <w:szCs w:val="20"/>
          </w:rPr>
          <w:t>Coalition pour les compétences en matière d'IA</w:t>
        </w:r>
      </w:hyperlink>
      <w:r w:rsidRPr="007D4988">
        <w:t xml:space="preserve">, la </w:t>
      </w:r>
      <w:hyperlink r:id="rId274" w:anchor="/fr" w:history="1">
        <w:r w:rsidRPr="007D4988">
          <w:rPr>
            <w:rStyle w:val="Hyperlink"/>
            <w:rFonts w:eastAsia="Times New Roman" w:cs="Times New Roman"/>
            <w:szCs w:val="20"/>
          </w:rPr>
          <w:t>Communauté des jeunes chefs de file de l'IA</w:t>
        </w:r>
      </w:hyperlink>
      <w:r w:rsidRPr="007D4988">
        <w:t xml:space="preserve">, les </w:t>
      </w:r>
      <w:hyperlink r:id="rId275" w:anchor="/fr" w:history="1">
        <w:r w:rsidRPr="007D4988">
          <w:rPr>
            <w:rStyle w:val="Hyperlink"/>
            <w:rFonts w:eastAsia="Times New Roman" w:cs="Times New Roman"/>
            <w:szCs w:val="20"/>
          </w:rPr>
          <w:t>Défis mondiaux en matière d'IA</w:t>
        </w:r>
      </w:hyperlink>
      <w:r w:rsidRPr="007D4988">
        <w:t>, ainsi que l'</w:t>
      </w:r>
      <w:hyperlink r:id="rId276" w:anchor="/fr" w:history="1">
        <w:r w:rsidRPr="007D4988">
          <w:rPr>
            <w:rStyle w:val="Hyperlink"/>
            <w:rFonts w:eastAsia="Times New Roman" w:cs="Times New Roman"/>
            <w:szCs w:val="20"/>
          </w:rPr>
          <w:t>Usine d'innovations et le programme d'incubation de jeunes entreprises</w:t>
        </w:r>
      </w:hyperlink>
      <w:r w:rsidRPr="007D4988">
        <w:t>. Cette initiative a également été l'occasion de lancer toute une série de manifestations régionales, notamment "AI for Good Impact India" et "</w:t>
      </w:r>
      <w:hyperlink r:id="rId277" w:anchor="/fr" w:history="1">
        <w:r w:rsidRPr="007D4988">
          <w:rPr>
            <w:rStyle w:val="Hyperlink"/>
            <w:rFonts w:eastAsia="Times New Roman" w:cs="Times New Roman"/>
            <w:szCs w:val="20"/>
          </w:rPr>
          <w:t>AI for Good Impact Africa</w:t>
        </w:r>
      </w:hyperlink>
      <w:r w:rsidRPr="007D4988">
        <w:t>". Ces programmes, tout comme l'</w:t>
      </w:r>
      <w:hyperlink r:id="rId278" w:history="1">
        <w:r w:rsidRPr="007D4988">
          <w:rPr>
            <w:rStyle w:val="Hyperlink"/>
            <w:rFonts w:eastAsia="Times New Roman" w:cs="Times New Roman"/>
            <w:szCs w:val="20"/>
          </w:rPr>
          <w:t>enquête sur l'environnement de l'IA</w:t>
        </w:r>
      </w:hyperlink>
      <w:r w:rsidRPr="007D4988">
        <w:t>, le sous-groupe "</w:t>
      </w:r>
      <w:hyperlink r:id="rId279" w:history="1">
        <w:r w:rsidRPr="007D4988">
          <w:rPr>
            <w:rStyle w:val="Hyperlink"/>
            <w:rFonts w:eastAsia="Times New Roman" w:cs="Times New Roman"/>
            <w:szCs w:val="20"/>
          </w:rPr>
          <w:t>Alertes précoces pour tous</w:t>
        </w:r>
      </w:hyperlink>
      <w:r w:rsidRPr="007D4988">
        <w:t>", les cours de l'</w:t>
      </w:r>
      <w:hyperlink r:id="rId280" w:anchor="/fr" w:history="1">
        <w:r w:rsidRPr="007D4988">
          <w:rPr>
            <w:rStyle w:val="Hyperlink"/>
            <w:rFonts w:eastAsia="Times New Roman" w:cs="Times New Roman"/>
            <w:szCs w:val="20"/>
          </w:rPr>
          <w:t>Académie de l'UIT</w:t>
        </w:r>
      </w:hyperlink>
      <w:r w:rsidRPr="007D4988">
        <w:t xml:space="preserve"> consacrés à l'IA et le projet de </w:t>
      </w:r>
      <w:hyperlink r:id="rId281" w:history="1">
        <w:r w:rsidRPr="007D4988">
          <w:rPr>
            <w:rStyle w:val="Hyperlink"/>
            <w:rFonts w:eastAsia="Times New Roman" w:cs="Times New Roman"/>
            <w:szCs w:val="20"/>
          </w:rPr>
          <w:t>renforcement des capacités sur les technologies et les normes dans le domaine de l'IA en Asie-Pacifique</w:t>
        </w:r>
      </w:hyperlink>
      <w:r w:rsidRPr="007D4988">
        <w:t>, soulignent l'engagement pris par l'UIT pour réduire la fracture en matière d'IA, promouvoir les partenariats internationaux et contribuer à la réalisation des Objectifs de développement durable par le renforcement des capacités dans le domaine de l'IA. L'adoption de la Résolution</w:t>
      </w:r>
      <w:r w:rsidR="00493759" w:rsidRPr="007D4988">
        <w:t> </w:t>
      </w:r>
      <w:hyperlink r:id="rId282" w:history="1">
        <w:r w:rsidRPr="007D4988">
          <w:rPr>
            <w:rStyle w:val="Hyperlink"/>
            <w:rFonts w:eastAsia="Times New Roman" w:cs="Times New Roman"/>
            <w:szCs w:val="20"/>
          </w:rPr>
          <w:t>91</w:t>
        </w:r>
      </w:hyperlink>
      <w:r w:rsidRPr="007D4988">
        <w:t xml:space="preserve"> (Bakou, 2025) de la CMDT renforce encore la détermination de l'UIT à promouvoir les technologies de l'IA dans le domaine du développement des télécommunications.</w:t>
      </w:r>
      <w:hyperlink r:id="rId283" w:history="1"/>
      <w:hyperlink r:id="rId284" w:history="1"/>
      <w:hyperlink r:id="rId285" w:history="1"/>
      <w:hyperlink r:id="rId286" w:history="1"/>
      <w:hyperlink r:id="rId287" w:history="1"/>
      <w:hyperlink r:id="rId288" w:history="1"/>
      <w:hyperlink r:id="rId289" w:history="1"/>
      <w:hyperlink r:id="rId290" w:history="1"/>
      <w:hyperlink r:id="rId291" w:history="1"/>
      <w:hyperlink r:id="rId292" w:history="1"/>
    </w:p>
    <w:p w14:paraId="003DA579" w14:textId="37B98325" w:rsidR="00A540D1" w:rsidRPr="007D4988" w:rsidRDefault="00A540D1" w:rsidP="00A540D1">
      <w:r w:rsidRPr="007D4988">
        <w:t xml:space="preserve">À l'échelle du système des Nations Unies, la cohérence des politiques et la coordination des programmes liés à l'IA ont été maintenues grâce au </w:t>
      </w:r>
      <w:hyperlink r:id="rId293" w:history="1">
        <w:r w:rsidRPr="007D4988">
          <w:rPr>
            <w:rStyle w:val="Hyperlink"/>
            <w:rFonts w:eastAsia="Times New Roman" w:cs="Times New Roman"/>
            <w:szCs w:val="20"/>
          </w:rPr>
          <w:t>Groupe de travail interinstitutions sur l'intelligence artificielle (GTI-IA)</w:t>
        </w:r>
      </w:hyperlink>
      <w:r w:rsidRPr="007D4988">
        <w:t>, codirigé par l'UIT et l'UNESCO. Le Groupe a mis au point des initiatives d'envergure, telles que l'</w:t>
      </w:r>
      <w:hyperlink r:id="rId294" w:history="1">
        <w:r w:rsidRPr="007D4988">
          <w:rPr>
            <w:rStyle w:val="Hyperlink"/>
            <w:rFonts w:eastAsia="Times New Roman" w:cs="Times New Roman"/>
            <w:szCs w:val="20"/>
          </w:rPr>
          <w:t>initiative sur les principes relatifs à une utilisation éthique de l'IA dans l'ensemble du système des Nations Unies</w:t>
        </w:r>
      </w:hyperlink>
      <w:r w:rsidRPr="007D4988">
        <w:t xml:space="preserve">, ainsi que le </w:t>
      </w:r>
      <w:hyperlink r:id="rId295" w:history="1">
        <w:r w:rsidRPr="007D4988">
          <w:rPr>
            <w:rStyle w:val="Hyperlink"/>
            <w:rFonts w:eastAsia="Times New Roman" w:cs="Times New Roman"/>
            <w:szCs w:val="20"/>
          </w:rPr>
          <w:t>Livre blanc du système des Nations Unies sur la gouvernance de l'IA</w:t>
        </w:r>
      </w:hyperlink>
      <w:r w:rsidRPr="007D4988">
        <w:t xml:space="preserve">, tous deux approuvés par le Conseil des chefs de secrétariat des organismes des Nations Unies pour la coordination. Dans le prolongement du </w:t>
      </w:r>
      <w:hyperlink r:id="rId296" w:history="1">
        <w:r w:rsidRPr="007D4988">
          <w:rPr>
            <w:rStyle w:val="Hyperlink"/>
            <w:rFonts w:eastAsia="Times New Roman" w:cs="Times New Roman"/>
            <w:szCs w:val="20"/>
          </w:rPr>
          <w:t>rapport annuel sur les activités des Nations Unies relatives à l'IA</w:t>
        </w:r>
      </w:hyperlink>
      <w:r w:rsidRPr="007D4988">
        <w:t xml:space="preserve"> établi par l'UIT, le Groupe a également créé le </w:t>
      </w:r>
      <w:hyperlink r:id="rId297" w:history="1">
        <w:r w:rsidRPr="007D4988">
          <w:rPr>
            <w:rStyle w:val="Hyperlink"/>
            <w:rFonts w:eastAsia="Times New Roman" w:cs="Times New Roman"/>
            <w:szCs w:val="20"/>
          </w:rPr>
          <w:t>Centre de ressources des Nations Unies sur l'IA</w:t>
        </w:r>
      </w:hyperlink>
      <w:r w:rsidRPr="007D4988">
        <w:t>, une plate</w:t>
      </w:r>
      <w:r w:rsidR="00493759" w:rsidRPr="007D4988">
        <w:noBreakHyphen/>
      </w:r>
      <w:r w:rsidRPr="007D4988">
        <w:t xml:space="preserve">forme publique dynamique et consultable contenant des informations sur plus de 700 initiatives liées à l'IA. En activité depuis six ans, il constitue désormais un mécanisme de coordination institutionnelle stable. L'utilité de ses travaux est reconnue par plusieurs </w:t>
      </w:r>
      <w:r w:rsidR="003E1153" w:rsidRPr="007D4988">
        <w:t>R</w:t>
      </w:r>
      <w:r w:rsidRPr="007D4988">
        <w:t xml:space="preserve">ésolutions, notamment les </w:t>
      </w:r>
      <w:r w:rsidR="003E1153" w:rsidRPr="007D4988">
        <w:t>R</w:t>
      </w:r>
      <w:r w:rsidRPr="007D4988">
        <w:t xml:space="preserve">ésolutions </w:t>
      </w:r>
      <w:hyperlink r:id="rId298" w:history="1">
        <w:r w:rsidRPr="007D4988">
          <w:rPr>
            <w:rStyle w:val="Hyperlink"/>
          </w:rPr>
          <w:t>A/RES/79/325</w:t>
        </w:r>
      </w:hyperlink>
      <w:r w:rsidRPr="007D4988">
        <w:rPr>
          <w:szCs w:val="24"/>
        </w:rPr>
        <w:t xml:space="preserve"> et</w:t>
      </w:r>
      <w:r w:rsidRPr="007D4988">
        <w:t xml:space="preserve"> </w:t>
      </w:r>
      <w:hyperlink r:id="rId299" w:history="1">
        <w:r w:rsidRPr="007D4988">
          <w:rPr>
            <w:rStyle w:val="Hyperlink"/>
            <w:rFonts w:eastAsia="Times New Roman" w:cs="Times New Roman"/>
            <w:szCs w:val="20"/>
          </w:rPr>
          <w:t>A/RES/80/173</w:t>
        </w:r>
      </w:hyperlink>
      <w:r w:rsidRPr="007D4988">
        <w:t xml:space="preserve"> de l'Assemblée générale des Nations</w:t>
      </w:r>
      <w:r w:rsidR="003E1153" w:rsidRPr="007D4988">
        <w:t> </w:t>
      </w:r>
      <w:r w:rsidRPr="007D4988">
        <w:t>Unies. Par ailleurs, l'UIT copréside le sous-groupe sur l'intelligence artificielle du Groupe de travail sur les technologies numériques, contribuant ainsi à la mise en œuvre du Pacte numérique mondial.</w:t>
      </w:r>
      <w:hyperlink r:id="rId300" w:history="1"/>
      <w:hyperlink r:id="rId301" w:history="1"/>
      <w:hyperlink r:id="rId302" w:history="1"/>
      <w:hyperlink r:id="rId303" w:history="1"/>
      <w:hyperlink r:id="rId304" w:history="1"/>
      <w:hyperlink r:id="rId305" w:history="1"/>
      <w:hyperlink r:id="rId306" w:history="1"/>
    </w:p>
    <w:p w14:paraId="5801B69F" w14:textId="77777777" w:rsidR="00A540D1" w:rsidRPr="007D4988" w:rsidRDefault="00A540D1" w:rsidP="00A540D1">
      <w:r w:rsidRPr="007D4988">
        <w:t>Pour ce qui est des tribunes multipartites, l'initiative sur l'</w:t>
      </w:r>
      <w:hyperlink r:id="rId307" w:anchor="/fr" w:history="1">
        <w:r w:rsidRPr="007D4988">
          <w:rPr>
            <w:rStyle w:val="Hyperlink"/>
            <w:rFonts w:eastAsia="Times New Roman" w:cs="Times New Roman"/>
            <w:szCs w:val="20"/>
          </w:rPr>
          <w:t>intelligence artificielle au service du bien social</w:t>
        </w:r>
      </w:hyperlink>
      <w:r w:rsidRPr="007D4988">
        <w:t xml:space="preserve"> demeure la principale plate-forme des Nations Unies orientée vers l'action qui permet de promouvoir des solutions fondées sur l'IA dans les domaines de la santé, de l'enseignement et de l'infrastructure et pour d'autres priorités de développement. Cette initiative est organisée par l'UIT en partenariat avec plus de 50 partenaires des Nations Unies et le Gouvernement de la Suisse. Le débat mondial sur la gouvernance a encore gagné en importance lors de la </w:t>
      </w:r>
      <w:hyperlink r:id="rId308" w:history="1">
        <w:r w:rsidRPr="007D4988">
          <w:rPr>
            <w:rStyle w:val="Hyperlink"/>
            <w:rFonts w:eastAsia="Times New Roman" w:cs="Times New Roman"/>
            <w:szCs w:val="20"/>
          </w:rPr>
          <w:t>Journée consacrée à la gouvernance de l'IA</w:t>
        </w:r>
      </w:hyperlink>
      <w:r w:rsidRPr="007D4988">
        <w:t xml:space="preserve"> dans le cadre du </w:t>
      </w:r>
      <w:hyperlink r:id="rId309" w:anchor="/fr" w:history="1">
        <w:r w:rsidRPr="007D4988">
          <w:rPr>
            <w:rStyle w:val="Hyperlink"/>
            <w:rFonts w:eastAsia="Times New Roman" w:cs="Times New Roman"/>
            <w:szCs w:val="20"/>
          </w:rPr>
          <w:t>Sommet mondial sur l'intelligence artificielle au service du bien social</w:t>
        </w:r>
      </w:hyperlink>
      <w:r w:rsidRPr="007D4988">
        <w:t xml:space="preserve">. Quant au </w:t>
      </w:r>
      <w:hyperlink r:id="rId310" w:history="1">
        <w:r w:rsidRPr="007D4988">
          <w:rPr>
            <w:rStyle w:val="Hyperlink"/>
            <w:rFonts w:eastAsia="Times New Roman" w:cs="Times New Roman"/>
            <w:szCs w:val="20"/>
          </w:rPr>
          <w:t>Forum annuel du SMSI</w:t>
        </w:r>
      </w:hyperlink>
      <w:r w:rsidRPr="007D4988">
        <w:t>, il s'agit d'un cadre multipartite permettant à la communauté des acteurs des TIC au service du développement au sens large d'étudier les défis qui se présentent et les possibilités à saisir dans le domaine des technologies émergentes, notamment l'IA dans le contexte du développement.</w:t>
      </w:r>
      <w:hyperlink r:id="rId311" w:history="1"/>
      <w:hyperlink r:id="rId312" w:history="1"/>
      <w:hyperlink r:id="rId313" w:history="1"/>
      <w:hyperlink r:id="rId314" w:history="1"/>
    </w:p>
    <w:p w14:paraId="54C7DD49" w14:textId="148440B4" w:rsidR="00A540D1" w:rsidRPr="007D4988" w:rsidRDefault="00A540D1" w:rsidP="00A540D1">
      <w:r w:rsidRPr="007D4988">
        <w:t xml:space="preserve">Pour plus d'informations sur les travaux de l'UIT sur l'intelligence artificielle et l'environnement, voir la </w:t>
      </w:r>
      <w:r w:rsidR="00D0612E" w:rsidRPr="007D4988">
        <w:t>section</w:t>
      </w:r>
      <w:r w:rsidRPr="007D4988">
        <w:t xml:space="preserve"> </w:t>
      </w:r>
      <w:hyperlink w:anchor="_4.4.2_Technologies_émergentes:" w:history="1">
        <w:r w:rsidR="00B07C64" w:rsidRPr="007D4988">
          <w:rPr>
            <w:rStyle w:val="Hyperlink"/>
            <w:rFonts w:eastAsia="Times New Roman" w:cs="Times New Roman"/>
            <w:szCs w:val="20"/>
          </w:rPr>
          <w:t>4.4</w:t>
        </w:r>
        <w:r w:rsidRPr="007D4988">
          <w:rPr>
            <w:rStyle w:val="Hyperlink"/>
            <w:rFonts w:eastAsia="Times New Roman" w:cs="Times New Roman"/>
            <w:szCs w:val="20"/>
          </w:rPr>
          <w:t>.2</w:t>
        </w:r>
      </w:hyperlink>
      <w:r w:rsidRPr="007D4988">
        <w:t xml:space="preserve"> ci-dessus.</w:t>
      </w:r>
      <w:hyperlink w:anchor="_3.2.2.__Sustainable" w:history="1"/>
    </w:p>
    <w:p w14:paraId="1281147C" w14:textId="77777777" w:rsidR="00A540D1" w:rsidRPr="007D4988" w:rsidRDefault="00A540D1" w:rsidP="00A540D1">
      <w:pPr>
        <w:pStyle w:val="Headingb"/>
      </w:pPr>
      <w:r w:rsidRPr="007D4988">
        <w:t>Informatique quantique</w:t>
      </w:r>
    </w:p>
    <w:p w14:paraId="7CFBA027" w14:textId="4AEE8481" w:rsidR="00A540D1" w:rsidRPr="007D4988" w:rsidRDefault="00A540D1" w:rsidP="00A540D1">
      <w:r w:rsidRPr="007D4988">
        <w:t xml:space="preserve">L'informatique quantique reste un domaine dans lequel les travaux de l'UIT se développent considérablement, ce qui témoigne de son incidence croissante sur les réseaux de communication futurs. La Commission d'études </w:t>
      </w:r>
      <w:hyperlink r:id="rId315" w:anchor="/fr" w:history="1">
        <w:r w:rsidRPr="007D4988">
          <w:rPr>
            <w:rStyle w:val="Hyperlink"/>
            <w:rFonts w:eastAsia="Times New Roman" w:cs="Times New Roman"/>
            <w:szCs w:val="20"/>
          </w:rPr>
          <w:t>11</w:t>
        </w:r>
      </w:hyperlink>
      <w:r w:rsidRPr="007D4988">
        <w:t xml:space="preserve">, la Commission d'études </w:t>
      </w:r>
      <w:hyperlink r:id="rId316" w:anchor="/fr" w:history="1">
        <w:r w:rsidRPr="007D4988">
          <w:rPr>
            <w:rStyle w:val="Hyperlink"/>
            <w:rFonts w:eastAsia="Times New Roman" w:cs="Times New Roman"/>
            <w:szCs w:val="20"/>
          </w:rPr>
          <w:t>13</w:t>
        </w:r>
      </w:hyperlink>
      <w:r w:rsidRPr="007D4988">
        <w:t xml:space="preserve"> et la Commission d'études </w:t>
      </w:r>
      <w:hyperlink r:id="rId317" w:anchor="/fr" w:history="1">
        <w:r w:rsidRPr="007D4988">
          <w:rPr>
            <w:rStyle w:val="Hyperlink"/>
            <w:rFonts w:eastAsia="Times New Roman" w:cs="Times New Roman"/>
            <w:szCs w:val="20"/>
          </w:rPr>
          <w:t>17</w:t>
        </w:r>
      </w:hyperlink>
      <w:r w:rsidRPr="007D4988">
        <w:t xml:space="preserve"> de l'UIT-T ont poursuivi l'élaboration de </w:t>
      </w:r>
      <w:r w:rsidR="003E1153" w:rsidRPr="007D4988">
        <w:t>R</w:t>
      </w:r>
      <w:r w:rsidRPr="007D4988">
        <w:t xml:space="preserve">ecommandations relatives à l'informatique quantique, et plus de trente nouvelles normes ont été adoptées depuis 2022, notamment la Recommandation </w:t>
      </w:r>
      <w:hyperlink r:id="rId318" w:history="1">
        <w:r w:rsidRPr="007D4988">
          <w:rPr>
            <w:rStyle w:val="Hyperlink"/>
            <w:rFonts w:eastAsia="Times New Roman" w:cs="Times New Roman"/>
            <w:szCs w:val="20"/>
          </w:rPr>
          <w:t>X.1715</w:t>
        </w:r>
      </w:hyperlink>
      <w:r w:rsidRPr="007D4988">
        <w:t xml:space="preserve"> et les Recommandations </w:t>
      </w:r>
      <w:hyperlink r:id="rId319" w:history="1">
        <w:r w:rsidRPr="007D4988">
          <w:rPr>
            <w:rStyle w:val="Hyperlink"/>
            <w:rFonts w:eastAsia="Times New Roman" w:cs="Times New Roman"/>
            <w:szCs w:val="20"/>
          </w:rPr>
          <w:t>Y.3809</w:t>
        </w:r>
      </w:hyperlink>
      <w:r w:rsidRPr="007D4988">
        <w:t xml:space="preserve"> à </w:t>
      </w:r>
      <w:hyperlink r:id="rId320" w:history="1">
        <w:r w:rsidRPr="007D4988">
          <w:rPr>
            <w:rStyle w:val="Hyperlink"/>
            <w:rFonts w:eastAsia="Times New Roman" w:cs="Times New Roman"/>
            <w:szCs w:val="20"/>
          </w:rPr>
          <w:t>Y.3814</w:t>
        </w:r>
      </w:hyperlink>
      <w:r w:rsidRPr="007D4988">
        <w:t>. À la suite de l'AMNT-24, le mandat de ces commissions d'études a été actualisé et étendu: la Commission d'études 11 a poursuivi ses études sur les architectures de signalisation et de commande pour les réseaux de distribution de clés quantiques (QKDN); la Commission d'études 13 a continué ses travaux sur les technologies de réseau quantiques; la Commission d'études 15 a entamé des études sur les exigences des réseaux de transport pour l'informatique quantique; et la Commission d'études 17 a continué de diriger les travaux sur la distribution de clés quantiques (QKD) et le chiffrement post-quantique. L'une des mesures prises à l'AMNT-24 a eu pour effet d'accroître la nécessité de la migration vers la cryptographie post-quantique (PQC) dans les réseaux de télécommunication.</w:t>
      </w:r>
      <w:hyperlink r:id="rId321" w:history="1"/>
      <w:hyperlink r:id="rId322" w:history="1"/>
      <w:hyperlink r:id="rId323" w:history="1"/>
      <w:hyperlink r:id="rId324" w:history="1"/>
      <w:hyperlink r:id="rId325" w:history="1"/>
      <w:hyperlink r:id="rId326" w:history="1"/>
    </w:p>
    <w:p w14:paraId="5C3BE077" w14:textId="77777777" w:rsidR="00A540D1" w:rsidRPr="007D4988" w:rsidRDefault="00A540D1" w:rsidP="00A540D1">
      <w:r w:rsidRPr="007D4988">
        <w:t>L'UIT-T compte aujourd'hui une cinquantaine de normes sur l'informatique quantique, et plus de 30 autres produits sont en cours d'élaboration. La coordination dans ce domaine en évolution rapide s'est poursuivie dans le cadre de l'</w:t>
      </w:r>
      <w:hyperlink r:id="rId327" w:history="1">
        <w:r w:rsidRPr="007D4988">
          <w:rPr>
            <w:rStyle w:val="Hyperlink"/>
            <w:rFonts w:eastAsia="Times New Roman" w:cs="Times New Roman"/>
            <w:szCs w:val="20"/>
          </w:rPr>
          <w:t>Activité conjointe de coordination sur les réseaux de distribution de clés quantiques (JCA-QKDN)</w:t>
        </w:r>
      </w:hyperlink>
      <w:r w:rsidRPr="007D4988">
        <w:t xml:space="preserve">, créée en janvier 2023 par le Groupe consultatif de la normalisation des télécommunications de l'UIT. La JCA-QKDN a tenu sa première réunion en mars 2023 et a poursuivi ses travaux dans le cadre d'une réunion de collaboration organisée à Singapour, en mai 2024, qui a permis d'obtenir des progrès dans la mise au point d'une </w:t>
      </w:r>
      <w:hyperlink r:id="rId328" w:history="1">
        <w:r w:rsidRPr="007D4988">
          <w:rPr>
            <w:rStyle w:val="Hyperlink"/>
            <w:rFonts w:eastAsia="Times New Roman" w:cs="Times New Roman"/>
            <w:szCs w:val="20"/>
          </w:rPr>
          <w:t>base de données complète sur les normes liées à l'informatique quantique</w:t>
        </w:r>
      </w:hyperlink>
      <w:r w:rsidRPr="007D4988">
        <w:t>.</w:t>
      </w:r>
      <w:hyperlink r:id="rId329" w:history="1"/>
      <w:hyperlink r:id="rId330" w:history="1"/>
      <w:hyperlink r:id="rId331" w:history="1"/>
    </w:p>
    <w:p w14:paraId="001F2F71" w14:textId="77777777" w:rsidR="00A540D1" w:rsidRPr="007D4988" w:rsidRDefault="00A540D1" w:rsidP="00A540D1">
      <w:r w:rsidRPr="007D4988">
        <w:t xml:space="preserve">Au niveau mondial, l'Assemblée générale des Nations Unies a adopté, en juin 2024, la Résolution </w:t>
      </w:r>
      <w:hyperlink r:id="rId332" w:history="1">
        <w:r w:rsidRPr="007D4988">
          <w:rPr>
            <w:rStyle w:val="Hyperlink"/>
            <w:rFonts w:eastAsia="Times New Roman" w:cs="Times New Roman"/>
            <w:szCs w:val="20"/>
          </w:rPr>
          <w:t>78/287</w:t>
        </w:r>
      </w:hyperlink>
      <w:r w:rsidRPr="007D4988">
        <w:t xml:space="preserve"> faisant de 2025 l'année internationale des sciences et des technologies quantiques (AIQ). L'UIT a joué un rôle central dans le Comité directeur de l'AIQ, contribuant aux activités de mise en œuvre, de sensibilisation et aux manifestations mondiales. Dans ce contexte, l'Initiative "</w:t>
      </w:r>
      <w:hyperlink r:id="rId333" w:anchor="/fr" w:history="1">
        <w:r w:rsidRPr="007D4988">
          <w:rPr>
            <w:rStyle w:val="Hyperlink"/>
            <w:rFonts w:eastAsia="Times New Roman" w:cs="Times New Roman"/>
            <w:szCs w:val="20"/>
          </w:rPr>
          <w:t>Quantum for Good</w:t>
        </w:r>
      </w:hyperlink>
      <w:r w:rsidRPr="007D4988">
        <w:t xml:space="preserve">" (L'informatique quantique au service du bien social) a vu le jour; de portée mondiale, elle entend produire des retombées durables pour tous et vise à aligner l'innovation quantique sur les Objectifs de développement durable fixés par l'ONU. Elle s'articule autour de trois grands piliers: la réduction de la fracture quantique, le leadership du secteur privé et les normes, ainsi que le renforcement de la coopération mondiale dans le domaine des technologies quantiques. Cette initiative est intégrée au Sommet annuel sur l'intelligence artificielle au service du bien social et vient s'ajouter à d'autres activités liées à l'AIQ depuis 2025, notamment la </w:t>
      </w:r>
      <w:hyperlink r:id="rId334" w:anchor="/fr" w:history="1">
        <w:r w:rsidRPr="007D4988">
          <w:rPr>
            <w:rStyle w:val="Hyperlink"/>
            <w:rFonts w:eastAsia="Times New Roman" w:cs="Times New Roman"/>
            <w:szCs w:val="20"/>
          </w:rPr>
          <w:t>série de webinaires "Quantum World Tour"</w:t>
        </w:r>
      </w:hyperlink>
      <w:r w:rsidRPr="007D4988">
        <w:t xml:space="preserve">, qui présente les écosystèmes quantiques à travers le monde, et le </w:t>
      </w:r>
      <w:hyperlink r:id="rId335" w:history="1">
        <w:r w:rsidRPr="007D4988">
          <w:rPr>
            <w:rStyle w:val="Hyperlink"/>
            <w:rFonts w:eastAsia="Times New Roman" w:cs="Times New Roman"/>
            <w:szCs w:val="20"/>
          </w:rPr>
          <w:t>cours en ligne sur l'informatique quantique pour tous</w:t>
        </w:r>
      </w:hyperlink>
      <w:r w:rsidRPr="007D4988">
        <w:t xml:space="preserve">, élaboré en partenariat avec le Centre international de calcul des Nations Unies (UNICC) et Quantum Delta NL dans un objectif de renforcement des capacités. L'une des grandes priorités de ces activités a notamment été de mobiliser les jeunes, par exemple au moyen de hackathons tels que le </w:t>
      </w:r>
      <w:hyperlink r:id="rId336" w:anchor="/fr" w:history="1">
        <w:r w:rsidRPr="007D4988">
          <w:rPr>
            <w:rStyle w:val="Hyperlink"/>
            <w:rFonts w:eastAsia="Times New Roman" w:cs="Times New Roman"/>
            <w:szCs w:val="20"/>
          </w:rPr>
          <w:t>Hackathon 2025 des dirigeants de l'informatique quantique de demain</w:t>
        </w:r>
      </w:hyperlink>
      <w:r w:rsidRPr="007D4988">
        <w:t>, qui a permis à de jeunes innovateurs d'appliquer les technologies quantiques à des problèmes concrets.</w:t>
      </w:r>
      <w:hyperlink r:id="rId337" w:history="1"/>
      <w:hyperlink r:id="rId338" w:history="1"/>
      <w:hyperlink r:id="rId339" w:tooltip="https://aiforgood.itu.int/search-result-programme/?keyword=&amp;category=802&amp;event-venue=&amp;enddate=&amp;startdate=" w:history="1"/>
      <w:hyperlink r:id="rId340" w:tooltip="https://www.quantum-course.com/" w:history="1"/>
      <w:hyperlink r:id="rId341" w:history="1"/>
    </w:p>
    <w:p w14:paraId="476BBF58" w14:textId="77777777" w:rsidR="00A540D1" w:rsidRPr="007D4988" w:rsidRDefault="00A540D1" w:rsidP="00A540D1">
      <w:pPr>
        <w:pStyle w:val="Headingb"/>
      </w:pPr>
      <w:r w:rsidRPr="007D4988">
        <w:t>Métavers et métavilles</w:t>
      </w:r>
    </w:p>
    <w:p w14:paraId="0B985CC7" w14:textId="77777777" w:rsidR="00A540D1" w:rsidRPr="007D4988" w:rsidRDefault="00A540D1" w:rsidP="00A540D1">
      <w:r w:rsidRPr="007D4988">
        <w:t xml:space="preserve">L'essor rapide des mondes virtuels et des technologies liées au </w:t>
      </w:r>
      <w:hyperlink r:id="rId342" w:history="1">
        <w:r w:rsidRPr="007D4988">
          <w:rPr>
            <w:rStyle w:val="Hyperlink"/>
            <w:rFonts w:eastAsia="Times New Roman" w:cs="Times New Roman"/>
            <w:szCs w:val="20"/>
          </w:rPr>
          <w:t>métavers</w:t>
        </w:r>
      </w:hyperlink>
      <w:r w:rsidRPr="007D4988">
        <w:t xml:space="preserve"> a amené l'UIT à étudier les exigences fondamentales pour les futures normes internationales. Créé par le Groupe consultatif de la normalisation des télécommunications de l'UIT en décembre 2022, le </w:t>
      </w:r>
      <w:hyperlink r:id="rId343" w:anchor="/fr" w:history="1">
        <w:r w:rsidRPr="007D4988">
          <w:rPr>
            <w:rStyle w:val="Hyperlink"/>
            <w:rFonts w:eastAsia="Times New Roman" w:cs="Times New Roman"/>
            <w:szCs w:val="20"/>
          </w:rPr>
          <w:t>Groupe spécialisé sur le métavers (FG-MV)</w:t>
        </w:r>
      </w:hyperlink>
      <w:r w:rsidRPr="007D4988">
        <w:t xml:space="preserve"> a procédé à une analyse approfondie des spécifications techniques et des technologies de base; sa première réunion, tenue en mars 2023, a rassemblé plus de 650 participants. Il a en outre tiré parti de cinq éditions du </w:t>
      </w:r>
      <w:hyperlink r:id="rId344" w:history="1">
        <w:r w:rsidRPr="007D4988">
          <w:rPr>
            <w:rStyle w:val="Hyperlink"/>
            <w:rFonts w:eastAsia="Times New Roman" w:cs="Times New Roman"/>
            <w:szCs w:val="20"/>
          </w:rPr>
          <w:t>Forum de l'UIT sur le métavers</w:t>
        </w:r>
      </w:hyperlink>
      <w:r w:rsidRPr="007D4988">
        <w:t>, qui ont réuni plus de 14 500 participants venus réfléchir aux difficultés et aux perspectives dans ce domaine.</w:t>
      </w:r>
      <w:hyperlink r:id="rId345" w:history="1"/>
      <w:hyperlink r:id="rId346" w:history="1"/>
      <w:hyperlink r:id="rId347" w:history="1"/>
    </w:p>
    <w:p w14:paraId="6F2BFCEE" w14:textId="1C5C5E04" w:rsidR="00A540D1" w:rsidRPr="007D4988" w:rsidRDefault="00A540D1" w:rsidP="00A540D1">
      <w:r w:rsidRPr="007D4988">
        <w:t xml:space="preserve">Le </w:t>
      </w:r>
      <w:hyperlink r:id="rId348" w:history="1">
        <w:r w:rsidRPr="007D4988">
          <w:rPr>
            <w:rStyle w:val="Hyperlink"/>
            <w:rFonts w:eastAsia="Times New Roman" w:cs="Times New Roman"/>
            <w:szCs w:val="20"/>
          </w:rPr>
          <w:t>Groupe FG-MV</w:t>
        </w:r>
      </w:hyperlink>
      <w:r w:rsidRPr="007D4988">
        <w:t xml:space="preserve"> est arrivé au terme de son programme de travail en juin 2024, avec</w:t>
      </w:r>
      <w:r w:rsidR="00E44327" w:rsidRPr="007D4988">
        <w:t> </w:t>
      </w:r>
      <w:r w:rsidRPr="007D4988">
        <w:t>52 produits élaborés. Ces produits comprennent une définition du métavers, une feuille de route pour la normalisation et des études sur l'application de l'IA générative dans les mondes virtuels, les concepts de métaville, l'interopérabilité des plates-formes, la confiance et la sécurité, l'accessibilité, l'efficacité énergétique, les considérations de politique générale, les jumeaux numériques et les cas d'utilisation du métavers dans le contexte des villes et des environnements industriels.</w:t>
      </w:r>
    </w:p>
    <w:p w14:paraId="059330F9" w14:textId="77777777" w:rsidR="00A540D1" w:rsidRPr="007D4988" w:rsidRDefault="00A540D1" w:rsidP="00A540D1">
      <w:r w:rsidRPr="007D4988">
        <w:t>Les travaux du Groupe spécialisé ont été repris, avec de bons résultats, par certaines commissions d'études de l'UIT-T, notamment la Commission d'études 20 de l'UIT-T, qui a élaboré des normes sur les jumeaux numériques pour le métavers.</w:t>
      </w:r>
    </w:p>
    <w:p w14:paraId="7ACA7355" w14:textId="77777777" w:rsidR="00A540D1" w:rsidRPr="007D4988" w:rsidRDefault="00A540D1" w:rsidP="00A540D1">
      <w:r w:rsidRPr="007D4988">
        <w:t>Après la clôture des travaux du Groupe spécialisé, une nouvelle initiative sur les mondes virtuels et l'intelligence artificielle a été mise en place, afin de fournir une plate-forme pour développer des métavilles interopérables et sûres.</w:t>
      </w:r>
    </w:p>
    <w:p w14:paraId="43B76A88" w14:textId="77777777" w:rsidR="00A540D1" w:rsidRPr="007D4988" w:rsidRDefault="00A540D1" w:rsidP="00A540D1">
      <w:r w:rsidRPr="007D4988">
        <w:t>Sur la base de ces travaux, l'UIT a coorganisé la manifestation "</w:t>
      </w:r>
      <w:hyperlink r:id="rId349" w:history="1">
        <w:r w:rsidRPr="007D4988">
          <w:rPr>
            <w:rStyle w:val="Hyperlink"/>
            <w:rFonts w:eastAsia="Times New Roman" w:cs="Times New Roman"/>
            <w:szCs w:val="20"/>
          </w:rPr>
          <w:t>Think-a-Thon</w:t>
        </w:r>
      </w:hyperlink>
      <w:r w:rsidRPr="007D4988">
        <w:t xml:space="preserve">" 2024 sur le métavers avec le Centre international de calcul des Nations Unies, la FAO et l'Agence internationale de l'énergie atomique, un défi lancé aux étudiants et jeunes diplômés concernant la conception de solutions de simulation virtuelle pour résoudre des problèmes d'ampleur mondiale dans les domaines de l'éducation, de la préparation aux catastrophes, de la résolution de conflits et du développement urbain durable. Temps fort de la manifestation, les équipes gagnantes ont été récompensées à l'occasion de la </w:t>
      </w:r>
      <w:hyperlink r:id="rId350" w:anchor="/fr" w:history="1">
        <w:r w:rsidRPr="007D4988">
          <w:rPr>
            <w:rStyle w:val="Hyperlink"/>
            <w:rFonts w:eastAsia="Times New Roman" w:cs="Times New Roman"/>
            <w:szCs w:val="20"/>
          </w:rPr>
          <w:t>Journée des mondes virtuels des Nations Unies</w:t>
        </w:r>
      </w:hyperlink>
      <w:r w:rsidRPr="007D4988">
        <w:t xml:space="preserve">. L'UIT a également coordonné, avec une quinzaine de partenaires, les préparatifs et le lancement de la </w:t>
      </w:r>
      <w:hyperlink r:id="rId351" w:history="1">
        <w:r w:rsidRPr="007D4988">
          <w:rPr>
            <w:rStyle w:val="Hyperlink"/>
            <w:rFonts w:eastAsia="Times New Roman" w:cs="Times New Roman"/>
            <w:szCs w:val="20"/>
          </w:rPr>
          <w:t>première édition du Défi des Nations Unies pour les métavilles</w:t>
        </w:r>
      </w:hyperlink>
      <w:r w:rsidRPr="007D4988">
        <w:t>, qui s'est ouvert en février 2025. Le défi s'est achevé avec l'élaboration et la consécration de solutions innovantes fondées sur les métavilles qui concernent la prestation de services publics, la durabilité et le tourisme et mettent en évidence des moyens pratiques permettant aux villes de tirer parti des mondes virtuels en tant qu'infrastructure publique numérique; l'équipe DataLab, lauréate de la catégorie étudiants, a été récompensée pour sa contribution exceptionnelle, et l'équipe WEO, lauréate de la catégorie start-up, a été récompensée pour sa solution innovante et modulable.</w:t>
      </w:r>
      <w:hyperlink r:id="rId352" w:history="1"/>
      <w:hyperlink r:id="rId353" w:history="1"/>
      <w:hyperlink r:id="rId354" w:history="1"/>
    </w:p>
    <w:p w14:paraId="6E7EB78C" w14:textId="77777777" w:rsidR="00A540D1" w:rsidRPr="007D4988" w:rsidRDefault="00A540D1" w:rsidP="00A540D1">
      <w:r w:rsidRPr="007D4988">
        <w:t>Parallèlement, l'UIT et 16 institutions des Nations Unies ont publié, en juin 2024, la première </w:t>
      </w:r>
      <w:hyperlink r:id="rId355" w:anchor="p=1" w:history="1">
        <w:r w:rsidRPr="007D4988">
          <w:rPr>
            <w:rStyle w:val="Hyperlink"/>
            <w:rFonts w:eastAsia="Times New Roman" w:cs="Times New Roman"/>
            <w:szCs w:val="20"/>
          </w:rPr>
          <w:t>note d'information des Nations Unies sur la mise à profit du potentiel des mondes virtuels et du métavers pour la réalisation des ODD</w:t>
        </w:r>
      </w:hyperlink>
      <w:r w:rsidRPr="007D4988">
        <w:t>, soulignant le potentiel de transformation de ces technologies ainsi que la nécessité d'adopter des normes internationales et de tendre vers un développement responsable.</w:t>
      </w:r>
    </w:p>
    <w:p w14:paraId="0E547564" w14:textId="77777777" w:rsidR="00A540D1" w:rsidRPr="007D4988" w:rsidRDefault="00A540D1" w:rsidP="00A540D1">
      <w:pPr>
        <w:pStyle w:val="Headingb"/>
      </w:pPr>
      <w:r w:rsidRPr="007D4988">
        <w:t>Internet des objets (IoT), jumeaux numériques et villes intelligentes et durables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6"/>
        <w:gridCol w:w="2657"/>
        <w:gridCol w:w="4295"/>
        <w:gridCol w:w="13"/>
      </w:tblGrid>
      <w:tr w:rsidR="00A540D1" w:rsidRPr="007D4988" w14:paraId="76CB1629" w14:textId="77777777" w:rsidTr="00E23B2E">
        <w:trPr>
          <w:gridAfter w:val="1"/>
          <w:wAfter w:w="10" w:type="dxa"/>
        </w:trPr>
        <w:tc>
          <w:tcPr>
            <w:tcW w:w="9061" w:type="dxa"/>
            <w:gridSpan w:val="3"/>
          </w:tcPr>
          <w:p w14:paraId="592836CC" w14:textId="31F2B260" w:rsidR="00A540D1" w:rsidRPr="007D4988" w:rsidRDefault="00A540D1" w:rsidP="00E23B2E">
            <w:pPr>
              <w:ind w:left="-109"/>
            </w:pPr>
            <w:r w:rsidRPr="007D4988">
              <w:t>Les travaux sur l'Internet des objets (</w:t>
            </w:r>
            <w:hyperlink r:id="rId356" w:history="1">
              <w:r w:rsidRPr="007D4988">
                <w:rPr>
                  <w:rStyle w:val="Hyperlink"/>
                </w:rPr>
                <w:t>IoT</w:t>
              </w:r>
            </w:hyperlink>
            <w:r w:rsidRPr="007D4988">
              <w:t xml:space="preserve">), les jumeaux numériques et les villes intelligentes et durables demeurent un volet essentiel des activités de l'UIT sur les technologies émergentes. La Commission d'études </w:t>
            </w:r>
            <w:hyperlink r:id="rId357" w:anchor="/fr" w:history="1">
              <w:r w:rsidRPr="007D4988">
                <w:rPr>
                  <w:rStyle w:val="Hyperlink"/>
                </w:rPr>
                <w:t>20</w:t>
              </w:r>
            </w:hyperlink>
            <w:r w:rsidRPr="007D4988">
              <w:t xml:space="preserve"> de l'UIT-T a continué d'élaborer des normes de portée mondiale concernant les technologies de l'IoT interopérables, les écosystèmes de mégadonnées et la transformation numérique à l'appui des villes et communautés intelligentes et durables. Ces efforts favorisent l'innovation à l'échelle des villes, les flux de données sécurisés et l'efficacité des systèmes urbains.</w:t>
            </w:r>
          </w:p>
        </w:tc>
      </w:tr>
      <w:tr w:rsidR="00A540D1" w:rsidRPr="007D4988" w14:paraId="73A7BE1E" w14:textId="77777777" w:rsidTr="00E23B2E">
        <w:trPr>
          <w:gridAfter w:val="1"/>
          <w:wAfter w:w="10" w:type="dxa"/>
        </w:trPr>
        <w:tc>
          <w:tcPr>
            <w:tcW w:w="2122" w:type="dxa"/>
          </w:tcPr>
          <w:p w14:paraId="681E0BDE" w14:textId="77777777" w:rsidR="00A540D1" w:rsidRPr="007D4988" w:rsidRDefault="00A540D1" w:rsidP="00E23B2E">
            <w:pPr>
              <w:ind w:left="-109"/>
            </w:pPr>
            <w:r w:rsidRPr="007D4988">
              <w:rPr>
                <w:rFonts w:eastAsia="MS Mincho"/>
                <w:noProof/>
                <w:sz w:val="22"/>
              </w:rPr>
              <w:drawing>
                <wp:inline distT="0" distB="0" distL="0" distR="0" wp14:anchorId="5235C978" wp14:editId="747EE286">
                  <wp:extent cx="1149345" cy="1626873"/>
                  <wp:effectExtent l="19050" t="19050" r="13335" b="11430"/>
                  <wp:docPr id="634508962" name="Picture 2" descr="A cover of a book&#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8">
                            <a:extLst>
                              <a:ext uri="{28A0092B-C50C-407E-A947-70E740481C1C}">
                                <a14:useLocalDpi xmlns:a14="http://schemas.microsoft.com/office/drawing/2010/main" val="0"/>
                              </a:ext>
                            </a:extLst>
                          </a:blip>
                          <a:srcRect/>
                          <a:stretch>
                            <a:fillRect/>
                          </a:stretch>
                        </pic:blipFill>
                        <pic:spPr>
                          <a:xfrm>
                            <a:off x="0" y="0"/>
                            <a:ext cx="1149345" cy="1626873"/>
                          </a:xfrm>
                          <a:prstGeom prst="rect">
                            <a:avLst/>
                          </a:prstGeom>
                          <a:noFill/>
                          <a:ln w="3172">
                            <a:solidFill>
                              <a:srgbClr val="000000"/>
                            </a:solidFill>
                            <a:prstDash val="solid"/>
                          </a:ln>
                        </pic:spPr>
                      </pic:pic>
                    </a:graphicData>
                  </a:graphic>
                </wp:inline>
              </w:drawing>
            </w:r>
          </w:p>
        </w:tc>
        <w:tc>
          <w:tcPr>
            <w:tcW w:w="6939" w:type="dxa"/>
            <w:gridSpan w:val="2"/>
          </w:tcPr>
          <w:p w14:paraId="63BA2FEB" w14:textId="77777777" w:rsidR="00A540D1" w:rsidRPr="007D4988" w:rsidRDefault="00A540D1" w:rsidP="00E23B2E">
            <w:pPr>
              <w:suppressAutoHyphens/>
              <w:spacing w:after="120"/>
              <w:ind w:left="-109"/>
              <w:rPr>
                <w:rFonts w:eastAsia="MS Mincho"/>
                <w:sz w:val="22"/>
              </w:rPr>
            </w:pPr>
            <w:r w:rsidRPr="007D4988">
              <w:t xml:space="preserve">On pourra également se reporter à ce sujet à la </w:t>
            </w:r>
            <w:hyperlink r:id="rId359" w:anchor="/fr" w:history="1">
              <w:r w:rsidRPr="007D4988">
                <w:rPr>
                  <w:rStyle w:val="Hyperlink"/>
                </w:rPr>
                <w:t>page d'accueil de la Commission d'études 20 de l'UIT-T</w:t>
              </w:r>
            </w:hyperlink>
            <w:r w:rsidRPr="007D4988">
              <w:t xml:space="preserve"> et à sa la </w:t>
            </w:r>
            <w:hyperlink r:id="rId360" w:history="1">
              <w:r w:rsidRPr="007D4988">
                <w:rPr>
                  <w:rStyle w:val="Hyperlink"/>
                </w:rPr>
                <w:t>liste de Recommandations</w:t>
              </w:r>
            </w:hyperlink>
            <w:r w:rsidRPr="007D4988">
              <w:t>.</w:t>
            </w:r>
            <w:hyperlink r:id="rId361" w:history="1"/>
            <w:hyperlink r:id="rId362" w:history="1"/>
          </w:p>
          <w:p w14:paraId="78CD3644" w14:textId="77777777" w:rsidR="00A540D1" w:rsidRPr="007D4988" w:rsidRDefault="00A540D1" w:rsidP="00E23B2E">
            <w:pPr>
              <w:ind w:left="-109"/>
            </w:pPr>
            <w:r w:rsidRPr="007D4988">
              <w:t>L'</w:t>
            </w:r>
            <w:hyperlink r:id="rId363" w:anchor="/fr" w:history="1">
              <w:r w:rsidRPr="007D4988">
                <w:rPr>
                  <w:rStyle w:val="Hyperlink"/>
                </w:rPr>
                <w:t>Initiative U4SSC</w:t>
              </w:r>
            </w:hyperlink>
            <w:r w:rsidRPr="007D4988">
              <w:t xml:space="preserve"> complète ces travaux dans la mesure où elle soutient les infrastructures publiques numériques, les plates-formes urbaines et l'ensemble de la transformation numérique dans les villes centrées sur l'humain. Grâce à ses outils, ses cadres et ses groupes de travail thématiques, elle fournit des orientations pratiques pour aider les villes à mettre en œuvre des solutions numériques fondées sur des normes, interopérables et inclusives qui favorisent la durabilité, la résilience et les services urbains axés sur les citoyens.</w:t>
            </w:r>
          </w:p>
        </w:tc>
      </w:tr>
      <w:tr w:rsidR="00A540D1" w:rsidRPr="007D4988" w14:paraId="26D4A27A" w14:textId="77777777" w:rsidTr="00E23B2E">
        <w:tc>
          <w:tcPr>
            <w:tcW w:w="4962" w:type="dxa"/>
            <w:gridSpan w:val="2"/>
          </w:tcPr>
          <w:p w14:paraId="05358900" w14:textId="77777777" w:rsidR="00A540D1" w:rsidRPr="007D4988" w:rsidRDefault="00A540D1" w:rsidP="00E23B2E">
            <w:pPr>
              <w:ind w:left="-109"/>
            </w:pPr>
            <w:r w:rsidRPr="007D4988">
              <w:t xml:space="preserve">Pour promouvoir une transformation numérique centrée sur l'humain, l'UIT a élaboré, en collaboration avec 11 entités des Nations Unies, un </w:t>
            </w:r>
            <w:hyperlink r:id="rId364" w:anchor="/fr" w:history="1">
              <w:r w:rsidRPr="007D4988">
                <w:rPr>
                  <w:rStyle w:val="Hyperlink"/>
                </w:rPr>
                <w:t>kit pratique sur la transformation numérique des villes et des communautés centrées sur la population</w:t>
              </w:r>
            </w:hyperlink>
            <w:r w:rsidRPr="007D4988">
              <w:t>, afin d'aider les villes et les autorités locales à s'adapter au changement numérique. Ce kit pratique rassemble des normes internationales et des orientations, les études et projections les plus récentes ainsi que des rapports à la pointe sur divers thèmes d'actualité en rapport avec la transformation numérique des villes et des communautés.</w:t>
            </w:r>
          </w:p>
        </w:tc>
        <w:tc>
          <w:tcPr>
            <w:tcW w:w="4109" w:type="dxa"/>
            <w:gridSpan w:val="2"/>
          </w:tcPr>
          <w:p w14:paraId="71D58177" w14:textId="77777777" w:rsidR="00A540D1" w:rsidRPr="007D4988" w:rsidRDefault="00A540D1" w:rsidP="00E23B2E">
            <w:pPr>
              <w:ind w:left="-109"/>
            </w:pPr>
            <w:r w:rsidRPr="007D4988">
              <w:rPr>
                <w:rFonts w:eastAsia="MS Mincho"/>
                <w:noProof/>
                <w:sz w:val="22"/>
              </w:rPr>
              <w:drawing>
                <wp:inline distT="0" distB="0" distL="0" distR="0" wp14:anchorId="42C51807" wp14:editId="325D8589">
                  <wp:extent cx="2659319" cy="1760562"/>
                  <wp:effectExtent l="0" t="0" r="8255" b="0"/>
                  <wp:docPr id="1125331832" name="Picture 1" descr="A screenshot of a cellphon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5">
                            <a:extLst>
                              <a:ext uri="{28A0092B-C50C-407E-A947-70E740481C1C}">
                                <a14:useLocalDpi xmlns:a14="http://schemas.microsoft.com/office/drawing/2010/main" val="0"/>
                              </a:ext>
                            </a:extLst>
                          </a:blip>
                          <a:stretch>
                            <a:fillRect/>
                          </a:stretch>
                        </pic:blipFill>
                        <pic:spPr>
                          <a:xfrm>
                            <a:off x="0" y="0"/>
                            <a:ext cx="2668494" cy="1766636"/>
                          </a:xfrm>
                          <a:prstGeom prst="rect">
                            <a:avLst/>
                          </a:prstGeom>
                          <a:noFill/>
                          <a:ln>
                            <a:noFill/>
                            <a:prstDash/>
                          </a:ln>
                        </pic:spPr>
                      </pic:pic>
                    </a:graphicData>
                  </a:graphic>
                </wp:inline>
              </w:drawing>
            </w:r>
          </w:p>
        </w:tc>
      </w:tr>
    </w:tbl>
    <w:p w14:paraId="4669D9B1" w14:textId="77777777" w:rsidR="00A540D1" w:rsidRPr="007D4988" w:rsidRDefault="00A540D1" w:rsidP="00A540D1">
      <w:pPr>
        <w:rPr>
          <w:rFonts w:eastAsia="MS Mincho"/>
          <w:sz w:val="22"/>
        </w:rPr>
      </w:pPr>
      <w:r w:rsidRPr="007D4988">
        <w:t xml:space="preserve">Avec d'autres organisations et institutions des Nations Unies, l'UIT a organisé les </w:t>
      </w:r>
      <w:hyperlink r:id="rId366" w:anchor="/fr" w:history="1">
        <w:r w:rsidRPr="007D4988">
          <w:rPr>
            <w:rStyle w:val="Hyperlink"/>
            <w:rFonts w:eastAsia="Times New Roman" w:cs="Times New Roman"/>
            <w:szCs w:val="20"/>
          </w:rPr>
          <w:t>Dialogues sur la transformation numérique (DTD)</w:t>
        </w:r>
      </w:hyperlink>
      <w:r w:rsidRPr="007D4988">
        <w:t>, une plate-forme qui permet de mieux comprendre les façons dont les technologies émergentes peuvent remodeler les processus traditionnels, améliorer l'efficacité opérationnelle et ouvrir des perspectives en matière d'innovation et de normalisation. Ces dialogues portent sur des thèmes en constante évolution liés à la transformation numérique, encouragent la coopération entre les acteurs des villes et servent à examiner le rôle des normes internationales dans ce domaine. Grâce à des webinaires, des discussions informelles et des séances de questions aux experts, ils mettent en lumière les réalisations et les travaux les plus récents des groupes spécialisés de l'UIT-T, d'initiatives et des commissions d'études de l'UIT-T.</w:t>
      </w:r>
      <w:hyperlink r:id="rId367" w:history="1"/>
    </w:p>
    <w:p w14:paraId="65D13E0E" w14:textId="77777777" w:rsidR="00A540D1" w:rsidRPr="007D4988" w:rsidRDefault="00A540D1" w:rsidP="00A540D1">
      <w:r w:rsidRPr="007D4988">
        <w:t xml:space="preserve">La diffusion des connaissances dans ce domaine a encore été renforcée par la publication à intervalles réguliers du </w:t>
      </w:r>
      <w:hyperlink r:id="rId368" w:anchor="/fr" w:history="1">
        <w:r w:rsidRPr="007D4988">
          <w:rPr>
            <w:rStyle w:val="Hyperlink"/>
            <w:rFonts w:eastAsia="Times New Roman" w:cs="Times New Roman"/>
            <w:szCs w:val="20"/>
          </w:rPr>
          <w:t>Résumé de l'actualité sur la transformation numérique et les villes</w:t>
        </w:r>
      </w:hyperlink>
      <w:r w:rsidRPr="007D4988">
        <w:t>, qui rassemble des réflexions, des évolutions et des nouveautés liées à la transformation numérique et aux villes intelligentes, et qui est mis à la disposition du public sur une plate</w:t>
      </w:r>
      <w:r w:rsidRPr="007D4988">
        <w:noBreakHyphen/>
        <w:t>forme spéciale en ligne.</w:t>
      </w:r>
    </w:p>
    <w:p w14:paraId="2746885D" w14:textId="77777777" w:rsidR="00A540D1" w:rsidRPr="007D4988" w:rsidRDefault="00A540D1" w:rsidP="00A540D1">
      <w:pPr>
        <w:pStyle w:val="Heading2"/>
        <w:rPr>
          <w:rFonts w:eastAsia="MS Mincho"/>
        </w:rPr>
      </w:pPr>
      <w:bookmarkStart w:id="76" w:name="_Toc224288816"/>
      <w:bookmarkStart w:id="77" w:name="_Toc225488893"/>
      <w:r w:rsidRPr="007D4988">
        <w:t>4.5</w:t>
      </w:r>
      <w:r w:rsidRPr="007D4988">
        <w:tab/>
        <w:t>Fourniture de données et de statistiques</w:t>
      </w:r>
      <w:bookmarkEnd w:id="76"/>
      <w:bookmarkEnd w:id="77"/>
    </w:p>
    <w:p w14:paraId="57EA1321" w14:textId="77777777" w:rsidR="00A540D1" w:rsidRPr="007D4988" w:rsidRDefault="00A540D1" w:rsidP="00E44327">
      <w:pPr>
        <w:keepLines/>
        <w:rPr>
          <w:rFonts w:eastAsia="SimSun" w:cs="Arial"/>
          <w:kern w:val="3"/>
          <w:sz w:val="22"/>
          <w:szCs w:val="22"/>
        </w:rPr>
      </w:pPr>
      <w:r w:rsidRPr="007D4988">
        <w:t xml:space="preserve">L'UIT est à l'avant-garde des activités mondiales liées aux statistiques sur les TIC dans la mesure où elle fournit les données factuelles nécessaires à une connectivité universelle et efficace et à une transformation numérique durable. Ses activités statistiques couvrent la totalité du cycle de vie des données, la majeure partie de ce travail étant effectué par la </w:t>
      </w:r>
      <w:hyperlink r:id="rId369" w:history="1">
        <w:r w:rsidRPr="007D4988">
          <w:rPr>
            <w:rStyle w:val="Hyperlink"/>
            <w:rFonts w:eastAsia="Times New Roman" w:cs="Times New Roman"/>
            <w:szCs w:val="20"/>
          </w:rPr>
          <w:t>Division des données et des analyses sur les TIC</w:t>
        </w:r>
      </w:hyperlink>
      <w:r w:rsidRPr="007D4988">
        <w:t>, qui relève du Département de la société de connaissances numériques de l'UIT-D.</w:t>
      </w:r>
      <w:hyperlink r:id="rId370" w:history="1"/>
    </w:p>
    <w:p w14:paraId="49ECAD6F" w14:textId="77777777" w:rsidR="00A540D1" w:rsidRPr="007D4988" w:rsidRDefault="00A540D1" w:rsidP="00A540D1">
      <w:pPr>
        <w:pStyle w:val="enumlev1"/>
        <w:rPr>
          <w:rFonts w:eastAsia="SimSun" w:cs="Arial"/>
          <w:kern w:val="3"/>
          <w:sz w:val="22"/>
          <w:szCs w:val="22"/>
        </w:rPr>
      </w:pPr>
      <w:r w:rsidRPr="007D4988">
        <w:t>•</w:t>
      </w:r>
      <w:r w:rsidRPr="007D4988">
        <w:tab/>
      </w:r>
      <w:r w:rsidRPr="007D4988">
        <w:rPr>
          <w:b/>
          <w:bCs/>
        </w:rPr>
        <w:t>Normes statistiques</w:t>
      </w:r>
      <w:r w:rsidRPr="007D4988">
        <w:t xml:space="preserve">: l'UIT définit et met à jour des </w:t>
      </w:r>
      <w:hyperlink r:id="rId371" w:history="1">
        <w:r w:rsidRPr="007D4988">
          <w:rPr>
            <w:rStyle w:val="Hyperlink"/>
            <w:rFonts w:eastAsia="Times New Roman" w:cs="Times New Roman"/>
            <w:szCs w:val="20"/>
          </w:rPr>
          <w:t>normes statistiques</w:t>
        </w:r>
      </w:hyperlink>
      <w:r w:rsidRPr="007D4988">
        <w:t xml:space="preserve"> internationales pour les indicateurs TIC par l'intermédiaire du Groupe d'experts sur les indicateurs des télécommunications/TIC (EGTI) et du Groupe d'experts sur les indicateurs relatifs à l'utilisation des TIC par les ménages (EGH).</w:t>
      </w:r>
      <w:hyperlink r:id="rId372" w:history="1"/>
    </w:p>
    <w:p w14:paraId="17C64A00" w14:textId="77777777" w:rsidR="00A540D1" w:rsidRPr="007D4988" w:rsidRDefault="00A540D1" w:rsidP="00B02520">
      <w:pPr>
        <w:pStyle w:val="enumlev1"/>
        <w:rPr>
          <w:rFonts w:eastAsia="SimSun" w:cs="Arial"/>
          <w:kern w:val="3"/>
          <w:sz w:val="22"/>
          <w:szCs w:val="22"/>
        </w:rPr>
      </w:pPr>
      <w:r w:rsidRPr="007D4988">
        <w:t>•</w:t>
      </w:r>
      <w:r w:rsidRPr="007D4988">
        <w:tab/>
      </w:r>
      <w:r w:rsidRPr="007D4988">
        <w:rPr>
          <w:b/>
          <w:bCs/>
        </w:rPr>
        <w:t>Collecte et diffusion de données</w:t>
      </w:r>
      <w:r w:rsidRPr="007D4988">
        <w:t xml:space="preserve">: l'UIT établit des statistiques pour des centaines d'indicateurs TIC, sur la base de données recueillies auprès de plus de 200 pays; elle calcule des estimations aux niveaux mondial, régional et pour des groupes de pays. Toutes les données sont disponibles gratuitement sur le </w:t>
      </w:r>
      <w:hyperlink r:id="rId373" w:history="1">
        <w:r w:rsidRPr="007D4988">
          <w:rPr>
            <w:rStyle w:val="Hyperlink"/>
            <w:rFonts w:eastAsia="Times New Roman" w:cs="Times New Roman"/>
            <w:szCs w:val="20"/>
          </w:rPr>
          <w:t>Centre de données de l'UIT</w:t>
        </w:r>
      </w:hyperlink>
      <w:r w:rsidRPr="007D4988">
        <w:t>.</w:t>
      </w:r>
      <w:hyperlink r:id="rId374" w:history="1"/>
    </w:p>
    <w:p w14:paraId="2D11B133" w14:textId="77777777" w:rsidR="00A540D1" w:rsidRPr="007D4988" w:rsidRDefault="00A540D1" w:rsidP="00A540D1">
      <w:pPr>
        <w:pStyle w:val="enumlev1"/>
        <w:rPr>
          <w:rFonts w:eastAsia="SimSun" w:cs="Arial"/>
          <w:kern w:val="3"/>
          <w:sz w:val="22"/>
          <w:szCs w:val="22"/>
        </w:rPr>
      </w:pPr>
      <w:r w:rsidRPr="007D4988">
        <w:t>•</w:t>
      </w:r>
      <w:r w:rsidRPr="007D4988">
        <w:tab/>
      </w:r>
      <w:r w:rsidRPr="007D4988">
        <w:rPr>
          <w:b/>
          <w:bCs/>
        </w:rPr>
        <w:t>Analyse et recherche</w:t>
      </w:r>
      <w:r w:rsidRPr="007D4988">
        <w:t xml:space="preserve">: les </w:t>
      </w:r>
      <w:hyperlink r:id="rId375" w:history="1">
        <w:r w:rsidRPr="007D4988">
          <w:rPr>
            <w:rStyle w:val="Hyperlink"/>
            <w:rFonts w:eastAsia="Times New Roman" w:cs="Times New Roman"/>
            <w:szCs w:val="20"/>
          </w:rPr>
          <w:t>publications</w:t>
        </w:r>
      </w:hyperlink>
      <w:r w:rsidRPr="007D4988">
        <w:t xml:space="preserve"> de la série "</w:t>
      </w:r>
      <w:r w:rsidRPr="007D4988">
        <w:rPr>
          <w:i/>
          <w:iCs/>
        </w:rPr>
        <w:t>Mesurer le développement du numérique</w:t>
      </w:r>
      <w:r w:rsidRPr="007D4988">
        <w:t>" évaluent l'état de la connectivité mondiale, abordent des thèmes spécifiques et recensent des solutions.</w:t>
      </w:r>
      <w:hyperlink r:id="rId376" w:history="1"/>
    </w:p>
    <w:p w14:paraId="1AC7CB25" w14:textId="77777777" w:rsidR="00A540D1" w:rsidRPr="007D4988" w:rsidRDefault="00A540D1" w:rsidP="00A540D1">
      <w:pPr>
        <w:pStyle w:val="enumlev1"/>
        <w:rPr>
          <w:rFonts w:eastAsia="SimSun" w:cs="Arial"/>
          <w:kern w:val="3"/>
          <w:sz w:val="22"/>
          <w:szCs w:val="22"/>
        </w:rPr>
      </w:pPr>
      <w:r w:rsidRPr="007D4988">
        <w:t>•</w:t>
      </w:r>
      <w:r w:rsidRPr="007D4988">
        <w:tab/>
      </w:r>
      <w:r w:rsidRPr="007D4988">
        <w:rPr>
          <w:b/>
          <w:bCs/>
        </w:rPr>
        <w:t>La science des données au service des statistiques officielles</w:t>
      </w:r>
      <w:r w:rsidRPr="007D4988">
        <w:t xml:space="preserve">: les </w:t>
      </w:r>
      <w:hyperlink r:id="rId377" w:anchor="/fr" w:history="1">
        <w:r w:rsidRPr="007D4988">
          <w:rPr>
            <w:rStyle w:val="Hyperlink"/>
            <w:rFonts w:eastAsia="Times New Roman" w:cs="Times New Roman"/>
            <w:szCs w:val="20"/>
          </w:rPr>
          <w:t>pratiques de l'UIT en matière de science des données</w:t>
        </w:r>
      </w:hyperlink>
      <w:r w:rsidRPr="007D4988">
        <w:t xml:space="preserve"> consistent à exploiter les mégadonnées et les nouvelles méthodes pour améliorer l'exactitude, l'actualité et la granularité des statistiques sur les TIC.</w:t>
      </w:r>
      <w:hyperlink r:id="rId378" w:history="1"/>
    </w:p>
    <w:p w14:paraId="7DC90734" w14:textId="77777777" w:rsidR="00A540D1" w:rsidRPr="007D4988" w:rsidRDefault="00A540D1" w:rsidP="00A540D1">
      <w:pPr>
        <w:pStyle w:val="enumlev1"/>
        <w:rPr>
          <w:rFonts w:eastAsia="SimSun" w:cs="Arial"/>
          <w:kern w:val="3"/>
          <w:sz w:val="22"/>
          <w:szCs w:val="22"/>
        </w:rPr>
      </w:pPr>
      <w:r w:rsidRPr="007D4988">
        <w:t>•</w:t>
      </w:r>
      <w:r w:rsidRPr="007D4988">
        <w:tab/>
      </w:r>
      <w:r w:rsidRPr="007D4988">
        <w:rPr>
          <w:b/>
          <w:bCs/>
        </w:rPr>
        <w:t>Renforcement des capacités et assistance technique</w:t>
      </w:r>
      <w:r w:rsidRPr="007D4988">
        <w:t xml:space="preserve">: l'UIT apporte son </w:t>
      </w:r>
      <w:hyperlink r:id="rId379" w:history="1">
        <w:r w:rsidRPr="007D4988">
          <w:rPr>
            <w:rStyle w:val="Hyperlink"/>
            <w:rFonts w:eastAsia="Times New Roman" w:cs="Times New Roman"/>
            <w:szCs w:val="20"/>
          </w:rPr>
          <w:t>appui</w:t>
        </w:r>
      </w:hyperlink>
      <w:r w:rsidRPr="007D4988">
        <w:t xml:space="preserve"> à la communauté des statisticiens et à d'autres parties prenantes, y compris aux décideurs, en élaborant des documents techniques, des supports de formation, des cours en ligne et des ateliers et en fournissant une assistance technique.</w:t>
      </w:r>
      <w:hyperlink r:id="rId380" w:history="1"/>
    </w:p>
    <w:p w14:paraId="24266202" w14:textId="77777777" w:rsidR="00A540D1" w:rsidRPr="007D4988" w:rsidRDefault="00A540D1" w:rsidP="00A540D1">
      <w:pPr>
        <w:pStyle w:val="enumlev1"/>
        <w:rPr>
          <w:rFonts w:eastAsia="SimSun" w:cs="Arial"/>
          <w:kern w:val="3"/>
          <w:sz w:val="22"/>
          <w:szCs w:val="22"/>
        </w:rPr>
      </w:pPr>
      <w:r w:rsidRPr="007D4988">
        <w:t>•</w:t>
      </w:r>
      <w:r w:rsidRPr="007D4988">
        <w:tab/>
      </w:r>
      <w:r w:rsidRPr="007D4988">
        <w:rPr>
          <w:b/>
          <w:bCs/>
        </w:rPr>
        <w:t>Coopération et mobilisation à l'échelle mondiale</w:t>
      </w:r>
      <w:r w:rsidRPr="007D4988">
        <w:t xml:space="preserve">: la Division des données et des analyses sur les TIC de l'UIT organise des manifestations, notamment le </w:t>
      </w:r>
      <w:hyperlink r:id="rId381" w:anchor="/fr" w:history="1">
        <w:r w:rsidRPr="007D4988">
          <w:rPr>
            <w:rStyle w:val="Hyperlink"/>
            <w:rFonts w:eastAsia="Times New Roman" w:cs="Times New Roman"/>
            <w:szCs w:val="20"/>
          </w:rPr>
          <w:t>Colloque sur les indicateurs des télécommunications/TIC dans le monde</w:t>
        </w:r>
      </w:hyperlink>
      <w:r w:rsidRPr="007D4988">
        <w:t xml:space="preserve">, manifestation mondiale de premier plan consacrée aux statistiques relatives aux TIC, et </w:t>
      </w:r>
      <w:hyperlink r:id="rId382" w:history="1">
        <w:r w:rsidRPr="007D4988">
          <w:rPr>
            <w:rStyle w:val="Hyperlink"/>
            <w:rFonts w:eastAsia="Times New Roman" w:cs="Times New Roman"/>
            <w:szCs w:val="20"/>
          </w:rPr>
          <w:t>coopère</w:t>
        </w:r>
      </w:hyperlink>
      <w:r w:rsidRPr="007D4988">
        <w:t xml:space="preserve"> avec diverses organisations pour mobiliser des ressources, promouvoir le programme de statistiques, tirer parti des synergies, intensifier les initiatives et optimiser les retombées.</w:t>
      </w:r>
      <w:hyperlink r:id="rId383" w:history="1"/>
      <w:hyperlink r:id="rId384" w:history="1"/>
    </w:p>
    <w:p w14:paraId="6F8AB3FA" w14:textId="77777777" w:rsidR="00A540D1" w:rsidRPr="007D4988" w:rsidRDefault="00A540D1" w:rsidP="00A540D1">
      <w:pPr>
        <w:pStyle w:val="Heading2"/>
        <w:rPr>
          <w:rFonts w:eastAsia="MS Mincho"/>
        </w:rPr>
      </w:pPr>
      <w:bookmarkStart w:id="78" w:name="_Toc224288817"/>
      <w:bookmarkStart w:id="79" w:name="_Toc225488894"/>
      <w:r w:rsidRPr="007D4988">
        <w:t>4.6</w:t>
      </w:r>
      <w:r w:rsidRPr="007D4988">
        <w:tab/>
        <w:t>Renforcement des capacités et compétences numériques</w:t>
      </w:r>
      <w:bookmarkEnd w:id="78"/>
      <w:bookmarkEnd w:id="79"/>
    </w:p>
    <w:p w14:paraId="37276213" w14:textId="77777777" w:rsidR="00A540D1" w:rsidRPr="007D4988" w:rsidRDefault="00A540D1" w:rsidP="00A540D1">
      <w:pPr>
        <w:rPr>
          <w:rFonts w:eastAsia="MS Mincho"/>
          <w:sz w:val="22"/>
        </w:rPr>
      </w:pPr>
      <w:r w:rsidRPr="007D4988">
        <w:t>Le renforcement des capacités est le programme phare du Secteur du développement des télécommunications de l'UIT (UIT-D), qui vise à édifier une société maîtrisant le numérique dans laquelle toutes les personnes peuvent améliorer leurs moyens de subsistance grâce aux compétences numériques et aux connaissances technologiques. Pour y parvenir, il faut renforcer les capacités des professionnels des TIC et des télécommunications, promouvoir la maîtrise des outils et des compétences numériques des citoyens et élaborer des ressources didactiques.</w:t>
      </w:r>
    </w:p>
    <w:p w14:paraId="7CEA4E3D" w14:textId="77777777" w:rsidR="00A540D1" w:rsidRPr="007D4988" w:rsidRDefault="00A540D1" w:rsidP="00A540D1">
      <w:pPr>
        <w:rPr>
          <w:rFonts w:eastAsia="MS Mincho"/>
          <w:sz w:val="22"/>
        </w:rPr>
      </w:pPr>
      <w:r w:rsidRPr="007D4988">
        <w:t xml:space="preserve">Le </w:t>
      </w:r>
      <w:hyperlink r:id="rId385" w:anchor="/fr" w:history="1">
        <w:r w:rsidRPr="007D4988">
          <w:rPr>
            <w:rStyle w:val="Hyperlink"/>
            <w:rFonts w:eastAsia="Times New Roman" w:cs="Times New Roman"/>
            <w:szCs w:val="20"/>
          </w:rPr>
          <w:t>portail de l'Académie de l'UIT</w:t>
        </w:r>
      </w:hyperlink>
      <w:r w:rsidRPr="007D4988">
        <w:t xml:space="preserve"> est le point d'accès principal aux activités de renforcement des capacités et de formation de l'UIT. Il offre aux professionnels et aux décideurs du secteur des TIC un accès aux possibilités de renforcement des capacités en utilisant diverses méthodes adaptées à différents modes d'apprentissage, tels que des cours en présentiel et des cours en ligne à suivre en autonomie ou dispensés par un instructeur. Son catalogue très complet couvre un large éventail de sujets présentant un intérêt pour les membres de l'UIT, parmi lesquels l'intelligence artificielle, la cybersécurité, les déchets d'équipements électriques et électroniques, la gestion du spectre, la transformation numérique, les communications par satellite, les télécommunications d'urgence, la gouvernance des données, la mesure des TIC, les politiques et les réglementations, le large bande fixe et hertzien, etc.</w:t>
      </w:r>
      <w:hyperlink r:id="rId386" w:history="1"/>
    </w:p>
    <w:p w14:paraId="43C8641C" w14:textId="3B61612C" w:rsidR="00A540D1" w:rsidRPr="007D4988" w:rsidRDefault="00A540D1" w:rsidP="00A540D1">
      <w:r w:rsidRPr="007D4988">
        <w:t>Ces dernières années, l'Académie de l'UIT s'est fortement développée. Entre mars 2022 et décembre 2025, le nombre d'utilisateurs de cette plate-forme a triplé, passant de 26 000 à 83 000 personnes. Aujourd'hui, plus de 80% des participants viennent de pays en développement et la proportion de femmes parmi les nouveaux utilisateurs est passée à 40%, soit près de deux fois le niveau enregistré en 2019. Près de 150 cours sont dispensés chaque année, dont 70% en ligne – ce qui facilite la participation à grande échelle et l'accessibilité – et le reste en présentiel – ce qui permet un échange intensif entre les participants. Les taux d'achèvement ont constamment dépassé les niveaux de référence du secteur, passant de 68% à 90% pour les cours en présentiel et de 28% à 45% pour les cours en ligne entre l'année 2023 et l'année 2025. Ces progrès sont le fruit des efforts soutenus qui ont été déployés pour améliorer la qualité des cours et le dialogue avec les apprenants. Au</w:t>
      </w:r>
      <w:r w:rsidR="009D0146" w:rsidRPr="007D4988">
        <w:t> </w:t>
      </w:r>
      <w:r w:rsidRPr="007D4988">
        <w:t>total, plus de 17 500 certifications ont été délivrées depuis 2023, afin de reconnaître les réalisations des participants et de leur fournir des titres de compétences pour faciliter leur évolution professionnelle.</w:t>
      </w:r>
    </w:p>
    <w:p w14:paraId="79B55A03" w14:textId="77777777" w:rsidR="00A540D1" w:rsidRPr="007D4988" w:rsidRDefault="00A540D1" w:rsidP="00A540D1">
      <w:pPr>
        <w:pStyle w:val="Figuretitle"/>
        <w:spacing w:before="240" w:after="240"/>
      </w:pPr>
      <w:r w:rsidRPr="007D4988">
        <w:t>Inscriptions à l'Académie de l'UIT, 2012-2024</w:t>
      </w:r>
    </w:p>
    <w:p w14:paraId="3D4B2F1C" w14:textId="62667FB1" w:rsidR="00A540D1" w:rsidRPr="007D4988" w:rsidRDefault="00060483" w:rsidP="00A540D1">
      <w:pPr>
        <w:pStyle w:val="Figure"/>
      </w:pPr>
      <w:r w:rsidRPr="007D4988">
        <w:rPr>
          <w:noProof/>
        </w:rPr>
        <w:drawing>
          <wp:inline distT="0" distB="0" distL="0" distR="0" wp14:anchorId="113D9979" wp14:editId="757FC312">
            <wp:extent cx="4701654" cy="2656002"/>
            <wp:effectExtent l="0" t="0" r="3810" b="0"/>
            <wp:docPr id="1777295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4735369" cy="2675048"/>
                    </a:xfrm>
                    <a:prstGeom prst="rect">
                      <a:avLst/>
                    </a:prstGeom>
                    <a:noFill/>
                  </pic:spPr>
                </pic:pic>
              </a:graphicData>
            </a:graphic>
          </wp:inline>
        </w:drawing>
      </w:r>
    </w:p>
    <w:p w14:paraId="085B0F21" w14:textId="77777777" w:rsidR="00A540D1" w:rsidRPr="007D4988" w:rsidRDefault="00A540D1" w:rsidP="00A540D1">
      <w:pPr>
        <w:pStyle w:val="Figurelegend"/>
        <w:rPr>
          <w:i/>
          <w:iCs/>
        </w:rPr>
      </w:pPr>
      <w:r w:rsidRPr="007D4988">
        <w:rPr>
          <w:i/>
          <w:iCs/>
        </w:rPr>
        <w:t>Figure 16 – Inscriptions à l'Académie de l'UIT, 2012-2024.</w:t>
      </w:r>
    </w:p>
    <w:p w14:paraId="0B326C6A" w14:textId="43DF4D97" w:rsidR="00A540D1" w:rsidRPr="007D4988" w:rsidRDefault="00A540D1" w:rsidP="00A540D1">
      <w:r w:rsidRPr="007D4988">
        <w:t xml:space="preserve">L'un des principaux mécanismes de formation de l'UIT est le réseau de </w:t>
      </w:r>
      <w:hyperlink r:id="rId388" w:anchor="/fr" w:history="1">
        <w:r w:rsidR="00DF4404" w:rsidRPr="007D4988">
          <w:rPr>
            <w:rStyle w:val="Hyperlink"/>
            <w:rFonts w:eastAsia="Times New Roman" w:cs="Times New Roman"/>
            <w:szCs w:val="20"/>
          </w:rPr>
          <w:t>Centres de formation de l'Académie de l'UIT (ATC)</w:t>
        </w:r>
      </w:hyperlink>
      <w:r w:rsidRPr="007D4988">
        <w:t>, qui a été lancé en 2023, conformément aux résultats de la CMDT-22.</w:t>
      </w:r>
      <w:hyperlink r:id="rId389" w:history="1"/>
    </w:p>
    <w:p w14:paraId="2875C3AD" w14:textId="77777777" w:rsidR="00A540D1" w:rsidRPr="007D4988" w:rsidRDefault="00A540D1" w:rsidP="00701FAC">
      <w:pPr>
        <w:keepLines/>
      </w:pPr>
      <w:r w:rsidRPr="007D4988">
        <w:t>Les centres ATC sont des organismes reconnus au niveau international qui proposent une formation de qualité à des professionnels de niveaux intermédiaire et supérieur, l'accent étant mis en particulier sur les besoins des pays en développement. Ces partenaires principaux de l'UIT en matière de renforcement des capacités dispensent près de 40% de l'ensemble des cours sur la plate-forme de l'Académie de l'UIT, les autres cours étant organisés par l'UIT et d'autres partenaires. Ce réseau ancre l'Académie de l'UIT dans un écosystème diversifié de portée mondiale et doté de compétences spécialisées à l'échelle régionale. Les centres ATC dispensent des cours sur les sujets les plus importants définis par les membres de l'UIT, notamment les politiques et la réglementation, l'infrastructure de réseau, la gestion du spectre, la cybersécurité, les technologies émergentes, l'inclusion numérique et les services numériques.</w:t>
      </w:r>
    </w:p>
    <w:p w14:paraId="48E07AEB" w14:textId="735E2179" w:rsidR="00A540D1" w:rsidRPr="007D4988" w:rsidRDefault="00A540D1" w:rsidP="00A540D1">
      <w:r w:rsidRPr="007D4988">
        <w:t xml:space="preserve">Entre le lancement du programme en janvier 2023 et le mois de décembre 2025, 159 cours ont été organisés par les 14 centres et 4 048 participants ont reçu des certificats de formation. La majorité des participants aux cours travaillent dans des entités du secteur public (ministères et autorités de régulation) et des organismes de télécommunication; viennent ensuite les établissements universitaires, le secteur privé et d'autres organisations. Les participants sont originaires de tous les États Membres de l'UIT et 86% d'entre eux sont issus de pays en développement; pour ce qui est de la répartition régionale, la plupart viennent d'Afrique, mais aussi des Amériques et de l'Asie-Pacifique (voir </w:t>
      </w:r>
      <w:r w:rsidR="009E3EC9" w:rsidRPr="007D4988">
        <w:t xml:space="preserve">la Figure </w:t>
      </w:r>
      <w:hyperlink w:anchor="Figure17" w:history="1">
        <w:r w:rsidR="009E3EC9" w:rsidRPr="007D4988">
          <w:rPr>
            <w:rStyle w:val="Hyperlink"/>
            <w:rFonts w:eastAsia="Times New Roman" w:cs="Times New Roman"/>
            <w:szCs w:val="20"/>
          </w:rPr>
          <w:t>17</w:t>
        </w:r>
      </w:hyperlink>
      <w:r w:rsidRPr="007D4988">
        <w:t>).</w:t>
      </w:r>
    </w:p>
    <w:p w14:paraId="66D8769D" w14:textId="68B069F4" w:rsidR="00A540D1" w:rsidRPr="007D4988" w:rsidRDefault="00A540D1" w:rsidP="00A540D1">
      <w:pPr>
        <w:pStyle w:val="Figuretitle"/>
      </w:pPr>
      <w:r w:rsidRPr="007D4988">
        <w:t xml:space="preserve">Participants aux cours des centres de formation de </w:t>
      </w:r>
      <w:r w:rsidR="00DF4404" w:rsidRPr="007D4988">
        <w:br/>
      </w:r>
      <w:r w:rsidRPr="007D4988">
        <w:t>l'Académie de l'UIT, par région</w:t>
      </w:r>
    </w:p>
    <w:p w14:paraId="194B5ECC" w14:textId="0ADAF028" w:rsidR="00A540D1" w:rsidRPr="007D4988" w:rsidRDefault="00060483" w:rsidP="00A540D1">
      <w:pPr>
        <w:pStyle w:val="Figure"/>
      </w:pPr>
      <w:r w:rsidRPr="007D4988">
        <w:rPr>
          <w:noProof/>
        </w:rPr>
        <w:drawing>
          <wp:inline distT="0" distB="0" distL="0" distR="0" wp14:anchorId="0C3BF4F8" wp14:editId="733177AD">
            <wp:extent cx="4579620" cy="2750820"/>
            <wp:effectExtent l="0" t="0" r="0" b="0"/>
            <wp:docPr id="949747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4579620" cy="2750820"/>
                    </a:xfrm>
                    <a:prstGeom prst="rect">
                      <a:avLst/>
                    </a:prstGeom>
                    <a:noFill/>
                  </pic:spPr>
                </pic:pic>
              </a:graphicData>
            </a:graphic>
          </wp:inline>
        </w:drawing>
      </w:r>
    </w:p>
    <w:p w14:paraId="6D61EC6D" w14:textId="77777777" w:rsidR="00A540D1" w:rsidRPr="007D4988" w:rsidRDefault="00A540D1" w:rsidP="00A540D1">
      <w:pPr>
        <w:pStyle w:val="Figurelegend"/>
        <w:rPr>
          <w:i/>
          <w:iCs/>
        </w:rPr>
      </w:pPr>
      <w:bookmarkStart w:id="80" w:name="Figure17"/>
      <w:bookmarkEnd w:id="80"/>
      <w:r w:rsidRPr="007D4988">
        <w:rPr>
          <w:i/>
          <w:iCs/>
        </w:rPr>
        <w:t>Figure 17 – Participants aux cours des centres de formation de l'Académie de l'UIT, par région.</w:t>
      </w:r>
    </w:p>
    <w:p w14:paraId="60B806A2" w14:textId="77777777" w:rsidR="00A540D1" w:rsidRPr="007D4988" w:rsidRDefault="00A540D1" w:rsidP="00A540D1">
      <w:r w:rsidRPr="007D4988">
        <w:t>L'</w:t>
      </w:r>
      <w:hyperlink r:id="rId391" w:anchor="/fr" w:history="1">
        <w:r w:rsidRPr="007D4988">
          <w:rPr>
            <w:rStyle w:val="Hyperlink"/>
            <w:rFonts w:eastAsia="Times New Roman" w:cs="Times New Roman"/>
            <w:szCs w:val="20"/>
          </w:rPr>
          <w:t>Initiative des centres de transformation numérique (DTC)</w:t>
        </w:r>
      </w:hyperlink>
      <w:r w:rsidRPr="007D4988">
        <w:t>, qui a été lancée en septembre 2019 par l'UIT en partenariat avec Cisco, a pour objectif d'aider les pays à renforcer les compétences numériques de leurs citoyens, en particulier dans les communautés rurales et mal desservies. Cette initiative s'appuie sur un réseau mondial d'institutions nationales, les centres DTC, qui ont pour mission de mettre en œuvre des programmes de renforcement des compétences numériques au niveau national. Œuvrant à l'échelle nationale, ces centres disposent de l'infrastructure, des capacités et de l'expérience nécessaires pour dispenser des formations de niveau élémentaire et intermédiaire. Entre 2021 et 2025, l'initiative a bénéficié d'un soutien financier important du Gouvernement de la Norvège, auquel s'est ajouté celui du Fonds pour le développement des technologies de l'information et de la communication (FDTIC) de l'UIT.</w:t>
      </w:r>
      <w:hyperlink r:id="rId392" w:history="1"/>
    </w:p>
    <w:p w14:paraId="0EE36A91" w14:textId="77777777" w:rsidR="00A540D1" w:rsidRPr="007D4988" w:rsidRDefault="00A540D1" w:rsidP="00A540D1">
      <w:r w:rsidRPr="007D4988">
        <w:t>Le nombre total de centres DTC est passé à 15, couvrant la région Afrique, la région Amériques, la région des États arabes et la région Asie-Pacifique. Entre le lancement de l'initiative en 2020 et fin décembre 2025, plus de 610 000 personnes (dont 53% de femmes) ont suivi une formation aux compétences numériques de base et intermédiaires.</w:t>
      </w:r>
    </w:p>
    <w:p w14:paraId="457BFDDD" w14:textId="77777777" w:rsidR="00A540D1" w:rsidRPr="007D4988" w:rsidRDefault="00A540D1" w:rsidP="00A540D1">
      <w:r w:rsidRPr="007D4988">
        <w:t>Outre le fait que, sur le nombre total de participants, la parité hommes-femmes a été atteinte, le volume de formations dispensées dans le cadre de l'initiative a augmenté dans les communautés mal desservies et rurales ayant accès à des centres DTC. Cela profite notamment aux étudiants, aux personnes présentant un handicap (en particulier aux personnes malvoyantes) aux jeunes et aux micro, petites et moyennes entreprises. En outre, les formateurs et les enseignants ont bénéficié d'un appui en matière de renforcement des capacités pour assurer la fourniture de formations de qualité au sein de ces communautés.</w:t>
      </w:r>
    </w:p>
    <w:p w14:paraId="40C6E22C" w14:textId="19D607D9" w:rsidR="00A540D1" w:rsidRPr="007D4988" w:rsidRDefault="00A540D1" w:rsidP="00A540D1">
      <w:r w:rsidRPr="007D4988">
        <w:t>Dans le cadre de l'initiative, l'UIT et Cisco permettent aux centres DTC de créer des réseaux en organisant des ateliers présentiels et des réunions virtuelles chaque année. Ces réunions contribuent à renforcer le réseau mondial des centres DTC et offrent une tribune pour analyser la mise en œuvre, examiner les progrès accomplis et les résultats obtenus et étudier de nouvelles idées pour appuyer les travaux de ces centres. En 2023, 2024 et 2025, des ateliers mondiaux sur les centres DTC ont été organisés par: le Département des technologies de l'information et de la communication (le centre DTC de la République des Philippines); le Centre de formation et de développement des TIC relevant du Ministère des communications et des affaires numériques (le centre DTC de l'Indonésie), en collaboration avec Indosat Ooredoo Hutchison; les centres technologiques communautaires (Centros</w:t>
      </w:r>
      <w:r w:rsidR="00DF4404" w:rsidRPr="007D4988">
        <w:t> </w:t>
      </w:r>
      <w:r w:rsidRPr="007D4988">
        <w:t>Tecnológicos Comunitarios, qui constituent le centre DTC de la République dominicaine), en collaboration avec l'Institut dominicain des télécommunications (INDOTEL). Ces réunions permettent aux centres DTC de collaborer régulièrement et de renforcer davantage la communauté de ces centres.</w:t>
      </w:r>
    </w:p>
    <w:p w14:paraId="28DF987D" w14:textId="3882030D" w:rsidR="00A540D1" w:rsidRPr="007D4988" w:rsidRDefault="00A540D1" w:rsidP="00A540D1">
      <w:r w:rsidRPr="007D4988">
        <w:t>Le Forum de l'UIT sur les compétences numériques est une manifestation mondiale d'importance majeure destinée aux membres de l'UIT et aux autres parties prenantes, au</w:t>
      </w:r>
      <w:r w:rsidR="00DF4404" w:rsidRPr="007D4988">
        <w:t> </w:t>
      </w:r>
      <w:r w:rsidRPr="007D4988">
        <w:t>cours de laquelle sont examinés les besoins les plus urgents en vue de permettre l'acquisition de compétences numériques universelles et la réduction des disparités qui existent à l'échelle mondiale concernant ces compétences. L'</w:t>
      </w:r>
      <w:hyperlink r:id="rId393" w:history="1">
        <w:r w:rsidRPr="007D4988">
          <w:rPr>
            <w:rStyle w:val="Hyperlink"/>
            <w:rFonts w:eastAsia="Times New Roman" w:cs="Times New Roman"/>
            <w:szCs w:val="20"/>
          </w:rPr>
          <w:t>édition de 2024 du Forum de l'UIT</w:t>
        </w:r>
      </w:hyperlink>
      <w:r w:rsidRPr="007D4988">
        <w:t xml:space="preserve"> sur les compétences numériques s'est tenue à Manama (Bahreïn) du 17 au 19 septembre 2024. Elle a été organisée par l'UIT à l'aimable invitation de l'Autorité de régulation des télécommunications (TRA) du Royaume de Bahreïn. Placé sous le thème "Renforcement des compétences au service de la transformation numérique", le Forum a rassemblé plus de 700 participants de 66 pays, en présentiel et à distance, issus d'organisations publiques ou privées, d'universités et d'instituts de recherche, ainsi que d'autres organisations régionales et internationales.</w:t>
      </w:r>
      <w:hyperlink r:id="rId394" w:history="1"/>
    </w:p>
    <w:p w14:paraId="24E9B978" w14:textId="77777777" w:rsidR="00A540D1" w:rsidRPr="007D4988" w:rsidRDefault="00A540D1" w:rsidP="00A540D1">
      <w:r w:rsidRPr="007D4988">
        <w:t xml:space="preserve">Le </w:t>
      </w:r>
      <w:hyperlink r:id="rId395" w:anchor="/fr" w:history="1">
        <w:r w:rsidRPr="007D4988">
          <w:rPr>
            <w:rStyle w:val="Hyperlink"/>
            <w:rFonts w:eastAsia="Times New Roman" w:cs="Times New Roman"/>
            <w:szCs w:val="20"/>
          </w:rPr>
          <w:t>kit pratique sur les compétences numériques de 2024</w:t>
        </w:r>
      </w:hyperlink>
      <w:r w:rsidRPr="007D4988">
        <w:t xml:space="preserve"> mis au point par l'UIT a été lancé à l'occasion de l'édition de 2024 du Forum sur les compétences numériques. Ce kit pratique propose un guide complet, étape par étape, qui aide les membres de l'UIT à définir des stratégies et des politiques nationales efficaces en matière d'acquisition de compétences numériques. Cette ressource pratique offre des informations exploitables et des exemples, ce qui en fait un outil précieux pour les pays à tous les stades du développement numérique. Un cours de formation en ligne sur le kit pratique a été élaboré en 2025 et sera disponible début 2026.</w:t>
      </w:r>
      <w:hyperlink r:id="rId396" w:history="1"/>
    </w:p>
    <w:p w14:paraId="357D0411" w14:textId="2B398A99" w:rsidR="00A540D1" w:rsidRPr="007D4988" w:rsidRDefault="0020130E" w:rsidP="00A540D1">
      <w:r w:rsidRPr="007D4988">
        <w:t>C</w:t>
      </w:r>
      <w:r w:rsidR="00A540D1" w:rsidRPr="007D4988">
        <w:t xml:space="preserve">omposante </w:t>
      </w:r>
      <w:r w:rsidRPr="007D4988">
        <w:t xml:space="preserve">du programme de </w:t>
      </w:r>
      <w:r w:rsidR="00A540D1" w:rsidRPr="007D4988">
        <w:t>réduction de l'écart en matière de normalisation</w:t>
      </w:r>
      <w:r w:rsidRPr="007D4988">
        <w:t xml:space="preserve"> axée sur le renforcement des capacités:</w:t>
      </w:r>
      <w:r w:rsidR="00A540D1" w:rsidRPr="007D4988">
        <w:t xml:space="preserve"> </w:t>
      </w:r>
      <w:r w:rsidRPr="007D4988">
        <w:t>l</w:t>
      </w:r>
      <w:r w:rsidR="00292D54" w:rsidRPr="007D4988">
        <w:t>'</w:t>
      </w:r>
      <w:r w:rsidRPr="007D4988">
        <w:t xml:space="preserve">initiative </w:t>
      </w:r>
      <w:r w:rsidR="00A540D1" w:rsidRPr="007D4988">
        <w:t xml:space="preserve">fournit des supports de formation à la demande via les </w:t>
      </w:r>
      <w:hyperlink r:id="rId397" w:anchor="/fr" w:history="1">
        <w:r w:rsidR="00A540D1" w:rsidRPr="007D4988">
          <w:rPr>
            <w:rStyle w:val="Hyperlink"/>
            <w:rFonts w:eastAsia="Times New Roman" w:cs="Times New Roman"/>
            <w:szCs w:val="20"/>
          </w:rPr>
          <w:t>ressources de l'UIT-T</w:t>
        </w:r>
      </w:hyperlink>
      <w:r w:rsidR="00A540D1" w:rsidRPr="007D4988">
        <w:t xml:space="preserve"> dans les six langues officielles de l'Union, chaque fois que cela est possible. La collaboration se poursuit entre, d'une part, le Bureau de la normalisation des télécommunications (TSB) et le Bureau de développement des télécommunications (BDT) de</w:t>
      </w:r>
      <w:r w:rsidR="00292D54" w:rsidRPr="007D4988">
        <w:t> </w:t>
      </w:r>
      <w:r w:rsidR="00A540D1" w:rsidRPr="007D4988">
        <w:t>l'UIT et, d'autre part, les bureaux régionaux de l'UIT, afin de mener une action de sensibilisation et de renforcement des capacités au niveau régional.</w:t>
      </w:r>
      <w:hyperlink r:id="rId398" w:history="1"/>
    </w:p>
    <w:p w14:paraId="1811C0FE" w14:textId="71553819" w:rsidR="00A540D1" w:rsidRPr="007D4988" w:rsidRDefault="00A540D1" w:rsidP="00A540D1">
      <w:r w:rsidRPr="007D4988">
        <w:t xml:space="preserve">D'autres exemples de programmes et d'initiatives de renforcement des capacités actuellement mis en œuvre sont donnés dans la </w:t>
      </w:r>
      <w:r w:rsidR="00B2330D" w:rsidRPr="007D4988">
        <w:t>section</w:t>
      </w:r>
      <w:r w:rsidRPr="007D4988">
        <w:t xml:space="preserve"> </w:t>
      </w:r>
      <w:hyperlink w:anchor="Para482" w:history="1">
        <w:r w:rsidRPr="007D4988">
          <w:rPr>
            <w:rStyle w:val="Hyperlink"/>
            <w:rFonts w:eastAsia="Times New Roman" w:cs="Times New Roman"/>
            <w:szCs w:val="20"/>
          </w:rPr>
          <w:t>4.8.2</w:t>
        </w:r>
      </w:hyperlink>
      <w:r w:rsidRPr="007D4988">
        <w:t xml:space="preserve"> (</w:t>
      </w:r>
      <w:hyperlink r:id="rId399" w:anchor="/fr" w:history="1">
        <w:r w:rsidRPr="007D4988">
          <w:rPr>
            <w:rStyle w:val="Hyperlink"/>
            <w:rFonts w:eastAsia="Times New Roman" w:cs="Times New Roman"/>
            <w:szCs w:val="20"/>
          </w:rPr>
          <w:t>Coalition pour les compétences en matière d'IA</w:t>
        </w:r>
      </w:hyperlink>
      <w:r w:rsidRPr="007D4988">
        <w:t xml:space="preserve">). On trouvera dans la </w:t>
      </w:r>
      <w:r w:rsidR="00B2330D" w:rsidRPr="007D4988">
        <w:t>section</w:t>
      </w:r>
      <w:r w:rsidRPr="007D4988">
        <w:t xml:space="preserve"> </w:t>
      </w:r>
      <w:hyperlink w:anchor="Para55" w:history="1">
        <w:r w:rsidRPr="007D4988">
          <w:rPr>
            <w:rStyle w:val="Hyperlink"/>
            <w:rFonts w:eastAsia="Times New Roman" w:cs="Times New Roman"/>
            <w:szCs w:val="20"/>
          </w:rPr>
          <w:t>5.5</w:t>
        </w:r>
      </w:hyperlink>
      <w:r w:rsidRPr="007D4988">
        <w:t xml:space="preserve"> un dernier exemple, qui montre comment l'Initiative Giga pour la connectivité dans les écoles s'appuie sur les programmes de renforcement des capacités mis en place avec les gouvernements et les parties prenantes, en tirant parti de la plate-forme de l'Académie de l'UIT.</w:t>
      </w:r>
      <w:hyperlink w:anchor="_4.8.2_AI_for" w:history="1"/>
      <w:hyperlink r:id="rId400" w:history="1"/>
    </w:p>
    <w:p w14:paraId="7C258851" w14:textId="77777777" w:rsidR="00A540D1" w:rsidRPr="007D4988" w:rsidRDefault="00A540D1" w:rsidP="00A540D1">
      <w:pPr>
        <w:pStyle w:val="Heading2"/>
      </w:pPr>
      <w:bookmarkStart w:id="81" w:name="_Toc224288818"/>
      <w:bookmarkStart w:id="82" w:name="_Toc225488895"/>
      <w:r w:rsidRPr="007D4988">
        <w:t>4.7</w:t>
      </w:r>
      <w:r w:rsidRPr="007D4988">
        <w:tab/>
        <w:t>Fourniture d'une assistance technique</w:t>
      </w:r>
      <w:bookmarkEnd w:id="81"/>
      <w:bookmarkEnd w:id="82"/>
    </w:p>
    <w:p w14:paraId="46EB8688" w14:textId="77777777" w:rsidR="00A540D1" w:rsidRPr="007D4988" w:rsidRDefault="00A540D1" w:rsidP="00A540D1">
      <w:r w:rsidRPr="007D4988">
        <w:t>Outre le fait qu'elle fournit des compétences techniques spécialisées considérables et qu'elle assure la coordination dans ce domaine en tant qu'institution spécialisée des Nations Unies, l'UIT fait également fonction d'agent d'exécution pour des projets de développement du numérique destinés à garantir que tous les habitants de la planète bénéficient des avantages offerts par la connectivité.</w:t>
      </w:r>
    </w:p>
    <w:p w14:paraId="5494FA07" w14:textId="77777777" w:rsidR="00A540D1" w:rsidRPr="007D4988" w:rsidRDefault="00A540D1" w:rsidP="00A540D1">
      <w:r w:rsidRPr="007D4988">
        <w:t>L'UIT-D a pour principale fonction de mettre en œuvre des projets dans le cadre d'arrangements conclus avec des partenaires financiers. Ces projets visent à faciliter et à renforcer le développement des télécommunications en offrant, organisant et coordonnant les activités de coopération et d'assistance techniques.</w:t>
      </w:r>
    </w:p>
    <w:p w14:paraId="7248CA96" w14:textId="2A5509E3" w:rsidR="00A540D1" w:rsidRPr="007D4988" w:rsidRDefault="00A540D1" w:rsidP="00A540D1">
      <w:r w:rsidRPr="007D4988">
        <w:t xml:space="preserve">Pour la seule année 2025, l'UIT a, par l'intermédiaire du BDT, mis en œuvre ou contribué à mettre en œuvre 106 projets au total, pour un montant de 79,7 millions CHF. Parmi ces projets, 32 ont été menés à terme dans le courant de l'année, et les 74 autres continueront d'être mis en œuvre conformément aux descriptifs de projets respectifs. </w:t>
      </w:r>
      <w:r w:rsidR="001C180F" w:rsidRPr="007D4988">
        <w:t xml:space="preserve">Le </w:t>
      </w:r>
      <w:hyperlink w:anchor="Table4_7" w:history="1">
        <w:r w:rsidR="001C180F" w:rsidRPr="007D4988">
          <w:rPr>
            <w:rStyle w:val="Hyperlink"/>
            <w:rFonts w:eastAsia="Times New Roman" w:cs="Times New Roman"/>
            <w:szCs w:val="20"/>
          </w:rPr>
          <w:t>tableau ci</w:t>
        </w:r>
        <w:r w:rsidR="001C180F" w:rsidRPr="007D4988">
          <w:rPr>
            <w:rStyle w:val="Hyperlink"/>
            <w:rFonts w:eastAsia="Times New Roman" w:cs="Times New Roman"/>
            <w:szCs w:val="20"/>
          </w:rPr>
          <w:noBreakHyphen/>
          <w:t>dessous</w:t>
        </w:r>
      </w:hyperlink>
      <w:r w:rsidR="001C180F" w:rsidRPr="007D4988">
        <w:t xml:space="preserve"> illustre </w:t>
      </w:r>
      <w:r w:rsidRPr="007D4988">
        <w:t>la répartition générale du portefeuille de projets par région et donne un aperçu: 1) des fonds mobilisés pour appuyer la mise en œuvre de ces projets; et 2) des fonds d'amorçage alloués par l'UIT au titre du Fonds FDTIC.</w:t>
      </w:r>
    </w:p>
    <w:p w14:paraId="29C716AE" w14:textId="6E37AE33" w:rsidR="00DF4404" w:rsidRPr="007D4988" w:rsidRDefault="00DF4404" w:rsidP="00A540D1">
      <w:r w:rsidRPr="007D4988">
        <w:br w:type="page"/>
      </w:r>
    </w:p>
    <w:p w14:paraId="6D90D9D8" w14:textId="2127C915" w:rsidR="00A540D1" w:rsidRPr="007D4988" w:rsidRDefault="00A540D1" w:rsidP="00A540D1">
      <w:pPr>
        <w:pStyle w:val="Tabletitle"/>
        <w:spacing w:before="240" w:after="240"/>
        <w:rPr>
          <w:rFonts w:eastAsia="MS Mincho" w:cs="Calibri"/>
          <w:sz w:val="22"/>
        </w:rPr>
      </w:pPr>
      <w:bookmarkStart w:id="83" w:name="Table4_7"/>
      <w:r w:rsidRPr="007D4988">
        <w:t xml:space="preserve">Aperçu des projets de l'UIT-D dans le cadre desquels des activités ont </w:t>
      </w:r>
      <w:r w:rsidR="00DF4404" w:rsidRPr="007D4988">
        <w:br/>
      </w:r>
      <w:r w:rsidRPr="007D4988">
        <w:t>été menées en 2025, par région (en milliers CHF)</w:t>
      </w:r>
    </w:p>
    <w:tbl>
      <w:tblPr>
        <w:tblW w:w="6805" w:type="dxa"/>
        <w:jc w:val="center"/>
        <w:tblLayout w:type="fixed"/>
        <w:tblCellMar>
          <w:left w:w="10" w:type="dxa"/>
          <w:right w:w="10" w:type="dxa"/>
        </w:tblCellMar>
        <w:tblLook w:val="0000" w:firstRow="0" w:lastRow="0" w:firstColumn="0" w:lastColumn="0" w:noHBand="0" w:noVBand="0"/>
      </w:tblPr>
      <w:tblGrid>
        <w:gridCol w:w="1571"/>
        <w:gridCol w:w="1171"/>
        <w:gridCol w:w="1450"/>
        <w:gridCol w:w="1170"/>
        <w:gridCol w:w="1443"/>
      </w:tblGrid>
      <w:tr w:rsidR="00A540D1" w:rsidRPr="007D4988" w14:paraId="1CB5CA30" w14:textId="77777777" w:rsidTr="00E23B2E">
        <w:trPr>
          <w:trHeight w:val="852"/>
          <w:jc w:val="center"/>
        </w:trPr>
        <w:tc>
          <w:tcPr>
            <w:tcW w:w="1571" w:type="dxa"/>
            <w:tcBorders>
              <w:top w:val="single" w:sz="8" w:space="0" w:color="000000"/>
              <w:left w:val="single" w:sz="8" w:space="0" w:color="000000"/>
              <w:bottom w:val="single" w:sz="8" w:space="0" w:color="000000"/>
            </w:tcBorders>
            <w:shd w:val="clear" w:color="auto" w:fill="70A9E0"/>
            <w:noWrap/>
            <w:tcMar>
              <w:top w:w="0" w:type="dxa"/>
              <w:left w:w="108" w:type="dxa"/>
              <w:bottom w:w="0" w:type="dxa"/>
              <w:right w:w="108" w:type="dxa"/>
            </w:tcMar>
          </w:tcPr>
          <w:bookmarkEnd w:id="83"/>
          <w:p w14:paraId="69022F53" w14:textId="77777777" w:rsidR="00A540D1" w:rsidRPr="007D4988" w:rsidRDefault="00A540D1" w:rsidP="00E23B2E">
            <w:pPr>
              <w:pStyle w:val="Tablehead"/>
              <w:rPr>
                <w:rFonts w:eastAsia="MS Mincho"/>
              </w:rPr>
            </w:pPr>
            <w:r w:rsidRPr="007D4988">
              <w:t>Région</w:t>
            </w:r>
          </w:p>
        </w:tc>
        <w:tc>
          <w:tcPr>
            <w:tcW w:w="1171" w:type="dxa"/>
            <w:tcBorders>
              <w:top w:val="single" w:sz="8" w:space="0" w:color="000000"/>
              <w:bottom w:val="single" w:sz="8" w:space="0" w:color="000000"/>
            </w:tcBorders>
            <w:shd w:val="clear" w:color="auto" w:fill="70A9E0"/>
            <w:noWrap/>
            <w:tcMar>
              <w:top w:w="0" w:type="dxa"/>
              <w:left w:w="108" w:type="dxa"/>
              <w:bottom w:w="0" w:type="dxa"/>
              <w:right w:w="108" w:type="dxa"/>
            </w:tcMar>
          </w:tcPr>
          <w:p w14:paraId="13DE66BC" w14:textId="77777777" w:rsidR="00A540D1" w:rsidRPr="007D4988" w:rsidRDefault="00A540D1" w:rsidP="00E23B2E">
            <w:pPr>
              <w:pStyle w:val="Tablehead"/>
              <w:rPr>
                <w:rFonts w:eastAsia="MS Mincho"/>
              </w:rPr>
            </w:pPr>
            <w:r w:rsidRPr="007D4988">
              <w:t>Nombre de projets</w:t>
            </w:r>
          </w:p>
        </w:tc>
        <w:tc>
          <w:tcPr>
            <w:tcW w:w="1450" w:type="dxa"/>
            <w:tcBorders>
              <w:top w:val="single" w:sz="8" w:space="0" w:color="000000"/>
              <w:bottom w:val="single" w:sz="8" w:space="0" w:color="000000"/>
            </w:tcBorders>
            <w:shd w:val="clear" w:color="auto" w:fill="70A9E0"/>
            <w:noWrap/>
            <w:tcMar>
              <w:top w:w="0" w:type="dxa"/>
              <w:left w:w="108" w:type="dxa"/>
              <w:bottom w:w="0" w:type="dxa"/>
              <w:right w:w="108" w:type="dxa"/>
            </w:tcMar>
          </w:tcPr>
          <w:p w14:paraId="5617FD22" w14:textId="77777777" w:rsidR="00A540D1" w:rsidRPr="007D4988" w:rsidRDefault="00A540D1" w:rsidP="00E23B2E">
            <w:pPr>
              <w:pStyle w:val="Tablehead"/>
              <w:rPr>
                <w:rFonts w:eastAsia="MS Mincho"/>
              </w:rPr>
            </w:pPr>
            <w:r w:rsidRPr="007D4988">
              <w:t xml:space="preserve">Fonds provenant de partenaires </w:t>
            </w:r>
          </w:p>
        </w:tc>
        <w:tc>
          <w:tcPr>
            <w:tcW w:w="1170" w:type="dxa"/>
            <w:tcBorders>
              <w:top w:val="single" w:sz="8" w:space="0" w:color="000000"/>
              <w:bottom w:val="single" w:sz="8" w:space="0" w:color="000000"/>
            </w:tcBorders>
            <w:shd w:val="clear" w:color="auto" w:fill="70A9E0"/>
            <w:noWrap/>
            <w:tcMar>
              <w:top w:w="0" w:type="dxa"/>
              <w:left w:w="108" w:type="dxa"/>
              <w:bottom w:w="0" w:type="dxa"/>
              <w:right w:w="108" w:type="dxa"/>
            </w:tcMar>
          </w:tcPr>
          <w:p w14:paraId="7156DC16" w14:textId="77777777" w:rsidR="00A540D1" w:rsidRPr="007D4988" w:rsidRDefault="00A540D1" w:rsidP="00E23B2E">
            <w:pPr>
              <w:pStyle w:val="Tablehead"/>
              <w:rPr>
                <w:rFonts w:eastAsia="MS Mincho"/>
              </w:rPr>
            </w:pPr>
            <w:r w:rsidRPr="007D4988">
              <w:t xml:space="preserve">Fonds de l'UIT </w:t>
            </w:r>
          </w:p>
        </w:tc>
        <w:tc>
          <w:tcPr>
            <w:tcW w:w="1443" w:type="dxa"/>
            <w:tcBorders>
              <w:top w:val="single" w:sz="8" w:space="0" w:color="000000"/>
              <w:bottom w:val="single" w:sz="8" w:space="0" w:color="000000"/>
              <w:right w:val="single" w:sz="8" w:space="0" w:color="000000"/>
            </w:tcBorders>
            <w:shd w:val="clear" w:color="auto" w:fill="70A9E0"/>
            <w:noWrap/>
            <w:tcMar>
              <w:top w:w="0" w:type="dxa"/>
              <w:left w:w="108" w:type="dxa"/>
              <w:bottom w:w="0" w:type="dxa"/>
              <w:right w:w="108" w:type="dxa"/>
            </w:tcMar>
          </w:tcPr>
          <w:p w14:paraId="2C4636EC" w14:textId="77777777" w:rsidR="00A540D1" w:rsidRPr="007D4988" w:rsidRDefault="00A540D1" w:rsidP="00E23B2E">
            <w:pPr>
              <w:pStyle w:val="Tablehead"/>
              <w:rPr>
                <w:rFonts w:eastAsia="MS Mincho"/>
              </w:rPr>
            </w:pPr>
            <w:r w:rsidRPr="007D4988">
              <w:t>Total du financement des projets</w:t>
            </w:r>
          </w:p>
        </w:tc>
      </w:tr>
      <w:tr w:rsidR="00A540D1" w:rsidRPr="007D4988" w14:paraId="3C2C1BFF" w14:textId="77777777" w:rsidTr="00E23B2E">
        <w:trPr>
          <w:trHeight w:val="54"/>
          <w:jc w:val="center"/>
        </w:trPr>
        <w:tc>
          <w:tcPr>
            <w:tcW w:w="1571" w:type="dxa"/>
            <w:tcBorders>
              <w:left w:val="single" w:sz="8" w:space="0" w:color="000000"/>
              <w:bottom w:val="single" w:sz="8" w:space="0" w:color="000000"/>
            </w:tcBorders>
            <w:tcMar>
              <w:top w:w="0" w:type="dxa"/>
              <w:left w:w="108" w:type="dxa"/>
              <w:bottom w:w="0" w:type="dxa"/>
              <w:right w:w="108" w:type="dxa"/>
            </w:tcMar>
          </w:tcPr>
          <w:p w14:paraId="051A4DBC" w14:textId="77777777" w:rsidR="00A540D1" w:rsidRPr="007D4988" w:rsidRDefault="00A540D1" w:rsidP="00E23B2E">
            <w:pPr>
              <w:pStyle w:val="Tabletext"/>
              <w:rPr>
                <w:rFonts w:eastAsia="MS Mincho"/>
              </w:rPr>
            </w:pPr>
            <w:r w:rsidRPr="007D4988">
              <w:t xml:space="preserve">Afrique </w:t>
            </w:r>
          </w:p>
        </w:tc>
        <w:tc>
          <w:tcPr>
            <w:tcW w:w="1171" w:type="dxa"/>
            <w:tcBorders>
              <w:bottom w:val="single" w:sz="8" w:space="0" w:color="000000"/>
            </w:tcBorders>
            <w:noWrap/>
            <w:tcMar>
              <w:top w:w="0" w:type="dxa"/>
              <w:left w:w="108" w:type="dxa"/>
              <w:bottom w:w="0" w:type="dxa"/>
              <w:right w:w="108" w:type="dxa"/>
            </w:tcMar>
          </w:tcPr>
          <w:p w14:paraId="5D24E4E9" w14:textId="77777777" w:rsidR="00A540D1" w:rsidRPr="007D4988" w:rsidRDefault="00A540D1" w:rsidP="00E23B2E">
            <w:pPr>
              <w:pStyle w:val="Tabletext"/>
              <w:rPr>
                <w:rFonts w:eastAsia="MS Mincho"/>
              </w:rPr>
            </w:pPr>
            <w:r w:rsidRPr="007D4988">
              <w:t>20</w:t>
            </w:r>
          </w:p>
        </w:tc>
        <w:tc>
          <w:tcPr>
            <w:tcW w:w="1450" w:type="dxa"/>
            <w:tcBorders>
              <w:bottom w:val="single" w:sz="8" w:space="0" w:color="000000"/>
            </w:tcBorders>
            <w:tcMar>
              <w:top w:w="0" w:type="dxa"/>
              <w:left w:w="108" w:type="dxa"/>
              <w:bottom w:w="0" w:type="dxa"/>
              <w:right w:w="108" w:type="dxa"/>
            </w:tcMar>
          </w:tcPr>
          <w:p w14:paraId="6B6EA0A6" w14:textId="77777777" w:rsidR="00A540D1" w:rsidRPr="007D4988" w:rsidRDefault="00A540D1" w:rsidP="00E23B2E">
            <w:pPr>
              <w:pStyle w:val="Tabletext"/>
              <w:rPr>
                <w:rFonts w:eastAsia="MS Mincho"/>
              </w:rPr>
            </w:pPr>
            <w:r w:rsidRPr="007D4988">
              <w:t>26 917,7</w:t>
            </w:r>
          </w:p>
        </w:tc>
        <w:tc>
          <w:tcPr>
            <w:tcW w:w="1170" w:type="dxa"/>
            <w:tcBorders>
              <w:bottom w:val="single" w:sz="8" w:space="0" w:color="000000"/>
            </w:tcBorders>
            <w:tcMar>
              <w:top w:w="0" w:type="dxa"/>
              <w:left w:w="108" w:type="dxa"/>
              <w:bottom w:w="0" w:type="dxa"/>
              <w:right w:w="108" w:type="dxa"/>
            </w:tcMar>
          </w:tcPr>
          <w:p w14:paraId="0E15F0A0" w14:textId="77777777" w:rsidR="00A540D1" w:rsidRPr="007D4988" w:rsidRDefault="00A540D1" w:rsidP="00E23B2E">
            <w:pPr>
              <w:pStyle w:val="Tabletext"/>
              <w:rPr>
                <w:rFonts w:eastAsia="MS Mincho"/>
              </w:rPr>
            </w:pPr>
            <w:r w:rsidRPr="007D4988">
              <w:t>1 505,4</w:t>
            </w:r>
          </w:p>
        </w:tc>
        <w:tc>
          <w:tcPr>
            <w:tcW w:w="1443" w:type="dxa"/>
            <w:tcBorders>
              <w:bottom w:val="single" w:sz="8" w:space="0" w:color="000000"/>
              <w:right w:val="single" w:sz="8" w:space="0" w:color="000000"/>
            </w:tcBorders>
            <w:shd w:val="clear" w:color="auto" w:fill="C1E4F5"/>
            <w:tcMar>
              <w:top w:w="0" w:type="dxa"/>
              <w:left w:w="108" w:type="dxa"/>
              <w:bottom w:w="0" w:type="dxa"/>
              <w:right w:w="108" w:type="dxa"/>
            </w:tcMar>
          </w:tcPr>
          <w:p w14:paraId="7ABCE863" w14:textId="77777777" w:rsidR="00A540D1" w:rsidRPr="007D4988" w:rsidRDefault="00A540D1" w:rsidP="00E23B2E">
            <w:pPr>
              <w:pStyle w:val="Tabletext"/>
              <w:rPr>
                <w:rFonts w:eastAsia="MS Mincho"/>
              </w:rPr>
            </w:pPr>
            <w:r w:rsidRPr="007D4988">
              <w:t>28 423,2</w:t>
            </w:r>
          </w:p>
        </w:tc>
      </w:tr>
      <w:tr w:rsidR="00A540D1" w:rsidRPr="007D4988" w14:paraId="2BFAB79F" w14:textId="77777777" w:rsidTr="00E23B2E">
        <w:trPr>
          <w:trHeight w:val="54"/>
          <w:jc w:val="center"/>
        </w:trPr>
        <w:tc>
          <w:tcPr>
            <w:tcW w:w="1571" w:type="dxa"/>
            <w:tcBorders>
              <w:left w:val="single" w:sz="8" w:space="0" w:color="000000"/>
              <w:bottom w:val="single" w:sz="8" w:space="0" w:color="000000"/>
            </w:tcBorders>
            <w:tcMar>
              <w:top w:w="0" w:type="dxa"/>
              <w:left w:w="108" w:type="dxa"/>
              <w:bottom w:w="0" w:type="dxa"/>
              <w:right w:w="108" w:type="dxa"/>
            </w:tcMar>
          </w:tcPr>
          <w:p w14:paraId="033ACD33" w14:textId="77777777" w:rsidR="00A540D1" w:rsidRPr="007D4988" w:rsidRDefault="00A540D1" w:rsidP="00E23B2E">
            <w:pPr>
              <w:pStyle w:val="Tabletext"/>
              <w:rPr>
                <w:rFonts w:eastAsia="MS Mincho"/>
              </w:rPr>
            </w:pPr>
            <w:r w:rsidRPr="007D4988">
              <w:t>Amériques</w:t>
            </w:r>
          </w:p>
        </w:tc>
        <w:tc>
          <w:tcPr>
            <w:tcW w:w="1171" w:type="dxa"/>
            <w:tcBorders>
              <w:bottom w:val="single" w:sz="8" w:space="0" w:color="000000"/>
            </w:tcBorders>
            <w:noWrap/>
            <w:tcMar>
              <w:top w:w="0" w:type="dxa"/>
              <w:left w:w="108" w:type="dxa"/>
              <w:bottom w:w="0" w:type="dxa"/>
              <w:right w:w="108" w:type="dxa"/>
            </w:tcMar>
          </w:tcPr>
          <w:p w14:paraId="01DEBC8D" w14:textId="77777777" w:rsidR="00A540D1" w:rsidRPr="007D4988" w:rsidRDefault="00A540D1" w:rsidP="00E23B2E">
            <w:pPr>
              <w:pStyle w:val="Tabletext"/>
              <w:rPr>
                <w:rFonts w:eastAsia="MS Mincho"/>
              </w:rPr>
            </w:pPr>
            <w:r w:rsidRPr="007D4988">
              <w:t>16</w:t>
            </w:r>
          </w:p>
        </w:tc>
        <w:tc>
          <w:tcPr>
            <w:tcW w:w="1450" w:type="dxa"/>
            <w:tcBorders>
              <w:bottom w:val="single" w:sz="8" w:space="0" w:color="000000"/>
            </w:tcBorders>
            <w:tcMar>
              <w:top w:w="0" w:type="dxa"/>
              <w:left w:w="108" w:type="dxa"/>
              <w:bottom w:w="0" w:type="dxa"/>
              <w:right w:w="108" w:type="dxa"/>
            </w:tcMar>
          </w:tcPr>
          <w:p w14:paraId="58F42858" w14:textId="77777777" w:rsidR="00A540D1" w:rsidRPr="007D4988" w:rsidRDefault="00A540D1" w:rsidP="00E23B2E">
            <w:pPr>
              <w:pStyle w:val="Tabletext"/>
              <w:rPr>
                <w:rFonts w:eastAsia="MS Mincho"/>
              </w:rPr>
            </w:pPr>
            <w:r w:rsidRPr="007D4988">
              <w:t>6 241,1</w:t>
            </w:r>
          </w:p>
        </w:tc>
        <w:tc>
          <w:tcPr>
            <w:tcW w:w="1170" w:type="dxa"/>
            <w:tcBorders>
              <w:bottom w:val="single" w:sz="8" w:space="0" w:color="000000"/>
            </w:tcBorders>
            <w:tcMar>
              <w:top w:w="0" w:type="dxa"/>
              <w:left w:w="108" w:type="dxa"/>
              <w:bottom w:w="0" w:type="dxa"/>
              <w:right w:w="108" w:type="dxa"/>
            </w:tcMar>
          </w:tcPr>
          <w:p w14:paraId="29BC8E82" w14:textId="77777777" w:rsidR="00A540D1" w:rsidRPr="007D4988" w:rsidRDefault="00A540D1" w:rsidP="00E23B2E">
            <w:pPr>
              <w:pStyle w:val="Tabletext"/>
              <w:rPr>
                <w:rFonts w:eastAsia="MS Mincho"/>
              </w:rPr>
            </w:pPr>
            <w:r w:rsidRPr="007D4988">
              <w:t>236,8</w:t>
            </w:r>
          </w:p>
        </w:tc>
        <w:tc>
          <w:tcPr>
            <w:tcW w:w="1443" w:type="dxa"/>
            <w:tcBorders>
              <w:bottom w:val="single" w:sz="8" w:space="0" w:color="000000"/>
              <w:right w:val="single" w:sz="8" w:space="0" w:color="000000"/>
            </w:tcBorders>
            <w:shd w:val="clear" w:color="auto" w:fill="C1E4F5"/>
            <w:tcMar>
              <w:top w:w="0" w:type="dxa"/>
              <w:left w:w="108" w:type="dxa"/>
              <w:bottom w:w="0" w:type="dxa"/>
              <w:right w:w="108" w:type="dxa"/>
            </w:tcMar>
          </w:tcPr>
          <w:p w14:paraId="41B3DB8E" w14:textId="77777777" w:rsidR="00A540D1" w:rsidRPr="007D4988" w:rsidRDefault="00A540D1" w:rsidP="00E23B2E">
            <w:pPr>
              <w:pStyle w:val="Tabletext"/>
              <w:rPr>
                <w:rFonts w:eastAsia="MS Mincho"/>
              </w:rPr>
            </w:pPr>
            <w:r w:rsidRPr="007D4988">
              <w:t>6 477,9</w:t>
            </w:r>
          </w:p>
        </w:tc>
      </w:tr>
      <w:tr w:rsidR="00A540D1" w:rsidRPr="007D4988" w14:paraId="530FE1B8" w14:textId="77777777" w:rsidTr="00E23B2E">
        <w:trPr>
          <w:trHeight w:val="300"/>
          <w:jc w:val="center"/>
        </w:trPr>
        <w:tc>
          <w:tcPr>
            <w:tcW w:w="1571" w:type="dxa"/>
            <w:tcBorders>
              <w:left w:val="single" w:sz="8" w:space="0" w:color="000000"/>
              <w:bottom w:val="single" w:sz="8" w:space="0" w:color="000000"/>
            </w:tcBorders>
            <w:tcMar>
              <w:top w:w="0" w:type="dxa"/>
              <w:left w:w="108" w:type="dxa"/>
              <w:bottom w:w="0" w:type="dxa"/>
              <w:right w:w="108" w:type="dxa"/>
            </w:tcMar>
          </w:tcPr>
          <w:p w14:paraId="4C630ADB" w14:textId="77777777" w:rsidR="00A540D1" w:rsidRPr="007D4988" w:rsidRDefault="00A540D1" w:rsidP="00E23B2E">
            <w:pPr>
              <w:pStyle w:val="Tabletext"/>
              <w:rPr>
                <w:rFonts w:eastAsia="MS Mincho"/>
              </w:rPr>
            </w:pPr>
            <w:r w:rsidRPr="007D4988">
              <w:t>États arabes</w:t>
            </w:r>
          </w:p>
        </w:tc>
        <w:tc>
          <w:tcPr>
            <w:tcW w:w="1171" w:type="dxa"/>
            <w:tcBorders>
              <w:bottom w:val="single" w:sz="8" w:space="0" w:color="000000"/>
            </w:tcBorders>
            <w:tcMar>
              <w:top w:w="0" w:type="dxa"/>
              <w:left w:w="108" w:type="dxa"/>
              <w:bottom w:w="0" w:type="dxa"/>
              <w:right w:w="108" w:type="dxa"/>
            </w:tcMar>
          </w:tcPr>
          <w:p w14:paraId="0EA440F6" w14:textId="77777777" w:rsidR="00A540D1" w:rsidRPr="007D4988" w:rsidRDefault="00A540D1" w:rsidP="00E23B2E">
            <w:pPr>
              <w:pStyle w:val="Tabletext"/>
              <w:rPr>
                <w:rFonts w:eastAsia="MS Mincho"/>
              </w:rPr>
            </w:pPr>
            <w:r w:rsidRPr="007D4988">
              <w:t>6</w:t>
            </w:r>
          </w:p>
        </w:tc>
        <w:tc>
          <w:tcPr>
            <w:tcW w:w="1450" w:type="dxa"/>
            <w:tcBorders>
              <w:bottom w:val="single" w:sz="8" w:space="0" w:color="000000"/>
            </w:tcBorders>
            <w:tcMar>
              <w:top w:w="0" w:type="dxa"/>
              <w:left w:w="108" w:type="dxa"/>
              <w:bottom w:w="0" w:type="dxa"/>
              <w:right w:w="108" w:type="dxa"/>
            </w:tcMar>
          </w:tcPr>
          <w:p w14:paraId="4E5CE932" w14:textId="77777777" w:rsidR="00A540D1" w:rsidRPr="007D4988" w:rsidRDefault="00A540D1" w:rsidP="00E23B2E">
            <w:pPr>
              <w:pStyle w:val="Tabletext"/>
              <w:rPr>
                <w:rFonts w:eastAsia="MS Mincho"/>
              </w:rPr>
            </w:pPr>
            <w:r w:rsidRPr="007D4988">
              <w:t>2 568,9</w:t>
            </w:r>
          </w:p>
        </w:tc>
        <w:tc>
          <w:tcPr>
            <w:tcW w:w="1170" w:type="dxa"/>
            <w:tcBorders>
              <w:bottom w:val="single" w:sz="8" w:space="0" w:color="000000"/>
            </w:tcBorders>
            <w:tcMar>
              <w:top w:w="0" w:type="dxa"/>
              <w:left w:w="108" w:type="dxa"/>
              <w:bottom w:w="0" w:type="dxa"/>
              <w:right w:w="108" w:type="dxa"/>
            </w:tcMar>
          </w:tcPr>
          <w:p w14:paraId="5D6AF61C" w14:textId="77777777" w:rsidR="00A540D1" w:rsidRPr="007D4988" w:rsidRDefault="00A540D1" w:rsidP="00E23B2E">
            <w:pPr>
              <w:pStyle w:val="Tabletext"/>
              <w:rPr>
                <w:rFonts w:eastAsia="MS Mincho"/>
              </w:rPr>
            </w:pPr>
            <w:r w:rsidRPr="007D4988">
              <w:t>696,8</w:t>
            </w:r>
          </w:p>
        </w:tc>
        <w:tc>
          <w:tcPr>
            <w:tcW w:w="1443" w:type="dxa"/>
            <w:tcBorders>
              <w:bottom w:val="single" w:sz="8" w:space="0" w:color="000000"/>
              <w:right w:val="single" w:sz="8" w:space="0" w:color="000000"/>
            </w:tcBorders>
            <w:shd w:val="clear" w:color="auto" w:fill="C1E4F5"/>
            <w:tcMar>
              <w:top w:w="0" w:type="dxa"/>
              <w:left w:w="108" w:type="dxa"/>
              <w:bottom w:w="0" w:type="dxa"/>
              <w:right w:w="108" w:type="dxa"/>
            </w:tcMar>
          </w:tcPr>
          <w:p w14:paraId="6B706CEE" w14:textId="77777777" w:rsidR="00A540D1" w:rsidRPr="007D4988" w:rsidRDefault="00A540D1" w:rsidP="00E23B2E">
            <w:pPr>
              <w:pStyle w:val="Tabletext"/>
              <w:rPr>
                <w:rFonts w:eastAsia="MS Mincho"/>
              </w:rPr>
            </w:pPr>
            <w:r w:rsidRPr="007D4988">
              <w:t>3 265,7</w:t>
            </w:r>
          </w:p>
        </w:tc>
      </w:tr>
      <w:tr w:rsidR="00A540D1" w:rsidRPr="007D4988" w14:paraId="0F296790" w14:textId="77777777" w:rsidTr="00E23B2E">
        <w:trPr>
          <w:trHeight w:val="54"/>
          <w:jc w:val="center"/>
        </w:trPr>
        <w:tc>
          <w:tcPr>
            <w:tcW w:w="1571" w:type="dxa"/>
            <w:tcBorders>
              <w:left w:val="single" w:sz="8" w:space="0" w:color="000000"/>
              <w:bottom w:val="single" w:sz="8" w:space="0" w:color="000000"/>
            </w:tcBorders>
            <w:tcMar>
              <w:top w:w="0" w:type="dxa"/>
              <w:left w:w="108" w:type="dxa"/>
              <w:bottom w:w="0" w:type="dxa"/>
              <w:right w:w="108" w:type="dxa"/>
            </w:tcMar>
          </w:tcPr>
          <w:p w14:paraId="2353220B" w14:textId="77777777" w:rsidR="00A540D1" w:rsidRPr="007D4988" w:rsidRDefault="00A540D1" w:rsidP="00E23B2E">
            <w:pPr>
              <w:pStyle w:val="Tabletext"/>
              <w:rPr>
                <w:rFonts w:eastAsia="MS Mincho"/>
              </w:rPr>
            </w:pPr>
            <w:r w:rsidRPr="007D4988">
              <w:t>Asie-Pacifique</w:t>
            </w:r>
          </w:p>
        </w:tc>
        <w:tc>
          <w:tcPr>
            <w:tcW w:w="1171" w:type="dxa"/>
            <w:tcBorders>
              <w:bottom w:val="single" w:sz="8" w:space="0" w:color="000000"/>
            </w:tcBorders>
            <w:noWrap/>
            <w:tcMar>
              <w:top w:w="0" w:type="dxa"/>
              <w:left w:w="108" w:type="dxa"/>
              <w:bottom w:w="0" w:type="dxa"/>
              <w:right w:w="108" w:type="dxa"/>
            </w:tcMar>
          </w:tcPr>
          <w:p w14:paraId="474DBD70" w14:textId="77777777" w:rsidR="00A540D1" w:rsidRPr="007D4988" w:rsidRDefault="00A540D1" w:rsidP="00E23B2E">
            <w:pPr>
              <w:pStyle w:val="Tabletext"/>
              <w:rPr>
                <w:rFonts w:eastAsia="MS Mincho"/>
              </w:rPr>
            </w:pPr>
            <w:r w:rsidRPr="007D4988">
              <w:t>15</w:t>
            </w:r>
          </w:p>
        </w:tc>
        <w:tc>
          <w:tcPr>
            <w:tcW w:w="1450" w:type="dxa"/>
            <w:tcBorders>
              <w:bottom w:val="single" w:sz="8" w:space="0" w:color="000000"/>
            </w:tcBorders>
            <w:tcMar>
              <w:top w:w="0" w:type="dxa"/>
              <w:left w:w="108" w:type="dxa"/>
              <w:bottom w:w="0" w:type="dxa"/>
              <w:right w:w="108" w:type="dxa"/>
            </w:tcMar>
          </w:tcPr>
          <w:p w14:paraId="0C69496F" w14:textId="77777777" w:rsidR="00A540D1" w:rsidRPr="007D4988" w:rsidRDefault="00A540D1" w:rsidP="00E23B2E">
            <w:pPr>
              <w:pStyle w:val="Tabletext"/>
              <w:rPr>
                <w:rFonts w:eastAsia="MS Mincho"/>
              </w:rPr>
            </w:pPr>
            <w:r w:rsidRPr="007D4988">
              <w:t>6 374,1</w:t>
            </w:r>
          </w:p>
        </w:tc>
        <w:tc>
          <w:tcPr>
            <w:tcW w:w="1170" w:type="dxa"/>
            <w:tcBorders>
              <w:bottom w:val="single" w:sz="8" w:space="0" w:color="000000"/>
            </w:tcBorders>
            <w:tcMar>
              <w:top w:w="0" w:type="dxa"/>
              <w:left w:w="108" w:type="dxa"/>
              <w:bottom w:w="0" w:type="dxa"/>
              <w:right w:w="108" w:type="dxa"/>
            </w:tcMar>
          </w:tcPr>
          <w:p w14:paraId="3E32CF56" w14:textId="77777777" w:rsidR="00A540D1" w:rsidRPr="007D4988" w:rsidRDefault="00A540D1" w:rsidP="00E23B2E">
            <w:pPr>
              <w:pStyle w:val="Tabletext"/>
              <w:rPr>
                <w:rFonts w:eastAsia="MS Mincho"/>
              </w:rPr>
            </w:pPr>
            <w:r w:rsidRPr="007D4988">
              <w:t>851,8</w:t>
            </w:r>
          </w:p>
        </w:tc>
        <w:tc>
          <w:tcPr>
            <w:tcW w:w="1443" w:type="dxa"/>
            <w:tcBorders>
              <w:bottom w:val="single" w:sz="8" w:space="0" w:color="000000"/>
              <w:right w:val="single" w:sz="8" w:space="0" w:color="000000"/>
            </w:tcBorders>
            <w:shd w:val="clear" w:color="auto" w:fill="C1E4F5"/>
            <w:tcMar>
              <w:top w:w="0" w:type="dxa"/>
              <w:left w:w="108" w:type="dxa"/>
              <w:bottom w:w="0" w:type="dxa"/>
              <w:right w:w="108" w:type="dxa"/>
            </w:tcMar>
          </w:tcPr>
          <w:p w14:paraId="3E48EFEF" w14:textId="77777777" w:rsidR="00A540D1" w:rsidRPr="007D4988" w:rsidRDefault="00A540D1" w:rsidP="00E23B2E">
            <w:pPr>
              <w:pStyle w:val="Tabletext"/>
              <w:rPr>
                <w:rFonts w:eastAsia="MS Mincho"/>
              </w:rPr>
            </w:pPr>
            <w:r w:rsidRPr="007D4988">
              <w:t>7 225,9</w:t>
            </w:r>
          </w:p>
        </w:tc>
      </w:tr>
      <w:tr w:rsidR="00A540D1" w:rsidRPr="007D4988" w14:paraId="49630048" w14:textId="77777777" w:rsidTr="00E23B2E">
        <w:trPr>
          <w:trHeight w:val="54"/>
          <w:jc w:val="center"/>
        </w:trPr>
        <w:tc>
          <w:tcPr>
            <w:tcW w:w="1571" w:type="dxa"/>
            <w:tcBorders>
              <w:left w:val="single" w:sz="8" w:space="0" w:color="000000"/>
              <w:bottom w:val="single" w:sz="8" w:space="0" w:color="000000"/>
            </w:tcBorders>
            <w:tcMar>
              <w:top w:w="0" w:type="dxa"/>
              <w:left w:w="108" w:type="dxa"/>
              <w:bottom w:w="0" w:type="dxa"/>
              <w:right w:w="108" w:type="dxa"/>
            </w:tcMar>
          </w:tcPr>
          <w:p w14:paraId="4276BA95" w14:textId="77777777" w:rsidR="00A540D1" w:rsidRPr="007D4988" w:rsidRDefault="00A540D1" w:rsidP="00E23B2E">
            <w:pPr>
              <w:pStyle w:val="Tabletext"/>
              <w:rPr>
                <w:rFonts w:eastAsia="MS Mincho"/>
              </w:rPr>
            </w:pPr>
            <w:r w:rsidRPr="007D4988">
              <w:t>CEI</w:t>
            </w:r>
          </w:p>
        </w:tc>
        <w:tc>
          <w:tcPr>
            <w:tcW w:w="1171" w:type="dxa"/>
            <w:tcBorders>
              <w:bottom w:val="single" w:sz="8" w:space="0" w:color="000000"/>
            </w:tcBorders>
            <w:tcMar>
              <w:top w:w="0" w:type="dxa"/>
              <w:left w:w="108" w:type="dxa"/>
              <w:bottom w:w="0" w:type="dxa"/>
              <w:right w:w="108" w:type="dxa"/>
            </w:tcMar>
          </w:tcPr>
          <w:p w14:paraId="5FE0B39A" w14:textId="77777777" w:rsidR="00A540D1" w:rsidRPr="007D4988" w:rsidRDefault="00A540D1" w:rsidP="00E23B2E">
            <w:pPr>
              <w:pStyle w:val="Tabletext"/>
              <w:rPr>
                <w:rFonts w:eastAsia="MS Mincho"/>
              </w:rPr>
            </w:pPr>
            <w:r w:rsidRPr="007D4988">
              <w:t>3</w:t>
            </w:r>
          </w:p>
        </w:tc>
        <w:tc>
          <w:tcPr>
            <w:tcW w:w="1450" w:type="dxa"/>
            <w:tcBorders>
              <w:bottom w:val="single" w:sz="8" w:space="0" w:color="000000"/>
            </w:tcBorders>
            <w:tcMar>
              <w:top w:w="0" w:type="dxa"/>
              <w:left w:w="108" w:type="dxa"/>
              <w:bottom w:w="0" w:type="dxa"/>
              <w:right w:w="108" w:type="dxa"/>
            </w:tcMar>
          </w:tcPr>
          <w:p w14:paraId="4A57141B" w14:textId="77777777" w:rsidR="00A540D1" w:rsidRPr="007D4988" w:rsidRDefault="00A540D1" w:rsidP="00E23B2E">
            <w:pPr>
              <w:pStyle w:val="Tabletext"/>
              <w:rPr>
                <w:rFonts w:eastAsia="MS Mincho"/>
              </w:rPr>
            </w:pPr>
            <w:r w:rsidRPr="007D4988">
              <w:t>344,1</w:t>
            </w:r>
          </w:p>
        </w:tc>
        <w:tc>
          <w:tcPr>
            <w:tcW w:w="1170" w:type="dxa"/>
            <w:tcBorders>
              <w:bottom w:val="single" w:sz="8" w:space="0" w:color="000000"/>
            </w:tcBorders>
            <w:tcMar>
              <w:top w:w="0" w:type="dxa"/>
              <w:left w:w="108" w:type="dxa"/>
              <w:bottom w:w="0" w:type="dxa"/>
              <w:right w:w="108" w:type="dxa"/>
            </w:tcMar>
          </w:tcPr>
          <w:p w14:paraId="09AB1EA3" w14:textId="77777777" w:rsidR="00A540D1" w:rsidRPr="007D4988" w:rsidRDefault="00A540D1" w:rsidP="00E23B2E">
            <w:pPr>
              <w:pStyle w:val="Tabletext"/>
              <w:rPr>
                <w:rFonts w:eastAsia="MS Mincho"/>
              </w:rPr>
            </w:pPr>
            <w:r w:rsidRPr="007D4988">
              <w:t>509,5</w:t>
            </w:r>
          </w:p>
        </w:tc>
        <w:tc>
          <w:tcPr>
            <w:tcW w:w="1443" w:type="dxa"/>
            <w:tcBorders>
              <w:bottom w:val="single" w:sz="8" w:space="0" w:color="000000"/>
              <w:right w:val="single" w:sz="8" w:space="0" w:color="000000"/>
            </w:tcBorders>
            <w:shd w:val="clear" w:color="auto" w:fill="C1E4F5"/>
            <w:tcMar>
              <w:top w:w="0" w:type="dxa"/>
              <w:left w:w="108" w:type="dxa"/>
              <w:bottom w:w="0" w:type="dxa"/>
              <w:right w:w="108" w:type="dxa"/>
            </w:tcMar>
          </w:tcPr>
          <w:p w14:paraId="04C309FE" w14:textId="77777777" w:rsidR="00A540D1" w:rsidRPr="007D4988" w:rsidRDefault="00A540D1" w:rsidP="00E23B2E">
            <w:pPr>
              <w:pStyle w:val="Tabletext"/>
              <w:rPr>
                <w:rFonts w:eastAsia="MS Mincho"/>
              </w:rPr>
            </w:pPr>
            <w:r w:rsidRPr="007D4988">
              <w:t>853,6</w:t>
            </w:r>
          </w:p>
        </w:tc>
      </w:tr>
      <w:tr w:rsidR="00A540D1" w:rsidRPr="007D4988" w14:paraId="0532119F" w14:textId="77777777" w:rsidTr="00E23B2E">
        <w:trPr>
          <w:trHeight w:val="54"/>
          <w:jc w:val="center"/>
        </w:trPr>
        <w:tc>
          <w:tcPr>
            <w:tcW w:w="1571" w:type="dxa"/>
            <w:tcBorders>
              <w:left w:val="single" w:sz="8" w:space="0" w:color="000000"/>
              <w:bottom w:val="single" w:sz="8" w:space="0" w:color="000000"/>
            </w:tcBorders>
            <w:tcMar>
              <w:top w:w="0" w:type="dxa"/>
              <w:left w:w="108" w:type="dxa"/>
              <w:bottom w:w="0" w:type="dxa"/>
              <w:right w:w="108" w:type="dxa"/>
            </w:tcMar>
          </w:tcPr>
          <w:p w14:paraId="760EAE08" w14:textId="77777777" w:rsidR="00A540D1" w:rsidRPr="007D4988" w:rsidRDefault="00A540D1" w:rsidP="00E23B2E">
            <w:pPr>
              <w:pStyle w:val="Tabletext"/>
              <w:rPr>
                <w:rFonts w:eastAsia="MS Mincho"/>
              </w:rPr>
            </w:pPr>
            <w:r w:rsidRPr="007D4988">
              <w:t>Europe</w:t>
            </w:r>
          </w:p>
        </w:tc>
        <w:tc>
          <w:tcPr>
            <w:tcW w:w="1171" w:type="dxa"/>
            <w:tcBorders>
              <w:bottom w:val="single" w:sz="8" w:space="0" w:color="000000"/>
            </w:tcBorders>
            <w:tcMar>
              <w:top w:w="0" w:type="dxa"/>
              <w:left w:w="108" w:type="dxa"/>
              <w:bottom w:w="0" w:type="dxa"/>
              <w:right w:w="108" w:type="dxa"/>
            </w:tcMar>
          </w:tcPr>
          <w:p w14:paraId="2C376DFB" w14:textId="77777777" w:rsidR="00A540D1" w:rsidRPr="007D4988" w:rsidRDefault="00A540D1" w:rsidP="00E23B2E">
            <w:pPr>
              <w:pStyle w:val="Tabletext"/>
              <w:rPr>
                <w:rFonts w:eastAsia="MS Mincho"/>
              </w:rPr>
            </w:pPr>
            <w:r w:rsidRPr="007D4988">
              <w:t>3</w:t>
            </w:r>
          </w:p>
        </w:tc>
        <w:tc>
          <w:tcPr>
            <w:tcW w:w="1450" w:type="dxa"/>
            <w:tcBorders>
              <w:bottom w:val="single" w:sz="8" w:space="0" w:color="000000"/>
            </w:tcBorders>
            <w:tcMar>
              <w:top w:w="0" w:type="dxa"/>
              <w:left w:w="108" w:type="dxa"/>
              <w:bottom w:w="0" w:type="dxa"/>
              <w:right w:w="108" w:type="dxa"/>
            </w:tcMar>
          </w:tcPr>
          <w:p w14:paraId="65830070" w14:textId="77777777" w:rsidR="00A540D1" w:rsidRPr="007D4988" w:rsidRDefault="00A540D1" w:rsidP="00E23B2E">
            <w:pPr>
              <w:pStyle w:val="Tabletext"/>
              <w:rPr>
                <w:rFonts w:eastAsia="MS Mincho"/>
              </w:rPr>
            </w:pPr>
            <w:r w:rsidRPr="007D4988">
              <w:t>411,1</w:t>
            </w:r>
          </w:p>
        </w:tc>
        <w:tc>
          <w:tcPr>
            <w:tcW w:w="1170" w:type="dxa"/>
            <w:tcBorders>
              <w:bottom w:val="single" w:sz="8" w:space="0" w:color="000000"/>
            </w:tcBorders>
            <w:tcMar>
              <w:top w:w="0" w:type="dxa"/>
              <w:left w:w="108" w:type="dxa"/>
              <w:bottom w:w="0" w:type="dxa"/>
              <w:right w:w="108" w:type="dxa"/>
            </w:tcMar>
          </w:tcPr>
          <w:p w14:paraId="6DB4A2C0" w14:textId="77777777" w:rsidR="00A540D1" w:rsidRPr="007D4988" w:rsidRDefault="00A540D1" w:rsidP="00E23B2E">
            <w:pPr>
              <w:pStyle w:val="Tabletext"/>
              <w:rPr>
                <w:rFonts w:eastAsia="MS Mincho"/>
              </w:rPr>
            </w:pPr>
            <w:r w:rsidRPr="007D4988">
              <w:t>45,6</w:t>
            </w:r>
          </w:p>
        </w:tc>
        <w:tc>
          <w:tcPr>
            <w:tcW w:w="1443" w:type="dxa"/>
            <w:tcBorders>
              <w:bottom w:val="single" w:sz="8" w:space="0" w:color="000000"/>
              <w:right w:val="single" w:sz="8" w:space="0" w:color="000000"/>
            </w:tcBorders>
            <w:shd w:val="clear" w:color="auto" w:fill="C1E4F5"/>
            <w:tcMar>
              <w:top w:w="0" w:type="dxa"/>
              <w:left w:w="108" w:type="dxa"/>
              <w:bottom w:w="0" w:type="dxa"/>
              <w:right w:w="108" w:type="dxa"/>
            </w:tcMar>
          </w:tcPr>
          <w:p w14:paraId="45D48654" w14:textId="77777777" w:rsidR="00A540D1" w:rsidRPr="007D4988" w:rsidRDefault="00A540D1" w:rsidP="00E23B2E">
            <w:pPr>
              <w:pStyle w:val="Tabletext"/>
              <w:rPr>
                <w:rFonts w:eastAsia="MS Mincho"/>
              </w:rPr>
            </w:pPr>
            <w:r w:rsidRPr="007D4988">
              <w:t>456,7</w:t>
            </w:r>
          </w:p>
        </w:tc>
      </w:tr>
      <w:tr w:rsidR="00A540D1" w:rsidRPr="007D4988" w14:paraId="772DA513" w14:textId="77777777" w:rsidTr="00E23B2E">
        <w:trPr>
          <w:trHeight w:val="54"/>
          <w:jc w:val="center"/>
        </w:trPr>
        <w:tc>
          <w:tcPr>
            <w:tcW w:w="1571" w:type="dxa"/>
            <w:tcBorders>
              <w:left w:val="single" w:sz="8" w:space="0" w:color="000000"/>
              <w:bottom w:val="single" w:sz="8" w:space="0" w:color="000000"/>
            </w:tcBorders>
            <w:tcMar>
              <w:top w:w="0" w:type="dxa"/>
              <w:left w:w="108" w:type="dxa"/>
              <w:bottom w:w="0" w:type="dxa"/>
              <w:right w:w="108" w:type="dxa"/>
            </w:tcMar>
          </w:tcPr>
          <w:p w14:paraId="6CDAB0B7" w14:textId="77777777" w:rsidR="00A540D1" w:rsidRPr="007D4988" w:rsidRDefault="00A540D1" w:rsidP="00E23B2E">
            <w:pPr>
              <w:pStyle w:val="Tabletext"/>
              <w:rPr>
                <w:rFonts w:eastAsia="MS Mincho"/>
              </w:rPr>
            </w:pPr>
            <w:r w:rsidRPr="007D4988">
              <w:t>Plusieurs régions</w:t>
            </w:r>
          </w:p>
        </w:tc>
        <w:tc>
          <w:tcPr>
            <w:tcW w:w="1171" w:type="dxa"/>
            <w:tcBorders>
              <w:bottom w:val="single" w:sz="8" w:space="0" w:color="000000"/>
            </w:tcBorders>
            <w:noWrap/>
            <w:tcMar>
              <w:top w:w="0" w:type="dxa"/>
              <w:left w:w="108" w:type="dxa"/>
              <w:bottom w:w="0" w:type="dxa"/>
              <w:right w:w="108" w:type="dxa"/>
            </w:tcMar>
          </w:tcPr>
          <w:p w14:paraId="1CBA3FEA" w14:textId="77777777" w:rsidR="00A540D1" w:rsidRPr="007D4988" w:rsidRDefault="00A540D1" w:rsidP="00E23B2E">
            <w:pPr>
              <w:pStyle w:val="Tabletext"/>
              <w:rPr>
                <w:rFonts w:eastAsia="MS Mincho"/>
              </w:rPr>
            </w:pPr>
            <w:r w:rsidRPr="007D4988">
              <w:t>43</w:t>
            </w:r>
          </w:p>
        </w:tc>
        <w:tc>
          <w:tcPr>
            <w:tcW w:w="1450" w:type="dxa"/>
            <w:tcBorders>
              <w:bottom w:val="single" w:sz="8" w:space="0" w:color="000000"/>
            </w:tcBorders>
            <w:tcMar>
              <w:top w:w="0" w:type="dxa"/>
              <w:left w:w="108" w:type="dxa"/>
              <w:bottom w:w="0" w:type="dxa"/>
              <w:right w:w="108" w:type="dxa"/>
            </w:tcMar>
          </w:tcPr>
          <w:p w14:paraId="3032A8FC" w14:textId="77777777" w:rsidR="00A540D1" w:rsidRPr="007D4988" w:rsidRDefault="00A540D1" w:rsidP="00E23B2E">
            <w:pPr>
              <w:pStyle w:val="Tabletext"/>
              <w:rPr>
                <w:rFonts w:eastAsia="MS Mincho"/>
              </w:rPr>
            </w:pPr>
            <w:r w:rsidRPr="007D4988">
              <w:t>25 164,9</w:t>
            </w:r>
          </w:p>
        </w:tc>
        <w:tc>
          <w:tcPr>
            <w:tcW w:w="1170" w:type="dxa"/>
            <w:tcBorders>
              <w:bottom w:val="single" w:sz="8" w:space="0" w:color="000000"/>
            </w:tcBorders>
            <w:tcMar>
              <w:top w:w="0" w:type="dxa"/>
              <w:left w:w="108" w:type="dxa"/>
              <w:bottom w:w="0" w:type="dxa"/>
              <w:right w:w="108" w:type="dxa"/>
            </w:tcMar>
          </w:tcPr>
          <w:p w14:paraId="22898F22" w14:textId="77777777" w:rsidR="00A540D1" w:rsidRPr="007D4988" w:rsidRDefault="00A540D1" w:rsidP="00E23B2E">
            <w:pPr>
              <w:pStyle w:val="Tabletext"/>
              <w:rPr>
                <w:rFonts w:eastAsia="MS Mincho"/>
              </w:rPr>
            </w:pPr>
            <w:r w:rsidRPr="007D4988">
              <w:t>7 880,7</w:t>
            </w:r>
          </w:p>
        </w:tc>
        <w:tc>
          <w:tcPr>
            <w:tcW w:w="1443" w:type="dxa"/>
            <w:tcBorders>
              <w:bottom w:val="single" w:sz="8" w:space="0" w:color="000000"/>
              <w:right w:val="single" w:sz="8" w:space="0" w:color="000000"/>
            </w:tcBorders>
            <w:shd w:val="clear" w:color="auto" w:fill="C1E4F5"/>
            <w:tcMar>
              <w:top w:w="0" w:type="dxa"/>
              <w:left w:w="108" w:type="dxa"/>
              <w:bottom w:w="0" w:type="dxa"/>
              <w:right w:w="108" w:type="dxa"/>
            </w:tcMar>
          </w:tcPr>
          <w:p w14:paraId="1244DF0D" w14:textId="77777777" w:rsidR="00A540D1" w:rsidRPr="007D4988" w:rsidRDefault="00A540D1" w:rsidP="00E23B2E">
            <w:pPr>
              <w:pStyle w:val="Tabletext"/>
              <w:rPr>
                <w:rFonts w:eastAsia="MS Mincho"/>
              </w:rPr>
            </w:pPr>
            <w:r w:rsidRPr="007D4988">
              <w:t>33 045,5</w:t>
            </w:r>
          </w:p>
        </w:tc>
      </w:tr>
      <w:tr w:rsidR="00A540D1" w:rsidRPr="007D4988" w14:paraId="096F6CF9" w14:textId="77777777" w:rsidTr="00E23B2E">
        <w:trPr>
          <w:trHeight w:val="54"/>
          <w:jc w:val="center"/>
        </w:trPr>
        <w:tc>
          <w:tcPr>
            <w:tcW w:w="1571" w:type="dxa"/>
            <w:tcBorders>
              <w:left w:val="single" w:sz="8" w:space="0" w:color="000000"/>
              <w:bottom w:val="single" w:sz="8" w:space="0" w:color="000000"/>
            </w:tcBorders>
            <w:shd w:val="clear" w:color="auto" w:fill="C1E4F5"/>
            <w:noWrap/>
            <w:tcMar>
              <w:top w:w="0" w:type="dxa"/>
              <w:left w:w="108" w:type="dxa"/>
              <w:bottom w:w="0" w:type="dxa"/>
              <w:right w:w="108" w:type="dxa"/>
            </w:tcMar>
            <w:vAlign w:val="center"/>
          </w:tcPr>
          <w:p w14:paraId="2D22C250" w14:textId="77777777" w:rsidR="00A540D1" w:rsidRPr="007D4988" w:rsidRDefault="00A540D1" w:rsidP="00E23B2E">
            <w:pPr>
              <w:pStyle w:val="Tabletext"/>
              <w:rPr>
                <w:b/>
                <w:bCs/>
                <w:szCs w:val="22"/>
              </w:rPr>
            </w:pPr>
            <w:r w:rsidRPr="007D4988">
              <w:rPr>
                <w:b/>
                <w:bCs/>
              </w:rPr>
              <w:t>Total</w:t>
            </w:r>
          </w:p>
        </w:tc>
        <w:tc>
          <w:tcPr>
            <w:tcW w:w="1171" w:type="dxa"/>
            <w:tcBorders>
              <w:bottom w:val="single" w:sz="8" w:space="0" w:color="000000"/>
            </w:tcBorders>
            <w:shd w:val="clear" w:color="auto" w:fill="C1E4F5"/>
            <w:noWrap/>
            <w:tcMar>
              <w:top w:w="0" w:type="dxa"/>
              <w:left w:w="108" w:type="dxa"/>
              <w:bottom w:w="0" w:type="dxa"/>
              <w:right w:w="108" w:type="dxa"/>
            </w:tcMar>
          </w:tcPr>
          <w:p w14:paraId="29854D02" w14:textId="77777777" w:rsidR="00A540D1" w:rsidRPr="007D4988" w:rsidRDefault="00A540D1" w:rsidP="00E23B2E">
            <w:pPr>
              <w:pStyle w:val="Tabletext"/>
              <w:rPr>
                <w:rFonts w:eastAsia="MS Mincho"/>
              </w:rPr>
            </w:pPr>
            <w:r w:rsidRPr="007D4988">
              <w:rPr>
                <w:b/>
                <w:bCs/>
              </w:rPr>
              <w:t>106</w:t>
            </w:r>
          </w:p>
        </w:tc>
        <w:tc>
          <w:tcPr>
            <w:tcW w:w="1450" w:type="dxa"/>
            <w:tcBorders>
              <w:bottom w:val="single" w:sz="8" w:space="0" w:color="000000"/>
            </w:tcBorders>
            <w:shd w:val="clear" w:color="auto" w:fill="C1E4F5"/>
            <w:noWrap/>
            <w:tcMar>
              <w:top w:w="0" w:type="dxa"/>
              <w:left w:w="108" w:type="dxa"/>
              <w:bottom w:w="0" w:type="dxa"/>
              <w:right w:w="108" w:type="dxa"/>
            </w:tcMar>
          </w:tcPr>
          <w:p w14:paraId="79E80650" w14:textId="77777777" w:rsidR="00A540D1" w:rsidRPr="007D4988" w:rsidRDefault="00A540D1" w:rsidP="00E23B2E">
            <w:pPr>
              <w:pStyle w:val="Tabletext"/>
              <w:rPr>
                <w:rFonts w:eastAsia="MS Mincho"/>
              </w:rPr>
            </w:pPr>
            <w:r w:rsidRPr="007D4988">
              <w:rPr>
                <w:b/>
                <w:bCs/>
              </w:rPr>
              <w:t>68 022,0</w:t>
            </w:r>
          </w:p>
        </w:tc>
        <w:tc>
          <w:tcPr>
            <w:tcW w:w="1170" w:type="dxa"/>
            <w:tcBorders>
              <w:bottom w:val="single" w:sz="8" w:space="0" w:color="000000"/>
            </w:tcBorders>
            <w:shd w:val="clear" w:color="auto" w:fill="C1E4F5"/>
            <w:noWrap/>
            <w:tcMar>
              <w:top w:w="0" w:type="dxa"/>
              <w:left w:w="108" w:type="dxa"/>
              <w:bottom w:w="0" w:type="dxa"/>
              <w:right w:w="108" w:type="dxa"/>
            </w:tcMar>
          </w:tcPr>
          <w:p w14:paraId="55471AEE" w14:textId="77777777" w:rsidR="00A540D1" w:rsidRPr="007D4988" w:rsidRDefault="00A540D1" w:rsidP="00E23B2E">
            <w:pPr>
              <w:pStyle w:val="Tabletext"/>
              <w:rPr>
                <w:rFonts w:eastAsia="MS Mincho"/>
              </w:rPr>
            </w:pPr>
            <w:r w:rsidRPr="007D4988">
              <w:rPr>
                <w:b/>
                <w:bCs/>
              </w:rPr>
              <w:t>11 726,5</w:t>
            </w:r>
          </w:p>
        </w:tc>
        <w:tc>
          <w:tcPr>
            <w:tcW w:w="1443" w:type="dxa"/>
            <w:tcBorders>
              <w:bottom w:val="single" w:sz="8" w:space="0" w:color="000000"/>
              <w:right w:val="single" w:sz="8" w:space="0" w:color="000000"/>
            </w:tcBorders>
            <w:shd w:val="clear" w:color="auto" w:fill="C1E4F5"/>
            <w:noWrap/>
            <w:tcMar>
              <w:top w:w="0" w:type="dxa"/>
              <w:left w:w="108" w:type="dxa"/>
              <w:bottom w:w="0" w:type="dxa"/>
              <w:right w:w="108" w:type="dxa"/>
            </w:tcMar>
          </w:tcPr>
          <w:p w14:paraId="23E0FDA5" w14:textId="77777777" w:rsidR="00A540D1" w:rsidRPr="007D4988" w:rsidRDefault="00A540D1" w:rsidP="00E23B2E">
            <w:pPr>
              <w:pStyle w:val="Tabletext"/>
              <w:rPr>
                <w:rFonts w:eastAsia="MS Mincho"/>
              </w:rPr>
            </w:pPr>
            <w:r w:rsidRPr="007D4988">
              <w:rPr>
                <w:b/>
                <w:bCs/>
              </w:rPr>
              <w:t>79 748,5</w:t>
            </w:r>
          </w:p>
        </w:tc>
      </w:tr>
    </w:tbl>
    <w:p w14:paraId="12B4519E" w14:textId="77777777" w:rsidR="00A540D1" w:rsidRPr="007D4988" w:rsidRDefault="00A540D1" w:rsidP="00A540D1">
      <w:pPr>
        <w:pStyle w:val="Tablelegend"/>
        <w:tabs>
          <w:tab w:val="clear" w:pos="284"/>
        </w:tabs>
        <w:ind w:left="1134" w:firstLine="0"/>
        <w:rPr>
          <w:sz w:val="22"/>
          <w:szCs w:val="22"/>
        </w:rPr>
      </w:pPr>
      <w:r w:rsidRPr="007D4988">
        <w:rPr>
          <w:sz w:val="22"/>
          <w:szCs w:val="22"/>
        </w:rPr>
        <w:t>*</w:t>
      </w:r>
      <w:r w:rsidRPr="007D4988">
        <w:rPr>
          <w:sz w:val="22"/>
          <w:szCs w:val="22"/>
        </w:rPr>
        <w:tab/>
      </w:r>
      <w:r w:rsidRPr="007D4988">
        <w:t>Projets multirégionaux ou projets dont bénéficient toutes les régions</w:t>
      </w:r>
    </w:p>
    <w:p w14:paraId="2AABE6FA" w14:textId="2848FDDE" w:rsidR="00A540D1" w:rsidRPr="007D4988" w:rsidRDefault="00A540D1" w:rsidP="00A540D1">
      <w:pPr>
        <w:spacing w:before="240"/>
      </w:pPr>
      <w:r w:rsidRPr="007D4988">
        <w:t>En 2025, le BDT a signé un total de 26 nouveaux projets, d'un montant de 4,3 millions CHF, ce qui lui permet de clore le précédent cycle de la CMDT (2023-2025) avec un total de</w:t>
      </w:r>
      <w:r w:rsidR="00DF4404" w:rsidRPr="007D4988">
        <w:t> </w:t>
      </w:r>
      <w:r w:rsidRPr="007D4988">
        <w:t xml:space="preserve">91 nouveaux projets signés, pour un montant de 51 millions CHF. Bien que la période de mise en œuvre ait été raccourcie (trois ans), le nombre total de projets signés pendant le cycle traduit une évolution positive de la mobilisation des ressources, dans le prolongement de celle déjà observée pendant le cycle de la CMDT-17 (2018-2022) (voir les Figures </w:t>
      </w:r>
      <w:hyperlink w:anchor="Fig18" w:history="1">
        <w:r w:rsidR="001C180F" w:rsidRPr="007D4988">
          <w:rPr>
            <w:rStyle w:val="Hyperlink"/>
            <w:rFonts w:eastAsia="Times New Roman" w:cs="Times New Roman"/>
            <w:szCs w:val="20"/>
          </w:rPr>
          <w:t>18</w:t>
        </w:r>
      </w:hyperlink>
      <w:r w:rsidR="001C180F" w:rsidRPr="007D4988">
        <w:t xml:space="preserve"> et </w:t>
      </w:r>
      <w:hyperlink w:anchor="Fig19" w:history="1">
        <w:r w:rsidR="001C180F" w:rsidRPr="007D4988">
          <w:rPr>
            <w:rStyle w:val="Hyperlink"/>
            <w:rFonts w:eastAsia="Times New Roman" w:cs="Times New Roman"/>
            <w:szCs w:val="20"/>
          </w:rPr>
          <w:t>19</w:t>
        </w:r>
      </w:hyperlink>
      <w:r w:rsidRPr="007D4988">
        <w:t>). Ces nouveaux projets sont de nature multirégionale, régionale et nationale et couvrent l'ensemble des priorités de l'UIT-D définies dans le Plan d'action de Kigali adopté par la CMDT.</w:t>
      </w:r>
    </w:p>
    <w:p w14:paraId="1FC8D0BA" w14:textId="050E257B" w:rsidR="00A540D1" w:rsidRPr="007D4988" w:rsidRDefault="00060483" w:rsidP="00A540D1">
      <w:pPr>
        <w:pStyle w:val="Figure"/>
      </w:pPr>
      <w:r w:rsidRPr="007D4988">
        <w:rPr>
          <w:noProof/>
        </w:rPr>
        <w:drawing>
          <wp:inline distT="0" distB="0" distL="0" distR="0" wp14:anchorId="0AC08035" wp14:editId="083037C9">
            <wp:extent cx="5220269" cy="2701350"/>
            <wp:effectExtent l="0" t="0" r="0" b="3810"/>
            <wp:docPr id="595873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73157" name=""/>
                    <pic:cNvPicPr/>
                  </pic:nvPicPr>
                  <pic:blipFill>
                    <a:blip r:embed="rId401"/>
                    <a:stretch>
                      <a:fillRect/>
                    </a:stretch>
                  </pic:blipFill>
                  <pic:spPr>
                    <a:xfrm>
                      <a:off x="0" y="0"/>
                      <a:ext cx="5234760" cy="2708848"/>
                    </a:xfrm>
                    <a:prstGeom prst="rect">
                      <a:avLst/>
                    </a:prstGeom>
                  </pic:spPr>
                </pic:pic>
              </a:graphicData>
            </a:graphic>
          </wp:inline>
        </w:drawing>
      </w:r>
    </w:p>
    <w:p w14:paraId="64DC34E6" w14:textId="77777777" w:rsidR="00A540D1" w:rsidRPr="007D4988" w:rsidRDefault="00A540D1" w:rsidP="00DF4404">
      <w:pPr>
        <w:pStyle w:val="Figurelegend"/>
        <w:spacing w:before="0"/>
        <w:rPr>
          <w:i/>
          <w:iCs/>
        </w:rPr>
      </w:pPr>
      <w:bookmarkStart w:id="84" w:name="Fig18"/>
      <w:bookmarkEnd w:id="84"/>
      <w:r w:rsidRPr="007D4988">
        <w:rPr>
          <w:i/>
          <w:iCs/>
        </w:rPr>
        <w:t>Figure 18 – Nouveaux projets signés par l'UIT par année de signature (2015-2025).</w:t>
      </w:r>
    </w:p>
    <w:p w14:paraId="6EE65742" w14:textId="77777777" w:rsidR="00A540D1" w:rsidRPr="007D4988" w:rsidRDefault="00A540D1" w:rsidP="00A540D1">
      <w:pPr>
        <w:pStyle w:val="Figure"/>
      </w:pPr>
      <w:r w:rsidRPr="007D4988">
        <w:rPr>
          <w:noProof/>
        </w:rPr>
        <w:drawing>
          <wp:inline distT="0" distB="0" distL="0" distR="0" wp14:anchorId="059F8212" wp14:editId="534D979F">
            <wp:extent cx="4542866" cy="2223821"/>
            <wp:effectExtent l="0" t="0" r="0" b="5080"/>
            <wp:docPr id="4380945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2"/>
              </a:graphicData>
            </a:graphic>
          </wp:inline>
        </w:drawing>
      </w:r>
    </w:p>
    <w:p w14:paraId="15AE7AE9" w14:textId="77777777" w:rsidR="00A540D1" w:rsidRPr="007D4988" w:rsidRDefault="00A540D1" w:rsidP="00DF4404">
      <w:pPr>
        <w:pStyle w:val="Figurelegend"/>
        <w:spacing w:before="0"/>
        <w:rPr>
          <w:i/>
          <w:iCs/>
        </w:rPr>
      </w:pPr>
      <w:bookmarkStart w:id="85" w:name="Fig19"/>
      <w:bookmarkEnd w:id="85"/>
      <w:r w:rsidRPr="007D4988">
        <w:rPr>
          <w:i/>
          <w:iCs/>
        </w:rPr>
        <w:t>Figure 19 – Fonds mobilisés pour les nouveaux projets signés pendant les cycles de la CMDT</w:t>
      </w:r>
    </w:p>
    <w:p w14:paraId="61AE00E7" w14:textId="77777777" w:rsidR="00A540D1" w:rsidRPr="007D4988" w:rsidRDefault="00A540D1" w:rsidP="00A540D1">
      <w:r w:rsidRPr="007D4988">
        <w:t>S'agissant des sources de financement, 90% des ressources affectées à ces nouveaux projets signés pendant le cycle de la CMDT pour 2023-2025 provenaient des fonds extrabudgétaires mobilisés par le BDT auprès de tiers, tandis que les 10% restants provenaient de fonds d'amorçage prélevés sur le Fonds FDTIC de l'UIT. Il est à noter que, l'UIT n'étant pas une institution de financement, la possibilité de signer de nouveaux projets dépend dans une large mesure de la disponibilité de partenaires financiers désireux de soutenir les travaux de l'Union. Toutefois, le Fonds FDTIC s'avère être une ressource déterminante pour permettre la mise en place de nouveaux projets de l'UIT-D, étant donné qu'un nombre croissant de donateurs demandent maintenant aux institutions recevant des fonds de cofinancer dans une certaine mesure les nouveaux projets pour garantir leur faisabilité. Cela montre le rôle crucial du Fonds FDTIC, qui constitue un mécanisme clé renforçant l'action menée par le BDT pour mobiliser des ressources à l'appui des États Membres de l'UIT.</w:t>
      </w:r>
    </w:p>
    <w:p w14:paraId="6B6589F6" w14:textId="77777777" w:rsidR="00A540D1" w:rsidRPr="007D4988" w:rsidRDefault="00A540D1" w:rsidP="00A540D1">
      <w:r w:rsidRPr="007D4988">
        <w:t>En 2025, l'UIT a également continué d'améliorer ses pratiques en matière de gestion de projets pour tous ses projets. Il s'agissait notamment de renforcer l'établissement de rapports à l'intention des partenaires, de poursuivre les activités du Comité directeur des projets et de consolider la fonction de suivi des projets.</w:t>
      </w:r>
    </w:p>
    <w:p w14:paraId="316A9FB9" w14:textId="77777777" w:rsidR="00A540D1" w:rsidRPr="007D4988" w:rsidRDefault="00A540D1" w:rsidP="00A540D1">
      <w:r w:rsidRPr="007D4988">
        <w:t xml:space="preserve">On trouvera davantage d'informations et de données sur le </w:t>
      </w:r>
      <w:hyperlink r:id="rId403" w:anchor="/fr" w:history="1">
        <w:r w:rsidRPr="007D4988">
          <w:rPr>
            <w:rStyle w:val="Hyperlink"/>
            <w:rFonts w:eastAsia="Times New Roman" w:cs="Times New Roman"/>
            <w:szCs w:val="20"/>
          </w:rPr>
          <w:t>Portail consacré aux projets de l'UIT-D</w:t>
        </w:r>
      </w:hyperlink>
      <w:r w:rsidRPr="007D4988">
        <w:t xml:space="preserve"> et dans le nouveau </w:t>
      </w:r>
      <w:hyperlink r:id="rId404" w:history="1">
        <w:r w:rsidRPr="007D4988">
          <w:rPr>
            <w:rStyle w:val="Hyperlink"/>
            <w:rFonts w:eastAsia="Times New Roman" w:cs="Times New Roman"/>
            <w:szCs w:val="20"/>
          </w:rPr>
          <w:t>tableau de bord destiné aux membres de l'UIT concernant l'état d'avancement des projets</w:t>
        </w:r>
      </w:hyperlink>
      <w:r w:rsidRPr="007D4988">
        <w:t>.</w:t>
      </w:r>
      <w:hyperlink r:id="rId405" w:history="1"/>
      <w:hyperlink r:id="rId406" w:history="1"/>
    </w:p>
    <w:p w14:paraId="627E51B3" w14:textId="77777777" w:rsidR="00A540D1" w:rsidRPr="007D4988" w:rsidRDefault="00A540D1" w:rsidP="00A540D1">
      <w:pPr>
        <w:pStyle w:val="Heading2"/>
      </w:pPr>
      <w:bookmarkStart w:id="86" w:name="_Toc224288819"/>
      <w:bookmarkStart w:id="87" w:name="_Toc225488896"/>
      <w:r w:rsidRPr="007D4988">
        <w:t>4.8</w:t>
      </w:r>
      <w:r w:rsidRPr="007D4988">
        <w:tab/>
        <w:t>Plates-formes fédératrices</w:t>
      </w:r>
      <w:bookmarkEnd w:id="86"/>
      <w:bookmarkEnd w:id="87"/>
    </w:p>
    <w:p w14:paraId="23112389" w14:textId="77777777" w:rsidR="00A540D1" w:rsidRPr="007D4988" w:rsidRDefault="00A540D1" w:rsidP="00A540D1">
      <w:pPr>
        <w:pStyle w:val="Heading3"/>
        <w:rPr>
          <w:rFonts w:eastAsia="MS Mincho"/>
        </w:rPr>
      </w:pPr>
      <w:bookmarkStart w:id="88" w:name="_Toc224288820"/>
      <w:bookmarkStart w:id="89" w:name="_Toc225488897"/>
      <w:r w:rsidRPr="007D4988">
        <w:t>4.8.1</w:t>
      </w:r>
      <w:r w:rsidRPr="007D4988">
        <w:tab/>
        <w:t>Processus du SMSI</w:t>
      </w:r>
      <w:bookmarkEnd w:id="88"/>
      <w:bookmarkEnd w:id="89"/>
    </w:p>
    <w:p w14:paraId="638CFAA3" w14:textId="77777777" w:rsidR="00A540D1" w:rsidRPr="007D4988" w:rsidRDefault="00A540D1" w:rsidP="00A540D1">
      <w:r w:rsidRPr="007D4988">
        <w:t xml:space="preserve">Le </w:t>
      </w:r>
      <w:hyperlink r:id="rId407" w:history="1">
        <w:r w:rsidRPr="007D4988">
          <w:rPr>
            <w:rStyle w:val="Hyperlink"/>
            <w:rFonts w:eastAsia="Times New Roman" w:cs="Times New Roman"/>
            <w:szCs w:val="20"/>
          </w:rPr>
          <w:t>Sommet mondial sur la société de l'information (SMSI)</w:t>
        </w:r>
      </w:hyperlink>
      <w:r w:rsidRPr="007D4988">
        <w:t xml:space="preserve"> continue d'offrir un cadre mondial essentiel pour un développement numérique inclusif et centré sur l'humain et pour la réalisation du Programme de développement durable à l'horizon 2030. En sa qualité de coordonnateur principal, l'UIT dirige la mise en œuvre des grandes orientations du SMSI, renforce la collaboration multi-parties prenantes et favorise une action concertée à l'appui de la transformation numérique.</w:t>
      </w:r>
      <w:hyperlink r:id="rId408" w:history="1"/>
    </w:p>
    <w:p w14:paraId="32781E13" w14:textId="1B04F4FF" w:rsidR="00A540D1" w:rsidRPr="007D4988" w:rsidRDefault="00A540D1" w:rsidP="00A540D1">
      <w:r w:rsidRPr="007D4988">
        <w:t xml:space="preserve">Conformément à la Résolution </w:t>
      </w:r>
      <w:hyperlink r:id="rId409" w:history="1">
        <w:r w:rsidRPr="007D4988">
          <w:rPr>
            <w:rStyle w:val="Hyperlink"/>
            <w:rFonts w:eastAsia="Times New Roman" w:cs="Times New Roman"/>
            <w:szCs w:val="20"/>
          </w:rPr>
          <w:t>140</w:t>
        </w:r>
      </w:hyperlink>
      <w:r w:rsidRPr="007D4988">
        <w:t xml:space="preserve"> (Rév. Bucarest, 2022) de la Conférence de plénipotentiaires, aux Résolutions </w:t>
      </w:r>
      <w:hyperlink r:id="rId410" w:history="1">
        <w:r w:rsidRPr="007D4988">
          <w:rPr>
            <w:rStyle w:val="Hyperlink"/>
            <w:rFonts w:eastAsia="Times New Roman" w:cs="Times New Roman"/>
            <w:szCs w:val="20"/>
          </w:rPr>
          <w:t>1332</w:t>
        </w:r>
      </w:hyperlink>
      <w:r w:rsidRPr="007D4988">
        <w:t xml:space="preserve"> (Mod. 2024) et </w:t>
      </w:r>
      <w:hyperlink r:id="rId411" w:history="1">
        <w:r w:rsidRPr="007D4988">
          <w:rPr>
            <w:rStyle w:val="Hyperlink"/>
            <w:rFonts w:eastAsia="Times New Roman" w:cs="Times New Roman"/>
            <w:szCs w:val="20"/>
          </w:rPr>
          <w:t>1334</w:t>
        </w:r>
      </w:hyperlink>
      <w:r w:rsidRPr="007D4988">
        <w:t xml:space="preserve"> (Mod. 2023) du Conseil, à la Résolution </w:t>
      </w:r>
      <w:hyperlink r:id="rId412" w:history="1">
        <w:r w:rsidRPr="007D4988">
          <w:rPr>
            <w:rStyle w:val="Hyperlink"/>
            <w:rFonts w:eastAsia="Times New Roman" w:cs="Times New Roman"/>
            <w:szCs w:val="20"/>
          </w:rPr>
          <w:t>30</w:t>
        </w:r>
      </w:hyperlink>
      <w:r w:rsidRPr="007D4988">
        <w:t xml:space="preserve"> (Rév. Bakou, 2025) de la CMDT, à la Résolution </w:t>
      </w:r>
      <w:hyperlink r:id="rId413" w:history="1">
        <w:r w:rsidRPr="007D4988">
          <w:rPr>
            <w:rStyle w:val="Hyperlink"/>
            <w:rFonts w:eastAsia="Times New Roman" w:cs="Times New Roman"/>
            <w:szCs w:val="20"/>
          </w:rPr>
          <w:t>75</w:t>
        </w:r>
      </w:hyperlink>
      <w:r w:rsidRPr="007D4988">
        <w:t xml:space="preserve"> (Rév. Genève, 2022) de l'AMNT et à la Résolution UIT-R </w:t>
      </w:r>
      <w:hyperlink r:id="rId414" w:history="1">
        <w:r w:rsidRPr="007D4988">
          <w:rPr>
            <w:rStyle w:val="Hyperlink"/>
            <w:rFonts w:eastAsia="Times New Roman" w:cs="Times New Roman"/>
            <w:szCs w:val="20"/>
          </w:rPr>
          <w:t>61-3</w:t>
        </w:r>
      </w:hyperlink>
      <w:r w:rsidRPr="007D4988">
        <w:t xml:space="preserve"> (Rév. Dubaï, 2023) de l'AR, l'UIT a, depuis la Conférence de plénipotentiaires de 2022, organisé trois manifestations du </w:t>
      </w:r>
      <w:hyperlink r:id="rId415" w:history="1">
        <w:r w:rsidRPr="007D4988">
          <w:rPr>
            <w:rStyle w:val="Hyperlink"/>
            <w:rFonts w:eastAsia="Times New Roman" w:cs="Times New Roman"/>
            <w:szCs w:val="20"/>
          </w:rPr>
          <w:t>Forum du SMSI</w:t>
        </w:r>
      </w:hyperlink>
      <w:r w:rsidRPr="007D4988">
        <w:t>, dont les manifestations de haut niveau du SMSI+20 en 2024 et 2025, qui ont contribué à l'examen d'ensemble et offert un cadre mondial de dialogue et de coopération. La plate-forme dressant l'</w:t>
      </w:r>
      <w:hyperlink r:id="rId416" w:history="1">
        <w:r w:rsidRPr="007D4988">
          <w:rPr>
            <w:rStyle w:val="Hyperlink"/>
            <w:rFonts w:eastAsia="Times New Roman" w:cs="Times New Roman"/>
            <w:szCs w:val="20"/>
          </w:rPr>
          <w:t>inventaire du SMSI</w:t>
        </w:r>
      </w:hyperlink>
      <w:r w:rsidRPr="007D4988">
        <w:t xml:space="preserve"> contient désormais plus de </w:t>
      </w:r>
      <w:r w:rsidR="00AF14F6" w:rsidRPr="007D4988">
        <w:t>21</w:t>
      </w:r>
      <w:r w:rsidRPr="007D4988">
        <w:t> 000 projets sur l'</w:t>
      </w:r>
      <w:r w:rsidRPr="007D4988">
        <w:rPr>
          <w:i/>
          <w:iCs/>
        </w:rPr>
        <w:t>utilisation des TIC au service du développement</w:t>
      </w:r>
      <w:r w:rsidRPr="007D4988">
        <w:t xml:space="preserve">, et les </w:t>
      </w:r>
      <w:hyperlink r:id="rId417" w:history="1">
        <w:r w:rsidRPr="007D4988">
          <w:rPr>
            <w:rStyle w:val="Hyperlink"/>
            <w:rFonts w:eastAsia="Times New Roman" w:cs="Times New Roman"/>
            <w:szCs w:val="20"/>
          </w:rPr>
          <w:t>Prix du SMSI</w:t>
        </w:r>
      </w:hyperlink>
      <w:r w:rsidRPr="007D4988">
        <w:t xml:space="preserve"> continuent de mettre en avant des initiatives numériques marquantes, avec plus de 3 000 propositions reçues au cours des trois dernières années.</w:t>
      </w:r>
      <w:hyperlink r:id="rId418" w:history="1"/>
      <w:hyperlink r:id="rId419" w:history="1"/>
      <w:hyperlink r:id="rId420" w:history="1"/>
      <w:hyperlink r:id="rId421" w:history="1"/>
      <w:hyperlink r:id="rId422" w:history="1"/>
      <w:hyperlink r:id="rId423" w:history="1"/>
      <w:hyperlink r:id="rId424" w:history="1"/>
      <w:hyperlink r:id="rId425" w:history="1"/>
      <w:hyperlink r:id="rId426" w:history="1"/>
    </w:p>
    <w:p w14:paraId="45269718" w14:textId="77777777" w:rsidR="00A540D1" w:rsidRPr="007D4988" w:rsidRDefault="00A540D1" w:rsidP="00A540D1">
      <w:r w:rsidRPr="007D4988">
        <w:t xml:space="preserve">Toutes les informations sur les activités menées par l'UIT depuis la Conférence de plénipotentiaires de 2022 pour mettre en œuvre le processus du SMSI et le Programme de développement durable à l'horizon 2030 (dans le cadre du SMSI) figurent dans le </w:t>
      </w:r>
      <w:hyperlink r:id="rId427" w:history="1">
        <w:r w:rsidRPr="007D4988">
          <w:rPr>
            <w:rStyle w:val="Hyperlink"/>
            <w:rFonts w:eastAsia="Times New Roman" w:cs="Times New Roman"/>
            <w:szCs w:val="20"/>
          </w:rPr>
          <w:t>rapport final et exhaustif sur les activités menées par l'UIT dans le cadre de la mise en œuvre des résultats du SMSI et du Programme de développement durable à l'horizon 2030 ainsi que sur des propositions relatives à des activités futures</w:t>
        </w:r>
      </w:hyperlink>
      <w:r w:rsidRPr="007D4988">
        <w:t xml:space="preserve">. Enfin, les </w:t>
      </w:r>
      <w:hyperlink r:id="rId428" w:history="1">
        <w:r w:rsidRPr="007D4988">
          <w:rPr>
            <w:rStyle w:val="Hyperlink"/>
            <w:rFonts w:eastAsia="Times New Roman" w:cs="Times New Roman"/>
            <w:szCs w:val="20"/>
          </w:rPr>
          <w:t>rapports annuels sur la contribution de l'UIT à la mise en œuvre des résultats du SMSI</w:t>
        </w:r>
      </w:hyperlink>
      <w:r w:rsidRPr="007D4988">
        <w:t xml:space="preserve"> sont axés sur les principales initiatives et activités liées au SMSI qui sont menées à bien par les trois Secteurs de l'Union (le Secteur de la normalisation des télécommunications, le Secteur des radiocommunications et le Secteur du développement des télécommunications), ainsi que par le Secrétariat général, et décrivent les progrès réalisés aux niveaux opérationnel et stratégique dans la réalisation des activités qui incombent à l'UIT en ce qui concerne le SMSI.</w:t>
      </w:r>
      <w:hyperlink r:id="rId429" w:history="1"/>
      <w:hyperlink r:id="rId430" w:history="1"/>
    </w:p>
    <w:p w14:paraId="747F458A" w14:textId="77777777" w:rsidR="00A540D1" w:rsidRPr="007D4988" w:rsidRDefault="00A540D1" w:rsidP="00A540D1">
      <w:pPr>
        <w:pStyle w:val="Headingb"/>
      </w:pPr>
      <w:r w:rsidRPr="007D4988">
        <w:t>Forum du SMSI</w:t>
      </w:r>
    </w:p>
    <w:p w14:paraId="519BA675" w14:textId="56897482" w:rsidR="00A540D1" w:rsidRPr="007D4988" w:rsidRDefault="00A540D1" w:rsidP="00A540D1">
      <w:r w:rsidRPr="007D4988">
        <w:t xml:space="preserve">Placé sous les auspices de l'UIT (et de la Suisse en 2024 et 2025) et organisé conjointement avec l'UNESCO, le PNUD et la CNUCED, en collaboration avec plus de 50 partenaires des Nations Unies, le </w:t>
      </w:r>
      <w:hyperlink r:id="rId431" w:history="1">
        <w:r w:rsidRPr="007D4988">
          <w:rPr>
            <w:rStyle w:val="Hyperlink"/>
            <w:rFonts w:eastAsia="Times New Roman" w:cs="Times New Roman"/>
            <w:szCs w:val="20"/>
          </w:rPr>
          <w:t>Forum du SMSI</w:t>
        </w:r>
      </w:hyperlink>
      <w:r w:rsidRPr="007D4988">
        <w:t xml:space="preserve"> constitue une tribune mondiale de premier plan pour promouvoir un développement numérique inclusif et examiner les progrès accomplis dans la mise en œuvre des grandes orientations du SMSI. Par un renforcement des capacités, des partenariats et des échanges de connaissances, il a mobilisé plus de 50 000 parties prenantes de plus de 160 pays, élaborant une vision commune et une feuille de route réalisable pour le développement numérique et les technologies émergentes. En 2023, le thème du Forum du SMSI était "</w:t>
      </w:r>
      <w:hyperlink r:id="rId432" w:history="1">
        <w:r w:rsidRPr="007D4988">
          <w:rPr>
            <w:rStyle w:val="Hyperlink"/>
            <w:rFonts w:eastAsia="Times New Roman" w:cs="Times New Roman"/>
            <w:szCs w:val="20"/>
          </w:rPr>
          <w:t>Les grandes orientations du SMSI pour reconstruire en mieux et accélérer la réalisation des ODD</w:t>
        </w:r>
      </w:hyperlink>
      <w:r w:rsidRPr="007D4988">
        <w:t xml:space="preserve">"; </w:t>
      </w:r>
      <w:hyperlink r:id="rId433" w:history="1">
        <w:r w:rsidRPr="007D4988">
          <w:rPr>
            <w:rStyle w:val="Hyperlink"/>
            <w:rFonts w:eastAsia="Times New Roman" w:cs="Times New Roman"/>
            <w:szCs w:val="20"/>
          </w:rPr>
          <w:t>en 2024, la manifestation de haut niveau du Forum du SMSI+20</w:t>
        </w:r>
      </w:hyperlink>
      <w:r w:rsidRPr="007D4988">
        <w:t xml:space="preserve"> a été l'occasion de passer en revue les progrès accomplis au cours de deux décennies; et </w:t>
      </w:r>
      <w:hyperlink r:id="rId434" w:history="1">
        <w:r w:rsidRPr="007D4988">
          <w:rPr>
            <w:rStyle w:val="Hyperlink"/>
            <w:rFonts w:eastAsia="Times New Roman" w:cs="Times New Roman"/>
            <w:szCs w:val="20"/>
          </w:rPr>
          <w:t>en 2025, la manifestation de haut niveau du SMSI+20</w:t>
        </w:r>
      </w:hyperlink>
      <w:r w:rsidRPr="007D4988">
        <w:t xml:space="preserve"> a permis de réaffirmer le rôle joué par le SMSI s'agissant de tracer les contours de la coopération numérique mondiale et de jeter les bases de l'examen du SMSI+20 par l'Assemblée générale des Nations Unies.</w:t>
      </w:r>
      <w:hyperlink r:id="rId435" w:history="1"/>
      <w:hyperlink r:id="rId436" w:history="1"/>
      <w:hyperlink r:id="rId437" w:history="1"/>
      <w:hyperlink r:id="rId438" w:history="1"/>
    </w:p>
    <w:p w14:paraId="5B4DC2EC" w14:textId="77777777" w:rsidR="00A540D1" w:rsidRPr="007D4988" w:rsidRDefault="00A540D1" w:rsidP="00A540D1">
      <w:pPr>
        <w:pStyle w:val="Headingb"/>
      </w:pPr>
      <w:r w:rsidRPr="007D4988">
        <w:t>Contributions de l'UIT au processus d'examen du SMSI+20</w:t>
      </w:r>
    </w:p>
    <w:p w14:paraId="513BD191" w14:textId="2F6EE773" w:rsidR="00A540D1" w:rsidRPr="007D4988" w:rsidRDefault="00A540D1" w:rsidP="00A540D1">
      <w:r w:rsidRPr="007D4988">
        <w:t xml:space="preserve">En sa qualité d'institution spécialisée des Nations Unies pour les technologies numériques et d'institution à l'origine du processus du SMSI, l'UIT a joué un rôle central tout au long du processus d'examen du SMSI+20. L'Union a apporté une contribution et un appui actifs au processus de préparation mené sous la direction de l'Assemblée générale des Nations Unies, notamment en échangeant avec les co-coordonnateurs du SMSI+20, en prenant part à des réunions de consultation et en fournissant une contribution de fond au document final adopté sur le SMSI+20, comme expliqué </w:t>
      </w:r>
      <w:hyperlink r:id="rId439" w:history="1">
        <w:r w:rsidRPr="007D4988">
          <w:rPr>
            <w:rStyle w:val="Hyperlink"/>
            <w:rFonts w:eastAsia="Times New Roman" w:cs="Times New Roman"/>
            <w:szCs w:val="20"/>
          </w:rPr>
          <w:t>ici</w:t>
        </w:r>
      </w:hyperlink>
      <w:r w:rsidRPr="007D4988">
        <w:t xml:space="preserve"> sur la page consacrée au Secrétariat du SMSI+20. L'UIT s'est appuyée pour ce faire sur la </w:t>
      </w:r>
      <w:hyperlink r:id="rId440" w:history="1">
        <w:r w:rsidR="006A6EAA" w:rsidRPr="007D4988">
          <w:rPr>
            <w:rStyle w:val="Hyperlink"/>
            <w:rFonts w:eastAsia="Times New Roman" w:cs="Times New Roman"/>
            <w:i/>
            <w:iCs/>
            <w:szCs w:val="20"/>
          </w:rPr>
          <w:t>Feuille de route pour le SMSI+20</w:t>
        </w:r>
      </w:hyperlink>
      <w:r w:rsidRPr="007D4988">
        <w:t xml:space="preserve"> élaborée par son Secrétaire général, qui donne des orientations stratégiques quant au rôle que l'UIT doit avoir dans le processus d'examen du SMSI+20 et les activités préparatoires associées. La Secrétaire générale a établi et soumis, aux fins de l'examen d'ensemble du SMSI+20 mené par l'Assemblée générale des Nations Unies, le </w:t>
      </w:r>
      <w:hyperlink r:id="rId441" w:history="1">
        <w:r w:rsidRPr="007D4988">
          <w:rPr>
            <w:rStyle w:val="Hyperlink"/>
            <w:rFonts w:eastAsia="Times New Roman" w:cs="Times New Roman"/>
            <w:szCs w:val="20"/>
          </w:rPr>
          <w:t>Rapport sur le SMSI+20: "Bâtir un avenir numérique pour tous"</w:t>
        </w:r>
      </w:hyperlink>
      <w:r w:rsidRPr="007D4988">
        <w:t>, dressant l'état des lieux de vingt années de mise en œuvre des résultats du SMSI et des contributions apportées par l'UIT dans les domaines des politiques, de l'assistance technique, du renforcement des capacités, des données et des partenariats.</w:t>
      </w:r>
      <w:hyperlink r:id="rId442" w:history="1"/>
      <w:hyperlink r:id="rId443" w:history="1"/>
      <w:hyperlink r:id="rId444" w:history="1"/>
    </w:p>
    <w:p w14:paraId="7EE38ED9" w14:textId="77777777" w:rsidR="00A540D1" w:rsidRPr="007D4988" w:rsidRDefault="00A540D1" w:rsidP="00A540D1">
      <w:r w:rsidRPr="007D4988">
        <w:t>Le résumé de l'</w:t>
      </w:r>
      <w:hyperlink r:id="rId445" w:history="1">
        <w:r w:rsidRPr="007D4988">
          <w:rPr>
            <w:rStyle w:val="Hyperlink"/>
            <w:rFonts w:eastAsia="Times New Roman" w:cs="Times New Roman"/>
            <w:szCs w:val="20"/>
          </w:rPr>
          <w:t>appel à contributions de l'UIT sur l'examen du SMSI+20</w:t>
        </w:r>
      </w:hyperlink>
      <w:r w:rsidRPr="007D4988">
        <w:t xml:space="preserve">, coordonné par le Groupe de travail du Conseil sur le SMSI et les ODD (GTC-SMSI/ODD), a été transmis par la Présidente du GTC-SMSI/ODD à l'examen du SMSI+20 par l'Assemblée générale des Nations Unies, afin de garantir que les différents points de vue des gouvernements et des parties prenantes soient pris en compte et jouent un rôle dans ce processus global. Pour plus de précisions sur les résultats de l'examen du SMSI+20 par l'Assemblée générale des Nations Unies et sur la contribution de l'UIT au processus d'examen et aux résultats de son suivi, consulter le </w:t>
      </w:r>
      <w:hyperlink r:id="rId446" w:history="1">
        <w:r w:rsidRPr="007D4988">
          <w:rPr>
            <w:rStyle w:val="Hyperlink"/>
            <w:rFonts w:eastAsia="Times New Roman" w:cs="Times New Roman"/>
            <w:szCs w:val="20"/>
          </w:rPr>
          <w:t>Rapport sur l'examen d'ensemble par l'Assemblée générale des Nations Unies de la mise en œuvre des résultats du Sommet mondial sur la société de l'information</w:t>
        </w:r>
      </w:hyperlink>
      <w:r w:rsidRPr="007D4988">
        <w:t>.</w:t>
      </w:r>
      <w:hyperlink r:id="rId447" w:history="1"/>
      <w:hyperlink r:id="rId448" w:history="1"/>
    </w:p>
    <w:p w14:paraId="7AEC1F9A" w14:textId="77777777" w:rsidR="00A540D1" w:rsidRPr="007D4988" w:rsidRDefault="00A540D1" w:rsidP="00A540D1">
      <w:pPr>
        <w:pStyle w:val="Headingb"/>
      </w:pPr>
      <w:r w:rsidRPr="007D4988">
        <w:t>Groupe des Nations Unies sur la société de l'information</w:t>
      </w:r>
    </w:p>
    <w:p w14:paraId="4F85520D" w14:textId="4D852803" w:rsidR="00A540D1" w:rsidRPr="007D4988" w:rsidRDefault="00A540D1" w:rsidP="006A6EAA">
      <w:r w:rsidRPr="007D4988">
        <w:t xml:space="preserve">Dans la mesure où elle assure le secrétariat permanent du </w:t>
      </w:r>
      <w:hyperlink r:id="rId449" w:history="1">
        <w:r w:rsidRPr="007D4988">
          <w:rPr>
            <w:rStyle w:val="Hyperlink"/>
            <w:rFonts w:eastAsia="Times New Roman" w:cs="Times New Roman"/>
            <w:szCs w:val="20"/>
          </w:rPr>
          <w:t>Groupe des Nations Unies sur la société de l'information (UNGIS)</w:t>
        </w:r>
      </w:hyperlink>
      <w:r w:rsidRPr="007D4988">
        <w:t>, dont elle exerce à tour de rôle la présidence et la vice</w:t>
      </w:r>
      <w:r w:rsidRPr="007D4988">
        <w:noBreakHyphen/>
        <w:t xml:space="preserve">présidence, l'UIT joue un rôle moteur dans la coordination, le leadership et la direction stratégique de la coopération numérique à l'échelle du système des Nations Unies. Le </w:t>
      </w:r>
      <w:r w:rsidR="006A6EAA" w:rsidRPr="007D4988">
        <w:t>G</w:t>
      </w:r>
      <w:r w:rsidRPr="007D4988">
        <w:t xml:space="preserve">roupe UNGIS, qui est un mécanisme interinstitutions du système des Nations Unies chargé d'assurer la cohérence des politiques et la coordination des programmes dans le domaine du numérique, rassemble 31 entités des Nations Unies et 17 observateurs. Depuis l'adoption du Pacte numérique mondial, en 2024, il en dirige la mise en œuvre grâce au tableau de correspondance </w:t>
      </w:r>
      <w:hyperlink r:id="rId450" w:history="1">
        <w:r w:rsidRPr="007D4988">
          <w:rPr>
            <w:rStyle w:val="Hyperlink"/>
            <w:rFonts w:eastAsia="Times New Roman" w:cs="Times New Roman"/>
            <w:szCs w:val="20"/>
          </w:rPr>
          <w:t>processus du SMSI – Programme 2030 – Pacte numérique mondial</w:t>
        </w:r>
      </w:hyperlink>
      <w:r w:rsidRPr="007D4988">
        <w:t>, tout en contribuant à de grandes manifestations sur le numérique et de développement, notamment l'examen du SMSI+20, le Forum politique de haut niveau, le Forum sur la gouvernance d'Internet, etc.</w:t>
      </w:r>
      <w:hyperlink r:id="rId451" w:history="1"/>
      <w:hyperlink r:id="rId452" w:history="1"/>
    </w:p>
    <w:p w14:paraId="48A9A758" w14:textId="77777777" w:rsidR="00A540D1" w:rsidRPr="007D4988" w:rsidRDefault="00A540D1" w:rsidP="00A540D1">
      <w:pPr>
        <w:pStyle w:val="Headingb"/>
      </w:pPr>
      <w:r w:rsidRPr="007D4988">
        <w:t>Activités en cours</w:t>
      </w:r>
    </w:p>
    <w:p w14:paraId="2F85C704" w14:textId="6BA194C0" w:rsidR="00A540D1" w:rsidRPr="007D4988" w:rsidRDefault="00A540D1" w:rsidP="00A540D1">
      <w:r w:rsidRPr="007D4988">
        <w:t>L'UIT tient à jour et enrichit la base de données de l'</w:t>
      </w:r>
      <w:hyperlink r:id="rId453" w:history="1">
        <w:r w:rsidRPr="007D4988">
          <w:rPr>
            <w:rStyle w:val="Hyperlink"/>
            <w:rFonts w:eastAsia="Times New Roman" w:cs="Times New Roman"/>
            <w:szCs w:val="20"/>
          </w:rPr>
          <w:t>inventaire du SMSI</w:t>
        </w:r>
      </w:hyperlink>
      <w:r w:rsidRPr="007D4988">
        <w:t xml:space="preserve">, un registre mondial qui répertorie plus de </w:t>
      </w:r>
      <w:r w:rsidR="00D018E0" w:rsidRPr="007D4988">
        <w:t>21</w:t>
      </w:r>
      <w:r w:rsidRPr="007D4988">
        <w:t xml:space="preserve"> 000 initiatives liées aux TIC alignées sur les grandes orientations du</w:t>
      </w:r>
      <w:r w:rsidR="006A6EAA" w:rsidRPr="007D4988">
        <w:t> </w:t>
      </w:r>
      <w:r w:rsidRPr="007D4988">
        <w:t>SMSI, les ODD et le Pacte numérique mondial, et qui constitue un outil essentiel pour la transparence, le partage des connaissances, les politiques fondées sur des données factuelles et l'innovation; par ailleurs, elle encourage les parties prenantes à faciliter, actualiser et soutenir l'élaboration d'outils d'analyse qui produisent des informations stratégiques. Son rôle, ainsi que celui des Prix du SMSI, est évoqué dans la Résolution </w:t>
      </w:r>
      <w:hyperlink r:id="rId454" w:history="1">
        <w:r w:rsidRPr="007D4988">
          <w:rPr>
            <w:rStyle w:val="Hyperlink"/>
            <w:rFonts w:eastAsia="Times New Roman" w:cs="Times New Roman"/>
            <w:szCs w:val="20"/>
          </w:rPr>
          <w:t>E/RES/2025/18</w:t>
        </w:r>
      </w:hyperlink>
      <w:r w:rsidRPr="007D4988">
        <w:t xml:space="preserve"> de l'ECOSOC.</w:t>
      </w:r>
      <w:hyperlink r:id="rId455" w:history="1"/>
      <w:hyperlink r:id="rId456" w:history="1"/>
    </w:p>
    <w:p w14:paraId="3A30BB72" w14:textId="77777777" w:rsidR="00A540D1" w:rsidRPr="007D4988" w:rsidRDefault="00A540D1" w:rsidP="00A540D1">
      <w:r w:rsidRPr="007D4988">
        <w:t xml:space="preserve">Depuis 2012, l'UIT organise les </w:t>
      </w:r>
      <w:hyperlink r:id="rId457" w:history="1">
        <w:r w:rsidRPr="007D4988">
          <w:rPr>
            <w:rStyle w:val="Hyperlink"/>
            <w:rFonts w:eastAsia="Times New Roman" w:cs="Times New Roman"/>
            <w:szCs w:val="20"/>
          </w:rPr>
          <w:t>Prix du SMSI</w:t>
        </w:r>
      </w:hyperlink>
      <w:r w:rsidRPr="007D4988">
        <w:t>, un concours très attendu partout dans le monde qui met à l'honneur les bonnes pratiques relatives à l'utilisation du numérique au service du développement, récompense l'excellence et l'innovation parmi plus de 9 000 projets, avec 252 lauréats et 720 champions à ce jour, des centaines de milliers de parties prenantes et un public qui se compte en millions de personnes. Le nom des lauréats 2023-2025 peuvent être consultés en ligne.</w:t>
      </w:r>
      <w:hyperlink r:id="rId458" w:history="1"/>
    </w:p>
    <w:p w14:paraId="7A93D9D4" w14:textId="2459BF20" w:rsidR="00A540D1" w:rsidRPr="007D4988" w:rsidRDefault="00A540D1" w:rsidP="00A540D1">
      <w:r w:rsidRPr="007D4988">
        <w:t xml:space="preserve">Depuis 2011, l'UIT coordonne le </w:t>
      </w:r>
      <w:hyperlink r:id="rId459" w:history="1">
        <w:r w:rsidRPr="007D4988">
          <w:rPr>
            <w:rStyle w:val="Hyperlink"/>
            <w:rFonts w:eastAsia="Times New Roman" w:cs="Times New Roman"/>
            <w:szCs w:val="20"/>
          </w:rPr>
          <w:t>Fonds d'affectation spéciale pour le SMSI</w:t>
        </w:r>
      </w:hyperlink>
      <w:r w:rsidRPr="007D4988">
        <w:t>, créé en application de la Résolution 140 (Rév. Bucarest, 2022) de la Conférence de plénipotentiaires, pour appuyer la mise en œuvre des résultats du SMSI. Conformément aux Résolutions</w:t>
      </w:r>
      <w:r w:rsidR="006A6EAA" w:rsidRPr="007D4988">
        <w:t> </w:t>
      </w:r>
      <w:r w:rsidRPr="007D4988">
        <w:t>1332</w:t>
      </w:r>
      <w:r w:rsidR="006A6EAA" w:rsidRPr="007D4988">
        <w:t> </w:t>
      </w:r>
      <w:r w:rsidRPr="007D4988">
        <w:t>(Mod.</w:t>
      </w:r>
      <w:r w:rsidR="006A6EAA" w:rsidRPr="007D4988">
        <w:t> </w:t>
      </w:r>
      <w:r w:rsidRPr="007D4988">
        <w:t>2024) et 1334 (Mod. 2023) du Conseil, tous les membres et toutes les parties prenantes sont encouragés à verser des contributions volontaires; à ce titre, les partenaires du Forum du SMSI de 2023 et des manifestations de haut niveau de 2024 et 2025 du SMSI+20 sont remerciés pour leur soutien.</w:t>
      </w:r>
      <w:hyperlink r:id="rId460" w:history="1"/>
    </w:p>
    <w:p w14:paraId="15189CEB" w14:textId="77777777" w:rsidR="00A540D1" w:rsidRPr="007D4988" w:rsidRDefault="00A540D1" w:rsidP="00A540D1">
      <w:r w:rsidRPr="007D4988">
        <w:t xml:space="preserve">Avec la CNUCED et le Département des affaires économiques et sociales de l'ONU, l'UIT est membre du comité directeur du </w:t>
      </w:r>
      <w:hyperlink r:id="rId461" w:history="1">
        <w:r w:rsidRPr="007D4988">
          <w:rPr>
            <w:rStyle w:val="Hyperlink"/>
            <w:rFonts w:eastAsia="Times New Roman" w:cs="Times New Roman"/>
            <w:szCs w:val="20"/>
          </w:rPr>
          <w:t>Partenariat sur la mesure des TIC au service du développement</w:t>
        </w:r>
      </w:hyperlink>
      <w:r w:rsidRPr="007D4988">
        <w:t xml:space="preserve">. Le Partenariat améliore la qualité et la disponibilité des données sur les TIC au service du développement durable, établit des correspondances entre les indicateurs fondamentaux et les grandes orientations du SMSI, le Pacte numérique mondial et le cadre des Nations Unies pour une connectivité efficace, identifie les lacunes et concourt à l'examen du SMSI+20, l'UIT hébergeant toutes les données essentielles dans son </w:t>
      </w:r>
      <w:hyperlink r:id="rId462" w:history="1">
        <w:r w:rsidRPr="007D4988">
          <w:rPr>
            <w:rStyle w:val="Hyperlink"/>
            <w:rFonts w:eastAsia="Times New Roman" w:cs="Times New Roman"/>
            <w:szCs w:val="20"/>
          </w:rPr>
          <w:t>centre de données</w:t>
        </w:r>
      </w:hyperlink>
      <w:r w:rsidRPr="007D4988">
        <w:t>.</w:t>
      </w:r>
      <w:hyperlink r:id="rId463" w:history="1"/>
      <w:hyperlink r:id="rId464" w:history="1"/>
    </w:p>
    <w:p w14:paraId="6C48A36F" w14:textId="77777777" w:rsidR="00A540D1" w:rsidRPr="007D4988" w:rsidRDefault="00A540D1" w:rsidP="00A540D1">
      <w:pPr>
        <w:pStyle w:val="Heading3"/>
      </w:pPr>
      <w:bookmarkStart w:id="90" w:name="Para482"/>
      <w:bookmarkStart w:id="91" w:name="_Toc224288821"/>
      <w:bookmarkStart w:id="92" w:name="_Toc225488898"/>
      <w:bookmarkEnd w:id="90"/>
      <w:r w:rsidRPr="007D4988">
        <w:t>4.8.2</w:t>
      </w:r>
      <w:r w:rsidRPr="007D4988">
        <w:tab/>
        <w:t>L'intelligence artificielle au service du bien social</w:t>
      </w:r>
      <w:bookmarkEnd w:id="91"/>
      <w:bookmarkEnd w:id="92"/>
    </w:p>
    <w:p w14:paraId="39B2BEC7" w14:textId="77777777" w:rsidR="00A540D1" w:rsidRPr="007D4988" w:rsidRDefault="00A540D1" w:rsidP="00A540D1">
      <w:r w:rsidRPr="007D4988">
        <w:t>L'initiative sur l'</w:t>
      </w:r>
      <w:hyperlink r:id="rId465" w:anchor="/fr" w:history="1">
        <w:r w:rsidRPr="007D4988">
          <w:rPr>
            <w:rStyle w:val="Hyperlink"/>
            <w:rFonts w:eastAsia="Times New Roman" w:cs="Times New Roman"/>
            <w:szCs w:val="20"/>
          </w:rPr>
          <w:t>intelligence artificielle au service du bien social</w:t>
        </w:r>
      </w:hyperlink>
      <w:r w:rsidRPr="007D4988">
        <w:t xml:space="preserve"> continue de prendre de l'ampleur et constitue la principale plate-forme des Nations Unies liée à l'IA et tournée vers l'action qui sert à trouver des solutions concrètes fondées sur l'IA pour faire progresser la réalisation des Objectifs de développement durable. Sous la direction de l'UIT et avec l'appui de plus de 40 institutions des Nations Unies, elle s'articule autour de volets axés sur l'apprentissage, la construction et la mise en relation et propose tout au long de l'année un </w:t>
      </w:r>
      <w:hyperlink r:id="rId466" w:anchor="/fr" w:history="1">
        <w:r w:rsidRPr="007D4988">
          <w:rPr>
            <w:rStyle w:val="Hyperlink"/>
            <w:rFonts w:eastAsia="Times New Roman" w:cs="Times New Roman"/>
            <w:szCs w:val="20"/>
          </w:rPr>
          <w:t>programme lié au numérique</w:t>
        </w:r>
      </w:hyperlink>
      <w:r w:rsidRPr="007D4988">
        <w:t>, avec des webinaires, des sessions d'experts et des activités collaboratives fréquemment organisés.</w:t>
      </w:r>
    </w:p>
    <w:p w14:paraId="194DB009" w14:textId="77777777" w:rsidR="00A540D1" w:rsidRPr="007D4988" w:rsidRDefault="00A540D1" w:rsidP="00A540D1">
      <w:r w:rsidRPr="007D4988">
        <w:t xml:space="preserve">Au cœur de cet écosystème se trouve le </w:t>
      </w:r>
      <w:hyperlink r:id="rId467" w:anchor="/fr" w:history="1">
        <w:r w:rsidRPr="007D4988">
          <w:rPr>
            <w:rStyle w:val="Hyperlink"/>
            <w:rFonts w:eastAsia="Times New Roman" w:cs="Times New Roman"/>
            <w:szCs w:val="20"/>
          </w:rPr>
          <w:t>réseau neuronal de l'initiative sur l'IA au service du bien social</w:t>
        </w:r>
      </w:hyperlink>
      <w:r w:rsidRPr="007D4988">
        <w:t>, une communauté de rencontres fondée sur l'IA, qui est passée de 15 000 membres en 2023 à plus de 35 000 en 2024, la communauté en ligne au sens large comptant quant à elle plus de 137 000 membres. Les mécanismes de mise en relation intelligente de la plate-forme favorisent la coopération mondiale et l'innovation axée sur les ODD, ce qui facilite la création de partenariats efficaces dans les différents secteurs et les différentes régions.</w:t>
      </w:r>
      <w:hyperlink r:id="rId468" w:history="1"/>
    </w:p>
    <w:p w14:paraId="546717A5" w14:textId="77777777" w:rsidR="00A540D1" w:rsidRPr="007D4988" w:rsidRDefault="00A540D1" w:rsidP="00A540D1">
      <w:r w:rsidRPr="007D4988">
        <w:t xml:space="preserve">Le </w:t>
      </w:r>
      <w:hyperlink r:id="rId469" w:anchor="/fr" w:history="1">
        <w:r w:rsidRPr="007D4988">
          <w:rPr>
            <w:rStyle w:val="Hyperlink"/>
            <w:rFonts w:eastAsia="Times New Roman" w:cs="Times New Roman"/>
            <w:szCs w:val="20"/>
          </w:rPr>
          <w:t>Sommet mondial sur l'intelligence artificielle au service du bien social</w:t>
        </w:r>
      </w:hyperlink>
      <w:r w:rsidRPr="007D4988">
        <w:t>, qui a lieu tous les ans, reste la manifestation phare de l'initiative. L'</w:t>
      </w:r>
      <w:hyperlink r:id="rId470" w:history="1">
        <w:r w:rsidRPr="007D4988">
          <w:rPr>
            <w:rStyle w:val="Hyperlink"/>
            <w:rFonts w:eastAsia="Times New Roman" w:cs="Times New Roman"/>
            <w:szCs w:val="20"/>
          </w:rPr>
          <w:t>édition de 2023 de ce Sommet</w:t>
        </w:r>
      </w:hyperlink>
      <w:r w:rsidRPr="007D4988">
        <w:t xml:space="preserve">, qui s'est tenue à Genève, a rassemblé plus de 3 000 participants et a accueilli le plus grand rassemblement de robots humanoïdes et de robots spécialisés au monde, et a été complétée par des ateliers d'experts sur l'apprentissage automatique. En 2024, le </w:t>
      </w:r>
      <w:hyperlink r:id="rId471" w:anchor="/fr" w:history="1">
        <w:r w:rsidRPr="007D4988">
          <w:rPr>
            <w:rStyle w:val="Hyperlink"/>
            <w:rFonts w:eastAsia="Times New Roman" w:cs="Times New Roman"/>
            <w:szCs w:val="20"/>
          </w:rPr>
          <w:t>Sommet mondial sur l'intelligence artificielle au service du bien social</w:t>
        </w:r>
      </w:hyperlink>
      <w:r w:rsidRPr="007D4988">
        <w:t xml:space="preserve"> a connu un essor considérable, avec plus de 5 000 participants sur place, 27 organisations des Nations Unies partenaires, 183 pays représentés et plus de 900 000 visites en ligne. Ces manifestations demeurent la principale vitrine du système des Nations Unies pour les technologies de pointe liées à l'IA et ont permis de présenter des applications d'avant-garde et de mettre en relation des innovateurs avec des décideurs, des chercheurs et des dirigeants du secteur, l'objectif étant de déployer des solutions fondées sur l'IA à l'échelle mondiale.</w:t>
      </w:r>
      <w:hyperlink r:id="rId472" w:history="1"/>
      <w:hyperlink r:id="rId473" w:history="1"/>
      <w:hyperlink r:id="rId474" w:history="1"/>
    </w:p>
    <w:p w14:paraId="1202EEA2" w14:textId="77777777" w:rsidR="00A540D1" w:rsidRPr="007D4988" w:rsidRDefault="00A540D1" w:rsidP="006A6EAA">
      <w:pPr>
        <w:keepLines/>
      </w:pPr>
      <w:r w:rsidRPr="007D4988">
        <w:t xml:space="preserve">L'initiative sur l'IA au service du bien social a encore renforcé sa portée mondiale grâce à la mise au point de nouvelles initiatives, notamment la </w:t>
      </w:r>
      <w:hyperlink r:id="rId475" w:anchor="/fr" w:history="1">
        <w:r w:rsidRPr="007D4988">
          <w:rPr>
            <w:rStyle w:val="Hyperlink"/>
            <w:rFonts w:eastAsia="Times New Roman" w:cs="Times New Roman"/>
            <w:szCs w:val="20"/>
          </w:rPr>
          <w:t>Coalition pour les compétences en matière d'IA</w:t>
        </w:r>
      </w:hyperlink>
      <w:r w:rsidRPr="007D4988">
        <w:t>, qui vise à développer l'éducation et le renforcement des capacités liés à l'IA partout dans le monde. Le programme a également consisté à promouvoir la collaboration régionale, comme en témoignent l'</w:t>
      </w:r>
      <w:hyperlink r:id="rId476" w:anchor="/fr" w:history="1">
        <w:r w:rsidRPr="007D4988">
          <w:rPr>
            <w:rStyle w:val="Hyperlink"/>
            <w:rFonts w:eastAsia="Times New Roman" w:cs="Times New Roman"/>
            <w:szCs w:val="20"/>
          </w:rPr>
          <w:t>initiative "AI for Good Impact"</w:t>
        </w:r>
      </w:hyperlink>
      <w:r w:rsidRPr="007D4988">
        <w:t>, mise en œuvre dans certaines régions, par exemple en Inde lors d'une manifestation en 2024, et les préparatifs de la manifestation "</w:t>
      </w:r>
      <w:hyperlink r:id="rId477" w:anchor="/fr" w:history="1">
        <w:r w:rsidRPr="007D4988">
          <w:rPr>
            <w:rStyle w:val="Hyperlink"/>
            <w:rFonts w:eastAsia="Times New Roman" w:cs="Times New Roman"/>
            <w:szCs w:val="20"/>
          </w:rPr>
          <w:t>AI for Good Impact Africa</w:t>
        </w:r>
      </w:hyperlink>
      <w:r w:rsidRPr="007D4988">
        <w:t>", qui devait être organisée en République sudafricaine en 2025, en partenariat avec le secrétariat du G20. Pendant toutes ces années, l'initiative sur l'IA au service du bien social a renforcé son rôle de tribune inclusive, fiable et porteuse d'avenir, qui vise à mettre l'IA au service de tous les habitants de la planète, tout en accélérant la réalisation des Objectifs de développement durable fixés par les Nations Unies.</w:t>
      </w:r>
      <w:hyperlink r:id="rId478" w:history="1"/>
      <w:hyperlink r:id="rId479" w:history="1"/>
      <w:hyperlink r:id="rId480" w:history="1"/>
    </w:p>
    <w:p w14:paraId="15898097" w14:textId="77777777" w:rsidR="00A540D1" w:rsidRPr="007D4988" w:rsidRDefault="00A540D1" w:rsidP="00A540D1">
      <w:pPr>
        <w:pStyle w:val="Heading3"/>
      </w:pPr>
      <w:bookmarkStart w:id="93" w:name="_Toc224288822"/>
      <w:bookmarkStart w:id="94" w:name="_Toc225488899"/>
      <w:r w:rsidRPr="007D4988">
        <w:t>4.8.3</w:t>
      </w:r>
      <w:r w:rsidRPr="007D4988">
        <w:tab/>
        <w:t>Colloque mondial sur la normalisation</w:t>
      </w:r>
      <w:bookmarkEnd w:id="93"/>
      <w:bookmarkEnd w:id="94"/>
    </w:p>
    <w:p w14:paraId="5716DC1F" w14:textId="3D6A99AF" w:rsidR="00A540D1" w:rsidRPr="007D4988" w:rsidRDefault="00A540D1" w:rsidP="00A540D1">
      <w:pPr>
        <w:tabs>
          <w:tab w:val="clear" w:pos="567"/>
          <w:tab w:val="clear" w:pos="1134"/>
          <w:tab w:val="clear" w:pos="1701"/>
          <w:tab w:val="clear" w:pos="2268"/>
          <w:tab w:val="clear" w:pos="2835"/>
        </w:tabs>
      </w:pPr>
      <w:r w:rsidRPr="007D4988">
        <w:t xml:space="preserve">Le </w:t>
      </w:r>
      <w:hyperlink r:id="rId481" w:anchor="/fr" w:history="1">
        <w:r w:rsidRPr="007D4988">
          <w:rPr>
            <w:rStyle w:val="Hyperlink"/>
            <w:rFonts w:eastAsia="Times New Roman" w:cs="Times New Roman"/>
            <w:szCs w:val="20"/>
          </w:rPr>
          <w:t>cinquième Colloque mondial sur la normalisation (GSS-24)</w:t>
        </w:r>
      </w:hyperlink>
      <w:r w:rsidRPr="007D4988">
        <w:t>, qui s'est tenu le</w:t>
      </w:r>
      <w:r w:rsidR="0042272E" w:rsidRPr="007D4988">
        <w:t> </w:t>
      </w:r>
      <w:r w:rsidRPr="007D4988">
        <w:t>14 octobre 2024 à New Delhi, a offert un cadre dynamique aux leaders d'opinion, aux innovateurs et aux décideurs du monde entier. Cette manifestation inclusive a accueilli des membres de l'UIT, mais pas seulement, en prélude à l'AMNT-24 qui a suivi.</w:t>
      </w:r>
      <w:hyperlink r:id="rId482" w:history="1"/>
    </w:p>
    <w:p w14:paraId="2307851A" w14:textId="77777777" w:rsidR="00A540D1" w:rsidRPr="007D4988" w:rsidRDefault="00A540D1" w:rsidP="00A540D1">
      <w:pPr>
        <w:tabs>
          <w:tab w:val="clear" w:pos="567"/>
          <w:tab w:val="clear" w:pos="1134"/>
          <w:tab w:val="clear" w:pos="1701"/>
          <w:tab w:val="clear" w:pos="2268"/>
          <w:tab w:val="clear" w:pos="2835"/>
        </w:tabs>
      </w:pPr>
      <w:r w:rsidRPr="007D4988">
        <w:t>Le GSS-24 était axé sur le thème "Anticiper la prochaine vague numérique: technologies émergentes, innovation et normes internationales" et a mis en lumière le rôle central des technologies de pointe et des normes internationales pour ce qui est de façonner le paysage numérique. Parmi les temps forts du Colloque, on mentionnera le Segment de haut niveau, où des ministres et des dirigeants du secteur se sont réunis pour se pencher et agir sur l'avenir de l'innovation, dans le but d'impulser des transformations à l'échelle mondiale.</w:t>
      </w:r>
    </w:p>
    <w:p w14:paraId="728A093D" w14:textId="77777777" w:rsidR="00A540D1" w:rsidRPr="007D4988" w:rsidRDefault="00A540D1" w:rsidP="00A540D1">
      <w:pPr>
        <w:tabs>
          <w:tab w:val="clear" w:pos="567"/>
          <w:tab w:val="clear" w:pos="1134"/>
          <w:tab w:val="clear" w:pos="1701"/>
          <w:tab w:val="clear" w:pos="2268"/>
          <w:tab w:val="clear" w:pos="2835"/>
        </w:tabs>
      </w:pPr>
      <w:r w:rsidRPr="007D4988">
        <w:t xml:space="preserve">Fort de cette dynamique, le GSS-24 s'est achevé sur une série de recommandations concrètes soulignant l'importance des normes internationales à l'appui de l'innovation, des technologies émergentes et du développement durable. Dans </w:t>
      </w:r>
      <w:hyperlink r:id="rId483" w:anchor="p=1" w:history="1">
        <w:r w:rsidRPr="007D4988">
          <w:rPr>
            <w:rStyle w:val="Hyperlink"/>
            <w:rFonts w:eastAsia="Times New Roman" w:cs="Times New Roman"/>
            <w:szCs w:val="20"/>
          </w:rPr>
          <w:t>ses conclusions</w:t>
        </w:r>
      </w:hyperlink>
      <w:r w:rsidRPr="007D4988">
        <w:t>, le GSS-24 a réaffirmé le rôle de l'UIT en tant que tribune incontournable pour la collaboration entre les gouvernements, le secteur privé, les établissements universitaires et la société civile, et souligné la nécessité d'assurer une coordination pour mettre les normes au service de la transformation numérique des sociétés du monde entier.</w:t>
      </w:r>
      <w:hyperlink r:id="rId484" w:anchor="p=1" w:history="1"/>
    </w:p>
    <w:p w14:paraId="34915E59" w14:textId="77777777" w:rsidR="00A540D1" w:rsidRPr="007D4988" w:rsidRDefault="00A540D1" w:rsidP="00A540D1">
      <w:pPr>
        <w:pStyle w:val="Heading3"/>
      </w:pPr>
      <w:bookmarkStart w:id="95" w:name="_Toc224288823"/>
      <w:bookmarkStart w:id="96" w:name="_Toc225488900"/>
      <w:r w:rsidRPr="007D4988">
        <w:t>4.8.4</w:t>
      </w:r>
      <w:r w:rsidRPr="007D4988">
        <w:tab/>
        <w:t>Colloque mondial des régulateurs</w:t>
      </w:r>
      <w:bookmarkEnd w:id="95"/>
      <w:bookmarkEnd w:id="96"/>
    </w:p>
    <w:p w14:paraId="47DD5978" w14:textId="77B7B9FB" w:rsidR="00A540D1" w:rsidRPr="007D4988" w:rsidRDefault="00A540D1" w:rsidP="00A540D1">
      <w:r w:rsidRPr="007D4988">
        <w:t>Au cours de la période 2022-2025, le Colloque mondial des régulateurs (</w:t>
      </w:r>
      <w:hyperlink r:id="rId485" w:anchor="/fr" w:history="1">
        <w:r w:rsidRPr="007D4988">
          <w:rPr>
            <w:rStyle w:val="Hyperlink"/>
            <w:rFonts w:eastAsia="Times New Roman" w:cs="Times New Roman"/>
            <w:szCs w:val="20"/>
          </w:rPr>
          <w:t>GSR</w:t>
        </w:r>
      </w:hyperlink>
      <w:r w:rsidRPr="007D4988">
        <w:t>) a constitué une tribune mondiale de premier plan permettant de transformer la mission des régulateurs en réponse à l'évolution rapide des technologies, une attention particulière étant portée aux approches réglementaires innovantes essentielles pour favoriser la transformation numérique et l'inclusion à l'échelle mondiale. Au cours du cycle 2023-2025, la participation aux travaux du GSR a augmenté régulièrement – le nombre de délégués présents étant passé d'environ 750 au GSR-23 à quelque 1 200 au GSR-25 –, ce qui traduit un intérêt croissant pour l'innovation réglementaire partout dans le monde. Sur ces trois années, le</w:t>
      </w:r>
      <w:r w:rsidR="006A6EAA" w:rsidRPr="007D4988">
        <w:t> </w:t>
      </w:r>
      <w:r w:rsidRPr="007D4988">
        <w:t xml:space="preserve">GSR a élaboré plusieurs séries de </w:t>
      </w:r>
      <w:hyperlink r:id="rId486" w:anchor="/fr" w:history="1">
        <w:r w:rsidRPr="007D4988">
          <w:rPr>
            <w:rStyle w:val="Hyperlink"/>
            <w:rFonts w:eastAsia="Times New Roman" w:cs="Times New Roman"/>
            <w:szCs w:val="20"/>
          </w:rPr>
          <w:t>lignes directrices relatives aux bonnes pratiques</w:t>
        </w:r>
      </w:hyperlink>
      <w:r w:rsidRPr="007D4988">
        <w:t>, qui sont venues asseoir le rôle des régulateurs en tant que créateurs d'écosystèmes numériques, et défini des stratégies claires pour parvenir à un développement numérique inclusif, centré sur l'humain et durable dans le monde entier.</w:t>
      </w:r>
      <w:hyperlink r:id="rId487" w:history="1"/>
      <w:hyperlink r:id="rId488" w:history="1"/>
    </w:p>
    <w:p w14:paraId="11BE21F8" w14:textId="77777777" w:rsidR="00A540D1" w:rsidRPr="007D4988" w:rsidRDefault="00A540D1" w:rsidP="00A540D1">
      <w:r w:rsidRPr="007D4988">
        <w:t xml:space="preserve">À l'occasion du GSR-23, organisé à Charm el-Cheikh (Égypte) du 5 au 8 juin 2023 et placé sous le thème de la connectivité numérique, les participants ont débattu de sujets tels que la sécurité en ligne des enfants, l'accès à des technologies abordables et la durabilité de la transformation numérique. La manifestation a abouti à l'adoption de </w:t>
      </w:r>
      <w:hyperlink r:id="rId489" w:history="1">
        <w:r w:rsidRPr="007D4988">
          <w:rPr>
            <w:rStyle w:val="Hyperlink"/>
            <w:rFonts w:eastAsia="Times New Roman" w:cs="Times New Roman"/>
            <w:szCs w:val="20"/>
          </w:rPr>
          <w:t>lignes directrices relatives aux bonnes pratiques</w:t>
        </w:r>
      </w:hyperlink>
      <w:r w:rsidRPr="007D4988">
        <w:t xml:space="preserve"> qui visent à promouvoir un avenir numérique inclusif et proposent des stratégies pour améliorer la connectivité et les pratiques réglementaires.</w:t>
      </w:r>
      <w:hyperlink r:id="rId490" w:history="1"/>
    </w:p>
    <w:p w14:paraId="4629E49C" w14:textId="77777777" w:rsidR="00A540D1" w:rsidRPr="007D4988" w:rsidRDefault="00A540D1" w:rsidP="00A540D1">
      <w:r w:rsidRPr="007D4988">
        <w:t xml:space="preserve">Après l'édition de 2023, le GSR-24 s'est tenu à Kampala (Ouganda) du 1er au 4 juillet 2024. La manifestation était axée sur la création de réglementations efficaces pour les infrastructures de pointe et les technologies transformatrices, et a abouti à de nouvelles </w:t>
      </w:r>
      <w:hyperlink r:id="rId491" w:history="1">
        <w:r w:rsidRPr="007D4988">
          <w:rPr>
            <w:rStyle w:val="Hyperlink"/>
            <w:rFonts w:eastAsia="Times New Roman" w:cs="Times New Roman"/>
            <w:szCs w:val="20"/>
          </w:rPr>
          <w:t>lignes directrices relatives aux bonnes pratiques</w:t>
        </w:r>
      </w:hyperlink>
      <w:r w:rsidRPr="007D4988">
        <w:t xml:space="preserve"> conçues pour aider les régulateurs des TIC à soutenir les économies numériques durables.</w:t>
      </w:r>
      <w:hyperlink r:id="rId492" w:history="1"/>
    </w:p>
    <w:p w14:paraId="50341361" w14:textId="1455A815" w:rsidR="00A540D1" w:rsidRPr="007D4988" w:rsidRDefault="00A540D1" w:rsidP="00A540D1">
      <w:r w:rsidRPr="007D4988">
        <w:t>L'édition la plus récente, le GSR-25, s'est déroulée à Riyad (Arabie saoudite), du 31 août au</w:t>
      </w:r>
      <w:r w:rsidR="00701FAC" w:rsidRPr="007D4988">
        <w:t> </w:t>
      </w:r>
      <w:r w:rsidRPr="007D4988">
        <w:t xml:space="preserve">3 septembre 2025, sur le thème "La réglementation au service d'un développement numérique durable". Les principales discussions se sont concentrées sur la collaboration, l'innovation et la coopération transfrontières entre régulateurs. Les </w:t>
      </w:r>
      <w:hyperlink r:id="rId493" w:anchor="p=1" w:history="1">
        <w:r w:rsidRPr="007D4988">
          <w:rPr>
            <w:rStyle w:val="Hyperlink"/>
            <w:rFonts w:eastAsia="Times New Roman" w:cs="Times New Roman"/>
            <w:szCs w:val="20"/>
          </w:rPr>
          <w:t>lignes directrices relatives aux bonnes pratiques du GSR-25</w:t>
        </w:r>
      </w:hyperlink>
      <w:r w:rsidRPr="007D4988">
        <w:t xml:space="preserve"> sont venues confirmer le rôle des régulateurs en</w:t>
      </w:r>
      <w:r w:rsidR="00701FAC" w:rsidRPr="007D4988">
        <w:t> </w:t>
      </w:r>
      <w:r w:rsidRPr="007D4988">
        <w:t>tant que créateurs d'écosystèmes numériques et souligner la nécessité d'innover dans les pratiques réglementaires et d'adopter une approche centrée sur l'humain pour garantir que la transformation numérique profite à tous.</w:t>
      </w:r>
      <w:hyperlink r:id="rId494" w:anchor="p=1" w:history="1"/>
    </w:p>
    <w:p w14:paraId="78D860DA" w14:textId="594B5835" w:rsidR="00A540D1" w:rsidRPr="007D4988" w:rsidRDefault="00A540D1" w:rsidP="00A540D1">
      <w:r w:rsidRPr="007D4988">
        <w:t>Tout au long de la période, les priorités thématiques fondamentales sont restées cohérentes et ont été progressivement approfondies, notamment en ce qui concerne la sécurité en ligne des enfants, la connectivité universelle et efficace, la durabilité environnementale (le</w:t>
      </w:r>
      <w:r w:rsidR="00701FAC" w:rsidRPr="007D4988">
        <w:t> </w:t>
      </w:r>
      <w:r w:rsidRPr="007D4988">
        <w:t>numérique au service de l'environnement) et les infrastructures numériques de confiance. La série de travaux a confirmé qu'une collaboration faisant intervenir toutes les entités publiques et intersectorielle était nécessaire pour atteindre les objectifs stratégiques de l'UIT.</w:t>
      </w:r>
    </w:p>
    <w:p w14:paraId="20088BA0" w14:textId="77777777" w:rsidR="00A540D1" w:rsidRPr="007D4988" w:rsidRDefault="00A540D1" w:rsidP="00A540D1">
      <w:pPr>
        <w:pStyle w:val="Heading3"/>
      </w:pPr>
      <w:bookmarkStart w:id="97" w:name="_Toc224288824"/>
      <w:bookmarkStart w:id="98" w:name="_Toc225488901"/>
      <w:r w:rsidRPr="007D4988">
        <w:t>4.8.5</w:t>
      </w:r>
      <w:r w:rsidRPr="007D4988">
        <w:tab/>
        <w:t>Participation des établissements universitaires aux travaux de l'UIT</w:t>
      </w:r>
      <w:bookmarkEnd w:id="97"/>
      <w:bookmarkEnd w:id="98"/>
    </w:p>
    <w:p w14:paraId="02E1397E" w14:textId="5640CDC4" w:rsidR="00A540D1" w:rsidRPr="007D4988" w:rsidRDefault="00A540D1" w:rsidP="00A540D1">
      <w:r w:rsidRPr="007D4988">
        <w:t>Plus de 180 universités et établissements de recherche participent aux travaux de l'UIT et y</w:t>
      </w:r>
      <w:r w:rsidR="0042272E" w:rsidRPr="007D4988">
        <w:t> </w:t>
      </w:r>
      <w:r w:rsidRPr="007D4988">
        <w:t>apportent à ce titre des contributions régulières. Le nombre de ces établissements universitaires ne cesse de croître.</w:t>
      </w:r>
    </w:p>
    <w:p w14:paraId="15674B60" w14:textId="77777777" w:rsidR="00A540D1" w:rsidRPr="007D4988" w:rsidRDefault="00A540D1" w:rsidP="00A540D1">
      <w:r w:rsidRPr="007D4988">
        <w:t xml:space="preserve">Le </w:t>
      </w:r>
      <w:hyperlink r:id="rId495" w:anchor="/fr" w:history="1">
        <w:r w:rsidRPr="007D4988">
          <w:rPr>
            <w:rStyle w:val="Hyperlink"/>
            <w:rFonts w:eastAsia="Times New Roman" w:cs="Times New Roman"/>
            <w:szCs w:val="20"/>
          </w:rPr>
          <w:t>statut d'établissement universitaire participant aux travaux de l'UIT</w:t>
        </w:r>
      </w:hyperlink>
      <w:r w:rsidRPr="007D4988">
        <w:t xml:space="preserve">, le </w:t>
      </w:r>
      <w:hyperlink r:id="rId496" w:history="1">
        <w:r w:rsidRPr="007D4988">
          <w:rPr>
            <w:rStyle w:val="Hyperlink"/>
            <w:rFonts w:eastAsia="Times New Roman" w:cs="Times New Roman"/>
            <w:szCs w:val="20"/>
          </w:rPr>
          <w:t>Journal de l'UIT</w:t>
        </w:r>
      </w:hyperlink>
      <w:r w:rsidRPr="007D4988">
        <w:t xml:space="preserve">, les </w:t>
      </w:r>
      <w:hyperlink r:id="rId497" w:history="1">
        <w:r w:rsidRPr="007D4988">
          <w:rPr>
            <w:rStyle w:val="Hyperlink"/>
            <w:rFonts w:eastAsia="Times New Roman" w:cs="Times New Roman"/>
            <w:szCs w:val="20"/>
          </w:rPr>
          <w:t>conférences multidisciplinaires "Kaléidoscope" de l'UIT</w:t>
        </w:r>
      </w:hyperlink>
      <w:r w:rsidRPr="007D4988">
        <w:t>, l'</w:t>
      </w:r>
      <w:hyperlink r:id="rId498" w:anchor="/fr" w:history="1">
        <w:r w:rsidRPr="007D4988">
          <w:rPr>
            <w:rStyle w:val="Hyperlink"/>
            <w:rFonts w:eastAsia="Times New Roman" w:cs="Times New Roman"/>
            <w:szCs w:val="20"/>
          </w:rPr>
          <w:t>Organe consultatif scientifique sur les technologies émergentes</w:t>
        </w:r>
      </w:hyperlink>
      <w:r w:rsidRPr="007D4988">
        <w:t xml:space="preserve"> et les projets de fin d'études constituent les principaux modes de participation des établissements universitaires aux travaux de l'UIT. Ces initiatives favorisent la collaboration entre les universités et le secteur privé, et stimulent la recherche</w:t>
      </w:r>
      <w:r w:rsidRPr="007D4988">
        <w:noBreakHyphen/>
        <w:t>développement tout en accélérant le passage des innovations de pointe du laboratoire vers le marché. Outre les initiatives présentées ci-dessus, d'autres modalités de participation s'offrent aux établissements universitaires, notamment la recherche scientifique et technologique, la formation, les publications, les manifestations et bien d'autres encore à l'échelle de l'Union.</w:t>
      </w:r>
    </w:p>
    <w:p w14:paraId="36C368FC" w14:textId="77777777" w:rsidR="00A540D1" w:rsidRPr="007D4988" w:rsidRDefault="00A540D1" w:rsidP="00A540D1">
      <w:pPr>
        <w:pStyle w:val="Headingb"/>
      </w:pPr>
      <w:r w:rsidRPr="007D4988">
        <w:t>Organe consultatif scientifique sur les technologies émergentes</w:t>
      </w:r>
    </w:p>
    <w:p w14:paraId="019F647E" w14:textId="77777777" w:rsidR="00A540D1" w:rsidRPr="007D4988" w:rsidRDefault="00A540D1" w:rsidP="006A6EAA">
      <w:pPr>
        <w:keepLines/>
      </w:pPr>
      <w:r w:rsidRPr="007D4988">
        <w:t>L'</w:t>
      </w:r>
      <w:hyperlink r:id="rId499" w:anchor="/fr" w:history="1">
        <w:r w:rsidRPr="007D4988">
          <w:rPr>
            <w:rStyle w:val="Hyperlink"/>
            <w:rFonts w:eastAsia="Times New Roman" w:cs="Times New Roman"/>
            <w:szCs w:val="20"/>
          </w:rPr>
          <w:t>Organe consultatif scientifique sur les technologies émergentes</w:t>
        </w:r>
      </w:hyperlink>
      <w:r w:rsidRPr="007D4988">
        <w:t xml:space="preserve"> a été créé en septembre 2025 pour produire des notes d'information et des analyses prospectives sur l'évolution du rôle et les incidences de l'innovation. Il réunit 26 hauts spécialistes de différentes régions du monde chargés d'examiner comment les technologies émergentes peuvent servir au mieux la société.</w:t>
      </w:r>
    </w:p>
    <w:p w14:paraId="5ADEDA30" w14:textId="77777777" w:rsidR="00A540D1" w:rsidRPr="007D4988" w:rsidRDefault="00A540D1" w:rsidP="00A540D1">
      <w:pPr>
        <w:pStyle w:val="Headingb"/>
      </w:pPr>
      <w:r w:rsidRPr="007D4988">
        <w:t>Projets de fin d'études</w:t>
      </w:r>
    </w:p>
    <w:p w14:paraId="326547EB" w14:textId="77777777" w:rsidR="00A540D1" w:rsidRPr="007D4988" w:rsidRDefault="00A540D1" w:rsidP="00A540D1">
      <w:r w:rsidRPr="007D4988">
        <w:t>Il existe également une possibilité de collaboration dans le cadre de projets de fin d'études qui font le lien entre les apprentissages universitaires et des problèmes bien réels. Ces projets apportent une expérience concrète aux étudiants, qui travaillent sur des questions pressantes à l'échelle mondiale. L'UIT pose une problématique concrète, ce qui permet aux étudiants d'appliquer leurs connaissances, de concevoir des solutions innovantes et d'acquérir une expérience pratique.</w:t>
      </w:r>
    </w:p>
    <w:p w14:paraId="7284D790" w14:textId="77777777" w:rsidR="00A540D1" w:rsidRPr="007D4988" w:rsidRDefault="00A540D1" w:rsidP="00A540D1">
      <w:pPr>
        <w:pStyle w:val="Heading4"/>
        <w:rPr>
          <w:rFonts w:eastAsia="MS Mincho"/>
        </w:rPr>
      </w:pPr>
      <w:r w:rsidRPr="007D4988">
        <w:t>4.8.5.1</w:t>
      </w:r>
      <w:r w:rsidRPr="007D4988">
        <w:tab/>
        <w:t>Journal de l'UIT</w:t>
      </w:r>
    </w:p>
    <w:p w14:paraId="6D4E9D4E" w14:textId="77777777" w:rsidR="00A540D1" w:rsidRPr="007D4988" w:rsidRDefault="00A540D1" w:rsidP="00A540D1">
      <w:r w:rsidRPr="007D4988">
        <w:t xml:space="preserve">Le </w:t>
      </w:r>
      <w:hyperlink r:id="rId500" w:history="1">
        <w:r w:rsidRPr="007D4988">
          <w:rPr>
            <w:rStyle w:val="Hyperlink"/>
            <w:rFonts w:eastAsia="Times New Roman" w:cs="Times New Roman"/>
            <w:szCs w:val="20"/>
          </w:rPr>
          <w:t>Journal de l'UIT sur les technologies futures et les technologies en évolution (J-FET de l'UIT)</w:t>
        </w:r>
      </w:hyperlink>
      <w:r w:rsidRPr="007D4988">
        <w:t xml:space="preserve"> continue d'offrir un cadre inclusif et de qualité pour la recherche sur les communications, les réseaux et les technologies émergentes. Il s'agit d'une publication en ligne trimestrielle qui accepte des contributions toute l'année; il propose une couverture scientifique complète dans tous les domaines émergents présentant un intérêt pour les travaux de l'UIT, tels que le métavers et les progrès de l'IA, l'informatique en périphérie et les réseaux à satellite en orbite terrestre basse, entre autres sujets. C'est une publication gratuite pour ses lecteurs et les auteurs.</w:t>
      </w:r>
      <w:hyperlink r:id="rId501" w:history="1"/>
    </w:p>
    <w:p w14:paraId="7BF5AC0C" w14:textId="77777777" w:rsidR="00A540D1" w:rsidRPr="007D4988" w:rsidRDefault="00A540D1" w:rsidP="00A540D1">
      <w:r w:rsidRPr="007D4988">
        <w:t xml:space="preserve">Outre des travaux de recherche évalués par les pairs, le </w:t>
      </w:r>
      <w:hyperlink r:id="rId502" w:history="1">
        <w:r w:rsidRPr="007D4988">
          <w:rPr>
            <w:rStyle w:val="Hyperlink"/>
            <w:rFonts w:eastAsia="Times New Roman" w:cs="Times New Roman"/>
            <w:szCs w:val="20"/>
          </w:rPr>
          <w:t>Journal de l'UIT comprend une série de webinaires</w:t>
        </w:r>
      </w:hyperlink>
      <w:r w:rsidRPr="007D4988">
        <w:t>, qui prennent la forme de discussions avec d'éminents spécialistes universitaires et des directeurs techniques. Depuis le lancement de cette série spéciale de webinaires en 2022, le journal a organisé des discussions de haut niveau avec des organisations telles que NTT DOCOMO, O-RAN Alliance, GSMA, Nokia et China Mobile, ainsi qu'avec des universités prestigieuses du monde entier. Ces webinaires complètent la vocation du journal en favorisant le dialogue entre chercheurs et dirigeants du secteur, en encourageant les échanges de connaissances et en soutenant la communauté mondiale de la recherche dans l'exploration des technologies futures et des technologies en évolution.</w:t>
      </w:r>
      <w:hyperlink r:id="rId503" w:history="1"/>
    </w:p>
    <w:p w14:paraId="1AD64C29" w14:textId="77777777" w:rsidR="00A540D1" w:rsidRPr="007D4988" w:rsidRDefault="00A540D1" w:rsidP="00A540D1">
      <w:r w:rsidRPr="007D4988">
        <w:t xml:space="preserve">Outre des articles de recherche, le journal donne également accès aux </w:t>
      </w:r>
      <w:hyperlink r:id="rId504" w:history="1">
        <w:r w:rsidRPr="007D4988">
          <w:rPr>
            <w:rStyle w:val="Hyperlink"/>
            <w:rFonts w:eastAsia="Times New Roman" w:cs="Times New Roman"/>
            <w:szCs w:val="20"/>
          </w:rPr>
          <w:t>archives des discussions tenues lors de webinaires</w:t>
        </w:r>
      </w:hyperlink>
      <w:r w:rsidRPr="007D4988">
        <w:t xml:space="preserve"> avec des chercheurs et des dirigeants d'entreprises de haut niveau.</w:t>
      </w:r>
      <w:hyperlink r:id="rId505" w:history="1"/>
    </w:p>
    <w:p w14:paraId="2A3487DA" w14:textId="77777777" w:rsidR="00A540D1" w:rsidRPr="007D4988" w:rsidRDefault="00A540D1" w:rsidP="00A540D1">
      <w:pPr>
        <w:pStyle w:val="Heading4"/>
      </w:pPr>
      <w:r w:rsidRPr="007D4988">
        <w:t>4.8.5.2</w:t>
      </w:r>
      <w:r w:rsidRPr="007D4988">
        <w:tab/>
        <w:t>Conférence universitaire "Kaléidoscope"</w:t>
      </w:r>
    </w:p>
    <w:p w14:paraId="3C4C908F" w14:textId="6EDFBEDC" w:rsidR="00A540D1" w:rsidRPr="007D4988" w:rsidRDefault="00A540D1" w:rsidP="00A540D1">
      <w:r w:rsidRPr="007D4988">
        <w:t xml:space="preserve">La série de conférences universitaires </w:t>
      </w:r>
      <w:hyperlink r:id="rId506" w:history="1">
        <w:r w:rsidRPr="007D4988">
          <w:rPr>
            <w:rStyle w:val="Hyperlink"/>
            <w:rFonts w:eastAsia="Times New Roman" w:cs="Times New Roman"/>
            <w:szCs w:val="20"/>
          </w:rPr>
          <w:t>"Kaléidoscope" de l'UIT</w:t>
        </w:r>
      </w:hyperlink>
      <w:r w:rsidRPr="007D4988">
        <w:t xml:space="preserve">, qui bénéficient d'un appui technique de l'IEEE et l'IEEE Communications Society, a continué de présenter les nouvelles tendances de la recherche ces dernières années et leur intérêt pour les activités internationales de normalisation. Tenue à Accra (Ghana), la manifestation </w:t>
      </w:r>
      <w:hyperlink r:id="rId507" w:history="1">
        <w:r w:rsidRPr="007D4988">
          <w:rPr>
            <w:rStyle w:val="Hyperlink"/>
            <w:rFonts w:eastAsia="Times New Roman" w:cs="Times New Roman"/>
            <w:szCs w:val="20"/>
          </w:rPr>
          <w:t>Kaléidoscope 2022</w:t>
        </w:r>
      </w:hyperlink>
      <w:r w:rsidRPr="007D4988">
        <w:t xml:space="preserve"> a été l'occasion de réfléchir aux possibilités d'innovation au service du métavers dans le cadre de séances consacrées à des questions de prospective, de présentations de travaux, de démonstrations et de présentations par des étudiants. Dans le prolongement de cette édition, la manifestation </w:t>
      </w:r>
      <w:hyperlink r:id="rId508" w:anchor="/fr" w:history="1">
        <w:r w:rsidRPr="007D4988">
          <w:rPr>
            <w:rStyle w:val="Hyperlink"/>
            <w:rFonts w:eastAsia="Times New Roman" w:cs="Times New Roman"/>
            <w:szCs w:val="20"/>
          </w:rPr>
          <w:t>Kaléidoscope 2024</w:t>
        </w:r>
      </w:hyperlink>
      <w:r w:rsidRPr="007D4988">
        <w:t>, organisée à New</w:t>
      </w:r>
      <w:r w:rsidR="006A6EAA" w:rsidRPr="007D4988">
        <w:t> </w:t>
      </w:r>
      <w:r w:rsidRPr="007D4988">
        <w:t>Delhi en marge de l'AMNT-24, était axée sur l'innovation et la transformation numérique au service d'un monde durable; elle comprenait une séance spéciale consacrée à la participation des jeunes à l'élaboration des normes et aux moyens d'aider la prochaine génération d'acteurs du consensus, et a permis d'insister sur le rôle que les technologies numériques ont à jouer pour faire face aux défis du monde et à la nécessité urgente d'apporter une connexion au tiers de la population mondiale qui n'en a toujours pas. Elle a en outre renforcé le rôle des manifestations Kaléidoscope, qui offrent une tribune essentielle pour la création de liens entre recherche universitaire et priorités internationales en matière de normalisation. En 2025, la 16ème édition de la conférence a été lancée sur le thème "</w:t>
      </w:r>
      <w:hyperlink r:id="rId509" w:anchor="/fr" w:history="1">
        <w:r w:rsidRPr="007D4988">
          <w:rPr>
            <w:rStyle w:val="Hyperlink"/>
            <w:rFonts w:eastAsia="Times New Roman" w:cs="Times New Roman"/>
            <w:szCs w:val="20"/>
          </w:rPr>
          <w:t>L'intelligence artificielle et les technologies de pointe au service du bien social</w:t>
        </w:r>
      </w:hyperlink>
      <w:r w:rsidRPr="007D4988">
        <w:t>". La</w:t>
      </w:r>
      <w:r w:rsidR="00701FAC" w:rsidRPr="007D4988">
        <w:t> </w:t>
      </w:r>
      <w:r w:rsidRPr="007D4988">
        <w:t xml:space="preserve">manifestation Kaléidoscope 2026 se tiendra sous les auspices du </w:t>
      </w:r>
      <w:hyperlink r:id="rId510" w:anchor="/fr" w:history="1">
        <w:r w:rsidRPr="007D4988">
          <w:rPr>
            <w:rStyle w:val="Hyperlink"/>
            <w:rFonts w:eastAsia="Times New Roman" w:cs="Times New Roman"/>
            <w:szCs w:val="20"/>
          </w:rPr>
          <w:t>Sommet mondial sur l'intelligence artificielle au service du bien social</w:t>
        </w:r>
      </w:hyperlink>
      <w:r w:rsidRPr="007D4988">
        <w:t>, en juillet 2026, et sera l'occasion de présenter des travaux de recherche pluridisciplinaires sur la manière dont les technologies de pointe – comme l'intelligence artificielle, les interfaces cerveau-ordinateur, l'IA incarnée, la conduite autonome, l'informatique géospatiale et spatiale et l'informatique quantique – interagissent avec les télécommunications. Les participants échangeront des idées sur ces innovations, leurs incidences socio-économiques, les politiques nécessaires à leur développement durable et les considérations éthiques qui guident leur utilisation.</w:t>
      </w:r>
      <w:hyperlink r:id="rId511" w:history="1"/>
      <w:hyperlink r:id="rId512" w:history="1"/>
      <w:hyperlink r:id="rId513" w:history="1"/>
      <w:hyperlink r:id="rId514" w:history="1"/>
      <w:hyperlink r:id="rId515" w:history="1"/>
    </w:p>
    <w:p w14:paraId="60529A09" w14:textId="77777777" w:rsidR="00A540D1" w:rsidRPr="007D4988" w:rsidRDefault="00A540D1" w:rsidP="00A540D1">
      <w:pPr>
        <w:pStyle w:val="Heading4"/>
      </w:pPr>
      <w:bookmarkStart w:id="99" w:name="Para4853"/>
      <w:bookmarkStart w:id="100" w:name="_Toc37860464"/>
      <w:bookmarkStart w:id="101" w:name="_Toc37861225"/>
      <w:bookmarkStart w:id="102" w:name="_Toc37943348"/>
      <w:bookmarkStart w:id="103" w:name="_Toc1628990078"/>
      <w:bookmarkStart w:id="104" w:name="Section_1_10"/>
      <w:r w:rsidRPr="007D4988">
        <w:t>4.8.5.3</w:t>
      </w:r>
      <w:bookmarkEnd w:id="99"/>
      <w:r w:rsidRPr="007D4988">
        <w:tab/>
        <w:t>Séminaires et ateliers: aller plus loin</w:t>
      </w:r>
      <w:bookmarkEnd w:id="100"/>
      <w:bookmarkEnd w:id="101"/>
      <w:bookmarkEnd w:id="102"/>
      <w:bookmarkEnd w:id="103"/>
      <w:bookmarkEnd w:id="104"/>
    </w:p>
    <w:p w14:paraId="5BEC2E2C" w14:textId="77777777" w:rsidR="00A540D1" w:rsidRPr="007D4988" w:rsidRDefault="00A540D1" w:rsidP="00A540D1">
      <w:r w:rsidRPr="007D4988">
        <w:t>L'organisation de séminaires et d'ateliers spécialisés est essentielle aux efforts de mobilisation des parties prenantes déployés par l'UIT dans les secteurs des radiocommunications, de la normalisation des télécommunications et du développement des télécommunications.</w:t>
      </w:r>
    </w:p>
    <w:p w14:paraId="0EB44533" w14:textId="77777777" w:rsidR="00A540D1" w:rsidRPr="007D4988" w:rsidRDefault="00A540D1" w:rsidP="00A540D1">
      <w:pPr>
        <w:pStyle w:val="Headingb"/>
      </w:pPr>
      <w:r w:rsidRPr="007D4988">
        <w:t>UIT-R</w:t>
      </w:r>
    </w:p>
    <w:p w14:paraId="34CF68A1" w14:textId="77777777" w:rsidR="00A540D1" w:rsidRPr="007D4988" w:rsidRDefault="00A540D1" w:rsidP="00A540D1">
      <w:pPr>
        <w:pStyle w:val="Headingb"/>
      </w:pPr>
      <w:r w:rsidRPr="007D4988">
        <w:t>Séminaires</w:t>
      </w:r>
    </w:p>
    <w:p w14:paraId="13EDBDAF" w14:textId="77777777" w:rsidR="00A540D1" w:rsidRPr="007D4988" w:rsidRDefault="00A540D1" w:rsidP="00A540D1">
      <w:r w:rsidRPr="007D4988">
        <w:t>L'UIT-R a organisé un programme solide de séminaires mondiaux et régionaux sur les radiocommunications pour que le Règlement des radiocommunications soit mieux compris dans le monde entier et que le spectre des fréquences radioélectriques et les orbites de satellites soient mieux gérés. Ces activités comprenaient notamment le Séminaire mondial des radiocommunications (</w:t>
      </w:r>
      <w:hyperlink r:id="rId516" w:anchor="/fr" w:history="1">
        <w:r w:rsidRPr="007D4988">
          <w:rPr>
            <w:rStyle w:val="Hyperlink"/>
            <w:rFonts w:eastAsia="Times New Roman" w:cs="Times New Roman"/>
            <w:szCs w:val="20"/>
          </w:rPr>
          <w:t>WRS-22</w:t>
        </w:r>
      </w:hyperlink>
      <w:r w:rsidRPr="007D4988">
        <w:t xml:space="preserve">) et les </w:t>
      </w:r>
      <w:hyperlink r:id="rId517" w:history="1">
        <w:r w:rsidRPr="007D4988">
          <w:rPr>
            <w:rStyle w:val="Hyperlink"/>
            <w:rFonts w:eastAsia="Times New Roman" w:cs="Times New Roman"/>
            <w:szCs w:val="20"/>
          </w:rPr>
          <w:t>séminaires régionaux des radiocommunications</w:t>
        </w:r>
      </w:hyperlink>
      <w:r w:rsidRPr="007D4988">
        <w:t xml:space="preserve"> pour les </w:t>
      </w:r>
      <w:hyperlink r:id="rId518" w:history="1">
        <w:r w:rsidRPr="007D4988">
          <w:rPr>
            <w:rStyle w:val="Hyperlink"/>
            <w:rFonts w:eastAsia="Times New Roman" w:cs="Times New Roman"/>
            <w:szCs w:val="20"/>
          </w:rPr>
          <w:t>États arabes</w:t>
        </w:r>
      </w:hyperlink>
      <w:r w:rsidRPr="007D4988">
        <w:t>, l'</w:t>
      </w:r>
      <w:hyperlink r:id="rId519" w:history="1">
        <w:r w:rsidRPr="007D4988">
          <w:rPr>
            <w:rStyle w:val="Hyperlink"/>
            <w:rFonts w:eastAsia="Times New Roman" w:cs="Times New Roman"/>
            <w:szCs w:val="20"/>
          </w:rPr>
          <w:t>Europe</w:t>
        </w:r>
      </w:hyperlink>
      <w:r w:rsidRPr="007D4988">
        <w:t xml:space="preserve"> et l'</w:t>
      </w:r>
      <w:hyperlink r:id="rId520" w:history="1">
        <w:r w:rsidRPr="007D4988">
          <w:rPr>
            <w:rStyle w:val="Hyperlink"/>
            <w:rFonts w:eastAsia="Times New Roman" w:cs="Times New Roman"/>
            <w:szCs w:val="20"/>
          </w:rPr>
          <w:t>Asie-Pacifique</w:t>
        </w:r>
      </w:hyperlink>
      <w:r w:rsidRPr="007D4988">
        <w:t xml:space="preserve">, suivis des séminaires régionaux des radiocommunications pour les </w:t>
      </w:r>
      <w:hyperlink r:id="rId521" w:history="1">
        <w:r w:rsidRPr="007D4988">
          <w:rPr>
            <w:rStyle w:val="Hyperlink"/>
            <w:rFonts w:eastAsia="Times New Roman" w:cs="Times New Roman"/>
            <w:szCs w:val="20"/>
          </w:rPr>
          <w:t>Amériques</w:t>
        </w:r>
      </w:hyperlink>
      <w:r w:rsidRPr="007D4988">
        <w:t>, l'</w:t>
      </w:r>
      <w:hyperlink r:id="rId522" w:history="1">
        <w:r w:rsidRPr="007D4988">
          <w:rPr>
            <w:rStyle w:val="Hyperlink"/>
            <w:rFonts w:eastAsia="Times New Roman" w:cs="Times New Roman"/>
            <w:szCs w:val="20"/>
          </w:rPr>
          <w:t>Afrique</w:t>
        </w:r>
      </w:hyperlink>
      <w:r w:rsidRPr="007D4988">
        <w:t xml:space="preserve"> et la </w:t>
      </w:r>
      <w:hyperlink r:id="rId523" w:history="1">
        <w:r w:rsidRPr="007D4988">
          <w:rPr>
            <w:rStyle w:val="Hyperlink"/>
            <w:rFonts w:eastAsia="Times New Roman" w:cs="Times New Roman"/>
            <w:szCs w:val="20"/>
          </w:rPr>
          <w:t>CEI</w:t>
        </w:r>
      </w:hyperlink>
      <w:r w:rsidRPr="007D4988">
        <w:t>. Ces séminaires proposaient des formations pratiques sur les procédures de notification de l'UIT, les outils logiciels et l'évolution des services de radiocommunication et des bases de données, ainsi que des forums régionaux consacrés aux nouvelles tendances en matière de radiocommunications. Le Séminaire mondial des radiocommunications le plus récent (</w:t>
      </w:r>
      <w:hyperlink r:id="rId524" w:anchor="/fr" w:history="1">
        <w:r w:rsidRPr="007D4988">
          <w:rPr>
            <w:rStyle w:val="Hyperlink"/>
            <w:rFonts w:eastAsia="Times New Roman" w:cs="Times New Roman"/>
            <w:szCs w:val="20"/>
          </w:rPr>
          <w:t>WRS-24</w:t>
        </w:r>
      </w:hyperlink>
      <w:r w:rsidRPr="007D4988">
        <w:t>) s'est tenu à Genève et a été complété par des manifestations de sensibilisation visant à faciliter le renforcement des capacités régionales.</w:t>
      </w:r>
      <w:hyperlink r:id="rId525" w:history="1"/>
      <w:hyperlink r:id="rId526" w:history="1"/>
      <w:hyperlink r:id="rId527" w:history="1"/>
      <w:hyperlink r:id="rId528" w:history="1"/>
      <w:hyperlink r:id="rId529" w:history="1"/>
      <w:hyperlink r:id="rId530" w:history="1"/>
      <w:hyperlink r:id="rId531" w:history="1"/>
      <w:hyperlink r:id="rId532" w:history="1"/>
      <w:hyperlink r:id="rId533" w:history="1"/>
    </w:p>
    <w:p w14:paraId="2292AA35" w14:textId="77777777" w:rsidR="00A540D1" w:rsidRPr="007D4988" w:rsidRDefault="00A540D1" w:rsidP="00A540D1">
      <w:pPr>
        <w:pStyle w:val="Headingb"/>
      </w:pPr>
      <w:r w:rsidRPr="007D4988">
        <w:t>Ateliers</w:t>
      </w:r>
    </w:p>
    <w:p w14:paraId="6F987F9A" w14:textId="5253FFD1" w:rsidR="00A540D1" w:rsidRPr="007D4988" w:rsidRDefault="00A540D1" w:rsidP="00A540D1">
      <w:r w:rsidRPr="007D4988">
        <w:t xml:space="preserve">L'UIT-R a également élargi son programme d'ateliers thématiques en organisant des séances d'information interrégionales en </w:t>
      </w:r>
      <w:hyperlink r:id="rId534" w:history="1">
        <w:r w:rsidRPr="007D4988">
          <w:rPr>
            <w:rStyle w:val="Hyperlink"/>
            <w:rFonts w:eastAsia="Times New Roman" w:cs="Times New Roman"/>
            <w:szCs w:val="20"/>
          </w:rPr>
          <w:t>préparation de la CMR-27</w:t>
        </w:r>
      </w:hyperlink>
      <w:r w:rsidRPr="007D4988">
        <w:t>, des ateliers sur le thème "</w:t>
      </w:r>
      <w:hyperlink r:id="rId535" w:history="1">
        <w:r w:rsidRPr="007D4988">
          <w:rPr>
            <w:rStyle w:val="Hyperlink"/>
            <w:rFonts w:eastAsia="Times New Roman" w:cs="Times New Roman"/>
            <w:szCs w:val="20"/>
          </w:rPr>
          <w:t>L'UIT au service de l'espace</w:t>
        </w:r>
      </w:hyperlink>
      <w:r w:rsidRPr="007D4988">
        <w:t>", "</w:t>
      </w:r>
      <w:hyperlink r:id="rId536" w:history="1">
        <w:r w:rsidRPr="007D4988">
          <w:rPr>
            <w:rStyle w:val="Hyperlink"/>
            <w:rFonts w:eastAsia="Times New Roman" w:cs="Times New Roman"/>
            <w:szCs w:val="20"/>
          </w:rPr>
          <w:t>La radiodiffusion en période de crise</w:t>
        </w:r>
      </w:hyperlink>
      <w:r w:rsidRPr="007D4988">
        <w:t>", "</w:t>
      </w:r>
      <w:hyperlink r:id="rId537" w:anchor="/fr" w:history="1">
        <w:r w:rsidRPr="007D4988">
          <w:rPr>
            <w:rStyle w:val="Hyperlink"/>
            <w:rFonts w:eastAsia="Times New Roman" w:cs="Times New Roman"/>
            <w:szCs w:val="20"/>
          </w:rPr>
          <w:t>Atelier de l'UIT sur l'avenir de la télévision en Europe</w:t>
        </w:r>
      </w:hyperlink>
      <w:r w:rsidRPr="007D4988">
        <w:t>", "</w:t>
      </w:r>
      <w:hyperlink r:id="rId538" w:history="1">
        <w:r w:rsidRPr="007D4988">
          <w:rPr>
            <w:rStyle w:val="Hyperlink"/>
            <w:rFonts w:eastAsia="Times New Roman" w:cs="Times New Roman"/>
            <w:szCs w:val="20"/>
          </w:rPr>
          <w:t>Démonstrations sur l'avenir de la radiodiffusion</w:t>
        </w:r>
      </w:hyperlink>
      <w:r w:rsidRPr="007D4988">
        <w:t>" et "</w:t>
      </w:r>
      <w:hyperlink r:id="rId539" w:history="1">
        <w:r w:rsidRPr="007D4988">
          <w:rPr>
            <w:rStyle w:val="Hyperlink"/>
            <w:rFonts w:eastAsia="Times New Roman" w:cs="Times New Roman"/>
            <w:szCs w:val="20"/>
          </w:rPr>
          <w:t>Atelier de l'UIT-R sur les systèmes d'accès hertzien fixe</w:t>
        </w:r>
      </w:hyperlink>
      <w:r w:rsidRPr="007D4988">
        <w:t xml:space="preserve">", ainsi que des ateliers spécialisés sur le </w:t>
      </w:r>
      <w:hyperlink r:id="rId540" w:history="1">
        <w:r w:rsidRPr="007D4988">
          <w:rPr>
            <w:rStyle w:val="Hyperlink"/>
            <w:rFonts w:eastAsia="Times New Roman" w:cs="Times New Roman"/>
            <w:szCs w:val="20"/>
          </w:rPr>
          <w:t>Tableau national d'attribution des bandes de fréquences</w:t>
        </w:r>
      </w:hyperlink>
      <w:r w:rsidRPr="007D4988">
        <w:t xml:space="preserve"> dans les trois régions de l'UIT. L'assistance technique supplémentaire fournie entre 2023 et 2025 a notamment consisté à </w:t>
      </w:r>
      <w:hyperlink r:id="rId541" w:history="1">
        <w:r w:rsidRPr="007D4988">
          <w:rPr>
            <w:rStyle w:val="Hyperlink"/>
            <w:rFonts w:eastAsia="Times New Roman" w:cs="Times New Roman"/>
            <w:szCs w:val="20"/>
          </w:rPr>
          <w:t>aider les 16 administrations de la Communauté de développement de l'Afrique australe (SADC)</w:t>
        </w:r>
      </w:hyperlink>
      <w:r w:rsidRPr="007D4988">
        <w:t xml:space="preserve">, dans le cadre de l'initiative sur le réseau à satellite partagé de la SADC, au moyen d'ateliers présentiels et de réunions virtuelles. D'autres réunions scientifiques, telles que le </w:t>
      </w:r>
      <w:hyperlink r:id="rId542" w:history="1">
        <w:r w:rsidRPr="007D4988">
          <w:rPr>
            <w:rStyle w:val="Hyperlink"/>
            <w:rFonts w:eastAsia="Times New Roman" w:cs="Times New Roman"/>
            <w:szCs w:val="20"/>
          </w:rPr>
          <w:t>Séminaire OMM-UIT sur l'observation de la Terre au service des ODD</w:t>
        </w:r>
      </w:hyperlink>
      <w:r w:rsidRPr="007D4988">
        <w:t xml:space="preserve"> et l'</w:t>
      </w:r>
      <w:hyperlink r:id="rId543" w:history="1">
        <w:r w:rsidRPr="007D4988">
          <w:rPr>
            <w:rStyle w:val="Hyperlink"/>
            <w:rFonts w:eastAsia="Times New Roman" w:cs="Times New Roman"/>
            <w:szCs w:val="20"/>
          </w:rPr>
          <w:t>Atelier de l'UIT sur la radioastronomie</w:t>
        </w:r>
      </w:hyperlink>
      <w:r w:rsidRPr="007D4988">
        <w:t>, ont renforcé le rôle du Bureau des radiocommunications dans la promotion des connaissances sur les radiocommunications et de la coordination mondiale du spectre.</w:t>
      </w:r>
      <w:hyperlink r:id="rId544" w:history="1"/>
      <w:hyperlink r:id="rId545" w:history="1"/>
      <w:hyperlink r:id="rId546" w:history="1"/>
      <w:hyperlink r:id="rId547" w:history="1"/>
      <w:hyperlink r:id="rId548" w:history="1"/>
      <w:hyperlink r:id="rId549" w:history="1"/>
      <w:hyperlink r:id="rId550" w:history="1"/>
      <w:hyperlink r:id="rId551" w:history="1"/>
      <w:hyperlink r:id="rId552" w:history="1"/>
      <w:hyperlink r:id="rId553" w:history="1"/>
    </w:p>
    <w:p w14:paraId="48643AAB" w14:textId="77777777" w:rsidR="00A540D1" w:rsidRPr="007D4988" w:rsidRDefault="00A540D1" w:rsidP="00A540D1">
      <w:pPr>
        <w:pStyle w:val="Headingb"/>
      </w:pPr>
      <w:r w:rsidRPr="007D4988">
        <w:t>UIT-T</w:t>
      </w:r>
    </w:p>
    <w:p w14:paraId="482B988C" w14:textId="77777777" w:rsidR="00A540D1" w:rsidRPr="007D4988" w:rsidRDefault="00A540D1" w:rsidP="00A540D1">
      <w:r w:rsidRPr="007D4988">
        <w:t xml:space="preserve">L'UIT-T a maintenu un niveau élevé de participation en organisant des séminaires, des ateliers, des colloques et des webinaires de plus en plus variés. Il a organisé de nombreuses </w:t>
      </w:r>
      <w:hyperlink r:id="rId554" w:anchor="/fr" w:history="1">
        <w:r w:rsidRPr="007D4988">
          <w:rPr>
            <w:rStyle w:val="Hyperlink"/>
            <w:rFonts w:eastAsia="Times New Roman" w:cs="Times New Roman"/>
            <w:szCs w:val="20"/>
          </w:rPr>
          <w:t>manifestations non statutaires</w:t>
        </w:r>
      </w:hyperlink>
      <w:r w:rsidRPr="007D4988">
        <w:t xml:space="preserve">, selon des modalités virtuelles ou hybrides, ou en présentiel, dont la </w:t>
      </w:r>
      <w:hyperlink r:id="rId555" w:history="1">
        <w:r w:rsidRPr="007D4988">
          <w:rPr>
            <w:rStyle w:val="Hyperlink"/>
            <w:rFonts w:eastAsia="Times New Roman" w:cs="Times New Roman"/>
            <w:szCs w:val="20"/>
          </w:rPr>
          <w:t>Conférence DC3</w:t>
        </w:r>
      </w:hyperlink>
      <w:r w:rsidRPr="007D4988">
        <w:t xml:space="preserve"> sur les monnaies numériques, remarquée en raison de sa forte participation. Le nombre d'activités a encore augmenté, avec plus d'une centaine d'ateliers en </w:t>
      </w:r>
      <w:hyperlink r:id="rId556" w:anchor="/fr" w:history="1">
        <w:r w:rsidRPr="007D4988">
          <w:rPr>
            <w:rStyle w:val="Hyperlink"/>
            <w:rFonts w:eastAsia="Times New Roman" w:cs="Times New Roman"/>
            <w:szCs w:val="20"/>
          </w:rPr>
          <w:t>2022</w:t>
        </w:r>
      </w:hyperlink>
      <w:r w:rsidRPr="007D4988">
        <w:t xml:space="preserve">, </w:t>
      </w:r>
      <w:hyperlink r:id="rId557" w:anchor="/fr" w:history="1">
        <w:r w:rsidRPr="007D4988">
          <w:rPr>
            <w:rStyle w:val="Hyperlink"/>
            <w:rFonts w:eastAsia="Times New Roman" w:cs="Times New Roman"/>
            <w:szCs w:val="20"/>
          </w:rPr>
          <w:t>2023</w:t>
        </w:r>
      </w:hyperlink>
      <w:r w:rsidRPr="007D4988">
        <w:t xml:space="preserve">, </w:t>
      </w:r>
      <w:hyperlink r:id="rId558" w:anchor="/fr" w:history="1">
        <w:r w:rsidRPr="007D4988">
          <w:rPr>
            <w:rStyle w:val="Hyperlink"/>
            <w:rFonts w:eastAsia="Times New Roman" w:cs="Times New Roman"/>
            <w:szCs w:val="20"/>
          </w:rPr>
          <w:t>2024</w:t>
        </w:r>
      </w:hyperlink>
      <w:r w:rsidRPr="007D4988">
        <w:t xml:space="preserve"> et </w:t>
      </w:r>
      <w:hyperlink r:id="rId559" w:anchor="/fr" w:history="1">
        <w:r w:rsidRPr="007D4988">
          <w:rPr>
            <w:rStyle w:val="Hyperlink"/>
            <w:rFonts w:eastAsia="Times New Roman" w:cs="Times New Roman"/>
            <w:szCs w:val="20"/>
          </w:rPr>
          <w:t>2025</w:t>
        </w:r>
      </w:hyperlink>
      <w:r w:rsidRPr="007D4988">
        <w:t>, qui sont venus compléter le programme d'activités hebdomadaires de la plate-forme sur l'</w:t>
      </w:r>
      <w:hyperlink r:id="rId560" w:anchor="/fr" w:history="1">
        <w:r w:rsidRPr="007D4988">
          <w:rPr>
            <w:rStyle w:val="Hyperlink"/>
            <w:rFonts w:eastAsia="Times New Roman" w:cs="Times New Roman"/>
            <w:szCs w:val="20"/>
          </w:rPr>
          <w:t>intelligence artificielle au service du bien social</w:t>
        </w:r>
      </w:hyperlink>
      <w:r w:rsidRPr="007D4988">
        <w:t xml:space="preserve"> proposées tout au long de l'année. Ces manifestations ont permis de renforcer la collaboration avec les partenaires extérieurs, de mieux faire connaître les travaux de normalisation de l'UIT-T, d'encourager l'apprentissage entre pairs et d'attirer de nouveaux membres. Ensemble, elles ont permis d'aborder les nouvelles tendances en matière de normalisation à l'échelle mondiale et ont contribué à l'élaboration et à la mise en œuvre de normes internationales.</w:t>
      </w:r>
    </w:p>
    <w:p w14:paraId="4B881850" w14:textId="77777777" w:rsidR="00A540D1" w:rsidRPr="007D4988" w:rsidRDefault="00A540D1" w:rsidP="00A540D1">
      <w:pPr>
        <w:pStyle w:val="Headingb"/>
      </w:pPr>
      <w:r w:rsidRPr="007D4988">
        <w:t>UIT-D</w:t>
      </w:r>
    </w:p>
    <w:p w14:paraId="3F198CA7" w14:textId="77777777" w:rsidR="00A540D1" w:rsidRPr="007D4988" w:rsidRDefault="00A540D1" w:rsidP="00A540D1">
      <w:r w:rsidRPr="007D4988">
        <w:t xml:space="preserve">Les </w:t>
      </w:r>
      <w:hyperlink r:id="rId561" w:history="1">
        <w:r w:rsidRPr="007D4988">
          <w:rPr>
            <w:rStyle w:val="Hyperlink"/>
            <w:rFonts w:eastAsia="Times New Roman" w:cs="Times New Roman"/>
            <w:szCs w:val="20"/>
          </w:rPr>
          <w:t>séminaires et ateliers de l'UIT-D</w:t>
        </w:r>
      </w:hyperlink>
      <w:r w:rsidRPr="007D4988">
        <w:t xml:space="preserve"> ont continué d'offrir des mécanismes essentiels de renforcement des capacités et d'appui au développement. En 2022, le BDT de l'UIT a organisé 57 manifestations conformément au </w:t>
      </w:r>
      <w:hyperlink r:id="rId562" w:history="1">
        <w:r w:rsidRPr="007D4988">
          <w:rPr>
            <w:rStyle w:val="Hyperlink"/>
            <w:rFonts w:eastAsia="Times New Roman" w:cs="Times New Roman"/>
            <w:szCs w:val="20"/>
          </w:rPr>
          <w:t>Plan d'action de Buenos Aires</w:t>
        </w:r>
      </w:hyperlink>
      <w:r w:rsidRPr="007D4988">
        <w:t xml:space="preserve">. En 2023, ce nombre a été porté à 143 en raison de la mise en œuvre de projets et du </w:t>
      </w:r>
      <w:hyperlink r:id="rId563" w:history="1">
        <w:r w:rsidRPr="007D4988">
          <w:rPr>
            <w:rStyle w:val="Hyperlink"/>
            <w:rFonts w:eastAsia="Times New Roman" w:cs="Times New Roman"/>
            <w:szCs w:val="20"/>
          </w:rPr>
          <w:t>Plan d'action de Kigali</w:t>
        </w:r>
      </w:hyperlink>
      <w:r w:rsidRPr="007D4988">
        <w:t xml:space="preserve">. En 2024, l'UIT-D a considérablement intensifié son action de mobilisation en organisant 211 manifestations, notamment des séminaires, des ateliers, des webinaires et des forums axés sur la promotion de la transformation numérique durable. En 2025, un sommet a été atteint avec 220 manifestations organisées sous la forme de séances de renforcement des capacités axées sur la cybersécurité, l'accès au numérique, l'inclusion des femmes, l'autonomisation des jeunes, les politiques et la réglementation, la durabilité environnementale et le renforcement institutionnel. Parmi les temps forts de ces manifestations, on mentionnera les </w:t>
      </w:r>
      <w:hyperlink r:id="rId564" w:history="1">
        <w:r w:rsidRPr="007D4988">
          <w:rPr>
            <w:rStyle w:val="Hyperlink"/>
            <w:rFonts w:eastAsia="Times New Roman" w:cs="Times New Roman"/>
            <w:szCs w:val="20"/>
          </w:rPr>
          <w:t>cyberexercices</w:t>
        </w:r>
      </w:hyperlink>
      <w:r w:rsidRPr="007D4988">
        <w:t xml:space="preserve"> organisés dans plusieurs régions, la série d'ateliers sur l'intégration du principe d'égalité hommes-femmes dans le secteur des TIC, les manifestations régionales de la </w:t>
      </w:r>
      <w:hyperlink r:id="rId565" w:anchor="/fr" w:history="1">
        <w:r w:rsidRPr="007D4988">
          <w:rPr>
            <w:rStyle w:val="Hyperlink"/>
            <w:rFonts w:eastAsia="Times New Roman" w:cs="Times New Roman"/>
            <w:szCs w:val="20"/>
          </w:rPr>
          <w:t>Journée des jeunes filles dans le secteur des TIC</w:t>
        </w:r>
      </w:hyperlink>
      <w:r w:rsidRPr="007D4988">
        <w:t xml:space="preserve">, les formations sur la réglementation numérique, les ateliers à l'intention des acteurs du large bande et de la 5G, les séminaires sur la gestion des déchets d'équipements électriques et électroniques, ainsi que les cours </w:t>
      </w:r>
      <w:hyperlink r:id="rId566" w:anchor="/fr" w:history="1">
        <w:r w:rsidRPr="007D4988">
          <w:rPr>
            <w:rStyle w:val="Hyperlink"/>
            <w:rFonts w:eastAsia="Times New Roman" w:cs="Times New Roman"/>
            <w:szCs w:val="20"/>
          </w:rPr>
          <w:t>GovStack</w:t>
        </w:r>
      </w:hyperlink>
      <w:r w:rsidRPr="007D4988">
        <w:t xml:space="preserve"> et du </w:t>
      </w:r>
      <w:hyperlink r:id="rId567" w:anchor="/fr" w:history="1">
        <w:r w:rsidRPr="007D4988">
          <w:rPr>
            <w:rStyle w:val="Hyperlink"/>
            <w:rFonts w:eastAsia="Times New Roman" w:cs="Times New Roman"/>
            <w:szCs w:val="20"/>
          </w:rPr>
          <w:t>Centre de formation de l'Académie de l'UIT (ATC)</w:t>
        </w:r>
      </w:hyperlink>
      <w:r w:rsidRPr="007D4988">
        <w:t>. Ces initiatives ont permis de diffuser des connaissances pratiques, d'encourager la collaboration et d'aider les États Membres à bâtir des écosystèmes numériques résilients et inclusifs.</w:t>
      </w:r>
    </w:p>
    <w:p w14:paraId="3476FA3F" w14:textId="77777777" w:rsidR="006A7306" w:rsidRPr="007D4988" w:rsidRDefault="006A7306" w:rsidP="006A7306">
      <w:pPr>
        <w:pStyle w:val="Heading1"/>
      </w:pPr>
      <w:bookmarkStart w:id="105" w:name="_Toc225488902"/>
      <w:r w:rsidRPr="007D4988">
        <w:t>5</w:t>
      </w:r>
      <w:r w:rsidRPr="007D4988">
        <w:tab/>
        <w:t>Catalyseurs</w:t>
      </w:r>
      <w:bookmarkEnd w:id="105"/>
    </w:p>
    <w:p w14:paraId="536B1010" w14:textId="44DC6F9F" w:rsidR="006A7306" w:rsidRPr="007D4988" w:rsidRDefault="00613F5C" w:rsidP="006A7306">
      <w:r w:rsidRPr="007D4988">
        <w:t>Grâce à son approche reposant sur les contributions des membres, sa présence dans toutes les régions du monde et sa volonté de réunir tout le monde à la table des discussions, l'UIT est en mesure d'atteindre ses objectifs et de mettre en œuvre ses priorités de manière efficiente et efficace.</w:t>
      </w:r>
    </w:p>
    <w:p w14:paraId="4D541319" w14:textId="77777777" w:rsidR="006A7306" w:rsidRPr="007D4988" w:rsidRDefault="006A7306" w:rsidP="006A7306">
      <w:pPr>
        <w:pStyle w:val="Heading2"/>
      </w:pPr>
      <w:bookmarkStart w:id="106" w:name="_Toc225488903"/>
      <w:r w:rsidRPr="007D4988">
        <w:t>5.1</w:t>
      </w:r>
      <w:r w:rsidRPr="007D4988">
        <w:tab/>
        <w:t>Une approche reposant sur les contributions des membres</w:t>
      </w:r>
      <w:bookmarkEnd w:id="106"/>
    </w:p>
    <w:p w14:paraId="2D6D8564" w14:textId="0194FA3F" w:rsidR="006A7306" w:rsidRPr="007D4988" w:rsidRDefault="006A7306" w:rsidP="006A7306">
      <w:r w:rsidRPr="007D4988">
        <w:t>En 2025, le nombre de membres de l'UIT a atteint son plus haut niveau, avec 1 048 entités membres, pour 1 386 Membres de Secteur, Associés et établissements universitaires, et</w:t>
      </w:r>
      <w:r w:rsidR="00701FAC" w:rsidRPr="007D4988">
        <w:t> </w:t>
      </w:r>
      <w:r w:rsidRPr="007D4988">
        <w:t>402 nouveaux membres (+139 (augmentation nette) membres) entre 2022 et 2025. Cette</w:t>
      </w:r>
      <w:r w:rsidR="00701FAC" w:rsidRPr="007D4988">
        <w:t> </w:t>
      </w:r>
      <w:r w:rsidRPr="007D4988">
        <w:t>augmentation qui concerne tous les Secteurs et toutes les régions témoigne de l'engagement et de l'attachement constants que suscitent les objectifs de l'UIT, malgré des difficultés liées à la fidélisation des membres et aux risques financiers.</w:t>
      </w:r>
    </w:p>
    <w:p w14:paraId="5DA328F7" w14:textId="77777777" w:rsidR="006A7306" w:rsidRPr="007D4988" w:rsidRDefault="006A7306" w:rsidP="006A7306">
      <w:r w:rsidRPr="007D4988">
        <w:t>Le fait que 263 entités aient décidé, entre 2022 et 2025, de ne plus être membres souligne d'une part l'existence d'un risque permanent pour la stabilité, que ce soit sur le plan budgétaire que pour les études techniques en cours, et d'autre part la nécessité de maintenir une approche axée sur les membres, réactive et orientée service dans les travaux de l'UIT. Toutefois, l'UIT a vu sa composition évoluer et le nombre de ses membres progresser au fil du temps, illustrant les changements qui touchent l'écosystème numérique mondial. Face à cette évolution, l'UIT adapte en permanence les thèmes qu'elle couvre et ses méthodes de travail pour continuer d'offrir une plate-forme mondiale pertinente et neutre à ses membres.</w:t>
      </w:r>
    </w:p>
    <w:p w14:paraId="57676B30" w14:textId="77777777" w:rsidR="006A7306" w:rsidRPr="007D4988" w:rsidRDefault="006A7306" w:rsidP="006A7306">
      <w:r w:rsidRPr="007D4988">
        <w:t>Fin 2025, l'UIT comptait 1 048 entités membres différentes (avec 102 (augmentation brute)/44 (augmentation nette) nouvelles entités en un an) qui sont Membres de Secteur, Associés ou établissements universitaires participant aux travaux de l'UIT.</w:t>
      </w:r>
    </w:p>
    <w:p w14:paraId="3587FA03" w14:textId="77777777" w:rsidR="006A7306" w:rsidRPr="007D4988" w:rsidRDefault="006A7306" w:rsidP="006A7306">
      <w:r w:rsidRPr="007D4988">
        <w:t>Pendant la période 2022-2025:</w:t>
      </w:r>
    </w:p>
    <w:p w14:paraId="3C8F1C4F" w14:textId="77777777" w:rsidR="006A7306" w:rsidRPr="007D4988" w:rsidRDefault="006A7306" w:rsidP="006A7306">
      <w:pPr>
        <w:pStyle w:val="enumlev1"/>
      </w:pPr>
      <w:r w:rsidRPr="007D4988">
        <w:t>•</w:t>
      </w:r>
      <w:r w:rsidRPr="007D4988">
        <w:tab/>
        <w:t>On compte au total 1 386 membres, tous Secteurs confondus, dont 402 nouveaux membres et 263 membres en moins, qui ont été exclus ou ont dénoncé leur participation.</w:t>
      </w:r>
    </w:p>
    <w:p w14:paraId="593DC6A8" w14:textId="77777777" w:rsidR="006A7306" w:rsidRPr="007D4988" w:rsidRDefault="006A7306" w:rsidP="006A7306">
      <w:pPr>
        <w:pStyle w:val="enumlev1"/>
      </w:pPr>
      <w:r w:rsidRPr="007D4988">
        <w:t>•</w:t>
      </w:r>
      <w:r w:rsidRPr="007D4988">
        <w:tab/>
        <w:t>S'agissant des nouveaux membres, 42% sont des Membres de Secteur, 39% sont des Associés et 19% sont des établissements universitaires participant aux travaux de l'UIT.</w:t>
      </w:r>
    </w:p>
    <w:p w14:paraId="31FB1192" w14:textId="77777777" w:rsidR="006A7306" w:rsidRPr="007D4988" w:rsidRDefault="006A7306" w:rsidP="006A7306">
      <w:pPr>
        <w:pStyle w:val="enumlev1"/>
      </w:pPr>
      <w:r w:rsidRPr="007D4988">
        <w:t>•</w:t>
      </w:r>
      <w:r w:rsidRPr="007D4988">
        <w:tab/>
        <w:t>Tendance positive/stable dans tous les Secteurs, avec une augmentation nette du nombre de nouveaux membres de +34 à l'UIT-R, +21 à l'UIT-T, +57 à l'UIT-D et +27 établissements universitaires.</w:t>
      </w:r>
    </w:p>
    <w:p w14:paraId="07DDCF28" w14:textId="77777777" w:rsidR="006A7306" w:rsidRPr="007D4988" w:rsidRDefault="006A7306" w:rsidP="006A7306">
      <w:pPr>
        <w:pStyle w:val="enumlev1"/>
      </w:pPr>
      <w:r w:rsidRPr="007D4988">
        <w:t>•</w:t>
      </w:r>
      <w:r w:rsidRPr="007D4988">
        <w:tab/>
        <w:t>Le nombre de membres a augmenté dans toutes les régions, même si l'augmentation globale a été tirée principalement par l'Asie-Pacifique (augmentation nette +64 nouveaux membres: +153/–59) et l'Europe (augmentation nette +27 nouveaux membres: +116/–89), suivies par les organisations internationales et régionales (augmentation nette +22 nouveaux membres: +26/–4).</w:t>
      </w:r>
    </w:p>
    <w:p w14:paraId="6360DF16" w14:textId="77777777" w:rsidR="006A7306" w:rsidRPr="007D4988" w:rsidRDefault="006A7306" w:rsidP="006A7306">
      <w:pPr>
        <w:pStyle w:val="enumlev1"/>
      </w:pPr>
      <w:r w:rsidRPr="007D4988">
        <w:t>•</w:t>
      </w:r>
      <w:r w:rsidRPr="007D4988">
        <w:tab/>
        <w:t>Sur la période de quatre ans allant de 2022 à 2025, les contributions attendues ont légèrement augmenté, mais sont restées légèrement au-dessous de 17 millions CHF, en dépit de l'augmentation nette du nombre de membres. Cela s'explique par l'augmentation continue du nombre de membres relevant de catégories redevables de contributions peu élevées et d'entités bénéficiant d'une exonération.</w:t>
      </w:r>
    </w:p>
    <w:p w14:paraId="165B399E" w14:textId="77777777" w:rsidR="006A7306" w:rsidRPr="007D4988" w:rsidRDefault="006A7306" w:rsidP="006A7306">
      <w:pPr>
        <w:pStyle w:val="enumlev1"/>
      </w:pPr>
      <w:r w:rsidRPr="007D4988">
        <w:t>•</w:t>
      </w:r>
      <w:r w:rsidRPr="007D4988">
        <w:tab/>
        <w:t>Après une année 2024 en berne, le nombre de petites et moyennes entreprises (PME) membres croît à nouveau à un rythme soutenu. Parmi les associés bénéficiant de l'option de contribution réduite accordée aux PME disponible depuis janvier 2020, 120 membres (33 de l'UIT-R et 87 de l'UIT-T) ont bénéficié de contributions réduites. On a enregistré une augmentation nette de 26 nouvelles entités en 2025 (augmentation nette de 8 nouvelles entités en 2024).</w:t>
      </w:r>
    </w:p>
    <w:p w14:paraId="44BE2815" w14:textId="4484BA18" w:rsidR="006A7306" w:rsidRPr="007D4988" w:rsidRDefault="0042272E" w:rsidP="006A7306">
      <w:pPr>
        <w:pStyle w:val="Figure"/>
      </w:pPr>
      <w:r w:rsidRPr="007D4988">
        <w:rPr>
          <w:rFonts w:eastAsia="MS Mincho"/>
          <w:noProof/>
        </w:rPr>
        <w:drawing>
          <wp:inline distT="0" distB="0" distL="0" distR="0" wp14:anchorId="32E4090E" wp14:editId="24C654CF">
            <wp:extent cx="5233917" cy="2927445"/>
            <wp:effectExtent l="0" t="0" r="5080" b="6350"/>
            <wp:docPr id="109849493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8"/>
                    <a:stretch>
                      <a:fillRect/>
                    </a:stretch>
                  </pic:blipFill>
                  <pic:spPr>
                    <a:xfrm>
                      <a:off x="0" y="0"/>
                      <a:ext cx="5258467" cy="2941176"/>
                    </a:xfrm>
                    <a:prstGeom prst="rect">
                      <a:avLst/>
                    </a:prstGeom>
                    <a:noFill/>
                    <a:ln>
                      <a:noFill/>
                      <a:prstDash/>
                    </a:ln>
                  </pic:spPr>
                </pic:pic>
              </a:graphicData>
            </a:graphic>
          </wp:inline>
        </w:drawing>
      </w:r>
    </w:p>
    <w:p w14:paraId="5692C126" w14:textId="77777777" w:rsidR="006A7306" w:rsidRPr="007D4988" w:rsidRDefault="006A7306" w:rsidP="0042272E">
      <w:pPr>
        <w:pStyle w:val="Figurelegend"/>
        <w:spacing w:before="0"/>
        <w:rPr>
          <w:i/>
          <w:iCs/>
        </w:rPr>
      </w:pPr>
      <w:r w:rsidRPr="007D4988">
        <w:rPr>
          <w:i/>
          <w:iCs/>
        </w:rPr>
        <w:t>Figure 20 – Évolution de la composition de l'UIT pour la période 2022-2025.</w:t>
      </w:r>
    </w:p>
    <w:p w14:paraId="5708C437" w14:textId="77777777" w:rsidR="006A7306" w:rsidRPr="007D4988" w:rsidRDefault="006A7306" w:rsidP="006A7306">
      <w:pPr>
        <w:pStyle w:val="Heading2"/>
      </w:pPr>
      <w:bookmarkStart w:id="107" w:name="_Toc225488904"/>
      <w:r w:rsidRPr="007D4988">
        <w:t>5.2</w:t>
      </w:r>
      <w:r w:rsidRPr="007D4988">
        <w:tab/>
        <w:t>Présence régionale</w:t>
      </w:r>
      <w:bookmarkEnd w:id="107"/>
    </w:p>
    <w:p w14:paraId="065C6406" w14:textId="77777777" w:rsidR="006A7306" w:rsidRPr="007D4988" w:rsidRDefault="006A7306" w:rsidP="006A7306">
      <w:r w:rsidRPr="007D4988">
        <w:t xml:space="preserve">La </w:t>
      </w:r>
      <w:hyperlink r:id="rId569" w:anchor="/fr" w:history="1">
        <w:r w:rsidRPr="007D4988">
          <w:rPr>
            <w:rStyle w:val="Hyperlink"/>
            <w:rFonts w:eastAsia="Times New Roman" w:cs="Times New Roman"/>
            <w:szCs w:val="20"/>
          </w:rPr>
          <w:t>présence régionale</w:t>
        </w:r>
      </w:hyperlink>
      <w:r w:rsidRPr="007D4988">
        <w:t>, considérée comme un prolongement de l'UIT dans son ensemble, joue un rôle crucial pour permettre à l'UIT de s'acquitter de sa mission, car elle améliore la compréhension que l'Union a des réalités locales et permet de répondre aux besoins des pays de manière efficace. La présence régionale renforce la planification stratégique au niveau de chaque bureau régional/de zone, grâce à la mise en œuvre de programmes et d'initiatives conformes aux buts stratégiques et aux priorités thématiques de l'Union et basés sur ceux-ci. En appliquant les cibles mondiales et en clarifiant les priorités des programmes au niveau régional, l'UIT s'efforce aussi d'améliorer son efficacité et son incidence globale à l'échelle mondiale.</w:t>
      </w:r>
    </w:p>
    <w:p w14:paraId="2175FF31" w14:textId="77777777" w:rsidR="006A7306" w:rsidRPr="007D4988" w:rsidRDefault="006A7306" w:rsidP="006A7306">
      <w:r w:rsidRPr="007D4988">
        <w:t>La présence régionale renforce le positionnement de l'UIT en tant qu'entité structurante ou décisionnelle et resserre la coopération dans le système des Nations Unies, ce qui permettra de créer davantage de possibilités à l'échelle régionale et donc de toucher davantage de pays, et de définir des priorités plus claires et plus utiles afin de susciter une participation au niveau des pays. Des efforts sont également déployés pour renforcer les capacités au niveau régional, afin de s'assurer que les bureaux régionaux et les bureaux de zone sont en mesure de mettre en œuvre les programmes et les engagements déterminés en fonction des buts stratégiques et des priorités thématiques de l'Union.</w:t>
      </w:r>
    </w:p>
    <w:p w14:paraId="46CBB971" w14:textId="4DD96644" w:rsidR="006A7306" w:rsidRPr="007D4988" w:rsidRDefault="006A7306" w:rsidP="003E1153">
      <w:r w:rsidRPr="007D4988">
        <w:t xml:space="preserve">Conformément aux recommandations formulées par le Conseil à sa session de 2025 (paragraphe 26, Annexe H, Annexe A et Annexe 1 du Rapport de la Présidente de la Commission permanente de l'administration et de la gestion, Document </w:t>
      </w:r>
      <w:hyperlink r:id="rId570" w:history="1">
        <w:r w:rsidRPr="007D4988">
          <w:rPr>
            <w:rStyle w:val="Hyperlink"/>
            <w:rFonts w:eastAsia="Times New Roman" w:cs="Times New Roman"/>
            <w:szCs w:val="20"/>
          </w:rPr>
          <w:t>C25/105</w:t>
        </w:r>
      </w:hyperlink>
      <w:r w:rsidRPr="007D4988">
        <w:t xml:space="preserve">), depuis juillet 2025, </w:t>
      </w:r>
      <w:r w:rsidR="00410381" w:rsidRPr="007D4988">
        <w:t>le Secrétariat procède à un examen de la présence régionale de l'UIT. Ces</w:t>
      </w:r>
      <w:r w:rsidR="00B575C7" w:rsidRPr="007D4988">
        <w:t> </w:t>
      </w:r>
      <w:r w:rsidR="00410381" w:rsidRPr="007D4988">
        <w:t>efforts ont abouti à l'élaboration du rapport final sur l'examen de la présence régionale de l'UIT, qui sera présenté à la session de 2026 du Conseil, laquelle se tiendra du 28 avril au</w:t>
      </w:r>
      <w:r w:rsidR="00B575C7" w:rsidRPr="007D4988">
        <w:t> </w:t>
      </w:r>
      <w:r w:rsidR="00410381" w:rsidRPr="007D4988">
        <w:t>8</w:t>
      </w:r>
      <w:r w:rsidR="0042005F" w:rsidRPr="007D4988">
        <w:t> </w:t>
      </w:r>
      <w:r w:rsidR="00410381" w:rsidRPr="007D4988">
        <w:t>mai 2026. Des informations détaillées sur cet examen seront publiées dans le Document</w:t>
      </w:r>
      <w:r w:rsidR="0042005F" w:rsidRPr="007D4988">
        <w:t> </w:t>
      </w:r>
      <w:hyperlink r:id="rId571" w:history="1">
        <w:r w:rsidR="00410381" w:rsidRPr="007D4988">
          <w:rPr>
            <w:rStyle w:val="Hyperlink"/>
            <w:rFonts w:eastAsia="Times New Roman" w:cs="Times New Roman"/>
            <w:szCs w:val="20"/>
          </w:rPr>
          <w:t>C26/INF/10</w:t>
        </w:r>
      </w:hyperlink>
      <w:r w:rsidR="00410381" w:rsidRPr="007D4988">
        <w:t>.</w:t>
      </w:r>
    </w:p>
    <w:p w14:paraId="1095F833" w14:textId="77777777" w:rsidR="006A7306" w:rsidRPr="007D4988" w:rsidRDefault="006A7306" w:rsidP="006A7306">
      <w:pPr>
        <w:pStyle w:val="Headingb"/>
      </w:pPr>
      <w:r w:rsidRPr="007D4988">
        <w:t>Initiatives régionales pour la période 2026-2029</w:t>
      </w:r>
    </w:p>
    <w:p w14:paraId="645F6F54" w14:textId="77777777" w:rsidR="006A7306" w:rsidRPr="007D4988" w:rsidRDefault="006A7306" w:rsidP="006A7306">
      <w:r w:rsidRPr="007D4988">
        <w:t xml:space="preserve">La dernière </w:t>
      </w:r>
      <w:hyperlink r:id="rId572" w:anchor="/fr" w:history="1">
        <w:r w:rsidRPr="007D4988">
          <w:rPr>
            <w:rStyle w:val="Hyperlink"/>
            <w:rFonts w:eastAsia="Times New Roman" w:cs="Times New Roman"/>
            <w:szCs w:val="20"/>
          </w:rPr>
          <w:t>Conférence mondiale de développement des télécommunications (CMDT)</w:t>
        </w:r>
      </w:hyperlink>
      <w:r w:rsidRPr="007D4988">
        <w:t xml:space="preserve"> de l'UIT, qui s'est tenue à Bakou en novembre 2025, a approuvé une nouvelle série d'initiatives régionales pour la période 2026-2029. Ces initiatives, décrites dans le Plan d'action de Bakou, répondent aux besoins spécifiques de chaque grande région du monde en matière de promotion et d'accélération de la transformation numérique. Voir la page web de l'UIT-D pour plus de détails sur les </w:t>
      </w:r>
      <w:hyperlink r:id="rId573" w:history="1">
        <w:r w:rsidRPr="007D4988">
          <w:rPr>
            <w:rStyle w:val="Hyperlink"/>
            <w:rFonts w:eastAsia="Times New Roman" w:cs="Times New Roman"/>
            <w:szCs w:val="20"/>
          </w:rPr>
          <w:t>initiatives régionales</w:t>
        </w:r>
      </w:hyperlink>
      <w:r w:rsidRPr="007D4988">
        <w:t xml:space="preserve"> de l'UIT.</w:t>
      </w:r>
    </w:p>
    <w:p w14:paraId="3C3EC933" w14:textId="77777777" w:rsidR="006A7306" w:rsidRPr="007D4988" w:rsidRDefault="006A7306" w:rsidP="006A7306">
      <w:pPr>
        <w:pStyle w:val="Heading2"/>
      </w:pPr>
      <w:bookmarkStart w:id="108" w:name="_Toc225488905"/>
      <w:r w:rsidRPr="007D4988">
        <w:t>5.3</w:t>
      </w:r>
      <w:r w:rsidRPr="007D4988">
        <w:tab/>
        <w:t>Réunir tout le monde à la table des discussions</w:t>
      </w:r>
      <w:bookmarkEnd w:id="108"/>
    </w:p>
    <w:p w14:paraId="4FB981A4" w14:textId="77777777" w:rsidR="006A7306" w:rsidRPr="007D4988" w:rsidRDefault="006A7306" w:rsidP="006A7306">
      <w:pPr>
        <w:pStyle w:val="Headingb"/>
        <w:rPr>
          <w:u w:val="single"/>
        </w:rPr>
      </w:pPr>
      <w:r w:rsidRPr="007D4988">
        <w:rPr>
          <w:u w:val="single"/>
        </w:rPr>
        <w:t>Garantir l'égalité d'accès aux TIC et une utilisation des TIC pour tous</w:t>
      </w:r>
    </w:p>
    <w:p w14:paraId="1AAF61CC" w14:textId="77777777" w:rsidR="006A7306" w:rsidRPr="007D4988" w:rsidRDefault="006A7306" w:rsidP="006A7306">
      <w:r w:rsidRPr="007D4988">
        <w:t>La diversité et l'inclusion ont joué un rôle central dans la promotion de l'inclusion numérique à l'échelle mondiale en vue d'édifier une société numérique inclusive pour tous, en mettant particulièrement l'accent sur les personnes en situation de vulnérabilité et parmi eux les jeunes, les femmes et les jeunes filles, les membres de communautés rurales, isolées ou autochtones, les personnes handicapées et les personnes âgées.</w:t>
      </w:r>
    </w:p>
    <w:p w14:paraId="55479431" w14:textId="77777777" w:rsidR="006A7306" w:rsidRPr="007D4988" w:rsidRDefault="006A7306" w:rsidP="002F51A9">
      <w:r w:rsidRPr="007D4988">
        <w:t>Les travaux menés par l'UIT sur l'inclusion numérique suivent une approche globale et intersectionnelle qui tient compte des différents besoins des personnes, qui peuvent varier selon l'âge, les capacités, le sexe, l'éducation, la situation socio-économique et l'emplacement géographique.</w:t>
      </w:r>
    </w:p>
    <w:p w14:paraId="360D07C6" w14:textId="77777777" w:rsidR="006A7306" w:rsidRPr="007D4988" w:rsidRDefault="006A7306" w:rsidP="006A7306">
      <w:pPr>
        <w:pStyle w:val="Headingb"/>
        <w:rPr>
          <w:u w:val="single"/>
        </w:rPr>
      </w:pPr>
      <w:r w:rsidRPr="007D4988">
        <w:rPr>
          <w:u w:val="single"/>
        </w:rPr>
        <w:t>Travaux intersectionnels</w:t>
      </w:r>
    </w:p>
    <w:p w14:paraId="2CF006F4" w14:textId="0C479185" w:rsidR="006A7306" w:rsidRPr="007D4988" w:rsidRDefault="0042272E" w:rsidP="006A7306">
      <w:pPr>
        <w:pStyle w:val="Figure"/>
      </w:pPr>
      <w:r w:rsidRPr="007D4988">
        <w:rPr>
          <w:noProof/>
        </w:rPr>
        <w:drawing>
          <wp:inline distT="0" distB="0" distL="0" distR="0" wp14:anchorId="30A65636" wp14:editId="6597969C">
            <wp:extent cx="3773606" cy="3056407"/>
            <wp:effectExtent l="0" t="0" r="0" b="0"/>
            <wp:docPr id="1500697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697093" name=""/>
                    <pic:cNvPicPr/>
                  </pic:nvPicPr>
                  <pic:blipFill>
                    <a:blip r:embed="rId574"/>
                    <a:stretch>
                      <a:fillRect/>
                    </a:stretch>
                  </pic:blipFill>
                  <pic:spPr>
                    <a:xfrm>
                      <a:off x="0" y="0"/>
                      <a:ext cx="3812200" cy="3087666"/>
                    </a:xfrm>
                    <a:prstGeom prst="rect">
                      <a:avLst/>
                    </a:prstGeom>
                  </pic:spPr>
                </pic:pic>
              </a:graphicData>
            </a:graphic>
          </wp:inline>
        </w:drawing>
      </w:r>
    </w:p>
    <w:p w14:paraId="65655AB1" w14:textId="77777777" w:rsidR="006A7306" w:rsidRPr="007D4988" w:rsidRDefault="006A7306" w:rsidP="006A7306">
      <w:pPr>
        <w:pStyle w:val="Figurelegend"/>
        <w:rPr>
          <w:i/>
          <w:iCs/>
        </w:rPr>
      </w:pPr>
      <w:r w:rsidRPr="007D4988">
        <w:rPr>
          <w:i/>
          <w:iCs/>
        </w:rPr>
        <w:t>Figure 21 – Société numérique inclusive.</w:t>
      </w:r>
    </w:p>
    <w:p w14:paraId="7C552ACA" w14:textId="643C9523" w:rsidR="006A7306" w:rsidRPr="007D4988" w:rsidRDefault="006A7306" w:rsidP="006A7306">
      <w:pPr>
        <w:pStyle w:val="Headingb"/>
      </w:pPr>
      <w:r w:rsidRPr="007D4988">
        <w:t>Les principaux résultats obtenus grâce à l'approche globale et intersectionnelle appliquée par l'UIT-D sont les suivants:</w:t>
      </w:r>
    </w:p>
    <w:p w14:paraId="6A577633" w14:textId="77777777" w:rsidR="006A7306" w:rsidRPr="007D4988" w:rsidRDefault="006A7306" w:rsidP="006A7306">
      <w:pPr>
        <w:pStyle w:val="enumlev1"/>
      </w:pPr>
      <w:r w:rsidRPr="007D4988">
        <w:t>•</w:t>
      </w:r>
      <w:r w:rsidRPr="007D4988">
        <w:tab/>
        <w:t>Renforcement des capacités sur les sujets liés à l'inclusion numérique pour plus de 14 000 membres de l'UIT, parties prenantes et décideurs de plus de 120 pays, afin d'accompagner la conception et la mise en œuvre de politiques et de stratégies nationales en faveur de l'inclusion numérique.</w:t>
      </w:r>
    </w:p>
    <w:p w14:paraId="385E753E" w14:textId="77777777" w:rsidR="006A7306" w:rsidRPr="007D4988" w:rsidRDefault="006A7306" w:rsidP="006A7306">
      <w:pPr>
        <w:pStyle w:val="enumlev1"/>
      </w:pPr>
      <w:r w:rsidRPr="007D4988">
        <w:t>•</w:t>
      </w:r>
      <w:r w:rsidRPr="007D4988">
        <w:tab/>
        <w:t>Formations personnalisées et adaptées aux contextes locaux sur l'inclusion numérique dispensées à plus de 13 000 utilisateurs finals dans plus de 40 pays, notamment des usagers aveugles au Pakistan, des jeunes en Afrique et des communautés autochtones en Amérique latine.</w:t>
      </w:r>
    </w:p>
    <w:p w14:paraId="1AC4A8E3" w14:textId="77777777" w:rsidR="006A7306" w:rsidRPr="007D4988" w:rsidRDefault="006A7306" w:rsidP="006A7306">
      <w:pPr>
        <w:pStyle w:val="enumlev1"/>
      </w:pPr>
      <w:r w:rsidRPr="007D4988">
        <w:t>•</w:t>
      </w:r>
      <w:r w:rsidRPr="007D4988">
        <w:tab/>
        <w:t>Appui ciblé à 12 États parmi les pays les moins avancés, les pays en développement sans littoral et les petits États insulaires en développement.</w:t>
      </w:r>
    </w:p>
    <w:p w14:paraId="058FCC62" w14:textId="77777777" w:rsidR="006A7306" w:rsidRPr="007D4988" w:rsidRDefault="006A7306" w:rsidP="006A7306">
      <w:pPr>
        <w:pStyle w:val="enumlev1"/>
      </w:pPr>
      <w:r w:rsidRPr="007D4988">
        <w:t>•</w:t>
      </w:r>
      <w:r w:rsidRPr="007D4988">
        <w:tab/>
        <w:t>Les travaux menés par le BDT en faveur de l'inclusion numérique ont entraîné en particulier des résultats tangibles dans les domaines suivants.</w:t>
      </w:r>
    </w:p>
    <w:p w14:paraId="78A07CC0" w14:textId="77777777" w:rsidR="006A7306" w:rsidRPr="007D4988" w:rsidRDefault="006A7306" w:rsidP="006A7306">
      <w:pPr>
        <w:pStyle w:val="Headingb"/>
      </w:pPr>
      <w:r w:rsidRPr="007D4988">
        <w:t>Avis spécialisés et renforcement des capacités en vue de l'élaboration de politiques et de stratégies en faveur de l'inclusion numérique</w:t>
      </w:r>
    </w:p>
    <w:p w14:paraId="3FDED7F2" w14:textId="77777777" w:rsidR="006A7306" w:rsidRPr="007D4988" w:rsidRDefault="006A7306" w:rsidP="006A7306">
      <w:r w:rsidRPr="007D4988">
        <w:t>Le BDT a renforcé les capacités de plus de 10 500 dirigeants, décideurs et parties prenantes dans plus de 120 pays des régions Afrique, Asie-Pacifique, CEI, États arabes, Amériques et Europe dans le domaine de l'élaboration de politiques en faveur de l'inclusion numérique, grâce à un appui spécialisé et à des interventions ciblées. Ce renforcement de capacité a permis aux personnes accompagnées de concevoir, élaborer et déployer des stratégies, des politiques et des pratiques qui accroissent l'inclusion et l'équité numériques, assurant ainsi que l'ensemble des populations – y compris les femmes et les jeunes filles, les personnes âgées, les personnes handicapées et les membres de communautés isolées ou autochtones – puissent utiliser équitablement les produits et services TIC afin de communiquer, d'être présentes dans l'espace numérique et de s'y épanouir.</w:t>
      </w:r>
    </w:p>
    <w:p w14:paraId="630F450A" w14:textId="77777777" w:rsidR="006A7306" w:rsidRPr="007D4988" w:rsidRDefault="006A7306" w:rsidP="006A7306">
      <w:r w:rsidRPr="007D4988">
        <w:t>Ce vaste transfert de connaissances a pu avoir lieu grâce à l'organisation de formations personnalisées en face à face destinées aux cadres, à la tenue d'ateliers et à la participation aux plates-formes régionales, mondiales et des Nations Unies consacrées aux politiques numériques inclusives, à l'intégration du principe de l'égalité hommes-femmes, à l'accessibilité des TIC/du numérique, au vieillissement et à la participation des jeunes.</w:t>
      </w:r>
    </w:p>
    <w:p w14:paraId="5BD88093" w14:textId="77777777" w:rsidR="006A7306" w:rsidRPr="007D4988" w:rsidRDefault="006A7306" w:rsidP="006A7306">
      <w:r w:rsidRPr="007D4988">
        <w:t>En complément de ces mesures, plus de 3 500 membres de l'UIT et parties prenantes ont pu renforcer leurs capacités sur les sujets de l'inclusion numérique en prenant part à des formations en ligne, adaptées au rythme de chacun, proposées sur des plates-formes telles que l'Académie de l'UIT. Gratuites, présentées sous des formats numériques accessibles (adaptées aux personnes sourdes ou aveugles) et dans différentes langues (par exemple en anglais, français, espagnol, arabe, russe et portugais) avec du contenu adapté aux contextes locaux, ces formations garantissent l'inclusivité et touchent un large public.</w:t>
      </w:r>
    </w:p>
    <w:p w14:paraId="1BC96F7B" w14:textId="77777777" w:rsidR="006A7306" w:rsidRPr="007D4988" w:rsidRDefault="006A7306" w:rsidP="006A7306">
      <w:pPr>
        <w:pStyle w:val="Headingb"/>
      </w:pPr>
      <w:r w:rsidRPr="007D4988">
        <w:t>Les stratégies nationales pour l'inclusion numérique, un modèle en pleine évolution</w:t>
      </w:r>
    </w:p>
    <w:p w14:paraId="19C680A0" w14:textId="77777777" w:rsidR="006A7306" w:rsidRPr="007D4988" w:rsidRDefault="006A7306" w:rsidP="006A7306">
      <w:r w:rsidRPr="007D4988">
        <w:t xml:space="preserve">L'acquisition de connaissances spécialisées à l'appui de l'élaboration de Plans nationaux stratégiques pour l'inclusion numérique – conçus d'un point de vue global et intersectionnel afin de s'assurer que soient pris en compte les besoins et les exigences de l'ensemble des citoyens pour permettre à tous d'utiliser la technologie, de communiquer et de participer à la société numérique – a également été encouragée et facilitée. Un plan pilote a été mis en œuvre par le BDT au Burundi, l'objectif étant de reproduire et perfectionner cette approche dans d'autres pays et d'autres régions. Des rapports portant sur les politiques en matière d'égalité hommes-femmes ont en outre été produits concernant le </w:t>
      </w:r>
      <w:hyperlink r:id="rId575" w:anchor="/fr" w:history="1">
        <w:r w:rsidRPr="007D4988">
          <w:rPr>
            <w:rStyle w:val="Hyperlink"/>
            <w:rFonts w:eastAsia="Times New Roman" w:cs="Times New Roman"/>
            <w:szCs w:val="20"/>
          </w:rPr>
          <w:t>Burundi</w:t>
        </w:r>
      </w:hyperlink>
      <w:r w:rsidRPr="007D4988">
        <w:t>, l'</w:t>
      </w:r>
      <w:hyperlink r:id="rId576" w:anchor="/fr" w:history="1">
        <w:r w:rsidRPr="007D4988">
          <w:rPr>
            <w:rStyle w:val="Hyperlink"/>
            <w:rFonts w:eastAsia="Times New Roman" w:cs="Times New Roman"/>
            <w:szCs w:val="20"/>
          </w:rPr>
          <w:t>Éthiopie</w:t>
        </w:r>
      </w:hyperlink>
      <w:r w:rsidRPr="007D4988">
        <w:t>, Haïti, la République dominicaine et la Libye.</w:t>
      </w:r>
    </w:p>
    <w:p w14:paraId="6F4143C7" w14:textId="77777777" w:rsidR="006A7306" w:rsidRPr="007D4988" w:rsidRDefault="006A7306" w:rsidP="006A7306">
      <w:pPr>
        <w:pStyle w:val="Heading3"/>
      </w:pPr>
      <w:bookmarkStart w:id="109" w:name="_Toc225488906"/>
      <w:r w:rsidRPr="007D4988">
        <w:t>5.3.1</w:t>
      </w:r>
      <w:r w:rsidRPr="007D4988">
        <w:tab/>
        <w:t>Égalité hommes-femmes</w:t>
      </w:r>
      <w:bookmarkEnd w:id="109"/>
    </w:p>
    <w:p w14:paraId="35D21856" w14:textId="1945265E" w:rsidR="006A7306" w:rsidRPr="007D4988" w:rsidRDefault="006A7306" w:rsidP="006A7306">
      <w:r w:rsidRPr="007D4988">
        <w:t xml:space="preserve">Les données montrent que les </w:t>
      </w:r>
      <w:r w:rsidRPr="007D4988">
        <w:rPr>
          <w:b/>
          <w:bCs/>
        </w:rPr>
        <w:t>disparités entre les sexes persistent en matière d'accès au numérique</w:t>
      </w:r>
      <w:r w:rsidRPr="007D4988">
        <w:t xml:space="preserve">: 77% des hommes sont en ligne contre 71% des femmes qui utilisent l'Internet à l'échelle mondiale. Inchangé depuis 2019, l'indice de parité hommes-femmes reste à 0,92, ce qui indique que globalement, </w:t>
      </w:r>
      <w:r w:rsidRPr="007D4988">
        <w:rPr>
          <w:b/>
          <w:bCs/>
        </w:rPr>
        <w:t>aucun progrès</w:t>
      </w:r>
      <w:r w:rsidRPr="007D4988">
        <w:t xml:space="preserve"> n'a été accompli ces dernières années. Alors</w:t>
      </w:r>
      <w:r w:rsidR="00797EC8" w:rsidRPr="007D4988">
        <w:t xml:space="preserve"> </w:t>
      </w:r>
      <w:r w:rsidRPr="007D4988">
        <w:t>que les région Amériques et Europe, la CEI et les petits États insulaires en développement sont proche de la parité, des écarts importants subsistent en Asie-Pacifique (0,91) et dans les États arabes (0,86), et sont encore plus marqués en Afrique, malgré une progression de</w:t>
      </w:r>
      <w:r w:rsidR="00797EC8" w:rsidRPr="007D4988">
        <w:t> </w:t>
      </w:r>
      <w:r w:rsidRPr="007D4988">
        <w:t xml:space="preserve">0,70 à 0,78 depuis 2019. En particulier, les pays les moins avancés et les pays en développement sans littoral enregistrent toujours des disparités importantes. Malgré une progression de la connectivité dans le monde, les femmes continuent d'être exclues de manière disproportionnée de la pleine participation au monde numérique, en particulier dans les pays à faible revenu (pour en savoir plus, voir la section </w:t>
      </w:r>
      <w:hyperlink w:anchor="Para322" w:history="1">
        <w:r w:rsidRPr="007D4988">
          <w:rPr>
            <w:rStyle w:val="Hyperlink"/>
            <w:rFonts w:eastAsia="Times New Roman" w:cs="Times New Roman"/>
            <w:szCs w:val="20"/>
          </w:rPr>
          <w:t>3.2.2</w:t>
        </w:r>
      </w:hyperlink>
      <w:r w:rsidRPr="007D4988">
        <w:t xml:space="preserve"> ci-dessus).</w:t>
      </w:r>
    </w:p>
    <w:p w14:paraId="57FC7C93" w14:textId="36CB8513" w:rsidR="006A7306" w:rsidRPr="007D4988" w:rsidRDefault="006A7306" w:rsidP="006A7306">
      <w:r w:rsidRPr="007D4988">
        <w:t>L'UIT adopte une double approche pour remédier aux disparités, à savoir: 1) des interventions ciblées pour remédier directement aux disparités entre les hommes et les femmes; et 2) intégrer le principe de l'égalité hommes-femmes dans l'ensemble des politiques, programmes et processus décisionnels. L'engagement de l'UIT en faveur de l'intégration de l'égalité hommes</w:t>
      </w:r>
      <w:r w:rsidR="00384552" w:rsidRPr="007D4988">
        <w:t>-</w:t>
      </w:r>
      <w:r w:rsidRPr="007D4988">
        <w:t>femmes dans toutes les activités est ancré dans la Résolution 70 (Rév. Bucarest, 2022) de la Conférence de plénipotentiaires.</w:t>
      </w:r>
    </w:p>
    <w:p w14:paraId="0C43EB5F" w14:textId="4CBFAC41" w:rsidR="006A7306" w:rsidRPr="007D4988" w:rsidRDefault="006A7306" w:rsidP="006A7306">
      <w:r w:rsidRPr="007D4988">
        <w:t xml:space="preserve">Parmi les interventions ciblées en faveur des jeunes filles et des femmes dans le secteur des TIC, citons la </w:t>
      </w:r>
      <w:hyperlink r:id="rId577" w:anchor="/fr" w:history="1">
        <w:r w:rsidRPr="007D4988">
          <w:rPr>
            <w:rStyle w:val="Hyperlink"/>
            <w:rFonts w:eastAsia="Times New Roman" w:cs="Times New Roman"/>
            <w:szCs w:val="20"/>
          </w:rPr>
          <w:t>Journée internationale des jeunes filles dans le secteur des TIC</w:t>
        </w:r>
      </w:hyperlink>
      <w:r w:rsidRPr="007D4988">
        <w:t xml:space="preserve">, le </w:t>
      </w:r>
      <w:hyperlink r:id="rId578" w:history="1">
        <w:r w:rsidRPr="007D4988">
          <w:rPr>
            <w:rStyle w:val="Hyperlink"/>
            <w:rFonts w:eastAsia="Times New Roman" w:cs="Times New Roman"/>
            <w:szCs w:val="20"/>
          </w:rPr>
          <w:t>partenariat EQUALS</w:t>
        </w:r>
      </w:hyperlink>
      <w:r w:rsidRPr="007D4988">
        <w:t xml:space="preserve">, le </w:t>
      </w:r>
      <w:hyperlink r:id="rId579" w:history="1">
        <w:r w:rsidRPr="007D4988">
          <w:rPr>
            <w:rStyle w:val="Hyperlink"/>
            <w:rFonts w:eastAsia="Times New Roman" w:cs="Times New Roman"/>
            <w:color w:val="auto"/>
            <w:szCs w:val="20"/>
          </w:rPr>
          <w:t>programme</w:t>
        </w:r>
        <w:r w:rsidRPr="007D4988">
          <w:rPr>
            <w:rStyle w:val="Hyperlink"/>
            <w:rFonts w:eastAsia="Times New Roman" w:cs="Times New Roman"/>
            <w:szCs w:val="20"/>
          </w:rPr>
          <w:t xml:space="preserve"> </w:t>
        </w:r>
        <w:r w:rsidRPr="007D4988">
          <w:rPr>
            <w:rStyle w:val="Hyperlink"/>
            <w:rFonts w:eastAsia="Times New Roman" w:cs="Times New Roman"/>
            <w:color w:val="auto"/>
            <w:szCs w:val="20"/>
          </w:rPr>
          <w:t>"</w:t>
        </w:r>
        <w:r w:rsidRPr="007D4988">
          <w:rPr>
            <w:rStyle w:val="Hyperlink"/>
            <w:rFonts w:eastAsia="Times New Roman" w:cs="Times New Roman"/>
            <w:szCs w:val="20"/>
          </w:rPr>
          <w:t>Les femmes dans le secteur de la cybersécurité</w:t>
        </w:r>
        <w:r w:rsidRPr="007D4988">
          <w:rPr>
            <w:rStyle w:val="Hyperlink"/>
            <w:rFonts w:eastAsia="Times New Roman" w:cs="Times New Roman"/>
            <w:color w:val="auto"/>
            <w:szCs w:val="20"/>
          </w:rPr>
          <w:t>"</w:t>
        </w:r>
      </w:hyperlink>
      <w:r w:rsidRPr="007D4988">
        <w:t xml:space="preserve">, les </w:t>
      </w:r>
      <w:hyperlink r:id="rId580" w:history="1">
        <w:r w:rsidRPr="007D4988">
          <w:rPr>
            <w:rStyle w:val="Hyperlink"/>
            <w:rFonts w:eastAsia="Times New Roman" w:cs="Times New Roman"/>
            <w:color w:val="auto"/>
            <w:szCs w:val="20"/>
          </w:rPr>
          <w:t>initiatives "</w:t>
        </w:r>
        <w:r w:rsidRPr="007D4988">
          <w:rPr>
            <w:rStyle w:val="Hyperlink"/>
            <w:rFonts w:eastAsia="Times New Roman" w:cs="Times New Roman"/>
            <w:szCs w:val="20"/>
          </w:rPr>
          <w:t>Talking Tech</w:t>
        </w:r>
        <w:r w:rsidRPr="007D4988">
          <w:rPr>
            <w:rStyle w:val="Hyperlink"/>
            <w:rFonts w:eastAsia="Times New Roman" w:cs="Times New Roman"/>
            <w:color w:val="auto"/>
            <w:szCs w:val="20"/>
          </w:rPr>
          <w:t>"</w:t>
        </w:r>
      </w:hyperlink>
      <w:r w:rsidRPr="007D4988">
        <w:t xml:space="preserve">, </w:t>
      </w:r>
      <w:hyperlink r:id="rId581" w:history="1">
        <w:r w:rsidRPr="007D4988">
          <w:rPr>
            <w:rStyle w:val="Hyperlink"/>
            <w:rFonts w:eastAsia="Times New Roman" w:cs="Times New Roman"/>
            <w:color w:val="auto"/>
            <w:szCs w:val="20"/>
          </w:rPr>
          <w:t>"</w:t>
        </w:r>
        <w:r w:rsidRPr="007D4988">
          <w:rPr>
            <w:rStyle w:val="Hyperlink"/>
            <w:rFonts w:eastAsia="Times New Roman" w:cs="Times New Roman"/>
            <w:szCs w:val="20"/>
          </w:rPr>
          <w:t>Her Digital Skills</w:t>
        </w:r>
        <w:r w:rsidRPr="007D4988">
          <w:rPr>
            <w:rStyle w:val="Hyperlink"/>
            <w:rFonts w:eastAsia="Times New Roman" w:cs="Times New Roman"/>
            <w:color w:val="auto"/>
            <w:szCs w:val="20"/>
          </w:rPr>
          <w:t>"</w:t>
        </w:r>
      </w:hyperlink>
      <w:r w:rsidRPr="007D4988">
        <w:t xml:space="preserve"> et </w:t>
      </w:r>
      <w:hyperlink r:id="rId582" w:history="1">
        <w:r w:rsidRPr="007D4988">
          <w:rPr>
            <w:rStyle w:val="Hyperlink"/>
            <w:rFonts w:eastAsia="Times New Roman" w:cs="Times New Roman"/>
            <w:color w:val="auto"/>
            <w:szCs w:val="20"/>
          </w:rPr>
          <w:t>"</w:t>
        </w:r>
        <w:r w:rsidRPr="007D4988">
          <w:rPr>
            <w:rStyle w:val="Hyperlink"/>
            <w:rFonts w:eastAsia="Times New Roman" w:cs="Times New Roman"/>
            <w:szCs w:val="20"/>
          </w:rPr>
          <w:t>Her CyberTracks</w:t>
        </w:r>
        <w:r w:rsidRPr="007D4988">
          <w:rPr>
            <w:rStyle w:val="Hyperlink"/>
            <w:rFonts w:eastAsia="Times New Roman" w:cs="Times New Roman"/>
            <w:color w:val="auto"/>
            <w:szCs w:val="20"/>
          </w:rPr>
          <w:t>"</w:t>
        </w:r>
      </w:hyperlink>
      <w:r w:rsidRPr="007D4988">
        <w:t xml:space="preserve"> ou encore </w:t>
      </w:r>
      <w:hyperlink r:id="rId583" w:history="1">
        <w:r w:rsidRPr="007D4988">
          <w:rPr>
            <w:rStyle w:val="Hyperlink"/>
            <w:rFonts w:eastAsia="Times New Roman" w:cs="Times New Roman"/>
            <w:color w:val="auto"/>
            <w:szCs w:val="20"/>
          </w:rPr>
          <w:t>"</w:t>
        </w:r>
        <w:r w:rsidRPr="007D4988">
          <w:rPr>
            <w:rStyle w:val="Hyperlink"/>
            <w:rFonts w:eastAsia="Times New Roman" w:cs="Times New Roman"/>
            <w:szCs w:val="20"/>
          </w:rPr>
          <w:t>Les jeunes Africaines savent coder</w:t>
        </w:r>
        <w:r w:rsidRPr="007D4988">
          <w:rPr>
            <w:rStyle w:val="Hyperlink"/>
            <w:rFonts w:eastAsia="Times New Roman" w:cs="Times New Roman"/>
            <w:color w:val="auto"/>
            <w:szCs w:val="20"/>
          </w:rPr>
          <w:t>"</w:t>
        </w:r>
      </w:hyperlink>
      <w:r w:rsidRPr="007D4988">
        <w:t xml:space="preserve"> et </w:t>
      </w:r>
      <w:hyperlink r:id="rId584" w:anchor="/fr" w:history="1">
        <w:r w:rsidRPr="007D4988">
          <w:rPr>
            <w:rStyle w:val="Hyperlink"/>
            <w:rFonts w:eastAsia="Times New Roman" w:cs="Times New Roman"/>
            <w:color w:val="auto"/>
            <w:szCs w:val="20"/>
          </w:rPr>
          <w:t>"</w:t>
        </w:r>
        <w:r w:rsidRPr="007D4988">
          <w:rPr>
            <w:rStyle w:val="Hyperlink"/>
            <w:rFonts w:eastAsia="Times New Roman" w:cs="Times New Roman"/>
            <w:szCs w:val="20"/>
          </w:rPr>
          <w:t>Les jeunes Américaines savent coder</w:t>
        </w:r>
        <w:r w:rsidRPr="007D4988">
          <w:rPr>
            <w:rStyle w:val="Hyperlink"/>
            <w:rFonts w:eastAsia="Times New Roman" w:cs="Times New Roman"/>
            <w:color w:val="auto"/>
            <w:szCs w:val="20"/>
          </w:rPr>
          <w:t>"</w:t>
        </w:r>
      </w:hyperlink>
      <w:r w:rsidRPr="007D4988">
        <w:t>. Ces initiatives offrent des formations, un mentorat et des possibilités pour inciter les jeunes filles et les jeunes femmes à opter pour une carrière dans le secteur des TIC. En 2024, par exemple, 21 ateliers ont été organisés dans le cadre de l'initiative "Her digital skills", rassemblant plus de 1 700 participantes, tandis que quelques 300 femmes ont pu suivre une formation dans le</w:t>
      </w:r>
      <w:r w:rsidR="002F51A9" w:rsidRPr="007D4988">
        <w:t> </w:t>
      </w:r>
      <w:r w:rsidRPr="007D4988">
        <w:t>domaine de la cybersécurité grâce à l'initiative "Her CyberTracks".</w:t>
      </w:r>
    </w:p>
    <w:p w14:paraId="24A9586E" w14:textId="77777777" w:rsidR="006A7306" w:rsidRPr="007D4988" w:rsidRDefault="006A7306" w:rsidP="006A7306">
      <w:r w:rsidRPr="007D4988">
        <w:t>Le partenariat EQUALS 2.0 entre dans une nouvelle phase, avec une structure de gouvernance ainsi qu'une vision et une mission stratégiques repensées, réaffirmant les engagements pris de réduire la fracture numérique entre les hommes et les femmes. L'</w:t>
      </w:r>
      <w:hyperlink r:id="rId585" w:history="1">
        <w:r w:rsidRPr="007D4988">
          <w:rPr>
            <w:rStyle w:val="Hyperlink"/>
            <w:rFonts w:eastAsia="Times New Roman" w:cs="Times New Roman"/>
            <w:szCs w:val="20"/>
          </w:rPr>
          <w:t>édition de 2025 du rapport de recherche publié par EQUALS, intitulé "Promouvoir l'autonomisation des femmes à l'ère du numérique"</w:t>
        </w:r>
      </w:hyperlink>
      <w:r w:rsidRPr="007D4988">
        <w:t>, présente des données mondiales actualisées sur les disparités hommes-femmes en matière d'accès, de compétences, de responsabilités et de technologies émergentes. L'Indice d'inclusion hommes</w:t>
      </w:r>
      <w:r w:rsidRPr="007D4988">
        <w:noBreakHyphen/>
        <w:t>femmes de 2025 établi par EQUALS souligne les progrès accomplis et les écarts qui subsistent en matière d'égalité hommes-femmes dans l'industrie mobile.</w:t>
      </w:r>
    </w:p>
    <w:p w14:paraId="0FB2414A" w14:textId="0711A306" w:rsidR="006A7306" w:rsidRPr="007D4988" w:rsidRDefault="006A7306" w:rsidP="002F51A9">
      <w:pPr>
        <w:keepLines/>
      </w:pPr>
      <w:r w:rsidRPr="007D4988">
        <w:t>Les activités de renforcement des capacités se sont intensifiées, avec des cours structurés et des certifications accessibles via l'Académie de l'UIT. Sont également proposées une formation en ligne en autonomie sur l'analyse des questions liées à l'</w:t>
      </w:r>
      <w:hyperlink r:id="rId586" w:anchor="/fr" w:history="1">
        <w:r w:rsidRPr="007D4988">
          <w:rPr>
            <w:rStyle w:val="Hyperlink"/>
            <w:rFonts w:eastAsia="Times New Roman" w:cs="Times New Roman"/>
            <w:szCs w:val="20"/>
          </w:rPr>
          <w:t>égalité hommes</w:t>
        </w:r>
        <w:r w:rsidRPr="007D4988">
          <w:rPr>
            <w:rStyle w:val="Hyperlink"/>
            <w:rFonts w:eastAsia="Times New Roman" w:cs="Times New Roman"/>
            <w:szCs w:val="20"/>
          </w:rPr>
          <w:noBreakHyphen/>
          <w:t>femmes pour l'inclusion numérique</w:t>
        </w:r>
      </w:hyperlink>
      <w:r w:rsidRPr="007D4988">
        <w:t xml:space="preserve"> et une formation s'appuyant sur le </w:t>
      </w:r>
      <w:hyperlink r:id="rId587" w:anchor="/fr" w:history="1">
        <w:r w:rsidR="00384552" w:rsidRPr="007D4988">
          <w:rPr>
            <w:rStyle w:val="Hyperlink"/>
            <w:rFonts w:eastAsia="Times New Roman" w:cs="Times New Roman"/>
            <w:szCs w:val="20"/>
          </w:rPr>
          <w:t>Manuel de l'UIT sur l'intégration du principe de l'égalité hommes-femmes dans les politiques numériques</w:t>
        </w:r>
      </w:hyperlink>
      <w:r w:rsidRPr="007D4988">
        <w:t>, appuyant l'intégration de l'égalité hommes-femmes dans les stratégies nationales. Ce travail reste essentiel étant donné que sur les 94 pays qui étaient dotés de programmes nationaux en faveur du numérique en 2022, seuls 21 incluaient explicitement les femmes et les filles.</w:t>
      </w:r>
    </w:p>
    <w:p w14:paraId="447F78BE" w14:textId="6B717145" w:rsidR="006A7306" w:rsidRPr="007D4988" w:rsidRDefault="006A7306" w:rsidP="006A7306">
      <w:r w:rsidRPr="007D4988">
        <w:t>Le projet Her Digital Skills mis au point par l'UIT-D est rendu possible grâce à des contributions, notamment celle de Qualcomm qui soutient la mise en œuvre de ce projet au</w:t>
      </w:r>
      <w:r w:rsidR="002F51A9" w:rsidRPr="007D4988">
        <w:t> </w:t>
      </w:r>
      <w:r w:rsidRPr="007D4988">
        <w:t>Cameroun, en Éthiopie, au Ghana, au Kenya et au Nigéria, et celle apportée par Women World Wide Web, la GSMA et Ernst &amp; Young (EY) pour appuyer l'élaboration de contenus et la mise en œuvre de l'initiative aux Philippines, au Kenya, au Népal, en Ouganda et en République sudafricaine, ainsi que dans les Caraïbes, soit ainsi plus de 23 pays et quelque 5 600 jeunes femmes bénéficiaires.</w:t>
      </w:r>
    </w:p>
    <w:p w14:paraId="6947E817" w14:textId="77777777" w:rsidR="006A7306" w:rsidRPr="007D4988" w:rsidRDefault="006A7306" w:rsidP="006A7306">
      <w:r w:rsidRPr="007D4988">
        <w:t xml:space="preserve">Publié en 2024, le Document </w:t>
      </w:r>
      <w:hyperlink r:id="rId588" w:history="1">
        <w:r w:rsidRPr="007D4988">
          <w:rPr>
            <w:rStyle w:val="Hyperlink"/>
            <w:rFonts w:eastAsia="Times New Roman" w:cs="Times New Roman"/>
            <w:szCs w:val="20"/>
          </w:rPr>
          <w:t>Her Digital Skills: Towards a Gender Transformative Approach</w:t>
        </w:r>
      </w:hyperlink>
      <w:r w:rsidRPr="007D4988">
        <w:t xml:space="preserve"> (en anglais uniquement) est un cadre de référence et un guide à l'usage des professionnels, qui propose des approches susceptibles de transformer les aspects relatifs au genre pour la conception de programmes d'éducation aux compétences numériques, dans les salles de classe et en dehors.</w:t>
      </w:r>
    </w:p>
    <w:p w14:paraId="069F96BF" w14:textId="77777777" w:rsidR="006A7306" w:rsidRPr="007D4988" w:rsidRDefault="006A7306" w:rsidP="002F51A9">
      <w:r w:rsidRPr="007D4988">
        <w:t>Le programme d'</w:t>
      </w:r>
      <w:hyperlink r:id="rId589" w:history="1">
        <w:r w:rsidRPr="007D4988">
          <w:rPr>
            <w:rStyle w:val="Hyperlink"/>
            <w:rFonts w:eastAsia="Times New Roman" w:cs="Times New Roman"/>
            <w:szCs w:val="20"/>
          </w:rPr>
          <w:t>Accélération des compétences dans le domaine de l'IA</w:t>
        </w:r>
      </w:hyperlink>
      <w:r w:rsidRPr="007D4988">
        <w:t xml:space="preserve"> pour les jeunes filles de l'UIT-D est né de la nécessité de s'attaquer au problème de la sous-représentation des femmes dans le domaine de l'intelligence artificielle et aux postes de direction dans le secteur des technologies. Le premier groupe a commencé en octobre 2024, avec une série d'ateliers en présentiel organisés dans six pays (un atelier dans chaque région de l'UIT: Paraguay, Malte, Kenya, Inde, Kazakhstan, Jordanie), et depuis août 2025, le second groupe participe à des ateliers en Ouzbékistan, au Guatemala, en Égypte et au Mozambique. Au total, plus de 820 jeunes femmes ont bénéficié du programme.</w:t>
      </w:r>
    </w:p>
    <w:p w14:paraId="3366CF71" w14:textId="41C35AB0" w:rsidR="006A7306" w:rsidRPr="007D4988" w:rsidRDefault="006A7306" w:rsidP="006A7306">
      <w:r w:rsidRPr="007D4988">
        <w:t xml:space="preserve">La célébration annuelle de la </w:t>
      </w:r>
      <w:hyperlink r:id="rId590" w:anchor="/fr" w:history="1">
        <w:r w:rsidRPr="007D4988">
          <w:rPr>
            <w:rStyle w:val="Hyperlink"/>
            <w:rFonts w:eastAsia="Times New Roman" w:cs="Times New Roman"/>
            <w:szCs w:val="20"/>
          </w:rPr>
          <w:t>Journée internationale des jeunes filles dans le secteur des TIC</w:t>
        </w:r>
      </w:hyperlink>
      <w:r w:rsidRPr="007D4988">
        <w:t xml:space="preserve"> continue de prendre de l'ampleur en tant que mécanisme permettant de mobiliser des compétences et des dirigeants partout dans le monde. Les thèmes retenus pour la période 2023-2025 étaient les suivants: "Des compétences numériques essentielles pour la vie", "Leadership" puis "Les jeunes filles dans le secteur des TIC au service d'une transformation numérique inclusive". En total cumulé, l'initiative a touché plus de</w:t>
      </w:r>
      <w:r w:rsidR="002F51A9" w:rsidRPr="007D4988">
        <w:t> </w:t>
      </w:r>
      <w:r w:rsidRPr="007D4988">
        <w:t>76 000 filles et jeunes femmes de 2023 à 2025, grâce à 472 manifestations organisées dans les six régions de l'UIT.</w:t>
      </w:r>
    </w:p>
    <w:p w14:paraId="0A30E26B" w14:textId="77777777" w:rsidR="006A7306" w:rsidRPr="007D4988" w:rsidRDefault="006A7306" w:rsidP="006A7306">
      <w:r w:rsidRPr="007D4988">
        <w:t xml:space="preserve">Les communautés du </w:t>
      </w:r>
      <w:hyperlink r:id="rId591" w:anchor="/fr" w:history="1">
        <w:r w:rsidRPr="007D4988">
          <w:rPr>
            <w:rStyle w:val="Hyperlink"/>
            <w:rFonts w:eastAsia="Times New Roman" w:cs="Times New Roman"/>
            <w:szCs w:val="20"/>
          </w:rPr>
          <w:t>Réseau de femmes (NoW)</w:t>
        </w:r>
      </w:hyperlink>
      <w:r w:rsidRPr="007D4988">
        <w:t xml:space="preserve"> de l'UIT sont à l'œuvre dans les trois Secteurs de l'UIT (</w:t>
      </w:r>
      <w:hyperlink r:id="rId592" w:anchor="/fr" w:history="1">
        <w:r w:rsidRPr="007D4988">
          <w:rPr>
            <w:rStyle w:val="Hyperlink"/>
            <w:rFonts w:eastAsia="Times New Roman" w:cs="Times New Roman"/>
            <w:szCs w:val="20"/>
          </w:rPr>
          <w:t>UIT-R</w:t>
        </w:r>
      </w:hyperlink>
      <w:r w:rsidRPr="007D4988">
        <w:t xml:space="preserve">, </w:t>
      </w:r>
      <w:hyperlink r:id="rId593" w:anchor="/fr" w:history="1">
        <w:r w:rsidRPr="007D4988">
          <w:rPr>
            <w:rStyle w:val="Hyperlink"/>
            <w:rFonts w:eastAsia="Times New Roman" w:cs="Times New Roman"/>
            <w:szCs w:val="20"/>
          </w:rPr>
          <w:t>UIT-T</w:t>
        </w:r>
      </w:hyperlink>
      <w:r w:rsidRPr="007D4988">
        <w:t xml:space="preserve"> et </w:t>
      </w:r>
      <w:hyperlink r:id="rId594" w:history="1">
        <w:r w:rsidRPr="007D4988">
          <w:rPr>
            <w:rStyle w:val="Hyperlink"/>
            <w:rFonts w:eastAsia="Times New Roman" w:cs="Times New Roman"/>
            <w:szCs w:val="20"/>
          </w:rPr>
          <w:t>UIT-D</w:t>
        </w:r>
      </w:hyperlink>
      <w:r w:rsidRPr="007D4988">
        <w:t>), avec pour objectif de renforcer la représentation des femmes et leur nombre à des fonctions de direction dans les travaux de l'UIT. Grâce à ces réseaux, les déléguées peuvent bénéficier d'un mentorat, d'une formation et d'un appui, en particulier pour la préparation des grandes conférences:</w:t>
      </w:r>
    </w:p>
    <w:p w14:paraId="106AD779" w14:textId="56078C9D" w:rsidR="006A7306" w:rsidRPr="007D4988" w:rsidRDefault="006A7306" w:rsidP="006A7306">
      <w:r w:rsidRPr="007D4988">
        <w:rPr>
          <w:b/>
          <w:bCs/>
        </w:rPr>
        <w:t>UIT-D</w:t>
      </w:r>
      <w:r w:rsidRPr="007D4988">
        <w:t>: à la CMDT-22 et à la CMDT-25, 36% des participants étaient des femmes. Le programme de mentorat pour l'autonomisation des dirigeantes a rassemblé plus de</w:t>
      </w:r>
      <w:r w:rsidR="002F51A9" w:rsidRPr="007D4988">
        <w:t> </w:t>
      </w:r>
      <w:r w:rsidRPr="007D4988">
        <w:t xml:space="preserve">150 participants, dont 30% de mentors masculins, marquant ainsi une étape importante en termes de solidarité. Plus de 60 participantes de 40 pays ont également pris part au "Cours magistral: Renforcer sa confiance" qui s'est tenu en août 2025, la veille du Colloque mondial des régulateurs (GSR-25) en Arabie saoudite; elles y ont appris comment renforcer leur confiance lors des prises de parole en public, améliorer leurs techniques de communication et mettre en place des astuces pratiques pour être plus efficaces dans leurs présentations et interventions. Une formation a été organisée en amont de la CMDT-25 et dispensée sous forme virtuelle le 8 octobre, rassemblant 143 déléguées de 64 pays. La série de formations </w:t>
      </w:r>
      <w:hyperlink r:id="rId595" w:anchor="/fr" w:history="1">
        <w:r w:rsidRPr="007D4988">
          <w:rPr>
            <w:rStyle w:val="Hyperlink"/>
            <w:rFonts w:eastAsia="Times New Roman" w:cs="Times New Roman"/>
            <w:color w:val="auto"/>
            <w:szCs w:val="20"/>
          </w:rPr>
          <w:t>"</w:t>
        </w:r>
        <w:r w:rsidRPr="007D4988">
          <w:rPr>
            <w:rStyle w:val="Hyperlink"/>
            <w:rFonts w:eastAsia="Times New Roman" w:cs="Times New Roman"/>
            <w:szCs w:val="20"/>
          </w:rPr>
          <w:t>Super Women Series: Enhance your presence, influence and impact</w:t>
        </w:r>
        <w:r w:rsidRPr="007D4988">
          <w:rPr>
            <w:rStyle w:val="Hyperlink"/>
            <w:rFonts w:eastAsia="Times New Roman" w:cs="Times New Roman"/>
            <w:color w:val="auto"/>
            <w:szCs w:val="20"/>
          </w:rPr>
          <w:t>"</w:t>
        </w:r>
      </w:hyperlink>
      <w:r w:rsidRPr="007D4988">
        <w:t xml:space="preserve"> a également été dispensée via l'Académie de l'UIT en octobre et novembre. Plus</w:t>
      </w:r>
      <w:r w:rsidR="002F51A9" w:rsidRPr="007D4988">
        <w:t> </w:t>
      </w:r>
      <w:r w:rsidRPr="007D4988">
        <w:t>de</w:t>
      </w:r>
      <w:r w:rsidR="002F51A9" w:rsidRPr="007D4988">
        <w:t> </w:t>
      </w:r>
      <w:r w:rsidRPr="007D4988">
        <w:t>107 déléguées de plus de 42 États Membres ont suivi cette formation.</w:t>
      </w:r>
    </w:p>
    <w:p w14:paraId="6DD90410" w14:textId="092E8EEB" w:rsidR="006A7306" w:rsidRPr="007D4988" w:rsidRDefault="006A7306" w:rsidP="006A7306">
      <w:r w:rsidRPr="007D4988">
        <w:rPr>
          <w:b/>
          <w:bCs/>
        </w:rPr>
        <w:t>UIT-T</w:t>
      </w:r>
      <w:r w:rsidRPr="007D4988">
        <w:t>: à l'AMNT-24, 26% des participants étaient des femmes; grâce au Réseau</w:t>
      </w:r>
      <w:r w:rsidR="002F51A9" w:rsidRPr="007D4988">
        <w:t> </w:t>
      </w:r>
      <w:r w:rsidRPr="007D4988">
        <w:t>NOW4WTSA24, les femmes occupent maintenant 25% des fonctions de direction (augmentation de 25%) et représentent 28% des experts en normalisation.</w:t>
      </w:r>
    </w:p>
    <w:p w14:paraId="397DC21D" w14:textId="5B290511" w:rsidR="006A7306" w:rsidRPr="007D4988" w:rsidRDefault="006A7306" w:rsidP="006A7306">
      <w:r w:rsidRPr="007D4988">
        <w:rPr>
          <w:b/>
          <w:bCs/>
        </w:rPr>
        <w:t>UIT-R</w:t>
      </w:r>
      <w:r w:rsidRPr="007D4988">
        <w:t xml:space="preserve">: grâce au </w:t>
      </w:r>
      <w:r w:rsidR="00864C15" w:rsidRPr="007D4988">
        <w:t>R</w:t>
      </w:r>
      <w:r w:rsidRPr="007D4988">
        <w:t>éseau NOW4WRC, le pourcentage de déléguées est passé de 18% (2019) à 22% (2023); le programme de mentorat NOW4WRC27 est en cours.</w:t>
      </w:r>
    </w:p>
    <w:p w14:paraId="288CA662" w14:textId="3A4F15A6" w:rsidR="006A7306" w:rsidRPr="007D4988" w:rsidRDefault="006A7306" w:rsidP="006A7306">
      <w:r w:rsidRPr="007D4988">
        <w:t xml:space="preserve">À l'UIT-T, la campagne menée dans le cadre du </w:t>
      </w:r>
      <w:r w:rsidR="00864C15" w:rsidRPr="007D4988">
        <w:t>R</w:t>
      </w:r>
      <w:r w:rsidRPr="007D4988">
        <w:t xml:space="preserve">éseau </w:t>
      </w:r>
      <w:hyperlink r:id="rId596" w:anchor="/fr" w:history="1">
        <w:r w:rsidRPr="007D4988">
          <w:rPr>
            <w:rStyle w:val="Hyperlink"/>
            <w:rFonts w:eastAsia="Times New Roman" w:cs="Times New Roman"/>
            <w:szCs w:val="20"/>
          </w:rPr>
          <w:t>NOW4WTSA24</w:t>
        </w:r>
      </w:hyperlink>
      <w:r w:rsidRPr="007D4988">
        <w:t xml:space="preserve"> a encouragé la désignation d'un plus grand nombre de femmes à des fonctions de direction et a contribué au fait qu'environ 25% des fonctions de direction à l'UIT-T sont occupées par des femmes et</w:t>
      </w:r>
      <w:r w:rsidR="00864C15" w:rsidRPr="007D4988">
        <w:t> </w:t>
      </w:r>
      <w:r w:rsidRPr="007D4988">
        <w:t>28% des experts en normalisation sont des femmes.</w:t>
      </w:r>
    </w:p>
    <w:p w14:paraId="36D7BAE5" w14:textId="4DACDCB5" w:rsidR="006A7306" w:rsidRPr="007D4988" w:rsidRDefault="006A7306" w:rsidP="006A7306">
      <w:r w:rsidRPr="007D4988">
        <w:t>L'</w:t>
      </w:r>
      <w:r w:rsidR="00864C15" w:rsidRPr="007D4988">
        <w:t>I</w:t>
      </w:r>
      <w:r w:rsidRPr="007D4988">
        <w:t xml:space="preserve">nitiative </w:t>
      </w:r>
      <w:hyperlink r:id="rId597" w:history="1">
        <w:r w:rsidRPr="007D4988">
          <w:rPr>
            <w:rStyle w:val="Hyperlink"/>
            <w:rFonts w:eastAsia="Times New Roman" w:cs="Times New Roman"/>
            <w:szCs w:val="20"/>
          </w:rPr>
          <w:t>NOW4WRC</w:t>
        </w:r>
      </w:hyperlink>
      <w:r w:rsidRPr="007D4988">
        <w:t xml:space="preserve"> a été adoptée pour promouvoir l'égalité hommes-femmes et combler les écarts de participation aux activités de l'UIT-R. Les femmes représentaient 22% des délégués à l'AR/CMR-23, contre 18% en 2019. Un nouveau </w:t>
      </w:r>
      <w:hyperlink r:id="rId598" w:anchor="/fr" w:history="1">
        <w:r w:rsidRPr="007D4988">
          <w:rPr>
            <w:rStyle w:val="Hyperlink"/>
            <w:rFonts w:eastAsia="Times New Roman" w:cs="Times New Roman"/>
            <w:szCs w:val="20"/>
          </w:rPr>
          <w:t>réseau de femmes ayant rang de ministre et de dirigeante dans le secteur des TIC</w:t>
        </w:r>
      </w:hyperlink>
      <w:r w:rsidRPr="007D4988">
        <w:t xml:space="preserve"> a été créé lors de la </w:t>
      </w:r>
      <w:r w:rsidR="00864C15" w:rsidRPr="007D4988">
        <w:t>M</w:t>
      </w:r>
      <w:r w:rsidRPr="007D4988">
        <w:t xml:space="preserve">anifestation de haut niveau SMSI+20 en juillet 2024, puis de nouveau en 2025 lors de la </w:t>
      </w:r>
      <w:r w:rsidR="00864C15" w:rsidRPr="007D4988">
        <w:t>M</w:t>
      </w:r>
      <w:r w:rsidRPr="007D4988">
        <w:t>anifestation de haut niveau SMSI+20 et du Sommet mondial sur l'intelligence artificielle au service du bien social. Un programme de mentorat est en cours dans le cadre de l'</w:t>
      </w:r>
      <w:r w:rsidR="00864C15" w:rsidRPr="007D4988">
        <w:t>I</w:t>
      </w:r>
      <w:r w:rsidRPr="007D4988">
        <w:t>nitiative NOW4WRC27</w:t>
      </w:r>
      <w:r w:rsidR="00864C15" w:rsidRPr="007D4988">
        <w:t xml:space="preserve"> </w:t>
      </w:r>
      <w:r w:rsidRPr="007D4988">
        <w:t>en</w:t>
      </w:r>
      <w:r w:rsidR="00864C15" w:rsidRPr="007D4988">
        <w:t xml:space="preserve"> </w:t>
      </w:r>
      <w:r w:rsidRPr="007D4988">
        <w:t>vue de la prochaine Conférence mondiale des radiocommunications (CMR</w:t>
      </w:r>
      <w:r w:rsidRPr="007D4988">
        <w:noBreakHyphen/>
        <w:t>27). Un nouveau mécanisme de coordination pour tous les réseaux de femmes de l'UIT a été lancé, avec la participation des divers secrétariats du Réseau NoW, afin d'échanger des connaissances, des bonnes pratiques et des activités communes.</w:t>
      </w:r>
    </w:p>
    <w:p w14:paraId="0D29AD00" w14:textId="77777777" w:rsidR="006A7306" w:rsidRPr="007D4988" w:rsidRDefault="006A7306" w:rsidP="006A7306">
      <w:r w:rsidRPr="007D4988">
        <w:t xml:space="preserve">En 2024, le </w:t>
      </w:r>
      <w:hyperlink r:id="rId599" w:anchor="/fr" w:history="1">
        <w:r w:rsidRPr="007D4988">
          <w:rPr>
            <w:rStyle w:val="Hyperlink"/>
            <w:rFonts w:eastAsia="Times New Roman" w:cs="Times New Roman"/>
            <w:szCs w:val="20"/>
          </w:rPr>
          <w:t>Manuel sur l'intégration du principe de l'égalité hommes-femmes dans les politiques numériques</w:t>
        </w:r>
      </w:hyperlink>
      <w:r w:rsidRPr="007D4988">
        <w:t xml:space="preserve"> a permis aux États Membres de disposer de bonnes pratiques sur la manière d'intégrer ce principe dans les politiques numériques actuelles et futures.</w:t>
      </w:r>
    </w:p>
    <w:p w14:paraId="12DE8942" w14:textId="77777777" w:rsidR="006A7306" w:rsidRPr="007D4988" w:rsidRDefault="006A7306" w:rsidP="006A7306">
      <w:r w:rsidRPr="007D4988">
        <w:t xml:space="preserve">En 2025, l'UIT a fêté son </w:t>
      </w:r>
      <w:hyperlink r:id="rId600" w:anchor="/fr" w:history="1">
        <w:r w:rsidRPr="007D4988">
          <w:rPr>
            <w:rStyle w:val="Hyperlink"/>
            <w:rFonts w:eastAsia="Times New Roman" w:cs="Times New Roman"/>
            <w:szCs w:val="20"/>
          </w:rPr>
          <w:t>160ème anniversaire</w:t>
        </w:r>
      </w:hyperlink>
      <w:r w:rsidRPr="007D4988">
        <w:t xml:space="preserve"> et célébré la Journée mondiale des télécommunications et de la société de l'information sur le thème </w:t>
      </w:r>
      <w:hyperlink r:id="rId601" w:anchor="/fr" w:history="1">
        <w:r w:rsidRPr="007D4988">
          <w:rPr>
            <w:rStyle w:val="Hyperlink"/>
            <w:rFonts w:eastAsia="Times New Roman" w:cs="Times New Roman"/>
            <w:color w:val="auto"/>
            <w:szCs w:val="20"/>
          </w:rPr>
          <w:t>"</w:t>
        </w:r>
        <w:r w:rsidRPr="007D4988">
          <w:rPr>
            <w:rStyle w:val="Hyperlink"/>
            <w:rFonts w:eastAsia="Times New Roman" w:cs="Times New Roman"/>
            <w:szCs w:val="20"/>
          </w:rPr>
          <w:t>L'égalité hommes</w:t>
        </w:r>
        <w:r w:rsidRPr="007D4988">
          <w:rPr>
            <w:rStyle w:val="Hyperlink"/>
            <w:rFonts w:eastAsia="Times New Roman" w:cs="Times New Roman"/>
            <w:szCs w:val="20"/>
          </w:rPr>
          <w:noBreakHyphen/>
          <w:t>femmes dans la transformation numérique</w:t>
        </w:r>
        <w:r w:rsidRPr="007D4988">
          <w:rPr>
            <w:rStyle w:val="Hyperlink"/>
            <w:rFonts w:eastAsia="Times New Roman" w:cs="Times New Roman"/>
            <w:color w:val="auto"/>
            <w:szCs w:val="20"/>
          </w:rPr>
          <w:t>"</w:t>
        </w:r>
      </w:hyperlink>
      <w:r w:rsidRPr="007D4988">
        <w:t xml:space="preserve">. L'initiative </w:t>
      </w:r>
      <w:hyperlink r:id="rId602" w:anchor="/fr" w:history="1">
        <w:r w:rsidRPr="007D4988">
          <w:rPr>
            <w:rStyle w:val="Hyperlink"/>
            <w:rFonts w:eastAsia="Times New Roman" w:cs="Times New Roman"/>
            <w:color w:val="auto"/>
            <w:szCs w:val="20"/>
          </w:rPr>
          <w:t>"</w:t>
        </w:r>
        <w:r w:rsidRPr="007D4988">
          <w:rPr>
            <w:rStyle w:val="Hyperlink"/>
            <w:rFonts w:eastAsia="Times New Roman" w:cs="Times New Roman"/>
            <w:szCs w:val="20"/>
          </w:rPr>
          <w:t>Champions de l'égalité hommes-femmes</w:t>
        </w:r>
        <w:r w:rsidRPr="007D4988">
          <w:rPr>
            <w:rStyle w:val="Hyperlink"/>
            <w:rFonts w:eastAsia="Times New Roman" w:cs="Times New Roman"/>
            <w:color w:val="auto"/>
            <w:szCs w:val="20"/>
          </w:rPr>
          <w:t>"</w:t>
        </w:r>
      </w:hyperlink>
      <w:r w:rsidRPr="007D4988">
        <w:t xml:space="preserve"> s'inscrivant dans le cadre du 160ème anniversaire de l'UIT incarne cette vision en ce qu'elle met en avant le rôle moteur des jeunes femmes dans le développement du numérique et favorise un avenir numérique inclusif et équitable.</w:t>
      </w:r>
    </w:p>
    <w:p w14:paraId="7E445B8D" w14:textId="77777777" w:rsidR="006A7306" w:rsidRPr="007D4988" w:rsidRDefault="006A7306" w:rsidP="006A7306">
      <w:r w:rsidRPr="007D4988">
        <w:t xml:space="preserve">Les questions liées à l'égalité hommes-femmes sont intégrées dans les activités annuelles du Forum du SMSI. Le </w:t>
      </w:r>
      <w:hyperlink r:id="rId603" w:history="1">
        <w:r w:rsidRPr="007D4988">
          <w:rPr>
            <w:rStyle w:val="Hyperlink"/>
            <w:rFonts w:eastAsia="Times New Roman" w:cs="Times New Roman"/>
            <w:szCs w:val="20"/>
          </w:rPr>
          <w:t>Document final du SMSI+20</w:t>
        </w:r>
      </w:hyperlink>
      <w:r w:rsidRPr="007D4988">
        <w:t>, adopté par l'Assemblée générale des Nations Unies en décembre 2025, appelle à une transformation numérique tenant compte de l'égalité hommes-femmes et intègre les questions qui s'y rapportent dans toutes les grandes orientations du SMSI.</w:t>
      </w:r>
    </w:p>
    <w:p w14:paraId="1F79215E" w14:textId="25E50D36" w:rsidR="006A7306" w:rsidRPr="007D4988" w:rsidRDefault="006A7306" w:rsidP="002F51A9">
      <w:pPr>
        <w:keepLines/>
      </w:pPr>
      <w:r w:rsidRPr="007D4988">
        <w:t xml:space="preserve">Dans le cadre des 16 journées de mobilisation organisées à l'échelle du système des Nations Unies en 2025 sur le thème "Tous UNiS pour mettre fin à la violence numérique à l'égard de toutes les femmes et filles", l'UIT a organisé une campagne vidéo sur les réseaux sociaux, coécrit un </w:t>
      </w:r>
      <w:hyperlink r:id="rId604" w:anchor="/fr" w:history="1">
        <w:r w:rsidRPr="007D4988">
          <w:rPr>
            <w:rStyle w:val="Hyperlink"/>
            <w:rFonts w:eastAsia="Times New Roman" w:cs="Times New Roman"/>
            <w:szCs w:val="20"/>
          </w:rPr>
          <w:t>article de blog</w:t>
        </w:r>
      </w:hyperlink>
      <w:r w:rsidRPr="007D4988">
        <w:t xml:space="preserve"> avec Plan International et tenu une séance virtuelle sur le harcèlement sexuel dans le secteur des technologies en partenariat avec ONU Femmes. En outre, l'UIT participe activement aux travaux du Conseil consultatif du Président du Conseil des droits de l'homme pour l'égalité hommes</w:t>
      </w:r>
      <w:r w:rsidR="00384552" w:rsidRPr="007D4988">
        <w:t>-</w:t>
      </w:r>
      <w:r w:rsidRPr="007D4988">
        <w:t>femmes.</w:t>
      </w:r>
    </w:p>
    <w:p w14:paraId="0501D16B" w14:textId="156E8260" w:rsidR="006A7306" w:rsidRPr="007D4988" w:rsidRDefault="006A7306" w:rsidP="006A7306">
      <w:r w:rsidRPr="007D4988">
        <w:t>L'UIT continue de présenter chaque année un rapport dans le cadre du Plan d'action à l'échelle du système des Nations Unies pour l'égalité des sexes et l'autonomisation des femmes (</w:t>
      </w:r>
      <w:hyperlink r:id="rId605" w:history="1">
        <w:r w:rsidRPr="007D4988">
          <w:rPr>
            <w:rStyle w:val="Hyperlink"/>
            <w:rFonts w:eastAsia="Times New Roman" w:cs="Times New Roman"/>
            <w:szCs w:val="20"/>
          </w:rPr>
          <w:t>ONU-SWAP</w:t>
        </w:r>
      </w:hyperlink>
      <w:r w:rsidRPr="007D4988">
        <w:t xml:space="preserve">). Un </w:t>
      </w:r>
      <w:hyperlink r:id="rId606" w:anchor="/fr" w:history="1">
        <w:r w:rsidRPr="007D4988">
          <w:rPr>
            <w:rStyle w:val="Hyperlink"/>
            <w:rFonts w:eastAsia="Times New Roman" w:cs="Times New Roman"/>
            <w:szCs w:val="20"/>
          </w:rPr>
          <w:t>Réseau de femmes ayant rang de ministre et de dirigeante dans le secteur des TIC</w:t>
        </w:r>
      </w:hyperlink>
      <w:r w:rsidRPr="007D4988">
        <w:t xml:space="preserve"> a été mis en place. La parité hommes-femmes au niveau institutionnel reste un défi, puisque le pourcentage de femmes occupant des postes de direction (P5</w:t>
      </w:r>
      <w:r w:rsidR="00864C15" w:rsidRPr="007D4988">
        <w:noBreakHyphen/>
      </w:r>
      <w:r w:rsidRPr="007D4988">
        <w:t>D1</w:t>
      </w:r>
      <w:r w:rsidR="00864C15" w:rsidRPr="007D4988">
        <w:noBreakHyphen/>
      </w:r>
      <w:r w:rsidRPr="007D4988">
        <w:t>D2) n'est passé que de 31% (fin 2022) à 33% (fin 2025). Les efforts pour remédier à cette situation comprennent la mise en place de cadres de responsabilisation renforcés, une culture organisationnelle et des mesures pour attirer davantage les talents. Une nouvelle politique de congé parental introduite en 2023, portant ce congé à 16 semaines à tous les parents quel que soit leur sexe, auxquelles s'ajoutent 10 semaines supplémentaires pour les mères qui accouchent, vise à faciliter l'équilibre entre vie professionnelle et vie privée et à fidéliser les talents venant d'horizons très divers. L'UIT s'est également engagée à mettre en œuvre le Plan d'accélération de l'égalité hommes</w:t>
      </w:r>
      <w:r w:rsidR="00384552" w:rsidRPr="007D4988">
        <w:t>-</w:t>
      </w:r>
      <w:r w:rsidRPr="007D4988">
        <w:t>femmes (GEAP) des Nations Unies, dans le cadre duquel la haute direction s'emploie à intégrer effectivement le principe de l'égalité hommes</w:t>
      </w:r>
      <w:r w:rsidR="00384552" w:rsidRPr="007D4988">
        <w:t>-</w:t>
      </w:r>
      <w:r w:rsidRPr="007D4988">
        <w:t>femmes.</w:t>
      </w:r>
    </w:p>
    <w:p w14:paraId="31CBA72D" w14:textId="73E9EFCE" w:rsidR="006A7306" w:rsidRPr="007D4988" w:rsidRDefault="006A7306" w:rsidP="006A7306">
      <w:r w:rsidRPr="007D4988">
        <w:t>Le Groupe spécial de l'UIT sur l'égalité hommes</w:t>
      </w:r>
      <w:r w:rsidR="00384552" w:rsidRPr="007D4988">
        <w:t>-</w:t>
      </w:r>
      <w:r w:rsidRPr="007D4988">
        <w:t>femmes est le mécanisme interne de coordination de l'UIT sur l'égalité hommes</w:t>
      </w:r>
      <w:r w:rsidR="00384552" w:rsidRPr="007D4988">
        <w:t>-</w:t>
      </w:r>
      <w:r w:rsidRPr="007D4988">
        <w:t>femmes et l'intégration du principe de l'égalité hommes</w:t>
      </w:r>
      <w:r w:rsidR="00384552" w:rsidRPr="007D4988">
        <w:noBreakHyphen/>
      </w:r>
      <w:r w:rsidRPr="007D4988">
        <w:t>femmes, créé pour appuyer l'intégration du principe de l'égalité hommes</w:t>
      </w:r>
      <w:r w:rsidR="00384552" w:rsidRPr="007D4988">
        <w:t>-</w:t>
      </w:r>
      <w:r w:rsidRPr="007D4988">
        <w:t>femmes dans tous les Secteurs et au sein du Secrétariat général. Un nouveau mécanisme interne de coordination et de responsabilisation pour le Groupe spécial sur les questions de genre a été élaboré.</w:t>
      </w:r>
    </w:p>
    <w:p w14:paraId="6CD930C0" w14:textId="77777777" w:rsidR="006A7306" w:rsidRPr="007D4988" w:rsidRDefault="006A7306" w:rsidP="006A7306">
      <w:r w:rsidRPr="007D4988">
        <w:t>En janvier 2024, une évaluation des capacités du personnel a permis d'établir de nouveaux besoins en matière de renforcement des capacités et de parité hommes-femmes, ayant abouti à la mise en place de formations sur des modèles de direction inclusifs, les microagressions et la prévention du harcèlement ont été proposées, ainsi qu'à l'élaboration d'un Plan de l'UIT pour la parité hommes-femmes en 2025. La première enquête menée par l'UIT sur la motivation du personnel en janvier 2025 a permis de mettre en évidence un important rôle de suivi indispensable pour s'améliorer en permanence, notamment pour atteindre l'égalité hommes-femmes et intégrer le principe de l'égalité hommes-femmes à l'UIT.</w:t>
      </w:r>
    </w:p>
    <w:p w14:paraId="633039EC" w14:textId="77777777" w:rsidR="006A7306" w:rsidRPr="007D4988" w:rsidRDefault="006A7306" w:rsidP="006A7306">
      <w:r w:rsidRPr="007D4988">
        <w:t>La PP-22 a marqué un moment historique sur le plan de la haute direction de l'UIT, avec l'élection de la première femme au poste de Secrétaire générale, qui a pris ses fonctions en janvier 2023, témoignant de l'engagement de l'organisation en faveur de l'égalité hommes</w:t>
      </w:r>
      <w:r w:rsidRPr="007D4988">
        <w:noBreakHyphen/>
        <w:t>femmes à tous les niveaux de gouvernance.</w:t>
      </w:r>
    </w:p>
    <w:p w14:paraId="4C2AFC75" w14:textId="58EDAF0F" w:rsidR="006A7306" w:rsidRPr="007D4988" w:rsidRDefault="006A7306" w:rsidP="006A7306">
      <w:r w:rsidRPr="007D4988">
        <w:t xml:space="preserve">Pour en savoir plus, voir les rapports </w:t>
      </w:r>
      <w:hyperlink r:id="rId607" w:anchor="/fr" w:history="1">
        <w:r w:rsidRPr="007D4988">
          <w:rPr>
            <w:rStyle w:val="Hyperlink"/>
            <w:rFonts w:eastAsia="Times New Roman" w:cs="Times New Roman"/>
            <w:szCs w:val="20"/>
          </w:rPr>
          <w:t>www.itu.int/gender</w:t>
        </w:r>
      </w:hyperlink>
      <w:r w:rsidRPr="007D4988">
        <w:t xml:space="preserve"> et annuels au Conseil (</w:t>
      </w:r>
      <w:r w:rsidR="00864C15" w:rsidRPr="007D4988">
        <w:t>Documents </w:t>
      </w:r>
      <w:hyperlink r:id="rId608" w:history="1">
        <w:r w:rsidRPr="007D4988">
          <w:rPr>
            <w:rStyle w:val="Hyperlink"/>
            <w:rFonts w:eastAsia="Times New Roman" w:cs="Times New Roman"/>
            <w:szCs w:val="20"/>
          </w:rPr>
          <w:t>C25/6</w:t>
        </w:r>
      </w:hyperlink>
      <w:r w:rsidRPr="007D4988">
        <w:t xml:space="preserve">, </w:t>
      </w:r>
      <w:hyperlink r:id="rId609" w:history="1">
        <w:r w:rsidRPr="007D4988">
          <w:rPr>
            <w:rStyle w:val="Hyperlink"/>
            <w:rFonts w:eastAsia="Times New Roman" w:cs="Times New Roman"/>
            <w:szCs w:val="20"/>
          </w:rPr>
          <w:t>C24/6</w:t>
        </w:r>
      </w:hyperlink>
      <w:r w:rsidRPr="007D4988">
        <w:t xml:space="preserve"> et </w:t>
      </w:r>
      <w:hyperlink r:id="rId610" w:history="1">
        <w:r w:rsidRPr="007D4988">
          <w:rPr>
            <w:rStyle w:val="Hyperlink"/>
            <w:rFonts w:eastAsia="Times New Roman" w:cs="Times New Roman"/>
            <w:szCs w:val="20"/>
          </w:rPr>
          <w:t>C23/6</w:t>
        </w:r>
      </w:hyperlink>
      <w:r w:rsidRPr="007D4988">
        <w:t>).</w:t>
      </w:r>
    </w:p>
    <w:p w14:paraId="2823F9A9" w14:textId="77777777" w:rsidR="006A7306" w:rsidRPr="007D4988" w:rsidRDefault="006A7306" w:rsidP="006A7306">
      <w:pPr>
        <w:pStyle w:val="Heading3"/>
      </w:pPr>
      <w:bookmarkStart w:id="110" w:name="_Toc225488907"/>
      <w:r w:rsidRPr="007D4988">
        <w:t>5.3.2</w:t>
      </w:r>
      <w:r w:rsidRPr="007D4988">
        <w:tab/>
        <w:t>Autonomisation des jeunes</w:t>
      </w:r>
      <w:bookmarkEnd w:id="110"/>
    </w:p>
    <w:p w14:paraId="072D841E" w14:textId="77777777" w:rsidR="006A7306" w:rsidRPr="007D4988" w:rsidRDefault="006A7306" w:rsidP="006A7306">
      <w:r w:rsidRPr="007D4988">
        <w:t xml:space="preserve">La </w:t>
      </w:r>
      <w:hyperlink r:id="rId611" w:history="1">
        <w:r w:rsidRPr="007D4988">
          <w:rPr>
            <w:rStyle w:val="Hyperlink"/>
            <w:rFonts w:eastAsia="Times New Roman" w:cs="Times New Roman"/>
            <w:szCs w:val="20"/>
          </w:rPr>
          <w:t>Stratégi</w:t>
        </w:r>
        <w:r w:rsidRPr="007D4988">
          <w:rPr>
            <w:rStyle w:val="Hyperlink"/>
          </w:rPr>
          <w:t xml:space="preserve">e de </w:t>
        </w:r>
        <w:r w:rsidRPr="007D4988">
          <w:rPr>
            <w:rStyle w:val="Hyperlink"/>
            <w:rFonts w:eastAsia="Times New Roman" w:cs="Times New Roman"/>
            <w:szCs w:val="20"/>
          </w:rPr>
          <w:t>l'UIT pour la jeunesse</w:t>
        </w:r>
      </w:hyperlink>
      <w:r w:rsidRPr="007D4988">
        <w:t xml:space="preserve"> sert de cadre opérationnel au renforcement des capacités de l'UIT pour mobiliser et autonomiser les jeunes à l'aide des TIC. Elle se veut adaptée à sa mission et vise à réduire la fracture numérique chez les jeunes. Elle repose sur trois piliers: créer une communauté de jeunes dirigeants, rassembler les jeunes pour qu'ils collaborent avec l'UIT et ses membres; et promouvoir leur participation aux activités de l'UIT.</w:t>
      </w:r>
    </w:p>
    <w:p w14:paraId="78321D74" w14:textId="56FFE1C2" w:rsidR="006A7306" w:rsidRPr="007D4988" w:rsidRDefault="006A7306" w:rsidP="006A7306">
      <w:r w:rsidRPr="007D4988">
        <w:t xml:space="preserve">À partir de 2020, l'UIT-D a renforcé la participation des jeunes dans le cadre de l'initiative </w:t>
      </w:r>
      <w:hyperlink r:id="rId612" w:history="1">
        <w:r w:rsidRPr="007D4988">
          <w:rPr>
            <w:rStyle w:val="Hyperlink"/>
            <w:rFonts w:eastAsia="Times New Roman" w:cs="Times New Roman"/>
            <w:szCs w:val="20"/>
          </w:rPr>
          <w:t>Generation Connect</w:t>
        </w:r>
      </w:hyperlink>
      <w:r w:rsidRPr="007D4988">
        <w:t xml:space="preserve">, qui vise à mobiliser les jeunes du monde entier et à les encourager à participer en tant que partenaires à part entière. En 2023, cette initiative a élargi ses activités avec l'organisation du </w:t>
      </w:r>
      <w:hyperlink r:id="rId613" w:history="1">
        <w:r w:rsidRPr="007D4988">
          <w:rPr>
            <w:rStyle w:val="Hyperlink"/>
            <w:rFonts w:eastAsia="Times New Roman" w:cs="Times New Roman"/>
            <w:szCs w:val="20"/>
          </w:rPr>
          <w:t>Sommet mondial de la jeunesse Generation Connect</w:t>
        </w:r>
      </w:hyperlink>
      <w:r w:rsidRPr="007D4988">
        <w:t xml:space="preserve"> tenu à Kigali, la participation de représentants de la jeunesse à la PP-22 tenue à Bucarest, l'organisation de dialogues intergénérationnels dans le cadre des Commissions d'études de l'UIT</w:t>
      </w:r>
      <w:r w:rsidR="00BB2B2D" w:rsidRPr="007D4988">
        <w:noBreakHyphen/>
      </w:r>
      <w:r w:rsidRPr="007D4988">
        <w:t xml:space="preserve">D et la soumission de contributions à des manifestations internationales, notamment au </w:t>
      </w:r>
      <w:hyperlink r:id="rId614" w:history="1">
        <w:r w:rsidRPr="007D4988">
          <w:rPr>
            <w:rStyle w:val="Hyperlink"/>
            <w:rFonts w:eastAsia="Times New Roman" w:cs="Times New Roman"/>
            <w:szCs w:val="20"/>
          </w:rPr>
          <w:t>Forum de la jeunesse de l'ECOSOC</w:t>
        </w:r>
      </w:hyperlink>
      <w:r w:rsidRPr="007D4988">
        <w:t xml:space="preserve">, au </w:t>
      </w:r>
      <w:hyperlink r:id="rId615" w:history="1">
        <w:r w:rsidRPr="007D4988">
          <w:rPr>
            <w:rStyle w:val="Hyperlink"/>
            <w:rFonts w:eastAsia="Times New Roman" w:cs="Times New Roman"/>
            <w:szCs w:val="20"/>
          </w:rPr>
          <w:t>Forum mondial de l'alimentation</w:t>
        </w:r>
      </w:hyperlink>
      <w:r w:rsidRPr="007D4988">
        <w:t xml:space="preserve">, </w:t>
      </w:r>
      <w:hyperlink r:id="rId616" w:history="1">
        <w:r w:rsidRPr="007D4988">
          <w:rPr>
            <w:rStyle w:val="Hyperlink"/>
            <w:rFonts w:eastAsia="Times New Roman" w:cs="Times New Roman"/>
            <w:szCs w:val="20"/>
          </w:rPr>
          <w:t>YOUNGA</w:t>
        </w:r>
      </w:hyperlink>
      <w:r w:rsidRPr="007D4988">
        <w:t xml:space="preserve">, au Forum mondial Misk, au </w:t>
      </w:r>
      <w:hyperlink r:id="rId617" w:history="1">
        <w:r w:rsidRPr="007D4988">
          <w:rPr>
            <w:rStyle w:val="Hyperlink"/>
            <w:rFonts w:eastAsia="Times New Roman" w:cs="Times New Roman"/>
            <w:szCs w:val="20"/>
          </w:rPr>
          <w:t>volet jeunesse de la 5ème Conférence sur les pays les moins avancés</w:t>
        </w:r>
      </w:hyperlink>
      <w:r w:rsidRPr="007D4988">
        <w:t xml:space="preserve"> tenue à Doha, au </w:t>
      </w:r>
      <w:hyperlink r:id="rId618" w:history="1">
        <w:r w:rsidRPr="007D4988">
          <w:rPr>
            <w:rStyle w:val="Hyperlink"/>
            <w:rFonts w:eastAsia="Times New Roman" w:cs="Times New Roman"/>
            <w:szCs w:val="20"/>
          </w:rPr>
          <w:t>Congrès mondial de la téléphonie mobile</w:t>
        </w:r>
      </w:hyperlink>
      <w:r w:rsidRPr="007D4988">
        <w:t xml:space="preserve"> à Barcelone et à la </w:t>
      </w:r>
      <w:hyperlink r:id="rId619" w:history="1">
        <w:r w:rsidRPr="007D4988">
          <w:rPr>
            <w:rStyle w:val="Hyperlink"/>
            <w:rFonts w:eastAsia="Times New Roman" w:cs="Times New Roman"/>
            <w:szCs w:val="20"/>
          </w:rPr>
          <w:t>Commission de la condition de la femme (CSW-67)</w:t>
        </w:r>
      </w:hyperlink>
      <w:r w:rsidRPr="007D4988">
        <w:t xml:space="preserve"> à New York.</w:t>
      </w:r>
    </w:p>
    <w:p w14:paraId="35A0F1F0" w14:textId="6E52C688" w:rsidR="006A7306" w:rsidRPr="007D4988" w:rsidRDefault="006A7306" w:rsidP="00BB2B2D">
      <w:r w:rsidRPr="007D4988">
        <w:t xml:space="preserve">L'édition de 2025 du </w:t>
      </w:r>
      <w:hyperlink r:id="rId620" w:anchor="/fr" w:history="1">
        <w:r w:rsidRPr="007D4988">
          <w:rPr>
            <w:rStyle w:val="Hyperlink"/>
            <w:rFonts w:eastAsia="Times New Roman" w:cs="Times New Roman"/>
            <w:szCs w:val="20"/>
          </w:rPr>
          <w:t>Sommet mondial de la jeunesse (GYS-25)</w:t>
        </w:r>
      </w:hyperlink>
      <w:r w:rsidRPr="007D4988">
        <w:t xml:space="preserve"> organisée par l'UIT-D s'est tenue à Varadero (Cuba) du 11 au 13 mars 2025, sur le thème "Faire entendre la voix des jeunes dans le domaine des TIC en vue de bâtir un avenir inclusif et connecté". Il s'agissait du</w:t>
      </w:r>
      <w:r w:rsidR="00BB2B2D" w:rsidRPr="007D4988">
        <w:t> </w:t>
      </w:r>
      <w:r w:rsidRPr="007D4988">
        <w:t>17ème Sommet de la jeunesse organisé par l'UIT, poursuivant ainsi l'aventure commencée en 2001 avec le tout premier Forum de la jeunesse organisé à Johannesburg (République sudafricaine). Le Sommet a rassemblé quelque 400 participants, filles et garçons à parts égales, originaires de 31 pays des six régions de l'UIT, notamment des pays les moins avancés, des pays en développement sans littoral et des petits États insulaires en développement. Des représentants de gouvernements, d'organisations internationales et régionales, du secteur privé et d'établissements universitaires étaient également présents, ainsi que des représentants d'autres institutions des Nations Unies et des représentants des groupes pour la jeunesse du programme Generation Connect. Le programme a bénéficié de la contribution du Groupe de coordination informel sur le Sommet de la jeunesse et la célébration mondiale de la jeunesse (ICG-GCD-GYS) et d'une contribution issue des consultations structurées menées auprès des jeunes par le BDT dans le cadre d'un processus de cocréation auquel ont participé les représentants des six régions de l'UIT pour la jeunesse dans le cadre de l'initiative Generation Connect. Ce processus a favorisé la transparence, l'harmonisation et la coordination entre les contributions des jeunes et les structures décisionnelles de l'UIT, contribuant ainsi à une approche institutionnelle plus systématique et cohérente de ce que doit être une participation significative des jeunes.</w:t>
      </w:r>
    </w:p>
    <w:p w14:paraId="7A6E5555" w14:textId="77777777" w:rsidR="006A7306" w:rsidRPr="007D4988" w:rsidRDefault="006A7306" w:rsidP="006A7306">
      <w:r w:rsidRPr="007D4988">
        <w:t xml:space="preserve">En 2022, le </w:t>
      </w:r>
      <w:hyperlink r:id="rId621" w:anchor="/fr" w:history="1">
        <w:r w:rsidRPr="007D4988">
          <w:rPr>
            <w:rStyle w:val="Hyperlink"/>
            <w:rFonts w:eastAsia="Times New Roman" w:cs="Times New Roman"/>
            <w:szCs w:val="20"/>
          </w:rPr>
          <w:t>certificat d'apprentissage numérique</w:t>
        </w:r>
      </w:hyperlink>
      <w:r w:rsidRPr="007D4988">
        <w:t xml:space="preserve"> de l'initiative Generation Connect a été lancé via l'Académie de l'UIT, de nouveaux épisodes du </w:t>
      </w:r>
      <w:hyperlink r:id="rId622" w:history="1">
        <w:r w:rsidRPr="007D4988">
          <w:rPr>
            <w:rStyle w:val="Hyperlink"/>
            <w:rFonts w:eastAsia="Times New Roman" w:cs="Times New Roman"/>
            <w:szCs w:val="20"/>
          </w:rPr>
          <w:t>podcast</w:t>
        </w:r>
      </w:hyperlink>
      <w:r w:rsidRPr="007D4988">
        <w:t xml:space="preserve"> Generation Connect ont été diffusés et la coopération avec le programme </w:t>
      </w:r>
      <w:hyperlink r:id="rId623" w:history="1">
        <w:r w:rsidRPr="007D4988">
          <w:rPr>
            <w:rStyle w:val="Hyperlink"/>
            <w:rFonts w:eastAsia="Times New Roman" w:cs="Times New Roman"/>
            <w:szCs w:val="20"/>
          </w:rPr>
          <w:t>Kofi Annan Changemakers</w:t>
        </w:r>
      </w:hyperlink>
      <w:r w:rsidRPr="007D4988">
        <w:t xml:space="preserve"> s'est intensifiée. Les six groupes régionaux des représentants pour la jeunesse sont passés à 180 représentants dans 120 pays, avec des activités telles que la </w:t>
      </w:r>
      <w:hyperlink r:id="rId624" w:history="1">
        <w:r w:rsidRPr="007D4988">
          <w:rPr>
            <w:rStyle w:val="Hyperlink"/>
            <w:rFonts w:eastAsia="Times New Roman" w:cs="Times New Roman"/>
            <w:szCs w:val="20"/>
          </w:rPr>
          <w:t>session d'échange sur les jeunes et le numérique</w:t>
        </w:r>
      </w:hyperlink>
      <w:r w:rsidRPr="007D4988">
        <w:t xml:space="preserve"> en Europe et la participation au projet </w:t>
      </w:r>
      <w:hyperlink r:id="rId625" w:history="1">
        <w:r w:rsidRPr="007D4988">
          <w:rPr>
            <w:rStyle w:val="Hyperlink"/>
            <w:rFonts w:eastAsia="Times New Roman" w:cs="Times New Roman"/>
            <w:color w:val="auto"/>
            <w:szCs w:val="20"/>
          </w:rPr>
          <w:t>"</w:t>
        </w:r>
        <w:r w:rsidRPr="007D4988">
          <w:rPr>
            <w:rStyle w:val="Hyperlink"/>
            <w:rFonts w:eastAsia="Times New Roman" w:cs="Times New Roman"/>
            <w:szCs w:val="20"/>
          </w:rPr>
          <w:t>Seeds for the Future</w:t>
        </w:r>
        <w:r w:rsidRPr="007D4988">
          <w:rPr>
            <w:rStyle w:val="Hyperlink"/>
            <w:rFonts w:eastAsia="Times New Roman" w:cs="Times New Roman"/>
            <w:color w:val="auto"/>
            <w:szCs w:val="20"/>
          </w:rPr>
          <w:t>"</w:t>
        </w:r>
      </w:hyperlink>
      <w:r w:rsidRPr="007D4988">
        <w:t xml:space="preserve"> de Huawei à Bangkok.</w:t>
      </w:r>
    </w:p>
    <w:p w14:paraId="75CC9337" w14:textId="77777777" w:rsidR="006A7306" w:rsidRPr="007D4988" w:rsidRDefault="006A7306" w:rsidP="006A7306">
      <w:r w:rsidRPr="007D4988">
        <w:t xml:space="preserve">En mars 2023, le Forum du SMSI et la Conférence Model UN de Genève (GIMUN) ont lancé conjointement le </w:t>
      </w:r>
      <w:hyperlink r:id="rId626" w:history="1">
        <w:r w:rsidRPr="007D4988">
          <w:rPr>
            <w:rStyle w:val="Hyperlink"/>
            <w:rFonts w:eastAsia="Times New Roman" w:cs="Times New Roman"/>
            <w:szCs w:val="20"/>
          </w:rPr>
          <w:t>Prix de la jeunesse SMSI-Generation Connect</w:t>
        </w:r>
      </w:hyperlink>
      <w:r w:rsidRPr="007D4988">
        <w:t>, sur le thème "Vers un avenir numérique avec l'inclusion véritable des jeunes".</w:t>
      </w:r>
    </w:p>
    <w:p w14:paraId="44389034" w14:textId="77777777" w:rsidR="006A7306" w:rsidRPr="007D4988" w:rsidRDefault="006A7306" w:rsidP="006A7306">
      <w:r w:rsidRPr="007D4988">
        <w:t xml:space="preserve">En 2024, l'UIT a intensifié la mise en œuvre de la Résolution 198 (Rév. Bucarest, 2022) de la PP en intégrant le point de vue des jeunes dans les programmes, les pratiques de gestion et le développement des ressources humaines. Un Groupe spécial pour la jeunesse, composé de fonctionnaires de tous les Secteurs et du Secrétariat général, a permis de renforcer les activités internes en faveur des jeunes, tandis que le </w:t>
      </w:r>
      <w:hyperlink r:id="rId627" w:anchor="/fr" w:history="1">
        <w:r w:rsidRPr="007D4988">
          <w:rPr>
            <w:rStyle w:val="Hyperlink"/>
            <w:rFonts w:eastAsia="Times New Roman" w:cs="Times New Roman"/>
            <w:szCs w:val="20"/>
          </w:rPr>
          <w:t>Conseil consultatif des jeunes de la Secrétaire générale</w:t>
        </w:r>
      </w:hyperlink>
      <w:r w:rsidRPr="007D4988">
        <w:t xml:space="preserve"> a été créé pour soumettre des recommandations formulées par les jeunes sur des sujets tels que l'intelligence artificielle, l'espace, les câbles sous-marins et les questions environnementales. Le </w:t>
      </w:r>
      <w:hyperlink r:id="rId628" w:history="1">
        <w:r w:rsidRPr="007D4988">
          <w:rPr>
            <w:rStyle w:val="Hyperlink"/>
            <w:rFonts w:eastAsia="Times New Roman" w:cs="Times New Roman"/>
            <w:szCs w:val="20"/>
          </w:rPr>
          <w:t>Programme de jeunes dirigeants de l'initiative Generation Connect (GCYLP)</w:t>
        </w:r>
      </w:hyperlink>
      <w:r w:rsidRPr="007D4988">
        <w:t xml:space="preserve"> a été élaboré pour aider chaque année trente jeunes sélectionnés en leur proposant un mentorat, des activités de formation et un financement pour mettre en œuvre des initiatives de développement du numérique dans leurs communautés.</w:t>
      </w:r>
    </w:p>
    <w:p w14:paraId="4900F208" w14:textId="0E6C5B87" w:rsidR="006A7306" w:rsidRPr="007D4988" w:rsidRDefault="006A7306" w:rsidP="006A7306">
      <w:r w:rsidRPr="007D4988">
        <w:t xml:space="preserve">En 2024-2025, le premier </w:t>
      </w:r>
      <w:hyperlink r:id="rId629" w:history="1">
        <w:r w:rsidRPr="007D4988">
          <w:rPr>
            <w:rStyle w:val="Hyperlink"/>
            <w:rFonts w:eastAsia="Times New Roman" w:cs="Times New Roman"/>
            <w:szCs w:val="20"/>
          </w:rPr>
          <w:t>Programme de l'UIT à l'intention des jeunes professionnels</w:t>
        </w:r>
      </w:hyperlink>
      <w:r w:rsidRPr="007D4988">
        <w:t xml:space="preserve"> a attiré plus de 3 500 candidats et a donné lieu au recrutement de six jeunes au grade P1 dans l'ensemble de l'organisation. La première cohorte mondiale du </w:t>
      </w:r>
      <w:hyperlink r:id="rId630" w:history="1">
        <w:r w:rsidRPr="007D4988">
          <w:rPr>
            <w:rStyle w:val="Hyperlink"/>
            <w:rFonts w:eastAsia="Times New Roman" w:cs="Times New Roman"/>
            <w:szCs w:val="20"/>
          </w:rPr>
          <w:t>Programme de jeunes dirigeants de l'initiative Generation Connect (GCYLP)</w:t>
        </w:r>
      </w:hyperlink>
      <w:r w:rsidRPr="007D4988">
        <w:t xml:space="preserve"> de l'UIT-D, sélectionnée parmi plus de</w:t>
      </w:r>
      <w:r w:rsidR="00BB2B2D" w:rsidRPr="007D4988">
        <w:t> </w:t>
      </w:r>
      <w:r w:rsidRPr="007D4988">
        <w:t>5 000 candidats de plus de 200 pays, a achevé sa première année, tandis que le processus de sélection de la deuxième cohorte a débuté en 2025. Jusqu'à présent, l'UIT a fourni un appui à 184</w:t>
      </w:r>
      <w:r w:rsidR="00BB2B2D" w:rsidRPr="007D4988">
        <w:t xml:space="preserve"> </w:t>
      </w:r>
      <w:r w:rsidRPr="007D4988">
        <w:t>représentants pour la jeunesse dans le cadre de l'initiative Generation Connect venant de 64</w:t>
      </w:r>
      <w:r w:rsidR="00BB2B2D" w:rsidRPr="007D4988">
        <w:t xml:space="preserve"> </w:t>
      </w:r>
      <w:r w:rsidRPr="007D4988">
        <w:t>pays, et ainsi fait en sorte que les voix des jeunes soient représentées dans les cadres mondiaux de développement du numérique. L'UIT a par ailleurs continué de publier des informations actualisées sur les initiatives relatives aux jeunes dans les Documents</w:t>
      </w:r>
      <w:r w:rsidR="00C847DB" w:rsidRPr="007D4988">
        <w:t> </w:t>
      </w:r>
      <w:hyperlink r:id="rId631" w:history="1">
        <w:r w:rsidRPr="007D4988">
          <w:rPr>
            <w:rStyle w:val="Hyperlink"/>
            <w:rFonts w:eastAsia="Times New Roman" w:cs="Times New Roman"/>
            <w:szCs w:val="20"/>
          </w:rPr>
          <w:t>C24/31</w:t>
        </w:r>
      </w:hyperlink>
      <w:r w:rsidRPr="007D4988">
        <w:t xml:space="preserve">, </w:t>
      </w:r>
      <w:hyperlink r:id="rId632" w:history="1">
        <w:r w:rsidRPr="007D4988">
          <w:rPr>
            <w:rStyle w:val="Hyperlink"/>
            <w:rFonts w:eastAsia="Times New Roman" w:cs="Times New Roman"/>
            <w:szCs w:val="20"/>
          </w:rPr>
          <w:t>C24/32</w:t>
        </w:r>
      </w:hyperlink>
      <w:r w:rsidRPr="007D4988">
        <w:t xml:space="preserve"> et </w:t>
      </w:r>
      <w:hyperlink r:id="rId633" w:history="1">
        <w:r w:rsidRPr="007D4988">
          <w:rPr>
            <w:rStyle w:val="Hyperlink"/>
            <w:rFonts w:eastAsia="Times New Roman" w:cs="Times New Roman"/>
            <w:szCs w:val="20"/>
          </w:rPr>
          <w:t>C25/32</w:t>
        </w:r>
      </w:hyperlink>
      <w:r w:rsidRPr="007D4988">
        <w:t xml:space="preserve"> du Conseil, tandis que les activités de l'UIT-D en</w:t>
      </w:r>
      <w:r w:rsidR="00C847DB" w:rsidRPr="007D4988">
        <w:t> </w:t>
      </w:r>
      <w:r w:rsidRPr="007D4988">
        <w:t>faveur de la jeunesse sont présentées dans les rapports soumis par le BDT au Groupe consultatif pour le développement des télécommunications de l'UIT.</w:t>
      </w:r>
    </w:p>
    <w:p w14:paraId="44520043" w14:textId="47C3A172" w:rsidR="006A7306" w:rsidRPr="007D4988" w:rsidRDefault="006A7306" w:rsidP="006A7306">
      <w:r w:rsidRPr="007D4988">
        <w:t>En 2025, le Bureau de l'UIT de l'égalité hommes-femmes et la jeunesse (GYO) a été créé et chargé, entre autres, d'assurer une participation coordonnée et efficace des jeunes dans l'ensemble de l'UIT. Le bureau de l'égalité hommes-femmes et de la jeunesse dirige également le réseau des coordonnateurs des Nations Unies pour la jeunesse basé à Genève, qui comprend actuellement 15 organisations travaillant ensemble pour renforcer la collaboration interinstitutions sur les initiatives en faveur de la jeunesse et promouvoir les possibilités de développement professionnel pour les jeunes fonctionnaires et stagiaires des Nations</w:t>
      </w:r>
      <w:r w:rsidR="00BB2B2D" w:rsidRPr="007D4988">
        <w:t> </w:t>
      </w:r>
      <w:r w:rsidRPr="007D4988">
        <w:t>Unies. En 2025, l'UIT a participé activement aux travaux du Groupe spécial des Nations</w:t>
      </w:r>
      <w:r w:rsidR="00BB2B2D" w:rsidRPr="007D4988">
        <w:t> </w:t>
      </w:r>
      <w:r w:rsidRPr="007D4988">
        <w:t>Unies sur les principes fondamentaux d'une participation significative des jeunes, dans le cadre du Groupe de travail sur la jeunesse du Pacte pour l'avenir dirigé par le Bureau des Nations Unies pour la jeunesse à New York.</w:t>
      </w:r>
    </w:p>
    <w:p w14:paraId="0B11609E" w14:textId="77777777" w:rsidR="00BB2B2D" w:rsidRPr="007D4988" w:rsidRDefault="006A7306" w:rsidP="0042272E">
      <w:r w:rsidRPr="007D4988">
        <w:t xml:space="preserve">L'UIT s'adresse également aux jeunes du monde entier par le biais des réseaux sociaux et des plates-formes numériques, notamment Instagram, Facebook, LinkedIn et des podcasts dédiés. Entre 2022 et 2025, 13 épisodes du podcast de l'UIT pour les jeunes ont été diffusés, sur des thèmes tels que les compétences numériques, l'intelligence artificielle, le métavers, l'espace et le climat. L'initiative relative aux pôles numériques de l'UIT, destinée aux étudiants des établissements universitaires participant aux travaux de l'UIT, devrait être </w:t>
      </w:r>
      <w:r w:rsidR="00BB2B2D" w:rsidRPr="007D4988">
        <w:br w:type="page"/>
      </w:r>
    </w:p>
    <w:p w14:paraId="18E0DEA3" w14:textId="4C5F9CDB" w:rsidR="006A7306" w:rsidRPr="007D4988" w:rsidRDefault="006A7306" w:rsidP="0042272E">
      <w:r w:rsidRPr="007D4988">
        <w:t>lancée officiellement début 2026. Toutes ces initiatives dirigées par des jeunes renforcent le rayonnement de l'UIT auprès des jeunes et aident l'organisation à mener à bien sa mission qui est de favoriser une participation inclusive à l'avenir numérique.</w:t>
      </w:r>
    </w:p>
    <w:p w14:paraId="05C9D3F5" w14:textId="6E37B69B" w:rsidR="006A7306" w:rsidRPr="007D4988" w:rsidRDefault="006A7306" w:rsidP="006A7306">
      <w:r w:rsidRPr="007D4988">
        <w:t xml:space="preserve">La participation des jeunes aux activités liées aux technologies émergentes, en particulier à l'IA et à la robotique, a considérablement progressé au cours de cette période. En 2024, le </w:t>
      </w:r>
      <w:hyperlink r:id="rId634" w:anchor="/fr" w:history="1">
        <w:r w:rsidRPr="007D4988">
          <w:rPr>
            <w:rStyle w:val="Hyperlink"/>
            <w:rFonts w:eastAsia="Times New Roman" w:cs="Times New Roman"/>
            <w:szCs w:val="20"/>
          </w:rPr>
          <w:t>Défi sur l'intelligence artificielle et l'apprentissage automatique dans la 5G</w:t>
        </w:r>
      </w:hyperlink>
      <w:r w:rsidRPr="007D4988">
        <w:t xml:space="preserve"> comprenant treize défis adressés aux jeunes a attiré plus de 4 000 jeunes participants, tandis que le </w:t>
      </w:r>
      <w:hyperlink r:id="rId635" w:anchor="/fr" w:history="1">
        <w:r w:rsidRPr="007D4988">
          <w:rPr>
            <w:rStyle w:val="Hyperlink"/>
            <w:rFonts w:eastAsia="Times New Roman" w:cs="Times New Roman"/>
            <w:szCs w:val="20"/>
          </w:rPr>
          <w:t>Défi Jeunes sur la robotique au service du bien social</w:t>
        </w:r>
      </w:hyperlink>
      <w:r w:rsidRPr="007D4988">
        <w:t xml:space="preserve"> 2024-2025 a mobilisé plus de</w:t>
      </w:r>
      <w:r w:rsidR="00BB2B2D" w:rsidRPr="007D4988">
        <w:t xml:space="preserve"> </w:t>
      </w:r>
      <w:r w:rsidRPr="007D4988">
        <w:t>7 000 jeunes de plus de quarante pays pour élaborer des solutions pour les interventions</w:t>
      </w:r>
      <w:r w:rsidR="00BB2B2D" w:rsidRPr="007D4988">
        <w:t xml:space="preserve"> </w:t>
      </w:r>
      <w:r w:rsidRPr="007D4988">
        <w:t>en cas de catastrophe. Lors des éditions de 2024 et 2025 du Sommet mondial sur l'intelligence artificielle au service du bien social, une zone réservée aux jeunes a permis d'élargir encore les possibilités d'apprentissage et de collaboration.</w:t>
      </w:r>
    </w:p>
    <w:p w14:paraId="2AD50F15" w14:textId="77777777" w:rsidR="006A7306" w:rsidRPr="007D4988" w:rsidRDefault="006A7306" w:rsidP="006A7306">
      <w:r w:rsidRPr="007D4988">
        <w:t xml:space="preserve">La participation des jeunes s'étend également aux environnements numériques immersifs et émergents. En s'appuyant sur des initiatives telles que le </w:t>
      </w:r>
      <w:hyperlink r:id="rId636" w:history="1">
        <w:r w:rsidRPr="007D4988">
          <w:rPr>
            <w:rStyle w:val="Hyperlink"/>
            <w:rFonts w:eastAsia="Times New Roman" w:cs="Times New Roman"/>
            <w:color w:val="auto"/>
            <w:szCs w:val="20"/>
          </w:rPr>
          <w:t>"</w:t>
        </w:r>
        <w:r w:rsidRPr="007D4988">
          <w:rPr>
            <w:rStyle w:val="Hyperlink"/>
            <w:rFonts w:eastAsia="Times New Roman" w:cs="Times New Roman"/>
            <w:szCs w:val="20"/>
          </w:rPr>
          <w:t>Think-a-Thon</w:t>
        </w:r>
        <w:r w:rsidRPr="007D4988">
          <w:rPr>
            <w:rStyle w:val="Hyperlink"/>
            <w:rFonts w:eastAsia="Times New Roman" w:cs="Times New Roman"/>
            <w:color w:val="auto"/>
            <w:szCs w:val="20"/>
          </w:rPr>
          <w:t>"</w:t>
        </w:r>
      </w:hyperlink>
      <w:r w:rsidRPr="007D4988">
        <w:t xml:space="preserve"> sur le métavers et le </w:t>
      </w:r>
      <w:hyperlink r:id="rId637" w:history="1">
        <w:r w:rsidRPr="007D4988">
          <w:rPr>
            <w:rStyle w:val="Hyperlink"/>
          </w:rPr>
          <w:t>Défi "Métavers"</w:t>
        </w:r>
      </w:hyperlink>
      <w:r w:rsidRPr="007D4988">
        <w:rPr>
          <w:rStyle w:val="Hyperlink"/>
        </w:rPr>
        <w:t xml:space="preserve"> des Nations Unies</w:t>
      </w:r>
      <w:r w:rsidRPr="007D4988">
        <w:t>, les jeunes ont été invités à concevoir des solutions innovantes utilisant des mondes virtuels et une infrastructure numérique fondée sur les métavilles, encourageant ainsi la créativité, les compétences numériques et les applications concrètes.</w:t>
      </w:r>
    </w:p>
    <w:p w14:paraId="4AB0717E" w14:textId="77777777" w:rsidR="006A7306" w:rsidRPr="007D4988" w:rsidRDefault="006A7306" w:rsidP="006A7306">
      <w:pPr>
        <w:pStyle w:val="Heading3"/>
      </w:pPr>
      <w:bookmarkStart w:id="111" w:name="_Toc225488908"/>
      <w:r w:rsidRPr="007D4988">
        <w:t>5.3.3</w:t>
      </w:r>
      <w:r w:rsidRPr="007D4988">
        <w:tab/>
        <w:t>Accessibilité des TIC/du numérique</w:t>
      </w:r>
      <w:bookmarkEnd w:id="111"/>
    </w:p>
    <w:p w14:paraId="6DFED8F2" w14:textId="77777777" w:rsidR="006A7306" w:rsidRPr="007D4988" w:rsidRDefault="006A7306" w:rsidP="006A7306">
      <w:r w:rsidRPr="007D4988">
        <w:t xml:space="preserve">En 2021, le Conseil de l'UIT a adopté une </w:t>
      </w:r>
      <w:hyperlink r:id="rId638" w:history="1">
        <w:r w:rsidRPr="007D4988">
          <w:rPr>
            <w:rStyle w:val="Hyperlink"/>
            <w:rFonts w:eastAsia="Times New Roman" w:cs="Times New Roman"/>
            <w:szCs w:val="20"/>
          </w:rPr>
          <w:t>politique de l'UIT en matière d'accessibilité</w:t>
        </w:r>
      </w:hyperlink>
      <w:r w:rsidRPr="007D4988">
        <w:t>, qui porte à la fois sur l'accessibilité externe (rendre les TIC accessibles) et sur l'accessibilité en interne (rendre l'UIT accessible). Au cours de la période considérée, l'UIT a continué de faire progresser l'accessibilité du numérique pour les personnes handicapées en renforçant la sensibilisation, en multipliant les possibilités de formation et en intégrant l'accessibilité dans tous ses domaines de travail. L'UIT-D, l'UIT-T et l'UIT-R ont travaillé conjointement pour faire en sorte que les personnes handicapées puissent tirer pleinement parti des technologies numériques, en apportant un appui aux États Membres prenant la forme d'avis spécialisés, de programmes de renforcement des capacités et de ressources techniques telles que des formations à l'intention des cadres, des manifestations régionales, des allocutions et la diffusion de bonnes pratiques et d'outils. Les travaux menés par l'UIT à l'échelle mondiale ont également contribué à des progrès plus larges au niveau des pays, puisque le nombre de cadres réglementaires nationaux sur l'accessibilité des TIC est passé à 127, soit une augmentation significative après des années de stagnation.</w:t>
      </w:r>
    </w:p>
    <w:p w14:paraId="64D5A483" w14:textId="1A37C98E" w:rsidR="006A7306" w:rsidRPr="007D4988" w:rsidRDefault="006A7306" w:rsidP="006A7306">
      <w:r w:rsidRPr="007D4988">
        <w:t>Les activités du Secteur du développement des télécommunications (</w:t>
      </w:r>
      <w:hyperlink r:id="rId639" w:anchor="/fr" w:history="1">
        <w:r w:rsidRPr="007D4988">
          <w:rPr>
            <w:rStyle w:val="Hyperlink"/>
            <w:rFonts w:eastAsia="Times New Roman" w:cs="Times New Roman"/>
            <w:szCs w:val="20"/>
          </w:rPr>
          <w:t>UIT-D</w:t>
        </w:r>
      </w:hyperlink>
      <w:r w:rsidRPr="007D4988">
        <w:t>) consacrées à l'accessibilité des TIC/du numérique ont principalement porté sur le renforcement des capacités des États Membres et la promotion de l'inclusion numérique. L'UIT-D a fourni</w:t>
      </w:r>
      <w:r w:rsidR="00CF1935" w:rsidRPr="007D4988">
        <w:t> </w:t>
      </w:r>
      <w:r w:rsidRPr="007D4988">
        <w:t>des</w:t>
      </w:r>
      <w:r w:rsidR="00CF1935" w:rsidRPr="007D4988">
        <w:t> </w:t>
      </w:r>
      <w:r w:rsidRPr="007D4988">
        <w:t>avis spécialisés aux décideurs, appuyé des manifestations régionales sur</w:t>
      </w:r>
      <w:r w:rsidR="00CF1935" w:rsidRPr="007D4988">
        <w:t> </w:t>
      </w:r>
      <w:r w:rsidRPr="007D4988">
        <w:t>l'accessibilité</w:t>
      </w:r>
      <w:r w:rsidR="00CF1935" w:rsidRPr="007D4988">
        <w:t> </w:t>
      </w:r>
      <w:r w:rsidRPr="007D4988">
        <w:t>des</w:t>
      </w:r>
      <w:r w:rsidR="00CF1935" w:rsidRPr="007D4988">
        <w:t> </w:t>
      </w:r>
      <w:r w:rsidRPr="007D4988">
        <w:t>TIC pour tous (</w:t>
      </w:r>
      <w:hyperlink r:id="rId640" w:history="1">
        <w:r w:rsidR="00CF1935" w:rsidRPr="007D4988">
          <w:rPr>
            <w:rStyle w:val="Hyperlink"/>
            <w:rFonts w:eastAsia="Times New Roman" w:cs="Times New Roman"/>
            <w:szCs w:val="20"/>
          </w:rPr>
          <w:t>https://www.itu.int/en/ITU-D/Regional-Presence/AsiaPacific/Pages/v2/regional-events.aspx</w:t>
        </w:r>
      </w:hyperlink>
      <w:r w:rsidRPr="007D4988">
        <w:t xml:space="preserve">, </w:t>
      </w:r>
      <w:hyperlink r:id="rId641" w:anchor=":~:text=The%209th%20edition%20of%20Accessible,)%2C%20the%20Brazilian%20regulatory%20authority." w:history="1">
        <w:r w:rsidRPr="007D4988">
          <w:rPr>
            <w:rStyle w:val="Hyperlink"/>
            <w:rFonts w:eastAsia="Times New Roman" w:cs="Times New Roman"/>
            <w:szCs w:val="20"/>
          </w:rPr>
          <w:t>Amériques</w:t>
        </w:r>
      </w:hyperlink>
      <w:r w:rsidRPr="007D4988">
        <w:t xml:space="preserve">, </w:t>
      </w:r>
      <w:hyperlink r:id="rId642" w:anchor=":~:text=The%20special%20event%20for%20Europe,virtually%20on%206%20December%202022." w:history="1">
        <w:r w:rsidRPr="007D4988">
          <w:rPr>
            <w:rStyle w:val="Hyperlink"/>
            <w:rFonts w:eastAsia="Times New Roman" w:cs="Times New Roman"/>
            <w:szCs w:val="20"/>
          </w:rPr>
          <w:t>Europe</w:t>
        </w:r>
      </w:hyperlink>
      <w:r w:rsidRPr="007D4988">
        <w:t xml:space="preserve">, </w:t>
      </w:r>
      <w:hyperlink r:id="rId643" w:history="1">
        <w:r w:rsidRPr="007D4988">
          <w:rPr>
            <w:rStyle w:val="Hyperlink"/>
            <w:rFonts w:eastAsia="Times New Roman" w:cs="Times New Roman"/>
            <w:szCs w:val="20"/>
          </w:rPr>
          <w:t>États arabes</w:t>
        </w:r>
      </w:hyperlink>
      <w:r w:rsidRPr="007D4988">
        <w:t>) et a organisé des ateliers et des initiatives connexes en Asie-Pacifique, dans la région de la CEI et en Afrique. L'UIT-D a régulièrement contribué, grâce à ses compétences spécialisées, à des forums internationaux visant à promouvoir des politiques et des stratégies inclusives. La demande des parties prenantes concernant les cours en ligne proposés par l'UIT-D (</w:t>
      </w:r>
      <w:hyperlink r:id="rId644" w:anchor="/fr" w:history="1">
        <w:r w:rsidRPr="007D4988">
          <w:rPr>
            <w:rStyle w:val="Hyperlink"/>
            <w:rFonts w:eastAsia="Times New Roman" w:cs="Times New Roman"/>
            <w:szCs w:val="20"/>
          </w:rPr>
          <w:t>Académie de l'UIT</w:t>
        </w:r>
      </w:hyperlink>
      <w:r w:rsidRPr="007D4988">
        <w:t xml:space="preserve">) est restée élevée, des milliers de personnes ayant participé à des programmes de formation en autonomie sur l'accessibilité du web, les communications dans les situations d'urgence et de crise, le vieillissement à l'ère numérique et une connectivité inclusive pour les communautés rurales et autochtones. Les ressources nouvelles ou actualisées comprenaient un </w:t>
      </w:r>
      <w:hyperlink r:id="rId645" w:history="1">
        <w:r w:rsidRPr="007D4988">
          <w:rPr>
            <w:rStyle w:val="Hyperlink"/>
            <w:rFonts w:eastAsia="Times New Roman" w:cs="Times New Roman"/>
            <w:szCs w:val="20"/>
          </w:rPr>
          <w:t>kit pratique UIT-OIT sur l'accessibilité dans les demandes d'emploi</w:t>
        </w:r>
      </w:hyperlink>
      <w:r w:rsidRPr="007D4988">
        <w:t xml:space="preserve">; le kit pratique de l'UIT-D pour la mise en œuvre de l'accessibilité des TIC </w:t>
      </w:r>
      <w:hyperlink r:id="rId646" w:history="1">
        <w:r w:rsidRPr="007D4988">
          <w:rPr>
            <w:rStyle w:val="Hyperlink"/>
            <w:rFonts w:eastAsia="Times New Roman" w:cs="Times New Roman"/>
            <w:color w:val="auto"/>
            <w:szCs w:val="20"/>
          </w:rPr>
          <w:t>"</w:t>
        </w:r>
        <w:r w:rsidRPr="007D4988">
          <w:rPr>
            <w:rStyle w:val="Hyperlink"/>
            <w:rFonts w:eastAsia="Times New Roman" w:cs="Times New Roman"/>
            <w:szCs w:val="20"/>
          </w:rPr>
          <w:t>Vers des communautés numériques inclusives</w:t>
        </w:r>
        <w:r w:rsidRPr="007D4988">
          <w:rPr>
            <w:rStyle w:val="Hyperlink"/>
            <w:rFonts w:eastAsia="Times New Roman" w:cs="Times New Roman"/>
            <w:color w:val="auto"/>
            <w:szCs w:val="20"/>
          </w:rPr>
          <w:t>"</w:t>
        </w:r>
      </w:hyperlink>
      <w:r w:rsidRPr="007D4988">
        <w:t xml:space="preserve"> (avec une auto-évaluation en </w:t>
      </w:r>
      <w:hyperlink r:id="rId647" w:history="1">
        <w:r w:rsidRPr="007D4988">
          <w:rPr>
            <w:rStyle w:val="Hyperlink"/>
            <w:rFonts w:eastAsia="Times New Roman" w:cs="Times New Roman"/>
            <w:szCs w:val="20"/>
          </w:rPr>
          <w:t>anglais</w:t>
        </w:r>
      </w:hyperlink>
      <w:r w:rsidRPr="007D4988">
        <w:t xml:space="preserve">, </w:t>
      </w:r>
      <w:hyperlink r:id="rId648" w:history="1">
        <w:r w:rsidRPr="007D4988">
          <w:rPr>
            <w:rStyle w:val="Hyperlink"/>
            <w:rFonts w:eastAsia="Times New Roman" w:cs="Times New Roman"/>
            <w:szCs w:val="20"/>
          </w:rPr>
          <w:t>français</w:t>
        </w:r>
      </w:hyperlink>
      <w:r w:rsidRPr="007D4988">
        <w:t xml:space="preserve"> et </w:t>
      </w:r>
      <w:hyperlink r:id="rId649" w:history="1">
        <w:r w:rsidRPr="007D4988">
          <w:rPr>
            <w:rStyle w:val="Hyperlink"/>
            <w:rFonts w:eastAsia="Times New Roman" w:cs="Times New Roman"/>
            <w:szCs w:val="20"/>
          </w:rPr>
          <w:t>espagnol</w:t>
        </w:r>
      </w:hyperlink>
      <w:r w:rsidRPr="007D4988">
        <w:t xml:space="preserve">); une vidéo disponible en </w:t>
      </w:r>
      <w:hyperlink r:id="rId650" w:history="1">
        <w:r w:rsidRPr="007D4988">
          <w:rPr>
            <w:rStyle w:val="Hyperlink"/>
            <w:rFonts w:eastAsia="Times New Roman" w:cs="Times New Roman"/>
            <w:szCs w:val="20"/>
          </w:rPr>
          <w:t>anglais</w:t>
        </w:r>
      </w:hyperlink>
      <w:r w:rsidRPr="007D4988">
        <w:t xml:space="preserve">, </w:t>
      </w:r>
      <w:hyperlink r:id="rId651" w:history="1">
        <w:r w:rsidRPr="007D4988">
          <w:rPr>
            <w:rStyle w:val="Hyperlink"/>
            <w:rFonts w:eastAsia="Times New Roman" w:cs="Times New Roman"/>
            <w:szCs w:val="20"/>
          </w:rPr>
          <w:t>arabe</w:t>
        </w:r>
      </w:hyperlink>
      <w:r w:rsidRPr="007D4988">
        <w:t xml:space="preserve">, </w:t>
      </w:r>
      <w:hyperlink r:id="rId652" w:history="1">
        <w:r w:rsidRPr="007D4988">
          <w:rPr>
            <w:rStyle w:val="Hyperlink"/>
            <w:rFonts w:eastAsia="Times New Roman" w:cs="Times New Roman"/>
            <w:szCs w:val="20"/>
          </w:rPr>
          <w:t>chinois</w:t>
        </w:r>
      </w:hyperlink>
      <w:r w:rsidRPr="007D4988">
        <w:t xml:space="preserve">, </w:t>
      </w:r>
      <w:hyperlink r:id="rId653" w:history="1">
        <w:r w:rsidRPr="007D4988">
          <w:rPr>
            <w:rStyle w:val="Hyperlink"/>
            <w:rFonts w:eastAsia="Times New Roman" w:cs="Times New Roman"/>
            <w:szCs w:val="20"/>
          </w:rPr>
          <w:t>espagnol</w:t>
        </w:r>
      </w:hyperlink>
      <w:r w:rsidRPr="007D4988">
        <w:t xml:space="preserve">, </w:t>
      </w:r>
      <w:hyperlink r:id="rId654" w:history="1">
        <w:r w:rsidRPr="007D4988">
          <w:rPr>
            <w:rStyle w:val="Hyperlink"/>
            <w:rFonts w:eastAsia="Times New Roman" w:cs="Times New Roman"/>
            <w:szCs w:val="20"/>
          </w:rPr>
          <w:t>français</w:t>
        </w:r>
      </w:hyperlink>
      <w:r w:rsidRPr="007D4988">
        <w:t xml:space="preserve"> et </w:t>
      </w:r>
      <w:hyperlink r:id="rId655" w:history="1">
        <w:r w:rsidRPr="007D4988">
          <w:rPr>
            <w:rStyle w:val="Hyperlink"/>
            <w:rFonts w:eastAsia="Times New Roman" w:cs="Times New Roman"/>
            <w:szCs w:val="20"/>
          </w:rPr>
          <w:t>russe</w:t>
        </w:r>
      </w:hyperlink>
      <w:r w:rsidRPr="007D4988">
        <w:t>, des orientations spécialisées pour les programmes de villages et d'îles intelligents qui complètent plus de 80 outils et ressources pour appuyer la mise en œuvre à l'échelle mondiale d'une transformation numérique inclusive. Toutes les ressources de l'UIT-D, y</w:t>
      </w:r>
      <w:r w:rsidR="00CF1935" w:rsidRPr="007D4988">
        <w:t> </w:t>
      </w:r>
      <w:r w:rsidRPr="007D4988">
        <w:t>compris les rapports thématiques et les cours en ligne en autonomie, sont toujours gratuites, disponibles dans des formats accessibles et traduites dans plusieurs langues des Nations Unies.</w:t>
      </w:r>
    </w:p>
    <w:p w14:paraId="7315254E" w14:textId="77777777" w:rsidR="006A7306" w:rsidRPr="007D4988" w:rsidRDefault="006A7306" w:rsidP="006A7306">
      <w:r w:rsidRPr="007D4988">
        <w:t>L'UIT-D a joué un rôle déterminant dans l'autonomisation des membres de l'UIT en leur donnant les moyens d'accroître leurs connaissances, d'échanger des expériences et de concevoir des stratégies politiques concrètes pour accroître l'accessibilité du numérique aux niveaux national, régional et mondial. En outre, l'UIT-D a créé des espaces dynamiques pour échanger des bonnes pratiques afin de faire progresser la mise en œuvre, avec l'organisation de manifestations régionales phares telles que "Des TIC accessibles pour tous" (tenues à Cuba, au Mexique, au Guatemala, en Espagne, en Belgique, au Maroc et en Jordanie), auxquelles ont participé plus de 80% des pays de chaque région et 200 participants en moyenne pour chaque manifestation, grâce également aux plates</w:t>
      </w:r>
      <w:r w:rsidRPr="007D4988">
        <w:noBreakHyphen/>
        <w:t>formes majeures pour l'inclusion et l'accessibilité numériques, telles que la Conférence des États parties à la Convention des Nations Unies sur les droits de l'homme des personnes handicapées (CRPD), les forums régionaux sur l'inclusion numérique (par exemple en Asie-Pacifique), le Forum mondial sur le vieillissement (Japon) et le Forum sur l'accessibilité numérique (Émirats arabes unis).</w:t>
      </w:r>
    </w:p>
    <w:p w14:paraId="0D451AE0" w14:textId="07480C8F" w:rsidR="006A7306" w:rsidRPr="007D4988" w:rsidRDefault="006A7306" w:rsidP="006A7306">
      <w:r w:rsidRPr="007D4988">
        <w:t>L</w:t>
      </w:r>
      <w:r w:rsidR="00877FCB" w:rsidRPr="007D4988">
        <w:t>'</w:t>
      </w:r>
      <w:hyperlink r:id="rId656" w:history="1">
        <w:r w:rsidRPr="007D4988">
          <w:rPr>
            <w:rStyle w:val="Hyperlink"/>
            <w:rFonts w:eastAsia="Times New Roman" w:cs="Times New Roman"/>
            <w:szCs w:val="20"/>
          </w:rPr>
          <w:t>UIT-T</w:t>
        </w:r>
      </w:hyperlink>
      <w:r w:rsidRPr="007D4988">
        <w:t xml:space="preserve"> a amélioré l'accessibilité en s'efforçant d'intégrer la conception inclusive dans l'élaboration des normes et en améliorant les plates-formes numériques destinées aux utilisateurs. L'UIT-T a amélioré le système </w:t>
      </w:r>
      <w:hyperlink r:id="rId657" w:history="1">
        <w:r w:rsidRPr="007D4988">
          <w:rPr>
            <w:rStyle w:val="Hyperlink"/>
            <w:rFonts w:eastAsia="Times New Roman" w:cs="Times New Roman"/>
            <w:color w:val="auto"/>
            <w:szCs w:val="20"/>
          </w:rPr>
          <w:t>"</w:t>
        </w:r>
        <w:r w:rsidRPr="007D4988">
          <w:rPr>
            <w:rStyle w:val="Hyperlink"/>
            <w:rFonts w:eastAsia="Times New Roman" w:cs="Times New Roman"/>
            <w:szCs w:val="20"/>
          </w:rPr>
          <w:t>ITUSearch</w:t>
        </w:r>
        <w:r w:rsidRPr="007D4988">
          <w:rPr>
            <w:rStyle w:val="Hyperlink"/>
            <w:rFonts w:eastAsia="Times New Roman" w:cs="Times New Roman"/>
            <w:color w:val="auto"/>
            <w:szCs w:val="20"/>
          </w:rPr>
          <w:t>"</w:t>
        </w:r>
      </w:hyperlink>
      <w:r w:rsidRPr="007D4988">
        <w:t xml:space="preserve"> en l'alignant sur les lignes directrices de l'UIT en matière de conception afin de rendre la navigation plus claire et plus accessible. Le Secteur a également continué d'appuyer les travaux liés aux technologies émergentes, notamment en collaborant avec l'Organisation mondiale de la santé (OMS) sur la question de </w:t>
      </w:r>
      <w:hyperlink r:id="rId658" w:history="1">
        <w:r w:rsidRPr="007D4988">
          <w:rPr>
            <w:rStyle w:val="Hyperlink"/>
            <w:rFonts w:eastAsia="Times New Roman" w:cs="Times New Roman"/>
            <w:color w:val="auto"/>
            <w:szCs w:val="20"/>
          </w:rPr>
          <w:t>l'</w:t>
        </w:r>
        <w:r w:rsidRPr="007D4988">
          <w:rPr>
            <w:rStyle w:val="Hyperlink"/>
            <w:rFonts w:eastAsia="Times New Roman" w:cs="Times New Roman"/>
            <w:szCs w:val="20"/>
          </w:rPr>
          <w:t>accessibilité des services de télésanté</w:t>
        </w:r>
      </w:hyperlink>
      <w:r w:rsidRPr="007D4988">
        <w:t xml:space="preserve"> et de l'écoute sans risque des </w:t>
      </w:r>
      <w:hyperlink r:id="rId659" w:history="1">
        <w:r w:rsidRPr="007D4988">
          <w:rPr>
            <w:rStyle w:val="Hyperlink"/>
            <w:rFonts w:eastAsia="Times New Roman" w:cs="Times New Roman"/>
            <w:szCs w:val="20"/>
          </w:rPr>
          <w:t>appareils de lecture de musique</w:t>
        </w:r>
      </w:hyperlink>
      <w:r w:rsidRPr="007D4988">
        <w:t xml:space="preserve">, des </w:t>
      </w:r>
      <w:hyperlink r:id="rId660" w:history="1">
        <w:r w:rsidRPr="007D4988">
          <w:rPr>
            <w:rStyle w:val="Hyperlink"/>
            <w:rFonts w:eastAsia="Times New Roman" w:cs="Times New Roman"/>
            <w:szCs w:val="20"/>
          </w:rPr>
          <w:t>amplificateurs de son individuels</w:t>
        </w:r>
      </w:hyperlink>
      <w:r w:rsidRPr="007D4988">
        <w:t xml:space="preserve">, des </w:t>
      </w:r>
      <w:hyperlink r:id="rId661" w:history="1">
        <w:r w:rsidRPr="007D4988">
          <w:rPr>
            <w:rStyle w:val="Hyperlink"/>
            <w:rFonts w:eastAsia="Times New Roman" w:cs="Times New Roman"/>
            <w:szCs w:val="20"/>
          </w:rPr>
          <w:t>salles de spectacles</w:t>
        </w:r>
      </w:hyperlink>
      <w:r w:rsidRPr="007D4988">
        <w:t xml:space="preserve">, des </w:t>
      </w:r>
      <w:hyperlink r:id="rId662" w:history="1">
        <w:r w:rsidRPr="007D4988">
          <w:rPr>
            <w:rStyle w:val="Hyperlink"/>
            <w:rFonts w:eastAsia="Times New Roman" w:cs="Times New Roman"/>
            <w:szCs w:val="20"/>
          </w:rPr>
          <w:t>jeux vidéo et des sports électroniques</w:t>
        </w:r>
      </w:hyperlink>
      <w:r w:rsidRPr="007D4988">
        <w:t xml:space="preserve">, ainsi que sur les cadres d'évaluation comparative liés à l'IA pour les applications de santé élaborés par un </w:t>
      </w:r>
      <w:hyperlink r:id="rId663" w:anchor="/fr" w:history="1">
        <w:r w:rsidRPr="007D4988">
          <w:rPr>
            <w:rStyle w:val="Hyperlink"/>
            <w:rFonts w:eastAsia="Times New Roman" w:cs="Times New Roman"/>
            <w:szCs w:val="20"/>
          </w:rPr>
          <w:t>groupe spécialisé conjoint UIT-OMS</w:t>
        </w:r>
      </w:hyperlink>
      <w:r w:rsidRPr="007D4988">
        <w:t xml:space="preserve"> (relevant de la Commission d'études </w:t>
      </w:r>
      <w:hyperlink r:id="rId664" w:anchor="/fr" w:history="1">
        <w:r w:rsidRPr="007D4988">
          <w:rPr>
            <w:rStyle w:val="Hyperlink"/>
            <w:rFonts w:eastAsia="Times New Roman" w:cs="Times New Roman"/>
            <w:szCs w:val="20"/>
          </w:rPr>
          <w:t>21</w:t>
        </w:r>
      </w:hyperlink>
      <w:r w:rsidRPr="007D4988">
        <w:t xml:space="preserve"> de l'UIT-T, anciennement Commission d'études 16). En outre, la Commission d'études </w:t>
      </w:r>
      <w:hyperlink r:id="rId665" w:anchor="/fr" w:history="1">
        <w:r w:rsidRPr="007D4988">
          <w:rPr>
            <w:rStyle w:val="Hyperlink"/>
            <w:rFonts w:eastAsia="Times New Roman" w:cs="Times New Roman"/>
            <w:szCs w:val="20"/>
          </w:rPr>
          <w:t>20</w:t>
        </w:r>
      </w:hyperlink>
      <w:r w:rsidRPr="007D4988">
        <w:t xml:space="preserve"> de l'UIT-T a poursuivi les travaux de normalisation sur les services numériques centrés sur l'être humain que permettent l'Internet des objets (IoT) et les villes et les communautés intelligentes et durables (SSC&amp;C) en lien avec la santé numérique, l'accessibilité et l'inclusion En complément de ces efforts, l'</w:t>
      </w:r>
      <w:hyperlink r:id="rId666" w:history="1">
        <w:r w:rsidRPr="007D4988">
          <w:rPr>
            <w:rStyle w:val="Hyperlink"/>
            <w:rFonts w:eastAsia="Times New Roman" w:cs="Times New Roman"/>
            <w:szCs w:val="20"/>
          </w:rPr>
          <w:t>Initiative mondiale sur les mondes virtuels et l'intelligence artificielle</w:t>
        </w:r>
      </w:hyperlink>
      <w:r w:rsidRPr="007D4988">
        <w:rPr>
          <w:rStyle w:val="Hyperlink"/>
        </w:rPr>
        <w:t xml:space="preserve"> – À la découverte des métavilles</w:t>
      </w:r>
      <w:r w:rsidRPr="007D4988">
        <w:t xml:space="preserve"> continue de traiter de l'inclusion et de l'accessibilité numériques dans les métavilles et les mondes virtuels, reconnaissant que la création de nouveaux environnements numériques soulève des questions d'accessibilité liées aux compétences numériques, aux déficiences visuelles et aux neurodivergences qui doivent être traitées de manière proactive. L'UIT-T a tenu à jour des répertoires et des canaux d'information spécialisés pour veiller à ce que les considérations relatives à l'accessibilité demeurent au cœur des activités de normalisation et soient largement accessibles aux membres et aux parties prenantes.</w:t>
      </w:r>
    </w:p>
    <w:p w14:paraId="2F24A877" w14:textId="77777777" w:rsidR="006A7306" w:rsidRPr="007D4988" w:rsidRDefault="006A7306" w:rsidP="006A7306">
      <w:r w:rsidRPr="007D4988">
        <w:t>Le Secteur des radiocommunications de l'UIT (</w:t>
      </w:r>
      <w:hyperlink r:id="rId667" w:history="1">
        <w:r w:rsidRPr="007D4988">
          <w:rPr>
            <w:rStyle w:val="Hyperlink"/>
            <w:rFonts w:eastAsia="Times New Roman" w:cs="Times New Roman"/>
            <w:szCs w:val="20"/>
          </w:rPr>
          <w:t>UIT-R</w:t>
        </w:r>
      </w:hyperlink>
      <w:r w:rsidRPr="007D4988">
        <w:t xml:space="preserve">) a renforcé l'accessibilité en mettant à jour plusieurs publications techniques essentielles pour répondre aux besoins des personnes handicapées et des personnes ayant des besoins particuliers. Cinq publications de l'UIT-R ont été révisées et approuvées au titre de la Résolution </w:t>
      </w:r>
      <w:hyperlink r:id="rId668" w:history="1">
        <w:r w:rsidRPr="007D4988">
          <w:rPr>
            <w:rStyle w:val="Hyperlink"/>
            <w:rFonts w:eastAsia="Times New Roman" w:cs="Times New Roman"/>
            <w:szCs w:val="20"/>
          </w:rPr>
          <w:t>UIT-R 67-2</w:t>
        </w:r>
      </w:hyperlink>
      <w:r w:rsidRPr="007D4988">
        <w:t xml:space="preserve"> sur l'accessibilité des télécommunications/TIC, ce qui a permis de faire en sorte qu'elles restent pertinentes et adaptées aux contextes technologiques émergents. Parmi les mises à jour figurent le Rapport </w:t>
      </w:r>
      <w:hyperlink r:id="rId669" w:history="1">
        <w:r w:rsidRPr="007D4988">
          <w:rPr>
            <w:rStyle w:val="Hyperlink"/>
            <w:rFonts w:eastAsia="Times New Roman" w:cs="Times New Roman"/>
            <w:szCs w:val="20"/>
          </w:rPr>
          <w:t>UIT-R BT.2207</w:t>
        </w:r>
      </w:hyperlink>
      <w:r w:rsidRPr="007D4988">
        <w:t xml:space="preserve"> sur l'accessibilité des services de radiodiffusion et le Rapport </w:t>
      </w:r>
      <w:hyperlink r:id="rId670" w:history="1">
        <w:r w:rsidRPr="007D4988">
          <w:rPr>
            <w:rStyle w:val="Hyperlink"/>
            <w:rFonts w:eastAsia="Times New Roman" w:cs="Times New Roman"/>
            <w:szCs w:val="20"/>
          </w:rPr>
          <w:t>UIT</w:t>
        </w:r>
        <w:r w:rsidRPr="007D4988">
          <w:rPr>
            <w:rStyle w:val="Hyperlink"/>
            <w:rFonts w:eastAsia="Times New Roman" w:cs="Times New Roman"/>
            <w:szCs w:val="20"/>
          </w:rPr>
          <w:noBreakHyphen/>
          <w:t>R SM.2153</w:t>
        </w:r>
      </w:hyperlink>
      <w:r w:rsidRPr="007D4988">
        <w:t xml:space="preserve"> sur les dispositifs de radiocommunication à courte portée. L'UIT-R a également approuvé la Recommandation </w:t>
      </w:r>
      <w:hyperlink r:id="rId671" w:history="1">
        <w:r w:rsidRPr="007D4988">
          <w:rPr>
            <w:rStyle w:val="Hyperlink"/>
            <w:rFonts w:eastAsia="Times New Roman" w:cs="Times New Roman"/>
            <w:szCs w:val="20"/>
          </w:rPr>
          <w:t>UIT-R BT.1702-3</w:t>
        </w:r>
      </w:hyperlink>
      <w:r w:rsidRPr="007D4988">
        <w:t xml:space="preserve">, qui fournit des orientations pour réduire les crises d'épilepsie photosensible causées par les contenus télévisuels. Le </w:t>
      </w:r>
      <w:hyperlink r:id="rId672" w:history="1">
        <w:r w:rsidRPr="007D4988">
          <w:rPr>
            <w:rStyle w:val="Hyperlink"/>
            <w:rFonts w:eastAsia="Times New Roman" w:cs="Times New Roman"/>
            <w:szCs w:val="20"/>
          </w:rPr>
          <w:t>Manuel de l'UIT-R sur la mise en œuvre des réseaux et systèmes de radiodiffusion télévisuelle numérique de Terre</w:t>
        </w:r>
      </w:hyperlink>
      <w:r w:rsidRPr="007D4988">
        <w:t>, traite également des questions d'accessibilité et de la façon dont ces réseaux et systèmes peuvent aider les personnes handicapées et les personnes ayant des besoins particuliers. Grâce à ce travail de révision, l'UIT-R a renforcé son engagement à faire en sorte que les systèmes de radiocommunication et les environnements de radiodiffusion restent sûrs, inclusifs et accessibles à tous les utilisateurs.</w:t>
      </w:r>
    </w:p>
    <w:p w14:paraId="2C5FB3B3" w14:textId="77777777" w:rsidR="006A7306" w:rsidRPr="007D4988" w:rsidRDefault="006A7306" w:rsidP="006A7306">
      <w:r w:rsidRPr="007D4988">
        <w:t>S'agissant du volet interne de la politique d'accessibilité de l'UIT, des travaux importants sont en cours dans chaque composante concernée (conception du nouveau bâtiment, installations, communications, achats, fonctions liées aux ressources humaines telles que le recrutement ou le bien-être du personnel, systèmes informatiques, conférences et publications, etc.). L'UIT progresse pour se conformer aux normes de l'ONU et à sa propre politique en matière d'accessibilité, mais certains domaines nécessitent un renforcement et une meilleure coordination. Dans le même ordre d'idées, l'UIT a continué de rendre compte des 15 indicateurs de résultats du système commun se rapportant à la stratégie des Nations Unies pour l'inclusion du handicap. L'objectif avec cette stratégie est de faire en sorte que le système des Nations Unies intègre pleinement l'inclusion du handicap dans toutes les activités et offre, à ce titre, un cadre pour parvenir à des progrès durables et transformateurs dans l'ensemble de l'organisation.</w:t>
      </w:r>
    </w:p>
    <w:p w14:paraId="6E7DA507" w14:textId="77777777" w:rsidR="006A7306" w:rsidRPr="007D4988" w:rsidRDefault="006A7306" w:rsidP="006A7306">
      <w:r w:rsidRPr="007D4988">
        <w:t>Les indicateurs de résultats de la stratégie pour l'inclusion du handicap se concentrent sur quatre domaines essentiels: rôle directeur, planification stratégique et gestion, inclusivité et programmation et culture institutionnelle. Les résultats de l'auto-évaluation de l'UIT sont les suivants:</w:t>
      </w:r>
    </w:p>
    <w:p w14:paraId="6530F6ED" w14:textId="70970F80" w:rsidR="006A7306" w:rsidRPr="007D4988" w:rsidRDefault="0042272E" w:rsidP="006A7306">
      <w:pPr>
        <w:pStyle w:val="Figure"/>
      </w:pPr>
      <w:r w:rsidRPr="007D4988">
        <w:rPr>
          <w:noProof/>
        </w:rPr>
        <w:drawing>
          <wp:inline distT="0" distB="0" distL="0" distR="0" wp14:anchorId="6E3A830E" wp14:editId="55C29D1B">
            <wp:extent cx="5410810" cy="3119379"/>
            <wp:effectExtent l="0" t="0" r="0" b="5080"/>
            <wp:docPr id="10101465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5431521" cy="3131319"/>
                    </a:xfrm>
                    <a:prstGeom prst="rect">
                      <a:avLst/>
                    </a:prstGeom>
                    <a:noFill/>
                  </pic:spPr>
                </pic:pic>
              </a:graphicData>
            </a:graphic>
          </wp:inline>
        </w:drawing>
      </w:r>
    </w:p>
    <w:p w14:paraId="179EC20E" w14:textId="6E000B14" w:rsidR="006A7306" w:rsidRPr="007D4988" w:rsidRDefault="006A7306" w:rsidP="006A7306">
      <w:pPr>
        <w:pStyle w:val="Figurelegend"/>
        <w:rPr>
          <w:i/>
          <w:iCs/>
        </w:rPr>
      </w:pPr>
      <w:r w:rsidRPr="007D4988">
        <w:rPr>
          <w:i/>
          <w:iCs/>
        </w:rPr>
        <w:t>Figure 12 – Autoévaluation de l'UIT selon la stratégie pour l'inclusion du handicap.</w:t>
      </w:r>
    </w:p>
    <w:p w14:paraId="40875A58" w14:textId="77777777" w:rsidR="006A7306" w:rsidRPr="007D4988" w:rsidRDefault="006A7306" w:rsidP="006A7306">
      <w:pPr>
        <w:pStyle w:val="Heading3"/>
      </w:pPr>
      <w:bookmarkStart w:id="112" w:name="_Toc225488909"/>
      <w:r w:rsidRPr="007D4988">
        <w:t>5.3.4</w:t>
      </w:r>
      <w:r w:rsidRPr="007D4988">
        <w:tab/>
        <w:t>Amélioration des compétences dans les communautés rurales, isolées ou autochtones</w:t>
      </w:r>
      <w:bookmarkEnd w:id="112"/>
    </w:p>
    <w:p w14:paraId="23A1C8D9" w14:textId="6C408240" w:rsidR="006A7306" w:rsidRPr="007D4988" w:rsidRDefault="006A7306" w:rsidP="006A7306">
      <w:r w:rsidRPr="007D4988">
        <w:t xml:space="preserve">Depuis 2002, les membres de l'UIT s'efforcent d'autonomiser les communautés autochtones au moyen des technologies, comme en témoignent les </w:t>
      </w:r>
      <w:r w:rsidR="003E1153" w:rsidRPr="007D4988">
        <w:t>R</w:t>
      </w:r>
      <w:r w:rsidRPr="007D4988">
        <w:t>ésolutions adoptées et systématiquement reconduites dans le cadre des travaux de la Conférence mondiale de développement des télécommunications et de la Conférence de plénipotentiaires de l'UIT.</w:t>
      </w:r>
    </w:p>
    <w:p w14:paraId="10A2EF5F" w14:textId="77777777" w:rsidR="006A7306" w:rsidRPr="007D4988" w:rsidRDefault="006A7306" w:rsidP="006A7306">
      <w:r w:rsidRPr="007D4988">
        <w:t xml:space="preserve">En 2023, l'UIT a dispensé son premier programme de formation en ligne, intitulé </w:t>
      </w:r>
      <w:hyperlink r:id="rId674" w:anchor="/fr" w:history="1">
        <w:r w:rsidRPr="007D4988">
          <w:rPr>
            <w:rStyle w:val="Hyperlink"/>
            <w:rFonts w:eastAsia="Times New Roman" w:cs="Times New Roman"/>
            <w:color w:val="auto"/>
            <w:szCs w:val="20"/>
          </w:rPr>
          <w:t>"</w:t>
        </w:r>
        <w:r w:rsidRPr="007D4988">
          <w:rPr>
            <w:rStyle w:val="Hyperlink"/>
            <w:rFonts w:eastAsia="Times New Roman" w:cs="Times New Roman"/>
            <w:szCs w:val="20"/>
          </w:rPr>
          <w:t>Outils de communication innovants pour renforcer les capacités des communautés autochtones</w:t>
        </w:r>
        <w:r w:rsidRPr="007D4988">
          <w:rPr>
            <w:rStyle w:val="Hyperlink"/>
            <w:rFonts w:eastAsia="Times New Roman" w:cs="Times New Roman"/>
            <w:color w:val="auto"/>
            <w:szCs w:val="20"/>
          </w:rPr>
          <w:t>"</w:t>
        </w:r>
      </w:hyperlink>
      <w:r w:rsidRPr="007D4988">
        <w:t xml:space="preserve">, qui a rassemblé plus de 200 participants (dont 45% de femmes) de 16 pays d'Amérique latine. Un deuxième programme mixte, sur le thème </w:t>
      </w:r>
      <w:hyperlink r:id="rId675" w:anchor="/fr" w:history="1">
        <w:r w:rsidRPr="007D4988">
          <w:rPr>
            <w:rStyle w:val="Hyperlink"/>
            <w:rFonts w:eastAsia="Times New Roman" w:cs="Times New Roman"/>
            <w:color w:val="auto"/>
            <w:szCs w:val="20"/>
          </w:rPr>
          <w:t>"</w:t>
        </w:r>
        <w:r w:rsidRPr="007D4988">
          <w:rPr>
            <w:rStyle w:val="Hyperlink"/>
            <w:rFonts w:eastAsia="Times New Roman" w:cs="Times New Roman"/>
            <w:szCs w:val="20"/>
          </w:rPr>
          <w:t>Responsables des réseaux TIC dans les communautés rurales et autochtones d'Amérique latine</w:t>
        </w:r>
        <w:r w:rsidRPr="007D4988">
          <w:rPr>
            <w:rStyle w:val="Hyperlink"/>
            <w:rFonts w:eastAsia="Times New Roman" w:cs="Times New Roman"/>
            <w:color w:val="auto"/>
            <w:szCs w:val="20"/>
          </w:rPr>
          <w:t>"</w:t>
        </w:r>
      </w:hyperlink>
      <w:r w:rsidRPr="007D4988">
        <w:t xml:space="preserve"> a été mis en œuvre dans le cadre de l'Académie de l'UIT et en présentiel en Colombie, permettant à 40 professionnels, hommes et femmes, d'obtenir un diplôme. L'édition 2023 de ce programme destiné aux responsables a également été lancée afin d'adapter en permanence la formation aux besoins changeants des communautés autochtones et rurales. L'UIT a en outre fait part de sa longue expérience lors d'une session du SMSI consacrée au "</w:t>
      </w:r>
      <w:hyperlink r:id="rId676" w:history="1">
        <w:r w:rsidRPr="007D4988">
          <w:rPr>
            <w:rStyle w:val="Hyperlink"/>
            <w:rFonts w:eastAsia="Times New Roman" w:cs="Times New Roman"/>
            <w:szCs w:val="20"/>
          </w:rPr>
          <w:t>Renforcement des capacités et environnements propices pour un accès efficace dans les communautés autochtones et rurales</w:t>
        </w:r>
      </w:hyperlink>
      <w:r w:rsidRPr="007D4988">
        <w:t>", mettant en lumière les enseignements tirés de 18 années de travail dans ce domaine. Les travaux se sont poursuivis en 2024-2025 sur les activités de l'UIT-D visant à répondre aux besoins particuliers des peuples autochtones grâce à des formations ciblées, des échanges de connaissances et des activités d'appui aux projets.</w:t>
      </w:r>
    </w:p>
    <w:p w14:paraId="55C5CE60" w14:textId="77777777" w:rsidR="006A7306" w:rsidRPr="007D4988" w:rsidRDefault="006A7306" w:rsidP="00FB5FAC">
      <w:r w:rsidRPr="007D4988">
        <w:t>Depuis 2023, les activités menées par l'UIT en faveur de l'inclusion numérique dans les communautés rurales, isolées ou autochtones se sont fortement développées. En Amérique latine et dans les Caraïbes, la 4ème édition du Programme mixte de formation a permis de former 28 responsables de réseaux issus de 9 pays (2023/2024), tandis qu'en 2024, une nouvelle formation courte intitulée "Concevoir des stratégies de connexion des communautés" a mené à la certification de 50 participants de 10 pays différents. La 5ème promotion (2025) compte déjà 69 participants issus de 12 pays. Parallèlement, le programme a été inauguré en Afrique en 2025, où il est suivi par 65 participants de 18 pays. Ces actions renforcent les capacités locales et donnent aux communautés les moyens de mener à bien leur propre développement numérique.</w:t>
      </w:r>
    </w:p>
    <w:p w14:paraId="208B21ED" w14:textId="77777777" w:rsidR="006A7306" w:rsidRPr="007D4988" w:rsidRDefault="006A7306" w:rsidP="006A7306">
      <w:pPr>
        <w:pStyle w:val="Heading3"/>
      </w:pPr>
      <w:bookmarkStart w:id="113" w:name="_Toc225488910"/>
      <w:r w:rsidRPr="007D4988">
        <w:t>5.3.5</w:t>
      </w:r>
      <w:r w:rsidRPr="007D4988">
        <w:tab/>
        <w:t>Soutien aux personnes âgées</w:t>
      </w:r>
      <w:bookmarkEnd w:id="113"/>
    </w:p>
    <w:p w14:paraId="14A14DE7" w14:textId="4A311E10" w:rsidR="006A7306" w:rsidRPr="007D4988" w:rsidRDefault="006A7306" w:rsidP="006A7306">
      <w:r w:rsidRPr="007D4988">
        <w:t>D'ici à 2050, le nombre de personnes âgées de plus de 60 ans dans le monde devrait doubler, passant à 2,1 milliards. Compte tenu des deux grandes tendances mondiales, à savoir le vieillissement de la population et l'essor des technologies, le paysage socio</w:t>
      </w:r>
      <w:r w:rsidRPr="007D4988">
        <w:noBreakHyphen/>
        <w:t xml:space="preserve">économique mondial connaîtra des changements et défis importants. L'UIT a renforcé son engagement à soutenir les populations vieillissantes dans un monde où le numérique prend une place de plus en plus grande, conformément à la Décennie pour le vieillissement en bonne santé (2021-2030) des Nations Unies. Au cours de cette période, l'UIT a apporté ses compétences spécialisées à 17 manifestations et ateliers internationaux, tels que le </w:t>
      </w:r>
      <w:hyperlink r:id="rId677" w:history="1">
        <w:r w:rsidRPr="007D4988">
          <w:rPr>
            <w:rStyle w:val="Hyperlink"/>
            <w:rFonts w:eastAsia="Times New Roman" w:cs="Times New Roman"/>
            <w:szCs w:val="20"/>
          </w:rPr>
          <w:t>Dialogue sur les politiques mondiales du Département des affaires économiques et sociales (DAES) sur le vieillissement</w:t>
        </w:r>
      </w:hyperlink>
      <w:r w:rsidRPr="007D4988">
        <w:t xml:space="preserve"> et le </w:t>
      </w:r>
      <w:hyperlink r:id="rId678" w:history="1">
        <w:r w:rsidRPr="007D4988">
          <w:rPr>
            <w:rStyle w:val="Hyperlink"/>
            <w:rFonts w:eastAsia="Times New Roman" w:cs="Times New Roman"/>
            <w:szCs w:val="20"/>
          </w:rPr>
          <w:t>Forum de haut niveau sur l'économie des seniors</w:t>
        </w:r>
      </w:hyperlink>
      <w:r w:rsidRPr="007D4988">
        <w:t>, œuvrant aux côtés des institutions des Nations Unies et des partenaires de la société civile pour promouvoir une transformation numérique inclusive et fondée sur les droits pour les personnes âgées.</w:t>
      </w:r>
    </w:p>
    <w:p w14:paraId="0B36515E" w14:textId="77777777" w:rsidR="006A7306" w:rsidRPr="007D4988" w:rsidRDefault="006A7306" w:rsidP="006A7306">
      <w:r w:rsidRPr="007D4988">
        <w:t xml:space="preserve">L'un des principaux résultats a été la diffusion des ressources phares de l'UIT, notamment le rapport </w:t>
      </w:r>
      <w:hyperlink r:id="rId679" w:history="1">
        <w:r w:rsidRPr="007D4988">
          <w:rPr>
            <w:rStyle w:val="Hyperlink"/>
            <w:rFonts w:eastAsia="Times New Roman" w:cs="Times New Roman"/>
            <w:color w:val="auto"/>
            <w:szCs w:val="20"/>
          </w:rPr>
          <w:t>"</w:t>
        </w:r>
        <w:r w:rsidRPr="007D4988">
          <w:rPr>
            <w:rStyle w:val="Hyperlink"/>
            <w:rFonts w:eastAsia="Times New Roman" w:cs="Times New Roman"/>
            <w:szCs w:val="20"/>
          </w:rPr>
          <w:t>Vieillir dans un monde numérique – Ne plus être vulnérable, mais précieux</w:t>
        </w:r>
        <w:r w:rsidRPr="007D4988">
          <w:rPr>
            <w:rStyle w:val="Hyperlink"/>
            <w:rFonts w:eastAsia="Times New Roman" w:cs="Times New Roman"/>
            <w:color w:val="auto"/>
            <w:szCs w:val="20"/>
          </w:rPr>
          <w:t>"</w:t>
        </w:r>
      </w:hyperlink>
      <w:r w:rsidRPr="007D4988">
        <w:t xml:space="preserve">, complété par des tutoriels vidéo multilingues et un programme de formation en ligne en autonomie sur le thème </w:t>
      </w:r>
      <w:hyperlink r:id="rId680" w:anchor="/fr" w:history="1">
        <w:r w:rsidRPr="007D4988">
          <w:rPr>
            <w:rStyle w:val="Hyperlink"/>
            <w:rFonts w:eastAsia="Times New Roman" w:cs="Times New Roman"/>
            <w:color w:val="auto"/>
            <w:szCs w:val="20"/>
          </w:rPr>
          <w:t>"</w:t>
        </w:r>
        <w:r w:rsidRPr="007D4988">
          <w:rPr>
            <w:rStyle w:val="Hyperlink"/>
            <w:rFonts w:eastAsia="Times New Roman" w:cs="Times New Roman"/>
            <w:szCs w:val="20"/>
          </w:rPr>
          <w:t>Mieux vieillir et améliorer son quotidien grâce aux TIC à l'ère du numérique</w:t>
        </w:r>
        <w:r w:rsidRPr="007D4988">
          <w:rPr>
            <w:rStyle w:val="Hyperlink"/>
            <w:rFonts w:eastAsia="Times New Roman" w:cs="Times New Roman"/>
            <w:color w:val="auto"/>
            <w:szCs w:val="20"/>
          </w:rPr>
          <w:t>"</w:t>
        </w:r>
      </w:hyperlink>
      <w:r w:rsidRPr="007D4988">
        <w:t xml:space="preserve">. Ces outils ont permis aux gouvernements, aux professionnels et aux parties prenantes de renforcer leur capacité à concevoir des technologies inclusives, à favoriser la maîtrise des outils numériques chez les personnes âgées et à transformer les défis démographiques en possibilités de développement durable. L'UIT a également encouragé l'élaboration de politiques fondées sur des données factuelles grâce au rapport élaboré conjointement avec l'Organisation panaméricaine de la santé, intitulé </w:t>
      </w:r>
      <w:hyperlink r:id="rId681" w:history="1">
        <w:r w:rsidRPr="007D4988">
          <w:rPr>
            <w:rStyle w:val="Hyperlink"/>
            <w:rFonts w:eastAsia="Times New Roman" w:cs="Times New Roman"/>
            <w:color w:val="auto"/>
            <w:szCs w:val="20"/>
          </w:rPr>
          <w:t>"</w:t>
        </w:r>
        <w:r w:rsidRPr="007D4988">
          <w:rPr>
            <w:rStyle w:val="Hyperlink"/>
            <w:rFonts w:eastAsia="Times New Roman" w:cs="Times New Roman"/>
            <w:szCs w:val="20"/>
          </w:rPr>
          <w:t>Le rôle des technologies numériques dans le vieillissement et la santé</w:t>
        </w:r>
        <w:r w:rsidRPr="007D4988">
          <w:rPr>
            <w:rStyle w:val="Hyperlink"/>
            <w:rFonts w:eastAsia="Times New Roman" w:cs="Times New Roman"/>
            <w:color w:val="auto"/>
            <w:szCs w:val="20"/>
          </w:rPr>
          <w:t>"</w:t>
        </w:r>
      </w:hyperlink>
      <w:r w:rsidRPr="007D4988">
        <w:t xml:space="preserve"> (2023), qui souligne de quelle manière des solutions numériques accessibles et inclusives peuvent améliorer les services de santé, faciliter l'autonomie et renforcer la participation sociale des personnes âgées.</w:t>
      </w:r>
    </w:p>
    <w:p w14:paraId="3DDC2A56" w14:textId="77777777" w:rsidR="006A7306" w:rsidRPr="007D4988" w:rsidRDefault="006A7306" w:rsidP="006A7306">
      <w:r w:rsidRPr="007D4988">
        <w:t>De 2024 à 2025, l'UIT-D a continué de promouvoir des initiatives concrètes visant à aider les personnes âgées, notamment avec des activités de renforcement des compétences numériques dans le Gran Chaco, des formations à la gestion des réseaux TIC en Amérique latine et des formations au niveau communautaire à l'intention des populations autochtones et rurales, qui mettaient toutes l'accent sur la connectivité, les médias communautaires et la durabilité des écosystèmes numériques locaux.</w:t>
      </w:r>
    </w:p>
    <w:p w14:paraId="4250FF02" w14:textId="77777777" w:rsidR="006A7306" w:rsidRPr="007D4988" w:rsidRDefault="006A7306" w:rsidP="006A7306">
      <w:pPr>
        <w:pStyle w:val="Heading2"/>
      </w:pPr>
      <w:bookmarkStart w:id="114" w:name="_5.4_Engagement_en"/>
      <w:bookmarkStart w:id="115" w:name="Para54"/>
      <w:bookmarkStart w:id="116" w:name="_Toc225488911"/>
      <w:bookmarkEnd w:id="114"/>
      <w:r w:rsidRPr="007D4988">
        <w:t>5.4</w:t>
      </w:r>
      <w:bookmarkEnd w:id="115"/>
      <w:r w:rsidRPr="007D4988">
        <w:tab/>
        <w:t>Engagement en faveur de la durabilité environnementale</w:t>
      </w:r>
      <w:bookmarkEnd w:id="116"/>
    </w:p>
    <w:p w14:paraId="4DF01CE1" w14:textId="77777777" w:rsidR="00FB5FAC" w:rsidRPr="007D4988" w:rsidRDefault="006A7306" w:rsidP="006A7306">
      <w:r w:rsidRPr="007D4988">
        <w:t xml:space="preserve">Globalement, les initiatives mises en œuvre par l'UIT entre 2022 et 2025 témoignent d'un engagement résolu en faveur de la durabilité environnementale grâce à l'action climatique, à la gestion responsable des déchets d'équipements électriques et électroniques, à la réduction des risques de catastrophe et à la promotion d'un développement urbain </w:t>
      </w:r>
      <w:r w:rsidR="00FB5FAC" w:rsidRPr="007D4988">
        <w:br w:type="page"/>
      </w:r>
    </w:p>
    <w:p w14:paraId="7F23EB78" w14:textId="5F9ABA76" w:rsidR="006A7306" w:rsidRPr="007D4988" w:rsidRDefault="006A7306" w:rsidP="006A7306">
      <w:r w:rsidRPr="007D4988">
        <w:t>intelligent et durable. L'approche globale de l'UIT souligne la nécessité d'une collaboration entre les différentes parties prenantes pour atteindre les objectifs mondiaux de durabilité de manière efficace.</w:t>
      </w:r>
    </w:p>
    <w:p w14:paraId="200D4ECF" w14:textId="3998B690" w:rsidR="006A7306" w:rsidRPr="007D4988" w:rsidRDefault="00D6184C" w:rsidP="006A7306">
      <w:r w:rsidRPr="007D4988">
        <w:t>À cet effet</w:t>
      </w:r>
      <w:r w:rsidR="006A7306" w:rsidRPr="007D4988">
        <w:t>, le volet "Action du secteur du numérique pour l'environnement" de la COP28 a renforcé les engagements du secteur visant à réduire les émissions et à établir un cadre de surveillance pour atteindre la durabilité dans le secteur des TIC.</w:t>
      </w:r>
    </w:p>
    <w:p w14:paraId="39952A8D" w14:textId="77777777" w:rsidR="006A7306" w:rsidRPr="007D4988" w:rsidRDefault="006A7306" w:rsidP="006A7306">
      <w:pPr>
        <w:pStyle w:val="Headingb"/>
      </w:pPr>
      <w:r w:rsidRPr="007D4988">
        <w:t>Gestion des déchets d'équipements électriques et électroniques et économie circulaire</w:t>
      </w:r>
    </w:p>
    <w:p w14:paraId="2A44D153" w14:textId="77777777" w:rsidR="00530328" w:rsidRPr="007D4988" w:rsidRDefault="006A7306" w:rsidP="00530328">
      <w:r w:rsidRPr="007D4988">
        <w:t xml:space="preserve">La gestion des déchets d'équipements électriques et électronique (DEEE) reste une source de préoccupation et nécessite une attention et une action immédiates, alors que la quantité de DEEE a augmenté cinq fois plus vite que la collecte et le recyclage réglementaires depuis 2010. </w:t>
      </w:r>
      <w:r w:rsidR="00530328" w:rsidRPr="007D4988">
        <w:t>Selon le Rapport mondial sur les déchets d'équipements électriques et électroniques 2024, on prévoit que 82 milliards de kg de DEEE seront produits chaque année d'ici à 2030. S'appuyant encore sur son partenariat avec l'UNITAR et la Fondation Carmignac ayant pour objet d'élaborer cette publication phare de portée mondiale qu'est le Rapport mondial sur les déchets d'équipements électriques et électroniques, l'UIT a également appuyé la préparation de deux rapports régionaux et deux rapports nationaux sur ces déchets.</w:t>
      </w:r>
    </w:p>
    <w:p w14:paraId="2A8E2469" w14:textId="0C91ED86" w:rsidR="006A7306" w:rsidRPr="007D4988" w:rsidRDefault="00530328" w:rsidP="00530328">
      <w:r w:rsidRPr="007D4988">
        <w:t>L'UIT aide aussi activement plusieurs pays des régions Amériques, Afrique et Asie-Pacifique à élaborer et à mettre en œuvre une réglementation sur la responsabilité des producteurs vis</w:t>
      </w:r>
      <w:r w:rsidR="00EB109A" w:rsidRPr="007D4988">
        <w:noBreakHyphen/>
      </w:r>
      <w:r w:rsidRPr="007D4988">
        <w:t>à-vis des DEEE. Entre 2023 et 2025, l'UIT a fourni une assistance technique dans le domaine de l'économie circulaire dans 14 pays aux côtés de partenaires de financement internationaux, notamment le Programme des Nations Unies pour l'environnement et l'Institut des Nations Unies pour la formation et la recherche (UNITAR), l'Agence allemande de coopération internationale (GIZ), le Gouvernement du Royaume d'Arabie saoudite, le Gouvernement de l'Australie et le Gouvernement de la Colombie.</w:t>
      </w:r>
    </w:p>
    <w:p w14:paraId="2A17AB09" w14:textId="3F1624D1" w:rsidR="006A7306" w:rsidRPr="007D4988" w:rsidRDefault="006A7306" w:rsidP="006A7306">
      <w:r w:rsidRPr="007D4988">
        <w:t xml:space="preserve">Parmi les supports de connaissance régionaux sur les DEE et l'économie circulaire, publiés entre 2022 et 2025, on peut citer les publications </w:t>
      </w:r>
      <w:hyperlink r:id="rId682" w:history="1">
        <w:r w:rsidRPr="007D4988">
          <w:rPr>
            <w:rStyle w:val="Hyperlink"/>
            <w:rFonts w:eastAsia="Times New Roman" w:cs="Times New Roman"/>
            <w:color w:val="auto"/>
            <w:szCs w:val="20"/>
          </w:rPr>
          <w:t>"</w:t>
        </w:r>
        <w:r w:rsidRPr="007D4988">
          <w:rPr>
            <w:rStyle w:val="Hyperlink"/>
            <w:rFonts w:eastAsia="Times New Roman" w:cs="Times New Roman"/>
            <w:szCs w:val="20"/>
          </w:rPr>
          <w:t>Gestion des déchets d'équipements électriques et électroniques en Amérique latine: situation et perspectives</w:t>
        </w:r>
        <w:r w:rsidRPr="007D4988">
          <w:rPr>
            <w:rStyle w:val="Hyperlink"/>
            <w:rFonts w:eastAsia="Times New Roman" w:cs="Times New Roman"/>
            <w:color w:val="auto"/>
            <w:szCs w:val="20"/>
          </w:rPr>
          <w:t>"</w:t>
        </w:r>
      </w:hyperlink>
      <w:r w:rsidRPr="007D4988">
        <w:t xml:space="preserve"> et les "Lignes directrices pour l'élaboration de systèmes nationaux de gestion intégrée des déchets d'équipements électriques et électroniques en Amérique latine", toutes deux coordonnées avec l'Organisation des Nations Unies pour le développement industriel (ONUDI).</w:t>
      </w:r>
    </w:p>
    <w:p w14:paraId="69093868" w14:textId="77777777" w:rsidR="006A7306" w:rsidRPr="007D4988" w:rsidRDefault="006A7306" w:rsidP="006A7306">
      <w:r w:rsidRPr="007D4988">
        <w:t>L'UIT a également lancé plusieurs initiatives pour renforcer les capacités et l'échange de connaissances à l'échelle mondiale sur la réglementation applicable aux DEEE, notamment avec l'organisation de voyages d'études, de webinaires et du cours en ligne ouvert à tous (MOOC) consacré au problème des DEEE, conçu et développé en collaboration avec le Programme des Nations Unies pour l'environnement (PNUE), le Secrétariat de la Convention de Bâle, EIT RawMaterials, la KU Leuven, l'Organisation mondiale de la santé (OMS) et le World Resources Forum.</w:t>
      </w:r>
    </w:p>
    <w:p w14:paraId="21C5DA34" w14:textId="6B5B7866" w:rsidR="006A7306" w:rsidRPr="007D4988" w:rsidRDefault="006A7306" w:rsidP="006A7306">
      <w:r w:rsidRPr="007D4988">
        <w:t xml:space="preserve">Pour promouvoir la circularité, l'UIT a élaboré des guides pratiques et des outils à l'intention des principales parties prenantes sur la passation de marchés publics circulaires et durables, notamment la publication intitulée </w:t>
      </w:r>
      <w:hyperlink r:id="rId683" w:history="1">
        <w:r w:rsidRPr="007D4988">
          <w:rPr>
            <w:rStyle w:val="Hyperlink"/>
            <w:rFonts w:eastAsia="Times New Roman" w:cs="Times New Roman"/>
            <w:color w:val="auto"/>
            <w:szCs w:val="20"/>
          </w:rPr>
          <w:t>"</w:t>
        </w:r>
        <w:r w:rsidRPr="007D4988">
          <w:rPr>
            <w:rStyle w:val="Hyperlink"/>
            <w:rFonts w:eastAsia="Times New Roman" w:cs="Times New Roman"/>
            <w:szCs w:val="20"/>
          </w:rPr>
          <w:t>Pratiques stratégiques relatives à la gestion des déchets d'équipements électriques et électroniques: outils pour instaurer une économie circulaire équilibrée et équitable</w:t>
        </w:r>
        <w:r w:rsidRPr="007D4988">
          <w:rPr>
            <w:rStyle w:val="Hyperlink"/>
            <w:rFonts w:eastAsia="Times New Roman" w:cs="Times New Roman"/>
            <w:color w:val="auto"/>
            <w:szCs w:val="20"/>
          </w:rPr>
          <w:t>"</w:t>
        </w:r>
      </w:hyperlink>
      <w:r w:rsidRPr="007D4988">
        <w:t xml:space="preserve">, élaborée en collaboration avec la Commission des communications, de l'espace et des technologies (CST) de l'Arabie saoudite, ainsi qu'un </w:t>
      </w:r>
      <w:hyperlink r:id="rId684" w:anchor="/fr" w:history="1">
        <w:r w:rsidRPr="007D4988">
          <w:rPr>
            <w:rStyle w:val="Hyperlink"/>
            <w:rFonts w:eastAsia="Times New Roman" w:cs="Times New Roman"/>
            <w:szCs w:val="20"/>
          </w:rPr>
          <w:t>guide sur la passation de marchés publics circulaires et durables pour les équipements TIC</w:t>
        </w:r>
      </w:hyperlink>
      <w:r w:rsidRPr="007D4988">
        <w:t xml:space="preserve"> élaboré dans le cadre</w:t>
      </w:r>
      <w:r w:rsidR="00FB5FAC" w:rsidRPr="007D4988">
        <w:t> </w:t>
      </w:r>
      <w:r w:rsidRPr="007D4988">
        <w:t>de</w:t>
      </w:r>
      <w:r w:rsidR="00FB5FAC" w:rsidRPr="007D4988">
        <w:t> </w:t>
      </w:r>
      <w:r w:rsidRPr="007D4988">
        <w:t>l'initiative GovStack. Ce guide a été mis au point parallèlement à la Recommandation </w:t>
      </w:r>
      <w:hyperlink r:id="rId685" w:history="1">
        <w:r w:rsidRPr="007D4988">
          <w:rPr>
            <w:rStyle w:val="Hyperlink"/>
            <w:rFonts w:eastAsia="Times New Roman" w:cs="Times New Roman"/>
            <w:szCs w:val="20"/>
          </w:rPr>
          <w:t>UIT</w:t>
        </w:r>
        <w:r w:rsidRPr="007D4988">
          <w:rPr>
            <w:rStyle w:val="Hyperlink"/>
            <w:rFonts w:eastAsia="Times New Roman" w:cs="Times New Roman"/>
            <w:szCs w:val="20"/>
          </w:rPr>
          <w:noBreakHyphen/>
          <w:t>T L.1061</w:t>
        </w:r>
      </w:hyperlink>
      <w:r w:rsidRPr="007D4988">
        <w:t>, intitulée "Passation de marchés publics circulaires concernant les technologies de l'information et de la communication", qui fournit des orientations techniques aux organisations du secteur public sur le renforcement des pratiques en matière de passation de marchés et la promotion de l'adoption de biens et services TIC circulaires.</w:t>
      </w:r>
    </w:p>
    <w:p w14:paraId="3E50D05C" w14:textId="77777777" w:rsidR="006A7306" w:rsidRPr="007D4988" w:rsidRDefault="006A7306" w:rsidP="006A7306">
      <w:r w:rsidRPr="007D4988">
        <w:t>Parallèlement, l'UIT a élaboré deux cas d'utilisation nationaux pour appuyer la mise en œuvre des normes internationales de l'UIT-T sur la gestion durable des déchets d'équipements électriques et électroniques: en route vers une économie circulaire. En 2024, les travaux de normalisation sur les passeports numériques de produits et la mise au point de l'étiquetage de la performance environnementale ont permis de faire progresser les approches en faveur d'économies circulaires.</w:t>
      </w:r>
    </w:p>
    <w:p w14:paraId="3D564099" w14:textId="77777777" w:rsidR="006A7306" w:rsidRPr="007D4988" w:rsidRDefault="006A7306" w:rsidP="006A7306">
      <w:r w:rsidRPr="007D4988">
        <w:t>La Commission d'études 5 de l'UIT-T a, quant à elle, continué d'élaborer des normes internationales pour promouvoir un secteur des télécommunications/TIC écologiquement durable, résilient et inclusif. Entre 2022 et 2025, 110 Recommandations ont été approuvées ou ont fait l'objet d'un consentement par la Commission d'études 5 de l'UIT-T, tandis que 26 lignes directrices et suppléments ont fait l'objet d'un accord.</w:t>
      </w:r>
    </w:p>
    <w:p w14:paraId="30F90BFE" w14:textId="77777777" w:rsidR="006A7306" w:rsidRPr="007D4988" w:rsidRDefault="006A7306" w:rsidP="006A7306">
      <w:r w:rsidRPr="007D4988">
        <w:t>Les normes de l'UIT ont joué un rôle particulièrement important dans la mesure et l'amélioration de la performance environnementale des TIC, notamment en ce qui concerne l'efficacité énergétique, la surveillance des émissions et l'efficacité des matériaux dans les produits technologiques. Les principales activités relatives à l'efficacité environnementale de l'infrastructure des TIC comprennent la formulation de recommandations concernant les réseaux, les services et les produits TIC ainsi que les centres de données. Deux livres blancs sur la sécurité des applications de batteries lithium-ion dans les centres de données et sur les batteries au lithium pour les sites de télécommunication ont été publiés en collaboration avec Huawei.</w:t>
      </w:r>
    </w:p>
    <w:p w14:paraId="5D4DE404" w14:textId="77777777" w:rsidR="006A7306" w:rsidRPr="007D4988" w:rsidRDefault="006A7306" w:rsidP="006A7306">
      <w:pPr>
        <w:pStyle w:val="Headingb"/>
      </w:pPr>
      <w:r w:rsidRPr="007D4988">
        <w:t>Télécommunications d'urgence et gestion des crises</w:t>
      </w:r>
    </w:p>
    <w:p w14:paraId="10315801" w14:textId="07B03EF6" w:rsidR="006A7306" w:rsidRPr="007D4988" w:rsidRDefault="00B41AD4" w:rsidP="006A7306">
      <w:r w:rsidRPr="007D4988">
        <w:t>Les télécommunications d'urgence restent au cœur des travaux de l'UIT visant à renforcer la résilience climatique des pays. À la fin de 202</w:t>
      </w:r>
      <w:r w:rsidR="00866956" w:rsidRPr="007D4988">
        <w:t>5</w:t>
      </w:r>
      <w:r w:rsidRPr="007D4988">
        <w:t>, au moins 95 pays disposaient de plans nationaux pour les télécommunications d'urgence,</w:t>
      </w:r>
      <w:r w:rsidRPr="007D4988" w:rsidDel="003A4884">
        <w:t xml:space="preserve"> </w:t>
      </w:r>
      <w:r w:rsidRPr="007D4988">
        <w:t>contre 66 en 2021, témoignant d'une amélioration de la préparation aux catastrophes et de la résilience partout dans le monde.</w:t>
      </w:r>
    </w:p>
    <w:p w14:paraId="5009DD14" w14:textId="77777777" w:rsidR="006A7306" w:rsidRPr="007D4988" w:rsidRDefault="006A7306" w:rsidP="006A7306">
      <w:r w:rsidRPr="007D4988">
        <w:t>De 2022 à 2025, l'UIT-D a renforcé la préparation et les interventions en cas de catastrophe au niveau national en mettant en avant l'utilisation des TIC pour les télécommunications d'urgence dans les États Membres. Au cours de cette période, l'UIT-D a aidé plus de 25 pays à élaborer et à mettre en œuvre des plans nationaux pour les télécommunications d'urgence (NETP) et a élaboré au total 41 plans de ce type. Ces efforts ont renforcé la résilience nationale et permis des interventions d'urgence plus rapides et plus efficaces. L'organisation a également joué un rôle central dans la mise en œuvre de l'initiative EW4All (Alertes précoces pour tous), dans le cadre de laquelle l'UIT avait fourni un appui à 30 pays en 2025, avec notamment la fourniture de quatre applications d'IA pilotes dans des pays dans le cadre du Sous-Groupe EW4All sur l'IA afin de renforcer les capacités d'alerte avancée. L'UIT est responsable de la mise en œuvre du Pilier 3 sur la diffusion et la communication des alertes. Dans le cadre de cette initiative, l'UIT-D a facilité des évaluations techniques, économiques et réglementaires pour appuyer le déploiement de technologies d'alerte du public essentielles, notamment le protocole d'alerte commun (CAP), la diffusion cellulaire (CB) et le service de messages courts géolocalisés (LB-SMS). Ces technologies permettent d'utiliser efficacement les réseaux numériques, les services et les appareils mobiles pour diffuser sans délai des alertes, contribuant ainsi à la protection des personnes et des moyens de subsistance. Depuis 2022, 28 pays ont adopté la diffusion cellulaire, 10 pays utilisent la technologie LB-SMS et 6 pays ont déployé ces deux technologies pour les alertes au public.</w:t>
      </w:r>
    </w:p>
    <w:p w14:paraId="25732361" w14:textId="77777777" w:rsidR="006A7306" w:rsidRPr="007D4988" w:rsidRDefault="006A7306" w:rsidP="006A7306">
      <w:r w:rsidRPr="007D4988">
        <w:t>Les activités directes liées aux interventions en cas de catastrophe comprenaient le pré</w:t>
      </w:r>
      <w:r w:rsidRPr="007D4988">
        <w:noBreakHyphen/>
        <w:t>positionnement sur des sites stratégiques d'équipements de télécommunications d'urgence de l'UIT dans de multiples emplacements géographiques en vue de réduire les délais d'intervention après une catastrophe. Les sites en question sont Dubaï (dans les locaux du PAM), pour desservir la région des États arabes, l'Afrique et l'Asie-Pacifique; le Zimbabwe pour couvrir les États Membres de la SADC; la Barbade, pour couvrir la région Amériques et les Caraïbes. Depuis 2022, des équipements de communication par satellite ont été déployés pour appuyer les opérations d'intervention d'urgence dans plusieurs pays, notamment aux Tonga à la suite de l'éruption du volcan Hunga Tonga-Hunga Ha'apai; au Nicaragua après le passage de l'ouragan Julia; au Malawi et au Mozambique après le passage des cyclones Freddy et Chido; en Papouasie-Nouvelle-Guinée après l'éruption du Mont Bagana; et à la Grenade, à Saint-Vincent-et-les-Grenadines et en Jamaïque après le passage des ouragans Beryl et Melissa.</w:t>
      </w:r>
    </w:p>
    <w:p w14:paraId="4D211548" w14:textId="77777777" w:rsidR="006A7306" w:rsidRPr="007D4988" w:rsidRDefault="006A7306" w:rsidP="006A7306">
      <w:r w:rsidRPr="007D4988">
        <w:t>Des modules de formation sur les télécommunications d'urgence ont été élaborés, donnant lieu à une participation importante dans divers pays, ce qui a contribué à faire en sorte que les interventions en cas de catastrophe soient à la fois structurées et efficaces.</w:t>
      </w:r>
    </w:p>
    <w:p w14:paraId="093A4B38" w14:textId="77777777" w:rsidR="006A7306" w:rsidRPr="007D4988" w:rsidRDefault="006A7306" w:rsidP="006A7306">
      <w:r w:rsidRPr="007D4988">
        <w:t>Lors de la COP28, l'UIT et la GSMA ont lancé l'appel à l'action pour déployer la diffusion cellulaire et le service de SMS géolocalisés. De nombreux opérateurs de réseaux mobiles, dont VEON, KDDI, Globe, Safaricom, Telefonica, MTN et Axiata Group, ont répondu à cet appel et se sont engagés à utiliser la connectivité numérique pour sauver des vies.</w:t>
      </w:r>
    </w:p>
    <w:p w14:paraId="1C645194" w14:textId="77777777" w:rsidR="006A7306" w:rsidRPr="007D4988" w:rsidRDefault="006A7306" w:rsidP="006A7306">
      <w:r w:rsidRPr="007D4988">
        <w:t>L'UIT participe en outre à l'Initiative mondiale sur la résilience face aux risques naturels grâce aux solutions fondées sur l'intelligence artificielle (IA), menée en collaboration par diverses institutions des Nations Unies dont l'UIT, le PNUE, la Convention-cadre des Nations Unies sur les changements climatiques (CCNUCC), l'Union postale universelle (UPU) et l'Organisation météorologique mondiale (OMM), afin de réfléchir à la manière d'utiliser efficacement l'IA pour la gestion des catastrophes, en offrant pour ce faire des avis spécialisés et un appui dans le domaine de la recherche, de l'innovation et de l'élaboration de normes.</w:t>
      </w:r>
    </w:p>
    <w:p w14:paraId="4F9A5103" w14:textId="77777777" w:rsidR="006A7306" w:rsidRPr="007D4988" w:rsidRDefault="006A7306" w:rsidP="006A7306">
      <w:pPr>
        <w:pStyle w:val="Headingb"/>
      </w:pPr>
      <w:r w:rsidRPr="007D4988">
        <w:t>La transformation numérique au service des villes durables</w:t>
      </w:r>
    </w:p>
    <w:p w14:paraId="6E22CD68" w14:textId="77777777" w:rsidR="006A7306" w:rsidRPr="007D4988" w:rsidRDefault="006A7306" w:rsidP="006A7306">
      <w:r w:rsidRPr="007D4988">
        <w:t>Les travaux de la Commission d'études 20 de l'UIT-T sur les initiatives relatives aux villes intelligentes ont avancé, avec l'initiative "Tous unis pour des villes intelligentes et durables" (U4SSC), qui a amené plus de 250 villes à adopter des indicateurs de performance fondés sur les normes de l'UIT. L'accent a été mis sur la gouvernance urbaine et l'intégration des données pour favoriser le développement urbain durable.</w:t>
      </w:r>
    </w:p>
    <w:p w14:paraId="482F0F82" w14:textId="77777777" w:rsidR="006A7306" w:rsidRPr="007D4988" w:rsidRDefault="006A7306" w:rsidP="006A7306">
      <w:r w:rsidRPr="007D4988">
        <w:t>L'UIT a élaboré plusieurs supports de connaissance dans le cadre de cette initiative, notamment des lignes directrices à l'intention des villes pour parvenir à la neutralité carbone grâce à la transformation numérique et une méthodologie pour évaluer les progrès réalisés en matière de neutralité carbone dans les villes.</w:t>
      </w:r>
    </w:p>
    <w:p w14:paraId="5072CA76" w14:textId="77777777" w:rsidR="006A7306" w:rsidRPr="007D4988" w:rsidRDefault="006A7306" w:rsidP="006A7306">
      <w:pPr>
        <w:pStyle w:val="Headingb"/>
      </w:pPr>
      <w:r w:rsidRPr="007D4988">
        <w:t>Initiatives et collaboration sur les changements climatiques</w:t>
      </w:r>
    </w:p>
    <w:p w14:paraId="5DFE9B1C" w14:textId="4FA6F362" w:rsidR="004C1635" w:rsidRPr="007D4988" w:rsidRDefault="004C1635" w:rsidP="004C1635">
      <w:r w:rsidRPr="007D4988">
        <w:t xml:space="preserve">Pour lutter contre les changements climatiques, l'UIT a progressé dans l'étude de la consommation d'énergie et des émissions de gaz à effet de serre (GES) dans le secteur mondial des technologies. </w:t>
      </w:r>
      <w:r w:rsidR="005F11D2" w:rsidRPr="007D4988">
        <w:t>L</w:t>
      </w:r>
      <w:r w:rsidRPr="007D4988">
        <w:t>a série de rapports (</w:t>
      </w:r>
      <w:r w:rsidR="005F11D2" w:rsidRPr="007D4988">
        <w:t>"</w:t>
      </w:r>
      <w:r w:rsidRPr="007D4988">
        <w:t>Greening Digital Companies" (Pour des entreprises numériques plus écologiques) publiés chaque année et le nouveau "Tableau de bord du verdissement du numérique" qui y est associé permettant de mener des analyse</w:t>
      </w:r>
      <w:r w:rsidR="00C23C48" w:rsidRPr="007D4988">
        <w:t>s</w:t>
      </w:r>
      <w:r w:rsidRPr="007D4988">
        <w:t xml:space="preserve"> fondées sur les données communiquées concernant les émissions de GES et l'utilisation de l'énergie de 200 entreprises du secteur du numérique.</w:t>
      </w:r>
    </w:p>
    <w:p w14:paraId="0B916A13" w14:textId="04749AE1" w:rsidR="004C1635" w:rsidRPr="007D4988" w:rsidRDefault="004C1635" w:rsidP="00C23C48">
      <w:pPr>
        <w:tabs>
          <w:tab w:val="clear" w:pos="567"/>
          <w:tab w:val="clear" w:pos="1134"/>
          <w:tab w:val="clear" w:pos="1701"/>
          <w:tab w:val="clear" w:pos="2268"/>
          <w:tab w:val="clear" w:pos="2835"/>
        </w:tabs>
        <w:suppressAutoHyphens/>
        <w:overflowPunct/>
        <w:autoSpaceDE/>
        <w:adjustRightInd/>
        <w:spacing w:after="120"/>
      </w:pPr>
      <w:r w:rsidRPr="007D4988">
        <w:t>En complément de cette série de documents de référence, deux produits de connaissance ont été publiés en 2025 sur l'empreinte environnementale du secteur des TIC, à savoir un rapport élaboré conjointement avec la Banque mondiale, intitulé "</w:t>
      </w:r>
      <w:hyperlink r:id="rId686" w:history="1">
        <w:r w:rsidRPr="007D4988">
          <w:rPr>
            <w:rStyle w:val="Hyperlink"/>
            <w:rFonts w:eastAsia="Times New Roman" w:cs="Times New Roman"/>
            <w:i/>
            <w:iCs/>
            <w:szCs w:val="20"/>
          </w:rPr>
          <w:t>Measuring National ICT Sector Environmental Impact: ARCEP Case Study – France</w:t>
        </w:r>
      </w:hyperlink>
      <w:r w:rsidRPr="007D4988">
        <w:t xml:space="preserve">" (Mesurer l'impact environnemental du secteur national des TIC: étude de cas de l'Arcep (France)), et un </w:t>
      </w:r>
      <w:hyperlink r:id="rId687" w:history="1">
        <w:r w:rsidRPr="007D4988">
          <w:rPr>
            <w:rStyle w:val="Hyperlink"/>
            <w:rFonts w:eastAsia="Times New Roman" w:cs="Times New Roman"/>
            <w:szCs w:val="20"/>
          </w:rPr>
          <w:t>Livre</w:t>
        </w:r>
        <w:r w:rsidR="00FB5FAC" w:rsidRPr="007D4988">
          <w:rPr>
            <w:rStyle w:val="Hyperlink"/>
            <w:rFonts w:eastAsia="Times New Roman" w:cs="Times New Roman"/>
            <w:szCs w:val="20"/>
          </w:rPr>
          <w:t> </w:t>
        </w:r>
        <w:r w:rsidRPr="007D4988">
          <w:rPr>
            <w:rStyle w:val="Hyperlink"/>
            <w:rFonts w:eastAsia="Times New Roman" w:cs="Times New Roman"/>
            <w:szCs w:val="20"/>
          </w:rPr>
          <w:t>blanc sur les incidences environnementales du secteur des TIC en Suisse, publié conjointement par l'UIT et Resilio</w:t>
        </w:r>
      </w:hyperlink>
      <w:r w:rsidRPr="007D4988">
        <w:t>. Ces produits s'appuient sur des travaux antérieurs de l'UIT, notamment le rapport "</w:t>
      </w:r>
      <w:hyperlink r:id="rId688" w:history="1">
        <w:r w:rsidRPr="007D4988">
          <w:rPr>
            <w:rStyle w:val="Hyperlink"/>
            <w:rFonts w:eastAsia="Times New Roman" w:cs="Times New Roman"/>
            <w:szCs w:val="20"/>
          </w:rPr>
          <w:t>Mesurer les émissions et l'empreinte énergétique du secteur des TIC: incidences sur l'action climatique</w:t>
        </w:r>
      </w:hyperlink>
      <w:r w:rsidRPr="007D4988">
        <w:t>", produit conjointement avec la Banque mondiale en 2023 pour présenter une analyse complète du paysage énergétique et des émissions dans</w:t>
      </w:r>
      <w:r w:rsidR="00FB5FAC" w:rsidRPr="007D4988">
        <w:t> </w:t>
      </w:r>
      <w:r w:rsidRPr="007D4988">
        <w:t>30 pays et examiner les réseaux de connectivité, les centres de données et les dispositifs grand public, offrant ainsi un aperçu des incidences environnementales du secteur des TIC.</w:t>
      </w:r>
    </w:p>
    <w:p w14:paraId="649F19C4" w14:textId="77777777" w:rsidR="004C1635" w:rsidRPr="007D4988" w:rsidRDefault="004C1635" w:rsidP="00853095">
      <w:pPr>
        <w:tabs>
          <w:tab w:val="clear" w:pos="567"/>
          <w:tab w:val="clear" w:pos="1134"/>
          <w:tab w:val="clear" w:pos="1701"/>
          <w:tab w:val="clear" w:pos="2268"/>
          <w:tab w:val="clear" w:pos="2835"/>
        </w:tabs>
        <w:suppressAutoHyphens/>
        <w:overflowPunct/>
        <w:autoSpaceDE/>
        <w:adjustRightInd/>
        <w:spacing w:after="120"/>
      </w:pPr>
      <w:r w:rsidRPr="007D4988">
        <w:t>L'UIT a par ailleurs mis au point des lignes directrices et des outils pour aider les principales parties prenantes à accroître la contribution des TIC à l'action climatique et environnementale.</w:t>
      </w:r>
    </w:p>
    <w:p w14:paraId="46AC5D41" w14:textId="5EE04A17" w:rsidR="004C1635" w:rsidRPr="007D4988" w:rsidRDefault="004C1635" w:rsidP="00BA4B4D">
      <w:pPr>
        <w:tabs>
          <w:tab w:val="clear" w:pos="567"/>
          <w:tab w:val="clear" w:pos="1134"/>
          <w:tab w:val="clear" w:pos="1701"/>
          <w:tab w:val="clear" w:pos="2268"/>
          <w:tab w:val="clear" w:pos="2835"/>
        </w:tabs>
        <w:suppressAutoHyphens/>
        <w:overflowPunct/>
        <w:autoSpaceDE/>
        <w:adjustRightInd/>
        <w:spacing w:after="120"/>
      </w:pPr>
      <w:r w:rsidRPr="007D4988">
        <w:t xml:space="preserve">Le </w:t>
      </w:r>
      <w:hyperlink r:id="rId689" w:history="1">
        <w:r w:rsidRPr="007D4988">
          <w:rPr>
            <w:rStyle w:val="Hyperlink"/>
            <w:rFonts w:eastAsia="Times New Roman" w:cs="Times New Roman"/>
            <w:szCs w:val="20"/>
          </w:rPr>
          <w:t>Guide à l'intention des opérateurs de télécommunication sur les émissions de niveau</w:t>
        </w:r>
        <w:r w:rsidR="00FB5FAC" w:rsidRPr="007D4988">
          <w:rPr>
            <w:rStyle w:val="Hyperlink"/>
            <w:rFonts w:eastAsia="Times New Roman" w:cs="Times New Roman"/>
            <w:szCs w:val="20"/>
          </w:rPr>
          <w:t> </w:t>
        </w:r>
        <w:r w:rsidRPr="007D4988">
          <w:rPr>
            <w:rStyle w:val="Hyperlink"/>
            <w:rFonts w:eastAsia="Times New Roman" w:cs="Times New Roman"/>
            <w:szCs w:val="20"/>
          </w:rPr>
          <w:t>3</w:t>
        </w:r>
      </w:hyperlink>
      <w:r w:rsidRPr="007D4988">
        <w:t xml:space="preserve"> élaboré par la GSMA, la GeSI et l'UIT vise à harmoniser les méthodes d'évaluation et de notification des émissions de gaz à effet de serre de niveau 3. En collaboration avec la Banque mondiale, l'UIT a élaboré un document intitulé "</w:t>
      </w:r>
      <w:hyperlink r:id="rId690" w:history="1">
        <w:r w:rsidRPr="007D4988">
          <w:rPr>
            <w:rStyle w:val="Hyperlink"/>
            <w:rFonts w:eastAsia="Times New Roman" w:cs="Times New Roman"/>
            <w:szCs w:val="20"/>
          </w:rPr>
          <w:t>Green data centres: Towards a sustainable digital transformation – A practitioner</w:t>
        </w:r>
        <w:r w:rsidR="00866631" w:rsidRPr="007D4988">
          <w:rPr>
            <w:rStyle w:val="Hyperlink"/>
            <w:rFonts w:eastAsia="Times New Roman" w:cs="Times New Roman"/>
            <w:szCs w:val="20"/>
          </w:rPr>
          <w:t>'</w:t>
        </w:r>
        <w:r w:rsidRPr="007D4988">
          <w:rPr>
            <w:rStyle w:val="Hyperlink"/>
            <w:rFonts w:eastAsia="Times New Roman" w:cs="Times New Roman"/>
            <w:szCs w:val="20"/>
          </w:rPr>
          <w:t>s guide</w:t>
        </w:r>
      </w:hyperlink>
      <w:r w:rsidRPr="007D4988">
        <w:t>" (</w:t>
      </w:r>
      <w:r w:rsidRPr="007D4988">
        <w:rPr>
          <w:i/>
          <w:iCs/>
        </w:rPr>
        <w:t>Centres de traitement de données écologiques: vers une transformation numérique durable – Guide pratique</w:t>
      </w:r>
      <w:r w:rsidRPr="007D4988">
        <w:t>), accompagné d'un cours d'apprentissage en ligne intitulé "</w:t>
      </w:r>
      <w:hyperlink r:id="rId691" w:anchor="/fr" w:history="1">
        <w:r w:rsidRPr="007D4988">
          <w:rPr>
            <w:rStyle w:val="Hyperlink"/>
            <w:rFonts w:eastAsia="Times New Roman" w:cs="Times New Roman"/>
            <w:szCs w:val="20"/>
          </w:rPr>
          <w:t>Green Data Centres for Policy Makers</w:t>
        </w:r>
      </w:hyperlink>
      <w:r w:rsidRPr="007D4988">
        <w:t>" (</w:t>
      </w:r>
      <w:r w:rsidRPr="007D4988">
        <w:rPr>
          <w:i/>
          <w:iCs/>
        </w:rPr>
        <w:t>Centres de traitement de données écologiques pour les décideurs</w:t>
      </w:r>
      <w:r w:rsidRPr="007D4988">
        <w:t>), afin de rendre les centres de données plus durables, plus résilients aux changements climatiques et plus adaptés aux politiques, grâce à des stratégies pratiques, des cadres et des exemples concrets.</w:t>
      </w:r>
    </w:p>
    <w:p w14:paraId="62A2FB1F" w14:textId="5D82536A" w:rsidR="004C1635" w:rsidRPr="007D4988" w:rsidRDefault="004C1635" w:rsidP="004C1635">
      <w:r w:rsidRPr="007D4988">
        <w:t>En novembre 2025, l'UIT a publié une nouvelle note d'information qui dresse un état des lieux des technologies numériques mentionnées dans 53 contributions déterminées au niveau national (CDN) et met en avant quatre études de cas nationales illustrant les bonnes pratiques en matière de lutte contre les changements climatiques grâce au numérique.</w:t>
      </w:r>
    </w:p>
    <w:p w14:paraId="1BC8BD25" w14:textId="77777777" w:rsidR="00FB5FAC" w:rsidRPr="007D4988" w:rsidRDefault="006A7306" w:rsidP="006A7306">
      <w:r w:rsidRPr="007D4988">
        <w:t xml:space="preserve">L'UIT œuvre activement en faveur de la résilience climatique dans le cadre de partenariats avec, par exemple, le Bureau des Nations Unies pour la prévention des catastrophes (UNDRR), l'Organisation météorologique mondiale (OMM) et la Fédération internationale des Sociétés de la Croix-Rouge et du Croissant-Rouge; ainsi que l'OMM et le PNUE afin de tirer parti de l'IA pour la gestion des catastrophes. Une approche globale a été adoptée, dans </w:t>
      </w:r>
      <w:r w:rsidR="00FB5FAC" w:rsidRPr="007D4988">
        <w:br w:type="page"/>
      </w:r>
    </w:p>
    <w:p w14:paraId="5ECE01B5" w14:textId="0B0A0E06" w:rsidR="006A7306" w:rsidRPr="007D4988" w:rsidRDefault="006A7306" w:rsidP="006A7306">
      <w:r w:rsidRPr="007D4988">
        <w:t>le cadre de laquelle l'UIT collabore avec diverses entités internationales pour garantir l'attribution de fréquences radioélectriques à des services météorologiques essentiels, améliorant ainsi les communications dans les situations d'urgence.</w:t>
      </w:r>
    </w:p>
    <w:p w14:paraId="3045726C" w14:textId="6A2F5B3E" w:rsidR="006A7306" w:rsidRPr="007D4988" w:rsidRDefault="00C3371A" w:rsidP="006A7306">
      <w:r w:rsidRPr="007D4988">
        <w:t>Dans le cadre de l'initiative de l'Action du secteur du numérique pour l'environnement, l'UIT dirige en outre les activités relative à un pilier thématique visant à réduire les émissions de</w:t>
      </w:r>
      <w:r w:rsidR="00632B34" w:rsidRPr="007D4988">
        <w:t> </w:t>
      </w:r>
      <w:r w:rsidRPr="007D4988">
        <w:t xml:space="preserve">GES du secteur des TIC grâce à la collaboration, à une présentation claire des responsabilités et à l'établissement de rapports transparents. </w:t>
      </w:r>
      <w:r w:rsidR="006A7306" w:rsidRPr="007D4988">
        <w:t xml:space="preserve">Pour plus d'informations sur l'initiative "Action du secteur du numérique pour l'environnement", voir la </w:t>
      </w:r>
      <w:r w:rsidR="0034644A" w:rsidRPr="007D4988">
        <w:t>section</w:t>
      </w:r>
      <w:r w:rsidR="006A7306" w:rsidRPr="007D4988">
        <w:t xml:space="preserve"> </w:t>
      </w:r>
      <w:hyperlink w:anchor="Para55" w:history="1">
        <w:r w:rsidR="006A7306" w:rsidRPr="007D4988">
          <w:rPr>
            <w:rStyle w:val="Hyperlink"/>
            <w:rFonts w:eastAsia="Times New Roman" w:cs="Times New Roman"/>
            <w:szCs w:val="20"/>
          </w:rPr>
          <w:t>5.5</w:t>
        </w:r>
      </w:hyperlink>
      <w:r w:rsidR="006A7306" w:rsidRPr="007D4988">
        <w:t xml:space="preserve"> ci</w:t>
      </w:r>
      <w:r w:rsidR="00632B34" w:rsidRPr="007D4988">
        <w:noBreakHyphen/>
      </w:r>
      <w:r w:rsidR="006A7306" w:rsidRPr="007D4988">
        <w:t>dessous.</w:t>
      </w:r>
    </w:p>
    <w:p w14:paraId="73436762" w14:textId="77777777" w:rsidR="006A7306" w:rsidRPr="007D4988" w:rsidRDefault="006A7306" w:rsidP="006A7306">
      <w:pPr>
        <w:pStyle w:val="Headingb"/>
      </w:pPr>
      <w:r w:rsidRPr="007D4988">
        <w:t>Initiatives et collaboration durables en matière d'IA</w:t>
      </w:r>
    </w:p>
    <w:p w14:paraId="3B2399C3" w14:textId="7D78FC6F" w:rsidR="00AF1E0B" w:rsidRPr="007D4988" w:rsidRDefault="00AF1E0B" w:rsidP="00AF1E0B">
      <w:r w:rsidRPr="007D4988">
        <w:t xml:space="preserve">Dans le cadre du pilier thématique de l'initiative de l'Action du secteur du numérique pour l'environnement relatif à l'informatique verte, l'UIT étudie les incidences environnementales des technologies émergentes en passant en revue les approches existantes afin d'évaluer leurs conséquences </w:t>
      </w:r>
      <w:r w:rsidR="005B7C52" w:rsidRPr="007D4988">
        <w:t>environnementales</w:t>
      </w:r>
      <w:r w:rsidRPr="007D4988">
        <w:t>. Pour ce qui est de l'intelligence artificielle, les résultats des travaux figurent dans le rapport "</w:t>
      </w:r>
      <w:hyperlink r:id="rId692" w:anchor="/fr" w:history="1">
        <w:r w:rsidRPr="007D4988">
          <w:rPr>
            <w:rStyle w:val="Hyperlink"/>
            <w:rFonts w:eastAsia="Times New Roman" w:cs="Times New Roman"/>
            <w:szCs w:val="20"/>
          </w:rPr>
          <w:t>Mesurer ce qui compte: comment évaluer les incidences de l'IA sur l'environnement</w:t>
        </w:r>
      </w:hyperlink>
      <w:r w:rsidRPr="007D4988">
        <w:t xml:space="preserve">" publié en 2025. Parallèlement, l'UIT a cocréé, en collaboration avec GoCodeGreen, un </w:t>
      </w:r>
      <w:hyperlink r:id="rId693" w:anchor="/fr" w:history="1">
        <w:r w:rsidRPr="007D4988">
          <w:rPr>
            <w:rStyle w:val="Hyperlink"/>
            <w:rFonts w:eastAsia="Times New Roman" w:cs="Times New Roman"/>
            <w:szCs w:val="20"/>
          </w:rPr>
          <w:t>répertoire en libre accès regroupant les pratiques logicielles durables</w:t>
        </w:r>
      </w:hyperlink>
      <w:r w:rsidRPr="007D4988">
        <w:t xml:space="preserve"> du monde entier, appuyant un développement du numérique plus responsable sur le plan environnemental.</w:t>
      </w:r>
    </w:p>
    <w:p w14:paraId="123B0EAA" w14:textId="686BE458" w:rsidR="00AF1E0B" w:rsidRPr="007D4988" w:rsidRDefault="00AF1E0B" w:rsidP="00AF1E0B">
      <w:r w:rsidRPr="007D4988">
        <w:t xml:space="preserve">En ce qui concerne l'IA et les normes </w:t>
      </w:r>
      <w:r w:rsidR="00154C41" w:rsidRPr="007D4988">
        <w:t>environnementales</w:t>
      </w:r>
      <w:r w:rsidRPr="007D4988">
        <w:t>, la première étape de la procédure d'approbation a été menée à bien fin 2025 pour une nouvelle norme portant sur l'évaluation des incidences environnementales des systèmes d'IA.</w:t>
      </w:r>
    </w:p>
    <w:p w14:paraId="7BE205BF" w14:textId="35BB5A33" w:rsidR="006A7306" w:rsidRPr="007D4988" w:rsidRDefault="00181B65" w:rsidP="00AF1E0B">
      <w:r w:rsidRPr="007D4988">
        <w:t xml:space="preserve">L'UIT mène en outre </w:t>
      </w:r>
      <w:r w:rsidR="006A7306" w:rsidRPr="007D4988">
        <w:t>ses travaux sur l'intelligence artificielle responsable et durable dans le cadre de divers partenariats, notamment la Coalition pour une IA durable, qui réunit un réseau d'acteurs divers représentant des gouvernements, le secteur privé, des établissements universitaires et la société civile en vue d'accélérer l'adoption de mesures concrètes. Grâce à des dialogues ciblés et à des axes de travail communs, la Coalition a encouragé des approches communes pour évaluer et réduire l'empreinte environnementale des systèmes d'IA, tout en appuyant la transparence, la réalisation de mesures et les bonnes pratiques qui peuvent être adoptées par les parties prenantes à différents niveaux de capacité.</w:t>
      </w:r>
    </w:p>
    <w:p w14:paraId="29036700" w14:textId="77777777" w:rsidR="006A7306" w:rsidRPr="007D4988" w:rsidRDefault="006A7306" w:rsidP="006A7306">
      <w:pPr>
        <w:pStyle w:val="Headingb"/>
      </w:pPr>
      <w:r w:rsidRPr="007D4988">
        <w:t>Initiatives et collaboration en matière d'économie circulaire</w:t>
      </w:r>
    </w:p>
    <w:p w14:paraId="02933329" w14:textId="77777777" w:rsidR="006A7306" w:rsidRPr="007D4988" w:rsidRDefault="006A7306" w:rsidP="006A7306">
      <w:r w:rsidRPr="007D4988">
        <w:t>L'UIT a renforcé ses travaux de normalisation dans le domaine de l'économie circulaire dans le cadre de l'initiative "Le passage au numérique au service de l'économie circulaire" (D4CE), en collaboration avec des partenaires des Nations Unies tels que le réseau One Planet du PNUE et l'ONUDI, ainsi qu'avec une vaste coalition de parties prenantes afin de promouvoir des solutions numériques qui permettent une consommation et une production plus durables. Parmi les principaux axes de travail, la coalition D4CE a permis d'appuyer la collaboration sur les passeports numériques de produits, en mettant en avant l'interopérabilité, la gouvernance des données et les informations utiles pour l'utilisateur qui peuvent permettre d'améliorer les approches circulaires, de réduire les déchets d'équipements électriques et électroniques et de mettre en place des chaînes de valeur plus efficaces sur le plan des ressources.</w:t>
      </w:r>
    </w:p>
    <w:p w14:paraId="641E5C4C" w14:textId="77777777" w:rsidR="006A7306" w:rsidRPr="007D4988" w:rsidRDefault="006A7306" w:rsidP="006A7306">
      <w:pPr>
        <w:pStyle w:val="Headingb"/>
      </w:pPr>
      <w:r w:rsidRPr="007D4988">
        <w:t>Initiatives internes en matière de durabilité</w:t>
      </w:r>
    </w:p>
    <w:p w14:paraId="7BC7B67C" w14:textId="77777777" w:rsidR="006A7306" w:rsidRPr="007D4988" w:rsidRDefault="006A7306" w:rsidP="006A7306">
      <w:pPr>
        <w:keepNext/>
        <w:keepLines/>
      </w:pPr>
      <w:r w:rsidRPr="007D4988">
        <w:t>Entre 2022 et 2025, l'UIT a mis en œuvre son système de gestion environnementale conformément aux exigences définies dans la norme ISO 14001 et dans l'initiative de l'ONU "Du bleu au vert", en mettant en place une gouvernance officielle, des objectifs à l'échelle de l'organisation, une formation obligatoire pour le personnel, un suivi systématique des données environnementales, des audits internes et des examens annuels portant sur la gestion. Cette période a été marquée par la transformation d'une volonté stratégique en une pratique intégrée, les considérations environnementales étant progressivement intégrées dans la gestion des installations, les manifestations, les voyages, la passation de marché et les opérations TIC, ce qui a offert une base structurée pour permettre une réduction mesurable des gaz à effet de serre et des gains d'efficacité opérationnels à long terme.</w:t>
      </w:r>
    </w:p>
    <w:p w14:paraId="37B0B2F3" w14:textId="77777777" w:rsidR="006A7306" w:rsidRPr="007D4988" w:rsidRDefault="006A7306" w:rsidP="006A7306">
      <w:pPr>
        <w:pStyle w:val="Heading2"/>
      </w:pPr>
      <w:bookmarkStart w:id="117" w:name="_5.5_Partenariats_et"/>
      <w:bookmarkStart w:id="118" w:name="Para55"/>
      <w:bookmarkStart w:id="119" w:name="_Toc225488912"/>
      <w:bookmarkEnd w:id="117"/>
      <w:bookmarkEnd w:id="118"/>
      <w:r w:rsidRPr="007D4988">
        <w:t>5.5</w:t>
      </w:r>
      <w:r w:rsidRPr="007D4988">
        <w:tab/>
        <w:t>Partenariats et coopération internationale</w:t>
      </w:r>
      <w:bookmarkEnd w:id="119"/>
    </w:p>
    <w:p w14:paraId="10CDF084" w14:textId="24AF6D9B" w:rsidR="006A7306" w:rsidRPr="007D4988" w:rsidRDefault="006A7306" w:rsidP="006A7306">
      <w:r w:rsidRPr="007D4988">
        <w:t>La coopération, le partage des ressources et des mécanismes où tous les acteurs – pouvoirs publics, secteur privé et utilisateurs – sont gagnants contribuent à faire de la technologie un service de base fondamental qui est utile à tous. L'UIT a consolidé un vaste écosystème de partenariats et d'initiatives stratégiques destinés à accélérer la transformation numérique durable et progresser dans la réalisation des Objectifs de développement durable des Nations</w:t>
      </w:r>
      <w:r w:rsidR="007D5962" w:rsidRPr="007D4988">
        <w:t> </w:t>
      </w:r>
      <w:r w:rsidRPr="007D4988">
        <w:t>Unies. En collaboration avec des institutions des Nations Unies, des gouvernements, le secteur privé, des établissements universitaires et la société civile, l'UIT s'est attachée à développer une connectivité efficace, à promouvoir un développement numérique inclusif et tenant compte des questions de genre, à soutenir les utilisations innovantes de l'IA et des technologies émergentes, et à intégrer la durabilité et la résilience dans les normes, les infrastructures et les services partout dans le monde.</w:t>
      </w:r>
    </w:p>
    <w:p w14:paraId="4790C26F" w14:textId="77777777" w:rsidR="006A7306" w:rsidRPr="007D4988" w:rsidRDefault="006A7306" w:rsidP="006A7306">
      <w:r w:rsidRPr="007D4988">
        <w:t>Les paragraphes ci-après sont un récapitulatif des principaux partenariats pour la période considérée dans le présent rapport.</w:t>
      </w:r>
    </w:p>
    <w:p w14:paraId="177FE4EF" w14:textId="77777777" w:rsidR="006A7306" w:rsidRPr="007D4988" w:rsidRDefault="006A7306" w:rsidP="006A7306">
      <w:pPr>
        <w:pStyle w:val="Headingb"/>
      </w:pPr>
      <w:r w:rsidRPr="007D4988">
        <w:t>Coalition Partner2Connect</w:t>
      </w:r>
    </w:p>
    <w:p w14:paraId="207E58AD" w14:textId="77777777" w:rsidR="006A7306" w:rsidRPr="007D4988" w:rsidRDefault="006A7306" w:rsidP="006A7306">
      <w:r w:rsidRPr="007D4988">
        <w:t xml:space="preserve">La Coalition pour le numérique </w:t>
      </w:r>
      <w:hyperlink r:id="rId694" w:anchor="/fr" w:history="1">
        <w:r w:rsidRPr="007D4988">
          <w:rPr>
            <w:rStyle w:val="Hyperlink"/>
            <w:rFonts w:eastAsia="Times New Roman" w:cs="Times New Roman"/>
            <w:szCs w:val="20"/>
          </w:rPr>
          <w:t>"Partner2Connect" (P2C)</w:t>
        </w:r>
      </w:hyperlink>
      <w:r w:rsidRPr="007D4988">
        <w:t xml:space="preserve"> est devenue une alliance multi</w:t>
      </w:r>
      <w:r w:rsidRPr="007D4988">
        <w:noBreakHyphen/>
        <w:t>parties prenantes de l'UIT occupant une place de premier plan. Lancée en 2021 en étroite coopération avec le Bureau de l'Envoyé du Secrétaire général pour les technologies, le Bureau du Haut-Représentant des Nations Unies pour les pays les moins avancés et le Plan d'action pour la coopération numérique du Secrétaire général de l'ONU, cette plate</w:t>
      </w:r>
      <w:r w:rsidRPr="007D4988">
        <w:noBreakHyphen/>
        <w:t xml:space="preserve">forme a vocation à mobiliser des ressources, des partenariats et des engagements pour parvenir à une connectivité universelle efficace et à une transformation numérique durable. Des sessions P2C ont été organisées dans le cadre des Forums régionaux de l'UIT sur le développement, du Forum du SMSI et sur le Sommet sur l'intelligence artificielle au service du bien social, dans le cadre de Digital@UNGA, de la Conférence des Nations Unies sur les pays en développement sans littoral (PDSL3) et dans le cadre des manifestations d'accélération de mise en relation P2C organisées au niveau national dans les Caraïbes, au Guatemala et en Jamaïque, </w:t>
      </w:r>
      <w:hyperlink r:id="rId695" w:anchor="/fr" w:history="1">
        <w:r w:rsidRPr="007D4988">
          <w:rPr>
            <w:rStyle w:val="Hyperlink"/>
            <w:rFonts w:eastAsia="Times New Roman" w:cs="Times New Roman"/>
            <w:szCs w:val="20"/>
          </w:rPr>
          <w:t>entre autres</w:t>
        </w:r>
      </w:hyperlink>
      <w:r w:rsidRPr="007D4988">
        <w:t>. De nombreux webinaires et la réunion annuelle de l'Initiative P2C en décembre 2025 ont également fourni des possibilités d'annonces, de présentation d'informations et de collaboration.</w:t>
      </w:r>
    </w:p>
    <w:p w14:paraId="2A1CB300" w14:textId="73813D53" w:rsidR="006A7306" w:rsidRPr="007D4988" w:rsidRDefault="006A7306" w:rsidP="006A7306">
      <w:pPr>
        <w:keepLines/>
      </w:pPr>
      <w:r w:rsidRPr="007D4988">
        <w:t>Jusqu'à aujourd'hui, l'initiative Partner2Connect a mobilisé 1 060 engagements de</w:t>
      </w:r>
      <w:r w:rsidR="007D5962" w:rsidRPr="007D4988">
        <w:t> </w:t>
      </w:r>
      <w:r w:rsidRPr="007D4988">
        <w:t>492 entités de 149 pays, pour un montant total de 80,72 milliards USD, dont des engagements provenant de 30 institutions des Nations Unies. Aujourd'hui, 50% des entités participantes ont soumis des rapports d'activité, confirmant que Partner2Connect est non seulement une plate-forme d'engagements, mais aussi un mécanisme de suivi de la mise en œuvre et des incidences sur le terrain. Des réunions annuelles, des campagnes d'annonces de contributions ciblées, des tableaux de bord pour le suivi des engagements et des rapports et des activités renforcées de mise en relation aident les partenaires à annoncer et à mettre en œuvre leurs engagements, en particulier en faveur des PMA, des PDSL, des PEID et des populations déplacées. Ces travaux s'inscrivent dans un programme ambitieux visant à mobiliser 100 milliards USD d'engagements d'ici à la fin de 2026. P2C est une initiative entièrement financée par des ressources extrabudgétaires et bénéficie de financements provenant des contributions des champions P2C, initiative ouverte à tous les membres de l'UIT. Depuis décembre 2025, les champions P2C sont Amazon, Google, la Banque interaméricaine de développement, Microsoft et ZTE.</w:t>
      </w:r>
    </w:p>
    <w:p w14:paraId="304E0113" w14:textId="77777777" w:rsidR="005A3A04" w:rsidRPr="007D4988" w:rsidRDefault="005A3A04" w:rsidP="005A3A04">
      <w:pPr>
        <w:pStyle w:val="Headingb"/>
      </w:pPr>
      <w:r w:rsidRPr="007D4988">
        <w:t>Action du secteur du numérique pour l'environnement</w:t>
      </w:r>
    </w:p>
    <w:p w14:paraId="3B8C0D7E" w14:textId="77777777" w:rsidR="005A3A04" w:rsidRPr="007D4988" w:rsidRDefault="005A3A04" w:rsidP="005A3A04">
      <w:r w:rsidRPr="007D4988">
        <w:t>L'initiative "</w:t>
      </w:r>
      <w:hyperlink r:id="rId696" w:history="1">
        <w:r w:rsidRPr="007D4988">
          <w:rPr>
            <w:rStyle w:val="Hyperlink"/>
            <w:rFonts w:eastAsia="Times New Roman" w:cs="Times New Roman"/>
            <w:szCs w:val="20"/>
          </w:rPr>
          <w:t>Action du secteur du numérique pour l'environnement</w:t>
        </w:r>
      </w:hyperlink>
      <w:r w:rsidRPr="007D4988">
        <w:t xml:space="preserve">", lancée à la COP28 en 2023, est un partenariat multi-parties prenantes constitué par l'UIT et composé de plus de 40 entités. Lors des </w:t>
      </w:r>
      <w:hyperlink r:id="rId697" w:history="1">
        <w:r w:rsidRPr="007D4988">
          <w:rPr>
            <w:rStyle w:val="Hyperlink"/>
            <w:rFonts w:eastAsia="Times New Roman" w:cs="Times New Roman"/>
            <w:szCs w:val="20"/>
          </w:rPr>
          <w:t>COP28</w:t>
        </w:r>
      </w:hyperlink>
      <w:r w:rsidRPr="007D4988">
        <w:t xml:space="preserve">, </w:t>
      </w:r>
      <w:hyperlink r:id="rId698" w:history="1">
        <w:r w:rsidRPr="007D4988">
          <w:rPr>
            <w:rStyle w:val="Hyperlink"/>
            <w:rFonts w:eastAsia="Times New Roman" w:cs="Times New Roman"/>
            <w:szCs w:val="20"/>
          </w:rPr>
          <w:t>COP29</w:t>
        </w:r>
      </w:hyperlink>
      <w:r w:rsidRPr="007D4988">
        <w:t xml:space="preserve"> et </w:t>
      </w:r>
      <w:hyperlink r:id="rId699" w:history="1">
        <w:r w:rsidRPr="007D4988">
          <w:rPr>
            <w:rStyle w:val="Hyperlink"/>
            <w:rFonts w:eastAsia="Times New Roman" w:cs="Times New Roman"/>
            <w:szCs w:val="20"/>
          </w:rPr>
          <w:t>COP30</w:t>
        </w:r>
      </w:hyperlink>
      <w:r w:rsidRPr="007D4988">
        <w:t>, l'Union et ses partenaires ont œuvré ensemble pour mettre en place et développer cette initiative, en organisant plus de 80 sessions avec la participation de représentants de gouvernements, d'entreprises, de la société civile, d'institutions des Nations Unies et de banques multilatérales, afin de promouvoir les technologies numériques comme moyen d'atteindre les objectifs climatiques mondiaux. Dans le cadre de ces initiatives coordonnées, l'UIT a fait des politiques numériques, de la connectivité et de l'innovation les catalyseurs essentiels de l'atténuation des effets des changements climatiques, de la circularité et de la résilience, et a ainsi mis en avant la nécessité de mobiliser l'ensemble de l'écosystème pour résoudre la crise climatique.</w:t>
      </w:r>
    </w:p>
    <w:p w14:paraId="06EE8194" w14:textId="77777777" w:rsidR="005A3A04" w:rsidRPr="007D4988" w:rsidRDefault="005A3A04" w:rsidP="007D5962">
      <w:r w:rsidRPr="007D4988">
        <w:t xml:space="preserve">La COP30 organisée à Belém (Brésil) a servi de cadre pour la troisième édition de l'"Action du secteur du numérique pour l'environnement", qui a suivi la </w:t>
      </w:r>
      <w:hyperlink r:id="rId700" w:history="1">
        <w:r w:rsidRPr="007D4988">
          <w:rPr>
            <w:rStyle w:val="Hyperlink"/>
            <w:rFonts w:eastAsia="Times New Roman" w:cs="Times New Roman"/>
            <w:szCs w:val="20"/>
          </w:rPr>
          <w:t>Déclaration historique de la COP29</w:t>
        </w:r>
      </w:hyperlink>
      <w:r w:rsidRPr="007D4988">
        <w:t xml:space="preserve"> sur l'initiative en question, approuvée par plus de 80 pays et environ 1 800 entreprises, organisations et autres parties prenantes. La création du pôle d'action du secteur du numérique pour l'environnement (</w:t>
      </w:r>
      <w:hyperlink r:id="rId701" w:history="1">
        <w:r w:rsidRPr="007D4988">
          <w:rPr>
            <w:rStyle w:val="Hyperlink"/>
            <w:rFonts w:eastAsia="Times New Roman" w:cs="Times New Roman"/>
            <w:szCs w:val="20"/>
          </w:rPr>
          <w:t>Green Digital Action Hub</w:t>
        </w:r>
      </w:hyperlink>
      <w:r w:rsidRPr="007D4988">
        <w:t xml:space="preserve">), établi au Brésil à la suite de la COP30, constitue un événement marquant; ce pôle sera le centre névralgique pour la coordination des solutions numériques en faveur du climat dans le monde entier. Parmi les principaux objectifs du pôle figurent la mise en œuvre des activités du tout nouvel </w:t>
      </w:r>
      <w:hyperlink r:id="rId702" w:history="1">
        <w:r w:rsidRPr="007D4988">
          <w:rPr>
            <w:rStyle w:val="Hyperlink"/>
            <w:rFonts w:eastAsia="Times New Roman" w:cs="Times New Roman"/>
            <w:szCs w:val="20"/>
          </w:rPr>
          <w:t>Institut sur l'IA et le climat</w:t>
        </w:r>
      </w:hyperlink>
      <w:r w:rsidRPr="007D4988">
        <w:t xml:space="preserve">, qui vise à renforcer les capacités technologiques et à encourager l'innovation locale dans les pays en développement, afin que l'IA puisse contribuer efficacement à l'atténuation des effets des changements climatiques et à l'adaptation à ces effets. </w:t>
      </w:r>
    </w:p>
    <w:p w14:paraId="06EDC656" w14:textId="77777777" w:rsidR="005A3A04" w:rsidRPr="007D4988" w:rsidRDefault="005A3A04" w:rsidP="005A3A04">
      <w:r w:rsidRPr="007D4988">
        <w:t xml:space="preserve">Le </w:t>
      </w:r>
      <w:hyperlink r:id="rId703" w:history="1">
        <w:r w:rsidRPr="007D4988">
          <w:rPr>
            <w:rStyle w:val="Hyperlink"/>
            <w:rFonts w:eastAsia="Times New Roman" w:cs="Times New Roman"/>
            <w:szCs w:val="20"/>
          </w:rPr>
          <w:t>Sommet sur l'Action du secteur du numérique pour l'environnement</w:t>
        </w:r>
      </w:hyperlink>
      <w:r w:rsidRPr="007D4988">
        <w:t>, organisé conjointement avec l'Agence allemande pour l'environnement, a contribué à intensifier les efforts en évaluant les progrès accomplis depuis la COP29 et en suscitant une mobilisation collective avant la COP30. Il a réuni près de 50 intervenants, qui se sont exprimés lors de huit tables rondes, quatre discours, trois discussions informelles et une exposition d'art numérique.</w:t>
      </w:r>
    </w:p>
    <w:p w14:paraId="6ADE943A" w14:textId="77777777" w:rsidR="005A3A04" w:rsidRPr="007D4988" w:rsidRDefault="005A3A04" w:rsidP="0042272E">
      <w:r w:rsidRPr="007D4988">
        <w:t xml:space="preserve">L'initiative continue de renforcer un écosystème mondial de </w:t>
      </w:r>
      <w:hyperlink r:id="rId704" w:history="1">
        <w:r w:rsidRPr="007D4988">
          <w:rPr>
            <w:rStyle w:val="Hyperlink"/>
            <w:rFonts w:eastAsia="Times New Roman" w:cs="Times New Roman"/>
            <w:szCs w:val="20"/>
          </w:rPr>
          <w:t>partenaires</w:t>
        </w:r>
      </w:hyperlink>
      <w:r w:rsidRPr="007D4988">
        <w:t xml:space="preserve"> et d'</w:t>
      </w:r>
      <w:hyperlink r:id="rId705" w:history="1">
        <w:r w:rsidRPr="007D4988">
          <w:rPr>
            <w:rStyle w:val="Hyperlink"/>
            <w:rFonts w:eastAsia="Times New Roman" w:cs="Times New Roman"/>
            <w:szCs w:val="20"/>
          </w:rPr>
          <w:t>engagements</w:t>
        </w:r>
      </w:hyperlink>
      <w:r w:rsidRPr="007D4988">
        <w:t xml:space="preserve">, dans lequel le secteur privé, les gouvernements et les organisations s'emploient ensemble à favoriser une transformation numérique durable et à accélérer les progrès accomplis sur la voie de la neutralité carbone. Les </w:t>
      </w:r>
      <w:hyperlink r:id="rId706" w:history="1">
        <w:r w:rsidRPr="007D4988">
          <w:rPr>
            <w:rStyle w:val="Hyperlink"/>
            <w:rFonts w:eastAsia="Times New Roman" w:cs="Times New Roman"/>
            <w:szCs w:val="20"/>
          </w:rPr>
          <w:t>manifestations</w:t>
        </w:r>
      </w:hyperlink>
      <w:r w:rsidRPr="007D4988">
        <w:t xml:space="preserve"> communautaires, les échanges sur les solutions numériques pour le climat et un nombre croissant de publications de l'UIT appuient le partage de connaissances et l'innovation dans les différents secteurs. L'Action du secteur du numérique pour l'environnement, qui associe des représentants du secteur des technologies, d'organisations internationales et de la société civile, ainsi que des décideurs, constitue la pierre angulaire de l'utilisation des technologies numériques au service de la lutte contre les changements climatiques, et jette ainsi les bases d'un avenir numérique durable et inclusif pour tous.</w:t>
      </w:r>
    </w:p>
    <w:p w14:paraId="0919D689" w14:textId="7514D0C1" w:rsidR="00B422F7" w:rsidRPr="007D4988" w:rsidRDefault="00B422F7" w:rsidP="0042272E">
      <w:r w:rsidRPr="007D4988">
        <w:t xml:space="preserve">Pour en savoir plus sur les travaux liés au pilier thématique menés dans le cadre de l'Action du secteur du numérique pour l'environnement, voir la section </w:t>
      </w:r>
      <w:hyperlink w:anchor="_5.4_Engagement_en" w:history="1">
        <w:r w:rsidRPr="007D4988">
          <w:rPr>
            <w:rStyle w:val="Hyperlink"/>
            <w:rFonts w:eastAsia="Times New Roman" w:cs="Times New Roman"/>
            <w:szCs w:val="20"/>
          </w:rPr>
          <w:t>5.4</w:t>
        </w:r>
      </w:hyperlink>
      <w:r w:rsidRPr="007D4988">
        <w:t xml:space="preserve"> ci-dessus.</w:t>
      </w:r>
    </w:p>
    <w:p w14:paraId="59B162C5" w14:textId="77777777" w:rsidR="002C72A9" w:rsidRPr="007D4988" w:rsidRDefault="002C72A9" w:rsidP="002C72A9">
      <w:pPr>
        <w:pStyle w:val="Headingb"/>
      </w:pPr>
      <w:r w:rsidRPr="007D4988">
        <w:t>Digital@UNGA</w:t>
      </w:r>
    </w:p>
    <w:p w14:paraId="4EBE38C9" w14:textId="315E21BC" w:rsidR="005A3A04" w:rsidRPr="007D4988" w:rsidRDefault="002C72A9" w:rsidP="002C72A9">
      <w:r w:rsidRPr="007D4988">
        <w:t>Pour mettre en avant les solutions numériques susceptibles d'accélérer les progrès sur la voie de la réalisation du Programme 2030, l'UIT et le PNUD ont organisé d'importantes manifestations sur le développement du numérique au siège de l'ONU à New York, telles que les manifestations sur les thèmes "Le numérique au service des ODD" et "</w:t>
      </w:r>
      <w:hyperlink r:id="rId707" w:anchor="/fr" w:history="1">
        <w:r w:rsidRPr="007D4988">
          <w:rPr>
            <w:rStyle w:val="Hyperlink"/>
            <w:rFonts w:eastAsia="Times New Roman" w:cs="Times New Roman"/>
            <w:szCs w:val="20"/>
          </w:rPr>
          <w:t>Digital@UNGA</w:t>
        </w:r>
      </w:hyperlink>
      <w:r w:rsidRPr="007D4988">
        <w:t>". L'</w:t>
      </w:r>
      <w:hyperlink r:id="rId708" w:history="1">
        <w:r w:rsidRPr="007D4988">
          <w:rPr>
            <w:rStyle w:val="Hyperlink"/>
            <w:rFonts w:eastAsia="Times New Roman" w:cs="Times New Roman"/>
            <w:szCs w:val="20"/>
          </w:rPr>
          <w:t>édition de 2023</w:t>
        </w:r>
      </w:hyperlink>
      <w:r w:rsidRPr="007D4988">
        <w:t>, qui s'est tenue dans le cadre du week-end d'action en faveur des ODD, et l'</w:t>
      </w:r>
      <w:hyperlink r:id="rId709" w:history="1">
        <w:r w:rsidRPr="007D4988">
          <w:rPr>
            <w:rStyle w:val="Hyperlink"/>
            <w:rFonts w:eastAsia="Times New Roman" w:cs="Times New Roman"/>
            <w:szCs w:val="20"/>
          </w:rPr>
          <w:t>édition de 2024</w:t>
        </w:r>
      </w:hyperlink>
      <w:r w:rsidRPr="007D4988">
        <w:t>, organisée avant l'Assemblée générale des Nations Unies et le Sommet de l'avenir, ont donné l'occasion de mettre en avant des initiatives numériques évolutives et de souligner le rôle essentiel du numérique dans la réalisation du Programme 2030.</w:t>
      </w:r>
    </w:p>
    <w:p w14:paraId="72954D1C" w14:textId="29CB8EA4" w:rsidR="005A3A04" w:rsidRPr="007D4988" w:rsidRDefault="005A3A04" w:rsidP="005A3A04">
      <w:r w:rsidRPr="007D4988">
        <w:t xml:space="preserve">En 2025, afin de mettre en évidence l'importance sans cesse croissante du numérique dans tous les domaines du développement, la manifestation </w:t>
      </w:r>
      <w:hyperlink r:id="rId710" w:anchor="/fr" w:history="1">
        <w:r w:rsidRPr="007D4988">
          <w:rPr>
            <w:rStyle w:val="Hyperlink"/>
            <w:rFonts w:eastAsia="Times New Roman" w:cs="Times New Roman"/>
            <w:szCs w:val="20"/>
          </w:rPr>
          <w:t>Digital@UNGA</w:t>
        </w:r>
      </w:hyperlink>
      <w:r w:rsidRPr="007D4988">
        <w:t xml:space="preserve"> a inscrit cet héritage dans la modernité en mettant en valeur, en présentant et en célébrant l'innovation numérique lors de l'Assemblée générale des Nations Unies, tenue en septembre. Outre une manifestation phare organisée conjointement par l'UIT et le PNUD, le programme Digital@UNGA comprenait également 46 sessions associées dirigées par plus de</w:t>
      </w:r>
      <w:r w:rsidR="00632B34" w:rsidRPr="007D4988">
        <w:t> </w:t>
      </w:r>
      <w:r w:rsidRPr="007D4988">
        <w:t>80</w:t>
      </w:r>
      <w:r w:rsidR="00632B34" w:rsidRPr="007D4988">
        <w:t> </w:t>
      </w:r>
      <w:r w:rsidRPr="007D4988">
        <w:t xml:space="preserve">organisations, qui ont permis d'accroître sensiblement la portée et l'influence des activités de l'UIT pendant la Semaine de haut niveau des Nations Unies. Une édition spéciale de la manifestation Digital@UNGA, baptisée "Digital@UNGA – </w:t>
      </w:r>
      <w:r w:rsidR="00632B34" w:rsidRPr="007D4988">
        <w:t>É</w:t>
      </w:r>
      <w:r w:rsidRPr="007D4988">
        <w:t>dition SMSI", a également eu lieu en décembre, avant l'examen de haut niveau du SMSI+20. L'initiative Digital@UNGA, qui rassemble des responsables des pouvoirs publics, de la société civile, du secteur privé, de groupes pour la jeunesse et d'établissements universitaires, invite à réfléchir aux tendances, aux risques et aux possibilités associés aux technologies numériques et émergentes.</w:t>
      </w:r>
    </w:p>
    <w:p w14:paraId="64BC200F" w14:textId="77777777" w:rsidR="005A3A04" w:rsidRPr="007D4988" w:rsidRDefault="005A3A04" w:rsidP="005A3A04">
      <w:pPr>
        <w:pStyle w:val="Headingb"/>
      </w:pPr>
      <w:r w:rsidRPr="007D4988">
        <w:t>Commission sur le large bande – Le large bande au cœur des préoccupations des décideurs au niveau international depuis 15 ans: quelles conséquences?</w:t>
      </w:r>
    </w:p>
    <w:p w14:paraId="2026C714" w14:textId="77777777" w:rsidR="005A3A04" w:rsidRPr="007D4988" w:rsidRDefault="005A3A04" w:rsidP="005A3A04">
      <w:r w:rsidRPr="007D4988">
        <w:t xml:space="preserve">La </w:t>
      </w:r>
      <w:hyperlink r:id="rId711" w:history="1">
        <w:r w:rsidRPr="007D4988">
          <w:rPr>
            <w:rStyle w:val="Hyperlink"/>
            <w:rFonts w:eastAsia="Times New Roman" w:cs="Times New Roman"/>
            <w:szCs w:val="20"/>
          </w:rPr>
          <w:t>Commission "Le large bande au service du développement durable"</w:t>
        </w:r>
      </w:hyperlink>
      <w:r w:rsidRPr="007D4988">
        <w:t xml:space="preserve"> a été créée en 2010 par l'UIT et l'UNESCO, sous la direction de S. E. M. Paul Kagame, Président du Rwanda, et de M. Carlos Slim Helú, chef d'entreprise mexicain de la Fondation Carlos Slim, afin de promouvoir la connectivité large bande universelle en vue de la réalisation du Programme des Nations Unies à l'horizon 2030 et de ses </w:t>
      </w:r>
      <w:hyperlink r:id="rId712" w:history="1">
        <w:r w:rsidRPr="007D4988">
          <w:rPr>
            <w:rStyle w:val="Hyperlink"/>
            <w:rFonts w:eastAsia="Times New Roman" w:cs="Times New Roman"/>
            <w:szCs w:val="20"/>
          </w:rPr>
          <w:t>sept grands objectifs mondiaux</w:t>
        </w:r>
      </w:hyperlink>
      <w:r w:rsidRPr="007D4988">
        <w:t>.</w:t>
      </w:r>
    </w:p>
    <w:p w14:paraId="0AB005C3" w14:textId="77777777" w:rsidR="005A3A04" w:rsidRPr="007D4988" w:rsidRDefault="005A3A04" w:rsidP="005A3A04">
      <w:r w:rsidRPr="007D4988">
        <w:t xml:space="preserve">En 2025, la Commission a fêté son 15ème anniversaire et célébré le succès remarquable du suivi des progrès réalisés en ce qui concerne le large bande et l'inclusion numérique. Après avoir contribué pendant 15 ans à faire progresser la connectivité large bande grâce à des partenariats multi-parties prenantes et à des activités de sensibilisation, le cadre stratégique de la Commission sur le large bande au service du développement durable, doté des </w:t>
      </w:r>
      <w:hyperlink r:id="rId713" w:history="1">
        <w:r w:rsidRPr="007D4988">
          <w:rPr>
            <w:rStyle w:val="Hyperlink"/>
            <w:rFonts w:eastAsia="Times New Roman" w:cs="Times New Roman"/>
            <w:szCs w:val="20"/>
          </w:rPr>
          <w:t>grands objectifs pour le développement du large bande</w:t>
        </w:r>
      </w:hyperlink>
      <w:r w:rsidRPr="007D4988">
        <w:t xml:space="preserve">, est arrivé à expiration fin 2025. Au cours de son existence, la Commission a publié plus de 100 supports de connaissance, dont 15 rapports annuels phares sur la </w:t>
      </w:r>
      <w:hyperlink r:id="rId714" w:history="1">
        <w:r w:rsidRPr="007D4988">
          <w:rPr>
            <w:rStyle w:val="Hyperlink"/>
            <w:rFonts w:eastAsia="Times New Roman" w:cs="Times New Roman"/>
            <w:szCs w:val="20"/>
          </w:rPr>
          <w:t>situation du large bande</w:t>
        </w:r>
      </w:hyperlink>
      <w:r w:rsidRPr="007D4988">
        <w:t>, qui fournissent des données, des informations et des analyses sur les incidences au niveau régional, et proposent des solutions pour combler les lacunes en matière de connectivité. Les plus de 35 </w:t>
      </w:r>
      <w:hyperlink r:id="rId715" w:history="1">
        <w:r w:rsidRPr="007D4988">
          <w:rPr>
            <w:rStyle w:val="Hyperlink"/>
            <w:rFonts w:eastAsia="Times New Roman" w:cs="Times New Roman"/>
            <w:szCs w:val="20"/>
          </w:rPr>
          <w:t>groupes de travail</w:t>
        </w:r>
      </w:hyperlink>
      <w:r w:rsidRPr="007D4988">
        <w:t xml:space="preserve"> de la Commission, appuyés par une communauté de plus de 500 experts internationaux, ont produit des travaux de recherche avant-gardistes et des recommandations concrètes dans des domaines prioritaires tels que la santé numérique, l'éducation, le genre, l'inclusion numérique, ou encore la finance. En 2025, le </w:t>
      </w:r>
      <w:hyperlink r:id="rId716" w:history="1">
        <w:r w:rsidRPr="007D4988">
          <w:rPr>
            <w:rStyle w:val="Hyperlink"/>
            <w:rFonts w:eastAsia="Times New Roman" w:cs="Times New Roman"/>
            <w:szCs w:val="20"/>
          </w:rPr>
          <w:t>Groupe de travail sur la gouvernance des données</w:t>
        </w:r>
      </w:hyperlink>
      <w:r w:rsidRPr="007D4988">
        <w:t xml:space="preserve">, coprésidé par l'UIT, l'UNESCO, le PNUD et l'Union africaine, a élaboré les principaux produits et présenté le rapport final. </w:t>
      </w:r>
    </w:p>
    <w:p w14:paraId="1DD9C5DC" w14:textId="77777777" w:rsidR="005A3A04" w:rsidRPr="007D4988" w:rsidRDefault="005A3A04" w:rsidP="005A3A04">
      <w:r w:rsidRPr="007D4988">
        <w:t xml:space="preserve">Plus de 70 recommandations de politique générale concrètes ont été publiées; elles portent sur des questions essentielles telles que le partage des infrastructures large bande, l'investissement et la politique en matière de spectre, pour n'en citer que quelques-unes. La Commission a également défini sept grands objectifs mondialement reconnus concernant le large bande, qui ont donné des indications sur les programmes à appliquer aux niveaux régional et international pour développer le large bande et parvenir à la connectivité universelle. Parmi eux, l'objectif d'accessibilité financière, initialement fixé à 5% du revenu mensuel puis ramené à 2%, a été adopté comme référence par les gouvernements et le secteur privé à l'échelle mondiale et est mesuré chaque année par l'UIT. </w:t>
      </w:r>
    </w:p>
    <w:p w14:paraId="46884F5B" w14:textId="12B5F195" w:rsidR="005A3A04" w:rsidRPr="007D4988" w:rsidRDefault="005A3A04" w:rsidP="005A3A04">
      <w:r w:rsidRPr="007D4988">
        <w:t xml:space="preserve">L'année de son 15ème anniversaire, la Commission a publié une nouvelle série de rapports en quatre parties intitulée "La situation du large bande en 2025". Ces rapports approfondis sont révélateurs de la complexité croissante de l'écosystème du large bande et du numérique et contiennent des informations ciblées sur des questions spécifiques: les progrès accomplis dans la réalisation des sept </w:t>
      </w:r>
      <w:hyperlink r:id="rId717" w:history="1">
        <w:r w:rsidRPr="007D4988">
          <w:rPr>
            <w:rStyle w:val="Hyperlink"/>
            <w:rFonts w:eastAsia="Times New Roman" w:cs="Times New Roman"/>
            <w:szCs w:val="20"/>
          </w:rPr>
          <w:t>grands objectifs</w:t>
        </w:r>
      </w:hyperlink>
      <w:r w:rsidRPr="007D4988">
        <w:t xml:space="preserve"> de la Commission; le développement régional, et plus particulièrement celui de l'Afrique; les technologies satellitaires et les technologies autres que de Terre émergentes; et la question de la transformation plus large des sociétés numériques, y compris de l'IA, de la gouvernance des données et de l'infrastructure numérique. Cette édition spéciale a également été étayée par une </w:t>
      </w:r>
      <w:hyperlink r:id="rId718" w:history="1">
        <w:r w:rsidRPr="007D4988">
          <w:rPr>
            <w:rStyle w:val="Hyperlink"/>
            <w:rFonts w:eastAsia="Times New Roman" w:cs="Times New Roman"/>
            <w:szCs w:val="20"/>
          </w:rPr>
          <w:t>série de podcasts</w:t>
        </w:r>
      </w:hyperlink>
      <w:r w:rsidRPr="007D4988">
        <w:t>.</w:t>
      </w:r>
    </w:p>
    <w:p w14:paraId="58931CB7" w14:textId="77777777" w:rsidR="00632B34" w:rsidRPr="007D4988" w:rsidRDefault="005A3A04" w:rsidP="005A3A04">
      <w:r w:rsidRPr="007D4988">
        <w:t>La Commission a contribué à accélérer des initiatives mondiales, telles que le Partenariat EQUALS pour réduire la fracture numérique entre les hommes et les femmes; l'initiative Giga, pour connecter toutes les écoles à l'Internet; et l'initiative de l'UNESCO sur les écoles en ligne. La commission a guidé le début des travaux concernant la Déclaration universelle sur la sécurité en ligne des enfants et a publié un Programme d'action visant à appuyer les stratégies d'intervention dans le domaine du numérique pendant la pandémie de COVID</w:t>
      </w:r>
      <w:r w:rsidRPr="007D4988">
        <w:noBreakHyphen/>
        <w:t xml:space="preserve">19. Elle a créé un précédent intéressant en ce qui concerne l'importance du travail collaboratif pour connecter ceux qui ne le sont pas encore et a contribué à jeter les bases de l'avenir numérique. Plusieurs des axes de travail de la commission continuent d'éclairer ses </w:t>
      </w:r>
      <w:r w:rsidR="00632B34" w:rsidRPr="007D4988">
        <w:br w:type="page"/>
      </w:r>
    </w:p>
    <w:p w14:paraId="76592601" w14:textId="0CA95E4B" w:rsidR="005A3A04" w:rsidRPr="007D4988" w:rsidRDefault="005A3A04" w:rsidP="005A3A04">
      <w:r w:rsidRPr="007D4988">
        <w:t xml:space="preserve">travaux communs par le biais d'autres initiatives stratégiques, telles que le </w:t>
      </w:r>
      <w:hyperlink r:id="rId719" w:history="1">
        <w:r w:rsidRPr="007D4988">
          <w:rPr>
            <w:rStyle w:val="Hyperlink"/>
            <w:rFonts w:eastAsia="Times New Roman" w:cs="Times New Roman"/>
            <w:szCs w:val="20"/>
          </w:rPr>
          <w:t>Partenariat mondial EQUALS</w:t>
        </w:r>
      </w:hyperlink>
      <w:r w:rsidRPr="007D4988">
        <w:t>, l'</w:t>
      </w:r>
      <w:hyperlink r:id="rId720" w:history="1">
        <w:r w:rsidRPr="007D4988">
          <w:rPr>
            <w:rStyle w:val="Hyperlink"/>
            <w:rFonts w:eastAsia="Times New Roman" w:cs="Times New Roman"/>
            <w:szCs w:val="20"/>
          </w:rPr>
          <w:t>initiative Giga UNICEF-UIT</w:t>
        </w:r>
      </w:hyperlink>
      <w:r w:rsidRPr="007D4988">
        <w:t xml:space="preserve">, le </w:t>
      </w:r>
      <w:hyperlink r:id="rId721" w:history="1">
        <w:r w:rsidRPr="007D4988">
          <w:rPr>
            <w:rStyle w:val="Hyperlink"/>
            <w:rFonts w:eastAsia="Times New Roman" w:cs="Times New Roman"/>
            <w:szCs w:val="20"/>
          </w:rPr>
          <w:t>kit pratique sur la gouvernance des données</w:t>
        </w:r>
      </w:hyperlink>
      <w:r w:rsidRPr="007D4988">
        <w:t xml:space="preserve"> et la </w:t>
      </w:r>
      <w:hyperlink r:id="rId722" w:anchor="/fr" w:history="1">
        <w:r w:rsidRPr="007D4988">
          <w:rPr>
            <w:rStyle w:val="Hyperlink"/>
            <w:rFonts w:eastAsia="Times New Roman" w:cs="Times New Roman"/>
            <w:szCs w:val="20"/>
          </w:rPr>
          <w:t>Coalition pour le numérique Partner2Connect de l'UIT</w:t>
        </w:r>
      </w:hyperlink>
      <w:r w:rsidRPr="007D4988">
        <w:t>.</w:t>
      </w:r>
    </w:p>
    <w:p w14:paraId="5513ED4C" w14:textId="77777777" w:rsidR="005A3A04" w:rsidRPr="007D4988" w:rsidRDefault="005A3A04" w:rsidP="0042272E">
      <w:r w:rsidRPr="007D4988">
        <w:t>La Commission sur le large bande va maintenant entamer un nouveau chapitre dans lequel elle élargira son champ de connaissances et de compétences à l'ère de l'IA et des données. Grâce à son expérience en matière de coopération multi-parties prenantes constructive et soutenue, elle offre un cadre solide pour relever les défis numériques de prochaine génération.</w:t>
      </w:r>
    </w:p>
    <w:p w14:paraId="78835D0A" w14:textId="77777777" w:rsidR="005A3A04" w:rsidRPr="007D4988" w:rsidRDefault="005A3A04" w:rsidP="005A3A04">
      <w:pPr>
        <w:pStyle w:val="Headingb"/>
      </w:pPr>
      <w:r w:rsidRPr="007D4988">
        <w:t>Partenariat EQUALS – Promouvoir l'accès, les compétences et les responsabilités dans le secteur des TIC pour les femmes et les filles</w:t>
      </w:r>
    </w:p>
    <w:p w14:paraId="62954011" w14:textId="77777777" w:rsidR="005A3A04" w:rsidRPr="007D4988" w:rsidRDefault="005A3A04" w:rsidP="005A3A04">
      <w:r w:rsidRPr="007D4988">
        <w:t xml:space="preserve">En tant que partenaire hôte et cofondateur du </w:t>
      </w:r>
      <w:hyperlink r:id="rId723" w:history="1">
        <w:r w:rsidRPr="007D4988">
          <w:rPr>
            <w:rStyle w:val="Hyperlink"/>
            <w:rFonts w:eastAsia="Times New Roman" w:cs="Times New Roman"/>
            <w:szCs w:val="20"/>
          </w:rPr>
          <w:t>Partenariat mondial EQUALS pour l'égalité hommes</w:t>
        </w:r>
        <w:r w:rsidRPr="007D4988">
          <w:rPr>
            <w:rStyle w:val="Hyperlink"/>
            <w:rFonts w:eastAsia="Times New Roman" w:cs="Times New Roman"/>
            <w:szCs w:val="20"/>
          </w:rPr>
          <w:noBreakHyphen/>
          <w:t>femmes à l'ère numérique</w:t>
        </w:r>
      </w:hyperlink>
      <w:r w:rsidRPr="007D4988">
        <w:t xml:space="preserve">, l'UIT œuvre, avec plus de 100 partenaires de tous les secteurs, à la réduction de la fracture numérique entre les hommes et les femmes, en appuyant les efforts déployés dans le cadre des coalitions sur l'accès, les compétences, l'encadrement et la recherche. Le Partenariat </w:t>
      </w:r>
      <w:hyperlink r:id="rId724" w:history="1">
        <w:r w:rsidRPr="007D4988">
          <w:rPr>
            <w:rStyle w:val="Hyperlink"/>
            <w:rFonts w:eastAsia="Times New Roman" w:cs="Times New Roman"/>
            <w:szCs w:val="20"/>
          </w:rPr>
          <w:t>EQUALS</w:t>
        </w:r>
      </w:hyperlink>
      <w:r w:rsidRPr="007D4988">
        <w:t xml:space="preserve"> est un groupe engagé composé de dirigeants du secteur privé, de gouvernements, d'entreprises, d'organisations à but non lucratif, d'établissements universitaires, d'ONG et de groupes communautaires du monde entier, qui œuvre en faveur de la parité dans le secteur des technologies en préconisant, aussi bien pour les femmes que pour les hommes, l'égalité d'accès, le renforcement des compétences et l'accès à des possibilités de carrière.</w:t>
      </w:r>
    </w:p>
    <w:p w14:paraId="12C7BAB3" w14:textId="04A41C13" w:rsidR="005A3A04" w:rsidRPr="007D4988" w:rsidRDefault="005A3A04" w:rsidP="005A3A04">
      <w:r w:rsidRPr="007D4988">
        <w:t>Ce partenariat soutient la collaboration et la transposition à plus grande échelle des initiatives mises en œuvre avec succès par ses coalitions sur l'</w:t>
      </w:r>
      <w:hyperlink r:id="rId725" w:history="1">
        <w:r w:rsidRPr="007D4988">
          <w:rPr>
            <w:rStyle w:val="Hyperlink"/>
            <w:rFonts w:eastAsia="Times New Roman" w:cs="Times New Roman"/>
            <w:szCs w:val="20"/>
          </w:rPr>
          <w:t>accès</w:t>
        </w:r>
      </w:hyperlink>
      <w:r w:rsidRPr="007D4988">
        <w:t xml:space="preserve">, les </w:t>
      </w:r>
      <w:hyperlink r:id="rId726" w:history="1">
        <w:r w:rsidRPr="007D4988">
          <w:rPr>
            <w:rStyle w:val="Hyperlink"/>
            <w:rFonts w:eastAsia="Times New Roman" w:cs="Times New Roman"/>
            <w:szCs w:val="20"/>
          </w:rPr>
          <w:t>compétences</w:t>
        </w:r>
      </w:hyperlink>
      <w:r w:rsidRPr="007D4988">
        <w:t>, l'</w:t>
      </w:r>
      <w:hyperlink r:id="rId727" w:history="1">
        <w:r w:rsidRPr="007D4988">
          <w:rPr>
            <w:rStyle w:val="Hyperlink"/>
            <w:rFonts w:eastAsia="Times New Roman" w:cs="Times New Roman"/>
            <w:szCs w:val="20"/>
          </w:rPr>
          <w:t>encadrement</w:t>
        </w:r>
      </w:hyperlink>
      <w:r w:rsidRPr="007D4988">
        <w:t xml:space="preserve"> et la </w:t>
      </w:r>
      <w:hyperlink r:id="rId728" w:history="1">
        <w:r w:rsidRPr="007D4988">
          <w:rPr>
            <w:rStyle w:val="Hyperlink"/>
            <w:rFonts w:eastAsia="Times New Roman" w:cs="Times New Roman"/>
            <w:szCs w:val="20"/>
          </w:rPr>
          <w:t>recherche</w:t>
        </w:r>
      </w:hyperlink>
      <w:r w:rsidRPr="007D4988">
        <w:t xml:space="preserve">, afin d'inverser la fracture numérique grandissante entre les hommes et les femmes et d'accélérer la réalisation de l'Objectif de développement durable 5, en particulier de la </w:t>
      </w:r>
      <w:r w:rsidR="00D4642E" w:rsidRPr="007D4988">
        <w:t>C</w:t>
      </w:r>
      <w:r w:rsidRPr="007D4988">
        <w:t xml:space="preserve">ible 5.B visant à améliorer l'accès des femmes aux TIC grâce à des </w:t>
      </w:r>
      <w:hyperlink r:id="rId729" w:history="1">
        <w:r w:rsidRPr="007D4988">
          <w:rPr>
            <w:rStyle w:val="Hyperlink"/>
            <w:rFonts w:eastAsia="Times New Roman" w:cs="Times New Roman"/>
            <w:szCs w:val="20"/>
          </w:rPr>
          <w:t>ateliers</w:t>
        </w:r>
      </w:hyperlink>
      <w:r w:rsidRPr="007D4988">
        <w:t xml:space="preserve">, à des </w:t>
      </w:r>
      <w:hyperlink r:id="rId730" w:history="1">
        <w:r w:rsidRPr="007D4988">
          <w:rPr>
            <w:rStyle w:val="Hyperlink"/>
            <w:rFonts w:eastAsia="Times New Roman" w:cs="Times New Roman"/>
            <w:szCs w:val="20"/>
          </w:rPr>
          <w:t>sessions de mentorat en ligne</w:t>
        </w:r>
      </w:hyperlink>
      <w:r w:rsidRPr="007D4988">
        <w:t xml:space="preserve"> auprès de professionnels des technologies aguerris et un </w:t>
      </w:r>
      <w:hyperlink r:id="rId731" w:history="1">
        <w:r w:rsidRPr="007D4988">
          <w:rPr>
            <w:rStyle w:val="Hyperlink"/>
            <w:rFonts w:eastAsia="Times New Roman" w:cs="Times New Roman"/>
            <w:szCs w:val="20"/>
          </w:rPr>
          <w:t>programme de certification</w:t>
        </w:r>
      </w:hyperlink>
      <w:r w:rsidRPr="007D4988">
        <w:t>.</w:t>
      </w:r>
    </w:p>
    <w:p w14:paraId="1352156F" w14:textId="77777777" w:rsidR="005A3A04" w:rsidRPr="007D4988" w:rsidRDefault="005A3A04" w:rsidP="005A3A04">
      <w:r w:rsidRPr="007D4988">
        <w:t>Aux côtés de ses partenaires, l'UIT a fait la promotion de programmes tels que le projet EQUALS "</w:t>
      </w:r>
      <w:hyperlink r:id="rId732" w:history="1">
        <w:r w:rsidRPr="007D4988">
          <w:rPr>
            <w:rStyle w:val="Hyperlink"/>
            <w:rFonts w:eastAsia="Times New Roman" w:cs="Times New Roman"/>
            <w:szCs w:val="20"/>
          </w:rPr>
          <w:t>Her Digital Skills</w:t>
        </w:r>
      </w:hyperlink>
      <w:r w:rsidRPr="007D4988">
        <w:t>" (Ses compétences numériques) et l'initiative qu'elle mène conjointement avec le Cadre intégré renforcé (CIR) au titre du Partenariat EQUALS, intitulée "</w:t>
      </w:r>
      <w:hyperlink r:id="rId733" w:history="1">
        <w:r w:rsidRPr="007D4988">
          <w:rPr>
            <w:rStyle w:val="Hyperlink"/>
            <w:rFonts w:eastAsia="Times New Roman" w:cs="Times New Roman"/>
            <w:szCs w:val="20"/>
          </w:rPr>
          <w:t>Les technologies en tant que catalyseurs de débouchés économiques pour les femmes</w:t>
        </w:r>
      </w:hyperlink>
      <w:r w:rsidRPr="007D4988">
        <w:t xml:space="preserve">"; ces programmes ont permis d'organiser des ateliers, de faire bénéficier de sessions de mentorat et de fournir un appui en matière d'entrepreneuriat à l'intention de femmes et de jeunes filles dans divers pays et secteurs. Les </w:t>
      </w:r>
      <w:hyperlink r:id="rId734" w:history="1">
        <w:r w:rsidRPr="007D4988">
          <w:rPr>
            <w:rStyle w:val="Hyperlink"/>
            <w:rFonts w:eastAsia="Times New Roman" w:cs="Times New Roman"/>
            <w:szCs w:val="20"/>
          </w:rPr>
          <w:t>Prix EQUALS in Tech</w:t>
        </w:r>
      </w:hyperlink>
      <w:r w:rsidRPr="007D4988">
        <w:t>, qui ont fêté leur 10ème anniversaire, continuent de récompenser des initiatives remarquables entreprises dans le monde entier pour promouvoir la participation et le rôle directeur des femmes dans l'économie numérique.</w:t>
      </w:r>
    </w:p>
    <w:p w14:paraId="4F0D03D6" w14:textId="77777777" w:rsidR="005A3A04" w:rsidRPr="007D4988" w:rsidRDefault="005A3A04" w:rsidP="005A3A04">
      <w:pPr>
        <w:pStyle w:val="Headingb"/>
      </w:pPr>
      <w:r w:rsidRPr="007D4988">
        <w:t>Initiative Giga – À l'œuvre pour connecter toutes les écoles à l'Internet</w:t>
      </w:r>
    </w:p>
    <w:p w14:paraId="4EAFBDC1" w14:textId="77777777" w:rsidR="00D4642E" w:rsidRPr="007D4988" w:rsidRDefault="005A3A04" w:rsidP="005A3A04">
      <w:r w:rsidRPr="007D4988">
        <w:t>L'</w:t>
      </w:r>
      <w:hyperlink r:id="rId735" w:history="1">
        <w:r w:rsidRPr="007D4988">
          <w:rPr>
            <w:rStyle w:val="Hyperlink"/>
            <w:rFonts w:eastAsia="Times New Roman" w:cs="Times New Roman"/>
            <w:szCs w:val="20"/>
          </w:rPr>
          <w:t>Initiative Giga</w:t>
        </w:r>
      </w:hyperlink>
      <w:r w:rsidRPr="007D4988">
        <w:t xml:space="preserve"> lancée en 2019 conjointement par l'UIT et l'UNICEF vise à aider les gouvernements et d'autres parties prenantes à connecter chaque école à l'Internet et à permettre à chaque élève d'avoir accès aux services issus des technologies de l'information, de bénéficier de nouvelles possibilités et d'avoir la liberté de choix, d'ici à 2030. Depuis sa </w:t>
      </w:r>
      <w:r w:rsidR="00D4642E" w:rsidRPr="007D4988">
        <w:br w:type="page"/>
      </w:r>
    </w:p>
    <w:p w14:paraId="415911A4" w14:textId="17951E15" w:rsidR="005A3A04" w:rsidRPr="007D4988" w:rsidRDefault="005A3A04" w:rsidP="005A3A04">
      <w:r w:rsidRPr="007D4988">
        <w:t>création, cette initiative a permis de cartographier plus de 2,2 millions d'écoles dans 218 pays et de modéliser les infrastructures en vue de connecter les écoles dans neuf pays; des discussions sont également en cours pour faire avancer ces travaux dans 21 autres pays.</w:t>
      </w:r>
    </w:p>
    <w:p w14:paraId="1106A5CF" w14:textId="194616D4" w:rsidR="005A3A04" w:rsidRPr="007D4988" w:rsidRDefault="005A3A04" w:rsidP="0042272E">
      <w:r w:rsidRPr="007D4988">
        <w:t xml:space="preserve">L'initiative Giga a continué d'aider les gouvernements en leur proposant des outils, des services consultatifs et des activités de renforcement des capacités pour connecter des milliers d'écoles et offrir un accès à l'Internet à des millions d'élèves en Afrique, en Asie centrale, en Amérique latine, dans les Caraïbes et dans d'autres régions. Ses travaux s'articulent autour de quatre piliers: cartographie et géolocalisation des écoles; cartographie et modélisation des infrastructures; mobilisation de financements; et passation de marchés et de contrats pour la connectivité. Cette approche repose sur le renforcement des capacités des gouvernements grâce à des plates-formes telles que le pôle de formation Giga (Giga Learning Hub), qui dispense des formations par l'intermédiaire de l'Académie de l'UIT. </w:t>
      </w:r>
      <w:r w:rsidR="00B671B9" w:rsidRPr="007D4988">
        <w:t>Cinq sessions de formation (en présentiel et en ligne) ont été dispensées en 2025 et ont permis à 128 participants de 52 pays de renforcer leurs capacités concernant divers aspects de la fourniture d'une connectivité dans les écoles</w:t>
      </w:r>
      <w:r w:rsidRPr="007D4988">
        <w:t>. L'initiative Giga a également mis en place un programme d'accélération, une initiative de développement commercial visant à aider les entreprises en phase de démarrage en leur proposant des possibilités de développement des compétences, des sessions de mentorat et des subventions, afin d'accélérer la mise au point de solutions favorisant la connectivité dans les écoles à l'échelle mondiale. À travers le monde, neuf équipes ont été sélectionnées pour faire partie de la première cohorte, dont les travaux ont débuté en novembre 2025 et se termineront en mars 2026.</w:t>
      </w:r>
    </w:p>
    <w:p w14:paraId="4713B8E3" w14:textId="77777777" w:rsidR="005A3A04" w:rsidRPr="007D4988" w:rsidRDefault="005A3A04" w:rsidP="005A3A04">
      <w:r w:rsidRPr="007D4988">
        <w:t>En tirant parti de l'initiative Giga et de la plate-forme sur l'IA au service du bien social, l'UIT s'est associée à Google et au musicien, créateur dans le secteur technologique et philanthrope will.i.am pour dispenser une formation sur l'IA et la robotique à des étudiants de toute l'Afrique, en commençant par cinq pays: le Ghana, la Côte d'Ivoire, le Kenya, le Nigéria et la République sudafricaine. Il s'agira notamment d'aider les pays à créer des clubs d'IA dans les écoles connectées.</w:t>
      </w:r>
    </w:p>
    <w:p w14:paraId="5AA8A944" w14:textId="391A160B" w:rsidR="005A3A04" w:rsidRPr="007D4988" w:rsidRDefault="005A3A04" w:rsidP="005A3A04">
      <w:r w:rsidRPr="007D4988">
        <w:t xml:space="preserve">L'initiative Giga a été reconnue dans le Pacte numérique mondial comme une initiative essentielle pour connecter les écoles et les hôpitaux. Cet objectif concorde également avec le But 1.5 du Plan stratégique de l'UIT et la </w:t>
      </w:r>
      <w:r w:rsidR="00D4642E" w:rsidRPr="007D4988">
        <w:t>G</w:t>
      </w:r>
      <w:r w:rsidRPr="007D4988">
        <w:t>rande orientation C2 du SMSI "Infrastructure de l'information et de la communication".</w:t>
      </w:r>
    </w:p>
    <w:p w14:paraId="13727683" w14:textId="77777777" w:rsidR="005A3A04" w:rsidRPr="007D4988" w:rsidRDefault="005A3A04" w:rsidP="005A3A04">
      <w:pPr>
        <w:pStyle w:val="Headingb"/>
      </w:pPr>
      <w:r w:rsidRPr="007D4988">
        <w:t>Initiative sur les mondes virtuels et l'IA</w:t>
      </w:r>
    </w:p>
    <w:p w14:paraId="6E9100AF" w14:textId="77777777" w:rsidR="00D4642E" w:rsidRPr="007D4988" w:rsidRDefault="005A3A04" w:rsidP="005A3A04">
      <w:r w:rsidRPr="007D4988">
        <w:t xml:space="preserve">En juin 2024, l'UIT, en collaboration avec le Centre international de calcul des Nations Unies (CIC) et Digital Dubai, a lancé </w:t>
      </w:r>
      <w:hyperlink r:id="rId736" w:history="1">
        <w:r w:rsidRPr="007D4988">
          <w:rPr>
            <w:rStyle w:val="Hyperlink"/>
            <w:rFonts w:eastAsia="Times New Roman" w:cs="Times New Roman"/>
            <w:szCs w:val="20"/>
          </w:rPr>
          <w:t>l'Initiative mondiale sur les mondes virtuels et l'intelligence artificielle – "À la découverte des métavilles"</w:t>
        </w:r>
      </w:hyperlink>
      <w:r w:rsidRPr="007D4988">
        <w:t xml:space="preserve">, qui vise à mettre le potentiel des technologies immersives et de l'IA au service du développement. Soutenue par plus de 70 partenaires, cette initiative constitue une plate-forme mondiale de promotion des mondes virtuels ouverts, interopérables et fiables fondés sur l'IA au profit des populations, des entreprises et des services publics. La </w:t>
      </w:r>
      <w:hyperlink r:id="rId737" w:anchor="/fr" w:history="1">
        <w:r w:rsidRPr="007D4988">
          <w:rPr>
            <w:rStyle w:val="Hyperlink"/>
            <w:rFonts w:eastAsia="Times New Roman" w:cs="Times New Roman"/>
            <w:szCs w:val="20"/>
          </w:rPr>
          <w:t>Journée des mondes virtuels des Nations Unies</w:t>
        </w:r>
      </w:hyperlink>
      <w:r w:rsidRPr="007D4988">
        <w:t xml:space="preserve">, organisée avec 17 entités des Nations Unies, vise à réfléchir à la façon dont l'IA, l'intelligence spatiale et les métavilles peuvent appuyer les priorités mondiales du Pacte pour l'avenir et du Pacte numérique mondial. L'édition inaugurale tenue à </w:t>
      </w:r>
      <w:hyperlink r:id="rId738" w:history="1">
        <w:r w:rsidRPr="007D4988">
          <w:rPr>
            <w:rStyle w:val="Hyperlink"/>
            <w:rFonts w:eastAsia="Times New Roman" w:cs="Times New Roman"/>
            <w:szCs w:val="20"/>
          </w:rPr>
          <w:t>Genève en 2024</w:t>
        </w:r>
      </w:hyperlink>
      <w:r w:rsidRPr="007D4988">
        <w:t xml:space="preserve"> et la manifestation </w:t>
      </w:r>
      <w:r w:rsidR="00D4642E" w:rsidRPr="007D4988">
        <w:br w:type="page"/>
      </w:r>
    </w:p>
    <w:p w14:paraId="29394D24" w14:textId="15440C1A" w:rsidR="005A3A04" w:rsidRPr="007D4988" w:rsidRDefault="005A3A04" w:rsidP="005A3A04">
      <w:r w:rsidRPr="007D4988">
        <w:t xml:space="preserve">organisée à </w:t>
      </w:r>
      <w:hyperlink r:id="rId739" w:anchor="/fr" w:history="1">
        <w:r w:rsidRPr="007D4988">
          <w:rPr>
            <w:rStyle w:val="Hyperlink"/>
            <w:rFonts w:eastAsia="Times New Roman" w:cs="Times New Roman"/>
            <w:szCs w:val="20"/>
          </w:rPr>
          <w:t>Turin en 2025</w:t>
        </w:r>
      </w:hyperlink>
      <w:r w:rsidRPr="007D4988">
        <w:t xml:space="preserve"> ont montré comment les mondes virtuels pouvaient renforcer les infrastructures publiques numériques et favoriser un développement inclusif. La prochaine Journée des mondes virtuels des Nations Unies aura lieu le 11 mai 2026 à Genève.</w:t>
      </w:r>
    </w:p>
    <w:p w14:paraId="165137D8" w14:textId="77777777" w:rsidR="005A3A04" w:rsidRPr="007D4988" w:rsidRDefault="005A3A04" w:rsidP="005A3A04">
      <w:pPr>
        <w:pStyle w:val="Headingb"/>
      </w:pPr>
      <w:r w:rsidRPr="007D4988">
        <w:t>La transformation numérique au service des villes et des communautés intelligentes</w:t>
      </w:r>
    </w:p>
    <w:p w14:paraId="44D8242C" w14:textId="1378888D" w:rsidR="005A3A04" w:rsidRPr="007D4988" w:rsidRDefault="005A3A04" w:rsidP="0042272E">
      <w:r w:rsidRPr="007D4988">
        <w:t>La Commission d'études 20 de l'UIT-T continue de promouvoir la transformation numérique des villes et des communautés intelligentes dans le cadre de l'</w:t>
      </w:r>
      <w:hyperlink r:id="rId740" w:anchor="/fr" w:history="1">
        <w:r w:rsidR="00D4642E" w:rsidRPr="007D4988">
          <w:rPr>
            <w:rStyle w:val="Hyperlink"/>
            <w:rFonts w:eastAsia="Times New Roman" w:cs="Times New Roman"/>
            <w:szCs w:val="20"/>
          </w:rPr>
          <w:t>Initiative "Tous unis pour des villes intelligentes et durables" (U4SSC)</w:t>
        </w:r>
      </w:hyperlink>
      <w:r w:rsidRPr="007D4988">
        <w:t>, qui aide les villes à adopter des approches fondées sur les normes de l'UIT en ce qui concerne le développement urbain durable. Ces travaux, qui accordent une grande importance à la gouvernance des villes, à l'intégration des données et aux stratégies numériques centrées sur l'humain, aident les villes à planifier, mettre en œuvre et mettre au point des solutions intelligentes et durables.</w:t>
      </w:r>
    </w:p>
    <w:p w14:paraId="32F0897F" w14:textId="69A1B631" w:rsidR="005A3A04" w:rsidRPr="007D4988" w:rsidRDefault="005A3A04" w:rsidP="005A3A04">
      <w:r w:rsidRPr="007D4988">
        <w:t>Soutenue par 20 entités des Nations Unies, l'</w:t>
      </w:r>
      <w:r w:rsidR="00D4642E" w:rsidRPr="007D4988">
        <w:t>I</w:t>
      </w:r>
      <w:r w:rsidRPr="007D4988">
        <w:t xml:space="preserve">nitiative U4SSC contribue directement à la réalisation de l'Objectif de développement durable 11 ("Faire en sorte que les villes et les établissements humains soient ouverts à tous, sûrs, résilients et durables") et à la mise en œuvre du Pacte pour l'avenir. Elle s'est étendue à plus de 250 villes du monde entier, qui appliquent les </w:t>
      </w:r>
      <w:hyperlink r:id="rId741" w:anchor="/fr" w:history="1">
        <w:r w:rsidRPr="007D4988">
          <w:rPr>
            <w:rStyle w:val="Hyperlink"/>
            <w:rFonts w:eastAsia="Times New Roman" w:cs="Times New Roman"/>
            <w:szCs w:val="20"/>
          </w:rPr>
          <w:t>indicateurs fondamentaux de performance (IFP) de l'initiative</w:t>
        </w:r>
      </w:hyperlink>
      <w:r w:rsidRPr="007D4988">
        <w:t xml:space="preserve"> fondés sur les normes de l'UIT. Les résultats sont présentés dans des </w:t>
      </w:r>
      <w:hyperlink r:id="rId742" w:anchor="/fr" w:history="1">
        <w:r w:rsidRPr="007D4988">
          <w:rPr>
            <w:rStyle w:val="Hyperlink"/>
            <w:rFonts w:eastAsia="Times New Roman" w:cs="Times New Roman"/>
            <w:szCs w:val="20"/>
          </w:rPr>
          <w:t>instantanés, des rapports et des études de cas sur les villes</w:t>
        </w:r>
      </w:hyperlink>
      <w:r w:rsidRPr="007D4988">
        <w:t xml:space="preserve"> et constituent des indications fondées sur des données factuelles pour la transformation numérique urbaine.</w:t>
      </w:r>
    </w:p>
    <w:p w14:paraId="50D79AFD" w14:textId="3AE305F7" w:rsidR="005A3A04" w:rsidRPr="007D4988" w:rsidRDefault="005A3A04" w:rsidP="005A3A04">
      <w:r w:rsidRPr="007D4988">
        <w:t>L'</w:t>
      </w:r>
      <w:r w:rsidR="00D4642E" w:rsidRPr="007D4988">
        <w:t>I</w:t>
      </w:r>
      <w:r w:rsidRPr="007D4988">
        <w:t xml:space="preserve">nitiative U4SSC a élargi son champ thématique aux sept domaines suivants, pour lesquels des avis spécialisés sont fournis dans le cadre de ses </w:t>
      </w:r>
      <w:hyperlink r:id="rId743" w:anchor="/fr" w:history="1">
        <w:r w:rsidRPr="007D4988">
          <w:rPr>
            <w:rStyle w:val="Hyperlink"/>
            <w:rFonts w:eastAsia="Times New Roman" w:cs="Times New Roman"/>
            <w:szCs w:val="20"/>
          </w:rPr>
          <w:t>rapports</w:t>
        </w:r>
      </w:hyperlink>
      <w:r w:rsidRPr="007D4988">
        <w:t>: les plates-formes et les espaces de données des villes; l'IA dans les villes; la transformation numérique des villes centrées sur la population; l'infrastructure publique numérique; l'énergie et les bâtiments en milieu urbain; la durabilité socioculturelle; et l'anticipation. Dans le cadre de l'</w:t>
      </w:r>
      <w:r w:rsidR="00D4642E" w:rsidRPr="007D4988">
        <w:t>I</w:t>
      </w:r>
      <w:r w:rsidRPr="007D4988">
        <w:t xml:space="preserve">nitiative, des </w:t>
      </w:r>
      <w:hyperlink r:id="rId744" w:anchor="/fr" w:history="1">
        <w:r w:rsidRPr="007D4988">
          <w:rPr>
            <w:rStyle w:val="Hyperlink"/>
            <w:rFonts w:eastAsia="Times New Roman" w:cs="Times New Roman"/>
            <w:szCs w:val="20"/>
          </w:rPr>
          <w:t>réunions</w:t>
        </w:r>
      </w:hyperlink>
      <w:r w:rsidRPr="007D4988">
        <w:t xml:space="preserve"> régulières ont permis de renforcer les structures de gouvernance, grâce à la création de nouveaux groupes thématiques aidant les villes à établir des stratégies numériques durables, résilientes et inclusives.</w:t>
      </w:r>
    </w:p>
    <w:p w14:paraId="7A61AB2E" w14:textId="77777777" w:rsidR="005A3A04" w:rsidRPr="007D4988" w:rsidRDefault="005A3A04" w:rsidP="005A3A04">
      <w:r w:rsidRPr="007D4988">
        <w:t xml:space="preserve">En complément de ces travaux, les </w:t>
      </w:r>
      <w:hyperlink r:id="rId745" w:anchor="/fr" w:history="1">
        <w:r w:rsidRPr="007D4988">
          <w:rPr>
            <w:rStyle w:val="Hyperlink"/>
            <w:rFonts w:eastAsia="Times New Roman" w:cs="Times New Roman"/>
            <w:szCs w:val="20"/>
          </w:rPr>
          <w:t>Dialogues de l'UIT sur la transformation numérique</w:t>
        </w:r>
      </w:hyperlink>
      <w:r w:rsidRPr="007D4988">
        <w:t xml:space="preserve"> ont constitué une plate-forme dynamique pour échanger des connaissances et approfondir la compréhension des technologies émergentes et de la normalisation technique dans divers domaines. De par leur nature participative, ces dialogues favorisent les discussions sur l'évolution rapide du paysage numérique et ses incidences sur les entreprises et la société.</w:t>
      </w:r>
    </w:p>
    <w:p w14:paraId="0FF10AA9" w14:textId="77777777" w:rsidR="005A3A04" w:rsidRPr="007D4988" w:rsidRDefault="005A3A04" w:rsidP="005A3A04">
      <w:r w:rsidRPr="007D4988">
        <w:t xml:space="preserve">Le </w:t>
      </w:r>
      <w:hyperlink r:id="rId746" w:anchor="/fr" w:history="1">
        <w:r w:rsidRPr="007D4988">
          <w:rPr>
            <w:rStyle w:val="Hyperlink"/>
            <w:rFonts w:eastAsia="Times New Roman" w:cs="Times New Roman"/>
            <w:szCs w:val="20"/>
          </w:rPr>
          <w:t>Résumé de l'actualité sur la transformation numérique et les villes, publié par l'UIT</w:t>
        </w:r>
      </w:hyperlink>
      <w:r w:rsidRPr="007D4988">
        <w:t>, fournit les informations les plus récentes sur les activités de l'Union relatives à la transformation numérique, aux villes intelligentes, aux mondes virtuels et au métavers. Il contient également des informations sur les manifestations à venir et sur les nouvelles publications.</w:t>
      </w:r>
    </w:p>
    <w:p w14:paraId="2D32AE1E" w14:textId="77777777" w:rsidR="005A3A04" w:rsidRPr="007D4988" w:rsidRDefault="005A3A04" w:rsidP="005A3A04">
      <w:r w:rsidRPr="007D4988">
        <w:t xml:space="preserve">En outre, l'UIT continue de tenir à jour une mine de connaissances grâce au </w:t>
      </w:r>
      <w:hyperlink r:id="rId747" w:anchor="/fr" w:history="1">
        <w:r w:rsidRPr="007D4988">
          <w:rPr>
            <w:rStyle w:val="Hyperlink"/>
            <w:rFonts w:eastAsia="Times New Roman" w:cs="Times New Roman"/>
            <w:szCs w:val="20"/>
          </w:rPr>
          <w:t>Centre de ressources sur la transformation numérique</w:t>
        </w:r>
      </w:hyperlink>
      <w:r w:rsidRPr="007D4988">
        <w:t>, qui regroupe des publications de grande qualité sur des sujets liés à la transformation numérique, notamment l'infrastructure publique numérique, l'IA, l'Internet des objets, la chaîne de blocs, les jumeaux numériques, le métavers et les mondes virtuels, ainsi que les tendances en matière de transformation numérique.</w:t>
      </w:r>
    </w:p>
    <w:p w14:paraId="0C4E7BA2" w14:textId="77777777" w:rsidR="005A3A04" w:rsidRPr="007D4988" w:rsidRDefault="005A3A04" w:rsidP="005A3A04">
      <w:pPr>
        <w:pStyle w:val="Headingb"/>
      </w:pPr>
      <w:r w:rsidRPr="007D4988">
        <w:t>Systèmes de transport intelligents</w:t>
      </w:r>
    </w:p>
    <w:p w14:paraId="39E9BB50" w14:textId="77777777" w:rsidR="005A3A04" w:rsidRPr="007D4988" w:rsidRDefault="005A3A04" w:rsidP="005A3A04">
      <w:pPr>
        <w:keepLines/>
      </w:pPr>
      <w:r w:rsidRPr="007D4988">
        <w:t xml:space="preserve">L'AMNT-24 a adopté une nouvelle Résolution </w:t>
      </w:r>
      <w:hyperlink r:id="rId748" w:history="1">
        <w:r w:rsidRPr="007D4988">
          <w:rPr>
            <w:rStyle w:val="Hyperlink"/>
            <w:rFonts w:eastAsia="Times New Roman" w:cs="Times New Roman"/>
            <w:szCs w:val="20"/>
          </w:rPr>
          <w:t>104</w:t>
        </w:r>
      </w:hyperlink>
      <w:r w:rsidRPr="007D4988">
        <w:t xml:space="preserve">, intitulée "Promouvoir et renforcer les activités de normalisation relatives aux communications entre véhicules". Dans le cadre de la nouvelle Résolution 104, l'UIT a signé, le 11 juillet 2025, un </w:t>
      </w:r>
      <w:hyperlink r:id="rId749" w:history="1">
        <w:r w:rsidRPr="007D4988">
          <w:rPr>
            <w:rStyle w:val="Hyperlink"/>
            <w:rFonts w:eastAsia="Times New Roman" w:cs="Times New Roman"/>
            <w:szCs w:val="20"/>
          </w:rPr>
          <w:t>mémorandum d'accord avec SAE International</w:t>
        </w:r>
      </w:hyperlink>
      <w:r w:rsidRPr="007D4988">
        <w:t xml:space="preserve"> en vue d'élargir la collaboration sur les communications entre véhicules et les activités des systèmes de transport intelligents, afin de faciliter les efforts déployés à l'échelle mondiale pour améliorer la sécurité routière, favoriser la conduite automatisée et contribuer à la réalisation des Objectifs de développement durable connexes.</w:t>
      </w:r>
    </w:p>
    <w:p w14:paraId="56C3AE26" w14:textId="77777777" w:rsidR="005A3A04" w:rsidRPr="007D4988" w:rsidRDefault="005A3A04" w:rsidP="005A3A04">
      <w:r w:rsidRPr="007D4988">
        <w:t>La Collaboration sur les normes de communication pour les systèmes ITS (</w:t>
      </w:r>
      <w:hyperlink r:id="rId750" w:history="1">
        <w:r w:rsidRPr="007D4988">
          <w:rPr>
            <w:rStyle w:val="Hyperlink"/>
            <w:rFonts w:eastAsia="Times New Roman" w:cs="Times New Roman"/>
            <w:szCs w:val="20"/>
          </w:rPr>
          <w:t>CITS</w:t>
        </w:r>
      </w:hyperlink>
      <w:r w:rsidRPr="007D4988">
        <w:t xml:space="preserve">) s'est imposée comme un cadre mondial reconnu réunissant des experts d'organismes de normalisation, du secteur privé et des pouvoirs publics pour échanger des informations et examiner des </w:t>
      </w:r>
      <w:hyperlink r:id="rId751" w:history="1">
        <w:r w:rsidRPr="007D4988">
          <w:rPr>
            <w:rStyle w:val="Hyperlink"/>
            <w:rFonts w:eastAsia="Times New Roman" w:cs="Times New Roman"/>
            <w:szCs w:val="20"/>
          </w:rPr>
          <w:t>normes mondiales sur les systèmes de transport intelligents (ITS)</w:t>
        </w:r>
      </w:hyperlink>
      <w:r w:rsidRPr="007D4988">
        <w:t xml:space="preserve">. Dans le cadre de cette Collaboration, le </w:t>
      </w:r>
      <w:hyperlink r:id="rId752" w:anchor="/fr" w:history="1">
        <w:r w:rsidRPr="007D4988">
          <w:rPr>
            <w:rStyle w:val="Hyperlink"/>
            <w:rFonts w:eastAsia="Times New Roman" w:cs="Times New Roman"/>
            <w:szCs w:val="20"/>
          </w:rPr>
          <w:t>Groupe d'experts sur les technologies de la communication pour la conduite automatisée (EG-ComAD)</w:t>
        </w:r>
      </w:hyperlink>
      <w:r w:rsidRPr="007D4988">
        <w:t xml:space="preserve"> a été créé. Les activités de Groupe sont menées au sein de trois groupes de travail, à savoir le GT 1 "</w:t>
      </w:r>
      <w:hyperlink r:id="rId753" w:anchor="/fr" w:history="1">
        <w:r w:rsidRPr="007D4988">
          <w:rPr>
            <w:rStyle w:val="Hyperlink"/>
            <w:rFonts w:eastAsia="Times New Roman" w:cs="Times New Roman"/>
            <w:szCs w:val="20"/>
          </w:rPr>
          <w:t>Communications entre véhicules pour l'insertion automatique dans des voies encombrées</w:t>
        </w:r>
      </w:hyperlink>
      <w:r w:rsidRPr="007D4988">
        <w:t>", le GT 2 "Communications entre véhicules pour le freinage d'urgence avancé, y compris pour protéger les usagers de la route vulnérables" et le GT 3 "</w:t>
      </w:r>
      <w:hyperlink r:id="rId754" w:anchor="/fr" w:history="1">
        <w:r w:rsidRPr="007D4988">
          <w:rPr>
            <w:rStyle w:val="Hyperlink"/>
            <w:rFonts w:eastAsia="Times New Roman" w:cs="Times New Roman"/>
            <w:szCs w:val="20"/>
          </w:rPr>
          <w:t>Viabilité technique et économique des communications entre véhicules</w:t>
        </w:r>
      </w:hyperlink>
      <w:r w:rsidRPr="007D4988">
        <w:t>".</w:t>
      </w:r>
    </w:p>
    <w:p w14:paraId="2BFCC996" w14:textId="77777777" w:rsidR="005A3A04" w:rsidRPr="007D4988" w:rsidRDefault="005A3A04" w:rsidP="005A3A04">
      <w:r w:rsidRPr="007D4988">
        <w:t xml:space="preserve">L'UIT continue également de promouvoir les systèmes ITS dans le cadre de sa collaboration avec la Commission économique des Nations Unies pour l'Europe (CEE-ONU) et l'écosystème automobile. Le </w:t>
      </w:r>
      <w:hyperlink r:id="rId755" w:history="1">
        <w:r w:rsidRPr="007D4988">
          <w:rPr>
            <w:rStyle w:val="Hyperlink"/>
            <w:rFonts w:eastAsia="Times New Roman" w:cs="Times New Roman"/>
            <w:szCs w:val="20"/>
          </w:rPr>
          <w:t>Colloque UIT-CEE-ONU sur la voiture branchée de demain</w:t>
        </w:r>
      </w:hyperlink>
      <w:r w:rsidRPr="007D4988">
        <w:t xml:space="preserve"> rassemble des acteurs du secteur privé, des régulateurs et des experts pour examiner les dernières évolutions en matière d'automatisation, de connectivité et de réglementation des véhicules. L'UIT et la CEE-ONU ont organisé plusieurs éditions de ce Colloque: une en 2022, deux en 2023 (dont une au Qatar), une en 2024, et deux en 2025 dans le cadre du </w:t>
      </w:r>
      <w:hyperlink r:id="rId756" w:anchor="/fr" w:history="1">
        <w:r w:rsidRPr="007D4988">
          <w:rPr>
            <w:rStyle w:val="Hyperlink"/>
            <w:rFonts w:eastAsia="Times New Roman" w:cs="Times New Roman"/>
            <w:szCs w:val="20"/>
          </w:rPr>
          <w:t>Sommet sur l'IA au service du bien social</w:t>
        </w:r>
      </w:hyperlink>
      <w:r w:rsidRPr="007D4988">
        <w:t xml:space="preserve">. Voir </w:t>
      </w:r>
      <w:hyperlink r:id="rId757" w:history="1">
        <w:r w:rsidRPr="007D4988">
          <w:rPr>
            <w:rStyle w:val="Hyperlink"/>
            <w:rFonts w:eastAsia="Times New Roman" w:cs="Times New Roman"/>
            <w:szCs w:val="20"/>
          </w:rPr>
          <w:t>ici</w:t>
        </w:r>
      </w:hyperlink>
      <w:r w:rsidRPr="007D4988">
        <w:t xml:space="preserve"> les différentes </w:t>
      </w:r>
      <w:hyperlink r:id="rId758" w:history="1">
        <w:r w:rsidRPr="007D4988">
          <w:rPr>
            <w:rStyle w:val="Hyperlink"/>
            <w:rFonts w:eastAsia="Times New Roman" w:cs="Times New Roman"/>
            <w:szCs w:val="20"/>
          </w:rPr>
          <w:t>manifestations portant sur les systèmes ITS</w:t>
        </w:r>
      </w:hyperlink>
      <w:r w:rsidRPr="007D4988">
        <w:t>.</w:t>
      </w:r>
    </w:p>
    <w:p w14:paraId="1BCE5AE8" w14:textId="77777777" w:rsidR="005A3A04" w:rsidRPr="007D4988" w:rsidRDefault="005A3A04" w:rsidP="005A3A04">
      <w:pPr>
        <w:pStyle w:val="Headingb"/>
      </w:pPr>
      <w:r w:rsidRPr="007D4988">
        <w:t>Réunions des directeurs techniques et des hauts dirigeants</w:t>
      </w:r>
    </w:p>
    <w:p w14:paraId="568240D5" w14:textId="756843EC" w:rsidR="005A3A04" w:rsidRPr="007D4988" w:rsidRDefault="005A3A04" w:rsidP="005A3A04">
      <w:r w:rsidRPr="007D4988">
        <w:t>Les tables rondes annuelles des hauts dirigeants organisées par l'UIT de décembre 2023 à novembre 2025 ont constitué des cadres de haut niveau très importants ayant permis aux dirigeants du secteur privé d'échanger sur les priorités et les activités de normalisation concernant les télécommunications et les technologies émergentes, qui évoluent rapidement. Ces manifestations ont régulièrement mis en lumière la nécessité que l'Union joue un rôle directeur dans l'édification de l'environnement numérique de demain.</w:t>
      </w:r>
    </w:p>
    <w:p w14:paraId="5DFE2151" w14:textId="77777777" w:rsidR="005A3A04" w:rsidRPr="007D4988" w:rsidRDefault="005A3A04" w:rsidP="005A3A04">
      <w:r w:rsidRPr="007D4988">
        <w:t>Les participants à la table ronde organisée à Dubaï en décembre 2023 ont souligné le rôle de l'UIT dans l'élaboration de normes pour les réseaux de transport 6G, en mettant l'accent sur les solutions optiques présentant bon rapport coût-efficacité. Les discussions ont porté sur l'utilisation de l'IA et de l'apprentissage automatique au service de l'optimisation des réseaux, sur le potentiel des réseaux autres que de Terre pour la connectivité à distance et sur l'importance de la normalisation de la connectivité des véhicules pour la mobilité intelligente et les interventions en cas de catastrophe. De nouveaux problèmes de sécurité, comme la fraude au trafic vocal et l'enregistrement biométrique des cartes SIM, ont conduit des pays à solliciter l'aide de l'UIT, ainsi qu'un appui en faveur de la normalisation des technologies de l'informatique quantique.</w:t>
      </w:r>
    </w:p>
    <w:p w14:paraId="7950F684" w14:textId="77777777" w:rsidR="005A3A04" w:rsidRPr="007D4988" w:rsidRDefault="005A3A04" w:rsidP="005A3A04">
      <w:r w:rsidRPr="007D4988">
        <w:t>Un an plus tard, les participants à la table ronde de décembre 2024, qui s'est tenue elle aussi à Dubaï, ont poursuivi la discussion sur ces thèmes en demandant que l'UIT définisse une feuille de route en matière de normalisation à l'horizon 2030 pour les réseaux optiques prenant en charge les IMT-2030 (également appelés 6G). Plusieurs hauts dirigeants ont mis en avant l'intelligence des réseaux, la durabilité environnementale rendue possible par les grands modèles de langage (LLM) et le développement d'une IA multilingue à code source ouvert. Les principales discussions ont porté sur l'harmonisation des normes relatives aux flux de données transfrontières, la mise en œuvre de mesures mondiales de lutte contre la fraude vocale (telles que les listes de "non-origine") et les indications fournies par l'UIT concernant l'adoption des réseaux autres que de Terre afin d'améliorer la connectivité et la sécurité publique. Des réseaux large bande fiables pour les services d'urgence ont également été privilégiés.</w:t>
      </w:r>
    </w:p>
    <w:p w14:paraId="320E1AD8" w14:textId="77777777" w:rsidR="005A3A04" w:rsidRPr="007D4988" w:rsidRDefault="005A3A04" w:rsidP="005A3A04">
      <w:r w:rsidRPr="007D4988">
        <w:t>Lors de la table ronde des hauts dirigeants de novembre 2025 à Munich, les discussions ont été approfondies et ont porté sur les principales priorités du secteur privé où l'IA joue un rôle déterminant en matière de qualité de fonctionnement, de résilience, de durabilité environnementale et de sécurité. Les participants ont insisté sur la nécessité d'une IA responsable et digne de confiance et appelé à établir des normes sur l'éthique, l'intégrité des données et les architectures reposant sur le principe de confiance zéro. Les innovations concernant les centres de données, rendues nécessaires par la charge de travail exigée par l'IA, ainsi que la collaboration avec le secteur de l'énergie au sujet des énergies renouvelables, ont été des sujets importants. Les participants ont continué d'accorder une attention particulière aux réseaux autres que de Terre pour améliorer la connectivité dans les zones rurales et les zones d'urgence, et ont demandé de créer de nouveaux indicateurs de performance. Des technologies émergentes comme la détection répartie à fibres optiques, les technologies de l'informatique quantique et les médias à ultra-haute définition ont également été identifiées comme autant de sujets qui doivent faire l'objet de travaux de normalisation.</w:t>
      </w:r>
    </w:p>
    <w:p w14:paraId="622891BB" w14:textId="77777777" w:rsidR="005A3A04" w:rsidRPr="007D4988" w:rsidRDefault="005A3A04" w:rsidP="005A3A04">
      <w:r w:rsidRPr="007D4988">
        <w:t>Prises ensemble, ces réunions ont fait apparaître un mandat cohérent et évolutif pour l'UIT, qui jouera un rôle de premier plan dans l'élaboration de normes mondiales pour des technologies transformatrices telles que l'IA, la 6G, les réseaux autres que de Terre et l'informatique quantique, tout en luttant contre les menaces de cybersécurité et en favorisant la durabilité environnementale dans l'écosystème numérique.</w:t>
      </w:r>
    </w:p>
    <w:p w14:paraId="496B94CA" w14:textId="77777777" w:rsidR="005A3A04" w:rsidRPr="007D4988" w:rsidRDefault="005A3A04" w:rsidP="005A3A04">
      <w:pPr>
        <w:pStyle w:val="Headingb"/>
      </w:pPr>
      <w:r w:rsidRPr="007D4988">
        <w:t>Coopération mondiale en matière de normalisation</w:t>
      </w:r>
    </w:p>
    <w:p w14:paraId="3F37EBC4" w14:textId="77777777" w:rsidR="005A3A04" w:rsidRPr="007D4988" w:rsidRDefault="005A3A04" w:rsidP="005A3A04">
      <w:r w:rsidRPr="007D4988">
        <w:t xml:space="preserve">Le </w:t>
      </w:r>
      <w:hyperlink r:id="rId759" w:anchor="/fr" w:history="1">
        <w:r w:rsidRPr="007D4988">
          <w:rPr>
            <w:rStyle w:val="Hyperlink"/>
            <w:rFonts w:eastAsia="Times New Roman" w:cs="Times New Roman"/>
            <w:szCs w:val="20"/>
          </w:rPr>
          <w:t>Groupe Coopération en matière de normalisation mondiale</w:t>
        </w:r>
      </w:hyperlink>
      <w:r w:rsidRPr="007D4988">
        <w:t xml:space="preserve"> est un partenariat entre l'UIT, la Commission électrotechnique internationale (CEI) et l'Organisation internationale de normalisation (ISO), qui vise à promouvoir le système d'élaboration de normes internationales d'application volontaire fondé sur un consensus. </w:t>
      </w:r>
    </w:p>
    <w:p w14:paraId="5F5C84A2" w14:textId="77777777" w:rsidR="005A3A04" w:rsidRPr="007D4988" w:rsidRDefault="005A3A04" w:rsidP="005A3A04">
      <w:r w:rsidRPr="007D4988">
        <w:t xml:space="preserve">Parmi les activités conjointes figurent l'organisation de la </w:t>
      </w:r>
      <w:hyperlink r:id="rId760" w:history="1">
        <w:r w:rsidRPr="007D4988">
          <w:rPr>
            <w:rStyle w:val="Hyperlink"/>
            <w:rFonts w:eastAsia="Times New Roman" w:cs="Times New Roman"/>
            <w:szCs w:val="20"/>
          </w:rPr>
          <w:t>Journée mondiale de la normalisation</w:t>
        </w:r>
      </w:hyperlink>
      <w:r w:rsidRPr="007D4988">
        <w:t xml:space="preserve">, dont le thème portait sur la question de savoir comment les normes constituent un cadre commun permettant une collaboration efficace entre les secteurs, les gouvernements et les organisations pour atteindre des objectifs communs de développement durable (voir les </w:t>
      </w:r>
      <w:hyperlink r:id="rId761" w:history="1">
        <w:r w:rsidRPr="007D4988">
          <w:rPr>
            <w:rStyle w:val="Hyperlink"/>
            <w:rFonts w:eastAsia="Times New Roman" w:cs="Times New Roman"/>
            <w:szCs w:val="20"/>
          </w:rPr>
          <w:t>éditions précédentes de la Journée mondiale de la normalisation</w:t>
        </w:r>
      </w:hyperlink>
      <w:r w:rsidRPr="007D4988">
        <w:t>).</w:t>
      </w:r>
    </w:p>
    <w:p w14:paraId="7B593129" w14:textId="77777777" w:rsidR="005A3A04" w:rsidRPr="007D4988" w:rsidRDefault="005A3A04" w:rsidP="00D4642E">
      <w:pPr>
        <w:keepLines/>
      </w:pPr>
      <w:r w:rsidRPr="007D4988">
        <w:t xml:space="preserve">Les partenaires ont également renforcé leur collaboration sur la durabilité et l'IA, et ont également formulé des déclarations conjointes à la </w:t>
      </w:r>
      <w:hyperlink r:id="rId762" w:history="1">
        <w:r w:rsidRPr="007D4988">
          <w:rPr>
            <w:rStyle w:val="Hyperlink"/>
            <w:rFonts w:eastAsia="Times New Roman" w:cs="Times New Roman"/>
            <w:szCs w:val="20"/>
          </w:rPr>
          <w:t>COP28</w:t>
        </w:r>
      </w:hyperlink>
      <w:r w:rsidRPr="007D4988">
        <w:t xml:space="preserve"> et à la </w:t>
      </w:r>
      <w:hyperlink r:id="rId763" w:history="1">
        <w:r w:rsidRPr="007D4988">
          <w:rPr>
            <w:rStyle w:val="Hyperlink"/>
            <w:rFonts w:eastAsia="Times New Roman" w:cs="Times New Roman"/>
            <w:szCs w:val="20"/>
          </w:rPr>
          <w:t>COP29</w:t>
        </w:r>
      </w:hyperlink>
      <w:r w:rsidRPr="007D4988">
        <w:t xml:space="preserve"> relatives à l'intégration de la durabilité dans les normes techniques dès la conception, en vue d'atteindre l'objectif zéro émission nette et d'instaurer une économie circulaire, à faible émission de carbone et à faible consommation de ressources, dans le cadre de la coopération prévue dans le volet "Action du secteur du numérique pour l'environnement". Les partenaires ont également assuré une présence conjointe sur le Pavillon des normes lors de la COP29 et de la COP30 et fait montre d'une vision unifiée dans la défense du rôle des normes internationales dans l'action climatique.</w:t>
      </w:r>
    </w:p>
    <w:p w14:paraId="27BFEAD5" w14:textId="77777777" w:rsidR="005A3A04" w:rsidRPr="007D4988" w:rsidRDefault="005A3A04" w:rsidP="005A3A04">
      <w:r w:rsidRPr="007D4988">
        <w:t xml:space="preserve">Parmi les autres initiatives de collaboration conjointes récentes, citons la </w:t>
      </w:r>
      <w:hyperlink r:id="rId764" w:anchor="/fr" w:history="1">
        <w:r w:rsidRPr="007D4988">
          <w:rPr>
            <w:rStyle w:val="Hyperlink"/>
            <w:rFonts w:eastAsia="Times New Roman" w:cs="Times New Roman"/>
            <w:szCs w:val="20"/>
          </w:rPr>
          <w:t>Collaboration sur les normes relatives à l'authenticité de l'IA et des contenus multimédias (AMAS)</w:t>
        </w:r>
      </w:hyperlink>
      <w:r w:rsidRPr="007D4988">
        <w:t xml:space="preserve"> visant à lutter contre l'hypertrucage, la mésinformation et la désinformation. Cette Collaboration rassemble des organismes de normalisation, des chefs de file du secteur technologique, des experts universitaires, des décideurs et des représentants de la société civile pour bâtir un avenir où les contenus numériques seront dignes de confiance. Les travaux de la Collaboration AMAS sont axés sur l'élaboration d'une cartographie de l'environnement des normes pour l'authenticité des contenus multimédias et une évaluation des lois et des politiques adoptées par les gouvernements, les entreprises et la société civile pour relever les défis de l'hypertrucage, des fausses informations et de la désinformation. Le 11 juillet 2025, lors du Sommet mondial sur l'IA au service du bien social, le groupe créé par la Collaboration AMAS a publié </w:t>
      </w:r>
      <w:hyperlink r:id="rId765" w:anchor="/fr" w:history="1">
        <w:r w:rsidRPr="007D4988">
          <w:rPr>
            <w:rStyle w:val="Hyperlink"/>
            <w:rFonts w:eastAsia="Times New Roman" w:cs="Times New Roman"/>
            <w:szCs w:val="20"/>
          </w:rPr>
          <w:t>deux rapports</w:t>
        </w:r>
      </w:hyperlink>
      <w:r w:rsidRPr="007D4988">
        <w:t xml:space="preserve">, à savoir un document technique sur la cartographie de l'environnement des normes pour l'authenticité des contenus multimédias et un document d'orientation contenant des recommandations visant à guider la gouvernance de l'IA à l'échelle mondiale et la lutte contre l'hypertrucage, la mésinformation et la désinformation. En outre, les partenaires ont organisé le Sommet international sur les normes relatives à l'IA, dont deux éditions importantes à </w:t>
      </w:r>
      <w:hyperlink r:id="rId766" w:anchor="/fr" w:history="1">
        <w:r w:rsidRPr="007D4988">
          <w:rPr>
            <w:rStyle w:val="Hyperlink"/>
            <w:rFonts w:eastAsia="Times New Roman" w:cs="Times New Roman"/>
            <w:szCs w:val="20"/>
          </w:rPr>
          <w:t>New Delhi (2024)</w:t>
        </w:r>
      </w:hyperlink>
      <w:r w:rsidRPr="007D4988">
        <w:t xml:space="preserve"> et à </w:t>
      </w:r>
      <w:hyperlink r:id="rId767" w:anchor="/fr" w:history="1">
        <w:r w:rsidRPr="007D4988">
          <w:rPr>
            <w:rStyle w:val="Hyperlink"/>
            <w:rFonts w:eastAsia="Times New Roman" w:cs="Times New Roman"/>
            <w:szCs w:val="20"/>
          </w:rPr>
          <w:t>Séoul (2025)</w:t>
        </w:r>
      </w:hyperlink>
      <w:r w:rsidRPr="007D4988">
        <w:t xml:space="preserve">, ainsi qu'une Journée consacrée aux normes sur l'IA lors du Sommet mondial sur l'IA au service du bien social (juillet 2025). Ces efforts ont été renforcés par le lancement, en 2025, de la </w:t>
      </w:r>
      <w:hyperlink r:id="rId768" w:anchor="/fr" w:history="1">
        <w:r w:rsidRPr="007D4988">
          <w:rPr>
            <w:rStyle w:val="Hyperlink"/>
            <w:rFonts w:eastAsia="Times New Roman" w:cs="Times New Roman"/>
            <w:szCs w:val="20"/>
          </w:rPr>
          <w:t>base de données sur l'échange de normes relatives à l'IA</w:t>
        </w:r>
      </w:hyperlink>
      <w:r w:rsidRPr="007D4988">
        <w:t>, qui offre un accès unique avec fonction de recherche à plus de 800 normes et rapports techniques relatifs à l'IA des trois partenaires concernés et d'autres organismes de normalisation participants, tels que l'Institute of Electrical and Electronics Engineers (IEEE) et le Groupe d'étude sur l'ingénierie Internet (IETF), qui appuient l'élaboration coordonnée de normes et l'application pratique de normes relatives à une IA digne de confiance.</w:t>
      </w:r>
    </w:p>
    <w:p w14:paraId="08A0A774" w14:textId="77777777" w:rsidR="005A3A04" w:rsidRPr="007D4988" w:rsidRDefault="005A3A04" w:rsidP="005A3A04">
      <w:pPr>
        <w:pStyle w:val="Headingb"/>
      </w:pPr>
      <w:r w:rsidRPr="007D4988">
        <w:t>Tirer parti de l'IA dans le cadre de l'Initiative "Alertes précoces pour tous"</w:t>
      </w:r>
    </w:p>
    <w:p w14:paraId="1644B7DA" w14:textId="77777777" w:rsidR="005A3A04" w:rsidRPr="007D4988" w:rsidRDefault="005A3A04" w:rsidP="005A3A04">
      <w:r w:rsidRPr="007D4988">
        <w:t>L'UIT, en collaboration avec l'Organisation météorologique mondiale (OMM), le Bureau des Nations Unies pour la réduction des risques de catastrophe (UNDRR) et la Fédération internationale des Sociétés de la Croix-Rouge et du Croissant-Rouge (FICR), a créé le Sous</w:t>
      </w:r>
      <w:r w:rsidRPr="007D4988">
        <w:noBreakHyphen/>
        <w:t>Groupe sur l'IA de l'</w:t>
      </w:r>
      <w:hyperlink r:id="rId769" w:history="1">
        <w:r w:rsidRPr="007D4988">
          <w:rPr>
            <w:rStyle w:val="Hyperlink"/>
            <w:rFonts w:eastAsia="Times New Roman" w:cs="Times New Roman"/>
            <w:szCs w:val="20"/>
          </w:rPr>
          <w:t>Initiative "Alertes précoces pour tous"</w:t>
        </w:r>
      </w:hyperlink>
      <w:r w:rsidRPr="007D4988">
        <w:t xml:space="preserve">, afin de mettre à profit l'IA pour améliorer les systèmes d'alerte avancée en réunissant des experts des domaines de l'intelligence artificielle, des sciences des données et de la gestion des risques de catastrophe. Le groupe fait le pont entre la recherche sur l'IA et les besoins pratiques des professionnels dans le domaine de l'alerte précoce et des communautés du monde entier, des travaux étant en cours pour faciliter les initiatives pilotes dans les pays. L'un de ces projets pilotes est le travail réalisé à l'aide de la </w:t>
      </w:r>
      <w:hyperlink r:id="rId770" w:history="1">
        <w:r w:rsidRPr="007D4988">
          <w:rPr>
            <w:rStyle w:val="Hyperlink"/>
            <w:rFonts w:eastAsia="Times New Roman" w:cs="Times New Roman"/>
            <w:szCs w:val="20"/>
          </w:rPr>
          <w:t>carte de connectivité en cas de catastrophe</w:t>
        </w:r>
      </w:hyperlink>
      <w:r w:rsidRPr="007D4988">
        <w:t xml:space="preserve">, qui fait l'objet d'un partenariat entre l'UIT et le Microsoft AI for Good Lab, Planet et l'Institute of Health Metrics Evaluation visant à utiliser l'IA aux fins de l'analyse de l'imagerie satellite et de la création de cartes de densité de population à haute résolution. La carte de connectivité pour l'alerte précoce sert à mettre en évidence les "zones blanches" numériques, c'est-à-dire les zones dans lesquelles les personnes ne disposent d'aucune connectivité et ne peuvent pas être contactées ou averties via les réseaux numériques. Cette carte </w:t>
      </w:r>
      <w:hyperlink r:id="rId771" w:history="1">
        <w:r w:rsidRPr="007D4988">
          <w:rPr>
            <w:rStyle w:val="Hyperlink"/>
            <w:rFonts w:eastAsia="Times New Roman" w:cs="Times New Roman"/>
            <w:szCs w:val="20"/>
          </w:rPr>
          <w:t>a été présentée</w:t>
        </w:r>
      </w:hyperlink>
      <w:r w:rsidRPr="007D4988">
        <w:t xml:space="preserve"> pour montrer comment l'identification des zones dépourvues de connectivité peut contribuer à protéger les populations grâce à des systèmes d'alerte précoce. Initialement mis en place sous la forme d'un projet pilote aux Fidji, aux Tonga et au Vanuatu, les travaux correspondants ont été étendus à plus de 30 pays dans le cadre de l'Initiative "Alertes précoces pour tous".</w:t>
      </w:r>
    </w:p>
    <w:p w14:paraId="654DEE33" w14:textId="77777777" w:rsidR="005A3A04" w:rsidRPr="007D4988" w:rsidRDefault="005A3A04" w:rsidP="005A3A04">
      <w:pPr>
        <w:pStyle w:val="Headingb"/>
      </w:pPr>
      <w:r w:rsidRPr="007D4988">
        <w:t>Promouvoir la résilience en cas de catastrophe fondée sur l'IA</w:t>
      </w:r>
    </w:p>
    <w:p w14:paraId="79B809B8" w14:textId="51E1805D" w:rsidR="005A3A04" w:rsidRPr="007D4988" w:rsidRDefault="005A3A04" w:rsidP="005A3A04">
      <w:r w:rsidRPr="007D4988">
        <w:t xml:space="preserve">L'UIT collabore avec l'OMM, le PNUE et d'autres partenaires pour renforcer la résilience en cas de catastrophe fondée sur l'IA et préparer le terrain pour de nouvelles normes. Le </w:t>
      </w:r>
      <w:hyperlink r:id="rId772" w:anchor="/fr" w:history="1">
        <w:r w:rsidRPr="007D4988">
          <w:rPr>
            <w:rStyle w:val="Hyperlink"/>
            <w:rFonts w:eastAsia="Times New Roman" w:cs="Times New Roman"/>
            <w:szCs w:val="20"/>
          </w:rPr>
          <w:t>Groupe spécialisé UIT/OMM/PNUE sur l'IA au service de la gestion des catastrophes naturelles (FG-AI4NDM)</w:t>
        </w:r>
      </w:hyperlink>
      <w:r w:rsidRPr="007D4988">
        <w:t xml:space="preserve"> a élaboré des rapports techniques, </w:t>
      </w:r>
      <w:hyperlink r:id="rId773" w:history="1">
        <w:r w:rsidRPr="007D4988">
          <w:rPr>
            <w:rStyle w:val="Hyperlink"/>
            <w:rFonts w:eastAsia="Times New Roman" w:cs="Times New Roman"/>
            <w:szCs w:val="20"/>
          </w:rPr>
          <w:t>des glossaires, une feuille de route sur les tendances, des normes</w:t>
        </w:r>
      </w:hyperlink>
      <w:r w:rsidRPr="007D4988">
        <w:t xml:space="preserve"> et des bonnes pratiques concernant l'application de l'IA à la </w:t>
      </w:r>
      <w:hyperlink r:id="rId774" w:history="1">
        <w:r w:rsidRPr="007D4988">
          <w:rPr>
            <w:rStyle w:val="Hyperlink"/>
            <w:rFonts w:eastAsia="Times New Roman" w:cs="Times New Roman"/>
            <w:szCs w:val="20"/>
          </w:rPr>
          <w:t>collecte de données</w:t>
        </w:r>
      </w:hyperlink>
      <w:r w:rsidRPr="007D4988">
        <w:t xml:space="preserve">, à la </w:t>
      </w:r>
      <w:hyperlink r:id="rId775" w:history="1">
        <w:r w:rsidRPr="007D4988">
          <w:rPr>
            <w:rStyle w:val="Hyperlink"/>
            <w:rFonts w:eastAsia="Times New Roman" w:cs="Times New Roman"/>
            <w:szCs w:val="20"/>
          </w:rPr>
          <w:t>modélisation</w:t>
        </w:r>
      </w:hyperlink>
      <w:r w:rsidRPr="007D4988">
        <w:t xml:space="preserve"> et à la </w:t>
      </w:r>
      <w:hyperlink r:id="rId776" w:history="1">
        <w:r w:rsidRPr="007D4988">
          <w:rPr>
            <w:rStyle w:val="Hyperlink"/>
            <w:rFonts w:eastAsia="Times New Roman" w:cs="Times New Roman"/>
            <w:szCs w:val="20"/>
          </w:rPr>
          <w:t>communication</w:t>
        </w:r>
      </w:hyperlink>
      <w:r w:rsidRPr="007D4988">
        <w:t xml:space="preserve"> tout au long du cycle de gestion des catastrophes. Ce groupe a organisé 12 réunions et </w:t>
      </w:r>
      <w:hyperlink r:id="rId777" w:history="1">
        <w:r w:rsidRPr="007D4988">
          <w:rPr>
            <w:rStyle w:val="Hyperlink"/>
            <w:rFonts w:eastAsia="Times New Roman" w:cs="Times New Roman"/>
            <w:szCs w:val="20"/>
          </w:rPr>
          <w:t>10 ateliers et webinaires</w:t>
        </w:r>
      </w:hyperlink>
      <w:r w:rsidRPr="007D4988">
        <w:t xml:space="preserve"> au cours des quatre dernières années. Ses produits soutiennent déjà des initiatives telles que le projet de systèmes méditerranéens et paneuropéens de prévision et d'alerte précoce contre les catastrophes naturelles (</w:t>
      </w:r>
      <w:hyperlink r:id="rId778" w:history="1">
        <w:r w:rsidRPr="007D4988">
          <w:rPr>
            <w:rStyle w:val="Hyperlink"/>
            <w:rFonts w:eastAsia="Times New Roman" w:cs="Times New Roman"/>
            <w:szCs w:val="20"/>
          </w:rPr>
          <w:t>MedEWSa</w:t>
        </w:r>
      </w:hyperlink>
      <w:r w:rsidRPr="007D4988">
        <w:t>) financé par l'Union européenne. Sur la base de ces travaux, l'</w:t>
      </w:r>
      <w:hyperlink r:id="rId779" w:history="1">
        <w:r w:rsidRPr="007D4988">
          <w:rPr>
            <w:rStyle w:val="Hyperlink"/>
            <w:rFonts w:eastAsia="Times New Roman" w:cs="Times New Roman"/>
            <w:szCs w:val="20"/>
          </w:rPr>
          <w:t>Initiative mondiale sur la résilience face aux risques naturels grâce aux solutions fondées sur l'intelligence artificielle</w:t>
        </w:r>
      </w:hyperlink>
      <w:r w:rsidRPr="007D4988">
        <w:t>, lancée en 2024, associe l'UIT, l'OMM, le PNUE, l'UNESCO, la CCNUCC et l'UPU en vue d'orienter la recherche, l'innovation et les normes futures afin de renforcer la résilience aux risques naturels dans le monde. Depuis 2022, un financement de près de 20 000 USD reçu de l'Union géodésique et géophysique internationale (UGGI) a permis de soutenir la participation d'experts aux réunions et ateliers du Groupe FG-AI4NDM et de l'Initiative mondiale, qui ont pu mettre à disposition leurs compétences spécialisées pour faire progresser les normes et les bonnes pratiques dans le domaine en question. Depuis son lancement, l'Initiative mondiale a déjà tenu trois réunions, accueillies respectivement par le Barcelona Supercomputing Centre en Espagne, l'Agence spatiale européenne en Italie et la Commission européenne à Bruxelles. Ces réunions portaient sur l'examen des contributions, l'organisation de sessions sur l'utilisation des outils d'IA pour la gestion des catastrophes, la poursuite de l'amélioration des bonnes pratiques et l'élaboration d'autres produits.</w:t>
      </w:r>
    </w:p>
    <w:p w14:paraId="2459C6F7" w14:textId="77777777" w:rsidR="005A3A04" w:rsidRPr="007D4988" w:rsidRDefault="005A3A04" w:rsidP="005A3A04">
      <w:pPr>
        <w:pStyle w:val="Headingb"/>
      </w:pPr>
      <w:r w:rsidRPr="007D4988">
        <w:t>L'intelligence artificielle et l'Internet des objets au service de l'agriculture numérique</w:t>
      </w:r>
    </w:p>
    <w:p w14:paraId="2332B398" w14:textId="5DBCC29E" w:rsidR="005A3A04" w:rsidRPr="007D4988" w:rsidRDefault="005A3A04" w:rsidP="005A3A04">
      <w:r w:rsidRPr="007D4988">
        <w:t xml:space="preserve">Dans le domaine agricole, le </w:t>
      </w:r>
      <w:hyperlink r:id="rId780" w:anchor="/fr" w:history="1">
        <w:r w:rsidRPr="007D4988">
          <w:rPr>
            <w:rStyle w:val="Hyperlink"/>
            <w:rFonts w:eastAsia="Times New Roman" w:cs="Times New Roman"/>
            <w:szCs w:val="20"/>
          </w:rPr>
          <w:t>Groupe spécialisé UIT-FAO sur l'intelligence artificielle au service de l'agriculture (FG-AI4A)</w:t>
        </w:r>
      </w:hyperlink>
      <w:r w:rsidRPr="007D4988">
        <w:t xml:space="preserve"> a examiné la façon dont l'IA, l'Internet des objets et les technologies émergentes peuvent améliorer la productivité, la résilience et la durabilité des systèmes alimentaires. Dans le cadre d'une série de réunions et de </w:t>
      </w:r>
      <w:hyperlink r:id="rId781" w:history="1">
        <w:r w:rsidRPr="007D4988">
          <w:rPr>
            <w:rStyle w:val="Hyperlink"/>
            <w:rFonts w:eastAsia="Times New Roman" w:cs="Times New Roman"/>
            <w:szCs w:val="20"/>
          </w:rPr>
          <w:t>plus de 11 ateliers et webinaires</w:t>
        </w:r>
      </w:hyperlink>
      <w:r w:rsidRPr="007D4988">
        <w:t xml:space="preserve">, le groupe a réuni des experts issus de gouvernements, d'entreprises, d'établissements universitaires et d'organisations internationales pour recenser les lacunes en matière de normalisation et les bonnes pratiques relatives à l'agriculture de précision, à l'agriculture résiliente aux changements climatiques et à l'optimisation des ressources. Ses conclusions, qui figurent dans des rapports d'analyse et techniques, contribuent à définir les normes et les orientations futures pour une agriculture numérique qui favorise la sécurité alimentaire et le développement rural durable (voir le </w:t>
      </w:r>
      <w:hyperlink r:id="rId782" w:anchor="p=1" w:history="1">
        <w:r w:rsidRPr="007D4988">
          <w:rPr>
            <w:rStyle w:val="Hyperlink"/>
            <w:rFonts w:eastAsia="Times New Roman" w:cs="Times New Roman"/>
            <w:szCs w:val="20"/>
          </w:rPr>
          <w:t>rapport rendant compte des activités du Groupe FG-AI4A</w:t>
        </w:r>
      </w:hyperlink>
      <w:r w:rsidRPr="007D4988">
        <w:t>).</w:t>
      </w:r>
    </w:p>
    <w:p w14:paraId="6B209B18" w14:textId="77777777" w:rsidR="005A3A04" w:rsidRPr="007D4988" w:rsidRDefault="005A3A04" w:rsidP="005A3A04">
      <w:r w:rsidRPr="007D4988">
        <w:t>Les produits ont été transférés à la Commission d'études 20 de l'UIT-T, qui élabore actuellement des normes internationales sur les cas d'utilisation, le déploiement, les cadres et les modèles architecturaux propres à l'agriculture numérique.</w:t>
      </w:r>
    </w:p>
    <w:p w14:paraId="5CEACF7E" w14:textId="77777777" w:rsidR="005A3A04" w:rsidRPr="007D4988" w:rsidRDefault="005A3A04" w:rsidP="005A3A04">
      <w:r w:rsidRPr="007D4988">
        <w:t xml:space="preserve">S'appuyant sur les activités du Groupe FG-AI4A, </w:t>
      </w:r>
      <w:hyperlink r:id="rId783" w:anchor="/fr" w:history="1">
        <w:r w:rsidRPr="007D4988">
          <w:rPr>
            <w:rStyle w:val="Hyperlink"/>
            <w:rFonts w:eastAsia="Times New Roman" w:cs="Times New Roman"/>
            <w:szCs w:val="20"/>
          </w:rPr>
          <w:t>l'Initiative mondiale sur l'intelligence artificielle au service des systèmes alimentaires</w:t>
        </w:r>
      </w:hyperlink>
      <w:r w:rsidRPr="007D4988">
        <w:t xml:space="preserve"> a été lancée lors de la manifestation sur l'IA au service du bien social, en juillet 2025, en collaboration avec le Programme alimentaire mondial (PAM), la FAO et le Fonds international de développement agricole (FIDA). Cette initiative est axée sur l'intégration des solutions numériques, le partage de connaissances, les partenariats porteurs de synergies et la validation de concept. À l'occasion de la Journée mondiale de l'alimentation, le 16 octobre 2025, la session sur l'IA au service de l'alimentation a été organisée dans le cadre de la série Discovery consacrée à l'IA, en présence de représentants du PAM, du FIDA, de la Commission d'études 20 de l'UIT-T et de la Fondation Rockefeller, qui ont expliqué comment les normes relatives à l'IA pouvaient améliorer les systèmes agricoles et alimentaires de manière éthique, transparente et interopérable, aider à relever les défis liés à l'adoption et apporter des solutions pour une mise à l'échelle mondiale.</w:t>
      </w:r>
    </w:p>
    <w:p w14:paraId="372704A4" w14:textId="77777777" w:rsidR="005A3A04" w:rsidRPr="007D4988" w:rsidRDefault="005A3A04" w:rsidP="005A3A04">
      <w:pPr>
        <w:pStyle w:val="Headingb"/>
      </w:pPr>
      <w:r w:rsidRPr="007D4988">
        <w:t>L'IA au service de la santé</w:t>
      </w:r>
    </w:p>
    <w:p w14:paraId="6EE9E8AF" w14:textId="77777777" w:rsidR="005A3A04" w:rsidRPr="007D4988" w:rsidRDefault="005A3A04" w:rsidP="005A3A04">
      <w:r w:rsidRPr="007D4988">
        <w:t>L'</w:t>
      </w:r>
      <w:hyperlink r:id="rId784" w:anchor="/fr" w:history="1">
        <w:r w:rsidRPr="007D4988">
          <w:rPr>
            <w:rStyle w:val="Hyperlink"/>
            <w:rFonts w:eastAsia="Times New Roman" w:cs="Times New Roman"/>
            <w:szCs w:val="20"/>
          </w:rPr>
          <w:t>Initiative mondiale sur l'intelligence artificielle au service de la santé (GI-AI4H)</w:t>
        </w:r>
      </w:hyperlink>
      <w:r w:rsidRPr="007D4988">
        <w:t xml:space="preserve">, menée conjointement par l'UIT, l'OMS et l'Organisation mondiale de la propriété intellectuelle (OMPI), vise à accélérer l'intégration sûre et équitable de l'IA dans les systèmes de santé du monde entier. Profitant de la dynamique du </w:t>
      </w:r>
      <w:hyperlink r:id="rId785" w:anchor="/fr" w:history="1">
        <w:r w:rsidRPr="007D4988">
          <w:rPr>
            <w:rStyle w:val="Hyperlink"/>
            <w:rFonts w:eastAsia="Times New Roman" w:cs="Times New Roman"/>
            <w:szCs w:val="20"/>
          </w:rPr>
          <w:t>Groupe spécialisé UIT/OMS sur l'intelligence artificielle au service de la santé (FG-AI4H)</w:t>
        </w:r>
      </w:hyperlink>
      <w:r w:rsidRPr="007D4988">
        <w:t>, l'initiative a pour objectif de définir des normes techniques, des orientations politiques et des mécanismes qui favorisent une adoption responsable de l'IA. L'un des principaux objectifs consiste à appuyer la prise de décisions fondées sur des données factuelles concernant la mise en œuvre de solutions d'IA, tout en encourageant l'échange de connaissances et de données à l'échelle mondiale pour faire en sorte que les progrès technologiques profitent à toutes les populations.</w:t>
      </w:r>
    </w:p>
    <w:p w14:paraId="1E906B00" w14:textId="0933DEB4" w:rsidR="005A3A04" w:rsidRPr="007D4988" w:rsidRDefault="005A3A04" w:rsidP="005A3A04">
      <w:r w:rsidRPr="007D4988">
        <w:t xml:space="preserve">Le </w:t>
      </w:r>
      <w:hyperlink r:id="rId786" w:anchor="/fr" w:history="1">
        <w:r w:rsidRPr="007D4988">
          <w:rPr>
            <w:rStyle w:val="Hyperlink"/>
            <w:rFonts w:eastAsia="Times New Roman" w:cs="Times New Roman"/>
            <w:szCs w:val="20"/>
          </w:rPr>
          <w:t>Groupe FG-AI4H</w:t>
        </w:r>
      </w:hyperlink>
      <w:r w:rsidRPr="007D4988">
        <w:t xml:space="preserve"> a travaillé en partenariat avec l'OMS pour établir un cadre d'analyse comparative susceptible d'être mis en œuvre à plus grande échelle et permettant d'évaluer les méthodes basées sur l'IA en matière de santé, de diagnostic, de triage ou de prise de décisions relatives au traitement. En 2025, le groupe avait mis au point 36 </w:t>
      </w:r>
      <w:hyperlink r:id="rId787" w:history="1">
        <w:r w:rsidRPr="007D4988">
          <w:rPr>
            <w:rStyle w:val="Hyperlink"/>
            <w:rFonts w:eastAsia="Times New Roman" w:cs="Times New Roman"/>
            <w:szCs w:val="20"/>
          </w:rPr>
          <w:t>produits</w:t>
        </w:r>
      </w:hyperlink>
      <w:r w:rsidRPr="007D4988">
        <w:t>.  Outre les normes qu'il a élaborées, il a utilisé des subventions (environ 600 000 CHF) de la Fondation Botnar pour créer une application en source ouverte de référence modulaire (DevSecOps) des normes, avec une licence permettant notamment aux régulateurs nationaux en matière de santé d'adapter les solutions en fonction de leurs besoins. De plus, les subventions ont permis de financer des missions d'experts dans les pays à revenu faible ou intermédiaire.</w:t>
      </w:r>
    </w:p>
    <w:p w14:paraId="12EC0DF5" w14:textId="77777777" w:rsidR="005B6543" w:rsidRPr="007D4988" w:rsidRDefault="005B6543" w:rsidP="005B6543">
      <w:pPr>
        <w:pStyle w:val="Headingb"/>
      </w:pPr>
      <w:r w:rsidRPr="007D4988">
        <w:t>Initiative pour les investissements dans l'infrastructure numérique</w:t>
      </w:r>
    </w:p>
    <w:p w14:paraId="04E02A74" w14:textId="7FD3ABC4" w:rsidR="005B6543" w:rsidRPr="007D4988" w:rsidRDefault="005B6543" w:rsidP="005B6543">
      <w:r w:rsidRPr="007D4988">
        <w:t xml:space="preserve">Lancée en 2024 dans le cadre de la présidence brésilienne du G20, l'Initiative pour les investissements dans l'infrastructure numérique (DIII) a été créée pour étudier l'ampleur du déficit d'investissement dans les infrastructures numériques, les principaux obstacles à l'investissement et les approches novatrices en matière de financement nécessaires pour combler ce déficit et surmonter ces obstacles. D'après les travaux menés dans le cadre de cette initiative placée sous la direction de l'UIT et de banques multilatérales de développement, à savoir la Banque asiatique de développement (BAsD), </w:t>
      </w:r>
      <w:bookmarkStart w:id="120" w:name="_Hlk225946442"/>
      <w:r w:rsidRPr="007D4988">
        <w:t>la Banque asiatique d'investissement dans les infrastructures</w:t>
      </w:r>
      <w:bookmarkEnd w:id="120"/>
      <w:r w:rsidRPr="007D4988">
        <w:t>, la Banque africaine de développement (BAfD), la Banque européenne d'investissement (BEI), la Banque européenne pour la reconstruction et le développement (BERD), la Banque interaméricaine de développement (BIAD), la Banque islamique de développement (BID) et la Société financière internationale (IFC), et appuyée par le Boston Consulting Group en tant que partenaire pour le partage des connaissance</w:t>
      </w:r>
      <w:r w:rsidR="00113DC1" w:rsidRPr="007D4988">
        <w:t>s</w:t>
      </w:r>
      <w:r w:rsidRPr="007D4988">
        <w:t>, on estime qu'il manque 1 600 milliards USD pour combler le déficit d'investissement dans les infrastructures numériques et assurer une connectivité universelle et efficace d'ici 2030. En</w:t>
      </w:r>
      <w:r w:rsidR="00C847DB" w:rsidRPr="007D4988">
        <w:t> </w:t>
      </w:r>
      <w:r w:rsidRPr="007D4988">
        <w:t xml:space="preserve">s'appuyant sur le livre blanc de l'Initiative DIII publié en janvier 2025, qui porte exclusivement sur les infrastructures, l'UIT a publié </w:t>
      </w:r>
      <w:hyperlink r:id="rId788" w:anchor="/fr" w:history="1">
        <w:r w:rsidR="00D8173B" w:rsidRPr="007D4988">
          <w:rPr>
            <w:rStyle w:val="Hyperlink"/>
            <w:rFonts w:eastAsia="Times New Roman" w:cs="Times New Roman"/>
            <w:szCs w:val="20"/>
          </w:rPr>
          <w:t>le programme d'action "Connecter l'humanité: promouvoir des solutions efficaces, durables et innovantes"</w:t>
        </w:r>
      </w:hyperlink>
      <w:r w:rsidRPr="007D4988">
        <w:t>, avec l'appui du Royaume d'Arabie saoudite, afin d'estimer le montant total des financements nécessaires pour réduire la fracture numérique mondiale lorsque les facteurs du point de vue de la demande sont également pris en considération. Selon le programme Connecter l'humanité, 2 600 à 2 800 milliards USD sont nécessaires pour combler les manques, non seulement en ce qui concerne l'infrastructure numérique, mais aussi l'accessibilité financière, les compétences numériques, les politiques et les réglementations.</w:t>
      </w:r>
    </w:p>
    <w:p w14:paraId="26C94B54" w14:textId="7A86F379" w:rsidR="005B6543" w:rsidRPr="007D4988" w:rsidRDefault="005B6543" w:rsidP="005B6543">
      <w:r w:rsidRPr="007D4988">
        <w:t>En complément de l'Initiative DIII, l'UIT et la CNUCED ont lancé en juillet 2025 le nouveau Catalyseur des investissements dans l'infrastructure numérique (DII) au cours de la quatrième Conférence internationale sur le financement du développement qui s'est tenue à</w:t>
      </w:r>
      <w:r w:rsidR="00C847DB" w:rsidRPr="007D4988">
        <w:t> </w:t>
      </w:r>
      <w:r w:rsidRPr="007D4988">
        <w:t>Séville (Espagne), avec l'appui des gouvernements du Brésil, de l'Espagne et de la République</w:t>
      </w:r>
      <w:r w:rsidR="00990F67" w:rsidRPr="007D4988">
        <w:t> </w:t>
      </w:r>
      <w:r w:rsidRPr="007D4988">
        <w:t>sudafricaine. Le Catalyseur DII a été officiellement adopté comme partie du Programme d'action de Séville afin d'appuyer la mise en œuvre du document final de ladite Conférence (</w:t>
      </w:r>
      <w:r w:rsidRPr="007D4988">
        <w:rPr>
          <w:i/>
          <w:iCs/>
        </w:rPr>
        <w:t>Compromiso de Sevilla</w:t>
      </w:r>
      <w:r w:rsidRPr="007D4988">
        <w:t>). Le Catalyseur constitue une plate-forme multi-parties prenantes qui réunit le système des Nations Unies et les banques multilatérales de développement, ainsi que des investisseurs, des entreprises du secteur privé, des gouvernements et des membres de la société civile, afin d'échanger des connaissances et d'encourager la collaboration en faveur de l'accélération des investissements dans des modèles d'infrastructures numériques viables et rentables. Le Catalyseur est axé sur trois</w:t>
      </w:r>
      <w:r w:rsidR="00BD412A" w:rsidRPr="007D4988">
        <w:t> </w:t>
      </w:r>
      <w:r w:rsidRPr="007D4988">
        <w:t>piliers: 1) données, outils et modèles; 2) renforcement des capacités dans le domaine des politiques d'investissement et de la finance novatrice; et 3) possibilités de partenariats, d'investissements et de financements.</w:t>
      </w:r>
    </w:p>
    <w:p w14:paraId="343DC3DA" w14:textId="77777777" w:rsidR="00C847DB" w:rsidRPr="007D4988" w:rsidRDefault="005B6543" w:rsidP="005B6543">
      <w:r w:rsidRPr="007D4988">
        <w:t>Le Catalyseur était opérationnel en septembre 2025 et est placé sous la direction de l'UIT, de la CNUCED et de huit banques multilatérales de développement, à savoir la BAsD, la BafD, la Banque asiatique d'investissement dans les infrastructures, la BERD, la BEI, la BIAD, la BID et le Groupe de la Banque mondiale, ainsi que d'un groupe de travail de plus de 50</w:t>
      </w:r>
      <w:r w:rsidR="001D3594" w:rsidRPr="007D4988">
        <w:t> </w:t>
      </w:r>
      <w:r w:rsidRPr="007D4988">
        <w:t>organisations de différents secteurs. Il a jusqu'à présent réuni des parties prenantes en</w:t>
      </w:r>
      <w:r w:rsidR="00C847DB" w:rsidRPr="007D4988">
        <w:t> </w:t>
      </w:r>
      <w:r w:rsidRPr="007D4988">
        <w:t xml:space="preserve">parallèle de l'Assemblée générale des Nations Unies (septembre 2025) et du Sommet international sur la résilience des câbles sous-marins (février 2026), et via deux appels lancés dans le cadre de groupes de travail (novembre 2025 et février 2026). Pour ce qui est de l'avenir, le Catalyseur DII établira un répertoire des ressources sur les outils existants et les ressources en matière de renforcement des capacités pouvant appuyer la planification des </w:t>
      </w:r>
      <w:r w:rsidR="00C847DB" w:rsidRPr="007D4988">
        <w:br w:type="page"/>
      </w:r>
    </w:p>
    <w:p w14:paraId="05DB1C80" w14:textId="25C5E70E" w:rsidR="001223E8" w:rsidRPr="007D4988" w:rsidRDefault="005B6543" w:rsidP="005B6543">
      <w:r w:rsidRPr="007D4988">
        <w:t>investissements en faveur des infrastructures numériques, accueillera des manifestations de mise en relation pour concrétiser des possibilités d'investissement, et mettra au point un manuel sur les investissements dans les infrastructures numériques et d'IA.</w:t>
      </w:r>
    </w:p>
    <w:p w14:paraId="2565A85B" w14:textId="77777777" w:rsidR="005A3A04" w:rsidRPr="007D4988" w:rsidRDefault="005A3A04" w:rsidP="005A3A04">
      <w:pPr>
        <w:pStyle w:val="Heading3"/>
        <w:tabs>
          <w:tab w:val="clear" w:pos="567"/>
        </w:tabs>
      </w:pPr>
      <w:bookmarkStart w:id="121" w:name="_Toc225488913"/>
      <w:r w:rsidRPr="007D4988">
        <w:t>5.5.1</w:t>
      </w:r>
      <w:r w:rsidRPr="007D4988">
        <w:tab/>
        <w:t>Collaboration avec le système des Nations Unies et avec d'autres initiatives intergouvernementales au niveau international</w:t>
      </w:r>
      <w:bookmarkEnd w:id="121"/>
    </w:p>
    <w:p w14:paraId="47F87E3B" w14:textId="77777777" w:rsidR="005A3A04" w:rsidRPr="007D4988" w:rsidRDefault="005A3A04" w:rsidP="00384552">
      <w:r w:rsidRPr="007D4988">
        <w:t xml:space="preserve">L'UIT, en tant qu'institution spécialisée des Nations Unies pour les TIC, dirige les efforts déployés à l'échelle mondiale pour aligner les technologies numériques sur le Programme de développement durable à l'horizon 2030, au sein du système des Nations Unies et au-delà. À la suite de la publication du rapport "Notre Programme commun" du Secrétaire général de l'ONU en septembre 2021, l'Union a joué un rôle de premier plan dans l'élaboration et la mise en œuvre du </w:t>
      </w:r>
      <w:hyperlink r:id="rId789" w:history="1">
        <w:r w:rsidRPr="007D4988">
          <w:rPr>
            <w:rStyle w:val="Hyperlink"/>
            <w:rFonts w:eastAsia="Times New Roman" w:cs="Times New Roman"/>
            <w:szCs w:val="20"/>
          </w:rPr>
          <w:t>Pacte pour l'avenir</w:t>
        </w:r>
      </w:hyperlink>
      <w:r w:rsidRPr="007D4988">
        <w:t xml:space="preserve"> (A/RES/79/1), adopté par le Sommet de l'avenir en septembre 2024, et notamment du Pacte numérique mondial qui lui est annexé. À travers des initiatives phares et une coopération renforcée dans les différents processus et forums des Nations Unies, l'UIT encourage l'élaboration et la mise en œuvre cohérentes d'une stratégie numérique dans l'ensemble du système des Nations Unies. </w:t>
      </w:r>
    </w:p>
    <w:p w14:paraId="230F68BD" w14:textId="7D34A665" w:rsidR="005A3A04" w:rsidRPr="007D4988" w:rsidRDefault="00D3213B" w:rsidP="005A3A04">
      <w:pPr>
        <w:pStyle w:val="Headingb"/>
      </w:pPr>
      <w:r w:rsidRPr="007D4988">
        <w:t>Mise en œuvre du Pacte pour l'avenir</w:t>
      </w:r>
    </w:p>
    <w:p w14:paraId="2131E331" w14:textId="77777777" w:rsidR="005A3A04" w:rsidRPr="007D4988" w:rsidRDefault="005A3A04" w:rsidP="005A3A04">
      <w:r w:rsidRPr="007D4988">
        <w:t xml:space="preserve">Comme indiqué dans son </w:t>
      </w:r>
      <w:hyperlink r:id="rId790" w:history="1">
        <w:r w:rsidRPr="007D4988">
          <w:rPr>
            <w:rStyle w:val="Hyperlink"/>
            <w:rFonts w:eastAsia="Times New Roman" w:cs="Times New Roman"/>
            <w:szCs w:val="20"/>
          </w:rPr>
          <w:t>Plan d'action pour la mise en œuvre du Pacte numérique mondial</w:t>
        </w:r>
      </w:hyperlink>
      <w:r w:rsidRPr="007D4988">
        <w:t xml:space="preserve">, l'UIT aide les États Membres et les autres parties prenantes à faire progresser la connectivité et la transformation numérique durable en alignant les objectifs du Pacte numérique mondial sur les initiatives nouvelles ou existantes. Sous l'égide du Comité directeur du Secrétaire général de l'ONU pour la mise en œuvre du Pacte, l'Union codirige le Groupe de travail des Nations Unies sur les technologies numériques avec le Bureau pour les technologies numériques et émergentes (Office for Digital and Emerging Technologies, ODET), coordonne les engagements pris à l'échelle du système et a élaboré la </w:t>
      </w:r>
      <w:hyperlink r:id="rId791" w:history="1">
        <w:r w:rsidRPr="007D4988">
          <w:rPr>
            <w:rStyle w:val="Hyperlink"/>
            <w:rFonts w:eastAsia="Times New Roman" w:cs="Times New Roman"/>
            <w:szCs w:val="20"/>
          </w:rPr>
          <w:t>Carte de la mise en œuvre du Pacte numérique mondial</w:t>
        </w:r>
      </w:hyperlink>
      <w:r w:rsidRPr="007D4988">
        <w:t>.</w:t>
      </w:r>
    </w:p>
    <w:p w14:paraId="11E5A20D" w14:textId="2CC2709C" w:rsidR="005A3A04" w:rsidRPr="007D4988" w:rsidRDefault="005A3A04" w:rsidP="005A3A04">
      <w:r w:rsidRPr="007D4988">
        <w:t xml:space="preserve">Dans le prolongement de la mise en œuvre dudit Pacte, les principales initiatives de l'UIT – Giga, Partner2Connect, Faits et chiffres, EQUALS, Action du secteur du numérique pour l'environnement et l'IA au service du bien social, pour n'en citer que quelques-unes – montrent qu'elles ont joué un rôle de premier plan dans la réduction de la fracture numérique, la promotion des compétences numériques, l'accélération des transitions écologique et numérique et l'intégration d'approches centrées sur l'humain dans le développement des technologies. </w:t>
      </w:r>
      <w:r w:rsidR="00953606" w:rsidRPr="007D4988">
        <w:t>L'UIT a lancé l'Initiative DIII avec des banques multilatérales de développement en 2024 pour combler le déficit d'infrastructures, qui s'élève à 1 600 milliards USD. L'Union coordonne également l'Initiative à fort impact sur les infrastructures publiques numériques et coorganise le Sommet mondial annuel sur les infrastructures publiques numériques (Le Caire, 2024; Le Cap, 2025) et la conférence "Citizen</w:t>
      </w:r>
      <w:r w:rsidR="00797EC8" w:rsidRPr="007D4988">
        <w:t> </w:t>
      </w:r>
      <w:r w:rsidR="00953606" w:rsidRPr="007D4988">
        <w:t>Stack" (Inde, 2025), afin de renforcer les garanties et l'interopérabilité à l'échelle mondiale.</w:t>
      </w:r>
    </w:p>
    <w:p w14:paraId="318678A2" w14:textId="4AF99418" w:rsidR="005A3A04" w:rsidRPr="007D4988" w:rsidRDefault="005A3A04" w:rsidP="005A3A04">
      <w:r w:rsidRPr="007D4988">
        <w:t xml:space="preserve">Au-delà du Pacte numérique mondial, l'UIT contribue à la mise en œuvre du Pacte pour l'avenir par l'intermédiaire des groupes de travail du Comité directeur du Secrétaire général de l'ONU sur les objectifs de développement durable, la paix et la sécurité, la réforme de l'architecture financière internationale, la réforme de la gouvernance des Nations Unies et la jeunesse. Elle codirige les travaux liés à la Mesure 27 c) du Pacte sur la réduction des fractures numériques dans le cadre du volet sur la paix et la sécurité, et appuie les travaux liés à la </w:t>
      </w:r>
      <w:r w:rsidR="00D8173B" w:rsidRPr="007D4988">
        <w:t>M</w:t>
      </w:r>
      <w:r w:rsidRPr="007D4988">
        <w:t>esure 24 b) sur la lutte contre la criminalité transnationale organisée en encourageant l'utilisation de réseaux numériques sûrs et résilients. Dans le cadre de la réforme de la gouvernance des Nations Unies, l'UIT encourage la coopération spatiale avec le Bureau des affaires spatiales de l'ONU et le Comité des utilisations pacifiques de l'espace extra-atmosphérique (COPUOS) en renforçant les capacités en matière de droit spatial.</w:t>
      </w:r>
    </w:p>
    <w:p w14:paraId="0ECEA344" w14:textId="77777777" w:rsidR="005A3A04" w:rsidRPr="007D4988" w:rsidRDefault="005A3A04" w:rsidP="005A3A04">
      <w:pPr>
        <w:pStyle w:val="Headingb"/>
      </w:pPr>
      <w:r w:rsidRPr="007D4988">
        <w:t>Coopération numérique à l'échelle du système des Nations Unies</w:t>
      </w:r>
    </w:p>
    <w:p w14:paraId="285A14F6" w14:textId="7C096FAB" w:rsidR="005A3A04" w:rsidRPr="007D4988" w:rsidRDefault="005A3A04" w:rsidP="005A3A04">
      <w:r w:rsidRPr="007D4988">
        <w:t>L'UIT maintient une forte présence dans l'ensemble du système des Nations Unies et encourage la cohérence dans la stratégie numérique et sa mise en œuvre. Au sein du Conseil des chefs de secrétariat et de ses Comités de haut niveau sur les programmes et sur la gestion, et du Groupe des Nations Unies pour le développement durable, l'Union joue un rôle de premier plan dans la promotion de la connectivité universelle et l'orientation de la transformation numérique, et notamment du développement de l'IA.</w:t>
      </w:r>
    </w:p>
    <w:p w14:paraId="22E2F01E" w14:textId="77777777" w:rsidR="005A3A04" w:rsidRPr="007D4988" w:rsidRDefault="005A3A04" w:rsidP="005A3A04">
      <w:r w:rsidRPr="007D4988">
        <w:t xml:space="preserve">Par son engagement actif auprès des États Membres et d'autres parties prenantes lors des principales conférences et forums des Nations Unies, l'UIT promeut de manière stratégique le rôle essentiel des technologies numériques au service du développement durable. Ces instances comprennent, sans toutefois s'y limiter, l'ECOSOC et ses commissions techniques – par exemple la Commission du développement social et la Commission de la condition de la femme, le Forum multi-parties prenantes sur la science, la technologie et l'innovation (Forum STI), le Forum politique de haut niveau pour le développement durable, les sessions de l'Assemblée générale des Nations Unies (avec Digital@UNGA) et d'autres conférences des Nations Unies, telles que la Conférence des Parties (COP) et la Conférence sur les petits États insulaires en développement (PEID), les pays les moins avancés (PMA) et les pays en développement sans littoral (PDSL) à New York et ailleurs. En particulier, lors du deuxième Sommet mondial pour le développement social qui s'est tenu à Doha en novembre 2025, l'UIT a contribué à l'élaboration de la </w:t>
      </w:r>
      <w:hyperlink r:id="rId792" w:history="1">
        <w:r w:rsidRPr="007D4988">
          <w:rPr>
            <w:rStyle w:val="Hyperlink"/>
            <w:rFonts w:eastAsia="Times New Roman" w:cs="Times New Roman"/>
            <w:szCs w:val="20"/>
          </w:rPr>
          <w:t>Déclaration politique de Doha</w:t>
        </w:r>
      </w:hyperlink>
      <w:r w:rsidRPr="007D4988">
        <w:t xml:space="preserve"> (A/RES/80/5), en mettant l'accent sur l'utilisation des outils numériques et de l'IA au service de l'éradication de la pauvreté, du travail décent, de la protection sociale et de l'accès équitable. </w:t>
      </w:r>
    </w:p>
    <w:p w14:paraId="77228510" w14:textId="658BCCDB" w:rsidR="005A3A04" w:rsidRPr="007D4988" w:rsidRDefault="005A3A04" w:rsidP="005A3A04">
      <w:r w:rsidRPr="007D4988">
        <w:t xml:space="preserve">Une enquête de l'ONU réalisée en 2022 a permis de recenser plus de 500 initiatives relatives au numérique dans l'ensemble du système des Nations Unies – ce nombre devant augmenter – à mesure que les thèmes liés au numérique apparaissent de plus en plus dans les grandes conférences, rapports, </w:t>
      </w:r>
      <w:r w:rsidR="003E1153" w:rsidRPr="007D4988">
        <w:t>R</w:t>
      </w:r>
      <w:r w:rsidRPr="007D4988">
        <w:t xml:space="preserve">ésolutions et documents finals. L'UIT collabore avec d'autres institutions des Nations Unies et d'autres entités dans les domaines des écosystèmes numériques, des données, de l'IA et des infrastructures publiques, tout en renforçant la résilience de l'ensemble du système grâce à des partenariats en matière de normalisation avec la CEI et l'ISO et à une coordination avec les institutions maritimes et de l'aviation civile des Nations Unies (Organisation de l'aviation civile internationale et Organisation maritime internationale). </w:t>
      </w:r>
      <w:r w:rsidR="00283EA7" w:rsidRPr="007D4988">
        <w:t xml:space="preserve">L'Union soutient également les initiatives numériques du Fonds commun pour les ODD des Nations Unies. Elle est une institution chef de file du pôle de ressources des Nations Unies sur l'IA, du Groupe de travail interinstitutions sur l'IA, du Groupe UNGIS et de l'examen du SMSI+20. </w:t>
      </w:r>
      <w:r w:rsidRPr="007D4988">
        <w:t xml:space="preserve">Enfin, elle mène des actions de sensibilisation dans le cadre de la Journée internationale des jeunes filles dans le secteur des TIC, de la Journée internationale des femmes et des filles de science, de la Journée internationale de l'éducation, et d'autres dialogues multi-parties prenantes et séances d'information régionales. </w:t>
      </w:r>
    </w:p>
    <w:p w14:paraId="0257B2AC" w14:textId="77777777" w:rsidR="005A3A04" w:rsidRPr="007D4988" w:rsidRDefault="005A3A04" w:rsidP="005A3A04">
      <w:pPr>
        <w:pStyle w:val="Headingb"/>
      </w:pPr>
      <w:r w:rsidRPr="007D4988">
        <w:t>Rôle de premier plan de l'UIT dans les initiatives ONU80</w:t>
      </w:r>
    </w:p>
    <w:p w14:paraId="796E2DB3" w14:textId="6F96C2B8" w:rsidR="005A3A04" w:rsidRPr="007D4988" w:rsidRDefault="005A3A04" w:rsidP="005A3A04">
      <w:pPr>
        <w:keepLines/>
      </w:pPr>
      <w:r w:rsidRPr="007D4988">
        <w:t>Dans le cadre des initiatives ONU80, la Secrétaire générale de l'UIT a codirigé, avec l'Organisation internationale du travail (OIT), le Groupe chargé des institutions spécialisées, afin de mettre la transformation numérique en adéquation avec les priorités de la réforme des Nations Unies. Suite à la publication du rapport du Secrétaire général de l'ONU en septembre 2025, intitulé "</w:t>
      </w:r>
      <w:hyperlink r:id="rId793" w:history="1">
        <w:r w:rsidRPr="007D4988">
          <w:rPr>
            <w:rStyle w:val="Hyperlink"/>
            <w:rFonts w:eastAsia="Times New Roman" w:cs="Times New Roman"/>
            <w:szCs w:val="20"/>
          </w:rPr>
          <w:t>Changement de paradigmes: unis dans la mise en œuvre</w:t>
        </w:r>
      </w:hyperlink>
      <w:r w:rsidRPr="007D4988">
        <w:t xml:space="preserve">", et du </w:t>
      </w:r>
      <w:hyperlink r:id="rId794" w:history="1">
        <w:r w:rsidRPr="007D4988">
          <w:rPr>
            <w:rStyle w:val="Hyperlink"/>
            <w:rFonts w:eastAsia="Times New Roman" w:cs="Times New Roman"/>
            <w:szCs w:val="20"/>
          </w:rPr>
          <w:t>Plan d'action de l'initiative ONU80</w:t>
        </w:r>
      </w:hyperlink>
      <w:r w:rsidRPr="007D4988">
        <w:t xml:space="preserve"> qui a suivi, l'initiative a été pleinement mise en œuvre en 2026. L'UIT dirige le </w:t>
      </w:r>
      <w:r w:rsidR="00D8173B" w:rsidRPr="007D4988">
        <w:t>L</w:t>
      </w:r>
      <w:r w:rsidRPr="007D4988">
        <w:t>ot de travaux</w:t>
      </w:r>
      <w:r w:rsidR="00160375" w:rsidRPr="007D4988">
        <w:t xml:space="preserve"> </w:t>
      </w:r>
      <w:r w:rsidRPr="007D4988">
        <w:t xml:space="preserve">8 (Expertise à la demande) avec le PNUD, dans l'objectif de mettre en relation des équipes de pays des Nations Unies avec des experts, et codirige le Lot de travaux N° 15 (Technologies) avec le Secrétaire général adjoint de l'ONU chargé des politiques et le Président du Réseau technologique et numérique des Nations Unies, afin de consolider l'infrastructure numérique et de lancer la plate-forme de l'accélérateur de technologies. L'Union apporte également sa contribution à plusieurs autres lots de travaux, notamment aux Lots N° 5 (Reconfiguration des équipes de pays des Nations Unies), 6 (Réinitialisation régionale), 7 (Pôles de connaissances communs), 12 (Plates-formes régionales intégrées), 14 (Feuille de route pour des services unis), 16 (Données), 17 (Formation et recherche), 21 (Gestion des résultats à l'échelle du système) et 29 (Registres et outils de mandat). </w:t>
      </w:r>
    </w:p>
    <w:p w14:paraId="12DC153B" w14:textId="77777777" w:rsidR="005A3A04" w:rsidRPr="007D4988" w:rsidRDefault="005A3A04" w:rsidP="005A3A04">
      <w:r w:rsidRPr="007D4988">
        <w:t>L'UIT continue de collaborer avec le système des Nations Unies pour renforcer la coopération numérique, en liant politiques, investissements et innovation, afin de faire en sorte que la transformation numérique accélère les progrès mondiaux sur la voie de la réalisation du Programme 2030, tout en préservant les droits humains et la confiance dans les progrès technologiques.</w:t>
      </w:r>
    </w:p>
    <w:p w14:paraId="202743E3" w14:textId="77777777" w:rsidR="005A3A04" w:rsidRPr="007D4988" w:rsidRDefault="005A3A04" w:rsidP="005A3A04">
      <w:pPr>
        <w:pStyle w:val="Heading2"/>
      </w:pPr>
      <w:bookmarkStart w:id="122" w:name="_Toc225488914"/>
      <w:r w:rsidRPr="007D4988">
        <w:t>5.6</w:t>
      </w:r>
      <w:r w:rsidRPr="007D4988">
        <w:tab/>
        <w:t>Mobilisation des ressources</w:t>
      </w:r>
      <w:bookmarkEnd w:id="122"/>
    </w:p>
    <w:p w14:paraId="1D6431EF" w14:textId="77777777" w:rsidR="005A3A04" w:rsidRPr="007D4988" w:rsidRDefault="005A3A04" w:rsidP="005A3A04">
      <w:r w:rsidRPr="007D4988">
        <w:t xml:space="preserve">Conformément aux instructions de la Conférence de plénipotentiaires de 2022 (PP-22), le Conseil de l'UIT a adopté une </w:t>
      </w:r>
      <w:hyperlink r:id="rId795" w:history="1">
        <w:r w:rsidRPr="007D4988">
          <w:rPr>
            <w:rStyle w:val="Hyperlink"/>
            <w:rFonts w:eastAsia="Times New Roman" w:cs="Times New Roman"/>
            <w:szCs w:val="20"/>
          </w:rPr>
          <w:t>stratégie de mobilisation des ressources</w:t>
        </w:r>
      </w:hyperlink>
      <w:r w:rsidRPr="007D4988">
        <w:t xml:space="preserve"> proposée par la Secrétaire générale à la session de 2024 du Conseil. La stratégie de mobilisation des ressources comprend trois grands domaines d'action: renforcer la participation des membres et augmenter les produits correspondants, tirer parti des manifestations, produits et services et accroître les contributions volontaires.</w:t>
      </w:r>
    </w:p>
    <w:p w14:paraId="27DC68D4" w14:textId="77777777" w:rsidR="005A3A04" w:rsidRPr="007D4988" w:rsidRDefault="005A3A04" w:rsidP="005A3A04">
      <w:r w:rsidRPr="007D4988">
        <w:t>Les contributions versées par les États Membres sous la forme d'unités contributives représentent environ 70% des produits inscrits au budget ordinaire. Lors de l'élaboration de la stratégie dans le cadre du Groupe de travail du Conseil sur les ressources financières et les ressources humaines (GTC-FHR), les délégués ont demandé au Secrétariat de l'UIT d'apporter son assistance afin de les aider à œuvrer, au sein de leur propre administration, afin que leur pays maintienne ou augmente le nombre d'unités contributives versées. Le Secrétariat a élaboré un dossier pour expliquer en quoi il est utile de financer l'UIT, ainsi que des documents d'information et des ressources web connexes actualisées que les délégations peuvent utiliser pour leurs consultations internes.</w:t>
      </w:r>
    </w:p>
    <w:p w14:paraId="04A93F12" w14:textId="77777777" w:rsidR="00D8173B" w:rsidRPr="007D4988" w:rsidRDefault="005A3A04" w:rsidP="00384552">
      <w:r w:rsidRPr="007D4988">
        <w:t xml:space="preserve">Le Secrétariat déploie également des efforts considérables pour moderniser ses opérations, ce qui lui permet de réaliser de nouveaux gains d'efficacité et d'établir des rapports plus détaillés et transparents à l'intention des États Membres. Enfin, sous la direction du Groupe de travail du Conseil chargé d'élaborer le Plan stratégique et le Plan financier (GTC-SFP), des </w:t>
      </w:r>
      <w:r w:rsidR="00D8173B" w:rsidRPr="007D4988">
        <w:br w:type="page"/>
      </w:r>
    </w:p>
    <w:p w14:paraId="4DAE6009" w14:textId="252B2EA5" w:rsidR="005A3A04" w:rsidRPr="007D4988" w:rsidRDefault="005A3A04" w:rsidP="00384552">
      <w:r w:rsidRPr="007D4988">
        <w:t xml:space="preserve">activités sont en cours à l'échelle de l'UIT pour améliorer la présentation du budget de l'Union et établir des liens plus clairs entre le budget et les plans opérationnel et stratégique, afin d'identifier les domaines dans lesquels les financements sont insuffisants. </w:t>
      </w:r>
    </w:p>
    <w:p w14:paraId="35A71D00" w14:textId="77777777" w:rsidR="005A3A04" w:rsidRPr="007D4988" w:rsidRDefault="005A3A04" w:rsidP="005A3A04">
      <w:r w:rsidRPr="007D4988">
        <w:t>En vue de renforcer la participation des Membres de Secteur et d'accroître les produits correspondants, qui représentent environ 10% des produits inscrits au budget ordinaire, la stratégie prévoit un examen de la composition des Secteurs en concertation avec les groupes consultatifs des Secteurs. Dans ce contexte, il convient notamment d'étudier les avantages susceptibles d'encourager les Membres de Secteur actuels à devenir membres de plusieurs Secteurs et les Associés à devenir des Membres de Secteur à part entière. Il s'agit aussi d'examiner et de moderniser les services essentiels proposés aux membres, tels que les services fournis par les commissions d'études. Il a été déterminé que des campagnes à l'intention des parties sous-représentées de l'écosystème numérique et des États Membres n'étant pas représentés parmi les Membres de Secteur devaient être menées pour assurer une diversité maximale parmi les membres de l'UIT.</w:t>
      </w:r>
    </w:p>
    <w:p w14:paraId="671059C5" w14:textId="77777777" w:rsidR="005A3A04" w:rsidRPr="007D4988" w:rsidRDefault="005A3A04" w:rsidP="005A3A04">
      <w:r w:rsidRPr="007D4988">
        <w:t xml:space="preserve">La stratégie de mobilisation des ressources prévoit également de revoir les manifestations, produits et services. Les produits et services représentent environ 20% du budget ordinaire grâce au recouvrement des coûts. Environ la moitié de ce montant provient des fiches de notification de satellites. Un groupe de travail de l'UIT-R étudie des moyens de moderniser les fiches de notification de satellites pour tenir compte de l'évolution du marché. Des investissements dans de nouveaux systèmes ont été consentis pour moderniser la fourniture des produits liés aux services maritimes, qui représentent l'autre moitié des produits tirés du recouvrement des coûts, et d'autres investissements sont prévus pour soutenir la vente de produits numériques et la modernisation de l'expérience lors des manifestations de l'UIT, ce qui ouvrirait la voie à de nouvelles sources potentielles de produits. </w:t>
      </w:r>
    </w:p>
    <w:p w14:paraId="7950D36C" w14:textId="551AFC8A" w:rsidR="005A3A04" w:rsidRPr="007D4988" w:rsidRDefault="005A3A04" w:rsidP="005A3A04">
      <w:r w:rsidRPr="007D4988">
        <w:t>En ce qui concerne les contributions volontaires, qui sont utilisées pour compléter le budget ordinaire, le Plan d'action de Bakou adopté par la Conférence mondiale de développement des télécommunications en 2025 prévoit un cadre mondial, ainsi qu'un ensemble d'initiatives régionales, pour orienter les efforts du Secrétariat en vue de mobiliser des fonds pour des projets et des initiatives. En outre, des initiatives comme l'Initiative Giga confirment qu'il est possible d'accroître le financement et d'optimiser les retombées grâce à des partenariats avec d'autres institutions des Nations Unies. Le Secrétariat se penche actuellement sur les principaux catalyseurs concernant la mise en œuvre des projets, notamment la rationalisation des processus de recrutement et de passation de marchés, la mise en place de nouveaux systèmes informatiques pour assurer une coordination efficace, à l'échelle de l'UIT, des activités de communication auprès des membres et des partenaires, et la définition d'une nouvelle stratégie de partenariat afin de tirer parti des partenariats pour obtenir des résultats et assurer une plus grande transparence, tout en préservant la réputation de l'UIT.</w:t>
      </w:r>
    </w:p>
    <w:p w14:paraId="2CCBD5EA" w14:textId="77777777" w:rsidR="005A3A04" w:rsidRPr="007D4988" w:rsidRDefault="005A3A04" w:rsidP="005A3A04">
      <w:pPr>
        <w:pStyle w:val="Heading2"/>
      </w:pPr>
      <w:bookmarkStart w:id="123" w:name="_Toc225488915"/>
      <w:r w:rsidRPr="007D4988">
        <w:t>5.7</w:t>
      </w:r>
      <w:r w:rsidRPr="007D4988">
        <w:tab/>
        <w:t>Processus de transformation: atteindre l'excellence organisationnelle</w:t>
      </w:r>
      <w:bookmarkEnd w:id="123"/>
    </w:p>
    <w:p w14:paraId="5352B940" w14:textId="77777777" w:rsidR="00D8173B" w:rsidRPr="007D4988" w:rsidRDefault="005A3A04" w:rsidP="00D8173B">
      <w:r w:rsidRPr="007D4988">
        <w:t xml:space="preserve">En 2023, l'UIT a lancé son initiative de transformation, sur la base d'un processus de réflexion prospective complet et d'un programme sur les acteurs du changement mobilisant des fonctionnaires de l'ensemble de l'organisation. Cette initiative a permis de jeter les bases du changement et d'associer le personnel dans un effort collectif visant à préparer l'UIT pour l'avenir. Alors que la transformation s'opère au sein du Secrétariat général et des </w:t>
      </w:r>
      <w:r w:rsidR="00D8173B" w:rsidRPr="007D4988">
        <w:br w:type="page"/>
      </w:r>
    </w:p>
    <w:p w14:paraId="22DA3944" w14:textId="5D52FA21" w:rsidR="005A3A04" w:rsidRPr="007D4988" w:rsidRDefault="005A3A04" w:rsidP="00D8173B">
      <w:r w:rsidRPr="007D4988">
        <w:t>Bureaux, cette initiative a pour objectif d'atteindre l'excellence opérationnelle au sein du Secrétariat général, qui agit en tant que fournisseur de services pour les Bureaux et les membres.</w:t>
      </w:r>
    </w:p>
    <w:p w14:paraId="28D3B594" w14:textId="77777777" w:rsidR="005A3A04" w:rsidRPr="007D4988" w:rsidRDefault="005A3A04" w:rsidP="005A3A04">
      <w:r w:rsidRPr="007D4988">
        <w:t xml:space="preserve">À mesure que le projet de transformation de l'UIT s'est affiné, le Secrétariat a opéré une transition entre les idées à leur mise en œuvre. Dans toute la mesure possible, les responsables concernés intègrent des recommandations dans leurs plans opérationnels et leurs budgets, en accordant la priorité aux initiatives essentielles. La transformation est intégrée dans la planification stratégique et financière en tant que catalyseur de la performance plutôt que comme une initiative distincte, dans la droite ligne des résultats stratégiques et des IFP établis. L'évolution de ce processus a été reflétée dans des rapports soumis régulièrement au Conseil, notamment les Rapports </w:t>
      </w:r>
      <w:hyperlink r:id="rId796" w:history="1">
        <w:r w:rsidRPr="007D4988">
          <w:rPr>
            <w:rStyle w:val="Hyperlink"/>
            <w:rFonts w:eastAsia="Times New Roman" w:cs="Times New Roman"/>
            <w:szCs w:val="20"/>
          </w:rPr>
          <w:t>C24/52</w:t>
        </w:r>
      </w:hyperlink>
      <w:r w:rsidRPr="007D4988">
        <w:t xml:space="preserve"> et </w:t>
      </w:r>
      <w:hyperlink r:id="rId797" w:history="1">
        <w:r w:rsidRPr="007D4988">
          <w:rPr>
            <w:rStyle w:val="Hyperlink"/>
            <w:rFonts w:eastAsia="Times New Roman" w:cs="Times New Roman"/>
            <w:szCs w:val="20"/>
          </w:rPr>
          <w:t>C25/55</w:t>
        </w:r>
      </w:hyperlink>
      <w:r w:rsidRPr="007D4988">
        <w:t xml:space="preserve">, ainsi que dans les rapports soumis au GTC-FHR, le plus récent étant le Document </w:t>
      </w:r>
      <w:hyperlink r:id="rId798" w:history="1">
        <w:r w:rsidRPr="007D4988">
          <w:rPr>
            <w:rStyle w:val="Hyperlink"/>
            <w:rFonts w:eastAsia="Times New Roman" w:cs="Times New Roman"/>
            <w:szCs w:val="20"/>
          </w:rPr>
          <w:t>CWG-FHR-22/15</w:t>
        </w:r>
      </w:hyperlink>
      <w:r w:rsidRPr="007D4988">
        <w:t>.</w:t>
      </w:r>
    </w:p>
    <w:p w14:paraId="5CE9BA5E" w14:textId="77777777" w:rsidR="005A3A04" w:rsidRPr="007D4988" w:rsidRDefault="005A3A04" w:rsidP="005A3A04">
      <w:pPr>
        <w:pStyle w:val="Headingb"/>
      </w:pPr>
      <w:r w:rsidRPr="007D4988">
        <w:t>Principaux résultats</w:t>
      </w:r>
    </w:p>
    <w:p w14:paraId="0D9F8C8E" w14:textId="77777777" w:rsidR="005A3A04" w:rsidRPr="007D4988" w:rsidRDefault="005A3A04" w:rsidP="005A3A04">
      <w:r w:rsidRPr="007D4988">
        <w:t>En 2025, l'UIT avait mis en œuvre plusieurs réalisations fondamentales en matière de transformation qui ont permis de renforcer la gouvernance, la responsabilisation et l'efficacité opérationnelle.</w:t>
      </w:r>
    </w:p>
    <w:p w14:paraId="3CDFE659" w14:textId="77777777" w:rsidR="005A3A04" w:rsidRPr="007D4988" w:rsidRDefault="005A3A04" w:rsidP="005A3A04">
      <w:r w:rsidRPr="007D4988">
        <w:t>Parmi les principales réalisations, citons la création d'une Unité de contrôle interne assurant une fonction d'évaluation, la formation du personnel à l'évaluation, et la création officielle de la fonction de médiateur. Le processus de planification opérationnelle a été repensé pour mieux aligner les priorités stratégiques sur les plans opérationnels et les cadres financiers et améliorer ainsi la cohérence et la discipline d'exécution dans l'ensemble de l'organisation.</w:t>
      </w:r>
    </w:p>
    <w:p w14:paraId="7494B819" w14:textId="02A85ADE" w:rsidR="005A3A04" w:rsidRPr="007D4988" w:rsidRDefault="009A3BB9" w:rsidP="005A3A04">
      <w:r w:rsidRPr="007D4988">
        <w:t>Des progrès notables ont été accomplis sur le plan de la gestion et du contrôle financiers, dont l'évolution des déficits budgétaires en excédants constants, la remise sur les rails du processus de vérification extérieure des comptes, la conformité totale aux normes comptables internationales du secteur public (IPSAS), ainsi que l'amélioration des opérations de trésorerie, de la gestion des fonds extrabudgétaires et de la gestion des postes, et la redéfinition du projet de nouveau bâtiment du siège pour veiller à respecter le budget tout en répondant aux besoins futurs. Les réformes dans le domaine des ressources humaines ont progressé grâce à un Système électronique de gestion et de développement des services du personnel (ePMDS) simplifié et à une formation ciblée, à des approches renforcées pour remédier aux insuffisances et à l'élaboration de nouvelles politiques visant à simplifier les processus de recrutement.</w:t>
      </w:r>
    </w:p>
    <w:p w14:paraId="08679A23" w14:textId="77777777" w:rsidR="005A3A04" w:rsidRPr="007D4988" w:rsidRDefault="005A3A04" w:rsidP="005A3A04">
      <w:r w:rsidRPr="007D4988">
        <w:t>Afin de favoriser le développement du leadership et d'une culture institutionnelle, un programme de formation complet a été dispensé à l'intention du personnel et de la direction. En réponse aux résultats de l'enquête sur la motivation du personnel, la Secrétaire générale a annoncé l'instauration d'un cadre de gratification et de reconnaissance, ainsi que de plages horaires consacrées aux activités liées à la formation et à l'innovation. En parallèle, l'UIT a élaboré ses premières lignes directrices organisationnelles sur l'utilisation responsable de l'IA générative, une étape importante vers l'adoption structurée des technologies émergentes.</w:t>
      </w:r>
    </w:p>
    <w:p w14:paraId="0990D85B" w14:textId="77777777" w:rsidR="005A3A04" w:rsidRPr="007D4988" w:rsidRDefault="005A3A04" w:rsidP="00D8173B">
      <w:pPr>
        <w:keepLines/>
      </w:pPr>
      <w:r w:rsidRPr="007D4988">
        <w:t>En 2025, l'Union a également accueilli un nouveau Directeur de l'information, qui a assumé un rôle de premier plan dans l'organisation et l'accélération de la transformation. Il dirige le programme interne de transformation et de modernisation numériques de l'UIT, en se concentrant sur la mise à jour des systèmes, des outils et des processus, tout en établissant une base institutionnelle solide pour les données et l'IA en tant que catalyseurs essentiels pour l'excellence opérationnelle, l'innovation et la portée des activités.</w:t>
      </w:r>
    </w:p>
    <w:p w14:paraId="14C8D1E9" w14:textId="77777777" w:rsidR="005A3A04" w:rsidRPr="007D4988" w:rsidRDefault="005A3A04" w:rsidP="005A3A04">
      <w:pPr>
        <w:pStyle w:val="Heading2"/>
      </w:pPr>
      <w:bookmarkStart w:id="124" w:name="_Toc225488916"/>
      <w:r w:rsidRPr="007D4988">
        <w:t>5.8</w:t>
      </w:r>
      <w:r w:rsidRPr="007D4988">
        <w:tab/>
        <w:t>Ressources humaines</w:t>
      </w:r>
      <w:bookmarkEnd w:id="124"/>
    </w:p>
    <w:p w14:paraId="7729899E" w14:textId="77777777" w:rsidR="005A3A04" w:rsidRPr="007D4988" w:rsidRDefault="005A3A04" w:rsidP="005A3A04">
      <w:r w:rsidRPr="007D4988">
        <w:t>L'évolution des ressources humaines a été un élément central de la transformation institutionnelle générale de l'UIT. Ces progrès se sont accélérés en 2024 et 2025, en vue d'atteindre l'objectif consistant à disposer d'un personnel souple et compétent, selon une approche axée sur l'humain, afin de répondre à l'évolution des priorités et de permettre à l'Union de s'acquitter de sa mission.</w:t>
      </w:r>
    </w:p>
    <w:p w14:paraId="0F917886" w14:textId="77777777" w:rsidR="005A3A04" w:rsidRPr="007D4988" w:rsidRDefault="005A3A04" w:rsidP="005A3A04">
      <w:pPr>
        <w:pStyle w:val="enumlev1"/>
        <w:rPr>
          <w:b/>
          <w:bCs/>
        </w:rPr>
      </w:pPr>
      <w:r w:rsidRPr="007D4988">
        <w:rPr>
          <w:b/>
          <w:bCs/>
        </w:rPr>
        <w:t>a)</w:t>
      </w:r>
      <w:r w:rsidRPr="007D4988">
        <w:rPr>
          <w:b/>
          <w:bCs/>
        </w:rPr>
        <w:tab/>
        <w:t>Personnel:</w:t>
      </w:r>
    </w:p>
    <w:p w14:paraId="5AC9658D" w14:textId="77777777" w:rsidR="005A3A04" w:rsidRPr="007D4988" w:rsidRDefault="005A3A04" w:rsidP="005A3A04">
      <w:pPr>
        <w:pStyle w:val="enumlev2"/>
      </w:pPr>
      <w:r w:rsidRPr="007D4988">
        <w:t>•</w:t>
      </w:r>
      <w:r w:rsidRPr="007D4988">
        <w:tab/>
        <w:t>La formation et le développement ont été renforcés grâce à un plan de formation complet et économique; la visibilité a été améliorée grâce au bulletin d'information "Let's Learn" et à un site SharePoint centralisé, le plan étant suivi et mis à jour régulièrement en fonction des nouveaux besoins.</w:t>
      </w:r>
    </w:p>
    <w:p w14:paraId="7B49A6E3" w14:textId="77777777" w:rsidR="005A3A04" w:rsidRPr="007D4988" w:rsidRDefault="005A3A04" w:rsidP="005A3A04">
      <w:pPr>
        <w:pStyle w:val="enumlev2"/>
      </w:pPr>
      <w:r w:rsidRPr="007D4988">
        <w:t>•</w:t>
      </w:r>
      <w:r w:rsidRPr="007D4988">
        <w:tab/>
        <w:t>Une nouvelle politique sur la formation obligatoire a été adoptée en août 2024 pour renforcer la culture organisationnelle de l'UIT et favoriser une compréhension commune des normes de conduite attendues. Le taux de conformité a augmenté, passant de 5% à 45,7% en janvier 2026 grâce à un partenariat plus étroit avec les coordonnateurs des ressources humaines, et le Département HRMD a mis au point un mécanisme de suivi systématique pour aider les responsables à améliorer ce taux.</w:t>
      </w:r>
    </w:p>
    <w:p w14:paraId="53945C68" w14:textId="77777777" w:rsidR="005A3A04" w:rsidRPr="007D4988" w:rsidRDefault="005A3A04" w:rsidP="005A3A04">
      <w:pPr>
        <w:pStyle w:val="enumlev2"/>
      </w:pPr>
      <w:r w:rsidRPr="007D4988">
        <w:t>•</w:t>
      </w:r>
      <w:r w:rsidRPr="007D4988">
        <w:tab/>
        <w:t xml:space="preserve">La gestion de la performance a été améliorée par la rationalisation des processus et l'adoption de l'outil simplifié ePMDS, ce qui a permis d'accroître l'efficacité du dialogue et du retour d'informations sur la performance, tout en diminuant d'au moins 50% le temps passé par les supérieurs hiérarchiques à l'évaluation de la performance; une formation ciblée en matière de gestion de la performance a également été dispensée aux membres du personnel et aux supérieurs hiérarchiques. </w:t>
      </w:r>
    </w:p>
    <w:p w14:paraId="7DA9EB0D" w14:textId="77777777" w:rsidR="005A3A04" w:rsidRPr="007D4988" w:rsidRDefault="005A3A04" w:rsidP="005A3A04">
      <w:pPr>
        <w:pStyle w:val="enumlev2"/>
      </w:pPr>
      <w:r w:rsidRPr="007D4988">
        <w:t>•</w:t>
      </w:r>
      <w:r w:rsidRPr="007D4988">
        <w:tab/>
        <w:t xml:space="preserve">Un examen approfondi du recrutement a été lancé début 2025; celui-ci portait sur l'élaboration de politiques, l'évaluation des processus, les IFP et les mesures de responsabilisation, et s'appuyait sur les critères de référence du système des Nations Unies, afin de garantir un processus de sélection efficace, équitable et transparent. </w:t>
      </w:r>
    </w:p>
    <w:p w14:paraId="7AAB59CA" w14:textId="77777777" w:rsidR="005A3A04" w:rsidRPr="007D4988" w:rsidRDefault="005A3A04" w:rsidP="00384552">
      <w:pPr>
        <w:pStyle w:val="enumlev2"/>
        <w:keepLines/>
      </w:pPr>
      <w:r w:rsidRPr="007D4988">
        <w:t>•</w:t>
      </w:r>
      <w:r w:rsidRPr="007D4988">
        <w:tab/>
        <w:t xml:space="preserve">Le développement des talents et la souplesse du personnel ont été encore renforcés grâce au </w:t>
      </w:r>
      <w:hyperlink r:id="rId799" w:history="1">
        <w:r w:rsidRPr="007D4988">
          <w:rPr>
            <w:rStyle w:val="Hyperlink"/>
            <w:rFonts w:eastAsia="Times New Roman" w:cs="Times New Roman"/>
            <w:szCs w:val="20"/>
          </w:rPr>
          <w:t>Programme pour les jeunes professionnels</w:t>
        </w:r>
      </w:hyperlink>
      <w:r w:rsidRPr="007D4988">
        <w:t xml:space="preserve">, à l'élargissement du programme des administrateurs auxiliaires et à l'accord conclu avec les Volontaires des Nations Unies (UNV). De jeunes professionnels originaires des PMA ont été recrutés, ce qui contribue à renforcer la diversité géographique du personnel de l'UIT, et six jeunes professionnels ont été intégrés en 2025. </w:t>
      </w:r>
    </w:p>
    <w:p w14:paraId="1AA09531" w14:textId="77777777" w:rsidR="005A3A04" w:rsidRPr="007D4988" w:rsidRDefault="005A3A04" w:rsidP="00D8173B">
      <w:pPr>
        <w:pStyle w:val="enumlev2"/>
        <w:keepLines/>
      </w:pPr>
      <w:r w:rsidRPr="007D4988">
        <w:t>•</w:t>
      </w:r>
      <w:r w:rsidRPr="007D4988">
        <w:tab/>
        <w:t>L'UIT a poursuivi ses efforts visant à promouvoir la parité hommes-femmes et la diversité géographique au sein du personnel, et ces indicateurs sont suivis tout au long du processus de recrutement. Un plan de mise en œuvre de la parité hommes</w:t>
      </w:r>
      <w:r w:rsidRPr="007D4988">
        <w:noBreakHyphen/>
        <w:t>femmes a été mis au point pour favoriser la réalisation des objectifs des Nations Unies en la matière et définir des mesures efficaces afin de promouvoir l'égalité.</w:t>
      </w:r>
    </w:p>
    <w:p w14:paraId="1D88478E" w14:textId="77777777" w:rsidR="005A3A04" w:rsidRPr="007D4988" w:rsidRDefault="005A3A04" w:rsidP="005A3A04">
      <w:pPr>
        <w:pStyle w:val="enumlev2"/>
      </w:pPr>
      <w:r w:rsidRPr="007D4988">
        <w:t>•</w:t>
      </w:r>
      <w:r w:rsidRPr="007D4988">
        <w:tab/>
        <w:t>Un programme de départ volontaire a été lancé en mars 2023, ainsi qu'une deuxième tranche en novembre 2024. Ces programmes offrent une certaine souplesse pour favoriser le réalignement structurel, doter l'UIT d'aptitudes et de compétences supplémentaires et optimiser l'affectation des ressources.</w:t>
      </w:r>
    </w:p>
    <w:p w14:paraId="102DC265" w14:textId="2A770552" w:rsidR="005A3A04" w:rsidRPr="007D4988" w:rsidRDefault="005A3A04" w:rsidP="005A3A04">
      <w:pPr>
        <w:pStyle w:val="enumlev2"/>
      </w:pPr>
      <w:r w:rsidRPr="007D4988">
        <w:t>•</w:t>
      </w:r>
      <w:r w:rsidRPr="007D4988">
        <w:tab/>
        <w:t xml:space="preserve">La transparence et la prise de décisions fondées sur des données factuelles ont été renforcées grâce à l'analyse des ressources humaines, et notamment au </w:t>
      </w:r>
      <w:hyperlink r:id="rId800" w:history="1">
        <w:r w:rsidRPr="007D4988">
          <w:rPr>
            <w:rStyle w:val="Hyperlink"/>
            <w:rFonts w:eastAsia="Times New Roman" w:cs="Times New Roman"/>
            <w:szCs w:val="20"/>
          </w:rPr>
          <w:t>tableau de bord présentant les données analytiques sur le personnel</w:t>
        </w:r>
      </w:hyperlink>
      <w:r w:rsidRPr="007D4988">
        <w:t>, mis à la disposition des États Membres via le portail du Conseil et constamment amélioré en fonction des commentaires reçus.</w:t>
      </w:r>
    </w:p>
    <w:p w14:paraId="46874BD2" w14:textId="77777777" w:rsidR="005A3A04" w:rsidRPr="007D4988" w:rsidRDefault="005A3A04" w:rsidP="005A3A04">
      <w:pPr>
        <w:pStyle w:val="Figure"/>
      </w:pPr>
      <w:r w:rsidRPr="007D4988">
        <w:rPr>
          <w:rFonts w:eastAsia="SimSun"/>
          <w:noProof/>
          <w:lang w:eastAsia="zh-CN"/>
        </w:rPr>
        <w:drawing>
          <wp:inline distT="0" distB="0" distL="0" distR="0" wp14:anchorId="4B996257" wp14:editId="5ED52B18">
            <wp:extent cx="4367283" cy="2770495"/>
            <wp:effectExtent l="0" t="0" r="0" b="0"/>
            <wp:docPr id="438162130" name="Picture 2" descr="A screenshot of a computer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1"/>
                    <a:srcRect/>
                    <a:stretch>
                      <a:fillRect/>
                    </a:stretch>
                  </pic:blipFill>
                  <pic:spPr>
                    <a:xfrm>
                      <a:off x="0" y="0"/>
                      <a:ext cx="4396782" cy="2789208"/>
                    </a:xfrm>
                    <a:prstGeom prst="rect">
                      <a:avLst/>
                    </a:prstGeom>
                    <a:noFill/>
                    <a:ln>
                      <a:noFill/>
                      <a:prstDash/>
                    </a:ln>
                  </pic:spPr>
                </pic:pic>
              </a:graphicData>
            </a:graphic>
          </wp:inline>
        </w:drawing>
      </w:r>
    </w:p>
    <w:p w14:paraId="4F749ACB" w14:textId="77777777" w:rsidR="005A3A04" w:rsidRPr="007D4988" w:rsidRDefault="005A3A04" w:rsidP="005A3A04">
      <w:pPr>
        <w:pStyle w:val="enumlev1"/>
        <w:rPr>
          <w:b/>
          <w:bCs/>
        </w:rPr>
      </w:pPr>
      <w:r w:rsidRPr="007D4988">
        <w:rPr>
          <w:b/>
          <w:bCs/>
        </w:rPr>
        <w:t>b)</w:t>
      </w:r>
      <w:r w:rsidRPr="007D4988">
        <w:rPr>
          <w:b/>
          <w:bCs/>
        </w:rPr>
        <w:tab/>
        <w:t>Culture:</w:t>
      </w:r>
    </w:p>
    <w:p w14:paraId="47633FFA" w14:textId="77777777" w:rsidR="005A3A04" w:rsidRPr="007D4988" w:rsidRDefault="005A3A04" w:rsidP="005A3A04">
      <w:pPr>
        <w:pStyle w:val="enumlev2"/>
      </w:pPr>
      <w:r w:rsidRPr="007D4988">
        <w:t>•</w:t>
      </w:r>
      <w:r w:rsidRPr="007D4988">
        <w:tab/>
        <w:t>Un programme complet de développement des compétences en matière de leadership a été lancé en novembre 2024. Il était axé sur le leadership inclusif (grade P5 et plus) et comportait un module consacré aux questions de genre, ainsi qu'une formation des cadres supérieurs. Les capacités de leadership ont été renforcées au moyen d'ateliers en équipe sur le leadership adaptatif pour les fonctionnaires de grade P4 et supérieur et du programme des dirigeants de demain de l'UIT pour les acteurs du changement, qui a contribué à renforcer les capacités d'encadrement du changement et l'efficacité des équipes.</w:t>
      </w:r>
    </w:p>
    <w:p w14:paraId="459A38AE" w14:textId="77777777" w:rsidR="005A3A04" w:rsidRPr="007D4988" w:rsidRDefault="005A3A04" w:rsidP="00384552">
      <w:pPr>
        <w:pStyle w:val="enumlev2"/>
        <w:keepLines/>
      </w:pPr>
      <w:r w:rsidRPr="007D4988">
        <w:t>•</w:t>
      </w:r>
      <w:r w:rsidRPr="007D4988">
        <w:tab/>
        <w:t>Le tout premier plan d'action pour la santé mentale et le bien-être a été élaboré à la suite de la publication des résultats de l'enquête sur la santé à l'échelle des Nations Unies de 2023 et constitue la pierre angulaire du programme consacré aux personnes et à la culture. Le plan propose une approche holistique du bien</w:t>
      </w:r>
      <w:r w:rsidRPr="007D4988">
        <w:noBreakHyphen/>
        <w:t>être englobant les dimensions physique, psychologique et sociale et met particulièrement l'accent sur la prévention, les interventions précoces et un soutien constant.</w:t>
      </w:r>
    </w:p>
    <w:p w14:paraId="487D4367" w14:textId="77777777" w:rsidR="005A3A04" w:rsidRPr="007D4988" w:rsidRDefault="005A3A04" w:rsidP="00384552">
      <w:pPr>
        <w:pStyle w:val="enumlev2"/>
      </w:pPr>
      <w:r w:rsidRPr="007D4988">
        <w:t>•</w:t>
      </w:r>
      <w:r w:rsidRPr="007D4988">
        <w:tab/>
        <w:t>L'UIT a mené sa première enquête sur la motivation du personnel en janvier 2025, laquelle a affiché un taux de participation de 72%. L'organisation a tenu une réunion et un atelier à l'intention de tout le personnel pour discuter des résultats et mettre au point conjointement des solutions aux problèmes recensés. Le plan d'action de suivi comprend des initiatives à l'échelle de l'organisation (séances portes ouvertes avec des fonctionnaires élus, journées de l'innovation, séries de déjeuners-débats et programme de mentorat à l'échelle de l'UIT), ainsi que des mesures au niveau des départements et des bureaux définies conjointement au niveau de la base.</w:t>
      </w:r>
    </w:p>
    <w:p w14:paraId="088F983E" w14:textId="77777777" w:rsidR="005A3A04" w:rsidRPr="007D4988" w:rsidRDefault="005A3A04" w:rsidP="005A3A04">
      <w:pPr>
        <w:pStyle w:val="enumlev2"/>
      </w:pPr>
      <w:r w:rsidRPr="007D4988">
        <w:t>•</w:t>
      </w:r>
      <w:r w:rsidRPr="007D4988">
        <w:tab/>
        <w:t>Les récompenses et la reconnaissance sont davantage améliorées grâce à l'instauration d'un cadre exhaustif visant à témoigner du travail et de la performance des fonctionnaires. La cérémonie de reconnaissance des services de longue date, qui s'est tenue le 8 décembre 2025, a mis à l'honneur 210 collègues comptant plus de 20 années de service à l'UIT. Cette dynamique se poursuivra avec le lancement du deuxième pilier du cadre, lequel sera plus opérationnel en 2026; ce pilier concerne les prix décernés aux équipes, et vise à reconnaître les réalisations collectives et à renforcer la participation et la collaboration et à susciter un sentiment fort d'utilité et d'appartenance à l'UIT. À cela s'ajouteront des remerciements informels et des manifestations de reconnaissance des responsables pour faire en sorte que les membres du personnel se sentent valorisés.</w:t>
      </w:r>
    </w:p>
    <w:p w14:paraId="07D0437D" w14:textId="77777777" w:rsidR="005A3A04" w:rsidRPr="007D4988" w:rsidRDefault="005A3A04" w:rsidP="005A3A04">
      <w:pPr>
        <w:pStyle w:val="enumlev2"/>
      </w:pPr>
      <w:r w:rsidRPr="007D4988">
        <w:t>•</w:t>
      </w:r>
      <w:r w:rsidRPr="007D4988">
        <w:tab/>
        <w:t>En vertu des mémorandums d'accord signés par l'UIT en partenariat avec l'OMPI et le Bureau des services d'ombudsman et de médiation des Nations Unies, la nouvelle ombudsman a pris ses fonctions à l'UIT le 5 janvier 2026.</w:t>
      </w:r>
    </w:p>
    <w:p w14:paraId="5BB9D864" w14:textId="77777777" w:rsidR="005A3A04" w:rsidRPr="007D4988" w:rsidRDefault="005A3A04" w:rsidP="005A3A04">
      <w:pPr>
        <w:pStyle w:val="enumlev1"/>
        <w:rPr>
          <w:b/>
          <w:bCs/>
        </w:rPr>
      </w:pPr>
      <w:r w:rsidRPr="007D4988">
        <w:rPr>
          <w:b/>
          <w:bCs/>
        </w:rPr>
        <w:t>c)</w:t>
      </w:r>
      <w:r w:rsidRPr="007D4988">
        <w:rPr>
          <w:b/>
          <w:bCs/>
        </w:rPr>
        <w:tab/>
        <w:t>Services:</w:t>
      </w:r>
    </w:p>
    <w:p w14:paraId="03AF6732" w14:textId="77777777" w:rsidR="005A3A04" w:rsidRPr="007D4988" w:rsidRDefault="005A3A04" w:rsidP="005A3A04">
      <w:pPr>
        <w:pStyle w:val="enumlev2"/>
      </w:pPr>
      <w:r w:rsidRPr="007D4988">
        <w:t>•</w:t>
      </w:r>
      <w:r w:rsidRPr="007D4988">
        <w:tab/>
        <w:t>Le Département HRMD a poursuivi la modernisation du cadre réglementaire de l'UIT en actualisant et en mettant en place des politiques visant à mieux prendre en charge l'évolution de ses effectifs. Les examens en cours portent sur des questions importantes, notamment le recrutement pour des contrats de durée déterminée, les contrats de consultants, le recrutement de personnel au bénéfice de contrats de courte durée, ainsi que les droits et prestations tels que l'allocation de logement, l'indemnité pour frais d'études et les indemnités pour personne à charge.</w:t>
      </w:r>
    </w:p>
    <w:p w14:paraId="7B16AE18" w14:textId="77777777" w:rsidR="005A3A04" w:rsidRPr="007D4988" w:rsidRDefault="005A3A04" w:rsidP="005A3A04">
      <w:pPr>
        <w:pStyle w:val="enumlev2"/>
      </w:pPr>
      <w:r w:rsidRPr="007D4988">
        <w:t>•</w:t>
      </w:r>
      <w:r w:rsidRPr="007D4988">
        <w:tab/>
        <w:t>La première phase du cadre de délégation de pouvoir en matière de ressources humaines a été adoptée pour rationaliser les processus d'approbation des ressources humaines, permettant une prise de décisions plus rapide sur les principales questions liées aux ressources humaines. En outre, le Département HRMD mène actuellement une initiative à l'échelle de l'Union visant à élaborer un cadre de délégation de pouvoir global pour l'UIT.</w:t>
      </w:r>
    </w:p>
    <w:p w14:paraId="3021D31E" w14:textId="77777777" w:rsidR="005A3A04" w:rsidRPr="007D4988" w:rsidRDefault="005A3A04" w:rsidP="00384552">
      <w:pPr>
        <w:pStyle w:val="enumlev2"/>
        <w:keepLines/>
      </w:pPr>
      <w:r w:rsidRPr="007D4988">
        <w:t>•</w:t>
      </w:r>
      <w:r w:rsidRPr="007D4988">
        <w:tab/>
        <w:t>Une procédure opérationnelle normalisée (SOP) a été établie pour le paiement des personnes au bénéfice d'un contrat SSA, afin de garantir la clôture en temps utile des contrats, et prévoit que les responsables certifient que les résultats ont été atteints avec succès. Par ailleurs, des lignes directrices sur les conflits d'intérêts liés aux contrats SSA ont été adoptées pour faciliter la déclaration et le suivi des conflits d'intérêts réels ou possibles, ce qui garantit le respect des normes éthiques.</w:t>
      </w:r>
    </w:p>
    <w:p w14:paraId="1CACFE3E" w14:textId="77777777" w:rsidR="005A3A04" w:rsidRPr="007D4988" w:rsidRDefault="005A3A04" w:rsidP="005A3A04">
      <w:pPr>
        <w:pStyle w:val="enumlev2"/>
      </w:pPr>
      <w:r w:rsidRPr="007D4988">
        <w:t>•</w:t>
      </w:r>
      <w:r w:rsidRPr="007D4988">
        <w:tab/>
        <w:t>Le Département HRMD s'engage davantage en faveur de la responsabilisation en suivant systématiquement les recommandations d'audit en suspens et en y donnant suite, selon une approche structurée conforme aux priorités de l'UIT en matière de gestion des risques.</w:t>
      </w:r>
    </w:p>
    <w:p w14:paraId="33A249EB" w14:textId="77777777" w:rsidR="005A3A04" w:rsidRPr="007D4988" w:rsidRDefault="005A3A04" w:rsidP="005A3A04">
      <w:pPr>
        <w:pStyle w:val="enumlev2"/>
      </w:pPr>
      <w:r w:rsidRPr="007D4988">
        <w:t>•</w:t>
      </w:r>
      <w:r w:rsidRPr="007D4988">
        <w:tab/>
        <w:t>Les travaux sur la politique de télétravail et d'aménagement des modalités de travail se poursuivent. L'ordre de service correspondant a été préparé, et une communication et une formation sont prévues pour assurer une transition sans heurts.</w:t>
      </w:r>
    </w:p>
    <w:p w14:paraId="73FA9B74" w14:textId="77777777" w:rsidR="005A3A04" w:rsidRPr="007D4988" w:rsidRDefault="005A3A04" w:rsidP="005A3A04">
      <w:pPr>
        <w:pStyle w:val="enumlev2"/>
      </w:pPr>
      <w:r w:rsidRPr="007D4988">
        <w:t>•</w:t>
      </w:r>
      <w:r w:rsidRPr="007D4988">
        <w:tab/>
        <w:t>Des procédures opérationnelles normalisées concernant les situations d'urgence à l'intention du personnel des bureaux hors siège et du personnel en mission ont été conçues en étroite collaboration avec le Conseil du personnel afin d'améliorer la préparation de l'UIT aux situations d'urgence et les protocoles de sécurité de son personnel.</w:t>
      </w:r>
    </w:p>
    <w:p w14:paraId="702A9E3C" w14:textId="77777777" w:rsidR="005A3A04" w:rsidRPr="007D4988" w:rsidRDefault="005A3A04" w:rsidP="005A3A04">
      <w:pPr>
        <w:pStyle w:val="enumlev2"/>
      </w:pPr>
      <w:r w:rsidRPr="007D4988">
        <w:t>•</w:t>
      </w:r>
      <w:r w:rsidRPr="007D4988">
        <w:tab/>
        <w:t>L'Union a participé activement au premier projet interinstitutions du système des Nations Unies sur l'IA générative, en dirigeant le développement d'un agent conversationnel fondé sur l'IA pour l'analyse des politiques relatives aux ressources humaines et les demandes de renseignements du personnel. Le projet est actuellement étendu de façon à couvrir tous les membres du personnel de l'UIT, et sera évalué tout au long de l'année 2026.</w:t>
      </w:r>
    </w:p>
    <w:p w14:paraId="2E054F9F" w14:textId="77777777" w:rsidR="005A3A04" w:rsidRPr="007D4988" w:rsidRDefault="005A3A04" w:rsidP="005A3A04">
      <w:pPr>
        <w:pStyle w:val="Heading2"/>
      </w:pPr>
      <w:bookmarkStart w:id="125" w:name="_Toc225488917"/>
      <w:r w:rsidRPr="007D4988">
        <w:t>5.9</w:t>
      </w:r>
      <w:r w:rsidRPr="007D4988">
        <w:tab/>
        <w:t>État d'avancement de la mise en œuvre des Résolutions de la Conférence de plénipotentiaires</w:t>
      </w:r>
      <w:bookmarkEnd w:id="125"/>
    </w:p>
    <w:p w14:paraId="1CCC48ED" w14:textId="77777777" w:rsidR="005A3A04" w:rsidRPr="007D4988" w:rsidRDefault="005A3A04" w:rsidP="005A3A04">
      <w:r w:rsidRPr="007D4988">
        <w:t xml:space="preserve">L'état d'avancement de la mise en œuvre des Résolutions de la Conférence de plénipotentiaires est disponible sur la plate-forme web dédiée, consultable </w:t>
      </w:r>
      <w:hyperlink r:id="rId802" w:history="1">
        <w:r w:rsidRPr="007D4988">
          <w:rPr>
            <w:rStyle w:val="Hyperlink"/>
            <w:rFonts w:eastAsia="Times New Roman" w:cs="Times New Roman"/>
            <w:szCs w:val="20"/>
          </w:rPr>
          <w:t>ici</w:t>
        </w:r>
      </w:hyperlink>
      <w:r w:rsidRPr="007D4988">
        <w:t>.</w:t>
      </w:r>
    </w:p>
    <w:p w14:paraId="64166E7B" w14:textId="77777777" w:rsidR="005A3A04" w:rsidRPr="007D4988" w:rsidRDefault="005A3A04" w:rsidP="005A3A04">
      <w:pPr>
        <w:jc w:val="center"/>
      </w:pPr>
      <w:r w:rsidRPr="007D4988">
        <w:t>______________</w:t>
      </w:r>
    </w:p>
    <w:sectPr w:rsidR="005A3A04" w:rsidRPr="007D4988" w:rsidSect="00D72F49">
      <w:headerReference w:type="even" r:id="rId803"/>
      <w:footerReference w:type="even" r:id="rId804"/>
      <w:footerReference w:type="default" r:id="rId805"/>
      <w:headerReference w:type="first" r:id="rId806"/>
      <w:footerReference w:type="first" r:id="rId807"/>
      <w:pgSz w:w="11907" w:h="16840" w:code="9"/>
      <w:pgMar w:top="1418" w:right="1418" w:bottom="1418" w:left="1418" w:header="720" w:footer="720" w:gutter="0"/>
      <w:paperSrc w:first="286" w:other="286"/>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1A639" w14:textId="77777777" w:rsidR="0024040C" w:rsidRDefault="0024040C">
      <w:r>
        <w:separator/>
      </w:r>
    </w:p>
  </w:endnote>
  <w:endnote w:type="continuationSeparator" w:id="0">
    <w:p w14:paraId="0498917E" w14:textId="77777777" w:rsidR="0024040C" w:rsidRDefault="00240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682BC" w14:textId="4E0836CA" w:rsidR="00732045" w:rsidRPr="001F1628" w:rsidRDefault="008D0C6D">
    <w:pPr>
      <w:pStyle w:val="Footer"/>
      <w:rPr>
        <w:lang w:val="en-US"/>
      </w:rPr>
    </w:pPr>
    <w:r>
      <w:fldChar w:fldCharType="begin"/>
    </w:r>
    <w:r w:rsidRPr="001F1628">
      <w:rPr>
        <w:lang w:val="en-US"/>
      </w:rPr>
      <w:instrText xml:space="preserve"> FILENAME \p \* MERGEFORMAT </w:instrText>
    </w:r>
    <w:r>
      <w:fldChar w:fldCharType="separate"/>
    </w:r>
    <w:r w:rsidR="00F1770F">
      <w:rPr>
        <w:lang w:val="en-US"/>
      </w:rPr>
      <w:t>P:\FRA\gDoc\SG\C26\2600624F.docx</w:t>
    </w:r>
    <w:r>
      <w:fldChar w:fldCharType="end"/>
    </w:r>
    <w:r w:rsidR="00732045" w:rsidRPr="001F1628">
      <w:rPr>
        <w:lang w:val="en-US"/>
      </w:rPr>
      <w:tab/>
    </w:r>
    <w:r w:rsidR="002F1B76">
      <w:fldChar w:fldCharType="begin"/>
    </w:r>
    <w:r w:rsidR="00732045">
      <w:instrText xml:space="preserve"> savedate \@ dd.MM.yy </w:instrText>
    </w:r>
    <w:r w:rsidR="002F1B76">
      <w:fldChar w:fldCharType="separate"/>
    </w:r>
    <w:r w:rsidR="00685D15">
      <w:t>16.04.26</w:t>
    </w:r>
    <w:r w:rsidR="002F1B76">
      <w:fldChar w:fldCharType="end"/>
    </w:r>
    <w:r w:rsidR="00732045" w:rsidRPr="001F1628">
      <w:rPr>
        <w:lang w:val="en-US"/>
      </w:rPr>
      <w:tab/>
    </w:r>
    <w:r w:rsidR="002F1B76">
      <w:fldChar w:fldCharType="begin"/>
    </w:r>
    <w:r w:rsidR="00732045">
      <w:instrText xml:space="preserve"> printdate \@ dd.MM.yy </w:instrText>
    </w:r>
    <w:r w:rsidR="002F1B76">
      <w:fldChar w:fldCharType="separate"/>
    </w:r>
    <w:r w:rsidR="00F1770F">
      <w:t>18.07.00</w:t>
    </w:r>
    <w:r w:rsidR="002F1B7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A51849" w:rsidRPr="00784011" w14:paraId="43FF04BA" w14:textId="77777777" w:rsidTr="00E31DCE">
      <w:trPr>
        <w:jc w:val="center"/>
      </w:trPr>
      <w:tc>
        <w:tcPr>
          <w:tcW w:w="1803" w:type="dxa"/>
          <w:vAlign w:val="center"/>
        </w:tcPr>
        <w:p w14:paraId="54502BF3" w14:textId="35C14FCB" w:rsidR="00A51849" w:rsidRDefault="008D0C6D" w:rsidP="00A51849">
          <w:pPr>
            <w:pStyle w:val="Header"/>
            <w:jc w:val="left"/>
            <w:rPr>
              <w:noProof/>
            </w:rPr>
          </w:pPr>
          <w:r>
            <w:rPr>
              <w:noProof/>
            </w:rPr>
            <w:t>2600624</w:t>
          </w:r>
        </w:p>
      </w:tc>
      <w:tc>
        <w:tcPr>
          <w:tcW w:w="8261" w:type="dxa"/>
        </w:tcPr>
        <w:p w14:paraId="22B2E4C4" w14:textId="2E808437" w:rsidR="00A51849" w:rsidRPr="00E06FD5" w:rsidRDefault="00A51849" w:rsidP="00C049D7">
          <w:pPr>
            <w:pStyle w:val="Header"/>
            <w:tabs>
              <w:tab w:val="left" w:pos="6731"/>
              <w:tab w:val="right" w:pos="8505"/>
              <w:tab w:val="right" w:pos="9639"/>
            </w:tabs>
            <w:jc w:val="left"/>
            <w:rPr>
              <w:rFonts w:ascii="Arial" w:hAnsi="Arial" w:cs="Arial"/>
              <w:b/>
              <w:bCs/>
              <w:szCs w:val="18"/>
            </w:rPr>
          </w:pPr>
          <w:r>
            <w:rPr>
              <w:bCs/>
            </w:rPr>
            <w:tab/>
          </w:r>
          <w:r w:rsidRPr="00623AE3">
            <w:rPr>
              <w:bCs/>
            </w:rPr>
            <w:t>C</w:t>
          </w:r>
          <w:r>
            <w:rPr>
              <w:bCs/>
            </w:rPr>
            <w:t>2</w:t>
          </w:r>
          <w:r w:rsidR="00E4448E">
            <w:rPr>
              <w:bCs/>
            </w:rPr>
            <w:t>6</w:t>
          </w:r>
          <w:r w:rsidRPr="00623AE3">
            <w:rPr>
              <w:bCs/>
            </w:rPr>
            <w:t>/</w:t>
          </w:r>
          <w:r w:rsidR="008D0C6D">
            <w:rPr>
              <w:bCs/>
            </w:rPr>
            <w:t>35</w:t>
          </w:r>
          <w:r w:rsidRPr="00623AE3">
            <w:rPr>
              <w:bCs/>
            </w:rPr>
            <w:t>-</w:t>
          </w:r>
          <w:r w:rsidR="00973F53">
            <w:rPr>
              <w:bCs/>
            </w:rPr>
            <w:t>F</w:t>
          </w:r>
          <w:r>
            <w:rPr>
              <w:bCs/>
            </w:rPr>
            <w:tab/>
          </w:r>
          <w:r>
            <w:fldChar w:fldCharType="begin"/>
          </w:r>
          <w:r>
            <w:instrText>PAGE</w:instrText>
          </w:r>
          <w:r>
            <w:fldChar w:fldCharType="separate"/>
          </w:r>
          <w:r>
            <w:t>1</w:t>
          </w:r>
          <w:r>
            <w:rPr>
              <w:noProof/>
            </w:rPr>
            <w:fldChar w:fldCharType="end"/>
          </w:r>
        </w:p>
      </w:tc>
    </w:tr>
  </w:tbl>
  <w:p w14:paraId="29651F06" w14:textId="77777777" w:rsidR="00732045" w:rsidRPr="00A51849" w:rsidRDefault="00732045" w:rsidP="00FC6D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A51849" w:rsidRPr="00784011" w14:paraId="5F96A9D8" w14:textId="77777777" w:rsidTr="00E31DCE">
      <w:trPr>
        <w:jc w:val="center"/>
      </w:trPr>
      <w:tc>
        <w:tcPr>
          <w:tcW w:w="1803" w:type="dxa"/>
          <w:vAlign w:val="center"/>
        </w:tcPr>
        <w:p w14:paraId="62321992" w14:textId="77777777" w:rsidR="00A51849" w:rsidRPr="00FC6D7D" w:rsidRDefault="00E4448E" w:rsidP="00A51849">
          <w:pPr>
            <w:pStyle w:val="Header"/>
            <w:jc w:val="left"/>
            <w:rPr>
              <w:noProof/>
              <w:color w:val="0563C1"/>
            </w:rPr>
          </w:pPr>
          <w:hyperlink r:id="rId1" w:anchor="/fr" w:history="1">
            <w:r>
              <w:rPr>
                <w:rStyle w:val="Hyperlink"/>
              </w:rPr>
              <w:t>council.itu.int/2026</w:t>
            </w:r>
          </w:hyperlink>
        </w:p>
      </w:tc>
      <w:tc>
        <w:tcPr>
          <w:tcW w:w="8261" w:type="dxa"/>
        </w:tcPr>
        <w:p w14:paraId="370BED2D" w14:textId="1693F4B6" w:rsidR="00A51849" w:rsidRPr="00E06FD5" w:rsidRDefault="00A51849" w:rsidP="00C049D7">
          <w:pPr>
            <w:pStyle w:val="Header"/>
            <w:tabs>
              <w:tab w:val="left" w:pos="6731"/>
              <w:tab w:val="right" w:pos="8505"/>
              <w:tab w:val="right" w:pos="9639"/>
            </w:tabs>
            <w:jc w:val="left"/>
            <w:rPr>
              <w:rFonts w:ascii="Arial" w:hAnsi="Arial" w:cs="Arial"/>
              <w:b/>
              <w:bCs/>
              <w:szCs w:val="18"/>
            </w:rPr>
          </w:pPr>
          <w:r>
            <w:rPr>
              <w:bCs/>
            </w:rPr>
            <w:tab/>
          </w:r>
          <w:r w:rsidRPr="00623AE3">
            <w:rPr>
              <w:bCs/>
            </w:rPr>
            <w:t>C</w:t>
          </w:r>
          <w:r>
            <w:rPr>
              <w:bCs/>
            </w:rPr>
            <w:t>2</w:t>
          </w:r>
          <w:r w:rsidR="00E4448E">
            <w:rPr>
              <w:bCs/>
            </w:rPr>
            <w:t>6</w:t>
          </w:r>
          <w:r w:rsidRPr="00623AE3">
            <w:rPr>
              <w:bCs/>
            </w:rPr>
            <w:t>/</w:t>
          </w:r>
          <w:r w:rsidR="008D0C6D">
            <w:rPr>
              <w:bCs/>
            </w:rPr>
            <w:t>35</w:t>
          </w:r>
          <w:r w:rsidRPr="00623AE3">
            <w:rPr>
              <w:bCs/>
            </w:rPr>
            <w:t>-</w:t>
          </w:r>
          <w:r w:rsidR="00D72F49">
            <w:rPr>
              <w:bCs/>
            </w:rPr>
            <w:t>F</w:t>
          </w:r>
          <w:r>
            <w:rPr>
              <w:bCs/>
            </w:rPr>
            <w:tab/>
          </w:r>
          <w:r>
            <w:fldChar w:fldCharType="begin"/>
          </w:r>
          <w:r>
            <w:instrText>PAGE</w:instrText>
          </w:r>
          <w:r>
            <w:fldChar w:fldCharType="separate"/>
          </w:r>
          <w:r>
            <w:t>1</w:t>
          </w:r>
          <w:r>
            <w:rPr>
              <w:noProof/>
            </w:rPr>
            <w:fldChar w:fldCharType="end"/>
          </w:r>
        </w:p>
      </w:tc>
    </w:tr>
  </w:tbl>
  <w:p w14:paraId="31FE9CC9" w14:textId="77777777" w:rsidR="00732045" w:rsidRPr="00A51849" w:rsidRDefault="00732045" w:rsidP="00FC6D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C8A93B" w14:textId="77777777" w:rsidR="0024040C" w:rsidRDefault="0024040C">
      <w:r>
        <w:t>____________________</w:t>
      </w:r>
    </w:p>
  </w:footnote>
  <w:footnote w:type="continuationSeparator" w:id="0">
    <w:p w14:paraId="1DBA3AAB" w14:textId="77777777" w:rsidR="0024040C" w:rsidRDefault="00240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5D4D5" w14:textId="77777777" w:rsidR="00732045" w:rsidRDefault="00732045">
    <w:pPr>
      <w:pStyle w:val="Header"/>
    </w:pPr>
    <w:r>
      <w:t xml:space="preserve">- </w:t>
    </w:r>
    <w:r w:rsidR="00C27A7C">
      <w:fldChar w:fldCharType="begin"/>
    </w:r>
    <w:r w:rsidR="00C27A7C">
      <w:instrText>PAGE</w:instrText>
    </w:r>
    <w:r w:rsidR="00C27A7C">
      <w:fldChar w:fldCharType="separate"/>
    </w:r>
    <w:r>
      <w:rPr>
        <w:noProof/>
      </w:rPr>
      <w:t>2</w:t>
    </w:r>
    <w:r w:rsidR="00C27A7C">
      <w:rPr>
        <w:noProof/>
      </w:rPr>
      <w:fldChar w:fldCharType="end"/>
    </w:r>
    <w:r>
      <w:t xml:space="preserve"> -</w:t>
    </w:r>
  </w:p>
  <w:p w14:paraId="2B22BB48" w14:textId="77777777" w:rsidR="00732045" w:rsidRDefault="00732045">
    <w:pPr>
      <w:pStyle w:val="Header"/>
    </w:pPr>
    <w:r>
      <w:t>C2001/#-F</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34E4F" w14:textId="77777777" w:rsidR="00A51849" w:rsidRPr="001342E0" w:rsidRDefault="001342E0" w:rsidP="001342E0">
    <w:pPr>
      <w:pStyle w:val="Header"/>
    </w:pPr>
    <w:r>
      <w:rPr>
        <w:noProof/>
      </w:rPr>
      <w:drawing>
        <wp:inline distT="0" distB="0" distL="0" distR="0" wp14:anchorId="5ED8E9FD" wp14:editId="1D4E8F16">
          <wp:extent cx="5760085" cy="840740"/>
          <wp:effectExtent l="0" t="0" r="0" b="0"/>
          <wp:docPr id="322889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889409" name="Picture 322889409"/>
                  <pic:cNvPicPr/>
                </pic:nvPicPr>
                <pic:blipFill>
                  <a:blip r:embed="rId1">
                    <a:extLst>
                      <a:ext uri="{28A0092B-C50C-407E-A947-70E740481C1C}">
                        <a14:useLocalDpi xmlns:a14="http://schemas.microsoft.com/office/drawing/2010/main" val="0"/>
                      </a:ext>
                    </a:extLst>
                  </a:blip>
                  <a:stretch>
                    <a:fillRect/>
                  </a:stretch>
                </pic:blipFill>
                <pic:spPr>
                  <a:xfrm>
                    <a:off x="0" y="0"/>
                    <a:ext cx="5760085" cy="8407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8364A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FC174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52E2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3324F3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BEA3A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3050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AD0D28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F22DAE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4A9B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C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635E9A"/>
    <w:multiLevelType w:val="multilevel"/>
    <w:tmpl w:val="1C7AFD2C"/>
    <w:lvl w:ilvl="0">
      <w:numFmt w:val="bullet"/>
      <w:lvlText w:val="-"/>
      <w:lvlJc w:val="left"/>
      <w:pPr>
        <w:ind w:left="1080" w:hanging="360"/>
      </w:pPr>
      <w:rPr>
        <w:rFonts w:ascii="Calibri" w:eastAsia="MS Mincho" w:hAnsi="Calibri"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15:restartNumberingAfterBreak="0">
    <w:nsid w:val="0797670E"/>
    <w:multiLevelType w:val="multilevel"/>
    <w:tmpl w:val="BBB486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 w15:restartNumberingAfterBreak="0">
    <w:nsid w:val="0FA26BC0"/>
    <w:multiLevelType w:val="multilevel"/>
    <w:tmpl w:val="E87ECBC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1110352C"/>
    <w:multiLevelType w:val="multilevel"/>
    <w:tmpl w:val="2E68D3D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4" w15:restartNumberingAfterBreak="0">
    <w:nsid w:val="1CAF24CE"/>
    <w:multiLevelType w:val="multilevel"/>
    <w:tmpl w:val="49FEEA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5" w15:restartNumberingAfterBreak="0">
    <w:nsid w:val="1D445D8B"/>
    <w:multiLevelType w:val="multilevel"/>
    <w:tmpl w:val="B7A4A75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6" w15:restartNumberingAfterBreak="0">
    <w:nsid w:val="20940A14"/>
    <w:multiLevelType w:val="multilevel"/>
    <w:tmpl w:val="BB22A838"/>
    <w:lvl w:ilvl="0">
      <w:start w:val="4"/>
      <w:numFmt w:val="decimal"/>
      <w:lvlText w:val="%1"/>
      <w:lvlJc w:val="left"/>
      <w:pPr>
        <w:ind w:left="360" w:hanging="360"/>
      </w:pPr>
    </w:lvl>
    <w:lvl w:ilvl="1">
      <w:start w:val="5"/>
      <w:numFmt w:val="decimal"/>
      <w:lvlText w:val="%1.%2"/>
      <w:lvlJc w:val="left"/>
      <w:pPr>
        <w:ind w:left="107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26D74A0D"/>
    <w:multiLevelType w:val="multilevel"/>
    <w:tmpl w:val="50FC4C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8" w15:restartNumberingAfterBreak="0">
    <w:nsid w:val="28BA3325"/>
    <w:multiLevelType w:val="multilevel"/>
    <w:tmpl w:val="AEF8E59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2B7B3882"/>
    <w:multiLevelType w:val="multilevel"/>
    <w:tmpl w:val="281AF77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0" w15:restartNumberingAfterBreak="0">
    <w:nsid w:val="2C23660D"/>
    <w:multiLevelType w:val="multilevel"/>
    <w:tmpl w:val="9232F9A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1" w15:restartNumberingAfterBreak="0">
    <w:nsid w:val="3F542F9B"/>
    <w:multiLevelType w:val="multilevel"/>
    <w:tmpl w:val="FCE202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2" w15:restartNumberingAfterBreak="0">
    <w:nsid w:val="46C52B06"/>
    <w:multiLevelType w:val="multilevel"/>
    <w:tmpl w:val="96EED012"/>
    <w:lvl w:ilvl="0">
      <w:numFmt w:val="bullet"/>
      <w:lvlText w:val=""/>
      <w:lvlJc w:val="left"/>
      <w:pPr>
        <w:ind w:left="768" w:hanging="360"/>
      </w:pPr>
      <w:rPr>
        <w:rFonts w:ascii="Symbol" w:hAnsi="Symbol"/>
      </w:rPr>
    </w:lvl>
    <w:lvl w:ilvl="1">
      <w:start w:val="1"/>
      <w:numFmt w:val="lowerLetter"/>
      <w:lvlText w:val="%2."/>
      <w:lvlJc w:val="left"/>
      <w:pPr>
        <w:ind w:left="1488" w:hanging="360"/>
      </w:pPr>
    </w:lvl>
    <w:lvl w:ilvl="2">
      <w:start w:val="1"/>
      <w:numFmt w:val="lowerRoman"/>
      <w:lvlText w:val="%3."/>
      <w:lvlJc w:val="right"/>
      <w:pPr>
        <w:ind w:left="2208" w:hanging="180"/>
      </w:pPr>
    </w:lvl>
    <w:lvl w:ilvl="3">
      <w:start w:val="1"/>
      <w:numFmt w:val="decimal"/>
      <w:lvlText w:val="%4."/>
      <w:lvlJc w:val="left"/>
      <w:pPr>
        <w:ind w:left="2928" w:hanging="360"/>
      </w:pPr>
    </w:lvl>
    <w:lvl w:ilvl="4">
      <w:start w:val="1"/>
      <w:numFmt w:val="lowerLetter"/>
      <w:lvlText w:val="%5."/>
      <w:lvlJc w:val="left"/>
      <w:pPr>
        <w:ind w:left="3648" w:hanging="360"/>
      </w:pPr>
    </w:lvl>
    <w:lvl w:ilvl="5">
      <w:start w:val="1"/>
      <w:numFmt w:val="lowerRoman"/>
      <w:lvlText w:val="%6."/>
      <w:lvlJc w:val="right"/>
      <w:pPr>
        <w:ind w:left="4368" w:hanging="180"/>
      </w:pPr>
    </w:lvl>
    <w:lvl w:ilvl="6">
      <w:start w:val="1"/>
      <w:numFmt w:val="decimal"/>
      <w:lvlText w:val="%7."/>
      <w:lvlJc w:val="left"/>
      <w:pPr>
        <w:ind w:left="5088" w:hanging="360"/>
      </w:pPr>
    </w:lvl>
    <w:lvl w:ilvl="7">
      <w:start w:val="1"/>
      <w:numFmt w:val="lowerLetter"/>
      <w:lvlText w:val="%8."/>
      <w:lvlJc w:val="left"/>
      <w:pPr>
        <w:ind w:left="5808" w:hanging="360"/>
      </w:pPr>
    </w:lvl>
    <w:lvl w:ilvl="8">
      <w:start w:val="1"/>
      <w:numFmt w:val="lowerRoman"/>
      <w:lvlText w:val="%9."/>
      <w:lvlJc w:val="right"/>
      <w:pPr>
        <w:ind w:left="6528" w:hanging="180"/>
      </w:pPr>
    </w:lvl>
  </w:abstractNum>
  <w:abstractNum w:abstractNumId="23" w15:restartNumberingAfterBreak="0">
    <w:nsid w:val="4FB46BD2"/>
    <w:multiLevelType w:val="multilevel"/>
    <w:tmpl w:val="43A22CB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510B6459"/>
    <w:multiLevelType w:val="multilevel"/>
    <w:tmpl w:val="CFC08528"/>
    <w:lvl w:ilvl="0">
      <w:numFmt w:val="bullet"/>
      <w:lvlText w:val=""/>
      <w:lvlJc w:val="left"/>
      <w:pPr>
        <w:ind w:left="360" w:hanging="360"/>
      </w:pPr>
      <w:rPr>
        <w:rFonts w:ascii="Symbol" w:hAnsi="Symbol"/>
      </w:r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5671743F"/>
    <w:multiLevelType w:val="multilevel"/>
    <w:tmpl w:val="E3B66A0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5D6F2930"/>
    <w:multiLevelType w:val="multilevel"/>
    <w:tmpl w:val="98AC7E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7" w15:restartNumberingAfterBreak="0">
    <w:nsid w:val="5EDD0224"/>
    <w:multiLevelType w:val="multilevel"/>
    <w:tmpl w:val="92C889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8" w15:restartNumberingAfterBreak="0">
    <w:nsid w:val="6D6A386E"/>
    <w:multiLevelType w:val="multilevel"/>
    <w:tmpl w:val="0C04331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9" w15:restartNumberingAfterBreak="0">
    <w:nsid w:val="6F3E684C"/>
    <w:multiLevelType w:val="multilevel"/>
    <w:tmpl w:val="D3B2ED1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0" w15:restartNumberingAfterBreak="0">
    <w:nsid w:val="7244701F"/>
    <w:multiLevelType w:val="multilevel"/>
    <w:tmpl w:val="6C2096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1" w15:restartNumberingAfterBreak="0">
    <w:nsid w:val="73E85C3C"/>
    <w:multiLevelType w:val="multilevel"/>
    <w:tmpl w:val="84A6676C"/>
    <w:lvl w:ilvl="0">
      <w:start w:val="1"/>
      <w:numFmt w:val="lowerRoman"/>
      <w:lvlText w:val="%1."/>
      <w:lvlJc w:val="left"/>
      <w:pPr>
        <w:ind w:left="1290" w:hanging="720"/>
      </w:pPr>
      <w:rPr>
        <w:rFonts w:ascii="Calibri" w:eastAsia="Times New Roman" w:hAnsi="Calibri" w:cs="Times New Roman"/>
        <w:b/>
        <w:bCs w:val="0"/>
      </w:rPr>
    </w:lvl>
    <w:lvl w:ilvl="1">
      <w:start w:val="1"/>
      <w:numFmt w:val="lowerLetter"/>
      <w:lvlText w:val="%2."/>
      <w:lvlJc w:val="left"/>
      <w:pPr>
        <w:ind w:left="1650" w:hanging="360"/>
      </w:pPr>
    </w:lvl>
    <w:lvl w:ilvl="2">
      <w:start w:val="1"/>
      <w:numFmt w:val="lowerRoman"/>
      <w:lvlText w:val="%3."/>
      <w:lvlJc w:val="right"/>
      <w:pPr>
        <w:ind w:left="2370" w:hanging="180"/>
      </w:pPr>
    </w:lvl>
    <w:lvl w:ilvl="3">
      <w:start w:val="1"/>
      <w:numFmt w:val="decimal"/>
      <w:lvlText w:val="%4."/>
      <w:lvlJc w:val="left"/>
      <w:pPr>
        <w:ind w:left="3090" w:hanging="360"/>
      </w:pPr>
    </w:lvl>
    <w:lvl w:ilvl="4">
      <w:start w:val="1"/>
      <w:numFmt w:val="lowerLetter"/>
      <w:lvlText w:val="%5."/>
      <w:lvlJc w:val="left"/>
      <w:pPr>
        <w:ind w:left="3810" w:hanging="360"/>
      </w:pPr>
    </w:lvl>
    <w:lvl w:ilvl="5">
      <w:start w:val="1"/>
      <w:numFmt w:val="lowerRoman"/>
      <w:lvlText w:val="%6."/>
      <w:lvlJc w:val="right"/>
      <w:pPr>
        <w:ind w:left="4530" w:hanging="180"/>
      </w:pPr>
    </w:lvl>
    <w:lvl w:ilvl="6">
      <w:start w:val="1"/>
      <w:numFmt w:val="decimal"/>
      <w:lvlText w:val="%7."/>
      <w:lvlJc w:val="left"/>
      <w:pPr>
        <w:ind w:left="5250" w:hanging="360"/>
      </w:pPr>
    </w:lvl>
    <w:lvl w:ilvl="7">
      <w:start w:val="1"/>
      <w:numFmt w:val="lowerLetter"/>
      <w:lvlText w:val="%8."/>
      <w:lvlJc w:val="left"/>
      <w:pPr>
        <w:ind w:left="5970" w:hanging="360"/>
      </w:pPr>
    </w:lvl>
    <w:lvl w:ilvl="8">
      <w:start w:val="1"/>
      <w:numFmt w:val="lowerRoman"/>
      <w:lvlText w:val="%9."/>
      <w:lvlJc w:val="right"/>
      <w:pPr>
        <w:ind w:left="6690" w:hanging="180"/>
      </w:pPr>
    </w:lvl>
  </w:abstractNum>
  <w:abstractNum w:abstractNumId="32" w15:restartNumberingAfterBreak="0">
    <w:nsid w:val="76D05636"/>
    <w:multiLevelType w:val="multilevel"/>
    <w:tmpl w:val="5B1810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16cid:durableId="204144983">
    <w:abstractNumId w:val="9"/>
  </w:num>
  <w:num w:numId="2" w16cid:durableId="1042679003">
    <w:abstractNumId w:val="7"/>
  </w:num>
  <w:num w:numId="3" w16cid:durableId="1710033290">
    <w:abstractNumId w:val="6"/>
  </w:num>
  <w:num w:numId="4" w16cid:durableId="1466967443">
    <w:abstractNumId w:val="5"/>
  </w:num>
  <w:num w:numId="5" w16cid:durableId="1019041869">
    <w:abstractNumId w:val="4"/>
  </w:num>
  <w:num w:numId="6" w16cid:durableId="1994942309">
    <w:abstractNumId w:val="8"/>
  </w:num>
  <w:num w:numId="7" w16cid:durableId="1943762712">
    <w:abstractNumId w:val="3"/>
  </w:num>
  <w:num w:numId="8" w16cid:durableId="1210023807">
    <w:abstractNumId w:val="2"/>
  </w:num>
  <w:num w:numId="9" w16cid:durableId="976300499">
    <w:abstractNumId w:val="1"/>
  </w:num>
  <w:num w:numId="10" w16cid:durableId="153841235">
    <w:abstractNumId w:val="0"/>
  </w:num>
  <w:num w:numId="11" w16cid:durableId="401220439">
    <w:abstractNumId w:val="8"/>
  </w:num>
  <w:num w:numId="12" w16cid:durableId="1266042031">
    <w:abstractNumId w:val="3"/>
  </w:num>
  <w:num w:numId="13" w16cid:durableId="1286500294">
    <w:abstractNumId w:val="2"/>
  </w:num>
  <w:num w:numId="14" w16cid:durableId="1804274698">
    <w:abstractNumId w:val="1"/>
  </w:num>
  <w:num w:numId="15" w16cid:durableId="232618268">
    <w:abstractNumId w:val="0"/>
  </w:num>
  <w:num w:numId="16" w16cid:durableId="440687567">
    <w:abstractNumId w:val="31"/>
  </w:num>
  <w:num w:numId="17" w16cid:durableId="2012564920">
    <w:abstractNumId w:val="28"/>
  </w:num>
  <w:num w:numId="18" w16cid:durableId="127357644">
    <w:abstractNumId w:val="26"/>
  </w:num>
  <w:num w:numId="19" w16cid:durableId="21590733">
    <w:abstractNumId w:val="20"/>
  </w:num>
  <w:num w:numId="20" w16cid:durableId="778837674">
    <w:abstractNumId w:val="29"/>
  </w:num>
  <w:num w:numId="21" w16cid:durableId="600798846">
    <w:abstractNumId w:val="17"/>
  </w:num>
  <w:num w:numId="22" w16cid:durableId="1192953740">
    <w:abstractNumId w:val="11"/>
  </w:num>
  <w:num w:numId="23" w16cid:durableId="87888342">
    <w:abstractNumId w:val="19"/>
  </w:num>
  <w:num w:numId="24" w16cid:durableId="489174970">
    <w:abstractNumId w:val="32"/>
  </w:num>
  <w:num w:numId="25" w16cid:durableId="585461783">
    <w:abstractNumId w:val="13"/>
  </w:num>
  <w:num w:numId="26" w16cid:durableId="1443377359">
    <w:abstractNumId w:val="30"/>
  </w:num>
  <w:num w:numId="27" w16cid:durableId="1325352724">
    <w:abstractNumId w:val="21"/>
  </w:num>
  <w:num w:numId="28" w16cid:durableId="2081905877">
    <w:abstractNumId w:val="14"/>
  </w:num>
  <w:num w:numId="29" w16cid:durableId="1330789246">
    <w:abstractNumId w:val="18"/>
  </w:num>
  <w:num w:numId="30" w16cid:durableId="2093427393">
    <w:abstractNumId w:val="15"/>
  </w:num>
  <w:num w:numId="31" w16cid:durableId="1927835905">
    <w:abstractNumId w:val="25"/>
  </w:num>
  <w:num w:numId="32" w16cid:durableId="553539001">
    <w:abstractNumId w:val="12"/>
  </w:num>
  <w:num w:numId="33" w16cid:durableId="1994486045">
    <w:abstractNumId w:val="23"/>
  </w:num>
  <w:num w:numId="34" w16cid:durableId="2053310817">
    <w:abstractNumId w:val="22"/>
  </w:num>
  <w:num w:numId="35" w16cid:durableId="42144540">
    <w:abstractNumId w:val="10"/>
  </w:num>
  <w:num w:numId="36" w16cid:durableId="551112092">
    <w:abstractNumId w:val="27"/>
  </w:num>
  <w:num w:numId="37" w16cid:durableId="1870339318">
    <w:abstractNumId w:val="16"/>
  </w:num>
  <w:num w:numId="38" w16cid:durableId="201078599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C6D"/>
    <w:rsid w:val="00001F5A"/>
    <w:rsid w:val="00015F90"/>
    <w:rsid w:val="000228C0"/>
    <w:rsid w:val="00023BD3"/>
    <w:rsid w:val="00023ED1"/>
    <w:rsid w:val="0002696E"/>
    <w:rsid w:val="000468A8"/>
    <w:rsid w:val="00060483"/>
    <w:rsid w:val="00076A2C"/>
    <w:rsid w:val="00083BAB"/>
    <w:rsid w:val="00096ADA"/>
    <w:rsid w:val="00097F5B"/>
    <w:rsid w:val="000A1CCC"/>
    <w:rsid w:val="000B4AFF"/>
    <w:rsid w:val="000C1550"/>
    <w:rsid w:val="000D0D0A"/>
    <w:rsid w:val="000D2510"/>
    <w:rsid w:val="000D6415"/>
    <w:rsid w:val="00103163"/>
    <w:rsid w:val="00106B19"/>
    <w:rsid w:val="0011013F"/>
    <w:rsid w:val="001133EF"/>
    <w:rsid w:val="00113DC1"/>
    <w:rsid w:val="00115D93"/>
    <w:rsid w:val="001223E8"/>
    <w:rsid w:val="001247A8"/>
    <w:rsid w:val="00130FED"/>
    <w:rsid w:val="001342E0"/>
    <w:rsid w:val="001370B2"/>
    <w:rsid w:val="001378C0"/>
    <w:rsid w:val="00144C0F"/>
    <w:rsid w:val="00154C41"/>
    <w:rsid w:val="00160375"/>
    <w:rsid w:val="00161543"/>
    <w:rsid w:val="001658F9"/>
    <w:rsid w:val="001761E3"/>
    <w:rsid w:val="00181B65"/>
    <w:rsid w:val="0018694A"/>
    <w:rsid w:val="0019005B"/>
    <w:rsid w:val="0019098D"/>
    <w:rsid w:val="0019129B"/>
    <w:rsid w:val="00191651"/>
    <w:rsid w:val="001A3287"/>
    <w:rsid w:val="001A6508"/>
    <w:rsid w:val="001C180F"/>
    <w:rsid w:val="001D3594"/>
    <w:rsid w:val="001D4C31"/>
    <w:rsid w:val="001D65AA"/>
    <w:rsid w:val="001D7A6A"/>
    <w:rsid w:val="001E4D21"/>
    <w:rsid w:val="001E53B8"/>
    <w:rsid w:val="001F1628"/>
    <w:rsid w:val="001F6F64"/>
    <w:rsid w:val="0020130E"/>
    <w:rsid w:val="00207CD1"/>
    <w:rsid w:val="00226657"/>
    <w:rsid w:val="00237F7B"/>
    <w:rsid w:val="0024040C"/>
    <w:rsid w:val="002477A2"/>
    <w:rsid w:val="00263A51"/>
    <w:rsid w:val="00267E02"/>
    <w:rsid w:val="00271321"/>
    <w:rsid w:val="00277DEA"/>
    <w:rsid w:val="00280AE6"/>
    <w:rsid w:val="00283EA7"/>
    <w:rsid w:val="00292D54"/>
    <w:rsid w:val="002A042D"/>
    <w:rsid w:val="002A5D44"/>
    <w:rsid w:val="002C3F32"/>
    <w:rsid w:val="002C4E3D"/>
    <w:rsid w:val="002C72A9"/>
    <w:rsid w:val="002D2336"/>
    <w:rsid w:val="002E0BC4"/>
    <w:rsid w:val="002F0A7A"/>
    <w:rsid w:val="002F1B76"/>
    <w:rsid w:val="002F48E2"/>
    <w:rsid w:val="002F51A9"/>
    <w:rsid w:val="00316532"/>
    <w:rsid w:val="0033464D"/>
    <w:rsid w:val="0033568E"/>
    <w:rsid w:val="0034644A"/>
    <w:rsid w:val="00355FF5"/>
    <w:rsid w:val="00356697"/>
    <w:rsid w:val="00361350"/>
    <w:rsid w:val="00363739"/>
    <w:rsid w:val="003812AD"/>
    <w:rsid w:val="00384552"/>
    <w:rsid w:val="00387CBC"/>
    <w:rsid w:val="00391DD9"/>
    <w:rsid w:val="003A0555"/>
    <w:rsid w:val="003C3FAE"/>
    <w:rsid w:val="003E1153"/>
    <w:rsid w:val="003E1BE8"/>
    <w:rsid w:val="003F1540"/>
    <w:rsid w:val="003F7B0C"/>
    <w:rsid w:val="004038CB"/>
    <w:rsid w:val="0040546F"/>
    <w:rsid w:val="00410381"/>
    <w:rsid w:val="004177BD"/>
    <w:rsid w:val="0042005F"/>
    <w:rsid w:val="0042272E"/>
    <w:rsid w:val="0042404A"/>
    <w:rsid w:val="004266E1"/>
    <w:rsid w:val="0044618F"/>
    <w:rsid w:val="00462A85"/>
    <w:rsid w:val="00465C35"/>
    <w:rsid w:val="00466D3C"/>
    <w:rsid w:val="0046769A"/>
    <w:rsid w:val="00475FB3"/>
    <w:rsid w:val="0049160C"/>
    <w:rsid w:val="00493759"/>
    <w:rsid w:val="004958AD"/>
    <w:rsid w:val="004C1635"/>
    <w:rsid w:val="004C37A9"/>
    <w:rsid w:val="004D1D50"/>
    <w:rsid w:val="004E1DC9"/>
    <w:rsid w:val="004E71C8"/>
    <w:rsid w:val="004F259E"/>
    <w:rsid w:val="004F633A"/>
    <w:rsid w:val="00501813"/>
    <w:rsid w:val="00504C7F"/>
    <w:rsid w:val="0050763E"/>
    <w:rsid w:val="00511F1D"/>
    <w:rsid w:val="00520F36"/>
    <w:rsid w:val="00524E8D"/>
    <w:rsid w:val="00530328"/>
    <w:rsid w:val="00534E13"/>
    <w:rsid w:val="00540615"/>
    <w:rsid w:val="00540A6D"/>
    <w:rsid w:val="005445E9"/>
    <w:rsid w:val="00544784"/>
    <w:rsid w:val="00553536"/>
    <w:rsid w:val="00566679"/>
    <w:rsid w:val="00571EEA"/>
    <w:rsid w:val="00575417"/>
    <w:rsid w:val="005768E1"/>
    <w:rsid w:val="00596B1C"/>
    <w:rsid w:val="005A3A04"/>
    <w:rsid w:val="005B1938"/>
    <w:rsid w:val="005B6543"/>
    <w:rsid w:val="005B7C52"/>
    <w:rsid w:val="005C3890"/>
    <w:rsid w:val="005D0FC9"/>
    <w:rsid w:val="005E2867"/>
    <w:rsid w:val="005F11D2"/>
    <w:rsid w:val="005F7BFE"/>
    <w:rsid w:val="00600017"/>
    <w:rsid w:val="00602682"/>
    <w:rsid w:val="00613F5C"/>
    <w:rsid w:val="006235CA"/>
    <w:rsid w:val="0062366E"/>
    <w:rsid w:val="00632B34"/>
    <w:rsid w:val="006643AB"/>
    <w:rsid w:val="0066476E"/>
    <w:rsid w:val="00685D15"/>
    <w:rsid w:val="006A11AE"/>
    <w:rsid w:val="006A3DDE"/>
    <w:rsid w:val="006A6EAA"/>
    <w:rsid w:val="006A7306"/>
    <w:rsid w:val="006B02E2"/>
    <w:rsid w:val="006B224B"/>
    <w:rsid w:val="006C01FD"/>
    <w:rsid w:val="006F0A53"/>
    <w:rsid w:val="00701FAC"/>
    <w:rsid w:val="0071402E"/>
    <w:rsid w:val="007210CD"/>
    <w:rsid w:val="00732045"/>
    <w:rsid w:val="0073275D"/>
    <w:rsid w:val="007369DB"/>
    <w:rsid w:val="0077110E"/>
    <w:rsid w:val="007956C2"/>
    <w:rsid w:val="00795DF7"/>
    <w:rsid w:val="00796BDB"/>
    <w:rsid w:val="00797EC8"/>
    <w:rsid w:val="007A0B90"/>
    <w:rsid w:val="007A187E"/>
    <w:rsid w:val="007C72C2"/>
    <w:rsid w:val="007D4436"/>
    <w:rsid w:val="007D4988"/>
    <w:rsid w:val="007D5962"/>
    <w:rsid w:val="007F257A"/>
    <w:rsid w:val="007F3665"/>
    <w:rsid w:val="007F613C"/>
    <w:rsid w:val="00800037"/>
    <w:rsid w:val="00801087"/>
    <w:rsid w:val="0082299A"/>
    <w:rsid w:val="00825E9F"/>
    <w:rsid w:val="00827F57"/>
    <w:rsid w:val="0083391C"/>
    <w:rsid w:val="00840C7B"/>
    <w:rsid w:val="0084546D"/>
    <w:rsid w:val="00853095"/>
    <w:rsid w:val="00861D73"/>
    <w:rsid w:val="00864C15"/>
    <w:rsid w:val="00866631"/>
    <w:rsid w:val="00866956"/>
    <w:rsid w:val="00877FCB"/>
    <w:rsid w:val="00882919"/>
    <w:rsid w:val="00882F4F"/>
    <w:rsid w:val="00883C11"/>
    <w:rsid w:val="00897553"/>
    <w:rsid w:val="008A4E87"/>
    <w:rsid w:val="008D0C6D"/>
    <w:rsid w:val="008D76E6"/>
    <w:rsid w:val="008F1341"/>
    <w:rsid w:val="009057DA"/>
    <w:rsid w:val="00913812"/>
    <w:rsid w:val="0092392D"/>
    <w:rsid w:val="0092484B"/>
    <w:rsid w:val="0093234A"/>
    <w:rsid w:val="00942378"/>
    <w:rsid w:val="00953606"/>
    <w:rsid w:val="00956A78"/>
    <w:rsid w:val="0095746D"/>
    <w:rsid w:val="00957E3B"/>
    <w:rsid w:val="00962114"/>
    <w:rsid w:val="00963839"/>
    <w:rsid w:val="0096593C"/>
    <w:rsid w:val="0097363B"/>
    <w:rsid w:val="00973F53"/>
    <w:rsid w:val="00974029"/>
    <w:rsid w:val="0098348E"/>
    <w:rsid w:val="00983761"/>
    <w:rsid w:val="0098530A"/>
    <w:rsid w:val="00990F67"/>
    <w:rsid w:val="009A3BB9"/>
    <w:rsid w:val="009A6BAA"/>
    <w:rsid w:val="009A76A8"/>
    <w:rsid w:val="009C307F"/>
    <w:rsid w:val="009C353C"/>
    <w:rsid w:val="009D0146"/>
    <w:rsid w:val="009D5955"/>
    <w:rsid w:val="009E3EC9"/>
    <w:rsid w:val="009F0FB8"/>
    <w:rsid w:val="00A01F4F"/>
    <w:rsid w:val="00A109AF"/>
    <w:rsid w:val="00A125FB"/>
    <w:rsid w:val="00A1421A"/>
    <w:rsid w:val="00A2113E"/>
    <w:rsid w:val="00A21719"/>
    <w:rsid w:val="00A23A51"/>
    <w:rsid w:val="00A24607"/>
    <w:rsid w:val="00A25CD3"/>
    <w:rsid w:val="00A3225E"/>
    <w:rsid w:val="00A50FB3"/>
    <w:rsid w:val="00A51849"/>
    <w:rsid w:val="00A540D1"/>
    <w:rsid w:val="00A709FE"/>
    <w:rsid w:val="00A73C60"/>
    <w:rsid w:val="00A82767"/>
    <w:rsid w:val="00A977C7"/>
    <w:rsid w:val="00AA332F"/>
    <w:rsid w:val="00AA7BBB"/>
    <w:rsid w:val="00AB5890"/>
    <w:rsid w:val="00AB64A8"/>
    <w:rsid w:val="00AC0266"/>
    <w:rsid w:val="00AC0F1D"/>
    <w:rsid w:val="00AD0637"/>
    <w:rsid w:val="00AD0EF3"/>
    <w:rsid w:val="00AD24EC"/>
    <w:rsid w:val="00AD3934"/>
    <w:rsid w:val="00AF0F8F"/>
    <w:rsid w:val="00AF14F6"/>
    <w:rsid w:val="00AF1AC5"/>
    <w:rsid w:val="00AF1E0B"/>
    <w:rsid w:val="00B02520"/>
    <w:rsid w:val="00B0384F"/>
    <w:rsid w:val="00B045D9"/>
    <w:rsid w:val="00B07C64"/>
    <w:rsid w:val="00B13322"/>
    <w:rsid w:val="00B20E2B"/>
    <w:rsid w:val="00B22106"/>
    <w:rsid w:val="00B22514"/>
    <w:rsid w:val="00B2330D"/>
    <w:rsid w:val="00B27B00"/>
    <w:rsid w:val="00B309F9"/>
    <w:rsid w:val="00B32AB1"/>
    <w:rsid w:val="00B32B60"/>
    <w:rsid w:val="00B41AD4"/>
    <w:rsid w:val="00B422F7"/>
    <w:rsid w:val="00B436DE"/>
    <w:rsid w:val="00B51005"/>
    <w:rsid w:val="00B529C0"/>
    <w:rsid w:val="00B558C4"/>
    <w:rsid w:val="00B575C7"/>
    <w:rsid w:val="00B61619"/>
    <w:rsid w:val="00B671B9"/>
    <w:rsid w:val="00B83CF1"/>
    <w:rsid w:val="00BA4B4D"/>
    <w:rsid w:val="00BB2B2D"/>
    <w:rsid w:val="00BB38C1"/>
    <w:rsid w:val="00BB4545"/>
    <w:rsid w:val="00BB473A"/>
    <w:rsid w:val="00BB7890"/>
    <w:rsid w:val="00BD412A"/>
    <w:rsid w:val="00BD5873"/>
    <w:rsid w:val="00BE0E16"/>
    <w:rsid w:val="00BE78CC"/>
    <w:rsid w:val="00BF00AF"/>
    <w:rsid w:val="00BF4B60"/>
    <w:rsid w:val="00C049D7"/>
    <w:rsid w:val="00C04BE3"/>
    <w:rsid w:val="00C103E2"/>
    <w:rsid w:val="00C23C48"/>
    <w:rsid w:val="00C25D29"/>
    <w:rsid w:val="00C2625E"/>
    <w:rsid w:val="00C27A7C"/>
    <w:rsid w:val="00C32F90"/>
    <w:rsid w:val="00C3371A"/>
    <w:rsid w:val="00C34823"/>
    <w:rsid w:val="00C42437"/>
    <w:rsid w:val="00C44232"/>
    <w:rsid w:val="00C57D80"/>
    <w:rsid w:val="00C847DB"/>
    <w:rsid w:val="00CA08ED"/>
    <w:rsid w:val="00CB15A8"/>
    <w:rsid w:val="00CC6EAA"/>
    <w:rsid w:val="00CC75E5"/>
    <w:rsid w:val="00CE272C"/>
    <w:rsid w:val="00CE5172"/>
    <w:rsid w:val="00CF0534"/>
    <w:rsid w:val="00CF183B"/>
    <w:rsid w:val="00CF1935"/>
    <w:rsid w:val="00D018E0"/>
    <w:rsid w:val="00D05CDB"/>
    <w:rsid w:val="00D0612E"/>
    <w:rsid w:val="00D3213B"/>
    <w:rsid w:val="00D375CD"/>
    <w:rsid w:val="00D37B53"/>
    <w:rsid w:val="00D40943"/>
    <w:rsid w:val="00D463AD"/>
    <w:rsid w:val="00D4642E"/>
    <w:rsid w:val="00D553A2"/>
    <w:rsid w:val="00D6184C"/>
    <w:rsid w:val="00D72F49"/>
    <w:rsid w:val="00D774D3"/>
    <w:rsid w:val="00D8173B"/>
    <w:rsid w:val="00D904E8"/>
    <w:rsid w:val="00D92391"/>
    <w:rsid w:val="00D963D6"/>
    <w:rsid w:val="00D97CD7"/>
    <w:rsid w:val="00DA08C3"/>
    <w:rsid w:val="00DA1856"/>
    <w:rsid w:val="00DB20A9"/>
    <w:rsid w:val="00DB5A3E"/>
    <w:rsid w:val="00DC22AA"/>
    <w:rsid w:val="00DD1A99"/>
    <w:rsid w:val="00DE2C09"/>
    <w:rsid w:val="00DE62C6"/>
    <w:rsid w:val="00DF4404"/>
    <w:rsid w:val="00DF74DD"/>
    <w:rsid w:val="00E25AD0"/>
    <w:rsid w:val="00E33BC6"/>
    <w:rsid w:val="00E3409E"/>
    <w:rsid w:val="00E4428F"/>
    <w:rsid w:val="00E44327"/>
    <w:rsid w:val="00E4448E"/>
    <w:rsid w:val="00E45EDC"/>
    <w:rsid w:val="00E47427"/>
    <w:rsid w:val="00E62B13"/>
    <w:rsid w:val="00E63031"/>
    <w:rsid w:val="00E649A2"/>
    <w:rsid w:val="00E746C6"/>
    <w:rsid w:val="00E80EE6"/>
    <w:rsid w:val="00E90647"/>
    <w:rsid w:val="00E93668"/>
    <w:rsid w:val="00E95434"/>
    <w:rsid w:val="00E95647"/>
    <w:rsid w:val="00E971EE"/>
    <w:rsid w:val="00EA1115"/>
    <w:rsid w:val="00EA319C"/>
    <w:rsid w:val="00EB109A"/>
    <w:rsid w:val="00EB6350"/>
    <w:rsid w:val="00ED34C2"/>
    <w:rsid w:val="00ED3604"/>
    <w:rsid w:val="00ED799B"/>
    <w:rsid w:val="00EE06FE"/>
    <w:rsid w:val="00EE0A66"/>
    <w:rsid w:val="00F07EB0"/>
    <w:rsid w:val="00F15B57"/>
    <w:rsid w:val="00F1770F"/>
    <w:rsid w:val="00F3559F"/>
    <w:rsid w:val="00F35EF4"/>
    <w:rsid w:val="00F37FE5"/>
    <w:rsid w:val="00F427DB"/>
    <w:rsid w:val="00F46018"/>
    <w:rsid w:val="00F767ED"/>
    <w:rsid w:val="00FA5EB1"/>
    <w:rsid w:val="00FA7439"/>
    <w:rsid w:val="00FB5FAC"/>
    <w:rsid w:val="00FC4EC0"/>
    <w:rsid w:val="00FC6D7D"/>
    <w:rsid w:val="00FD43BD"/>
    <w:rsid w:val="00FF0181"/>
    <w:rsid w:val="00FF214D"/>
    <w:rsid w:val="00FF478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40CB8F"/>
  <w15:docId w15:val="{73EDBD4B-934A-4ED2-B7C2-45E4D0722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366E"/>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fr-FR" w:eastAsia="en-US"/>
    </w:rPr>
  </w:style>
  <w:style w:type="paragraph" w:styleId="Heading1">
    <w:name w:val="heading 1"/>
    <w:basedOn w:val="Normal"/>
    <w:next w:val="Normal"/>
    <w:qFormat/>
    <w:rsid w:val="00ED799B"/>
    <w:pPr>
      <w:keepNext/>
      <w:keepLines/>
      <w:spacing w:before="360"/>
      <w:ind w:left="567" w:hanging="567"/>
      <w:outlineLvl w:val="0"/>
    </w:pPr>
    <w:rPr>
      <w:b/>
      <w:sz w:val="28"/>
    </w:rPr>
  </w:style>
  <w:style w:type="paragraph" w:styleId="Heading2">
    <w:name w:val="heading 2"/>
    <w:basedOn w:val="Heading1"/>
    <w:next w:val="Normal"/>
    <w:qFormat/>
    <w:rsid w:val="00ED799B"/>
    <w:pPr>
      <w:spacing w:before="200"/>
      <w:outlineLvl w:val="1"/>
    </w:pPr>
    <w:rPr>
      <w:sz w:val="24"/>
    </w:rPr>
  </w:style>
  <w:style w:type="paragraph" w:styleId="Heading3">
    <w:name w:val="heading 3"/>
    <w:basedOn w:val="Heading1"/>
    <w:next w:val="Normal"/>
    <w:qFormat/>
    <w:rsid w:val="00ED799B"/>
    <w:pPr>
      <w:spacing w:before="200"/>
      <w:outlineLvl w:val="2"/>
    </w:pPr>
    <w:rPr>
      <w:sz w:val="24"/>
    </w:rPr>
  </w:style>
  <w:style w:type="paragraph" w:styleId="Heading4">
    <w:name w:val="heading 4"/>
    <w:basedOn w:val="Heading3"/>
    <w:next w:val="Normal"/>
    <w:qFormat/>
    <w:rsid w:val="00732045"/>
    <w:pPr>
      <w:ind w:left="1134" w:hanging="1134"/>
      <w:outlineLvl w:val="3"/>
    </w:pPr>
  </w:style>
  <w:style w:type="paragraph" w:styleId="Heading5">
    <w:name w:val="heading 5"/>
    <w:basedOn w:val="Heading4"/>
    <w:next w:val="Normal"/>
    <w:qFormat/>
    <w:rsid w:val="00732045"/>
    <w:pPr>
      <w:outlineLvl w:val="4"/>
    </w:pPr>
  </w:style>
  <w:style w:type="paragraph" w:styleId="Heading6">
    <w:name w:val="heading 6"/>
    <w:basedOn w:val="Heading4"/>
    <w:next w:val="Normal"/>
    <w:qFormat/>
    <w:rsid w:val="00732045"/>
    <w:pPr>
      <w:outlineLvl w:val="5"/>
    </w:pPr>
  </w:style>
  <w:style w:type="paragraph" w:styleId="Heading7">
    <w:name w:val="heading 7"/>
    <w:basedOn w:val="Heading4"/>
    <w:next w:val="Normal"/>
    <w:qFormat/>
    <w:rsid w:val="00732045"/>
    <w:pPr>
      <w:ind w:left="1701" w:hanging="1701"/>
      <w:outlineLvl w:val="6"/>
    </w:pPr>
  </w:style>
  <w:style w:type="paragraph" w:styleId="Heading8">
    <w:name w:val="heading 8"/>
    <w:basedOn w:val="Heading4"/>
    <w:next w:val="Normal"/>
    <w:qFormat/>
    <w:rsid w:val="00732045"/>
    <w:pPr>
      <w:ind w:left="1701" w:hanging="1701"/>
      <w:outlineLvl w:val="7"/>
    </w:pPr>
  </w:style>
  <w:style w:type="paragraph" w:styleId="Heading9">
    <w:name w:val="heading 9"/>
    <w:basedOn w:val="Heading4"/>
    <w:next w:val="Normal"/>
    <w:qFormat/>
    <w:rsid w:val="00732045"/>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7"/>
    <w:next w:val="Normal"/>
    <w:rsid w:val="0019129B"/>
  </w:style>
  <w:style w:type="paragraph" w:styleId="TOC3">
    <w:name w:val="toc 3"/>
    <w:basedOn w:val="TOC1"/>
    <w:next w:val="Normal"/>
    <w:uiPriority w:val="39"/>
    <w:rsid w:val="001658F9"/>
  </w:style>
  <w:style w:type="paragraph" w:styleId="TOC2">
    <w:name w:val="toc 2"/>
    <w:basedOn w:val="TOC1"/>
    <w:next w:val="Normal"/>
    <w:uiPriority w:val="39"/>
    <w:rsid w:val="001658F9"/>
    <w:pPr>
      <w:spacing w:before="160"/>
    </w:pPr>
  </w:style>
  <w:style w:type="paragraph" w:styleId="TOC1">
    <w:name w:val="toc 1"/>
    <w:basedOn w:val="Normal"/>
    <w:uiPriority w:val="39"/>
    <w:rsid w:val="001658F9"/>
    <w:pPr>
      <w:tabs>
        <w:tab w:val="clear" w:pos="567"/>
        <w:tab w:val="clear" w:pos="1134"/>
        <w:tab w:val="clear" w:pos="1701"/>
        <w:tab w:val="clear" w:pos="2268"/>
        <w:tab w:val="clear" w:pos="2835"/>
        <w:tab w:val="left" w:pos="964"/>
        <w:tab w:val="left" w:leader="dot" w:pos="7938"/>
        <w:tab w:val="right" w:pos="9072"/>
      </w:tabs>
      <w:spacing w:before="200"/>
      <w:ind w:left="964" w:hanging="964"/>
    </w:pPr>
  </w:style>
  <w:style w:type="paragraph" w:styleId="TOC7">
    <w:name w:val="toc 7"/>
    <w:basedOn w:val="TOC6"/>
    <w:next w:val="Normal"/>
    <w:rsid w:val="0019129B"/>
  </w:style>
  <w:style w:type="paragraph" w:styleId="TOC6">
    <w:name w:val="toc 6"/>
    <w:basedOn w:val="TOC5"/>
    <w:next w:val="Normal"/>
    <w:rsid w:val="0019129B"/>
  </w:style>
  <w:style w:type="paragraph" w:styleId="TOC5">
    <w:name w:val="toc 5"/>
    <w:basedOn w:val="TOC4"/>
    <w:next w:val="Normal"/>
    <w:rsid w:val="0019129B"/>
    <w:rPr>
      <w:lang w:val="fr-CH"/>
    </w:rPr>
  </w:style>
  <w:style w:type="paragraph" w:styleId="TOC4">
    <w:name w:val="toc 4"/>
    <w:basedOn w:val="TOC1"/>
    <w:next w:val="Normal"/>
    <w:rsid w:val="0019129B"/>
  </w:style>
  <w:style w:type="paragraph" w:styleId="Index7">
    <w:name w:val="index 7"/>
    <w:basedOn w:val="Normal"/>
    <w:next w:val="Normal"/>
    <w:rsid w:val="005C3890"/>
    <w:pPr>
      <w:ind w:left="1698"/>
    </w:pPr>
  </w:style>
  <w:style w:type="paragraph" w:styleId="Index6">
    <w:name w:val="index 6"/>
    <w:basedOn w:val="Normal"/>
    <w:next w:val="Normal"/>
    <w:rsid w:val="005C3890"/>
    <w:pPr>
      <w:ind w:left="1415"/>
    </w:pPr>
  </w:style>
  <w:style w:type="paragraph" w:styleId="Index5">
    <w:name w:val="index 5"/>
    <w:basedOn w:val="Normal"/>
    <w:next w:val="Normal"/>
    <w:rsid w:val="005C3890"/>
    <w:pPr>
      <w:ind w:left="1132"/>
    </w:pPr>
  </w:style>
  <w:style w:type="paragraph" w:styleId="Index4">
    <w:name w:val="index 4"/>
    <w:basedOn w:val="Normal"/>
    <w:next w:val="Normal"/>
    <w:rsid w:val="005C3890"/>
    <w:pPr>
      <w:ind w:left="849"/>
    </w:pPr>
  </w:style>
  <w:style w:type="paragraph" w:styleId="Index3">
    <w:name w:val="index 3"/>
    <w:basedOn w:val="Normal"/>
    <w:next w:val="Normal"/>
    <w:rsid w:val="005C3890"/>
    <w:pPr>
      <w:ind w:left="566"/>
    </w:pPr>
  </w:style>
  <w:style w:type="paragraph" w:styleId="Index2">
    <w:name w:val="index 2"/>
    <w:basedOn w:val="Normal"/>
    <w:next w:val="Normal"/>
    <w:rsid w:val="005C3890"/>
    <w:pPr>
      <w:ind w:left="283"/>
    </w:pPr>
  </w:style>
  <w:style w:type="paragraph" w:styleId="Index1">
    <w:name w:val="index 1"/>
    <w:basedOn w:val="Normal"/>
    <w:next w:val="Normal"/>
    <w:rsid w:val="005C3890"/>
  </w:style>
  <w:style w:type="character" w:styleId="LineNumber">
    <w:name w:val="line number"/>
    <w:basedOn w:val="DefaultParagraphFont"/>
    <w:rsid w:val="005C3890"/>
  </w:style>
  <w:style w:type="paragraph" w:styleId="IndexHeading">
    <w:name w:val="index heading"/>
    <w:basedOn w:val="Normal"/>
    <w:next w:val="Index1"/>
    <w:rsid w:val="005C3890"/>
  </w:style>
  <w:style w:type="paragraph" w:styleId="Footer">
    <w:name w:val="footer"/>
    <w:basedOn w:val="Normal"/>
    <w:rsid w:val="00732045"/>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732045"/>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732045"/>
    <w:rPr>
      <w:rFonts w:ascii="Calibri" w:hAnsi="Calibri"/>
      <w:position w:val="6"/>
      <w:sz w:val="16"/>
    </w:rPr>
  </w:style>
  <w:style w:type="paragraph" w:styleId="FootnoteText">
    <w:name w:val="footnote text"/>
    <w:basedOn w:val="Normal"/>
    <w:rsid w:val="00ED799B"/>
    <w:pPr>
      <w:keepLines/>
      <w:tabs>
        <w:tab w:val="left" w:pos="256"/>
      </w:tabs>
      <w:ind w:left="256" w:hanging="256"/>
    </w:pPr>
    <w:rPr>
      <w:sz w:val="22"/>
    </w:rPr>
  </w:style>
  <w:style w:type="paragraph" w:styleId="NormalIndent">
    <w:name w:val="Normal Indent"/>
    <w:basedOn w:val="Normal"/>
    <w:rsid w:val="00732045"/>
    <w:pPr>
      <w:ind w:left="567"/>
    </w:pPr>
  </w:style>
  <w:style w:type="paragraph" w:customStyle="1" w:styleId="enumlev1">
    <w:name w:val="enumlev1"/>
    <w:basedOn w:val="Normal"/>
    <w:qFormat/>
    <w:rsid w:val="009D5955"/>
    <w:pPr>
      <w:spacing w:before="80"/>
      <w:ind w:left="567" w:hanging="567"/>
    </w:pPr>
  </w:style>
  <w:style w:type="paragraph" w:customStyle="1" w:styleId="enumlev2">
    <w:name w:val="enumlev2"/>
    <w:basedOn w:val="enumlev1"/>
    <w:rsid w:val="00732045"/>
    <w:pPr>
      <w:ind w:left="1134"/>
    </w:pPr>
  </w:style>
  <w:style w:type="paragraph" w:customStyle="1" w:styleId="enumlev3">
    <w:name w:val="enumlev3"/>
    <w:basedOn w:val="enumlev2"/>
    <w:rsid w:val="009D5955"/>
    <w:pPr>
      <w:ind w:left="1701"/>
    </w:pPr>
  </w:style>
  <w:style w:type="paragraph" w:customStyle="1" w:styleId="Equation">
    <w:name w:val="Equation"/>
    <w:basedOn w:val="Normal"/>
    <w:rsid w:val="005C3890"/>
    <w:pPr>
      <w:tabs>
        <w:tab w:val="center" w:pos="4820"/>
        <w:tab w:val="right" w:pos="9639"/>
      </w:tabs>
    </w:pPr>
  </w:style>
  <w:style w:type="paragraph" w:customStyle="1" w:styleId="Head">
    <w:name w:val="Head"/>
    <w:basedOn w:val="Normal"/>
    <w:rsid w:val="005C3890"/>
    <w:pPr>
      <w:tabs>
        <w:tab w:val="left" w:pos="6663"/>
      </w:tabs>
      <w:overflowPunct/>
      <w:autoSpaceDE/>
      <w:autoSpaceDN/>
      <w:adjustRightInd/>
      <w:spacing w:before="0"/>
      <w:textAlignment w:val="auto"/>
    </w:pPr>
  </w:style>
  <w:style w:type="paragraph" w:customStyle="1" w:styleId="Normalaftertitle">
    <w:name w:val="Normal after title"/>
    <w:basedOn w:val="Normal"/>
    <w:next w:val="Normal"/>
    <w:rsid w:val="00732045"/>
    <w:pPr>
      <w:spacing w:before="240"/>
    </w:pPr>
  </w:style>
  <w:style w:type="paragraph" w:customStyle="1" w:styleId="Call">
    <w:name w:val="Call"/>
    <w:basedOn w:val="Normal"/>
    <w:next w:val="Normal"/>
    <w:rsid w:val="00732045"/>
    <w:pPr>
      <w:keepNext/>
      <w:keepLines/>
      <w:tabs>
        <w:tab w:val="clear" w:pos="1134"/>
        <w:tab w:val="clear" w:pos="1701"/>
        <w:tab w:val="clear" w:pos="2268"/>
        <w:tab w:val="clear" w:pos="2835"/>
      </w:tabs>
      <w:spacing w:before="160"/>
      <w:ind w:left="567"/>
    </w:pPr>
    <w:rPr>
      <w:i/>
    </w:rPr>
  </w:style>
  <w:style w:type="paragraph" w:customStyle="1" w:styleId="toc0">
    <w:name w:val="toc 0"/>
    <w:basedOn w:val="Normal"/>
    <w:next w:val="TOC1"/>
    <w:rsid w:val="00732045"/>
    <w:pPr>
      <w:tabs>
        <w:tab w:val="clear" w:pos="567"/>
        <w:tab w:val="clear" w:pos="1134"/>
        <w:tab w:val="clear" w:pos="1701"/>
        <w:tab w:val="clear" w:pos="2268"/>
        <w:tab w:val="clear" w:pos="2835"/>
        <w:tab w:val="right" w:pos="9781"/>
      </w:tabs>
    </w:pPr>
    <w:rPr>
      <w:b/>
    </w:rPr>
  </w:style>
  <w:style w:type="paragraph" w:styleId="List">
    <w:name w:val="List"/>
    <w:basedOn w:val="Normal"/>
    <w:rsid w:val="005C3890"/>
    <w:pPr>
      <w:tabs>
        <w:tab w:val="left" w:pos="2127"/>
      </w:tabs>
      <w:ind w:left="2127" w:hanging="2127"/>
    </w:pPr>
  </w:style>
  <w:style w:type="paragraph" w:customStyle="1" w:styleId="Part">
    <w:name w:val="Part"/>
    <w:basedOn w:val="Normal"/>
    <w:rsid w:val="005C3890"/>
    <w:pPr>
      <w:tabs>
        <w:tab w:val="left" w:pos="1276"/>
      </w:tabs>
      <w:spacing w:before="199"/>
      <w:ind w:left="1701" w:hanging="1701"/>
    </w:pPr>
    <w:rPr>
      <w:caps/>
    </w:rPr>
  </w:style>
  <w:style w:type="paragraph" w:customStyle="1" w:styleId="Reasons">
    <w:name w:val="Reasons"/>
    <w:basedOn w:val="Normal"/>
    <w:qFormat/>
    <w:rsid w:val="00732045"/>
  </w:style>
  <w:style w:type="paragraph" w:customStyle="1" w:styleId="meeting">
    <w:name w:val="meeting"/>
    <w:basedOn w:val="Head"/>
    <w:next w:val="Head"/>
    <w:rsid w:val="005C3890"/>
    <w:pPr>
      <w:tabs>
        <w:tab w:val="left" w:pos="7371"/>
      </w:tabs>
      <w:spacing w:after="567"/>
    </w:pPr>
  </w:style>
  <w:style w:type="paragraph" w:customStyle="1" w:styleId="Subject">
    <w:name w:val="Subject"/>
    <w:basedOn w:val="Normal"/>
    <w:next w:val="Source"/>
    <w:rsid w:val="005C3890"/>
    <w:pPr>
      <w:tabs>
        <w:tab w:val="left" w:pos="709"/>
      </w:tabs>
      <w:spacing w:before="0"/>
      <w:ind w:left="709" w:hanging="709"/>
    </w:pPr>
  </w:style>
  <w:style w:type="paragraph" w:customStyle="1" w:styleId="Source">
    <w:name w:val="Source"/>
    <w:basedOn w:val="Normal"/>
    <w:next w:val="Title1"/>
    <w:rsid w:val="00732045"/>
    <w:pPr>
      <w:spacing w:before="840"/>
      <w:jc w:val="center"/>
    </w:pPr>
    <w:rPr>
      <w:b/>
      <w:sz w:val="28"/>
    </w:rPr>
  </w:style>
  <w:style w:type="paragraph" w:customStyle="1" w:styleId="Object">
    <w:name w:val="Object"/>
    <w:basedOn w:val="Subject"/>
    <w:next w:val="Subject"/>
    <w:rsid w:val="005C3890"/>
  </w:style>
  <w:style w:type="paragraph" w:customStyle="1" w:styleId="Data">
    <w:name w:val="Data"/>
    <w:basedOn w:val="Subject"/>
    <w:next w:val="Subject"/>
    <w:rsid w:val="005C3890"/>
  </w:style>
  <w:style w:type="paragraph" w:customStyle="1" w:styleId="Headingb">
    <w:name w:val="Heading_b"/>
    <w:basedOn w:val="Heading3"/>
    <w:next w:val="Normal"/>
    <w:rsid w:val="00ED799B"/>
    <w:pPr>
      <w:spacing w:before="160"/>
      <w:ind w:left="0" w:firstLine="0"/>
      <w:outlineLvl w:val="0"/>
    </w:pPr>
  </w:style>
  <w:style w:type="paragraph" w:customStyle="1" w:styleId="Title1">
    <w:name w:val="Title 1"/>
    <w:basedOn w:val="Normal"/>
    <w:next w:val="Normalaftertitle"/>
    <w:rsid w:val="0071402E"/>
    <w:pPr>
      <w:spacing w:before="360"/>
      <w:jc w:val="center"/>
    </w:pPr>
    <w:rPr>
      <w:caps/>
    </w:rPr>
  </w:style>
  <w:style w:type="paragraph" w:customStyle="1" w:styleId="dnum">
    <w:name w:val="dnum"/>
    <w:basedOn w:val="Normal"/>
    <w:rsid w:val="005C3890"/>
    <w:pPr>
      <w:framePr w:hSpace="181" w:wrap="notBeside" w:vAnchor="page" w:hAnchor="margin" w:x="1" w:y="852"/>
      <w:shd w:val="solid" w:color="FFFFFF" w:fill="FFFFFF"/>
      <w:tabs>
        <w:tab w:val="left" w:pos="1871"/>
      </w:tabs>
    </w:pPr>
    <w:rPr>
      <w:b/>
      <w:bCs/>
    </w:rPr>
  </w:style>
  <w:style w:type="paragraph" w:customStyle="1" w:styleId="FirstFooter">
    <w:name w:val="FirstFooter"/>
    <w:basedOn w:val="Footer"/>
    <w:rsid w:val="00732045"/>
    <w:rPr>
      <w:caps w:val="0"/>
    </w:rPr>
  </w:style>
  <w:style w:type="paragraph" w:customStyle="1" w:styleId="Note">
    <w:name w:val="Note"/>
    <w:basedOn w:val="Normal"/>
    <w:rsid w:val="0071402E"/>
    <w:pPr>
      <w:spacing w:before="80"/>
    </w:pPr>
    <w:rPr>
      <w:sz w:val="22"/>
    </w:rPr>
  </w:style>
  <w:style w:type="paragraph" w:styleId="TOC9">
    <w:name w:val="toc 9"/>
    <w:basedOn w:val="Normal"/>
    <w:next w:val="Normal"/>
    <w:rsid w:val="00732045"/>
    <w:pPr>
      <w:tabs>
        <w:tab w:val="clear" w:pos="567"/>
        <w:tab w:val="clear" w:pos="1134"/>
        <w:tab w:val="clear" w:pos="1701"/>
        <w:tab w:val="clear" w:pos="2268"/>
        <w:tab w:val="clear" w:pos="2835"/>
        <w:tab w:val="right" w:leader="dot" w:pos="9645"/>
      </w:tabs>
      <w:ind w:left="1920"/>
    </w:pPr>
  </w:style>
  <w:style w:type="paragraph" w:customStyle="1" w:styleId="ddate">
    <w:name w:val="ddate"/>
    <w:basedOn w:val="Normal"/>
    <w:rsid w:val="005C3890"/>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rsid w:val="005C3890"/>
    <w:pPr>
      <w:framePr w:hSpace="181" w:wrap="notBeside" w:vAnchor="page" w:hAnchor="margin" w:x="1" w:y="852"/>
      <w:shd w:val="solid" w:color="FFFFFF" w:fill="FFFFFF"/>
      <w:tabs>
        <w:tab w:val="left" w:pos="1871"/>
      </w:tabs>
      <w:spacing w:before="0"/>
    </w:pPr>
    <w:rPr>
      <w:b/>
      <w:bCs/>
    </w:rPr>
  </w:style>
  <w:style w:type="character" w:styleId="Hyperlink">
    <w:name w:val="Hyperlink"/>
    <w:basedOn w:val="DefaultParagraphFont"/>
    <w:uiPriority w:val="99"/>
    <w:rsid w:val="00FC6D7D"/>
    <w:rPr>
      <w:rFonts w:eastAsiaTheme="minorHAnsi" w:cstheme="minorBidi"/>
      <w:color w:val="4F81BD" w:themeColor="accent1"/>
      <w:szCs w:val="22"/>
    </w:rPr>
  </w:style>
  <w:style w:type="character" w:styleId="FollowedHyperlink">
    <w:name w:val="FollowedHyperlink"/>
    <w:basedOn w:val="DefaultParagraphFont"/>
    <w:rsid w:val="005C3890"/>
    <w:rPr>
      <w:color w:val="800080"/>
      <w:u w:val="single"/>
    </w:rPr>
  </w:style>
  <w:style w:type="paragraph" w:customStyle="1" w:styleId="AnnexNo">
    <w:name w:val="Annex_No"/>
    <w:basedOn w:val="Normal"/>
    <w:next w:val="Annexref"/>
    <w:rsid w:val="00BB38C1"/>
    <w:pPr>
      <w:keepNext/>
      <w:keepLines/>
      <w:spacing w:before="720"/>
      <w:jc w:val="center"/>
    </w:pPr>
    <w:rPr>
      <w:caps/>
      <w:sz w:val="28"/>
    </w:rPr>
  </w:style>
  <w:style w:type="paragraph" w:customStyle="1" w:styleId="Annexref">
    <w:name w:val="Annex_ref"/>
    <w:basedOn w:val="Normal"/>
    <w:next w:val="Annextitle"/>
    <w:rsid w:val="00BB38C1"/>
    <w:pPr>
      <w:keepNext/>
      <w:keepLines/>
      <w:jc w:val="center"/>
    </w:pPr>
    <w:rPr>
      <w:sz w:val="28"/>
    </w:rPr>
  </w:style>
  <w:style w:type="paragraph" w:customStyle="1" w:styleId="Annextitle">
    <w:name w:val="Annex_title"/>
    <w:basedOn w:val="Normal"/>
    <w:next w:val="Normalaftertitle"/>
    <w:rsid w:val="00BB38C1"/>
    <w:pPr>
      <w:keepNext/>
      <w:keepLines/>
      <w:spacing w:before="240" w:after="240"/>
      <w:jc w:val="center"/>
    </w:pPr>
    <w:rPr>
      <w:b/>
      <w:sz w:val="28"/>
    </w:rPr>
  </w:style>
  <w:style w:type="paragraph" w:customStyle="1" w:styleId="AppendixNo">
    <w:name w:val="Appendix_No"/>
    <w:basedOn w:val="AnnexNo"/>
    <w:next w:val="Appendixref"/>
    <w:rsid w:val="00BB38C1"/>
  </w:style>
  <w:style w:type="paragraph" w:customStyle="1" w:styleId="Appendixref">
    <w:name w:val="Appendix_ref"/>
    <w:basedOn w:val="Annexref"/>
    <w:next w:val="Appendixtitle"/>
    <w:rsid w:val="00732045"/>
  </w:style>
  <w:style w:type="paragraph" w:customStyle="1" w:styleId="Appendixtitle">
    <w:name w:val="Appendix_title"/>
    <w:basedOn w:val="Annextitle"/>
    <w:next w:val="Normalaftertitle"/>
    <w:rsid w:val="00BB38C1"/>
  </w:style>
  <w:style w:type="paragraph" w:customStyle="1" w:styleId="Artheading">
    <w:name w:val="Art_heading"/>
    <w:basedOn w:val="Normal"/>
    <w:next w:val="Normalaftertitle"/>
    <w:rsid w:val="00732045"/>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BB38C1"/>
    <w:pPr>
      <w:keepNext/>
      <w:keepLines/>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BB38C1"/>
    <w:pPr>
      <w:keepNext/>
      <w:keepLines/>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732045"/>
  </w:style>
  <w:style w:type="paragraph" w:customStyle="1" w:styleId="Chaptitle">
    <w:name w:val="Chap_title"/>
    <w:basedOn w:val="Arttitle"/>
    <w:next w:val="Normalaftertitle"/>
    <w:rsid w:val="00732045"/>
  </w:style>
  <w:style w:type="paragraph" w:customStyle="1" w:styleId="Equationlegend">
    <w:name w:val="Equation_legend"/>
    <w:basedOn w:val="NormalIndent"/>
    <w:rsid w:val="005C3890"/>
    <w:pPr>
      <w:tabs>
        <w:tab w:val="right" w:pos="1531"/>
      </w:tabs>
      <w:spacing w:before="80"/>
      <w:ind w:left="1701" w:hanging="1701"/>
    </w:pPr>
  </w:style>
  <w:style w:type="paragraph" w:customStyle="1" w:styleId="Figure">
    <w:name w:val="Figure"/>
    <w:basedOn w:val="Normal"/>
    <w:next w:val="Normal"/>
    <w:rsid w:val="009D5955"/>
    <w:pPr>
      <w:spacing w:after="240"/>
      <w:jc w:val="center"/>
    </w:pPr>
  </w:style>
  <w:style w:type="paragraph" w:customStyle="1" w:styleId="Figurelegend">
    <w:name w:val="Figure_legend"/>
    <w:basedOn w:val="Normal"/>
    <w:next w:val="Normal"/>
    <w:rsid w:val="009D5955"/>
    <w:pPr>
      <w:spacing w:before="20" w:after="240"/>
    </w:pPr>
    <w:rPr>
      <w:sz w:val="18"/>
    </w:rPr>
  </w:style>
  <w:style w:type="paragraph" w:customStyle="1" w:styleId="TableNo">
    <w:name w:val="Table_No"/>
    <w:basedOn w:val="Normal"/>
    <w:next w:val="Tabletitle"/>
    <w:rsid w:val="0071402E"/>
    <w:pPr>
      <w:keepNext/>
      <w:keepLines/>
      <w:spacing w:before="480" w:after="120"/>
      <w:jc w:val="center"/>
    </w:pPr>
    <w:rPr>
      <w:caps/>
    </w:rPr>
  </w:style>
  <w:style w:type="paragraph" w:customStyle="1" w:styleId="Tabletitle">
    <w:name w:val="Table_title"/>
    <w:basedOn w:val="TableNo"/>
    <w:next w:val="Tabletext"/>
    <w:rsid w:val="0071402E"/>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Figuretitle">
    <w:name w:val="Figure_title"/>
    <w:basedOn w:val="Tabletitle"/>
    <w:next w:val="Normalaftertitle"/>
    <w:rsid w:val="009D5955"/>
    <w:pPr>
      <w:spacing w:before="120" w:after="0"/>
    </w:pPr>
  </w:style>
  <w:style w:type="paragraph" w:customStyle="1" w:styleId="Figurewithouttitle">
    <w:name w:val="Figure_without_title"/>
    <w:basedOn w:val="Figure"/>
    <w:next w:val="Normal"/>
    <w:rsid w:val="00ED799B"/>
  </w:style>
  <w:style w:type="paragraph" w:customStyle="1" w:styleId="Headingi">
    <w:name w:val="Heading_i"/>
    <w:basedOn w:val="Heading3"/>
    <w:next w:val="Normal"/>
    <w:rsid w:val="00ED799B"/>
    <w:pPr>
      <w:spacing w:before="160"/>
      <w:ind w:left="0" w:firstLine="0"/>
      <w:outlineLvl w:val="0"/>
    </w:pPr>
    <w:rPr>
      <w:b w:val="0"/>
      <w:i/>
    </w:rPr>
  </w:style>
  <w:style w:type="character" w:styleId="PageNumber">
    <w:name w:val="page number"/>
    <w:basedOn w:val="DefaultParagraphFont"/>
    <w:rsid w:val="00732045"/>
    <w:rPr>
      <w:rFonts w:ascii="Calibri" w:hAnsi="Calibri"/>
    </w:rPr>
  </w:style>
  <w:style w:type="paragraph" w:customStyle="1" w:styleId="PartNo">
    <w:name w:val="Part_No"/>
    <w:basedOn w:val="AnnexNo"/>
    <w:next w:val="Parttitle"/>
    <w:rsid w:val="005C3890"/>
  </w:style>
  <w:style w:type="paragraph" w:customStyle="1" w:styleId="Partref">
    <w:name w:val="Part_ref"/>
    <w:basedOn w:val="Annexref"/>
    <w:next w:val="Normalaftertitle"/>
    <w:rsid w:val="005C3890"/>
  </w:style>
  <w:style w:type="paragraph" w:customStyle="1" w:styleId="Parttitle">
    <w:name w:val="Part_title"/>
    <w:basedOn w:val="Annextitle"/>
    <w:next w:val="Partref"/>
    <w:rsid w:val="005C3890"/>
  </w:style>
  <w:style w:type="paragraph" w:customStyle="1" w:styleId="RecNo">
    <w:name w:val="Rec_No"/>
    <w:basedOn w:val="Normal"/>
    <w:next w:val="Rectitle"/>
    <w:rsid w:val="0071402E"/>
    <w:pPr>
      <w:keepNext/>
      <w:keepLines/>
      <w:spacing w:before="720"/>
      <w:jc w:val="center"/>
    </w:pPr>
    <w:rPr>
      <w:caps/>
      <w:sz w:val="28"/>
    </w:rPr>
  </w:style>
  <w:style w:type="paragraph" w:customStyle="1" w:styleId="Rectitle">
    <w:name w:val="Rec_title"/>
    <w:basedOn w:val="Normal"/>
    <w:next w:val="Heading1"/>
    <w:rsid w:val="0071402E"/>
    <w:pPr>
      <w:keepNext/>
      <w:keepLines/>
      <w:jc w:val="center"/>
    </w:pPr>
    <w:rPr>
      <w:b/>
      <w:sz w:val="28"/>
    </w:rPr>
  </w:style>
  <w:style w:type="paragraph" w:customStyle="1" w:styleId="Recref">
    <w:name w:val="Rec_ref"/>
    <w:basedOn w:val="Rectitle"/>
    <w:next w:val="Recdate"/>
    <w:rsid w:val="005C3890"/>
    <w:rPr>
      <w:rFonts w:ascii="Times New Roman" w:hAnsi="Times New Roman"/>
      <w:b w:val="0"/>
      <w:sz w:val="24"/>
    </w:rPr>
  </w:style>
  <w:style w:type="paragraph" w:customStyle="1" w:styleId="Recdate">
    <w:name w:val="Rec_date"/>
    <w:basedOn w:val="Recref"/>
    <w:next w:val="Normalaftertitle"/>
    <w:rsid w:val="005C3890"/>
    <w:pPr>
      <w:jc w:val="right"/>
    </w:pPr>
    <w:rPr>
      <w:sz w:val="22"/>
    </w:rPr>
  </w:style>
  <w:style w:type="paragraph" w:customStyle="1" w:styleId="Questiondate">
    <w:name w:val="Question_date"/>
    <w:basedOn w:val="Recdate"/>
    <w:next w:val="Normalaftertitle"/>
    <w:rsid w:val="0071402E"/>
  </w:style>
  <w:style w:type="paragraph" w:customStyle="1" w:styleId="QuestionNo">
    <w:name w:val="Question_No"/>
    <w:basedOn w:val="RecNo"/>
    <w:next w:val="Questiontitle"/>
    <w:rsid w:val="0071402E"/>
  </w:style>
  <w:style w:type="paragraph" w:customStyle="1" w:styleId="Questionref">
    <w:name w:val="Question_ref"/>
    <w:basedOn w:val="Recref"/>
    <w:next w:val="Questiondate"/>
    <w:rsid w:val="005C3890"/>
  </w:style>
  <w:style w:type="paragraph" w:customStyle="1" w:styleId="Questiontitle">
    <w:name w:val="Question_title"/>
    <w:basedOn w:val="Rectitle"/>
    <w:next w:val="Questionref"/>
    <w:rsid w:val="005C3890"/>
  </w:style>
  <w:style w:type="paragraph" w:customStyle="1" w:styleId="Reftext">
    <w:name w:val="Ref_text"/>
    <w:basedOn w:val="Normal"/>
    <w:rsid w:val="00732045"/>
    <w:pPr>
      <w:ind w:left="567" w:hanging="567"/>
    </w:pPr>
  </w:style>
  <w:style w:type="paragraph" w:customStyle="1" w:styleId="Reftitle">
    <w:name w:val="Ref_title"/>
    <w:basedOn w:val="Normal"/>
    <w:next w:val="Reftext"/>
    <w:rsid w:val="00732045"/>
    <w:pPr>
      <w:spacing w:before="480"/>
      <w:jc w:val="center"/>
    </w:pPr>
    <w:rPr>
      <w:caps/>
      <w:sz w:val="28"/>
    </w:rPr>
  </w:style>
  <w:style w:type="paragraph" w:customStyle="1" w:styleId="Repdate">
    <w:name w:val="Rep_date"/>
    <w:basedOn w:val="Recdate"/>
    <w:next w:val="Normalaftertitle"/>
    <w:rsid w:val="005C3890"/>
  </w:style>
  <w:style w:type="paragraph" w:customStyle="1" w:styleId="RepNo">
    <w:name w:val="Rep_No"/>
    <w:basedOn w:val="RecNo"/>
    <w:next w:val="Reptitle"/>
    <w:rsid w:val="0071402E"/>
  </w:style>
  <w:style w:type="paragraph" w:customStyle="1" w:styleId="Repref">
    <w:name w:val="Rep_ref"/>
    <w:basedOn w:val="Recref"/>
    <w:next w:val="Repdate"/>
    <w:rsid w:val="005C3890"/>
  </w:style>
  <w:style w:type="paragraph" w:customStyle="1" w:styleId="Reptitle">
    <w:name w:val="Rep_title"/>
    <w:basedOn w:val="Rectitle"/>
    <w:next w:val="Repref"/>
    <w:rsid w:val="005C3890"/>
  </w:style>
  <w:style w:type="paragraph" w:customStyle="1" w:styleId="Resdate">
    <w:name w:val="Res_date"/>
    <w:basedOn w:val="Recdate"/>
    <w:next w:val="Normalaftertitle"/>
    <w:rsid w:val="005C3890"/>
  </w:style>
  <w:style w:type="paragraph" w:customStyle="1" w:styleId="ResNo">
    <w:name w:val="Res_No"/>
    <w:basedOn w:val="AnnexNo"/>
    <w:next w:val="Restitle"/>
    <w:rsid w:val="0071402E"/>
  </w:style>
  <w:style w:type="paragraph" w:customStyle="1" w:styleId="Resref">
    <w:name w:val="Res_ref"/>
    <w:basedOn w:val="Recref"/>
    <w:next w:val="Resdate"/>
    <w:rsid w:val="005C3890"/>
  </w:style>
  <w:style w:type="paragraph" w:customStyle="1" w:styleId="Restitle">
    <w:name w:val="Res_title"/>
    <w:basedOn w:val="Annextitle"/>
    <w:next w:val="Normal"/>
    <w:rsid w:val="00732045"/>
  </w:style>
  <w:style w:type="paragraph" w:customStyle="1" w:styleId="SectionNo">
    <w:name w:val="Section_No"/>
    <w:basedOn w:val="AnnexNo"/>
    <w:next w:val="Sectiontitle"/>
    <w:rsid w:val="0071402E"/>
  </w:style>
  <w:style w:type="paragraph" w:customStyle="1" w:styleId="Sectiontitle">
    <w:name w:val="Section_title"/>
    <w:basedOn w:val="Normal"/>
    <w:next w:val="Normalaftertitle"/>
    <w:rsid w:val="005C3890"/>
    <w:rPr>
      <w:sz w:val="28"/>
    </w:rPr>
  </w:style>
  <w:style w:type="paragraph" w:customStyle="1" w:styleId="SpecialFooter">
    <w:name w:val="Special Footer"/>
    <w:basedOn w:val="Footer"/>
    <w:rsid w:val="005C3890"/>
    <w:pPr>
      <w:tabs>
        <w:tab w:val="left" w:pos="567"/>
        <w:tab w:val="left" w:pos="1134"/>
        <w:tab w:val="left" w:pos="1701"/>
        <w:tab w:val="left" w:pos="2268"/>
        <w:tab w:val="left" w:pos="2835"/>
      </w:tabs>
      <w:jc w:val="both"/>
    </w:pPr>
    <w:rPr>
      <w:caps w:val="0"/>
      <w:noProof w:val="0"/>
    </w:rPr>
  </w:style>
  <w:style w:type="paragraph" w:customStyle="1" w:styleId="Tabletext">
    <w:name w:val="Table_text"/>
    <w:basedOn w:val="Normal"/>
    <w:rsid w:val="0071402E"/>
    <w:pPr>
      <w:tabs>
        <w:tab w:val="clear" w:pos="1134"/>
        <w:tab w:val="clear" w:pos="1701"/>
        <w:tab w:val="clear" w:pos="2268"/>
        <w:tab w:val="clear" w:pos="2835"/>
        <w:tab w:val="left" w:pos="284"/>
        <w:tab w:val="left" w:pos="851"/>
      </w:tabs>
      <w:spacing w:before="40" w:after="40"/>
    </w:pPr>
    <w:rPr>
      <w:sz w:val="22"/>
    </w:rPr>
  </w:style>
  <w:style w:type="paragraph" w:customStyle="1" w:styleId="Tablehead">
    <w:name w:val="Table_head"/>
    <w:basedOn w:val="Tabletext"/>
    <w:rsid w:val="0071402E"/>
    <w:pPr>
      <w:keepNext/>
      <w:keepLines/>
      <w:spacing w:before="80" w:after="80"/>
      <w:jc w:val="center"/>
    </w:pPr>
    <w:rPr>
      <w:b/>
    </w:rPr>
  </w:style>
  <w:style w:type="paragraph" w:customStyle="1" w:styleId="Tablelegend">
    <w:name w:val="Table_legend"/>
    <w:basedOn w:val="Tabletext"/>
    <w:rsid w:val="0071402E"/>
    <w:pPr>
      <w:ind w:left="284" w:hanging="284"/>
    </w:pPr>
    <w:rPr>
      <w:sz w:val="20"/>
    </w:rPr>
  </w:style>
  <w:style w:type="paragraph" w:customStyle="1" w:styleId="Tableref">
    <w:name w:val="Table_ref"/>
    <w:basedOn w:val="Normal"/>
    <w:next w:val="Tabletitle"/>
    <w:rsid w:val="0071402E"/>
    <w:pPr>
      <w:keepNext/>
      <w:keepLines/>
      <w:jc w:val="center"/>
    </w:pPr>
    <w:rPr>
      <w:sz w:val="20"/>
    </w:rPr>
  </w:style>
  <w:style w:type="paragraph" w:customStyle="1" w:styleId="Title2">
    <w:name w:val="Title 2"/>
    <w:basedOn w:val="Title1"/>
    <w:next w:val="Normalaftertitle"/>
    <w:rsid w:val="006B224B"/>
    <w:pPr>
      <w:keepNext/>
      <w:keepLines/>
      <w:spacing w:before="240"/>
    </w:pPr>
    <w:rPr>
      <w:b/>
      <w:caps w:val="0"/>
    </w:rPr>
  </w:style>
  <w:style w:type="paragraph" w:customStyle="1" w:styleId="Title3">
    <w:name w:val="Title 3"/>
    <w:basedOn w:val="Title2"/>
    <w:next w:val="Normalaftertitle"/>
    <w:rsid w:val="006B224B"/>
    <w:rPr>
      <w:b w:val="0"/>
      <w:caps/>
    </w:rPr>
  </w:style>
  <w:style w:type="paragraph" w:customStyle="1" w:styleId="Title4">
    <w:name w:val="Title 4"/>
    <w:basedOn w:val="Annextitle"/>
    <w:next w:val="Normal"/>
    <w:rsid w:val="00CE5172"/>
    <w:pPr>
      <w:spacing w:after="120"/>
    </w:pPr>
    <w:rPr>
      <w:b w:val="0"/>
    </w:rPr>
  </w:style>
  <w:style w:type="paragraph" w:customStyle="1" w:styleId="FigureNo">
    <w:name w:val="Figure_No"/>
    <w:basedOn w:val="Normal"/>
    <w:next w:val="Figuretitle"/>
    <w:rsid w:val="009D5955"/>
    <w:pPr>
      <w:keepNext/>
      <w:keepLines/>
      <w:spacing w:before="480" w:after="120"/>
      <w:jc w:val="center"/>
    </w:pPr>
    <w:rPr>
      <w:caps/>
    </w:rPr>
  </w:style>
  <w:style w:type="paragraph" w:customStyle="1" w:styleId="firstfooter0">
    <w:name w:val="firstfooter"/>
    <w:basedOn w:val="Normal"/>
    <w:rsid w:val="00732045"/>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Subtitle">
    <w:name w:val="Sub_title"/>
    <w:basedOn w:val="Normal"/>
    <w:qFormat/>
    <w:rsid w:val="00A51849"/>
    <w:pPr>
      <w:framePr w:hSpace="180" w:wrap="around" w:hAnchor="page" w:x="1821" w:y="2317"/>
      <w:spacing w:after="160"/>
    </w:pPr>
    <w:rPr>
      <w:sz w:val="34"/>
      <w:lang w:val="en-GB"/>
    </w:rPr>
  </w:style>
  <w:style w:type="character" w:customStyle="1" w:styleId="HeaderChar">
    <w:name w:val="Header Char"/>
    <w:basedOn w:val="DefaultParagraphFont"/>
    <w:link w:val="Header"/>
    <w:uiPriority w:val="99"/>
    <w:rsid w:val="00A51849"/>
    <w:rPr>
      <w:rFonts w:ascii="Calibri" w:hAnsi="Calibri"/>
      <w:sz w:val="18"/>
      <w:lang w:val="fr-FR" w:eastAsia="en-US"/>
    </w:rPr>
  </w:style>
  <w:style w:type="table" w:styleId="TableGrid">
    <w:name w:val="Table Grid"/>
    <w:basedOn w:val="TableNormal"/>
    <w:uiPriority w:val="39"/>
    <w:rsid w:val="00A51849"/>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95647"/>
    <w:rPr>
      <w:rFonts w:ascii="Calibri" w:hAnsi="Calibri"/>
      <w:sz w:val="24"/>
      <w:lang w:val="fr-FR" w:eastAsia="en-US"/>
    </w:rPr>
  </w:style>
  <w:style w:type="character" w:styleId="PlaceholderText">
    <w:name w:val="Placeholder Text"/>
    <w:basedOn w:val="DefaultParagraphFont"/>
    <w:uiPriority w:val="99"/>
    <w:semiHidden/>
    <w:rsid w:val="00FC6D7D"/>
    <w:rPr>
      <w:color w:val="666666"/>
    </w:rPr>
  </w:style>
  <w:style w:type="character" w:styleId="UnresolvedMention">
    <w:name w:val="Unresolved Mention"/>
    <w:basedOn w:val="DefaultParagraphFont"/>
    <w:uiPriority w:val="99"/>
    <w:semiHidden/>
    <w:unhideWhenUsed/>
    <w:rsid w:val="00FC6D7D"/>
    <w:rPr>
      <w:color w:val="605E5C"/>
      <w:shd w:val="clear" w:color="auto" w:fill="E1DFDD"/>
    </w:rPr>
  </w:style>
  <w:style w:type="paragraph" w:customStyle="1" w:styleId="Referencetext">
    <w:name w:val="Reference_text"/>
    <w:basedOn w:val="Normal"/>
    <w:rsid w:val="00CE5172"/>
    <w:pPr>
      <w:framePr w:hSpace="181" w:wrap="around" w:vAnchor="page" w:hAnchor="page" w:x="1589" w:y="2314"/>
      <w:spacing w:after="160"/>
    </w:pPr>
    <w:rPr>
      <w:i/>
      <w:iCs/>
      <w:sz w:val="22"/>
      <w:szCs w:val="22"/>
    </w:rPr>
  </w:style>
  <w:style w:type="character" w:styleId="CommentReference">
    <w:name w:val="annotation reference"/>
    <w:rsid w:val="008D0C6D"/>
    <w:rPr>
      <w:sz w:val="16"/>
      <w:szCs w:val="16"/>
    </w:rPr>
  </w:style>
  <w:style w:type="paragraph" w:styleId="CommentText">
    <w:name w:val="annotation text"/>
    <w:basedOn w:val="Normal"/>
    <w:link w:val="CommentTextChar"/>
    <w:rsid w:val="008D0C6D"/>
    <w:pPr>
      <w:tabs>
        <w:tab w:val="clear" w:pos="567"/>
        <w:tab w:val="clear" w:pos="1134"/>
        <w:tab w:val="clear" w:pos="1701"/>
        <w:tab w:val="clear" w:pos="2268"/>
        <w:tab w:val="clear" w:pos="2835"/>
      </w:tabs>
      <w:suppressAutoHyphens/>
      <w:overflowPunct/>
      <w:autoSpaceDE/>
      <w:adjustRightInd/>
      <w:jc w:val="both"/>
      <w:textAlignment w:val="auto"/>
    </w:pPr>
    <w:rPr>
      <w:rFonts w:eastAsia="SimSun"/>
      <w:sz w:val="20"/>
      <w:szCs w:val="22"/>
      <w:lang w:val="en-US" w:eastAsia="fr-FR"/>
    </w:rPr>
  </w:style>
  <w:style w:type="character" w:customStyle="1" w:styleId="CommentTextChar">
    <w:name w:val="Comment Text Char"/>
    <w:basedOn w:val="DefaultParagraphFont"/>
    <w:link w:val="CommentText"/>
    <w:rsid w:val="008D0C6D"/>
    <w:rPr>
      <w:rFonts w:ascii="Calibri" w:eastAsia="SimSun" w:hAnsi="Calibri"/>
      <w:szCs w:val="22"/>
      <w:lang w:eastAsia="fr-FR"/>
    </w:rPr>
  </w:style>
  <w:style w:type="paragraph" w:styleId="CommentSubject">
    <w:name w:val="annotation subject"/>
    <w:basedOn w:val="CommentText"/>
    <w:next w:val="CommentText"/>
    <w:link w:val="CommentSubjectChar"/>
    <w:semiHidden/>
    <w:unhideWhenUsed/>
    <w:rsid w:val="00015F90"/>
    <w:pPr>
      <w:tabs>
        <w:tab w:val="left" w:pos="567"/>
        <w:tab w:val="left" w:pos="1134"/>
        <w:tab w:val="left" w:pos="1701"/>
        <w:tab w:val="left" w:pos="2268"/>
        <w:tab w:val="left" w:pos="2835"/>
      </w:tabs>
      <w:suppressAutoHyphens w:val="0"/>
      <w:overflowPunct w:val="0"/>
      <w:autoSpaceDE w:val="0"/>
      <w:adjustRightInd w:val="0"/>
      <w:jc w:val="left"/>
      <w:textAlignment w:val="baseline"/>
    </w:pPr>
    <w:rPr>
      <w:rFonts w:eastAsia="Times New Roman"/>
      <w:b/>
      <w:bCs/>
      <w:szCs w:val="20"/>
      <w:lang w:val="fr-FR" w:eastAsia="en-US"/>
    </w:rPr>
  </w:style>
  <w:style w:type="character" w:customStyle="1" w:styleId="CommentSubjectChar">
    <w:name w:val="Comment Subject Char"/>
    <w:basedOn w:val="CommentTextChar"/>
    <w:link w:val="CommentSubject"/>
    <w:semiHidden/>
    <w:rsid w:val="00015F90"/>
    <w:rPr>
      <w:rFonts w:ascii="Calibri" w:eastAsia="SimSun" w:hAnsi="Calibri"/>
      <w:b/>
      <w:bCs/>
      <w:szCs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tu.int/dms_pub/itu-t/opb/res/T-RES-T.2-2024-PDF-F.pdf" TargetMode="External"/><Relationship Id="rId671" Type="http://schemas.openxmlformats.org/officeDocument/2006/relationships/hyperlink" Target="https://www.itu.int/rec/R-REC-BT.1702/fr" TargetMode="External"/><Relationship Id="rId769" Type="http://schemas.openxmlformats.org/officeDocument/2006/relationships/hyperlink" Target="https://www.itu.int/en/ITU-D/Emergency-Telecommunications/Pages/AI-Sub-Group-EW4All-.aspx" TargetMode="External"/><Relationship Id="rId21" Type="http://schemas.openxmlformats.org/officeDocument/2006/relationships/hyperlink" Target="https://www.itu.int/wrc-23/" TargetMode="External"/><Relationship Id="rId324" Type="http://schemas.openxmlformats.org/officeDocument/2006/relationships/hyperlink" Target="https://www.itu.int/rec/T-REC-X.1715/es" TargetMode="External"/><Relationship Id="rId531" Type="http://schemas.openxmlformats.org/officeDocument/2006/relationships/hyperlink" Target="https://www.itu.int/en/ITU-R/seminars/rrs/RRS-23-Africa/Pages/default.aspx" TargetMode="External"/><Relationship Id="rId629" Type="http://schemas.openxmlformats.org/officeDocument/2006/relationships/hyperlink" Target="https://www.itu.int/fr/action/youth/Pages/YPP.aspx" TargetMode="External"/><Relationship Id="rId170" Type="http://schemas.openxmlformats.org/officeDocument/2006/relationships/hyperlink" Target="https://www.itu.int/en/ITU-D/Statistics/Pages/facts/default.aspx" TargetMode="External"/><Relationship Id="rId268" Type="http://schemas.openxmlformats.org/officeDocument/2006/relationships/hyperlink" Target="https://www.itu.int/hub/2023/07/new-un-initiative-aims-to-step-up-ais-contribution-to-health/" TargetMode="External"/><Relationship Id="rId475" Type="http://schemas.openxmlformats.org/officeDocument/2006/relationships/hyperlink" Target="https://aiforgood.itu.int/ai-skills-coalition/" TargetMode="External"/><Relationship Id="rId682" Type="http://schemas.openxmlformats.org/officeDocument/2006/relationships/hyperlink" Target="https://www.itu.int/dms_pub/itu-t/opb/env/T-ENV-ENV-2025-3-PDF-E.pdf" TargetMode="External"/><Relationship Id="rId32" Type="http://schemas.openxmlformats.org/officeDocument/2006/relationships/hyperlink" Target="https://www.itu.int/cities/year-in-review-2023/fg-ai4a/" TargetMode="External"/><Relationship Id="rId128" Type="http://schemas.openxmlformats.org/officeDocument/2006/relationships/hyperlink" Target="https://www.itu.int/en/ITU-D/Documents/BAP/D22-WTDC25-C-0090%21%21PDF-F.pdf" TargetMode="External"/><Relationship Id="rId335" Type="http://schemas.openxmlformats.org/officeDocument/2006/relationships/hyperlink" Target="https://www.quantum-course.com/" TargetMode="External"/><Relationship Id="rId542" Type="http://schemas.openxmlformats.org/officeDocument/2006/relationships/hyperlink" Target="https://www.itu.int/Global-ITU-WMO/" TargetMode="External"/><Relationship Id="rId181" Type="http://schemas.openxmlformats.org/officeDocument/2006/relationships/hyperlink" Target="https://www.itu.int/sales/digital-publications/pub/r-sp-lm.mm" TargetMode="External"/><Relationship Id="rId402" Type="http://schemas.openxmlformats.org/officeDocument/2006/relationships/chart" Target="charts/chart1.xml"/><Relationship Id="rId279" Type="http://schemas.openxmlformats.org/officeDocument/2006/relationships/hyperlink" Target="https://www.itu.int/en/ITU-D/Emergency-Telecommunications/Pages/AI-Sub-Group-EW4All-.aspx" TargetMode="External"/><Relationship Id="rId486" Type="http://schemas.openxmlformats.org/officeDocument/2006/relationships/hyperlink" Target="https://www.itu.int/en/ITU-D/Regulatory-Market/Pages/bestpractices.aspx" TargetMode="External"/><Relationship Id="rId693" Type="http://schemas.openxmlformats.org/officeDocument/2006/relationships/hyperlink" Target="https://www.itu.int/hub/2025/10/open-access-repository-for-sustainable-software-options/" TargetMode="External"/><Relationship Id="rId707" Type="http://schemas.openxmlformats.org/officeDocument/2006/relationships/hyperlink" Target="https://www.itu.int/initiatives/digital-unga2025/" TargetMode="External"/><Relationship Id="rId43" Type="http://schemas.openxmlformats.org/officeDocument/2006/relationships/hyperlink" Target="https://academy.itu.int/research-advocacy-and-convening-platforms/research-publications/digital-skills-toolkit" TargetMode="External"/><Relationship Id="rId139" Type="http://schemas.openxmlformats.org/officeDocument/2006/relationships/hyperlink" Target="https://www.itu.int/highlights-report-activities/connect2030-agenda/" TargetMode="External"/><Relationship Id="rId346" Type="http://schemas.openxmlformats.org/officeDocument/2006/relationships/hyperlink" Target="https://www.itu.int/en/ITU-T/focusgroups/mv/Pages/default.aspx" TargetMode="External"/><Relationship Id="rId553" Type="http://schemas.openxmlformats.org/officeDocument/2006/relationships/hyperlink" Target="https://www.itu.int/en/ITU-R/study-groups/rsg7/rwp7d/Pages/seminar-radio-astronomy-2024.aspx" TargetMode="External"/><Relationship Id="rId760" Type="http://schemas.openxmlformats.org/officeDocument/2006/relationships/hyperlink" Target="https://www.worldstandardsday.org/home.html" TargetMode="External"/><Relationship Id="rId192" Type="http://schemas.openxmlformats.org/officeDocument/2006/relationships/hyperlink" Target="https://www.itu.int/pub/R-REC/fr" TargetMode="External"/><Relationship Id="rId206" Type="http://schemas.openxmlformats.org/officeDocument/2006/relationships/hyperlink" Target="https://www.itu.int/pub/T-RES-T.55-2024/fr" TargetMode="External"/><Relationship Id="rId413" Type="http://schemas.openxmlformats.org/officeDocument/2006/relationships/hyperlink" Target="https://www.itu.int/pub/T-RES-T.75-2022" TargetMode="External"/><Relationship Id="rId497" Type="http://schemas.openxmlformats.org/officeDocument/2006/relationships/hyperlink" Target="https://www.itu.int/en/ITU-T/academia/kaleidoscope/Pages/default.aspx" TargetMode="External"/><Relationship Id="rId620" Type="http://schemas.openxmlformats.org/officeDocument/2006/relationships/hyperlink" Target="https://www.itu.int/itu-d/meetings/global-youth-summit-25/" TargetMode="External"/><Relationship Id="rId718" Type="http://schemas.openxmlformats.org/officeDocument/2006/relationships/hyperlink" Target="https://broadbandcommission.org/state-of-broadband-2025-podcast/" TargetMode="External"/><Relationship Id="rId357" Type="http://schemas.openxmlformats.org/officeDocument/2006/relationships/hyperlink" Target="https://www.itu.int/en/ITU-T/studygroups/2025-2028/20/Pages/default.aspx" TargetMode="External"/><Relationship Id="rId54" Type="http://schemas.openxmlformats.org/officeDocument/2006/relationships/hyperlink" Target="https://giga.global/" TargetMode="External"/><Relationship Id="rId217" Type="http://schemas.openxmlformats.org/officeDocument/2006/relationships/hyperlink" Target="https://www.itu.int/en/ITU-T/studygroups/2022-2024/16/Pages/sl.aspx" TargetMode="External"/><Relationship Id="rId564" Type="http://schemas.openxmlformats.org/officeDocument/2006/relationships/hyperlink" Target="https://www.itu.int/en/ITU-D/Cybersecurity/pages/cyberdrills.aspx" TargetMode="External"/><Relationship Id="rId771" Type="http://schemas.openxmlformats.org/officeDocument/2006/relationships/hyperlink" Target="https://www.youtube.com/watch?v=xjKjamBKHAw" TargetMode="External"/><Relationship Id="rId424" Type="http://schemas.openxmlformats.org/officeDocument/2006/relationships/hyperlink" Target="http://www.wsis.org/forum" TargetMode="External"/><Relationship Id="rId631" Type="http://schemas.openxmlformats.org/officeDocument/2006/relationships/hyperlink" Target="https://www.itu.int/md/S24-CL-C-0031/fr" TargetMode="External"/><Relationship Id="rId729" Type="http://schemas.openxmlformats.org/officeDocument/2006/relationships/hyperlink" Target="https://www.equalsintech.org/tech4girls" TargetMode="External"/><Relationship Id="rId270" Type="http://schemas.openxmlformats.org/officeDocument/2006/relationships/hyperlink" Target="https://www.itu.int/metaverse/virtual-worlds/" TargetMode="External"/><Relationship Id="rId65" Type="http://schemas.openxmlformats.org/officeDocument/2006/relationships/hyperlink" Target="https://www.itu.int/en/council/planning/Documents/ITU_Strategic_plan_2020-2023.pdf" TargetMode="External"/><Relationship Id="rId130" Type="http://schemas.openxmlformats.org/officeDocument/2006/relationships/hyperlink" Target="https://www.itu.int/md/D22-WTDC25-C-0002/en" TargetMode="External"/><Relationship Id="rId368" Type="http://schemas.openxmlformats.org/officeDocument/2006/relationships/hyperlink" Target="https://www.itu.int/cities/dt-digest/" TargetMode="External"/><Relationship Id="rId575" Type="http://schemas.openxmlformats.org/officeDocument/2006/relationships/hyperlink" Target="https://www.itu.int/hub/publication/d-phcb-equal-02-2023/" TargetMode="External"/><Relationship Id="rId782" Type="http://schemas.openxmlformats.org/officeDocument/2006/relationships/hyperlink" Target="https://www.itu.int/net/epub/TSB/2025-Digital-Agriculture-A-Standards-Snapshot/index.html" TargetMode="External"/><Relationship Id="rId228" Type="http://schemas.openxmlformats.org/officeDocument/2006/relationships/hyperlink" Target="https://www.itu.int/digital-resilience/submarine-cables/wp-content/uploads/sites/2/2026/02/Porto-Summit-Declaration.pdf" TargetMode="External"/><Relationship Id="rId435" Type="http://schemas.openxmlformats.org/officeDocument/2006/relationships/hyperlink" Target="http://www.wsis.org/forum" TargetMode="External"/><Relationship Id="rId642" Type="http://schemas.openxmlformats.org/officeDocument/2006/relationships/hyperlink" Target="https://www.itu.int/en/ITU-D/Regional-Presence/Europe/Pages/Events/2022/Accessible%20Europe%20ICT%204%20All%20Forum%20-%206%20Dec%202022/Accessible-Europe-ICT-4-All-Forum--Celebration-of-the-International-Day-of-Persons-with-Disabilities-.aspx" TargetMode="External"/><Relationship Id="rId281" Type="http://schemas.openxmlformats.org/officeDocument/2006/relationships/hyperlink" Target="https://www.itu.int/en/ITU-D/Regional-Presence/AsiaPacific/Pages/Projects/AI%20Technology%20and%20Standards%20Capacity%20Building%20in%20Asia%20Pacific/Artificial-Intelligence-Technology-and-Standards-Capacity-Building-in-Asia-Pacific-.aspx" TargetMode="External"/><Relationship Id="rId502" Type="http://schemas.openxmlformats.org/officeDocument/2006/relationships/hyperlink" Target="https://www.itu.int/en/journal/j-fet/webinars/Pages/default.aspx" TargetMode="External"/><Relationship Id="rId76" Type="http://schemas.openxmlformats.org/officeDocument/2006/relationships/hyperlink" Target="https://www.itu.int/dms_pub/itu-s/opb/conf/S-CONF-ACTF-2022-PDF-F.pdf" TargetMode="External"/><Relationship Id="rId141" Type="http://schemas.openxmlformats.org/officeDocument/2006/relationships/hyperlink" Target="https://www.itu.int/en/ITU-D/Statistics/pages/facts/default.aspx" TargetMode="External"/><Relationship Id="rId379" Type="http://schemas.openxmlformats.org/officeDocument/2006/relationships/hyperlink" Target="https://www.itu.int/en/ITU-D/Statistics/Pages/capacitydev/default.aspx" TargetMode="External"/><Relationship Id="rId586" Type="http://schemas.openxmlformats.org/officeDocument/2006/relationships/hyperlink" Target="https://academy.itu.int/training-courses/full-catalogue/gender-analysis-and-digital-inclusion-how-achieve-gender-equality-digital-sector" TargetMode="External"/><Relationship Id="rId793" Type="http://schemas.openxmlformats.org/officeDocument/2006/relationships/hyperlink" Target="https://www.un.org/un80-initiative/sites/default/files/2025-09/UN80_WS3-1_250921_1238.pdf" TargetMode="External"/><Relationship Id="rId807" Type="http://schemas.openxmlformats.org/officeDocument/2006/relationships/footer" Target="footer3.xml"/><Relationship Id="rId7" Type="http://schemas.openxmlformats.org/officeDocument/2006/relationships/endnotes" Target="endnotes.xml"/><Relationship Id="rId239" Type="http://schemas.openxmlformats.org/officeDocument/2006/relationships/hyperlink" Target="https://www.itu.int/hub/publication/d-str-cyb_joint-2025/" TargetMode="External"/><Relationship Id="rId446" Type="http://schemas.openxmlformats.org/officeDocument/2006/relationships/hyperlink" Target="https://www.itu.int/md/S26-CWGWSIS44-C-0005/en" TargetMode="External"/><Relationship Id="rId653" Type="http://schemas.openxmlformats.org/officeDocument/2006/relationships/hyperlink" Target="https://www.youtube.com/watch?v=FsFOxfCois0" TargetMode="External"/><Relationship Id="rId292" Type="http://schemas.openxmlformats.org/officeDocument/2006/relationships/hyperlink" Target="https://www.itu.int/itu-d/meetings/wtdc25/wp-content/uploads/sites/29/2025/11/090-E.pdf" TargetMode="External"/><Relationship Id="rId306" Type="http://schemas.openxmlformats.org/officeDocument/2006/relationships/hyperlink" Target="https://docs.un.org/en/A/RES/80/173" TargetMode="External"/><Relationship Id="rId87" Type="http://schemas.openxmlformats.org/officeDocument/2006/relationships/hyperlink" Target="https://www.itu.int/pub/R-RES-R.1/fr" TargetMode="External"/><Relationship Id="rId513" Type="http://schemas.openxmlformats.org/officeDocument/2006/relationships/hyperlink" Target="https://www.itu.int/en/ITU-T/academia/kaleidoscope/2024/Pages/default.aspx" TargetMode="External"/><Relationship Id="rId597" Type="http://schemas.openxmlformats.org/officeDocument/2006/relationships/hyperlink" Target="https://www.itu.int/now4wrc23/fr/" TargetMode="External"/><Relationship Id="rId720" Type="http://schemas.openxmlformats.org/officeDocument/2006/relationships/hyperlink" Target="https://giga.global/" TargetMode="External"/><Relationship Id="rId152" Type="http://schemas.openxmlformats.org/officeDocument/2006/relationships/hyperlink" Target="https://www.itu.int/en/ITU-D/Statistics/Pages/ICTprices/default.aspx" TargetMode="External"/><Relationship Id="rId457" Type="http://schemas.openxmlformats.org/officeDocument/2006/relationships/hyperlink" Target="https://www.itu.int/net4/wsis/stocktaking/Prizes/2026" TargetMode="External"/><Relationship Id="rId664" Type="http://schemas.openxmlformats.org/officeDocument/2006/relationships/hyperlink" Target="https://www.itu.int/en/ITU-T/studygroups/2025-2028/21/Pages/default.aspx" TargetMode="External"/><Relationship Id="rId14" Type="http://schemas.openxmlformats.org/officeDocument/2006/relationships/hyperlink" Target="https://www.itu.int/en/council/Documents/basic-texts-2023/RES-071-F.pdf" TargetMode="External"/><Relationship Id="rId317" Type="http://schemas.openxmlformats.org/officeDocument/2006/relationships/hyperlink" Target="https://www.itu.int/en/ITU-T/studygroups/2025-2028/17/Pages/default.aspx" TargetMode="External"/><Relationship Id="rId524" Type="http://schemas.openxmlformats.org/officeDocument/2006/relationships/hyperlink" Target="https://www.itu.int/wrs-24/" TargetMode="External"/><Relationship Id="rId731" Type="http://schemas.openxmlformats.org/officeDocument/2006/relationships/hyperlink" Target="https://www.equalsintech.org/equals-badge" TargetMode="External"/><Relationship Id="rId98" Type="http://schemas.openxmlformats.org/officeDocument/2006/relationships/hyperlink" Target="https://www.itu.int/pub/R-RES-R.72" TargetMode="External"/><Relationship Id="rId163" Type="http://schemas.openxmlformats.org/officeDocument/2006/relationships/hyperlink" Target="https://www.itu.int/itu-d/reports/statistics/2025/10/15/ff25-the-gender-digital-divide/" TargetMode="External"/><Relationship Id="rId370" Type="http://schemas.openxmlformats.org/officeDocument/2006/relationships/hyperlink" Target="http://www.itu.int/en/ITU-D/Statistics" TargetMode="External"/><Relationship Id="rId230" Type="http://schemas.openxmlformats.org/officeDocument/2006/relationships/hyperlink" Target="https://www.itu.int/en/ITU-D/Cybersecurity/Pages/COP/COP%20Industry%20Connect/COP-Industry-Connect.aspx" TargetMode="External"/><Relationship Id="rId468" Type="http://schemas.openxmlformats.org/officeDocument/2006/relationships/hyperlink" Target="https://aiforgood.itu.int/neural-network/" TargetMode="External"/><Relationship Id="rId675" Type="http://schemas.openxmlformats.org/officeDocument/2006/relationships/hyperlink" Target="https://academy.itu.int/training-courses/full-catalogue/formacion-de-promotoras-y-promotores-tecnicos-en-comunidades-indigenas-en-telecomunicaciones-y-0" TargetMode="External"/><Relationship Id="rId25" Type="http://schemas.openxmlformats.org/officeDocument/2006/relationships/hyperlink" Target="https://www.itu.int/itu-d/meetings/wtdc25/" TargetMode="External"/><Relationship Id="rId328" Type="http://schemas.openxmlformats.org/officeDocument/2006/relationships/hyperlink" Target="https://www.itu.int/itu-t/landscape/?topic=tx467&amp;group=g&amp;search_text=" TargetMode="External"/><Relationship Id="rId535" Type="http://schemas.openxmlformats.org/officeDocument/2006/relationships/hyperlink" Target="https://www.itu.int/en/ITU-R/study-groups/rsg4/Pages/Workshop-ITU-in-Service-of-Space.aspx" TargetMode="External"/><Relationship Id="rId742" Type="http://schemas.openxmlformats.org/officeDocument/2006/relationships/hyperlink" Target="https://u4ssc.itu.int/u4ssc-kpis-report/" TargetMode="External"/><Relationship Id="rId174" Type="http://schemas.openxmlformats.org/officeDocument/2006/relationships/hyperlink" Target="https://www.itu.int/en/ITU-D/Environment/Documents/Publications/2025/d-gen-e_waste.01-2024-pdf-f.pdf" TargetMode="External"/><Relationship Id="rId381" Type="http://schemas.openxmlformats.org/officeDocument/2006/relationships/hyperlink" Target="https://www.itu.int/itu-d/meetings/wtis25/" TargetMode="External"/><Relationship Id="rId602" Type="http://schemas.openxmlformats.org/officeDocument/2006/relationships/hyperlink" Target="https://wtisd.itu.int/2025/itu160-gender-champions/" TargetMode="External"/><Relationship Id="rId241" Type="http://schemas.openxmlformats.org/officeDocument/2006/relationships/hyperlink" Target="https://www.itu.int/itu-t/workprog/wp_search.aspx?sg=17" TargetMode="External"/><Relationship Id="rId479" Type="http://schemas.openxmlformats.org/officeDocument/2006/relationships/hyperlink" Target="https://aiforgood.itu.int/impact-initiative/" TargetMode="External"/><Relationship Id="rId686" Type="http://schemas.openxmlformats.org/officeDocument/2006/relationships/hyperlink" Target="https://www.itu.int/pub/D-IND-CLIM-2025/fr" TargetMode="External"/><Relationship Id="rId36" Type="http://schemas.openxmlformats.org/officeDocument/2006/relationships/hyperlink" Target="https://www.itu.int/itu-d/reports/statistics/global-connectivity-report-2025/" TargetMode="External"/><Relationship Id="rId339" Type="http://schemas.openxmlformats.org/officeDocument/2006/relationships/hyperlink" Target="https://aiforgood.itu.int/search-result-programme/?keyword=&amp;category=802&amp;event-venue=&amp;enddate=&amp;startdate=" TargetMode="External"/><Relationship Id="rId546" Type="http://schemas.openxmlformats.org/officeDocument/2006/relationships/hyperlink" Target="https://www.itu.int/en/ITU-R/study-groups/workshops/sg6-itu-ebu-btc-2023/Pages/default.aspx" TargetMode="External"/><Relationship Id="rId753" Type="http://schemas.openxmlformats.org/officeDocument/2006/relationships/hyperlink" Target="https://www.itu.int/en/ITU-T/extcoop/cits/egcomad/wg01/Pages/default.aspx" TargetMode="External"/><Relationship Id="rId101" Type="http://schemas.openxmlformats.org/officeDocument/2006/relationships/hyperlink" Target="https://www.itu.int/pub/R-RES-R.75" TargetMode="External"/><Relationship Id="rId185" Type="http://schemas.openxmlformats.org/officeDocument/2006/relationships/hyperlink" Target="https://www.itu.int/rec/T-REC-E.1120-202502-I/fr" TargetMode="External"/><Relationship Id="rId406" Type="http://schemas.openxmlformats.org/officeDocument/2006/relationships/hyperlink" Target="https://www.itu.int/en/ITU-D/Projects/Pages/reports/default.aspx" TargetMode="External"/><Relationship Id="rId392" Type="http://schemas.openxmlformats.org/officeDocument/2006/relationships/hyperlink" Target="https://academy.itu.int/index.php/main-activities/digital-transformation-centres-initiative" TargetMode="External"/><Relationship Id="rId613" Type="http://schemas.openxmlformats.org/officeDocument/2006/relationships/hyperlink" Target="https://www.itu.int/generationconnect/fr/sommet-mondial-de-la-jeunesse-generation-connect-ressources-generales/" TargetMode="External"/><Relationship Id="rId697" Type="http://schemas.openxmlformats.org/officeDocument/2006/relationships/hyperlink" Target="https://www.itu.int/initiatives/green-digital-action/events/all/cop28/" TargetMode="External"/><Relationship Id="rId252" Type="http://schemas.openxmlformats.org/officeDocument/2006/relationships/hyperlink" Target="https://www.itu.int/en/ITU-T/focusgroups/ai4a/Pages/default.aspx" TargetMode="External"/><Relationship Id="rId47" Type="http://schemas.openxmlformats.org/officeDocument/2006/relationships/hyperlink" Target="https://aiforgood.itu.int/" TargetMode="External"/><Relationship Id="rId112" Type="http://schemas.openxmlformats.org/officeDocument/2006/relationships/hyperlink" Target="https://www.itu.int/en/ITU-T/studygroups/2022-2024/09/Pages/default.aspx" TargetMode="External"/><Relationship Id="rId557" Type="http://schemas.openxmlformats.org/officeDocument/2006/relationships/hyperlink" Target="https://www.itu.int/en/ITU-T/Workshops-and-Seminars/2023/Pages/default.aspx" TargetMode="External"/><Relationship Id="rId764" Type="http://schemas.openxmlformats.org/officeDocument/2006/relationships/hyperlink" Target="https://aiforgood.itu.int/multimedia-authenticity/" TargetMode="External"/><Relationship Id="rId196" Type="http://schemas.openxmlformats.org/officeDocument/2006/relationships/hyperlink" Target="https://www.itu.int/md/T25-SG11-260303-TD-GEN-0939/en" TargetMode="External"/><Relationship Id="rId417" Type="http://schemas.openxmlformats.org/officeDocument/2006/relationships/hyperlink" Target="https://www.itu.int/net4/wsis/stocktaking/Prizes/2026" TargetMode="External"/><Relationship Id="rId624" Type="http://schemas.openxmlformats.org/officeDocument/2006/relationships/hyperlink" Target="https://www.youtube.com/watch?v=uB2eLaPDdDc" TargetMode="External"/><Relationship Id="rId263" Type="http://schemas.openxmlformats.org/officeDocument/2006/relationships/hyperlink" Target="https://www.itu.int/en/ITU-T/focusgroups/ai4a/Pages/default.aspx" TargetMode="External"/><Relationship Id="rId470" Type="http://schemas.openxmlformats.org/officeDocument/2006/relationships/hyperlink" Target="https://aiforgood.itu.int/summit23/" TargetMode="External"/><Relationship Id="rId58" Type="http://schemas.openxmlformats.org/officeDocument/2006/relationships/hyperlink" Target="https://www.itu.int/digital-resilience/submarine-cables/events/about-porto-summit/" TargetMode="External"/><Relationship Id="rId123" Type="http://schemas.openxmlformats.org/officeDocument/2006/relationships/hyperlink" Target="https://www.itu.int/itu-d/meetings/wtdc25/wp-content/uploads/sites/29/2025/11/WTDC-25-Declaration.pdf" TargetMode="External"/><Relationship Id="rId330" Type="http://schemas.openxmlformats.org/officeDocument/2006/relationships/hyperlink" Target="https://ituint.sharepoint.com/sites/DocsC2635andPP2620/Shared%20Documents/General/JCA-QKDN" TargetMode="External"/><Relationship Id="rId568" Type="http://schemas.openxmlformats.org/officeDocument/2006/relationships/image" Target="media/image21.png"/><Relationship Id="rId775" Type="http://schemas.openxmlformats.org/officeDocument/2006/relationships/hyperlink" Target="https://www.itu.int/en/ITU-T/focusgroups/ai4ndm/Documents/Deliverables/FG-AI4NDM%20WG-MODELING%20-%20AI%20for%20Modeling.pdf" TargetMode="External"/><Relationship Id="rId428" Type="http://schemas.openxmlformats.org/officeDocument/2006/relationships/hyperlink" Target="https://www.itu.int/en/itu-wsis/Pages/Contribution.aspx" TargetMode="External"/><Relationship Id="rId635" Type="http://schemas.openxmlformats.org/officeDocument/2006/relationships/hyperlink" Target="https://aiforgood.itu.int/robotics-for-good-youth-challenge/" TargetMode="External"/><Relationship Id="rId274" Type="http://schemas.openxmlformats.org/officeDocument/2006/relationships/hyperlink" Target="https://aiforgood.itu.int/young-ai-leaders-community/" TargetMode="External"/><Relationship Id="rId481" Type="http://schemas.openxmlformats.org/officeDocument/2006/relationships/hyperlink" Target="https://gss.itu.int/" TargetMode="External"/><Relationship Id="rId702" Type="http://schemas.openxmlformats.org/officeDocument/2006/relationships/hyperlink" Target="https://www.itu.int/initiatives/green-digital-action/ai-climate-institute/" TargetMode="External"/><Relationship Id="rId69" Type="http://schemas.openxmlformats.org/officeDocument/2006/relationships/hyperlink" Target="https://www.itu.int/en/council/Documents/basic-texts-2023/RES-071-F.pdf" TargetMode="External"/><Relationship Id="rId134" Type="http://schemas.openxmlformats.org/officeDocument/2006/relationships/hyperlink" Target="https://www.itu.int/md/meetingdoc.asp?lang=en&amp;parent=D22-WTDC25-INF-0008" TargetMode="External"/><Relationship Id="rId579" Type="http://schemas.openxmlformats.org/officeDocument/2006/relationships/hyperlink" Target="https://www.itu.int/en/ITU-D/Cybersecurity/Pages/Women-in-Cyber/Women-in-Cyber-Mentorship-Programme.aspx" TargetMode="External"/><Relationship Id="rId786" Type="http://schemas.openxmlformats.org/officeDocument/2006/relationships/hyperlink" Target="https://www.itu.int/en/ITU-T/focusgroups/ai4h/Pages/default.aspx" TargetMode="External"/><Relationship Id="rId341" Type="http://schemas.openxmlformats.org/officeDocument/2006/relationships/hyperlink" Target="https://aiforgood.itu.int/the-future-leaders-in-quantum-hackathon/" TargetMode="External"/><Relationship Id="rId439" Type="http://schemas.openxmlformats.org/officeDocument/2006/relationships/hyperlink" Target="https://publicadministration.desa.un.org/wsis20" TargetMode="External"/><Relationship Id="rId646" Type="http://schemas.openxmlformats.org/officeDocument/2006/relationships/hyperlink" Target="https://www.itu.int/en/ITU-D/Digital-Inclusion/Pages/ICT-digital-accessibility/toolkits/towards-building-inclusive-digital-communities/2023/default.aspx" TargetMode="External"/><Relationship Id="rId201" Type="http://schemas.openxmlformats.org/officeDocument/2006/relationships/image" Target="media/image15.png"/><Relationship Id="rId285" Type="http://schemas.openxmlformats.org/officeDocument/2006/relationships/hyperlink" Target="https://aiforgood.itu.int/robotics-for-good-youth-challenge/" TargetMode="External"/><Relationship Id="rId506" Type="http://schemas.openxmlformats.org/officeDocument/2006/relationships/hyperlink" Target="https://www.itu.int/en/ITU-T/academia/kaleidoscope/Pages/default.aspx" TargetMode="External"/><Relationship Id="rId492" Type="http://schemas.openxmlformats.org/officeDocument/2006/relationships/hyperlink" Target="https://www.itu.int/itu-d/meetings/gsr-24/wp-content/uploads/sites/24/2024/08/GSR-2024_BestPracticeGuidelines.pdf" TargetMode="External"/><Relationship Id="rId713" Type="http://schemas.openxmlformats.org/officeDocument/2006/relationships/hyperlink" Target="https://www.broadbandcommission.org/advocacy-targets/" TargetMode="External"/><Relationship Id="rId797" Type="http://schemas.openxmlformats.org/officeDocument/2006/relationships/hyperlink" Target="https://www.itu.int/md/S25-CL-C-0055/fr" TargetMode="External"/><Relationship Id="rId145" Type="http://schemas.openxmlformats.org/officeDocument/2006/relationships/hyperlink" Target="https://www.itu.int/itu-d/reports/statistics/2025/10/15/ff25-mobile-network-coverage/" TargetMode="External"/><Relationship Id="rId352" Type="http://schemas.openxmlformats.org/officeDocument/2006/relationships/hyperlink" Target="https://www.itu.int/metaverse/un-virtual-worlds-day/thinkathon/" TargetMode="External"/><Relationship Id="rId212" Type="http://schemas.openxmlformats.org/officeDocument/2006/relationships/hyperlink" Target="https://www.itu.int/en/ITU-T/gap/Documents/nss-rep-may.pdf" TargetMode="External"/><Relationship Id="rId657" Type="http://schemas.openxmlformats.org/officeDocument/2006/relationships/hyperlink" Target="https://www.itu.int/net4/itu-t/search" TargetMode="External"/><Relationship Id="rId296" Type="http://schemas.openxmlformats.org/officeDocument/2006/relationships/hyperlink" Target="https://www.itu.int/pub/S-GEN-UNACT-2024" TargetMode="External"/><Relationship Id="rId517" Type="http://schemas.openxmlformats.org/officeDocument/2006/relationships/hyperlink" Target="https://www.itu.int/fr/ITU-R/seminars/Pages/default.aspx" TargetMode="External"/><Relationship Id="rId724" Type="http://schemas.openxmlformats.org/officeDocument/2006/relationships/hyperlink" Target="https://www.equalsintech.org/" TargetMode="External"/><Relationship Id="rId60" Type="http://schemas.openxmlformats.org/officeDocument/2006/relationships/hyperlink" Target="https://pp.itu.int/2026/en/" TargetMode="External"/><Relationship Id="rId156" Type="http://schemas.openxmlformats.org/officeDocument/2006/relationships/image" Target="media/image8.png"/><Relationship Id="rId363" Type="http://schemas.openxmlformats.org/officeDocument/2006/relationships/hyperlink" Target="https://u4ssc.itu.int/" TargetMode="External"/><Relationship Id="rId570" Type="http://schemas.openxmlformats.org/officeDocument/2006/relationships/hyperlink" Target="https://www.itu.int/md/S25-CL-C-0105/fr" TargetMode="External"/><Relationship Id="rId223" Type="http://schemas.openxmlformats.org/officeDocument/2006/relationships/hyperlink" Target="https://www.itu.int/en/ITU-D/Cybersecurity/Pages/Skills-Development/Her-CyberTracks.aspx" TargetMode="External"/><Relationship Id="rId430" Type="http://schemas.openxmlformats.org/officeDocument/2006/relationships/hyperlink" Target="https://www.itu.int/en/itu-wsis/Pages/Contribution.aspx" TargetMode="External"/><Relationship Id="rId668" Type="http://schemas.openxmlformats.org/officeDocument/2006/relationships/hyperlink" Target="https://www.itu.int/pub/R-RES-R.67/fr" TargetMode="External"/><Relationship Id="rId18" Type="http://schemas.openxmlformats.org/officeDocument/2006/relationships/hyperlink" Target="https://pp.itu.int/2022/en/" TargetMode="External"/><Relationship Id="rId528" Type="http://schemas.openxmlformats.org/officeDocument/2006/relationships/hyperlink" Target="https://www.itu.int/en/ITU-R/seminars/rrs/rrs-22-ee/Pages/default.aspx" TargetMode="External"/><Relationship Id="rId735" Type="http://schemas.openxmlformats.org/officeDocument/2006/relationships/hyperlink" Target="https://giga.global/" TargetMode="External"/><Relationship Id="rId167" Type="http://schemas.openxmlformats.org/officeDocument/2006/relationships/hyperlink" Target="https://www.itu.int/itu-d/reports/statistics/2025/10/15/ff25-internet-use-in-urban-and-rural-areas/" TargetMode="External"/><Relationship Id="rId374" Type="http://schemas.openxmlformats.org/officeDocument/2006/relationships/hyperlink" Target="https://datahub.itu.int/" TargetMode="External"/><Relationship Id="rId581" Type="http://schemas.openxmlformats.org/officeDocument/2006/relationships/hyperlink" Target="https://www.equalsintech.org/her-digital-skills" TargetMode="External"/><Relationship Id="rId71" Type="http://schemas.openxmlformats.org/officeDocument/2006/relationships/hyperlink" Target="https://www.itu.int/en/council/Documents/basic-texts-2023/DEC-005-F.pdf" TargetMode="External"/><Relationship Id="rId234" Type="http://schemas.openxmlformats.org/officeDocument/2006/relationships/hyperlink" Target="https://www.itu.int/en/ITU-D/Cybersecurity/Pages/Skills-Development/Her-CyberTracks.aspx" TargetMode="External"/><Relationship Id="rId679" Type="http://schemas.openxmlformats.org/officeDocument/2006/relationships/hyperlink" Target="https://www.itu.int/pub/D-PHCB-DIG_AGE-2021/fr" TargetMode="External"/><Relationship Id="rId802" Type="http://schemas.openxmlformats.org/officeDocument/2006/relationships/hyperlink" Target="https://www.itu.int/net4/Search/CL26/Main/Reader" TargetMode="External"/><Relationship Id="rId2" Type="http://schemas.openxmlformats.org/officeDocument/2006/relationships/numbering" Target="numbering.xml"/><Relationship Id="rId29" Type="http://schemas.openxmlformats.org/officeDocument/2006/relationships/hyperlink" Target="https://www.itu.int/en/ITU-T/jca/mv/Pages/default.aspx" TargetMode="External"/><Relationship Id="rId441" Type="http://schemas.openxmlformats.org/officeDocument/2006/relationships/hyperlink" Target="https://www.itu.int/en/itu-wsis/Documents/WSIS20/WSIS+20Report.pdf" TargetMode="External"/><Relationship Id="rId539" Type="http://schemas.openxmlformats.org/officeDocument/2006/relationships/hyperlink" Target="https://www.itu.int/en/ITU-R/seminars/Fixed-Wireless-Service/Pages/default.aspx" TargetMode="External"/><Relationship Id="rId746" Type="http://schemas.openxmlformats.org/officeDocument/2006/relationships/hyperlink" Target="https://www.itu.int/cities/dt-digest/" TargetMode="External"/><Relationship Id="rId178" Type="http://schemas.openxmlformats.org/officeDocument/2006/relationships/hyperlink" Target="https://www.itu.int/hub/publication/r-reg-rr5-2020/" TargetMode="External"/><Relationship Id="rId301" Type="http://schemas.openxmlformats.org/officeDocument/2006/relationships/hyperlink" Target="https://unsceb.org/sites/default/files/2022-09/Principles%20for%20the%20Ethical%20Use%20of%20AI%20in%20the%20UN%20System_1.pdf" TargetMode="External"/><Relationship Id="rId82" Type="http://schemas.openxmlformats.org/officeDocument/2006/relationships/hyperlink" Target="https://www.itu.int/en/publications/ITU-R/pages/publications.aspx?parent=R-ACT-WRC.16-2024&amp;media=electronic" TargetMode="External"/><Relationship Id="rId385" Type="http://schemas.openxmlformats.org/officeDocument/2006/relationships/hyperlink" Target="https://academy.itu.int/" TargetMode="External"/><Relationship Id="rId592" Type="http://schemas.openxmlformats.org/officeDocument/2006/relationships/hyperlink" Target="https://www.itu.int/now4wrc/" TargetMode="External"/><Relationship Id="rId606" Type="http://schemas.openxmlformats.org/officeDocument/2006/relationships/hyperlink" Target="https://www.itu.int/initiatives/gender-equality/network-of-women/network-of-women-ministers-and-leaders-in-ict/" TargetMode="External"/><Relationship Id="rId245" Type="http://schemas.openxmlformats.org/officeDocument/2006/relationships/hyperlink" Target="https://www.itu.int/metaverse/virtual-worlds/" TargetMode="External"/><Relationship Id="rId452" Type="http://schemas.openxmlformats.org/officeDocument/2006/relationships/hyperlink" Target="https://www.itu.int/net4/wsis/ungis/Articles/View/2239" TargetMode="External"/><Relationship Id="rId105" Type="http://schemas.openxmlformats.org/officeDocument/2006/relationships/hyperlink" Target="https://www.itu.int/wtsa/2024/" TargetMode="External"/><Relationship Id="rId312" Type="http://schemas.openxmlformats.org/officeDocument/2006/relationships/hyperlink" Target="https://www.itu.int/epublications/publication/the-annual-ai-governance-report-2025-steering-the-future-of-ai" TargetMode="External"/><Relationship Id="rId757" Type="http://schemas.openxmlformats.org/officeDocument/2006/relationships/hyperlink" Target="https://www.itu.int/en/ITU-T/extcoop/cits/Pages/related-events.aspx" TargetMode="External"/><Relationship Id="rId93" Type="http://schemas.openxmlformats.org/officeDocument/2006/relationships/hyperlink" Target="https://www.itu.int/pub/R-RES-R.56" TargetMode="External"/><Relationship Id="rId189" Type="http://schemas.openxmlformats.org/officeDocument/2006/relationships/hyperlink" Target="https://www.itu.int/pub/T-SP/fr" TargetMode="External"/><Relationship Id="rId396" Type="http://schemas.openxmlformats.org/officeDocument/2006/relationships/hyperlink" Target="https://academy.itu.int/itu-d/projects-activities/research-publications/digital-skills-toolkit" TargetMode="External"/><Relationship Id="rId617" Type="http://schemas.openxmlformats.org/officeDocument/2006/relationships/hyperlink" Target="https://www.itu.int/generationconnect/generation-connect-at-ldc5/" TargetMode="External"/><Relationship Id="rId256" Type="http://schemas.openxmlformats.org/officeDocument/2006/relationships/hyperlink" Target="https://aiforgood.itu.int/ai-for-food-systems/" TargetMode="External"/><Relationship Id="rId463" Type="http://schemas.openxmlformats.org/officeDocument/2006/relationships/hyperlink" Target="https://www.itu.int/en/ITU-D/Statistics/Pages/intlcoop/partnership/default.aspx" TargetMode="External"/><Relationship Id="rId670" Type="http://schemas.openxmlformats.org/officeDocument/2006/relationships/hyperlink" Target="https://www.itu.int/pub/R-REP-SM.2153/fr" TargetMode="External"/><Relationship Id="rId116" Type="http://schemas.openxmlformats.org/officeDocument/2006/relationships/hyperlink" Target="https://www.itu.int/wtsa/2024/candidates/" TargetMode="External"/><Relationship Id="rId323" Type="http://schemas.openxmlformats.org/officeDocument/2006/relationships/hyperlink" Target="https://www.itu.int/en/ITU-T/studygroups/2025-2028/17/Pages/default.aspx" TargetMode="External"/><Relationship Id="rId530" Type="http://schemas.openxmlformats.org/officeDocument/2006/relationships/hyperlink" Target="https://www.itu.int/en/ITU-R/seminars/rrs/RRS-23-Americas/Pages/default.aspx" TargetMode="External"/><Relationship Id="rId768" Type="http://schemas.openxmlformats.org/officeDocument/2006/relationships/hyperlink" Target="https://aiforgood.itu.int/ai-standards-exchange/" TargetMode="External"/><Relationship Id="rId20" Type="http://schemas.openxmlformats.org/officeDocument/2006/relationships/hyperlink" Target="https://www.itu.int/ra-23/" TargetMode="External"/><Relationship Id="rId628" Type="http://schemas.openxmlformats.org/officeDocument/2006/relationships/hyperlink" Target="https://www.itu.int/generationconnect/empower/generation-connect-young-leadership-programme-in-partnership-with-huawei-v2/" TargetMode="External"/><Relationship Id="rId267" Type="http://schemas.openxmlformats.org/officeDocument/2006/relationships/hyperlink" Target="https://aiforgood.itu.int/ai-for-food-systems/" TargetMode="External"/><Relationship Id="rId474" Type="http://schemas.openxmlformats.org/officeDocument/2006/relationships/hyperlink" Target="https://aiforgood.itu.int/summit24/" TargetMode="External"/><Relationship Id="rId127" Type="http://schemas.openxmlformats.org/officeDocument/2006/relationships/hyperlink" Target="https://www.itu.int/en/ITU-D/Pages/regional-initiatives-2026-2029.aspx" TargetMode="External"/><Relationship Id="rId681" Type="http://schemas.openxmlformats.org/officeDocument/2006/relationships/hyperlink" Target="https://www.itu.int/cities/wp-content/uploads/2023/04/The-role-of-Digital-Technologies-in-Aging-and-Health.pdf" TargetMode="External"/><Relationship Id="rId779" Type="http://schemas.openxmlformats.org/officeDocument/2006/relationships/hyperlink" Target="https://www.itu.int/en/ITU-T/extcoop/ai4resilience/Pages/default.aspx" TargetMode="External"/><Relationship Id="rId31" Type="http://schemas.openxmlformats.org/officeDocument/2006/relationships/hyperlink" Target="https://www.itu.int/cities/year-in-review-2023/fg-ai4a/" TargetMode="External"/><Relationship Id="rId334" Type="http://schemas.openxmlformats.org/officeDocument/2006/relationships/hyperlink" Target="https://aiforgood.itu.int/search-result-programme/?keyword=&amp;category=802&amp;event-venue=&amp;enddate=&amp;startdate=" TargetMode="External"/><Relationship Id="rId541" Type="http://schemas.openxmlformats.org/officeDocument/2006/relationships/hyperlink" Target="https://www.itu.int/en/ITU-D/Regional-Presence/Africa/Pages/EVENTS/2024/SADC-NETP-EW4All-Workshop.aspx" TargetMode="External"/><Relationship Id="rId639" Type="http://schemas.openxmlformats.org/officeDocument/2006/relationships/hyperlink" Target="https://www.itu.int/itu-d/sites/digital-inclusion-accessibility-for-all/" TargetMode="External"/><Relationship Id="rId180" Type="http://schemas.openxmlformats.org/officeDocument/2006/relationships/hyperlink" Target="https://www.itu.int/ITU-R/BR-GeoCatalogue/?.language=fr" TargetMode="External"/><Relationship Id="rId278" Type="http://schemas.openxmlformats.org/officeDocument/2006/relationships/hyperlink" Target="https://www.itu.int/md/S25-SG-CIR-0052/en" TargetMode="External"/><Relationship Id="rId401" Type="http://schemas.openxmlformats.org/officeDocument/2006/relationships/image" Target="media/image20.png"/><Relationship Id="rId485" Type="http://schemas.openxmlformats.org/officeDocument/2006/relationships/hyperlink" Target="https://www.itu.int/en/ITU-D/Conferences/GSR/Pages/GSR.aspx" TargetMode="External"/><Relationship Id="rId692" Type="http://schemas.openxmlformats.org/officeDocument/2006/relationships/hyperlink" Target="https://www.itu.int/hub/publication/s-gen-gda-001-2025/" TargetMode="External"/><Relationship Id="rId706" Type="http://schemas.openxmlformats.org/officeDocument/2006/relationships/hyperlink" Target="https://www.itu.int/initiatives/green-digital-action/events/all/green-digital-action-summit-2025/" TargetMode="External"/><Relationship Id="rId42" Type="http://schemas.openxmlformats.org/officeDocument/2006/relationships/hyperlink" Target="https://www.itu.int/itu-d/meetings/digital-skills-forum/" TargetMode="External"/><Relationship Id="rId138" Type="http://schemas.openxmlformats.org/officeDocument/2006/relationships/image" Target="media/image2.png"/><Relationship Id="rId345" Type="http://schemas.openxmlformats.org/officeDocument/2006/relationships/hyperlink" Target="https://www.itu.int/metaverse/5th-forum-metaverse/" TargetMode="External"/><Relationship Id="rId552" Type="http://schemas.openxmlformats.org/officeDocument/2006/relationships/hyperlink" Target="https://www.itu.int/Global-ITU-WMO/" TargetMode="External"/><Relationship Id="rId191" Type="http://schemas.openxmlformats.org/officeDocument/2006/relationships/hyperlink" Target="https://www.itu.int/fr/ITU-T/publications/Pages/recs.aspx" TargetMode="External"/><Relationship Id="rId205" Type="http://schemas.openxmlformats.org/officeDocument/2006/relationships/hyperlink" Target="https://www.itu.int/bsg/training-modules/" TargetMode="External"/><Relationship Id="rId412" Type="http://schemas.openxmlformats.org/officeDocument/2006/relationships/hyperlink" Target="https://www.itu.int/itu-d/meetings/wtdc25/wp-content/uploads/sites/29/2025/11/090-E.pdf" TargetMode="External"/><Relationship Id="rId289" Type="http://schemas.openxmlformats.org/officeDocument/2006/relationships/hyperlink" Target="https://www.itu.int/en/ITU-D/Emergency-Telecommunications/Pages/AI-Sub-Group-EW4All-.aspx" TargetMode="External"/><Relationship Id="rId496" Type="http://schemas.openxmlformats.org/officeDocument/2006/relationships/hyperlink" Target="https://www.itu.int/en/journal/j-fet/Pages/default.aspx" TargetMode="External"/><Relationship Id="rId717" Type="http://schemas.openxmlformats.org/officeDocument/2006/relationships/hyperlink" Target="https://www.broadbandcommission.org/advocacy-targets/" TargetMode="External"/><Relationship Id="rId53" Type="http://schemas.openxmlformats.org/officeDocument/2006/relationships/hyperlink" Target="https://www.itu.int/partner2connect/" TargetMode="External"/><Relationship Id="rId149" Type="http://schemas.openxmlformats.org/officeDocument/2006/relationships/hyperlink" Target="https://datahub.itu.int/data/?e=KAZ&amp;i=36056" TargetMode="External"/><Relationship Id="rId356" Type="http://schemas.openxmlformats.org/officeDocument/2006/relationships/hyperlink" Target="https://www.itu.int/en/ITU-T/techwatch/Pages/internetofthings.aspx" TargetMode="External"/><Relationship Id="rId563" Type="http://schemas.openxmlformats.org/officeDocument/2006/relationships/hyperlink" Target="https://www.itu.int/md/S22-PP-C-0094" TargetMode="External"/><Relationship Id="rId770" Type="http://schemas.openxmlformats.org/officeDocument/2006/relationships/hyperlink" Target="https://dcm.itu.int/" TargetMode="External"/><Relationship Id="rId216" Type="http://schemas.openxmlformats.org/officeDocument/2006/relationships/hyperlink" Target="https://www.itu.int/fr/ITU-T/C-I/Pages/default.aspx" TargetMode="External"/><Relationship Id="rId423" Type="http://schemas.openxmlformats.org/officeDocument/2006/relationships/hyperlink" Target="https://www.itu.int/pub/R-RES-R.61" TargetMode="External"/><Relationship Id="rId630" Type="http://schemas.openxmlformats.org/officeDocument/2006/relationships/hyperlink" Target="https://www.itu.int/generationconnect/empower/generation-connect-young-leadership-programme-in-partnership-with-huawei-v2/" TargetMode="External"/><Relationship Id="rId728" Type="http://schemas.openxmlformats.org/officeDocument/2006/relationships/hyperlink" Target="https://www.equalsintech.org/research" TargetMode="External"/><Relationship Id="rId64" Type="http://schemas.openxmlformats.org/officeDocument/2006/relationships/hyperlink" Target="https://www.itu.int/en/council/Documents/basic-texts-2023/RES-071-F.pdf" TargetMode="External"/><Relationship Id="rId367" Type="http://schemas.openxmlformats.org/officeDocument/2006/relationships/hyperlink" Target="https://www.itu.int/cities/digitaltransformationdialogues/" TargetMode="External"/><Relationship Id="rId574" Type="http://schemas.openxmlformats.org/officeDocument/2006/relationships/image" Target="media/image22.png"/><Relationship Id="rId227" Type="http://schemas.openxmlformats.org/officeDocument/2006/relationships/hyperlink" Target="https://www.itu.int/digital-resilience/submarine-cables/events/about-porto-summit/" TargetMode="External"/><Relationship Id="rId781" Type="http://schemas.openxmlformats.org/officeDocument/2006/relationships/hyperlink" Target="https://www.itu.int/en/ITU-T/focusgroups/ai4a/Pages/events.aspx" TargetMode="External"/><Relationship Id="rId434" Type="http://schemas.openxmlformats.org/officeDocument/2006/relationships/hyperlink" Target="https://www.itu.int/net4/wsis/forum/2026/fr" TargetMode="External"/><Relationship Id="rId641" Type="http://schemas.openxmlformats.org/officeDocument/2006/relationships/hyperlink" Target="https://www.itu.int/en/ITU-D/Regional-Presence/Americas/Pages/EVENTS/2022/AA-2022.aspx" TargetMode="External"/><Relationship Id="rId739" Type="http://schemas.openxmlformats.org/officeDocument/2006/relationships/hyperlink" Target="https://www.itu.int/un-virtual-worlds-day/2025/" TargetMode="External"/><Relationship Id="rId280" Type="http://schemas.openxmlformats.org/officeDocument/2006/relationships/hyperlink" Target="https://academy.itu.int/" TargetMode="External"/><Relationship Id="rId501" Type="http://schemas.openxmlformats.org/officeDocument/2006/relationships/hyperlink" Target="https://www.itu.int/en/journal/j-fet/Pages/default.aspx" TargetMode="External"/><Relationship Id="rId75" Type="http://schemas.openxmlformats.org/officeDocument/2006/relationships/hyperlink" Target="https://www.itu.int/en/council/Documents/basic-texts-2023/DEC-005-E.pdf" TargetMode="External"/><Relationship Id="rId140" Type="http://schemas.openxmlformats.org/officeDocument/2006/relationships/hyperlink" Target="https://www.itu.int/highlights-report-activities/connect2030-agenda/" TargetMode="External"/><Relationship Id="rId182" Type="http://schemas.openxmlformats.org/officeDocument/2006/relationships/hyperlink" Target="https://www.itu.int/epublications/brific-space/es/home/index" TargetMode="External"/><Relationship Id="rId378" Type="http://schemas.openxmlformats.org/officeDocument/2006/relationships/hyperlink" Target="https://www.itu.int/en/ITU-D/Statistics/Pages/bigdata/default.aspx" TargetMode="External"/><Relationship Id="rId403" Type="http://schemas.openxmlformats.org/officeDocument/2006/relationships/hyperlink" Target="https://www.itu.int/itu-d/sites/projects/home/projects/" TargetMode="External"/><Relationship Id="rId585" Type="http://schemas.openxmlformats.org/officeDocument/2006/relationships/hyperlink" Target="https://www.equalsintech.org/post/evidence-to-impact-advancing-gender-empowerment-in-the-digital-age" TargetMode="External"/><Relationship Id="rId750" Type="http://schemas.openxmlformats.org/officeDocument/2006/relationships/hyperlink" Target="https://www.itu.int/en/ITU-T/extcoop/cits/Pages/default.aspx" TargetMode="External"/><Relationship Id="rId792" Type="http://schemas.openxmlformats.org/officeDocument/2006/relationships/hyperlink" Target="https://social.desa.un.org/fr/world-summit-2025/documents/declaration-politique-de-doha-de-la-sommet-mondial-pour-le" TargetMode="External"/><Relationship Id="rId806" Type="http://schemas.openxmlformats.org/officeDocument/2006/relationships/header" Target="header2.xml"/><Relationship Id="rId6" Type="http://schemas.openxmlformats.org/officeDocument/2006/relationships/footnotes" Target="footnotes.xml"/><Relationship Id="rId238" Type="http://schemas.openxmlformats.org/officeDocument/2006/relationships/hyperlink" Target="https://www.itu.int/en/ITU-D/Cybersecurity/Pages/COP/COP%20Industry%20Connect/COP-Industry-Connect.aspx" TargetMode="External"/><Relationship Id="rId445" Type="http://schemas.openxmlformats.org/officeDocument/2006/relationships/hyperlink" Target="https://www.itu.int/en/itu-wsis/Pages/CWG-WSIS%26SDG_Call_for_Inputs_2025.aspx" TargetMode="External"/><Relationship Id="rId487" Type="http://schemas.openxmlformats.org/officeDocument/2006/relationships/hyperlink" Target="https://www.itu.int/en/ITU-D/Conferences/GSR/Pages/GSR.aspx" TargetMode="External"/><Relationship Id="rId610" Type="http://schemas.openxmlformats.org/officeDocument/2006/relationships/hyperlink" Target="https://www.itu.int/md/S23-CL-C-0006/fr" TargetMode="External"/><Relationship Id="rId652" Type="http://schemas.openxmlformats.org/officeDocument/2006/relationships/hyperlink" Target="https://www.youtube.com/watch?v=QHgdiGdzb6E" TargetMode="External"/><Relationship Id="rId694" Type="http://schemas.openxmlformats.org/officeDocument/2006/relationships/hyperlink" Target="https://www.itu.int/partner2connect/" TargetMode="External"/><Relationship Id="rId708" Type="http://schemas.openxmlformats.org/officeDocument/2006/relationships/hyperlink" Target="https://www.itu.int/initiatives/sdgdigital/" TargetMode="External"/><Relationship Id="rId291" Type="http://schemas.openxmlformats.org/officeDocument/2006/relationships/hyperlink" Target="https://www.itu.int/en/ITU-D/Regional-Presence/AsiaPacific/Pages/Projects/AI%20Technology%20and%20Standards%20Capacity%20Building%20in%20Asia%20Pacific/Artificial-Intelligence-Technology-and-Standards-Capacity-Building-in-Asia-Pacific-.aspx" TargetMode="External"/><Relationship Id="rId305" Type="http://schemas.openxmlformats.org/officeDocument/2006/relationships/hyperlink" Target="https://docs.un.org/en/A/RES/79/325" TargetMode="External"/><Relationship Id="rId347" Type="http://schemas.openxmlformats.org/officeDocument/2006/relationships/hyperlink" Target="https://www.itu.int/metaverse/5th-forum-metaverse/" TargetMode="External"/><Relationship Id="rId512" Type="http://schemas.openxmlformats.org/officeDocument/2006/relationships/hyperlink" Target="https://www.itu.int/en/ITU-T/academia/kaleidoscope/2022/Pages/default.aspx" TargetMode="External"/><Relationship Id="rId44" Type="http://schemas.openxmlformats.org/officeDocument/2006/relationships/hyperlink" Target="https://www.itu.int/net4/wsis/forum/2026/fr" TargetMode="External"/><Relationship Id="rId86" Type="http://schemas.openxmlformats.org/officeDocument/2006/relationships/hyperlink" Target="https://www.itu.int/ra-23/" TargetMode="External"/><Relationship Id="rId151" Type="http://schemas.openxmlformats.org/officeDocument/2006/relationships/hyperlink" Target="https://datahub.itu.int/data/?e=KAZ&amp;i=36056" TargetMode="External"/><Relationship Id="rId389" Type="http://schemas.openxmlformats.org/officeDocument/2006/relationships/hyperlink" Target="https://academy.itu.int/itu-d/projects-activities/itu-academy-training-centres" TargetMode="External"/><Relationship Id="rId554" Type="http://schemas.openxmlformats.org/officeDocument/2006/relationships/hyperlink" Target="https://www.itu.int/en/ITU-T/Workshops-and-Seminars/pages/default.aspx" TargetMode="External"/><Relationship Id="rId596" Type="http://schemas.openxmlformats.org/officeDocument/2006/relationships/hyperlink" Target="https://www.itu.int/wtsa/2024/now/about/" TargetMode="External"/><Relationship Id="rId761" Type="http://schemas.openxmlformats.org/officeDocument/2006/relationships/hyperlink" Target="https://www.worldstandardscooperation.org/what-we-do/world-standards-day/" TargetMode="External"/><Relationship Id="rId193" Type="http://schemas.openxmlformats.org/officeDocument/2006/relationships/hyperlink" Target="https://www.itu.int/tdata/pubs/" TargetMode="External"/><Relationship Id="rId207" Type="http://schemas.openxmlformats.org/officeDocument/2006/relationships/hyperlink" Target="https://www.itu.int/pub/T-RES-T.107-2024/fr" TargetMode="External"/><Relationship Id="rId249" Type="http://schemas.openxmlformats.org/officeDocument/2006/relationships/hyperlink" Target="https://www.itu.int/en/action/ai/Pages/default.aspx" TargetMode="External"/><Relationship Id="rId414" Type="http://schemas.openxmlformats.org/officeDocument/2006/relationships/hyperlink" Target="https://www.itu.int/pub/R-RES-R.61" TargetMode="External"/><Relationship Id="rId456" Type="http://schemas.openxmlformats.org/officeDocument/2006/relationships/hyperlink" Target="https://docs.un.org/en/E/RES/2025/18" TargetMode="External"/><Relationship Id="rId498" Type="http://schemas.openxmlformats.org/officeDocument/2006/relationships/hyperlink" Target="https://www.itu.int/hub/2025/09/new-itu-academic-collaboration-on-technology-trends/" TargetMode="External"/><Relationship Id="rId621" Type="http://schemas.openxmlformats.org/officeDocument/2006/relationships/hyperlink" Target="https://academy.itu.int/training-courses/full-catalogue/generation-connect-digital-learning" TargetMode="External"/><Relationship Id="rId663" Type="http://schemas.openxmlformats.org/officeDocument/2006/relationships/hyperlink" Target="https://www.itu.int/en/ITU-T/focusgroups/ai4h/Pages/default.aspx" TargetMode="External"/><Relationship Id="rId13" Type="http://schemas.openxmlformats.org/officeDocument/2006/relationships/hyperlink" Target="https://www.itu.int/en/council/Documents/basic-texts/RES-071-F.pdf" TargetMode="External"/><Relationship Id="rId109" Type="http://schemas.openxmlformats.org/officeDocument/2006/relationships/hyperlink" Target="https://www.itu.int/fr/ITU-T/studygroups/2022-2024/09/Pages/default.aspx" TargetMode="External"/><Relationship Id="rId260" Type="http://schemas.openxmlformats.org/officeDocument/2006/relationships/hyperlink" Target="https://www.worldstandardscooperation.org/" TargetMode="External"/><Relationship Id="rId316" Type="http://schemas.openxmlformats.org/officeDocument/2006/relationships/hyperlink" Target="https://www.itu.int/en/ITU-T/studygroups/2025-2028/13/Pages/default.aspx" TargetMode="External"/><Relationship Id="rId523" Type="http://schemas.openxmlformats.org/officeDocument/2006/relationships/hyperlink" Target="https://www.itu.int/en/ITU-R/seminars/rrs/rrs-24-cis/Pages/default.aspx" TargetMode="External"/><Relationship Id="rId719" Type="http://schemas.openxmlformats.org/officeDocument/2006/relationships/hyperlink" Target="https://www.equalsintech.org/" TargetMode="External"/><Relationship Id="rId55" Type="http://schemas.openxmlformats.org/officeDocument/2006/relationships/hyperlink" Target="https://www.broadbandcommission.org/" TargetMode="External"/><Relationship Id="rId97" Type="http://schemas.openxmlformats.org/officeDocument/2006/relationships/hyperlink" Target="https://www.itu.int/pub/R-RES-R.74/fr" TargetMode="External"/><Relationship Id="rId120" Type="http://schemas.openxmlformats.org/officeDocument/2006/relationships/hyperlink" Target="https://www.itu.int/rec/dologin_pub.asp?lang=e&amp;id=T-REC-A.25-202410-I!!PDF-E&amp;type=items" TargetMode="External"/><Relationship Id="rId358" Type="http://schemas.openxmlformats.org/officeDocument/2006/relationships/image" Target="media/image16.jpeg"/><Relationship Id="rId565" Type="http://schemas.openxmlformats.org/officeDocument/2006/relationships/hyperlink" Target="https://www.itu.int/women-and-girls/girls-in-ict/international-girls-in-ict-day-2026/overview/" TargetMode="External"/><Relationship Id="rId730" Type="http://schemas.openxmlformats.org/officeDocument/2006/relationships/hyperlink" Target="https://www.equalsintech.org/e-mentoring" TargetMode="External"/><Relationship Id="rId772" Type="http://schemas.openxmlformats.org/officeDocument/2006/relationships/hyperlink" Target="https://www.itu.int/en/ITU-T/focusgroups/ai4ndm/Pages/default.aspx" TargetMode="External"/><Relationship Id="rId162" Type="http://schemas.openxmlformats.org/officeDocument/2006/relationships/image" Target="media/image11.png"/><Relationship Id="rId218" Type="http://schemas.openxmlformats.org/officeDocument/2006/relationships/hyperlink" Target="https://www.itu.int/en/ITU-D/Cybersecurity/Pages/cybersecurity-national-strategies.aspx" TargetMode="External"/><Relationship Id="rId425" Type="http://schemas.openxmlformats.org/officeDocument/2006/relationships/hyperlink" Target="http://www.wsis.org/stocktaking" TargetMode="External"/><Relationship Id="rId467" Type="http://schemas.openxmlformats.org/officeDocument/2006/relationships/hyperlink" Target="https://aiforgood.itu.int/neural-network/" TargetMode="External"/><Relationship Id="rId632" Type="http://schemas.openxmlformats.org/officeDocument/2006/relationships/hyperlink" Target="https://www.itu.int/md/S24-CL-C-0032/fr" TargetMode="External"/><Relationship Id="rId271" Type="http://schemas.openxmlformats.org/officeDocument/2006/relationships/hyperlink" Target="https://www.worldstandardscooperation.org/" TargetMode="External"/><Relationship Id="rId674" Type="http://schemas.openxmlformats.org/officeDocument/2006/relationships/hyperlink" Target="https://academy.itu.int/training-courses/full-catalogue/formacion-en-herramientas-innovadoras-de-comunicacion-para-el-fortalecimiento-de-las-capacidades-de-2" TargetMode="External"/><Relationship Id="rId24" Type="http://schemas.openxmlformats.org/officeDocument/2006/relationships/hyperlink" Target="https://www.itu.int/wtsa/2024/" TargetMode="External"/><Relationship Id="rId66" Type="http://schemas.openxmlformats.org/officeDocument/2006/relationships/hyperlink" Target="https://www.itu.int/en/council/Documents/basic-texts-2023/RES-071-E.pdf" TargetMode="External"/><Relationship Id="rId131" Type="http://schemas.openxmlformats.org/officeDocument/2006/relationships/hyperlink" Target="https://www.itu.int/md/D22-WTDC25-INF-0008/en" TargetMode="External"/><Relationship Id="rId327" Type="http://schemas.openxmlformats.org/officeDocument/2006/relationships/hyperlink" Target="https://www.itu.int/en/ITU-T/jca/qkdn/Pages/default.aspx" TargetMode="External"/><Relationship Id="rId369" Type="http://schemas.openxmlformats.org/officeDocument/2006/relationships/hyperlink" Target="https://www.itu.int/itu-d/sites/statistics/fr/" TargetMode="External"/><Relationship Id="rId534" Type="http://schemas.openxmlformats.org/officeDocument/2006/relationships/hyperlink" Target="https://www.itu.int/en/ITU-R/conferences/wrc/2023/irwsp/Pages/2023.aspx" TargetMode="External"/><Relationship Id="rId576" Type="http://schemas.openxmlformats.org/officeDocument/2006/relationships/hyperlink" Target="https://www.itu.int/hub/publication/d-phcb-equal-03-2023/" TargetMode="External"/><Relationship Id="rId741" Type="http://schemas.openxmlformats.org/officeDocument/2006/relationships/hyperlink" Target="https://u4ssc.itu.int/u4ssc-kpi/" TargetMode="External"/><Relationship Id="rId783" Type="http://schemas.openxmlformats.org/officeDocument/2006/relationships/hyperlink" Target="https://aiforgood.itu.int/ai-for-food-systems/" TargetMode="External"/><Relationship Id="rId173" Type="http://schemas.openxmlformats.org/officeDocument/2006/relationships/image" Target="media/image14.png"/><Relationship Id="rId229" Type="http://schemas.openxmlformats.org/officeDocument/2006/relationships/hyperlink" Target="https://www.itu.int/en/ITU-D/Cybersecurity/Pages/COP/POP.aspx" TargetMode="External"/><Relationship Id="rId380" Type="http://schemas.openxmlformats.org/officeDocument/2006/relationships/hyperlink" Target="https://www.itu.int/en/ITU-D/Statistics/Pages/capacitydev/default.aspx" TargetMode="External"/><Relationship Id="rId436" Type="http://schemas.openxmlformats.org/officeDocument/2006/relationships/hyperlink" Target="https://www.itu.int/net4/wsis/forum/2023/en" TargetMode="External"/><Relationship Id="rId601" Type="http://schemas.openxmlformats.org/officeDocument/2006/relationships/hyperlink" Target="https://wtisd.itu.int/2025/about/2025-theme/" TargetMode="External"/><Relationship Id="rId643" Type="http://schemas.openxmlformats.org/officeDocument/2006/relationships/hyperlink" Target="https://www.itu.int/net/events/eventdetails.asp?lang=fr&amp;eventid=23284" TargetMode="External"/><Relationship Id="rId240" Type="http://schemas.openxmlformats.org/officeDocument/2006/relationships/hyperlink" Target="https://www.itu.int/fr/ITU-T/publications/Pages/recs.aspx" TargetMode="External"/><Relationship Id="rId478" Type="http://schemas.openxmlformats.org/officeDocument/2006/relationships/hyperlink" Target="https://aiforgood.itu.int/ai-skills-coalition/" TargetMode="External"/><Relationship Id="rId685" Type="http://schemas.openxmlformats.org/officeDocument/2006/relationships/hyperlink" Target="https://www.itu.int/rec/T-REC-L.1061/fr" TargetMode="External"/><Relationship Id="rId35" Type="http://schemas.openxmlformats.org/officeDocument/2006/relationships/hyperlink" Target="https://www.itu.int/itu-d/reports/statistics/facts-figures-2025/" TargetMode="External"/><Relationship Id="rId77" Type="http://schemas.openxmlformats.org/officeDocument/2006/relationships/hyperlink" Target="https://www.itu.int/dms_pub/itu-s/opb/conf/S-CONF-ACTF-2022-PDF-E.pdf" TargetMode="External"/><Relationship Id="rId100" Type="http://schemas.openxmlformats.org/officeDocument/2006/relationships/hyperlink" Target="https://www.itu.int/pub/R-RES-R.74" TargetMode="External"/><Relationship Id="rId282" Type="http://schemas.openxmlformats.org/officeDocument/2006/relationships/hyperlink" Target="https://www.itu.int/itu-d/meetings/wtdc25/wp-content/uploads/sites/29/2025/11/090-E.pdf" TargetMode="External"/><Relationship Id="rId338" Type="http://schemas.openxmlformats.org/officeDocument/2006/relationships/hyperlink" Target="https://aiforgood.itu.int/quantum-for-good/" TargetMode="External"/><Relationship Id="rId503" Type="http://schemas.openxmlformats.org/officeDocument/2006/relationships/hyperlink" Target="https://www.itu.int/en/journal/j-fet/webinars/Pages/default.aspx" TargetMode="External"/><Relationship Id="rId545" Type="http://schemas.openxmlformats.org/officeDocument/2006/relationships/hyperlink" Target="https://www.itu.int/en/ITU-R/study-groups/rsg4/Pages/Workshop-ITU-in-Service-of-Space.aspx" TargetMode="External"/><Relationship Id="rId587" Type="http://schemas.openxmlformats.org/officeDocument/2006/relationships/hyperlink" Target="https://www.itu.int/hub/publication/d-hdb-gender-2023-01/" TargetMode="External"/><Relationship Id="rId710" Type="http://schemas.openxmlformats.org/officeDocument/2006/relationships/hyperlink" Target="https://www.itu.int/initiatives/digital-unga2025/" TargetMode="External"/><Relationship Id="rId752" Type="http://schemas.openxmlformats.org/officeDocument/2006/relationships/hyperlink" Target="https://www.itu.int/en/ITU-T/extcoop/cits/egcomad/Pages/default.aspx" TargetMode="External"/><Relationship Id="rId808" Type="http://schemas.openxmlformats.org/officeDocument/2006/relationships/fontTable" Target="fontTable.xml"/><Relationship Id="rId8" Type="http://schemas.openxmlformats.org/officeDocument/2006/relationships/hyperlink" Target="https://www.itu.int/md/S26-PP-C-0020/fr" TargetMode="External"/><Relationship Id="rId142" Type="http://schemas.openxmlformats.org/officeDocument/2006/relationships/hyperlink" Target="https://www.itu.int/en/ITU-D/Statistics/pages/facts/default.aspx" TargetMode="External"/><Relationship Id="rId184" Type="http://schemas.openxmlformats.org/officeDocument/2006/relationships/hyperlink" Target="https://www.itu.int/ITU-R/BR-GeoCatalogue/?.language=fr" TargetMode="External"/><Relationship Id="rId391" Type="http://schemas.openxmlformats.org/officeDocument/2006/relationships/hyperlink" Target="https://academy.itu.int/digital-skills-communities/digital-transformation-centres-initiative" TargetMode="External"/><Relationship Id="rId405" Type="http://schemas.openxmlformats.org/officeDocument/2006/relationships/hyperlink" Target="https://www.itu.int/itu-d/sites/projects/home/projects/" TargetMode="External"/><Relationship Id="rId447" Type="http://schemas.openxmlformats.org/officeDocument/2006/relationships/hyperlink" Target="https://www.itu.int/en/itu-wsis/Pages/CWG-WSIS%26SDG_Call_for_Inputs_2025.aspx" TargetMode="External"/><Relationship Id="rId612" Type="http://schemas.openxmlformats.org/officeDocument/2006/relationships/hyperlink" Target="https://www.itu.int/generationconnect/wp-content/uploads/2020/11/ITU_Youth_Strategy.pdf" TargetMode="External"/><Relationship Id="rId794" Type="http://schemas.openxmlformats.org/officeDocument/2006/relationships/hyperlink" Target="https://www.un.org/un80-initiative/sites/default/files/2025-11/UN80_Initiative_Action_Plan.pdf" TargetMode="External"/><Relationship Id="rId251" Type="http://schemas.openxmlformats.org/officeDocument/2006/relationships/hyperlink" Target="https://www.itu.int/en/ITU-T/focusgroups/ainn/Pages/default.aspx" TargetMode="External"/><Relationship Id="rId489" Type="http://schemas.openxmlformats.org/officeDocument/2006/relationships/hyperlink" Target="https://www.itu.int/en/ITU-D/Regulatory-Market/Documents/GSR23/GSR-23_Best%20Practice%20Guidelines-F.pdf" TargetMode="External"/><Relationship Id="rId654" Type="http://schemas.openxmlformats.org/officeDocument/2006/relationships/hyperlink" Target="https://www.youtube.com/watch?v=wJmsFRl5x-k" TargetMode="External"/><Relationship Id="rId696" Type="http://schemas.openxmlformats.org/officeDocument/2006/relationships/hyperlink" Target="https://www.itu.int/initiatives/green-digital-action/events/cop30/" TargetMode="External"/><Relationship Id="rId46" Type="http://schemas.openxmlformats.org/officeDocument/2006/relationships/hyperlink" Target="https://aiforgood.itu.int/" TargetMode="External"/><Relationship Id="rId293" Type="http://schemas.openxmlformats.org/officeDocument/2006/relationships/hyperlink" Target="https://www.itu.int/en/action/ai/Pages/UN-inter-agency-working-group-on-AI.aspx" TargetMode="External"/><Relationship Id="rId307" Type="http://schemas.openxmlformats.org/officeDocument/2006/relationships/hyperlink" Target="https://aiforgood.itu.int/" TargetMode="External"/><Relationship Id="rId349" Type="http://schemas.openxmlformats.org/officeDocument/2006/relationships/hyperlink" Target="https://www.itu.int/metaverse/un-virtual-worlds-day/thinkathon/" TargetMode="External"/><Relationship Id="rId514" Type="http://schemas.openxmlformats.org/officeDocument/2006/relationships/hyperlink" Target="https://www.itu.int/en/ITU-T/academia/kaleidoscope/2026/Pages/default.aspx" TargetMode="External"/><Relationship Id="rId556" Type="http://schemas.openxmlformats.org/officeDocument/2006/relationships/hyperlink" Target="https://www.itu.int/en/ITU-T/Workshops-and-Seminars/2022/Pages/default.aspx" TargetMode="External"/><Relationship Id="rId721" Type="http://schemas.openxmlformats.org/officeDocument/2006/relationships/hyperlink" Target="https://www.broadbandcommission.org/working-groups/data-governance/" TargetMode="External"/><Relationship Id="rId763" Type="http://schemas.openxmlformats.org/officeDocument/2006/relationships/hyperlink" Target="https://www.itu.int/initiatives/green-digital-action/events/all/cop29/world-standards-cooperation-paving-the-path-for-sustainability-by-design/" TargetMode="External"/><Relationship Id="rId88" Type="http://schemas.openxmlformats.org/officeDocument/2006/relationships/hyperlink" Target="https://www.itu.int/pub/R-RES-R.1" TargetMode="External"/><Relationship Id="rId111" Type="http://schemas.openxmlformats.org/officeDocument/2006/relationships/hyperlink" Target="https://www.itu.int/en/ITU-T/studygroups/2025-2028/21/Pages/default.aspx" TargetMode="External"/><Relationship Id="rId153" Type="http://schemas.openxmlformats.org/officeDocument/2006/relationships/image" Target="media/image7.png"/><Relationship Id="rId195" Type="http://schemas.openxmlformats.org/officeDocument/2006/relationships/hyperlink" Target="https://www.itu.int/en/gmpcs/Pages/default.aspx" TargetMode="External"/><Relationship Id="rId209" Type="http://schemas.openxmlformats.org/officeDocument/2006/relationships/hyperlink" Target="https://www.itu.int/pub/T-RES-T.32-2024/fr" TargetMode="External"/><Relationship Id="rId360" Type="http://schemas.openxmlformats.org/officeDocument/2006/relationships/hyperlink" Target="https://www.itu.int/ITU-T/recommendations/index_sg.aspx?sg=20" TargetMode="External"/><Relationship Id="rId416" Type="http://schemas.openxmlformats.org/officeDocument/2006/relationships/hyperlink" Target="https://www.itu.int/net4/wsis/stocktaking" TargetMode="External"/><Relationship Id="rId598" Type="http://schemas.openxmlformats.org/officeDocument/2006/relationships/hyperlink" Target="https://www.itu.int/initiatives/gender-equality/network-of-women/network-of-women-ministers-and-leaders-in-ict/" TargetMode="External"/><Relationship Id="rId220" Type="http://schemas.openxmlformats.org/officeDocument/2006/relationships/hyperlink" Target="https://www.itu.int/en/ITU-D/Cybersecurity/Pages/cyberdrills.aspx" TargetMode="External"/><Relationship Id="rId458" Type="http://schemas.openxmlformats.org/officeDocument/2006/relationships/hyperlink" Target="http://www.wsis.org/prizes" TargetMode="External"/><Relationship Id="rId623" Type="http://schemas.openxmlformats.org/officeDocument/2006/relationships/hyperlink" Target="https://www.kofiannanfoundation.org/youth-peace/kofi-annan-changemakers/" TargetMode="External"/><Relationship Id="rId665" Type="http://schemas.openxmlformats.org/officeDocument/2006/relationships/hyperlink" Target="https://www.itu.int/en/ITU-T/studygroups/2025-2028/20/Pages/default.aspx" TargetMode="External"/><Relationship Id="rId15" Type="http://schemas.openxmlformats.org/officeDocument/2006/relationships/hyperlink" Target="https://www.itu.int/en/council/Documents/basic-texts/RES-071-E.pdf" TargetMode="External"/><Relationship Id="rId57" Type="http://schemas.openxmlformats.org/officeDocument/2006/relationships/hyperlink" Target="https://www.itu.int/initiatives/green-digital-action/" TargetMode="External"/><Relationship Id="rId262" Type="http://schemas.openxmlformats.org/officeDocument/2006/relationships/hyperlink" Target="https://www.itu.int/en/ITU-T/focusgroups/ainn/Pages/default.aspx" TargetMode="External"/><Relationship Id="rId318" Type="http://schemas.openxmlformats.org/officeDocument/2006/relationships/hyperlink" Target="https://www.itu.int/rec/T-REC-X.1715/en" TargetMode="External"/><Relationship Id="rId525" Type="http://schemas.openxmlformats.org/officeDocument/2006/relationships/hyperlink" Target="https://www.itu.int/wrs-22/" TargetMode="External"/><Relationship Id="rId567" Type="http://schemas.openxmlformats.org/officeDocument/2006/relationships/hyperlink" Target="https://www.itu.int/itu-d/sites/digital-impact-unlocked/building-digital-capacity-for-the-future-atc-programme-update/" TargetMode="External"/><Relationship Id="rId732" Type="http://schemas.openxmlformats.org/officeDocument/2006/relationships/hyperlink" Target="https://www.equalsintech.org/her-digital-skills" TargetMode="External"/><Relationship Id="rId99" Type="http://schemas.openxmlformats.org/officeDocument/2006/relationships/hyperlink" Target="https://www.itu.int/pub/R-RES-R.73" TargetMode="External"/><Relationship Id="rId122" Type="http://schemas.openxmlformats.org/officeDocument/2006/relationships/hyperlink" Target="https://www.itu.int/itu-d/meetings/wtdc25/" TargetMode="External"/><Relationship Id="rId164" Type="http://schemas.openxmlformats.org/officeDocument/2006/relationships/image" Target="media/image12.png"/><Relationship Id="rId371" Type="http://schemas.openxmlformats.org/officeDocument/2006/relationships/hyperlink" Target="https://www.itu.int/en/ITU-D/Statistics/Pages/definitions/default.aspx" TargetMode="External"/><Relationship Id="rId774" Type="http://schemas.openxmlformats.org/officeDocument/2006/relationships/hyperlink" Target="https://www.itu.int/pub/T-FG-AI4NDM-2023-3/fr" TargetMode="External"/><Relationship Id="rId427" Type="http://schemas.openxmlformats.org/officeDocument/2006/relationships/hyperlink" Target="https://view.officeapps.live.com/op/view.aspx?src=https%3A%2F%2Fwww.itu.int%2Fdms_pub%2Fitu-s%2Fmd%2F26%2Fcwgwsis44%2Fc%2FS26-CWGWSIS44-C-0002!R1!MSW-E.docx&amp;wdOrigin=BROWSELINK" TargetMode="External"/><Relationship Id="rId469" Type="http://schemas.openxmlformats.org/officeDocument/2006/relationships/hyperlink" Target="https://aiforgood.itu.int/neural-network/" TargetMode="External"/><Relationship Id="rId634" Type="http://schemas.openxmlformats.org/officeDocument/2006/relationships/hyperlink" Target="https://aiforgood.itu.int/the-5th-edition-of-the-itu-ai-ml-in-5g-challenge-a-year-of-competitions-in-review/" TargetMode="External"/><Relationship Id="rId676" Type="http://schemas.openxmlformats.org/officeDocument/2006/relationships/hyperlink" Target="https://www.itu.int/net4/wsis/forum/2023/fr/Agenda/Session/383" TargetMode="External"/><Relationship Id="rId26" Type="http://schemas.openxmlformats.org/officeDocument/2006/relationships/hyperlink" Target="https://www.itu.int/itu-d/meetings/wtdc25/" TargetMode="External"/><Relationship Id="rId231" Type="http://schemas.openxmlformats.org/officeDocument/2006/relationships/hyperlink" Target="https://www.itu.int/en/ITU-D/Cybersecurity/Pages/cyberdrills.aspx" TargetMode="External"/><Relationship Id="rId273" Type="http://schemas.openxmlformats.org/officeDocument/2006/relationships/hyperlink" Target="https://aiforgood.itu.int/ai-skills-coalition/" TargetMode="External"/><Relationship Id="rId329" Type="http://schemas.openxmlformats.org/officeDocument/2006/relationships/hyperlink" Target="https://www.itu.int/en/ITU-T/jca/qkdn/Pages/default.aspx" TargetMode="External"/><Relationship Id="rId480" Type="http://schemas.openxmlformats.org/officeDocument/2006/relationships/hyperlink" Target="https://aiforgood.itu.int/event/impact-africa/" TargetMode="External"/><Relationship Id="rId536" Type="http://schemas.openxmlformats.org/officeDocument/2006/relationships/hyperlink" Target="https://www.itu.int/en/ITU-R/study-groups/workshops/sg6-itu-ebu-btc-2023/Pages/default.aspx" TargetMode="External"/><Relationship Id="rId701" Type="http://schemas.openxmlformats.org/officeDocument/2006/relationships/hyperlink" Target="https://www.itu.int/fr/mediacentre/Pages/PR-2025-11-10-Green-Digital-Action-COP30-announcement.aspx" TargetMode="External"/><Relationship Id="rId68" Type="http://schemas.openxmlformats.org/officeDocument/2006/relationships/hyperlink" Target="https://pp.itu.int/2022/fr/" TargetMode="External"/><Relationship Id="rId133" Type="http://schemas.openxmlformats.org/officeDocument/2006/relationships/hyperlink" Target="https://www.itu.int/md/meetingdoc.asp?lang=en&amp;parent=D22-WTDC25-C-0002" TargetMode="External"/><Relationship Id="rId175" Type="http://schemas.openxmlformats.org/officeDocument/2006/relationships/hyperlink" Target="https://www.itu.int/wrc-23/" TargetMode="External"/><Relationship Id="rId340" Type="http://schemas.openxmlformats.org/officeDocument/2006/relationships/hyperlink" Target="https://www.quantum-course.com/" TargetMode="External"/><Relationship Id="rId578" Type="http://schemas.openxmlformats.org/officeDocument/2006/relationships/hyperlink" Target="https://www.equalsintech.org/" TargetMode="External"/><Relationship Id="rId743" Type="http://schemas.openxmlformats.org/officeDocument/2006/relationships/hyperlink" Target="https://u4ssc.itu.int/publications/" TargetMode="External"/><Relationship Id="rId785" Type="http://schemas.openxmlformats.org/officeDocument/2006/relationships/hyperlink" Target="https://www.itu.int/en/ITU-T/focusgroups/ai4h/Pages/default.aspx" TargetMode="External"/><Relationship Id="rId200" Type="http://schemas.openxmlformats.org/officeDocument/2006/relationships/hyperlink" Target="https://www.itu.int/en/council/Documents/basic-texts-2023/RES-123-F.pdf" TargetMode="External"/><Relationship Id="rId382" Type="http://schemas.openxmlformats.org/officeDocument/2006/relationships/hyperlink" Target="https://www.itu.int/en/ITU-D/Statistics/Pages/intlcoop/default.aspx" TargetMode="External"/><Relationship Id="rId438" Type="http://schemas.openxmlformats.org/officeDocument/2006/relationships/hyperlink" Target="http://www.wsis.org/forum" TargetMode="External"/><Relationship Id="rId603" Type="http://schemas.openxmlformats.org/officeDocument/2006/relationships/hyperlink" Target="https://publicadministration.desa.un.org/fr/node/2824" TargetMode="External"/><Relationship Id="rId645" Type="http://schemas.openxmlformats.org/officeDocument/2006/relationships/hyperlink" Target="https://www.itu.int/en/ITU-D/Digital-Inclusion/Pages/itu-ilo/default.aspx" TargetMode="External"/><Relationship Id="rId687" Type="http://schemas.openxmlformats.org/officeDocument/2006/relationships/hyperlink" Target="https://www.itu.int/en/ITU-T/Workshops-and-Seminars/2025/1125/Documents/Louise%20Aubet.pdf" TargetMode="External"/><Relationship Id="rId242" Type="http://schemas.openxmlformats.org/officeDocument/2006/relationships/hyperlink" Target="https://www.itu.int/en/ITU-T/studygroups/com11/sig-security/Pages/default.aspx" TargetMode="External"/><Relationship Id="rId284" Type="http://schemas.openxmlformats.org/officeDocument/2006/relationships/hyperlink" Target="https://aiforgood.itu.int/young-ai-leaders-community/" TargetMode="External"/><Relationship Id="rId491" Type="http://schemas.openxmlformats.org/officeDocument/2006/relationships/hyperlink" Target="https://www.itu.int/itu-d/meetings/gsr-24/wp-content/uploads/sites/24/2024/08/GSR-2024_BestPracticeGuidelines.pdf" TargetMode="External"/><Relationship Id="rId505" Type="http://schemas.openxmlformats.org/officeDocument/2006/relationships/hyperlink" Target="https://www.itu.int/en/journal/j-fet/webinars/Pages/default.aspx" TargetMode="External"/><Relationship Id="rId712" Type="http://schemas.openxmlformats.org/officeDocument/2006/relationships/hyperlink" Target="https://www.broadbandcommission.org/advocacy-targets/" TargetMode="External"/><Relationship Id="rId37" Type="http://schemas.openxmlformats.org/officeDocument/2006/relationships/hyperlink" Target="https://www.itu.int/itu-d/reports/statistics/facts-figures-2025/" TargetMode="External"/><Relationship Id="rId79" Type="http://schemas.openxmlformats.org/officeDocument/2006/relationships/hyperlink" Target="https://www.itu.int/wrc-23/" TargetMode="External"/><Relationship Id="rId102" Type="http://schemas.openxmlformats.org/officeDocument/2006/relationships/hyperlink" Target="https://www.itu.int/md/R23-WRC23-C-0217/en" TargetMode="External"/><Relationship Id="rId144" Type="http://schemas.openxmlformats.org/officeDocument/2006/relationships/hyperlink" Target="https://www.itu.int/itu-d/reports/statistics/2025/10/15/ff25-mobile-network-coverage/" TargetMode="External"/><Relationship Id="rId547" Type="http://schemas.openxmlformats.org/officeDocument/2006/relationships/hyperlink" Target="https://www.itu.int/en/ITU-R/seminars/Future-of-tv-europe/Pages/default.aspx" TargetMode="External"/><Relationship Id="rId589" Type="http://schemas.openxmlformats.org/officeDocument/2006/relationships/hyperlink" Target="https://www.itu.int/women-and-girls/women-in-ict/ai-skills-accelerator-for-girls/" TargetMode="External"/><Relationship Id="rId754" Type="http://schemas.openxmlformats.org/officeDocument/2006/relationships/hyperlink" Target="https://www.itu.int/en/ITU-T/extcoop/cits/egcomad/wg03/Pages/default.aspx" TargetMode="External"/><Relationship Id="rId796" Type="http://schemas.openxmlformats.org/officeDocument/2006/relationships/hyperlink" Target="https://www.itu.int/md/S24-CL-C-0052/fr" TargetMode="External"/><Relationship Id="rId90" Type="http://schemas.openxmlformats.org/officeDocument/2006/relationships/hyperlink" Target="https://www.itu.int/pub/R-RES-R.5" TargetMode="External"/><Relationship Id="rId186" Type="http://schemas.openxmlformats.org/officeDocument/2006/relationships/hyperlink" Target="https://www.itu.int/rec/T-REC-E.1121-202406-I/fr" TargetMode="External"/><Relationship Id="rId351" Type="http://schemas.openxmlformats.org/officeDocument/2006/relationships/hyperlink" Target="https://www.itu.int/metaverse/virtual-worlds/1st-un-citiverse-challenge/" TargetMode="External"/><Relationship Id="rId393" Type="http://schemas.openxmlformats.org/officeDocument/2006/relationships/hyperlink" Target="https://www.itu.int/itu-d/meetings/digital-skills-forum/" TargetMode="External"/><Relationship Id="rId407" Type="http://schemas.openxmlformats.org/officeDocument/2006/relationships/hyperlink" Target="https://www.itu.int/net/wsis/index-fr.html" TargetMode="External"/><Relationship Id="rId449" Type="http://schemas.openxmlformats.org/officeDocument/2006/relationships/hyperlink" Target="https://www.itu.int/net4/wsis/ungis/" TargetMode="External"/><Relationship Id="rId614" Type="http://schemas.openxmlformats.org/officeDocument/2006/relationships/hyperlink" Target="https://www.youtube.com/watch?v=zZFNByEQ15k" TargetMode="External"/><Relationship Id="rId656" Type="http://schemas.openxmlformats.org/officeDocument/2006/relationships/hyperlink" Target="https://www.itu.int/en/ITU-T/accessibility/Pages/default.aspx" TargetMode="External"/><Relationship Id="rId211" Type="http://schemas.openxmlformats.org/officeDocument/2006/relationships/hyperlink" Target="https://www.itu.int/en/ITU-D/Regional-Presence/AsiaPacific/Pages/Projects/AI%20Technology%20and%20Standards%20Capacity%20Building%20in%20Asia%20Pacific/Artificial-Intelligence-Technology-and-Standards-Capacity-Building-in-Asia-Pacific-.aspx" TargetMode="External"/><Relationship Id="rId253" Type="http://schemas.openxmlformats.org/officeDocument/2006/relationships/hyperlink" Target="https://www.itu.int/en/ITU-T/focusgroups/ai4ndm/Pages/default.aspx" TargetMode="External"/><Relationship Id="rId295" Type="http://schemas.openxmlformats.org/officeDocument/2006/relationships/hyperlink" Target="https://unsceb.org/sites/default/files/2024-04/United%20Nations%20System%20White%20Paper%20on%20AI%20Governance.pdf" TargetMode="External"/><Relationship Id="rId309" Type="http://schemas.openxmlformats.org/officeDocument/2006/relationships/hyperlink" Target="https://aiforgood.itu.int/summit26/" TargetMode="External"/><Relationship Id="rId460" Type="http://schemas.openxmlformats.org/officeDocument/2006/relationships/hyperlink" Target="https://www.itu.int/en/itu-wsis/Pages/WSIS-Fund-in-Trust.aspx" TargetMode="External"/><Relationship Id="rId516" Type="http://schemas.openxmlformats.org/officeDocument/2006/relationships/hyperlink" Target="https://www.itu.int/wrs-22/" TargetMode="External"/><Relationship Id="rId698" Type="http://schemas.openxmlformats.org/officeDocument/2006/relationships/hyperlink" Target="https://www.itu.int/initiatives/green-digital-action/events/all/cop29/declaration/" TargetMode="External"/><Relationship Id="rId48" Type="http://schemas.openxmlformats.org/officeDocument/2006/relationships/hyperlink" Target="https://www.itu.int/en/ITU-T/extcoop/Pages/wsc.aspx" TargetMode="External"/><Relationship Id="rId113" Type="http://schemas.openxmlformats.org/officeDocument/2006/relationships/hyperlink" Target="https://en.wikipedia.org/wiki/ITU-T_Study_Group_16" TargetMode="External"/><Relationship Id="rId320" Type="http://schemas.openxmlformats.org/officeDocument/2006/relationships/hyperlink" Target="https://www.itu.int/rec/T-REC-Y.3814/en" TargetMode="External"/><Relationship Id="rId558" Type="http://schemas.openxmlformats.org/officeDocument/2006/relationships/hyperlink" Target="https://www.itu.int/en/ITU-T/Workshops-and-Seminars/2024/Pages/default.aspx" TargetMode="External"/><Relationship Id="rId723" Type="http://schemas.openxmlformats.org/officeDocument/2006/relationships/hyperlink" Target="https://www.equalsintech.org/" TargetMode="External"/><Relationship Id="rId765" Type="http://schemas.openxmlformats.org/officeDocument/2006/relationships/hyperlink" Target="https://aiforgood.itu.int/multimedia-authenticity/" TargetMode="External"/><Relationship Id="rId155" Type="http://schemas.openxmlformats.org/officeDocument/2006/relationships/hyperlink" Target="https://www.unesco.org/fr/sdg4scorecard-dashboard" TargetMode="External"/><Relationship Id="rId197" Type="http://schemas.openxmlformats.org/officeDocument/2006/relationships/hyperlink" Target="https://aiforgood.itu.int/ai-standards-exchange/" TargetMode="External"/><Relationship Id="rId362" Type="http://schemas.openxmlformats.org/officeDocument/2006/relationships/hyperlink" Target="https://www.itu.int/ITU-T/recommendations/index_sg.aspx?sg=20" TargetMode="External"/><Relationship Id="rId418" Type="http://schemas.openxmlformats.org/officeDocument/2006/relationships/hyperlink" Target="https://www.itu.int/en/council/Documents/basic-texts-2023/RES-140-E.pdf" TargetMode="External"/><Relationship Id="rId625" Type="http://schemas.openxmlformats.org/officeDocument/2006/relationships/hyperlink" Target="https://www.huawei.com/en/news/2022/8/seeds-for-future-camp" TargetMode="External"/><Relationship Id="rId222" Type="http://schemas.openxmlformats.org/officeDocument/2006/relationships/hyperlink" Target="https://www.itu.int/en/ITU-D/Cybersecurity/Pages/Cyber4Good/Cyber4Good.aspx" TargetMode="External"/><Relationship Id="rId264" Type="http://schemas.openxmlformats.org/officeDocument/2006/relationships/hyperlink" Target="https://www.itu.int/en/ITU-T/focusgroups/ai4ndm/Pages/default.aspx" TargetMode="External"/><Relationship Id="rId471" Type="http://schemas.openxmlformats.org/officeDocument/2006/relationships/hyperlink" Target="https://aiforgood.itu.int/summit24/" TargetMode="External"/><Relationship Id="rId667" Type="http://schemas.openxmlformats.org/officeDocument/2006/relationships/hyperlink" Target="https://www.itu.int/fr/ITU-R/information/Pages/disabilities-divide.aspx" TargetMode="External"/><Relationship Id="rId17" Type="http://schemas.openxmlformats.org/officeDocument/2006/relationships/hyperlink" Target="https://pp.itu.int/2022/fr/" TargetMode="External"/><Relationship Id="rId59" Type="http://schemas.openxmlformats.org/officeDocument/2006/relationships/hyperlink" Target="https://www.itu.int/initiatives/green-digital-action/" TargetMode="External"/><Relationship Id="rId124" Type="http://schemas.openxmlformats.org/officeDocument/2006/relationships/hyperlink" Target="https://www.itu.int/itu-d/meetings/wtdc25/wp-content/uploads/sites/29/2025/11/WTDC-25-Declaration.pdf" TargetMode="External"/><Relationship Id="rId527" Type="http://schemas.openxmlformats.org/officeDocument/2006/relationships/hyperlink" Target="https://www.itu.int/en/ITU-R/seminars/rrs/2022-Arab/Pages/default.aspx" TargetMode="External"/><Relationship Id="rId569" Type="http://schemas.openxmlformats.org/officeDocument/2006/relationships/hyperlink" Target="https://www.itu.int/itu-d/sites/priorities/enablers-of-itu-d-priorities/regional-presence/" TargetMode="External"/><Relationship Id="rId734" Type="http://schemas.openxmlformats.org/officeDocument/2006/relationships/hyperlink" Target="https://www.equalsintech.org/awards" TargetMode="External"/><Relationship Id="rId776" Type="http://schemas.openxmlformats.org/officeDocument/2006/relationships/hyperlink" Target="https://www.itu.int/pub/T-FG-AI4NDM-2023-2" TargetMode="External"/><Relationship Id="rId70" Type="http://schemas.openxmlformats.org/officeDocument/2006/relationships/hyperlink" Target="https://www.itu.int/en/council/Documents/basic-texts-2023/RES-071-F.pdf" TargetMode="External"/><Relationship Id="rId166" Type="http://schemas.openxmlformats.org/officeDocument/2006/relationships/image" Target="media/image13.png"/><Relationship Id="rId331" Type="http://schemas.openxmlformats.org/officeDocument/2006/relationships/hyperlink" Target="https://www.itu.int/itu-t/landscape/?topic=tx467&amp;group=g&amp;search_text=" TargetMode="External"/><Relationship Id="rId373" Type="http://schemas.openxmlformats.org/officeDocument/2006/relationships/hyperlink" Target="https://datahub.itu.int/" TargetMode="External"/><Relationship Id="rId429" Type="http://schemas.openxmlformats.org/officeDocument/2006/relationships/hyperlink" Target="https://www.itu.int/dms_pub/itu-s/md/26/cwgwsis44/c/S26-CWGWSIS44-C-0002!R1!MSW-E.docx" TargetMode="External"/><Relationship Id="rId580" Type="http://schemas.openxmlformats.org/officeDocument/2006/relationships/hyperlink" Target="https://www.youtube.com/playlist?list=PLdCp2BJdjaQAJmm_GD2T15HgepUAuENQ-" TargetMode="External"/><Relationship Id="rId636" Type="http://schemas.openxmlformats.org/officeDocument/2006/relationships/hyperlink" Target="https://www.itu.int/metaverse/un-virtual-worlds-day/thinkathon/" TargetMode="External"/><Relationship Id="rId801" Type="http://schemas.openxmlformats.org/officeDocument/2006/relationships/image" Target="media/image24.png"/><Relationship Id="rId1" Type="http://schemas.openxmlformats.org/officeDocument/2006/relationships/customXml" Target="../customXml/item1.xml"/><Relationship Id="rId233" Type="http://schemas.openxmlformats.org/officeDocument/2006/relationships/hyperlink" Target="https://www.itu.int/en/ITU-D/Cybersecurity/Pages/Women-in-Cyber/Women-in-Cyber-Mentorship-Programme.aspx" TargetMode="External"/><Relationship Id="rId440" Type="http://schemas.openxmlformats.org/officeDocument/2006/relationships/hyperlink" Target="https://www.itu.int/md/S22-CL-C-0059/en" TargetMode="External"/><Relationship Id="rId678" Type="http://schemas.openxmlformats.org/officeDocument/2006/relationships/hyperlink" Target="https://www.silvereconomyforum.com/" TargetMode="External"/><Relationship Id="rId28" Type="http://schemas.openxmlformats.org/officeDocument/2006/relationships/hyperlink" Target="https://aiforgood.itu.int/quantum-for-good/" TargetMode="External"/><Relationship Id="rId275" Type="http://schemas.openxmlformats.org/officeDocument/2006/relationships/hyperlink" Target="https://aiforgood.itu.int/robotics-for-good-youth-challenge/" TargetMode="External"/><Relationship Id="rId300" Type="http://schemas.openxmlformats.org/officeDocument/2006/relationships/hyperlink" Target="https://www.itu.int/en/action/ai/Pages/UN-inter-agency-working-group-on-AI.aspx" TargetMode="External"/><Relationship Id="rId482" Type="http://schemas.openxmlformats.org/officeDocument/2006/relationships/hyperlink" Target="http://gss.itu.int/" TargetMode="External"/><Relationship Id="rId538" Type="http://schemas.openxmlformats.org/officeDocument/2006/relationships/hyperlink" Target="https://www.itu.int/en/ITU-R/seminars/Future-of-tv-europe/Documents/Demos%20on%20Future%20of%20Broadcasting.pdf" TargetMode="External"/><Relationship Id="rId703" Type="http://schemas.openxmlformats.org/officeDocument/2006/relationships/hyperlink" Target="https://www.itu.int/initiatives/green-digital-action/events/all/green-digital-action-summit-2025/" TargetMode="External"/><Relationship Id="rId745" Type="http://schemas.openxmlformats.org/officeDocument/2006/relationships/hyperlink" Target="https://www.itu.int/cities/digitaltransformationdialogues/" TargetMode="External"/><Relationship Id="rId81" Type="http://schemas.openxmlformats.org/officeDocument/2006/relationships/hyperlink" Target="https://www.itu.int/fr/publications/ITU-R/Pages/publications.aspx?parent=R-ACT-WRC.16-2024&amp;media=electronic" TargetMode="External"/><Relationship Id="rId135" Type="http://schemas.openxmlformats.org/officeDocument/2006/relationships/hyperlink" Target="https://www.itu.int/md/D22-WTDC25-251117/sum/en" TargetMode="External"/><Relationship Id="rId177" Type="http://schemas.openxmlformats.org/officeDocument/2006/relationships/hyperlink" Target="https://www.itu.int/pub/R-REG-RR-2024/fr" TargetMode="External"/><Relationship Id="rId342" Type="http://schemas.openxmlformats.org/officeDocument/2006/relationships/hyperlink" Target="https://www.itu.int/metaverse/5th-forum-metaverse/" TargetMode="External"/><Relationship Id="rId384" Type="http://schemas.openxmlformats.org/officeDocument/2006/relationships/hyperlink" Target="https://www.itu.int/en/ITU-D/Statistics/Pages/intlcoop/default.aspx" TargetMode="External"/><Relationship Id="rId591" Type="http://schemas.openxmlformats.org/officeDocument/2006/relationships/hyperlink" Target="https://www.itu.int/initiatives/gender-equality/network-of-women/" TargetMode="External"/><Relationship Id="rId605" Type="http://schemas.openxmlformats.org/officeDocument/2006/relationships/hyperlink" Target="https://www.unwomen.org/fr/how-we-work/un-system-coordination/promoting-un-accountability" TargetMode="External"/><Relationship Id="rId787" Type="http://schemas.openxmlformats.org/officeDocument/2006/relationships/hyperlink" Target="https://www.itu.int/en/ITU-T/focusgroups/ai4h/Pages/deliverables.aspx" TargetMode="External"/><Relationship Id="rId202" Type="http://schemas.openxmlformats.org/officeDocument/2006/relationships/hyperlink" Target="https://www.itu.int/bsg/" TargetMode="External"/><Relationship Id="rId244" Type="http://schemas.openxmlformats.org/officeDocument/2006/relationships/hyperlink" Target="https://u4ssc.itu.int/" TargetMode="External"/><Relationship Id="rId647" Type="http://schemas.openxmlformats.org/officeDocument/2006/relationships/hyperlink" Target="https://www.itu.int/en/ITU-D/Digital-Inclusion/Persons-with-Disabilities/Documents/Toolkit_Interactive_Self-Assessment_in_ICT_Accessibility.xlsm" TargetMode="External"/><Relationship Id="rId689" Type="http://schemas.openxmlformats.org/officeDocument/2006/relationships/hyperlink" Target="https://www.itu.int/en/action/environment-and-climate-change/Documents/publications/2023/Scope-3-Guidance-2023.pdf" TargetMode="External"/><Relationship Id="rId39" Type="http://schemas.openxmlformats.org/officeDocument/2006/relationships/hyperlink" Target="https://academy.itu.int/" TargetMode="External"/><Relationship Id="rId286" Type="http://schemas.openxmlformats.org/officeDocument/2006/relationships/hyperlink" Target="https://aiforgood.itu.int/about-ai-for-good/innovation-factory/" TargetMode="External"/><Relationship Id="rId451" Type="http://schemas.openxmlformats.org/officeDocument/2006/relationships/hyperlink" Target="http://www.ungis.org" TargetMode="External"/><Relationship Id="rId493" Type="http://schemas.openxmlformats.org/officeDocument/2006/relationships/hyperlink" Target="https://www.itu.int/net/epub/BDT/2025-GSR-25-Best-Practice-Guidelines/index.html" TargetMode="External"/><Relationship Id="rId507" Type="http://schemas.openxmlformats.org/officeDocument/2006/relationships/hyperlink" Target="https://www.itu.int/en/ITU-T/academia/kaleidoscope/2022/Pages/default.aspx" TargetMode="External"/><Relationship Id="rId549" Type="http://schemas.openxmlformats.org/officeDocument/2006/relationships/hyperlink" Target="https://www.itu.int/en/ITU-R/seminars/Fixed-Wireless-Service/Pages/default.aspx" TargetMode="External"/><Relationship Id="rId714" Type="http://schemas.openxmlformats.org/officeDocument/2006/relationships/hyperlink" Target="https://broadbandcommission.org/state-of-broadband-archive/" TargetMode="External"/><Relationship Id="rId756" Type="http://schemas.openxmlformats.org/officeDocument/2006/relationships/hyperlink" Target="https://aiforgood.itu.int/" TargetMode="External"/><Relationship Id="rId50" Type="http://schemas.openxmlformats.org/officeDocument/2006/relationships/hyperlink" Target="https://giga.global/" TargetMode="External"/><Relationship Id="rId104" Type="http://schemas.openxmlformats.org/officeDocument/2006/relationships/hyperlink" Target="https://www.itu.int/md/R23-WRC23-C-0217/en" TargetMode="External"/><Relationship Id="rId146" Type="http://schemas.openxmlformats.org/officeDocument/2006/relationships/image" Target="media/image4.png"/><Relationship Id="rId188" Type="http://schemas.openxmlformats.org/officeDocument/2006/relationships/hyperlink" Target="https://www.itu.int/epublications/publication/itu-t-tr-mmwf-2025-02-methodologies-to-mitigate-wangiri-fraud" TargetMode="External"/><Relationship Id="rId311" Type="http://schemas.openxmlformats.org/officeDocument/2006/relationships/hyperlink" Target="https://aiforgood.itu.int/" TargetMode="External"/><Relationship Id="rId353" Type="http://schemas.openxmlformats.org/officeDocument/2006/relationships/hyperlink" Target="https://www.itu.int/un-virtual-worlds-day/2025/" TargetMode="External"/><Relationship Id="rId395" Type="http://schemas.openxmlformats.org/officeDocument/2006/relationships/hyperlink" Target="https://academy.itu.int/research-advocacy-and-convening-platforms/research-publications/digital-skills-toolkit" TargetMode="External"/><Relationship Id="rId409" Type="http://schemas.openxmlformats.org/officeDocument/2006/relationships/hyperlink" Target="https://www.itu.int/en/council/Documents/basic-texts-2023/RES-140-F.pdf" TargetMode="External"/><Relationship Id="rId560" Type="http://schemas.openxmlformats.org/officeDocument/2006/relationships/hyperlink" Target="https://aiforgood.itu.int/ai-events-calendar/" TargetMode="External"/><Relationship Id="rId798" Type="http://schemas.openxmlformats.org/officeDocument/2006/relationships/hyperlink" Target="https://www.itu.int/md/S26-CWGFHR22-C-0015/en" TargetMode="External"/><Relationship Id="rId92" Type="http://schemas.openxmlformats.org/officeDocument/2006/relationships/hyperlink" Target="https://www.itu.int/pub/R-RES-R.65" TargetMode="External"/><Relationship Id="rId213" Type="http://schemas.openxmlformats.org/officeDocument/2006/relationships/hyperlink" Target="https://www.itu.int/en/action/environment-and-climate-change/Pages/ewaste.aspx" TargetMode="External"/><Relationship Id="rId420" Type="http://schemas.openxmlformats.org/officeDocument/2006/relationships/hyperlink" Target="https://www.itu.int/md/S23-CL-C-0120/en" TargetMode="External"/><Relationship Id="rId616" Type="http://schemas.openxmlformats.org/officeDocument/2006/relationships/hyperlink" Target="https://youngaglobal.com/" TargetMode="External"/><Relationship Id="rId658" Type="http://schemas.openxmlformats.org/officeDocument/2006/relationships/hyperlink" Target="https://www.itu.int/rec/T-REC-F.780.2/fr" TargetMode="External"/><Relationship Id="rId255" Type="http://schemas.openxmlformats.org/officeDocument/2006/relationships/hyperlink" Target="https://www.itu.int/en/ITU-T/extcoop/ai4resilience/Pages/default.aspx" TargetMode="External"/><Relationship Id="rId297" Type="http://schemas.openxmlformats.org/officeDocument/2006/relationships/hyperlink" Target="https://unaihub.aiforgood.itu.int/" TargetMode="External"/><Relationship Id="rId462" Type="http://schemas.openxmlformats.org/officeDocument/2006/relationships/hyperlink" Target="https://datahub.itu.int/" TargetMode="External"/><Relationship Id="rId518" Type="http://schemas.openxmlformats.org/officeDocument/2006/relationships/hyperlink" Target="https://www.itu.int/en/ITU-R/seminars/rrs/2022-Arab/Pages/default.aspx" TargetMode="External"/><Relationship Id="rId725" Type="http://schemas.openxmlformats.org/officeDocument/2006/relationships/hyperlink" Target="https://www.equalsintech.org/access" TargetMode="External"/><Relationship Id="rId115" Type="http://schemas.openxmlformats.org/officeDocument/2006/relationships/hyperlink" Target="https://www.itu.int/wtsa/2024/candidates/" TargetMode="External"/><Relationship Id="rId157" Type="http://schemas.openxmlformats.org/officeDocument/2006/relationships/hyperlink" Target="https://databrowser.uis.unesco.org/" TargetMode="External"/><Relationship Id="rId322" Type="http://schemas.openxmlformats.org/officeDocument/2006/relationships/hyperlink" Target="https://www.itu.int/en/ITU-T/studygroups/2025-2028/13/Pages/default.aspx" TargetMode="External"/><Relationship Id="rId364" Type="http://schemas.openxmlformats.org/officeDocument/2006/relationships/hyperlink" Target="https://toolkit-dt4c.itu.int/" TargetMode="External"/><Relationship Id="rId767" Type="http://schemas.openxmlformats.org/officeDocument/2006/relationships/hyperlink" Target="https://aiforgood.itu.int/event/international-ai-standards-summit-2/" TargetMode="External"/><Relationship Id="rId61" Type="http://schemas.openxmlformats.org/officeDocument/2006/relationships/hyperlink" Target="https://www.itu.int/md/S26-PP-C-0020/fr" TargetMode="External"/><Relationship Id="rId199" Type="http://schemas.openxmlformats.org/officeDocument/2006/relationships/hyperlink" Target="https://www.itu.int/pub/T-RES-T.44-2024/fr" TargetMode="External"/><Relationship Id="rId571" Type="http://schemas.openxmlformats.org/officeDocument/2006/relationships/hyperlink" Target="https://www.itu.int/md/S26-CL-INF-0010/en" TargetMode="External"/><Relationship Id="rId627" Type="http://schemas.openxmlformats.org/officeDocument/2006/relationships/hyperlink" Target="https://www.itu.int/en/action/youth/Pages/itu-secretary-generals-youth-advisory-board.aspx" TargetMode="External"/><Relationship Id="rId669" Type="http://schemas.openxmlformats.org/officeDocument/2006/relationships/hyperlink" Target="https://www.itu.int/pub/R-REP-BT.2207/fr" TargetMode="External"/><Relationship Id="rId19" Type="http://schemas.openxmlformats.org/officeDocument/2006/relationships/hyperlink" Target="https://www.itu.int/wrc-23/" TargetMode="External"/><Relationship Id="rId224" Type="http://schemas.openxmlformats.org/officeDocument/2006/relationships/hyperlink" Target="https://academy.itu.int/" TargetMode="External"/><Relationship Id="rId266" Type="http://schemas.openxmlformats.org/officeDocument/2006/relationships/hyperlink" Target="https://www.itu.int/en/ITU-T/extcoop/ai4resilience/Pages/default.aspx" TargetMode="External"/><Relationship Id="rId431" Type="http://schemas.openxmlformats.org/officeDocument/2006/relationships/hyperlink" Target="https://www.itu.int/net4/wsis/forum/2026/fr" TargetMode="External"/><Relationship Id="rId473" Type="http://schemas.openxmlformats.org/officeDocument/2006/relationships/hyperlink" Target="https://aiforgood.itu.int/summit23/" TargetMode="External"/><Relationship Id="rId529" Type="http://schemas.openxmlformats.org/officeDocument/2006/relationships/hyperlink" Target="https://www.itu.int/en/ITU-R/seminars/rrs/RRS-22-Asia-Pacific/Pages/default.aspx" TargetMode="External"/><Relationship Id="rId680" Type="http://schemas.openxmlformats.org/officeDocument/2006/relationships/hyperlink" Target="https://academy.itu.int/training-courses/full-catalogue/icts-better-ageing-and-livelihood-digital-landscape-1" TargetMode="External"/><Relationship Id="rId736" Type="http://schemas.openxmlformats.org/officeDocument/2006/relationships/hyperlink" Target="https://www.itu.int/metaverse/virtual-worlds/about/" TargetMode="External"/><Relationship Id="rId30" Type="http://schemas.openxmlformats.org/officeDocument/2006/relationships/hyperlink" Target="https://www.itu.int/en/ITU-T/jca/mv/Pages/default.aspx" TargetMode="External"/><Relationship Id="rId126" Type="http://schemas.openxmlformats.org/officeDocument/2006/relationships/hyperlink" Target="https://www.itu.int/itu-d/meetings/wtdc25/wp-content/uploads/sites/29/2025/11/090-E.pdf" TargetMode="External"/><Relationship Id="rId168" Type="http://schemas.openxmlformats.org/officeDocument/2006/relationships/hyperlink" Target="https://www.itu.int/en/ITU-D/Statistics/Documents/publications/manual/ITU_HHManual_ICTskills_rev2025.pdf" TargetMode="External"/><Relationship Id="rId333" Type="http://schemas.openxmlformats.org/officeDocument/2006/relationships/hyperlink" Target="https://aiforgood.itu.int/quantum-for-good/" TargetMode="External"/><Relationship Id="rId540" Type="http://schemas.openxmlformats.org/officeDocument/2006/relationships/hyperlink" Target="https://www.itu.int/en/ITU-R/seminars/ntfa/Pages/default.aspx" TargetMode="External"/><Relationship Id="rId778" Type="http://schemas.openxmlformats.org/officeDocument/2006/relationships/hyperlink" Target="https://www.medewsa.eu/" TargetMode="External"/><Relationship Id="rId72" Type="http://schemas.openxmlformats.org/officeDocument/2006/relationships/hyperlink" Target="https://pp.itu.int/2022/en/" TargetMode="External"/><Relationship Id="rId375" Type="http://schemas.openxmlformats.org/officeDocument/2006/relationships/hyperlink" Target="https://www.itu.int/en/ITU-D/Statistics/Pages/publications/default.aspx" TargetMode="External"/><Relationship Id="rId582" Type="http://schemas.openxmlformats.org/officeDocument/2006/relationships/hyperlink" Target="https://www.itu.int/en/ITU-D/Cybersecurity/Pages/Skills-Development/Her-CyberTracks.aspx" TargetMode="External"/><Relationship Id="rId638" Type="http://schemas.openxmlformats.org/officeDocument/2006/relationships/hyperlink" Target="https://www.itu.int/md/S21-CL-C-0072/fr" TargetMode="External"/><Relationship Id="rId803" Type="http://schemas.openxmlformats.org/officeDocument/2006/relationships/header" Target="header1.xml"/><Relationship Id="rId3" Type="http://schemas.openxmlformats.org/officeDocument/2006/relationships/styles" Target="styles.xml"/><Relationship Id="rId235" Type="http://schemas.openxmlformats.org/officeDocument/2006/relationships/hyperlink" Target="https://academy.itu.int/" TargetMode="External"/><Relationship Id="rId277" Type="http://schemas.openxmlformats.org/officeDocument/2006/relationships/hyperlink" Target="https://aiforgood.itu.int/event/impact-africa/" TargetMode="External"/><Relationship Id="rId400" Type="http://schemas.openxmlformats.org/officeDocument/2006/relationships/hyperlink" Target="https://aiforgood.itu.int/ai-skills-coalition/" TargetMode="External"/><Relationship Id="rId442" Type="http://schemas.openxmlformats.org/officeDocument/2006/relationships/hyperlink" Target="https://publicadministration.desa.un.org/wsis20" TargetMode="External"/><Relationship Id="rId484" Type="http://schemas.openxmlformats.org/officeDocument/2006/relationships/hyperlink" Target="https://www.itu.int/net/epub/TSB/2024-GSS-Conclusions/index.html" TargetMode="External"/><Relationship Id="rId705" Type="http://schemas.openxmlformats.org/officeDocument/2006/relationships/hyperlink" Target="https://www.itu.int/initiatives/green-digital-action/impact/all/" TargetMode="External"/><Relationship Id="rId137" Type="http://schemas.openxmlformats.org/officeDocument/2006/relationships/hyperlink" Target="https://www.itu.int/highlights-report-activities/connect2030-agenda/" TargetMode="External"/><Relationship Id="rId302" Type="http://schemas.openxmlformats.org/officeDocument/2006/relationships/hyperlink" Target="https://unsceb.org/sites/default/files/2024-04/United%20Nations%20System%20White%20Paper%20on%20AI%20Governance.pdf" TargetMode="External"/><Relationship Id="rId344" Type="http://schemas.openxmlformats.org/officeDocument/2006/relationships/hyperlink" Target="https://www.itu.int/metaverse/5th-forum-metaverse/" TargetMode="External"/><Relationship Id="rId691" Type="http://schemas.openxmlformats.org/officeDocument/2006/relationships/hyperlink" Target="https://academy.itu.int/training-courses/full-catalogue/green-data-centres-policy-makers" TargetMode="External"/><Relationship Id="rId747" Type="http://schemas.openxmlformats.org/officeDocument/2006/relationships/hyperlink" Target="https://www.itu.int/cities/dt-resource-hub/" TargetMode="External"/><Relationship Id="rId789" Type="http://schemas.openxmlformats.org/officeDocument/2006/relationships/hyperlink" Target="https://www.un.org/sites/un2.un.org/files/sotf-pact_for_the_future_adopted.pdf" TargetMode="External"/><Relationship Id="rId41" Type="http://schemas.openxmlformats.org/officeDocument/2006/relationships/hyperlink" Target="https://academy.itu.int/digital-skills-communities/digital-transformation-centres-initiative" TargetMode="External"/><Relationship Id="rId83" Type="http://schemas.openxmlformats.org/officeDocument/2006/relationships/hyperlink" Target="https://www.itu.int/pub/R-REG-RR-2024" TargetMode="External"/><Relationship Id="rId179" Type="http://schemas.openxmlformats.org/officeDocument/2006/relationships/hyperlink" Target="https://www.itu.int/hub/publication/r-reg-rrx-2025/" TargetMode="External"/><Relationship Id="rId386" Type="http://schemas.openxmlformats.org/officeDocument/2006/relationships/hyperlink" Target="https://academy.itu.int/" TargetMode="External"/><Relationship Id="rId551" Type="http://schemas.openxmlformats.org/officeDocument/2006/relationships/hyperlink" Target="https://www.itu.int/en/ITU-D/Regional-Presence/Africa/Pages/EVENTS/2024/SADC-NETP-EW4All-Workshop.aspx" TargetMode="External"/><Relationship Id="rId593" Type="http://schemas.openxmlformats.org/officeDocument/2006/relationships/hyperlink" Target="https://www.itu.int/en/ITU-T/NoW/Pages/default.aspx" TargetMode="External"/><Relationship Id="rId607" Type="http://schemas.openxmlformats.org/officeDocument/2006/relationships/hyperlink" Target="https://www.itu.int/initiatives/gender-equality/gender-dashboard/" TargetMode="External"/><Relationship Id="rId649" Type="http://schemas.openxmlformats.org/officeDocument/2006/relationships/hyperlink" Target="https://www.itu.int/en/ITU-D/Digital-Inclusion/Documents/Formato%20de%20evaluaci%C3%B3n%20UIT%20para%20la%20Accesibilidad%20TIC%20-%20FINAL_1.xlsm" TargetMode="External"/><Relationship Id="rId190" Type="http://schemas.openxmlformats.org/officeDocument/2006/relationships/hyperlink" Target="https://www.itu.int/dms_pub/itu-t/opb/res/T-RES-T.91-2024-PDF-F.pdf" TargetMode="External"/><Relationship Id="rId204" Type="http://schemas.openxmlformats.org/officeDocument/2006/relationships/hyperlink" Target="https://www.itu.int/en/ITU-T/regionalgroups/sg15-afr/Pages/default.aspx" TargetMode="External"/><Relationship Id="rId246" Type="http://schemas.openxmlformats.org/officeDocument/2006/relationships/hyperlink" Target="https://www.itu.int/en/action/cybersecurity/Pages/default.aspx" TargetMode="External"/><Relationship Id="rId288" Type="http://schemas.openxmlformats.org/officeDocument/2006/relationships/hyperlink" Target="https://www.itu.int/md/S25-SG-CIR-0052/en" TargetMode="External"/><Relationship Id="rId411" Type="http://schemas.openxmlformats.org/officeDocument/2006/relationships/hyperlink" Target="https://www.itu.int/md/S23-CL-C-0120/en" TargetMode="External"/><Relationship Id="rId453" Type="http://schemas.openxmlformats.org/officeDocument/2006/relationships/hyperlink" Target="http://www.wsis.org/stocktaking" TargetMode="External"/><Relationship Id="rId509" Type="http://schemas.openxmlformats.org/officeDocument/2006/relationships/hyperlink" Target="https://www.itu.int/en/ITU-T/academia/kaleidoscope/2026/Pages/default.aspx" TargetMode="External"/><Relationship Id="rId660" Type="http://schemas.openxmlformats.org/officeDocument/2006/relationships/hyperlink" Target="https://www.itu.int/rec/T-REC-H.871/fr" TargetMode="External"/><Relationship Id="rId106" Type="http://schemas.openxmlformats.org/officeDocument/2006/relationships/hyperlink" Target="https://gss.itu.int/" TargetMode="External"/><Relationship Id="rId313" Type="http://schemas.openxmlformats.org/officeDocument/2006/relationships/hyperlink" Target="https://aiforgood.itu.int/summit26/" TargetMode="External"/><Relationship Id="rId495" Type="http://schemas.openxmlformats.org/officeDocument/2006/relationships/hyperlink" Target="https://www.itu.int/hub/membership/" TargetMode="External"/><Relationship Id="rId716" Type="http://schemas.openxmlformats.org/officeDocument/2006/relationships/hyperlink" Target="https://www.broadbandcommission.org/working-groups/data-governance/" TargetMode="External"/><Relationship Id="rId758" Type="http://schemas.openxmlformats.org/officeDocument/2006/relationships/hyperlink" Target="https://www.itu.int/en/ITU-T/extcoop/cits/Pages/related-events.aspx" TargetMode="External"/><Relationship Id="rId10" Type="http://schemas.openxmlformats.org/officeDocument/2006/relationships/hyperlink" Target="https://www.itu.int/dms_pub/itu-s/opb/conf/S-CONF-ACTF-2022-PDF-F.pdf" TargetMode="External"/><Relationship Id="rId52" Type="http://schemas.openxmlformats.org/officeDocument/2006/relationships/hyperlink" Target="https://www.equalsintech.org/" TargetMode="External"/><Relationship Id="rId94" Type="http://schemas.openxmlformats.org/officeDocument/2006/relationships/hyperlink" Target="https://www.itu.int/pub/R-RES-R.65" TargetMode="External"/><Relationship Id="rId148" Type="http://schemas.openxmlformats.org/officeDocument/2006/relationships/image" Target="media/image5.png"/><Relationship Id="rId355" Type="http://schemas.openxmlformats.org/officeDocument/2006/relationships/hyperlink" Target="https://www.itu.int/net/epub/TSB/2024-UN-Executive-Briefing-on-unlocking-potential/index.html" TargetMode="External"/><Relationship Id="rId397" Type="http://schemas.openxmlformats.org/officeDocument/2006/relationships/hyperlink" Target="https://www.itu.int/en/ITU-T/info/Pages/resources.aspx" TargetMode="External"/><Relationship Id="rId520" Type="http://schemas.openxmlformats.org/officeDocument/2006/relationships/hyperlink" Target="https://www.itu.int/en/ITU-R/seminars/rrs/RRS-22-Asia-Pacific/Pages/default.aspx" TargetMode="External"/><Relationship Id="rId562" Type="http://schemas.openxmlformats.org/officeDocument/2006/relationships/hyperlink" Target="https://www.itu.int/net4/ITU-D/CDS/sg/doc/rgq/2018/D18-SG01-RGQ05.1-en.pdf" TargetMode="External"/><Relationship Id="rId618" Type="http://schemas.openxmlformats.org/officeDocument/2006/relationships/hyperlink" Target="https://www.mwcbarcelona.com/" TargetMode="External"/><Relationship Id="rId215" Type="http://schemas.openxmlformats.org/officeDocument/2006/relationships/hyperlink" Target="https://u4ssc.itu.int/" TargetMode="External"/><Relationship Id="rId257" Type="http://schemas.openxmlformats.org/officeDocument/2006/relationships/hyperlink" Target="https://www.itu.int/hub/2023/07/new-un-initiative-aims-to-step-up-ais-contribution-to-health/" TargetMode="External"/><Relationship Id="rId422" Type="http://schemas.openxmlformats.org/officeDocument/2006/relationships/hyperlink" Target="https://www.itu.int/pub/T-RES-T.75-2022" TargetMode="External"/><Relationship Id="rId464" Type="http://schemas.openxmlformats.org/officeDocument/2006/relationships/hyperlink" Target="https://datahub.itu.int/" TargetMode="External"/><Relationship Id="rId299" Type="http://schemas.openxmlformats.org/officeDocument/2006/relationships/hyperlink" Target="https://docs.un.org/fr/A/RES/80/173" TargetMode="External"/><Relationship Id="rId727" Type="http://schemas.openxmlformats.org/officeDocument/2006/relationships/hyperlink" Target="https://www.equalsintech.org/leadership" TargetMode="External"/><Relationship Id="rId63" Type="http://schemas.openxmlformats.org/officeDocument/2006/relationships/hyperlink" Target="https://www.itu.int/en/council/planning/Documents/ITU_Strategic_plan_2020-2023.pdf" TargetMode="External"/><Relationship Id="rId159" Type="http://schemas.openxmlformats.org/officeDocument/2006/relationships/hyperlink" Target="https://www.itu.int/itu-d/reports/statistics/2025/10/15/ff25-internet-use/" TargetMode="External"/><Relationship Id="rId366" Type="http://schemas.openxmlformats.org/officeDocument/2006/relationships/hyperlink" Target="https://www.itu.int/cities/digitaltransformationdialogues/" TargetMode="External"/><Relationship Id="rId573" Type="http://schemas.openxmlformats.org/officeDocument/2006/relationships/hyperlink" Target="https://www.itu.int/en/ITU-D/Pages/regional-initiatives-2026-2029.aspx" TargetMode="External"/><Relationship Id="rId780" Type="http://schemas.openxmlformats.org/officeDocument/2006/relationships/hyperlink" Target="https://www.itu.int/en/ITU-T/focusgroups/ai4a/Pages/default.aspx" TargetMode="External"/><Relationship Id="rId226" Type="http://schemas.openxmlformats.org/officeDocument/2006/relationships/hyperlink" Target="https://www.itu.int/digital-resilience/submarine-cables/events/about-nigeria-summit/" TargetMode="External"/><Relationship Id="rId433" Type="http://schemas.openxmlformats.org/officeDocument/2006/relationships/hyperlink" Target="https://www.itu.int/net4/wsis/forum/2024/fr" TargetMode="External"/><Relationship Id="rId640" Type="http://schemas.openxmlformats.org/officeDocument/2006/relationships/hyperlink" Target="https://www.itu.int/en/ITU-D/Regional-Presence/AsiaPacific/Pages/v2/regional-events.aspx" TargetMode="External"/><Relationship Id="rId738" Type="http://schemas.openxmlformats.org/officeDocument/2006/relationships/hyperlink" Target="https://www.itu.int/un-virtual-worlds-day/2024/" TargetMode="External"/><Relationship Id="rId74" Type="http://schemas.openxmlformats.org/officeDocument/2006/relationships/hyperlink" Target="https://www.itu.int/en/council/Documents/basic-texts-2023/RES-071-E.pdf" TargetMode="External"/><Relationship Id="rId377" Type="http://schemas.openxmlformats.org/officeDocument/2006/relationships/hyperlink" Target="https://www.itu.int/itu-d/sites/bigdata/" TargetMode="External"/><Relationship Id="rId500" Type="http://schemas.openxmlformats.org/officeDocument/2006/relationships/hyperlink" Target="https://www.itu.int/en/journal/j-fet/Pages/default.aspx" TargetMode="External"/><Relationship Id="rId584" Type="http://schemas.openxmlformats.org/officeDocument/2006/relationships/hyperlink" Target="https://www.itu.int/hub/2020/12/americas-girls-can-code-leveling-the-tech-playing-field-for-girls-and-women/" TargetMode="External"/><Relationship Id="rId805" Type="http://schemas.openxmlformats.org/officeDocument/2006/relationships/footer" Target="footer2.xml"/><Relationship Id="rId5" Type="http://schemas.openxmlformats.org/officeDocument/2006/relationships/webSettings" Target="webSettings.xml"/><Relationship Id="rId237" Type="http://schemas.openxmlformats.org/officeDocument/2006/relationships/hyperlink" Target="https://www.itu.int/en/ITU-D/Cybersecurity/Pages/COP/POP.aspx" TargetMode="External"/><Relationship Id="rId791" Type="http://schemas.openxmlformats.org/officeDocument/2006/relationships/hyperlink" Target="https://unctad.org/system/files/information-document/gdc_implementation_map_en.pdf" TargetMode="External"/><Relationship Id="rId444" Type="http://schemas.openxmlformats.org/officeDocument/2006/relationships/hyperlink" Target="https://www.itu.int/en/itu-wsis/Documents/WSIS20/WSIS+20Report.pdf" TargetMode="External"/><Relationship Id="rId651" Type="http://schemas.openxmlformats.org/officeDocument/2006/relationships/hyperlink" Target="https://www.youtube.com/watch?v=IJmo71yujBY" TargetMode="External"/><Relationship Id="rId749" Type="http://schemas.openxmlformats.org/officeDocument/2006/relationships/hyperlink" Target="https://www.itu.int/en/ITU-T/extcoop/Documents/mou/ITU-SAE_International-20250711.pdf" TargetMode="External"/><Relationship Id="rId290" Type="http://schemas.openxmlformats.org/officeDocument/2006/relationships/hyperlink" Target="https://academy.itu.int/" TargetMode="External"/><Relationship Id="rId304" Type="http://schemas.openxmlformats.org/officeDocument/2006/relationships/hyperlink" Target="https://www.itu.int/pub/S-GEN-UNACT-2024" TargetMode="External"/><Relationship Id="rId388" Type="http://schemas.openxmlformats.org/officeDocument/2006/relationships/hyperlink" Target="https://academy.itu.int/digital-capacity-governments/itu-academy-training-centres" TargetMode="External"/><Relationship Id="rId511" Type="http://schemas.openxmlformats.org/officeDocument/2006/relationships/hyperlink" Target="https://www.itu.int/en/ITU-T/academia/kaleidoscope/Pages/default.aspx" TargetMode="External"/><Relationship Id="rId609" Type="http://schemas.openxmlformats.org/officeDocument/2006/relationships/hyperlink" Target="https://www.itu.int/md/S24-CL-C-0006/fr" TargetMode="External"/><Relationship Id="rId85" Type="http://schemas.openxmlformats.org/officeDocument/2006/relationships/hyperlink" Target="https://www.itu.int/ra-23/" TargetMode="External"/><Relationship Id="rId150" Type="http://schemas.openxmlformats.org/officeDocument/2006/relationships/image" Target="media/image6.png"/><Relationship Id="rId595" Type="http://schemas.openxmlformats.org/officeDocument/2006/relationships/hyperlink" Target="https://academy.itu.int/training-courses/full-catalogue/super-women-series-enhance-your-presence-influence-and-impact" TargetMode="External"/><Relationship Id="rId248" Type="http://schemas.openxmlformats.org/officeDocument/2006/relationships/hyperlink" Target="https://www.itu.int/en/council/Documents/basic-texts-2023/RES-214-F.pdf" TargetMode="External"/><Relationship Id="rId455" Type="http://schemas.openxmlformats.org/officeDocument/2006/relationships/hyperlink" Target="http://www.wsis.org/stocktaking" TargetMode="External"/><Relationship Id="rId662" Type="http://schemas.openxmlformats.org/officeDocument/2006/relationships/hyperlink" Target="https://www.itu.int/rec/T-REC-H.872/fr" TargetMode="External"/><Relationship Id="rId12" Type="http://schemas.openxmlformats.org/officeDocument/2006/relationships/hyperlink" Target="https://www.itu.int/dms_pub/itu-s/opb/conf/S-CONF-ACTF-2022-PDF-F.pdf" TargetMode="External"/><Relationship Id="rId108" Type="http://schemas.openxmlformats.org/officeDocument/2006/relationships/hyperlink" Target="https://gss.itu.int/" TargetMode="External"/><Relationship Id="rId315" Type="http://schemas.openxmlformats.org/officeDocument/2006/relationships/hyperlink" Target="https://www.itu.int/en/ITU-T/studygroups/2025-2028/11/Pages/default.aspx" TargetMode="External"/><Relationship Id="rId522" Type="http://schemas.openxmlformats.org/officeDocument/2006/relationships/hyperlink" Target="https://www.itu.int/fr/ITU-R/seminars/rrs/RRS-23-Africa/Pages/default.aspx" TargetMode="External"/><Relationship Id="rId96" Type="http://schemas.openxmlformats.org/officeDocument/2006/relationships/hyperlink" Target="https://www.itu.int/pub/R-RES-R.73/fr" TargetMode="External"/><Relationship Id="rId161" Type="http://schemas.openxmlformats.org/officeDocument/2006/relationships/hyperlink" Target="https://www.itu.int/itu-d/reports/statistics/2025/10/15/ff25-internet-use/" TargetMode="External"/><Relationship Id="rId399" Type="http://schemas.openxmlformats.org/officeDocument/2006/relationships/hyperlink" Target="https://aiforgood.itu.int/ai-skills-coalition/" TargetMode="External"/><Relationship Id="rId259" Type="http://schemas.openxmlformats.org/officeDocument/2006/relationships/hyperlink" Target="https://www.itu.int/metaverse/virtual-worlds/" TargetMode="External"/><Relationship Id="rId466" Type="http://schemas.openxmlformats.org/officeDocument/2006/relationships/hyperlink" Target="https://aiforgood.itu.int/ai-events-calendar/" TargetMode="External"/><Relationship Id="rId673" Type="http://schemas.openxmlformats.org/officeDocument/2006/relationships/image" Target="media/image23.jpeg"/><Relationship Id="rId23" Type="http://schemas.openxmlformats.org/officeDocument/2006/relationships/hyperlink" Target="https://www.itu.int/wtsa/2024/" TargetMode="External"/><Relationship Id="rId119" Type="http://schemas.openxmlformats.org/officeDocument/2006/relationships/hyperlink" Target="https://www.itu.int/dms_pub/itu-t/opb/res/T-RES-T.2-2024-PDF-E.pdf" TargetMode="External"/><Relationship Id="rId326" Type="http://schemas.openxmlformats.org/officeDocument/2006/relationships/hyperlink" Target="https://www.itu.int/rec/T-REC-Y.3814/en" TargetMode="External"/><Relationship Id="rId533" Type="http://schemas.openxmlformats.org/officeDocument/2006/relationships/hyperlink" Target="https://www.itu.int/wrs-24/" TargetMode="External"/><Relationship Id="rId740" Type="http://schemas.openxmlformats.org/officeDocument/2006/relationships/hyperlink" Target="https://u4ssc.itu.int/" TargetMode="External"/><Relationship Id="rId172" Type="http://schemas.openxmlformats.org/officeDocument/2006/relationships/hyperlink" Target="https://www.itu.int/itu-d/reports/statistics/global-connectivity-report-2025/" TargetMode="External"/><Relationship Id="rId477" Type="http://schemas.openxmlformats.org/officeDocument/2006/relationships/hyperlink" Target="https://aiforgood.itu.int/event/impact-africa/" TargetMode="External"/><Relationship Id="rId600" Type="http://schemas.openxmlformats.org/officeDocument/2006/relationships/hyperlink" Target="https://www.itu.int/160/" TargetMode="External"/><Relationship Id="rId684" Type="http://schemas.openxmlformats.org/officeDocument/2006/relationships/hyperlink" Target="https://www.itu.int/hub/publication/d-hdb-guidelines-04-2023/" TargetMode="External"/><Relationship Id="rId337" Type="http://schemas.openxmlformats.org/officeDocument/2006/relationships/hyperlink" Target="https://docs.un.org/en/A/RES/78/287" TargetMode="External"/><Relationship Id="rId34" Type="http://schemas.openxmlformats.org/officeDocument/2006/relationships/hyperlink" Target="https://aiforgood.itu.int/ai-for-health/" TargetMode="External"/><Relationship Id="rId544" Type="http://schemas.openxmlformats.org/officeDocument/2006/relationships/hyperlink" Target="https://www.itu.int/en/ITU-R/conferences/wrc/2023/irwsp/Pages/2023.aspx" TargetMode="External"/><Relationship Id="rId751" Type="http://schemas.openxmlformats.org/officeDocument/2006/relationships/hyperlink" Target="https://www.itu.int/itu-t/landscape/?topic=tx21&amp;group=g&amp;search_text=" TargetMode="External"/><Relationship Id="rId183" Type="http://schemas.openxmlformats.org/officeDocument/2006/relationships/hyperlink" Target="https://www.itu.int/ITU-R/terrasys" TargetMode="External"/><Relationship Id="rId390" Type="http://schemas.openxmlformats.org/officeDocument/2006/relationships/image" Target="media/image19.jpeg"/><Relationship Id="rId404" Type="http://schemas.openxmlformats.org/officeDocument/2006/relationships/hyperlink" Target="https://www.itu.int/en/ITU-D/Projects/_layouts/15/AccessDenied.aspx?Source=https%3A%2F%2Fwww%2Eitu%2Eint%2Fen%2FITU%2DD%2FProjects%2FPages%2Freports%2Fdefault%2Easpx&amp;correlation=516e03a2%2D5635%2D1070%2D037c%2De54be8362c6d&amp;Type=item&amp;name=aef4ddbf%2Db2ae%2D46bb%2D9414%2Dc205c2e17990&amp;listItemId=46" TargetMode="External"/><Relationship Id="rId611" Type="http://schemas.openxmlformats.org/officeDocument/2006/relationships/hyperlink" Target="https://www.itu.int/generationconnect/wp-content/uploads/2020/12/ITU-YOUTH-STRATEGY-F.pdf" TargetMode="External"/><Relationship Id="rId250" Type="http://schemas.openxmlformats.org/officeDocument/2006/relationships/hyperlink" Target="https://www.itu.int/en/council/Documents/basic-texts-2023/RES-214-E.pdf" TargetMode="External"/><Relationship Id="rId488" Type="http://schemas.openxmlformats.org/officeDocument/2006/relationships/hyperlink" Target="https://www.itu.int/en/ITU-D/Regulatory-Market/Pages/bestpractices.aspx" TargetMode="External"/><Relationship Id="rId695" Type="http://schemas.openxmlformats.org/officeDocument/2006/relationships/hyperlink" Target="https://www.itu.int/partner2connect/events/past-events/" TargetMode="External"/><Relationship Id="rId709" Type="http://schemas.openxmlformats.org/officeDocument/2006/relationships/hyperlink" Target="https://www.itu.int/initiatives/sdgdigital2024/" TargetMode="External"/><Relationship Id="rId45" Type="http://schemas.openxmlformats.org/officeDocument/2006/relationships/hyperlink" Target="https://www.itu.int/net4/wsis/forum/2026/" TargetMode="External"/><Relationship Id="rId110" Type="http://schemas.openxmlformats.org/officeDocument/2006/relationships/hyperlink" Target="https://www.itu.int/fr/ITU-T/studygroups/2022-2024/16/Pages/default.aspx" TargetMode="External"/><Relationship Id="rId348" Type="http://schemas.openxmlformats.org/officeDocument/2006/relationships/hyperlink" Target="https://www.itu.int/en/ITU-T/focusgroups/mv/Pages/FG-MV-structure-and-workplan.aspx" TargetMode="External"/><Relationship Id="rId555" Type="http://schemas.openxmlformats.org/officeDocument/2006/relationships/hyperlink" Target="https://www.itu.int/en/ITU-T/Workshops-and-Seminars/2022/0125/Pages/default.aspx" TargetMode="External"/><Relationship Id="rId762" Type="http://schemas.openxmlformats.org/officeDocument/2006/relationships/hyperlink" Target="https://www.worldstandardscooperation.org/" TargetMode="External"/><Relationship Id="rId194" Type="http://schemas.openxmlformats.org/officeDocument/2006/relationships/hyperlink" Target="https://www.itu.int/md/T25-SG11-260303-TD-GEN-0909/en" TargetMode="External"/><Relationship Id="rId208" Type="http://schemas.openxmlformats.org/officeDocument/2006/relationships/hyperlink" Target="https://www.itu.int/myworkspace/Home" TargetMode="External"/><Relationship Id="rId415" Type="http://schemas.openxmlformats.org/officeDocument/2006/relationships/hyperlink" Target="https://www.itu.int/net4/wsis/forum/2026/fr" TargetMode="External"/><Relationship Id="rId622" Type="http://schemas.openxmlformats.org/officeDocument/2006/relationships/hyperlink" Target="https://www.itu.int/generationconnect/fr/generation-connect-podcast/" TargetMode="External"/><Relationship Id="rId261" Type="http://schemas.openxmlformats.org/officeDocument/2006/relationships/hyperlink" Target="https://www.itu.int/dms_pub/itu-t/opb/res/T-RES-T.101-2024-PDF-F.pdf" TargetMode="External"/><Relationship Id="rId499" Type="http://schemas.openxmlformats.org/officeDocument/2006/relationships/hyperlink" Target="https://www.itu.int/hub/2025/09/new-itu-academic-collaboration-on-technology-trends/" TargetMode="External"/><Relationship Id="rId56" Type="http://schemas.openxmlformats.org/officeDocument/2006/relationships/hyperlink" Target="https://www.equalsintech.org/" TargetMode="External"/><Relationship Id="rId359" Type="http://schemas.openxmlformats.org/officeDocument/2006/relationships/hyperlink" Target="https://www.itu.int/en/ITU-T/studygroups/2025-2028/20/Pages/default.aspx" TargetMode="External"/><Relationship Id="rId566" Type="http://schemas.openxmlformats.org/officeDocument/2006/relationships/hyperlink" Target="https://www.itu.int/en/ITU-D/ICT-Applications/Pages/digital-government.aspx" TargetMode="External"/><Relationship Id="rId773" Type="http://schemas.openxmlformats.org/officeDocument/2006/relationships/hyperlink" Target="https://www.itu.int/pub/T-FG-AI4NDM-2022" TargetMode="External"/><Relationship Id="rId121" Type="http://schemas.openxmlformats.org/officeDocument/2006/relationships/hyperlink" Target="https://www.itu.int/itu-d/meetings/wtdc25/" TargetMode="External"/><Relationship Id="rId219" Type="http://schemas.openxmlformats.org/officeDocument/2006/relationships/hyperlink" Target="https://www.itu.int/en/ITU-D/Cybersecurity/Pages/national-CIRT.aspx" TargetMode="External"/><Relationship Id="rId426" Type="http://schemas.openxmlformats.org/officeDocument/2006/relationships/hyperlink" Target="http://www.wsis.org/prizes" TargetMode="External"/><Relationship Id="rId633" Type="http://schemas.openxmlformats.org/officeDocument/2006/relationships/hyperlink" Target="https://www.itu.int/md/S25-CL-C-0032/fr" TargetMode="External"/><Relationship Id="rId67" Type="http://schemas.openxmlformats.org/officeDocument/2006/relationships/image" Target="media/image1.png"/><Relationship Id="rId272" Type="http://schemas.openxmlformats.org/officeDocument/2006/relationships/hyperlink" Target="https://www.itu.int/dms_pub/itu-t/opb/res/T-RES-T.101-2024-PDF-E.pdf" TargetMode="External"/><Relationship Id="rId577" Type="http://schemas.openxmlformats.org/officeDocument/2006/relationships/hyperlink" Target="https://www.itu.int/women-and-girls/girls-in-ict/international-girls-in-ict-day-2026/overview/" TargetMode="External"/><Relationship Id="rId700" Type="http://schemas.openxmlformats.org/officeDocument/2006/relationships/hyperlink" Target="https://www.itu.int/initiatives/green-digital-action/events/all/cop29/declaration/" TargetMode="External"/><Relationship Id="rId132" Type="http://schemas.openxmlformats.org/officeDocument/2006/relationships/hyperlink" Target="https://www.itu.int/md/D22-WTDC25-251117/sum/en" TargetMode="External"/><Relationship Id="rId784" Type="http://schemas.openxmlformats.org/officeDocument/2006/relationships/hyperlink" Target="https://www.itu.int/hub/2023/07/new-un-initiative-aims-to-step-up-ais-contribution-to-health/" TargetMode="External"/><Relationship Id="rId437" Type="http://schemas.openxmlformats.org/officeDocument/2006/relationships/hyperlink" Target="https://www.itu.int/net4/wsis/forum/2024/en" TargetMode="External"/><Relationship Id="rId644" Type="http://schemas.openxmlformats.org/officeDocument/2006/relationships/hyperlink" Target="https://academy.itu.int/" TargetMode="External"/><Relationship Id="rId283" Type="http://schemas.openxmlformats.org/officeDocument/2006/relationships/hyperlink" Target="https://aiforgood.itu.int/ai-skills-coalition/" TargetMode="External"/><Relationship Id="rId490" Type="http://schemas.openxmlformats.org/officeDocument/2006/relationships/hyperlink" Target="https://www.itu.int/en/ITU-D/Regulatory-Market/Documents/GSR23/GSR-23_Best%20Practice%20Guidelines-E.pdf" TargetMode="External"/><Relationship Id="rId504" Type="http://schemas.openxmlformats.org/officeDocument/2006/relationships/hyperlink" Target="https://www.itu.int/en/journal/j-fet/webinars/Pages/default.aspx" TargetMode="External"/><Relationship Id="rId711" Type="http://schemas.openxmlformats.org/officeDocument/2006/relationships/hyperlink" Target="https://www.broadbandcommission.org/" TargetMode="External"/><Relationship Id="rId78" Type="http://schemas.openxmlformats.org/officeDocument/2006/relationships/hyperlink" Target="https://pp.itu.int/2022/fr/elections/elections-results/" TargetMode="External"/><Relationship Id="rId143" Type="http://schemas.openxmlformats.org/officeDocument/2006/relationships/image" Target="media/image3.png"/><Relationship Id="rId350" Type="http://schemas.openxmlformats.org/officeDocument/2006/relationships/hyperlink" Target="https://www.itu.int/un-virtual-worlds-day/2025/" TargetMode="External"/><Relationship Id="rId588" Type="http://schemas.openxmlformats.org/officeDocument/2006/relationships/hyperlink" Target="https://www.equalsintech.org/_files/ugd/04bfff_cc8e6f166c2e41beabc88cbb3226f66f.pdf" TargetMode="External"/><Relationship Id="rId795" Type="http://schemas.openxmlformats.org/officeDocument/2006/relationships/hyperlink" Target="https://www.itu.int/md/S24-CL-C-0070/fr" TargetMode="External"/><Relationship Id="rId809" Type="http://schemas.openxmlformats.org/officeDocument/2006/relationships/theme" Target="theme/theme1.xml"/><Relationship Id="rId9" Type="http://schemas.openxmlformats.org/officeDocument/2006/relationships/hyperlink" Target="https://www.itu.int/en/council/planning/Documents/Res71-PP2-final.pdf" TargetMode="External"/><Relationship Id="rId210" Type="http://schemas.openxmlformats.org/officeDocument/2006/relationships/hyperlink" Target="https://www.itu.int/pub/T-RES-T.67-2024/fr" TargetMode="External"/><Relationship Id="rId448" Type="http://schemas.openxmlformats.org/officeDocument/2006/relationships/hyperlink" Target="https://www.itu.int/md/meetingdoc.asp?lang=en&amp;parent=S26-CWGWSIS44-C-0005" TargetMode="External"/><Relationship Id="rId655" Type="http://schemas.openxmlformats.org/officeDocument/2006/relationships/hyperlink" Target="https://www.youtube.com/watch?v=SpCcmMSrCz8&amp;feature=youtu.be" TargetMode="External"/><Relationship Id="rId294" Type="http://schemas.openxmlformats.org/officeDocument/2006/relationships/hyperlink" Target="https://unsceb.org/sites/default/files/2022-09/Principles%20for%20the%20Ethical%20Use%20of%20AI%20in%20the%20UN%20System_1.pdf" TargetMode="External"/><Relationship Id="rId308" Type="http://schemas.openxmlformats.org/officeDocument/2006/relationships/hyperlink" Target="https://www.itu.int/epublications/publication/the-annual-ai-governance-report-2025-steering-the-future-of-ai" TargetMode="External"/><Relationship Id="rId515" Type="http://schemas.openxmlformats.org/officeDocument/2006/relationships/hyperlink" Target="https://aiforgood.itu.int/summit26/" TargetMode="External"/><Relationship Id="rId722" Type="http://schemas.openxmlformats.org/officeDocument/2006/relationships/hyperlink" Target="https://www.itu.int/partner2connect/" TargetMode="External"/><Relationship Id="rId89" Type="http://schemas.openxmlformats.org/officeDocument/2006/relationships/hyperlink" Target="https://www.itu.int/pub/R-RES-R.5/fr" TargetMode="External"/><Relationship Id="rId154" Type="http://schemas.openxmlformats.org/officeDocument/2006/relationships/hyperlink" Target="https://www.itu.int/itu-d/reports/statistics/2025/10/15/ff25-mobile-phone-ownership/" TargetMode="External"/><Relationship Id="rId361" Type="http://schemas.openxmlformats.org/officeDocument/2006/relationships/hyperlink" Target="https://www.itu.int/go/tsg20" TargetMode="External"/><Relationship Id="rId599" Type="http://schemas.openxmlformats.org/officeDocument/2006/relationships/hyperlink" Target="https://www.itu.int/hub/publication/d-hdb-gender-2023-01/" TargetMode="External"/><Relationship Id="rId459" Type="http://schemas.openxmlformats.org/officeDocument/2006/relationships/hyperlink" Target="https://www.itu.int/en/itu-wsis/Pages/WSIS-Fund-in-Trust.aspx" TargetMode="External"/><Relationship Id="rId666" Type="http://schemas.openxmlformats.org/officeDocument/2006/relationships/hyperlink" Target="https://www.itu.int/metaverse/virtual-worlds/" TargetMode="External"/><Relationship Id="rId16" Type="http://schemas.openxmlformats.org/officeDocument/2006/relationships/hyperlink" Target="https://www.itu.int/en/council/Documents/basic-texts-2023/RES-071-E.pdf" TargetMode="External"/><Relationship Id="rId221" Type="http://schemas.openxmlformats.org/officeDocument/2006/relationships/hyperlink" Target="https://www.itu.int/en/ITU-D/Cybersecurity/Pages/global-cybersecurity-index.aspx" TargetMode="External"/><Relationship Id="rId319" Type="http://schemas.openxmlformats.org/officeDocument/2006/relationships/hyperlink" Target="https://www.itu.int/rec/T-REC-Y.3809/en" TargetMode="External"/><Relationship Id="rId526" Type="http://schemas.openxmlformats.org/officeDocument/2006/relationships/hyperlink" Target="https://www.itu.int/en/ITU-R/seminars/Pages/default.aspx" TargetMode="External"/><Relationship Id="rId733" Type="http://schemas.openxmlformats.org/officeDocument/2006/relationships/hyperlink" Target="https://www.itu.int/en/ITU-D/Digital-Inclusion/Pages/EIF-Regional-Project-.aspx" TargetMode="External"/><Relationship Id="rId165" Type="http://schemas.openxmlformats.org/officeDocument/2006/relationships/hyperlink" Target="https://www.itu.int/itu-d/reports/statistics/2025/10/15/ff25-youth-internet-use/" TargetMode="External"/><Relationship Id="rId372" Type="http://schemas.openxmlformats.org/officeDocument/2006/relationships/hyperlink" Target="https://www.itu.int/en/ITU-D/Statistics/Pages/definitions/default.aspx" TargetMode="External"/><Relationship Id="rId677" Type="http://schemas.openxmlformats.org/officeDocument/2006/relationships/hyperlink" Target="https://desapublications.un.org/policy-dialogues/leaving-no-one-behind-ageing-world-un-desa-global-policy-dialogue" TargetMode="External"/><Relationship Id="rId800" Type="http://schemas.openxmlformats.org/officeDocument/2006/relationships/hyperlink" Target="https://www.itu.int/en/council/dashboard/Pages/HumanResourcesReport.aspx" TargetMode="External"/><Relationship Id="rId232" Type="http://schemas.openxmlformats.org/officeDocument/2006/relationships/hyperlink" Target="https://www.itu.int/en/ITU-D/Cybersecurity/Pages/Skills-Development/Skills-Development-in-Cybersecurity.aspx" TargetMode="External"/><Relationship Id="rId27" Type="http://schemas.openxmlformats.org/officeDocument/2006/relationships/hyperlink" Target="https://aiforgood.itu.int/quantum-for-good/" TargetMode="External"/><Relationship Id="rId537" Type="http://schemas.openxmlformats.org/officeDocument/2006/relationships/hyperlink" Target="https://www.itu.int/en/ITU-R/seminars/Future-of-tv-europe/Pages/default.aspx" TargetMode="External"/><Relationship Id="rId744" Type="http://schemas.openxmlformats.org/officeDocument/2006/relationships/hyperlink" Target="https://u4ssc.itu.int/latest-meetings/" TargetMode="External"/><Relationship Id="rId80" Type="http://schemas.openxmlformats.org/officeDocument/2006/relationships/hyperlink" Target="https://www.itu.int/wrc-23/" TargetMode="External"/><Relationship Id="rId176" Type="http://schemas.openxmlformats.org/officeDocument/2006/relationships/hyperlink" Target="https://www.itu.int/wrc-27/" TargetMode="External"/><Relationship Id="rId383" Type="http://schemas.openxmlformats.org/officeDocument/2006/relationships/hyperlink" Target="https://www.itu.int/itu-d/meetings/wtis25/" TargetMode="External"/><Relationship Id="rId590" Type="http://schemas.openxmlformats.org/officeDocument/2006/relationships/hyperlink" Target="https://www.itu.int/women-and-girls/girls-in-ict/international-girls-in-ict-day-2026/overview/" TargetMode="External"/><Relationship Id="rId604" Type="http://schemas.openxmlformats.org/officeDocument/2006/relationships/hyperlink" Target="https://www.itu.int/hub/2025/11/lets-end-digital-violence-against-women-and-girls/" TargetMode="External"/><Relationship Id="rId243" Type="http://schemas.openxmlformats.org/officeDocument/2006/relationships/hyperlink" Target="https://www.itu.int/en/ITU-T/studygroups/2025-2028/20/Pages/default.aspx" TargetMode="External"/><Relationship Id="rId450" Type="http://schemas.openxmlformats.org/officeDocument/2006/relationships/hyperlink" Target="https://www.itu.int/net4/wsis/ungis/Articles/View/2239" TargetMode="External"/><Relationship Id="rId688" Type="http://schemas.openxmlformats.org/officeDocument/2006/relationships/hyperlink" Target="https://www.itu.int/en/ITU-D/Environment/Pages/Publications/Measuring-Emissions-and-Energy-Footprint-ICT-Sector.aspx" TargetMode="External"/><Relationship Id="rId38" Type="http://schemas.openxmlformats.org/officeDocument/2006/relationships/hyperlink" Target="https://www.itu.int/itu-d/reports/statistics/global-connectivity-report-2025/" TargetMode="External"/><Relationship Id="rId103" Type="http://schemas.openxmlformats.org/officeDocument/2006/relationships/hyperlink" Target="https://www.itu.int/pub/R-RES-R.75" TargetMode="External"/><Relationship Id="rId310" Type="http://schemas.openxmlformats.org/officeDocument/2006/relationships/hyperlink" Target="https://www.itu.int/net4/wsis/forum/2026/fr" TargetMode="External"/><Relationship Id="rId548" Type="http://schemas.openxmlformats.org/officeDocument/2006/relationships/hyperlink" Target="chrome-extension://efaidnbmnnnibpcajpcglclefindmkaj/https:/www.itu.int/dms_pub/itu-r/oth/0a/07/R0A070000470001PDFE.pdf" TargetMode="External"/><Relationship Id="rId755" Type="http://schemas.openxmlformats.org/officeDocument/2006/relationships/hyperlink" Target="https://fnc.itu.int/" TargetMode="External"/><Relationship Id="rId91" Type="http://schemas.openxmlformats.org/officeDocument/2006/relationships/hyperlink" Target="https://www.itu.int/pub/R-RES-R.56/fr" TargetMode="External"/><Relationship Id="rId187" Type="http://schemas.openxmlformats.org/officeDocument/2006/relationships/hyperlink" Target="https://www.itu.int/dms_pub/itu-t/opb/res/T-RES-T.61-2024-PDF-F.pdf" TargetMode="External"/><Relationship Id="rId394" Type="http://schemas.openxmlformats.org/officeDocument/2006/relationships/hyperlink" Target="https://www.itu.int/itu-d/meetings/digital-skills-forum/" TargetMode="External"/><Relationship Id="rId408" Type="http://schemas.openxmlformats.org/officeDocument/2006/relationships/hyperlink" Target="http://www.wsis.org" TargetMode="External"/><Relationship Id="rId615" Type="http://schemas.openxmlformats.org/officeDocument/2006/relationships/hyperlink" Target="https://www.youtube.com/watch?v=j1o2mY676TA" TargetMode="External"/><Relationship Id="rId254" Type="http://schemas.openxmlformats.org/officeDocument/2006/relationships/hyperlink" Target="https://www.itu.int/en/ITU-T/focusgroups/ai4h/Pages/default.aspx" TargetMode="External"/><Relationship Id="rId699" Type="http://schemas.openxmlformats.org/officeDocument/2006/relationships/hyperlink" Target="https://www.itu.int/initiatives/green-digital-action/events/cop30/" TargetMode="External"/><Relationship Id="rId49" Type="http://schemas.openxmlformats.org/officeDocument/2006/relationships/hyperlink" Target="https://www.itu.int/partner2connect/" TargetMode="External"/><Relationship Id="rId114" Type="http://schemas.openxmlformats.org/officeDocument/2006/relationships/hyperlink" Target="https://www.itu.int/en/ITU-T/studygroups/2025-2028/21/Pages/default.aspx" TargetMode="External"/><Relationship Id="rId461" Type="http://schemas.openxmlformats.org/officeDocument/2006/relationships/hyperlink" Target="https://www.itu.int/fr/ITU-D/Statistics/Pages/intlcoop/partnership/default.aspx" TargetMode="External"/><Relationship Id="rId559" Type="http://schemas.openxmlformats.org/officeDocument/2006/relationships/hyperlink" Target="https://www.itu.int/en/ITU-T/Workshops-and-Seminars/2025/Pages/default.aspx" TargetMode="External"/><Relationship Id="rId766" Type="http://schemas.openxmlformats.org/officeDocument/2006/relationships/hyperlink" Target="https://aiforgood.itu.int/ai-standards/" TargetMode="External"/><Relationship Id="rId198" Type="http://schemas.openxmlformats.org/officeDocument/2006/relationships/hyperlink" Target="https://www.itu.int/pub/R-REC/fr" TargetMode="External"/><Relationship Id="rId321" Type="http://schemas.openxmlformats.org/officeDocument/2006/relationships/hyperlink" Target="https://www.itu.int/en/ITU-T/studygroups/2025-2028/11/Pages/default.aspx" TargetMode="External"/><Relationship Id="rId419" Type="http://schemas.openxmlformats.org/officeDocument/2006/relationships/hyperlink" Target="https://www.itu.int/md/S24-CL-C-0141/en" TargetMode="External"/><Relationship Id="rId626" Type="http://schemas.openxmlformats.org/officeDocument/2006/relationships/hyperlink" Target="https://www.itu.int/net4/wsis/forum/2023/fr/Home/ICTsYouthPrize" TargetMode="External"/><Relationship Id="rId265" Type="http://schemas.openxmlformats.org/officeDocument/2006/relationships/hyperlink" Target="https://www.itu.int/en/ITU-T/focusgroups/ai4h/Pages/default.aspx" TargetMode="External"/><Relationship Id="rId472" Type="http://schemas.openxmlformats.org/officeDocument/2006/relationships/hyperlink" Target="https://aiforgood.itu.int/neural-network/" TargetMode="External"/><Relationship Id="rId125" Type="http://schemas.openxmlformats.org/officeDocument/2006/relationships/hyperlink" Target="https://www.itu.int/itu-d/meetings/wtdc25/wp-content/uploads/sites/29/2025/11/090-E.pdf" TargetMode="External"/><Relationship Id="rId332" Type="http://schemas.openxmlformats.org/officeDocument/2006/relationships/hyperlink" Target="https://docs.un.org/fr/A/RES/78/287" TargetMode="External"/><Relationship Id="rId777" Type="http://schemas.openxmlformats.org/officeDocument/2006/relationships/hyperlink" Target="https://www.itu.int/en/ITU-T/focusgroups/ai4ndm/Pages/events.aspx" TargetMode="External"/><Relationship Id="rId637" Type="http://schemas.openxmlformats.org/officeDocument/2006/relationships/hyperlink" Target="https://www.itu.int/metaverse/virtual-worlds/1st-un-citiverse-challenge/" TargetMode="External"/><Relationship Id="rId276" Type="http://schemas.openxmlformats.org/officeDocument/2006/relationships/hyperlink" Target="https://aiforgood.itu.int/about-us/innovation-factory/" TargetMode="External"/><Relationship Id="rId483" Type="http://schemas.openxmlformats.org/officeDocument/2006/relationships/hyperlink" Target="https://www.itu.int/net/epub/TSB/2024-GSS-Conclusions/index.html" TargetMode="External"/><Relationship Id="rId690" Type="http://schemas.openxmlformats.org/officeDocument/2006/relationships/hyperlink" Target="https://www.itu.int/en/ITU-D/Environment/Documents/Publications/2025/ITU-World%20Bank%20Green%20data%20centers_2023.pdf" TargetMode="External"/><Relationship Id="rId704" Type="http://schemas.openxmlformats.org/officeDocument/2006/relationships/hyperlink" Target="https://www.itu.int/initiatives/green-digital-action/about-us/partners/" TargetMode="External"/><Relationship Id="rId40" Type="http://schemas.openxmlformats.org/officeDocument/2006/relationships/hyperlink" Target="https://academy.itu.int/" TargetMode="External"/><Relationship Id="rId136" Type="http://schemas.openxmlformats.org/officeDocument/2006/relationships/hyperlink" Target="https://www.itu.int/highlights-report-activities/connect2030-agenda/" TargetMode="External"/><Relationship Id="rId343" Type="http://schemas.openxmlformats.org/officeDocument/2006/relationships/hyperlink" Target="https://www.itu.int/en/ITU-T/focusgroups/mv/Pages/default.aspx" TargetMode="External"/><Relationship Id="rId550" Type="http://schemas.openxmlformats.org/officeDocument/2006/relationships/hyperlink" Target="https://www.itu.int/en/ITU-R/seminars/ntfa/Pages/default.aspx" TargetMode="External"/><Relationship Id="rId788" Type="http://schemas.openxmlformats.org/officeDocument/2006/relationships/hyperlink" Target="https://www.itu.int/hub/publication/s-gen-invest-con-2025/" TargetMode="External"/><Relationship Id="rId203" Type="http://schemas.openxmlformats.org/officeDocument/2006/relationships/hyperlink" Target="https://www.itu.int/en/ITU-T/regionalgroups/Pages/default.aspx" TargetMode="External"/><Relationship Id="rId648" Type="http://schemas.openxmlformats.org/officeDocument/2006/relationships/hyperlink" Target="https://www.itu.int/en/ITU-D/Digital-Inclusion/Documents/Auto-evaluation%20UIT%20pour%20la%20mise%20en%20oeuvre%20de%20TIC%20accessibles%20-%20FINAL_1.xlsm" TargetMode="External"/><Relationship Id="rId287" Type="http://schemas.openxmlformats.org/officeDocument/2006/relationships/hyperlink" Target="https://aiforgood.itu.int/event/impact-africa/" TargetMode="External"/><Relationship Id="rId410" Type="http://schemas.openxmlformats.org/officeDocument/2006/relationships/hyperlink" Target="https://www.itu.int/md/S24-CL-C-0141/en" TargetMode="External"/><Relationship Id="rId494" Type="http://schemas.openxmlformats.org/officeDocument/2006/relationships/hyperlink" Target="https://www.itu.int/net/epub/BDT/2025-GSR-25-Best-Practice-Guidelines/index.html" TargetMode="External"/><Relationship Id="rId508" Type="http://schemas.openxmlformats.org/officeDocument/2006/relationships/hyperlink" Target="https://www.itu.int/en/ITU-T/academia/kaleidoscope/2024/Pages/default.aspx" TargetMode="External"/><Relationship Id="rId715" Type="http://schemas.openxmlformats.org/officeDocument/2006/relationships/hyperlink" Target="https://broadbandcommission.org/working-groups/" TargetMode="External"/><Relationship Id="rId147" Type="http://schemas.openxmlformats.org/officeDocument/2006/relationships/hyperlink" Target="https://www.itu.int/itu-d/reports/statistics/2025/10/15/ff25-mobile-network-coverage/" TargetMode="External"/><Relationship Id="rId354" Type="http://schemas.openxmlformats.org/officeDocument/2006/relationships/hyperlink" Target="https://www.itu.int/metaverse/virtual-worlds/1st-un-citiverse-challenge/" TargetMode="External"/><Relationship Id="rId799" Type="http://schemas.openxmlformats.org/officeDocument/2006/relationships/hyperlink" Target="https://www.itu.int/fr/action/youth/Pages/YPP.aspx" TargetMode="External"/><Relationship Id="rId51" Type="http://schemas.openxmlformats.org/officeDocument/2006/relationships/hyperlink" Target="https://www.broadbandcommission.org/" TargetMode="External"/><Relationship Id="rId561" Type="http://schemas.openxmlformats.org/officeDocument/2006/relationships/hyperlink" Target="https://www.itu.int/en/events/Pages/Calendar-Events.aspx?sector=ITU-D%5c" TargetMode="External"/><Relationship Id="rId659" Type="http://schemas.openxmlformats.org/officeDocument/2006/relationships/hyperlink" Target="https://www.itu.int/rec/T-REC-H.870/fr" TargetMode="External"/><Relationship Id="rId214" Type="http://schemas.openxmlformats.org/officeDocument/2006/relationships/hyperlink" Target="https://www.itu.int/en/ITU-T/dfs/seclab/Pages/default.aspx" TargetMode="External"/><Relationship Id="rId298" Type="http://schemas.openxmlformats.org/officeDocument/2006/relationships/hyperlink" Target="https://docs.un.org/fr/A/RES/79/325" TargetMode="External"/><Relationship Id="rId421" Type="http://schemas.openxmlformats.org/officeDocument/2006/relationships/hyperlink" Target="https://www.itu.int/itu-d/meetings/wtdc25/wp-content/uploads/sites/29/2025/11/090-E.pdf" TargetMode="External"/><Relationship Id="rId519" Type="http://schemas.openxmlformats.org/officeDocument/2006/relationships/hyperlink" Target="https://www.itu.int/en/ITU-R/seminars/rrs/rrs-22-ee/Pages/default.aspx" TargetMode="External"/><Relationship Id="rId158" Type="http://schemas.openxmlformats.org/officeDocument/2006/relationships/image" Target="media/image9.png"/><Relationship Id="rId726" Type="http://schemas.openxmlformats.org/officeDocument/2006/relationships/hyperlink" Target="https://www.equalsintech.org/skills" TargetMode="External"/><Relationship Id="rId62" Type="http://schemas.openxmlformats.org/officeDocument/2006/relationships/hyperlink" Target="https://pp.itu.int/2026/en/" TargetMode="External"/><Relationship Id="rId365" Type="http://schemas.openxmlformats.org/officeDocument/2006/relationships/image" Target="media/image17.png"/><Relationship Id="rId572" Type="http://schemas.openxmlformats.org/officeDocument/2006/relationships/hyperlink" Target="https://www.itu.int/itu-d/meetings/wtdc25/" TargetMode="External"/><Relationship Id="rId225" Type="http://schemas.openxmlformats.org/officeDocument/2006/relationships/hyperlink" Target="https://meetings.unoda.org/meeting/57871" TargetMode="External"/><Relationship Id="rId432" Type="http://schemas.openxmlformats.org/officeDocument/2006/relationships/hyperlink" Target="https://www.itu.int/net4/wsis/forum/2023/fr" TargetMode="External"/><Relationship Id="rId737" Type="http://schemas.openxmlformats.org/officeDocument/2006/relationships/hyperlink" Target="https://www.itu.int/un-virtual-worlds-day/2026/" TargetMode="External"/><Relationship Id="rId73" Type="http://schemas.openxmlformats.org/officeDocument/2006/relationships/hyperlink" Target="https://www.itu.int/en/council/Documents/basic-texts-2023/RES-071-E.pdf" TargetMode="External"/><Relationship Id="rId169" Type="http://schemas.openxmlformats.org/officeDocument/2006/relationships/hyperlink" Target="https://www.itu.int/hub/publication/d-gdc-clim-2025/" TargetMode="External"/><Relationship Id="rId376" Type="http://schemas.openxmlformats.org/officeDocument/2006/relationships/hyperlink" Target="https://www.itu.int/en/ITU-D/Statistics/Pages/publications/default.aspx" TargetMode="External"/><Relationship Id="rId583" Type="http://schemas.openxmlformats.org/officeDocument/2006/relationships/hyperlink" Target="https://www.itu.int/en/ITU-D/Regional-Presence/Africa/Pages/African-Girls-Can-Code-Initiative-(AGCCI)-II.aspx" TargetMode="External"/><Relationship Id="rId790" Type="http://schemas.openxmlformats.org/officeDocument/2006/relationships/hyperlink" Target="https://www.itu.int/md/S25-CWGWSIS42-C-0010/fr" TargetMode="External"/><Relationship Id="rId804" Type="http://schemas.openxmlformats.org/officeDocument/2006/relationships/footer" Target="footer1.xml"/><Relationship Id="rId4" Type="http://schemas.openxmlformats.org/officeDocument/2006/relationships/settings" Target="settings.xml"/><Relationship Id="rId236" Type="http://schemas.openxmlformats.org/officeDocument/2006/relationships/hyperlink" Target="https://www.itu.int/en/ITU-D/Cybersecurity/Pages/COP/COP.aspx" TargetMode="External"/><Relationship Id="rId443" Type="http://schemas.openxmlformats.org/officeDocument/2006/relationships/hyperlink" Target="https://www.itu.int/net4/wsis/ungis/content/upload/doc/roadmaps/ITU-WSIS20-Roadmap.pdf" TargetMode="External"/><Relationship Id="rId650" Type="http://schemas.openxmlformats.org/officeDocument/2006/relationships/hyperlink" Target="https://www.youtube.com/watch?v=KDDTwsxAaqs" TargetMode="External"/><Relationship Id="rId303" Type="http://schemas.openxmlformats.org/officeDocument/2006/relationships/hyperlink" Target="https://unaihub.aiforgood.itu.int/" TargetMode="External"/><Relationship Id="rId748" Type="http://schemas.openxmlformats.org/officeDocument/2006/relationships/hyperlink" Target="https://www.itu.int/en/ITU-T/ITS/Pages/WTSA-Resolution-104.aspx" TargetMode="External"/><Relationship Id="rId84" Type="http://schemas.openxmlformats.org/officeDocument/2006/relationships/hyperlink" Target="https://www.itu.int/pub/R-REG-RR-2024" TargetMode="External"/><Relationship Id="rId387" Type="http://schemas.openxmlformats.org/officeDocument/2006/relationships/image" Target="media/image18.png"/><Relationship Id="rId510" Type="http://schemas.openxmlformats.org/officeDocument/2006/relationships/hyperlink" Target="https://aiforgood.itu.int/summit26/" TargetMode="External"/><Relationship Id="rId594" Type="http://schemas.openxmlformats.org/officeDocument/2006/relationships/hyperlink" Target="https://www.itu.int/en/ITU-D/Digital-Inclusion/Women-and-Girls/NoW/Pages/default.aspx" TargetMode="External"/><Relationship Id="rId608" Type="http://schemas.openxmlformats.org/officeDocument/2006/relationships/hyperlink" Target="https://www.itu.int/md/S25-CL-C-0006/fr" TargetMode="External"/><Relationship Id="rId247" Type="http://schemas.openxmlformats.org/officeDocument/2006/relationships/hyperlink" Target="https://www.itu.int/en/action/ai/Pages/default.aspx" TargetMode="External"/><Relationship Id="rId107" Type="http://schemas.openxmlformats.org/officeDocument/2006/relationships/hyperlink" Target="https://www.itu.int/wtsa/2024/" TargetMode="External"/><Relationship Id="rId454" Type="http://schemas.openxmlformats.org/officeDocument/2006/relationships/hyperlink" Target="https://docs.un.org/fr/E/RES/2025/18" TargetMode="External"/><Relationship Id="rId661" Type="http://schemas.openxmlformats.org/officeDocument/2006/relationships/hyperlink" Target="https://www.itu.int/pub/T-TUT-EHT-2024-3/fr" TargetMode="External"/><Relationship Id="rId759" Type="http://schemas.openxmlformats.org/officeDocument/2006/relationships/hyperlink" Target="https://www.itu.int/en/ITU-T/extcoop/Pages/wsc.aspx" TargetMode="External"/><Relationship Id="rId11" Type="http://schemas.openxmlformats.org/officeDocument/2006/relationships/hyperlink" Target="https://www.itu.int/dms_pub/itu-s/opb/conf/S-CONF-ACTF-2022-PDF-F.pdf" TargetMode="External"/><Relationship Id="rId314" Type="http://schemas.openxmlformats.org/officeDocument/2006/relationships/hyperlink" Target="https://www.itu.int/net4/wsis/forum/2026/en" TargetMode="External"/><Relationship Id="rId398" Type="http://schemas.openxmlformats.org/officeDocument/2006/relationships/hyperlink" Target="https://www.itu.int/en/ITU-T/info/Pages/resources.aspx" TargetMode="External"/><Relationship Id="rId521" Type="http://schemas.openxmlformats.org/officeDocument/2006/relationships/hyperlink" Target="https://www.itu.int/en/ITU-R/seminars/rrs/RRS-23-Americas/Pages/default.aspx" TargetMode="External"/><Relationship Id="rId619" Type="http://schemas.openxmlformats.org/officeDocument/2006/relationships/hyperlink" Target="https://indico.un.org/event/1002946/" TargetMode="External"/><Relationship Id="rId95" Type="http://schemas.openxmlformats.org/officeDocument/2006/relationships/hyperlink" Target="https://www.itu.int/pub/R-RES-R.72" TargetMode="External"/><Relationship Id="rId160" Type="http://schemas.openxmlformats.org/officeDocument/2006/relationships/image" Target="media/image10.png"/><Relationship Id="rId258" Type="http://schemas.openxmlformats.org/officeDocument/2006/relationships/hyperlink" Target="https://www.itu.int/en/ITU-T/extcoop/ai-data-commons/Pages/default.aspx" TargetMode="External"/><Relationship Id="rId465" Type="http://schemas.openxmlformats.org/officeDocument/2006/relationships/hyperlink" Target="https://aiforgood.itu.int/" TargetMode="External"/><Relationship Id="rId672" Type="http://schemas.openxmlformats.org/officeDocument/2006/relationships/hyperlink" Target="https://www.itu.int/pub/R-HDB-63/fr" TargetMode="External"/><Relationship Id="rId22" Type="http://schemas.openxmlformats.org/officeDocument/2006/relationships/hyperlink" Target="https://www.itu.int/ra-23/" TargetMode="External"/><Relationship Id="rId118" Type="http://schemas.openxmlformats.org/officeDocument/2006/relationships/hyperlink" Target="https://www.itu.int/rec/dologin_pub.asp?lang=e&amp;id=T-REC-A.25-202410-I!!PDF-E&amp;type=items" TargetMode="External"/><Relationship Id="rId325" Type="http://schemas.openxmlformats.org/officeDocument/2006/relationships/hyperlink" Target="https://www.itu.int/rec/T-REC-Y.3809/en" TargetMode="External"/><Relationship Id="rId532" Type="http://schemas.openxmlformats.org/officeDocument/2006/relationships/hyperlink" Target="https://www.itu.int/en/ITU-R/seminars/rrs/rrs-24-cis/Pages/default.aspx" TargetMode="External"/><Relationship Id="rId171" Type="http://schemas.openxmlformats.org/officeDocument/2006/relationships/hyperlink" Target="https://www.itu.int/itu-d/reports/statistics/facts-figures-for-lldc/" TargetMode="External"/><Relationship Id="rId269" Type="http://schemas.openxmlformats.org/officeDocument/2006/relationships/hyperlink" Target="https://www.itu.int/en/ITU-T/extcoop/ai-data-commons/Pages/default.aspx" TargetMode="External"/><Relationship Id="rId476" Type="http://schemas.openxmlformats.org/officeDocument/2006/relationships/hyperlink" Target="https://aiforgood.itu.int/impact-initiative/" TargetMode="External"/><Relationship Id="rId683" Type="http://schemas.openxmlformats.org/officeDocument/2006/relationships/hyperlink" Target="https://www.itu.int/en/ITU-D/Environment/Pages/Publications/WEEE-Saudi-Arabia-Toolkit.aspx" TargetMode="External"/><Relationship Id="rId33" Type="http://schemas.openxmlformats.org/officeDocument/2006/relationships/hyperlink" Target="https://aiforgood.itu.int/ai-for-health/" TargetMode="External"/><Relationship Id="rId129" Type="http://schemas.openxmlformats.org/officeDocument/2006/relationships/hyperlink" Target="https://www.itu.int/itu-d/meetings/wtdc25/wp-content/uploads/sites/29/2025/12/Study-Group-Questions-2026-2029.pdf" TargetMode="External"/><Relationship Id="rId336" Type="http://schemas.openxmlformats.org/officeDocument/2006/relationships/hyperlink" Target="https://aiforgood.itu.int/the-future-leaders-in-quantum-hackathon/" TargetMode="External"/><Relationship Id="rId543" Type="http://schemas.openxmlformats.org/officeDocument/2006/relationships/hyperlink" Target="https://www.itu.int/en/ITU-R/study-groups/rsg7/rwp7d/Pages/seminar-radio-astronomy-2024.aspx"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council.itu.int/2026/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F%20-%20ITU\SG\PF_Council26.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https://broken-link/"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External Funds (CHF)</c:v>
          </c:tx>
          <c:spPr>
            <a:solidFill>
              <a:srgbClr val="4F81BD"/>
            </a:solidFill>
            <a:ln>
              <a:noFill/>
            </a:ln>
          </c:spPr>
          <c:invertIfNegative val="0"/>
          <c:dLbls>
            <c:numFmt formatCode="#,##0.0" sourceLinked="0"/>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800" b="1" i="0" u="none" strike="noStrike" kern="1200" baseline="0">
                    <a:solidFill>
                      <a:srgbClr val="404040"/>
                    </a:solidFill>
                    <a:latin typeface="Calibri"/>
                  </a:defRPr>
                </a:pPr>
                <a:endParaRPr lang="fr-FR"/>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3"/>
            </c:strLit>
          </c:cat>
          <c:val>
            <c:numLit>
              <c:formatCode>General</c:formatCode>
              <c:ptCount val="3"/>
              <c:pt idx="0">
                <c:v>15309827.810000001</c:v>
              </c:pt>
              <c:pt idx="1">
                <c:v>49682025.890000001</c:v>
              </c:pt>
              <c:pt idx="2">
                <c:v>46871131.890000001</c:v>
              </c:pt>
            </c:numLit>
          </c:val>
          <c:extLst>
            <c:ext xmlns:c16="http://schemas.microsoft.com/office/drawing/2014/chart" uri="{C3380CC4-5D6E-409C-BE32-E72D297353CC}">
              <c16:uniqueId val="{00000000-D38A-438E-84E9-40F2AA6F18E1}"/>
            </c:ext>
          </c:extLst>
        </c:ser>
        <c:dLbls>
          <c:showLegendKey val="0"/>
          <c:showVal val="0"/>
          <c:showCatName val="0"/>
          <c:showSerName val="0"/>
          <c:showPercent val="0"/>
          <c:showBubbleSize val="0"/>
        </c:dLbls>
        <c:gapWidth val="219"/>
        <c:overlap val="-27"/>
        <c:axId val="1543832384"/>
        <c:axId val="1543831424"/>
      </c:barChart>
      <c:valAx>
        <c:axId val="1543831424"/>
        <c:scaling>
          <c:orientation val="minMax"/>
        </c:scaling>
        <c:delete val="1"/>
        <c:axPos val="l"/>
        <c:numFmt formatCode="&quot; &quot;#,##0&quot; &quot;;&quot; (&quot;#,##0&quot;)&quot;;&quot; -&quot;00&quot; &quot;;&quot; &quot;" sourceLinked="0"/>
        <c:majorTickMark val="none"/>
        <c:minorTickMark val="none"/>
        <c:tickLblPos val="nextTo"/>
        <c:crossAx val="1543832384"/>
        <c:crosses val="autoZero"/>
        <c:crossBetween val="between"/>
      </c:valAx>
      <c:catAx>
        <c:axId val="1543832384"/>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fr-FR"/>
          </a:p>
        </c:txPr>
        <c:crossAx val="1543831424"/>
        <c:crosses val="autoZero"/>
        <c:auto val="1"/>
        <c:lblAlgn val="ctr"/>
        <c:lblOffset val="100"/>
        <c:noMultiLvlLbl val="0"/>
      </c:catAx>
      <c:spPr>
        <a:noFill/>
        <a:ln>
          <a:noFill/>
        </a:ln>
      </c:spPr>
    </c:plotArea>
    <c:plotVisOnly val="1"/>
    <c:dispBlanksAs val="gap"/>
    <c:showDLblsOverMax val="0"/>
  </c:chart>
  <c:spPr>
    <a:solidFill>
      <a:srgbClr val="FFFFFF"/>
    </a:solidFill>
    <a:ln>
      <a:noFill/>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fr-F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B8910-D50A-4AE5-8311-B97F04B4B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PF_Council26</Template>
  <TotalTime>2</TotalTime>
  <Pages>116</Pages>
  <Words>72360</Words>
  <Characters>337200</Characters>
  <Application>Microsoft Office Word</Application>
  <DocSecurity>0</DocSecurity>
  <Lines>8028</Lines>
  <Paragraphs>4818</Paragraphs>
  <ScaleCrop>false</ScaleCrop>
  <HeadingPairs>
    <vt:vector size="2" baseType="variant">
      <vt:variant>
        <vt:lpstr>Title</vt:lpstr>
      </vt:variant>
      <vt:variant>
        <vt:i4>1</vt:i4>
      </vt:variant>
    </vt:vector>
  </HeadingPairs>
  <TitlesOfParts>
    <vt:vector size="1" baseType="lpstr">
      <vt:lpstr/>
    </vt:vector>
  </TitlesOfParts>
  <Manager>Secrétariat général - Pool</Manager>
  <Company>Union internationale des télécommunications (UIT)</Company>
  <LinksUpToDate>false</LinksUpToDate>
  <CharactersWithSpaces>404742</CharactersWithSpaces>
  <SharedDoc>false</SharedDoc>
  <HLinks>
    <vt:vector size="6" baseType="variant">
      <vt:variant>
        <vt:i4>3342371</vt:i4>
      </vt:variant>
      <vt:variant>
        <vt:i4>24</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sur la mise en œuvre du plan stratégique et les activités de l'Union, octobre 2022 – mars 2026</dc:title>
  <dc:subject>Conseil 2026 de l'UIT</dc:subject>
  <dc:creator>French</dc:creator>
  <cp:keywords>C26; C2026; Council 2026; PP26</cp:keywords>
  <dc:description/>
  <cp:lastModifiedBy>GBS</cp:lastModifiedBy>
  <cp:revision>2</cp:revision>
  <cp:lastPrinted>2000-07-18T08:55:00Z</cp:lastPrinted>
  <dcterms:created xsi:type="dcterms:W3CDTF">2026-04-17T10:18:00Z</dcterms:created>
  <dcterms:modified xsi:type="dcterms:W3CDTF">2026-04-17T10:18:00Z</dcterms:modified>
  <cp:category>Document de conférence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C17/-F</vt:lpwstr>
  </property>
  <property fmtid="{D5CDD505-2E9C-101B-9397-08002B2CF9AE}" pid="3" name="Docdate">
    <vt:lpwstr>janvier 2017</vt:lpwstr>
  </property>
  <property fmtid="{D5CDD505-2E9C-101B-9397-08002B2CF9AE}" pid="4" name="Docorlang">
    <vt:lpwstr>Original: anglais</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GrammarlyDocumentId">
    <vt:lpwstr>3b117b70c20e9b2783321a6b7cab6c2f080bb257cb74c6787543e88ec12dc3bd</vt:lpwstr>
  </property>
</Properties>
</file>