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1589" w:tblpY="2314"/>
        <w:tblW w:w="9214" w:type="dxa"/>
        <w:tblLayout w:type="fixed"/>
        <w:tblLook w:val="0000" w:firstRow="0" w:lastRow="0" w:firstColumn="0" w:lastColumn="0" w:noHBand="0" w:noVBand="0"/>
      </w:tblPr>
      <w:tblGrid>
        <w:gridCol w:w="3969"/>
        <w:gridCol w:w="5245"/>
      </w:tblGrid>
      <w:tr w:rsidR="00AD3606" w:rsidRPr="00C0458D" w14:paraId="27019F64" w14:textId="77777777" w:rsidTr="00954C49">
        <w:trPr>
          <w:cantSplit/>
          <w:trHeight w:val="23"/>
        </w:trPr>
        <w:tc>
          <w:tcPr>
            <w:tcW w:w="3969" w:type="dxa"/>
            <w:vMerge w:val="restart"/>
            <w:tcMar>
              <w:left w:w="0" w:type="dxa"/>
            </w:tcMar>
          </w:tcPr>
          <w:p w14:paraId="61645E1B" w14:textId="028793B4" w:rsidR="00AD3606" w:rsidRPr="00C0458D" w:rsidRDefault="00AD3606" w:rsidP="00954C49">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r w:rsidRPr="00C0458D">
              <w:rPr>
                <w:b/>
              </w:rPr>
              <w:t xml:space="preserve">Agenda item: </w:t>
            </w:r>
            <w:r w:rsidR="0056065E">
              <w:rPr>
                <w:b/>
              </w:rPr>
              <w:t>PL</w:t>
            </w:r>
            <w:r w:rsidR="00DD38DF">
              <w:rPr>
                <w:b/>
              </w:rPr>
              <w:t xml:space="preserve"> </w:t>
            </w:r>
            <w:r w:rsidR="0056065E">
              <w:rPr>
                <w:b/>
              </w:rPr>
              <w:t>3.1</w:t>
            </w:r>
          </w:p>
        </w:tc>
        <w:tc>
          <w:tcPr>
            <w:tcW w:w="5245" w:type="dxa"/>
          </w:tcPr>
          <w:p w14:paraId="627B15D6" w14:textId="7F8F9905" w:rsidR="00AD3606" w:rsidRPr="00C0458D" w:rsidRDefault="00AD3606" w:rsidP="00954C49">
            <w:pPr>
              <w:tabs>
                <w:tab w:val="left" w:pos="851"/>
              </w:tabs>
              <w:spacing w:before="0" w:line="240" w:lineRule="atLeast"/>
              <w:jc w:val="right"/>
              <w:rPr>
                <w:b/>
              </w:rPr>
            </w:pPr>
            <w:r w:rsidRPr="00C0458D">
              <w:rPr>
                <w:b/>
              </w:rPr>
              <w:t>Document C2</w:t>
            </w:r>
            <w:r w:rsidR="00DE532B">
              <w:rPr>
                <w:b/>
              </w:rPr>
              <w:t>6</w:t>
            </w:r>
            <w:r w:rsidRPr="00C0458D">
              <w:rPr>
                <w:b/>
              </w:rPr>
              <w:t>/</w:t>
            </w:r>
            <w:r w:rsidR="0062595A">
              <w:rPr>
                <w:b/>
              </w:rPr>
              <w:t>35</w:t>
            </w:r>
            <w:r w:rsidRPr="00C0458D">
              <w:rPr>
                <w:b/>
              </w:rPr>
              <w:t>-E</w:t>
            </w:r>
          </w:p>
        </w:tc>
      </w:tr>
      <w:tr w:rsidR="00AD3606" w:rsidRPr="00C0458D" w14:paraId="65AB0567" w14:textId="77777777" w:rsidTr="00954C49">
        <w:trPr>
          <w:cantSplit/>
        </w:trPr>
        <w:tc>
          <w:tcPr>
            <w:tcW w:w="3969" w:type="dxa"/>
            <w:vMerge/>
          </w:tcPr>
          <w:p w14:paraId="044C8158" w14:textId="77777777" w:rsidR="00AD3606" w:rsidRPr="00C0458D" w:rsidRDefault="00AD3606" w:rsidP="00954C49">
            <w:pPr>
              <w:tabs>
                <w:tab w:val="left" w:pos="851"/>
              </w:tabs>
              <w:spacing w:line="240" w:lineRule="atLeast"/>
              <w:rPr>
                <w:b/>
              </w:rPr>
            </w:pPr>
            <w:bookmarkStart w:id="6" w:name="ddate" w:colFirst="1" w:colLast="1"/>
            <w:bookmarkEnd w:id="0"/>
            <w:bookmarkEnd w:id="1"/>
          </w:p>
        </w:tc>
        <w:tc>
          <w:tcPr>
            <w:tcW w:w="5245" w:type="dxa"/>
          </w:tcPr>
          <w:p w14:paraId="060AC16C" w14:textId="49362972" w:rsidR="00AD3606" w:rsidRPr="00C0458D" w:rsidRDefault="004D1158" w:rsidP="00954C49">
            <w:pPr>
              <w:tabs>
                <w:tab w:val="left" w:pos="851"/>
              </w:tabs>
              <w:spacing w:before="0"/>
              <w:jc w:val="right"/>
              <w:rPr>
                <w:b/>
              </w:rPr>
            </w:pPr>
            <w:r>
              <w:rPr>
                <w:b/>
              </w:rPr>
              <w:t>23</w:t>
            </w:r>
            <w:r w:rsidR="0062595A">
              <w:rPr>
                <w:b/>
              </w:rPr>
              <w:t xml:space="preserve"> March 2026</w:t>
            </w:r>
          </w:p>
        </w:tc>
      </w:tr>
      <w:tr w:rsidR="00AD3606" w:rsidRPr="00C0458D" w14:paraId="2FF439A4" w14:textId="77777777" w:rsidTr="00954C49">
        <w:trPr>
          <w:cantSplit/>
          <w:trHeight w:val="23"/>
        </w:trPr>
        <w:tc>
          <w:tcPr>
            <w:tcW w:w="3969" w:type="dxa"/>
            <w:vMerge/>
          </w:tcPr>
          <w:p w14:paraId="6CFB30F5" w14:textId="77777777" w:rsidR="00AD3606" w:rsidRPr="00C0458D" w:rsidRDefault="00AD3606" w:rsidP="00954C49">
            <w:pPr>
              <w:tabs>
                <w:tab w:val="left" w:pos="851"/>
              </w:tabs>
              <w:spacing w:line="240" w:lineRule="atLeast"/>
              <w:rPr>
                <w:b/>
              </w:rPr>
            </w:pPr>
            <w:bookmarkStart w:id="7" w:name="dorlang" w:colFirst="1" w:colLast="1"/>
            <w:bookmarkEnd w:id="6"/>
          </w:p>
        </w:tc>
        <w:tc>
          <w:tcPr>
            <w:tcW w:w="5245" w:type="dxa"/>
          </w:tcPr>
          <w:p w14:paraId="7B922076" w14:textId="77777777" w:rsidR="00AD3606" w:rsidRPr="00C0458D" w:rsidRDefault="00AD3606" w:rsidP="00954C49">
            <w:pPr>
              <w:tabs>
                <w:tab w:val="left" w:pos="851"/>
              </w:tabs>
              <w:spacing w:before="0" w:line="240" w:lineRule="atLeast"/>
              <w:jc w:val="right"/>
              <w:rPr>
                <w:b/>
              </w:rPr>
            </w:pPr>
            <w:r w:rsidRPr="00C0458D">
              <w:rPr>
                <w:b/>
              </w:rPr>
              <w:t>Original: English</w:t>
            </w:r>
          </w:p>
        </w:tc>
      </w:tr>
      <w:tr w:rsidR="00472BAD" w:rsidRPr="00C0458D" w14:paraId="6693A6D9" w14:textId="77777777" w:rsidTr="00954C49">
        <w:trPr>
          <w:cantSplit/>
          <w:trHeight w:val="23"/>
        </w:trPr>
        <w:tc>
          <w:tcPr>
            <w:tcW w:w="3969" w:type="dxa"/>
          </w:tcPr>
          <w:p w14:paraId="47541C46" w14:textId="77777777" w:rsidR="00472BAD" w:rsidRPr="00C0458D" w:rsidRDefault="00472BAD" w:rsidP="00954C49">
            <w:pPr>
              <w:tabs>
                <w:tab w:val="left" w:pos="851"/>
              </w:tabs>
              <w:spacing w:line="240" w:lineRule="atLeast"/>
              <w:rPr>
                <w:b/>
              </w:rPr>
            </w:pPr>
          </w:p>
        </w:tc>
        <w:tc>
          <w:tcPr>
            <w:tcW w:w="5245" w:type="dxa"/>
          </w:tcPr>
          <w:p w14:paraId="00CD7F27" w14:textId="77777777" w:rsidR="00472BAD" w:rsidRPr="00C0458D" w:rsidRDefault="00472BAD" w:rsidP="00954C49">
            <w:pPr>
              <w:tabs>
                <w:tab w:val="left" w:pos="851"/>
              </w:tabs>
              <w:spacing w:before="0" w:line="240" w:lineRule="atLeast"/>
              <w:jc w:val="right"/>
              <w:rPr>
                <w:b/>
              </w:rPr>
            </w:pPr>
          </w:p>
        </w:tc>
      </w:tr>
      <w:tr w:rsidR="00AD3606" w:rsidRPr="00C0458D" w14:paraId="21388443" w14:textId="77777777" w:rsidTr="00954C49">
        <w:trPr>
          <w:cantSplit/>
        </w:trPr>
        <w:tc>
          <w:tcPr>
            <w:tcW w:w="9214" w:type="dxa"/>
            <w:gridSpan w:val="2"/>
            <w:tcMar>
              <w:left w:w="0" w:type="dxa"/>
            </w:tcMar>
          </w:tcPr>
          <w:p w14:paraId="4974CF10" w14:textId="77777777" w:rsidR="00AD3606" w:rsidRPr="00C0458D" w:rsidRDefault="00AD3606" w:rsidP="005F3B61">
            <w:pPr>
              <w:pStyle w:val="Source"/>
              <w:framePr w:hSpace="0" w:wrap="auto" w:vAnchor="margin" w:hAnchor="text" w:xAlign="left" w:yAlign="inline"/>
            </w:pPr>
            <w:bookmarkStart w:id="8" w:name="dsource" w:colFirst="0" w:colLast="0"/>
            <w:bookmarkEnd w:id="7"/>
            <w:r w:rsidRPr="00C0458D">
              <w:t>Report by the Secretary-General</w:t>
            </w:r>
          </w:p>
        </w:tc>
      </w:tr>
      <w:tr w:rsidR="00AD3606" w:rsidRPr="00C0458D" w14:paraId="2008114E" w14:textId="77777777" w:rsidTr="00954C49">
        <w:trPr>
          <w:cantSplit/>
        </w:trPr>
        <w:tc>
          <w:tcPr>
            <w:tcW w:w="9214" w:type="dxa"/>
            <w:gridSpan w:val="2"/>
            <w:tcMar>
              <w:left w:w="0" w:type="dxa"/>
            </w:tcMar>
          </w:tcPr>
          <w:p w14:paraId="1036C3F4" w14:textId="5057641E" w:rsidR="00AD3606" w:rsidRPr="00176F47" w:rsidRDefault="0062595A" w:rsidP="005F3B61">
            <w:pPr>
              <w:pStyle w:val="Subtitle"/>
              <w:framePr w:hSpace="0" w:wrap="auto" w:xAlign="left" w:yAlign="inline"/>
            </w:pPr>
            <w:bookmarkStart w:id="9" w:name="dtitle1" w:colFirst="0" w:colLast="0"/>
            <w:bookmarkEnd w:id="8"/>
            <w:r w:rsidRPr="0062595A">
              <w:t xml:space="preserve">REPORT ON THE </w:t>
            </w:r>
            <w:bookmarkStart w:id="10" w:name="_Hlk220499032"/>
            <w:r w:rsidRPr="0062595A">
              <w:t>IMPLEMENTATION OF THE STRATEGIC PLAN AND THE ACTIVITIES OF THE UNION, MAR</w:t>
            </w:r>
            <w:r>
              <w:t>CH</w:t>
            </w:r>
            <w:r w:rsidRPr="0062595A">
              <w:t xml:space="preserve"> 2022 – DEC</w:t>
            </w:r>
            <w:r>
              <w:t>EMBER</w:t>
            </w:r>
            <w:r w:rsidRPr="0062595A">
              <w:t xml:space="preserve"> 2025</w:t>
            </w:r>
            <w:bookmarkEnd w:id="10"/>
          </w:p>
        </w:tc>
      </w:tr>
      <w:tr w:rsidR="00AD3606" w:rsidRPr="00C0458D" w14:paraId="58526C68" w14:textId="77777777" w:rsidTr="00954C49">
        <w:trPr>
          <w:cantSplit/>
        </w:trPr>
        <w:tc>
          <w:tcPr>
            <w:tcW w:w="9214" w:type="dxa"/>
            <w:gridSpan w:val="2"/>
            <w:tcBorders>
              <w:top w:val="single" w:sz="4" w:space="0" w:color="auto"/>
              <w:bottom w:val="single" w:sz="4" w:space="0" w:color="auto"/>
            </w:tcBorders>
            <w:tcMar>
              <w:left w:w="0" w:type="dxa"/>
            </w:tcMar>
          </w:tcPr>
          <w:p w14:paraId="708C9082" w14:textId="77777777" w:rsidR="00AD3606" w:rsidRPr="00C0458D" w:rsidRDefault="00F16BAB" w:rsidP="00954C49">
            <w:pPr>
              <w:spacing w:before="160"/>
              <w:rPr>
                <w:b/>
                <w:bCs/>
                <w:sz w:val="26"/>
                <w:szCs w:val="26"/>
              </w:rPr>
            </w:pPr>
            <w:r w:rsidRPr="00C0458D">
              <w:rPr>
                <w:b/>
                <w:bCs/>
                <w:sz w:val="26"/>
                <w:szCs w:val="26"/>
              </w:rPr>
              <w:t>Purpose</w:t>
            </w:r>
          </w:p>
          <w:p w14:paraId="1A1B8A1F" w14:textId="11D3A19F" w:rsidR="0062595A" w:rsidRPr="007579B3" w:rsidRDefault="0062595A" w:rsidP="0062595A">
            <w:pPr>
              <w:snapToGrid w:val="0"/>
              <w:spacing w:after="120"/>
              <w:jc w:val="both"/>
            </w:pPr>
            <w:r w:rsidRPr="007579B3">
              <w:t xml:space="preserve">This report covers ITU’s activities from </w:t>
            </w:r>
            <w:r w:rsidR="00C51DE6">
              <w:t>October</w:t>
            </w:r>
            <w:r w:rsidR="00C51DE6" w:rsidRPr="007579B3">
              <w:t xml:space="preserve"> </w:t>
            </w:r>
            <w:r w:rsidRPr="007579B3">
              <w:t xml:space="preserve">2022 to December </w:t>
            </w:r>
            <w:r w:rsidRPr="00197EDB">
              <w:t>2025 and should be the basis for the four-year report to the ITU Plenipotentiary Conference, PP-26 (</w:t>
            </w:r>
            <w:hyperlink r:id="rId11">
              <w:r w:rsidR="55FBAC64" w:rsidRPr="181B6A0C">
                <w:rPr>
                  <w:rStyle w:val="Hyperlink"/>
                  <w:color w:val="0563C1"/>
                </w:rPr>
                <w:t>D</w:t>
              </w:r>
              <w:r w:rsidR="0ACD1BB0" w:rsidRPr="181B6A0C">
                <w:rPr>
                  <w:rStyle w:val="Hyperlink"/>
                  <w:color w:val="0563C1"/>
                </w:rPr>
                <w:t>oc</w:t>
              </w:r>
              <w:r w:rsidR="3208E221" w:rsidRPr="181B6A0C">
                <w:rPr>
                  <w:rStyle w:val="Hyperlink"/>
                  <w:color w:val="0563C1"/>
                </w:rPr>
                <w:t>ument</w:t>
              </w:r>
              <w:r w:rsidR="0ACD1BB0" w:rsidRPr="181B6A0C">
                <w:rPr>
                  <w:rStyle w:val="Hyperlink"/>
                  <w:color w:val="0563C1"/>
                </w:rPr>
                <w:t xml:space="preserve"> 20</w:t>
              </w:r>
            </w:hyperlink>
            <w:r w:rsidR="0ACD1BB0" w:rsidRPr="00197EDB">
              <w:t>).</w:t>
            </w:r>
            <w:r w:rsidRPr="00197EDB">
              <w:t xml:space="preserve"> It reports</w:t>
            </w:r>
            <w:r w:rsidRPr="007579B3">
              <w:t xml:space="preserve"> on the implementation of the “Connect 2030 Agenda for global telecommunication/information and communication technology, including broadband, for sustainable development”, adopted by PP-22 (</w:t>
            </w:r>
            <w:r w:rsidRPr="00443B52">
              <w:t>Resolution 200</w:t>
            </w:r>
            <w:r w:rsidR="00443B52">
              <w:t xml:space="preserve"> (</w:t>
            </w:r>
            <w:r w:rsidRPr="007579B3">
              <w:t>Rev. Bucharest, 2022</w:t>
            </w:r>
            <w:r w:rsidR="00443B52">
              <w:t>)</w:t>
            </w:r>
            <w:r w:rsidRPr="007579B3">
              <w:t xml:space="preserve">). </w:t>
            </w:r>
            <w:r w:rsidRPr="007579B3">
              <w:rPr>
                <w:shd w:val="clear" w:color="auto" w:fill="FFFFFF"/>
              </w:rPr>
              <w:t>It spans over the two final years of the implementation of the strategic plan for 2020-2023, and the first two of the current Strategic Plan</w:t>
            </w:r>
            <w:r w:rsidR="005F3B61">
              <w:rPr>
                <w:shd w:val="clear" w:color="auto" w:fill="FFFFFF"/>
              </w:rPr>
              <w:t xml:space="preserve"> (SP)</w:t>
            </w:r>
            <w:r w:rsidRPr="007579B3">
              <w:rPr>
                <w:shd w:val="clear" w:color="auto" w:fill="FFFFFF"/>
              </w:rPr>
              <w:t xml:space="preserve"> for 2024-2027. It is aligned with the structure of SP 2024-2027.</w:t>
            </w:r>
          </w:p>
          <w:p w14:paraId="2D8E8D79" w14:textId="77777777" w:rsidR="0062595A" w:rsidRPr="007579B3" w:rsidRDefault="0062595A" w:rsidP="00C93A80">
            <w:pPr>
              <w:snapToGrid w:val="0"/>
              <w:spacing w:after="120"/>
              <w:jc w:val="both"/>
            </w:pPr>
            <w:r w:rsidRPr="007579B3">
              <w:rPr>
                <w:shd w:val="clear" w:color="auto" w:fill="FFFFFF"/>
              </w:rPr>
              <w:t>It combines the annual activities report (as required by No. 102 of the Convention) and the report on the implementation of the strategic plan (as required by No. 61 of the Convention and Resolution 71 (Rev. Bucharest, 2022) of the Plenipotentiary Conference).</w:t>
            </w:r>
          </w:p>
          <w:p w14:paraId="5B90CDC0" w14:textId="50D61600" w:rsidR="00AD3606" w:rsidRPr="00C0458D" w:rsidRDefault="0062595A" w:rsidP="0062595A">
            <w:pPr>
              <w:jc w:val="both"/>
            </w:pPr>
            <w:r>
              <w:t>T</w:t>
            </w:r>
            <w:r w:rsidRPr="007579B3">
              <w:t xml:space="preserve">his document </w:t>
            </w:r>
            <w:r>
              <w:t>aims to present</w:t>
            </w:r>
            <w:r w:rsidRPr="007579B3">
              <w:t xml:space="preserve"> all relevant activity in a results-oriented, evidence-based and thematic-oriented way, </w:t>
            </w:r>
            <w:r>
              <w:t>providing</w:t>
            </w:r>
            <w:r w:rsidRPr="007579B3">
              <w:t xml:space="preserve"> links to analytical figures showing overall progress towards </w:t>
            </w:r>
            <w:r>
              <w:t>ITU’s s</w:t>
            </w:r>
            <w:bookmarkStart w:id="11" w:name="_Hlk67568303"/>
            <w:r w:rsidRPr="007579B3">
              <w:t>trategic targets</w:t>
            </w:r>
            <w:bookmarkEnd w:id="11"/>
            <w:r w:rsidRPr="007579B3">
              <w:t>.</w:t>
            </w:r>
          </w:p>
          <w:p w14:paraId="5D3228C6" w14:textId="77777777" w:rsidR="00AD3606" w:rsidRDefault="00AD3606" w:rsidP="00954C49">
            <w:pPr>
              <w:spacing w:before="160"/>
              <w:rPr>
                <w:b/>
                <w:bCs/>
                <w:sz w:val="26"/>
                <w:szCs w:val="26"/>
              </w:rPr>
            </w:pPr>
            <w:r w:rsidRPr="00C0458D">
              <w:rPr>
                <w:b/>
                <w:bCs/>
                <w:sz w:val="26"/>
                <w:szCs w:val="26"/>
              </w:rPr>
              <w:t>Action required</w:t>
            </w:r>
            <w:r w:rsidR="00F16BAB" w:rsidRPr="00C0458D">
              <w:rPr>
                <w:b/>
                <w:bCs/>
                <w:sz w:val="26"/>
                <w:szCs w:val="26"/>
              </w:rPr>
              <w:t xml:space="preserve"> by the Council</w:t>
            </w:r>
          </w:p>
          <w:p w14:paraId="68530E97" w14:textId="3343E173" w:rsidR="00722551" w:rsidRDefault="0062595A" w:rsidP="0062595A">
            <w:r w:rsidRPr="0062595A">
              <w:t xml:space="preserve">The Council is invited to </w:t>
            </w:r>
            <w:r w:rsidRPr="0062595A">
              <w:rPr>
                <w:b/>
                <w:bCs/>
              </w:rPr>
              <w:t>approve</w:t>
            </w:r>
            <w:r w:rsidRPr="0062595A">
              <w:t xml:space="preserve"> the report and </w:t>
            </w:r>
            <w:r w:rsidRPr="0062595A">
              <w:rPr>
                <w:b/>
                <w:bCs/>
              </w:rPr>
              <w:t>submit</w:t>
            </w:r>
            <w:r w:rsidRPr="0062595A">
              <w:t xml:space="preserve"> to PP-26.</w:t>
            </w:r>
          </w:p>
          <w:p w14:paraId="5563AED1" w14:textId="77777777" w:rsidR="00722551" w:rsidRDefault="00722551" w:rsidP="00954C49">
            <w:pPr>
              <w:spacing w:before="160"/>
              <w:rPr>
                <w:b/>
                <w:bCs/>
                <w:sz w:val="26"/>
                <w:szCs w:val="26"/>
              </w:rPr>
            </w:pPr>
            <w:r>
              <w:rPr>
                <w:b/>
                <w:bCs/>
                <w:sz w:val="26"/>
                <w:szCs w:val="26"/>
              </w:rPr>
              <w:t>Relevant link</w:t>
            </w:r>
            <w:r w:rsidR="00176F47">
              <w:rPr>
                <w:b/>
                <w:bCs/>
                <w:sz w:val="26"/>
                <w:szCs w:val="26"/>
              </w:rPr>
              <w:t>(s)</w:t>
            </w:r>
            <w:r>
              <w:rPr>
                <w:b/>
                <w:bCs/>
                <w:sz w:val="26"/>
                <w:szCs w:val="26"/>
              </w:rPr>
              <w:t xml:space="preserve"> with the Strategic Plan</w:t>
            </w:r>
          </w:p>
          <w:p w14:paraId="6C365A58" w14:textId="71A9D379" w:rsidR="00722551" w:rsidRPr="00F16BAB" w:rsidRDefault="00DD38DF" w:rsidP="00DD38DF">
            <w:pPr>
              <w:jc w:val="both"/>
            </w:pPr>
            <w:r w:rsidRPr="00DD38DF">
              <w:t>As instructed by Resolution 71 (Rev. Bucharest, 2022) of the Plenipotentiary Conference, this is the annual report to ITU Council on the implementation of ITU’s strategic plan and activities (combining the requirement by No. 102 of the Convention, i.e. an annual activities report; and by No. 61 of the Convention, i.e. a report on the implementation of the strategic plan).</w:t>
            </w:r>
          </w:p>
          <w:p w14:paraId="6DAA204C" w14:textId="77777777" w:rsidR="00C0458D" w:rsidRDefault="00C0458D" w:rsidP="00954C49">
            <w:r>
              <w:t>_______________</w:t>
            </w:r>
          </w:p>
          <w:p w14:paraId="32A5FBF2" w14:textId="77777777" w:rsidR="00AD3606" w:rsidRPr="00C0458D" w:rsidRDefault="00AD3606" w:rsidP="00954C49">
            <w:pPr>
              <w:spacing w:before="160"/>
              <w:rPr>
                <w:b/>
                <w:bCs/>
                <w:sz w:val="26"/>
                <w:szCs w:val="26"/>
              </w:rPr>
            </w:pPr>
            <w:r w:rsidRPr="00C0458D">
              <w:rPr>
                <w:b/>
                <w:bCs/>
                <w:sz w:val="26"/>
                <w:szCs w:val="26"/>
              </w:rPr>
              <w:t>References</w:t>
            </w:r>
          </w:p>
          <w:p w14:paraId="24BF41F7" w14:textId="0A48F3E8" w:rsidR="00AD3606" w:rsidRPr="00722551" w:rsidRDefault="00197EDB" w:rsidP="00954C49">
            <w:pPr>
              <w:spacing w:after="160"/>
              <w:rPr>
                <w:i/>
                <w:iCs/>
                <w:sz w:val="22"/>
                <w:szCs w:val="22"/>
              </w:rPr>
            </w:pPr>
            <w:r>
              <w:rPr>
                <w:i/>
              </w:rPr>
              <w:t xml:space="preserve">Resolutions </w:t>
            </w:r>
            <w:hyperlink r:id="rId12" w:history="1">
              <w:r w:rsidRPr="00C93A80">
                <w:rPr>
                  <w:rStyle w:val="Hyperlink"/>
                  <w:i/>
                  <w:color w:val="0563C1"/>
                </w:rPr>
                <w:t>71</w:t>
              </w:r>
            </w:hyperlink>
            <w:r>
              <w:rPr>
                <w:i/>
              </w:rPr>
              <w:t xml:space="preserve"> (Rev. Bucharest, 2022) and </w:t>
            </w:r>
            <w:hyperlink r:id="rId13" w:history="1">
              <w:r w:rsidRPr="00C93A80">
                <w:rPr>
                  <w:rStyle w:val="Hyperlink"/>
                  <w:i/>
                  <w:color w:val="0563C1"/>
                </w:rPr>
                <w:t>200</w:t>
              </w:r>
            </w:hyperlink>
            <w:r>
              <w:rPr>
                <w:i/>
              </w:rPr>
              <w:t xml:space="preserve"> (Rev. Bucharest, 2022) of the Plenipotentiary Conference; and </w:t>
            </w:r>
            <w:hyperlink r:id="rId14" w:history="1">
              <w:r w:rsidRPr="00C93A80">
                <w:rPr>
                  <w:rStyle w:val="Hyperlink"/>
                  <w:i/>
                  <w:color w:val="0563C1"/>
                </w:rPr>
                <w:t>Nos 102 and 61</w:t>
              </w:r>
            </w:hyperlink>
            <w:r>
              <w:rPr>
                <w:i/>
              </w:rPr>
              <w:t xml:space="preserve"> of the Convention</w:t>
            </w:r>
            <w:r w:rsidR="004C3CE5">
              <w:rPr>
                <w:i/>
              </w:rPr>
              <w:t>.</w:t>
            </w:r>
          </w:p>
        </w:tc>
      </w:tr>
    </w:tbl>
    <w:p w14:paraId="7606662B" w14:textId="77777777" w:rsidR="0090147A" w:rsidRPr="00C0458D" w:rsidRDefault="0090147A">
      <w:pPr>
        <w:tabs>
          <w:tab w:val="clear" w:pos="567"/>
          <w:tab w:val="clear" w:pos="1134"/>
          <w:tab w:val="clear" w:pos="1701"/>
          <w:tab w:val="clear" w:pos="2268"/>
          <w:tab w:val="clear" w:pos="2835"/>
        </w:tabs>
        <w:overflowPunct/>
        <w:autoSpaceDE/>
        <w:autoSpaceDN/>
        <w:adjustRightInd/>
        <w:spacing w:before="0"/>
        <w:textAlignment w:val="auto"/>
        <w:rPr>
          <w:b/>
        </w:rPr>
      </w:pPr>
      <w:bookmarkStart w:id="12" w:name="_Hlk133421428"/>
      <w:bookmarkEnd w:id="2"/>
      <w:bookmarkEnd w:id="3"/>
      <w:bookmarkEnd w:id="4"/>
      <w:bookmarkEnd w:id="9"/>
      <w:r w:rsidRPr="00C0458D">
        <w:br w:type="page"/>
      </w:r>
    </w:p>
    <w:bookmarkEnd w:id="5"/>
    <w:bookmarkEnd w:id="12"/>
    <w:p w14:paraId="2D146AAA" w14:textId="77777777" w:rsidR="0062595A" w:rsidRPr="0062595A" w:rsidRDefault="0062595A" w:rsidP="0062595A">
      <w:pPr>
        <w:pageBreakBefore/>
        <w:suppressAutoHyphens/>
        <w:adjustRightInd/>
        <w:spacing w:after="120"/>
        <w:jc w:val="both"/>
        <w:rPr>
          <w:rFonts w:eastAsia="MS Mincho" w:cs="Calibri"/>
          <w:b/>
          <w:bCs/>
          <w:sz w:val="22"/>
          <w:szCs w:val="18"/>
        </w:rPr>
      </w:pPr>
      <w:r w:rsidRPr="0062595A">
        <w:rPr>
          <w:rFonts w:eastAsia="MS Mincho" w:cs="Calibri"/>
          <w:b/>
          <w:bCs/>
          <w:sz w:val="22"/>
          <w:szCs w:val="18"/>
        </w:rPr>
        <w:lastRenderedPageBreak/>
        <w:t>Foreword</w:t>
      </w:r>
    </w:p>
    <w:p w14:paraId="034CB6BB" w14:textId="77777777"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r w:rsidRPr="0062595A">
        <w:rPr>
          <w:rFonts w:eastAsia="Calibri" w:cs="Calibri"/>
          <w:sz w:val="22"/>
          <w:szCs w:val="22"/>
        </w:rPr>
        <w:t xml:space="preserve">In </w:t>
      </w:r>
      <w:r w:rsidRPr="004867EA">
        <w:rPr>
          <w:rFonts w:asciiTheme="minorHAnsi" w:eastAsia="Calibri" w:hAnsiTheme="minorHAnsi" w:cstheme="minorHAnsi"/>
          <w:sz w:val="22"/>
          <w:szCs w:val="22"/>
        </w:rPr>
        <w:t xml:space="preserve">every corner of the world, digital transformation is reshaping lives, livelihoods, and entire societies. The International Telecommunication Union (ITU) stands at the forefront of this global evolution, working across regions and sectors to expand opportunity and strengthen resilience. </w:t>
      </w:r>
    </w:p>
    <w:p w14:paraId="310AD58A" w14:textId="14B042A0"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 xml:space="preserve">The period from </w:t>
      </w:r>
      <w:r w:rsidR="00C40056" w:rsidRPr="004867EA">
        <w:rPr>
          <w:rFonts w:asciiTheme="minorHAnsi" w:eastAsia="Calibri" w:hAnsiTheme="minorHAnsi" w:cstheme="minorHAnsi"/>
          <w:sz w:val="22"/>
          <w:szCs w:val="22"/>
        </w:rPr>
        <w:t>October</w:t>
      </w:r>
      <w:r w:rsidRPr="004867EA">
        <w:rPr>
          <w:rFonts w:asciiTheme="minorHAnsi" w:eastAsia="Calibri" w:hAnsiTheme="minorHAnsi" w:cstheme="minorHAnsi"/>
          <w:sz w:val="22"/>
          <w:szCs w:val="22"/>
        </w:rPr>
        <w:t xml:space="preserve"> 2022 to December 2025 captures profound global changes, along with our shared determination to advance meaningful digital connectivity for everyone in the world.</w:t>
      </w:r>
    </w:p>
    <w:p w14:paraId="07AECC0E" w14:textId="77777777"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 xml:space="preserve">Behind every achievement lie human stories: a child gaining access to online learning for the first time; devastated communities reconnecting after hurricanes and cyclones; young women starting online businesses. </w:t>
      </w:r>
    </w:p>
    <w:p w14:paraId="57D6F30D" w14:textId="73A4EE8A"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By the end of 202</w:t>
      </w:r>
      <w:r w:rsidR="004C3CE5" w:rsidRPr="004867EA">
        <w:rPr>
          <w:rFonts w:asciiTheme="minorHAnsi" w:eastAsia="Calibri" w:hAnsiTheme="minorHAnsi" w:cstheme="minorHAnsi"/>
          <w:sz w:val="22"/>
          <w:szCs w:val="22"/>
        </w:rPr>
        <w:t>5</w:t>
      </w:r>
      <w:r w:rsidRPr="004867EA">
        <w:rPr>
          <w:rFonts w:asciiTheme="minorHAnsi" w:eastAsia="Calibri" w:hAnsiTheme="minorHAnsi" w:cstheme="minorHAnsi"/>
          <w:sz w:val="22"/>
          <w:szCs w:val="22"/>
        </w:rPr>
        <w:t xml:space="preserve">, global Internet use reached </w:t>
      </w:r>
      <w:r w:rsidR="004C3CE5" w:rsidRPr="004867EA">
        <w:rPr>
          <w:rFonts w:asciiTheme="minorHAnsi" w:eastAsia="Calibri" w:hAnsiTheme="minorHAnsi" w:cstheme="minorHAnsi"/>
          <w:sz w:val="22"/>
          <w:szCs w:val="22"/>
        </w:rPr>
        <w:t>74</w:t>
      </w:r>
      <w:r w:rsidRPr="004867EA">
        <w:rPr>
          <w:rFonts w:asciiTheme="minorHAnsi" w:eastAsia="Calibri" w:hAnsiTheme="minorHAnsi" w:cstheme="minorHAnsi"/>
          <w:sz w:val="22"/>
          <w:szCs w:val="22"/>
        </w:rPr>
        <w:t xml:space="preserve"> per cent – </w:t>
      </w:r>
      <w:r w:rsidR="004C3CE5" w:rsidRPr="004867EA">
        <w:rPr>
          <w:rFonts w:asciiTheme="minorHAnsi" w:eastAsia="Calibri" w:hAnsiTheme="minorHAnsi" w:cstheme="minorHAnsi"/>
          <w:sz w:val="22"/>
          <w:szCs w:val="22"/>
        </w:rPr>
        <w:t>6</w:t>
      </w:r>
      <w:r w:rsidRPr="004867EA">
        <w:rPr>
          <w:rFonts w:asciiTheme="minorHAnsi" w:eastAsia="Calibri" w:hAnsiTheme="minorHAnsi" w:cstheme="minorHAnsi"/>
          <w:sz w:val="22"/>
          <w:szCs w:val="22"/>
        </w:rPr>
        <w:t xml:space="preserve"> billion people – reducing the offline population to 2.</w:t>
      </w:r>
      <w:r w:rsidR="6BDE16A6" w:rsidRPr="004867EA">
        <w:rPr>
          <w:rFonts w:asciiTheme="minorHAnsi" w:eastAsia="Calibri" w:hAnsiTheme="minorHAnsi" w:cstheme="minorHAnsi"/>
          <w:sz w:val="22"/>
          <w:szCs w:val="22"/>
        </w:rPr>
        <w:t>2</w:t>
      </w:r>
      <w:r w:rsidRPr="004867EA">
        <w:rPr>
          <w:rFonts w:asciiTheme="minorHAnsi" w:eastAsia="Calibri" w:hAnsiTheme="minorHAnsi" w:cstheme="minorHAnsi"/>
          <w:sz w:val="22"/>
          <w:szCs w:val="22"/>
        </w:rPr>
        <w:t xml:space="preserve"> billion. Yet disparities persisted: 93 per cent online in high-income countries versus 2</w:t>
      </w:r>
      <w:r w:rsidR="44BFECFB" w:rsidRPr="004867EA">
        <w:rPr>
          <w:rFonts w:asciiTheme="minorHAnsi" w:eastAsia="Calibri" w:hAnsiTheme="minorHAnsi" w:cstheme="minorHAnsi"/>
          <w:sz w:val="22"/>
          <w:szCs w:val="22"/>
        </w:rPr>
        <w:t>3</w:t>
      </w:r>
      <w:r w:rsidR="00D452E6" w:rsidRPr="004867EA">
        <w:rPr>
          <w:rFonts w:asciiTheme="minorHAnsi" w:eastAsia="Calibri" w:hAnsiTheme="minorHAnsi" w:cstheme="minorHAnsi"/>
          <w:sz w:val="22"/>
          <w:szCs w:val="22"/>
        </w:rPr>
        <w:t> </w:t>
      </w:r>
      <w:r w:rsidRPr="004867EA">
        <w:rPr>
          <w:rFonts w:asciiTheme="minorHAnsi" w:eastAsia="Calibri" w:hAnsiTheme="minorHAnsi" w:cstheme="minorHAnsi"/>
          <w:sz w:val="22"/>
          <w:szCs w:val="22"/>
        </w:rPr>
        <w:t xml:space="preserve">per cent in low-income, with women </w:t>
      </w:r>
      <w:r w:rsidR="7295C68F" w:rsidRPr="004867EA">
        <w:rPr>
          <w:rFonts w:asciiTheme="minorHAnsi" w:eastAsia="Calibri" w:hAnsiTheme="minorHAnsi" w:cstheme="minorHAnsi"/>
          <w:sz w:val="22"/>
          <w:szCs w:val="22"/>
        </w:rPr>
        <w:t>10</w:t>
      </w:r>
      <w:r w:rsidRPr="004867EA">
        <w:rPr>
          <w:rFonts w:asciiTheme="minorHAnsi" w:eastAsia="Calibri" w:hAnsiTheme="minorHAnsi" w:cstheme="minorHAnsi"/>
          <w:sz w:val="22"/>
          <w:szCs w:val="22"/>
        </w:rPr>
        <w:t xml:space="preserve"> per cent less likely to own a mobile phone</w:t>
      </w:r>
      <w:r w:rsidR="7EAE93F5" w:rsidRPr="004867EA">
        <w:rPr>
          <w:rFonts w:asciiTheme="minorHAnsi" w:eastAsia="Calibri" w:hAnsiTheme="minorHAnsi" w:cstheme="minorHAnsi"/>
          <w:sz w:val="22"/>
          <w:szCs w:val="22"/>
        </w:rPr>
        <w:t>.</w:t>
      </w:r>
      <w:r w:rsidRPr="004867EA">
        <w:rPr>
          <w:rFonts w:asciiTheme="minorHAnsi" w:eastAsia="Calibri" w:hAnsiTheme="minorHAnsi" w:cstheme="minorHAnsi"/>
          <w:sz w:val="22"/>
          <w:szCs w:val="22"/>
        </w:rPr>
        <w:t xml:space="preserve"> </w:t>
      </w:r>
      <w:r w:rsidR="36BABA8B" w:rsidRPr="004867EA">
        <w:rPr>
          <w:rFonts w:asciiTheme="minorHAnsi" w:eastAsia="Calibri" w:hAnsiTheme="minorHAnsi" w:cstheme="minorHAnsi"/>
          <w:sz w:val="22"/>
          <w:szCs w:val="22"/>
        </w:rPr>
        <w:t>The number of countries</w:t>
      </w:r>
      <w:r w:rsidRPr="004867EA">
        <w:rPr>
          <w:rFonts w:asciiTheme="minorHAnsi" w:eastAsia="Calibri" w:hAnsiTheme="minorHAnsi" w:cstheme="minorHAnsi"/>
          <w:sz w:val="22"/>
          <w:szCs w:val="22"/>
        </w:rPr>
        <w:t xml:space="preserve"> </w:t>
      </w:r>
      <w:r w:rsidR="28FC893D" w:rsidRPr="004867EA">
        <w:rPr>
          <w:rFonts w:asciiTheme="minorHAnsi" w:eastAsia="Calibri" w:hAnsiTheme="minorHAnsi" w:cstheme="minorHAnsi"/>
          <w:sz w:val="22"/>
          <w:szCs w:val="22"/>
        </w:rPr>
        <w:t xml:space="preserve">with </w:t>
      </w:r>
      <w:r w:rsidR="2A5E20D5" w:rsidRPr="004867EA">
        <w:rPr>
          <w:rFonts w:asciiTheme="minorHAnsi" w:eastAsia="Calibri" w:hAnsiTheme="minorHAnsi" w:cstheme="minorHAnsi"/>
          <w:sz w:val="22"/>
          <w:szCs w:val="22"/>
        </w:rPr>
        <w:t xml:space="preserve">ICT </w:t>
      </w:r>
      <w:r w:rsidRPr="004867EA">
        <w:rPr>
          <w:rFonts w:asciiTheme="minorHAnsi" w:eastAsia="Calibri" w:hAnsiTheme="minorHAnsi" w:cstheme="minorHAnsi"/>
          <w:sz w:val="22"/>
          <w:szCs w:val="22"/>
        </w:rPr>
        <w:t xml:space="preserve">accessibility policies </w:t>
      </w:r>
      <w:r w:rsidR="2DFB7C6F" w:rsidRPr="004867EA">
        <w:rPr>
          <w:rFonts w:asciiTheme="minorHAnsi" w:eastAsia="Calibri" w:hAnsiTheme="minorHAnsi" w:cstheme="minorHAnsi"/>
          <w:sz w:val="22"/>
          <w:szCs w:val="22"/>
        </w:rPr>
        <w:t>grew</w:t>
      </w:r>
      <w:r w:rsidRPr="004867EA">
        <w:rPr>
          <w:rFonts w:asciiTheme="minorHAnsi" w:eastAsia="Calibri" w:hAnsiTheme="minorHAnsi" w:cstheme="minorHAnsi"/>
          <w:sz w:val="22"/>
          <w:szCs w:val="22"/>
        </w:rPr>
        <w:t xml:space="preserve"> from 117 </w:t>
      </w:r>
      <w:r w:rsidR="0ECB998B" w:rsidRPr="004867EA">
        <w:rPr>
          <w:rFonts w:asciiTheme="minorHAnsi" w:eastAsia="Calibri" w:hAnsiTheme="minorHAnsi" w:cstheme="minorHAnsi"/>
          <w:sz w:val="22"/>
          <w:szCs w:val="22"/>
        </w:rPr>
        <w:t xml:space="preserve">(end-2022) to 127 </w:t>
      </w:r>
      <w:r w:rsidR="02199050" w:rsidRPr="004867EA">
        <w:rPr>
          <w:rFonts w:asciiTheme="minorHAnsi" w:eastAsia="Calibri" w:hAnsiTheme="minorHAnsi" w:cstheme="minorHAnsi"/>
          <w:sz w:val="22"/>
          <w:szCs w:val="22"/>
        </w:rPr>
        <w:t>(end-2024)</w:t>
      </w:r>
      <w:r w:rsidRPr="004867EA">
        <w:rPr>
          <w:rFonts w:asciiTheme="minorHAnsi" w:eastAsia="Calibri" w:hAnsiTheme="minorHAnsi" w:cstheme="minorHAnsi"/>
          <w:sz w:val="22"/>
          <w:szCs w:val="22"/>
        </w:rPr>
        <w:t>.</w:t>
      </w:r>
    </w:p>
    <w:p w14:paraId="6C371BE0" w14:textId="77777777"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 xml:space="preserve">Connectivity is key to people’s safety, dignity and potential. </w:t>
      </w:r>
    </w:p>
    <w:p w14:paraId="19355EA2" w14:textId="77777777" w:rsidR="0062595A" w:rsidRPr="004867EA" w:rsidRDefault="0062595A" w:rsidP="0062595A">
      <w:pPr>
        <w:suppressAutoHyphens/>
        <w:adjustRightInd/>
        <w:spacing w:before="0" w:after="160"/>
        <w:jc w:val="both"/>
        <w:rPr>
          <w:rFonts w:asciiTheme="minorHAnsi" w:eastAsia="MS Mincho" w:hAnsiTheme="minorHAnsi" w:cstheme="minorHAnsi"/>
          <w:sz w:val="22"/>
        </w:rPr>
      </w:pPr>
      <w:r w:rsidRPr="004867EA">
        <w:rPr>
          <w:rFonts w:asciiTheme="minorHAnsi" w:eastAsia="Calibri" w:hAnsiTheme="minorHAnsi" w:cstheme="minorHAnsi"/>
          <w:sz w:val="22"/>
          <w:szCs w:val="22"/>
        </w:rPr>
        <w:t>ITU</w:t>
      </w:r>
      <w:r w:rsidRPr="004867EA">
        <w:rPr>
          <w:rFonts w:asciiTheme="minorHAnsi" w:eastAsia="Calibri" w:hAnsiTheme="minorHAnsi" w:cstheme="minorHAnsi"/>
          <w:color w:val="0F1115"/>
          <w:sz w:val="22"/>
          <w:szCs w:val="22"/>
        </w:rPr>
        <w:t xml:space="preserve"> secured critical global agreements to safeguard the world’s shared spectrum and satellite orbits. Our landmark </w:t>
      </w:r>
      <w:r w:rsidRPr="004867EA">
        <w:rPr>
          <w:rFonts w:asciiTheme="minorHAnsi" w:eastAsia="Calibri" w:hAnsiTheme="minorHAnsi" w:cstheme="minorHAnsi"/>
          <w:b/>
          <w:bCs/>
          <w:color w:val="0F1115"/>
          <w:sz w:val="22"/>
          <w:szCs w:val="22"/>
        </w:rPr>
        <w:t>IMT-2030 framework for 6G telecommunications</w:t>
      </w:r>
      <w:r w:rsidRPr="004867EA">
        <w:rPr>
          <w:rFonts w:asciiTheme="minorHAnsi" w:eastAsia="Calibri" w:hAnsiTheme="minorHAnsi" w:cstheme="minorHAnsi"/>
          <w:color w:val="0F1115"/>
          <w:sz w:val="22"/>
          <w:szCs w:val="22"/>
        </w:rPr>
        <w:t xml:space="preserve"> provides the regulatory and technical backbone for advanced connectivity in the next decade.</w:t>
      </w:r>
    </w:p>
    <w:p w14:paraId="2F7C22E0" w14:textId="196017D3"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At the technological frontier, ITU set key standards for quantum technologies, preparing the ground for interoperable and human</w:t>
      </w:r>
      <w:r w:rsidR="7B9006C1" w:rsidRPr="004867EA">
        <w:rPr>
          <w:rFonts w:asciiTheme="minorHAnsi" w:eastAsia="Calibri" w:hAnsiTheme="minorHAnsi" w:cstheme="minorHAnsi"/>
          <w:sz w:val="22"/>
          <w:szCs w:val="22"/>
        </w:rPr>
        <w:t>-</w:t>
      </w:r>
      <w:r w:rsidRPr="004867EA">
        <w:rPr>
          <w:rFonts w:asciiTheme="minorHAnsi" w:eastAsia="Calibri" w:hAnsiTheme="minorHAnsi" w:cstheme="minorHAnsi"/>
          <w:sz w:val="22"/>
          <w:szCs w:val="22"/>
        </w:rPr>
        <w:t>centred solutions.</w:t>
      </w:r>
    </w:p>
    <w:p w14:paraId="4852C3CA" w14:textId="367A2C61"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Our ITU Academy grew to 83</w:t>
      </w:r>
      <w:r w:rsidR="00D452E6" w:rsidRPr="004867EA">
        <w:rPr>
          <w:rFonts w:asciiTheme="minorHAnsi" w:eastAsia="Calibri" w:hAnsiTheme="minorHAnsi" w:cstheme="minorHAnsi"/>
          <w:sz w:val="22"/>
          <w:szCs w:val="22"/>
        </w:rPr>
        <w:t> </w:t>
      </w:r>
      <w:r w:rsidRPr="004867EA">
        <w:rPr>
          <w:rFonts w:asciiTheme="minorHAnsi" w:eastAsia="Calibri" w:hAnsiTheme="minorHAnsi" w:cstheme="minorHAnsi"/>
          <w:sz w:val="22"/>
          <w:szCs w:val="22"/>
        </w:rPr>
        <w:t>000 learners by 2025, of which 40 per cent were women. Our Digital Transformation Centres Initiative reached more than 610</w:t>
      </w:r>
      <w:r w:rsidR="00D452E6" w:rsidRPr="004867EA">
        <w:rPr>
          <w:rFonts w:asciiTheme="minorHAnsi" w:eastAsia="Calibri" w:hAnsiTheme="minorHAnsi" w:cstheme="minorHAnsi"/>
          <w:sz w:val="22"/>
          <w:szCs w:val="22"/>
        </w:rPr>
        <w:t> </w:t>
      </w:r>
      <w:r w:rsidRPr="004867EA">
        <w:rPr>
          <w:rFonts w:asciiTheme="minorHAnsi" w:eastAsia="Calibri" w:hAnsiTheme="minorHAnsi" w:cstheme="minorHAnsi"/>
          <w:sz w:val="22"/>
          <w:szCs w:val="22"/>
        </w:rPr>
        <w:t xml:space="preserve">000 people in 2022-2025, over half of them women. </w:t>
      </w:r>
    </w:p>
    <w:p w14:paraId="2A2E031C" w14:textId="77777777" w:rsidR="0062595A" w:rsidRPr="004867EA" w:rsidRDefault="0062595A" w:rsidP="0062595A">
      <w:pPr>
        <w:suppressAutoHyphens/>
        <w:adjustRightInd/>
        <w:spacing w:before="0" w:after="160"/>
        <w:jc w:val="both"/>
        <w:rPr>
          <w:rFonts w:asciiTheme="minorHAnsi" w:eastAsia="MS Mincho" w:hAnsiTheme="minorHAnsi" w:cstheme="minorHAnsi"/>
          <w:sz w:val="22"/>
        </w:rPr>
      </w:pPr>
      <w:r w:rsidRPr="004867EA">
        <w:rPr>
          <w:rFonts w:asciiTheme="minorHAnsi" w:eastAsia="Calibri" w:hAnsiTheme="minorHAnsi" w:cstheme="minorHAnsi"/>
          <w:sz w:val="22"/>
          <w:szCs w:val="22"/>
        </w:rPr>
        <w:t>We supported countries on e-waste regulation and rallied digital companies around greener digital practices</w:t>
      </w:r>
      <w:r w:rsidRPr="004867EA">
        <w:rPr>
          <w:rFonts w:asciiTheme="minorHAnsi" w:eastAsia="Microsoft YaHei" w:hAnsiTheme="minorHAnsi" w:cstheme="minorHAnsi"/>
          <w:sz w:val="22"/>
          <w:szCs w:val="22"/>
          <w:lang w:eastAsia="zh-CN"/>
        </w:rPr>
        <w:t>，</w:t>
      </w:r>
      <w:r w:rsidRPr="004867EA">
        <w:rPr>
          <w:rFonts w:asciiTheme="minorHAnsi" w:eastAsia="Calibri" w:hAnsiTheme="minorHAnsi" w:cstheme="minorHAnsi"/>
          <w:sz w:val="22"/>
          <w:szCs w:val="22"/>
        </w:rPr>
        <w:t>including transparent emissions reporting and sustainable standards.</w:t>
      </w:r>
    </w:p>
    <w:p w14:paraId="423A2423" w14:textId="77777777" w:rsidR="0062595A" w:rsidRPr="004867EA" w:rsidRDefault="0062595A" w:rsidP="0062595A">
      <w:pPr>
        <w:suppressAutoHyphens/>
        <w:adjustRightInd/>
        <w:spacing w:before="0" w:after="160"/>
        <w:jc w:val="both"/>
        <w:rPr>
          <w:rFonts w:asciiTheme="minorHAnsi" w:eastAsia="MS Mincho" w:hAnsiTheme="minorHAnsi" w:cstheme="minorHAnsi"/>
          <w:sz w:val="22"/>
        </w:rPr>
      </w:pPr>
      <w:r w:rsidRPr="004867EA">
        <w:rPr>
          <w:rFonts w:asciiTheme="minorHAnsi" w:eastAsia="Calibri" w:hAnsiTheme="minorHAnsi" w:cstheme="minorHAnsi"/>
          <w:sz w:val="22"/>
          <w:szCs w:val="22"/>
        </w:rPr>
        <w:t>Our Plenipotentiary Conference (PP-22) in Bucharest</w:t>
      </w:r>
      <w:r w:rsidRPr="004867EA">
        <w:rPr>
          <w:rFonts w:asciiTheme="minorHAnsi" w:eastAsia="Calibri" w:hAnsiTheme="minorHAnsi" w:cstheme="minorHAnsi"/>
          <w:color w:val="0F1115"/>
          <w:sz w:val="22"/>
          <w:szCs w:val="22"/>
        </w:rPr>
        <w:t xml:space="preserve"> sharpened our focus on AI governance and space sustainability. </w:t>
      </w:r>
      <w:r w:rsidRPr="004867EA">
        <w:rPr>
          <w:rFonts w:asciiTheme="minorHAnsi" w:eastAsia="Calibri" w:hAnsiTheme="minorHAnsi" w:cstheme="minorHAnsi"/>
          <w:sz w:val="22"/>
          <w:szCs w:val="22"/>
        </w:rPr>
        <w:t>The World Radiocommunication Conference (WRC-23) in Dubai</w:t>
      </w:r>
      <w:r w:rsidRPr="004867EA">
        <w:rPr>
          <w:rFonts w:asciiTheme="minorHAnsi" w:eastAsia="Calibri" w:hAnsiTheme="minorHAnsi" w:cstheme="minorHAnsi"/>
          <w:color w:val="0F1115"/>
          <w:sz w:val="22"/>
          <w:szCs w:val="22"/>
        </w:rPr>
        <w:t xml:space="preserve"> secured the spectrum foundations for the satellite age and 6G</w:t>
      </w:r>
      <w:r w:rsidRPr="004867EA">
        <w:rPr>
          <w:rFonts w:asciiTheme="minorHAnsi" w:eastAsia="Calibri" w:hAnsiTheme="minorHAnsi" w:cstheme="minorHAnsi"/>
          <w:sz w:val="22"/>
          <w:szCs w:val="22"/>
        </w:rPr>
        <w:t xml:space="preserve">. The World Telecommunication Standardization Assembly (WTSA-24) </w:t>
      </w:r>
      <w:r w:rsidRPr="004867EA">
        <w:rPr>
          <w:rFonts w:asciiTheme="minorHAnsi" w:eastAsia="Calibri" w:hAnsiTheme="minorHAnsi" w:cstheme="minorHAnsi"/>
          <w:color w:val="0F1115"/>
          <w:sz w:val="22"/>
          <w:szCs w:val="22"/>
        </w:rPr>
        <w:t xml:space="preserve">advanced the technical standards </w:t>
      </w:r>
      <w:r w:rsidRPr="004867EA">
        <w:rPr>
          <w:rFonts w:asciiTheme="minorHAnsi" w:eastAsia="Calibri" w:hAnsiTheme="minorHAnsi" w:cstheme="minorHAnsi"/>
          <w:sz w:val="22"/>
          <w:szCs w:val="22"/>
        </w:rPr>
        <w:t>to ensure standards work for everyone. Most recently, the World Telecommunication Development Conference (WTDC-25) in Baku,</w:t>
      </w:r>
      <w:r w:rsidRPr="004867EA">
        <w:rPr>
          <w:rFonts w:asciiTheme="minorHAnsi" w:eastAsia="Calibri" w:hAnsiTheme="minorHAnsi" w:cstheme="minorHAnsi"/>
          <w:color w:val="0F1115"/>
          <w:sz w:val="22"/>
          <w:szCs w:val="22"/>
        </w:rPr>
        <w:t xml:space="preserve"> translated these global frameworks into regional action plans </w:t>
      </w:r>
      <w:r w:rsidRPr="004867EA">
        <w:rPr>
          <w:rFonts w:asciiTheme="minorHAnsi" w:eastAsia="Calibri" w:hAnsiTheme="minorHAnsi" w:cstheme="minorHAnsi"/>
          <w:sz w:val="22"/>
          <w:szCs w:val="22"/>
        </w:rPr>
        <w:t>to bring digital benefits to people and communities around the globe.</w:t>
      </w:r>
    </w:p>
    <w:p w14:paraId="4B8919D2" w14:textId="3BD4E36D"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 xml:space="preserve">We capped off these successes with the UN General Assembly’s endorsement of the </w:t>
      </w:r>
      <w:r w:rsidR="6697FC4A" w:rsidRPr="004867EA">
        <w:rPr>
          <w:rFonts w:asciiTheme="minorHAnsi" w:eastAsia="Calibri" w:hAnsiTheme="minorHAnsi" w:cstheme="minorHAnsi"/>
          <w:sz w:val="22"/>
          <w:szCs w:val="22"/>
        </w:rPr>
        <w:t xml:space="preserve">outcomes of the 20-year review of the </w:t>
      </w:r>
      <w:r w:rsidRPr="004867EA">
        <w:rPr>
          <w:rFonts w:asciiTheme="minorHAnsi" w:eastAsia="Calibri" w:hAnsiTheme="minorHAnsi" w:cstheme="minorHAnsi"/>
          <w:sz w:val="22"/>
          <w:szCs w:val="22"/>
        </w:rPr>
        <w:t>World Summit on the Information Society (WSIS) as the basis for building the digital future for all. The UN resolution, furthermore, affirms ITU data as the gold standard for tracking global digital progress.</w:t>
      </w:r>
    </w:p>
    <w:p w14:paraId="65B07596" w14:textId="77777777"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At the same time, we have built wider communities and ramped up innovative partnerships on critical issues for the world today.</w:t>
      </w:r>
    </w:p>
    <w:p w14:paraId="3D9BF5B3" w14:textId="10A6575C" w:rsidR="0062595A" w:rsidRPr="004867EA" w:rsidRDefault="0062595A" w:rsidP="0062595A">
      <w:pPr>
        <w:suppressAutoHyphens/>
        <w:adjustRightInd/>
        <w:spacing w:before="0" w:after="160"/>
        <w:jc w:val="both"/>
        <w:rPr>
          <w:rFonts w:asciiTheme="minorHAnsi" w:eastAsia="MS Mincho" w:hAnsiTheme="minorHAnsi" w:cstheme="minorHAnsi"/>
          <w:sz w:val="22"/>
        </w:rPr>
      </w:pPr>
      <w:r w:rsidRPr="004867EA">
        <w:rPr>
          <w:rFonts w:asciiTheme="minorHAnsi" w:eastAsia="Calibri" w:hAnsiTheme="minorHAnsi" w:cstheme="minorHAnsi"/>
          <w:sz w:val="22"/>
          <w:szCs w:val="22"/>
        </w:rPr>
        <w:t>Our eight-year-old AI for Good Global Summit, alongside our WSIS+20 High-Level Event, attracted 11</w:t>
      </w:r>
      <w:r w:rsidR="00E86CF6" w:rsidRPr="004867EA">
        <w:rPr>
          <w:rFonts w:asciiTheme="minorHAnsi" w:eastAsia="Calibri" w:hAnsiTheme="minorHAnsi" w:cstheme="minorHAnsi"/>
          <w:sz w:val="22"/>
          <w:szCs w:val="22"/>
        </w:rPr>
        <w:t> </w:t>
      </w:r>
      <w:r w:rsidRPr="004867EA">
        <w:rPr>
          <w:rFonts w:asciiTheme="minorHAnsi" w:eastAsia="Calibri" w:hAnsiTheme="minorHAnsi" w:cstheme="minorHAnsi"/>
          <w:sz w:val="22"/>
          <w:szCs w:val="22"/>
        </w:rPr>
        <w:t>000 on-site visitors in Geneva in 2025. The virtual AI for Good community – which kept future-shaping conversations going through the pandemic – reached 35</w:t>
      </w:r>
      <w:r w:rsidR="00E86CF6" w:rsidRPr="004867EA">
        <w:rPr>
          <w:rFonts w:asciiTheme="minorHAnsi" w:eastAsia="Calibri" w:hAnsiTheme="minorHAnsi" w:cstheme="minorHAnsi"/>
          <w:sz w:val="22"/>
          <w:szCs w:val="22"/>
        </w:rPr>
        <w:t> </w:t>
      </w:r>
      <w:r w:rsidRPr="004867EA">
        <w:rPr>
          <w:rFonts w:asciiTheme="minorHAnsi" w:eastAsia="Calibri" w:hAnsiTheme="minorHAnsi" w:cstheme="minorHAnsi"/>
          <w:sz w:val="22"/>
          <w:szCs w:val="22"/>
        </w:rPr>
        <w:t xml:space="preserve">000 members and keeps growing, </w:t>
      </w:r>
      <w:r w:rsidRPr="004867EA">
        <w:rPr>
          <w:rFonts w:asciiTheme="minorHAnsi" w:eastAsia="Calibri" w:hAnsiTheme="minorHAnsi" w:cstheme="minorHAnsi"/>
          <w:color w:val="0F1115"/>
          <w:sz w:val="22"/>
          <w:szCs w:val="22"/>
        </w:rPr>
        <w:t>connecting people and ideas globally.</w:t>
      </w:r>
    </w:p>
    <w:p w14:paraId="232DB7AF" w14:textId="34031932" w:rsidR="0062595A" w:rsidRPr="004867EA" w:rsidRDefault="0062595A" w:rsidP="0062595A">
      <w:pPr>
        <w:suppressAutoHyphens/>
        <w:adjustRightInd/>
        <w:spacing w:before="0" w:after="16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ITU has evolved with technologies for more than 160 years so far, from the telegraph all the way to AI and quantum. Just as we celebrated our 160</w:t>
      </w:r>
      <w:r w:rsidRPr="004867EA">
        <w:rPr>
          <w:rFonts w:asciiTheme="minorHAnsi" w:eastAsia="Calibri" w:hAnsiTheme="minorHAnsi" w:cstheme="minorHAnsi"/>
          <w:sz w:val="22"/>
          <w:szCs w:val="22"/>
          <w:vertAlign w:val="superscript"/>
        </w:rPr>
        <w:t>th</w:t>
      </w:r>
      <w:r w:rsidRPr="004867EA">
        <w:rPr>
          <w:rFonts w:asciiTheme="minorHAnsi" w:eastAsia="Calibri" w:hAnsiTheme="minorHAnsi" w:cstheme="minorHAnsi"/>
          <w:sz w:val="22"/>
          <w:szCs w:val="22"/>
        </w:rPr>
        <w:t xml:space="preserve"> anniversary, we cemented our modern role as the UN agency for digital technologies, positioned to mediate human-digital co-existence in the looming age </w:t>
      </w:r>
      <w:r w:rsidRPr="004867EA">
        <w:rPr>
          <w:rFonts w:asciiTheme="minorHAnsi" w:eastAsia="Calibri" w:hAnsiTheme="minorHAnsi" w:cstheme="minorHAnsi"/>
          <w:sz w:val="22"/>
          <w:szCs w:val="22"/>
        </w:rPr>
        <w:lastRenderedPageBreak/>
        <w:t xml:space="preserve">of direct-to-device satellite links, 6G, </w:t>
      </w:r>
      <w:r w:rsidR="05E5904E" w:rsidRPr="004867EA">
        <w:rPr>
          <w:rFonts w:asciiTheme="minorHAnsi" w:eastAsia="Calibri" w:hAnsiTheme="minorHAnsi" w:cstheme="minorHAnsi"/>
          <w:sz w:val="22"/>
          <w:szCs w:val="22"/>
        </w:rPr>
        <w:t xml:space="preserve">with </w:t>
      </w:r>
      <w:r w:rsidRPr="004867EA">
        <w:rPr>
          <w:rFonts w:asciiTheme="minorHAnsi" w:eastAsia="Calibri" w:hAnsiTheme="minorHAnsi" w:cstheme="minorHAnsi"/>
          <w:sz w:val="22"/>
          <w:szCs w:val="22"/>
        </w:rPr>
        <w:t xml:space="preserve">user experience beyond </w:t>
      </w:r>
      <w:r w:rsidRPr="004867EA">
        <w:rPr>
          <w:rFonts w:asciiTheme="minorHAnsi" w:eastAsia="Calibri" w:hAnsiTheme="minorHAnsi" w:cstheme="minorHAnsi"/>
          <w:color w:val="0F1115"/>
          <w:sz w:val="22"/>
          <w:szCs w:val="22"/>
        </w:rPr>
        <w:t>our current imagination</w:t>
      </w:r>
      <w:r w:rsidR="41FCC34E" w:rsidRPr="004867EA">
        <w:rPr>
          <w:rFonts w:asciiTheme="minorHAnsi" w:eastAsia="Calibri" w:hAnsiTheme="minorHAnsi" w:cstheme="minorHAnsi"/>
          <w:color w:val="0F1115"/>
          <w:sz w:val="22"/>
          <w:szCs w:val="22"/>
        </w:rPr>
        <w:t>, and communications outside Earth, especially lunar-communications</w:t>
      </w:r>
      <w:r w:rsidRPr="004867EA">
        <w:rPr>
          <w:rFonts w:asciiTheme="minorHAnsi" w:eastAsia="Calibri" w:hAnsiTheme="minorHAnsi" w:cstheme="minorHAnsi"/>
          <w:color w:val="0F1115"/>
          <w:sz w:val="22"/>
          <w:szCs w:val="22"/>
        </w:rPr>
        <w:t>.</w:t>
      </w:r>
    </w:p>
    <w:p w14:paraId="2BEC7E61" w14:textId="77777777" w:rsidR="0062595A" w:rsidRPr="004867EA" w:rsidRDefault="0062595A" w:rsidP="0062595A">
      <w:pPr>
        <w:suppressAutoHyphens/>
        <w:adjustRightInd/>
        <w:spacing w:before="0" w:after="160"/>
        <w:jc w:val="both"/>
        <w:rPr>
          <w:rFonts w:asciiTheme="minorHAnsi" w:eastAsia="MS Mincho" w:hAnsiTheme="minorHAnsi" w:cstheme="minorHAnsi"/>
          <w:sz w:val="22"/>
        </w:rPr>
      </w:pPr>
      <w:r w:rsidRPr="004867EA">
        <w:rPr>
          <w:rFonts w:asciiTheme="minorHAnsi" w:eastAsia="Calibri" w:hAnsiTheme="minorHAnsi" w:cstheme="minorHAnsi"/>
          <w:sz w:val="22"/>
          <w:szCs w:val="22"/>
        </w:rPr>
        <w:t xml:space="preserve">The Partner2Connect Digital Coalition mobilized 1,060 pledges worth over USD 80 billion across 149 countries is ITU-led push to reach the hardest-to-connect places. And the ITU-UNICEF Giga initiative mapped more than 2 million schools in over 140 countries, </w:t>
      </w:r>
      <w:r w:rsidRPr="004867EA">
        <w:rPr>
          <w:rFonts w:asciiTheme="minorHAnsi" w:eastAsia="Calibri" w:hAnsiTheme="minorHAnsi" w:cstheme="minorHAnsi"/>
          <w:color w:val="0F1115"/>
          <w:sz w:val="22"/>
          <w:szCs w:val="22"/>
        </w:rPr>
        <w:t>showing where the most urgent gaps in school connectivity.</w:t>
      </w:r>
    </w:p>
    <w:p w14:paraId="1B07C97C" w14:textId="30221EA4" w:rsidR="0062595A" w:rsidRPr="004867EA" w:rsidRDefault="0062595A" w:rsidP="4B30B228">
      <w:pPr>
        <w:spacing w:before="0" w:after="16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 xml:space="preserve">On the infrastructure side, </w:t>
      </w:r>
      <w:r w:rsidR="68B4D70A" w:rsidRPr="004867EA">
        <w:rPr>
          <w:rFonts w:asciiTheme="minorHAnsi" w:eastAsia="Calibri" w:hAnsiTheme="minorHAnsi" w:cstheme="minorHAnsi"/>
          <w:sz w:val="22"/>
          <w:szCs w:val="22"/>
        </w:rPr>
        <w:t>our</w:t>
      </w:r>
      <w:r w:rsidR="0ACD1BB0" w:rsidRPr="004867EA">
        <w:rPr>
          <w:rFonts w:asciiTheme="minorHAnsi" w:eastAsia="Calibri" w:hAnsiTheme="minorHAnsi" w:cstheme="minorHAnsi"/>
          <w:sz w:val="22"/>
          <w:szCs w:val="22"/>
        </w:rPr>
        <w:t xml:space="preserve"> </w:t>
      </w:r>
      <w:r w:rsidR="0971EAEB" w:rsidRPr="004867EA">
        <w:rPr>
          <w:rFonts w:asciiTheme="minorHAnsi" w:eastAsia="Calibri" w:hAnsiTheme="minorHAnsi" w:cstheme="minorHAnsi"/>
          <w:sz w:val="22"/>
          <w:szCs w:val="22"/>
        </w:rPr>
        <w:t>new</w:t>
      </w:r>
      <w:r w:rsidRPr="004867EA">
        <w:rPr>
          <w:rFonts w:asciiTheme="minorHAnsi" w:eastAsia="Calibri" w:hAnsiTheme="minorHAnsi" w:cstheme="minorHAnsi"/>
          <w:sz w:val="22"/>
          <w:szCs w:val="22"/>
        </w:rPr>
        <w:t xml:space="preserve"> 42-member Advisory Body on Submarine Cable Resilience </w:t>
      </w:r>
      <w:r w:rsidR="12FF048B" w:rsidRPr="004867EA">
        <w:rPr>
          <w:rFonts w:asciiTheme="minorHAnsi" w:eastAsia="Calibri" w:hAnsiTheme="minorHAnsi" w:cstheme="minorHAnsi"/>
          <w:sz w:val="22"/>
          <w:szCs w:val="22"/>
        </w:rPr>
        <w:t xml:space="preserve">is </w:t>
      </w:r>
      <w:r w:rsidR="5359F139" w:rsidRPr="004867EA">
        <w:rPr>
          <w:rFonts w:asciiTheme="minorHAnsi" w:eastAsia="Calibri" w:hAnsiTheme="minorHAnsi" w:cstheme="minorHAnsi"/>
          <w:sz w:val="22"/>
          <w:szCs w:val="22"/>
        </w:rPr>
        <w:t xml:space="preserve">advancing cooperation to </w:t>
      </w:r>
      <w:r w:rsidR="0ACD1BB0" w:rsidRPr="004867EA">
        <w:rPr>
          <w:rFonts w:asciiTheme="minorHAnsi" w:eastAsia="Calibri" w:hAnsiTheme="minorHAnsi" w:cstheme="minorHAnsi"/>
          <w:sz w:val="22"/>
          <w:szCs w:val="22"/>
        </w:rPr>
        <w:t>help</w:t>
      </w:r>
      <w:r w:rsidR="4E2A3512" w:rsidRPr="004867EA">
        <w:rPr>
          <w:rFonts w:asciiTheme="minorHAnsi" w:eastAsia="Calibri" w:hAnsiTheme="minorHAnsi" w:cstheme="minorHAnsi"/>
          <w:sz w:val="22"/>
          <w:szCs w:val="22"/>
        </w:rPr>
        <w:t xml:space="preserve"> to</w:t>
      </w:r>
      <w:r w:rsidRPr="004867EA">
        <w:rPr>
          <w:rFonts w:asciiTheme="minorHAnsi" w:eastAsia="Calibri" w:hAnsiTheme="minorHAnsi" w:cstheme="minorHAnsi"/>
          <w:sz w:val="22"/>
          <w:szCs w:val="22"/>
        </w:rPr>
        <w:t xml:space="preserve"> </w:t>
      </w:r>
      <w:r w:rsidRPr="004867EA">
        <w:rPr>
          <w:rFonts w:asciiTheme="minorHAnsi" w:eastAsia="Calibri" w:hAnsiTheme="minorHAnsi" w:cstheme="minorHAnsi"/>
          <w:color w:val="0F1115"/>
          <w:sz w:val="22"/>
          <w:szCs w:val="22"/>
        </w:rPr>
        <w:t>safeguard the physical</w:t>
      </w:r>
      <w:r w:rsidRPr="004867EA">
        <w:rPr>
          <w:rFonts w:asciiTheme="minorHAnsi" w:eastAsia="Calibri" w:hAnsiTheme="minorHAnsi" w:cstheme="minorHAnsi"/>
          <w:sz w:val="22"/>
          <w:szCs w:val="22"/>
        </w:rPr>
        <w:t xml:space="preserve"> backbone of global communications.</w:t>
      </w:r>
    </w:p>
    <w:p w14:paraId="1BEE1B80" w14:textId="77777777" w:rsidR="0062595A" w:rsidRPr="004867EA" w:rsidRDefault="0062595A" w:rsidP="0062595A">
      <w:pPr>
        <w:suppressAutoHyphens/>
        <w:adjustRightInd/>
        <w:spacing w:before="0" w:after="160"/>
        <w:jc w:val="both"/>
        <w:rPr>
          <w:rFonts w:asciiTheme="minorHAnsi" w:eastAsia="MS Mincho" w:hAnsiTheme="minorHAnsi" w:cstheme="minorHAnsi"/>
          <w:sz w:val="22"/>
        </w:rPr>
      </w:pPr>
      <w:r w:rsidRPr="004867EA">
        <w:rPr>
          <w:rFonts w:asciiTheme="minorHAnsi" w:eastAsia="Calibri" w:hAnsiTheme="minorHAnsi" w:cstheme="minorHAnsi"/>
          <w:sz w:val="22"/>
          <w:szCs w:val="22"/>
        </w:rPr>
        <w:t xml:space="preserve">All told, we estimate the cost of connecting everyone meaningfully by 2030 at USD 2.6–2.8 trillion – firstly for infrastructure, but </w:t>
      </w:r>
      <w:r w:rsidRPr="004867EA">
        <w:rPr>
          <w:rFonts w:asciiTheme="minorHAnsi" w:eastAsia="Calibri" w:hAnsiTheme="minorHAnsi" w:cstheme="minorHAnsi"/>
          <w:color w:val="0F1115"/>
          <w:sz w:val="22"/>
          <w:szCs w:val="22"/>
        </w:rPr>
        <w:t>simultaneously to build</w:t>
      </w:r>
      <w:r w:rsidRPr="004867EA">
        <w:rPr>
          <w:rFonts w:asciiTheme="minorHAnsi" w:eastAsia="Calibri" w:hAnsiTheme="minorHAnsi" w:cstheme="minorHAnsi"/>
          <w:sz w:val="22"/>
          <w:szCs w:val="22"/>
        </w:rPr>
        <w:t xml:space="preserve"> up digital skills, ensure affordability, and equip countries with sound policy options.</w:t>
      </w:r>
    </w:p>
    <w:p w14:paraId="18A1C848" w14:textId="77777777"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 xml:space="preserve">Universal, meaningful connectivity requires commitment, trust and cooperation. </w:t>
      </w:r>
    </w:p>
    <w:p w14:paraId="118D3046" w14:textId="77777777" w:rsidR="0062595A" w:rsidRPr="004867EA" w:rsidRDefault="0062595A" w:rsidP="0062595A">
      <w:pPr>
        <w:suppressAutoHyphens/>
        <w:adjustRightInd/>
        <w:spacing w:before="0" w:after="160"/>
        <w:jc w:val="both"/>
        <w:rPr>
          <w:rFonts w:asciiTheme="minorHAnsi" w:eastAsia="MS Mincho" w:hAnsiTheme="minorHAnsi" w:cstheme="minorHAnsi"/>
          <w:sz w:val="22"/>
        </w:rPr>
      </w:pPr>
      <w:r w:rsidRPr="004867EA">
        <w:rPr>
          <w:rFonts w:asciiTheme="minorHAnsi" w:eastAsia="Calibri" w:hAnsiTheme="minorHAnsi" w:cstheme="minorHAnsi"/>
          <w:sz w:val="22"/>
          <w:szCs w:val="22"/>
        </w:rPr>
        <w:t xml:space="preserve">The achievements captured in this report reflect the dedication of ITU’s membership, partners and staff, demonstrating what is possible when the global community </w:t>
      </w:r>
      <w:r w:rsidRPr="004867EA">
        <w:rPr>
          <w:rFonts w:asciiTheme="minorHAnsi" w:eastAsia="Calibri" w:hAnsiTheme="minorHAnsi" w:cstheme="minorHAnsi"/>
          <w:color w:val="0F1115"/>
          <w:sz w:val="22"/>
          <w:szCs w:val="22"/>
        </w:rPr>
        <w:t>unites with purpose</w:t>
      </w:r>
      <w:r w:rsidRPr="004867EA">
        <w:rPr>
          <w:rFonts w:asciiTheme="minorHAnsi" w:eastAsia="Calibri" w:hAnsiTheme="minorHAnsi" w:cstheme="minorHAnsi"/>
          <w:sz w:val="22"/>
          <w:szCs w:val="22"/>
        </w:rPr>
        <w:t>.</w:t>
      </w:r>
    </w:p>
    <w:p w14:paraId="7081B728" w14:textId="77777777"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The shared momentum is essential as we move into the next phase of our strategic plan.</w:t>
      </w:r>
    </w:p>
    <w:p w14:paraId="3B5C6F8B" w14:textId="77777777"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Together, let’s ensure that every person, everywhere, can unlock the full benefits of digital transformation.</w:t>
      </w:r>
    </w:p>
    <w:p w14:paraId="643004A1" w14:textId="77777777"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p>
    <w:p w14:paraId="212E8C3A" w14:textId="77777777" w:rsidR="0062595A" w:rsidRPr="004867EA" w:rsidRDefault="0062595A" w:rsidP="0062595A">
      <w:pPr>
        <w:suppressAutoHyphens/>
        <w:adjustRightInd/>
        <w:spacing w:before="0" w:after="16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Doreen Bogdan-Martin</w:t>
      </w:r>
    </w:p>
    <w:p w14:paraId="11C64A97" w14:textId="36C7AB9E" w:rsidR="0062595A" w:rsidRPr="0062595A" w:rsidRDefault="0062595A" w:rsidP="0062595A">
      <w:pPr>
        <w:suppressAutoHyphens/>
        <w:adjustRightInd/>
        <w:spacing w:before="0" w:after="160"/>
        <w:jc w:val="both"/>
        <w:rPr>
          <w:rFonts w:eastAsia="Calibri" w:cs="Calibri"/>
          <w:sz w:val="22"/>
          <w:szCs w:val="22"/>
        </w:rPr>
      </w:pPr>
      <w:r w:rsidRPr="004867EA">
        <w:rPr>
          <w:rFonts w:asciiTheme="minorHAnsi" w:eastAsia="Calibri" w:hAnsiTheme="minorHAnsi" w:cstheme="minorHAnsi"/>
          <w:sz w:val="22"/>
          <w:szCs w:val="22"/>
        </w:rPr>
        <w:t>Secretary</w:t>
      </w:r>
      <w:r w:rsidR="007B2734" w:rsidRPr="004867EA">
        <w:rPr>
          <w:rFonts w:asciiTheme="minorHAnsi" w:eastAsia="Calibri" w:hAnsiTheme="minorHAnsi" w:cstheme="minorHAnsi"/>
          <w:sz w:val="22"/>
          <w:szCs w:val="22"/>
        </w:rPr>
        <w:t>-</w:t>
      </w:r>
      <w:r w:rsidRPr="004867EA">
        <w:rPr>
          <w:rFonts w:asciiTheme="minorHAnsi" w:eastAsia="Calibri" w:hAnsiTheme="minorHAnsi" w:cstheme="minorHAnsi"/>
          <w:sz w:val="22"/>
          <w:szCs w:val="22"/>
        </w:rPr>
        <w:t>General, ITU</w:t>
      </w:r>
    </w:p>
    <w:p w14:paraId="45740425" w14:textId="77777777" w:rsidR="0062595A" w:rsidRPr="0062595A" w:rsidRDefault="0062595A" w:rsidP="0062595A">
      <w:pPr>
        <w:suppressAutoHyphens/>
        <w:adjustRightInd/>
        <w:spacing w:after="120"/>
        <w:jc w:val="both"/>
        <w:rPr>
          <w:rFonts w:eastAsia="MS Mincho" w:cs="Arial"/>
          <w:b/>
          <w:bCs/>
          <w:sz w:val="22"/>
        </w:rPr>
      </w:pPr>
    </w:p>
    <w:p w14:paraId="0ECFD995" w14:textId="77777777" w:rsidR="0062595A" w:rsidRPr="0062595A" w:rsidRDefault="0062595A" w:rsidP="0062595A">
      <w:pPr>
        <w:pageBreakBefore/>
        <w:tabs>
          <w:tab w:val="clear" w:pos="567"/>
          <w:tab w:val="clear" w:pos="1134"/>
          <w:tab w:val="clear" w:pos="1701"/>
          <w:tab w:val="clear" w:pos="2268"/>
          <w:tab w:val="clear" w:pos="2835"/>
        </w:tabs>
        <w:suppressAutoHyphens/>
        <w:overflowPunct/>
        <w:autoSpaceDE/>
        <w:adjustRightInd/>
        <w:spacing w:before="0"/>
        <w:textAlignment w:val="auto"/>
        <w:rPr>
          <w:rFonts w:eastAsia="MS Mincho" w:cs="Calibri"/>
          <w:b/>
          <w:bCs/>
          <w:sz w:val="22"/>
          <w:szCs w:val="18"/>
        </w:rPr>
      </w:pPr>
    </w:p>
    <w:p w14:paraId="56DAF04F" w14:textId="77777777" w:rsidR="0062595A" w:rsidRPr="0062595A" w:rsidRDefault="0062595A" w:rsidP="0062595A">
      <w:pPr>
        <w:suppressAutoHyphens/>
        <w:adjustRightInd/>
        <w:spacing w:after="120"/>
        <w:jc w:val="both"/>
        <w:rPr>
          <w:rFonts w:eastAsia="MS Mincho" w:cs="Calibri"/>
          <w:sz w:val="22"/>
          <w:szCs w:val="18"/>
          <w:shd w:val="clear" w:color="auto" w:fill="FFFF00"/>
        </w:rPr>
      </w:pPr>
    </w:p>
    <w:p w14:paraId="2841F5F8" w14:textId="77777777" w:rsidR="0062595A" w:rsidRPr="0062595A" w:rsidRDefault="0062595A" w:rsidP="0062595A">
      <w:pPr>
        <w:keepNext/>
        <w:keepLines/>
        <w:tabs>
          <w:tab w:val="clear" w:pos="567"/>
          <w:tab w:val="clear" w:pos="1134"/>
          <w:tab w:val="clear" w:pos="1701"/>
          <w:tab w:val="clear" w:pos="2268"/>
          <w:tab w:val="clear" w:pos="2835"/>
        </w:tabs>
        <w:suppressAutoHyphens/>
        <w:overflowPunct/>
        <w:autoSpaceDE/>
        <w:adjustRightInd/>
        <w:spacing w:before="240" w:line="256" w:lineRule="auto"/>
        <w:ind w:left="567" w:hanging="567"/>
        <w:jc w:val="both"/>
        <w:textAlignment w:val="auto"/>
        <w:rPr>
          <w:rFonts w:eastAsia="SimSun" w:cs="Calibri"/>
          <w:color w:val="365F91"/>
          <w:sz w:val="32"/>
          <w:szCs w:val="32"/>
        </w:rPr>
      </w:pPr>
      <w:r w:rsidRPr="0062595A">
        <w:rPr>
          <w:rFonts w:eastAsia="SimSun" w:cs="Calibri"/>
          <w:color w:val="365F91"/>
          <w:sz w:val="32"/>
          <w:szCs w:val="32"/>
        </w:rPr>
        <w:t>Contents</w:t>
      </w:r>
    </w:p>
    <w:p w14:paraId="0585FAD2" w14:textId="1117D0CB"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spacing w:before="240"/>
        <w:ind w:left="964" w:hanging="964"/>
        <w:jc w:val="both"/>
        <w:rPr>
          <w:rFonts w:ascii="Aptos" w:hAnsi="Aptos" w:cs="Arial"/>
          <w:noProof/>
          <w:kern w:val="2"/>
          <w:szCs w:val="24"/>
          <w:lang w:eastAsia="en-GB"/>
          <w14:ligatures w14:val="standardContextual"/>
        </w:rPr>
      </w:pPr>
      <w:r w:rsidRPr="0062595A">
        <w:rPr>
          <w:rFonts w:eastAsia="SimSun" w:cs="Calibri"/>
          <w:color w:val="365F91"/>
          <w:sz w:val="32"/>
          <w:szCs w:val="32"/>
        </w:rPr>
        <w:fldChar w:fldCharType="begin"/>
      </w:r>
      <w:r w:rsidRPr="0062595A">
        <w:rPr>
          <w:rFonts w:eastAsia="MS Mincho"/>
          <w:sz w:val="22"/>
        </w:rPr>
        <w:instrText xml:space="preserve"> TOC \o "1-3" \u \h </w:instrText>
      </w:r>
      <w:r w:rsidRPr="0062595A">
        <w:rPr>
          <w:rFonts w:eastAsia="SimSun" w:cs="Calibri"/>
          <w:color w:val="365F91"/>
          <w:sz w:val="32"/>
          <w:szCs w:val="32"/>
        </w:rPr>
        <w:fldChar w:fldCharType="separate"/>
      </w:r>
      <w:hyperlink w:anchor="_Toc224288787" w:history="1">
        <w:r w:rsidRPr="0062595A">
          <w:rPr>
            <w:noProof/>
            <w:sz w:val="22"/>
          </w:rPr>
          <w:t>i.</w:t>
        </w:r>
        <w:r w:rsidRPr="0062595A">
          <w:rPr>
            <w:rFonts w:ascii="Aptos" w:hAnsi="Aptos" w:cs="Arial"/>
            <w:noProof/>
            <w:kern w:val="2"/>
            <w:szCs w:val="24"/>
            <w:lang w:eastAsia="en-GB"/>
            <w14:ligatures w14:val="standardContextual"/>
          </w:rPr>
          <w:tab/>
        </w:r>
        <w:r w:rsidRPr="0062595A">
          <w:rPr>
            <w:rFonts w:eastAsia="MS Mincho"/>
            <w:noProof/>
            <w:sz w:val="22"/>
          </w:rPr>
          <w:t>Executive summary</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_Toc224288787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6</w:t>
        </w:r>
        <w:r w:rsidRPr="0062595A">
          <w:rPr>
            <w:rFonts w:eastAsia="MS Mincho"/>
            <w:noProof/>
            <w:sz w:val="22"/>
          </w:rPr>
          <w:fldChar w:fldCharType="end"/>
        </w:r>
      </w:hyperlink>
    </w:p>
    <w:p w14:paraId="7FF407F4" w14:textId="2C2276B8"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spacing w:before="240"/>
        <w:ind w:left="964" w:hanging="964"/>
        <w:jc w:val="both"/>
        <w:rPr>
          <w:rFonts w:ascii="Aptos" w:hAnsi="Aptos" w:cs="Arial"/>
          <w:noProof/>
          <w:kern w:val="2"/>
          <w:szCs w:val="24"/>
          <w:lang w:eastAsia="en-GB"/>
          <w14:ligatures w14:val="standardContextual"/>
        </w:rPr>
      </w:pPr>
      <w:hyperlink w:anchor="_Toc224288788" w:history="1">
        <w:r w:rsidRPr="0062595A">
          <w:rPr>
            <w:noProof/>
            <w:sz w:val="22"/>
          </w:rPr>
          <w:t>ii.</w:t>
        </w:r>
        <w:r w:rsidRPr="0062595A">
          <w:rPr>
            <w:rFonts w:ascii="Aptos" w:hAnsi="Aptos" w:cs="Arial"/>
            <w:noProof/>
            <w:kern w:val="2"/>
            <w:szCs w:val="24"/>
            <w:lang w:eastAsia="en-GB"/>
            <w14:ligatures w14:val="standardContextual"/>
          </w:rPr>
          <w:tab/>
        </w:r>
        <w:r w:rsidRPr="0062595A">
          <w:rPr>
            <w:rFonts w:eastAsia="MS Mincho"/>
            <w:noProof/>
            <w:sz w:val="22"/>
          </w:rPr>
          <w:t>Insights and takeaways from 2022-2025</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_Toc224288788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11</w:t>
        </w:r>
        <w:r w:rsidRPr="0062595A">
          <w:rPr>
            <w:rFonts w:eastAsia="MS Mincho"/>
            <w:noProof/>
            <w:sz w:val="22"/>
          </w:rPr>
          <w:fldChar w:fldCharType="end"/>
        </w:r>
      </w:hyperlink>
    </w:p>
    <w:p w14:paraId="4FE20849" w14:textId="30AC5E75"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spacing w:before="240"/>
        <w:ind w:left="964" w:hanging="964"/>
        <w:jc w:val="both"/>
        <w:rPr>
          <w:rFonts w:ascii="Aptos" w:hAnsi="Aptos" w:cs="Arial"/>
          <w:noProof/>
          <w:kern w:val="2"/>
          <w:szCs w:val="24"/>
          <w:lang w:eastAsia="en-GB"/>
          <w14:ligatures w14:val="standardContextual"/>
        </w:rPr>
      </w:pPr>
      <w:hyperlink w:anchor="_Toc224288789" w:history="1">
        <w:r w:rsidRPr="0062595A">
          <w:rPr>
            <w:rFonts w:eastAsia="MS Mincho"/>
            <w:noProof/>
            <w:sz w:val="22"/>
          </w:rPr>
          <w:t>1.</w:t>
        </w:r>
        <w:r w:rsidRPr="0062595A">
          <w:rPr>
            <w:rFonts w:ascii="Aptos" w:hAnsi="Aptos" w:cs="Arial"/>
            <w:noProof/>
            <w:kern w:val="2"/>
            <w:szCs w:val="24"/>
            <w:lang w:eastAsia="en-GB"/>
            <w14:ligatures w14:val="standardContextual"/>
          </w:rPr>
          <w:tab/>
        </w:r>
        <w:r w:rsidRPr="0062595A">
          <w:rPr>
            <w:rFonts w:eastAsia="MS Mincho"/>
            <w:noProof/>
            <w:sz w:val="22"/>
          </w:rPr>
          <w:t>Introduction</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_Toc224288789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14</w:t>
        </w:r>
        <w:r w:rsidRPr="0062595A">
          <w:rPr>
            <w:rFonts w:eastAsia="MS Mincho"/>
            <w:noProof/>
            <w:sz w:val="22"/>
          </w:rPr>
          <w:fldChar w:fldCharType="end"/>
        </w:r>
      </w:hyperlink>
    </w:p>
    <w:p w14:paraId="2D64C10C" w14:textId="5E81D1D5"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spacing w:before="240"/>
        <w:ind w:left="964" w:hanging="964"/>
        <w:jc w:val="both"/>
        <w:rPr>
          <w:rFonts w:ascii="Aptos" w:hAnsi="Aptos" w:cs="Arial"/>
          <w:noProof/>
          <w:kern w:val="2"/>
          <w:szCs w:val="24"/>
          <w:lang w:eastAsia="en-GB"/>
          <w14:ligatures w14:val="standardContextual"/>
        </w:rPr>
      </w:pPr>
      <w:hyperlink w:anchor="_Toc224288790" w:history="1">
        <w:r w:rsidRPr="0062595A">
          <w:rPr>
            <w:rFonts w:eastAsia="MS Mincho"/>
            <w:noProof/>
            <w:sz w:val="22"/>
          </w:rPr>
          <w:t>2. Global statutory conferences in 2022-2025</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_Toc224288790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15</w:t>
        </w:r>
        <w:r w:rsidRPr="0062595A">
          <w:rPr>
            <w:rFonts w:eastAsia="MS Mincho"/>
            <w:noProof/>
            <w:sz w:val="22"/>
          </w:rPr>
          <w:fldChar w:fldCharType="end"/>
        </w:r>
      </w:hyperlink>
    </w:p>
    <w:p w14:paraId="0D4EABC0" w14:textId="21C74F15"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791" w:history="1">
        <w:r w:rsidRPr="0062595A">
          <w:rPr>
            <w:rFonts w:eastAsia="MS Mincho"/>
            <w:noProof/>
            <w:sz w:val="22"/>
          </w:rPr>
          <w:t>2.1</w:t>
        </w:r>
        <w:r w:rsidRPr="0062595A">
          <w:rPr>
            <w:rFonts w:ascii="Aptos" w:hAnsi="Aptos" w:cs="Arial"/>
            <w:noProof/>
            <w:kern w:val="2"/>
            <w:szCs w:val="24"/>
            <w:lang w:eastAsia="en-GB"/>
            <w14:ligatures w14:val="standardContextual"/>
          </w:rPr>
          <w:tab/>
        </w:r>
        <w:r w:rsidRPr="0062595A">
          <w:rPr>
            <w:rFonts w:eastAsia="MS Mincho"/>
            <w:noProof/>
            <w:sz w:val="22"/>
          </w:rPr>
          <w:t>ITU Plenipotentiary Conference (PP-22)</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_Toc224288791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15</w:t>
        </w:r>
        <w:r w:rsidRPr="0062595A">
          <w:rPr>
            <w:rFonts w:eastAsia="MS Mincho"/>
            <w:noProof/>
            <w:sz w:val="22"/>
          </w:rPr>
          <w:fldChar w:fldCharType="end"/>
        </w:r>
      </w:hyperlink>
    </w:p>
    <w:p w14:paraId="1E1F95AE" w14:textId="4754197E"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792" w:history="1">
        <w:r w:rsidRPr="0062595A">
          <w:rPr>
            <w:rFonts w:eastAsia="MS Mincho"/>
            <w:noProof/>
            <w:sz w:val="22"/>
          </w:rPr>
          <w:t>2.1.1.</w:t>
        </w:r>
        <w:r w:rsidRPr="0062595A">
          <w:rPr>
            <w:rFonts w:ascii="Aptos" w:hAnsi="Aptos" w:cs="Arial"/>
            <w:noProof/>
            <w:kern w:val="2"/>
            <w:szCs w:val="24"/>
            <w:lang w:eastAsia="en-GB"/>
            <w14:ligatures w14:val="standardContextual"/>
          </w:rPr>
          <w:tab/>
        </w:r>
        <w:r w:rsidRPr="0062595A">
          <w:rPr>
            <w:rFonts w:eastAsia="MS Mincho"/>
            <w:noProof/>
            <w:sz w:val="22"/>
          </w:rPr>
          <w:t>ITU elections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_Toc224288792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15</w:t>
        </w:r>
        <w:r w:rsidRPr="0062595A">
          <w:rPr>
            <w:rFonts w:eastAsia="MS Mincho"/>
            <w:noProof/>
            <w:sz w:val="22"/>
          </w:rPr>
          <w:fldChar w:fldCharType="end"/>
        </w:r>
      </w:hyperlink>
    </w:p>
    <w:p w14:paraId="3CBDFF24" w14:textId="53C50C5F"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793" w:history="1">
        <w:r w:rsidRPr="0062595A">
          <w:rPr>
            <w:rFonts w:eastAsia="MS Mincho"/>
            <w:noProof/>
            <w:sz w:val="22"/>
          </w:rPr>
          <w:t>2.2</w:t>
        </w:r>
        <w:r w:rsidRPr="0062595A">
          <w:rPr>
            <w:rFonts w:ascii="Aptos" w:hAnsi="Aptos" w:cs="Arial"/>
            <w:noProof/>
            <w:kern w:val="2"/>
            <w:szCs w:val="24"/>
            <w:lang w:eastAsia="en-GB"/>
            <w14:ligatures w14:val="standardContextual"/>
          </w:rPr>
          <w:tab/>
        </w:r>
        <w:r w:rsidRPr="0062595A">
          <w:rPr>
            <w:rFonts w:eastAsia="MS Mincho"/>
            <w:noProof/>
            <w:sz w:val="22"/>
          </w:rPr>
          <w:t>WRC-23 and RA-23</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_Toc224288793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15</w:t>
        </w:r>
        <w:r w:rsidRPr="0062595A">
          <w:rPr>
            <w:rFonts w:eastAsia="MS Mincho"/>
            <w:noProof/>
            <w:sz w:val="22"/>
          </w:rPr>
          <w:fldChar w:fldCharType="end"/>
        </w:r>
      </w:hyperlink>
    </w:p>
    <w:p w14:paraId="5FF1D421" w14:textId="0497F24B"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794" w:history="1">
        <w:r w:rsidRPr="0062595A">
          <w:rPr>
            <w:rFonts w:eastAsia="MS Mincho"/>
            <w:noProof/>
            <w:sz w:val="22"/>
          </w:rPr>
          <w:t>2.2.1.</w:t>
        </w:r>
        <w:r w:rsidRPr="0062595A">
          <w:rPr>
            <w:rFonts w:ascii="Aptos" w:hAnsi="Aptos" w:cs="Arial"/>
            <w:noProof/>
            <w:kern w:val="2"/>
            <w:szCs w:val="24"/>
            <w:lang w:eastAsia="en-GB"/>
            <w14:ligatures w14:val="standardContextual"/>
          </w:rPr>
          <w:tab/>
        </w:r>
        <w:r w:rsidRPr="0062595A">
          <w:rPr>
            <w:rFonts w:eastAsia="MS Mincho"/>
            <w:noProof/>
            <w:sz w:val="22"/>
          </w:rPr>
          <w:t>World Radiocommunication Conference 2023</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_Toc224288794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15</w:t>
        </w:r>
        <w:r w:rsidRPr="0062595A">
          <w:rPr>
            <w:rFonts w:eastAsia="MS Mincho"/>
            <w:noProof/>
            <w:sz w:val="22"/>
          </w:rPr>
          <w:fldChar w:fldCharType="end"/>
        </w:r>
      </w:hyperlink>
    </w:p>
    <w:p w14:paraId="5B63DDD6" w14:textId="4E9371B6"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795" w:history="1">
        <w:r w:rsidRPr="0062595A">
          <w:rPr>
            <w:rFonts w:eastAsia="MS Mincho"/>
            <w:noProof/>
            <w:sz w:val="22"/>
          </w:rPr>
          <w:t>2.2.2.</w:t>
        </w:r>
        <w:r w:rsidRPr="0062595A">
          <w:rPr>
            <w:rFonts w:ascii="Aptos" w:hAnsi="Aptos" w:cs="Arial"/>
            <w:noProof/>
            <w:kern w:val="2"/>
            <w:szCs w:val="24"/>
            <w:lang w:eastAsia="en-GB"/>
            <w14:ligatures w14:val="standardContextual"/>
          </w:rPr>
          <w:tab/>
        </w:r>
        <w:r w:rsidRPr="0062595A">
          <w:rPr>
            <w:rFonts w:eastAsia="MS Mincho"/>
            <w:noProof/>
            <w:sz w:val="22"/>
          </w:rPr>
          <w:t>Radiocommunication Assembly 2023</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_Toc224288795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16</w:t>
        </w:r>
        <w:r w:rsidRPr="0062595A">
          <w:rPr>
            <w:rFonts w:eastAsia="MS Mincho"/>
            <w:noProof/>
            <w:sz w:val="22"/>
          </w:rPr>
          <w:fldChar w:fldCharType="end"/>
        </w:r>
      </w:hyperlink>
    </w:p>
    <w:p w14:paraId="21425181" w14:textId="542B376D"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796" w:history="1">
        <w:r w:rsidRPr="0062595A">
          <w:rPr>
            <w:rFonts w:eastAsia="MS Mincho"/>
            <w:noProof/>
            <w:sz w:val="22"/>
          </w:rPr>
          <w:t>2.3.</w:t>
        </w:r>
        <w:r w:rsidRPr="0062595A">
          <w:rPr>
            <w:rFonts w:ascii="Aptos" w:hAnsi="Aptos" w:cs="Arial"/>
            <w:noProof/>
            <w:kern w:val="2"/>
            <w:szCs w:val="24"/>
            <w:lang w:eastAsia="en-GB"/>
            <w14:ligatures w14:val="standardContextual"/>
          </w:rPr>
          <w:tab/>
        </w:r>
        <w:r w:rsidRPr="0062595A">
          <w:rPr>
            <w:rFonts w:eastAsia="MS Mincho"/>
            <w:bCs/>
            <w:noProof/>
            <w:sz w:val="22"/>
          </w:rPr>
          <w:t>World Telecommunication Standardization Assembly 2024</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_Toc224288796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17</w:t>
        </w:r>
        <w:r w:rsidRPr="0062595A">
          <w:rPr>
            <w:rFonts w:eastAsia="MS Mincho"/>
            <w:noProof/>
            <w:sz w:val="22"/>
          </w:rPr>
          <w:fldChar w:fldCharType="end"/>
        </w:r>
      </w:hyperlink>
    </w:p>
    <w:p w14:paraId="083D97E2" w14:textId="2E949A5A"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797" w:history="1">
        <w:r w:rsidRPr="0062595A">
          <w:rPr>
            <w:rFonts w:eastAsia="MS Mincho"/>
            <w:noProof/>
            <w:sz w:val="22"/>
          </w:rPr>
          <w:t>2.4</w:t>
        </w:r>
        <w:r w:rsidRPr="0062595A">
          <w:rPr>
            <w:rFonts w:ascii="Aptos" w:hAnsi="Aptos" w:cs="Arial"/>
            <w:noProof/>
            <w:kern w:val="2"/>
            <w:szCs w:val="24"/>
            <w:lang w:eastAsia="en-GB"/>
            <w14:ligatures w14:val="standardContextual"/>
          </w:rPr>
          <w:tab/>
        </w:r>
        <w:r w:rsidRPr="0062595A">
          <w:rPr>
            <w:rFonts w:eastAsia="MS Mincho"/>
            <w:noProof/>
            <w:sz w:val="22"/>
          </w:rPr>
          <w:t>World Telecommunication Development Conference 2025</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_Toc224288797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17</w:t>
        </w:r>
        <w:r w:rsidRPr="0062595A">
          <w:rPr>
            <w:rFonts w:eastAsia="MS Mincho"/>
            <w:noProof/>
            <w:sz w:val="22"/>
          </w:rPr>
          <w:fldChar w:fldCharType="end"/>
        </w:r>
      </w:hyperlink>
    </w:p>
    <w:p w14:paraId="3DF880A9" w14:textId="2DE005B9"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spacing w:before="240"/>
        <w:ind w:left="964" w:hanging="964"/>
        <w:jc w:val="both"/>
        <w:rPr>
          <w:rFonts w:ascii="Aptos" w:hAnsi="Aptos" w:cs="Arial"/>
          <w:noProof/>
          <w:kern w:val="2"/>
          <w:szCs w:val="24"/>
          <w:lang w:eastAsia="en-GB"/>
          <w14:ligatures w14:val="standardContextual"/>
        </w:rPr>
      </w:pPr>
      <w:hyperlink w:anchor="_Toc224288798" w:history="1">
        <w:r w:rsidRPr="0062595A">
          <w:rPr>
            <w:rFonts w:eastAsia="MS Mincho"/>
            <w:noProof/>
            <w:sz w:val="22"/>
          </w:rPr>
          <w:t>3. Impact of ITU’s work</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_Toc224288798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19</w:t>
        </w:r>
        <w:r w:rsidRPr="0062595A">
          <w:rPr>
            <w:rFonts w:eastAsia="MS Mincho"/>
            <w:noProof/>
            <w:sz w:val="22"/>
          </w:rPr>
          <w:fldChar w:fldCharType="end"/>
        </w:r>
      </w:hyperlink>
    </w:p>
    <w:p w14:paraId="016C98C8" w14:textId="7C734F05"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799" w:history="1">
        <w:r w:rsidRPr="0062595A">
          <w:rPr>
            <w:rFonts w:eastAsia="MS Mincho"/>
            <w:noProof/>
            <w:sz w:val="22"/>
          </w:rPr>
          <w:t>3.1</w:t>
        </w:r>
        <w:r w:rsidRPr="0062595A">
          <w:rPr>
            <w:rFonts w:ascii="Aptos" w:hAnsi="Aptos" w:cs="Arial"/>
            <w:noProof/>
            <w:kern w:val="2"/>
            <w:szCs w:val="24"/>
            <w:lang w:eastAsia="en-GB"/>
            <w14:ligatures w14:val="standardContextual"/>
          </w:rPr>
          <w:tab/>
        </w:r>
        <w:r w:rsidRPr="0062595A">
          <w:rPr>
            <w:rFonts w:eastAsia="MS Mincho"/>
            <w:noProof/>
            <w:sz w:val="22"/>
          </w:rPr>
          <w:t>Strategic Plan 2020-2023 (final results)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_Toc224288799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19</w:t>
        </w:r>
        <w:r w:rsidRPr="0062595A">
          <w:rPr>
            <w:rFonts w:eastAsia="MS Mincho"/>
            <w:noProof/>
            <w:sz w:val="22"/>
          </w:rPr>
          <w:fldChar w:fldCharType="end"/>
        </w:r>
      </w:hyperlink>
    </w:p>
    <w:p w14:paraId="3E2DEBC6" w14:textId="68CAAC75"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00" w:history="1">
        <w:r w:rsidRPr="0062595A">
          <w:rPr>
            <w:rFonts w:eastAsia="MS Mincho"/>
            <w:noProof/>
            <w:sz w:val="22"/>
          </w:rPr>
          <w:t>3.2</w:t>
        </w:r>
        <w:r w:rsidRPr="0062595A">
          <w:rPr>
            <w:rFonts w:ascii="Aptos" w:hAnsi="Aptos" w:cs="Arial"/>
            <w:noProof/>
            <w:kern w:val="2"/>
            <w:szCs w:val="24"/>
            <w:lang w:eastAsia="en-GB"/>
            <w14:ligatures w14:val="standardContextual"/>
          </w:rPr>
          <w:tab/>
        </w:r>
        <w:r w:rsidRPr="0062595A">
          <w:rPr>
            <w:rFonts w:eastAsia="MS Mincho"/>
            <w:noProof/>
            <w:sz w:val="22"/>
          </w:rPr>
          <w:t>Impact of ITU’s work from 2024 to 2025 (first two years of SP 2024-2027)</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_Toc224288800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20</w:t>
        </w:r>
        <w:r w:rsidRPr="0062595A">
          <w:rPr>
            <w:rFonts w:eastAsia="MS Mincho"/>
            <w:noProof/>
            <w:sz w:val="22"/>
          </w:rPr>
          <w:fldChar w:fldCharType="end"/>
        </w:r>
      </w:hyperlink>
    </w:p>
    <w:p w14:paraId="02BAF0D6" w14:textId="697A2AE0"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01" w:history="1">
        <w:r w:rsidRPr="0062595A">
          <w:rPr>
            <w:rFonts w:eastAsia="MS Mincho"/>
            <w:noProof/>
            <w:sz w:val="22"/>
          </w:rPr>
          <w:t>3.2.1</w:t>
        </w:r>
        <w:r w:rsidRPr="0062595A">
          <w:rPr>
            <w:rFonts w:ascii="Aptos" w:hAnsi="Aptos" w:cs="Arial"/>
            <w:noProof/>
            <w:kern w:val="2"/>
            <w:szCs w:val="24"/>
            <w:lang w:eastAsia="en-GB"/>
            <w14:ligatures w14:val="standardContextual"/>
          </w:rPr>
          <w:tab/>
        </w:r>
        <w:r w:rsidRPr="0062595A">
          <w:rPr>
            <w:rFonts w:eastAsia="MS Mincho"/>
            <w:noProof/>
            <w:sz w:val="22"/>
          </w:rPr>
          <w:t>Universal connectivity</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_Toc224288801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20</w:t>
        </w:r>
        <w:r w:rsidRPr="0062595A">
          <w:rPr>
            <w:rFonts w:eastAsia="MS Mincho"/>
            <w:noProof/>
            <w:sz w:val="22"/>
          </w:rPr>
          <w:fldChar w:fldCharType="end"/>
        </w:r>
      </w:hyperlink>
    </w:p>
    <w:p w14:paraId="58B601E1" w14:textId="4324A78E"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02" w:history="1">
        <w:r w:rsidRPr="0062595A">
          <w:rPr>
            <w:rFonts w:eastAsia="MS Mincho"/>
            <w:noProof/>
            <w:sz w:val="22"/>
          </w:rPr>
          <w:t xml:space="preserve">3.2.2. </w:t>
        </w:r>
        <w:r w:rsidRPr="0062595A">
          <w:rPr>
            <w:rFonts w:ascii="Aptos" w:hAnsi="Aptos" w:cs="Arial"/>
            <w:noProof/>
            <w:kern w:val="2"/>
            <w:szCs w:val="24"/>
            <w:lang w:eastAsia="en-GB"/>
            <w14:ligatures w14:val="standardContextual"/>
          </w:rPr>
          <w:tab/>
        </w:r>
        <w:r w:rsidRPr="0062595A">
          <w:rPr>
            <w:rFonts w:eastAsia="MS Mincho"/>
            <w:noProof/>
            <w:sz w:val="22"/>
          </w:rPr>
          <w:t>Sustainable Digital Transformation</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_Toc224288802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26</w:t>
        </w:r>
        <w:r w:rsidRPr="0062595A">
          <w:rPr>
            <w:rFonts w:eastAsia="MS Mincho"/>
            <w:noProof/>
            <w:sz w:val="22"/>
          </w:rPr>
          <w:fldChar w:fldCharType="end"/>
        </w:r>
      </w:hyperlink>
    </w:p>
    <w:p w14:paraId="59730129" w14:textId="76A986FF"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spacing w:before="240"/>
        <w:ind w:left="964" w:hanging="964"/>
        <w:jc w:val="both"/>
        <w:rPr>
          <w:rFonts w:ascii="Aptos" w:hAnsi="Aptos" w:cs="Arial"/>
          <w:noProof/>
          <w:kern w:val="2"/>
          <w:szCs w:val="24"/>
          <w:lang w:eastAsia="en-GB"/>
          <w14:ligatures w14:val="standardContextual"/>
        </w:rPr>
      </w:pPr>
      <w:hyperlink w:anchor="_Toc224288803" w:history="1">
        <w:r w:rsidRPr="0062595A">
          <w:rPr>
            <w:rFonts w:eastAsia="MS Mincho"/>
            <w:noProof/>
            <w:sz w:val="22"/>
          </w:rPr>
          <w:t>4. Products and services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_Toc224288803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31</w:t>
        </w:r>
        <w:r w:rsidRPr="0062595A">
          <w:rPr>
            <w:rFonts w:eastAsia="MS Mincho"/>
            <w:noProof/>
            <w:sz w:val="22"/>
          </w:rPr>
          <w:fldChar w:fldCharType="end"/>
        </w:r>
      </w:hyperlink>
    </w:p>
    <w:p w14:paraId="2C006C5F" w14:textId="0B608F3E"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04" w:history="1">
        <w:r w:rsidRPr="0062595A">
          <w:rPr>
            <w:rFonts w:eastAsia="MS Mincho"/>
            <w:noProof/>
            <w:sz w:val="22"/>
          </w:rPr>
          <w:t>4.1</w:t>
        </w:r>
        <w:r w:rsidRPr="0062595A">
          <w:rPr>
            <w:rFonts w:ascii="Aptos" w:hAnsi="Aptos" w:cs="Arial"/>
            <w:noProof/>
            <w:kern w:val="2"/>
            <w:szCs w:val="24"/>
            <w:lang w:eastAsia="en-GB"/>
            <w14:ligatures w14:val="standardContextual"/>
          </w:rPr>
          <w:tab/>
        </w:r>
        <w:r w:rsidRPr="0062595A">
          <w:rPr>
            <w:rFonts w:eastAsia="MS Mincho"/>
            <w:noProof/>
            <w:sz w:val="22"/>
          </w:rPr>
          <w:t>Development and application of ITU Administrative Regulations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_Toc224288804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31</w:t>
        </w:r>
        <w:r w:rsidRPr="0062595A">
          <w:rPr>
            <w:rFonts w:eastAsia="MS Mincho"/>
            <w:noProof/>
            <w:sz w:val="22"/>
          </w:rPr>
          <w:fldChar w:fldCharType="end"/>
        </w:r>
      </w:hyperlink>
    </w:p>
    <w:p w14:paraId="274A3043" w14:textId="6A092881"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05" w:history="1">
        <w:r w:rsidRPr="0062595A">
          <w:rPr>
            <w:rFonts w:eastAsia="MS Mincho"/>
            <w:noProof/>
            <w:sz w:val="22"/>
          </w:rPr>
          <w:t>4.1.1</w:t>
        </w:r>
        <w:r w:rsidRPr="0062595A">
          <w:rPr>
            <w:rFonts w:ascii="Aptos" w:hAnsi="Aptos" w:cs="Arial"/>
            <w:noProof/>
            <w:kern w:val="2"/>
            <w:szCs w:val="24"/>
            <w:lang w:eastAsia="en-GB"/>
            <w14:ligatures w14:val="standardContextual"/>
          </w:rPr>
          <w:tab/>
        </w:r>
        <w:r w:rsidRPr="0062595A">
          <w:rPr>
            <w:rFonts w:eastAsia="MS Mincho"/>
            <w:noProof/>
            <w:sz w:val="22"/>
          </w:rPr>
          <w:t>Radio Regulations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_Toc224288805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31</w:t>
        </w:r>
        <w:r w:rsidRPr="0062595A">
          <w:rPr>
            <w:rFonts w:eastAsia="MS Mincho"/>
            <w:noProof/>
            <w:sz w:val="22"/>
          </w:rPr>
          <w:fldChar w:fldCharType="end"/>
        </w:r>
      </w:hyperlink>
    </w:p>
    <w:p w14:paraId="642A3335" w14:textId="22E82A48"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06" w:history="1">
        <w:r w:rsidRPr="0062595A">
          <w:rPr>
            <w:rFonts w:eastAsia="MS Mincho"/>
            <w:noProof/>
            <w:sz w:val="22"/>
          </w:rPr>
          <w:t>4.2</w:t>
        </w:r>
        <w:r w:rsidRPr="0062595A">
          <w:rPr>
            <w:rFonts w:ascii="Aptos" w:hAnsi="Aptos" w:cs="Arial"/>
            <w:noProof/>
            <w:kern w:val="2"/>
            <w:szCs w:val="24"/>
            <w:lang w:eastAsia="en-GB"/>
            <w14:ligatures w14:val="standardContextual"/>
          </w:rPr>
          <w:tab/>
        </w:r>
        <w:r w:rsidRPr="0062595A">
          <w:rPr>
            <w:rFonts w:eastAsia="MS Mincho"/>
            <w:noProof/>
            <w:sz w:val="22"/>
          </w:rPr>
          <w:t>Allocation and management of resources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_Toc224288806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32</w:t>
        </w:r>
        <w:r w:rsidRPr="0062595A">
          <w:rPr>
            <w:rFonts w:eastAsia="MS Mincho"/>
            <w:noProof/>
            <w:sz w:val="22"/>
          </w:rPr>
          <w:fldChar w:fldCharType="end"/>
        </w:r>
      </w:hyperlink>
    </w:p>
    <w:p w14:paraId="41FB7349" w14:textId="53E70EA1"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07" w:history="1">
        <w:r w:rsidRPr="0062595A">
          <w:rPr>
            <w:rFonts w:eastAsia="MS Mincho"/>
            <w:noProof/>
            <w:sz w:val="22"/>
          </w:rPr>
          <w:t>4.2.1</w:t>
        </w:r>
        <w:r w:rsidRPr="0062595A">
          <w:rPr>
            <w:rFonts w:ascii="Aptos" w:hAnsi="Aptos" w:cs="Arial"/>
            <w:noProof/>
            <w:kern w:val="2"/>
            <w:szCs w:val="24"/>
            <w:lang w:eastAsia="en-GB"/>
            <w14:ligatures w14:val="standardContextual"/>
          </w:rPr>
          <w:tab/>
        </w:r>
        <w:r w:rsidRPr="0062595A">
          <w:rPr>
            <w:rFonts w:eastAsia="MS Mincho"/>
            <w:noProof/>
            <w:sz w:val="22"/>
          </w:rPr>
          <w:t>Spectrum use for space and terrestrial services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_Toc224288807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32</w:t>
        </w:r>
        <w:r w:rsidRPr="0062595A">
          <w:rPr>
            <w:rFonts w:eastAsia="MS Mincho"/>
            <w:noProof/>
            <w:sz w:val="22"/>
          </w:rPr>
          <w:fldChar w:fldCharType="end"/>
        </w:r>
      </w:hyperlink>
    </w:p>
    <w:p w14:paraId="66829B19" w14:textId="108D19DA"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08" w:history="1">
        <w:r w:rsidRPr="0062595A">
          <w:rPr>
            <w:rFonts w:eastAsia="MS Mincho"/>
            <w:noProof/>
            <w:sz w:val="22"/>
          </w:rPr>
          <w:t>4.2.2</w:t>
        </w:r>
        <w:r w:rsidRPr="0062595A">
          <w:rPr>
            <w:rFonts w:ascii="Aptos" w:hAnsi="Aptos" w:cs="Arial"/>
            <w:noProof/>
            <w:kern w:val="2"/>
            <w:szCs w:val="24"/>
            <w:lang w:eastAsia="en-GB"/>
            <w14:ligatures w14:val="standardContextual"/>
          </w:rPr>
          <w:tab/>
        </w:r>
        <w:r w:rsidRPr="0062595A">
          <w:rPr>
            <w:rFonts w:eastAsia="MS Mincho"/>
            <w:noProof/>
            <w:sz w:val="22"/>
          </w:rPr>
          <w:t>Numbering, naming, addressing and identification resources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_Toc224288808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34</w:t>
        </w:r>
        <w:r w:rsidRPr="0062595A">
          <w:rPr>
            <w:rFonts w:eastAsia="MS Mincho"/>
            <w:noProof/>
            <w:sz w:val="22"/>
          </w:rPr>
          <w:fldChar w:fldCharType="end"/>
        </w:r>
      </w:hyperlink>
    </w:p>
    <w:p w14:paraId="3B84F748" w14:textId="32D10B61"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09" w:history="1">
        <w:r w:rsidRPr="0062595A">
          <w:rPr>
            <w:rFonts w:eastAsia="MS Mincho"/>
            <w:noProof/>
            <w:sz w:val="22"/>
          </w:rPr>
          <w:t>4.3</w:t>
        </w:r>
        <w:r w:rsidRPr="0062595A">
          <w:rPr>
            <w:rFonts w:ascii="Aptos" w:hAnsi="Aptos" w:cs="Arial"/>
            <w:noProof/>
            <w:kern w:val="2"/>
            <w:szCs w:val="24"/>
            <w:lang w:eastAsia="en-GB"/>
            <w14:ligatures w14:val="standardContextual"/>
          </w:rPr>
          <w:tab/>
        </w:r>
        <w:r w:rsidRPr="0062595A">
          <w:rPr>
            <w:rFonts w:eastAsia="MS Mincho"/>
            <w:noProof/>
            <w:sz w:val="22"/>
          </w:rPr>
          <w:t>Development of international standards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_Toc224288809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35</w:t>
        </w:r>
        <w:r w:rsidRPr="0062595A">
          <w:rPr>
            <w:rFonts w:eastAsia="MS Mincho"/>
            <w:noProof/>
            <w:sz w:val="22"/>
          </w:rPr>
          <w:fldChar w:fldCharType="end"/>
        </w:r>
      </w:hyperlink>
    </w:p>
    <w:p w14:paraId="770F5FE4" w14:textId="4B6C0D5D"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10" w:history="1">
        <w:r w:rsidRPr="0062595A">
          <w:rPr>
            <w:rFonts w:eastAsia="MS Mincho"/>
            <w:noProof/>
            <w:sz w:val="22"/>
          </w:rPr>
          <w:t>4.3.1</w:t>
        </w:r>
        <w:r w:rsidRPr="0062595A">
          <w:rPr>
            <w:rFonts w:ascii="Aptos" w:hAnsi="Aptos" w:cs="Arial"/>
            <w:noProof/>
            <w:kern w:val="2"/>
            <w:szCs w:val="24"/>
            <w:lang w:eastAsia="en-GB"/>
            <w14:ligatures w14:val="standardContextual"/>
          </w:rPr>
          <w:tab/>
        </w:r>
        <w:r w:rsidRPr="0062595A">
          <w:rPr>
            <w:rFonts w:eastAsia="MS Mincho"/>
            <w:noProof/>
            <w:sz w:val="22"/>
          </w:rPr>
          <w:t>ITU-T Recommendations and related publications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_Toc224288810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35</w:t>
        </w:r>
        <w:r w:rsidRPr="0062595A">
          <w:rPr>
            <w:rFonts w:eastAsia="MS Mincho"/>
            <w:noProof/>
            <w:sz w:val="22"/>
          </w:rPr>
          <w:fldChar w:fldCharType="end"/>
        </w:r>
      </w:hyperlink>
    </w:p>
    <w:p w14:paraId="23DEACC2" w14:textId="03578DA7"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11" w:history="1">
        <w:r w:rsidRPr="0062595A">
          <w:rPr>
            <w:rFonts w:eastAsia="MS Mincho"/>
            <w:noProof/>
            <w:sz w:val="22"/>
          </w:rPr>
          <w:t>4.3.2</w:t>
        </w:r>
        <w:r w:rsidRPr="0062595A">
          <w:rPr>
            <w:rFonts w:ascii="Aptos" w:hAnsi="Aptos" w:cs="Arial"/>
            <w:noProof/>
            <w:kern w:val="2"/>
            <w:szCs w:val="24"/>
            <w:lang w:eastAsia="en-GB"/>
            <w14:ligatures w14:val="standardContextual"/>
          </w:rPr>
          <w:tab/>
        </w:r>
        <w:r w:rsidRPr="0062595A">
          <w:rPr>
            <w:rFonts w:eastAsia="MS Mincho"/>
            <w:noProof/>
            <w:sz w:val="22"/>
          </w:rPr>
          <w:t>ITU-R Recommendations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_Toc224288811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36</w:t>
        </w:r>
        <w:r w:rsidRPr="0062595A">
          <w:rPr>
            <w:rFonts w:eastAsia="MS Mincho"/>
            <w:noProof/>
            <w:sz w:val="22"/>
          </w:rPr>
          <w:fldChar w:fldCharType="end"/>
        </w:r>
      </w:hyperlink>
    </w:p>
    <w:p w14:paraId="30965CEE" w14:textId="708EE1A9"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12" w:history="1">
        <w:r w:rsidRPr="0062595A">
          <w:rPr>
            <w:rFonts w:eastAsia="MS Mincho"/>
            <w:noProof/>
            <w:sz w:val="22"/>
          </w:rPr>
          <w:t>4.3.3</w:t>
        </w:r>
        <w:r w:rsidRPr="0062595A">
          <w:rPr>
            <w:rFonts w:ascii="Aptos" w:hAnsi="Aptos" w:cs="Arial"/>
            <w:noProof/>
            <w:kern w:val="2"/>
            <w:szCs w:val="24"/>
            <w:lang w:eastAsia="en-GB"/>
            <w14:ligatures w14:val="standardContextual"/>
          </w:rPr>
          <w:tab/>
        </w:r>
        <w:r w:rsidRPr="0062595A">
          <w:rPr>
            <w:rFonts w:eastAsia="MS Mincho"/>
            <w:noProof/>
            <w:sz w:val="22"/>
          </w:rPr>
          <w:t>Bridging the standardization gap</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_Toc224288812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37</w:t>
        </w:r>
        <w:r w:rsidRPr="0062595A">
          <w:rPr>
            <w:rFonts w:eastAsia="MS Mincho"/>
            <w:noProof/>
            <w:sz w:val="22"/>
          </w:rPr>
          <w:fldChar w:fldCharType="end"/>
        </w:r>
      </w:hyperlink>
    </w:p>
    <w:p w14:paraId="1377D0C2" w14:textId="781DD318"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13" w:history="1">
        <w:r w:rsidRPr="0062595A">
          <w:rPr>
            <w:rFonts w:eastAsia="MS Mincho"/>
            <w:noProof/>
            <w:sz w:val="22"/>
          </w:rPr>
          <w:t>4.4</w:t>
        </w:r>
        <w:r w:rsidRPr="0062595A">
          <w:rPr>
            <w:rFonts w:ascii="Aptos" w:hAnsi="Aptos" w:cs="Arial"/>
            <w:noProof/>
            <w:kern w:val="2"/>
            <w:szCs w:val="24"/>
            <w:lang w:eastAsia="en-GB"/>
            <w14:ligatures w14:val="standardContextual"/>
          </w:rPr>
          <w:tab/>
        </w:r>
        <w:r w:rsidRPr="0062595A">
          <w:rPr>
            <w:rFonts w:eastAsia="MS Mincho"/>
            <w:noProof/>
            <w:sz w:val="22"/>
          </w:rPr>
          <w:t>Development of policy frameworks and knowledge products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_Toc224288813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38</w:t>
        </w:r>
        <w:r w:rsidRPr="0062595A">
          <w:rPr>
            <w:rFonts w:eastAsia="MS Mincho"/>
            <w:noProof/>
            <w:sz w:val="22"/>
          </w:rPr>
          <w:fldChar w:fldCharType="end"/>
        </w:r>
      </w:hyperlink>
    </w:p>
    <w:p w14:paraId="76906216" w14:textId="43ABBFF8"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14" w:history="1">
        <w:r w:rsidRPr="0062595A">
          <w:rPr>
            <w:rFonts w:eastAsia="MS Mincho"/>
            <w:noProof/>
            <w:sz w:val="22"/>
            <w:lang w:eastAsia="en-GB"/>
          </w:rPr>
          <w:t>4.4.1</w:t>
        </w:r>
        <w:r w:rsidRPr="0062595A">
          <w:rPr>
            <w:rFonts w:ascii="Aptos" w:hAnsi="Aptos" w:cs="Arial"/>
            <w:noProof/>
            <w:kern w:val="2"/>
            <w:szCs w:val="24"/>
            <w:lang w:eastAsia="en-GB"/>
            <w14:ligatures w14:val="standardContextual"/>
          </w:rPr>
          <w:tab/>
        </w:r>
        <w:r w:rsidRPr="0062595A">
          <w:rPr>
            <w:rFonts w:eastAsia="MS Mincho"/>
            <w:noProof/>
            <w:sz w:val="22"/>
            <w:lang w:eastAsia="en-GB"/>
          </w:rPr>
          <w:t>Cybersecurity: Building confidence and security in ICTs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_Toc224288814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39</w:t>
        </w:r>
        <w:r w:rsidRPr="0062595A">
          <w:rPr>
            <w:rFonts w:eastAsia="MS Mincho"/>
            <w:noProof/>
            <w:sz w:val="22"/>
          </w:rPr>
          <w:fldChar w:fldCharType="end"/>
        </w:r>
      </w:hyperlink>
    </w:p>
    <w:p w14:paraId="1C0FEE5D" w14:textId="1D1266D7"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15" w:history="1">
        <w:r w:rsidRPr="0062595A">
          <w:rPr>
            <w:rFonts w:eastAsia="MS Mincho"/>
            <w:noProof/>
            <w:sz w:val="22"/>
          </w:rPr>
          <w:t>4.4.2</w:t>
        </w:r>
        <w:r w:rsidRPr="0062595A">
          <w:rPr>
            <w:rFonts w:ascii="Aptos" w:hAnsi="Aptos" w:cs="Arial"/>
            <w:noProof/>
            <w:kern w:val="2"/>
            <w:szCs w:val="24"/>
            <w:lang w:eastAsia="en-GB"/>
            <w14:ligatures w14:val="standardContextual"/>
          </w:rPr>
          <w:tab/>
        </w:r>
        <w:r w:rsidRPr="0062595A">
          <w:rPr>
            <w:rFonts w:eastAsia="MS Mincho"/>
            <w:noProof/>
            <w:sz w:val="22"/>
          </w:rPr>
          <w:t>Emerging techs: Shaping frameworks for transformation</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_Toc224288815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40</w:t>
        </w:r>
        <w:r w:rsidRPr="0062595A">
          <w:rPr>
            <w:rFonts w:eastAsia="MS Mincho"/>
            <w:noProof/>
            <w:sz w:val="22"/>
          </w:rPr>
          <w:fldChar w:fldCharType="end"/>
        </w:r>
      </w:hyperlink>
    </w:p>
    <w:p w14:paraId="2A382FBE" w14:textId="2F6EACEE"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16" w:history="1">
        <w:r w:rsidRPr="0062595A">
          <w:rPr>
            <w:rFonts w:eastAsia="MS Mincho"/>
            <w:noProof/>
            <w:sz w:val="22"/>
          </w:rPr>
          <w:t>4.5</w:t>
        </w:r>
        <w:r w:rsidRPr="0062595A">
          <w:rPr>
            <w:rFonts w:ascii="Aptos" w:hAnsi="Aptos" w:cs="Arial"/>
            <w:noProof/>
            <w:kern w:val="2"/>
            <w:szCs w:val="24"/>
            <w:lang w:eastAsia="en-GB"/>
            <w14:ligatures w14:val="standardContextual"/>
          </w:rPr>
          <w:tab/>
        </w:r>
        <w:r w:rsidRPr="0062595A">
          <w:rPr>
            <w:rFonts w:eastAsia="MS Mincho"/>
            <w:noProof/>
            <w:sz w:val="22"/>
          </w:rPr>
          <w:t>Provision of data and statistics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_Toc224288816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43</w:t>
        </w:r>
        <w:r w:rsidRPr="0062595A">
          <w:rPr>
            <w:rFonts w:eastAsia="MS Mincho"/>
            <w:noProof/>
            <w:sz w:val="22"/>
          </w:rPr>
          <w:fldChar w:fldCharType="end"/>
        </w:r>
      </w:hyperlink>
    </w:p>
    <w:p w14:paraId="488C4A37" w14:textId="2EC1D4FF"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17" w:history="1">
        <w:r w:rsidRPr="0062595A">
          <w:rPr>
            <w:rFonts w:eastAsia="MS Mincho"/>
            <w:noProof/>
            <w:sz w:val="22"/>
          </w:rPr>
          <w:t>4.6</w:t>
        </w:r>
        <w:r w:rsidRPr="0062595A">
          <w:rPr>
            <w:rFonts w:ascii="Aptos" w:hAnsi="Aptos" w:cs="Arial"/>
            <w:noProof/>
            <w:kern w:val="2"/>
            <w:szCs w:val="24"/>
            <w:lang w:eastAsia="en-GB"/>
            <w14:ligatures w14:val="standardContextual"/>
          </w:rPr>
          <w:tab/>
        </w:r>
        <w:r w:rsidRPr="0062595A">
          <w:rPr>
            <w:rFonts w:eastAsia="MS Mincho"/>
            <w:noProof/>
            <w:sz w:val="22"/>
          </w:rPr>
          <w:t>Capacity development and digital skills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_Toc224288817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44</w:t>
        </w:r>
        <w:r w:rsidRPr="0062595A">
          <w:rPr>
            <w:rFonts w:eastAsia="MS Mincho"/>
            <w:noProof/>
            <w:sz w:val="22"/>
          </w:rPr>
          <w:fldChar w:fldCharType="end"/>
        </w:r>
      </w:hyperlink>
    </w:p>
    <w:p w14:paraId="4907F0AE" w14:textId="73ACCE4B"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18" w:history="1">
        <w:r w:rsidRPr="0062595A">
          <w:rPr>
            <w:rFonts w:eastAsia="MS Mincho"/>
            <w:noProof/>
            <w:sz w:val="22"/>
          </w:rPr>
          <w:t>4.7</w:t>
        </w:r>
        <w:r w:rsidRPr="0062595A">
          <w:rPr>
            <w:rFonts w:ascii="Aptos" w:hAnsi="Aptos" w:cs="Arial"/>
            <w:noProof/>
            <w:kern w:val="2"/>
            <w:szCs w:val="24"/>
            <w:lang w:eastAsia="en-GB"/>
            <w14:ligatures w14:val="standardContextual"/>
          </w:rPr>
          <w:tab/>
        </w:r>
        <w:r w:rsidRPr="0062595A">
          <w:rPr>
            <w:rFonts w:eastAsia="MS Mincho"/>
            <w:noProof/>
            <w:sz w:val="22"/>
          </w:rPr>
          <w:t>Provision of technical assistance</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_Toc224288818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46</w:t>
        </w:r>
        <w:r w:rsidRPr="0062595A">
          <w:rPr>
            <w:rFonts w:eastAsia="MS Mincho"/>
            <w:noProof/>
            <w:sz w:val="22"/>
          </w:rPr>
          <w:fldChar w:fldCharType="end"/>
        </w:r>
      </w:hyperlink>
    </w:p>
    <w:p w14:paraId="50A90EBD" w14:textId="187C08D7"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19" w:history="1">
        <w:r w:rsidRPr="0062595A">
          <w:rPr>
            <w:rFonts w:eastAsia="MS Mincho"/>
            <w:noProof/>
            <w:sz w:val="22"/>
            <w:lang w:eastAsia="zh-CN"/>
          </w:rPr>
          <w:t>4.8</w:t>
        </w:r>
        <w:r w:rsidRPr="0062595A">
          <w:rPr>
            <w:rFonts w:ascii="Aptos" w:hAnsi="Aptos" w:cs="Arial"/>
            <w:noProof/>
            <w:kern w:val="2"/>
            <w:szCs w:val="24"/>
            <w:lang w:eastAsia="en-GB"/>
            <w14:ligatures w14:val="standardContextual"/>
          </w:rPr>
          <w:tab/>
        </w:r>
        <w:r w:rsidRPr="0062595A">
          <w:rPr>
            <w:rFonts w:eastAsia="MS Mincho"/>
            <w:noProof/>
            <w:sz w:val="22"/>
          </w:rPr>
          <w:t>C</w:t>
        </w:r>
        <w:r w:rsidRPr="0062595A">
          <w:rPr>
            <w:rFonts w:eastAsia="MS Mincho"/>
            <w:noProof/>
            <w:sz w:val="22"/>
            <w:lang w:eastAsia="zh-CN"/>
          </w:rPr>
          <w:t>onvening platform</w:t>
        </w:r>
        <w:r w:rsidRPr="0062595A">
          <w:rPr>
            <w:rFonts w:eastAsia="MS Mincho"/>
            <w:noProof/>
            <w:sz w:val="22"/>
          </w:rPr>
          <w:t>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_Toc224288819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48</w:t>
        </w:r>
        <w:r w:rsidRPr="0062595A">
          <w:rPr>
            <w:rFonts w:eastAsia="MS Mincho"/>
            <w:noProof/>
            <w:sz w:val="22"/>
          </w:rPr>
          <w:fldChar w:fldCharType="end"/>
        </w:r>
      </w:hyperlink>
    </w:p>
    <w:p w14:paraId="00A7461A" w14:textId="2E590F73"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20" w:history="1">
        <w:r w:rsidRPr="0062595A">
          <w:rPr>
            <w:rFonts w:eastAsia="MS Mincho"/>
            <w:noProof/>
            <w:sz w:val="22"/>
            <w:lang w:eastAsia="zh-CN"/>
          </w:rPr>
          <w:t>4.8.1</w:t>
        </w:r>
        <w:r w:rsidRPr="0062595A">
          <w:rPr>
            <w:rFonts w:ascii="Aptos" w:hAnsi="Aptos" w:cs="Arial"/>
            <w:noProof/>
            <w:kern w:val="2"/>
            <w:szCs w:val="24"/>
            <w:lang w:eastAsia="en-GB"/>
            <w14:ligatures w14:val="standardContextual"/>
          </w:rPr>
          <w:tab/>
        </w:r>
        <w:r w:rsidRPr="0062595A">
          <w:rPr>
            <w:rFonts w:eastAsia="MS Mincho"/>
            <w:noProof/>
            <w:sz w:val="22"/>
            <w:lang w:eastAsia="zh-CN"/>
          </w:rPr>
          <w:t>WSIS process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_Toc224288820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48</w:t>
        </w:r>
        <w:r w:rsidRPr="0062595A">
          <w:rPr>
            <w:rFonts w:eastAsia="MS Mincho"/>
            <w:noProof/>
            <w:sz w:val="22"/>
          </w:rPr>
          <w:fldChar w:fldCharType="end"/>
        </w:r>
      </w:hyperlink>
    </w:p>
    <w:p w14:paraId="2C38F3F7" w14:textId="0B48B574"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21" w:history="1">
        <w:r w:rsidRPr="0062595A">
          <w:rPr>
            <w:rFonts w:eastAsia="MS Mincho"/>
            <w:noProof/>
            <w:sz w:val="22"/>
          </w:rPr>
          <w:t>4.8.2</w:t>
        </w:r>
        <w:r w:rsidRPr="0062595A">
          <w:rPr>
            <w:rFonts w:ascii="Aptos" w:hAnsi="Aptos" w:cs="Arial"/>
            <w:noProof/>
            <w:kern w:val="2"/>
            <w:szCs w:val="24"/>
            <w:lang w:eastAsia="en-GB"/>
            <w14:ligatures w14:val="standardContextual"/>
          </w:rPr>
          <w:tab/>
        </w:r>
        <w:r w:rsidRPr="0062595A">
          <w:rPr>
            <w:rFonts w:eastAsia="MS Mincho"/>
            <w:noProof/>
            <w:sz w:val="22"/>
          </w:rPr>
          <w:t>AI for Good</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_Toc224288821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50</w:t>
        </w:r>
        <w:r w:rsidRPr="0062595A">
          <w:rPr>
            <w:rFonts w:eastAsia="MS Mincho"/>
            <w:noProof/>
            <w:sz w:val="22"/>
          </w:rPr>
          <w:fldChar w:fldCharType="end"/>
        </w:r>
      </w:hyperlink>
    </w:p>
    <w:p w14:paraId="1FF41E21" w14:textId="0E8C99C7"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22" w:history="1">
        <w:r w:rsidRPr="0062595A">
          <w:rPr>
            <w:rFonts w:eastAsia="MS Mincho"/>
            <w:noProof/>
            <w:sz w:val="22"/>
            <w:lang w:eastAsia="en-GB"/>
          </w:rPr>
          <w:t>4.8.3</w:t>
        </w:r>
        <w:r w:rsidRPr="0062595A">
          <w:rPr>
            <w:rFonts w:ascii="Aptos" w:hAnsi="Aptos" w:cs="Arial"/>
            <w:noProof/>
            <w:kern w:val="2"/>
            <w:szCs w:val="24"/>
            <w:lang w:eastAsia="en-GB"/>
            <w14:ligatures w14:val="standardContextual"/>
          </w:rPr>
          <w:tab/>
        </w:r>
        <w:r w:rsidRPr="0062595A">
          <w:rPr>
            <w:rFonts w:eastAsia="MS Mincho"/>
            <w:noProof/>
            <w:sz w:val="22"/>
            <w:lang w:eastAsia="en-GB"/>
          </w:rPr>
          <w:t>Global Standards Symposium</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_Toc224288822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51</w:t>
        </w:r>
        <w:r w:rsidRPr="0062595A">
          <w:rPr>
            <w:rFonts w:eastAsia="MS Mincho"/>
            <w:noProof/>
            <w:sz w:val="22"/>
          </w:rPr>
          <w:fldChar w:fldCharType="end"/>
        </w:r>
      </w:hyperlink>
    </w:p>
    <w:p w14:paraId="73349D55" w14:textId="02936F21"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23" w:history="1">
        <w:r w:rsidRPr="0062595A">
          <w:rPr>
            <w:rFonts w:eastAsia="MS Mincho"/>
            <w:noProof/>
            <w:sz w:val="22"/>
          </w:rPr>
          <w:t>4.8.4</w:t>
        </w:r>
        <w:r w:rsidRPr="0062595A">
          <w:rPr>
            <w:rFonts w:ascii="Aptos" w:hAnsi="Aptos" w:cs="Arial"/>
            <w:noProof/>
            <w:kern w:val="2"/>
            <w:szCs w:val="24"/>
            <w:lang w:eastAsia="en-GB"/>
            <w14:ligatures w14:val="standardContextual"/>
          </w:rPr>
          <w:tab/>
        </w:r>
        <w:r w:rsidRPr="0062595A">
          <w:rPr>
            <w:rFonts w:eastAsia="MS Mincho"/>
            <w:noProof/>
            <w:sz w:val="22"/>
          </w:rPr>
          <w:t>Global Symposium for Regulators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_Toc224288823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51</w:t>
        </w:r>
        <w:r w:rsidRPr="0062595A">
          <w:rPr>
            <w:rFonts w:eastAsia="MS Mincho"/>
            <w:noProof/>
            <w:sz w:val="22"/>
          </w:rPr>
          <w:fldChar w:fldCharType="end"/>
        </w:r>
      </w:hyperlink>
    </w:p>
    <w:p w14:paraId="4484B70F" w14:textId="6D3A6A23"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24" w:history="1">
        <w:r w:rsidRPr="0062595A">
          <w:rPr>
            <w:rFonts w:eastAsia="MS Mincho"/>
            <w:noProof/>
            <w:sz w:val="22"/>
            <w:lang w:eastAsia="en-GB"/>
          </w:rPr>
          <w:t xml:space="preserve">4.8.5. </w:t>
        </w:r>
        <w:r w:rsidRPr="0062595A">
          <w:rPr>
            <w:rFonts w:ascii="Aptos" w:hAnsi="Aptos" w:cs="Arial"/>
            <w:noProof/>
            <w:kern w:val="2"/>
            <w:szCs w:val="24"/>
            <w:lang w:eastAsia="en-GB"/>
            <w14:ligatures w14:val="standardContextual"/>
          </w:rPr>
          <w:tab/>
        </w:r>
        <w:r w:rsidRPr="0062595A">
          <w:rPr>
            <w:rFonts w:eastAsia="MS Mincho"/>
            <w:noProof/>
            <w:sz w:val="22"/>
            <w:lang w:eastAsia="en-GB"/>
          </w:rPr>
          <w:t>Engaging academia in ITU’s work</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_Toc224288824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52</w:t>
        </w:r>
        <w:r w:rsidRPr="0062595A">
          <w:rPr>
            <w:rFonts w:eastAsia="MS Mincho"/>
            <w:noProof/>
            <w:sz w:val="22"/>
          </w:rPr>
          <w:fldChar w:fldCharType="end"/>
        </w:r>
      </w:hyperlink>
    </w:p>
    <w:p w14:paraId="326F8F58" w14:textId="217A8F43"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spacing w:before="240"/>
        <w:ind w:left="964" w:hanging="964"/>
        <w:jc w:val="both"/>
        <w:rPr>
          <w:rFonts w:ascii="Aptos" w:hAnsi="Aptos" w:cs="Arial"/>
          <w:noProof/>
          <w:kern w:val="2"/>
          <w:szCs w:val="24"/>
          <w:lang w:eastAsia="en-GB"/>
          <w14:ligatures w14:val="standardContextual"/>
        </w:rPr>
      </w:pPr>
      <w:hyperlink w:anchor="_Toc224288825" w:history="1">
        <w:r w:rsidRPr="0062595A">
          <w:rPr>
            <w:rFonts w:eastAsia="MS Mincho"/>
            <w:noProof/>
            <w:sz w:val="22"/>
          </w:rPr>
          <w:t>5.</w:t>
        </w:r>
        <w:r w:rsidRPr="0062595A">
          <w:rPr>
            <w:rFonts w:ascii="Aptos" w:hAnsi="Aptos" w:cs="Arial"/>
            <w:noProof/>
            <w:kern w:val="2"/>
            <w:szCs w:val="24"/>
            <w:lang w:eastAsia="en-GB"/>
            <w14:ligatures w14:val="standardContextual"/>
          </w:rPr>
          <w:tab/>
        </w:r>
        <w:r w:rsidRPr="0062595A">
          <w:rPr>
            <w:rFonts w:eastAsia="MS Mincho"/>
            <w:noProof/>
            <w:sz w:val="22"/>
          </w:rPr>
          <w:t>Enablers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_Toc224288825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55</w:t>
        </w:r>
        <w:r w:rsidRPr="0062595A">
          <w:rPr>
            <w:rFonts w:eastAsia="MS Mincho"/>
            <w:noProof/>
            <w:sz w:val="22"/>
          </w:rPr>
          <w:fldChar w:fldCharType="end"/>
        </w:r>
      </w:hyperlink>
    </w:p>
    <w:p w14:paraId="7CDAF516" w14:textId="17B869B6"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26" w:history="1">
        <w:r w:rsidRPr="0062595A">
          <w:rPr>
            <w:rFonts w:eastAsia="MS Mincho"/>
            <w:noProof/>
            <w:sz w:val="22"/>
          </w:rPr>
          <w:t>5.1</w:t>
        </w:r>
        <w:r w:rsidRPr="0062595A">
          <w:rPr>
            <w:rFonts w:ascii="Aptos" w:hAnsi="Aptos" w:cs="Arial"/>
            <w:noProof/>
            <w:kern w:val="2"/>
            <w:szCs w:val="24"/>
            <w:lang w:eastAsia="en-GB"/>
            <w14:ligatures w14:val="standardContextual"/>
          </w:rPr>
          <w:tab/>
        </w:r>
        <w:r w:rsidRPr="0062595A">
          <w:rPr>
            <w:rFonts w:eastAsia="MS Mincho"/>
            <w:noProof/>
            <w:sz w:val="22"/>
          </w:rPr>
          <w:t>Membership-driven approach</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_Toc224288826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55</w:t>
        </w:r>
        <w:r w:rsidRPr="0062595A">
          <w:rPr>
            <w:rFonts w:eastAsia="MS Mincho"/>
            <w:noProof/>
            <w:sz w:val="22"/>
          </w:rPr>
          <w:fldChar w:fldCharType="end"/>
        </w:r>
      </w:hyperlink>
    </w:p>
    <w:p w14:paraId="76F95030" w14:textId="6E99384A"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27" w:history="1">
        <w:r w:rsidRPr="0062595A">
          <w:rPr>
            <w:rFonts w:eastAsia="MS Mincho"/>
            <w:noProof/>
            <w:sz w:val="22"/>
          </w:rPr>
          <w:t>5.2</w:t>
        </w:r>
        <w:r w:rsidRPr="0062595A">
          <w:rPr>
            <w:rFonts w:ascii="Aptos" w:hAnsi="Aptos" w:cs="Arial"/>
            <w:noProof/>
            <w:kern w:val="2"/>
            <w:szCs w:val="24"/>
            <w:lang w:eastAsia="en-GB"/>
            <w14:ligatures w14:val="standardContextual"/>
          </w:rPr>
          <w:tab/>
        </w:r>
        <w:r w:rsidRPr="0062595A">
          <w:rPr>
            <w:rFonts w:eastAsia="MS Mincho"/>
            <w:noProof/>
            <w:sz w:val="22"/>
          </w:rPr>
          <w:t>Regional presence</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_Toc224288827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56</w:t>
        </w:r>
        <w:r w:rsidRPr="0062595A">
          <w:rPr>
            <w:rFonts w:eastAsia="MS Mincho"/>
            <w:noProof/>
            <w:sz w:val="22"/>
          </w:rPr>
          <w:fldChar w:fldCharType="end"/>
        </w:r>
      </w:hyperlink>
    </w:p>
    <w:p w14:paraId="558643BD" w14:textId="6F899E14"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28" w:history="1">
        <w:r w:rsidRPr="0062595A">
          <w:rPr>
            <w:rFonts w:eastAsia="MS Mincho"/>
            <w:noProof/>
            <w:sz w:val="22"/>
          </w:rPr>
          <w:t>5.3</w:t>
        </w:r>
        <w:r w:rsidRPr="0062595A">
          <w:rPr>
            <w:rFonts w:ascii="Aptos" w:hAnsi="Aptos" w:cs="Arial"/>
            <w:noProof/>
            <w:kern w:val="2"/>
            <w:szCs w:val="24"/>
            <w:lang w:eastAsia="en-GB"/>
            <w14:ligatures w14:val="standardContextual"/>
          </w:rPr>
          <w:tab/>
        </w:r>
        <w:r w:rsidRPr="0062595A">
          <w:rPr>
            <w:rFonts w:eastAsia="MS Mincho"/>
            <w:noProof/>
            <w:sz w:val="22"/>
          </w:rPr>
          <w:t>Bringing everyone to the table</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_Toc224288828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57</w:t>
        </w:r>
        <w:r w:rsidRPr="0062595A">
          <w:rPr>
            <w:rFonts w:eastAsia="MS Mincho"/>
            <w:noProof/>
            <w:sz w:val="22"/>
          </w:rPr>
          <w:fldChar w:fldCharType="end"/>
        </w:r>
      </w:hyperlink>
    </w:p>
    <w:p w14:paraId="1AE17EB5" w14:textId="1D6C333A"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29" w:history="1">
        <w:r w:rsidRPr="0062595A">
          <w:rPr>
            <w:rFonts w:eastAsia="MS Mincho"/>
            <w:noProof/>
            <w:sz w:val="22"/>
            <w:lang w:eastAsia="en-GB"/>
          </w:rPr>
          <w:t>5.3.1</w:t>
        </w:r>
        <w:r w:rsidRPr="0062595A">
          <w:rPr>
            <w:rFonts w:ascii="Aptos" w:hAnsi="Aptos" w:cs="Arial"/>
            <w:noProof/>
            <w:kern w:val="2"/>
            <w:szCs w:val="24"/>
            <w:lang w:eastAsia="en-GB"/>
            <w14:ligatures w14:val="standardContextual"/>
          </w:rPr>
          <w:tab/>
        </w:r>
        <w:r w:rsidRPr="0062595A">
          <w:rPr>
            <w:rFonts w:eastAsia="MS Mincho"/>
            <w:noProof/>
            <w:sz w:val="22"/>
            <w:lang w:eastAsia="en-GB"/>
          </w:rPr>
          <w:t>Gender equality</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_Toc224288829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58</w:t>
        </w:r>
        <w:r w:rsidRPr="0062595A">
          <w:rPr>
            <w:rFonts w:eastAsia="MS Mincho"/>
            <w:noProof/>
            <w:sz w:val="22"/>
          </w:rPr>
          <w:fldChar w:fldCharType="end"/>
        </w:r>
      </w:hyperlink>
    </w:p>
    <w:p w14:paraId="57C69F73" w14:textId="43D80A67"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30" w:history="1">
        <w:r w:rsidRPr="0062595A">
          <w:rPr>
            <w:rFonts w:eastAsia="MS Mincho"/>
            <w:noProof/>
            <w:sz w:val="22"/>
            <w:lang w:eastAsia="en-GB"/>
          </w:rPr>
          <w:t>5.3.2</w:t>
        </w:r>
        <w:r w:rsidRPr="0062595A">
          <w:rPr>
            <w:rFonts w:ascii="Aptos" w:hAnsi="Aptos" w:cs="Arial"/>
            <w:noProof/>
            <w:kern w:val="2"/>
            <w:szCs w:val="24"/>
            <w:lang w:eastAsia="en-GB"/>
            <w14:ligatures w14:val="standardContextual"/>
          </w:rPr>
          <w:tab/>
        </w:r>
        <w:r w:rsidRPr="0062595A">
          <w:rPr>
            <w:rFonts w:eastAsia="MS Mincho"/>
            <w:noProof/>
            <w:sz w:val="22"/>
            <w:lang w:eastAsia="en-GB"/>
          </w:rPr>
          <w:t>Youth empowerment</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_Toc224288830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61</w:t>
        </w:r>
        <w:r w:rsidRPr="0062595A">
          <w:rPr>
            <w:rFonts w:eastAsia="MS Mincho"/>
            <w:noProof/>
            <w:sz w:val="22"/>
          </w:rPr>
          <w:fldChar w:fldCharType="end"/>
        </w:r>
      </w:hyperlink>
    </w:p>
    <w:p w14:paraId="79DFD35E" w14:textId="3A5496F8"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31" w:history="1">
        <w:r w:rsidRPr="0062595A">
          <w:rPr>
            <w:rFonts w:eastAsia="MS Mincho"/>
            <w:noProof/>
            <w:sz w:val="22"/>
          </w:rPr>
          <w:t>5.3.3</w:t>
        </w:r>
        <w:r w:rsidRPr="0062595A">
          <w:rPr>
            <w:rFonts w:ascii="Aptos" w:hAnsi="Aptos" w:cs="Arial"/>
            <w:noProof/>
            <w:kern w:val="2"/>
            <w:szCs w:val="24"/>
            <w:lang w:eastAsia="en-GB"/>
            <w14:ligatures w14:val="standardContextual"/>
          </w:rPr>
          <w:tab/>
        </w:r>
        <w:r w:rsidRPr="0062595A">
          <w:rPr>
            <w:rFonts w:eastAsia="MS Mincho"/>
            <w:noProof/>
            <w:sz w:val="22"/>
          </w:rPr>
          <w:t>ICT/digital accessibility</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_Toc224288831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62</w:t>
        </w:r>
        <w:r w:rsidRPr="0062595A">
          <w:rPr>
            <w:rFonts w:eastAsia="MS Mincho"/>
            <w:noProof/>
            <w:sz w:val="22"/>
          </w:rPr>
          <w:fldChar w:fldCharType="end"/>
        </w:r>
      </w:hyperlink>
    </w:p>
    <w:p w14:paraId="1ABCC020" w14:textId="27C3B385"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32" w:history="1">
        <w:r w:rsidRPr="0062595A">
          <w:rPr>
            <w:rFonts w:eastAsia="MS Mincho"/>
            <w:noProof/>
            <w:sz w:val="22"/>
          </w:rPr>
          <w:t>5.3.4</w:t>
        </w:r>
        <w:r w:rsidRPr="0062595A">
          <w:rPr>
            <w:rFonts w:ascii="Aptos" w:hAnsi="Aptos" w:cs="Arial"/>
            <w:noProof/>
            <w:kern w:val="2"/>
            <w:szCs w:val="24"/>
            <w:lang w:eastAsia="en-GB"/>
            <w14:ligatures w14:val="standardContextual"/>
          </w:rPr>
          <w:tab/>
        </w:r>
        <w:r w:rsidRPr="0062595A">
          <w:rPr>
            <w:rFonts w:eastAsia="MS Mincho"/>
            <w:noProof/>
            <w:sz w:val="22"/>
          </w:rPr>
          <w:t>Solutions for rural, remote and indigenous communities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_Toc224288832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64</w:t>
        </w:r>
        <w:r w:rsidRPr="0062595A">
          <w:rPr>
            <w:rFonts w:eastAsia="MS Mincho"/>
            <w:noProof/>
            <w:sz w:val="22"/>
          </w:rPr>
          <w:fldChar w:fldCharType="end"/>
        </w:r>
      </w:hyperlink>
    </w:p>
    <w:p w14:paraId="56235295" w14:textId="39BCCDC7"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33" w:history="1">
        <w:r w:rsidRPr="0062595A">
          <w:rPr>
            <w:rFonts w:eastAsia="MS Mincho"/>
            <w:noProof/>
            <w:sz w:val="22"/>
          </w:rPr>
          <w:t>5.3.5</w:t>
        </w:r>
        <w:r w:rsidRPr="0062595A">
          <w:rPr>
            <w:rFonts w:ascii="Aptos" w:hAnsi="Aptos" w:cs="Arial"/>
            <w:noProof/>
            <w:kern w:val="2"/>
            <w:szCs w:val="24"/>
            <w:lang w:eastAsia="en-GB"/>
            <w14:ligatures w14:val="standardContextual"/>
          </w:rPr>
          <w:tab/>
        </w:r>
        <w:r w:rsidRPr="0062595A">
          <w:rPr>
            <w:rFonts w:eastAsia="MS Mincho"/>
            <w:noProof/>
            <w:sz w:val="22"/>
          </w:rPr>
          <w:t>Support for ageing populations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_Toc224288833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65</w:t>
        </w:r>
        <w:r w:rsidRPr="0062595A">
          <w:rPr>
            <w:rFonts w:eastAsia="MS Mincho"/>
            <w:noProof/>
            <w:sz w:val="22"/>
          </w:rPr>
          <w:fldChar w:fldCharType="end"/>
        </w:r>
      </w:hyperlink>
    </w:p>
    <w:p w14:paraId="2423F87F" w14:textId="1A4650C1"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34" w:history="1">
        <w:r w:rsidRPr="0062595A">
          <w:rPr>
            <w:rFonts w:eastAsia="MS Mincho"/>
            <w:noProof/>
            <w:sz w:val="22"/>
          </w:rPr>
          <w:t>5.4</w:t>
        </w:r>
        <w:r w:rsidRPr="0062595A">
          <w:rPr>
            <w:rFonts w:ascii="Aptos" w:hAnsi="Aptos" w:cs="Arial"/>
            <w:noProof/>
            <w:kern w:val="2"/>
            <w:szCs w:val="24"/>
            <w:lang w:eastAsia="en-GB"/>
            <w14:ligatures w14:val="standardContextual"/>
          </w:rPr>
          <w:tab/>
        </w:r>
        <w:r w:rsidRPr="0062595A">
          <w:rPr>
            <w:rFonts w:eastAsia="MS Mincho"/>
            <w:noProof/>
            <w:sz w:val="22"/>
          </w:rPr>
          <w:t>Commitment to environmental sustainability</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_Toc224288834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65</w:t>
        </w:r>
        <w:r w:rsidRPr="0062595A">
          <w:rPr>
            <w:rFonts w:eastAsia="MS Mincho"/>
            <w:noProof/>
            <w:sz w:val="22"/>
          </w:rPr>
          <w:fldChar w:fldCharType="end"/>
        </w:r>
      </w:hyperlink>
    </w:p>
    <w:p w14:paraId="1300D5DD" w14:textId="76692CE7"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35" w:history="1">
        <w:r w:rsidRPr="0062595A">
          <w:rPr>
            <w:rFonts w:eastAsia="MS Mincho"/>
            <w:noProof/>
            <w:sz w:val="22"/>
          </w:rPr>
          <w:t>5.5</w:t>
        </w:r>
        <w:r w:rsidRPr="0062595A">
          <w:rPr>
            <w:rFonts w:ascii="Aptos" w:hAnsi="Aptos" w:cs="Arial"/>
            <w:noProof/>
            <w:kern w:val="2"/>
            <w:szCs w:val="24"/>
            <w:lang w:eastAsia="en-GB"/>
            <w14:ligatures w14:val="standardContextual"/>
          </w:rPr>
          <w:tab/>
        </w:r>
        <w:r w:rsidRPr="0062595A">
          <w:rPr>
            <w:rFonts w:eastAsia="MS Mincho"/>
            <w:noProof/>
            <w:sz w:val="22"/>
          </w:rPr>
          <w:t>Partnerships and international cooperation</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_Toc224288835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69</w:t>
        </w:r>
        <w:r w:rsidRPr="0062595A">
          <w:rPr>
            <w:rFonts w:eastAsia="MS Mincho"/>
            <w:noProof/>
            <w:sz w:val="22"/>
          </w:rPr>
          <w:fldChar w:fldCharType="end"/>
        </w:r>
      </w:hyperlink>
    </w:p>
    <w:p w14:paraId="22193BD4" w14:textId="6A866B86"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36" w:history="1">
        <w:r w:rsidRPr="0062595A">
          <w:rPr>
            <w:rFonts w:eastAsia="MS Mincho"/>
            <w:noProof/>
            <w:sz w:val="22"/>
          </w:rPr>
          <w:t>5.5.1</w:t>
        </w:r>
        <w:r w:rsidRPr="0062595A">
          <w:rPr>
            <w:rFonts w:ascii="Aptos" w:hAnsi="Aptos" w:cs="Arial"/>
            <w:noProof/>
            <w:kern w:val="2"/>
            <w:szCs w:val="24"/>
            <w:lang w:eastAsia="en-GB"/>
            <w14:ligatures w14:val="standardContextual"/>
          </w:rPr>
          <w:tab/>
        </w:r>
        <w:r w:rsidRPr="0062595A">
          <w:rPr>
            <w:rFonts w:eastAsia="MS Mincho"/>
            <w:noProof/>
            <w:sz w:val="22"/>
          </w:rPr>
          <w:t>Collaboration with the UN system and other international intergovernmental processes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_Toc224288836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77</w:t>
        </w:r>
        <w:r w:rsidRPr="0062595A">
          <w:rPr>
            <w:rFonts w:eastAsia="MS Mincho"/>
            <w:noProof/>
            <w:sz w:val="22"/>
          </w:rPr>
          <w:fldChar w:fldCharType="end"/>
        </w:r>
      </w:hyperlink>
    </w:p>
    <w:p w14:paraId="3D1904DD" w14:textId="1AD331D6"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37" w:history="1">
        <w:r w:rsidRPr="0062595A">
          <w:rPr>
            <w:rFonts w:eastAsia="MS Mincho"/>
            <w:noProof/>
            <w:sz w:val="22"/>
          </w:rPr>
          <w:t>5.6</w:t>
        </w:r>
        <w:r w:rsidRPr="0062595A">
          <w:rPr>
            <w:rFonts w:ascii="Aptos" w:hAnsi="Aptos" w:cs="Arial"/>
            <w:noProof/>
            <w:kern w:val="2"/>
            <w:szCs w:val="24"/>
            <w:lang w:eastAsia="en-GB"/>
            <w14:ligatures w14:val="standardContextual"/>
          </w:rPr>
          <w:tab/>
        </w:r>
        <w:r w:rsidRPr="0062595A">
          <w:rPr>
            <w:rFonts w:eastAsia="MS Mincho"/>
            <w:noProof/>
            <w:sz w:val="22"/>
          </w:rPr>
          <w:t>Resource mobilization</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_Toc224288837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78</w:t>
        </w:r>
        <w:r w:rsidRPr="0062595A">
          <w:rPr>
            <w:rFonts w:eastAsia="MS Mincho"/>
            <w:noProof/>
            <w:sz w:val="22"/>
          </w:rPr>
          <w:fldChar w:fldCharType="end"/>
        </w:r>
      </w:hyperlink>
    </w:p>
    <w:p w14:paraId="03DC6BC1" w14:textId="78EF04F1"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38" w:history="1">
        <w:r w:rsidRPr="0062595A">
          <w:rPr>
            <w:rFonts w:eastAsia="MS Mincho"/>
            <w:noProof/>
            <w:sz w:val="22"/>
          </w:rPr>
          <w:t>5.7</w:t>
        </w:r>
        <w:r w:rsidRPr="0062595A">
          <w:rPr>
            <w:rFonts w:ascii="Aptos" w:hAnsi="Aptos" w:cs="Arial"/>
            <w:noProof/>
            <w:kern w:val="2"/>
            <w:szCs w:val="24"/>
            <w:lang w:eastAsia="en-GB"/>
            <w14:ligatures w14:val="standardContextual"/>
          </w:rPr>
          <w:tab/>
        </w:r>
        <w:r w:rsidRPr="0062595A">
          <w:rPr>
            <w:rFonts w:eastAsia="MS Mincho"/>
            <w:noProof/>
            <w:sz w:val="22"/>
          </w:rPr>
          <w:t>Transformation Process: Achieving Organizational Excellence</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_Toc224288838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79</w:t>
        </w:r>
        <w:r w:rsidRPr="0062595A">
          <w:rPr>
            <w:rFonts w:eastAsia="MS Mincho"/>
            <w:noProof/>
            <w:sz w:val="22"/>
          </w:rPr>
          <w:fldChar w:fldCharType="end"/>
        </w:r>
      </w:hyperlink>
    </w:p>
    <w:p w14:paraId="3A1E79F2" w14:textId="72FBA72C"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39" w:history="1">
        <w:r w:rsidRPr="0062595A">
          <w:rPr>
            <w:rFonts w:eastAsia="MS Mincho"/>
            <w:bCs/>
            <w:noProof/>
            <w:sz w:val="22"/>
          </w:rPr>
          <w:t>5.8</w:t>
        </w:r>
        <w:r w:rsidRPr="0062595A">
          <w:rPr>
            <w:rFonts w:ascii="Aptos" w:hAnsi="Aptos" w:cs="Arial"/>
            <w:noProof/>
            <w:kern w:val="2"/>
            <w:szCs w:val="24"/>
            <w:lang w:eastAsia="en-GB"/>
            <w14:ligatures w14:val="standardContextual"/>
          </w:rPr>
          <w:tab/>
        </w:r>
        <w:r w:rsidRPr="0062595A">
          <w:rPr>
            <w:rFonts w:eastAsia="MS Mincho"/>
            <w:noProof/>
            <w:sz w:val="22"/>
          </w:rPr>
          <w:t>Human Resources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_Toc224288839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80</w:t>
        </w:r>
        <w:r w:rsidRPr="0062595A">
          <w:rPr>
            <w:rFonts w:eastAsia="MS Mincho"/>
            <w:noProof/>
            <w:sz w:val="22"/>
          </w:rPr>
          <w:fldChar w:fldCharType="end"/>
        </w:r>
      </w:hyperlink>
    </w:p>
    <w:p w14:paraId="3E39008C" w14:textId="364C6228" w:rsidR="0062595A" w:rsidRPr="0062595A" w:rsidRDefault="0062595A" w:rsidP="0062595A">
      <w:pPr>
        <w:tabs>
          <w:tab w:val="clear" w:pos="567"/>
          <w:tab w:val="clear" w:pos="1134"/>
          <w:tab w:val="clear" w:pos="1701"/>
          <w:tab w:val="clear" w:pos="2268"/>
          <w:tab w:val="clear" w:pos="2835"/>
          <w:tab w:val="left" w:pos="964"/>
          <w:tab w:val="left" w:leader="dot" w:pos="8789"/>
          <w:tab w:val="right" w:pos="9639"/>
        </w:tabs>
        <w:suppressAutoHyphens/>
        <w:adjustRightInd/>
        <w:ind w:left="964" w:hanging="964"/>
        <w:jc w:val="both"/>
        <w:rPr>
          <w:rFonts w:ascii="Aptos" w:hAnsi="Aptos" w:cs="Arial"/>
          <w:noProof/>
          <w:kern w:val="2"/>
          <w:szCs w:val="24"/>
          <w:lang w:eastAsia="en-GB"/>
          <w14:ligatures w14:val="standardContextual"/>
        </w:rPr>
      </w:pPr>
      <w:hyperlink w:anchor="_Toc224288840" w:history="1">
        <w:r w:rsidRPr="0062595A">
          <w:rPr>
            <w:rFonts w:eastAsia="MS Mincho"/>
            <w:noProof/>
            <w:sz w:val="22"/>
          </w:rPr>
          <w:t xml:space="preserve">5.9 </w:t>
        </w:r>
        <w:r w:rsidRPr="0062595A">
          <w:rPr>
            <w:rFonts w:ascii="Aptos" w:hAnsi="Aptos" w:cs="Arial"/>
            <w:noProof/>
            <w:kern w:val="2"/>
            <w:szCs w:val="24"/>
            <w:lang w:eastAsia="en-GB"/>
            <w14:ligatures w14:val="standardContextual"/>
          </w:rPr>
          <w:tab/>
        </w:r>
        <w:r w:rsidRPr="0062595A">
          <w:rPr>
            <w:rFonts w:eastAsia="MS Mincho"/>
            <w:noProof/>
            <w:sz w:val="22"/>
          </w:rPr>
          <w:t xml:space="preserve">Status of Implementation of PP </w:t>
        </w:r>
        <w:r w:rsidR="00443B52">
          <w:rPr>
            <w:rFonts w:eastAsia="MS Mincho"/>
            <w:noProof/>
            <w:sz w:val="22"/>
          </w:rPr>
          <w:t>r</w:t>
        </w:r>
        <w:r w:rsidRPr="0062595A">
          <w:rPr>
            <w:rFonts w:eastAsia="MS Mincho"/>
            <w:noProof/>
            <w:sz w:val="22"/>
          </w:rPr>
          <w:t>esolutions</w:t>
        </w:r>
        <w:r w:rsidRPr="0062595A">
          <w:rPr>
            <w:rFonts w:eastAsia="MS Mincho"/>
            <w:noProof/>
            <w:sz w:val="22"/>
          </w:rPr>
          <w:tab/>
        </w:r>
        <w:r w:rsidRPr="0062595A">
          <w:rPr>
            <w:rFonts w:eastAsia="MS Mincho"/>
            <w:noProof/>
            <w:sz w:val="22"/>
          </w:rPr>
          <w:fldChar w:fldCharType="begin"/>
        </w:r>
        <w:r w:rsidRPr="0062595A">
          <w:rPr>
            <w:rFonts w:eastAsia="MS Mincho"/>
            <w:noProof/>
            <w:sz w:val="22"/>
          </w:rPr>
          <w:instrText xml:space="preserve"> PAGEREF _Toc224288840 \h </w:instrText>
        </w:r>
        <w:r w:rsidRPr="0062595A">
          <w:rPr>
            <w:rFonts w:eastAsia="MS Mincho"/>
            <w:noProof/>
            <w:sz w:val="22"/>
          </w:rPr>
        </w:r>
        <w:r w:rsidRPr="0062595A">
          <w:rPr>
            <w:rFonts w:eastAsia="MS Mincho"/>
            <w:noProof/>
            <w:sz w:val="22"/>
          </w:rPr>
          <w:fldChar w:fldCharType="separate"/>
        </w:r>
        <w:r w:rsidR="002304BF">
          <w:rPr>
            <w:rFonts w:eastAsia="MS Mincho"/>
            <w:noProof/>
            <w:sz w:val="22"/>
          </w:rPr>
          <w:t>82</w:t>
        </w:r>
        <w:r w:rsidRPr="0062595A">
          <w:rPr>
            <w:rFonts w:eastAsia="MS Mincho"/>
            <w:noProof/>
            <w:sz w:val="22"/>
          </w:rPr>
          <w:fldChar w:fldCharType="end"/>
        </w:r>
      </w:hyperlink>
    </w:p>
    <w:p w14:paraId="2BD6C736" w14:textId="77777777" w:rsidR="0062595A" w:rsidRPr="0062595A" w:rsidRDefault="0062595A" w:rsidP="0062595A">
      <w:pPr>
        <w:tabs>
          <w:tab w:val="clear" w:pos="567"/>
          <w:tab w:val="clear" w:pos="1134"/>
          <w:tab w:val="clear" w:pos="1701"/>
          <w:tab w:val="clear" w:pos="2268"/>
          <w:tab w:val="clear" w:pos="2835"/>
          <w:tab w:val="left" w:pos="964"/>
          <w:tab w:val="left" w:leader="dot" w:pos="8789"/>
          <w:tab w:val="right" w:leader="dot" w:pos="9060"/>
          <w:tab w:val="right" w:pos="9639"/>
        </w:tabs>
        <w:suppressAutoHyphens/>
        <w:adjustRightInd/>
        <w:spacing w:before="240"/>
        <w:ind w:left="964" w:hanging="964"/>
        <w:jc w:val="both"/>
        <w:rPr>
          <w:rFonts w:eastAsia="MS Mincho"/>
          <w:sz w:val="22"/>
        </w:rPr>
      </w:pPr>
      <w:r w:rsidRPr="0062595A">
        <w:rPr>
          <w:rFonts w:eastAsia="MS Mincho"/>
          <w:sz w:val="22"/>
        </w:rPr>
        <w:fldChar w:fldCharType="end"/>
      </w:r>
    </w:p>
    <w:p w14:paraId="69A53FFA" w14:textId="77777777" w:rsidR="0062595A" w:rsidRPr="0062595A" w:rsidRDefault="0062595A" w:rsidP="0062595A">
      <w:pPr>
        <w:suppressAutoHyphens/>
        <w:adjustRightInd/>
        <w:jc w:val="both"/>
        <w:rPr>
          <w:rFonts w:eastAsia="MS Mincho"/>
          <w:sz w:val="22"/>
        </w:rPr>
        <w:sectPr w:rsidR="0062595A" w:rsidRPr="0062595A" w:rsidSect="0056065E">
          <w:footerReference w:type="default" r:id="rId15"/>
          <w:headerReference w:type="first" r:id="rId16"/>
          <w:footerReference w:type="first" r:id="rId17"/>
          <w:pgSz w:w="11906" w:h="16838" w:code="9"/>
          <w:pgMar w:top="1276" w:right="1418" w:bottom="1418" w:left="1418" w:header="720" w:footer="720" w:gutter="0"/>
          <w:pgNumType w:fmt="lowerRoman" w:start="1"/>
          <w:cols w:space="720"/>
          <w:titlePg/>
          <w:docGrid w:linePitch="326"/>
        </w:sectPr>
      </w:pPr>
    </w:p>
    <w:p w14:paraId="0394401A" w14:textId="77777777" w:rsidR="0062595A" w:rsidRPr="0062595A" w:rsidRDefault="0062595A" w:rsidP="00BD2292">
      <w:pPr>
        <w:keepNext/>
        <w:keepLines/>
        <w:numPr>
          <w:ilvl w:val="0"/>
          <w:numId w:val="4"/>
        </w:numPr>
        <w:suppressAutoHyphens/>
        <w:adjustRightInd/>
        <w:spacing w:before="480" w:after="360"/>
        <w:jc w:val="both"/>
        <w:outlineLvl w:val="0"/>
        <w:rPr>
          <w:rFonts w:eastAsia="MS Mincho"/>
          <w:b/>
          <w:color w:val="1F497D"/>
          <w:sz w:val="28"/>
        </w:rPr>
      </w:pPr>
      <w:bookmarkStart w:id="14" w:name="_Toc224288787"/>
      <w:bookmarkStart w:id="15" w:name="_Toc148012655"/>
      <w:bookmarkStart w:id="16" w:name="_Toc37860454"/>
      <w:bookmarkStart w:id="17" w:name="_Toc37861215"/>
      <w:bookmarkStart w:id="18" w:name="_Toc37943334"/>
      <w:r w:rsidRPr="0062595A">
        <w:rPr>
          <w:rFonts w:eastAsia="MS Mincho"/>
          <w:b/>
          <w:color w:val="1F497D"/>
          <w:sz w:val="28"/>
        </w:rPr>
        <w:lastRenderedPageBreak/>
        <w:t>Executive summary</w:t>
      </w:r>
      <w:bookmarkEnd w:id="14"/>
    </w:p>
    <w:p w14:paraId="69148B6A" w14:textId="2EB9585F" w:rsidR="0062595A" w:rsidRPr="004867EA" w:rsidRDefault="0062595A" w:rsidP="00E86CF6">
      <w:pPr>
        <w:suppressAutoHyphens/>
        <w:adjustRightInd/>
        <w:spacing w:after="120"/>
        <w:jc w:val="both"/>
        <w:rPr>
          <w:rFonts w:asciiTheme="minorHAnsi" w:eastAsia="MS Mincho" w:hAnsiTheme="minorHAnsi" w:cstheme="minorBidi"/>
          <w:sz w:val="22"/>
          <w:szCs w:val="22"/>
        </w:rPr>
      </w:pPr>
      <w:r w:rsidRPr="181B6A0C">
        <w:rPr>
          <w:rFonts w:asciiTheme="minorHAnsi" w:eastAsia="Calibri" w:hAnsiTheme="minorHAnsi" w:cstheme="minorBidi"/>
          <w:sz w:val="22"/>
          <w:szCs w:val="22"/>
        </w:rPr>
        <w:t xml:space="preserve">This report reviews the implementation of strategic plans and activities of the International Telecommunication Union (ITU) over the period between </w:t>
      </w:r>
      <w:r w:rsidR="00E20BBD">
        <w:rPr>
          <w:rFonts w:asciiTheme="minorHAnsi" w:eastAsia="Calibri" w:hAnsiTheme="minorHAnsi" w:cstheme="minorBidi"/>
          <w:sz w:val="22"/>
          <w:szCs w:val="22"/>
        </w:rPr>
        <w:t>October</w:t>
      </w:r>
      <w:r w:rsidR="00E20BBD" w:rsidRPr="181B6A0C">
        <w:rPr>
          <w:rFonts w:asciiTheme="minorHAnsi" w:eastAsia="Calibri" w:hAnsiTheme="minorHAnsi" w:cstheme="minorBidi"/>
          <w:sz w:val="22"/>
          <w:szCs w:val="22"/>
        </w:rPr>
        <w:t xml:space="preserve"> </w:t>
      </w:r>
      <w:r w:rsidRPr="181B6A0C">
        <w:rPr>
          <w:rFonts w:asciiTheme="minorHAnsi" w:eastAsia="Calibri" w:hAnsiTheme="minorHAnsi" w:cstheme="minorBidi"/>
          <w:sz w:val="22"/>
          <w:szCs w:val="22"/>
        </w:rPr>
        <w:t xml:space="preserve">2022 and December 2025. It </w:t>
      </w:r>
      <w:r w:rsidRPr="004867EA">
        <w:rPr>
          <w:rFonts w:asciiTheme="minorHAnsi" w:eastAsia="Calibri" w:hAnsiTheme="minorHAnsi" w:cstheme="minorBidi"/>
          <w:spacing w:val="4"/>
          <w:sz w:val="22"/>
          <w:szCs w:val="22"/>
        </w:rPr>
        <w:t>encompasses the completion of the organization’s four-year strategic plan for 2020-2023</w:t>
      </w:r>
      <w:r w:rsidRPr="004867EA">
        <w:rPr>
          <w:rFonts w:asciiTheme="minorHAnsi" w:eastAsia="Calibri" w:hAnsiTheme="minorHAnsi" w:cstheme="minorBidi"/>
          <w:sz w:val="22"/>
          <w:szCs w:val="22"/>
        </w:rPr>
        <w:t xml:space="preserve"> (</w:t>
      </w:r>
      <w:hyperlink r:id="rId18">
        <w:r w:rsidR="0ACD1BB0" w:rsidRPr="004867EA">
          <w:rPr>
            <w:rFonts w:asciiTheme="minorHAnsi" w:eastAsia="Calibri" w:hAnsiTheme="minorHAnsi" w:cstheme="minorBidi"/>
            <w:color w:val="0563C1"/>
            <w:sz w:val="22"/>
            <w:szCs w:val="22"/>
            <w:u w:val="single"/>
          </w:rPr>
          <w:t>Res</w:t>
        </w:r>
        <w:r w:rsidR="3208E221" w:rsidRPr="004867EA">
          <w:rPr>
            <w:rFonts w:asciiTheme="minorHAnsi" w:eastAsia="Calibri" w:hAnsiTheme="minorHAnsi" w:cstheme="minorBidi"/>
            <w:color w:val="0563C1"/>
            <w:sz w:val="22"/>
            <w:szCs w:val="22"/>
            <w:u w:val="single"/>
          </w:rPr>
          <w:t>olution</w:t>
        </w:r>
        <w:r w:rsidR="0ACD1BB0" w:rsidRPr="004867EA">
          <w:rPr>
            <w:rFonts w:asciiTheme="minorHAnsi" w:eastAsia="Calibri" w:hAnsiTheme="minorHAnsi" w:cstheme="minorBidi"/>
            <w:color w:val="0563C1"/>
            <w:sz w:val="22"/>
            <w:szCs w:val="22"/>
            <w:u w:val="single"/>
          </w:rPr>
          <w:t xml:space="preserve"> 71 (Rev. Dubai, 2018</w:t>
        </w:r>
      </w:hyperlink>
      <w:r w:rsidR="0ACD1BB0" w:rsidRPr="004867EA">
        <w:rPr>
          <w:rFonts w:asciiTheme="minorHAnsi" w:eastAsia="Calibri" w:hAnsiTheme="minorHAnsi" w:cstheme="minorBidi"/>
          <w:sz w:val="22"/>
          <w:szCs w:val="22"/>
        </w:rPr>
        <w:t>)) and progress over the first two years of 2024-2027 plan (</w:t>
      </w:r>
      <w:hyperlink r:id="rId19">
        <w:r w:rsidR="0ACD1BB0" w:rsidRPr="004867EA">
          <w:rPr>
            <w:rFonts w:asciiTheme="minorHAnsi" w:eastAsia="Calibri" w:hAnsiTheme="minorHAnsi" w:cstheme="minorBidi"/>
            <w:color w:val="0563C1"/>
            <w:sz w:val="22"/>
            <w:szCs w:val="22"/>
            <w:u w:val="single"/>
          </w:rPr>
          <w:t>Res</w:t>
        </w:r>
        <w:r w:rsidR="3208E221" w:rsidRPr="004867EA">
          <w:rPr>
            <w:rFonts w:asciiTheme="minorHAnsi" w:eastAsia="Calibri" w:hAnsiTheme="minorHAnsi" w:cstheme="minorBidi"/>
            <w:color w:val="0563C1"/>
            <w:sz w:val="22"/>
            <w:szCs w:val="22"/>
            <w:u w:val="single"/>
          </w:rPr>
          <w:t>olution</w:t>
        </w:r>
        <w:r w:rsidR="5B69901B" w:rsidRPr="004867EA">
          <w:rPr>
            <w:rFonts w:asciiTheme="minorHAnsi" w:eastAsia="Calibri" w:hAnsiTheme="minorHAnsi" w:cstheme="minorBidi"/>
            <w:color w:val="0563C1"/>
            <w:sz w:val="22"/>
            <w:szCs w:val="22"/>
            <w:u w:val="single"/>
          </w:rPr>
          <w:t> </w:t>
        </w:r>
        <w:r w:rsidR="0ACD1BB0" w:rsidRPr="004867EA">
          <w:rPr>
            <w:rFonts w:asciiTheme="minorHAnsi" w:eastAsia="Calibri" w:hAnsiTheme="minorHAnsi" w:cstheme="minorBidi"/>
            <w:color w:val="0563C1"/>
            <w:sz w:val="22"/>
            <w:szCs w:val="22"/>
            <w:u w:val="single"/>
          </w:rPr>
          <w:t>71 (Rev. Bucharest</w:t>
        </w:r>
        <w:r w:rsidR="3208E221" w:rsidRPr="004867EA">
          <w:rPr>
            <w:rFonts w:asciiTheme="minorHAnsi" w:eastAsia="Calibri" w:hAnsiTheme="minorHAnsi" w:cstheme="minorBidi"/>
            <w:color w:val="0563C1"/>
            <w:sz w:val="22"/>
            <w:szCs w:val="22"/>
            <w:u w:val="single"/>
          </w:rPr>
          <w:t>,</w:t>
        </w:r>
        <w:r w:rsidR="0ACD1BB0" w:rsidRPr="004867EA">
          <w:rPr>
            <w:rFonts w:asciiTheme="minorHAnsi" w:eastAsia="Calibri" w:hAnsiTheme="minorHAnsi" w:cstheme="minorBidi"/>
            <w:color w:val="0563C1"/>
            <w:sz w:val="22"/>
            <w:szCs w:val="22"/>
            <w:u w:val="single"/>
          </w:rPr>
          <w:t xml:space="preserve"> 2022)</w:t>
        </w:r>
      </w:hyperlink>
      <w:r w:rsidR="0ACD1BB0" w:rsidRPr="004867EA">
        <w:rPr>
          <w:rFonts w:asciiTheme="minorHAnsi" w:eastAsia="Calibri" w:hAnsiTheme="minorHAnsi" w:cstheme="minorBidi"/>
          <w:sz w:val="22"/>
          <w:szCs w:val="22"/>
        </w:rPr>
        <w:t>).</w:t>
      </w:r>
    </w:p>
    <w:p w14:paraId="5435478F" w14:textId="77777777"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During this latest reporting period, ITU advanced an ambitious agenda to connect everyone around the world and ensure digital technologies deliver enduring benefits for all. The nearly four-year span was marked by accelerating technological evolution, expanding partnerships and deepening organizational transformation aimed at enhancing ITU’s effectiveness and impact for years to come.</w:t>
      </w:r>
    </w:p>
    <w:p w14:paraId="1B0721ED" w14:textId="77777777" w:rsidR="0062595A" w:rsidRPr="004867EA" w:rsidRDefault="0062595A" w:rsidP="00E86CF6">
      <w:pPr>
        <w:suppressAutoHyphens/>
        <w:adjustRightInd/>
        <w:spacing w:after="12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In the world around us, Internet connectivity continued expanding, with usage rising from approximately 67 per cent of the global population in 2022 to nearly 74 per cent by 2025. Yet this growth masks deep and persistent inequalities. By 2025, only 23 per cent of people in low-income countries were online, compared with 94 per cent in high-income economies. Significant disparities also remain between urban populations (85 per cent online) and rural populations (58 per cent online).</w:t>
      </w:r>
    </w:p>
    <w:p w14:paraId="7BAD46ED" w14:textId="77777777" w:rsidR="0062595A" w:rsidRPr="004867EA" w:rsidRDefault="0062595A" w:rsidP="00E86CF6">
      <w:pPr>
        <w:suppressAutoHyphens/>
        <w:adjustRightInd/>
        <w:spacing w:after="12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Gender gaps also persist in digital access and usage, especially in the world’s least developed countries. Globally, 77 per cent of men versus 71 per cent of women used the Internet in 2025. About 280 million more men than women were online worldwide in 2025, despite the nearly 45 per cent rise in Internet use among both women and men since 2019. Young users, meanwhile, remain at the forefront of digital adoption, with 82 per cent of youth aged 15–24 years being online in 2025, compared to 72 per cent of the rest of the population.</w:t>
      </w:r>
    </w:p>
    <w:p w14:paraId="4186FD64" w14:textId="77777777" w:rsidR="0062595A" w:rsidRPr="004867EA" w:rsidRDefault="0062595A" w:rsidP="00E86CF6">
      <w:pPr>
        <w:suppressAutoHyphens/>
        <w:adjustRightInd/>
        <w:spacing w:after="12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Digital affordability improved worldwide, with median mobile-broadband prices falling from 2 per cent to 1.4 per cent of gross national income (GNI) per capita and fixed broadband prices declining from 3.1 to 2.5 per cent in the 2022-2025 period. Despite these gains, billions of people still lack affordable services, basic digital skills, and access to devices and trust in online safety.</w:t>
      </w:r>
    </w:p>
    <w:p w14:paraId="72B3B294" w14:textId="77777777" w:rsidR="0062595A" w:rsidRPr="004867EA" w:rsidRDefault="0062595A" w:rsidP="00E86CF6">
      <w:pPr>
        <w:suppressAutoHyphens/>
        <w:adjustRightInd/>
        <w:spacing w:before="240" w:after="120"/>
        <w:jc w:val="both"/>
        <w:rPr>
          <w:rFonts w:asciiTheme="minorHAnsi" w:eastAsia="Calibri" w:hAnsiTheme="minorHAnsi" w:cstheme="minorHAnsi"/>
          <w:b/>
          <w:bCs/>
          <w:sz w:val="22"/>
          <w:szCs w:val="22"/>
        </w:rPr>
      </w:pPr>
      <w:r w:rsidRPr="004867EA">
        <w:rPr>
          <w:rFonts w:asciiTheme="minorHAnsi" w:eastAsia="Calibri" w:hAnsiTheme="minorHAnsi" w:cstheme="minorHAnsi"/>
          <w:b/>
          <w:bCs/>
          <w:sz w:val="22"/>
          <w:szCs w:val="22"/>
        </w:rPr>
        <w:t>Global statutory conferences</w:t>
      </w:r>
    </w:p>
    <w:p w14:paraId="72D6BC04" w14:textId="77777777" w:rsidR="0062595A" w:rsidRPr="004867EA" w:rsidRDefault="0062595A" w:rsidP="00E86CF6">
      <w:pPr>
        <w:suppressAutoHyphens/>
        <w:adjustRightInd/>
        <w:spacing w:after="12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Five ITU statutory conferences shaped policy and technology discussions over the period, aligning members and partners around shared spectrum coordination, technology standardization and digital development objectives.</w:t>
      </w:r>
    </w:p>
    <w:p w14:paraId="32F7E728" w14:textId="70140C2F"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The Plenipotentiary Conference (</w:t>
      </w:r>
      <w:hyperlink r:id="rId20" w:history="1">
        <w:r w:rsidRPr="004867EA">
          <w:rPr>
            <w:rFonts w:asciiTheme="minorHAnsi" w:eastAsia="Calibri" w:hAnsiTheme="minorHAnsi" w:cstheme="minorHAnsi"/>
            <w:color w:val="0563C1"/>
            <w:sz w:val="22"/>
            <w:szCs w:val="22"/>
            <w:u w:val="single"/>
          </w:rPr>
          <w:t>PP-22</w:t>
        </w:r>
      </w:hyperlink>
      <w:r w:rsidRPr="004867EA">
        <w:rPr>
          <w:rFonts w:asciiTheme="minorHAnsi" w:eastAsia="Calibri" w:hAnsiTheme="minorHAnsi" w:cstheme="minorHAnsi"/>
          <w:sz w:val="22"/>
          <w:szCs w:val="22"/>
        </w:rPr>
        <w:t>) in Bucharest, Romania, set ITU’s strategic direction for the coming period through the 2024-2027 strategic plan. The conference modified 56 resolutions, adopted six new ones, and initiated major workstreams on artificial intelligence (AI), outer space sustainability, gender equality, climate action, pandemic-readiness and smart cities. It also achieved a historic milestone with the election of ITU’s first female Secretary-General.</w:t>
      </w:r>
    </w:p>
    <w:p w14:paraId="6B6BAD30" w14:textId="77777777" w:rsidR="0062595A" w:rsidRPr="004867EA" w:rsidRDefault="0062595A" w:rsidP="00E86CF6">
      <w:pPr>
        <w:suppressAutoHyphens/>
        <w:adjustRightInd/>
        <w:spacing w:after="12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Subsequent statutory conferences during the period up to 2025 reinforced and updated various sector-specific activities.</w:t>
      </w:r>
    </w:p>
    <w:p w14:paraId="1CE00B77" w14:textId="3F1A190B"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The World Radiocommunication Conference (</w:t>
      </w:r>
      <w:hyperlink r:id="rId21" w:history="1">
        <w:r w:rsidRPr="004867EA">
          <w:rPr>
            <w:rFonts w:asciiTheme="minorHAnsi" w:eastAsia="Calibri" w:hAnsiTheme="minorHAnsi" w:cstheme="minorHAnsi"/>
            <w:color w:val="0563C1"/>
            <w:sz w:val="22"/>
            <w:szCs w:val="22"/>
            <w:u w:val="single"/>
          </w:rPr>
          <w:t>WRC-23</w:t>
        </w:r>
      </w:hyperlink>
      <w:r w:rsidRPr="004867EA">
        <w:rPr>
          <w:rFonts w:asciiTheme="minorHAnsi" w:eastAsia="Calibri" w:hAnsiTheme="minorHAnsi" w:cstheme="minorHAnsi"/>
          <w:sz w:val="22"/>
          <w:szCs w:val="22"/>
        </w:rPr>
        <w:t>) in Dubai, U</w:t>
      </w:r>
      <w:r w:rsidR="00E86CF6" w:rsidRPr="004867EA">
        <w:rPr>
          <w:rFonts w:asciiTheme="minorHAnsi" w:eastAsia="Calibri" w:hAnsiTheme="minorHAnsi" w:cstheme="minorHAnsi"/>
          <w:sz w:val="22"/>
          <w:szCs w:val="22"/>
        </w:rPr>
        <w:t>nited Arab Emirates</w:t>
      </w:r>
      <w:r w:rsidRPr="004867EA">
        <w:rPr>
          <w:rFonts w:asciiTheme="minorHAnsi" w:eastAsia="Calibri" w:hAnsiTheme="minorHAnsi" w:cstheme="minorHAnsi"/>
          <w:sz w:val="22"/>
          <w:szCs w:val="22"/>
        </w:rPr>
        <w:t>, addressed over 30</w:t>
      </w:r>
      <w:r w:rsidR="00E86CF6" w:rsidRPr="004867EA">
        <w:rPr>
          <w:rFonts w:asciiTheme="minorHAnsi" w:eastAsia="Calibri" w:hAnsiTheme="minorHAnsi" w:cstheme="minorHAnsi"/>
          <w:sz w:val="22"/>
          <w:szCs w:val="22"/>
        </w:rPr>
        <w:t> </w:t>
      </w:r>
      <w:r w:rsidRPr="004867EA">
        <w:rPr>
          <w:rFonts w:asciiTheme="minorHAnsi" w:eastAsia="Calibri" w:hAnsiTheme="minorHAnsi" w:cstheme="minorHAnsi"/>
          <w:sz w:val="22"/>
          <w:szCs w:val="22"/>
        </w:rPr>
        <w:t>agenda items spanning international mobile telecommunications (IMT), satellite, maritime and aeronautical services. The preceding Radiocommunication Assembly (</w:t>
      </w:r>
      <w:hyperlink r:id="rId22" w:history="1">
        <w:r w:rsidRPr="004867EA">
          <w:rPr>
            <w:rFonts w:asciiTheme="minorHAnsi" w:eastAsia="Calibri" w:hAnsiTheme="minorHAnsi" w:cstheme="minorHAnsi"/>
            <w:color w:val="0563C1"/>
            <w:sz w:val="22"/>
            <w:szCs w:val="22"/>
            <w:u w:val="single"/>
          </w:rPr>
          <w:t>RA-23</w:t>
        </w:r>
      </w:hyperlink>
      <w:r w:rsidRPr="004867EA">
        <w:rPr>
          <w:rFonts w:asciiTheme="minorHAnsi" w:eastAsia="Calibri" w:hAnsiTheme="minorHAnsi" w:cstheme="minorHAnsi"/>
          <w:sz w:val="22"/>
          <w:szCs w:val="22"/>
        </w:rPr>
        <w:t>) delivered the IMT-2030 framework (the basis for anticipated 6G telecom networks) and adopted new resolutions on gender equality, broadband, and spectrum sustainability. Together, these conferences strengthened the workings of ITU’s Radiocommunication Sector (ITU-R), safeguarded existing services, secured frequency allocations for next</w:t>
      </w:r>
      <w:r w:rsidRPr="004867EA">
        <w:rPr>
          <w:rFonts w:asciiTheme="minorHAnsi" w:eastAsia="Calibri" w:hAnsiTheme="minorHAnsi" w:cstheme="minorHAnsi"/>
          <w:sz w:val="22"/>
          <w:szCs w:val="22"/>
        </w:rPr>
        <w:noBreakHyphen/>
        <w:t>generation systems, and confirmed the increasing importance of space and satellites for global communications.</w:t>
      </w:r>
    </w:p>
    <w:p w14:paraId="5A24A5FA" w14:textId="77777777"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lastRenderedPageBreak/>
        <w:t>The World Telecommunication Standardization Assembly (</w:t>
      </w:r>
      <w:hyperlink r:id="rId23" w:history="1">
        <w:r w:rsidRPr="004867EA">
          <w:rPr>
            <w:rFonts w:asciiTheme="minorHAnsi" w:eastAsia="Calibri" w:hAnsiTheme="minorHAnsi" w:cstheme="minorHAnsi"/>
            <w:color w:val="0563C1"/>
            <w:sz w:val="22"/>
            <w:szCs w:val="22"/>
            <w:u w:val="single"/>
          </w:rPr>
          <w:t>WTSA-24</w:t>
        </w:r>
      </w:hyperlink>
      <w:r w:rsidRPr="004867EA">
        <w:rPr>
          <w:rFonts w:asciiTheme="minorHAnsi" w:eastAsia="Calibri" w:hAnsiTheme="minorHAnsi" w:cstheme="minorHAnsi"/>
          <w:sz w:val="22"/>
          <w:szCs w:val="22"/>
        </w:rPr>
        <w:t>) in New Delhi, India, emphasized AI, emergency communications, and other fast-evolving digital priorities. The conference updated the structure of ITU’s Telecommunication Standardization Sector (ITU-T) and formed the new ITU</w:t>
      </w:r>
      <w:r w:rsidRPr="004867EA">
        <w:rPr>
          <w:rFonts w:asciiTheme="minorHAnsi" w:eastAsia="Calibri" w:hAnsiTheme="minorHAnsi" w:cstheme="minorHAnsi"/>
          <w:sz w:val="22"/>
          <w:szCs w:val="22"/>
        </w:rPr>
        <w:noBreakHyphen/>
        <w:t>T Study Group 21 focused on multimedia, content delivery, and cable technologies. The accompanying “festival of standards” showcased innovation and cross</w:t>
      </w:r>
      <w:r w:rsidRPr="004867EA">
        <w:rPr>
          <w:rFonts w:asciiTheme="minorHAnsi" w:eastAsia="Calibri" w:hAnsiTheme="minorHAnsi" w:cstheme="minorHAnsi"/>
          <w:sz w:val="22"/>
          <w:szCs w:val="22"/>
        </w:rPr>
        <w:noBreakHyphen/>
        <w:t>sector collaboration in line with United Nations digital cooperation goals.</w:t>
      </w:r>
    </w:p>
    <w:p w14:paraId="4B00482E" w14:textId="77777777"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The World Telecommunication Development Conference (</w:t>
      </w:r>
      <w:hyperlink r:id="rId24" w:history="1">
        <w:r w:rsidRPr="004867EA">
          <w:rPr>
            <w:rFonts w:asciiTheme="minorHAnsi" w:eastAsia="Calibri" w:hAnsiTheme="minorHAnsi" w:cstheme="minorHAnsi"/>
            <w:color w:val="0563C1"/>
            <w:sz w:val="22"/>
            <w:szCs w:val="22"/>
            <w:u w:val="single"/>
          </w:rPr>
          <w:t>WTDC</w:t>
        </w:r>
        <w:r w:rsidRPr="004867EA">
          <w:rPr>
            <w:rFonts w:asciiTheme="minorHAnsi" w:eastAsia="Calibri" w:hAnsiTheme="minorHAnsi" w:cstheme="minorHAnsi"/>
            <w:color w:val="0563C1"/>
            <w:sz w:val="22"/>
            <w:szCs w:val="22"/>
            <w:u w:val="single"/>
          </w:rPr>
          <w:noBreakHyphen/>
          <w:t>25</w:t>
        </w:r>
      </w:hyperlink>
      <w:r w:rsidRPr="004867EA">
        <w:rPr>
          <w:rFonts w:asciiTheme="minorHAnsi" w:eastAsia="Calibri" w:hAnsiTheme="minorHAnsi" w:cstheme="minorHAnsi"/>
          <w:sz w:val="22"/>
          <w:szCs w:val="22"/>
        </w:rPr>
        <w:t>) adopted the Baku Declaration and a forward</w:t>
      </w:r>
      <w:r w:rsidRPr="004867EA">
        <w:rPr>
          <w:rFonts w:asciiTheme="minorHAnsi" w:eastAsia="Calibri" w:hAnsiTheme="minorHAnsi" w:cstheme="minorHAnsi"/>
          <w:sz w:val="22"/>
          <w:szCs w:val="22"/>
        </w:rPr>
        <w:noBreakHyphen/>
        <w:t>looking Baku Action Plan that set out the priorities of ITU’s Telecommunication Development Sector (ITU-D) for 2026–2029. The conference also approved new regional initiatives for Africa, the Americas, the Arab States, Asia</w:t>
      </w:r>
      <w:r w:rsidRPr="004867EA">
        <w:rPr>
          <w:rFonts w:asciiTheme="minorHAnsi" w:eastAsia="Calibri" w:hAnsiTheme="minorHAnsi" w:cstheme="minorHAnsi"/>
          <w:sz w:val="22"/>
          <w:szCs w:val="22"/>
        </w:rPr>
        <w:noBreakHyphen/>
        <w:t>Pacific, the Commonwealth of Independent States (CIS), and Europe, targeting each region’s most pressing digital development needs. Through these initiatives, ITU is positioned to mobilize resources and build partnerships that accelerate digital transformation, close persistent connectivity gaps, and support vulnerable communities – including the least developed countries (LDCs), landlocked developing countries (LLDCs) and small island developing states (SIDS), through concrete, impact</w:t>
      </w:r>
      <w:r w:rsidRPr="004867EA">
        <w:rPr>
          <w:rFonts w:asciiTheme="minorHAnsi" w:eastAsia="Calibri" w:hAnsiTheme="minorHAnsi" w:cstheme="minorHAnsi"/>
          <w:sz w:val="22"/>
          <w:szCs w:val="22"/>
        </w:rPr>
        <w:noBreakHyphen/>
        <w:t>driven development projects.</w:t>
      </w:r>
    </w:p>
    <w:p w14:paraId="64DDD6D0" w14:textId="77777777" w:rsidR="0062595A" w:rsidRPr="004867EA" w:rsidRDefault="0062595A" w:rsidP="00E86CF6">
      <w:pPr>
        <w:suppressAutoHyphens/>
        <w:adjustRightInd/>
        <w:spacing w:before="240" w:after="120"/>
        <w:jc w:val="both"/>
        <w:rPr>
          <w:rFonts w:asciiTheme="minorHAnsi" w:eastAsia="Calibri" w:hAnsiTheme="minorHAnsi" w:cstheme="minorHAnsi"/>
          <w:b/>
          <w:bCs/>
          <w:sz w:val="22"/>
          <w:szCs w:val="22"/>
        </w:rPr>
      </w:pPr>
      <w:r w:rsidRPr="004867EA">
        <w:rPr>
          <w:rFonts w:asciiTheme="minorHAnsi" w:eastAsia="Calibri" w:hAnsiTheme="minorHAnsi" w:cstheme="minorHAnsi"/>
          <w:b/>
          <w:bCs/>
          <w:sz w:val="22"/>
          <w:szCs w:val="22"/>
        </w:rPr>
        <w:t>Strategic plan results and impact</w:t>
      </w:r>
    </w:p>
    <w:p w14:paraId="2D86DC0E" w14:textId="77777777"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 xml:space="preserve">The 2020–2023 strategic plan helped countries around the world expand Internet access, improve affordability, strengthen cybersecurity, and promote innovation policies. The subsequent 2024-2027 plan has organized ITU’s wide-ranging work under two overarching goals: universal connectivity and sustainable digital transformation. Various workstreams aim to help countries boost connection quality, availability, and affordability, as well as device access, skills, accessibility and security, all of which combine to make connectivity meaningful. </w:t>
      </w:r>
    </w:p>
    <w:p w14:paraId="29B4CD8B" w14:textId="0A8DD097"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 xml:space="preserve">ITU has recorded progress on affordability, device ownership and data systems over this reporting period. Collaboration with the </w:t>
      </w:r>
      <w:r w:rsidRPr="004867EA">
        <w:rPr>
          <w:rFonts w:asciiTheme="minorHAnsi" w:eastAsia="Calibri" w:hAnsiTheme="minorHAnsi" w:cstheme="minorHAnsi"/>
          <w:color w:val="0A0A0A"/>
          <w:sz w:val="22"/>
          <w:szCs w:val="22"/>
        </w:rPr>
        <w:t>United Nations Educational, Scientific and Cultural Organization (</w:t>
      </w:r>
      <w:r w:rsidRPr="004867EA">
        <w:rPr>
          <w:rFonts w:asciiTheme="minorHAnsi" w:eastAsia="Calibri" w:hAnsiTheme="minorHAnsi" w:cstheme="minorHAnsi"/>
          <w:sz w:val="22"/>
          <w:szCs w:val="22"/>
        </w:rPr>
        <w:t xml:space="preserve">UNESCO) has improved the measurement of digital development and school connectivity across more than 200 economies. ITU also supports Giga (see more in Section </w:t>
      </w:r>
      <w:hyperlink w:anchor="Section_5_5" w:history="1">
        <w:r w:rsidRPr="004867EA">
          <w:rPr>
            <w:rStyle w:val="Hyperlink"/>
            <w:rFonts w:asciiTheme="minorHAnsi" w:eastAsia="Calibri" w:hAnsiTheme="minorHAnsi" w:cstheme="minorHAnsi"/>
            <w:sz w:val="22"/>
            <w:szCs w:val="22"/>
          </w:rPr>
          <w:t>5.5</w:t>
        </w:r>
      </w:hyperlink>
      <w:r w:rsidRPr="004867EA">
        <w:rPr>
          <w:rFonts w:asciiTheme="minorHAnsi" w:eastAsia="Calibri" w:hAnsiTheme="minorHAnsi" w:cstheme="minorHAnsi"/>
          <w:sz w:val="22"/>
          <w:szCs w:val="22"/>
        </w:rPr>
        <w:t>), a joint initiative with the United Nations Children’s Fund (UNICEF) to connect every school in the world to the Internet.</w:t>
      </w:r>
    </w:p>
    <w:p w14:paraId="183E19C7" w14:textId="339CEEFF" w:rsidR="0062595A" w:rsidRPr="004867EA" w:rsidRDefault="0062595A" w:rsidP="00E86CF6">
      <w:pPr>
        <w:suppressAutoHyphens/>
        <w:adjustRightInd/>
        <w:spacing w:after="120"/>
        <w:jc w:val="both"/>
        <w:rPr>
          <w:rFonts w:asciiTheme="minorHAnsi" w:eastAsia="Calibri" w:hAnsiTheme="minorHAnsi" w:cstheme="minorBidi"/>
          <w:sz w:val="22"/>
          <w:szCs w:val="22"/>
        </w:rPr>
      </w:pPr>
      <w:r w:rsidRPr="004867EA">
        <w:rPr>
          <w:rFonts w:asciiTheme="minorHAnsi" w:eastAsia="Calibri" w:hAnsiTheme="minorHAnsi" w:cstheme="minorBidi"/>
          <w:sz w:val="22"/>
          <w:szCs w:val="22"/>
        </w:rPr>
        <w:t xml:space="preserve">Cybersecurity capacity continued to expand, with the number of countries establishing national cyber incident response teams (CIRTs) rising from 109 in 2020 to 132 by 2024, and those adopting national cybersecurity strategies increasing from 107 to 127 over the same period. Accessibility policies for persons with disabilities saw a significant rise, with the number of countries implementing national information and communication technology (ICT) accessibility frameworks reaching </w:t>
      </w:r>
      <w:r w:rsidR="7AE5DB5B" w:rsidRPr="004867EA">
        <w:rPr>
          <w:rFonts w:asciiTheme="minorHAnsi" w:eastAsia="Calibri" w:hAnsiTheme="minorHAnsi" w:cstheme="minorBidi"/>
          <w:sz w:val="22"/>
          <w:szCs w:val="22"/>
        </w:rPr>
        <w:t>127 by the end of 2024</w:t>
      </w:r>
      <w:r w:rsidRPr="004867EA">
        <w:rPr>
          <w:rFonts w:asciiTheme="minorHAnsi" w:eastAsia="Calibri" w:hAnsiTheme="minorHAnsi" w:cstheme="minorBidi"/>
          <w:sz w:val="22"/>
          <w:szCs w:val="22"/>
        </w:rPr>
        <w:t>.</w:t>
      </w:r>
    </w:p>
    <w:p w14:paraId="216F9753" w14:textId="77777777" w:rsidR="0062595A" w:rsidRPr="004867EA" w:rsidRDefault="0062595A" w:rsidP="00E86CF6">
      <w:pPr>
        <w:suppressAutoHyphens/>
        <w:adjustRightInd/>
        <w:spacing w:after="12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ITU helped six East African countries develop e</w:t>
      </w:r>
      <w:r w:rsidRPr="004867EA">
        <w:rPr>
          <w:rFonts w:asciiTheme="minorHAnsi" w:eastAsia="Calibri" w:hAnsiTheme="minorHAnsi" w:cstheme="minorHAnsi"/>
          <w:sz w:val="22"/>
          <w:szCs w:val="22"/>
        </w:rPr>
        <w:noBreakHyphen/>
        <w:t>waste regulations and data systems between 2022 and 2025. Simultaneously, it advanced new international standards on extended producer responsibility and sustainable public procurement.</w:t>
      </w:r>
    </w:p>
    <w:p w14:paraId="510D0F30" w14:textId="77777777" w:rsidR="0062595A" w:rsidRPr="004867EA" w:rsidRDefault="0062595A" w:rsidP="00E86CF6">
      <w:pPr>
        <w:suppressAutoHyphens/>
        <w:adjustRightInd/>
        <w:spacing w:after="12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 xml:space="preserve">Across the same period, 28 countries benefited from ITU support with National Emergency Telecommunications Plans to strengthen global disaster preparedness. ITU also delivered emergency telecommunications assistance during major disasters, providing equipment and technical support to afflicted communities in response to Hurricane Julia and Cyclone Freddy. </w:t>
      </w:r>
    </w:p>
    <w:p w14:paraId="7D0C7B93" w14:textId="47C936F7" w:rsidR="0062595A" w:rsidRPr="00E86CF6" w:rsidRDefault="0062595A" w:rsidP="00E86CF6">
      <w:pPr>
        <w:suppressAutoHyphens/>
        <w:adjustRightInd/>
        <w:spacing w:after="120"/>
        <w:jc w:val="both"/>
        <w:rPr>
          <w:rFonts w:asciiTheme="minorHAnsi" w:eastAsia="MS Mincho" w:hAnsiTheme="minorHAnsi" w:cstheme="minorBidi"/>
          <w:sz w:val="22"/>
          <w:szCs w:val="22"/>
        </w:rPr>
      </w:pPr>
      <w:r w:rsidRPr="004867EA">
        <w:rPr>
          <w:rFonts w:asciiTheme="minorHAnsi" w:eastAsia="Calibri" w:hAnsiTheme="minorHAnsi" w:cstheme="minorBidi"/>
          <w:sz w:val="22"/>
          <w:szCs w:val="22"/>
        </w:rPr>
        <w:t>The organization took on a key role in the UN Secretary</w:t>
      </w:r>
      <w:r w:rsidR="065081A1" w:rsidRPr="004867EA">
        <w:rPr>
          <w:rFonts w:asciiTheme="minorHAnsi" w:eastAsia="Calibri" w:hAnsiTheme="minorHAnsi" w:cstheme="minorBidi"/>
          <w:sz w:val="22"/>
          <w:szCs w:val="22"/>
        </w:rPr>
        <w:t>-</w:t>
      </w:r>
      <w:r w:rsidRPr="004867EA">
        <w:rPr>
          <w:rFonts w:asciiTheme="minorHAnsi" w:eastAsia="Calibri" w:hAnsiTheme="minorHAnsi" w:cstheme="minorBidi"/>
          <w:sz w:val="22"/>
          <w:szCs w:val="22"/>
        </w:rPr>
        <w:t>General’s Early Warnings for All initiative (started at COP27 in 2022), which aims to ensure that everyone in the world is covered by timely disaster alerts by 2027. ITU joined with the World Meteorological Organization (WMO), the United Nations Office for Disaster Risk Reduction (UNDRR) and the International Federation of Red Cross and Red Crescent Societies (IFRC) to form the initiative's key AI subgroup to enhance early warning</w:t>
      </w:r>
      <w:r w:rsidRPr="181B6A0C">
        <w:rPr>
          <w:rFonts w:asciiTheme="minorHAnsi" w:eastAsia="Calibri" w:hAnsiTheme="minorHAnsi" w:cstheme="minorBidi"/>
          <w:sz w:val="22"/>
          <w:szCs w:val="22"/>
        </w:rPr>
        <w:t xml:space="preserve"> systems.</w:t>
      </w:r>
    </w:p>
    <w:p w14:paraId="62EDC01E" w14:textId="77777777" w:rsidR="0062595A" w:rsidRPr="004867EA" w:rsidRDefault="0062595A" w:rsidP="00E86CF6">
      <w:pPr>
        <w:keepNext/>
        <w:keepLines/>
        <w:suppressAutoHyphens/>
        <w:adjustRightInd/>
        <w:spacing w:before="240" w:after="120"/>
        <w:jc w:val="both"/>
        <w:rPr>
          <w:rFonts w:asciiTheme="minorHAnsi" w:eastAsia="Calibri" w:hAnsiTheme="minorHAnsi" w:cstheme="minorHAnsi"/>
          <w:b/>
          <w:bCs/>
          <w:sz w:val="22"/>
          <w:szCs w:val="22"/>
        </w:rPr>
      </w:pPr>
      <w:r w:rsidRPr="00E86CF6">
        <w:rPr>
          <w:rFonts w:asciiTheme="minorHAnsi" w:eastAsia="Calibri" w:hAnsiTheme="minorHAnsi" w:cstheme="minorHAnsi"/>
          <w:b/>
          <w:bCs/>
          <w:sz w:val="22"/>
          <w:szCs w:val="22"/>
        </w:rPr>
        <w:lastRenderedPageBreak/>
        <w:t xml:space="preserve">Leadership in </w:t>
      </w:r>
      <w:r w:rsidRPr="004867EA">
        <w:rPr>
          <w:rFonts w:asciiTheme="minorHAnsi" w:eastAsia="Calibri" w:hAnsiTheme="minorHAnsi" w:cstheme="minorHAnsi"/>
          <w:b/>
          <w:bCs/>
          <w:sz w:val="22"/>
          <w:szCs w:val="22"/>
        </w:rPr>
        <w:t>technology standards</w:t>
      </w:r>
    </w:p>
    <w:p w14:paraId="55F039B4" w14:textId="77777777" w:rsidR="0062595A" w:rsidRPr="004867EA" w:rsidRDefault="0062595A" w:rsidP="00E86CF6">
      <w:pPr>
        <w:keepNext/>
        <w:keepLines/>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ITU has strengthened its role as a leading standards organization with new work focused on the challenges and opportunities presented by new and emerging technologies. It has helped shape quantum information technologies through initiatives such as the Quantum Standards Database,</w:t>
      </w:r>
      <w:r w:rsidRPr="004867EA">
        <w:rPr>
          <w:rFonts w:asciiTheme="minorHAnsi" w:eastAsia="Calibri" w:hAnsiTheme="minorHAnsi" w:cstheme="minorHAnsi"/>
          <w:b/>
          <w:bCs/>
          <w:sz w:val="22"/>
          <w:szCs w:val="22"/>
        </w:rPr>
        <w:t xml:space="preserve"> </w:t>
      </w:r>
      <w:r w:rsidRPr="004867EA">
        <w:rPr>
          <w:rFonts w:asciiTheme="minorHAnsi" w:eastAsia="Calibri" w:hAnsiTheme="minorHAnsi" w:cstheme="minorHAnsi"/>
          <w:sz w:val="22"/>
          <w:szCs w:val="22"/>
        </w:rPr>
        <w:t>developed between 2023 and 2024, and the adoption of new recommendations by ITU-T Study Groups for quantum security.</w:t>
      </w:r>
      <w:r w:rsidRPr="004867EA">
        <w:rPr>
          <w:rFonts w:asciiTheme="minorHAnsi" w:eastAsia="Calibri" w:hAnsiTheme="minorHAnsi" w:cstheme="minorHAnsi"/>
          <w:b/>
          <w:bCs/>
          <w:sz w:val="22"/>
          <w:szCs w:val="22"/>
        </w:rPr>
        <w:t xml:space="preserve"> </w:t>
      </w:r>
    </w:p>
    <w:p w14:paraId="7BE2A36D" w14:textId="77777777"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 xml:space="preserve">With the UN designating 2025 as the International Year of Quantum Science and Technology, ITU supported global awareness-raising and launched its own </w:t>
      </w:r>
      <w:hyperlink r:id="rId25" w:history="1">
        <w:r w:rsidRPr="004867EA">
          <w:rPr>
            <w:rFonts w:asciiTheme="minorHAnsi" w:eastAsia="Calibri" w:hAnsiTheme="minorHAnsi" w:cstheme="minorHAnsi"/>
            <w:color w:val="0563C1"/>
            <w:sz w:val="22"/>
            <w:szCs w:val="22"/>
            <w:u w:val="single"/>
          </w:rPr>
          <w:t>Quantum for Good</w:t>
        </w:r>
      </w:hyperlink>
      <w:r w:rsidRPr="004867EA">
        <w:rPr>
          <w:rFonts w:asciiTheme="minorHAnsi" w:eastAsia="Calibri" w:hAnsiTheme="minorHAnsi" w:cstheme="minorHAnsi"/>
          <w:sz w:val="22"/>
          <w:szCs w:val="22"/>
        </w:rPr>
        <w:t xml:space="preserve"> initiative spotlighting potential benefits and the need to address risks.</w:t>
      </w:r>
    </w:p>
    <w:p w14:paraId="40A48229" w14:textId="0B18A01E"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An ITU-led focus group on virtual worlds and the metaverse, active until mid-2024, engaged over 17</w:t>
      </w:r>
      <w:r w:rsidR="00E86CF6" w:rsidRPr="004867EA">
        <w:rPr>
          <w:rFonts w:asciiTheme="minorHAnsi" w:eastAsia="Calibri" w:hAnsiTheme="minorHAnsi" w:cstheme="minorHAnsi"/>
          <w:sz w:val="22"/>
          <w:szCs w:val="22"/>
        </w:rPr>
        <w:t> </w:t>
      </w:r>
      <w:r w:rsidRPr="004867EA">
        <w:rPr>
          <w:rFonts w:asciiTheme="minorHAnsi" w:eastAsia="Calibri" w:hAnsiTheme="minorHAnsi" w:cstheme="minorHAnsi"/>
          <w:sz w:val="22"/>
          <w:szCs w:val="22"/>
        </w:rPr>
        <w:t>000 participants and produced more than 50 technical outputs, setting the stage for the new Global Initiative on Virtual Worlds and AI. In addition, the Joint Coordination Activity on Metaverse Standardization (</w:t>
      </w:r>
      <w:hyperlink r:id="rId26" w:history="1">
        <w:r w:rsidRPr="004867EA">
          <w:rPr>
            <w:rFonts w:asciiTheme="minorHAnsi" w:eastAsia="Calibri" w:hAnsiTheme="minorHAnsi" w:cstheme="minorHAnsi"/>
            <w:color w:val="0563C1"/>
            <w:sz w:val="22"/>
            <w:szCs w:val="22"/>
            <w:u w:val="single"/>
          </w:rPr>
          <w:t>JCA</w:t>
        </w:r>
        <w:r w:rsidRPr="004867EA">
          <w:rPr>
            <w:rFonts w:asciiTheme="minorHAnsi" w:eastAsia="Calibri" w:hAnsiTheme="minorHAnsi" w:cstheme="minorHAnsi"/>
            <w:color w:val="0563C1"/>
            <w:sz w:val="22"/>
            <w:szCs w:val="22"/>
            <w:u w:val="single"/>
          </w:rPr>
          <w:noBreakHyphen/>
          <w:t>MV</w:t>
        </w:r>
      </w:hyperlink>
      <w:r w:rsidRPr="004867EA">
        <w:rPr>
          <w:rFonts w:asciiTheme="minorHAnsi" w:eastAsia="Calibri" w:hAnsiTheme="minorHAnsi" w:cstheme="minorHAnsi"/>
          <w:sz w:val="22"/>
          <w:szCs w:val="22"/>
        </w:rPr>
        <w:t>), established and activated in 2025, coordinates ITU</w:t>
      </w:r>
      <w:r w:rsidRPr="004867EA">
        <w:rPr>
          <w:rFonts w:asciiTheme="minorHAnsi" w:eastAsia="Calibri" w:hAnsiTheme="minorHAnsi" w:cstheme="minorHAnsi"/>
          <w:sz w:val="22"/>
          <w:szCs w:val="22"/>
        </w:rPr>
        <w:noBreakHyphen/>
        <w:t>T’s metaverse standardization work and strengthens collaboration with external standards organizations. Parallel efforts advanced Internet of Things, digital twins and smart city frameworks.</w:t>
      </w:r>
    </w:p>
    <w:p w14:paraId="02223896" w14:textId="77777777"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 xml:space="preserve">ITU also worked with other UN agencies to lay the groundwork for responsible AI across a range of applications. The </w:t>
      </w:r>
      <w:hyperlink r:id="rId27" w:history="1">
        <w:r w:rsidRPr="004867EA">
          <w:rPr>
            <w:rFonts w:asciiTheme="minorHAnsi" w:eastAsia="Calibri" w:hAnsiTheme="minorHAnsi" w:cstheme="minorHAnsi"/>
            <w:color w:val="0563C1"/>
            <w:sz w:val="22"/>
            <w:szCs w:val="22"/>
            <w:u w:val="single"/>
          </w:rPr>
          <w:t>ITU–FAO Focus Group on AI for Agriculture</w:t>
        </w:r>
      </w:hyperlink>
      <w:r w:rsidRPr="004867EA">
        <w:rPr>
          <w:rFonts w:asciiTheme="minorHAnsi" w:eastAsia="MS Mincho" w:hAnsiTheme="minorHAnsi" w:cstheme="minorHAnsi"/>
          <w:sz w:val="22"/>
          <w:szCs w:val="22"/>
        </w:rPr>
        <w:t xml:space="preserve"> (led jointly with the UN Food and Agriculture Organization – FAO)</w:t>
      </w:r>
      <w:r w:rsidRPr="004867EA">
        <w:rPr>
          <w:rFonts w:asciiTheme="minorHAnsi" w:eastAsia="Calibri" w:hAnsiTheme="minorHAnsi" w:cstheme="minorHAnsi"/>
          <w:sz w:val="22"/>
          <w:szCs w:val="22"/>
        </w:rPr>
        <w:t xml:space="preserve">, for example, provided guidance on precision farming and climate-resilient food systems. </w:t>
      </w:r>
    </w:p>
    <w:p w14:paraId="75E19639" w14:textId="2817D805" w:rsidR="0062595A" w:rsidRPr="004867EA" w:rsidRDefault="0062595A" w:rsidP="00E86CF6">
      <w:pPr>
        <w:suppressAutoHyphens/>
        <w:adjustRightInd/>
        <w:spacing w:after="120"/>
        <w:jc w:val="both"/>
        <w:rPr>
          <w:rFonts w:asciiTheme="minorHAnsi" w:eastAsia="MS Mincho" w:hAnsiTheme="minorHAnsi" w:cstheme="minorBidi"/>
          <w:sz w:val="22"/>
          <w:szCs w:val="22"/>
        </w:rPr>
      </w:pPr>
      <w:r w:rsidRPr="004867EA">
        <w:rPr>
          <w:rFonts w:asciiTheme="minorHAnsi" w:eastAsia="Segoe UI" w:hAnsiTheme="minorHAnsi" w:cstheme="minorBidi"/>
          <w:sz w:val="22"/>
          <w:szCs w:val="22"/>
        </w:rPr>
        <w:t>T</w:t>
      </w:r>
      <w:r w:rsidRPr="004867EA">
        <w:rPr>
          <w:rFonts w:asciiTheme="minorHAnsi" w:eastAsia="Calibri" w:hAnsiTheme="minorHAnsi" w:cstheme="minorBidi"/>
          <w:sz w:val="22"/>
          <w:szCs w:val="22"/>
        </w:rPr>
        <w:t xml:space="preserve">he </w:t>
      </w:r>
      <w:hyperlink r:id="rId28">
        <w:r w:rsidR="348FA0ED" w:rsidRPr="004867EA">
          <w:rPr>
            <w:rFonts w:asciiTheme="minorHAnsi" w:eastAsia="Calibri" w:hAnsiTheme="minorHAnsi" w:cstheme="minorBidi"/>
            <w:color w:val="0563C1"/>
            <w:sz w:val="22"/>
            <w:szCs w:val="22"/>
            <w:u w:val="single"/>
          </w:rPr>
          <w:t>ITU–WHO–WIPO Global Initiative on AI for Health</w:t>
        </w:r>
      </w:hyperlink>
      <w:r w:rsidRPr="004867EA">
        <w:rPr>
          <w:rFonts w:asciiTheme="minorHAnsi" w:eastAsia="Calibri" w:hAnsiTheme="minorHAnsi" w:cstheme="minorBidi"/>
          <w:sz w:val="22"/>
          <w:szCs w:val="22"/>
        </w:rPr>
        <w:t xml:space="preserve"> has produced robust assessment frameworks to support the safe and </w:t>
      </w:r>
      <w:r w:rsidR="10CAB15D" w:rsidRPr="004867EA">
        <w:rPr>
          <w:rFonts w:asciiTheme="minorHAnsi" w:eastAsia="Calibri" w:hAnsiTheme="minorHAnsi" w:cstheme="minorBidi"/>
          <w:sz w:val="22"/>
          <w:szCs w:val="22"/>
        </w:rPr>
        <w:t xml:space="preserve">evidence </w:t>
      </w:r>
      <w:r w:rsidRPr="004867EA">
        <w:rPr>
          <w:rFonts w:asciiTheme="minorHAnsi" w:eastAsia="Calibri" w:hAnsiTheme="minorHAnsi" w:cstheme="minorBidi"/>
          <w:sz w:val="22"/>
          <w:szCs w:val="22"/>
        </w:rPr>
        <w:t xml:space="preserve">based adoption of AI in clinical settings, complemented by reference implementations that demonstrate how these standards can be operationalized in practice and adapted by national medicine regulators. These efforts are further reinforced by targeted support enabling greater participation from low and </w:t>
      </w:r>
      <w:r w:rsidR="2A2D806E" w:rsidRPr="004867EA">
        <w:rPr>
          <w:rFonts w:asciiTheme="minorHAnsi" w:eastAsia="Calibri" w:hAnsiTheme="minorHAnsi" w:cstheme="minorBidi"/>
          <w:sz w:val="22"/>
          <w:szCs w:val="22"/>
        </w:rPr>
        <w:t>middle-</w:t>
      </w:r>
      <w:r w:rsidRPr="004867EA">
        <w:rPr>
          <w:rFonts w:asciiTheme="minorHAnsi" w:eastAsia="Calibri" w:hAnsiTheme="minorHAnsi" w:cstheme="minorBidi"/>
          <w:sz w:val="22"/>
          <w:szCs w:val="22"/>
        </w:rPr>
        <w:t>income countries.</w:t>
      </w:r>
    </w:p>
    <w:p w14:paraId="6A4D10B4" w14:textId="77777777" w:rsidR="0062595A" w:rsidRPr="004867EA" w:rsidRDefault="0062595A" w:rsidP="00E86CF6">
      <w:pPr>
        <w:suppressAutoHyphens/>
        <w:adjustRightInd/>
        <w:spacing w:before="240" w:after="120"/>
        <w:jc w:val="both"/>
        <w:rPr>
          <w:rFonts w:asciiTheme="minorHAnsi" w:eastAsia="Calibri" w:hAnsiTheme="minorHAnsi" w:cstheme="minorHAnsi"/>
          <w:b/>
          <w:bCs/>
          <w:sz w:val="22"/>
          <w:szCs w:val="22"/>
        </w:rPr>
      </w:pPr>
      <w:r w:rsidRPr="004867EA">
        <w:rPr>
          <w:rFonts w:asciiTheme="minorHAnsi" w:eastAsia="Calibri" w:hAnsiTheme="minorHAnsi" w:cstheme="minorHAnsi"/>
          <w:b/>
          <w:bCs/>
          <w:sz w:val="22"/>
          <w:szCs w:val="22"/>
        </w:rPr>
        <w:t>Products and services driving digital development</w:t>
      </w:r>
    </w:p>
    <w:p w14:paraId="2986ADDF" w14:textId="77777777"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 xml:space="preserve">ITU continued to serve as a trusted global source of ICT statistics and analytics, producing flagship publications such as </w:t>
      </w:r>
      <w:hyperlink r:id="rId29" w:history="1">
        <w:r w:rsidRPr="004867EA">
          <w:rPr>
            <w:rFonts w:asciiTheme="minorHAnsi" w:eastAsia="Calibri" w:hAnsiTheme="minorHAnsi" w:cstheme="minorHAnsi"/>
            <w:color w:val="0563C1"/>
            <w:sz w:val="22"/>
            <w:szCs w:val="22"/>
            <w:u w:val="single"/>
          </w:rPr>
          <w:t>Facts &amp; Figures</w:t>
        </w:r>
      </w:hyperlink>
      <w:r w:rsidRPr="004867EA">
        <w:rPr>
          <w:rFonts w:asciiTheme="minorHAnsi" w:eastAsia="Calibri" w:hAnsiTheme="minorHAnsi" w:cstheme="minorHAnsi"/>
          <w:sz w:val="22"/>
          <w:szCs w:val="22"/>
        </w:rPr>
        <w:t xml:space="preserve"> and the </w:t>
      </w:r>
      <w:hyperlink r:id="rId30" w:history="1">
        <w:r w:rsidRPr="004867EA">
          <w:rPr>
            <w:rFonts w:asciiTheme="minorHAnsi" w:eastAsia="Calibri" w:hAnsiTheme="minorHAnsi" w:cstheme="minorHAnsi"/>
            <w:color w:val="0563C1"/>
            <w:sz w:val="22"/>
            <w:szCs w:val="22"/>
            <w:u w:val="single"/>
          </w:rPr>
          <w:t>Global Connectivity Report</w:t>
        </w:r>
      </w:hyperlink>
      <w:r w:rsidRPr="004867EA">
        <w:rPr>
          <w:rFonts w:asciiTheme="minorHAnsi" w:eastAsia="Calibri" w:hAnsiTheme="minorHAnsi" w:cstheme="minorHAnsi"/>
          <w:sz w:val="22"/>
          <w:szCs w:val="22"/>
        </w:rPr>
        <w:t>. The organization strengthened statistical standards, expanded big data methodologies and reinforced international cooperation through platforms such as the Partnership on Measuring ICT for Development. These activities underpin evidence-based policymaking and enable countries to track progress towards connectivity and digital inclusion goals.</w:t>
      </w:r>
    </w:p>
    <w:p w14:paraId="2EC90DBE" w14:textId="216368A6"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 xml:space="preserve">Capacity development grew significantly during the reporting period. Participation in </w:t>
      </w:r>
      <w:hyperlink r:id="rId31" w:history="1">
        <w:r w:rsidRPr="004867EA">
          <w:rPr>
            <w:rFonts w:asciiTheme="minorHAnsi" w:eastAsia="Calibri" w:hAnsiTheme="minorHAnsi" w:cstheme="minorHAnsi"/>
            <w:color w:val="0563C1"/>
            <w:sz w:val="22"/>
            <w:szCs w:val="22"/>
            <w:u w:val="single"/>
          </w:rPr>
          <w:t>ITU Academy</w:t>
        </w:r>
      </w:hyperlink>
      <w:r w:rsidRPr="004867EA">
        <w:rPr>
          <w:rFonts w:asciiTheme="minorHAnsi" w:eastAsia="Calibri" w:hAnsiTheme="minorHAnsi" w:cstheme="minorHAnsi"/>
          <w:sz w:val="22"/>
          <w:szCs w:val="22"/>
        </w:rPr>
        <w:t xml:space="preserve"> programmes increased from approximately 26</w:t>
      </w:r>
      <w:r w:rsidR="00E86CF6" w:rsidRPr="004867EA">
        <w:rPr>
          <w:rFonts w:asciiTheme="minorHAnsi" w:eastAsia="Calibri" w:hAnsiTheme="minorHAnsi" w:cstheme="minorHAnsi"/>
          <w:sz w:val="22"/>
          <w:szCs w:val="22"/>
        </w:rPr>
        <w:t> </w:t>
      </w:r>
      <w:r w:rsidRPr="004867EA">
        <w:rPr>
          <w:rFonts w:asciiTheme="minorHAnsi" w:eastAsia="Calibri" w:hAnsiTheme="minorHAnsi" w:cstheme="minorHAnsi"/>
          <w:sz w:val="22"/>
          <w:szCs w:val="22"/>
        </w:rPr>
        <w:t>000 learners in 2022 to over 83</w:t>
      </w:r>
      <w:r w:rsidR="00E86CF6" w:rsidRPr="004867EA">
        <w:rPr>
          <w:rFonts w:asciiTheme="minorHAnsi" w:eastAsia="Calibri" w:hAnsiTheme="minorHAnsi" w:cstheme="minorHAnsi"/>
          <w:sz w:val="22"/>
          <w:szCs w:val="22"/>
        </w:rPr>
        <w:t> </w:t>
      </w:r>
      <w:r w:rsidRPr="004867EA">
        <w:rPr>
          <w:rFonts w:asciiTheme="minorHAnsi" w:eastAsia="Calibri" w:hAnsiTheme="minorHAnsi" w:cstheme="minorHAnsi"/>
          <w:sz w:val="22"/>
          <w:szCs w:val="22"/>
        </w:rPr>
        <w:t>000 in 2025, with women accounting for 40 per cent. Around 150 courses were delivered annually, complemented by more than 17</w:t>
      </w:r>
      <w:r w:rsidR="00E86CF6" w:rsidRPr="004867EA">
        <w:rPr>
          <w:rFonts w:asciiTheme="minorHAnsi" w:eastAsia="Calibri" w:hAnsiTheme="minorHAnsi" w:cstheme="minorHAnsi"/>
          <w:sz w:val="22"/>
          <w:szCs w:val="22"/>
        </w:rPr>
        <w:t> </w:t>
      </w:r>
      <w:r w:rsidRPr="004867EA">
        <w:rPr>
          <w:rFonts w:asciiTheme="minorHAnsi" w:eastAsia="Calibri" w:hAnsiTheme="minorHAnsi" w:cstheme="minorHAnsi"/>
          <w:sz w:val="22"/>
          <w:szCs w:val="22"/>
        </w:rPr>
        <w:t>500 certifications since 2023.</w:t>
      </w:r>
    </w:p>
    <w:p w14:paraId="722101AB" w14:textId="4340623C" w:rsidR="0062595A" w:rsidRPr="004867EA" w:rsidRDefault="0062595A" w:rsidP="00E86CF6">
      <w:pPr>
        <w:suppressAutoHyphens/>
        <w:adjustRightInd/>
        <w:spacing w:after="120"/>
        <w:jc w:val="both"/>
        <w:rPr>
          <w:rFonts w:asciiTheme="minorHAnsi" w:eastAsia="MS Mincho" w:hAnsiTheme="minorHAnsi" w:cstheme="minorHAnsi"/>
          <w:sz w:val="22"/>
          <w:szCs w:val="22"/>
        </w:rPr>
      </w:pPr>
      <w:hyperlink r:id="rId32" w:history="1">
        <w:r w:rsidRPr="004867EA">
          <w:rPr>
            <w:rFonts w:asciiTheme="minorHAnsi" w:eastAsia="Calibri" w:hAnsiTheme="minorHAnsi" w:cstheme="minorHAnsi"/>
            <w:color w:val="0563C1"/>
            <w:sz w:val="22"/>
            <w:szCs w:val="22"/>
            <w:u w:val="single"/>
          </w:rPr>
          <w:t>ITU-Cisco Digital Transformation Centres</w:t>
        </w:r>
      </w:hyperlink>
      <w:r w:rsidRPr="004867EA">
        <w:rPr>
          <w:rFonts w:asciiTheme="minorHAnsi" w:eastAsia="Calibri" w:hAnsiTheme="minorHAnsi" w:cstheme="minorHAnsi"/>
          <w:sz w:val="22"/>
          <w:szCs w:val="22"/>
        </w:rPr>
        <w:t xml:space="preserve"> reached over 610</w:t>
      </w:r>
      <w:r w:rsidR="00E86CF6" w:rsidRPr="004867EA">
        <w:rPr>
          <w:rFonts w:asciiTheme="minorHAnsi" w:eastAsia="Calibri" w:hAnsiTheme="minorHAnsi" w:cstheme="minorHAnsi"/>
          <w:sz w:val="22"/>
          <w:szCs w:val="22"/>
        </w:rPr>
        <w:t> </w:t>
      </w:r>
      <w:r w:rsidRPr="004867EA">
        <w:rPr>
          <w:rFonts w:asciiTheme="minorHAnsi" w:eastAsia="Calibri" w:hAnsiTheme="minorHAnsi" w:cstheme="minorHAnsi"/>
          <w:sz w:val="22"/>
          <w:szCs w:val="22"/>
        </w:rPr>
        <w:t xml:space="preserve">000 participants globally, more than half of whom were women, while the </w:t>
      </w:r>
      <w:hyperlink r:id="rId33" w:history="1">
        <w:r w:rsidRPr="004867EA">
          <w:rPr>
            <w:rFonts w:asciiTheme="minorHAnsi" w:eastAsia="Calibri" w:hAnsiTheme="minorHAnsi" w:cstheme="minorHAnsi"/>
            <w:color w:val="0563C1"/>
            <w:sz w:val="22"/>
            <w:szCs w:val="22"/>
            <w:u w:val="single"/>
          </w:rPr>
          <w:t>ITU Digital Skills Forum</w:t>
        </w:r>
      </w:hyperlink>
      <w:r w:rsidRPr="004867EA">
        <w:rPr>
          <w:rFonts w:asciiTheme="minorHAnsi" w:eastAsia="Calibri" w:hAnsiTheme="minorHAnsi" w:cstheme="minorHAnsi"/>
          <w:sz w:val="22"/>
          <w:szCs w:val="22"/>
        </w:rPr>
        <w:t xml:space="preserve"> and the launch of a </w:t>
      </w:r>
      <w:hyperlink r:id="rId34" w:history="1">
        <w:r w:rsidRPr="004867EA">
          <w:rPr>
            <w:rFonts w:asciiTheme="minorHAnsi" w:eastAsia="Calibri" w:hAnsiTheme="minorHAnsi" w:cstheme="minorHAnsi"/>
            <w:color w:val="0563C1"/>
            <w:sz w:val="22"/>
            <w:szCs w:val="22"/>
            <w:u w:val="single"/>
          </w:rPr>
          <w:t>Digital Skills Toolkit</w:t>
        </w:r>
      </w:hyperlink>
      <w:r w:rsidRPr="004867EA">
        <w:rPr>
          <w:rFonts w:asciiTheme="minorHAnsi" w:eastAsia="Calibri" w:hAnsiTheme="minorHAnsi" w:cstheme="minorHAnsi"/>
          <w:sz w:val="22"/>
          <w:szCs w:val="22"/>
        </w:rPr>
        <w:t xml:space="preserve"> further strengthened national capabilities. These initiatives contributed directly to workforce readiness and institutional capacity across developing economies. </w:t>
      </w:r>
    </w:p>
    <w:p w14:paraId="774A008B" w14:textId="77777777"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In 2025 alone, ITU implemented or helped implement 106 projects valued at CHF 79.7 million through its Telecommunication Development Bureau (BDT), including 26 new projects. Most new funding originated from external partners, reflecting growing confidence in ITU’s delivery capacity. All projects were in alignment with the 2023-2025 Kigali Action Plan and addressed national and regional priorities related to connectivity, policy frameworks and digital transformation, amongst others.</w:t>
      </w:r>
    </w:p>
    <w:p w14:paraId="2685182C" w14:textId="77777777" w:rsidR="00E86CF6" w:rsidRPr="004867EA" w:rsidRDefault="0062595A" w:rsidP="00E86CF6">
      <w:pPr>
        <w:suppressAutoHyphens/>
        <w:adjustRightInd/>
        <w:spacing w:after="12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lastRenderedPageBreak/>
        <w:t>ITU helped six East African countries develop e</w:t>
      </w:r>
      <w:r w:rsidRPr="004867EA">
        <w:rPr>
          <w:rFonts w:asciiTheme="minorHAnsi" w:eastAsia="Calibri" w:hAnsiTheme="minorHAnsi" w:cstheme="minorHAnsi"/>
          <w:sz w:val="22"/>
          <w:szCs w:val="22"/>
        </w:rPr>
        <w:noBreakHyphen/>
        <w:t xml:space="preserve">waste regulations and data systems between 2022 and 2025. It also promoted international standards for extended producer responsibility and sustainable public procurement. </w:t>
      </w:r>
    </w:p>
    <w:p w14:paraId="6D03C569" w14:textId="2532BCE3"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Across the same period, ITU delivered emergency telecommunications assistance during major disasters, specifically providing equipment and support in response to Hurricane Julia and Cyclone Freddy</w:t>
      </w:r>
      <w:r w:rsidRPr="004867EA">
        <w:rPr>
          <w:rFonts w:asciiTheme="minorHAnsi" w:eastAsia="Calibri" w:hAnsiTheme="minorHAnsi" w:cstheme="minorHAnsi"/>
          <w:i/>
          <w:iCs/>
          <w:sz w:val="22"/>
          <w:szCs w:val="22"/>
        </w:rPr>
        <w:t>.</w:t>
      </w:r>
    </w:p>
    <w:p w14:paraId="44B94328" w14:textId="77777777" w:rsidR="0062595A" w:rsidRPr="004867EA" w:rsidRDefault="0062595A" w:rsidP="00E86CF6">
      <w:pPr>
        <w:keepNext/>
        <w:keepLines/>
        <w:suppressAutoHyphens/>
        <w:adjustRightInd/>
        <w:spacing w:before="240" w:after="120"/>
        <w:jc w:val="both"/>
        <w:rPr>
          <w:rFonts w:asciiTheme="minorHAnsi" w:eastAsia="Calibri" w:hAnsiTheme="minorHAnsi" w:cstheme="minorHAnsi"/>
          <w:b/>
          <w:bCs/>
          <w:sz w:val="22"/>
          <w:szCs w:val="22"/>
        </w:rPr>
      </w:pPr>
      <w:r w:rsidRPr="004867EA">
        <w:rPr>
          <w:rFonts w:asciiTheme="minorHAnsi" w:eastAsia="Calibri" w:hAnsiTheme="minorHAnsi" w:cstheme="minorHAnsi"/>
          <w:b/>
          <w:bCs/>
          <w:sz w:val="22"/>
          <w:szCs w:val="22"/>
        </w:rPr>
        <w:t>Global platforms and partnerships</w:t>
      </w:r>
    </w:p>
    <w:p w14:paraId="125232AC" w14:textId="77777777" w:rsidR="0062595A" w:rsidRPr="004867EA" w:rsidRDefault="0062595A" w:rsidP="00E86CF6">
      <w:pPr>
        <w:keepNext/>
        <w:keepLines/>
        <w:suppressAutoHyphens/>
        <w:adjustRightInd/>
        <w:spacing w:after="12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 xml:space="preserve">ITU ensured wider engagement and public-private partnerships through multi-stakeholder platforms and initiatives focused on specific issues, challenges and opportunities to build a better global digital future. </w:t>
      </w:r>
    </w:p>
    <w:p w14:paraId="766E9B7D" w14:textId="7709BE1E" w:rsidR="0062595A" w:rsidRPr="004867EA" w:rsidRDefault="0062595A" w:rsidP="00E86CF6">
      <w:pPr>
        <w:suppressAutoHyphens/>
        <w:adjustRightInd/>
        <w:spacing w:after="120"/>
        <w:jc w:val="both"/>
        <w:rPr>
          <w:rFonts w:asciiTheme="minorHAnsi" w:eastAsia="MS Mincho" w:hAnsiTheme="minorHAnsi" w:cstheme="minorBidi"/>
          <w:sz w:val="22"/>
          <w:szCs w:val="22"/>
        </w:rPr>
      </w:pPr>
      <w:r w:rsidRPr="004867EA">
        <w:rPr>
          <w:rFonts w:asciiTheme="minorHAnsi" w:eastAsia="Calibri" w:hAnsiTheme="minorHAnsi" w:cstheme="minorBidi"/>
          <w:sz w:val="22"/>
          <w:szCs w:val="22"/>
        </w:rPr>
        <w:t xml:space="preserve">The </w:t>
      </w:r>
      <w:hyperlink r:id="rId35">
        <w:r w:rsidR="0ACD1BB0" w:rsidRPr="004867EA">
          <w:rPr>
            <w:rFonts w:asciiTheme="minorHAnsi" w:eastAsia="Calibri" w:hAnsiTheme="minorHAnsi" w:cstheme="minorBidi"/>
            <w:color w:val="0563C1"/>
            <w:sz w:val="22"/>
            <w:szCs w:val="22"/>
            <w:u w:val="single"/>
          </w:rPr>
          <w:t xml:space="preserve">World Summit on the Information Society (WSIS) </w:t>
        </w:r>
      </w:hyperlink>
      <w:r w:rsidRPr="004867EA">
        <w:rPr>
          <w:rFonts w:asciiTheme="minorHAnsi" w:eastAsia="Calibri" w:hAnsiTheme="minorHAnsi" w:cstheme="minorBidi"/>
          <w:sz w:val="22"/>
          <w:szCs w:val="22"/>
        </w:rPr>
        <w:t xml:space="preserve">remains the key UN-led digital cooperation mechanism, facilitated by ITU’s annual WSIS Forum and related activities. The WSIS stocktaking database lists </w:t>
      </w:r>
      <w:r w:rsidRPr="004867EA">
        <w:rPr>
          <w:rFonts w:asciiTheme="minorHAnsi" w:eastAsia="Calibri" w:hAnsiTheme="minorHAnsi" w:cstheme="minorBidi"/>
          <w:sz w:val="22"/>
          <w:szCs w:val="22"/>
        </w:rPr>
        <w:t xml:space="preserve">over </w:t>
      </w:r>
      <w:r w:rsidR="00F13A12" w:rsidRPr="004867EA">
        <w:rPr>
          <w:rFonts w:asciiTheme="minorHAnsi" w:eastAsia="Calibri" w:hAnsiTheme="minorHAnsi" w:cstheme="minorBidi"/>
          <w:sz w:val="22"/>
          <w:szCs w:val="22"/>
        </w:rPr>
        <w:t>21</w:t>
      </w:r>
      <w:r w:rsidR="004867EA" w:rsidRPr="004867EA">
        <w:rPr>
          <w:rFonts w:asciiTheme="minorHAnsi" w:eastAsia="Calibri" w:hAnsiTheme="minorHAnsi" w:cstheme="minorBidi"/>
          <w:sz w:val="22"/>
          <w:szCs w:val="22"/>
        </w:rPr>
        <w:t> </w:t>
      </w:r>
      <w:r w:rsidRPr="004867EA">
        <w:rPr>
          <w:rFonts w:asciiTheme="minorHAnsi" w:eastAsia="Calibri" w:hAnsiTheme="minorHAnsi" w:cstheme="minorBidi"/>
          <w:sz w:val="22"/>
          <w:szCs w:val="22"/>
        </w:rPr>
        <w:t>000</w:t>
      </w:r>
      <w:r w:rsidR="00F13A12" w:rsidRPr="004867EA">
        <w:rPr>
          <w:rFonts w:asciiTheme="minorHAnsi" w:eastAsia="Calibri" w:hAnsiTheme="minorHAnsi" w:cstheme="minorBidi"/>
          <w:sz w:val="22"/>
          <w:szCs w:val="22"/>
        </w:rPr>
        <w:t>+</w:t>
      </w:r>
      <w:r w:rsidRPr="004867EA">
        <w:rPr>
          <w:rFonts w:asciiTheme="minorHAnsi" w:eastAsia="Calibri" w:hAnsiTheme="minorHAnsi" w:cstheme="minorBidi"/>
          <w:sz w:val="22"/>
          <w:szCs w:val="22"/>
        </w:rPr>
        <w:t xml:space="preserve"> initiatives involving over 2.2 million stakeholders dedicated to responsible digital development for the good of all. </w:t>
      </w:r>
    </w:p>
    <w:p w14:paraId="0C5014A8" w14:textId="76B0706D" w:rsidR="0062595A" w:rsidRPr="004867EA" w:rsidRDefault="0062595A" w:rsidP="00E86CF6">
      <w:pPr>
        <w:suppressAutoHyphens/>
        <w:adjustRightInd/>
        <w:spacing w:after="120"/>
        <w:jc w:val="both"/>
        <w:rPr>
          <w:rFonts w:asciiTheme="minorHAnsi" w:eastAsia="MS Mincho" w:hAnsiTheme="minorHAnsi" w:cstheme="minorBidi"/>
          <w:sz w:val="22"/>
          <w:szCs w:val="22"/>
        </w:rPr>
      </w:pPr>
      <w:r w:rsidRPr="004867EA">
        <w:rPr>
          <w:rFonts w:asciiTheme="minorHAnsi" w:eastAsia="Calibri" w:hAnsiTheme="minorHAnsi" w:cstheme="minorBidi"/>
          <w:sz w:val="22"/>
          <w:szCs w:val="22"/>
        </w:rPr>
        <w:t xml:space="preserve">The </w:t>
      </w:r>
      <w:hyperlink r:id="rId36">
        <w:r w:rsidR="0ACD1BB0" w:rsidRPr="004867EA">
          <w:rPr>
            <w:rFonts w:asciiTheme="minorHAnsi" w:eastAsia="Calibri" w:hAnsiTheme="minorHAnsi" w:cstheme="minorBidi"/>
            <w:color w:val="0563C1"/>
            <w:sz w:val="22"/>
            <w:szCs w:val="22"/>
            <w:u w:val="single"/>
          </w:rPr>
          <w:t>AI for Good</w:t>
        </w:r>
      </w:hyperlink>
      <w:r w:rsidRPr="004867EA">
        <w:rPr>
          <w:rFonts w:asciiTheme="minorHAnsi" w:eastAsia="Calibri" w:hAnsiTheme="minorHAnsi" w:cstheme="minorBidi"/>
          <w:sz w:val="22"/>
          <w:szCs w:val="22"/>
        </w:rPr>
        <w:t xml:space="preserve"> project continued growing throughout 2022–2025, with its AI</w:t>
      </w:r>
      <w:r w:rsidR="21EEF22C" w:rsidRPr="004867EA">
        <w:rPr>
          <w:rFonts w:asciiTheme="minorHAnsi" w:eastAsia="Calibri" w:hAnsiTheme="minorHAnsi" w:cstheme="minorBidi"/>
          <w:sz w:val="22"/>
          <w:szCs w:val="22"/>
        </w:rPr>
        <w:t>-</w:t>
      </w:r>
      <w:r w:rsidRPr="004867EA">
        <w:rPr>
          <w:rFonts w:asciiTheme="minorHAnsi" w:eastAsia="Calibri" w:hAnsiTheme="minorHAnsi" w:cstheme="minorBidi"/>
          <w:sz w:val="22"/>
          <w:szCs w:val="22"/>
        </w:rPr>
        <w:t>powered Neural Network community surpassing 35</w:t>
      </w:r>
      <w:r w:rsidR="00A53F39" w:rsidRPr="004867EA">
        <w:rPr>
          <w:rFonts w:asciiTheme="minorHAnsi" w:eastAsia="Calibri" w:hAnsiTheme="minorHAnsi" w:cstheme="minorBidi"/>
          <w:sz w:val="22"/>
          <w:szCs w:val="22"/>
        </w:rPr>
        <w:t> </w:t>
      </w:r>
      <w:r w:rsidRPr="004867EA">
        <w:rPr>
          <w:rFonts w:asciiTheme="minorHAnsi" w:eastAsia="Calibri" w:hAnsiTheme="minorHAnsi" w:cstheme="minorBidi"/>
          <w:sz w:val="22"/>
          <w:szCs w:val="22"/>
        </w:rPr>
        <w:t>000 members and extending to more than 137</w:t>
      </w:r>
      <w:r w:rsidR="00A53F39" w:rsidRPr="004867EA">
        <w:rPr>
          <w:rFonts w:asciiTheme="minorHAnsi" w:eastAsia="Calibri" w:hAnsiTheme="minorHAnsi" w:cstheme="minorBidi"/>
          <w:sz w:val="22"/>
          <w:szCs w:val="22"/>
        </w:rPr>
        <w:t> </w:t>
      </w:r>
      <w:r w:rsidRPr="004867EA">
        <w:rPr>
          <w:rFonts w:asciiTheme="minorHAnsi" w:eastAsia="Calibri" w:hAnsiTheme="minorHAnsi" w:cstheme="minorBidi"/>
          <w:sz w:val="22"/>
          <w:szCs w:val="22"/>
        </w:rPr>
        <w:t xml:space="preserve">000 online participants. ITU’s flagship AI for Good Global Summits solidified </w:t>
      </w:r>
      <w:r w:rsidRPr="004867EA">
        <w:rPr>
          <w:rFonts w:asciiTheme="minorHAnsi" w:eastAsia="Calibri" w:hAnsiTheme="minorHAnsi" w:cstheme="minorBidi"/>
          <w:sz w:val="22"/>
          <w:szCs w:val="22"/>
        </w:rPr>
        <w:t>their role as the UN system’s primary venue for showcasing cutting</w:t>
      </w:r>
      <w:r w:rsidR="708C020F" w:rsidRPr="004867EA">
        <w:rPr>
          <w:rFonts w:asciiTheme="minorHAnsi" w:eastAsia="Calibri" w:hAnsiTheme="minorHAnsi" w:cstheme="minorBidi"/>
          <w:sz w:val="22"/>
          <w:szCs w:val="22"/>
        </w:rPr>
        <w:t xml:space="preserve"> </w:t>
      </w:r>
      <w:r w:rsidRPr="004867EA">
        <w:rPr>
          <w:rFonts w:asciiTheme="minorHAnsi" w:eastAsia="Calibri" w:hAnsiTheme="minorHAnsi" w:cstheme="minorBidi"/>
          <w:sz w:val="22"/>
          <w:szCs w:val="22"/>
        </w:rPr>
        <w:t>edge AI solutions, with the 2025 edition (held in parallel with the WSIS+20 High-Level Event) drawing about 11</w:t>
      </w:r>
      <w:r w:rsidR="00A53F39" w:rsidRPr="004867EA">
        <w:rPr>
          <w:rFonts w:asciiTheme="minorHAnsi" w:eastAsia="Calibri" w:hAnsiTheme="minorHAnsi" w:cstheme="minorBidi"/>
          <w:sz w:val="22"/>
          <w:szCs w:val="22"/>
        </w:rPr>
        <w:t> </w:t>
      </w:r>
      <w:r w:rsidRPr="004867EA">
        <w:rPr>
          <w:rFonts w:asciiTheme="minorHAnsi" w:eastAsia="Calibri" w:hAnsiTheme="minorHAnsi" w:cstheme="minorBidi"/>
          <w:sz w:val="22"/>
          <w:szCs w:val="22"/>
        </w:rPr>
        <w:t xml:space="preserve">000 on-site visitors to Geneva’s biggest conference venue. </w:t>
      </w:r>
    </w:p>
    <w:p w14:paraId="77352973" w14:textId="77777777" w:rsidR="0062595A" w:rsidRPr="004867EA" w:rsidRDefault="0062595A" w:rsidP="00E86CF6">
      <w:pPr>
        <w:suppressAutoHyphens/>
        <w:adjustRightInd/>
        <w:spacing w:after="120"/>
        <w:jc w:val="both"/>
        <w:rPr>
          <w:rFonts w:asciiTheme="minorHAnsi" w:eastAsia="Calibri" w:hAnsiTheme="minorHAnsi" w:cstheme="minorHAnsi"/>
          <w:sz w:val="22"/>
          <w:szCs w:val="22"/>
        </w:rPr>
      </w:pPr>
      <w:r w:rsidRPr="004867EA">
        <w:rPr>
          <w:rFonts w:asciiTheme="minorHAnsi" w:eastAsia="Calibri" w:hAnsiTheme="minorHAnsi" w:cstheme="minorHAnsi"/>
          <w:sz w:val="22"/>
          <w:szCs w:val="22"/>
        </w:rPr>
        <w:t xml:space="preserve">Building on this momentum, ITU introduced new AI for Good initiatives, such as the AI Skills Coalition and regional AI for Good Impact accelerators. The 2024 and 2025 global summit editions featured dedicated AI Governance Days, with high-level sessions exploring the shift from principles to practice as different markets and societies aim to scale up ethical, responsible AI. </w:t>
      </w:r>
    </w:p>
    <w:p w14:paraId="4D84185D" w14:textId="64255557" w:rsidR="0062595A" w:rsidRPr="004867EA" w:rsidRDefault="0ACD1BB0" w:rsidP="00E86CF6">
      <w:pPr>
        <w:suppressAutoHyphens/>
        <w:adjustRightInd/>
        <w:spacing w:after="120"/>
        <w:jc w:val="both"/>
        <w:rPr>
          <w:rFonts w:asciiTheme="minorHAnsi" w:eastAsia="MS Mincho" w:hAnsiTheme="minorHAnsi" w:cstheme="minorBidi"/>
          <w:sz w:val="22"/>
          <w:szCs w:val="22"/>
        </w:rPr>
      </w:pPr>
      <w:hyperlink r:id="rId37">
        <w:r w:rsidRPr="004867EA">
          <w:rPr>
            <w:rFonts w:asciiTheme="minorHAnsi" w:eastAsia="Calibri" w:hAnsiTheme="minorHAnsi" w:cstheme="minorBidi"/>
            <w:color w:val="0563C1"/>
            <w:sz w:val="22"/>
            <w:szCs w:val="22"/>
            <w:u w:val="single"/>
          </w:rPr>
          <w:t>World Standards Cooperation</w:t>
        </w:r>
      </w:hyperlink>
      <w:r w:rsidR="0062595A" w:rsidRPr="004867EA">
        <w:rPr>
          <w:rFonts w:asciiTheme="minorHAnsi" w:eastAsia="Calibri" w:hAnsiTheme="minorHAnsi" w:cstheme="minorBidi"/>
          <w:sz w:val="22"/>
          <w:szCs w:val="22"/>
        </w:rPr>
        <w:t xml:space="preserve"> partners – ITU together with the International Organization for Standardization (ISO) and the International Electrotechnical Commission (IEC) announced the new International AI Standards Summit during WTSA-24 in New Delhi, unveiled the comprehensive AI Standards Exchange database at the AI for Good summit in 2025, and committed firmly to cooperation on responsible AI through their joint Seoul Statement in December 2025</w:t>
      </w:r>
      <w:r w:rsidR="465E7C50" w:rsidRPr="004867EA">
        <w:rPr>
          <w:rFonts w:asciiTheme="minorHAnsi" w:eastAsia="Calibri" w:hAnsiTheme="minorHAnsi" w:cstheme="minorBidi"/>
          <w:sz w:val="22"/>
          <w:szCs w:val="22"/>
        </w:rPr>
        <w:t xml:space="preserve"> issued at the second International AI Standards Summit</w:t>
      </w:r>
      <w:r w:rsidR="0062595A" w:rsidRPr="004867EA">
        <w:rPr>
          <w:rFonts w:asciiTheme="minorHAnsi" w:eastAsia="Calibri" w:hAnsiTheme="minorHAnsi" w:cstheme="minorBidi"/>
          <w:sz w:val="22"/>
          <w:szCs w:val="22"/>
        </w:rPr>
        <w:t>.</w:t>
      </w:r>
    </w:p>
    <w:p w14:paraId="5FA77DBA" w14:textId="5A834F9A" w:rsidR="0062595A" w:rsidRPr="004867EA" w:rsidRDefault="0062595A" w:rsidP="00E86CF6">
      <w:pPr>
        <w:suppressAutoHyphens/>
        <w:adjustRightInd/>
        <w:spacing w:after="120"/>
        <w:jc w:val="both"/>
        <w:rPr>
          <w:rFonts w:asciiTheme="minorHAnsi" w:eastAsia="MS Mincho" w:hAnsiTheme="minorHAnsi" w:cstheme="minorHAnsi"/>
          <w:sz w:val="22"/>
          <w:szCs w:val="22"/>
        </w:rPr>
      </w:pPr>
      <w:r w:rsidRPr="004867EA">
        <w:rPr>
          <w:rFonts w:asciiTheme="minorHAnsi" w:eastAsia="Calibri" w:hAnsiTheme="minorHAnsi" w:cstheme="minorHAnsi"/>
          <w:sz w:val="22"/>
          <w:szCs w:val="22"/>
        </w:rPr>
        <w:t xml:space="preserve">Flagship partnerships continued to mobilize resources and action. </w:t>
      </w:r>
      <w:hyperlink r:id="rId38" w:history="1">
        <w:r w:rsidRPr="004867EA">
          <w:rPr>
            <w:rFonts w:asciiTheme="minorHAnsi" w:eastAsia="Calibri" w:hAnsiTheme="minorHAnsi" w:cstheme="minorHAnsi"/>
            <w:color w:val="0563C1"/>
            <w:sz w:val="22"/>
            <w:szCs w:val="22"/>
            <w:u w:val="single"/>
          </w:rPr>
          <w:t>Partner2Connect</w:t>
        </w:r>
      </w:hyperlink>
      <w:r w:rsidRPr="004867EA">
        <w:rPr>
          <w:rFonts w:asciiTheme="minorHAnsi" w:eastAsia="Calibri" w:hAnsiTheme="minorHAnsi" w:cstheme="minorHAnsi"/>
          <w:sz w:val="22"/>
          <w:szCs w:val="22"/>
        </w:rPr>
        <w:t xml:space="preserve"> secured over 1</w:t>
      </w:r>
      <w:r w:rsidR="007F7DDF" w:rsidRPr="004867EA">
        <w:rPr>
          <w:rFonts w:asciiTheme="minorHAnsi" w:eastAsia="Calibri" w:hAnsiTheme="minorHAnsi" w:cstheme="minorHAnsi"/>
          <w:sz w:val="22"/>
          <w:szCs w:val="22"/>
        </w:rPr>
        <w:t> </w:t>
      </w:r>
      <w:r w:rsidRPr="004867EA">
        <w:rPr>
          <w:rFonts w:asciiTheme="minorHAnsi" w:eastAsia="Calibri" w:hAnsiTheme="minorHAnsi" w:cstheme="minorHAnsi"/>
          <w:sz w:val="22"/>
          <w:szCs w:val="22"/>
        </w:rPr>
        <w:t xml:space="preserve">060 pledges worth more than USD 80 billion towards its USD 100 billion target for 2026. </w:t>
      </w:r>
      <w:hyperlink r:id="rId39" w:history="1">
        <w:r w:rsidRPr="004867EA">
          <w:rPr>
            <w:rFonts w:asciiTheme="minorHAnsi" w:eastAsia="Calibri" w:hAnsiTheme="minorHAnsi" w:cstheme="minorHAnsi"/>
            <w:color w:val="0563C1"/>
            <w:sz w:val="22"/>
            <w:szCs w:val="22"/>
            <w:u w:val="single"/>
          </w:rPr>
          <w:t>Giga</w:t>
        </w:r>
      </w:hyperlink>
      <w:r w:rsidRPr="004867EA">
        <w:rPr>
          <w:rFonts w:asciiTheme="minorHAnsi" w:eastAsia="Calibri" w:hAnsiTheme="minorHAnsi" w:cstheme="minorHAnsi"/>
          <w:sz w:val="22"/>
          <w:szCs w:val="22"/>
        </w:rPr>
        <w:t xml:space="preserve"> mapped over 2</w:t>
      </w:r>
      <w:r w:rsidR="004867EA" w:rsidRPr="004867EA">
        <w:rPr>
          <w:rFonts w:asciiTheme="minorHAnsi" w:eastAsia="Calibri" w:hAnsiTheme="minorHAnsi" w:cstheme="minorHAnsi"/>
          <w:sz w:val="22"/>
          <w:szCs w:val="22"/>
        </w:rPr>
        <w:t> </w:t>
      </w:r>
      <w:r w:rsidRPr="004867EA">
        <w:rPr>
          <w:rFonts w:asciiTheme="minorHAnsi" w:eastAsia="Calibri" w:hAnsiTheme="minorHAnsi" w:cstheme="minorHAnsi"/>
          <w:sz w:val="22"/>
          <w:szCs w:val="22"/>
        </w:rPr>
        <w:t xml:space="preserve">million schools across 140 countries to support universal school connectivity. The </w:t>
      </w:r>
      <w:hyperlink r:id="rId40" w:history="1">
        <w:r w:rsidRPr="004867EA">
          <w:rPr>
            <w:rFonts w:asciiTheme="minorHAnsi" w:eastAsia="Calibri" w:hAnsiTheme="minorHAnsi" w:cstheme="minorHAnsi"/>
            <w:color w:val="0563C1"/>
            <w:sz w:val="22"/>
            <w:szCs w:val="22"/>
            <w:u w:val="single"/>
          </w:rPr>
          <w:t>Broadband Commission</w:t>
        </w:r>
      </w:hyperlink>
      <w:r w:rsidRPr="004867EA">
        <w:rPr>
          <w:rFonts w:asciiTheme="minorHAnsi" w:eastAsia="Calibri" w:hAnsiTheme="minorHAnsi" w:cstheme="minorHAnsi"/>
          <w:sz w:val="22"/>
          <w:szCs w:val="22"/>
        </w:rPr>
        <w:t xml:space="preserve"> expanded its reach, while the </w:t>
      </w:r>
      <w:hyperlink r:id="rId41" w:history="1">
        <w:r w:rsidRPr="004867EA">
          <w:rPr>
            <w:rFonts w:asciiTheme="minorHAnsi" w:eastAsia="Calibri" w:hAnsiTheme="minorHAnsi" w:cstheme="minorHAnsi"/>
            <w:color w:val="0563C1"/>
            <w:sz w:val="22"/>
            <w:szCs w:val="22"/>
            <w:u w:val="single"/>
          </w:rPr>
          <w:t>EQUALS Global Partnership</w:t>
        </w:r>
      </w:hyperlink>
      <w:r w:rsidRPr="004867EA">
        <w:rPr>
          <w:rFonts w:asciiTheme="minorHAnsi" w:eastAsia="Calibri" w:hAnsiTheme="minorHAnsi" w:cstheme="minorHAnsi"/>
          <w:sz w:val="22"/>
          <w:szCs w:val="22"/>
        </w:rPr>
        <w:t xml:space="preserve"> advanced equality for women through digital skills and empowerment initiatives.</w:t>
      </w:r>
    </w:p>
    <w:p w14:paraId="378F2F86" w14:textId="7022FA99" w:rsidR="0062595A" w:rsidRPr="004867EA" w:rsidRDefault="0062595A" w:rsidP="00E86CF6">
      <w:pPr>
        <w:suppressAutoHyphens/>
        <w:adjustRightInd/>
        <w:spacing w:after="120"/>
        <w:jc w:val="both"/>
        <w:rPr>
          <w:rFonts w:asciiTheme="minorHAnsi" w:eastAsia="MS Mincho" w:hAnsiTheme="minorHAnsi" w:cstheme="minorBidi"/>
          <w:sz w:val="22"/>
          <w:szCs w:val="22"/>
        </w:rPr>
      </w:pPr>
      <w:r w:rsidRPr="004867EA">
        <w:rPr>
          <w:rFonts w:asciiTheme="minorHAnsi" w:eastAsia="Calibri" w:hAnsiTheme="minorHAnsi" w:cstheme="minorBidi"/>
          <w:sz w:val="22"/>
          <w:szCs w:val="22"/>
        </w:rPr>
        <w:t xml:space="preserve">ITU mobilized partners for the </w:t>
      </w:r>
      <w:hyperlink r:id="rId42">
        <w:r w:rsidR="0ACD1BB0" w:rsidRPr="004867EA">
          <w:rPr>
            <w:rFonts w:asciiTheme="minorHAnsi" w:eastAsia="Calibri" w:hAnsiTheme="minorHAnsi" w:cstheme="minorBidi"/>
            <w:color w:val="0563C1"/>
            <w:sz w:val="22"/>
            <w:szCs w:val="22"/>
            <w:u w:val="single"/>
          </w:rPr>
          <w:t>Green Digital Action</w:t>
        </w:r>
      </w:hyperlink>
      <w:r w:rsidRPr="004867EA">
        <w:rPr>
          <w:rFonts w:asciiTheme="minorHAnsi" w:eastAsia="Calibri" w:hAnsiTheme="minorHAnsi" w:cstheme="minorBidi"/>
          <w:sz w:val="22"/>
          <w:szCs w:val="22"/>
        </w:rPr>
        <w:t xml:space="preserve"> (See Section </w:t>
      </w:r>
      <w:hyperlink w:anchor="Section_5_5" w:history="1">
        <w:r w:rsidRPr="004867EA">
          <w:rPr>
            <w:rStyle w:val="Hyperlink"/>
            <w:rFonts w:asciiTheme="minorHAnsi" w:eastAsia="Calibri" w:hAnsiTheme="minorHAnsi" w:cstheme="minorBidi"/>
            <w:color w:val="0563C1"/>
            <w:sz w:val="22"/>
            <w:szCs w:val="22"/>
          </w:rPr>
          <w:t>5.5</w:t>
        </w:r>
      </w:hyperlink>
      <w:r w:rsidRPr="004867EA">
        <w:rPr>
          <w:rFonts w:asciiTheme="minorHAnsi" w:eastAsia="Calibri" w:hAnsiTheme="minorHAnsi" w:cstheme="minorBidi"/>
          <w:sz w:val="22"/>
          <w:szCs w:val="22"/>
        </w:rPr>
        <w:t xml:space="preserve">) track at successive UN climate change conferences, starting at COP28 in Dubai in 2023. The new Green Digital Action Hub launched at COP30 in Brazil aims to support in-depth analysis of environmental impacts and help developing countries leverage technologies such as AI for climate action. Other analytical work by ITU and partners highlights trends in </w:t>
      </w:r>
      <w:r w:rsidRPr="004867EA">
        <w:rPr>
          <w:rFonts w:asciiTheme="minorHAnsi" w:eastAsia="Calibri" w:hAnsiTheme="minorHAnsi" w:cstheme="minorBidi"/>
          <w:sz w:val="22"/>
          <w:szCs w:val="22"/>
        </w:rPr>
        <w:t>greenhouse gas emissions by major digital companies, strengthening the evidence base for effective decarbonization across the industry.</w:t>
      </w:r>
    </w:p>
    <w:p w14:paraId="01ED4486" w14:textId="31425ECC" w:rsidR="0090702E" w:rsidRPr="004867EA" w:rsidRDefault="71A30972" w:rsidP="6F546B6A">
      <w:pPr>
        <w:spacing w:after="120" w:line="259" w:lineRule="auto"/>
        <w:jc w:val="both"/>
        <w:rPr>
          <w:rFonts w:asciiTheme="minorHAnsi" w:eastAsia="MS Mincho" w:hAnsiTheme="minorHAnsi" w:cstheme="minorHAnsi"/>
          <w:sz w:val="22"/>
          <w:szCs w:val="22"/>
        </w:rPr>
      </w:pPr>
      <w:r w:rsidRPr="004867EA">
        <w:rPr>
          <w:rFonts w:asciiTheme="minorHAnsi" w:eastAsia="MS Mincho" w:hAnsiTheme="minorHAnsi" w:cstheme="minorBidi"/>
          <w:sz w:val="22"/>
          <w:szCs w:val="22"/>
        </w:rPr>
        <w:t xml:space="preserve">the </w:t>
      </w:r>
      <w:r w:rsidR="2B86347E" w:rsidRPr="004867EA">
        <w:rPr>
          <w:rFonts w:asciiTheme="minorHAnsi" w:eastAsia="MS Mincho" w:hAnsiTheme="minorHAnsi" w:cstheme="minorBidi"/>
          <w:sz w:val="22"/>
          <w:szCs w:val="22"/>
        </w:rPr>
        <w:t>International Advisory Body on Submarine Cable Resilience</w:t>
      </w:r>
      <w:r w:rsidR="41EE3CEA" w:rsidRPr="004867EA">
        <w:rPr>
          <w:rFonts w:asciiTheme="minorHAnsi" w:eastAsia="MS Mincho" w:hAnsiTheme="minorHAnsi" w:cstheme="minorBidi"/>
          <w:sz w:val="22"/>
          <w:szCs w:val="22"/>
        </w:rPr>
        <w:t xml:space="preserve"> </w:t>
      </w:r>
      <w:r w:rsidR="01F877ED" w:rsidRPr="004867EA">
        <w:rPr>
          <w:rFonts w:asciiTheme="minorHAnsi" w:eastAsia="MS Mincho" w:hAnsiTheme="minorHAnsi" w:cstheme="minorBidi"/>
          <w:sz w:val="22"/>
          <w:szCs w:val="22"/>
        </w:rPr>
        <w:t xml:space="preserve">was </w:t>
      </w:r>
      <w:r w:rsidR="6837F0C9" w:rsidRPr="004867EA">
        <w:rPr>
          <w:rFonts w:asciiTheme="minorHAnsi" w:eastAsia="MS Mincho" w:hAnsiTheme="minorHAnsi" w:cstheme="minorBidi"/>
          <w:sz w:val="22"/>
          <w:szCs w:val="22"/>
        </w:rPr>
        <w:t xml:space="preserve">formed in 2024 with the International Cable Protection Committee </w:t>
      </w:r>
      <w:r w:rsidR="41EE3CEA" w:rsidRPr="004867EA">
        <w:rPr>
          <w:rFonts w:asciiTheme="minorHAnsi" w:eastAsia="MS Mincho" w:hAnsiTheme="minorHAnsi" w:cstheme="minorBidi"/>
          <w:sz w:val="22"/>
          <w:szCs w:val="22"/>
        </w:rPr>
        <w:t xml:space="preserve">to </w:t>
      </w:r>
      <w:r w:rsidR="33479D69" w:rsidRPr="004867EA">
        <w:rPr>
          <w:rFonts w:asciiTheme="minorHAnsi" w:eastAsia="MS Mincho" w:hAnsiTheme="minorHAnsi" w:cstheme="minorBidi"/>
          <w:sz w:val="22"/>
          <w:szCs w:val="22"/>
        </w:rPr>
        <w:t xml:space="preserve">share and promote best practices among governments and industry players </w:t>
      </w:r>
      <w:r w:rsidR="79D5F747" w:rsidRPr="004867EA">
        <w:rPr>
          <w:rFonts w:asciiTheme="minorHAnsi" w:eastAsia="MS Mincho" w:hAnsiTheme="minorHAnsi" w:cstheme="minorBidi"/>
          <w:sz w:val="22"/>
          <w:szCs w:val="22"/>
        </w:rPr>
        <w:t>to enhance cable resilience worldwide.</w:t>
      </w:r>
      <w:r w:rsidR="2DEF0792" w:rsidRPr="004867EA">
        <w:rPr>
          <w:rFonts w:asciiTheme="minorHAnsi" w:eastAsia="MS Mincho" w:hAnsiTheme="minorHAnsi" w:cstheme="minorBidi"/>
          <w:sz w:val="22"/>
          <w:szCs w:val="22"/>
        </w:rPr>
        <w:t xml:space="preserve"> </w:t>
      </w:r>
      <w:r w:rsidR="41EE3CEA" w:rsidRPr="004867EA">
        <w:rPr>
          <w:rFonts w:asciiTheme="minorHAnsi" w:eastAsia="MS Mincho" w:hAnsiTheme="minorHAnsi" w:cstheme="minorBidi"/>
          <w:sz w:val="22"/>
          <w:szCs w:val="22"/>
        </w:rPr>
        <w:t xml:space="preserve"> At the 2025 </w:t>
      </w:r>
      <w:hyperlink r:id="rId43" w:history="1"/>
      <w:r w:rsidR="2B86347E" w:rsidRPr="004867EA">
        <w:rPr>
          <w:rFonts w:asciiTheme="minorHAnsi" w:eastAsia="MS Mincho" w:hAnsiTheme="minorHAnsi" w:cstheme="minorBidi"/>
          <w:sz w:val="22"/>
          <w:szCs w:val="22"/>
        </w:rPr>
        <w:t>Abuja Summit</w:t>
      </w:r>
      <w:r w:rsidR="41EE3CEA" w:rsidRPr="6F546B6A">
        <w:rPr>
          <w:rFonts w:asciiTheme="minorHAnsi" w:eastAsia="MS Mincho" w:hAnsiTheme="minorHAnsi" w:cstheme="minorBidi"/>
          <w:sz w:val="22"/>
          <w:szCs w:val="22"/>
        </w:rPr>
        <w:t xml:space="preserve">, three Working Groups were launched to address risk management, connectivity and route diversity, and the timely </w:t>
      </w:r>
      <w:r w:rsidR="41EE3CEA" w:rsidRPr="004867EA">
        <w:rPr>
          <w:rFonts w:asciiTheme="minorHAnsi" w:eastAsia="MS Mincho" w:hAnsiTheme="minorHAnsi" w:cstheme="minorHAnsi"/>
          <w:sz w:val="22"/>
          <w:szCs w:val="22"/>
        </w:rPr>
        <w:t>deployment and repair of cables.</w:t>
      </w:r>
    </w:p>
    <w:p w14:paraId="066A67EE" w14:textId="1B98FCA6" w:rsidR="0090702E" w:rsidRPr="004867EA" w:rsidRDefault="41EE3CEA" w:rsidP="0090702E">
      <w:pPr>
        <w:spacing w:after="120"/>
        <w:jc w:val="both"/>
        <w:rPr>
          <w:rFonts w:asciiTheme="minorHAnsi" w:eastAsia="MS Mincho" w:hAnsiTheme="minorHAnsi" w:cstheme="minorHAnsi"/>
          <w:sz w:val="22"/>
          <w:szCs w:val="22"/>
        </w:rPr>
      </w:pPr>
      <w:r w:rsidRPr="004867EA">
        <w:rPr>
          <w:rFonts w:asciiTheme="minorHAnsi" w:eastAsia="MS Mincho" w:hAnsiTheme="minorHAnsi" w:cstheme="minorHAnsi"/>
          <w:sz w:val="22"/>
          <w:szCs w:val="22"/>
        </w:rPr>
        <w:lastRenderedPageBreak/>
        <w:t xml:space="preserve">At the Second Submarine Cable Resilience Summit, held on 2–3 February </w:t>
      </w:r>
      <w:hyperlink r:id="rId44" w:history="1">
        <w:r w:rsidRPr="004867EA">
          <w:rPr>
            <w:rStyle w:val="Hyperlink"/>
            <w:rFonts w:asciiTheme="minorHAnsi" w:eastAsia="MS Mincho" w:hAnsiTheme="minorHAnsi" w:cstheme="minorHAnsi"/>
            <w:sz w:val="22"/>
            <w:szCs w:val="22"/>
          </w:rPr>
          <w:t>2026 in Porto</w:t>
        </w:r>
      </w:hyperlink>
      <w:r w:rsidRPr="004867EA">
        <w:rPr>
          <w:rFonts w:asciiTheme="minorHAnsi" w:eastAsia="MS Mincho" w:hAnsiTheme="minorHAnsi" w:cstheme="minorHAnsi"/>
          <w:sz w:val="22"/>
          <w:szCs w:val="22"/>
        </w:rPr>
        <w:t>, Portugal, the Advisory Body approved the Working Group Recommendations and endorsed the Porto Declaration, reinforcing international efforts to strengthen submarine cable infrastructure.</w:t>
      </w:r>
    </w:p>
    <w:p w14:paraId="4A7E5841" w14:textId="08AA368E" w:rsidR="0090702E" w:rsidRDefault="1E66C993" w:rsidP="004867EA">
      <w:pPr>
        <w:spacing w:before="0" w:after="160" w:line="276" w:lineRule="auto"/>
        <w:jc w:val="both"/>
        <w:rPr>
          <w:rFonts w:ascii="Aptos" w:eastAsia="Aptos" w:hAnsi="Aptos" w:cs="Aptos"/>
        </w:rPr>
      </w:pPr>
      <w:r w:rsidRPr="004867EA">
        <w:rPr>
          <w:rFonts w:asciiTheme="minorHAnsi" w:eastAsia="Aptos" w:hAnsiTheme="minorHAnsi" w:cstheme="minorHAnsi"/>
          <w:sz w:val="22"/>
          <w:szCs w:val="22"/>
        </w:rPr>
        <w:t>The Digital Infrastructure Investment Initiative (DIII), led by ITU with multilateral development banks (MDBs), has estimated that connecting everyone meaningfully would cost USD 1.6 trillion by 2030 for physical infrastructure alone. The Connecting Humanity Action Blueprint (2025) produced in partnership with the Kingdom of Saudi Arabia estimates the total cost at USD 2.6–2.8 trillion when demand, skills, affordability and policy are included. DII Catalyser, a joint ITU-UNCTAD initiative with MDBs</w:t>
      </w:r>
      <w:r w:rsidR="48B82A90" w:rsidRPr="004867EA">
        <w:rPr>
          <w:rFonts w:asciiTheme="minorHAnsi" w:eastAsia="Aptos" w:hAnsiTheme="minorHAnsi" w:cstheme="minorHAnsi"/>
          <w:sz w:val="22"/>
          <w:szCs w:val="22"/>
        </w:rPr>
        <w:t>,</w:t>
      </w:r>
      <w:r w:rsidRPr="004867EA">
        <w:rPr>
          <w:rFonts w:asciiTheme="minorHAnsi" w:eastAsia="Aptos" w:hAnsiTheme="minorHAnsi" w:cstheme="minorHAnsi"/>
          <w:sz w:val="22"/>
          <w:szCs w:val="22"/>
        </w:rPr>
        <w:t xml:space="preserve"> is mobilizing partners to accelerate bankable digital infrastructure investment globally.</w:t>
      </w:r>
    </w:p>
    <w:p w14:paraId="0B1EF130" w14:textId="77777777" w:rsidR="0062595A" w:rsidRPr="00E86CF6" w:rsidRDefault="0062595A" w:rsidP="00E86CF6">
      <w:pPr>
        <w:suppressAutoHyphens/>
        <w:adjustRightInd/>
        <w:spacing w:before="240" w:after="120"/>
        <w:jc w:val="both"/>
        <w:rPr>
          <w:rFonts w:asciiTheme="minorHAnsi" w:eastAsia="Calibri" w:hAnsiTheme="minorHAnsi" w:cstheme="minorHAnsi"/>
          <w:b/>
          <w:bCs/>
          <w:sz w:val="22"/>
          <w:szCs w:val="22"/>
        </w:rPr>
      </w:pPr>
      <w:r w:rsidRPr="00E86CF6">
        <w:rPr>
          <w:rFonts w:asciiTheme="minorHAnsi" w:eastAsia="Calibri" w:hAnsiTheme="minorHAnsi" w:cstheme="minorHAnsi"/>
          <w:b/>
          <w:bCs/>
          <w:sz w:val="22"/>
          <w:szCs w:val="22"/>
        </w:rPr>
        <w:t>Preparing for the future</w:t>
      </w:r>
    </w:p>
    <w:p w14:paraId="67D9D3C4" w14:textId="28EBD18B" w:rsidR="0062595A" w:rsidRPr="00E86CF6" w:rsidRDefault="0062595A" w:rsidP="181B6A0C">
      <w:pPr>
        <w:suppressAutoHyphens/>
        <w:adjustRightInd/>
        <w:spacing w:after="120"/>
        <w:jc w:val="both"/>
        <w:rPr>
          <w:rFonts w:asciiTheme="minorHAnsi" w:eastAsia="Calibri" w:hAnsiTheme="minorHAnsi" w:cstheme="minorBidi"/>
          <w:sz w:val="22"/>
          <w:szCs w:val="22"/>
        </w:rPr>
      </w:pPr>
      <w:r w:rsidRPr="181B6A0C">
        <w:rPr>
          <w:rFonts w:asciiTheme="minorHAnsi" w:eastAsia="Calibri" w:hAnsiTheme="minorHAnsi" w:cstheme="minorBidi"/>
          <w:sz w:val="22"/>
          <w:szCs w:val="22"/>
        </w:rPr>
        <w:t xml:space="preserve">Since 2023, ITU has undertaken a comprehensive internal transformation to strengthen institutional governance, accountability and operational effectiveness. </w:t>
      </w:r>
    </w:p>
    <w:p w14:paraId="710E1F7E" w14:textId="076CBB58" w:rsidR="0062595A" w:rsidRPr="00E86CF6" w:rsidRDefault="584674BC" w:rsidP="181B6A0C">
      <w:pPr>
        <w:suppressAutoHyphens/>
        <w:adjustRightInd/>
        <w:spacing w:after="120"/>
        <w:jc w:val="both"/>
        <w:rPr>
          <w:rFonts w:asciiTheme="minorHAnsi" w:eastAsia="Calibri" w:hAnsiTheme="minorHAnsi" w:cstheme="minorBidi"/>
          <w:sz w:val="22"/>
          <w:szCs w:val="22"/>
        </w:rPr>
      </w:pPr>
      <w:r w:rsidRPr="181B6A0C">
        <w:rPr>
          <w:rFonts w:asciiTheme="minorHAnsi" w:eastAsia="Calibri" w:hAnsiTheme="minorHAnsi" w:cstheme="minorBidi"/>
          <w:sz w:val="22"/>
          <w:szCs w:val="22"/>
        </w:rPr>
        <w:t>Financial turnaround included transforming persistent budgetary deficits into consistent surpluses, fixing the financial management and bringing back on track th</w:t>
      </w:r>
      <w:r w:rsidR="73C9E9B2" w:rsidRPr="181B6A0C">
        <w:rPr>
          <w:rFonts w:asciiTheme="minorHAnsi" w:eastAsia="Calibri" w:hAnsiTheme="minorHAnsi" w:cstheme="minorBidi"/>
          <w:sz w:val="22"/>
          <w:szCs w:val="22"/>
        </w:rPr>
        <w:t xml:space="preserve">e external audit process, </w:t>
      </w:r>
      <w:r w:rsidR="6C8F5F7A" w:rsidRPr="181B6A0C">
        <w:rPr>
          <w:rFonts w:asciiTheme="minorHAnsi" w:eastAsia="Calibri" w:hAnsiTheme="minorHAnsi" w:cstheme="minorBidi"/>
          <w:sz w:val="22"/>
          <w:szCs w:val="22"/>
        </w:rPr>
        <w:t xml:space="preserve">as well as </w:t>
      </w:r>
      <w:r w:rsidR="73C9E9B2" w:rsidRPr="181B6A0C">
        <w:rPr>
          <w:rFonts w:asciiTheme="minorHAnsi" w:eastAsia="Calibri" w:hAnsiTheme="minorHAnsi" w:cstheme="minorBidi"/>
          <w:sz w:val="22"/>
          <w:szCs w:val="22"/>
        </w:rPr>
        <w:t xml:space="preserve">redesigning the new headquarters building project to ensure that it fits into the budget envelope while meeting </w:t>
      </w:r>
      <w:r w:rsidR="6673B736" w:rsidRPr="3697400E">
        <w:rPr>
          <w:rFonts w:asciiTheme="minorHAnsi" w:eastAsia="Calibri" w:hAnsiTheme="minorHAnsi" w:cstheme="minorBidi"/>
          <w:sz w:val="22"/>
          <w:szCs w:val="22"/>
        </w:rPr>
        <w:t>ITU's</w:t>
      </w:r>
      <w:r w:rsidR="73C9E9B2" w:rsidRPr="181B6A0C">
        <w:rPr>
          <w:rFonts w:asciiTheme="minorHAnsi" w:eastAsia="Calibri" w:hAnsiTheme="minorHAnsi" w:cstheme="minorBidi"/>
          <w:sz w:val="22"/>
          <w:szCs w:val="22"/>
        </w:rPr>
        <w:t xml:space="preserve"> future needs.</w:t>
      </w:r>
    </w:p>
    <w:p w14:paraId="3D17792F" w14:textId="49A371E1" w:rsidR="0062595A" w:rsidRPr="00E86CF6" w:rsidRDefault="0062595A" w:rsidP="00E86CF6">
      <w:pPr>
        <w:suppressAutoHyphens/>
        <w:adjustRightInd/>
        <w:spacing w:after="120"/>
        <w:jc w:val="both"/>
        <w:rPr>
          <w:rFonts w:asciiTheme="minorHAnsi" w:eastAsia="Calibri" w:hAnsiTheme="minorHAnsi" w:cstheme="minorBidi"/>
          <w:sz w:val="22"/>
          <w:szCs w:val="22"/>
        </w:rPr>
      </w:pPr>
      <w:r w:rsidRPr="181B6A0C">
        <w:rPr>
          <w:rFonts w:asciiTheme="minorHAnsi" w:eastAsia="Calibri" w:hAnsiTheme="minorHAnsi" w:cstheme="minorBidi"/>
          <w:sz w:val="22"/>
          <w:szCs w:val="22"/>
        </w:rPr>
        <w:t>Key achievements</w:t>
      </w:r>
      <w:r w:rsidR="0ACD1BB0" w:rsidRPr="181B6A0C">
        <w:rPr>
          <w:rFonts w:asciiTheme="minorHAnsi" w:eastAsia="Calibri" w:hAnsiTheme="minorHAnsi" w:cstheme="minorBidi"/>
          <w:sz w:val="22"/>
          <w:szCs w:val="22"/>
        </w:rPr>
        <w:t xml:space="preserve"> </w:t>
      </w:r>
      <w:r w:rsidR="71469C8E" w:rsidRPr="181B6A0C">
        <w:rPr>
          <w:rFonts w:asciiTheme="minorHAnsi" w:eastAsia="Calibri" w:hAnsiTheme="minorHAnsi" w:cstheme="minorBidi"/>
          <w:sz w:val="22"/>
          <w:szCs w:val="22"/>
        </w:rPr>
        <w:t>also</w:t>
      </w:r>
      <w:r w:rsidRPr="181B6A0C">
        <w:rPr>
          <w:rFonts w:asciiTheme="minorHAnsi" w:eastAsia="Calibri" w:hAnsiTheme="minorHAnsi" w:cstheme="minorBidi"/>
          <w:sz w:val="22"/>
          <w:szCs w:val="22"/>
        </w:rPr>
        <w:t xml:space="preserve"> include the establishment of an Oversight Unit and Ombudsman function, redesigned operational planning processes, full compliance with international public sector accounting standards, and progress in treasury and human resource reforms.</w:t>
      </w:r>
    </w:p>
    <w:p w14:paraId="4890C323" w14:textId="77777777" w:rsidR="0062595A" w:rsidRPr="00E86CF6" w:rsidRDefault="0062595A" w:rsidP="00E86CF6">
      <w:pPr>
        <w:suppressAutoHyphens/>
        <w:adjustRightInd/>
        <w:spacing w:after="120"/>
        <w:jc w:val="both"/>
        <w:rPr>
          <w:rFonts w:asciiTheme="minorHAnsi" w:eastAsia="Calibri" w:hAnsiTheme="minorHAnsi" w:cstheme="minorHAnsi"/>
          <w:sz w:val="22"/>
          <w:szCs w:val="22"/>
        </w:rPr>
      </w:pPr>
      <w:r w:rsidRPr="00E86CF6">
        <w:rPr>
          <w:rFonts w:asciiTheme="minorHAnsi" w:eastAsia="Calibri" w:hAnsiTheme="minorHAnsi" w:cstheme="minorHAnsi"/>
          <w:sz w:val="22"/>
          <w:szCs w:val="22"/>
        </w:rPr>
        <w:t>Human resources modernization emphasized learning, performance management, leadership development, gender parity, mental health and flexible working arrangements. ITU also adopted organizational guidelines on the responsible use of generative AI and welcomed a new Chief Information Officer to accelerate digital modernization.</w:t>
      </w:r>
    </w:p>
    <w:p w14:paraId="749ADEFE" w14:textId="77777777" w:rsidR="0062595A" w:rsidRPr="00E86CF6" w:rsidRDefault="0062595A" w:rsidP="00E86CF6">
      <w:pPr>
        <w:suppressAutoHyphens/>
        <w:adjustRightInd/>
        <w:spacing w:after="120"/>
        <w:jc w:val="both"/>
        <w:rPr>
          <w:rFonts w:asciiTheme="minorHAnsi" w:eastAsia="Calibri" w:hAnsiTheme="minorHAnsi" w:cstheme="minorHAnsi"/>
          <w:sz w:val="22"/>
          <w:szCs w:val="22"/>
        </w:rPr>
      </w:pPr>
      <w:r w:rsidRPr="00E86CF6">
        <w:rPr>
          <w:rFonts w:asciiTheme="minorHAnsi" w:eastAsia="Calibri" w:hAnsiTheme="minorHAnsi" w:cstheme="minorHAnsi"/>
          <w:sz w:val="22"/>
          <w:szCs w:val="22"/>
        </w:rPr>
        <w:t xml:space="preserve">A new resource mobilization strategy adopted in 2024 focused on strengthening member engagement, enhancing products and services, and increasing voluntary contributions. </w:t>
      </w:r>
    </w:p>
    <w:p w14:paraId="7469A8D6" w14:textId="77777777" w:rsidR="0062595A" w:rsidRPr="00E86CF6" w:rsidRDefault="0062595A" w:rsidP="00E86CF6">
      <w:pPr>
        <w:suppressAutoHyphens/>
        <w:adjustRightInd/>
        <w:spacing w:after="120"/>
        <w:jc w:val="both"/>
        <w:rPr>
          <w:rFonts w:asciiTheme="minorHAnsi" w:eastAsia="Calibri" w:hAnsiTheme="minorHAnsi" w:cstheme="minorHAnsi"/>
          <w:sz w:val="22"/>
          <w:szCs w:val="22"/>
        </w:rPr>
      </w:pPr>
      <w:r w:rsidRPr="00E86CF6">
        <w:rPr>
          <w:rFonts w:asciiTheme="minorHAnsi" w:eastAsia="Calibri" w:hAnsiTheme="minorHAnsi" w:cstheme="minorHAnsi"/>
          <w:sz w:val="22"/>
          <w:szCs w:val="22"/>
        </w:rPr>
        <w:t>Notable priorities included modernizing satellite filings, expanding digital products, improving event revenue models, and developing a new partnership strategy to maximize ITU’s impact while safeguarding institutional integrity.</w:t>
      </w:r>
    </w:p>
    <w:p w14:paraId="147F0F9B" w14:textId="59147E17" w:rsidR="00E93F27" w:rsidRDefault="0062595A" w:rsidP="00E86CF6">
      <w:pPr>
        <w:suppressAutoHyphens/>
        <w:adjustRightInd/>
        <w:spacing w:after="120"/>
        <w:jc w:val="both"/>
        <w:rPr>
          <w:rFonts w:asciiTheme="minorHAnsi" w:eastAsia="MS Mincho" w:hAnsiTheme="minorHAnsi" w:cstheme="minorHAnsi"/>
          <w:sz w:val="22"/>
          <w:szCs w:val="22"/>
        </w:rPr>
      </w:pPr>
      <w:r w:rsidRPr="00E86CF6">
        <w:rPr>
          <w:rFonts w:asciiTheme="minorHAnsi" w:eastAsia="MS Mincho" w:hAnsiTheme="minorHAnsi" w:cstheme="minorHAnsi"/>
          <w:sz w:val="22"/>
          <w:szCs w:val="22"/>
        </w:rPr>
        <w:t xml:space="preserve">By the midpoint of its current strategic plan, the organization had reached a stronger position to face current and emerging global challenges. Moving forward, ITU continues </w:t>
      </w:r>
      <w:r w:rsidRPr="00E86CF6">
        <w:rPr>
          <w:rFonts w:asciiTheme="minorHAnsi" w:eastAsia="MS Mincho" w:hAnsiTheme="minorHAnsi" w:cstheme="minorHAnsi"/>
          <w:sz w:val="22"/>
          <w:szCs w:val="22"/>
        </w:rPr>
        <w:t>evolving with technologies and supporting countries and communities as an international platform for technical cooperation to ensure real and lasting impact for all.</w:t>
      </w:r>
      <w:r w:rsidR="00E93F27">
        <w:rPr>
          <w:rFonts w:asciiTheme="minorHAnsi" w:eastAsia="MS Mincho" w:hAnsiTheme="minorHAnsi" w:cstheme="minorHAnsi"/>
          <w:sz w:val="22"/>
          <w:szCs w:val="22"/>
        </w:rPr>
        <w:br w:type="page"/>
      </w:r>
    </w:p>
    <w:p w14:paraId="69867C81" w14:textId="77777777" w:rsidR="0062595A" w:rsidRPr="0062595A" w:rsidRDefault="0062595A" w:rsidP="00C5530E">
      <w:pPr>
        <w:pageBreakBefore/>
        <w:tabs>
          <w:tab w:val="clear" w:pos="567"/>
          <w:tab w:val="clear" w:pos="1134"/>
          <w:tab w:val="clear" w:pos="1701"/>
          <w:tab w:val="clear" w:pos="2268"/>
          <w:tab w:val="clear" w:pos="2835"/>
        </w:tabs>
        <w:suppressAutoHyphens/>
        <w:overflowPunct/>
        <w:autoSpaceDE/>
        <w:adjustRightInd/>
        <w:spacing w:before="0"/>
        <w:textAlignment w:val="auto"/>
        <w:rPr>
          <w:rFonts w:eastAsia="MS Mincho"/>
          <w:sz w:val="22"/>
        </w:rPr>
      </w:pPr>
    </w:p>
    <w:p w14:paraId="676360D7" w14:textId="77777777" w:rsidR="0062595A" w:rsidRPr="0062595A" w:rsidRDefault="0062595A" w:rsidP="00E93F27">
      <w:pPr>
        <w:keepNext/>
        <w:keepLines/>
        <w:numPr>
          <w:ilvl w:val="0"/>
          <w:numId w:val="4"/>
        </w:numPr>
        <w:suppressAutoHyphens/>
        <w:adjustRightInd/>
        <w:spacing w:before="360" w:after="360"/>
        <w:jc w:val="both"/>
        <w:outlineLvl w:val="0"/>
        <w:rPr>
          <w:rFonts w:eastAsia="MS Mincho"/>
          <w:b/>
          <w:color w:val="1F497D"/>
          <w:sz w:val="28"/>
        </w:rPr>
      </w:pPr>
      <w:bookmarkStart w:id="19" w:name="_Toc224288788"/>
      <w:r w:rsidRPr="0062595A">
        <w:rPr>
          <w:rFonts w:eastAsia="MS Mincho"/>
          <w:b/>
          <w:color w:val="1F497D"/>
          <w:sz w:val="28"/>
        </w:rPr>
        <w:t>Insights and takeaways from 2022-2025</w:t>
      </w:r>
      <w:bookmarkEnd w:id="19"/>
    </w:p>
    <w:p w14:paraId="6A86FB3C" w14:textId="77777777" w:rsidR="0062595A" w:rsidRPr="0062595A" w:rsidRDefault="0062595A" w:rsidP="00E86CF6">
      <w:pPr>
        <w:suppressAutoHyphens/>
        <w:adjustRightInd/>
        <w:spacing w:before="240" w:after="120"/>
        <w:jc w:val="both"/>
        <w:rPr>
          <w:rFonts w:eastAsia="MS Mincho"/>
          <w:sz w:val="22"/>
        </w:rPr>
      </w:pPr>
      <w:r w:rsidRPr="0062595A">
        <w:rPr>
          <w:rFonts w:eastAsia="Calibri" w:cs="Calibri"/>
          <w:b/>
          <w:bCs/>
          <w:sz w:val="22"/>
          <w:szCs w:val="22"/>
        </w:rPr>
        <w:t>Key findings and takeaways</w:t>
      </w:r>
    </w:p>
    <w:p w14:paraId="5761128C" w14:textId="77777777" w:rsidR="0062595A" w:rsidRPr="0062595A" w:rsidRDefault="0062595A" w:rsidP="00E86CF6">
      <w:pPr>
        <w:suppressAutoHyphens/>
        <w:adjustRightInd/>
        <w:spacing w:before="240" w:after="120"/>
        <w:jc w:val="both"/>
        <w:rPr>
          <w:rFonts w:eastAsia="MS Mincho"/>
          <w:sz w:val="22"/>
        </w:rPr>
      </w:pPr>
      <w:r w:rsidRPr="0062595A">
        <w:rPr>
          <w:rFonts w:eastAsia="Calibri" w:cs="Calibri"/>
          <w:b/>
          <w:bCs/>
          <w:sz w:val="22"/>
          <w:szCs w:val="22"/>
        </w:rPr>
        <w:t xml:space="preserve">Connectivity, </w:t>
      </w:r>
      <w:r w:rsidRPr="0062595A">
        <w:rPr>
          <w:rFonts w:eastAsia="Calibri" w:cs="Calibri"/>
          <w:b/>
          <w:bCs/>
          <w:sz w:val="22"/>
          <w:szCs w:val="22"/>
        </w:rPr>
        <w:t>affordability and digital trends</w:t>
      </w:r>
    </w:p>
    <w:p w14:paraId="42117853" w14:textId="56D29D79" w:rsidR="0062595A" w:rsidRPr="0062595A" w:rsidRDefault="0062595A" w:rsidP="00E86CF6">
      <w:pPr>
        <w:numPr>
          <w:ilvl w:val="0"/>
          <w:numId w:val="5"/>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Global Internet use rose from </w:t>
      </w:r>
      <w:r w:rsidRPr="0062595A">
        <w:rPr>
          <w:rFonts w:eastAsia="Calibri" w:cs="Calibri"/>
          <w:b/>
          <w:bCs/>
          <w:sz w:val="22"/>
          <w:szCs w:val="22"/>
          <w:lang w:eastAsia="zh-TW"/>
        </w:rPr>
        <w:t>67% in 2022 to 74% in 2025</w:t>
      </w:r>
      <w:r w:rsidRPr="0062595A">
        <w:rPr>
          <w:rFonts w:eastAsia="Calibri" w:cs="Calibri"/>
          <w:sz w:val="22"/>
          <w:szCs w:val="22"/>
          <w:lang w:eastAsia="zh-TW"/>
        </w:rPr>
        <w:t xml:space="preserve"> (from </w:t>
      </w:r>
      <w:r w:rsidRPr="0062595A">
        <w:rPr>
          <w:rFonts w:eastAsia="Calibri" w:cs="Calibri"/>
          <w:b/>
          <w:bCs/>
          <w:sz w:val="22"/>
          <w:szCs w:val="22"/>
          <w:lang w:eastAsia="zh-TW"/>
        </w:rPr>
        <w:t>5.4 to 6 billion users</w:t>
      </w:r>
      <w:r w:rsidRPr="0062595A">
        <w:rPr>
          <w:rFonts w:eastAsia="Calibri" w:cs="Calibri"/>
          <w:sz w:val="22"/>
          <w:szCs w:val="22"/>
          <w:lang w:eastAsia="zh-TW"/>
        </w:rPr>
        <w:t xml:space="preserve">), leaving </w:t>
      </w:r>
      <w:r w:rsidRPr="0062595A">
        <w:rPr>
          <w:rFonts w:eastAsia="Calibri" w:cs="Calibri"/>
          <w:b/>
          <w:bCs/>
          <w:sz w:val="22"/>
          <w:szCs w:val="22"/>
          <w:lang w:eastAsia="zh-TW"/>
        </w:rPr>
        <w:t>2.</w:t>
      </w:r>
      <w:r w:rsidR="06013454" w:rsidRPr="62D09B72">
        <w:rPr>
          <w:rFonts w:eastAsia="Calibri" w:cs="Calibri"/>
          <w:b/>
          <w:bCs/>
          <w:sz w:val="22"/>
          <w:szCs w:val="22"/>
          <w:lang w:eastAsia="zh-TW"/>
        </w:rPr>
        <w:t>2</w:t>
      </w:r>
      <w:r w:rsidRPr="0062595A">
        <w:rPr>
          <w:rFonts w:eastAsia="Calibri" w:cs="Calibri"/>
          <w:b/>
          <w:bCs/>
          <w:sz w:val="22"/>
          <w:szCs w:val="22"/>
          <w:lang w:eastAsia="zh-TW"/>
        </w:rPr>
        <w:t xml:space="preserve"> billion offline</w:t>
      </w:r>
      <w:r w:rsidRPr="0062595A">
        <w:rPr>
          <w:rFonts w:eastAsia="Calibri" w:cs="Calibri"/>
          <w:sz w:val="22"/>
          <w:szCs w:val="22"/>
          <w:lang w:eastAsia="zh-TW"/>
        </w:rPr>
        <w:t>.</w:t>
      </w:r>
    </w:p>
    <w:p w14:paraId="3341DE79" w14:textId="1B9B4CDD" w:rsidR="0062595A" w:rsidRPr="0062595A" w:rsidRDefault="0062595A" w:rsidP="00E86CF6">
      <w:pPr>
        <w:numPr>
          <w:ilvl w:val="0"/>
          <w:numId w:val="5"/>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Connectivity gaps persisted with </w:t>
      </w:r>
      <w:r w:rsidRPr="0062595A">
        <w:rPr>
          <w:rFonts w:eastAsia="Calibri" w:cs="Calibri"/>
          <w:b/>
          <w:bCs/>
          <w:sz w:val="22"/>
          <w:szCs w:val="22"/>
          <w:lang w:eastAsia="zh-TW"/>
        </w:rPr>
        <w:t>94%</w:t>
      </w:r>
      <w:r w:rsidRPr="0062595A">
        <w:rPr>
          <w:rFonts w:eastAsia="Calibri" w:cs="Calibri"/>
          <w:sz w:val="22"/>
          <w:szCs w:val="22"/>
          <w:lang w:eastAsia="zh-TW"/>
        </w:rPr>
        <w:t xml:space="preserve"> of people online in high</w:t>
      </w:r>
      <w:r w:rsidR="02C23BD2" w:rsidRPr="181B6A0C">
        <w:rPr>
          <w:rFonts w:eastAsia="Calibri" w:cs="Calibri"/>
          <w:sz w:val="22"/>
          <w:szCs w:val="22"/>
          <w:lang w:eastAsia="zh-TW"/>
        </w:rPr>
        <w:t xml:space="preserve"> </w:t>
      </w:r>
      <w:r w:rsidRPr="0062595A">
        <w:rPr>
          <w:rFonts w:eastAsia="Calibri" w:cs="Calibri"/>
          <w:sz w:val="22"/>
          <w:szCs w:val="22"/>
          <w:lang w:eastAsia="zh-TW"/>
        </w:rPr>
        <w:t xml:space="preserve">income countries versus </w:t>
      </w:r>
      <w:r w:rsidRPr="0062595A">
        <w:rPr>
          <w:rFonts w:eastAsia="Calibri" w:cs="Calibri"/>
          <w:b/>
          <w:bCs/>
          <w:sz w:val="22"/>
          <w:szCs w:val="22"/>
          <w:lang w:eastAsia="zh-TW"/>
        </w:rPr>
        <w:t>23%</w:t>
      </w:r>
      <w:r w:rsidRPr="0062595A">
        <w:rPr>
          <w:rFonts w:eastAsia="Calibri" w:cs="Calibri"/>
          <w:sz w:val="22"/>
          <w:szCs w:val="22"/>
          <w:lang w:eastAsia="zh-TW"/>
        </w:rPr>
        <w:t xml:space="preserve"> in </w:t>
      </w:r>
      <w:r w:rsidR="004867EA" w:rsidRPr="181B6A0C">
        <w:rPr>
          <w:rFonts w:eastAsia="Calibri" w:cs="Calibri"/>
          <w:sz w:val="22"/>
          <w:szCs w:val="22"/>
          <w:lang w:eastAsia="zh-TW"/>
        </w:rPr>
        <w:t>low</w:t>
      </w:r>
      <w:r w:rsidR="004867EA">
        <w:rPr>
          <w:rFonts w:eastAsia="Calibri" w:cs="Calibri"/>
          <w:sz w:val="22"/>
          <w:szCs w:val="22"/>
          <w:lang w:eastAsia="zh-TW"/>
        </w:rPr>
        <w:t>-income</w:t>
      </w:r>
      <w:r w:rsidRPr="0062595A">
        <w:rPr>
          <w:rFonts w:eastAsia="Calibri" w:cs="Calibri"/>
          <w:sz w:val="22"/>
          <w:szCs w:val="22"/>
          <w:lang w:eastAsia="zh-TW"/>
        </w:rPr>
        <w:t xml:space="preserve"> ones.</w:t>
      </w:r>
    </w:p>
    <w:p w14:paraId="01008507" w14:textId="37F8EDE0" w:rsidR="0062595A" w:rsidRPr="0062595A" w:rsidRDefault="0062595A" w:rsidP="00E86CF6">
      <w:pPr>
        <w:numPr>
          <w:ilvl w:val="0"/>
          <w:numId w:val="5"/>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Mobile</w:t>
      </w:r>
      <w:r w:rsidR="0E9C8964" w:rsidRPr="181B6A0C">
        <w:rPr>
          <w:rFonts w:eastAsia="Calibri" w:cs="Calibri"/>
          <w:sz w:val="22"/>
          <w:szCs w:val="22"/>
          <w:lang w:eastAsia="zh-TW"/>
        </w:rPr>
        <w:t xml:space="preserve"> </w:t>
      </w:r>
      <w:r w:rsidRPr="0062595A">
        <w:rPr>
          <w:rFonts w:eastAsia="Calibri" w:cs="Calibri"/>
          <w:sz w:val="22"/>
          <w:szCs w:val="22"/>
          <w:lang w:eastAsia="zh-TW"/>
        </w:rPr>
        <w:t xml:space="preserve">broadband median prices fell from </w:t>
      </w:r>
      <w:r w:rsidRPr="0062595A">
        <w:rPr>
          <w:rFonts w:eastAsia="Calibri" w:cs="Calibri"/>
          <w:b/>
          <w:bCs/>
          <w:sz w:val="22"/>
          <w:szCs w:val="22"/>
          <w:lang w:eastAsia="zh-TW"/>
        </w:rPr>
        <w:t xml:space="preserve">2.0% to 1.4% of gross national income (GNI) per capita, </w:t>
      </w:r>
      <w:r w:rsidRPr="0062595A">
        <w:rPr>
          <w:rFonts w:eastAsia="Calibri" w:cs="Calibri"/>
          <w:sz w:val="22"/>
          <w:szCs w:val="22"/>
          <w:lang w:eastAsia="zh-TW"/>
        </w:rPr>
        <w:t xml:space="preserve">and fixed broadband from </w:t>
      </w:r>
      <w:r w:rsidRPr="0062595A">
        <w:rPr>
          <w:rFonts w:eastAsia="Calibri" w:cs="Calibri"/>
          <w:b/>
          <w:bCs/>
          <w:sz w:val="22"/>
          <w:szCs w:val="22"/>
          <w:lang w:eastAsia="zh-TW"/>
        </w:rPr>
        <w:t>3.1% to 2.5%</w:t>
      </w:r>
      <w:r w:rsidRPr="0062595A">
        <w:rPr>
          <w:rFonts w:eastAsia="Calibri" w:cs="Calibri"/>
          <w:sz w:val="22"/>
          <w:szCs w:val="22"/>
          <w:lang w:eastAsia="zh-TW"/>
        </w:rPr>
        <w:t xml:space="preserve"> (2022–2025).</w:t>
      </w:r>
    </w:p>
    <w:p w14:paraId="0BFC1272" w14:textId="77777777" w:rsidR="0062595A" w:rsidRPr="0062595A" w:rsidRDefault="0062595A" w:rsidP="00E86CF6">
      <w:pPr>
        <w:numPr>
          <w:ilvl w:val="0"/>
          <w:numId w:val="5"/>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b/>
          <w:bCs/>
          <w:sz w:val="22"/>
          <w:szCs w:val="22"/>
          <w:lang w:eastAsia="zh-TW"/>
        </w:rPr>
        <w:t>5G coverage reached 55%</w:t>
      </w:r>
      <w:r w:rsidRPr="0062595A">
        <w:rPr>
          <w:rFonts w:eastAsia="Calibri" w:cs="Calibri"/>
          <w:sz w:val="22"/>
          <w:szCs w:val="22"/>
          <w:lang w:eastAsia="zh-TW"/>
        </w:rPr>
        <w:t xml:space="preserve"> of the world’s population in 2025, up from 39% in 2022, but only </w:t>
      </w:r>
      <w:r w:rsidRPr="0062595A">
        <w:rPr>
          <w:rFonts w:eastAsia="Calibri" w:cs="Calibri"/>
          <w:b/>
          <w:bCs/>
          <w:sz w:val="22"/>
          <w:szCs w:val="22"/>
          <w:lang w:eastAsia="zh-TW"/>
        </w:rPr>
        <w:t>4%</w:t>
      </w:r>
      <w:r w:rsidRPr="0062595A">
        <w:rPr>
          <w:rFonts w:eastAsia="Calibri" w:cs="Calibri"/>
          <w:sz w:val="22"/>
          <w:szCs w:val="22"/>
          <w:lang w:eastAsia="zh-TW"/>
        </w:rPr>
        <w:t xml:space="preserve"> in low</w:t>
      </w:r>
      <w:r w:rsidRPr="0062595A">
        <w:rPr>
          <w:rFonts w:eastAsia="Calibri" w:cs="Calibri"/>
          <w:sz w:val="22"/>
          <w:szCs w:val="22"/>
          <w:lang w:eastAsia="zh-TW"/>
        </w:rPr>
        <w:noBreakHyphen/>
        <w:t>income countries.</w:t>
      </w:r>
    </w:p>
    <w:p w14:paraId="605C5C08" w14:textId="77777777" w:rsidR="0062595A" w:rsidRPr="0062595A" w:rsidRDefault="0062595A" w:rsidP="00E86CF6">
      <w:pPr>
        <w:numPr>
          <w:ilvl w:val="0"/>
          <w:numId w:val="5"/>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b/>
          <w:bCs/>
          <w:sz w:val="22"/>
          <w:szCs w:val="22"/>
          <w:lang w:eastAsia="zh-TW"/>
        </w:rPr>
        <w:t>82%</w:t>
      </w:r>
      <w:r w:rsidRPr="0062595A">
        <w:rPr>
          <w:rFonts w:eastAsia="Calibri" w:cs="Calibri"/>
          <w:sz w:val="22"/>
          <w:szCs w:val="22"/>
          <w:lang w:eastAsia="zh-TW"/>
        </w:rPr>
        <w:t xml:space="preserve"> of individuals aged 15–24 used the Internet </w:t>
      </w:r>
      <w:r w:rsidRPr="0062595A">
        <w:rPr>
          <w:rFonts w:eastAsia="Calibri" w:cs="Calibri"/>
          <w:sz w:val="22"/>
          <w:szCs w:val="22"/>
          <w:lang w:eastAsia="zh-TW"/>
        </w:rPr>
        <w:t xml:space="preserve">in 2025, versus </w:t>
      </w:r>
      <w:r w:rsidRPr="0062595A">
        <w:rPr>
          <w:rFonts w:eastAsia="Calibri" w:cs="Calibri"/>
          <w:b/>
          <w:bCs/>
          <w:sz w:val="22"/>
          <w:szCs w:val="22"/>
          <w:lang w:eastAsia="zh-TW"/>
        </w:rPr>
        <w:t>72%</w:t>
      </w:r>
      <w:r w:rsidRPr="0062595A">
        <w:rPr>
          <w:rFonts w:eastAsia="Calibri" w:cs="Calibri"/>
          <w:sz w:val="22"/>
          <w:szCs w:val="22"/>
          <w:lang w:eastAsia="zh-TW"/>
        </w:rPr>
        <w:t xml:space="preserve"> of the rest of the population.</w:t>
      </w:r>
    </w:p>
    <w:p w14:paraId="52438239" w14:textId="77777777" w:rsidR="0062595A" w:rsidRPr="0062595A" w:rsidRDefault="0062595A" w:rsidP="00E86CF6">
      <w:pPr>
        <w:numPr>
          <w:ilvl w:val="0"/>
          <w:numId w:val="5"/>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The urban–rural usage gap narrowed slightly from </w:t>
      </w:r>
      <w:r w:rsidRPr="0062595A">
        <w:rPr>
          <w:rFonts w:eastAsia="Calibri" w:cs="Calibri"/>
          <w:b/>
          <w:bCs/>
          <w:sz w:val="22"/>
          <w:szCs w:val="22"/>
          <w:lang w:eastAsia="zh-TW"/>
        </w:rPr>
        <w:t>1.6 to 1.5</w:t>
      </w:r>
      <w:r w:rsidRPr="0062595A">
        <w:rPr>
          <w:rFonts w:eastAsia="Calibri" w:cs="Calibri"/>
          <w:sz w:val="22"/>
          <w:szCs w:val="22"/>
          <w:lang w:eastAsia="zh-TW"/>
        </w:rPr>
        <w:t xml:space="preserve">, with </w:t>
      </w:r>
      <w:r w:rsidRPr="0062595A">
        <w:rPr>
          <w:rFonts w:eastAsia="Calibri" w:cs="Calibri"/>
          <w:b/>
          <w:bCs/>
          <w:sz w:val="22"/>
          <w:szCs w:val="22"/>
          <w:lang w:eastAsia="zh-TW"/>
        </w:rPr>
        <w:t>85% of urban</w:t>
      </w:r>
      <w:r w:rsidRPr="0062595A">
        <w:rPr>
          <w:rFonts w:eastAsia="Calibri" w:cs="Calibri"/>
          <w:sz w:val="22"/>
          <w:szCs w:val="22"/>
          <w:lang w:eastAsia="zh-TW"/>
        </w:rPr>
        <w:t xml:space="preserve"> and </w:t>
      </w:r>
      <w:r w:rsidRPr="0062595A">
        <w:rPr>
          <w:rFonts w:eastAsia="Calibri" w:cs="Calibri"/>
          <w:b/>
          <w:bCs/>
          <w:sz w:val="22"/>
          <w:szCs w:val="22"/>
          <w:lang w:eastAsia="zh-TW"/>
        </w:rPr>
        <w:t>58% of rural</w:t>
      </w:r>
      <w:r w:rsidRPr="0062595A">
        <w:rPr>
          <w:rFonts w:eastAsia="Calibri" w:cs="Calibri"/>
          <w:sz w:val="22"/>
          <w:szCs w:val="22"/>
          <w:lang w:eastAsia="zh-TW"/>
        </w:rPr>
        <w:t xml:space="preserve"> residents online in 2025.</w:t>
      </w:r>
    </w:p>
    <w:p w14:paraId="02E7A8AA" w14:textId="77777777" w:rsidR="0062595A" w:rsidRPr="0062595A" w:rsidRDefault="0062595A" w:rsidP="00E86CF6">
      <w:pPr>
        <w:suppressAutoHyphens/>
        <w:adjustRightInd/>
        <w:spacing w:before="240" w:after="120"/>
        <w:jc w:val="both"/>
        <w:rPr>
          <w:rFonts w:eastAsia="MS Mincho"/>
          <w:sz w:val="22"/>
        </w:rPr>
      </w:pPr>
      <w:r w:rsidRPr="0062595A">
        <w:rPr>
          <w:rFonts w:eastAsia="Calibri" w:cs="Calibri"/>
          <w:b/>
          <w:bCs/>
          <w:sz w:val="22"/>
          <w:szCs w:val="22"/>
        </w:rPr>
        <w:t>Collecting data and policy evidence</w:t>
      </w:r>
    </w:p>
    <w:p w14:paraId="0C3E4113" w14:textId="77777777" w:rsidR="0062595A" w:rsidRPr="0062595A" w:rsidRDefault="0062595A" w:rsidP="00E86CF6">
      <w:pPr>
        <w:numPr>
          <w:ilvl w:val="0"/>
          <w:numId w:val="6"/>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The International Telecommunication Union (ITU) collected information and communication technology (ICT) statistics from </w:t>
      </w:r>
      <w:r w:rsidRPr="0062595A">
        <w:rPr>
          <w:rFonts w:eastAsia="Calibri" w:cs="Calibri"/>
          <w:b/>
          <w:bCs/>
          <w:sz w:val="22"/>
          <w:szCs w:val="22"/>
          <w:lang w:eastAsia="zh-TW"/>
        </w:rPr>
        <w:t>200+ economies</w:t>
      </w:r>
      <w:r w:rsidRPr="0062595A">
        <w:rPr>
          <w:rFonts w:eastAsia="Calibri" w:cs="Calibri"/>
          <w:sz w:val="22"/>
          <w:szCs w:val="22"/>
          <w:lang w:eastAsia="zh-TW"/>
        </w:rPr>
        <w:t>, strengthening big</w:t>
      </w:r>
      <w:r w:rsidRPr="0062595A">
        <w:rPr>
          <w:rFonts w:eastAsia="Calibri" w:cs="Calibri"/>
          <w:sz w:val="22"/>
          <w:szCs w:val="22"/>
          <w:lang w:eastAsia="zh-TW"/>
        </w:rPr>
        <w:noBreakHyphen/>
        <w:t xml:space="preserve">data methods and publishing annual editions of </w:t>
      </w:r>
      <w:r w:rsidRPr="0062595A">
        <w:rPr>
          <w:rFonts w:eastAsia="Calibri" w:cs="Calibri"/>
          <w:b/>
          <w:bCs/>
          <w:sz w:val="22"/>
          <w:szCs w:val="22"/>
          <w:lang w:eastAsia="zh-TW"/>
        </w:rPr>
        <w:t xml:space="preserve">Facts &amp; Figures </w:t>
      </w:r>
      <w:r w:rsidRPr="0062595A">
        <w:rPr>
          <w:rFonts w:eastAsia="Calibri" w:cs="Calibri"/>
          <w:sz w:val="22"/>
          <w:szCs w:val="22"/>
          <w:lang w:eastAsia="zh-TW"/>
        </w:rPr>
        <w:t xml:space="preserve">and the </w:t>
      </w:r>
      <w:r w:rsidRPr="0062595A">
        <w:rPr>
          <w:rFonts w:eastAsia="Calibri" w:cs="Calibri"/>
          <w:b/>
          <w:bCs/>
          <w:sz w:val="22"/>
          <w:szCs w:val="22"/>
          <w:lang w:eastAsia="zh-TW"/>
        </w:rPr>
        <w:t>Global Connectivity Report</w:t>
      </w:r>
      <w:r w:rsidRPr="0062595A">
        <w:rPr>
          <w:rFonts w:eastAsia="Calibri" w:cs="Calibri"/>
          <w:sz w:val="22"/>
          <w:szCs w:val="22"/>
          <w:lang w:eastAsia="zh-TW"/>
        </w:rPr>
        <w:t>.</w:t>
      </w:r>
    </w:p>
    <w:p w14:paraId="4B533C0A" w14:textId="77777777" w:rsidR="0062595A" w:rsidRPr="0062595A" w:rsidRDefault="0062595A" w:rsidP="00E86CF6">
      <w:pPr>
        <w:numPr>
          <w:ilvl w:val="0"/>
          <w:numId w:val="6"/>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Countries with national ICT accessibility frameworks increased from </w:t>
      </w:r>
      <w:r w:rsidRPr="0062595A">
        <w:rPr>
          <w:rFonts w:eastAsia="Calibri" w:cs="Calibri"/>
          <w:b/>
          <w:bCs/>
          <w:sz w:val="22"/>
          <w:szCs w:val="22"/>
          <w:lang w:eastAsia="zh-TW"/>
        </w:rPr>
        <w:t>61 to 100</w:t>
      </w:r>
      <w:r w:rsidRPr="0062595A">
        <w:rPr>
          <w:rFonts w:eastAsia="Calibri" w:cs="Calibri"/>
          <w:sz w:val="22"/>
          <w:szCs w:val="22"/>
          <w:lang w:eastAsia="zh-TW"/>
        </w:rPr>
        <w:t xml:space="preserve"> (2018–2023) and reached </w:t>
      </w:r>
      <w:r w:rsidRPr="0062595A">
        <w:rPr>
          <w:rFonts w:eastAsia="Calibri" w:cs="Calibri"/>
          <w:b/>
          <w:bCs/>
          <w:sz w:val="22"/>
          <w:szCs w:val="22"/>
          <w:lang w:eastAsia="zh-TW"/>
        </w:rPr>
        <w:t>101</w:t>
      </w:r>
      <w:r w:rsidRPr="0062595A">
        <w:rPr>
          <w:rFonts w:eastAsia="Calibri" w:cs="Calibri"/>
          <w:sz w:val="22"/>
          <w:szCs w:val="22"/>
          <w:lang w:eastAsia="zh-TW"/>
        </w:rPr>
        <w:t xml:space="preserve"> in 2025.</w:t>
      </w:r>
    </w:p>
    <w:p w14:paraId="533316B3" w14:textId="77777777" w:rsidR="0062595A" w:rsidRPr="0062595A" w:rsidRDefault="0062595A" w:rsidP="00E86CF6">
      <w:pPr>
        <w:numPr>
          <w:ilvl w:val="0"/>
          <w:numId w:val="7"/>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Countries with cyber incident response teams (CIRTs) rose from </w:t>
      </w:r>
      <w:r w:rsidRPr="0062595A">
        <w:rPr>
          <w:rFonts w:eastAsia="Calibri" w:cs="Calibri"/>
          <w:b/>
          <w:bCs/>
          <w:sz w:val="22"/>
          <w:szCs w:val="22"/>
          <w:lang w:eastAsia="zh-TW"/>
        </w:rPr>
        <w:t>109 (2020)</w:t>
      </w:r>
      <w:r w:rsidRPr="0062595A">
        <w:rPr>
          <w:rFonts w:eastAsia="Calibri" w:cs="Calibri"/>
          <w:sz w:val="22"/>
          <w:szCs w:val="22"/>
          <w:lang w:eastAsia="zh-TW"/>
        </w:rPr>
        <w:t xml:space="preserve"> to </w:t>
      </w:r>
      <w:r w:rsidRPr="0062595A">
        <w:rPr>
          <w:rFonts w:eastAsia="Calibri" w:cs="Calibri"/>
          <w:b/>
          <w:bCs/>
          <w:sz w:val="22"/>
          <w:szCs w:val="22"/>
          <w:lang w:eastAsia="zh-TW"/>
        </w:rPr>
        <w:t>132 (2024)</w:t>
      </w:r>
      <w:r w:rsidRPr="0062595A">
        <w:rPr>
          <w:rFonts w:eastAsia="Calibri" w:cs="Calibri"/>
          <w:sz w:val="22"/>
          <w:szCs w:val="22"/>
          <w:lang w:eastAsia="zh-TW"/>
        </w:rPr>
        <w:t xml:space="preserve">, and national cybersecurity strategies increased from </w:t>
      </w:r>
      <w:r w:rsidRPr="0062595A">
        <w:rPr>
          <w:rFonts w:eastAsia="Calibri" w:cs="Calibri"/>
          <w:b/>
          <w:bCs/>
          <w:sz w:val="22"/>
          <w:szCs w:val="22"/>
          <w:lang w:eastAsia="zh-TW"/>
        </w:rPr>
        <w:t>107 to 148</w:t>
      </w:r>
      <w:r w:rsidRPr="0062595A">
        <w:rPr>
          <w:rFonts w:eastAsia="Calibri" w:cs="Calibri"/>
          <w:sz w:val="22"/>
          <w:szCs w:val="22"/>
          <w:lang w:eastAsia="zh-TW"/>
        </w:rPr>
        <w:t>.</w:t>
      </w:r>
    </w:p>
    <w:p w14:paraId="69FAC218" w14:textId="77777777" w:rsidR="0062595A" w:rsidRPr="0062595A" w:rsidRDefault="0062595A" w:rsidP="00E86CF6">
      <w:pPr>
        <w:numPr>
          <w:ilvl w:val="0"/>
          <w:numId w:val="7"/>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International bandwidth per Internet user more than doubled (2020–2024) to </w:t>
      </w:r>
      <w:r w:rsidRPr="0062595A">
        <w:rPr>
          <w:rFonts w:eastAsia="Calibri" w:cs="Calibri"/>
          <w:b/>
          <w:bCs/>
          <w:sz w:val="22"/>
          <w:szCs w:val="22"/>
          <w:lang w:eastAsia="zh-TW"/>
        </w:rPr>
        <w:t>322.8 kilobits per second (kbit/s)</w:t>
      </w:r>
      <w:r w:rsidRPr="0062595A">
        <w:rPr>
          <w:rFonts w:eastAsia="Calibri" w:cs="Calibri"/>
          <w:sz w:val="22"/>
          <w:szCs w:val="22"/>
          <w:lang w:eastAsia="zh-TW"/>
        </w:rPr>
        <w:t xml:space="preserve">, with total global bandwidth reaching </w:t>
      </w:r>
      <w:r w:rsidRPr="0062595A">
        <w:rPr>
          <w:rFonts w:eastAsia="Calibri" w:cs="Calibri"/>
          <w:b/>
          <w:bCs/>
          <w:sz w:val="22"/>
          <w:szCs w:val="22"/>
          <w:lang w:eastAsia="zh-TW"/>
        </w:rPr>
        <w:t>1.78 terabits per second (Tbit/s)</w:t>
      </w:r>
      <w:r w:rsidRPr="0062595A">
        <w:rPr>
          <w:rFonts w:eastAsia="Calibri" w:cs="Calibri"/>
          <w:sz w:val="22"/>
          <w:szCs w:val="22"/>
          <w:lang w:eastAsia="zh-TW"/>
        </w:rPr>
        <w:t>.</w:t>
      </w:r>
    </w:p>
    <w:p w14:paraId="53F4F03A" w14:textId="77777777" w:rsidR="0062595A" w:rsidRPr="0062595A" w:rsidRDefault="0062595A" w:rsidP="00E86CF6">
      <w:pPr>
        <w:suppressAutoHyphens/>
        <w:adjustRightInd/>
        <w:spacing w:before="240" w:after="120"/>
        <w:jc w:val="both"/>
        <w:rPr>
          <w:rFonts w:eastAsia="MS Mincho"/>
          <w:sz w:val="22"/>
        </w:rPr>
      </w:pPr>
      <w:r w:rsidRPr="0062595A">
        <w:rPr>
          <w:rFonts w:eastAsia="Calibri" w:cs="Calibri"/>
          <w:b/>
          <w:bCs/>
          <w:sz w:val="22"/>
          <w:szCs w:val="22"/>
        </w:rPr>
        <w:t>ITU’s global statutory conferences (2022–2025)</w:t>
      </w:r>
    </w:p>
    <w:p w14:paraId="76B0D548" w14:textId="77777777" w:rsidR="0062595A" w:rsidRPr="0062595A" w:rsidRDefault="0062595A" w:rsidP="00E86CF6">
      <w:pPr>
        <w:numPr>
          <w:ilvl w:val="0"/>
          <w:numId w:val="8"/>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The Plenipotentiary Conference (PP</w:t>
      </w:r>
      <w:r w:rsidRPr="0062595A">
        <w:rPr>
          <w:rFonts w:eastAsia="Calibri" w:cs="Calibri"/>
          <w:sz w:val="22"/>
          <w:szCs w:val="22"/>
          <w:lang w:eastAsia="zh-TW"/>
        </w:rPr>
        <w:noBreakHyphen/>
        <w:t xml:space="preserve">22) modified </w:t>
      </w:r>
      <w:r w:rsidRPr="0062595A">
        <w:rPr>
          <w:rFonts w:eastAsia="Calibri" w:cs="Calibri"/>
          <w:b/>
          <w:bCs/>
          <w:sz w:val="22"/>
          <w:szCs w:val="22"/>
          <w:lang w:eastAsia="zh-TW"/>
        </w:rPr>
        <w:t>56 resolutions</w:t>
      </w:r>
      <w:r w:rsidRPr="0062595A">
        <w:rPr>
          <w:rFonts w:eastAsia="Calibri" w:cs="Calibri"/>
          <w:sz w:val="22"/>
          <w:szCs w:val="22"/>
          <w:lang w:eastAsia="zh-TW"/>
        </w:rPr>
        <w:t xml:space="preserve">, adopted </w:t>
      </w:r>
      <w:r w:rsidRPr="0062595A">
        <w:rPr>
          <w:rFonts w:eastAsia="Calibri" w:cs="Calibri"/>
          <w:b/>
          <w:bCs/>
          <w:sz w:val="22"/>
          <w:szCs w:val="22"/>
          <w:lang w:eastAsia="zh-TW"/>
        </w:rPr>
        <w:t>six new ones</w:t>
      </w:r>
      <w:r w:rsidRPr="0062595A">
        <w:rPr>
          <w:rFonts w:eastAsia="Calibri" w:cs="Calibri"/>
          <w:sz w:val="22"/>
          <w:szCs w:val="22"/>
          <w:lang w:eastAsia="zh-TW"/>
        </w:rPr>
        <w:t xml:space="preserve">, and initiated major workstreams on </w:t>
      </w:r>
      <w:r w:rsidRPr="0062595A">
        <w:rPr>
          <w:rFonts w:eastAsia="Calibri" w:cs="Calibri"/>
          <w:b/>
          <w:bCs/>
          <w:sz w:val="22"/>
          <w:szCs w:val="22"/>
          <w:lang w:eastAsia="zh-TW"/>
        </w:rPr>
        <w:t>artificial intelligence (AI),</w:t>
      </w:r>
      <w:r w:rsidRPr="0062595A">
        <w:rPr>
          <w:rFonts w:eastAsia="Calibri" w:cs="Calibri"/>
          <w:sz w:val="22"/>
          <w:szCs w:val="22"/>
          <w:lang w:eastAsia="zh-TW"/>
        </w:rPr>
        <w:t xml:space="preserve"> </w:t>
      </w:r>
      <w:r w:rsidRPr="0062595A">
        <w:rPr>
          <w:rFonts w:eastAsia="Calibri" w:cs="Calibri"/>
          <w:b/>
          <w:bCs/>
          <w:sz w:val="22"/>
          <w:szCs w:val="22"/>
          <w:lang w:eastAsia="zh-TW"/>
        </w:rPr>
        <w:t>outer</w:t>
      </w:r>
      <w:r w:rsidRPr="0062595A">
        <w:rPr>
          <w:rFonts w:eastAsia="Calibri" w:cs="Calibri"/>
          <w:b/>
          <w:bCs/>
          <w:sz w:val="22"/>
          <w:szCs w:val="22"/>
          <w:lang w:eastAsia="zh-TW"/>
        </w:rPr>
        <w:noBreakHyphen/>
        <w:t>space sustainability</w:t>
      </w:r>
      <w:r w:rsidRPr="0062595A">
        <w:rPr>
          <w:rFonts w:eastAsia="Calibri" w:cs="Calibri"/>
          <w:sz w:val="22"/>
          <w:szCs w:val="22"/>
          <w:lang w:eastAsia="zh-TW"/>
        </w:rPr>
        <w:t xml:space="preserve">, </w:t>
      </w:r>
      <w:r w:rsidRPr="0062595A">
        <w:rPr>
          <w:rFonts w:eastAsia="Calibri" w:cs="Calibri"/>
          <w:b/>
          <w:bCs/>
          <w:sz w:val="22"/>
          <w:szCs w:val="22"/>
          <w:lang w:eastAsia="zh-TW"/>
        </w:rPr>
        <w:t>gender equality</w:t>
      </w:r>
      <w:r w:rsidRPr="0062595A">
        <w:rPr>
          <w:rFonts w:eastAsia="Calibri" w:cs="Calibri"/>
          <w:sz w:val="22"/>
          <w:szCs w:val="22"/>
          <w:lang w:eastAsia="zh-TW"/>
        </w:rPr>
        <w:t xml:space="preserve">, </w:t>
      </w:r>
      <w:r w:rsidRPr="0062595A">
        <w:rPr>
          <w:rFonts w:eastAsia="Calibri" w:cs="Calibri"/>
          <w:b/>
          <w:bCs/>
          <w:sz w:val="22"/>
          <w:szCs w:val="22"/>
          <w:lang w:eastAsia="zh-TW"/>
        </w:rPr>
        <w:t>climate action</w:t>
      </w:r>
      <w:r w:rsidRPr="0062595A">
        <w:rPr>
          <w:rFonts w:eastAsia="Calibri" w:cs="Calibri"/>
          <w:sz w:val="22"/>
          <w:szCs w:val="22"/>
          <w:lang w:eastAsia="zh-TW"/>
        </w:rPr>
        <w:t xml:space="preserve">, </w:t>
      </w:r>
      <w:r w:rsidRPr="0062595A">
        <w:rPr>
          <w:rFonts w:eastAsia="Calibri" w:cs="Calibri"/>
          <w:b/>
          <w:bCs/>
          <w:sz w:val="22"/>
          <w:szCs w:val="22"/>
          <w:lang w:eastAsia="zh-TW"/>
        </w:rPr>
        <w:t>pandemic-readiness</w:t>
      </w:r>
      <w:r w:rsidRPr="0062595A">
        <w:rPr>
          <w:rFonts w:eastAsia="Calibri" w:cs="Calibri"/>
          <w:sz w:val="22"/>
          <w:szCs w:val="22"/>
          <w:lang w:eastAsia="zh-TW"/>
        </w:rPr>
        <w:t xml:space="preserve">, and </w:t>
      </w:r>
      <w:r w:rsidRPr="0062595A">
        <w:rPr>
          <w:rFonts w:eastAsia="Calibri" w:cs="Calibri"/>
          <w:b/>
          <w:bCs/>
          <w:sz w:val="22"/>
          <w:szCs w:val="22"/>
          <w:lang w:eastAsia="zh-TW"/>
        </w:rPr>
        <w:t>smart cities</w:t>
      </w:r>
      <w:r w:rsidRPr="0062595A">
        <w:rPr>
          <w:rFonts w:eastAsia="Calibri" w:cs="Calibri"/>
          <w:sz w:val="22"/>
          <w:szCs w:val="22"/>
          <w:lang w:eastAsia="zh-TW"/>
        </w:rPr>
        <w:t>.</w:t>
      </w:r>
    </w:p>
    <w:p w14:paraId="78F320CA" w14:textId="77777777" w:rsidR="0062595A" w:rsidRPr="0062595A" w:rsidRDefault="0062595A" w:rsidP="00E86CF6">
      <w:pPr>
        <w:numPr>
          <w:ilvl w:val="0"/>
          <w:numId w:val="8"/>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PP22 elected </w:t>
      </w:r>
      <w:r w:rsidRPr="0062595A">
        <w:rPr>
          <w:rFonts w:eastAsia="Calibri" w:cs="Calibri"/>
          <w:b/>
          <w:bCs/>
          <w:sz w:val="22"/>
          <w:szCs w:val="22"/>
          <w:lang w:eastAsia="zh-TW"/>
        </w:rPr>
        <w:t>Doreen Bogdan-Martin</w:t>
      </w:r>
      <w:r w:rsidRPr="0062595A">
        <w:rPr>
          <w:rFonts w:eastAsia="Calibri" w:cs="Calibri"/>
          <w:sz w:val="22"/>
          <w:szCs w:val="22"/>
          <w:lang w:eastAsia="zh-TW"/>
        </w:rPr>
        <w:t xml:space="preserve"> as ITU’s </w:t>
      </w:r>
      <w:r w:rsidRPr="0062595A">
        <w:rPr>
          <w:rFonts w:eastAsia="Calibri" w:cs="Calibri"/>
          <w:b/>
          <w:bCs/>
          <w:sz w:val="22"/>
          <w:szCs w:val="22"/>
          <w:lang w:eastAsia="zh-TW"/>
        </w:rPr>
        <w:t>first female Secretary-General</w:t>
      </w:r>
      <w:r w:rsidRPr="0062595A">
        <w:rPr>
          <w:rFonts w:eastAsia="Calibri" w:cs="Calibri"/>
          <w:sz w:val="22"/>
          <w:szCs w:val="22"/>
          <w:lang w:eastAsia="zh-TW"/>
        </w:rPr>
        <w:t>.</w:t>
      </w:r>
    </w:p>
    <w:p w14:paraId="223DEC7B" w14:textId="3C2BE21E" w:rsidR="0062595A" w:rsidRPr="0062595A" w:rsidRDefault="0062595A" w:rsidP="00E86CF6">
      <w:pPr>
        <w:numPr>
          <w:ilvl w:val="0"/>
          <w:numId w:val="8"/>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The World </w:t>
      </w:r>
      <w:r w:rsidRPr="0062595A">
        <w:rPr>
          <w:rFonts w:eastAsia="Calibri" w:cs="Calibri"/>
          <w:sz w:val="22"/>
          <w:szCs w:val="22"/>
          <w:lang w:eastAsia="zh-TW"/>
        </w:rPr>
        <w:t>Radiocommunication Conference (WRC</w:t>
      </w:r>
      <w:r w:rsidRPr="0062595A">
        <w:rPr>
          <w:rFonts w:eastAsia="Calibri" w:cs="Calibri"/>
          <w:sz w:val="22"/>
          <w:szCs w:val="22"/>
          <w:lang w:eastAsia="zh-TW"/>
        </w:rPr>
        <w:noBreakHyphen/>
        <w:t xml:space="preserve">23) gathered </w:t>
      </w:r>
      <w:r w:rsidRPr="0062595A">
        <w:rPr>
          <w:rFonts w:eastAsia="Calibri" w:cs="Calibri"/>
          <w:b/>
          <w:bCs/>
          <w:sz w:val="22"/>
          <w:szCs w:val="22"/>
          <w:lang w:eastAsia="zh-TW"/>
        </w:rPr>
        <w:t>3</w:t>
      </w:r>
      <w:r w:rsidR="0027239A">
        <w:rPr>
          <w:rFonts w:eastAsia="Calibri" w:cs="Calibri"/>
          <w:b/>
          <w:bCs/>
          <w:sz w:val="22"/>
          <w:szCs w:val="22"/>
          <w:lang w:eastAsia="zh-TW"/>
        </w:rPr>
        <w:t> </w:t>
      </w:r>
      <w:r w:rsidRPr="0062595A">
        <w:rPr>
          <w:rFonts w:eastAsia="Calibri" w:cs="Calibri"/>
          <w:b/>
          <w:bCs/>
          <w:sz w:val="22"/>
          <w:szCs w:val="22"/>
          <w:lang w:eastAsia="zh-TW"/>
        </w:rPr>
        <w:t>982 participants from 163 Member States</w:t>
      </w:r>
      <w:r w:rsidRPr="0062595A">
        <w:rPr>
          <w:rFonts w:eastAsia="Calibri" w:cs="Calibri"/>
          <w:sz w:val="22"/>
          <w:szCs w:val="22"/>
          <w:lang w:eastAsia="zh-TW"/>
        </w:rPr>
        <w:t xml:space="preserve">, with women’s participation rising to </w:t>
      </w:r>
      <w:r w:rsidRPr="0062595A">
        <w:rPr>
          <w:rFonts w:eastAsia="Calibri" w:cs="Calibri"/>
          <w:b/>
          <w:bCs/>
          <w:sz w:val="22"/>
          <w:szCs w:val="22"/>
          <w:lang w:eastAsia="zh-TW"/>
        </w:rPr>
        <w:t>22%</w:t>
      </w:r>
      <w:r w:rsidRPr="0062595A">
        <w:rPr>
          <w:rFonts w:eastAsia="Calibri" w:cs="Calibri"/>
          <w:sz w:val="22"/>
          <w:szCs w:val="22"/>
          <w:lang w:eastAsia="zh-TW"/>
        </w:rPr>
        <w:t xml:space="preserve">, and resolved </w:t>
      </w:r>
      <w:r w:rsidRPr="0062595A">
        <w:rPr>
          <w:rFonts w:eastAsia="Calibri" w:cs="Calibri"/>
          <w:b/>
          <w:bCs/>
          <w:sz w:val="22"/>
          <w:szCs w:val="22"/>
          <w:lang w:eastAsia="zh-TW"/>
        </w:rPr>
        <w:t>30+ agenda items</w:t>
      </w:r>
      <w:r w:rsidRPr="0062595A">
        <w:rPr>
          <w:rFonts w:eastAsia="Calibri" w:cs="Calibri"/>
          <w:sz w:val="22"/>
          <w:szCs w:val="22"/>
          <w:lang w:eastAsia="zh-TW"/>
        </w:rPr>
        <w:t xml:space="preserve"> across International Mobile Telecommunications (IMT), satellite, maritime, aeronautical and science services.</w:t>
      </w:r>
    </w:p>
    <w:p w14:paraId="3CA5F157" w14:textId="20376BE1" w:rsidR="0062595A" w:rsidRPr="0062595A" w:rsidRDefault="0062595A" w:rsidP="00E86CF6">
      <w:pPr>
        <w:numPr>
          <w:ilvl w:val="0"/>
          <w:numId w:val="8"/>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The Radiocommunication Assembly (</w:t>
      </w:r>
      <w:r w:rsidR="0ACD1BB0" w:rsidRPr="181B6A0C">
        <w:rPr>
          <w:rFonts w:eastAsia="Calibri" w:cs="Calibri"/>
          <w:sz w:val="22"/>
          <w:szCs w:val="22"/>
          <w:lang w:eastAsia="zh-TW"/>
        </w:rPr>
        <w:t>RA23</w:t>
      </w:r>
      <w:r w:rsidRPr="0062595A">
        <w:rPr>
          <w:rFonts w:eastAsia="Calibri" w:cs="Calibri"/>
          <w:sz w:val="22"/>
          <w:szCs w:val="22"/>
          <w:lang w:eastAsia="zh-TW"/>
        </w:rPr>
        <w:t xml:space="preserve">) adopted the </w:t>
      </w:r>
      <w:r w:rsidR="0ACD1BB0" w:rsidRPr="181B6A0C">
        <w:rPr>
          <w:rFonts w:eastAsia="Calibri" w:cs="Calibri"/>
          <w:b/>
          <w:bCs/>
          <w:sz w:val="22"/>
          <w:szCs w:val="22"/>
          <w:lang w:eastAsia="zh-TW"/>
        </w:rPr>
        <w:t>IMT2030</w:t>
      </w:r>
      <w:r w:rsidRPr="0062595A">
        <w:rPr>
          <w:rFonts w:eastAsia="Calibri" w:cs="Calibri"/>
          <w:b/>
          <w:bCs/>
          <w:sz w:val="22"/>
          <w:szCs w:val="22"/>
          <w:lang w:eastAsia="zh-TW"/>
        </w:rPr>
        <w:t xml:space="preserve"> framework</w:t>
      </w:r>
      <w:r w:rsidRPr="0062595A">
        <w:rPr>
          <w:rFonts w:eastAsia="Calibri" w:cs="Calibri"/>
          <w:sz w:val="22"/>
          <w:szCs w:val="22"/>
          <w:lang w:eastAsia="zh-TW"/>
        </w:rPr>
        <w:t xml:space="preserve"> for 6G telecommunication networks, revised </w:t>
      </w:r>
      <w:r w:rsidRPr="0062595A">
        <w:rPr>
          <w:rFonts w:eastAsia="Calibri" w:cs="Calibri"/>
          <w:b/>
          <w:bCs/>
          <w:sz w:val="22"/>
          <w:szCs w:val="22"/>
          <w:lang w:eastAsia="zh-TW"/>
        </w:rPr>
        <w:t xml:space="preserve">26 resolutions </w:t>
      </w:r>
      <w:r w:rsidRPr="0062595A">
        <w:rPr>
          <w:rFonts w:eastAsia="Calibri" w:cs="Calibri"/>
          <w:sz w:val="22"/>
          <w:szCs w:val="22"/>
          <w:lang w:eastAsia="zh-TW"/>
        </w:rPr>
        <w:t>in the ITU Radiocommunication Sector (ITU</w:t>
      </w:r>
      <w:r w:rsidR="656BDDE4" w:rsidRPr="181B6A0C">
        <w:rPr>
          <w:rFonts w:eastAsia="Calibri" w:cs="Calibri"/>
          <w:sz w:val="22"/>
          <w:szCs w:val="22"/>
          <w:lang w:eastAsia="zh-TW"/>
        </w:rPr>
        <w:t>-</w:t>
      </w:r>
      <w:r w:rsidRPr="0062595A">
        <w:rPr>
          <w:rFonts w:eastAsia="Calibri" w:cs="Calibri"/>
          <w:sz w:val="22"/>
          <w:szCs w:val="22"/>
          <w:lang w:eastAsia="zh-TW"/>
        </w:rPr>
        <w:t xml:space="preserve">R), and approved new resolutions on </w:t>
      </w:r>
      <w:r w:rsidRPr="0062595A">
        <w:rPr>
          <w:rFonts w:eastAsia="Calibri" w:cs="Calibri"/>
          <w:b/>
          <w:bCs/>
          <w:sz w:val="22"/>
          <w:szCs w:val="22"/>
          <w:lang w:eastAsia="zh-TW"/>
        </w:rPr>
        <w:t>gender equality</w:t>
      </w:r>
      <w:r w:rsidRPr="0062595A">
        <w:rPr>
          <w:rFonts w:eastAsia="Calibri" w:cs="Calibri"/>
          <w:sz w:val="22"/>
          <w:szCs w:val="22"/>
          <w:lang w:eastAsia="zh-TW"/>
        </w:rPr>
        <w:t xml:space="preserve">, </w:t>
      </w:r>
      <w:r w:rsidRPr="0062595A">
        <w:rPr>
          <w:rFonts w:eastAsia="Calibri" w:cs="Calibri"/>
          <w:b/>
          <w:bCs/>
          <w:sz w:val="22"/>
          <w:szCs w:val="22"/>
          <w:lang w:eastAsia="zh-TW"/>
        </w:rPr>
        <w:t>broadband</w:t>
      </w:r>
      <w:r w:rsidRPr="0062595A">
        <w:rPr>
          <w:rFonts w:eastAsia="Calibri" w:cs="Calibri"/>
          <w:sz w:val="22"/>
          <w:szCs w:val="22"/>
          <w:lang w:eastAsia="zh-TW"/>
        </w:rPr>
        <w:t xml:space="preserve">, </w:t>
      </w:r>
      <w:r w:rsidRPr="0062595A">
        <w:rPr>
          <w:rFonts w:eastAsia="Calibri" w:cs="Calibri"/>
          <w:b/>
          <w:bCs/>
          <w:sz w:val="22"/>
          <w:szCs w:val="22"/>
          <w:lang w:eastAsia="zh-TW"/>
        </w:rPr>
        <w:t>spectrum sustainability</w:t>
      </w:r>
      <w:r w:rsidRPr="0062595A">
        <w:rPr>
          <w:rFonts w:eastAsia="Calibri" w:cs="Calibri"/>
          <w:sz w:val="22"/>
          <w:szCs w:val="22"/>
          <w:lang w:eastAsia="zh-TW"/>
        </w:rPr>
        <w:t xml:space="preserve">, and </w:t>
      </w:r>
      <w:r w:rsidRPr="0062595A">
        <w:rPr>
          <w:rFonts w:eastAsia="Calibri" w:cs="Calibri"/>
          <w:b/>
          <w:bCs/>
          <w:sz w:val="22"/>
          <w:szCs w:val="22"/>
          <w:lang w:eastAsia="zh-TW"/>
        </w:rPr>
        <w:t xml:space="preserve">inter-sectoral </w:t>
      </w:r>
      <w:r w:rsidRPr="0062595A">
        <w:rPr>
          <w:rFonts w:eastAsia="Calibri" w:cs="Calibri"/>
          <w:b/>
          <w:bCs/>
          <w:sz w:val="22"/>
          <w:szCs w:val="22"/>
          <w:lang w:eastAsia="zh-TW"/>
        </w:rPr>
        <w:t>coordination</w:t>
      </w:r>
      <w:r w:rsidRPr="0062595A">
        <w:rPr>
          <w:rFonts w:eastAsia="Calibri" w:cs="Calibri"/>
          <w:sz w:val="22"/>
          <w:szCs w:val="22"/>
          <w:lang w:eastAsia="zh-TW"/>
        </w:rPr>
        <w:t>.</w:t>
      </w:r>
    </w:p>
    <w:p w14:paraId="45287B75" w14:textId="43DAA518" w:rsidR="0062595A" w:rsidRPr="0062595A" w:rsidRDefault="0062595A" w:rsidP="00E86CF6">
      <w:pPr>
        <w:numPr>
          <w:ilvl w:val="0"/>
          <w:numId w:val="8"/>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lastRenderedPageBreak/>
        <w:t>The World Telecommunication Standardization Assembly (WTSA</w:t>
      </w:r>
      <w:r w:rsidRPr="0062595A">
        <w:rPr>
          <w:rFonts w:eastAsia="Calibri" w:cs="Calibri"/>
          <w:sz w:val="22"/>
          <w:szCs w:val="22"/>
          <w:lang w:eastAsia="zh-TW"/>
        </w:rPr>
        <w:noBreakHyphen/>
        <w:t xml:space="preserve">24) welcomed </w:t>
      </w:r>
      <w:r w:rsidRPr="0062595A">
        <w:rPr>
          <w:rFonts w:eastAsia="Calibri" w:cs="Calibri"/>
          <w:b/>
          <w:bCs/>
          <w:sz w:val="22"/>
          <w:szCs w:val="22"/>
          <w:lang w:eastAsia="zh-TW"/>
        </w:rPr>
        <w:t>3</w:t>
      </w:r>
      <w:r w:rsidR="0027239A">
        <w:rPr>
          <w:rFonts w:eastAsia="Calibri" w:cs="Calibri"/>
          <w:b/>
          <w:bCs/>
          <w:sz w:val="22"/>
          <w:szCs w:val="22"/>
          <w:lang w:eastAsia="zh-TW"/>
        </w:rPr>
        <w:t> </w:t>
      </w:r>
      <w:r w:rsidRPr="0062595A">
        <w:rPr>
          <w:rFonts w:eastAsia="Calibri" w:cs="Calibri"/>
          <w:b/>
          <w:bCs/>
          <w:sz w:val="22"/>
          <w:szCs w:val="22"/>
          <w:lang w:eastAsia="zh-TW"/>
        </w:rPr>
        <w:t>700 delegates (27% women)</w:t>
      </w:r>
      <w:r w:rsidRPr="0062595A">
        <w:rPr>
          <w:rFonts w:eastAsia="Calibri" w:cs="Calibri"/>
          <w:sz w:val="22"/>
          <w:szCs w:val="22"/>
          <w:lang w:eastAsia="zh-TW"/>
        </w:rPr>
        <w:t xml:space="preserve">, consolidated Study Groups 9 and 16 into </w:t>
      </w:r>
      <w:r w:rsidRPr="0062595A">
        <w:rPr>
          <w:rFonts w:eastAsia="Calibri" w:cs="Calibri"/>
          <w:b/>
          <w:bCs/>
          <w:sz w:val="22"/>
          <w:szCs w:val="22"/>
          <w:lang w:eastAsia="zh-TW"/>
        </w:rPr>
        <w:t>Study Group 21</w:t>
      </w:r>
      <w:r w:rsidRPr="0062595A">
        <w:rPr>
          <w:rFonts w:eastAsia="Calibri" w:cs="Calibri"/>
          <w:sz w:val="22"/>
          <w:szCs w:val="22"/>
          <w:lang w:eastAsia="zh-TW"/>
        </w:rPr>
        <w:t xml:space="preserve"> and adopted </w:t>
      </w:r>
      <w:r w:rsidRPr="0062595A">
        <w:rPr>
          <w:rFonts w:eastAsia="Calibri" w:cs="Calibri"/>
          <w:b/>
          <w:bCs/>
          <w:sz w:val="22"/>
          <w:szCs w:val="22"/>
          <w:lang w:eastAsia="zh-TW"/>
        </w:rPr>
        <w:t>8 new</w:t>
      </w:r>
      <w:r w:rsidRPr="0062595A">
        <w:rPr>
          <w:rFonts w:eastAsia="Calibri" w:cs="Calibri"/>
          <w:sz w:val="22"/>
          <w:szCs w:val="22"/>
          <w:lang w:eastAsia="zh-TW"/>
        </w:rPr>
        <w:t xml:space="preserve"> and </w:t>
      </w:r>
      <w:r w:rsidRPr="0062595A">
        <w:rPr>
          <w:rFonts w:eastAsia="Calibri" w:cs="Calibri"/>
          <w:b/>
          <w:bCs/>
          <w:sz w:val="22"/>
          <w:szCs w:val="22"/>
          <w:lang w:eastAsia="zh-TW"/>
        </w:rPr>
        <w:t>44 revised</w:t>
      </w:r>
      <w:r w:rsidRPr="0062595A">
        <w:rPr>
          <w:rFonts w:eastAsia="Calibri" w:cs="Calibri"/>
          <w:sz w:val="22"/>
          <w:szCs w:val="22"/>
          <w:lang w:eastAsia="zh-TW"/>
        </w:rPr>
        <w:t xml:space="preserve"> resolutions.</w:t>
      </w:r>
    </w:p>
    <w:p w14:paraId="3D152413" w14:textId="77777777" w:rsidR="0062595A" w:rsidRPr="0062595A" w:rsidRDefault="0062595A" w:rsidP="00E86CF6">
      <w:pPr>
        <w:numPr>
          <w:ilvl w:val="0"/>
          <w:numId w:val="8"/>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The World Telecommunication Development Conference (WTDC</w:t>
      </w:r>
      <w:r w:rsidRPr="0062595A">
        <w:rPr>
          <w:rFonts w:eastAsia="Calibri" w:cs="Calibri"/>
          <w:sz w:val="22"/>
          <w:szCs w:val="22"/>
          <w:lang w:eastAsia="zh-TW"/>
        </w:rPr>
        <w:noBreakHyphen/>
        <w:t xml:space="preserve">25) adopted the </w:t>
      </w:r>
      <w:r w:rsidRPr="0062595A">
        <w:rPr>
          <w:rFonts w:eastAsia="Calibri" w:cs="Calibri"/>
          <w:b/>
          <w:bCs/>
          <w:sz w:val="22"/>
          <w:szCs w:val="22"/>
          <w:lang w:eastAsia="zh-TW"/>
        </w:rPr>
        <w:t>Baku Declaration</w:t>
      </w:r>
      <w:r w:rsidRPr="0062595A">
        <w:rPr>
          <w:rFonts w:eastAsia="Calibri" w:cs="Calibri"/>
          <w:sz w:val="22"/>
          <w:szCs w:val="22"/>
          <w:lang w:eastAsia="zh-TW"/>
        </w:rPr>
        <w:t xml:space="preserve">, </w:t>
      </w:r>
      <w:r w:rsidRPr="0062595A">
        <w:rPr>
          <w:rFonts w:eastAsia="Calibri" w:cs="Calibri"/>
          <w:sz w:val="22"/>
          <w:szCs w:val="22"/>
          <w:lang w:eastAsia="zh-TW"/>
        </w:rPr>
        <w:t xml:space="preserve">the </w:t>
      </w:r>
      <w:r w:rsidRPr="0062595A">
        <w:rPr>
          <w:rFonts w:eastAsia="Calibri" w:cs="Calibri"/>
          <w:b/>
          <w:bCs/>
          <w:sz w:val="22"/>
          <w:szCs w:val="22"/>
          <w:lang w:eastAsia="zh-TW"/>
        </w:rPr>
        <w:t>Baku Action Plan</w:t>
      </w:r>
      <w:r w:rsidRPr="0062595A">
        <w:rPr>
          <w:rFonts w:eastAsia="Calibri" w:cs="Calibri"/>
          <w:sz w:val="22"/>
          <w:szCs w:val="22"/>
          <w:lang w:eastAsia="zh-TW"/>
        </w:rPr>
        <w:t xml:space="preserve">, and updated </w:t>
      </w:r>
      <w:r w:rsidRPr="0062595A">
        <w:rPr>
          <w:rFonts w:eastAsia="Calibri" w:cs="Calibri"/>
          <w:b/>
          <w:bCs/>
          <w:sz w:val="22"/>
          <w:szCs w:val="22"/>
          <w:lang w:eastAsia="zh-TW"/>
        </w:rPr>
        <w:t>Regional Initiatives for 2026–2029</w:t>
      </w:r>
      <w:r w:rsidRPr="0062595A">
        <w:rPr>
          <w:rFonts w:eastAsia="Calibri" w:cs="Calibri"/>
          <w:sz w:val="22"/>
          <w:szCs w:val="22"/>
          <w:lang w:eastAsia="zh-TW"/>
        </w:rPr>
        <w:t>.</w:t>
      </w:r>
    </w:p>
    <w:p w14:paraId="6F15CE4E" w14:textId="77777777" w:rsidR="0062595A" w:rsidRPr="0062595A" w:rsidRDefault="0062595A" w:rsidP="00E86CF6">
      <w:pPr>
        <w:suppressAutoHyphens/>
        <w:adjustRightInd/>
        <w:spacing w:before="240" w:after="120"/>
        <w:jc w:val="both"/>
        <w:rPr>
          <w:rFonts w:eastAsia="MS Mincho"/>
          <w:sz w:val="22"/>
        </w:rPr>
      </w:pPr>
      <w:r w:rsidRPr="0062595A">
        <w:rPr>
          <w:rFonts w:eastAsia="Calibri" w:cs="Calibri"/>
          <w:b/>
          <w:bCs/>
          <w:sz w:val="22"/>
          <w:szCs w:val="22"/>
        </w:rPr>
        <w:t xml:space="preserve">Standards and technology leadership </w:t>
      </w:r>
    </w:p>
    <w:p w14:paraId="32988BA2" w14:textId="1039A65F" w:rsidR="0062595A" w:rsidRPr="0062595A" w:rsidRDefault="0062595A" w:rsidP="00E86CF6">
      <w:pPr>
        <w:numPr>
          <w:ilvl w:val="0"/>
          <w:numId w:val="9"/>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5F5FCC2B">
        <w:rPr>
          <w:rFonts w:eastAsia="Calibri" w:cs="Calibri"/>
          <w:sz w:val="22"/>
          <w:szCs w:val="22"/>
          <w:lang w:eastAsia="zh-TW"/>
        </w:rPr>
        <w:t xml:space="preserve">ITU’s Standardization </w:t>
      </w:r>
      <w:r w:rsidR="004C3CE5" w:rsidRPr="5F5FCC2B">
        <w:rPr>
          <w:rFonts w:eastAsia="Calibri" w:cs="Calibri"/>
          <w:sz w:val="22"/>
          <w:szCs w:val="22"/>
          <w:lang w:eastAsia="zh-TW"/>
        </w:rPr>
        <w:t xml:space="preserve">and Radiocommunication </w:t>
      </w:r>
      <w:r w:rsidRPr="5F5FCC2B">
        <w:rPr>
          <w:rFonts w:eastAsia="Calibri" w:cs="Calibri"/>
          <w:sz w:val="22"/>
          <w:szCs w:val="22"/>
          <w:lang w:eastAsia="zh-TW"/>
        </w:rPr>
        <w:t>Sector</w:t>
      </w:r>
      <w:r w:rsidR="004C3CE5" w:rsidRPr="5F5FCC2B">
        <w:rPr>
          <w:rFonts w:eastAsia="Calibri" w:cs="Calibri"/>
          <w:sz w:val="22"/>
          <w:szCs w:val="22"/>
          <w:lang w:eastAsia="zh-TW"/>
        </w:rPr>
        <w:t>s</w:t>
      </w:r>
      <w:r w:rsidRPr="5F5FCC2B">
        <w:rPr>
          <w:rFonts w:eastAsia="Calibri" w:cs="Calibri"/>
          <w:sz w:val="22"/>
          <w:szCs w:val="22"/>
          <w:lang w:eastAsia="zh-TW"/>
        </w:rPr>
        <w:t xml:space="preserve"> (ITU</w:t>
      </w:r>
      <w:r w:rsidR="729035AB" w:rsidRPr="5F5FCC2B">
        <w:rPr>
          <w:rFonts w:eastAsia="Calibri" w:cs="Calibri"/>
          <w:sz w:val="22"/>
          <w:szCs w:val="22"/>
          <w:lang w:eastAsia="zh-TW"/>
        </w:rPr>
        <w:t>-</w:t>
      </w:r>
      <w:r w:rsidRPr="5F5FCC2B">
        <w:rPr>
          <w:rFonts w:eastAsia="Calibri" w:cs="Calibri"/>
          <w:sz w:val="22"/>
          <w:szCs w:val="22"/>
          <w:lang w:eastAsia="zh-TW"/>
        </w:rPr>
        <w:t>T</w:t>
      </w:r>
      <w:r w:rsidR="004C3CE5" w:rsidRPr="5F5FCC2B">
        <w:rPr>
          <w:rFonts w:eastAsia="Calibri" w:cs="Calibri"/>
          <w:sz w:val="22"/>
          <w:szCs w:val="22"/>
          <w:lang w:eastAsia="zh-TW"/>
        </w:rPr>
        <w:t xml:space="preserve"> and ITU-R</w:t>
      </w:r>
      <w:r w:rsidRPr="5F5FCC2B">
        <w:rPr>
          <w:rFonts w:eastAsia="Calibri" w:cs="Calibri"/>
          <w:sz w:val="22"/>
          <w:szCs w:val="22"/>
          <w:lang w:eastAsia="zh-TW"/>
        </w:rPr>
        <w:t xml:space="preserve">) together approved </w:t>
      </w:r>
      <w:r w:rsidRPr="5F5FCC2B">
        <w:rPr>
          <w:rFonts w:eastAsia="Calibri" w:cs="Calibri"/>
          <w:b/>
          <w:bCs/>
          <w:sz w:val="22"/>
          <w:szCs w:val="22"/>
          <w:lang w:eastAsia="zh-TW"/>
        </w:rPr>
        <w:t>1</w:t>
      </w:r>
      <w:r w:rsidR="0027239A" w:rsidRPr="5F5FCC2B">
        <w:rPr>
          <w:rFonts w:eastAsia="Calibri" w:cs="Calibri"/>
          <w:b/>
          <w:bCs/>
          <w:sz w:val="22"/>
          <w:szCs w:val="22"/>
          <w:lang w:eastAsia="zh-TW"/>
        </w:rPr>
        <w:t> </w:t>
      </w:r>
      <w:r w:rsidRPr="5F5FCC2B">
        <w:rPr>
          <w:rFonts w:eastAsia="Calibri" w:cs="Calibri"/>
          <w:b/>
          <w:bCs/>
          <w:sz w:val="22"/>
          <w:szCs w:val="22"/>
          <w:lang w:eastAsia="zh-TW"/>
        </w:rPr>
        <w:t xml:space="preserve">225 </w:t>
      </w:r>
      <w:r w:rsidRPr="5F5FCC2B">
        <w:rPr>
          <w:rFonts w:eastAsia="Calibri" w:cs="Calibri"/>
          <w:sz w:val="22"/>
          <w:szCs w:val="22"/>
          <w:lang w:eastAsia="zh-TW"/>
        </w:rPr>
        <w:t xml:space="preserve">standards between 2022 and 2025. </w:t>
      </w:r>
    </w:p>
    <w:p w14:paraId="2131A516" w14:textId="609F133E" w:rsidR="0062595A" w:rsidRPr="0062595A" w:rsidRDefault="0062595A" w:rsidP="00E86CF6">
      <w:pPr>
        <w:numPr>
          <w:ilvl w:val="0"/>
          <w:numId w:val="10"/>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b/>
          <w:bCs/>
          <w:sz w:val="22"/>
          <w:szCs w:val="22"/>
          <w:lang w:eastAsia="zh-TW"/>
        </w:rPr>
        <w:t>ITU</w:t>
      </w:r>
      <w:r w:rsidR="23777AAA" w:rsidRPr="181B6A0C">
        <w:rPr>
          <w:rFonts w:eastAsia="Calibri" w:cs="Calibri"/>
          <w:b/>
          <w:bCs/>
          <w:sz w:val="22"/>
          <w:szCs w:val="22"/>
          <w:lang w:eastAsia="zh-TW"/>
        </w:rPr>
        <w:t>-</w:t>
      </w:r>
      <w:r w:rsidRPr="0062595A">
        <w:rPr>
          <w:rFonts w:eastAsia="Calibri" w:cs="Calibri"/>
          <w:b/>
          <w:bCs/>
          <w:sz w:val="22"/>
          <w:szCs w:val="22"/>
          <w:lang w:eastAsia="zh-TW"/>
        </w:rPr>
        <w:t>R Recommendations</w:t>
      </w:r>
      <w:r w:rsidRPr="0062595A">
        <w:rPr>
          <w:rFonts w:eastAsia="Calibri" w:cs="Calibri"/>
          <w:sz w:val="22"/>
          <w:szCs w:val="22"/>
          <w:lang w:eastAsia="zh-TW"/>
        </w:rPr>
        <w:t xml:space="preserve"> in force at the end of 2025 totalled </w:t>
      </w:r>
      <w:r w:rsidRPr="0062595A">
        <w:rPr>
          <w:rFonts w:eastAsia="Calibri" w:cs="Calibri"/>
          <w:b/>
          <w:bCs/>
          <w:sz w:val="22"/>
          <w:szCs w:val="22"/>
          <w:lang w:eastAsia="zh-TW"/>
        </w:rPr>
        <w:t>1</w:t>
      </w:r>
      <w:r w:rsidR="0027239A">
        <w:rPr>
          <w:rFonts w:eastAsia="Calibri" w:cs="Calibri"/>
          <w:b/>
          <w:bCs/>
          <w:sz w:val="22"/>
          <w:szCs w:val="22"/>
          <w:lang w:eastAsia="zh-TW"/>
        </w:rPr>
        <w:t> </w:t>
      </w:r>
      <w:r w:rsidRPr="0062595A">
        <w:rPr>
          <w:rFonts w:eastAsia="Calibri" w:cs="Calibri"/>
          <w:b/>
          <w:bCs/>
          <w:sz w:val="22"/>
          <w:szCs w:val="22"/>
          <w:lang w:eastAsia="zh-TW"/>
        </w:rPr>
        <w:t>161</w:t>
      </w:r>
      <w:r w:rsidRPr="0062595A">
        <w:rPr>
          <w:rFonts w:eastAsia="Calibri" w:cs="Calibri"/>
          <w:sz w:val="22"/>
          <w:szCs w:val="22"/>
          <w:lang w:eastAsia="zh-TW"/>
        </w:rPr>
        <w:t>.</w:t>
      </w:r>
    </w:p>
    <w:p w14:paraId="089711AA" w14:textId="77777777" w:rsidR="0062595A" w:rsidRPr="0062595A" w:rsidRDefault="0062595A" w:rsidP="00E86CF6">
      <w:pPr>
        <w:numPr>
          <w:ilvl w:val="0"/>
          <w:numId w:val="10"/>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ITU’s </w:t>
      </w:r>
      <w:r w:rsidRPr="0062595A">
        <w:rPr>
          <w:rFonts w:eastAsia="Calibri" w:cs="Calibri"/>
          <w:b/>
          <w:bCs/>
          <w:sz w:val="22"/>
          <w:szCs w:val="22"/>
          <w:lang w:eastAsia="zh-TW"/>
        </w:rPr>
        <w:t>Quantum Standards Database</w:t>
      </w:r>
      <w:r w:rsidRPr="0062595A">
        <w:rPr>
          <w:rFonts w:eastAsia="Calibri" w:cs="Calibri"/>
          <w:sz w:val="22"/>
          <w:szCs w:val="22"/>
          <w:lang w:eastAsia="zh-TW"/>
        </w:rPr>
        <w:t xml:space="preserve"> featured around </w:t>
      </w:r>
      <w:r w:rsidRPr="0062595A">
        <w:rPr>
          <w:rFonts w:eastAsia="Calibri" w:cs="Calibri"/>
          <w:b/>
          <w:bCs/>
          <w:sz w:val="22"/>
          <w:szCs w:val="22"/>
          <w:lang w:eastAsia="zh-TW"/>
        </w:rPr>
        <w:t>50 quantum technology standards</w:t>
      </w:r>
      <w:r w:rsidRPr="0062595A">
        <w:rPr>
          <w:rFonts w:eastAsia="Calibri" w:cs="Calibri"/>
          <w:sz w:val="22"/>
          <w:szCs w:val="22"/>
          <w:lang w:eastAsia="zh-TW"/>
        </w:rPr>
        <w:t xml:space="preserve"> and </w:t>
      </w:r>
      <w:r w:rsidRPr="0062595A">
        <w:rPr>
          <w:rFonts w:eastAsia="Calibri" w:cs="Calibri"/>
          <w:b/>
          <w:bCs/>
          <w:sz w:val="22"/>
          <w:szCs w:val="22"/>
          <w:lang w:eastAsia="zh-TW"/>
        </w:rPr>
        <w:t>30+ under development</w:t>
      </w:r>
      <w:r w:rsidRPr="0062595A">
        <w:rPr>
          <w:rFonts w:eastAsia="Calibri" w:cs="Calibri"/>
          <w:sz w:val="22"/>
          <w:szCs w:val="22"/>
          <w:lang w:eastAsia="zh-TW"/>
        </w:rPr>
        <w:t>.</w:t>
      </w:r>
    </w:p>
    <w:p w14:paraId="268D63FA" w14:textId="768D8D41" w:rsidR="0062595A" w:rsidRPr="0062595A" w:rsidRDefault="0062595A" w:rsidP="00E86CF6">
      <w:pPr>
        <w:numPr>
          <w:ilvl w:val="0"/>
          <w:numId w:val="10"/>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The Focus Group on Metaverse (FG</w:t>
      </w:r>
      <w:r w:rsidRPr="0062595A">
        <w:rPr>
          <w:rFonts w:eastAsia="Calibri" w:cs="Calibri"/>
          <w:sz w:val="22"/>
          <w:szCs w:val="22"/>
          <w:lang w:eastAsia="zh-TW"/>
        </w:rPr>
        <w:noBreakHyphen/>
        <w:t xml:space="preserve">MV) engaged </w:t>
      </w:r>
      <w:r w:rsidRPr="0062595A">
        <w:rPr>
          <w:rFonts w:eastAsia="Calibri" w:cs="Calibri"/>
          <w:b/>
          <w:bCs/>
          <w:sz w:val="22"/>
          <w:szCs w:val="22"/>
          <w:lang w:eastAsia="zh-TW"/>
        </w:rPr>
        <w:t>17,000+ participants</w:t>
      </w:r>
      <w:r w:rsidRPr="0062595A">
        <w:rPr>
          <w:rFonts w:eastAsia="Calibri" w:cs="Calibri"/>
          <w:sz w:val="22"/>
          <w:szCs w:val="22"/>
          <w:lang w:eastAsia="zh-TW"/>
        </w:rPr>
        <w:t xml:space="preserve"> and produced </w:t>
      </w:r>
      <w:r w:rsidRPr="0062595A">
        <w:rPr>
          <w:rFonts w:eastAsia="Calibri" w:cs="Calibri"/>
          <w:b/>
          <w:bCs/>
          <w:sz w:val="22"/>
          <w:szCs w:val="22"/>
          <w:lang w:eastAsia="zh-TW"/>
        </w:rPr>
        <w:t>52</w:t>
      </w:r>
      <w:r w:rsidR="0027239A">
        <w:rPr>
          <w:rFonts w:eastAsia="Calibri" w:cs="Calibri"/>
          <w:b/>
          <w:bCs/>
          <w:sz w:val="22"/>
          <w:szCs w:val="22"/>
          <w:lang w:eastAsia="zh-TW"/>
        </w:rPr>
        <w:t> </w:t>
      </w:r>
      <w:r w:rsidRPr="0062595A">
        <w:rPr>
          <w:rFonts w:eastAsia="Calibri" w:cs="Calibri"/>
          <w:b/>
          <w:bCs/>
          <w:sz w:val="22"/>
          <w:szCs w:val="22"/>
          <w:lang w:eastAsia="zh-TW"/>
        </w:rPr>
        <w:t>deliverables</w:t>
      </w:r>
      <w:r w:rsidRPr="0062595A">
        <w:rPr>
          <w:rFonts w:eastAsia="Calibri" w:cs="Calibri"/>
          <w:sz w:val="22"/>
          <w:szCs w:val="22"/>
          <w:lang w:eastAsia="zh-TW"/>
        </w:rPr>
        <w:t xml:space="preserve"> before transferring work into Study Groups.</w:t>
      </w:r>
    </w:p>
    <w:p w14:paraId="194130A9" w14:textId="1A0B44C0" w:rsidR="0062595A" w:rsidRPr="0062595A" w:rsidRDefault="0062595A" w:rsidP="00E86CF6">
      <w:pPr>
        <w:numPr>
          <w:ilvl w:val="0"/>
          <w:numId w:val="10"/>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The </w:t>
      </w:r>
      <w:r w:rsidRPr="0062595A">
        <w:rPr>
          <w:rFonts w:eastAsia="Calibri" w:cs="Calibri"/>
          <w:b/>
          <w:bCs/>
          <w:sz w:val="22"/>
          <w:szCs w:val="22"/>
          <w:lang w:eastAsia="zh-TW"/>
        </w:rPr>
        <w:t>AI Standards Exchange Database</w:t>
      </w:r>
      <w:r w:rsidRPr="0062595A">
        <w:rPr>
          <w:rFonts w:eastAsia="Calibri" w:cs="Calibri"/>
          <w:sz w:val="22"/>
          <w:szCs w:val="22"/>
          <w:lang w:eastAsia="zh-TW"/>
        </w:rPr>
        <w:t xml:space="preserve"> launched in 2025 with </w:t>
      </w:r>
      <w:r w:rsidR="2CE36E7C" w:rsidRPr="6537CB56">
        <w:rPr>
          <w:rFonts w:eastAsia="Calibri" w:cs="Calibri"/>
          <w:sz w:val="22"/>
          <w:szCs w:val="22"/>
          <w:lang w:eastAsia="zh-TW"/>
        </w:rPr>
        <w:t xml:space="preserve">over </w:t>
      </w:r>
      <w:r w:rsidRPr="0062595A">
        <w:rPr>
          <w:rFonts w:eastAsia="Calibri" w:cs="Calibri"/>
          <w:b/>
          <w:bCs/>
          <w:sz w:val="22"/>
          <w:szCs w:val="22"/>
          <w:lang w:eastAsia="zh-TW"/>
        </w:rPr>
        <w:t>700 AI-related standards</w:t>
      </w:r>
      <w:r w:rsidRPr="0062595A">
        <w:rPr>
          <w:rFonts w:eastAsia="Calibri" w:cs="Calibri"/>
          <w:sz w:val="22"/>
          <w:szCs w:val="22"/>
          <w:lang w:eastAsia="zh-TW"/>
        </w:rPr>
        <w:t xml:space="preserve">, including </w:t>
      </w:r>
      <w:r w:rsidR="13213D78" w:rsidRPr="6537CB56">
        <w:rPr>
          <w:rFonts w:eastAsia="Calibri" w:cs="Calibri"/>
          <w:sz w:val="22"/>
          <w:szCs w:val="22"/>
          <w:lang w:eastAsia="zh-TW"/>
        </w:rPr>
        <w:t>over</w:t>
      </w:r>
      <w:r w:rsidRPr="6537CB56">
        <w:rPr>
          <w:rFonts w:eastAsia="Calibri" w:cs="Calibri"/>
          <w:sz w:val="22"/>
          <w:szCs w:val="22"/>
          <w:lang w:eastAsia="zh-TW"/>
        </w:rPr>
        <w:t xml:space="preserve"> </w:t>
      </w:r>
      <w:r w:rsidRPr="0062595A">
        <w:rPr>
          <w:rFonts w:eastAsia="Calibri" w:cs="Calibri"/>
          <w:b/>
          <w:bCs/>
          <w:sz w:val="22"/>
          <w:szCs w:val="22"/>
          <w:lang w:eastAsia="zh-TW"/>
        </w:rPr>
        <w:t>200 AI standards published</w:t>
      </w:r>
      <w:r w:rsidRPr="0062595A">
        <w:rPr>
          <w:rFonts w:eastAsia="Calibri" w:cs="Calibri"/>
          <w:sz w:val="22"/>
          <w:szCs w:val="22"/>
          <w:lang w:eastAsia="zh-TW"/>
        </w:rPr>
        <w:t xml:space="preserve"> </w:t>
      </w:r>
      <w:r w:rsidR="2450BB24" w:rsidRPr="181B6A0C">
        <w:rPr>
          <w:rFonts w:eastAsia="Calibri" w:cs="Calibri"/>
          <w:sz w:val="22"/>
          <w:szCs w:val="22"/>
          <w:lang w:eastAsia="zh-TW"/>
        </w:rPr>
        <w:t xml:space="preserve">by ITU </w:t>
      </w:r>
      <w:r w:rsidRPr="0062595A">
        <w:rPr>
          <w:rFonts w:eastAsia="Calibri" w:cs="Calibri"/>
          <w:sz w:val="22"/>
          <w:szCs w:val="22"/>
          <w:lang w:eastAsia="zh-TW"/>
        </w:rPr>
        <w:t xml:space="preserve">and </w:t>
      </w:r>
      <w:r w:rsidR="6D57E1D3" w:rsidRPr="6537CB56">
        <w:rPr>
          <w:rFonts w:eastAsia="Calibri" w:cs="Calibri"/>
          <w:sz w:val="22"/>
          <w:szCs w:val="22"/>
          <w:lang w:eastAsia="zh-TW"/>
        </w:rPr>
        <w:t>another</w:t>
      </w:r>
      <w:r w:rsidRPr="6537CB56">
        <w:rPr>
          <w:rFonts w:eastAsia="Calibri" w:cs="Calibri"/>
          <w:sz w:val="22"/>
          <w:szCs w:val="22"/>
          <w:lang w:eastAsia="zh-TW"/>
        </w:rPr>
        <w:t xml:space="preserve"> </w:t>
      </w:r>
      <w:r w:rsidRPr="0062595A">
        <w:rPr>
          <w:rFonts w:eastAsia="Calibri" w:cs="Calibri"/>
          <w:b/>
          <w:bCs/>
          <w:sz w:val="22"/>
          <w:szCs w:val="22"/>
          <w:lang w:eastAsia="zh-TW"/>
        </w:rPr>
        <w:t>200 in development</w:t>
      </w:r>
      <w:r w:rsidRPr="0062595A">
        <w:rPr>
          <w:rFonts w:eastAsia="Calibri" w:cs="Calibri"/>
          <w:sz w:val="22"/>
          <w:szCs w:val="22"/>
          <w:lang w:eastAsia="zh-TW"/>
        </w:rPr>
        <w:t>.</w:t>
      </w:r>
    </w:p>
    <w:p w14:paraId="74F477C4" w14:textId="601B4B8C" w:rsidR="0062595A" w:rsidRPr="0062595A" w:rsidRDefault="0ACD1BB0" w:rsidP="00E86CF6">
      <w:pPr>
        <w:numPr>
          <w:ilvl w:val="0"/>
          <w:numId w:val="10"/>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181B6A0C">
        <w:rPr>
          <w:rFonts w:eastAsia="Calibri" w:cs="Calibri"/>
          <w:sz w:val="22"/>
          <w:szCs w:val="22"/>
          <w:lang w:eastAsia="zh-TW"/>
        </w:rPr>
        <w:t>ITUR</w:t>
      </w:r>
      <w:r w:rsidR="0062595A" w:rsidRPr="0062595A">
        <w:rPr>
          <w:rFonts w:eastAsia="Calibri" w:cs="Calibri"/>
          <w:sz w:val="22"/>
          <w:szCs w:val="22"/>
          <w:lang w:eastAsia="zh-TW"/>
        </w:rPr>
        <w:t xml:space="preserve"> received the </w:t>
      </w:r>
      <w:r w:rsidR="0062595A" w:rsidRPr="0062595A">
        <w:rPr>
          <w:rFonts w:eastAsia="Calibri" w:cs="Calibri"/>
          <w:b/>
          <w:bCs/>
          <w:sz w:val="22"/>
          <w:szCs w:val="22"/>
          <w:lang w:eastAsia="zh-TW"/>
        </w:rPr>
        <w:t>Engineering, Science &amp; Technology Emmy Award</w:t>
      </w:r>
      <w:r w:rsidR="0062595A" w:rsidRPr="0062595A">
        <w:rPr>
          <w:rFonts w:eastAsia="Calibri" w:cs="Calibri"/>
          <w:sz w:val="22"/>
          <w:szCs w:val="22"/>
          <w:lang w:eastAsia="zh-TW"/>
        </w:rPr>
        <w:t xml:space="preserve"> in 2023 for the global </w:t>
      </w:r>
      <w:r w:rsidR="0062595A" w:rsidRPr="0062595A">
        <w:rPr>
          <w:rFonts w:eastAsia="Calibri" w:cs="Calibri"/>
          <w:b/>
          <w:bCs/>
          <w:sz w:val="22"/>
          <w:szCs w:val="22"/>
          <w:lang w:eastAsia="zh-TW"/>
        </w:rPr>
        <w:t>high</w:t>
      </w:r>
      <w:r w:rsidR="5321AC80" w:rsidRPr="181B6A0C">
        <w:rPr>
          <w:rFonts w:eastAsia="Calibri" w:cs="Calibri"/>
          <w:b/>
          <w:bCs/>
          <w:sz w:val="22"/>
          <w:szCs w:val="22"/>
          <w:lang w:eastAsia="zh-TW"/>
        </w:rPr>
        <w:t xml:space="preserve"> </w:t>
      </w:r>
      <w:r w:rsidR="0062595A" w:rsidRPr="0062595A">
        <w:rPr>
          <w:rFonts w:eastAsia="Calibri" w:cs="Calibri"/>
          <w:b/>
          <w:bCs/>
          <w:sz w:val="22"/>
          <w:szCs w:val="22"/>
          <w:lang w:eastAsia="zh-TW"/>
        </w:rPr>
        <w:t>dynamic</w:t>
      </w:r>
      <w:r w:rsidR="1805ED66" w:rsidRPr="181B6A0C">
        <w:rPr>
          <w:rFonts w:eastAsia="Calibri" w:cs="Calibri"/>
          <w:b/>
          <w:bCs/>
          <w:sz w:val="22"/>
          <w:szCs w:val="22"/>
          <w:lang w:eastAsia="zh-TW"/>
        </w:rPr>
        <w:t xml:space="preserve"> </w:t>
      </w:r>
      <w:r w:rsidR="0062595A" w:rsidRPr="0062595A">
        <w:rPr>
          <w:rFonts w:eastAsia="Calibri" w:cs="Calibri"/>
          <w:b/>
          <w:bCs/>
          <w:sz w:val="22"/>
          <w:szCs w:val="22"/>
          <w:lang w:eastAsia="zh-TW"/>
        </w:rPr>
        <w:t xml:space="preserve">range television (HDR-TV) </w:t>
      </w:r>
      <w:r w:rsidR="0062595A" w:rsidRPr="0062595A">
        <w:rPr>
          <w:rFonts w:eastAsia="Calibri" w:cs="Calibri"/>
          <w:sz w:val="22"/>
          <w:szCs w:val="22"/>
          <w:lang w:eastAsia="zh-TW"/>
        </w:rPr>
        <w:t>standard.</w:t>
      </w:r>
    </w:p>
    <w:p w14:paraId="61A39921" w14:textId="77777777" w:rsidR="0062595A" w:rsidRPr="0062595A" w:rsidRDefault="0062595A" w:rsidP="00E86CF6">
      <w:pPr>
        <w:suppressAutoHyphens/>
        <w:adjustRightInd/>
        <w:spacing w:before="240" w:after="120"/>
        <w:jc w:val="both"/>
        <w:rPr>
          <w:rFonts w:eastAsia="MS Mincho"/>
          <w:sz w:val="22"/>
        </w:rPr>
      </w:pPr>
      <w:r w:rsidRPr="0062595A">
        <w:rPr>
          <w:rFonts w:eastAsia="Calibri" w:cs="Calibri"/>
          <w:b/>
          <w:bCs/>
          <w:sz w:val="22"/>
          <w:szCs w:val="22"/>
        </w:rPr>
        <w:t>Capacity development &amp; digital skills</w:t>
      </w:r>
    </w:p>
    <w:p w14:paraId="5C367BCD" w14:textId="1F2D36E4" w:rsidR="0062595A" w:rsidRPr="0062595A" w:rsidRDefault="0062595A" w:rsidP="00E86CF6">
      <w:pPr>
        <w:numPr>
          <w:ilvl w:val="0"/>
          <w:numId w:val="11"/>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ITU Academy expanded from </w:t>
      </w:r>
      <w:r w:rsidRPr="0062595A">
        <w:rPr>
          <w:rFonts w:eastAsia="Calibri" w:cs="Calibri"/>
          <w:b/>
          <w:bCs/>
          <w:sz w:val="22"/>
          <w:szCs w:val="22"/>
          <w:lang w:eastAsia="zh-TW"/>
        </w:rPr>
        <w:t>26</w:t>
      </w:r>
      <w:r w:rsidR="0027239A">
        <w:rPr>
          <w:rFonts w:eastAsia="Calibri" w:cs="Calibri"/>
          <w:b/>
          <w:bCs/>
          <w:sz w:val="22"/>
          <w:szCs w:val="22"/>
          <w:lang w:eastAsia="zh-TW"/>
        </w:rPr>
        <w:t> </w:t>
      </w:r>
      <w:r w:rsidRPr="0062595A">
        <w:rPr>
          <w:rFonts w:eastAsia="Calibri" w:cs="Calibri"/>
          <w:b/>
          <w:bCs/>
          <w:sz w:val="22"/>
          <w:szCs w:val="22"/>
          <w:lang w:eastAsia="zh-TW"/>
        </w:rPr>
        <w:t>000 to 83</w:t>
      </w:r>
      <w:r w:rsidR="0027239A">
        <w:rPr>
          <w:rFonts w:eastAsia="Calibri" w:cs="Calibri"/>
          <w:b/>
          <w:bCs/>
          <w:sz w:val="22"/>
          <w:szCs w:val="22"/>
          <w:lang w:eastAsia="zh-TW"/>
        </w:rPr>
        <w:t> </w:t>
      </w:r>
      <w:r w:rsidRPr="0062595A">
        <w:rPr>
          <w:rFonts w:eastAsia="Calibri" w:cs="Calibri"/>
          <w:b/>
          <w:bCs/>
          <w:sz w:val="22"/>
          <w:szCs w:val="22"/>
          <w:lang w:eastAsia="zh-TW"/>
        </w:rPr>
        <w:t>000 learners</w:t>
      </w:r>
      <w:r w:rsidRPr="0062595A">
        <w:rPr>
          <w:rFonts w:eastAsia="Calibri" w:cs="Calibri"/>
          <w:sz w:val="22"/>
          <w:szCs w:val="22"/>
          <w:lang w:eastAsia="zh-TW"/>
        </w:rPr>
        <w:t xml:space="preserve"> (2022–2025), with </w:t>
      </w:r>
      <w:r w:rsidRPr="0062595A">
        <w:rPr>
          <w:rFonts w:eastAsia="Calibri" w:cs="Calibri"/>
          <w:b/>
          <w:bCs/>
          <w:sz w:val="22"/>
          <w:szCs w:val="22"/>
          <w:lang w:eastAsia="zh-TW"/>
        </w:rPr>
        <w:t>40% women</w:t>
      </w:r>
      <w:r w:rsidRPr="0062595A">
        <w:rPr>
          <w:rFonts w:eastAsia="Calibri" w:cs="Calibri"/>
          <w:sz w:val="22"/>
          <w:szCs w:val="22"/>
          <w:lang w:eastAsia="zh-TW"/>
        </w:rPr>
        <w:t xml:space="preserve">, and delivered around </w:t>
      </w:r>
      <w:r w:rsidRPr="0062595A">
        <w:rPr>
          <w:rFonts w:eastAsia="Calibri" w:cs="Calibri"/>
          <w:b/>
          <w:bCs/>
          <w:sz w:val="22"/>
          <w:szCs w:val="22"/>
          <w:lang w:eastAsia="zh-TW"/>
        </w:rPr>
        <w:t>150 courses per year</w:t>
      </w:r>
      <w:r w:rsidRPr="0062595A">
        <w:rPr>
          <w:rFonts w:eastAsia="Calibri" w:cs="Calibri"/>
          <w:sz w:val="22"/>
          <w:szCs w:val="22"/>
          <w:lang w:eastAsia="zh-TW"/>
        </w:rPr>
        <w:t xml:space="preserve"> with </w:t>
      </w:r>
      <w:r w:rsidRPr="0062595A">
        <w:rPr>
          <w:rFonts w:eastAsia="Calibri" w:cs="Calibri"/>
          <w:b/>
          <w:bCs/>
          <w:sz w:val="22"/>
          <w:szCs w:val="22"/>
          <w:lang w:eastAsia="zh-TW"/>
        </w:rPr>
        <w:t>17</w:t>
      </w:r>
      <w:r w:rsidR="0027239A">
        <w:rPr>
          <w:rFonts w:eastAsia="Calibri" w:cs="Calibri"/>
          <w:b/>
          <w:bCs/>
          <w:sz w:val="22"/>
          <w:szCs w:val="22"/>
          <w:lang w:eastAsia="zh-TW"/>
        </w:rPr>
        <w:t> </w:t>
      </w:r>
      <w:r w:rsidRPr="0062595A">
        <w:rPr>
          <w:rFonts w:eastAsia="Calibri" w:cs="Calibri"/>
          <w:b/>
          <w:bCs/>
          <w:sz w:val="22"/>
          <w:szCs w:val="22"/>
          <w:lang w:eastAsia="zh-TW"/>
        </w:rPr>
        <w:t>500+ certifications</w:t>
      </w:r>
      <w:r w:rsidRPr="0062595A">
        <w:rPr>
          <w:rFonts w:eastAsia="Calibri" w:cs="Calibri"/>
          <w:sz w:val="22"/>
          <w:szCs w:val="22"/>
          <w:lang w:eastAsia="zh-TW"/>
        </w:rPr>
        <w:t xml:space="preserve"> since 2023.</w:t>
      </w:r>
    </w:p>
    <w:p w14:paraId="31384822" w14:textId="19D19B93" w:rsidR="0062595A" w:rsidRPr="0062595A" w:rsidRDefault="0062595A" w:rsidP="00E86CF6">
      <w:pPr>
        <w:numPr>
          <w:ilvl w:val="0"/>
          <w:numId w:val="11"/>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Accredited ITU Academy training centres delivered </w:t>
      </w:r>
      <w:r w:rsidRPr="0062595A">
        <w:rPr>
          <w:rFonts w:eastAsia="Calibri" w:cs="Calibri"/>
          <w:b/>
          <w:bCs/>
          <w:sz w:val="22"/>
          <w:szCs w:val="22"/>
          <w:lang w:eastAsia="zh-TW"/>
        </w:rPr>
        <w:t>159 courses</w:t>
      </w:r>
      <w:r w:rsidRPr="0062595A">
        <w:rPr>
          <w:rFonts w:eastAsia="Calibri" w:cs="Calibri"/>
          <w:sz w:val="22"/>
          <w:szCs w:val="22"/>
          <w:lang w:eastAsia="zh-TW"/>
        </w:rPr>
        <w:t xml:space="preserve"> to </w:t>
      </w:r>
      <w:r w:rsidRPr="0062595A">
        <w:rPr>
          <w:rFonts w:eastAsia="Calibri" w:cs="Calibri"/>
          <w:b/>
          <w:bCs/>
          <w:sz w:val="22"/>
          <w:szCs w:val="22"/>
          <w:lang w:eastAsia="zh-TW"/>
        </w:rPr>
        <w:t>4</w:t>
      </w:r>
      <w:r w:rsidR="0027239A">
        <w:rPr>
          <w:rFonts w:eastAsia="Calibri" w:cs="Calibri"/>
          <w:b/>
          <w:bCs/>
          <w:sz w:val="22"/>
          <w:szCs w:val="22"/>
          <w:lang w:eastAsia="zh-TW"/>
        </w:rPr>
        <w:t> </w:t>
      </w:r>
      <w:r w:rsidRPr="0062595A">
        <w:rPr>
          <w:rFonts w:eastAsia="Calibri" w:cs="Calibri"/>
          <w:b/>
          <w:bCs/>
          <w:sz w:val="22"/>
          <w:szCs w:val="22"/>
          <w:lang w:eastAsia="zh-TW"/>
        </w:rPr>
        <w:t>048 participants</w:t>
      </w:r>
      <w:r w:rsidRPr="0062595A">
        <w:rPr>
          <w:rFonts w:eastAsia="Calibri" w:cs="Calibri"/>
          <w:sz w:val="22"/>
          <w:szCs w:val="22"/>
          <w:lang w:eastAsia="zh-TW"/>
        </w:rPr>
        <w:t xml:space="preserve"> (2023–2025), 86% of them from developing countries.</w:t>
      </w:r>
    </w:p>
    <w:p w14:paraId="5733FFF7" w14:textId="48F3C834" w:rsidR="0062595A" w:rsidRPr="0062595A" w:rsidRDefault="0062595A" w:rsidP="00E86CF6">
      <w:pPr>
        <w:numPr>
          <w:ilvl w:val="0"/>
          <w:numId w:val="11"/>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ITU-Cisco Digital Transformation Centres trained </w:t>
      </w:r>
      <w:r w:rsidRPr="0062595A">
        <w:rPr>
          <w:rFonts w:eastAsia="Calibri" w:cs="Calibri"/>
          <w:b/>
          <w:bCs/>
          <w:sz w:val="22"/>
          <w:szCs w:val="22"/>
          <w:lang w:eastAsia="zh-TW"/>
        </w:rPr>
        <w:t>610</w:t>
      </w:r>
      <w:r w:rsidR="0027239A">
        <w:rPr>
          <w:rFonts w:eastAsia="Calibri" w:cs="Calibri"/>
          <w:b/>
          <w:bCs/>
          <w:sz w:val="22"/>
          <w:szCs w:val="22"/>
          <w:lang w:eastAsia="zh-TW"/>
        </w:rPr>
        <w:t> </w:t>
      </w:r>
      <w:r w:rsidRPr="0062595A">
        <w:rPr>
          <w:rFonts w:eastAsia="Calibri" w:cs="Calibri"/>
          <w:b/>
          <w:bCs/>
          <w:sz w:val="22"/>
          <w:szCs w:val="22"/>
          <w:lang w:eastAsia="zh-TW"/>
        </w:rPr>
        <w:t>000+ participants</w:t>
      </w:r>
      <w:r w:rsidRPr="0062595A">
        <w:rPr>
          <w:rFonts w:eastAsia="Calibri" w:cs="Calibri"/>
          <w:sz w:val="22"/>
          <w:szCs w:val="22"/>
          <w:lang w:eastAsia="zh-TW"/>
        </w:rPr>
        <w:t xml:space="preserve">, </w:t>
      </w:r>
      <w:r w:rsidRPr="0062595A">
        <w:rPr>
          <w:rFonts w:eastAsia="Calibri" w:cs="Calibri"/>
          <w:b/>
          <w:bCs/>
          <w:sz w:val="22"/>
          <w:szCs w:val="22"/>
          <w:lang w:eastAsia="zh-TW"/>
        </w:rPr>
        <w:t>53% women</w:t>
      </w:r>
      <w:r w:rsidRPr="0062595A">
        <w:rPr>
          <w:rFonts w:eastAsia="Calibri" w:cs="Calibri"/>
          <w:sz w:val="22"/>
          <w:szCs w:val="22"/>
          <w:lang w:eastAsia="zh-TW"/>
        </w:rPr>
        <w:t>, across four regions.</w:t>
      </w:r>
    </w:p>
    <w:p w14:paraId="00EF88BE" w14:textId="77777777" w:rsidR="0062595A" w:rsidRPr="0062595A" w:rsidRDefault="0062595A" w:rsidP="00E86CF6">
      <w:pPr>
        <w:suppressAutoHyphens/>
        <w:adjustRightInd/>
        <w:spacing w:before="240" w:after="120"/>
        <w:jc w:val="both"/>
        <w:rPr>
          <w:rFonts w:eastAsia="MS Mincho"/>
          <w:sz w:val="22"/>
        </w:rPr>
      </w:pPr>
      <w:r w:rsidRPr="0062595A">
        <w:rPr>
          <w:rFonts w:eastAsia="Calibri" w:cs="Calibri"/>
          <w:b/>
          <w:bCs/>
          <w:sz w:val="22"/>
          <w:szCs w:val="22"/>
        </w:rPr>
        <w:t>Technical assistance</w:t>
      </w:r>
      <w:r w:rsidRPr="0062595A">
        <w:rPr>
          <w:rFonts w:eastAsia="Calibri" w:cs="Calibri"/>
          <w:b/>
          <w:sz w:val="22"/>
        </w:rPr>
        <w:t xml:space="preserve"> &amp; implementation</w:t>
      </w:r>
    </w:p>
    <w:p w14:paraId="005D849E" w14:textId="5917093F" w:rsidR="0062595A" w:rsidRPr="0062595A" w:rsidRDefault="004C3CE5" w:rsidP="00E86CF6">
      <w:pPr>
        <w:numPr>
          <w:ilvl w:val="0"/>
          <w:numId w:val="12"/>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5F5FCC2B">
        <w:rPr>
          <w:rFonts w:eastAsia="Calibri" w:cs="Calibri"/>
          <w:sz w:val="22"/>
          <w:szCs w:val="22"/>
          <w:lang w:eastAsia="zh-TW"/>
        </w:rPr>
        <w:t xml:space="preserve">In the </w:t>
      </w:r>
      <w:r w:rsidR="0062595A" w:rsidRPr="5F5FCC2B">
        <w:rPr>
          <w:rFonts w:eastAsia="Calibri" w:cs="Calibri"/>
          <w:sz w:val="22"/>
          <w:szCs w:val="22"/>
          <w:lang w:eastAsia="zh-TW"/>
        </w:rPr>
        <w:t xml:space="preserve">ITU Telecommunication Development </w:t>
      </w:r>
      <w:r w:rsidRPr="5F5FCC2B">
        <w:rPr>
          <w:rFonts w:eastAsia="Calibri" w:cs="Calibri"/>
          <w:sz w:val="22"/>
          <w:szCs w:val="22"/>
          <w:lang w:eastAsia="zh-TW"/>
        </w:rPr>
        <w:t>Sector</w:t>
      </w:r>
      <w:r w:rsidR="0062595A" w:rsidRPr="5F5FCC2B">
        <w:rPr>
          <w:rFonts w:eastAsia="Calibri" w:cs="Calibri"/>
          <w:sz w:val="22"/>
          <w:szCs w:val="22"/>
          <w:lang w:eastAsia="zh-TW"/>
        </w:rPr>
        <w:t xml:space="preserve"> (</w:t>
      </w:r>
      <w:r w:rsidRPr="5F5FCC2B">
        <w:rPr>
          <w:rFonts w:eastAsia="Calibri" w:cs="Calibri"/>
          <w:sz w:val="22"/>
          <w:szCs w:val="22"/>
          <w:lang w:eastAsia="zh-TW"/>
        </w:rPr>
        <w:t>ITU-D</w:t>
      </w:r>
      <w:r w:rsidR="0062595A" w:rsidRPr="5F5FCC2B">
        <w:rPr>
          <w:rFonts w:eastAsia="Calibri" w:cs="Calibri"/>
          <w:sz w:val="22"/>
          <w:szCs w:val="22"/>
          <w:lang w:eastAsia="zh-TW"/>
        </w:rPr>
        <w:t>)</w:t>
      </w:r>
      <w:r w:rsidR="2DE8EBFA" w:rsidRPr="5F5FCC2B">
        <w:rPr>
          <w:rFonts w:eastAsia="Calibri" w:cs="Calibri"/>
          <w:sz w:val="22"/>
          <w:szCs w:val="22"/>
          <w:lang w:eastAsia="zh-TW"/>
        </w:rPr>
        <w:t>,</w:t>
      </w:r>
      <w:r w:rsidR="0062595A" w:rsidRPr="5F5FCC2B">
        <w:rPr>
          <w:rFonts w:eastAsia="Calibri" w:cs="Calibri"/>
          <w:sz w:val="22"/>
          <w:szCs w:val="22"/>
          <w:lang w:eastAsia="zh-TW"/>
        </w:rPr>
        <w:t xml:space="preserve"> </w:t>
      </w:r>
      <w:r w:rsidR="0062595A" w:rsidRPr="5F5FCC2B">
        <w:rPr>
          <w:rFonts w:eastAsia="Calibri" w:cs="Calibri"/>
          <w:b/>
          <w:bCs/>
          <w:sz w:val="22"/>
          <w:szCs w:val="22"/>
          <w:lang w:eastAsia="zh-TW"/>
        </w:rPr>
        <w:t>106 projects</w:t>
      </w:r>
      <w:r w:rsidR="0062595A" w:rsidRPr="5F5FCC2B">
        <w:rPr>
          <w:rFonts w:eastAsia="Calibri" w:cs="Calibri"/>
          <w:sz w:val="22"/>
          <w:szCs w:val="22"/>
          <w:lang w:eastAsia="zh-TW"/>
        </w:rPr>
        <w:t xml:space="preserve"> </w:t>
      </w:r>
      <w:r w:rsidR="006176F4" w:rsidRPr="5F5FCC2B">
        <w:rPr>
          <w:rFonts w:eastAsia="Calibri" w:cs="Calibri"/>
          <w:sz w:val="22"/>
          <w:szCs w:val="22"/>
          <w:lang w:eastAsia="zh-TW"/>
        </w:rPr>
        <w:t xml:space="preserve">were implemented </w:t>
      </w:r>
      <w:r w:rsidR="0062595A" w:rsidRPr="5F5FCC2B">
        <w:rPr>
          <w:rFonts w:eastAsia="Calibri" w:cs="Calibri"/>
          <w:sz w:val="22"/>
          <w:szCs w:val="22"/>
          <w:lang w:eastAsia="zh-TW"/>
        </w:rPr>
        <w:t>in 2025</w:t>
      </w:r>
      <w:r w:rsidR="16747287" w:rsidRPr="5F5FCC2B">
        <w:rPr>
          <w:rFonts w:eastAsia="Calibri" w:cs="Calibri"/>
          <w:sz w:val="22"/>
          <w:szCs w:val="22"/>
          <w:lang w:eastAsia="zh-TW"/>
        </w:rPr>
        <w:t>,</w:t>
      </w:r>
      <w:r w:rsidR="0062595A" w:rsidRPr="5F5FCC2B">
        <w:rPr>
          <w:rFonts w:eastAsia="Calibri" w:cs="Calibri"/>
          <w:sz w:val="22"/>
          <w:szCs w:val="22"/>
          <w:lang w:eastAsia="zh-TW"/>
        </w:rPr>
        <w:t xml:space="preserve"> worth </w:t>
      </w:r>
      <w:r w:rsidR="0062595A" w:rsidRPr="5F5FCC2B">
        <w:rPr>
          <w:rFonts w:eastAsia="Calibri" w:cs="Calibri"/>
          <w:b/>
          <w:bCs/>
          <w:sz w:val="22"/>
          <w:szCs w:val="22"/>
          <w:lang w:eastAsia="zh-TW"/>
        </w:rPr>
        <w:t>79.7 million Swiss francs (CHF)</w:t>
      </w:r>
      <w:r w:rsidR="0062595A" w:rsidRPr="5F5FCC2B">
        <w:rPr>
          <w:rFonts w:eastAsia="Calibri" w:cs="Calibri"/>
          <w:sz w:val="22"/>
          <w:szCs w:val="22"/>
          <w:lang w:eastAsia="zh-TW"/>
        </w:rPr>
        <w:t xml:space="preserve">, with </w:t>
      </w:r>
      <w:r w:rsidR="0062595A" w:rsidRPr="5F5FCC2B">
        <w:rPr>
          <w:rFonts w:eastAsia="Calibri" w:cs="Calibri"/>
          <w:b/>
          <w:bCs/>
          <w:sz w:val="22"/>
          <w:szCs w:val="22"/>
          <w:lang w:eastAsia="zh-TW"/>
        </w:rPr>
        <w:t>90%</w:t>
      </w:r>
      <w:r w:rsidR="0062595A" w:rsidRPr="5F5FCC2B">
        <w:rPr>
          <w:rFonts w:eastAsia="Calibri" w:cs="Calibri"/>
          <w:sz w:val="22"/>
          <w:szCs w:val="22"/>
          <w:lang w:eastAsia="zh-TW"/>
        </w:rPr>
        <w:t xml:space="preserve"> of overall project funding coming from external partners.</w:t>
      </w:r>
    </w:p>
    <w:p w14:paraId="1EB55F98" w14:textId="2D717790" w:rsidR="0062595A" w:rsidRPr="0062595A" w:rsidRDefault="0062595A" w:rsidP="00E86CF6">
      <w:pPr>
        <w:numPr>
          <w:ilvl w:val="0"/>
          <w:numId w:val="12"/>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New agreements in ITU-D in 2025 covered </w:t>
      </w:r>
      <w:r w:rsidRPr="0062595A">
        <w:rPr>
          <w:rFonts w:eastAsia="Calibri" w:cs="Calibri"/>
          <w:b/>
          <w:bCs/>
          <w:sz w:val="22"/>
          <w:szCs w:val="22"/>
          <w:lang w:eastAsia="zh-TW"/>
        </w:rPr>
        <w:t>26</w:t>
      </w:r>
      <w:r w:rsidR="0027239A">
        <w:rPr>
          <w:rFonts w:eastAsia="Calibri" w:cs="Calibri"/>
          <w:b/>
          <w:bCs/>
          <w:sz w:val="22"/>
          <w:szCs w:val="22"/>
          <w:lang w:eastAsia="zh-TW"/>
        </w:rPr>
        <w:t> </w:t>
      </w:r>
      <w:r w:rsidRPr="0062595A">
        <w:rPr>
          <w:rFonts w:eastAsia="Calibri" w:cs="Calibri"/>
          <w:b/>
          <w:bCs/>
          <w:sz w:val="22"/>
          <w:szCs w:val="22"/>
          <w:lang w:eastAsia="zh-TW"/>
        </w:rPr>
        <w:t>projects</w:t>
      </w:r>
      <w:r w:rsidRPr="0062595A">
        <w:rPr>
          <w:rFonts w:eastAsia="Calibri" w:cs="Calibri"/>
          <w:sz w:val="22"/>
          <w:szCs w:val="22"/>
          <w:lang w:eastAsia="zh-TW"/>
        </w:rPr>
        <w:t xml:space="preserve"> worth </w:t>
      </w:r>
      <w:r w:rsidRPr="0062595A">
        <w:rPr>
          <w:rFonts w:eastAsia="Calibri" w:cs="Calibri"/>
          <w:b/>
          <w:bCs/>
          <w:sz w:val="22"/>
          <w:szCs w:val="22"/>
          <w:lang w:eastAsia="zh-TW"/>
        </w:rPr>
        <w:t>CHF 4.3 million</w:t>
      </w:r>
      <w:r w:rsidRPr="0062595A">
        <w:rPr>
          <w:rFonts w:eastAsia="Calibri" w:cs="Calibri"/>
          <w:sz w:val="22"/>
          <w:szCs w:val="22"/>
          <w:lang w:eastAsia="zh-TW"/>
        </w:rPr>
        <w:t>.</w:t>
      </w:r>
    </w:p>
    <w:p w14:paraId="2F21000E" w14:textId="77777777" w:rsidR="0062595A" w:rsidRPr="0062595A" w:rsidRDefault="0062595A" w:rsidP="00E86CF6">
      <w:pPr>
        <w:suppressAutoHyphens/>
        <w:adjustRightInd/>
        <w:spacing w:before="240" w:after="120"/>
        <w:jc w:val="both"/>
        <w:rPr>
          <w:rFonts w:eastAsia="MS Mincho"/>
          <w:sz w:val="22"/>
        </w:rPr>
      </w:pPr>
      <w:r w:rsidRPr="0062595A">
        <w:rPr>
          <w:rFonts w:eastAsia="Calibri" w:cs="Calibri"/>
          <w:b/>
          <w:bCs/>
          <w:sz w:val="22"/>
          <w:szCs w:val="22"/>
        </w:rPr>
        <w:t>Global platforms &amp; partnerships</w:t>
      </w:r>
    </w:p>
    <w:p w14:paraId="200BDF25" w14:textId="7F0550E3" w:rsidR="0062595A" w:rsidRPr="0062595A" w:rsidRDefault="0062595A" w:rsidP="00E86CF6">
      <w:pPr>
        <w:numPr>
          <w:ilvl w:val="0"/>
          <w:numId w:val="13"/>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WSIS Stocktaking surpassed </w:t>
      </w:r>
      <w:r w:rsidR="00D50ECB">
        <w:rPr>
          <w:rFonts w:eastAsia="Calibri" w:cs="Calibri"/>
          <w:b/>
          <w:bCs/>
          <w:sz w:val="22"/>
          <w:szCs w:val="22"/>
          <w:lang w:eastAsia="zh-TW"/>
        </w:rPr>
        <w:t>21</w:t>
      </w:r>
      <w:r w:rsidR="004867EA">
        <w:rPr>
          <w:rFonts w:eastAsia="Calibri" w:cs="Calibri"/>
          <w:b/>
          <w:bCs/>
          <w:sz w:val="22"/>
          <w:szCs w:val="22"/>
          <w:lang w:eastAsia="zh-TW"/>
        </w:rPr>
        <w:t> </w:t>
      </w:r>
      <w:r w:rsidRPr="0062595A">
        <w:rPr>
          <w:rFonts w:eastAsia="Calibri" w:cs="Calibri"/>
          <w:b/>
          <w:bCs/>
          <w:sz w:val="22"/>
          <w:szCs w:val="22"/>
          <w:lang w:eastAsia="zh-TW"/>
        </w:rPr>
        <w:t>000</w:t>
      </w:r>
      <w:r w:rsidR="00D50ECB">
        <w:rPr>
          <w:rFonts w:eastAsia="Calibri" w:cs="Calibri"/>
          <w:b/>
          <w:bCs/>
          <w:sz w:val="22"/>
          <w:szCs w:val="22"/>
          <w:lang w:eastAsia="zh-TW"/>
        </w:rPr>
        <w:t>+</w:t>
      </w:r>
      <w:r w:rsidRPr="0062595A">
        <w:rPr>
          <w:rFonts w:eastAsia="Calibri" w:cs="Calibri"/>
          <w:b/>
          <w:bCs/>
          <w:sz w:val="22"/>
          <w:szCs w:val="22"/>
          <w:lang w:eastAsia="zh-TW"/>
        </w:rPr>
        <w:t xml:space="preserve"> ICT for development (ICT4D) initiatives</w:t>
      </w:r>
      <w:r w:rsidRPr="0062595A">
        <w:rPr>
          <w:rFonts w:eastAsia="Calibri" w:cs="Calibri"/>
          <w:sz w:val="22"/>
          <w:szCs w:val="22"/>
          <w:lang w:eastAsia="zh-TW"/>
        </w:rPr>
        <w:t xml:space="preserve">, and WSIS Prizes received </w:t>
      </w:r>
      <w:r w:rsidRPr="0062595A">
        <w:rPr>
          <w:rFonts w:eastAsia="Calibri" w:cs="Calibri"/>
          <w:b/>
          <w:bCs/>
          <w:sz w:val="22"/>
          <w:szCs w:val="22"/>
          <w:lang w:eastAsia="zh-TW"/>
        </w:rPr>
        <w:t>3</w:t>
      </w:r>
      <w:r w:rsidR="0027239A">
        <w:rPr>
          <w:rFonts w:eastAsia="Calibri" w:cs="Calibri"/>
          <w:b/>
          <w:bCs/>
          <w:sz w:val="22"/>
          <w:szCs w:val="22"/>
          <w:lang w:eastAsia="zh-TW"/>
        </w:rPr>
        <w:t> </w:t>
      </w:r>
      <w:r w:rsidRPr="0062595A">
        <w:rPr>
          <w:rFonts w:eastAsia="Calibri" w:cs="Calibri"/>
          <w:b/>
          <w:bCs/>
          <w:sz w:val="22"/>
          <w:szCs w:val="22"/>
          <w:lang w:eastAsia="zh-TW"/>
        </w:rPr>
        <w:t>000+ submissions</w:t>
      </w:r>
      <w:r w:rsidRPr="0062595A">
        <w:rPr>
          <w:rFonts w:eastAsia="Calibri" w:cs="Calibri"/>
          <w:sz w:val="22"/>
          <w:szCs w:val="22"/>
          <w:lang w:eastAsia="zh-TW"/>
        </w:rPr>
        <w:t xml:space="preserve"> over three years.</w:t>
      </w:r>
    </w:p>
    <w:p w14:paraId="027C61EA" w14:textId="21842FE5" w:rsidR="0062595A" w:rsidRPr="0062595A" w:rsidRDefault="0062595A" w:rsidP="00E86CF6">
      <w:pPr>
        <w:numPr>
          <w:ilvl w:val="0"/>
          <w:numId w:val="13"/>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AI for Good’s Neural Network community grew to </w:t>
      </w:r>
      <w:r w:rsidRPr="0062595A">
        <w:rPr>
          <w:rFonts w:eastAsia="Calibri" w:cs="Calibri"/>
          <w:b/>
          <w:bCs/>
          <w:sz w:val="22"/>
          <w:szCs w:val="22"/>
          <w:lang w:eastAsia="zh-TW"/>
        </w:rPr>
        <w:t>35</w:t>
      </w:r>
      <w:r w:rsidR="0027239A">
        <w:rPr>
          <w:rFonts w:eastAsia="Calibri" w:cs="Calibri"/>
          <w:b/>
          <w:bCs/>
          <w:sz w:val="22"/>
          <w:szCs w:val="22"/>
          <w:lang w:eastAsia="zh-TW"/>
        </w:rPr>
        <w:t> </w:t>
      </w:r>
      <w:r w:rsidRPr="0062595A">
        <w:rPr>
          <w:rFonts w:eastAsia="Calibri" w:cs="Calibri"/>
          <w:b/>
          <w:bCs/>
          <w:sz w:val="22"/>
          <w:szCs w:val="22"/>
          <w:lang w:eastAsia="zh-TW"/>
        </w:rPr>
        <w:t>000 members</w:t>
      </w:r>
      <w:r w:rsidRPr="0062595A">
        <w:rPr>
          <w:rFonts w:eastAsia="Calibri" w:cs="Calibri"/>
          <w:sz w:val="22"/>
          <w:szCs w:val="22"/>
          <w:lang w:eastAsia="zh-TW"/>
        </w:rPr>
        <w:t xml:space="preserve"> (137</w:t>
      </w:r>
      <w:r w:rsidR="0027239A">
        <w:rPr>
          <w:rFonts w:eastAsia="Calibri" w:cs="Calibri"/>
          <w:sz w:val="22"/>
          <w:szCs w:val="22"/>
          <w:lang w:eastAsia="zh-TW"/>
        </w:rPr>
        <w:t> </w:t>
      </w:r>
      <w:r w:rsidRPr="0062595A">
        <w:rPr>
          <w:rFonts w:eastAsia="Calibri" w:cs="Calibri"/>
          <w:sz w:val="22"/>
          <w:szCs w:val="22"/>
          <w:lang w:eastAsia="zh-TW"/>
        </w:rPr>
        <w:t xml:space="preserve">000 online participants); the 2025 Summit drew </w:t>
      </w:r>
      <w:r w:rsidRPr="0062595A">
        <w:rPr>
          <w:rFonts w:eastAsia="Calibri" w:cs="Calibri"/>
          <w:b/>
          <w:bCs/>
          <w:sz w:val="22"/>
          <w:szCs w:val="22"/>
          <w:lang w:eastAsia="zh-TW"/>
        </w:rPr>
        <w:t>11</w:t>
      </w:r>
      <w:r w:rsidR="0027239A">
        <w:rPr>
          <w:rFonts w:eastAsia="Calibri" w:cs="Calibri"/>
          <w:b/>
          <w:bCs/>
          <w:sz w:val="22"/>
          <w:szCs w:val="22"/>
          <w:lang w:eastAsia="zh-TW"/>
        </w:rPr>
        <w:t> </w:t>
      </w:r>
      <w:r w:rsidRPr="0062595A">
        <w:rPr>
          <w:rFonts w:eastAsia="Calibri" w:cs="Calibri"/>
          <w:b/>
          <w:bCs/>
          <w:sz w:val="22"/>
          <w:szCs w:val="22"/>
          <w:lang w:eastAsia="zh-TW"/>
        </w:rPr>
        <w:t>000 onsite visitors</w:t>
      </w:r>
      <w:r w:rsidRPr="0062595A">
        <w:rPr>
          <w:rFonts w:eastAsia="Calibri" w:cs="Calibri"/>
          <w:sz w:val="22"/>
          <w:szCs w:val="22"/>
          <w:lang w:eastAsia="zh-TW"/>
        </w:rPr>
        <w:t>.</w:t>
      </w:r>
    </w:p>
    <w:p w14:paraId="78C50ED1" w14:textId="3F8379DF" w:rsidR="0062595A" w:rsidRPr="0062595A" w:rsidRDefault="0062595A" w:rsidP="5F5FCC2B">
      <w:pPr>
        <w:numPr>
          <w:ilvl w:val="0"/>
          <w:numId w:val="13"/>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Calibri" w:cs="Calibri"/>
          <w:sz w:val="22"/>
          <w:szCs w:val="22"/>
          <w:lang w:eastAsia="zh-TW"/>
        </w:rPr>
      </w:pPr>
      <w:r w:rsidRPr="5F5FCC2B">
        <w:rPr>
          <w:rFonts w:eastAsia="Calibri" w:cs="Calibri"/>
          <w:sz w:val="22"/>
          <w:szCs w:val="22"/>
          <w:lang w:eastAsia="zh-TW"/>
        </w:rPr>
        <w:t xml:space="preserve">The </w:t>
      </w:r>
      <w:r w:rsidR="7BABD3B7" w:rsidRPr="5F5FCC2B">
        <w:rPr>
          <w:rFonts w:eastAsia="Calibri" w:cs="Calibri"/>
          <w:sz w:val="22"/>
          <w:szCs w:val="22"/>
          <w:lang w:eastAsia="zh-TW"/>
        </w:rPr>
        <w:t xml:space="preserve">COP29 Declaration on </w:t>
      </w:r>
      <w:r w:rsidRPr="5F5FCC2B">
        <w:rPr>
          <w:rFonts w:eastAsia="Calibri" w:cs="Calibri"/>
          <w:sz w:val="22"/>
          <w:szCs w:val="22"/>
          <w:lang w:eastAsia="zh-TW"/>
        </w:rPr>
        <w:t xml:space="preserve">Green Digital Action </w:t>
      </w:r>
      <w:r w:rsidR="23FAA44D" w:rsidRPr="5F5FCC2B">
        <w:rPr>
          <w:rFonts w:eastAsia="Calibri" w:cs="Calibri"/>
          <w:sz w:val="22"/>
          <w:szCs w:val="22"/>
          <w:lang w:eastAsia="zh-TW"/>
        </w:rPr>
        <w:t>received endorsements from</w:t>
      </w:r>
      <w:r w:rsidRPr="5F5FCC2B">
        <w:rPr>
          <w:rFonts w:eastAsia="Calibri" w:cs="Calibri"/>
          <w:sz w:val="22"/>
          <w:szCs w:val="22"/>
          <w:lang w:eastAsia="zh-TW"/>
        </w:rPr>
        <w:t xml:space="preserve"> </w:t>
      </w:r>
      <w:r w:rsidRPr="5F5FCC2B">
        <w:rPr>
          <w:rFonts w:eastAsia="Calibri" w:cs="Calibri"/>
          <w:b/>
          <w:bCs/>
          <w:sz w:val="22"/>
          <w:szCs w:val="22"/>
          <w:lang w:eastAsia="zh-TW"/>
        </w:rPr>
        <w:t>80+ countries</w:t>
      </w:r>
      <w:r w:rsidRPr="5F5FCC2B">
        <w:rPr>
          <w:rFonts w:eastAsia="Calibri" w:cs="Calibri"/>
          <w:sz w:val="22"/>
          <w:szCs w:val="22"/>
          <w:lang w:eastAsia="zh-TW"/>
        </w:rPr>
        <w:t xml:space="preserve"> and </w:t>
      </w:r>
      <w:r w:rsidR="5BCECC28" w:rsidRPr="181B6A0C">
        <w:rPr>
          <w:rFonts w:eastAsia="Calibri" w:cs="Calibri"/>
          <w:sz w:val="22"/>
          <w:szCs w:val="22"/>
          <w:lang w:eastAsia="zh-TW"/>
        </w:rPr>
        <w:t xml:space="preserve">nearly </w:t>
      </w:r>
      <w:r w:rsidRPr="5F5FCC2B">
        <w:rPr>
          <w:rFonts w:eastAsia="Calibri" w:cs="Calibri"/>
          <w:b/>
          <w:bCs/>
          <w:sz w:val="22"/>
          <w:szCs w:val="22"/>
          <w:lang w:eastAsia="zh-TW"/>
        </w:rPr>
        <w:t>1</w:t>
      </w:r>
      <w:r w:rsidR="0027239A" w:rsidRPr="5F5FCC2B">
        <w:rPr>
          <w:rFonts w:eastAsia="Calibri" w:cs="Calibri"/>
          <w:b/>
          <w:bCs/>
          <w:sz w:val="22"/>
          <w:szCs w:val="22"/>
          <w:lang w:eastAsia="zh-TW"/>
        </w:rPr>
        <w:t> </w:t>
      </w:r>
      <w:r w:rsidRPr="5F5FCC2B">
        <w:rPr>
          <w:rFonts w:eastAsia="Calibri" w:cs="Calibri"/>
          <w:b/>
          <w:bCs/>
          <w:sz w:val="22"/>
          <w:szCs w:val="22"/>
          <w:lang w:eastAsia="zh-TW"/>
        </w:rPr>
        <w:t xml:space="preserve">800 </w:t>
      </w:r>
      <w:r w:rsidR="67BFC848" w:rsidRPr="5F5FCC2B">
        <w:rPr>
          <w:rFonts w:eastAsia="Calibri" w:cs="Calibri"/>
          <w:b/>
          <w:bCs/>
          <w:sz w:val="22"/>
          <w:szCs w:val="22"/>
          <w:lang w:eastAsia="zh-TW"/>
        </w:rPr>
        <w:t>companies and organization</w:t>
      </w:r>
      <w:r w:rsidRPr="5F5FCC2B">
        <w:rPr>
          <w:rFonts w:eastAsia="Calibri" w:cs="Calibri"/>
          <w:b/>
          <w:bCs/>
          <w:sz w:val="22"/>
          <w:szCs w:val="22"/>
          <w:lang w:eastAsia="zh-TW"/>
        </w:rPr>
        <w:t>s</w:t>
      </w:r>
      <w:r w:rsidR="547D8C3F" w:rsidRPr="5F5FCC2B">
        <w:rPr>
          <w:rFonts w:eastAsia="Calibri" w:cs="Calibri"/>
          <w:sz w:val="22"/>
          <w:szCs w:val="22"/>
          <w:lang w:eastAsia="zh-TW"/>
        </w:rPr>
        <w:t>, building momentum for the launch of t</w:t>
      </w:r>
      <w:r w:rsidR="006176F4" w:rsidRPr="5F5FCC2B">
        <w:rPr>
          <w:rFonts w:eastAsia="Calibri" w:cs="Calibri"/>
          <w:sz w:val="22"/>
          <w:szCs w:val="22"/>
          <w:lang w:eastAsia="zh-TW"/>
        </w:rPr>
        <w:t>he</w:t>
      </w:r>
      <w:r w:rsidRPr="5F5FCC2B">
        <w:rPr>
          <w:rFonts w:eastAsia="Calibri" w:cs="Calibri"/>
          <w:sz w:val="22"/>
          <w:szCs w:val="22"/>
          <w:lang w:eastAsia="zh-TW"/>
        </w:rPr>
        <w:t xml:space="preserve"> </w:t>
      </w:r>
      <w:r w:rsidRPr="5F5FCC2B">
        <w:rPr>
          <w:rFonts w:eastAsia="Calibri" w:cs="Calibri"/>
          <w:b/>
          <w:bCs/>
          <w:sz w:val="22"/>
          <w:szCs w:val="22"/>
          <w:lang w:eastAsia="zh-TW"/>
        </w:rPr>
        <w:t>Green Digital Action Hub</w:t>
      </w:r>
      <w:r w:rsidRPr="5F5FCC2B">
        <w:rPr>
          <w:rFonts w:eastAsia="Calibri" w:cs="Calibri"/>
          <w:sz w:val="22"/>
          <w:szCs w:val="22"/>
          <w:lang w:eastAsia="zh-TW"/>
        </w:rPr>
        <w:t xml:space="preserve"> and the </w:t>
      </w:r>
      <w:r w:rsidRPr="5F5FCC2B">
        <w:rPr>
          <w:rFonts w:eastAsia="Calibri" w:cs="Calibri"/>
          <w:b/>
          <w:bCs/>
          <w:sz w:val="22"/>
          <w:szCs w:val="22"/>
          <w:lang w:eastAsia="zh-TW"/>
        </w:rPr>
        <w:t>AI Climate Institute</w:t>
      </w:r>
      <w:r w:rsidRPr="5F5FCC2B">
        <w:rPr>
          <w:rFonts w:eastAsia="Calibri" w:cs="Calibri"/>
          <w:sz w:val="22"/>
          <w:szCs w:val="22"/>
          <w:lang w:eastAsia="zh-TW"/>
        </w:rPr>
        <w:t xml:space="preserve"> at the </w:t>
      </w:r>
      <w:r w:rsidR="0163D921" w:rsidRPr="5F5FCC2B">
        <w:rPr>
          <w:rFonts w:eastAsia="Calibri" w:cs="Calibri"/>
          <w:sz w:val="22"/>
          <w:szCs w:val="22"/>
          <w:lang w:eastAsia="zh-TW"/>
        </w:rPr>
        <w:t xml:space="preserve">next </w:t>
      </w:r>
      <w:r w:rsidRPr="5F5FCC2B">
        <w:rPr>
          <w:rFonts w:eastAsia="Calibri" w:cs="Calibri"/>
          <w:sz w:val="22"/>
          <w:szCs w:val="22"/>
          <w:lang w:eastAsia="zh-TW"/>
        </w:rPr>
        <w:t>UN climate change conference, COP30.</w:t>
      </w:r>
    </w:p>
    <w:p w14:paraId="3AD66CB4" w14:textId="212C3DCB" w:rsidR="0062595A" w:rsidRPr="0062595A" w:rsidRDefault="0062595A" w:rsidP="00E86CF6">
      <w:pPr>
        <w:numPr>
          <w:ilvl w:val="0"/>
          <w:numId w:val="13"/>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Partner2Connect mobilized </w:t>
      </w:r>
      <w:r w:rsidRPr="0062595A">
        <w:rPr>
          <w:rFonts w:eastAsia="Calibri" w:cs="Calibri"/>
          <w:b/>
          <w:bCs/>
          <w:sz w:val="22"/>
          <w:szCs w:val="22"/>
          <w:lang w:eastAsia="zh-TW"/>
        </w:rPr>
        <w:t>1</w:t>
      </w:r>
      <w:r w:rsidR="0027239A">
        <w:rPr>
          <w:rFonts w:eastAsia="Calibri" w:cs="Calibri"/>
          <w:b/>
          <w:bCs/>
          <w:sz w:val="22"/>
          <w:szCs w:val="22"/>
          <w:lang w:eastAsia="zh-TW"/>
        </w:rPr>
        <w:t> </w:t>
      </w:r>
      <w:r w:rsidRPr="0062595A">
        <w:rPr>
          <w:rFonts w:eastAsia="Calibri" w:cs="Calibri"/>
          <w:b/>
          <w:bCs/>
          <w:sz w:val="22"/>
          <w:szCs w:val="22"/>
          <w:lang w:eastAsia="zh-TW"/>
        </w:rPr>
        <w:t>060 pledges worth USD 80.72 billion</w:t>
      </w:r>
      <w:r w:rsidRPr="0062595A">
        <w:rPr>
          <w:rFonts w:eastAsia="Calibri" w:cs="Calibri"/>
          <w:sz w:val="22"/>
          <w:szCs w:val="22"/>
          <w:lang w:eastAsia="zh-TW"/>
        </w:rPr>
        <w:t xml:space="preserve"> across </w:t>
      </w:r>
      <w:r w:rsidRPr="0062595A">
        <w:rPr>
          <w:rFonts w:eastAsia="Calibri" w:cs="Calibri"/>
          <w:b/>
          <w:bCs/>
          <w:sz w:val="22"/>
          <w:szCs w:val="22"/>
          <w:lang w:eastAsia="zh-TW"/>
        </w:rPr>
        <w:t>149 countries</w:t>
      </w:r>
      <w:r w:rsidRPr="0062595A">
        <w:rPr>
          <w:rFonts w:eastAsia="Calibri" w:cs="Calibri"/>
          <w:sz w:val="22"/>
          <w:szCs w:val="22"/>
          <w:lang w:eastAsia="zh-TW"/>
        </w:rPr>
        <w:t xml:space="preserve">, advancing toward the </w:t>
      </w:r>
      <w:r w:rsidRPr="0062595A">
        <w:rPr>
          <w:rFonts w:eastAsia="Calibri" w:cs="Calibri"/>
          <w:b/>
          <w:bCs/>
          <w:sz w:val="22"/>
          <w:szCs w:val="22"/>
          <w:lang w:eastAsia="zh-TW"/>
        </w:rPr>
        <w:t>USD 100 billion</w:t>
      </w:r>
      <w:r w:rsidRPr="0062595A">
        <w:rPr>
          <w:rFonts w:eastAsia="Calibri" w:cs="Calibri"/>
          <w:sz w:val="22"/>
          <w:szCs w:val="22"/>
          <w:lang w:eastAsia="zh-TW"/>
        </w:rPr>
        <w:t xml:space="preserve"> target for 2026.</w:t>
      </w:r>
    </w:p>
    <w:p w14:paraId="673C41C5" w14:textId="31E74098" w:rsidR="42F5E44E" w:rsidRDefault="350EE138" w:rsidP="181B6A0C">
      <w:pPr>
        <w:numPr>
          <w:ilvl w:val="0"/>
          <w:numId w:val="13"/>
        </w:numPr>
        <w:tabs>
          <w:tab w:val="clear" w:pos="567"/>
          <w:tab w:val="clear" w:pos="1134"/>
          <w:tab w:val="clear" w:pos="1701"/>
          <w:tab w:val="clear" w:pos="2268"/>
          <w:tab w:val="clear" w:pos="2835"/>
        </w:tabs>
        <w:spacing w:before="60" w:after="60"/>
        <w:jc w:val="both"/>
        <w:rPr>
          <w:rFonts w:eastAsia="Calibri" w:cs="Calibri"/>
          <w:sz w:val="22"/>
          <w:szCs w:val="22"/>
          <w:lang w:eastAsia="zh-TW"/>
        </w:rPr>
      </w:pPr>
      <w:r w:rsidRPr="5BBFB959">
        <w:rPr>
          <w:rFonts w:eastAsia="Calibri" w:cs="Calibri"/>
          <w:sz w:val="22"/>
          <w:szCs w:val="22"/>
        </w:rPr>
        <w:t>ITU and partners formed the International Advisory Body on Submarine Cable Resilience in 2024, bringing together over 40 government and industry experts to strengthen cooperation on subsea telecommunication cables and boost digital resilience globally</w:t>
      </w:r>
      <w:r w:rsidRPr="707173C1">
        <w:rPr>
          <w:rFonts w:eastAsia="Calibri" w:cs="Calibri"/>
          <w:sz w:val="22"/>
          <w:szCs w:val="22"/>
        </w:rPr>
        <w:t>.</w:t>
      </w:r>
      <w:r w:rsidRPr="5BBFB959">
        <w:rPr>
          <w:rFonts w:eastAsia="Calibri" w:cs="Calibri"/>
          <w:sz w:val="22"/>
          <w:szCs w:val="22"/>
        </w:rPr>
        <w:t xml:space="preserve"> </w:t>
      </w:r>
    </w:p>
    <w:p w14:paraId="7797B2C7" w14:textId="532CF6E2" w:rsidR="1B8054BA" w:rsidRDefault="1B8054BA" w:rsidP="41C20379">
      <w:pPr>
        <w:numPr>
          <w:ilvl w:val="0"/>
          <w:numId w:val="13"/>
        </w:numPr>
        <w:tabs>
          <w:tab w:val="clear" w:pos="567"/>
          <w:tab w:val="clear" w:pos="1134"/>
          <w:tab w:val="clear" w:pos="1701"/>
          <w:tab w:val="clear" w:pos="2268"/>
          <w:tab w:val="clear" w:pos="2835"/>
        </w:tabs>
        <w:spacing w:before="60" w:after="60"/>
        <w:jc w:val="both"/>
        <w:rPr>
          <w:rFonts w:eastAsia="Calibri" w:cs="Calibri"/>
          <w:sz w:val="22"/>
          <w:szCs w:val="22"/>
          <w:lang w:eastAsia="zh-TW"/>
        </w:rPr>
      </w:pPr>
      <w:r w:rsidRPr="718DA02E">
        <w:rPr>
          <w:rFonts w:eastAsia="Calibri" w:cs="Calibri"/>
          <w:sz w:val="22"/>
          <w:szCs w:val="22"/>
          <w:lang w:eastAsia="zh-TW"/>
        </w:rPr>
        <w:lastRenderedPageBreak/>
        <w:t xml:space="preserve">The </w:t>
      </w:r>
      <w:r w:rsidRPr="718DA02E">
        <w:rPr>
          <w:rFonts w:eastAsia="Calibri" w:cs="Calibri"/>
          <w:b/>
          <w:bCs/>
          <w:sz w:val="22"/>
          <w:szCs w:val="22"/>
          <w:lang w:eastAsia="zh-TW"/>
        </w:rPr>
        <w:t>Digital Infrastructure Investment Catalyser</w:t>
      </w:r>
      <w:r w:rsidRPr="718DA02E">
        <w:rPr>
          <w:rFonts w:eastAsia="Calibri" w:cs="Calibri"/>
          <w:sz w:val="22"/>
          <w:szCs w:val="22"/>
          <w:lang w:eastAsia="zh-TW"/>
        </w:rPr>
        <w:t xml:space="preserve"> was launched by ITU</w:t>
      </w:r>
      <w:r w:rsidR="2FF52F25" w:rsidRPr="718DA02E">
        <w:rPr>
          <w:rFonts w:eastAsia="Calibri" w:cs="Calibri"/>
          <w:sz w:val="22"/>
          <w:szCs w:val="22"/>
          <w:lang w:eastAsia="zh-TW"/>
        </w:rPr>
        <w:t xml:space="preserve"> and</w:t>
      </w:r>
      <w:r w:rsidRPr="718DA02E">
        <w:rPr>
          <w:rFonts w:eastAsia="Calibri" w:cs="Calibri"/>
          <w:sz w:val="22"/>
          <w:szCs w:val="22"/>
          <w:lang w:eastAsia="zh-TW"/>
        </w:rPr>
        <w:t xml:space="preserve"> UNCTAD and</w:t>
      </w:r>
      <w:r w:rsidR="2FF73635" w:rsidRPr="718DA02E">
        <w:rPr>
          <w:rFonts w:eastAsia="Calibri" w:cs="Calibri"/>
          <w:sz w:val="22"/>
          <w:szCs w:val="22"/>
          <w:lang w:eastAsia="zh-TW"/>
        </w:rPr>
        <w:t xml:space="preserve"> is co-led</w:t>
      </w:r>
      <w:r w:rsidRPr="718DA02E">
        <w:rPr>
          <w:rFonts w:eastAsia="Calibri" w:cs="Calibri"/>
          <w:sz w:val="22"/>
          <w:szCs w:val="22"/>
          <w:lang w:eastAsia="zh-TW"/>
        </w:rPr>
        <w:t xml:space="preserve"> </w:t>
      </w:r>
      <w:r w:rsidR="50CBBD6B" w:rsidRPr="004867EA">
        <w:rPr>
          <w:rFonts w:eastAsia="Calibri" w:cs="Calibri"/>
          <w:sz w:val="22"/>
          <w:szCs w:val="22"/>
          <w:lang w:eastAsia="zh-TW"/>
        </w:rPr>
        <w:t xml:space="preserve">with </w:t>
      </w:r>
      <w:r w:rsidR="7FF2AD8C" w:rsidRPr="718DA02E">
        <w:rPr>
          <w:rFonts w:eastAsia="Calibri" w:cs="Calibri"/>
          <w:sz w:val="22"/>
          <w:szCs w:val="22"/>
          <w:lang w:eastAsia="zh-TW"/>
        </w:rPr>
        <w:t>eight</w:t>
      </w:r>
      <w:r w:rsidRPr="004867EA">
        <w:rPr>
          <w:rFonts w:eastAsia="Calibri" w:cs="Calibri"/>
          <w:b/>
          <w:bCs/>
          <w:sz w:val="22"/>
          <w:szCs w:val="22"/>
          <w:lang w:eastAsia="zh-TW"/>
        </w:rPr>
        <w:t xml:space="preserve"> MDBs</w:t>
      </w:r>
      <w:r w:rsidRPr="718DA02E">
        <w:rPr>
          <w:rFonts w:eastAsia="Calibri" w:cs="Calibri"/>
          <w:sz w:val="22"/>
          <w:szCs w:val="22"/>
          <w:lang w:eastAsia="zh-TW"/>
        </w:rPr>
        <w:t xml:space="preserve"> to address the </w:t>
      </w:r>
      <w:r w:rsidRPr="004867EA">
        <w:rPr>
          <w:rFonts w:eastAsia="Calibri" w:cs="Calibri"/>
          <w:b/>
          <w:bCs/>
          <w:sz w:val="22"/>
          <w:szCs w:val="22"/>
          <w:lang w:eastAsia="zh-TW"/>
        </w:rPr>
        <w:t>USD 1.6 trillion</w:t>
      </w:r>
      <w:r w:rsidRPr="718DA02E">
        <w:rPr>
          <w:rFonts w:eastAsia="Calibri" w:cs="Calibri"/>
          <w:sz w:val="22"/>
          <w:szCs w:val="22"/>
          <w:lang w:eastAsia="zh-TW"/>
        </w:rPr>
        <w:t xml:space="preserve"> digital infrastructure investment gap</w:t>
      </w:r>
      <w:r w:rsidR="55CD987E" w:rsidRPr="718DA02E">
        <w:rPr>
          <w:rFonts w:eastAsia="Calibri" w:cs="Calibri"/>
          <w:sz w:val="22"/>
          <w:szCs w:val="22"/>
          <w:lang w:eastAsia="zh-TW"/>
        </w:rPr>
        <w:t xml:space="preserve"> through a working group of </w:t>
      </w:r>
      <w:r w:rsidR="55CD987E" w:rsidRPr="004867EA">
        <w:rPr>
          <w:rFonts w:eastAsia="Calibri" w:cs="Calibri"/>
          <w:b/>
          <w:bCs/>
          <w:sz w:val="22"/>
          <w:szCs w:val="22"/>
          <w:lang w:eastAsia="zh-TW"/>
        </w:rPr>
        <w:t>50+ organizations</w:t>
      </w:r>
      <w:r w:rsidRPr="718DA02E">
        <w:rPr>
          <w:rFonts w:eastAsia="Calibri" w:cs="Calibri"/>
          <w:sz w:val="22"/>
          <w:szCs w:val="22"/>
          <w:lang w:eastAsia="zh-TW"/>
        </w:rPr>
        <w:t>.</w:t>
      </w:r>
    </w:p>
    <w:p w14:paraId="4F14FAD9" w14:textId="77777777" w:rsidR="0062595A" w:rsidRPr="0062595A" w:rsidRDefault="0062595A" w:rsidP="00E86CF6">
      <w:pPr>
        <w:keepNext/>
        <w:keepLines/>
        <w:suppressAutoHyphens/>
        <w:adjustRightInd/>
        <w:spacing w:before="240" w:after="120"/>
        <w:jc w:val="both"/>
        <w:rPr>
          <w:rFonts w:eastAsia="MS Mincho"/>
          <w:sz w:val="22"/>
        </w:rPr>
      </w:pPr>
      <w:r w:rsidRPr="0062595A">
        <w:rPr>
          <w:rFonts w:eastAsia="Calibri" w:cs="Calibri"/>
          <w:b/>
          <w:sz w:val="22"/>
        </w:rPr>
        <w:t>Ensuring everyone benefits</w:t>
      </w:r>
    </w:p>
    <w:p w14:paraId="72E83F47" w14:textId="77777777" w:rsidR="0062595A" w:rsidRPr="0062595A" w:rsidRDefault="0062595A" w:rsidP="00E86CF6">
      <w:pPr>
        <w:keepNext/>
        <w:keepLines/>
        <w:numPr>
          <w:ilvl w:val="0"/>
          <w:numId w:val="14"/>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b/>
          <w:bCs/>
          <w:sz w:val="22"/>
          <w:szCs w:val="22"/>
          <w:lang w:eastAsia="zh-TW"/>
        </w:rPr>
        <w:t>77% of men</w:t>
      </w:r>
      <w:r w:rsidRPr="0062595A">
        <w:rPr>
          <w:rFonts w:eastAsia="Calibri" w:cs="Calibri"/>
          <w:sz w:val="22"/>
          <w:szCs w:val="22"/>
          <w:lang w:eastAsia="zh-TW"/>
        </w:rPr>
        <w:t xml:space="preserve"> and </w:t>
      </w:r>
      <w:r w:rsidRPr="0062595A">
        <w:rPr>
          <w:rFonts w:eastAsia="Calibri" w:cs="Calibri"/>
          <w:b/>
          <w:bCs/>
          <w:sz w:val="22"/>
          <w:szCs w:val="22"/>
          <w:lang w:eastAsia="zh-TW"/>
        </w:rPr>
        <w:t>71% of women</w:t>
      </w:r>
      <w:r w:rsidRPr="0062595A">
        <w:rPr>
          <w:rFonts w:eastAsia="Calibri" w:cs="Calibri"/>
          <w:sz w:val="22"/>
          <w:szCs w:val="22"/>
          <w:lang w:eastAsia="zh-TW"/>
        </w:rPr>
        <w:t xml:space="preserve"> were online in 2025, leaving a global gender parity score of </w:t>
      </w:r>
      <w:r w:rsidRPr="0062595A">
        <w:rPr>
          <w:rFonts w:eastAsia="Calibri" w:cs="Calibri"/>
          <w:b/>
          <w:bCs/>
          <w:sz w:val="22"/>
          <w:szCs w:val="22"/>
          <w:lang w:eastAsia="zh-TW"/>
        </w:rPr>
        <w:t>0.92</w:t>
      </w:r>
      <w:r w:rsidRPr="0062595A">
        <w:rPr>
          <w:rFonts w:eastAsia="Calibri" w:cs="Calibri"/>
          <w:sz w:val="22"/>
          <w:szCs w:val="22"/>
          <w:lang w:eastAsia="zh-TW"/>
        </w:rPr>
        <w:t>, unchanged since 2019.</w:t>
      </w:r>
    </w:p>
    <w:p w14:paraId="52D08EF0" w14:textId="1D3A698A" w:rsidR="0062595A" w:rsidRPr="0062595A" w:rsidRDefault="0062595A" w:rsidP="00E86CF6">
      <w:pPr>
        <w:numPr>
          <w:ilvl w:val="0"/>
          <w:numId w:val="14"/>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International Girls in ICT Day events (2023–2025) reached </w:t>
      </w:r>
      <w:r w:rsidRPr="0062595A">
        <w:rPr>
          <w:rFonts w:eastAsia="Calibri" w:cs="Calibri"/>
          <w:b/>
          <w:bCs/>
          <w:sz w:val="22"/>
          <w:szCs w:val="22"/>
          <w:lang w:eastAsia="zh-TW"/>
        </w:rPr>
        <w:t>76</w:t>
      </w:r>
      <w:r w:rsidR="0027239A">
        <w:rPr>
          <w:rFonts w:eastAsia="Calibri" w:cs="Calibri"/>
          <w:b/>
          <w:bCs/>
          <w:sz w:val="22"/>
          <w:szCs w:val="22"/>
          <w:lang w:eastAsia="zh-TW"/>
        </w:rPr>
        <w:t> </w:t>
      </w:r>
      <w:r w:rsidRPr="0062595A">
        <w:rPr>
          <w:rFonts w:eastAsia="Calibri" w:cs="Calibri"/>
          <w:b/>
          <w:bCs/>
          <w:sz w:val="22"/>
          <w:szCs w:val="22"/>
          <w:lang w:eastAsia="zh-TW"/>
        </w:rPr>
        <w:t>000 girls</w:t>
      </w:r>
      <w:r w:rsidRPr="0062595A">
        <w:rPr>
          <w:rFonts w:eastAsia="Calibri" w:cs="Calibri"/>
          <w:sz w:val="22"/>
          <w:szCs w:val="22"/>
          <w:lang w:eastAsia="zh-TW"/>
        </w:rPr>
        <w:t xml:space="preserve"> across </w:t>
      </w:r>
      <w:r w:rsidRPr="0062595A">
        <w:rPr>
          <w:rFonts w:eastAsia="Calibri" w:cs="Calibri"/>
          <w:b/>
          <w:bCs/>
          <w:sz w:val="22"/>
          <w:szCs w:val="22"/>
          <w:lang w:eastAsia="zh-TW"/>
        </w:rPr>
        <w:t>472 events</w:t>
      </w:r>
      <w:r w:rsidRPr="0062595A">
        <w:rPr>
          <w:rFonts w:eastAsia="Calibri" w:cs="Calibri"/>
          <w:sz w:val="22"/>
          <w:szCs w:val="22"/>
          <w:lang w:eastAsia="zh-TW"/>
        </w:rPr>
        <w:t>.</w:t>
      </w:r>
    </w:p>
    <w:p w14:paraId="260868AD" w14:textId="77777777" w:rsidR="0062595A" w:rsidRPr="0062595A" w:rsidRDefault="0062595A" w:rsidP="00E86CF6">
      <w:pPr>
        <w:numPr>
          <w:ilvl w:val="0"/>
          <w:numId w:val="14"/>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The AI Skills Accelerator for Girls reached </w:t>
      </w:r>
      <w:r w:rsidRPr="0062595A">
        <w:rPr>
          <w:rFonts w:eastAsia="Calibri" w:cs="Calibri"/>
          <w:b/>
          <w:bCs/>
          <w:sz w:val="22"/>
          <w:szCs w:val="22"/>
          <w:lang w:eastAsia="zh-TW"/>
        </w:rPr>
        <w:t>820 young women</w:t>
      </w:r>
      <w:r w:rsidRPr="0062595A">
        <w:rPr>
          <w:rFonts w:eastAsia="Calibri" w:cs="Calibri"/>
          <w:sz w:val="22"/>
          <w:szCs w:val="22"/>
          <w:lang w:eastAsia="zh-TW"/>
        </w:rPr>
        <w:t xml:space="preserve"> in </w:t>
      </w:r>
      <w:r w:rsidRPr="0062595A">
        <w:rPr>
          <w:rFonts w:eastAsia="Calibri" w:cs="Calibri"/>
          <w:b/>
          <w:bCs/>
          <w:sz w:val="22"/>
          <w:szCs w:val="22"/>
          <w:lang w:eastAsia="zh-TW"/>
        </w:rPr>
        <w:t>six regions</w:t>
      </w:r>
      <w:r w:rsidRPr="0062595A">
        <w:rPr>
          <w:rFonts w:eastAsia="Calibri" w:cs="Calibri"/>
          <w:sz w:val="22"/>
          <w:szCs w:val="22"/>
          <w:lang w:eastAsia="zh-TW"/>
        </w:rPr>
        <w:t>.</w:t>
      </w:r>
    </w:p>
    <w:p w14:paraId="2BA4865F" w14:textId="77777777" w:rsidR="0062595A" w:rsidRPr="0062595A" w:rsidRDefault="0062595A" w:rsidP="00E86CF6">
      <w:pPr>
        <w:numPr>
          <w:ilvl w:val="0"/>
          <w:numId w:val="14"/>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Youth Envoys grew to </w:t>
      </w:r>
      <w:r w:rsidRPr="0062595A">
        <w:rPr>
          <w:rFonts w:eastAsia="Calibri" w:cs="Calibri"/>
          <w:b/>
          <w:bCs/>
          <w:sz w:val="22"/>
          <w:szCs w:val="22"/>
          <w:lang w:eastAsia="zh-TW"/>
        </w:rPr>
        <w:t>180 envoys in 120 countries</w:t>
      </w:r>
      <w:r w:rsidRPr="0062595A">
        <w:rPr>
          <w:rFonts w:eastAsia="Calibri" w:cs="Calibri"/>
          <w:sz w:val="22"/>
          <w:szCs w:val="22"/>
          <w:lang w:eastAsia="zh-TW"/>
        </w:rPr>
        <w:t>, and ITU’s Global Youth Summit (GYS</w:t>
      </w:r>
      <w:r w:rsidRPr="0062595A">
        <w:rPr>
          <w:rFonts w:eastAsia="Calibri" w:cs="Calibri"/>
          <w:sz w:val="22"/>
          <w:szCs w:val="22"/>
          <w:lang w:eastAsia="zh-TW"/>
        </w:rPr>
        <w:noBreakHyphen/>
        <w:t xml:space="preserve">25) gathered </w:t>
      </w:r>
      <w:r w:rsidRPr="0062595A">
        <w:rPr>
          <w:rFonts w:eastAsia="Calibri" w:cs="Calibri"/>
          <w:b/>
          <w:bCs/>
          <w:sz w:val="22"/>
          <w:szCs w:val="22"/>
          <w:lang w:eastAsia="zh-TW"/>
        </w:rPr>
        <w:t>400 participants</w:t>
      </w:r>
      <w:r w:rsidRPr="0062595A">
        <w:rPr>
          <w:rFonts w:eastAsia="Calibri" w:cs="Calibri"/>
          <w:sz w:val="22"/>
          <w:szCs w:val="22"/>
          <w:lang w:eastAsia="zh-TW"/>
        </w:rPr>
        <w:t xml:space="preserve"> from </w:t>
      </w:r>
      <w:r w:rsidRPr="0062595A">
        <w:rPr>
          <w:rFonts w:eastAsia="Calibri" w:cs="Calibri"/>
          <w:b/>
          <w:bCs/>
          <w:sz w:val="22"/>
          <w:szCs w:val="22"/>
          <w:lang w:eastAsia="zh-TW"/>
        </w:rPr>
        <w:t>31 countries</w:t>
      </w:r>
      <w:r w:rsidRPr="0062595A">
        <w:rPr>
          <w:rFonts w:eastAsia="Calibri" w:cs="Calibri"/>
          <w:sz w:val="22"/>
          <w:szCs w:val="22"/>
          <w:lang w:eastAsia="zh-TW"/>
        </w:rPr>
        <w:t>.</w:t>
      </w:r>
    </w:p>
    <w:p w14:paraId="2C289B33" w14:textId="276AEADA" w:rsidR="0062595A" w:rsidRPr="0062595A" w:rsidRDefault="0062595A" w:rsidP="00E86CF6">
      <w:pPr>
        <w:numPr>
          <w:ilvl w:val="0"/>
          <w:numId w:val="14"/>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Countries with ICT accessibility frameworks reached </w:t>
      </w:r>
      <w:r w:rsidRPr="0062595A">
        <w:rPr>
          <w:rFonts w:eastAsia="Calibri" w:cs="Calibri"/>
          <w:b/>
          <w:bCs/>
          <w:sz w:val="22"/>
          <w:szCs w:val="22"/>
          <w:lang w:eastAsia="zh-TW"/>
        </w:rPr>
        <w:t>101</w:t>
      </w:r>
      <w:r w:rsidRPr="0062595A">
        <w:rPr>
          <w:rFonts w:eastAsia="Calibri" w:cs="Calibri"/>
          <w:sz w:val="22"/>
          <w:szCs w:val="22"/>
          <w:lang w:eastAsia="zh-TW"/>
        </w:rPr>
        <w:t xml:space="preserve">, and </w:t>
      </w:r>
      <w:r w:rsidR="0ACD1BB0" w:rsidRPr="181B6A0C">
        <w:rPr>
          <w:rFonts w:eastAsia="Calibri" w:cs="Calibri"/>
          <w:sz w:val="22"/>
          <w:szCs w:val="22"/>
          <w:lang w:eastAsia="zh-TW"/>
        </w:rPr>
        <w:t>ITUR</w:t>
      </w:r>
      <w:r w:rsidRPr="0062595A">
        <w:rPr>
          <w:rFonts w:eastAsia="Calibri" w:cs="Calibri"/>
          <w:sz w:val="22"/>
          <w:szCs w:val="22"/>
          <w:lang w:eastAsia="zh-TW"/>
        </w:rPr>
        <w:t xml:space="preserve"> approved updates to five accessibility</w:t>
      </w:r>
      <w:r w:rsidR="450619DC" w:rsidRPr="181B6A0C">
        <w:rPr>
          <w:rFonts w:eastAsia="Calibri" w:cs="Calibri"/>
          <w:sz w:val="22"/>
          <w:szCs w:val="22"/>
          <w:lang w:eastAsia="zh-TW"/>
        </w:rPr>
        <w:t>-</w:t>
      </w:r>
      <w:r w:rsidRPr="0062595A">
        <w:rPr>
          <w:rFonts w:eastAsia="Calibri" w:cs="Calibri"/>
          <w:sz w:val="22"/>
          <w:szCs w:val="22"/>
          <w:lang w:eastAsia="zh-TW"/>
        </w:rPr>
        <w:t>relevant publications.</w:t>
      </w:r>
    </w:p>
    <w:p w14:paraId="2CD6BE88" w14:textId="77777777" w:rsidR="0062595A" w:rsidRPr="0062595A" w:rsidRDefault="0062595A" w:rsidP="00E86CF6">
      <w:pPr>
        <w:numPr>
          <w:ilvl w:val="0"/>
          <w:numId w:val="14"/>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Indigenous community training programmes expanded to </w:t>
      </w:r>
      <w:r w:rsidRPr="0062595A">
        <w:rPr>
          <w:rFonts w:eastAsia="Calibri" w:cs="Calibri"/>
          <w:b/>
          <w:bCs/>
          <w:sz w:val="22"/>
          <w:szCs w:val="22"/>
          <w:lang w:eastAsia="zh-TW"/>
        </w:rPr>
        <w:t>Latin America, Africa and the Caribbean</w:t>
      </w:r>
      <w:r w:rsidRPr="0062595A">
        <w:rPr>
          <w:rFonts w:eastAsia="Calibri" w:cs="Calibri"/>
          <w:sz w:val="22"/>
          <w:szCs w:val="22"/>
          <w:lang w:eastAsia="zh-TW"/>
        </w:rPr>
        <w:t>, training hundreds of local network managers.</w:t>
      </w:r>
    </w:p>
    <w:p w14:paraId="45583A6D" w14:textId="77777777" w:rsidR="0062595A" w:rsidRPr="0062595A" w:rsidRDefault="0062595A" w:rsidP="00E86CF6">
      <w:pPr>
        <w:suppressAutoHyphens/>
        <w:adjustRightInd/>
        <w:spacing w:before="240" w:after="120"/>
        <w:jc w:val="both"/>
        <w:rPr>
          <w:rFonts w:eastAsia="MS Mincho"/>
          <w:sz w:val="22"/>
        </w:rPr>
      </w:pPr>
      <w:r w:rsidRPr="0062595A">
        <w:rPr>
          <w:rFonts w:eastAsia="Calibri" w:cs="Calibri"/>
          <w:b/>
          <w:bCs/>
          <w:sz w:val="22"/>
          <w:szCs w:val="22"/>
        </w:rPr>
        <w:t>Environmental sustainability, climate action &amp; circularity</w:t>
      </w:r>
    </w:p>
    <w:p w14:paraId="64C64B53" w14:textId="77777777" w:rsidR="0062595A" w:rsidRPr="0062595A" w:rsidRDefault="0062595A" w:rsidP="00E86CF6">
      <w:pPr>
        <w:numPr>
          <w:ilvl w:val="0"/>
          <w:numId w:val="15"/>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Global e-waste reached </w:t>
      </w:r>
      <w:r w:rsidRPr="0062595A">
        <w:rPr>
          <w:rFonts w:eastAsia="Calibri" w:cs="Calibri"/>
          <w:b/>
          <w:bCs/>
          <w:sz w:val="22"/>
          <w:szCs w:val="22"/>
          <w:lang w:eastAsia="zh-TW"/>
        </w:rPr>
        <w:t xml:space="preserve">62 billion kg </w:t>
      </w:r>
      <w:r w:rsidRPr="0062595A">
        <w:rPr>
          <w:rFonts w:eastAsia="Calibri" w:cs="Calibri"/>
          <w:sz w:val="22"/>
          <w:szCs w:val="22"/>
          <w:lang w:eastAsia="zh-TW"/>
        </w:rPr>
        <w:t xml:space="preserve">in 2022, while recycling remained at </w:t>
      </w:r>
      <w:r w:rsidRPr="0062595A">
        <w:rPr>
          <w:rFonts w:eastAsia="Calibri" w:cs="Calibri"/>
          <w:b/>
          <w:bCs/>
          <w:sz w:val="22"/>
          <w:szCs w:val="22"/>
          <w:lang w:eastAsia="zh-TW"/>
        </w:rPr>
        <w:t>22.3%</w:t>
      </w:r>
      <w:r w:rsidRPr="0062595A">
        <w:rPr>
          <w:rFonts w:eastAsia="Calibri" w:cs="Calibri"/>
          <w:sz w:val="22"/>
          <w:szCs w:val="22"/>
          <w:lang w:eastAsia="zh-TW"/>
        </w:rPr>
        <w:t xml:space="preserve">, with e-waste generation expected to hit </w:t>
      </w:r>
      <w:r w:rsidRPr="0062595A">
        <w:rPr>
          <w:rFonts w:eastAsia="Calibri" w:cs="Calibri"/>
          <w:b/>
          <w:bCs/>
          <w:sz w:val="22"/>
          <w:szCs w:val="22"/>
          <w:lang w:eastAsia="zh-TW"/>
        </w:rPr>
        <w:t>82 billion kg by 2030</w:t>
      </w:r>
      <w:r w:rsidRPr="0062595A">
        <w:rPr>
          <w:rFonts w:eastAsia="Calibri" w:cs="Calibri"/>
          <w:sz w:val="22"/>
          <w:szCs w:val="22"/>
          <w:lang w:eastAsia="zh-TW"/>
        </w:rPr>
        <w:t>.</w:t>
      </w:r>
    </w:p>
    <w:p w14:paraId="2644A64A" w14:textId="310E61ED" w:rsidR="0062595A" w:rsidRPr="0062595A" w:rsidRDefault="0062595A" w:rsidP="00E86CF6">
      <w:pPr>
        <w:numPr>
          <w:ilvl w:val="0"/>
          <w:numId w:val="15"/>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ITU supported </w:t>
      </w:r>
      <w:r w:rsidRPr="0062595A">
        <w:rPr>
          <w:rFonts w:eastAsia="Calibri" w:cs="Calibri"/>
          <w:b/>
          <w:bCs/>
          <w:sz w:val="22"/>
          <w:szCs w:val="22"/>
          <w:lang w:eastAsia="zh-TW"/>
        </w:rPr>
        <w:t>14 countries</w:t>
      </w:r>
      <w:r w:rsidRPr="0062595A">
        <w:rPr>
          <w:rFonts w:eastAsia="Calibri" w:cs="Calibri"/>
          <w:sz w:val="22"/>
          <w:szCs w:val="22"/>
          <w:lang w:eastAsia="zh-TW"/>
        </w:rPr>
        <w:t xml:space="preserve"> (2023–2025) on producer</w:t>
      </w:r>
      <w:r w:rsidR="55A4697F" w:rsidRPr="181B6A0C">
        <w:rPr>
          <w:rFonts w:eastAsia="Calibri" w:cs="Calibri"/>
          <w:sz w:val="22"/>
          <w:szCs w:val="22"/>
          <w:lang w:eastAsia="zh-TW"/>
        </w:rPr>
        <w:t xml:space="preserve"> </w:t>
      </w:r>
      <w:r w:rsidRPr="0062595A">
        <w:rPr>
          <w:rFonts w:eastAsia="Calibri" w:cs="Calibri"/>
          <w:sz w:val="22"/>
          <w:szCs w:val="22"/>
          <w:lang w:eastAsia="zh-TW"/>
        </w:rPr>
        <w:t>responsibility regulation and circular</w:t>
      </w:r>
      <w:r w:rsidR="5F306A5A" w:rsidRPr="181B6A0C">
        <w:rPr>
          <w:rFonts w:eastAsia="Calibri" w:cs="Calibri"/>
          <w:sz w:val="22"/>
          <w:szCs w:val="22"/>
          <w:lang w:eastAsia="zh-TW"/>
        </w:rPr>
        <w:t xml:space="preserve"> </w:t>
      </w:r>
      <w:r w:rsidRPr="0062595A">
        <w:rPr>
          <w:rFonts w:eastAsia="Calibri" w:cs="Calibri"/>
          <w:sz w:val="22"/>
          <w:szCs w:val="22"/>
          <w:lang w:eastAsia="zh-TW"/>
        </w:rPr>
        <w:t>economy policies.</w:t>
      </w:r>
    </w:p>
    <w:p w14:paraId="32AC3761" w14:textId="77777777" w:rsidR="0062595A" w:rsidRPr="0062595A" w:rsidRDefault="0062595A" w:rsidP="00E86CF6">
      <w:pPr>
        <w:numPr>
          <w:ilvl w:val="0"/>
          <w:numId w:val="15"/>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ITU’s Greening Digital Dashboard covered </w:t>
      </w:r>
      <w:r w:rsidRPr="0062595A">
        <w:rPr>
          <w:rFonts w:eastAsia="Calibri" w:cs="Calibri"/>
          <w:b/>
          <w:bCs/>
          <w:sz w:val="22"/>
          <w:szCs w:val="22"/>
          <w:lang w:eastAsia="zh-TW"/>
        </w:rPr>
        <w:t>200 digital companies</w:t>
      </w:r>
      <w:r w:rsidRPr="0062595A">
        <w:rPr>
          <w:rFonts w:eastAsia="Calibri" w:cs="Calibri"/>
          <w:sz w:val="22"/>
          <w:szCs w:val="22"/>
          <w:lang w:eastAsia="zh-TW"/>
        </w:rPr>
        <w:t xml:space="preserve">, showing </w:t>
      </w:r>
      <w:r w:rsidRPr="0062595A">
        <w:rPr>
          <w:rFonts w:eastAsia="Calibri" w:cs="Calibri"/>
          <w:b/>
          <w:bCs/>
          <w:sz w:val="22"/>
          <w:szCs w:val="22"/>
          <w:lang w:eastAsia="zh-TW"/>
        </w:rPr>
        <w:t>297.3 million tonnes of CO₂</w:t>
      </w:r>
      <w:r w:rsidRPr="0062595A">
        <w:rPr>
          <w:rFonts w:eastAsia="Calibri" w:cs="Calibri"/>
          <w:b/>
          <w:bCs/>
          <w:sz w:val="22"/>
          <w:szCs w:val="22"/>
          <w:lang w:eastAsia="zh-TW"/>
        </w:rPr>
        <w:noBreakHyphen/>
        <w:t>equivalent (</w:t>
      </w:r>
      <w:proofErr w:type="spellStart"/>
      <w:r w:rsidRPr="0062595A">
        <w:rPr>
          <w:rFonts w:eastAsia="Calibri" w:cs="Calibri"/>
          <w:b/>
          <w:bCs/>
          <w:sz w:val="22"/>
          <w:szCs w:val="22"/>
          <w:lang w:eastAsia="zh-TW"/>
        </w:rPr>
        <w:t>tCO₂e</w:t>
      </w:r>
      <w:proofErr w:type="spellEnd"/>
      <w:r w:rsidRPr="0062595A">
        <w:rPr>
          <w:rFonts w:eastAsia="Calibri" w:cs="Calibri"/>
          <w:b/>
          <w:bCs/>
          <w:sz w:val="22"/>
          <w:szCs w:val="22"/>
          <w:lang w:eastAsia="zh-TW"/>
        </w:rPr>
        <w:t xml:space="preserve">) </w:t>
      </w:r>
      <w:r w:rsidRPr="0062595A">
        <w:rPr>
          <w:rFonts w:eastAsia="Calibri" w:cs="Calibri"/>
          <w:sz w:val="22"/>
          <w:szCs w:val="22"/>
          <w:lang w:eastAsia="zh-TW"/>
        </w:rPr>
        <w:t>emissions in 2023 –</w:t>
      </w:r>
      <w:r w:rsidRPr="0062595A">
        <w:rPr>
          <w:rFonts w:eastAsia="Calibri" w:cs="Calibri"/>
          <w:b/>
          <w:bCs/>
          <w:sz w:val="22"/>
          <w:szCs w:val="22"/>
          <w:lang w:eastAsia="zh-TW"/>
        </w:rPr>
        <w:t xml:space="preserve"> </w:t>
      </w:r>
      <w:r w:rsidRPr="0062595A">
        <w:rPr>
          <w:rFonts w:eastAsia="Calibri" w:cs="Calibri"/>
          <w:sz w:val="22"/>
          <w:szCs w:val="22"/>
          <w:lang w:eastAsia="zh-TW"/>
        </w:rPr>
        <w:t>or</w:t>
      </w:r>
      <w:r w:rsidRPr="0062595A">
        <w:rPr>
          <w:rFonts w:eastAsia="Calibri" w:cs="Calibri"/>
          <w:b/>
          <w:bCs/>
          <w:sz w:val="22"/>
          <w:szCs w:val="22"/>
          <w:lang w:eastAsia="zh-TW"/>
        </w:rPr>
        <w:t xml:space="preserve"> </w:t>
      </w:r>
      <w:r w:rsidRPr="0062595A">
        <w:rPr>
          <w:rFonts w:eastAsia="Calibri" w:cs="Calibri"/>
          <w:sz w:val="22"/>
          <w:szCs w:val="22"/>
          <w:lang w:eastAsia="zh-TW"/>
        </w:rPr>
        <w:t>0.8% of global energy</w:t>
      </w:r>
      <w:r w:rsidRPr="0062595A">
        <w:rPr>
          <w:rFonts w:eastAsia="Calibri" w:cs="Calibri"/>
          <w:sz w:val="22"/>
          <w:szCs w:val="22"/>
          <w:lang w:eastAsia="zh-TW"/>
        </w:rPr>
        <w:noBreakHyphen/>
        <w:t>related emissions.</w:t>
      </w:r>
    </w:p>
    <w:p w14:paraId="13D55D8E" w14:textId="11698B66" w:rsidR="0062595A" w:rsidRPr="0062595A" w:rsidRDefault="0ACD1BB0" w:rsidP="00E86CF6">
      <w:pPr>
        <w:numPr>
          <w:ilvl w:val="0"/>
          <w:numId w:val="15"/>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6A371E62">
        <w:rPr>
          <w:rFonts w:eastAsia="Calibri" w:cs="Calibri"/>
          <w:sz w:val="22"/>
          <w:szCs w:val="22"/>
          <w:lang w:eastAsia="zh-TW"/>
        </w:rPr>
        <w:t>ITU</w:t>
      </w:r>
      <w:r w:rsidR="4416E6C5" w:rsidRPr="6A371E62">
        <w:rPr>
          <w:rFonts w:eastAsia="Calibri" w:cs="Calibri"/>
          <w:sz w:val="22"/>
          <w:szCs w:val="22"/>
          <w:lang w:eastAsia="zh-TW"/>
        </w:rPr>
        <w:t>-</w:t>
      </w:r>
      <w:r w:rsidRPr="6A371E62">
        <w:rPr>
          <w:rFonts w:eastAsia="Calibri" w:cs="Calibri"/>
          <w:sz w:val="22"/>
          <w:szCs w:val="22"/>
          <w:lang w:eastAsia="zh-TW"/>
        </w:rPr>
        <w:t>T</w:t>
      </w:r>
      <w:r w:rsidR="0062595A" w:rsidRPr="0062595A">
        <w:rPr>
          <w:rFonts w:eastAsia="Calibri" w:cs="Calibri"/>
          <w:sz w:val="22"/>
          <w:szCs w:val="22"/>
          <w:lang w:eastAsia="zh-TW"/>
        </w:rPr>
        <w:t xml:space="preserve"> Study Group 5 approved </w:t>
      </w:r>
      <w:r w:rsidR="0062595A" w:rsidRPr="0062595A">
        <w:rPr>
          <w:rFonts w:eastAsia="Calibri" w:cs="Calibri"/>
          <w:b/>
          <w:bCs/>
          <w:sz w:val="22"/>
          <w:szCs w:val="22"/>
          <w:lang w:eastAsia="zh-TW"/>
        </w:rPr>
        <w:t>110 Recommendations</w:t>
      </w:r>
      <w:r w:rsidR="0062595A" w:rsidRPr="0062595A">
        <w:rPr>
          <w:rFonts w:eastAsia="Calibri" w:cs="Calibri"/>
          <w:sz w:val="22"/>
          <w:szCs w:val="22"/>
          <w:lang w:eastAsia="zh-TW"/>
        </w:rPr>
        <w:t xml:space="preserve"> on environmental sustainability between 2022 and 2025.</w:t>
      </w:r>
    </w:p>
    <w:p w14:paraId="2DE6CBE7" w14:textId="0B604725" w:rsidR="4B65A59D" w:rsidRDefault="14C3EA6C" w:rsidP="4B65A59D">
      <w:pPr>
        <w:numPr>
          <w:ilvl w:val="0"/>
          <w:numId w:val="15"/>
        </w:numPr>
        <w:tabs>
          <w:tab w:val="clear" w:pos="567"/>
          <w:tab w:val="clear" w:pos="1134"/>
          <w:tab w:val="clear" w:pos="1701"/>
          <w:tab w:val="clear" w:pos="2268"/>
          <w:tab w:val="clear" w:pos="2835"/>
        </w:tabs>
        <w:spacing w:before="60" w:after="60"/>
        <w:jc w:val="both"/>
        <w:rPr>
          <w:rFonts w:eastAsia="Calibri" w:cs="Calibri"/>
          <w:sz w:val="22"/>
          <w:szCs w:val="22"/>
          <w:lang w:eastAsia="zh-TW"/>
        </w:rPr>
      </w:pPr>
      <w:r w:rsidRPr="7D398011">
        <w:rPr>
          <w:rFonts w:eastAsia="Calibri" w:cs="Calibri"/>
          <w:sz w:val="22"/>
          <w:szCs w:val="22"/>
          <w:lang w:eastAsia="zh-TW"/>
        </w:rPr>
        <w:t>ITU's</w:t>
      </w:r>
      <w:r w:rsidRPr="4B65A59D">
        <w:rPr>
          <w:rFonts w:eastAsia="Calibri" w:cs="Calibri"/>
          <w:sz w:val="22"/>
          <w:szCs w:val="22"/>
          <w:lang w:eastAsia="zh-TW"/>
        </w:rPr>
        <w:t xml:space="preserve"> Green Digital Action initiative </w:t>
      </w:r>
      <w:r w:rsidR="336E3F78" w:rsidRPr="3E4853E0">
        <w:rPr>
          <w:rFonts w:eastAsia="Calibri" w:cs="Calibri"/>
          <w:sz w:val="22"/>
          <w:szCs w:val="22"/>
          <w:lang w:eastAsia="zh-TW"/>
        </w:rPr>
        <w:t>mobilized</w:t>
      </w:r>
      <w:r w:rsidRPr="4B65A59D">
        <w:rPr>
          <w:rFonts w:eastAsia="Calibri" w:cs="Calibri"/>
          <w:sz w:val="22"/>
          <w:szCs w:val="22"/>
          <w:lang w:eastAsia="zh-TW"/>
        </w:rPr>
        <w:t xml:space="preserve"> </w:t>
      </w:r>
      <w:r w:rsidRPr="00AE7FA7">
        <w:rPr>
          <w:rFonts w:eastAsia="Calibri" w:cs="Calibri"/>
          <w:b/>
          <w:sz w:val="22"/>
          <w:szCs w:val="22"/>
          <w:lang w:eastAsia="zh-TW"/>
        </w:rPr>
        <w:t>82 countries</w:t>
      </w:r>
      <w:r w:rsidRPr="4B65A59D">
        <w:rPr>
          <w:rFonts w:eastAsia="Calibri" w:cs="Calibri"/>
          <w:sz w:val="22"/>
          <w:szCs w:val="22"/>
          <w:lang w:eastAsia="zh-TW"/>
        </w:rPr>
        <w:t xml:space="preserve"> and nearly </w:t>
      </w:r>
      <w:r w:rsidRPr="00AE7FA7">
        <w:rPr>
          <w:rFonts w:eastAsia="Calibri" w:cs="Calibri"/>
          <w:b/>
          <w:sz w:val="22"/>
          <w:szCs w:val="22"/>
          <w:lang w:eastAsia="zh-TW"/>
        </w:rPr>
        <w:t>1,800 non‑state actors</w:t>
      </w:r>
      <w:r w:rsidRPr="4B65A59D">
        <w:rPr>
          <w:rFonts w:eastAsia="Calibri" w:cs="Calibri"/>
          <w:sz w:val="22"/>
          <w:szCs w:val="22"/>
          <w:lang w:eastAsia="zh-TW"/>
        </w:rPr>
        <w:t xml:space="preserve"> </w:t>
      </w:r>
      <w:r w:rsidR="49B6D4D5" w:rsidRPr="2AD28219">
        <w:rPr>
          <w:rFonts w:eastAsia="Calibri" w:cs="Calibri"/>
          <w:sz w:val="22"/>
          <w:szCs w:val="22"/>
          <w:lang w:eastAsia="zh-TW"/>
        </w:rPr>
        <w:t xml:space="preserve">to endorse </w:t>
      </w:r>
      <w:r w:rsidRPr="2AD28219">
        <w:rPr>
          <w:rFonts w:eastAsia="Calibri" w:cs="Calibri"/>
          <w:sz w:val="22"/>
          <w:szCs w:val="22"/>
          <w:lang w:eastAsia="zh-TW"/>
        </w:rPr>
        <w:t>the</w:t>
      </w:r>
      <w:r w:rsidR="11912DDF" w:rsidRPr="2AD28219">
        <w:rPr>
          <w:rFonts w:eastAsia="Calibri" w:cs="Calibri"/>
          <w:sz w:val="22"/>
          <w:szCs w:val="22"/>
          <w:lang w:eastAsia="zh-TW"/>
        </w:rPr>
        <w:t xml:space="preserve"> COP29 Presidency</w:t>
      </w:r>
      <w:r w:rsidRPr="4B65A59D">
        <w:rPr>
          <w:rFonts w:eastAsia="Calibri" w:cs="Calibri"/>
          <w:sz w:val="22"/>
          <w:szCs w:val="22"/>
          <w:lang w:eastAsia="zh-TW"/>
        </w:rPr>
        <w:t xml:space="preserve"> Declaration on Green Digital Action.</w:t>
      </w:r>
    </w:p>
    <w:p w14:paraId="7B72D7D7" w14:textId="3DF10F3A" w:rsidR="0062595A" w:rsidRPr="0062595A" w:rsidRDefault="006176F4" w:rsidP="00E86CF6">
      <w:pPr>
        <w:suppressAutoHyphens/>
        <w:adjustRightInd/>
        <w:spacing w:before="240" w:after="120"/>
        <w:jc w:val="both"/>
        <w:rPr>
          <w:rFonts w:eastAsia="MS Mincho"/>
          <w:sz w:val="22"/>
        </w:rPr>
      </w:pPr>
      <w:r>
        <w:rPr>
          <w:rFonts w:eastAsia="Calibri" w:cs="Calibri"/>
          <w:b/>
          <w:bCs/>
          <w:sz w:val="22"/>
          <w:szCs w:val="22"/>
        </w:rPr>
        <w:t>M</w:t>
      </w:r>
      <w:r w:rsidR="0062595A" w:rsidRPr="0062595A">
        <w:rPr>
          <w:rFonts w:eastAsia="Calibri" w:cs="Calibri"/>
          <w:b/>
          <w:bCs/>
          <w:sz w:val="22"/>
          <w:szCs w:val="22"/>
        </w:rPr>
        <w:t>embership</w:t>
      </w:r>
    </w:p>
    <w:p w14:paraId="7FCF4957" w14:textId="54AFB8F9" w:rsidR="0062595A" w:rsidRPr="0062595A" w:rsidRDefault="0062595A" w:rsidP="00E86CF6">
      <w:pPr>
        <w:numPr>
          <w:ilvl w:val="0"/>
          <w:numId w:val="16"/>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 xml:space="preserve">ITU reached </w:t>
      </w:r>
      <w:r w:rsidRPr="0062595A">
        <w:rPr>
          <w:rFonts w:eastAsia="Calibri" w:cs="Calibri"/>
          <w:b/>
          <w:bCs/>
          <w:sz w:val="22"/>
          <w:szCs w:val="22"/>
          <w:lang w:eastAsia="zh-TW"/>
        </w:rPr>
        <w:t>1</w:t>
      </w:r>
      <w:r w:rsidR="0027239A">
        <w:rPr>
          <w:rFonts w:eastAsia="Calibri" w:cs="Calibri"/>
          <w:b/>
          <w:bCs/>
          <w:sz w:val="22"/>
          <w:szCs w:val="22"/>
          <w:lang w:eastAsia="zh-TW"/>
        </w:rPr>
        <w:t> </w:t>
      </w:r>
      <w:r w:rsidRPr="0062595A">
        <w:rPr>
          <w:rFonts w:eastAsia="Calibri" w:cs="Calibri"/>
          <w:b/>
          <w:bCs/>
          <w:sz w:val="22"/>
          <w:szCs w:val="22"/>
          <w:lang w:eastAsia="zh-TW"/>
        </w:rPr>
        <w:t>048 member entities</w:t>
      </w:r>
      <w:r w:rsidRPr="0062595A">
        <w:rPr>
          <w:rFonts w:eastAsia="Calibri" w:cs="Calibri"/>
          <w:sz w:val="22"/>
          <w:szCs w:val="22"/>
          <w:lang w:eastAsia="zh-TW"/>
        </w:rPr>
        <w:t xml:space="preserve"> in 2025, a net increase of </w:t>
      </w:r>
      <w:r w:rsidRPr="0062595A">
        <w:rPr>
          <w:rFonts w:eastAsia="Calibri" w:cs="Calibri"/>
          <w:b/>
          <w:bCs/>
          <w:sz w:val="22"/>
          <w:szCs w:val="22"/>
          <w:lang w:eastAsia="zh-TW"/>
        </w:rPr>
        <w:t>139</w:t>
      </w:r>
      <w:r w:rsidRPr="0062595A">
        <w:rPr>
          <w:rFonts w:eastAsia="Calibri" w:cs="Calibri"/>
          <w:sz w:val="22"/>
          <w:szCs w:val="22"/>
          <w:lang w:eastAsia="zh-TW"/>
        </w:rPr>
        <w:t xml:space="preserve"> memberships (402 added, 263 lost) since 2022.</w:t>
      </w:r>
    </w:p>
    <w:p w14:paraId="4E3D80B9" w14:textId="61A9EDA4" w:rsidR="0062595A" w:rsidRPr="006176F4" w:rsidRDefault="0062595A" w:rsidP="00E86CF6">
      <w:pPr>
        <w:numPr>
          <w:ilvl w:val="0"/>
          <w:numId w:val="16"/>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SME reduced</w:t>
      </w:r>
      <w:r w:rsidR="11BF02BB" w:rsidRPr="181B6A0C">
        <w:rPr>
          <w:rFonts w:eastAsia="Calibri" w:cs="Calibri"/>
          <w:sz w:val="22"/>
          <w:szCs w:val="22"/>
          <w:lang w:eastAsia="zh-TW"/>
        </w:rPr>
        <w:t>-</w:t>
      </w:r>
      <w:r w:rsidRPr="0062595A">
        <w:rPr>
          <w:rFonts w:eastAsia="Calibri" w:cs="Calibri"/>
          <w:sz w:val="22"/>
          <w:szCs w:val="22"/>
          <w:lang w:eastAsia="zh-TW"/>
        </w:rPr>
        <w:t xml:space="preserve">fee Associates reached </w:t>
      </w:r>
      <w:r w:rsidRPr="0062595A">
        <w:rPr>
          <w:rFonts w:eastAsia="Calibri" w:cs="Calibri"/>
          <w:b/>
          <w:bCs/>
          <w:sz w:val="22"/>
          <w:szCs w:val="22"/>
          <w:lang w:eastAsia="zh-TW"/>
        </w:rPr>
        <w:t>120 memberships</w:t>
      </w:r>
      <w:r w:rsidRPr="0062595A">
        <w:rPr>
          <w:rFonts w:eastAsia="Calibri" w:cs="Calibri"/>
          <w:sz w:val="22"/>
          <w:szCs w:val="22"/>
          <w:lang w:eastAsia="zh-TW"/>
        </w:rPr>
        <w:t xml:space="preserve">, with </w:t>
      </w:r>
      <w:r w:rsidRPr="0062595A">
        <w:rPr>
          <w:rFonts w:eastAsia="Calibri" w:cs="Calibri"/>
          <w:b/>
          <w:bCs/>
          <w:sz w:val="22"/>
          <w:szCs w:val="22"/>
          <w:lang w:eastAsia="zh-TW"/>
        </w:rPr>
        <w:t>+26 net new</w:t>
      </w:r>
      <w:r w:rsidRPr="0062595A">
        <w:rPr>
          <w:rFonts w:eastAsia="Calibri" w:cs="Calibri"/>
          <w:sz w:val="22"/>
          <w:szCs w:val="22"/>
          <w:lang w:eastAsia="zh-TW"/>
        </w:rPr>
        <w:t xml:space="preserve"> in 2025.</w:t>
      </w:r>
    </w:p>
    <w:p w14:paraId="6E32F832" w14:textId="0EEC69C0" w:rsidR="006176F4" w:rsidRPr="0062595A" w:rsidRDefault="006176F4" w:rsidP="006176F4">
      <w:pPr>
        <w:tabs>
          <w:tab w:val="clear" w:pos="567"/>
          <w:tab w:val="clear" w:pos="1134"/>
          <w:tab w:val="clear" w:pos="1701"/>
          <w:tab w:val="clear" w:pos="2268"/>
          <w:tab w:val="clear" w:pos="2835"/>
        </w:tabs>
        <w:suppressAutoHyphens/>
        <w:overflowPunct/>
        <w:autoSpaceDE/>
        <w:adjustRightInd/>
        <w:spacing w:before="240" w:after="120"/>
        <w:jc w:val="both"/>
        <w:textAlignment w:val="auto"/>
        <w:rPr>
          <w:rFonts w:eastAsia="PMingLiU"/>
          <w:sz w:val="22"/>
          <w:szCs w:val="22"/>
          <w:lang w:eastAsia="zh-TW"/>
        </w:rPr>
      </w:pPr>
      <w:r w:rsidRPr="0062595A">
        <w:rPr>
          <w:rFonts w:eastAsia="Calibri" w:cs="Calibri"/>
          <w:b/>
          <w:bCs/>
          <w:sz w:val="22"/>
          <w:szCs w:val="22"/>
        </w:rPr>
        <w:t>Organizational transformation</w:t>
      </w:r>
    </w:p>
    <w:p w14:paraId="7A98D5FB" w14:textId="77777777" w:rsidR="0057728D" w:rsidRPr="00226A7D" w:rsidRDefault="0057728D" w:rsidP="0057728D">
      <w:pPr>
        <w:numPr>
          <w:ilvl w:val="0"/>
          <w:numId w:val="16"/>
        </w:numPr>
        <w:tabs>
          <w:tab w:val="clear" w:pos="567"/>
          <w:tab w:val="clear" w:pos="1134"/>
          <w:tab w:val="clear" w:pos="1701"/>
          <w:tab w:val="clear" w:pos="2268"/>
          <w:tab w:val="clear" w:pos="2835"/>
        </w:tabs>
        <w:spacing w:before="60" w:after="60"/>
        <w:jc w:val="both"/>
        <w:rPr>
          <w:rFonts w:eastAsia="Calibri" w:cs="Calibri"/>
          <w:sz w:val="22"/>
          <w:szCs w:val="22"/>
          <w:lang w:eastAsia="zh-TW"/>
        </w:rPr>
      </w:pPr>
      <w:r w:rsidRPr="00226A7D">
        <w:rPr>
          <w:rFonts w:eastAsia="Calibri" w:cs="Calibri"/>
          <w:sz w:val="22"/>
          <w:szCs w:val="22"/>
          <w:lang w:eastAsia="zh-TW"/>
        </w:rPr>
        <w:t xml:space="preserve">ITU recovered from a series of unqualified audit opinions, achieving </w:t>
      </w:r>
      <w:r w:rsidRPr="00602687">
        <w:rPr>
          <w:rFonts w:eastAsia="Calibri" w:cs="Calibri"/>
          <w:b/>
          <w:bCs/>
          <w:sz w:val="22"/>
          <w:szCs w:val="22"/>
          <w:lang w:eastAsia="zh-TW"/>
        </w:rPr>
        <w:t>full IPSAS compliance</w:t>
      </w:r>
      <w:r w:rsidRPr="00226A7D">
        <w:rPr>
          <w:rFonts w:eastAsia="Calibri" w:cs="Calibri"/>
          <w:sz w:val="22"/>
          <w:szCs w:val="22"/>
          <w:lang w:eastAsia="zh-TW"/>
        </w:rPr>
        <w:t xml:space="preserve"> with improvements to treasury, extrabudgetary funds, and budget allocation systems.</w:t>
      </w:r>
    </w:p>
    <w:p w14:paraId="0697B162" w14:textId="49013183" w:rsidR="0057728D" w:rsidRPr="00226A7D" w:rsidRDefault="0057728D" w:rsidP="0057728D">
      <w:pPr>
        <w:numPr>
          <w:ilvl w:val="0"/>
          <w:numId w:val="16"/>
        </w:numPr>
        <w:tabs>
          <w:tab w:val="clear" w:pos="567"/>
          <w:tab w:val="clear" w:pos="1134"/>
          <w:tab w:val="clear" w:pos="1701"/>
          <w:tab w:val="clear" w:pos="2268"/>
          <w:tab w:val="clear" w:pos="2835"/>
        </w:tabs>
        <w:spacing w:before="60" w:after="60"/>
        <w:jc w:val="both"/>
        <w:rPr>
          <w:rFonts w:eastAsia="Calibri" w:cs="Calibri"/>
          <w:sz w:val="22"/>
          <w:szCs w:val="22"/>
          <w:lang w:eastAsia="zh-TW"/>
        </w:rPr>
      </w:pPr>
      <w:r w:rsidRPr="00226A7D">
        <w:rPr>
          <w:rFonts w:eastAsia="Calibri" w:cs="Calibri"/>
          <w:sz w:val="22"/>
          <w:szCs w:val="22"/>
          <w:lang w:eastAsia="zh-TW"/>
        </w:rPr>
        <w:t>ITU</w:t>
      </w:r>
      <w:r w:rsidR="00D74589">
        <w:rPr>
          <w:rFonts w:eastAsia="Calibri" w:cs="Calibri"/>
          <w:sz w:val="22"/>
          <w:szCs w:val="22"/>
          <w:lang w:eastAsia="zh-TW"/>
        </w:rPr>
        <w:t xml:space="preserve"> through </w:t>
      </w:r>
      <w:r w:rsidR="00D74589" w:rsidRPr="00D74589">
        <w:rPr>
          <w:rFonts w:eastAsia="Calibri" w:cs="Calibri"/>
          <w:sz w:val="22"/>
          <w:szCs w:val="22"/>
          <w:lang w:eastAsia="zh-TW"/>
        </w:rPr>
        <w:t>proactive and disciplined financial management</w:t>
      </w:r>
      <w:r w:rsidRPr="00226A7D">
        <w:rPr>
          <w:rFonts w:eastAsia="Calibri" w:cs="Calibri"/>
          <w:sz w:val="22"/>
          <w:szCs w:val="22"/>
          <w:lang w:eastAsia="zh-TW"/>
        </w:rPr>
        <w:t xml:space="preserve"> achieved a </w:t>
      </w:r>
      <w:r w:rsidRPr="00602687">
        <w:rPr>
          <w:rFonts w:eastAsia="Calibri" w:cs="Calibri"/>
          <w:b/>
          <w:bCs/>
          <w:sz w:val="22"/>
          <w:szCs w:val="22"/>
          <w:lang w:eastAsia="zh-TW"/>
        </w:rPr>
        <w:t>3% budget surplus</w:t>
      </w:r>
      <w:r w:rsidRPr="00226A7D">
        <w:rPr>
          <w:rFonts w:eastAsia="Calibri" w:cs="Calibri"/>
          <w:sz w:val="22"/>
          <w:szCs w:val="22"/>
          <w:lang w:eastAsia="zh-TW"/>
        </w:rPr>
        <w:t xml:space="preserve"> in 2024 </w:t>
      </w:r>
      <w:r w:rsidR="000E7D00">
        <w:rPr>
          <w:rFonts w:eastAsia="Calibri" w:cs="Calibri"/>
          <w:sz w:val="22"/>
          <w:szCs w:val="22"/>
          <w:lang w:eastAsia="zh-TW"/>
        </w:rPr>
        <w:t>and</w:t>
      </w:r>
      <w:r w:rsidRPr="00226A7D">
        <w:rPr>
          <w:rFonts w:eastAsia="Calibri" w:cs="Calibri"/>
          <w:sz w:val="22"/>
          <w:szCs w:val="22"/>
          <w:lang w:eastAsia="zh-TW"/>
        </w:rPr>
        <w:t xml:space="preserve"> a </w:t>
      </w:r>
      <w:r w:rsidRPr="00602687">
        <w:rPr>
          <w:rFonts w:eastAsia="Calibri" w:cs="Calibri"/>
          <w:b/>
          <w:bCs/>
          <w:sz w:val="22"/>
          <w:szCs w:val="22"/>
          <w:lang w:eastAsia="zh-TW"/>
        </w:rPr>
        <w:t>7% budget surplus</w:t>
      </w:r>
      <w:r w:rsidRPr="00226A7D">
        <w:rPr>
          <w:rFonts w:eastAsia="Calibri" w:cs="Calibri"/>
          <w:sz w:val="22"/>
          <w:szCs w:val="22"/>
          <w:lang w:eastAsia="zh-TW"/>
        </w:rPr>
        <w:t xml:space="preserve"> in 2025</w:t>
      </w:r>
      <w:r w:rsidR="003A57E5">
        <w:rPr>
          <w:rFonts w:eastAsia="Calibri" w:cs="Calibri"/>
          <w:sz w:val="22"/>
          <w:szCs w:val="22"/>
          <w:lang w:eastAsia="zh-TW"/>
        </w:rPr>
        <w:t>.</w:t>
      </w:r>
    </w:p>
    <w:p w14:paraId="42096225" w14:textId="50228758" w:rsidR="002901F6" w:rsidRDefault="002901F6" w:rsidP="002901F6">
      <w:pPr>
        <w:numPr>
          <w:ilvl w:val="0"/>
          <w:numId w:val="16"/>
        </w:numPr>
        <w:tabs>
          <w:tab w:val="clear" w:pos="567"/>
          <w:tab w:val="clear" w:pos="1134"/>
          <w:tab w:val="clear" w:pos="1701"/>
          <w:tab w:val="clear" w:pos="2268"/>
          <w:tab w:val="clear" w:pos="2835"/>
        </w:tabs>
        <w:spacing w:before="60" w:after="60"/>
        <w:jc w:val="both"/>
        <w:rPr>
          <w:rFonts w:eastAsia="Calibri" w:cs="Calibri"/>
          <w:sz w:val="22"/>
          <w:szCs w:val="22"/>
          <w:lang w:eastAsia="zh-TW"/>
        </w:rPr>
      </w:pPr>
      <w:r>
        <w:rPr>
          <w:rFonts w:eastAsia="Calibri" w:cs="Calibri"/>
          <w:sz w:val="22"/>
          <w:szCs w:val="22"/>
          <w:lang w:eastAsia="zh-TW"/>
        </w:rPr>
        <w:t xml:space="preserve">ITU prioritized people and culture transformation, with the launch of the first </w:t>
      </w:r>
      <w:r w:rsidRPr="00EC1494">
        <w:rPr>
          <w:rFonts w:eastAsia="Calibri" w:cs="Calibri"/>
          <w:b/>
          <w:sz w:val="22"/>
          <w:szCs w:val="22"/>
          <w:lang w:eastAsia="zh-TW"/>
        </w:rPr>
        <w:t>Employee Engagement survey</w:t>
      </w:r>
      <w:r>
        <w:rPr>
          <w:rFonts w:eastAsia="Calibri" w:cs="Calibri"/>
          <w:sz w:val="22"/>
          <w:szCs w:val="22"/>
          <w:lang w:eastAsia="zh-TW"/>
        </w:rPr>
        <w:t xml:space="preserve"> and follow-up action plans, the </w:t>
      </w:r>
      <w:r w:rsidR="005F5D65">
        <w:rPr>
          <w:rFonts w:eastAsia="Calibri" w:cs="Calibri"/>
          <w:sz w:val="22"/>
          <w:szCs w:val="22"/>
          <w:lang w:eastAsia="zh-TW"/>
        </w:rPr>
        <w:t>ongoing</w:t>
      </w:r>
      <w:r>
        <w:rPr>
          <w:rFonts w:eastAsia="Calibri" w:cs="Calibri"/>
          <w:sz w:val="22"/>
          <w:szCs w:val="22"/>
          <w:lang w:eastAsia="zh-TW"/>
        </w:rPr>
        <w:t xml:space="preserve"> </w:t>
      </w:r>
      <w:r w:rsidRPr="00EC1494">
        <w:rPr>
          <w:rFonts w:eastAsia="Calibri" w:cs="Calibri"/>
          <w:b/>
          <w:sz w:val="22"/>
          <w:szCs w:val="22"/>
          <w:lang w:eastAsia="zh-TW"/>
        </w:rPr>
        <w:t>adaptive leadership programme</w:t>
      </w:r>
      <w:r>
        <w:rPr>
          <w:rFonts w:eastAsia="Calibri" w:cs="Calibri"/>
          <w:sz w:val="22"/>
          <w:szCs w:val="22"/>
          <w:lang w:eastAsia="zh-TW"/>
        </w:rPr>
        <w:t xml:space="preserve"> ongoing, </w:t>
      </w:r>
      <w:r w:rsidR="00C02068">
        <w:rPr>
          <w:rFonts w:eastAsia="Calibri" w:cs="Calibri"/>
          <w:sz w:val="22"/>
          <w:szCs w:val="22"/>
          <w:lang w:eastAsia="zh-TW"/>
        </w:rPr>
        <w:t xml:space="preserve">and </w:t>
      </w:r>
      <w:r w:rsidR="005F5D65">
        <w:rPr>
          <w:rFonts w:eastAsia="Calibri" w:cs="Calibri"/>
          <w:sz w:val="22"/>
          <w:szCs w:val="22"/>
          <w:lang w:eastAsia="zh-TW"/>
        </w:rPr>
        <w:t>the launch of the</w:t>
      </w:r>
      <w:r>
        <w:rPr>
          <w:rFonts w:eastAsia="Calibri" w:cs="Calibri"/>
          <w:sz w:val="22"/>
          <w:szCs w:val="22"/>
          <w:lang w:eastAsia="zh-TW"/>
        </w:rPr>
        <w:t xml:space="preserve"> </w:t>
      </w:r>
      <w:r w:rsidRPr="00EC1494">
        <w:rPr>
          <w:rFonts w:eastAsia="Calibri" w:cs="Calibri"/>
          <w:b/>
          <w:sz w:val="22"/>
          <w:szCs w:val="22"/>
          <w:lang w:eastAsia="zh-TW"/>
        </w:rPr>
        <w:t>Rewards &amp; Recognition</w:t>
      </w:r>
      <w:r>
        <w:rPr>
          <w:rFonts w:eastAsia="Calibri" w:cs="Calibri"/>
          <w:b/>
          <w:sz w:val="22"/>
          <w:szCs w:val="22"/>
          <w:lang w:eastAsia="zh-TW"/>
        </w:rPr>
        <w:t xml:space="preserve"> </w:t>
      </w:r>
      <w:r>
        <w:rPr>
          <w:rFonts w:eastAsia="Calibri" w:cs="Calibri"/>
          <w:sz w:val="22"/>
          <w:szCs w:val="22"/>
          <w:lang w:eastAsia="zh-TW"/>
        </w:rPr>
        <w:t>programme.</w:t>
      </w:r>
    </w:p>
    <w:p w14:paraId="2AF8491A" w14:textId="3CA18EBB" w:rsidR="00EA1708" w:rsidRDefault="00EA1708" w:rsidP="00EA1708">
      <w:pPr>
        <w:numPr>
          <w:ilvl w:val="0"/>
          <w:numId w:val="16"/>
        </w:numPr>
        <w:tabs>
          <w:tab w:val="clear" w:pos="567"/>
          <w:tab w:val="clear" w:pos="1134"/>
          <w:tab w:val="clear" w:pos="1701"/>
          <w:tab w:val="clear" w:pos="2268"/>
          <w:tab w:val="clear" w:pos="2835"/>
        </w:tabs>
        <w:spacing w:before="60" w:after="60"/>
        <w:jc w:val="both"/>
        <w:rPr>
          <w:rFonts w:eastAsia="Calibri" w:cs="Calibri"/>
          <w:sz w:val="22"/>
          <w:szCs w:val="22"/>
          <w:lang w:eastAsia="zh-TW"/>
        </w:rPr>
      </w:pPr>
      <w:r w:rsidRPr="00802131">
        <w:rPr>
          <w:rFonts w:eastAsia="Calibri" w:cs="Calibri"/>
          <w:sz w:val="22"/>
          <w:szCs w:val="22"/>
          <w:lang w:eastAsia="zh-TW"/>
        </w:rPr>
        <w:t xml:space="preserve">ITU </w:t>
      </w:r>
      <w:r w:rsidR="00A13D62">
        <w:rPr>
          <w:rFonts w:eastAsia="Calibri" w:cs="Calibri"/>
          <w:sz w:val="22"/>
          <w:szCs w:val="22"/>
          <w:lang w:eastAsia="zh-TW"/>
        </w:rPr>
        <w:t>significantly strengthened</w:t>
      </w:r>
      <w:r w:rsidRPr="00802131">
        <w:rPr>
          <w:rFonts w:eastAsia="Calibri" w:cs="Calibri"/>
          <w:sz w:val="22"/>
          <w:szCs w:val="22"/>
          <w:lang w:eastAsia="zh-TW"/>
        </w:rPr>
        <w:t xml:space="preserve"> its governance and oversight, with the establishment of the </w:t>
      </w:r>
      <w:r w:rsidRPr="00EC1494">
        <w:rPr>
          <w:rFonts w:eastAsia="Calibri" w:cs="Calibri"/>
          <w:b/>
          <w:sz w:val="22"/>
          <w:szCs w:val="22"/>
          <w:lang w:eastAsia="zh-TW"/>
        </w:rPr>
        <w:t>Oversight Unit</w:t>
      </w:r>
      <w:r>
        <w:rPr>
          <w:rFonts w:eastAsia="Calibri" w:cs="Calibri"/>
          <w:sz w:val="22"/>
          <w:szCs w:val="22"/>
          <w:lang w:eastAsia="zh-TW"/>
        </w:rPr>
        <w:t xml:space="preserve"> (</w:t>
      </w:r>
      <w:r w:rsidRPr="00802131">
        <w:rPr>
          <w:rFonts w:eastAsia="Calibri" w:cs="Calibri"/>
          <w:sz w:val="22"/>
          <w:szCs w:val="22"/>
          <w:lang w:eastAsia="zh-TW"/>
        </w:rPr>
        <w:t>fully staffed by January 2026</w:t>
      </w:r>
      <w:r>
        <w:rPr>
          <w:rFonts w:eastAsia="Calibri" w:cs="Calibri"/>
          <w:sz w:val="22"/>
          <w:szCs w:val="22"/>
          <w:lang w:eastAsia="zh-TW"/>
        </w:rPr>
        <w:t>)</w:t>
      </w:r>
      <w:r w:rsidRPr="00802131">
        <w:rPr>
          <w:rFonts w:eastAsia="Calibri" w:cs="Calibri"/>
          <w:sz w:val="22"/>
          <w:szCs w:val="22"/>
          <w:lang w:eastAsia="zh-TW"/>
        </w:rPr>
        <w:t xml:space="preserve">, the set-up of the </w:t>
      </w:r>
      <w:r w:rsidRPr="00EC1494">
        <w:rPr>
          <w:rFonts w:eastAsia="Calibri" w:cs="Calibri"/>
          <w:b/>
          <w:sz w:val="22"/>
          <w:szCs w:val="22"/>
          <w:lang w:eastAsia="zh-TW"/>
        </w:rPr>
        <w:t>Evaluation Function</w:t>
      </w:r>
      <w:r w:rsidRPr="00802131">
        <w:rPr>
          <w:rFonts w:eastAsia="Calibri" w:cs="Calibri"/>
          <w:sz w:val="22"/>
          <w:szCs w:val="22"/>
          <w:lang w:eastAsia="zh-TW"/>
        </w:rPr>
        <w:t xml:space="preserve">, the formalization of the </w:t>
      </w:r>
      <w:r w:rsidRPr="00EC1494">
        <w:rPr>
          <w:rFonts w:eastAsia="Calibri" w:cs="Calibri"/>
          <w:b/>
          <w:sz w:val="22"/>
          <w:szCs w:val="22"/>
          <w:lang w:eastAsia="zh-TW"/>
        </w:rPr>
        <w:t>Ethics Charter</w:t>
      </w:r>
      <w:r w:rsidRPr="00802131">
        <w:rPr>
          <w:rFonts w:eastAsia="Calibri" w:cs="Calibri"/>
          <w:sz w:val="22"/>
          <w:szCs w:val="22"/>
          <w:lang w:eastAsia="zh-TW"/>
        </w:rPr>
        <w:t xml:space="preserve">, and establishment of the independent </w:t>
      </w:r>
      <w:r w:rsidRPr="00EC1494">
        <w:rPr>
          <w:rFonts w:eastAsia="Calibri" w:cs="Calibri"/>
          <w:b/>
          <w:sz w:val="22"/>
          <w:szCs w:val="22"/>
          <w:lang w:eastAsia="zh-TW"/>
        </w:rPr>
        <w:t>ombudsman function</w:t>
      </w:r>
      <w:r w:rsidRPr="00802131">
        <w:rPr>
          <w:rFonts w:eastAsia="Calibri" w:cs="Calibri"/>
          <w:sz w:val="22"/>
          <w:szCs w:val="22"/>
          <w:lang w:eastAsia="zh-TW"/>
        </w:rPr>
        <w:t xml:space="preserve">, and </w:t>
      </w:r>
      <w:r>
        <w:rPr>
          <w:rFonts w:eastAsia="Calibri" w:cs="Calibri"/>
          <w:sz w:val="22"/>
          <w:szCs w:val="22"/>
          <w:lang w:eastAsia="zh-TW"/>
        </w:rPr>
        <w:t>e</w:t>
      </w:r>
      <w:r w:rsidRPr="00802131">
        <w:rPr>
          <w:rFonts w:eastAsia="Calibri" w:cs="Calibri"/>
          <w:sz w:val="22"/>
          <w:szCs w:val="22"/>
          <w:lang w:eastAsia="zh-TW"/>
        </w:rPr>
        <w:t xml:space="preserve">valuation training </w:t>
      </w:r>
      <w:r>
        <w:rPr>
          <w:rFonts w:eastAsia="Calibri" w:cs="Calibri"/>
          <w:sz w:val="22"/>
          <w:szCs w:val="22"/>
          <w:lang w:eastAsia="zh-TW"/>
        </w:rPr>
        <w:t xml:space="preserve">conducted </w:t>
      </w:r>
      <w:r w:rsidRPr="00802131">
        <w:rPr>
          <w:rFonts w:eastAsia="Calibri" w:cs="Calibri"/>
          <w:sz w:val="22"/>
          <w:szCs w:val="22"/>
          <w:lang w:eastAsia="zh-TW"/>
        </w:rPr>
        <w:t>for staff to build community and expertise.</w:t>
      </w:r>
    </w:p>
    <w:p w14:paraId="2BFFD0D3" w14:textId="71E839E3" w:rsidR="00226A7D" w:rsidRPr="00226A7D" w:rsidRDefault="00226A7D" w:rsidP="00226A7D">
      <w:pPr>
        <w:numPr>
          <w:ilvl w:val="0"/>
          <w:numId w:val="16"/>
        </w:numPr>
        <w:tabs>
          <w:tab w:val="clear" w:pos="567"/>
          <w:tab w:val="clear" w:pos="1134"/>
          <w:tab w:val="clear" w:pos="1701"/>
          <w:tab w:val="clear" w:pos="2268"/>
          <w:tab w:val="clear" w:pos="2835"/>
        </w:tabs>
        <w:spacing w:before="60" w:after="60"/>
        <w:jc w:val="both"/>
        <w:rPr>
          <w:rFonts w:eastAsia="Calibri" w:cs="Calibri"/>
          <w:sz w:val="22"/>
          <w:szCs w:val="22"/>
          <w:lang w:eastAsia="zh-TW"/>
        </w:rPr>
      </w:pPr>
      <w:r w:rsidRPr="00226A7D">
        <w:rPr>
          <w:rFonts w:eastAsia="Calibri" w:cs="Calibri"/>
          <w:sz w:val="22"/>
          <w:szCs w:val="22"/>
          <w:lang w:eastAsia="zh-TW"/>
        </w:rPr>
        <w:lastRenderedPageBreak/>
        <w:t xml:space="preserve">ITU </w:t>
      </w:r>
      <w:r w:rsidR="000C4731">
        <w:rPr>
          <w:rFonts w:eastAsia="Calibri" w:cs="Calibri"/>
          <w:sz w:val="22"/>
          <w:szCs w:val="22"/>
          <w:lang w:eastAsia="zh-TW"/>
        </w:rPr>
        <w:t xml:space="preserve">realised significant efficiency gains by </w:t>
      </w:r>
      <w:r w:rsidRPr="00226A7D">
        <w:rPr>
          <w:rFonts w:eastAsia="Calibri" w:cs="Calibri"/>
          <w:sz w:val="22"/>
          <w:szCs w:val="22"/>
          <w:lang w:eastAsia="zh-TW"/>
        </w:rPr>
        <w:t>leverag</w:t>
      </w:r>
      <w:r w:rsidR="000C4731">
        <w:rPr>
          <w:rFonts w:eastAsia="Calibri" w:cs="Calibri"/>
          <w:sz w:val="22"/>
          <w:szCs w:val="22"/>
          <w:lang w:eastAsia="zh-TW"/>
        </w:rPr>
        <w:t>ing</w:t>
      </w:r>
      <w:r w:rsidRPr="00226A7D">
        <w:rPr>
          <w:rFonts w:eastAsia="Calibri" w:cs="Calibri"/>
          <w:sz w:val="22"/>
          <w:szCs w:val="22"/>
          <w:lang w:eastAsia="zh-TW"/>
        </w:rPr>
        <w:t xml:space="preserve"> AI translation and editing tools to achieve a </w:t>
      </w:r>
      <w:r w:rsidRPr="00602687">
        <w:rPr>
          <w:rFonts w:eastAsia="Calibri" w:cs="Calibri"/>
          <w:b/>
          <w:bCs/>
          <w:sz w:val="22"/>
          <w:szCs w:val="22"/>
          <w:lang w:eastAsia="zh-TW"/>
        </w:rPr>
        <w:t>20% efficiency bump</w:t>
      </w:r>
      <w:r w:rsidRPr="00226A7D">
        <w:rPr>
          <w:rFonts w:eastAsia="Calibri" w:cs="Calibri"/>
          <w:sz w:val="22"/>
          <w:szCs w:val="22"/>
          <w:lang w:eastAsia="zh-TW"/>
        </w:rPr>
        <w:t xml:space="preserve"> in terms of translation productivity</w:t>
      </w:r>
      <w:r w:rsidR="00AE27A3">
        <w:rPr>
          <w:rFonts w:eastAsia="Calibri" w:cs="Calibri"/>
          <w:sz w:val="22"/>
          <w:szCs w:val="22"/>
          <w:lang w:eastAsia="zh-TW"/>
        </w:rPr>
        <w:t>.</w:t>
      </w:r>
    </w:p>
    <w:p w14:paraId="76FA6844" w14:textId="77777777" w:rsidR="00AE27A3" w:rsidRPr="00226A7D" w:rsidRDefault="00AE27A3" w:rsidP="00AE27A3">
      <w:pPr>
        <w:numPr>
          <w:ilvl w:val="0"/>
          <w:numId w:val="16"/>
        </w:numPr>
        <w:tabs>
          <w:tab w:val="clear" w:pos="567"/>
          <w:tab w:val="clear" w:pos="1134"/>
          <w:tab w:val="clear" w:pos="1701"/>
          <w:tab w:val="clear" w:pos="2268"/>
          <w:tab w:val="clear" w:pos="2835"/>
        </w:tabs>
        <w:spacing w:before="60" w:after="60"/>
        <w:jc w:val="both"/>
        <w:rPr>
          <w:rFonts w:eastAsia="Calibri" w:cs="Calibri"/>
          <w:sz w:val="22"/>
          <w:szCs w:val="22"/>
          <w:lang w:eastAsia="zh-TW"/>
        </w:rPr>
      </w:pPr>
      <w:r w:rsidRPr="00226A7D">
        <w:rPr>
          <w:rFonts w:eastAsia="Calibri" w:cs="Calibri"/>
          <w:sz w:val="22"/>
          <w:szCs w:val="22"/>
          <w:lang w:eastAsia="zh-TW"/>
        </w:rPr>
        <w:t xml:space="preserve">ITU recognized savings in Electricity Costs, including a </w:t>
      </w:r>
      <w:r w:rsidRPr="00602687">
        <w:rPr>
          <w:rFonts w:eastAsia="Calibri" w:cs="Calibri"/>
          <w:b/>
          <w:bCs/>
          <w:sz w:val="22"/>
          <w:szCs w:val="22"/>
          <w:lang w:eastAsia="zh-TW"/>
        </w:rPr>
        <w:t>40% reduction</w:t>
      </w:r>
      <w:r w:rsidRPr="00226A7D">
        <w:rPr>
          <w:rFonts w:eastAsia="Calibri" w:cs="Calibri"/>
          <w:sz w:val="22"/>
          <w:szCs w:val="22"/>
          <w:lang w:eastAsia="zh-TW"/>
        </w:rPr>
        <w:t xml:space="preserve"> in 2024 vs 2023 (~650 K CHF) and another </w:t>
      </w:r>
      <w:r w:rsidRPr="00602687">
        <w:rPr>
          <w:rFonts w:eastAsia="Calibri" w:cs="Calibri"/>
          <w:b/>
          <w:bCs/>
          <w:sz w:val="22"/>
          <w:szCs w:val="22"/>
          <w:lang w:eastAsia="zh-TW"/>
        </w:rPr>
        <w:t>20% reduction</w:t>
      </w:r>
      <w:r w:rsidRPr="00226A7D">
        <w:rPr>
          <w:rFonts w:eastAsia="Calibri" w:cs="Calibri"/>
          <w:sz w:val="22"/>
          <w:szCs w:val="22"/>
          <w:lang w:eastAsia="zh-TW"/>
        </w:rPr>
        <w:t xml:space="preserve"> in 2025 (~200 K CHF)</w:t>
      </w:r>
    </w:p>
    <w:p w14:paraId="0FFAF2EA" w14:textId="68E76E99" w:rsidR="00226A7D" w:rsidRPr="00226A7D" w:rsidRDefault="00226A7D" w:rsidP="00226A7D">
      <w:pPr>
        <w:numPr>
          <w:ilvl w:val="0"/>
          <w:numId w:val="16"/>
        </w:numPr>
        <w:tabs>
          <w:tab w:val="clear" w:pos="567"/>
          <w:tab w:val="clear" w:pos="1134"/>
          <w:tab w:val="clear" w:pos="1701"/>
          <w:tab w:val="clear" w:pos="2268"/>
          <w:tab w:val="clear" w:pos="2835"/>
        </w:tabs>
        <w:spacing w:before="60" w:after="60"/>
        <w:jc w:val="both"/>
        <w:rPr>
          <w:rFonts w:eastAsia="Calibri" w:cs="Calibri"/>
          <w:sz w:val="22"/>
          <w:szCs w:val="22"/>
          <w:lang w:eastAsia="zh-TW"/>
        </w:rPr>
      </w:pPr>
      <w:r w:rsidRPr="00226A7D">
        <w:rPr>
          <w:rFonts w:eastAsia="Calibri" w:cs="Calibri"/>
          <w:sz w:val="22"/>
          <w:szCs w:val="22"/>
          <w:lang w:eastAsia="zh-TW"/>
        </w:rPr>
        <w:t xml:space="preserve">ITU redesigned the </w:t>
      </w:r>
      <w:r w:rsidRPr="00D6795E">
        <w:rPr>
          <w:rFonts w:eastAsia="Calibri" w:cs="Calibri"/>
          <w:b/>
          <w:sz w:val="22"/>
          <w:szCs w:val="22"/>
          <w:lang w:eastAsia="zh-TW"/>
        </w:rPr>
        <w:t>New Building Project</w:t>
      </w:r>
      <w:r w:rsidRPr="00226A7D">
        <w:rPr>
          <w:rFonts w:eastAsia="Calibri" w:cs="Calibri"/>
          <w:sz w:val="22"/>
          <w:szCs w:val="22"/>
          <w:lang w:eastAsia="zh-TW"/>
        </w:rPr>
        <w:t xml:space="preserve">, with strengthened governance, with an iterative process involving key stakeholders, </w:t>
      </w:r>
      <w:proofErr w:type="gramStart"/>
      <w:r w:rsidRPr="00226A7D">
        <w:rPr>
          <w:rFonts w:eastAsia="Calibri" w:cs="Calibri"/>
          <w:sz w:val="22"/>
          <w:szCs w:val="22"/>
          <w:lang w:eastAsia="zh-TW"/>
        </w:rPr>
        <w:t>taking into account</w:t>
      </w:r>
      <w:proofErr w:type="gramEnd"/>
      <w:r w:rsidRPr="00226A7D">
        <w:rPr>
          <w:rFonts w:eastAsia="Calibri" w:cs="Calibri"/>
          <w:sz w:val="22"/>
          <w:szCs w:val="22"/>
          <w:lang w:eastAsia="zh-TW"/>
        </w:rPr>
        <w:t xml:space="preserve"> available funding.</w:t>
      </w:r>
    </w:p>
    <w:p w14:paraId="76F12E6D" w14:textId="584B4204" w:rsidR="00667F38" w:rsidRDefault="00066F0F" w:rsidP="00667F38">
      <w:pPr>
        <w:numPr>
          <w:ilvl w:val="0"/>
          <w:numId w:val="16"/>
        </w:numPr>
        <w:tabs>
          <w:tab w:val="clear" w:pos="567"/>
          <w:tab w:val="clear" w:pos="1134"/>
          <w:tab w:val="clear" w:pos="1701"/>
          <w:tab w:val="clear" w:pos="2268"/>
          <w:tab w:val="clear" w:pos="2835"/>
        </w:tabs>
        <w:spacing w:before="60" w:after="60"/>
        <w:jc w:val="both"/>
        <w:rPr>
          <w:rFonts w:eastAsia="Calibri" w:cs="Calibri"/>
          <w:sz w:val="22"/>
          <w:szCs w:val="22"/>
          <w:lang w:eastAsia="zh-TW"/>
        </w:rPr>
      </w:pPr>
      <w:r>
        <w:rPr>
          <w:rFonts w:eastAsia="Calibri" w:cs="Calibri"/>
          <w:sz w:val="22"/>
          <w:szCs w:val="22"/>
          <w:lang w:eastAsia="zh-TW"/>
        </w:rPr>
        <w:t xml:space="preserve">A </w:t>
      </w:r>
      <w:r w:rsidR="00E47F33">
        <w:rPr>
          <w:rFonts w:eastAsia="Calibri" w:cs="Calibri"/>
          <w:sz w:val="22"/>
          <w:szCs w:val="22"/>
          <w:lang w:eastAsia="zh-TW"/>
        </w:rPr>
        <w:t xml:space="preserve">new </w:t>
      </w:r>
      <w:r w:rsidR="006331A9" w:rsidRPr="00EC1494">
        <w:rPr>
          <w:rFonts w:eastAsia="Calibri" w:cs="Calibri"/>
          <w:b/>
          <w:sz w:val="22"/>
          <w:szCs w:val="22"/>
          <w:lang w:eastAsia="zh-TW"/>
        </w:rPr>
        <w:t>Digital Transformation</w:t>
      </w:r>
      <w:r w:rsidR="003D7259" w:rsidRPr="00EC1494">
        <w:rPr>
          <w:rFonts w:eastAsia="Calibri" w:cs="Calibri"/>
          <w:b/>
          <w:sz w:val="22"/>
          <w:szCs w:val="22"/>
          <w:lang w:eastAsia="zh-TW"/>
        </w:rPr>
        <w:t xml:space="preserve"> strategy</w:t>
      </w:r>
      <w:r w:rsidR="006678A0" w:rsidRPr="006678A0">
        <w:rPr>
          <w:rFonts w:eastAsia="Calibri" w:cs="Calibri"/>
          <w:sz w:val="22"/>
          <w:szCs w:val="22"/>
          <w:lang w:eastAsia="zh-TW"/>
        </w:rPr>
        <w:t xml:space="preserve">, </w:t>
      </w:r>
      <w:r w:rsidR="006678A0" w:rsidRPr="00EC1494">
        <w:rPr>
          <w:rFonts w:eastAsia="Calibri" w:cs="Calibri"/>
          <w:b/>
          <w:sz w:val="22"/>
          <w:szCs w:val="22"/>
          <w:lang w:eastAsia="zh-TW"/>
        </w:rPr>
        <w:t>AI-powered ITU website</w:t>
      </w:r>
      <w:r w:rsidR="006678A0">
        <w:rPr>
          <w:rFonts w:eastAsia="Calibri" w:cs="Calibri"/>
          <w:sz w:val="22"/>
          <w:szCs w:val="22"/>
          <w:lang w:eastAsia="zh-TW"/>
        </w:rPr>
        <w:t xml:space="preserve">, and </w:t>
      </w:r>
      <w:r w:rsidR="006678A0" w:rsidRPr="00EC1494">
        <w:rPr>
          <w:rFonts w:eastAsia="Calibri" w:cs="Calibri"/>
          <w:b/>
          <w:sz w:val="22"/>
          <w:szCs w:val="22"/>
          <w:lang w:eastAsia="zh-TW"/>
        </w:rPr>
        <w:t>AI Upskilling Programme</w:t>
      </w:r>
      <w:r w:rsidR="006678A0">
        <w:rPr>
          <w:rFonts w:eastAsia="Calibri" w:cs="Calibri"/>
          <w:sz w:val="22"/>
          <w:szCs w:val="22"/>
          <w:lang w:eastAsia="zh-TW"/>
        </w:rPr>
        <w:t xml:space="preserve"> for staff</w:t>
      </w:r>
      <w:r w:rsidR="00C52BD8">
        <w:rPr>
          <w:rFonts w:eastAsia="Calibri" w:cs="Calibri"/>
          <w:sz w:val="22"/>
          <w:szCs w:val="22"/>
          <w:lang w:eastAsia="zh-TW"/>
        </w:rPr>
        <w:t xml:space="preserve"> demonstrate syste</w:t>
      </w:r>
      <w:r w:rsidR="003D7259">
        <w:rPr>
          <w:rFonts w:eastAsia="Calibri" w:cs="Calibri"/>
          <w:sz w:val="22"/>
          <w:szCs w:val="22"/>
          <w:lang w:eastAsia="zh-TW"/>
        </w:rPr>
        <w:t>m improvements for both membership and ITU staff</w:t>
      </w:r>
      <w:r w:rsidR="00C52BD8">
        <w:rPr>
          <w:rFonts w:eastAsia="Calibri" w:cs="Calibri"/>
          <w:sz w:val="22"/>
          <w:szCs w:val="22"/>
          <w:lang w:eastAsia="zh-TW"/>
        </w:rPr>
        <w:t xml:space="preserve"> </w:t>
      </w:r>
    </w:p>
    <w:p w14:paraId="6F16C998" w14:textId="3FA5F7E5" w:rsidR="00F85B50" w:rsidRPr="0062595A" w:rsidRDefault="00F85B50" w:rsidP="00F85B50">
      <w:pPr>
        <w:numPr>
          <w:ilvl w:val="0"/>
          <w:numId w:val="16"/>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Calibri" w:cs="Calibri"/>
          <w:sz w:val="22"/>
          <w:szCs w:val="22"/>
          <w:lang w:eastAsia="zh-TW"/>
        </w:rPr>
      </w:pPr>
      <w:r w:rsidRPr="0062595A">
        <w:rPr>
          <w:rFonts w:eastAsia="Calibri" w:cs="Calibri"/>
          <w:sz w:val="22"/>
          <w:szCs w:val="22"/>
          <w:lang w:eastAsia="zh-TW"/>
        </w:rPr>
        <w:t xml:space="preserve">ITU operationalized an </w:t>
      </w:r>
      <w:r w:rsidRPr="181B6A0C">
        <w:rPr>
          <w:rFonts w:eastAsia="Calibri" w:cs="Calibri"/>
          <w:sz w:val="22"/>
          <w:szCs w:val="22"/>
          <w:lang w:eastAsia="zh-TW"/>
        </w:rPr>
        <w:t>ISO14001-</w:t>
      </w:r>
      <w:r w:rsidRPr="0062595A">
        <w:rPr>
          <w:rFonts w:eastAsia="Calibri" w:cs="Calibri"/>
          <w:sz w:val="22"/>
          <w:szCs w:val="22"/>
          <w:lang w:eastAsia="zh-TW"/>
        </w:rPr>
        <w:t>aligned environmental management system across all operations.</w:t>
      </w:r>
    </w:p>
    <w:p w14:paraId="451B1ADB" w14:textId="77777777" w:rsidR="00F85B50" w:rsidRPr="00667F38" w:rsidRDefault="00F85B50" w:rsidP="00F85B50">
      <w:pPr>
        <w:tabs>
          <w:tab w:val="clear" w:pos="567"/>
          <w:tab w:val="clear" w:pos="1134"/>
          <w:tab w:val="clear" w:pos="1701"/>
          <w:tab w:val="clear" w:pos="2268"/>
          <w:tab w:val="clear" w:pos="2835"/>
        </w:tabs>
        <w:spacing w:before="60" w:after="60"/>
        <w:ind w:left="720"/>
        <w:jc w:val="both"/>
        <w:rPr>
          <w:rFonts w:eastAsia="Calibri" w:cs="Calibri"/>
          <w:sz w:val="22"/>
          <w:szCs w:val="22"/>
          <w:lang w:eastAsia="zh-TW"/>
        </w:rPr>
      </w:pPr>
    </w:p>
    <w:p w14:paraId="5FCB4169" w14:textId="290E4D64" w:rsidR="0056065E" w:rsidRDefault="0056065E" w:rsidP="00C5530E">
      <w:pPr>
        <w:tabs>
          <w:tab w:val="clear" w:pos="567"/>
          <w:tab w:val="clear" w:pos="1134"/>
          <w:tab w:val="clear" w:pos="1701"/>
          <w:tab w:val="clear" w:pos="2268"/>
          <w:tab w:val="clear" w:pos="2835"/>
        </w:tabs>
        <w:overflowPunct/>
        <w:autoSpaceDE/>
        <w:autoSpaceDN/>
        <w:adjustRightInd/>
        <w:spacing w:before="0"/>
        <w:textAlignment w:val="auto"/>
        <w:rPr>
          <w:rFonts w:eastAsia="Calibri" w:cs="Calibri"/>
          <w:sz w:val="22"/>
        </w:rPr>
      </w:pPr>
      <w:r>
        <w:rPr>
          <w:rFonts w:eastAsia="Calibri" w:cs="Calibri"/>
          <w:sz w:val="22"/>
        </w:rPr>
        <w:br w:type="page"/>
      </w:r>
    </w:p>
    <w:p w14:paraId="3113E748" w14:textId="77777777" w:rsidR="0062595A" w:rsidRPr="0062595A" w:rsidRDefault="0062595A" w:rsidP="00C5530E">
      <w:pPr>
        <w:pageBreakBefore/>
        <w:tabs>
          <w:tab w:val="clear" w:pos="567"/>
          <w:tab w:val="clear" w:pos="1134"/>
          <w:tab w:val="clear" w:pos="1701"/>
          <w:tab w:val="clear" w:pos="2268"/>
          <w:tab w:val="clear" w:pos="2835"/>
        </w:tabs>
        <w:suppressAutoHyphens/>
        <w:overflowPunct/>
        <w:autoSpaceDE/>
        <w:adjustRightInd/>
        <w:spacing w:before="0"/>
        <w:textAlignment w:val="auto"/>
        <w:rPr>
          <w:rFonts w:eastAsia="MS Mincho"/>
          <w:sz w:val="22"/>
        </w:rPr>
      </w:pPr>
    </w:p>
    <w:p w14:paraId="639C87F3" w14:textId="77777777" w:rsidR="0062595A" w:rsidRPr="0062595A" w:rsidRDefault="0062595A" w:rsidP="004630E8">
      <w:pPr>
        <w:keepNext/>
        <w:keepLines/>
        <w:numPr>
          <w:ilvl w:val="0"/>
          <w:numId w:val="17"/>
        </w:numPr>
        <w:tabs>
          <w:tab w:val="clear" w:pos="567"/>
        </w:tabs>
        <w:suppressAutoHyphens/>
        <w:adjustRightInd/>
        <w:spacing w:before="480" w:after="360"/>
        <w:ind w:left="567" w:hanging="567"/>
        <w:jc w:val="both"/>
        <w:outlineLvl w:val="0"/>
        <w:rPr>
          <w:rFonts w:eastAsia="MS Mincho"/>
          <w:b/>
          <w:color w:val="1F497D"/>
          <w:sz w:val="28"/>
        </w:rPr>
      </w:pPr>
      <w:bookmarkStart w:id="20" w:name="_Toc224288789"/>
      <w:r w:rsidRPr="0062595A">
        <w:rPr>
          <w:rFonts w:eastAsia="MS Mincho"/>
          <w:b/>
          <w:color w:val="1F497D"/>
          <w:sz w:val="28"/>
        </w:rPr>
        <w:t>Introduction</w:t>
      </w:r>
      <w:bookmarkEnd w:id="20"/>
    </w:p>
    <w:p w14:paraId="07186A78"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The International Telecommunication Union (ITU) works to ensure that digital technologies result in meaningful and lasting benefits for everyone around the globe. In accordance with its mandate as a United Nations specialized agency, ITU advances radio spectrum coordination, technical standardization, and people-centred, technology-driven development to build a better digital future for all.</w:t>
      </w:r>
    </w:p>
    <w:p w14:paraId="4EB9345E" w14:textId="26DB96F1" w:rsidR="0062595A" w:rsidRPr="0062595A" w:rsidRDefault="0062595A" w:rsidP="00C5530E">
      <w:pPr>
        <w:suppressAutoHyphens/>
        <w:adjustRightInd/>
        <w:spacing w:after="120"/>
        <w:jc w:val="both"/>
        <w:rPr>
          <w:rFonts w:eastAsia="MS Mincho"/>
          <w:sz w:val="22"/>
        </w:rPr>
      </w:pPr>
      <w:r w:rsidRPr="0062595A">
        <w:rPr>
          <w:rFonts w:eastAsia="MS Mincho"/>
          <w:sz w:val="22"/>
        </w:rPr>
        <w:t>This report to ITU Council 2026 on the implementation of the organization’s strategic plan and activities covers the period 2022-2025 and should be the basis for the four-year report to the Plenipotentiary Conference (</w:t>
      </w:r>
      <w:hyperlink r:id="rId45" w:history="1">
        <w:r w:rsidRPr="0062595A">
          <w:rPr>
            <w:rFonts w:eastAsia="MS Mincho"/>
            <w:color w:val="0563C1"/>
            <w:sz w:val="22"/>
            <w:u w:val="single"/>
          </w:rPr>
          <w:t>PP-26</w:t>
        </w:r>
      </w:hyperlink>
      <w:r w:rsidRPr="0062595A">
        <w:rPr>
          <w:rFonts w:eastAsia="MS Mincho"/>
          <w:sz w:val="22"/>
        </w:rPr>
        <w:t>) (</w:t>
      </w:r>
      <w:hyperlink r:id="rId46" w:history="1">
        <w:r w:rsidRPr="00C93A80">
          <w:rPr>
            <w:rStyle w:val="Hyperlink"/>
            <w:rFonts w:eastAsia="MS Mincho"/>
            <w:color w:val="0563C1"/>
            <w:sz w:val="22"/>
          </w:rPr>
          <w:t>Doc</w:t>
        </w:r>
        <w:r w:rsidR="0027239A" w:rsidRPr="00C93A80">
          <w:rPr>
            <w:rStyle w:val="Hyperlink"/>
            <w:rFonts w:eastAsia="MS Mincho"/>
            <w:color w:val="0563C1"/>
            <w:sz w:val="22"/>
          </w:rPr>
          <w:t>ument</w:t>
        </w:r>
        <w:r w:rsidRPr="00C93A80">
          <w:rPr>
            <w:rStyle w:val="Hyperlink"/>
            <w:rFonts w:eastAsia="MS Mincho"/>
            <w:color w:val="0563C1"/>
            <w:sz w:val="22"/>
          </w:rPr>
          <w:t xml:space="preserve"> 20</w:t>
        </w:r>
      </w:hyperlink>
      <w:r w:rsidRPr="00B62A81">
        <w:rPr>
          <w:rFonts w:eastAsia="MS Mincho"/>
          <w:sz w:val="22"/>
        </w:rPr>
        <w:t>)</w:t>
      </w:r>
      <w:r w:rsidRPr="0062595A">
        <w:rPr>
          <w:rFonts w:eastAsia="MS Mincho"/>
          <w:sz w:val="22"/>
        </w:rPr>
        <w:t xml:space="preserve"> in 2026. The report is based on the results framework underpinning ITU's strategic plan.</w:t>
      </w:r>
    </w:p>
    <w:p w14:paraId="321ACB86"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While the first two years were covered by the previous </w:t>
      </w:r>
      <w:hyperlink r:id="rId47" w:history="1">
        <w:r w:rsidRPr="0062595A">
          <w:rPr>
            <w:rFonts w:eastAsia="MS Mincho"/>
            <w:color w:val="0563C1"/>
            <w:sz w:val="22"/>
            <w:u w:val="single"/>
          </w:rPr>
          <w:t>Strategic Plan (2020-2023)</w:t>
        </w:r>
      </w:hyperlink>
      <w:r w:rsidRPr="0062595A">
        <w:rPr>
          <w:rFonts w:eastAsia="MS Mincho"/>
          <w:sz w:val="22"/>
        </w:rPr>
        <w:t xml:space="preserve">, this report takes into consideration the framework of the current </w:t>
      </w:r>
      <w:hyperlink r:id="rId48" w:history="1">
        <w:r w:rsidRPr="0062595A">
          <w:rPr>
            <w:rFonts w:eastAsia="MS Mincho"/>
            <w:color w:val="0563C1"/>
            <w:sz w:val="22"/>
            <w:u w:val="single"/>
          </w:rPr>
          <w:t>Strategic Plan (2024-2027)</w:t>
        </w:r>
      </w:hyperlink>
      <w:r w:rsidRPr="0062595A">
        <w:rPr>
          <w:rFonts w:eastAsia="MS Mincho"/>
          <w:sz w:val="22"/>
        </w:rPr>
        <w:t xml:space="preserve"> with a careful mapping of activities between both periods.</w:t>
      </w:r>
    </w:p>
    <w:p w14:paraId="48FE9132"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That results framework links product and service delivery to key thematic priorities, strategic goals, the ITU mission and vision, and global development goals:</w:t>
      </w:r>
    </w:p>
    <w:p w14:paraId="6728A0A0" w14:textId="77777777" w:rsidR="0062595A" w:rsidRPr="0062595A" w:rsidRDefault="0062595A" w:rsidP="00C5530E">
      <w:pPr>
        <w:keepNext/>
        <w:suppressAutoHyphens/>
        <w:adjustRightInd/>
        <w:spacing w:before="240"/>
        <w:jc w:val="both"/>
        <w:rPr>
          <w:rFonts w:eastAsia="MS Mincho"/>
          <w:sz w:val="22"/>
        </w:rPr>
      </w:pPr>
      <w:r w:rsidRPr="0062595A">
        <w:rPr>
          <w:rFonts w:eastAsia="MS Mincho"/>
          <w:noProof/>
          <w:sz w:val="22"/>
          <w:szCs w:val="18"/>
        </w:rPr>
        <w:drawing>
          <wp:inline distT="0" distB="0" distL="0" distR="0" wp14:anchorId="1B7AF29B" wp14:editId="56B9F741">
            <wp:extent cx="5958532" cy="3643216"/>
            <wp:effectExtent l="0" t="0" r="4118" b="0"/>
            <wp:docPr id="723770548" name="Picture 1" descr="A diagram of a strategic pla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l="-3" r="-3"/>
                    <a:stretch>
                      <a:fillRect/>
                    </a:stretch>
                  </pic:blipFill>
                  <pic:spPr>
                    <a:xfrm>
                      <a:off x="0" y="0"/>
                      <a:ext cx="5958532" cy="3643216"/>
                    </a:xfrm>
                    <a:prstGeom prst="rect">
                      <a:avLst/>
                    </a:prstGeom>
                    <a:noFill/>
                    <a:ln>
                      <a:noFill/>
                      <a:prstDash/>
                    </a:ln>
                  </pic:spPr>
                </pic:pic>
              </a:graphicData>
            </a:graphic>
          </wp:inline>
        </w:drawing>
      </w:r>
    </w:p>
    <w:p w14:paraId="1CA71A8E" w14:textId="77777777" w:rsidR="0062595A" w:rsidRPr="0062595A" w:rsidRDefault="0062595A" w:rsidP="00C5530E">
      <w:pPr>
        <w:suppressAutoHyphens/>
        <w:adjustRightInd/>
        <w:spacing w:before="0" w:after="200"/>
        <w:jc w:val="both"/>
        <w:rPr>
          <w:rFonts w:eastAsia="MS Mincho"/>
          <w:i/>
          <w:iCs/>
          <w:color w:val="1F497D"/>
          <w:sz w:val="18"/>
          <w:szCs w:val="18"/>
        </w:rPr>
      </w:pPr>
      <w:r w:rsidRPr="0062595A">
        <w:rPr>
          <w:rFonts w:eastAsia="MS Mincho"/>
          <w:i/>
          <w:iCs/>
          <w:color w:val="1F497D"/>
          <w:sz w:val="18"/>
          <w:szCs w:val="18"/>
        </w:rPr>
        <w:t xml:space="preserve">Figure 1. ITU Strategic Plan 2024-2027. Overall Strategic Framework. </w:t>
      </w:r>
      <w:r w:rsidRPr="0062595A">
        <w:rPr>
          <w:rFonts w:eastAsia="MS Mincho"/>
          <w:iCs/>
          <w:color w:val="7F7F7F"/>
          <w:sz w:val="18"/>
          <w:szCs w:val="18"/>
        </w:rPr>
        <w:t>The figure above outlines the key components of the strategic framework. These include vision, mission, strategic goals and targets, thematic priorities and outcomes, product and service offerings, and enablers.</w:t>
      </w:r>
    </w:p>
    <w:p w14:paraId="51B279CC" w14:textId="77777777" w:rsidR="0062595A" w:rsidRPr="0062595A" w:rsidRDefault="0062595A" w:rsidP="00C5530E">
      <w:pPr>
        <w:suppressAutoHyphens/>
        <w:adjustRightInd/>
        <w:spacing w:before="240"/>
        <w:jc w:val="both"/>
        <w:rPr>
          <w:rFonts w:eastAsia="MS Mincho"/>
          <w:sz w:val="22"/>
        </w:rPr>
      </w:pPr>
      <w:r w:rsidRPr="0062595A">
        <w:rPr>
          <w:rFonts w:eastAsia="MS Mincho"/>
          <w:sz w:val="22"/>
        </w:rPr>
        <w:t>The sections that follow provide an overview of the ITU statutory conferences held during the reporting period, summarize the outcomes of the Strategic Plan 2020–2023 along with progress toward the goals of universal connectivity and sustainable digital transformation in the 2024–2027 period, highlight key achievements related to ITU’s products and services, and outline the organizational enablers that support the organization’s work and overall impact.</w:t>
      </w:r>
    </w:p>
    <w:p w14:paraId="46F77A80" w14:textId="62680700" w:rsidR="0062595A" w:rsidRPr="0062595A" w:rsidRDefault="0062595A" w:rsidP="004630E8">
      <w:pPr>
        <w:keepNext/>
        <w:keepLines/>
        <w:tabs>
          <w:tab w:val="clear" w:pos="567"/>
        </w:tabs>
        <w:suppressAutoHyphens/>
        <w:adjustRightInd/>
        <w:spacing w:before="480" w:after="360"/>
        <w:ind w:left="567" w:hanging="567"/>
        <w:jc w:val="both"/>
        <w:outlineLvl w:val="0"/>
        <w:rPr>
          <w:rFonts w:eastAsia="MS Mincho"/>
          <w:b/>
          <w:color w:val="1F497D"/>
          <w:sz w:val="28"/>
        </w:rPr>
      </w:pPr>
      <w:bookmarkStart w:id="21" w:name="_Toc224288790"/>
      <w:bookmarkStart w:id="22" w:name="_Toc137211288"/>
      <w:bookmarkStart w:id="23" w:name="_Toc2074337837"/>
      <w:bookmarkEnd w:id="15"/>
      <w:r w:rsidRPr="0062595A">
        <w:rPr>
          <w:rFonts w:eastAsia="MS Mincho"/>
          <w:b/>
          <w:color w:val="1F497D"/>
          <w:sz w:val="28"/>
        </w:rPr>
        <w:lastRenderedPageBreak/>
        <w:t>2.</w:t>
      </w:r>
      <w:r w:rsidR="004630E8">
        <w:rPr>
          <w:rFonts w:eastAsia="MS Mincho"/>
          <w:b/>
          <w:color w:val="1F497D"/>
          <w:sz w:val="28"/>
        </w:rPr>
        <w:tab/>
      </w:r>
      <w:r w:rsidRPr="0062595A">
        <w:rPr>
          <w:rFonts w:eastAsia="MS Mincho"/>
          <w:b/>
          <w:color w:val="1F497D"/>
          <w:sz w:val="28"/>
        </w:rPr>
        <w:t>Global statutory conferences in 2022-2025</w:t>
      </w:r>
      <w:bookmarkEnd w:id="21"/>
    </w:p>
    <w:p w14:paraId="1F234FDA" w14:textId="77777777" w:rsidR="0062595A" w:rsidRPr="0062595A" w:rsidRDefault="0062595A" w:rsidP="004630E8">
      <w:pPr>
        <w:keepNext/>
        <w:keepLines/>
        <w:tabs>
          <w:tab w:val="clear" w:pos="567"/>
        </w:tabs>
        <w:suppressAutoHyphens/>
        <w:adjustRightInd/>
        <w:spacing w:before="360" w:after="120"/>
        <w:ind w:left="567" w:hanging="567"/>
        <w:jc w:val="both"/>
        <w:outlineLvl w:val="1"/>
        <w:rPr>
          <w:rFonts w:eastAsia="MS Mincho"/>
          <w:b/>
        </w:rPr>
      </w:pPr>
      <w:bookmarkStart w:id="24" w:name="_Toc224288791"/>
      <w:r w:rsidRPr="0062595A">
        <w:rPr>
          <w:rFonts w:eastAsia="MS Mincho"/>
          <w:b/>
        </w:rPr>
        <w:t>2.1</w:t>
      </w:r>
      <w:r w:rsidRPr="0062595A">
        <w:rPr>
          <w:rFonts w:eastAsia="MS Mincho"/>
          <w:b/>
        </w:rPr>
        <w:tab/>
        <w:t>ITU Plenipotentiary Conference (PP-22)</w:t>
      </w:r>
      <w:bookmarkEnd w:id="24"/>
    </w:p>
    <w:p w14:paraId="28BB1F62" w14:textId="7668C754" w:rsidR="0062595A" w:rsidRPr="0062595A" w:rsidRDefault="0062595A" w:rsidP="00C5530E">
      <w:pPr>
        <w:suppressAutoHyphens/>
        <w:adjustRightInd/>
        <w:spacing w:after="120"/>
        <w:jc w:val="both"/>
        <w:rPr>
          <w:rFonts w:eastAsia="MS Mincho"/>
          <w:sz w:val="22"/>
        </w:rPr>
      </w:pPr>
      <w:r w:rsidRPr="0062595A">
        <w:rPr>
          <w:rFonts w:eastAsia="MS Mincho"/>
          <w:sz w:val="22"/>
        </w:rPr>
        <w:t>The 21</w:t>
      </w:r>
      <w:r w:rsidRPr="0027239A">
        <w:rPr>
          <w:rFonts w:eastAsia="MS Mincho"/>
          <w:sz w:val="22"/>
          <w:vertAlign w:val="superscript"/>
        </w:rPr>
        <w:t>st</w:t>
      </w:r>
      <w:r w:rsidRPr="0062595A">
        <w:rPr>
          <w:rFonts w:eastAsia="MS Mincho"/>
          <w:sz w:val="22"/>
        </w:rPr>
        <w:t xml:space="preserve"> ITU Plenipotentiary Conference (</w:t>
      </w:r>
      <w:hyperlink r:id="rId50" w:history="1">
        <w:r w:rsidRPr="0062595A">
          <w:rPr>
            <w:rFonts w:eastAsia="MS Mincho"/>
            <w:color w:val="0563C1"/>
            <w:sz w:val="22"/>
            <w:u w:val="single"/>
          </w:rPr>
          <w:t>PP-</w:t>
        </w:r>
        <w:bookmarkStart w:id="25" w:name="_Hlt220579220"/>
        <w:r w:rsidRPr="0062595A">
          <w:rPr>
            <w:rFonts w:eastAsia="MS Mincho"/>
            <w:color w:val="0563C1"/>
            <w:sz w:val="22"/>
            <w:u w:val="single"/>
          </w:rPr>
          <w:t>2</w:t>
        </w:r>
        <w:bookmarkEnd w:id="25"/>
        <w:r w:rsidRPr="0062595A">
          <w:rPr>
            <w:rFonts w:eastAsia="MS Mincho"/>
            <w:color w:val="0563C1"/>
            <w:sz w:val="22"/>
            <w:u w:val="single"/>
          </w:rPr>
          <w:t>2</w:t>
        </w:r>
      </w:hyperlink>
      <w:r w:rsidRPr="0062595A">
        <w:rPr>
          <w:rFonts w:eastAsia="MS Mincho"/>
          <w:sz w:val="22"/>
        </w:rPr>
        <w:t>) took place from 26 September to 14 October 2022 at the Palace of Parliament in Bucharest, Romania, and was chaired by Mr Sabin Sărmaș, President of the Information Technology and Communications Committee of the House of Deputies of Romania. PP-22 set out the general policies and strategic direction of ITU for the coming period, adopting four-year strategic (</w:t>
      </w:r>
      <w:hyperlink r:id="rId51" w:history="1">
        <w:r w:rsidRPr="0062595A">
          <w:rPr>
            <w:rFonts w:eastAsia="MS Mincho"/>
            <w:color w:val="0563C1"/>
            <w:sz w:val="22"/>
            <w:u w:val="single"/>
          </w:rPr>
          <w:t>Res</w:t>
        </w:r>
        <w:r w:rsidR="00443B52">
          <w:rPr>
            <w:rFonts w:eastAsia="MS Mincho"/>
            <w:color w:val="0563C1"/>
            <w:sz w:val="22"/>
            <w:u w:val="single"/>
          </w:rPr>
          <w:t>olution</w:t>
        </w:r>
        <w:r w:rsidRPr="0062595A">
          <w:rPr>
            <w:rFonts w:eastAsia="MS Mincho"/>
            <w:color w:val="0563C1"/>
            <w:sz w:val="22"/>
            <w:u w:val="single"/>
          </w:rPr>
          <w:t xml:space="preserve"> 71</w:t>
        </w:r>
      </w:hyperlink>
      <w:r w:rsidRPr="0062595A">
        <w:rPr>
          <w:rFonts w:eastAsia="MS Mincho"/>
          <w:sz w:val="22"/>
        </w:rPr>
        <w:t>) and financial plans (</w:t>
      </w:r>
      <w:hyperlink r:id="rId52" w:history="1">
        <w:r w:rsidRPr="00C93A80">
          <w:rPr>
            <w:rStyle w:val="Hyperlink"/>
            <w:rFonts w:eastAsia="MS Mincho"/>
            <w:color w:val="0563C1"/>
            <w:sz w:val="22"/>
          </w:rPr>
          <w:t>Res</w:t>
        </w:r>
        <w:r w:rsidR="00443B52" w:rsidRPr="00C93A80">
          <w:rPr>
            <w:rStyle w:val="Hyperlink"/>
            <w:rFonts w:eastAsia="MS Mincho"/>
            <w:color w:val="0563C1"/>
            <w:sz w:val="22"/>
          </w:rPr>
          <w:t>olution</w:t>
        </w:r>
        <w:r w:rsidRPr="00C93A80">
          <w:rPr>
            <w:rStyle w:val="Hyperlink"/>
            <w:rFonts w:eastAsia="MS Mincho"/>
            <w:color w:val="0563C1"/>
            <w:sz w:val="22"/>
          </w:rPr>
          <w:t xml:space="preserve"> 71</w:t>
        </w:r>
      </w:hyperlink>
      <w:r w:rsidR="00443B52" w:rsidRPr="00443B52">
        <w:rPr>
          <w:rFonts w:eastAsia="MS Mincho"/>
          <w:sz w:val="22"/>
        </w:rPr>
        <w:t xml:space="preserve">, </w:t>
      </w:r>
      <w:hyperlink r:id="rId53" w:history="1">
        <w:r w:rsidRPr="00C93A80">
          <w:rPr>
            <w:rStyle w:val="Hyperlink"/>
            <w:rFonts w:eastAsia="MS Mincho"/>
            <w:color w:val="0563C1"/>
            <w:sz w:val="22"/>
          </w:rPr>
          <w:t>Dec</w:t>
        </w:r>
        <w:r w:rsidR="00443B52" w:rsidRPr="00C93A80">
          <w:rPr>
            <w:rStyle w:val="Hyperlink"/>
            <w:rFonts w:eastAsia="MS Mincho"/>
            <w:color w:val="0563C1"/>
            <w:sz w:val="22"/>
          </w:rPr>
          <w:t>ision</w:t>
        </w:r>
        <w:r w:rsidRPr="00C93A80">
          <w:rPr>
            <w:rStyle w:val="Hyperlink"/>
            <w:rFonts w:eastAsia="MS Mincho"/>
            <w:color w:val="0563C1"/>
            <w:sz w:val="22"/>
          </w:rPr>
          <w:t xml:space="preserve"> 5</w:t>
        </w:r>
      </w:hyperlink>
      <w:r w:rsidRPr="0062595A">
        <w:rPr>
          <w:rFonts w:eastAsia="MS Mincho"/>
          <w:sz w:val="22"/>
        </w:rPr>
        <w:t>) and addressing key issues related to information and communication technologies (ICTs) in alignment with the requests of the ITU membership.</w:t>
      </w:r>
    </w:p>
    <w:p w14:paraId="4C6B1AE9" w14:textId="77777777" w:rsidR="0062595A" w:rsidRPr="0062595A" w:rsidRDefault="0062595A" w:rsidP="00C5530E">
      <w:pPr>
        <w:shd w:val="clear" w:color="auto" w:fill="FFFFFF"/>
        <w:suppressAutoHyphens/>
        <w:adjustRightInd/>
        <w:spacing w:after="120"/>
        <w:jc w:val="both"/>
        <w:rPr>
          <w:rFonts w:eastAsia="MS Mincho"/>
          <w:sz w:val="22"/>
        </w:rPr>
      </w:pPr>
      <w:r w:rsidRPr="0062595A">
        <w:rPr>
          <w:rFonts w:eastAsia="MS Mincho"/>
          <w:sz w:val="22"/>
        </w:rPr>
        <w:t xml:space="preserve">ITU’s four-year strategy highlights key priorities for radiocommunication, standardization and development work designed to connect the world, drive an inclusive global digital transformation, and help achieve the Sustainable Development Goals (SDGs) set out by the United Nations for 2030. The </w:t>
      </w:r>
      <w:hyperlink r:id="rId54" w:history="1">
        <w:r w:rsidRPr="0062595A">
          <w:rPr>
            <w:rFonts w:eastAsia="MS Mincho"/>
            <w:color w:val="0563C1"/>
            <w:sz w:val="22"/>
            <w:u w:val="single"/>
          </w:rPr>
          <w:t>Final Acts of the Plenipotentiary Conference, Bucharest 2022</w:t>
        </w:r>
      </w:hyperlink>
      <w:r w:rsidRPr="0062595A">
        <w:rPr>
          <w:rFonts w:eastAsia="MS Mincho"/>
          <w:sz w:val="22"/>
        </w:rPr>
        <w:t>, were signed by 159 Member States. In summary, the membership modified 56 resolutions and two decisions, introduced six new resolutions and suppressed one.</w:t>
      </w:r>
    </w:p>
    <w:p w14:paraId="43F44911" w14:textId="77777777" w:rsidR="0062595A" w:rsidRPr="0062595A" w:rsidRDefault="0062595A" w:rsidP="00C5530E">
      <w:pPr>
        <w:shd w:val="clear" w:color="auto" w:fill="FFFFFF"/>
        <w:suppressAutoHyphens/>
        <w:adjustRightInd/>
        <w:spacing w:after="120"/>
        <w:jc w:val="both"/>
        <w:rPr>
          <w:rFonts w:eastAsia="Calibri" w:cs="Calibri"/>
          <w:sz w:val="22"/>
          <w:szCs w:val="22"/>
        </w:rPr>
      </w:pPr>
      <w:r w:rsidRPr="0062595A">
        <w:rPr>
          <w:rFonts w:eastAsia="Calibri" w:cs="Calibri"/>
          <w:sz w:val="22"/>
          <w:szCs w:val="22"/>
        </w:rPr>
        <w:t>Key decisions agreed at the conference included resolutions on:</w:t>
      </w:r>
    </w:p>
    <w:p w14:paraId="0DA3E4A6" w14:textId="77777777" w:rsidR="0062595A" w:rsidRPr="0062595A" w:rsidRDefault="0062595A" w:rsidP="00C5530E">
      <w:pPr>
        <w:numPr>
          <w:ilvl w:val="0"/>
          <w:numId w:val="18"/>
        </w:numPr>
        <w:shd w:val="clear" w:color="auto" w:fill="FFFFFF"/>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Applying artificial intelligence (AI) technologies for good</w:t>
      </w:r>
    </w:p>
    <w:p w14:paraId="6387751E" w14:textId="77777777" w:rsidR="0062595A" w:rsidRPr="0062595A" w:rsidRDefault="0062595A" w:rsidP="00C5530E">
      <w:pPr>
        <w:numPr>
          <w:ilvl w:val="0"/>
          <w:numId w:val="18"/>
        </w:numPr>
        <w:shd w:val="clear" w:color="auto" w:fill="FFFFFF"/>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Confidence-building and sustainable development in outer space</w:t>
      </w:r>
    </w:p>
    <w:p w14:paraId="5EA4DE4E" w14:textId="77777777" w:rsidR="0062595A" w:rsidRPr="0062595A" w:rsidRDefault="0062595A" w:rsidP="00C5530E">
      <w:pPr>
        <w:numPr>
          <w:ilvl w:val="0"/>
          <w:numId w:val="18"/>
        </w:numPr>
        <w:shd w:val="clear" w:color="auto" w:fill="FFFFFF"/>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Empowering women and girls through digital transformation</w:t>
      </w:r>
    </w:p>
    <w:p w14:paraId="75F15171" w14:textId="77777777" w:rsidR="0062595A" w:rsidRPr="0062595A" w:rsidRDefault="0062595A" w:rsidP="00C5530E">
      <w:pPr>
        <w:numPr>
          <w:ilvl w:val="0"/>
          <w:numId w:val="18"/>
        </w:numPr>
        <w:shd w:val="clear" w:color="auto" w:fill="FFFFFF"/>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Frequency assignments by military radio installations for national defence services</w:t>
      </w:r>
    </w:p>
    <w:p w14:paraId="45CE4699" w14:textId="77777777" w:rsidR="0062595A" w:rsidRPr="0062595A" w:rsidRDefault="0062595A" w:rsidP="00C5530E">
      <w:pPr>
        <w:numPr>
          <w:ilvl w:val="0"/>
          <w:numId w:val="18"/>
        </w:numPr>
        <w:shd w:val="clear" w:color="auto" w:fill="FFFFFF"/>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How new technologies can mitigate, rather than exacerbate, the climate crisis</w:t>
      </w:r>
    </w:p>
    <w:p w14:paraId="157740D0" w14:textId="77777777" w:rsidR="0062595A" w:rsidRPr="0062595A" w:rsidRDefault="0062595A" w:rsidP="00C5530E">
      <w:pPr>
        <w:numPr>
          <w:ilvl w:val="0"/>
          <w:numId w:val="18"/>
        </w:numPr>
        <w:shd w:val="clear" w:color="auto" w:fill="FFFFFF"/>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How technologies can protect against global pandemics</w:t>
      </w:r>
    </w:p>
    <w:p w14:paraId="1AFE2E40" w14:textId="77777777" w:rsidR="0062595A" w:rsidRPr="0062595A" w:rsidRDefault="0062595A" w:rsidP="00C5530E">
      <w:pPr>
        <w:numPr>
          <w:ilvl w:val="0"/>
          <w:numId w:val="18"/>
        </w:numPr>
        <w:shd w:val="clear" w:color="auto" w:fill="FFFFFF"/>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Calibri" w:cs="Calibri"/>
          <w:sz w:val="22"/>
          <w:szCs w:val="22"/>
          <w:lang w:eastAsia="zh-TW"/>
        </w:rPr>
        <w:t>The Internet of Things (IoT) for smart and sustainable cities and communities</w:t>
      </w:r>
    </w:p>
    <w:p w14:paraId="70914587" w14:textId="6E4D40DC"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rPr>
      </w:pPr>
      <w:bookmarkStart w:id="26" w:name="_Toc224288792"/>
      <w:r w:rsidRPr="0062595A">
        <w:rPr>
          <w:rFonts w:eastAsia="MS Mincho"/>
          <w:b/>
          <w:color w:val="0D0D0D"/>
        </w:rPr>
        <w:t>2.1.1</w:t>
      </w:r>
      <w:r w:rsidR="004630E8">
        <w:rPr>
          <w:rFonts w:eastAsia="MS Mincho"/>
          <w:b/>
          <w:color w:val="0D0D0D"/>
        </w:rPr>
        <w:tab/>
      </w:r>
      <w:r w:rsidRPr="0062595A">
        <w:rPr>
          <w:rFonts w:eastAsia="MS Mincho"/>
          <w:b/>
          <w:color w:val="0D0D0D"/>
        </w:rPr>
        <w:t>ITU elections</w:t>
      </w:r>
      <w:bookmarkEnd w:id="26"/>
    </w:p>
    <w:p w14:paraId="10253FF6" w14:textId="78EC8EA5"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PP-22 also included elections for ITU’s senior leadership positions. </w:t>
      </w:r>
      <w:r w:rsidRPr="0062595A">
        <w:rPr>
          <w:rFonts w:eastAsia="Arial" w:cs="Calibri"/>
          <w:sz w:val="22"/>
        </w:rPr>
        <w:t xml:space="preserve">Delegates made history with the election of Ms Doreen Bogdan-Martin (United States) as ITU's next Secretary-General. Ms Bogdan-Martin has become the first woman to lead the, at that time, 157-year-old organization. Mr Tomas </w:t>
      </w:r>
      <w:bookmarkStart w:id="27" w:name="_Int_oL9KljHB"/>
      <w:r w:rsidRPr="0062595A">
        <w:rPr>
          <w:rFonts w:eastAsia="Arial" w:cs="Calibri"/>
          <w:sz w:val="22"/>
        </w:rPr>
        <w:t>Lamanauskas</w:t>
      </w:r>
      <w:bookmarkEnd w:id="27"/>
      <w:r w:rsidRPr="0062595A">
        <w:rPr>
          <w:rFonts w:eastAsia="Arial" w:cs="Calibri"/>
          <w:sz w:val="22"/>
        </w:rPr>
        <w:t xml:space="preserve"> (Lithuania) was elected as ITU's Deputy Secretary-General; Mr Mario Maniewicz (Uruguay) was re-elected, for his second term, as Director of ITU's Radiocommunication Bureau (BR); Mr</w:t>
      </w:r>
      <w:r w:rsidR="0027239A">
        <w:rPr>
          <w:rFonts w:eastAsia="Arial" w:cs="Calibri"/>
          <w:sz w:val="22"/>
        </w:rPr>
        <w:t> </w:t>
      </w:r>
      <w:r w:rsidRPr="0062595A">
        <w:rPr>
          <w:rFonts w:eastAsia="Arial" w:cs="Calibri"/>
          <w:sz w:val="22"/>
        </w:rPr>
        <w:t xml:space="preserve">Seizo Onoe (Japan) was elected Director of ITU's Telecommunication Standardization Bureau (TSB); and Mr Cosmas </w:t>
      </w:r>
      <w:bookmarkStart w:id="28" w:name="_Int_ZtBYgXe9"/>
      <w:r w:rsidRPr="0062595A">
        <w:rPr>
          <w:rFonts w:eastAsia="Arial" w:cs="Calibri"/>
          <w:sz w:val="22"/>
        </w:rPr>
        <w:t>Zavazava</w:t>
      </w:r>
      <w:bookmarkEnd w:id="28"/>
      <w:r w:rsidRPr="0062595A">
        <w:rPr>
          <w:rFonts w:eastAsia="Arial" w:cs="Calibri"/>
          <w:sz w:val="22"/>
        </w:rPr>
        <w:t xml:space="preserve"> (Zimbabwe) was elected Director of ITU's Telecommunication Development Bureau (BDT).</w:t>
      </w:r>
      <w:r w:rsidRPr="0062595A">
        <w:rPr>
          <w:rFonts w:eastAsia="MS Mincho"/>
          <w:sz w:val="22"/>
        </w:rPr>
        <w:t xml:space="preserve"> The 12-member Radio Regulations Board and the 48-member ITU Council were also elected (</w:t>
      </w:r>
      <w:hyperlink r:id="rId55" w:history="1">
        <w:r w:rsidRPr="0062595A">
          <w:rPr>
            <w:rFonts w:eastAsia="MS Mincho"/>
            <w:color w:val="0563C1"/>
            <w:sz w:val="22"/>
            <w:u w:val="single"/>
          </w:rPr>
          <w:t xml:space="preserve">see the full </w:t>
        </w:r>
        <w:bookmarkStart w:id="29" w:name="_Hlt220489526"/>
        <w:r w:rsidRPr="0062595A">
          <w:rPr>
            <w:rFonts w:eastAsia="MS Mincho"/>
            <w:color w:val="0563C1"/>
            <w:sz w:val="22"/>
            <w:u w:val="single"/>
          </w:rPr>
          <w:t>P</w:t>
        </w:r>
        <w:bookmarkEnd w:id="29"/>
        <w:r w:rsidRPr="0062595A">
          <w:rPr>
            <w:rFonts w:eastAsia="MS Mincho"/>
            <w:color w:val="0563C1"/>
            <w:sz w:val="22"/>
            <w:u w:val="single"/>
          </w:rPr>
          <w:t>P-22 election results here</w:t>
        </w:r>
      </w:hyperlink>
      <w:r w:rsidRPr="0062595A">
        <w:rPr>
          <w:rFonts w:eastAsia="MS Mincho"/>
          <w:sz w:val="22"/>
        </w:rPr>
        <w:t>).</w:t>
      </w:r>
    </w:p>
    <w:p w14:paraId="001373D9" w14:textId="77777777" w:rsidR="0062595A" w:rsidRPr="0062595A" w:rsidRDefault="0062595A" w:rsidP="004630E8">
      <w:pPr>
        <w:keepNext/>
        <w:keepLines/>
        <w:tabs>
          <w:tab w:val="clear" w:pos="567"/>
        </w:tabs>
        <w:suppressAutoHyphens/>
        <w:adjustRightInd/>
        <w:spacing w:before="360" w:after="120"/>
        <w:ind w:left="567" w:hanging="567"/>
        <w:jc w:val="both"/>
        <w:outlineLvl w:val="1"/>
        <w:rPr>
          <w:rFonts w:eastAsia="MS Mincho"/>
          <w:b/>
        </w:rPr>
      </w:pPr>
      <w:bookmarkStart w:id="30" w:name="_Toc224288793"/>
      <w:r w:rsidRPr="0062595A">
        <w:rPr>
          <w:rFonts w:eastAsia="MS Mincho"/>
          <w:b/>
        </w:rPr>
        <w:t>2.2</w:t>
      </w:r>
      <w:r w:rsidRPr="0062595A">
        <w:rPr>
          <w:rFonts w:eastAsia="MS Mincho"/>
          <w:b/>
        </w:rPr>
        <w:tab/>
        <w:t>WRC-23 and RA-23</w:t>
      </w:r>
      <w:bookmarkEnd w:id="30"/>
    </w:p>
    <w:p w14:paraId="054FF725" w14:textId="24BE2F96"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rPr>
      </w:pPr>
      <w:bookmarkStart w:id="31" w:name="_Toc224288794"/>
      <w:r w:rsidRPr="0062595A">
        <w:rPr>
          <w:rFonts w:eastAsia="MS Mincho"/>
          <w:b/>
          <w:color w:val="0D0D0D"/>
        </w:rPr>
        <w:t>2.2.1</w:t>
      </w:r>
      <w:r w:rsidRPr="0062595A">
        <w:rPr>
          <w:rFonts w:eastAsia="MS Mincho"/>
          <w:b/>
          <w:color w:val="0D0D0D"/>
        </w:rPr>
        <w:tab/>
        <w:t>World Radiocommunication Conference 2023</w:t>
      </w:r>
      <w:bookmarkEnd w:id="31"/>
    </w:p>
    <w:p w14:paraId="67C8F978" w14:textId="6FA1ACBC" w:rsidR="0062595A" w:rsidRPr="0062595A" w:rsidRDefault="0062595A" w:rsidP="00C5530E">
      <w:pPr>
        <w:suppressAutoHyphens/>
        <w:adjustRightInd/>
        <w:spacing w:after="120"/>
        <w:jc w:val="both"/>
        <w:rPr>
          <w:rFonts w:eastAsia="MS Mincho"/>
          <w:sz w:val="22"/>
        </w:rPr>
      </w:pPr>
      <w:r w:rsidRPr="0062595A">
        <w:rPr>
          <w:rFonts w:eastAsia="MS Mincho"/>
          <w:sz w:val="22"/>
        </w:rPr>
        <w:t>The World Radiocommunication Conference (</w:t>
      </w:r>
      <w:hyperlink r:id="rId56" w:history="1">
        <w:r w:rsidRPr="0062595A">
          <w:rPr>
            <w:rFonts w:eastAsia="MS Mincho"/>
            <w:color w:val="0563C1"/>
            <w:sz w:val="22"/>
            <w:u w:val="single"/>
          </w:rPr>
          <w:t>WRC-23</w:t>
        </w:r>
      </w:hyperlink>
      <w:r w:rsidRPr="0062595A">
        <w:rPr>
          <w:rFonts w:eastAsia="MS Mincho"/>
          <w:sz w:val="22"/>
        </w:rPr>
        <w:t>) was held in Dubai, United Arab Emirates, from 20</w:t>
      </w:r>
      <w:r w:rsidR="0027239A">
        <w:rPr>
          <w:rFonts w:eastAsia="MS Mincho"/>
          <w:sz w:val="22"/>
        </w:rPr>
        <w:t> </w:t>
      </w:r>
      <w:r w:rsidRPr="0062595A">
        <w:rPr>
          <w:rFonts w:eastAsia="MS Mincho"/>
          <w:sz w:val="22"/>
        </w:rPr>
        <w:t>November to 15 December 2023. The Conference was chaired by H. E. Mr Mohammed Al Ramsi (UAE). It brought together the global radiocommunication community to update and strengthen the international regulatory framework governing work on the radio-frequency spectrum, with a view to achieving universal connectivity and sustainable digital transformation. The Conference gathered 3</w:t>
      </w:r>
      <w:r w:rsidR="0027239A">
        <w:rPr>
          <w:rFonts w:eastAsia="MS Mincho"/>
          <w:sz w:val="22"/>
        </w:rPr>
        <w:t> </w:t>
      </w:r>
      <w:r w:rsidRPr="0062595A">
        <w:rPr>
          <w:rFonts w:eastAsia="MS Mincho"/>
          <w:sz w:val="22"/>
        </w:rPr>
        <w:t>982 participants from 163 ITU Member States. Notably, women accounted for 22 per cent of the delegates, reflecting a positive increase from 18 per cent at WRC-19.</w:t>
      </w:r>
    </w:p>
    <w:p w14:paraId="24174C7A"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lastRenderedPageBreak/>
        <w:t>WRC-23 addressed more than 30 agenda items concerning spectrum allocation and sharing, leading to several significant regulatory advances across mobile communications, satellite systems, maritime and aeronautical safety, and scientific services.</w:t>
      </w:r>
    </w:p>
    <w:p w14:paraId="2CDDAA74"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The </w:t>
      </w:r>
      <w:hyperlink r:id="rId57" w:history="1">
        <w:r w:rsidRPr="0062595A">
          <w:rPr>
            <w:rFonts w:eastAsia="MS Mincho"/>
            <w:color w:val="0563C1"/>
            <w:sz w:val="22"/>
            <w:u w:val="single"/>
          </w:rPr>
          <w:t>Final Acts of WRC-23</w:t>
        </w:r>
      </w:hyperlink>
      <w:r w:rsidRPr="0062595A">
        <w:rPr>
          <w:rFonts w:eastAsia="MS Mincho"/>
          <w:sz w:val="22"/>
        </w:rPr>
        <w:t xml:space="preserve"> consolidate the Conference’s key outcomes across all major agenda items, including:</w:t>
      </w:r>
    </w:p>
    <w:p w14:paraId="4EE0FE94" w14:textId="77777777" w:rsidR="0062595A" w:rsidRPr="0062595A" w:rsidRDefault="0062595A" w:rsidP="004630E8">
      <w:pPr>
        <w:widowControl w:val="0"/>
        <w:numPr>
          <w:ilvl w:val="0"/>
          <w:numId w:val="19"/>
        </w:numPr>
        <w:tabs>
          <w:tab w:val="clear" w:pos="567"/>
          <w:tab w:val="clear" w:pos="1134"/>
          <w:tab w:val="clear" w:pos="1701"/>
          <w:tab w:val="clear" w:pos="2268"/>
          <w:tab w:val="clear" w:pos="2835"/>
        </w:tabs>
        <w:suppressAutoHyphens/>
        <w:overflowPunct/>
        <w:autoSpaceDE/>
        <w:adjustRightInd/>
        <w:spacing w:before="60" w:after="60"/>
        <w:ind w:left="567" w:right="-1" w:hanging="283"/>
        <w:jc w:val="both"/>
        <w:textAlignment w:val="auto"/>
        <w:rPr>
          <w:rFonts w:eastAsia="PMingLiU"/>
          <w:sz w:val="22"/>
          <w:szCs w:val="22"/>
          <w:lang w:eastAsia="zh-TW"/>
        </w:rPr>
      </w:pPr>
      <w:r w:rsidRPr="0062595A">
        <w:rPr>
          <w:rFonts w:eastAsia="PMingLiU"/>
          <w:sz w:val="22"/>
          <w:szCs w:val="22"/>
          <w:lang w:eastAsia="zh-TW"/>
        </w:rPr>
        <w:t>The identification of spectrum for International Mobile Telecommunications (IMT), which is crucial for expanding broadband connectivity and developing IMT mobile services. Identified spectrum for use by high-altitude platform stations as IMT base stations (HIBS) which offers the potential to provide mobile broadband with minimal infrastructure</w:t>
      </w:r>
    </w:p>
    <w:p w14:paraId="289356D3" w14:textId="77777777" w:rsidR="0062595A" w:rsidRPr="0062595A" w:rsidRDefault="0062595A" w:rsidP="004630E8">
      <w:pPr>
        <w:widowControl w:val="0"/>
        <w:numPr>
          <w:ilvl w:val="0"/>
          <w:numId w:val="19"/>
        </w:numPr>
        <w:tabs>
          <w:tab w:val="clear" w:pos="567"/>
          <w:tab w:val="clear" w:pos="1134"/>
          <w:tab w:val="clear" w:pos="1701"/>
          <w:tab w:val="clear" w:pos="2268"/>
          <w:tab w:val="clear" w:pos="2835"/>
        </w:tabs>
        <w:suppressAutoHyphens/>
        <w:overflowPunct/>
        <w:autoSpaceDE/>
        <w:adjustRightInd/>
        <w:spacing w:before="60" w:after="60"/>
        <w:ind w:left="567" w:right="-1" w:hanging="283"/>
        <w:jc w:val="both"/>
        <w:textAlignment w:val="auto"/>
        <w:rPr>
          <w:rFonts w:eastAsia="PMingLiU"/>
          <w:sz w:val="22"/>
          <w:szCs w:val="22"/>
          <w:lang w:eastAsia="zh-TW"/>
        </w:rPr>
      </w:pPr>
      <w:r w:rsidRPr="0062595A">
        <w:rPr>
          <w:rFonts w:eastAsia="PMingLiU"/>
          <w:sz w:val="22"/>
          <w:szCs w:val="22"/>
          <w:lang w:eastAsia="zh-TW"/>
        </w:rPr>
        <w:t>Improved maritime safety by supporting the modernization of the global maritime distress and safety system (GMDSS)</w:t>
      </w:r>
    </w:p>
    <w:p w14:paraId="37769513" w14:textId="77777777" w:rsidR="0062595A" w:rsidRPr="0062595A" w:rsidRDefault="0062595A" w:rsidP="004630E8">
      <w:pPr>
        <w:widowControl w:val="0"/>
        <w:numPr>
          <w:ilvl w:val="0"/>
          <w:numId w:val="19"/>
        </w:numPr>
        <w:tabs>
          <w:tab w:val="clear" w:pos="567"/>
          <w:tab w:val="clear" w:pos="1134"/>
          <w:tab w:val="clear" w:pos="1701"/>
          <w:tab w:val="clear" w:pos="2268"/>
          <w:tab w:val="clear" w:pos="2835"/>
        </w:tabs>
        <w:suppressAutoHyphens/>
        <w:overflowPunct/>
        <w:autoSpaceDE/>
        <w:adjustRightInd/>
        <w:spacing w:before="60" w:after="60"/>
        <w:ind w:left="567" w:right="-1" w:hanging="283"/>
        <w:jc w:val="both"/>
        <w:textAlignment w:val="auto"/>
        <w:rPr>
          <w:rFonts w:eastAsia="PMingLiU"/>
          <w:sz w:val="22"/>
          <w:szCs w:val="22"/>
          <w:lang w:eastAsia="zh-TW"/>
        </w:rPr>
      </w:pPr>
      <w:r w:rsidRPr="0062595A">
        <w:rPr>
          <w:rFonts w:eastAsia="PMingLiU"/>
          <w:sz w:val="22"/>
          <w:szCs w:val="22"/>
          <w:lang w:eastAsia="zh-TW"/>
        </w:rPr>
        <w:t>Digitalization of HF systems and new non-safety allocations for aeronautical services</w:t>
      </w:r>
    </w:p>
    <w:p w14:paraId="5B41CB20" w14:textId="77777777" w:rsidR="0062595A" w:rsidRPr="0062595A" w:rsidRDefault="0062595A" w:rsidP="004630E8">
      <w:pPr>
        <w:widowControl w:val="0"/>
        <w:numPr>
          <w:ilvl w:val="0"/>
          <w:numId w:val="19"/>
        </w:numPr>
        <w:tabs>
          <w:tab w:val="clear" w:pos="567"/>
          <w:tab w:val="clear" w:pos="1134"/>
          <w:tab w:val="clear" w:pos="1701"/>
          <w:tab w:val="clear" w:pos="2268"/>
          <w:tab w:val="clear" w:pos="2835"/>
        </w:tabs>
        <w:suppressAutoHyphens/>
        <w:overflowPunct/>
        <w:autoSpaceDE/>
        <w:adjustRightInd/>
        <w:spacing w:before="60" w:after="60"/>
        <w:ind w:left="567" w:right="-1" w:hanging="283"/>
        <w:jc w:val="both"/>
        <w:textAlignment w:val="auto"/>
        <w:rPr>
          <w:rFonts w:eastAsia="PMingLiU"/>
          <w:sz w:val="22"/>
          <w:szCs w:val="22"/>
          <w:lang w:eastAsia="zh-TW"/>
        </w:rPr>
      </w:pPr>
      <w:r w:rsidRPr="0062595A">
        <w:rPr>
          <w:rFonts w:eastAsia="PMingLiU"/>
          <w:sz w:val="22"/>
          <w:szCs w:val="22"/>
          <w:lang w:eastAsia="zh-TW"/>
        </w:rPr>
        <w:t>Enhanced satellite services, including the adoption of regulatory actions for the provision of inter-satellite links. Enhanced earth station in motion (ESIM) operations to deliver high-speed broadband onboard aircraft, vessels, trains, and vehicles, and refined rules for non-GSO constellations</w:t>
      </w:r>
    </w:p>
    <w:p w14:paraId="061A6092" w14:textId="77777777" w:rsidR="0062595A" w:rsidRPr="0062595A" w:rsidRDefault="0062595A" w:rsidP="004630E8">
      <w:pPr>
        <w:numPr>
          <w:ilvl w:val="0"/>
          <w:numId w:val="19"/>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Science services (new and upgraded allocations supporting Earth observation, space research and space weather)</w:t>
      </w:r>
    </w:p>
    <w:p w14:paraId="3CF781A1" w14:textId="77777777" w:rsidR="0062595A" w:rsidRPr="0062595A" w:rsidRDefault="0062595A" w:rsidP="004630E8">
      <w:pPr>
        <w:numPr>
          <w:ilvl w:val="0"/>
          <w:numId w:val="19"/>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Support for the State of Palestine in managing spectrum and deploying advanced telecommunications networks.</w:t>
      </w:r>
    </w:p>
    <w:p w14:paraId="7E34C6FD" w14:textId="77777777" w:rsidR="0062595A" w:rsidRPr="0062595A" w:rsidRDefault="0062595A" w:rsidP="00427931">
      <w:pPr>
        <w:suppressAutoHyphens/>
        <w:adjustRightInd/>
        <w:spacing w:after="120"/>
        <w:jc w:val="both"/>
        <w:rPr>
          <w:rFonts w:eastAsia="MS Mincho"/>
          <w:sz w:val="22"/>
        </w:rPr>
      </w:pPr>
      <w:r w:rsidRPr="0062595A">
        <w:rPr>
          <w:rFonts w:eastAsia="MS Mincho"/>
          <w:sz w:val="22"/>
        </w:rPr>
        <w:t xml:space="preserve">The 2024 Edition of the Radio Regulations is available </w:t>
      </w:r>
      <w:hyperlink r:id="rId58" w:history="1">
        <w:r w:rsidRPr="0062595A">
          <w:rPr>
            <w:rFonts w:eastAsia="MS Mincho"/>
            <w:color w:val="0563C1"/>
            <w:sz w:val="22"/>
            <w:u w:val="single"/>
          </w:rPr>
          <w:t>here</w:t>
        </w:r>
      </w:hyperlink>
      <w:r w:rsidRPr="0062595A">
        <w:rPr>
          <w:rFonts w:eastAsia="MS Mincho"/>
          <w:sz w:val="22"/>
        </w:rPr>
        <w:t>.</w:t>
      </w:r>
    </w:p>
    <w:p w14:paraId="49C2DF61" w14:textId="2F34441E"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rPr>
      </w:pPr>
      <w:bookmarkStart w:id="32" w:name="_Toc224288795"/>
      <w:r w:rsidRPr="0062595A">
        <w:rPr>
          <w:rFonts w:eastAsia="MS Mincho"/>
          <w:b/>
          <w:color w:val="0D0D0D"/>
        </w:rPr>
        <w:t>2.2.2</w:t>
      </w:r>
      <w:r w:rsidRPr="0062595A">
        <w:rPr>
          <w:rFonts w:eastAsia="MS Mincho"/>
          <w:b/>
          <w:color w:val="0D0D0D"/>
        </w:rPr>
        <w:tab/>
        <w:t>Radiocommunication Assembly 2023</w:t>
      </w:r>
      <w:bookmarkEnd w:id="32"/>
    </w:p>
    <w:p w14:paraId="540075A9" w14:textId="632AA333" w:rsidR="0062595A" w:rsidRPr="0062595A" w:rsidRDefault="0062595A" w:rsidP="00C5530E">
      <w:pPr>
        <w:suppressAutoHyphens/>
        <w:adjustRightInd/>
        <w:spacing w:after="120"/>
        <w:jc w:val="both"/>
        <w:rPr>
          <w:rFonts w:eastAsia="MS Mincho"/>
          <w:sz w:val="22"/>
        </w:rPr>
      </w:pPr>
      <w:r w:rsidRPr="0062595A">
        <w:rPr>
          <w:rFonts w:eastAsia="MS Mincho"/>
          <w:sz w:val="22"/>
        </w:rPr>
        <w:t>The Radiocommunication Assembly (</w:t>
      </w:r>
      <w:hyperlink r:id="rId59" w:history="1">
        <w:r w:rsidRPr="0062595A">
          <w:rPr>
            <w:rFonts w:eastAsia="MS Mincho"/>
            <w:color w:val="0563C1"/>
            <w:sz w:val="22"/>
            <w:u w:val="single"/>
          </w:rPr>
          <w:t>RA-23</w:t>
        </w:r>
      </w:hyperlink>
      <w:r w:rsidRPr="0062595A">
        <w:rPr>
          <w:rFonts w:eastAsia="MS Mincho"/>
          <w:sz w:val="22"/>
        </w:rPr>
        <w:t xml:space="preserve">) took place from 13 to 17 November 2023, immediately preceding WRC-23. The Assembly brought together 566 participants from 95 Administrations, along with 41 Sector Members, 1 academic institution, and 2 UN specialized agencies. In line with its mandate charted future directions for radiocommunication systems and ICTs by establishing the future work programme of the Radiocommunication Sector (ITU-R) and approved a range of ITU-R </w:t>
      </w:r>
      <w:r w:rsidR="00443B52">
        <w:rPr>
          <w:rFonts w:eastAsia="MS Mincho"/>
          <w:sz w:val="22"/>
        </w:rPr>
        <w:t>r</w:t>
      </w:r>
      <w:r w:rsidRPr="0062595A">
        <w:rPr>
          <w:rFonts w:eastAsia="MS Mincho"/>
          <w:sz w:val="22"/>
        </w:rPr>
        <w:t xml:space="preserve">ecommendations and </w:t>
      </w:r>
      <w:r w:rsidR="00443B52">
        <w:rPr>
          <w:rFonts w:eastAsia="MS Mincho"/>
          <w:sz w:val="22"/>
        </w:rPr>
        <w:t>r</w:t>
      </w:r>
      <w:r w:rsidRPr="0062595A">
        <w:rPr>
          <w:rFonts w:eastAsia="MS Mincho"/>
          <w:sz w:val="22"/>
        </w:rPr>
        <w:t>esolutions that will have a global impact on future radiocommunication technologies.</w:t>
      </w:r>
    </w:p>
    <w:p w14:paraId="30AEC40A"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RA-23 delivered several key outcomes that shape the future work of ITU-R, including:</w:t>
      </w:r>
    </w:p>
    <w:p w14:paraId="3BA37FD6" w14:textId="726D4DA9" w:rsidR="0062595A" w:rsidRPr="0062595A" w:rsidRDefault="0062595A" w:rsidP="004630E8">
      <w:pPr>
        <w:numPr>
          <w:ilvl w:val="0"/>
          <w:numId w:val="20"/>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 xml:space="preserve">The revision of 26 ITU-R </w:t>
      </w:r>
      <w:r w:rsidR="00443B52">
        <w:rPr>
          <w:rFonts w:eastAsia="PMingLiU"/>
          <w:sz w:val="22"/>
          <w:szCs w:val="22"/>
          <w:lang w:eastAsia="zh-TW"/>
        </w:rPr>
        <w:t>r</w:t>
      </w:r>
      <w:r w:rsidRPr="0062595A">
        <w:rPr>
          <w:rFonts w:eastAsia="PMingLiU"/>
          <w:sz w:val="22"/>
          <w:szCs w:val="22"/>
          <w:lang w:eastAsia="zh-TW"/>
        </w:rPr>
        <w:t>esolutions notably updates to the working methods of ITU-R bodies (</w:t>
      </w:r>
      <w:hyperlink r:id="rId60" w:history="1">
        <w:r w:rsidRPr="0062595A">
          <w:rPr>
            <w:rFonts w:eastAsia="PMingLiU"/>
            <w:color w:val="0563C1"/>
            <w:sz w:val="22"/>
            <w:szCs w:val="22"/>
            <w:u w:val="single"/>
            <w:lang w:eastAsia="zh-TW"/>
          </w:rPr>
          <w:t>Res 1-9</w:t>
        </w:r>
      </w:hyperlink>
      <w:r w:rsidRPr="0062595A">
        <w:rPr>
          <w:rFonts w:eastAsia="PMingLiU"/>
          <w:sz w:val="22"/>
          <w:szCs w:val="22"/>
          <w:lang w:eastAsia="zh-TW"/>
        </w:rPr>
        <w:t>),</w:t>
      </w:r>
    </w:p>
    <w:p w14:paraId="0A6C042B" w14:textId="77777777" w:rsidR="0062595A" w:rsidRPr="0062595A" w:rsidRDefault="0062595A" w:rsidP="004630E8">
      <w:pPr>
        <w:numPr>
          <w:ilvl w:val="0"/>
          <w:numId w:val="20"/>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The confirmation of the existing Study Group structure, and the approval of the work programme and Questions of the Study Groups, along with four new ITU-R Recommendations (</w:t>
      </w:r>
      <w:hyperlink r:id="rId61" w:history="1">
        <w:r w:rsidRPr="0062595A">
          <w:rPr>
            <w:rFonts w:eastAsia="PMingLiU"/>
            <w:color w:val="0563C1"/>
            <w:sz w:val="22"/>
            <w:szCs w:val="22"/>
            <w:u w:val="single"/>
            <w:lang w:eastAsia="zh-TW"/>
          </w:rPr>
          <w:t>Res 5-9</w:t>
        </w:r>
      </w:hyperlink>
      <w:r w:rsidRPr="0062595A">
        <w:rPr>
          <w:rFonts w:eastAsia="PMingLiU"/>
          <w:sz w:val="22"/>
          <w:szCs w:val="22"/>
          <w:lang w:eastAsia="zh-TW"/>
        </w:rPr>
        <w:t>),</w:t>
      </w:r>
    </w:p>
    <w:p w14:paraId="6CE8ADC6" w14:textId="77777777" w:rsidR="0062595A" w:rsidRPr="0062595A" w:rsidRDefault="0062595A" w:rsidP="004630E8">
      <w:pPr>
        <w:numPr>
          <w:ilvl w:val="0"/>
          <w:numId w:val="20"/>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The Assembly also significantly updated the framework for the evolution of International Mobile Telecommunications, introducing the concept of IMT-2030 (</w:t>
      </w:r>
      <w:hyperlink r:id="rId62" w:history="1">
        <w:r w:rsidRPr="0062595A">
          <w:rPr>
            <w:rFonts w:eastAsia="PMingLiU"/>
            <w:color w:val="0563C1"/>
            <w:sz w:val="22"/>
            <w:szCs w:val="22"/>
            <w:u w:val="single"/>
            <w:lang w:eastAsia="zh-TW"/>
          </w:rPr>
          <w:t>Res 56-3</w:t>
        </w:r>
      </w:hyperlink>
      <w:r w:rsidRPr="0062595A">
        <w:rPr>
          <w:rFonts w:eastAsia="PMingLiU"/>
          <w:sz w:val="22"/>
          <w:szCs w:val="22"/>
          <w:lang w:eastAsia="zh-TW"/>
        </w:rPr>
        <w:t>) and aligning future development principles accordingly (</w:t>
      </w:r>
      <w:hyperlink r:id="rId63" w:history="1">
        <w:r w:rsidRPr="0062595A">
          <w:rPr>
            <w:rFonts w:eastAsia="PMingLiU"/>
            <w:color w:val="0563C1"/>
            <w:sz w:val="22"/>
            <w:szCs w:val="22"/>
            <w:u w:val="single"/>
            <w:lang w:eastAsia="zh-TW"/>
          </w:rPr>
          <w:t>Res 65-1</w:t>
        </w:r>
      </w:hyperlink>
      <w:r w:rsidRPr="0062595A">
        <w:rPr>
          <w:rFonts w:eastAsia="PMingLiU"/>
          <w:sz w:val="22"/>
          <w:szCs w:val="22"/>
          <w:lang w:eastAsia="zh-TW"/>
        </w:rPr>
        <w:t>),</w:t>
      </w:r>
    </w:p>
    <w:p w14:paraId="355F8210" w14:textId="21C50118" w:rsidR="0062595A" w:rsidRPr="0062595A" w:rsidRDefault="0062595A" w:rsidP="004630E8">
      <w:pPr>
        <w:numPr>
          <w:ilvl w:val="0"/>
          <w:numId w:val="20"/>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27239A">
        <w:rPr>
          <w:rFonts w:eastAsia="PMingLiU"/>
          <w:spacing w:val="2"/>
          <w:sz w:val="22"/>
          <w:szCs w:val="22"/>
          <w:lang w:eastAsia="zh-TW"/>
        </w:rPr>
        <w:t xml:space="preserve">In addition, RA-23 adopted four new </w:t>
      </w:r>
      <w:r w:rsidR="00443B52" w:rsidRPr="0027239A">
        <w:rPr>
          <w:rFonts w:eastAsia="PMingLiU"/>
          <w:spacing w:val="2"/>
          <w:sz w:val="22"/>
          <w:szCs w:val="22"/>
          <w:lang w:eastAsia="zh-TW"/>
        </w:rPr>
        <w:t>r</w:t>
      </w:r>
      <w:r w:rsidRPr="0027239A">
        <w:rPr>
          <w:rFonts w:eastAsia="PMingLiU"/>
          <w:spacing w:val="2"/>
          <w:sz w:val="22"/>
          <w:szCs w:val="22"/>
          <w:lang w:eastAsia="zh-TW"/>
        </w:rPr>
        <w:t>esolutions focused on promoting gender equality in</w:t>
      </w:r>
      <w:r w:rsidRPr="0062595A">
        <w:rPr>
          <w:rFonts w:eastAsia="PMingLiU"/>
          <w:sz w:val="22"/>
          <w:szCs w:val="22"/>
          <w:lang w:eastAsia="zh-TW"/>
        </w:rPr>
        <w:t xml:space="preserve"> ITU-R activities (</w:t>
      </w:r>
      <w:hyperlink r:id="rId64" w:history="1">
        <w:r w:rsidRPr="0062595A">
          <w:rPr>
            <w:rFonts w:eastAsia="PMingLiU"/>
            <w:color w:val="0563C1"/>
            <w:sz w:val="22"/>
            <w:szCs w:val="22"/>
            <w:u w:val="single"/>
            <w:lang w:eastAsia="zh-TW"/>
          </w:rPr>
          <w:t>Res 72</w:t>
        </w:r>
      </w:hyperlink>
      <w:r w:rsidRPr="0062595A">
        <w:rPr>
          <w:rFonts w:eastAsia="PMingLiU"/>
          <w:sz w:val="22"/>
          <w:szCs w:val="22"/>
          <w:lang w:eastAsia="zh-TW"/>
        </w:rPr>
        <w:t>), supporting the use of IMT technologies for fixed wireless broadband (</w:t>
      </w:r>
      <w:hyperlink r:id="rId65" w:history="1">
        <w:r w:rsidRPr="0062595A">
          <w:rPr>
            <w:rFonts w:eastAsia="PMingLiU"/>
            <w:color w:val="0563C1"/>
            <w:sz w:val="22"/>
            <w:szCs w:val="22"/>
            <w:u w:val="single"/>
            <w:lang w:eastAsia="zh-TW"/>
          </w:rPr>
          <w:t>Res 73</w:t>
        </w:r>
      </w:hyperlink>
      <w:r w:rsidRPr="0062595A">
        <w:rPr>
          <w:rFonts w:eastAsia="PMingLiU"/>
          <w:sz w:val="22"/>
          <w:szCs w:val="22"/>
          <w:lang w:eastAsia="zh-TW"/>
        </w:rPr>
        <w:t>), advancing the sustainable use of spectrum and orbital resources (</w:t>
      </w:r>
      <w:hyperlink r:id="rId66" w:history="1">
        <w:r w:rsidRPr="0062595A">
          <w:rPr>
            <w:rFonts w:eastAsia="PMingLiU"/>
            <w:color w:val="0563C1"/>
            <w:sz w:val="22"/>
            <w:szCs w:val="22"/>
            <w:u w:val="single"/>
            <w:lang w:eastAsia="zh-TW"/>
          </w:rPr>
          <w:t>Res 74</w:t>
        </w:r>
      </w:hyperlink>
      <w:r w:rsidRPr="0062595A">
        <w:rPr>
          <w:rFonts w:eastAsia="PMingLiU"/>
          <w:sz w:val="22"/>
          <w:szCs w:val="22"/>
          <w:lang w:eastAsia="zh-TW"/>
        </w:rPr>
        <w:t>),</w:t>
      </w:r>
    </w:p>
    <w:p w14:paraId="2C0D607A" w14:textId="77777777" w:rsidR="0062595A" w:rsidRPr="0062595A" w:rsidRDefault="0062595A" w:rsidP="004630E8">
      <w:pPr>
        <w:numPr>
          <w:ilvl w:val="0"/>
          <w:numId w:val="20"/>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Strengthening inter-sectoral coordination across ITU (</w:t>
      </w:r>
      <w:hyperlink r:id="rId67" w:history="1">
        <w:r w:rsidRPr="0062595A">
          <w:rPr>
            <w:rFonts w:eastAsia="PMingLiU"/>
            <w:color w:val="0563C1"/>
            <w:sz w:val="22"/>
            <w:szCs w:val="22"/>
            <w:u w:val="single"/>
            <w:lang w:eastAsia="zh-TW"/>
          </w:rPr>
          <w:t>Res 75</w:t>
        </w:r>
      </w:hyperlink>
      <w:r w:rsidRPr="0062595A">
        <w:rPr>
          <w:rFonts w:eastAsia="PMingLiU"/>
          <w:sz w:val="22"/>
          <w:szCs w:val="22"/>
          <w:lang w:eastAsia="zh-TW"/>
        </w:rPr>
        <w:t xml:space="preserve">), consolidating earlier texts. The decisions relevant to WRC-23 were subsequently transmitted in </w:t>
      </w:r>
      <w:hyperlink r:id="rId68" w:history="1">
        <w:r w:rsidRPr="0062595A">
          <w:rPr>
            <w:rFonts w:eastAsia="PMingLiU"/>
            <w:color w:val="0563C1"/>
            <w:sz w:val="22"/>
            <w:szCs w:val="22"/>
            <w:u w:val="single"/>
            <w:lang w:eastAsia="zh-TW"/>
          </w:rPr>
          <w:t>Document WRC-23/217</w:t>
        </w:r>
      </w:hyperlink>
      <w:r w:rsidRPr="0062595A">
        <w:rPr>
          <w:rFonts w:eastAsia="PMingLiU"/>
          <w:sz w:val="22"/>
          <w:szCs w:val="22"/>
          <w:lang w:eastAsia="zh-TW"/>
        </w:rPr>
        <w:t>.</w:t>
      </w:r>
    </w:p>
    <w:p w14:paraId="183AF8CC" w14:textId="349E5515" w:rsidR="0062595A" w:rsidRPr="0062595A" w:rsidRDefault="0062595A" w:rsidP="004630E8">
      <w:pPr>
        <w:keepNext/>
        <w:keepLines/>
        <w:tabs>
          <w:tab w:val="clear" w:pos="567"/>
        </w:tabs>
        <w:suppressAutoHyphens/>
        <w:adjustRightInd/>
        <w:spacing w:before="360" w:after="120"/>
        <w:ind w:left="567" w:hanging="567"/>
        <w:jc w:val="both"/>
        <w:outlineLvl w:val="1"/>
        <w:rPr>
          <w:rFonts w:eastAsia="MS Mincho"/>
          <w:b/>
        </w:rPr>
      </w:pPr>
      <w:bookmarkStart w:id="33" w:name="_Toc224288796"/>
      <w:r w:rsidRPr="0062595A">
        <w:rPr>
          <w:rFonts w:eastAsia="MS Mincho"/>
          <w:b/>
        </w:rPr>
        <w:lastRenderedPageBreak/>
        <w:t>2.3</w:t>
      </w:r>
      <w:r w:rsidRPr="0062595A">
        <w:rPr>
          <w:rFonts w:eastAsia="MS Mincho"/>
          <w:b/>
        </w:rPr>
        <w:tab/>
      </w:r>
      <w:r w:rsidRPr="0062595A">
        <w:rPr>
          <w:rFonts w:eastAsia="MS Mincho"/>
          <w:b/>
          <w:bCs/>
        </w:rPr>
        <w:t>World Telecommunication Standardization Assembly 2024</w:t>
      </w:r>
      <w:bookmarkEnd w:id="33"/>
    </w:p>
    <w:p w14:paraId="296760BC" w14:textId="6B00F27E" w:rsidR="0062595A" w:rsidRPr="0062595A" w:rsidRDefault="0062595A" w:rsidP="00C5530E">
      <w:pPr>
        <w:suppressAutoHyphens/>
        <w:adjustRightInd/>
        <w:spacing w:after="120"/>
        <w:jc w:val="both"/>
        <w:rPr>
          <w:rFonts w:eastAsia="MS Mincho"/>
          <w:sz w:val="22"/>
        </w:rPr>
      </w:pPr>
      <w:r w:rsidRPr="0062595A">
        <w:rPr>
          <w:rFonts w:eastAsia="MS Mincho"/>
          <w:sz w:val="22"/>
        </w:rPr>
        <w:t>The World Telecommunication Standardization Assembly (</w:t>
      </w:r>
      <w:hyperlink r:id="rId69" w:history="1">
        <w:r w:rsidRPr="0062595A">
          <w:rPr>
            <w:rFonts w:eastAsia="MS Mincho"/>
            <w:color w:val="0563C1"/>
            <w:sz w:val="22"/>
            <w:u w:val="single"/>
          </w:rPr>
          <w:t>WTSA-24</w:t>
        </w:r>
      </w:hyperlink>
      <w:r w:rsidRPr="0062595A">
        <w:rPr>
          <w:rFonts w:eastAsia="MS Mincho"/>
          <w:sz w:val="22"/>
        </w:rPr>
        <w:t>) took place from 15 to 24 October 2024 in New Delhi, India. This was the first WTSA held in Asia. It was preceded by the Global Standards Symposium (</w:t>
      </w:r>
      <w:hyperlink r:id="rId70" w:history="1">
        <w:r w:rsidRPr="0062595A">
          <w:rPr>
            <w:rFonts w:eastAsia="MS Mincho"/>
            <w:color w:val="0563C1"/>
            <w:sz w:val="22"/>
            <w:u w:val="single"/>
          </w:rPr>
          <w:t>GSS-24</w:t>
        </w:r>
      </w:hyperlink>
      <w:r w:rsidRPr="0062595A">
        <w:rPr>
          <w:rFonts w:eastAsia="MS Mincho"/>
          <w:sz w:val="22"/>
        </w:rPr>
        <w:t>) on 14 October 2024 and followed by leadership training, which was offered to newly appointed</w:t>
      </w:r>
      <w:r w:rsidR="006176F4">
        <w:rPr>
          <w:rFonts w:eastAsia="MS Mincho"/>
          <w:sz w:val="22"/>
        </w:rPr>
        <w:t xml:space="preserve"> WTSA-24 drafting group</w:t>
      </w:r>
      <w:r w:rsidR="002546CA">
        <w:rPr>
          <w:rFonts w:eastAsia="MS Mincho"/>
          <w:sz w:val="22"/>
        </w:rPr>
        <w:t>s</w:t>
      </w:r>
      <w:r w:rsidRPr="0062595A">
        <w:rPr>
          <w:rFonts w:eastAsia="MS Mincho"/>
          <w:sz w:val="22"/>
        </w:rPr>
        <w:t xml:space="preserve"> chairs and vice-chairs. The assembly welcomed H. E. Narendra Modi, Prime Minister of India, to its opening ceremony. The assembly was chaired by Mr Ritu Ranjan </w:t>
      </w:r>
      <w:proofErr w:type="spellStart"/>
      <w:r w:rsidRPr="0062595A">
        <w:rPr>
          <w:rFonts w:eastAsia="MS Mincho"/>
          <w:sz w:val="22"/>
        </w:rPr>
        <w:t>Mittar</w:t>
      </w:r>
      <w:proofErr w:type="spellEnd"/>
      <w:r w:rsidRPr="0062595A">
        <w:rPr>
          <w:rFonts w:eastAsia="MS Mincho"/>
          <w:sz w:val="22"/>
        </w:rPr>
        <w:t xml:space="preserve"> (India). Attended by 3</w:t>
      </w:r>
      <w:r w:rsidR="0027239A">
        <w:rPr>
          <w:rFonts w:eastAsia="MS Mincho"/>
          <w:sz w:val="22"/>
        </w:rPr>
        <w:t> </w:t>
      </w:r>
      <w:r w:rsidRPr="0062595A">
        <w:rPr>
          <w:rFonts w:eastAsia="MS Mincho"/>
          <w:sz w:val="22"/>
        </w:rPr>
        <w:t xml:space="preserve">700 delegates from 164 countries, it achieved the 27 per cent female representation, the highest to date for ITU conferences held outside Geneva. It also showed the highest-level participation, with 37 </w:t>
      </w:r>
      <w:r w:rsidR="0027239A" w:rsidRPr="0062595A">
        <w:rPr>
          <w:rFonts w:eastAsia="MS Mincho"/>
          <w:sz w:val="22"/>
        </w:rPr>
        <w:t xml:space="preserve">Member States </w:t>
      </w:r>
      <w:r w:rsidRPr="0062595A">
        <w:rPr>
          <w:rFonts w:eastAsia="MS Mincho"/>
          <w:sz w:val="22"/>
        </w:rPr>
        <w:t>sending ministers. More than 20 side events were held during WTSA-24.</w:t>
      </w:r>
    </w:p>
    <w:p w14:paraId="7DF6CFBB"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Key outcomes of WTSA-24 include:</w:t>
      </w:r>
    </w:p>
    <w:p w14:paraId="008C250F" w14:textId="6A47030A" w:rsidR="0062595A" w:rsidRPr="0062595A" w:rsidRDefault="0062595A" w:rsidP="004630E8">
      <w:pPr>
        <w:numPr>
          <w:ilvl w:val="0"/>
          <w:numId w:val="21"/>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 xml:space="preserve">The consolidation in ITU’s Telecommunication Standardization Sector (ITU-T) of </w:t>
      </w:r>
      <w:hyperlink r:id="rId71" w:history="1">
        <w:r w:rsidRPr="0062595A">
          <w:rPr>
            <w:rFonts w:eastAsia="PMingLiU"/>
            <w:color w:val="0563C1"/>
            <w:sz w:val="22"/>
            <w:szCs w:val="22"/>
            <w:u w:val="single"/>
            <w:lang w:eastAsia="zh-TW"/>
          </w:rPr>
          <w:t>Study Group</w:t>
        </w:r>
        <w:r w:rsidR="0027239A">
          <w:rPr>
            <w:rFonts w:eastAsia="PMingLiU"/>
            <w:color w:val="0563C1"/>
            <w:sz w:val="22"/>
            <w:szCs w:val="22"/>
            <w:u w:val="single"/>
            <w:lang w:eastAsia="zh-TW"/>
          </w:rPr>
          <w:t> </w:t>
        </w:r>
        <w:r w:rsidRPr="0062595A">
          <w:rPr>
            <w:rFonts w:eastAsia="PMingLiU"/>
            <w:color w:val="0563C1"/>
            <w:sz w:val="22"/>
            <w:szCs w:val="22"/>
            <w:u w:val="single"/>
            <w:lang w:eastAsia="zh-TW"/>
          </w:rPr>
          <w:t>9</w:t>
        </w:r>
      </w:hyperlink>
      <w:r w:rsidRPr="0062595A">
        <w:rPr>
          <w:rFonts w:eastAsia="PMingLiU"/>
          <w:sz w:val="22"/>
          <w:szCs w:val="22"/>
          <w:lang w:eastAsia="zh-TW"/>
        </w:rPr>
        <w:t xml:space="preserve"> and </w:t>
      </w:r>
      <w:hyperlink r:id="rId72" w:history="1">
        <w:r w:rsidRPr="0062595A">
          <w:rPr>
            <w:rFonts w:eastAsia="PMingLiU"/>
            <w:color w:val="0563C1"/>
            <w:sz w:val="22"/>
            <w:szCs w:val="22"/>
            <w:u w:val="single"/>
            <w:lang w:eastAsia="zh-TW"/>
          </w:rPr>
          <w:t>Study Group 16</w:t>
        </w:r>
      </w:hyperlink>
      <w:r w:rsidRPr="0062595A">
        <w:rPr>
          <w:rFonts w:eastAsia="PMingLiU"/>
          <w:sz w:val="22"/>
          <w:szCs w:val="22"/>
          <w:lang w:eastAsia="zh-TW"/>
        </w:rPr>
        <w:t xml:space="preserve"> into a new body, </w:t>
      </w:r>
      <w:hyperlink r:id="rId73" w:history="1">
        <w:r w:rsidRPr="0062595A">
          <w:rPr>
            <w:rFonts w:eastAsia="PMingLiU"/>
            <w:color w:val="0563C1"/>
            <w:sz w:val="22"/>
            <w:szCs w:val="22"/>
            <w:u w:val="single"/>
            <w:lang w:eastAsia="zh-TW"/>
          </w:rPr>
          <w:t>Study Group 21</w:t>
        </w:r>
      </w:hyperlink>
      <w:r w:rsidRPr="0062595A">
        <w:rPr>
          <w:rFonts w:eastAsia="PMingLiU"/>
          <w:sz w:val="22"/>
          <w:szCs w:val="22"/>
          <w:lang w:eastAsia="zh-TW"/>
        </w:rPr>
        <w:t>, covering technologies for multimedia, content delivery and cable television.</w:t>
      </w:r>
    </w:p>
    <w:p w14:paraId="1B766820" w14:textId="77777777" w:rsidR="0062595A" w:rsidRPr="0062595A" w:rsidRDefault="0062595A" w:rsidP="004630E8">
      <w:pPr>
        <w:numPr>
          <w:ilvl w:val="0"/>
          <w:numId w:val="21"/>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 xml:space="preserve">The Assembly appointed new </w:t>
      </w:r>
      <w:hyperlink r:id="rId74" w:history="1">
        <w:r w:rsidRPr="0062595A">
          <w:rPr>
            <w:rFonts w:eastAsia="PMingLiU"/>
            <w:color w:val="0563C1"/>
            <w:sz w:val="22"/>
            <w:szCs w:val="22"/>
            <w:u w:val="single"/>
            <w:lang w:eastAsia="zh-TW"/>
          </w:rPr>
          <w:t>chairs an</w:t>
        </w:r>
        <w:r w:rsidRPr="00C93A80">
          <w:rPr>
            <w:rFonts w:eastAsia="PMingLiU"/>
            <w:color w:val="0563C1"/>
            <w:sz w:val="22"/>
            <w:szCs w:val="22"/>
            <w:u w:val="single"/>
            <w:lang w:eastAsia="zh-TW"/>
          </w:rPr>
          <w:t>d vice-</w:t>
        </w:r>
        <w:r w:rsidRPr="0062595A">
          <w:rPr>
            <w:rFonts w:eastAsia="PMingLiU"/>
            <w:color w:val="0563C1"/>
            <w:sz w:val="22"/>
            <w:szCs w:val="22"/>
            <w:u w:val="single"/>
            <w:lang w:eastAsia="zh-TW"/>
          </w:rPr>
          <w:t>chairs</w:t>
        </w:r>
      </w:hyperlink>
      <w:r w:rsidRPr="0062595A">
        <w:rPr>
          <w:rFonts w:eastAsia="PMingLiU"/>
          <w:sz w:val="22"/>
          <w:szCs w:val="22"/>
          <w:lang w:eastAsia="zh-TW"/>
        </w:rPr>
        <w:t xml:space="preserve"> for 10 study groups, as well as for the Telecommunication Standardization Advisory Group and the Standardization Committee for Vocabulary.</w:t>
      </w:r>
    </w:p>
    <w:p w14:paraId="28854588" w14:textId="77777777" w:rsidR="0062595A" w:rsidRPr="0062595A" w:rsidRDefault="0062595A" w:rsidP="004630E8">
      <w:pPr>
        <w:numPr>
          <w:ilvl w:val="0"/>
          <w:numId w:val="21"/>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 xml:space="preserve">It also updated the mandate under </w:t>
      </w:r>
      <w:hyperlink r:id="rId75" w:history="1">
        <w:r w:rsidRPr="0062595A">
          <w:rPr>
            <w:rFonts w:eastAsia="PMingLiU"/>
            <w:color w:val="0563C1"/>
            <w:sz w:val="22"/>
            <w:szCs w:val="22"/>
            <w:u w:val="single"/>
            <w:lang w:eastAsia="zh-TW"/>
          </w:rPr>
          <w:t>Resolution 2</w:t>
        </w:r>
      </w:hyperlink>
      <w:r w:rsidRPr="0062595A">
        <w:rPr>
          <w:rFonts w:eastAsia="PMingLiU"/>
          <w:sz w:val="22"/>
          <w:szCs w:val="22"/>
          <w:lang w:eastAsia="zh-TW"/>
        </w:rPr>
        <w:t>, adopted new Questions for all 10 study groups in the sector and approved a substantial package of deliverables, including eight new resolutions, 44 revised resolutions, and a revised ITU-T Recommendation (</w:t>
      </w:r>
      <w:hyperlink r:id="rId76" w:history="1">
        <w:r w:rsidRPr="0062595A">
          <w:rPr>
            <w:rFonts w:eastAsia="PMingLiU"/>
            <w:color w:val="0563C1"/>
            <w:sz w:val="22"/>
            <w:szCs w:val="22"/>
            <w:u w:val="single"/>
            <w:lang w:eastAsia="zh-TW"/>
          </w:rPr>
          <w:t>A.25</w:t>
        </w:r>
      </w:hyperlink>
      <w:r w:rsidRPr="0062595A">
        <w:rPr>
          <w:rFonts w:eastAsia="PMingLiU"/>
          <w:sz w:val="22"/>
          <w:szCs w:val="22"/>
          <w:lang w:eastAsia="zh-TW"/>
        </w:rPr>
        <w:t>).</w:t>
      </w:r>
    </w:p>
    <w:p w14:paraId="1BC93056" w14:textId="77777777" w:rsidR="0062595A" w:rsidRPr="0062595A" w:rsidRDefault="0062595A" w:rsidP="004630E8">
      <w:pPr>
        <w:keepNext/>
        <w:keepLines/>
        <w:tabs>
          <w:tab w:val="clear" w:pos="567"/>
        </w:tabs>
        <w:suppressAutoHyphens/>
        <w:adjustRightInd/>
        <w:spacing w:before="360" w:after="120"/>
        <w:ind w:left="567" w:hanging="567"/>
        <w:jc w:val="both"/>
        <w:outlineLvl w:val="1"/>
        <w:rPr>
          <w:rFonts w:eastAsia="MS Mincho"/>
          <w:b/>
        </w:rPr>
      </w:pPr>
      <w:bookmarkStart w:id="34" w:name="_Toc224288797"/>
      <w:r w:rsidRPr="0062595A">
        <w:rPr>
          <w:rFonts w:eastAsia="MS Mincho"/>
          <w:b/>
        </w:rPr>
        <w:t>2.4</w:t>
      </w:r>
      <w:r w:rsidRPr="0062595A">
        <w:rPr>
          <w:rFonts w:eastAsia="MS Mincho"/>
          <w:b/>
        </w:rPr>
        <w:tab/>
        <w:t>World Telecommunication Development Conference 2025</w:t>
      </w:r>
      <w:bookmarkEnd w:id="34"/>
    </w:p>
    <w:p w14:paraId="10501EBC" w14:textId="414C786A" w:rsidR="0062595A" w:rsidRPr="0062595A" w:rsidRDefault="0062595A" w:rsidP="00C5530E">
      <w:pPr>
        <w:suppressAutoHyphens/>
        <w:adjustRightInd/>
        <w:spacing w:after="120"/>
        <w:jc w:val="both"/>
        <w:rPr>
          <w:rFonts w:eastAsia="MS Mincho"/>
          <w:sz w:val="22"/>
        </w:rPr>
      </w:pPr>
      <w:r w:rsidRPr="0062595A">
        <w:rPr>
          <w:rFonts w:eastAsia="MS Mincho"/>
          <w:sz w:val="22"/>
        </w:rPr>
        <w:t>The 9</w:t>
      </w:r>
      <w:r w:rsidRPr="0062595A">
        <w:rPr>
          <w:rFonts w:eastAsia="MS Mincho"/>
          <w:sz w:val="22"/>
          <w:vertAlign w:val="superscript"/>
        </w:rPr>
        <w:t>th</w:t>
      </w:r>
      <w:r w:rsidRPr="0062595A">
        <w:rPr>
          <w:rFonts w:eastAsia="MS Mincho"/>
          <w:sz w:val="22"/>
        </w:rPr>
        <w:t xml:space="preserve"> World Telecommunication Development Conference (</w:t>
      </w:r>
      <w:hyperlink r:id="rId77" w:history="1">
        <w:r w:rsidRPr="0062595A">
          <w:rPr>
            <w:rFonts w:eastAsia="MS Mincho"/>
            <w:color w:val="0563C1"/>
            <w:sz w:val="22"/>
            <w:u w:val="single"/>
          </w:rPr>
          <w:t>WTDC-25</w:t>
        </w:r>
      </w:hyperlink>
      <w:r w:rsidRPr="0062595A">
        <w:rPr>
          <w:rFonts w:eastAsia="MS Mincho"/>
          <w:sz w:val="22"/>
        </w:rPr>
        <w:t>), which took place from 17 to 28 November 2025 in Baku, Azerbaijan, marked a significant milestone for global connectivity and digital development. WTDC-25 was chaired by H.E. Mr Samaddin Asadov, Deputy Minister of Digital Development and Transport, Republic of Azerbaijan. The conference focused on a key theme: “Universal, meaningful, and affordable connectivity for an inclusive and sustainable digital future.”</w:t>
      </w:r>
    </w:p>
    <w:p w14:paraId="6CB7D910" w14:textId="2C04A26D" w:rsidR="0062595A" w:rsidRPr="0062595A" w:rsidRDefault="0062595A" w:rsidP="00C5530E">
      <w:pPr>
        <w:suppressAutoHyphens/>
        <w:adjustRightInd/>
        <w:spacing w:after="120"/>
        <w:jc w:val="both"/>
        <w:rPr>
          <w:rFonts w:eastAsia="MS Mincho"/>
          <w:sz w:val="22"/>
        </w:rPr>
      </w:pPr>
      <w:r w:rsidRPr="0062595A">
        <w:rPr>
          <w:rFonts w:eastAsia="MS Mincho"/>
          <w:sz w:val="22"/>
        </w:rPr>
        <w:t>WTDC-25 brought together around 2</w:t>
      </w:r>
      <w:r w:rsidR="0027239A">
        <w:rPr>
          <w:rFonts w:eastAsia="MS Mincho"/>
          <w:sz w:val="22"/>
        </w:rPr>
        <w:t> </w:t>
      </w:r>
      <w:r w:rsidRPr="0062595A">
        <w:rPr>
          <w:rFonts w:eastAsia="MS Mincho"/>
          <w:sz w:val="22"/>
        </w:rPr>
        <w:t>000 participants</w:t>
      </w:r>
      <w:r w:rsidR="0027239A">
        <w:rPr>
          <w:rFonts w:eastAsia="MS Mincho"/>
          <w:sz w:val="22"/>
        </w:rPr>
        <w:t xml:space="preserve"> </w:t>
      </w:r>
      <w:r w:rsidRPr="0062595A">
        <w:rPr>
          <w:rFonts w:eastAsia="MS Mincho"/>
          <w:sz w:val="22"/>
        </w:rPr>
        <w:t>comprising</w:t>
      </w:r>
      <w:r w:rsidR="0027239A">
        <w:rPr>
          <w:rFonts w:eastAsia="MS Mincho"/>
          <w:sz w:val="22"/>
        </w:rPr>
        <w:t xml:space="preserve"> </w:t>
      </w:r>
      <w:r w:rsidRPr="0062595A">
        <w:rPr>
          <w:rFonts w:eastAsia="MS Mincho"/>
          <w:sz w:val="22"/>
        </w:rPr>
        <w:t>Member States, Sector Members, Associates, and Academia from more than 150 countries. Through collaborative dialogue and negotiation, the conference delivered</w:t>
      </w:r>
      <w:r w:rsidR="0027239A">
        <w:rPr>
          <w:rFonts w:eastAsia="MS Mincho"/>
          <w:sz w:val="22"/>
        </w:rPr>
        <w:t xml:space="preserve"> </w:t>
      </w:r>
      <w:r w:rsidRPr="0062595A">
        <w:rPr>
          <w:rFonts w:eastAsia="MS Mincho"/>
          <w:sz w:val="22"/>
        </w:rPr>
        <w:t>several</w:t>
      </w:r>
      <w:r w:rsidR="0027239A">
        <w:rPr>
          <w:rFonts w:eastAsia="MS Mincho"/>
          <w:sz w:val="22"/>
        </w:rPr>
        <w:t xml:space="preserve"> </w:t>
      </w:r>
      <w:r w:rsidRPr="0062595A">
        <w:rPr>
          <w:rFonts w:eastAsia="MS Mincho"/>
          <w:sz w:val="22"/>
        </w:rPr>
        <w:t>important outcomes.</w:t>
      </w:r>
    </w:p>
    <w:p w14:paraId="640F3D4C" w14:textId="48D80564" w:rsidR="0062595A" w:rsidRPr="0062595A" w:rsidRDefault="0062595A" w:rsidP="00C5530E">
      <w:pPr>
        <w:suppressAutoHyphens/>
        <w:adjustRightInd/>
        <w:spacing w:after="120"/>
        <w:jc w:val="both"/>
        <w:rPr>
          <w:rFonts w:eastAsia="MS Mincho"/>
          <w:sz w:val="22"/>
        </w:rPr>
      </w:pPr>
      <w:r w:rsidRPr="0062595A">
        <w:rPr>
          <w:rFonts w:eastAsia="MS Mincho"/>
          <w:sz w:val="22"/>
        </w:rPr>
        <w:t>These include:</w:t>
      </w:r>
    </w:p>
    <w:p w14:paraId="37AF8638" w14:textId="2253A658" w:rsidR="0062595A" w:rsidRPr="0062595A" w:rsidRDefault="0062595A" w:rsidP="004630E8">
      <w:pPr>
        <w:numPr>
          <w:ilvl w:val="0"/>
          <w:numId w:val="22"/>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 xml:space="preserve">The </w:t>
      </w:r>
      <w:hyperlink r:id="rId78" w:history="1">
        <w:r w:rsidRPr="0062595A">
          <w:rPr>
            <w:rFonts w:eastAsia="PMingLiU"/>
            <w:color w:val="0563C1"/>
            <w:sz w:val="22"/>
            <w:szCs w:val="22"/>
            <w:u w:val="single"/>
            <w:lang w:eastAsia="zh-TW"/>
          </w:rPr>
          <w:t>Baku Declaration</w:t>
        </w:r>
      </w:hyperlink>
      <w:r w:rsidRPr="0062595A">
        <w:rPr>
          <w:rFonts w:eastAsia="PMingLiU"/>
          <w:sz w:val="22"/>
          <w:szCs w:val="22"/>
          <w:lang w:eastAsia="zh-TW"/>
        </w:rPr>
        <w:t>: The conference adopted the Baku Declaration, reaffirming the commitment of the membership of ITU’s Telecommunication Development Sector (ITU-D) to bridging the digital divide, enhancing connectivity, and empowering communities through ICTs. The Declaration serves as a guiding statement of values and priorities for ITU-D’s work.</w:t>
      </w:r>
    </w:p>
    <w:p w14:paraId="63BCE49D" w14:textId="09A9324F" w:rsidR="0062595A" w:rsidRPr="0062595A" w:rsidRDefault="0062595A" w:rsidP="004630E8">
      <w:pPr>
        <w:numPr>
          <w:ilvl w:val="0"/>
          <w:numId w:val="22"/>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27239A">
        <w:rPr>
          <w:rFonts w:eastAsia="PMingLiU"/>
          <w:spacing w:val="2"/>
          <w:sz w:val="22"/>
          <w:szCs w:val="22"/>
          <w:lang w:eastAsia="zh-TW"/>
        </w:rPr>
        <w:t xml:space="preserve">The </w:t>
      </w:r>
      <w:hyperlink r:id="rId79" w:history="1">
        <w:r w:rsidRPr="0027239A">
          <w:rPr>
            <w:rFonts w:eastAsia="PMingLiU"/>
            <w:color w:val="0563C1"/>
            <w:spacing w:val="2"/>
            <w:sz w:val="22"/>
            <w:szCs w:val="22"/>
            <w:u w:val="single"/>
            <w:lang w:eastAsia="zh-TW"/>
          </w:rPr>
          <w:t>Baku Action Plan</w:t>
        </w:r>
      </w:hyperlink>
      <w:r w:rsidRPr="0027239A">
        <w:rPr>
          <w:rFonts w:eastAsia="PMingLiU"/>
          <w:spacing w:val="2"/>
          <w:sz w:val="22"/>
          <w:szCs w:val="22"/>
          <w:u w:val="single"/>
          <w:lang w:eastAsia="zh-TW"/>
        </w:rPr>
        <w:t>:</w:t>
      </w:r>
      <w:r w:rsidRPr="0027239A">
        <w:rPr>
          <w:rFonts w:eastAsia="PMingLiU"/>
          <w:b/>
          <w:bCs/>
          <w:spacing w:val="2"/>
          <w:sz w:val="22"/>
          <w:szCs w:val="22"/>
          <w:lang w:eastAsia="zh-TW"/>
        </w:rPr>
        <w:t xml:space="preserve"> </w:t>
      </w:r>
      <w:r w:rsidRPr="0027239A">
        <w:rPr>
          <w:rFonts w:eastAsia="PMingLiU"/>
          <w:spacing w:val="2"/>
          <w:sz w:val="22"/>
          <w:szCs w:val="22"/>
          <w:lang w:eastAsia="zh-TW"/>
        </w:rPr>
        <w:t>In line with the goals of the conference, WTDC-25 set priorities for</w:t>
      </w:r>
      <w:r w:rsidRPr="0062595A">
        <w:rPr>
          <w:rFonts w:eastAsia="PMingLiU"/>
          <w:sz w:val="22"/>
          <w:szCs w:val="22"/>
          <w:lang w:eastAsia="zh-TW"/>
        </w:rPr>
        <w:t xml:space="preserve"> ITU-D for the next four years (2026– 2029)</w:t>
      </w:r>
      <w:r w:rsidR="0027239A">
        <w:rPr>
          <w:rFonts w:eastAsia="PMingLiU"/>
          <w:sz w:val="22"/>
          <w:szCs w:val="22"/>
          <w:lang w:eastAsia="zh-TW"/>
        </w:rPr>
        <w:t xml:space="preserve"> </w:t>
      </w:r>
      <w:r w:rsidRPr="0062595A">
        <w:rPr>
          <w:rFonts w:eastAsia="PMingLiU"/>
          <w:sz w:val="22"/>
          <w:szCs w:val="22"/>
          <w:lang w:eastAsia="zh-TW"/>
        </w:rPr>
        <w:t>and also</w:t>
      </w:r>
      <w:r w:rsidR="0027239A">
        <w:rPr>
          <w:rFonts w:eastAsia="PMingLiU"/>
          <w:sz w:val="22"/>
          <w:szCs w:val="22"/>
          <w:lang w:eastAsia="zh-TW"/>
        </w:rPr>
        <w:t xml:space="preserve"> </w:t>
      </w:r>
      <w:r w:rsidRPr="0062595A">
        <w:rPr>
          <w:rFonts w:eastAsia="PMingLiU"/>
          <w:sz w:val="22"/>
          <w:szCs w:val="22"/>
          <w:lang w:eastAsia="zh-TW"/>
        </w:rPr>
        <w:t>approved a detailed Baku Action Plan, which will guide ITU’s digital development initiatives. These efforts will pay particular attention to the world’s most vulnerable areas, such as Least Developed Countries (LDCs), Landlocked Developing Countries (LLDCs), and Small Island Developing States (SIDS). The Conference</w:t>
      </w:r>
      <w:r w:rsidR="0027239A">
        <w:rPr>
          <w:rFonts w:eastAsia="PMingLiU"/>
          <w:sz w:val="22"/>
          <w:szCs w:val="22"/>
          <w:lang w:eastAsia="zh-TW"/>
        </w:rPr>
        <w:t xml:space="preserve"> </w:t>
      </w:r>
      <w:r w:rsidRPr="0062595A">
        <w:rPr>
          <w:rFonts w:eastAsia="PMingLiU"/>
          <w:sz w:val="22"/>
          <w:szCs w:val="22"/>
          <w:lang w:eastAsia="zh-TW"/>
        </w:rPr>
        <w:t>maintained</w:t>
      </w:r>
      <w:r w:rsidR="0027239A">
        <w:rPr>
          <w:rFonts w:eastAsia="PMingLiU"/>
          <w:sz w:val="22"/>
          <w:szCs w:val="22"/>
          <w:lang w:eastAsia="zh-TW"/>
        </w:rPr>
        <w:t xml:space="preserve"> </w:t>
      </w:r>
      <w:r w:rsidRPr="0062595A">
        <w:rPr>
          <w:rFonts w:eastAsia="PMingLiU"/>
          <w:sz w:val="22"/>
          <w:szCs w:val="22"/>
          <w:lang w:eastAsia="zh-TW"/>
        </w:rPr>
        <w:t>ITU-D priorities that were already set in the last cycle:</w:t>
      </w:r>
    </w:p>
    <w:p w14:paraId="609B45CE" w14:textId="3AFBB706" w:rsidR="0062595A" w:rsidRPr="0062595A" w:rsidRDefault="0062595A" w:rsidP="004630E8">
      <w:pPr>
        <w:numPr>
          <w:ilvl w:val="0"/>
          <w:numId w:val="23"/>
        </w:numPr>
        <w:tabs>
          <w:tab w:val="clear" w:pos="567"/>
          <w:tab w:val="clear" w:pos="1134"/>
          <w:tab w:val="clear" w:pos="1701"/>
          <w:tab w:val="clear" w:pos="2268"/>
          <w:tab w:val="clear" w:pos="2835"/>
        </w:tabs>
        <w:suppressAutoHyphens/>
        <w:overflowPunct/>
        <w:autoSpaceDE/>
        <w:adjustRightInd/>
        <w:spacing w:before="60" w:after="60"/>
        <w:ind w:left="993" w:hanging="426"/>
        <w:jc w:val="both"/>
        <w:textAlignment w:val="auto"/>
        <w:rPr>
          <w:rFonts w:eastAsia="PMingLiU"/>
          <w:sz w:val="22"/>
          <w:szCs w:val="22"/>
          <w:lang w:eastAsia="zh-TW"/>
        </w:rPr>
      </w:pPr>
      <w:r w:rsidRPr="0062595A">
        <w:rPr>
          <w:rFonts w:eastAsia="PMingLiU"/>
          <w:sz w:val="22"/>
          <w:szCs w:val="22"/>
          <w:lang w:eastAsia="zh-TW"/>
        </w:rPr>
        <w:t>Affordable Connectivity</w:t>
      </w:r>
    </w:p>
    <w:p w14:paraId="3FD1E9D2" w14:textId="65A92F1A" w:rsidR="0062595A" w:rsidRPr="0062595A" w:rsidRDefault="0062595A" w:rsidP="004630E8">
      <w:pPr>
        <w:numPr>
          <w:ilvl w:val="0"/>
          <w:numId w:val="23"/>
        </w:numPr>
        <w:tabs>
          <w:tab w:val="clear" w:pos="567"/>
          <w:tab w:val="clear" w:pos="1134"/>
          <w:tab w:val="clear" w:pos="1701"/>
          <w:tab w:val="clear" w:pos="2268"/>
          <w:tab w:val="clear" w:pos="2835"/>
        </w:tabs>
        <w:suppressAutoHyphens/>
        <w:overflowPunct/>
        <w:autoSpaceDE/>
        <w:adjustRightInd/>
        <w:spacing w:before="60" w:after="60"/>
        <w:ind w:left="993" w:hanging="426"/>
        <w:jc w:val="both"/>
        <w:textAlignment w:val="auto"/>
        <w:rPr>
          <w:rFonts w:eastAsia="PMingLiU"/>
          <w:sz w:val="22"/>
          <w:szCs w:val="22"/>
          <w:lang w:eastAsia="zh-TW"/>
        </w:rPr>
      </w:pPr>
      <w:r w:rsidRPr="0062595A">
        <w:rPr>
          <w:rFonts w:eastAsia="PMingLiU"/>
          <w:sz w:val="22"/>
          <w:szCs w:val="22"/>
          <w:lang w:eastAsia="zh-TW"/>
        </w:rPr>
        <w:t>Digital Transformation</w:t>
      </w:r>
    </w:p>
    <w:p w14:paraId="7303EC09" w14:textId="2680F50E" w:rsidR="0062595A" w:rsidRPr="0062595A" w:rsidRDefault="0062595A" w:rsidP="004630E8">
      <w:pPr>
        <w:numPr>
          <w:ilvl w:val="0"/>
          <w:numId w:val="23"/>
        </w:numPr>
        <w:tabs>
          <w:tab w:val="clear" w:pos="567"/>
          <w:tab w:val="clear" w:pos="1134"/>
          <w:tab w:val="clear" w:pos="1701"/>
          <w:tab w:val="clear" w:pos="2268"/>
          <w:tab w:val="clear" w:pos="2835"/>
        </w:tabs>
        <w:suppressAutoHyphens/>
        <w:overflowPunct/>
        <w:autoSpaceDE/>
        <w:adjustRightInd/>
        <w:spacing w:before="60" w:after="60"/>
        <w:ind w:left="993" w:hanging="426"/>
        <w:jc w:val="both"/>
        <w:textAlignment w:val="auto"/>
        <w:rPr>
          <w:rFonts w:eastAsia="PMingLiU"/>
          <w:sz w:val="22"/>
          <w:szCs w:val="22"/>
          <w:lang w:eastAsia="zh-TW"/>
        </w:rPr>
      </w:pPr>
      <w:r w:rsidRPr="0062595A">
        <w:rPr>
          <w:rFonts w:eastAsia="PMingLiU"/>
          <w:sz w:val="22"/>
          <w:szCs w:val="22"/>
          <w:lang w:eastAsia="zh-TW"/>
        </w:rPr>
        <w:t>Enabling Policy and Regulatory Environment</w:t>
      </w:r>
    </w:p>
    <w:p w14:paraId="788311CC" w14:textId="3C45D02F" w:rsidR="0062595A" w:rsidRPr="0062595A" w:rsidRDefault="0062595A" w:rsidP="004630E8">
      <w:pPr>
        <w:numPr>
          <w:ilvl w:val="0"/>
          <w:numId w:val="23"/>
        </w:numPr>
        <w:tabs>
          <w:tab w:val="clear" w:pos="567"/>
          <w:tab w:val="clear" w:pos="1134"/>
          <w:tab w:val="clear" w:pos="1701"/>
          <w:tab w:val="clear" w:pos="2268"/>
          <w:tab w:val="clear" w:pos="2835"/>
        </w:tabs>
        <w:suppressAutoHyphens/>
        <w:overflowPunct/>
        <w:autoSpaceDE/>
        <w:adjustRightInd/>
        <w:spacing w:before="60" w:after="60"/>
        <w:ind w:left="993" w:hanging="426"/>
        <w:jc w:val="both"/>
        <w:textAlignment w:val="auto"/>
        <w:rPr>
          <w:rFonts w:eastAsia="PMingLiU"/>
          <w:sz w:val="22"/>
          <w:szCs w:val="22"/>
          <w:lang w:eastAsia="zh-TW"/>
        </w:rPr>
      </w:pPr>
      <w:r w:rsidRPr="0062595A">
        <w:rPr>
          <w:rFonts w:eastAsia="PMingLiU"/>
          <w:sz w:val="22"/>
          <w:szCs w:val="22"/>
          <w:lang w:eastAsia="zh-TW"/>
        </w:rPr>
        <w:t>Resource Mobilization and International Cooperation</w:t>
      </w:r>
    </w:p>
    <w:p w14:paraId="574EBB1D" w14:textId="77777777" w:rsidR="0062595A" w:rsidRPr="0062595A" w:rsidRDefault="0062595A" w:rsidP="004630E8">
      <w:pPr>
        <w:numPr>
          <w:ilvl w:val="0"/>
          <w:numId w:val="23"/>
        </w:numPr>
        <w:tabs>
          <w:tab w:val="clear" w:pos="567"/>
          <w:tab w:val="clear" w:pos="1134"/>
          <w:tab w:val="clear" w:pos="1701"/>
          <w:tab w:val="clear" w:pos="2268"/>
          <w:tab w:val="clear" w:pos="2835"/>
        </w:tabs>
        <w:suppressAutoHyphens/>
        <w:overflowPunct/>
        <w:autoSpaceDE/>
        <w:adjustRightInd/>
        <w:spacing w:before="60" w:after="60"/>
        <w:ind w:left="993" w:hanging="426"/>
        <w:jc w:val="both"/>
        <w:textAlignment w:val="auto"/>
        <w:rPr>
          <w:rFonts w:eastAsia="PMingLiU"/>
          <w:sz w:val="22"/>
          <w:szCs w:val="22"/>
          <w:lang w:eastAsia="zh-TW"/>
        </w:rPr>
      </w:pPr>
      <w:r w:rsidRPr="0062595A">
        <w:rPr>
          <w:rFonts w:eastAsia="PMingLiU"/>
          <w:sz w:val="22"/>
          <w:szCs w:val="22"/>
          <w:lang w:eastAsia="zh-TW"/>
        </w:rPr>
        <w:t>Inclusive, Safe and Secure Telecommunications/ICTs for Sustainable Development</w:t>
      </w:r>
    </w:p>
    <w:p w14:paraId="026D390E" w14:textId="1395CA9C" w:rsidR="0062595A" w:rsidRPr="0062595A" w:rsidRDefault="0062595A" w:rsidP="004630E8">
      <w:pPr>
        <w:numPr>
          <w:ilvl w:val="0"/>
          <w:numId w:val="22"/>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hyperlink r:id="rId80" w:history="1">
        <w:r w:rsidRPr="0062595A">
          <w:rPr>
            <w:rFonts w:eastAsia="PMingLiU"/>
            <w:color w:val="0563C1"/>
            <w:sz w:val="22"/>
            <w:szCs w:val="22"/>
            <w:u w:val="single"/>
            <w:lang w:eastAsia="zh-TW"/>
          </w:rPr>
          <w:t>Regional Initiatives 2026-2029</w:t>
        </w:r>
      </w:hyperlink>
      <w:r w:rsidRPr="0062595A">
        <w:rPr>
          <w:rFonts w:eastAsia="PMingLiU"/>
          <w:sz w:val="22"/>
          <w:szCs w:val="22"/>
          <w:lang w:eastAsia="zh-TW"/>
        </w:rPr>
        <w:t>: WTDC-25 endorsed a renewed set of Regional Initiatives, tailored to address the specific needs and priorities of each of the six regions. These initiatives will drive targeted projects, foster partnerships, and ensure that ITU development work</w:t>
      </w:r>
      <w:r w:rsidR="0027239A">
        <w:rPr>
          <w:rFonts w:eastAsia="PMingLiU"/>
          <w:sz w:val="22"/>
          <w:szCs w:val="22"/>
          <w:lang w:eastAsia="zh-TW"/>
        </w:rPr>
        <w:t xml:space="preserve"> </w:t>
      </w:r>
      <w:r w:rsidRPr="0062595A">
        <w:rPr>
          <w:rFonts w:eastAsia="PMingLiU"/>
          <w:sz w:val="22"/>
          <w:szCs w:val="22"/>
          <w:lang w:eastAsia="zh-TW"/>
        </w:rPr>
        <w:t>remains</w:t>
      </w:r>
      <w:r w:rsidR="0027239A">
        <w:rPr>
          <w:rFonts w:eastAsia="PMingLiU"/>
          <w:sz w:val="22"/>
          <w:szCs w:val="22"/>
          <w:lang w:eastAsia="zh-TW"/>
        </w:rPr>
        <w:t xml:space="preserve"> </w:t>
      </w:r>
      <w:r w:rsidRPr="0062595A">
        <w:rPr>
          <w:rFonts w:eastAsia="PMingLiU"/>
          <w:sz w:val="22"/>
          <w:szCs w:val="22"/>
          <w:lang w:eastAsia="zh-TW"/>
        </w:rPr>
        <w:t>locally relevant and impactful.</w:t>
      </w:r>
    </w:p>
    <w:p w14:paraId="333288AE" w14:textId="748A6EBA" w:rsidR="0062595A" w:rsidRPr="0062595A" w:rsidRDefault="0062595A" w:rsidP="004630E8">
      <w:pPr>
        <w:numPr>
          <w:ilvl w:val="0"/>
          <w:numId w:val="22"/>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hyperlink r:id="rId81" w:history="1">
        <w:r w:rsidRPr="0062595A">
          <w:rPr>
            <w:rFonts w:eastAsia="PMingLiU"/>
            <w:color w:val="0563C1"/>
            <w:sz w:val="22"/>
            <w:szCs w:val="22"/>
            <w:u w:val="single"/>
            <w:lang w:eastAsia="zh-TW"/>
          </w:rPr>
          <w:t>Resolutions</w:t>
        </w:r>
      </w:hyperlink>
      <w:r w:rsidRPr="0062595A">
        <w:rPr>
          <w:rFonts w:eastAsia="PMingLiU"/>
          <w:sz w:val="22"/>
          <w:szCs w:val="22"/>
          <w:u w:val="single"/>
          <w:lang w:eastAsia="zh-TW"/>
        </w:rPr>
        <w:t>:</w:t>
      </w:r>
      <w:r w:rsidRPr="0062595A">
        <w:rPr>
          <w:rFonts w:eastAsia="PMingLiU"/>
          <w:sz w:val="22"/>
          <w:szCs w:val="22"/>
          <w:lang w:eastAsia="zh-TW"/>
        </w:rPr>
        <w:t xml:space="preserve"> Apart from modification of 44 resolutions, WTDC-25 saw the addition of four new resolutions. These include:</w:t>
      </w:r>
    </w:p>
    <w:p w14:paraId="34B256B4" w14:textId="7DC6CE47" w:rsidR="0062595A" w:rsidRPr="0062595A" w:rsidRDefault="0062595A" w:rsidP="004630E8">
      <w:pPr>
        <w:numPr>
          <w:ilvl w:val="0"/>
          <w:numId w:val="23"/>
        </w:numPr>
        <w:tabs>
          <w:tab w:val="clear" w:pos="567"/>
          <w:tab w:val="clear" w:pos="1134"/>
          <w:tab w:val="clear" w:pos="1701"/>
          <w:tab w:val="clear" w:pos="2268"/>
          <w:tab w:val="clear" w:pos="2835"/>
        </w:tabs>
        <w:suppressAutoHyphens/>
        <w:overflowPunct/>
        <w:autoSpaceDE/>
        <w:adjustRightInd/>
        <w:spacing w:before="60" w:after="60"/>
        <w:ind w:left="993" w:hanging="426"/>
        <w:jc w:val="both"/>
        <w:textAlignment w:val="auto"/>
        <w:rPr>
          <w:rFonts w:eastAsia="PMingLiU"/>
          <w:sz w:val="22"/>
          <w:szCs w:val="22"/>
          <w:lang w:eastAsia="zh-TW"/>
        </w:rPr>
      </w:pPr>
      <w:r w:rsidRPr="0062595A">
        <w:rPr>
          <w:rFonts w:eastAsia="PMingLiU"/>
          <w:sz w:val="22"/>
          <w:szCs w:val="22"/>
          <w:lang w:eastAsia="zh-TW"/>
        </w:rPr>
        <w:t>Artificial intelligence technologies in telecommunication development.</w:t>
      </w:r>
    </w:p>
    <w:p w14:paraId="38B4F98E" w14:textId="13D5D8B6" w:rsidR="0062595A" w:rsidRPr="0062595A" w:rsidRDefault="0062595A" w:rsidP="004630E8">
      <w:pPr>
        <w:numPr>
          <w:ilvl w:val="0"/>
          <w:numId w:val="23"/>
        </w:numPr>
        <w:tabs>
          <w:tab w:val="clear" w:pos="567"/>
          <w:tab w:val="clear" w:pos="1134"/>
          <w:tab w:val="clear" w:pos="1701"/>
          <w:tab w:val="clear" w:pos="2268"/>
          <w:tab w:val="clear" w:pos="2835"/>
        </w:tabs>
        <w:suppressAutoHyphens/>
        <w:overflowPunct/>
        <w:autoSpaceDE/>
        <w:adjustRightInd/>
        <w:spacing w:before="60" w:after="60"/>
        <w:ind w:left="993" w:hanging="426"/>
        <w:jc w:val="both"/>
        <w:textAlignment w:val="auto"/>
        <w:rPr>
          <w:rFonts w:eastAsia="PMingLiU"/>
          <w:sz w:val="22"/>
          <w:szCs w:val="22"/>
          <w:lang w:eastAsia="zh-TW"/>
        </w:rPr>
      </w:pPr>
      <w:r w:rsidRPr="0062595A">
        <w:rPr>
          <w:rFonts w:eastAsia="PMingLiU"/>
          <w:sz w:val="22"/>
          <w:szCs w:val="22"/>
          <w:lang w:eastAsia="zh-TW"/>
        </w:rPr>
        <w:t>Strengthening the role of ITU regional offices in accelerating digital transformation and</w:t>
      </w:r>
      <w:r w:rsidR="0027239A">
        <w:rPr>
          <w:rFonts w:eastAsia="PMingLiU"/>
          <w:sz w:val="22"/>
          <w:szCs w:val="22"/>
          <w:lang w:eastAsia="zh-TW"/>
        </w:rPr>
        <w:t xml:space="preserve"> </w:t>
      </w:r>
      <w:r w:rsidRPr="0062595A">
        <w:rPr>
          <w:rFonts w:eastAsia="PMingLiU"/>
          <w:sz w:val="22"/>
          <w:szCs w:val="22"/>
          <w:lang w:eastAsia="zh-TW"/>
        </w:rPr>
        <w:t>leveraging</w:t>
      </w:r>
      <w:r w:rsidR="0027239A">
        <w:rPr>
          <w:rFonts w:eastAsia="PMingLiU"/>
          <w:sz w:val="22"/>
          <w:szCs w:val="22"/>
          <w:lang w:eastAsia="zh-TW"/>
        </w:rPr>
        <w:t xml:space="preserve"> </w:t>
      </w:r>
      <w:r w:rsidRPr="0062595A">
        <w:rPr>
          <w:rFonts w:eastAsia="PMingLiU"/>
          <w:sz w:val="22"/>
          <w:szCs w:val="22"/>
          <w:lang w:eastAsia="zh-TW"/>
        </w:rPr>
        <w:t>partnerships.</w:t>
      </w:r>
    </w:p>
    <w:p w14:paraId="11D67EFA" w14:textId="14B8D36A" w:rsidR="0062595A" w:rsidRPr="0062595A" w:rsidRDefault="0062595A" w:rsidP="004630E8">
      <w:pPr>
        <w:numPr>
          <w:ilvl w:val="0"/>
          <w:numId w:val="23"/>
        </w:numPr>
        <w:tabs>
          <w:tab w:val="clear" w:pos="567"/>
          <w:tab w:val="clear" w:pos="1134"/>
          <w:tab w:val="clear" w:pos="1701"/>
          <w:tab w:val="clear" w:pos="2268"/>
          <w:tab w:val="clear" w:pos="2835"/>
        </w:tabs>
        <w:suppressAutoHyphens/>
        <w:overflowPunct/>
        <w:autoSpaceDE/>
        <w:adjustRightInd/>
        <w:spacing w:before="60" w:after="60"/>
        <w:ind w:left="993" w:hanging="426"/>
        <w:jc w:val="both"/>
        <w:textAlignment w:val="auto"/>
        <w:rPr>
          <w:rFonts w:eastAsia="PMingLiU"/>
          <w:sz w:val="22"/>
          <w:szCs w:val="22"/>
          <w:lang w:eastAsia="zh-TW"/>
        </w:rPr>
      </w:pPr>
      <w:r w:rsidRPr="0062595A">
        <w:rPr>
          <w:rFonts w:eastAsia="PMingLiU"/>
          <w:sz w:val="22"/>
          <w:szCs w:val="22"/>
          <w:lang w:eastAsia="zh-TW"/>
        </w:rPr>
        <w:t>Provision of</w:t>
      </w:r>
      <w:r w:rsidR="0027239A">
        <w:rPr>
          <w:rFonts w:eastAsia="PMingLiU"/>
          <w:sz w:val="22"/>
          <w:szCs w:val="22"/>
          <w:lang w:eastAsia="zh-TW"/>
        </w:rPr>
        <w:t xml:space="preserve"> </w:t>
      </w:r>
      <w:r w:rsidRPr="0062595A">
        <w:rPr>
          <w:rFonts w:eastAsia="PMingLiU"/>
          <w:sz w:val="22"/>
          <w:szCs w:val="22"/>
          <w:lang w:eastAsia="zh-TW"/>
        </w:rPr>
        <w:t>assistance</w:t>
      </w:r>
      <w:r w:rsidR="0027239A">
        <w:rPr>
          <w:rFonts w:eastAsia="PMingLiU"/>
          <w:sz w:val="22"/>
          <w:szCs w:val="22"/>
          <w:lang w:eastAsia="zh-TW"/>
        </w:rPr>
        <w:t xml:space="preserve"> </w:t>
      </w:r>
      <w:r w:rsidRPr="0062595A">
        <w:rPr>
          <w:rFonts w:eastAsia="PMingLiU"/>
          <w:sz w:val="22"/>
          <w:szCs w:val="22"/>
          <w:lang w:eastAsia="zh-TW"/>
        </w:rPr>
        <w:t>and support to the Sudan to reconstruct damaged telecommunication/information and communication technology infrastructure and bridge the digital divide.</w:t>
      </w:r>
    </w:p>
    <w:p w14:paraId="6CD1EDBF" w14:textId="7383AD1F" w:rsidR="0062595A" w:rsidRPr="0062595A" w:rsidRDefault="0062595A" w:rsidP="004630E8">
      <w:pPr>
        <w:numPr>
          <w:ilvl w:val="0"/>
          <w:numId w:val="23"/>
        </w:numPr>
        <w:tabs>
          <w:tab w:val="clear" w:pos="567"/>
          <w:tab w:val="clear" w:pos="1134"/>
          <w:tab w:val="clear" w:pos="1701"/>
          <w:tab w:val="clear" w:pos="2268"/>
          <w:tab w:val="clear" w:pos="2835"/>
        </w:tabs>
        <w:suppressAutoHyphens/>
        <w:overflowPunct/>
        <w:autoSpaceDE/>
        <w:adjustRightInd/>
        <w:spacing w:before="60" w:after="60"/>
        <w:ind w:left="993" w:hanging="426"/>
        <w:jc w:val="both"/>
        <w:textAlignment w:val="auto"/>
        <w:rPr>
          <w:rFonts w:eastAsia="PMingLiU"/>
          <w:sz w:val="22"/>
          <w:szCs w:val="22"/>
          <w:lang w:eastAsia="zh-TW"/>
        </w:rPr>
      </w:pPr>
      <w:r w:rsidRPr="0062595A">
        <w:rPr>
          <w:rFonts w:eastAsia="PMingLiU"/>
          <w:sz w:val="22"/>
          <w:szCs w:val="22"/>
          <w:lang w:eastAsia="zh-TW"/>
        </w:rPr>
        <w:t>Supporting digital transformation in Pacific Island countries</w:t>
      </w:r>
      <w:r w:rsidR="0027239A">
        <w:rPr>
          <w:rFonts w:eastAsia="PMingLiU"/>
          <w:sz w:val="22"/>
          <w:szCs w:val="22"/>
          <w:lang w:eastAsia="zh-TW"/>
        </w:rPr>
        <w:t xml:space="preserve"> </w:t>
      </w:r>
      <w:r w:rsidRPr="0062595A">
        <w:rPr>
          <w:rFonts w:eastAsia="PMingLiU"/>
          <w:sz w:val="22"/>
          <w:szCs w:val="22"/>
          <w:lang w:eastAsia="zh-TW"/>
        </w:rPr>
        <w:t>pursuant to</w:t>
      </w:r>
      <w:r w:rsidR="0027239A">
        <w:rPr>
          <w:rFonts w:eastAsia="PMingLiU"/>
          <w:sz w:val="22"/>
          <w:szCs w:val="22"/>
          <w:lang w:eastAsia="zh-TW"/>
        </w:rPr>
        <w:t xml:space="preserve"> </w:t>
      </w:r>
      <w:r w:rsidRPr="0062595A">
        <w:rPr>
          <w:rFonts w:eastAsia="PMingLiU"/>
          <w:sz w:val="22"/>
          <w:szCs w:val="22"/>
          <w:lang w:eastAsia="zh-TW"/>
        </w:rPr>
        <w:t>the</w:t>
      </w:r>
      <w:r w:rsidR="0027239A">
        <w:rPr>
          <w:rFonts w:eastAsia="PMingLiU"/>
          <w:sz w:val="22"/>
          <w:szCs w:val="22"/>
          <w:lang w:eastAsia="zh-TW"/>
        </w:rPr>
        <w:t xml:space="preserve"> </w:t>
      </w:r>
      <w:proofErr w:type="spellStart"/>
      <w:r w:rsidRPr="0062595A">
        <w:rPr>
          <w:rFonts w:eastAsia="PMingLiU"/>
          <w:sz w:val="22"/>
          <w:szCs w:val="22"/>
          <w:lang w:eastAsia="zh-TW"/>
        </w:rPr>
        <w:t>Lagatoi</w:t>
      </w:r>
      <w:proofErr w:type="spellEnd"/>
      <w:r w:rsidR="0027239A">
        <w:rPr>
          <w:rFonts w:eastAsia="PMingLiU"/>
          <w:sz w:val="22"/>
          <w:szCs w:val="22"/>
          <w:lang w:eastAsia="zh-TW"/>
        </w:rPr>
        <w:t xml:space="preserve"> </w:t>
      </w:r>
      <w:r w:rsidRPr="0062595A">
        <w:rPr>
          <w:rFonts w:eastAsia="PMingLiU"/>
          <w:sz w:val="22"/>
          <w:szCs w:val="22"/>
          <w:lang w:eastAsia="zh-TW"/>
        </w:rPr>
        <w:t>Declaration.</w:t>
      </w:r>
    </w:p>
    <w:p w14:paraId="4C9AA9AE" w14:textId="77777777" w:rsidR="0062595A" w:rsidRPr="0062595A" w:rsidRDefault="0062595A" w:rsidP="004630E8">
      <w:pPr>
        <w:numPr>
          <w:ilvl w:val="0"/>
          <w:numId w:val="22"/>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hyperlink r:id="rId82" w:history="1">
        <w:r w:rsidRPr="0062595A">
          <w:rPr>
            <w:rFonts w:eastAsia="PMingLiU"/>
            <w:color w:val="0563C1"/>
            <w:sz w:val="22"/>
            <w:szCs w:val="22"/>
            <w:u w:val="single"/>
            <w:lang w:eastAsia="zh-TW"/>
          </w:rPr>
          <w:t>Study Group Questions 2026-2029</w:t>
        </w:r>
      </w:hyperlink>
      <w:r w:rsidRPr="0062595A">
        <w:rPr>
          <w:rFonts w:eastAsia="PMingLiU"/>
          <w:sz w:val="22"/>
          <w:szCs w:val="22"/>
          <w:u w:val="single"/>
          <w:lang w:eastAsia="zh-TW"/>
        </w:rPr>
        <w:t>:</w:t>
      </w:r>
      <w:r w:rsidRPr="0062595A">
        <w:rPr>
          <w:rFonts w:eastAsia="PMingLiU"/>
          <w:sz w:val="22"/>
          <w:szCs w:val="22"/>
          <w:lang w:eastAsia="zh-TW"/>
        </w:rPr>
        <w:t xml:space="preserve"> New and revised Study Groups Questions were agreed upon, reflecting the evolving landscape of digital technologies, regulatory challenges, and capacity-building needs. These questions will guide the technical work of ITU-D and research efforts, supporting evidence-based policy development and best practice sharing.</w:t>
      </w:r>
    </w:p>
    <w:p w14:paraId="2883A631" w14:textId="1D956271"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textAlignment w:val="auto"/>
        <w:rPr>
          <w:rFonts w:eastAsia="MS Mincho"/>
          <w:sz w:val="22"/>
        </w:rPr>
      </w:pPr>
      <w:r w:rsidRPr="0062595A">
        <w:rPr>
          <w:rFonts w:eastAsia="MS Mincho"/>
          <w:sz w:val="22"/>
        </w:rPr>
        <w:t xml:space="preserve">WTDC-25 also received with appreciation the </w:t>
      </w:r>
      <w:hyperlink r:id="rId83" w:history="1">
        <w:r w:rsidRPr="0062595A">
          <w:rPr>
            <w:rFonts w:eastAsia="MS Mincho"/>
            <w:color w:val="0563C1"/>
            <w:sz w:val="22"/>
            <w:u w:val="single"/>
          </w:rPr>
          <w:t>report</w:t>
        </w:r>
      </w:hyperlink>
      <w:r w:rsidRPr="0062595A">
        <w:rPr>
          <w:rFonts w:eastAsia="MS Mincho"/>
          <w:sz w:val="22"/>
        </w:rPr>
        <w:t xml:space="preserve"> and </w:t>
      </w:r>
      <w:hyperlink r:id="rId84" w:history="1">
        <w:r w:rsidRPr="0062595A">
          <w:rPr>
            <w:rFonts w:eastAsia="MS Mincho"/>
            <w:color w:val="0563C1"/>
            <w:sz w:val="22"/>
            <w:u w:val="single"/>
          </w:rPr>
          <w:t>presentation</w:t>
        </w:r>
      </w:hyperlink>
      <w:r w:rsidRPr="0062595A">
        <w:rPr>
          <w:rFonts w:eastAsia="MS Mincho"/>
          <w:sz w:val="22"/>
        </w:rPr>
        <w:t xml:space="preserve"> by the Secretariat on the implementation of the Kigali Action Plan. The detailed report and the presentation can be found in </w:t>
      </w:r>
      <w:hyperlink r:id="rId85" w:history="1">
        <w:r w:rsidRPr="0062595A">
          <w:rPr>
            <w:rFonts w:eastAsia="MS Mincho"/>
            <w:color w:val="0563C1"/>
            <w:sz w:val="22"/>
            <w:u w:val="single"/>
          </w:rPr>
          <w:t>WTDC-25 website</w:t>
        </w:r>
      </w:hyperlink>
      <w:r w:rsidRPr="0062595A">
        <w:rPr>
          <w:rFonts w:eastAsia="MS Mincho"/>
          <w:sz w:val="22"/>
        </w:rPr>
        <w:t>.</w:t>
      </w:r>
    </w:p>
    <w:p w14:paraId="5D8B7633" w14:textId="77777777" w:rsidR="0062595A" w:rsidRPr="0062595A" w:rsidRDefault="0062595A" w:rsidP="004630E8">
      <w:pPr>
        <w:keepNext/>
        <w:keepLines/>
        <w:pageBreakBefore/>
        <w:numPr>
          <w:ilvl w:val="0"/>
          <w:numId w:val="36"/>
        </w:numPr>
        <w:tabs>
          <w:tab w:val="clear" w:pos="567"/>
        </w:tabs>
        <w:suppressAutoHyphens/>
        <w:adjustRightInd/>
        <w:spacing w:before="480" w:after="360"/>
        <w:ind w:left="567" w:hanging="567"/>
        <w:jc w:val="both"/>
        <w:outlineLvl w:val="0"/>
        <w:rPr>
          <w:rFonts w:eastAsia="MS Mincho"/>
          <w:b/>
          <w:color w:val="1F497D"/>
          <w:sz w:val="28"/>
        </w:rPr>
      </w:pPr>
      <w:bookmarkStart w:id="35" w:name="_Toc224288798"/>
      <w:r w:rsidRPr="0062595A">
        <w:rPr>
          <w:rFonts w:eastAsia="MS Mincho"/>
          <w:b/>
          <w:color w:val="1F497D"/>
          <w:sz w:val="28"/>
        </w:rPr>
        <w:lastRenderedPageBreak/>
        <w:t>Impact of ITU’s work</w:t>
      </w:r>
      <w:bookmarkEnd w:id="35"/>
      <w:r w:rsidRPr="0062595A">
        <w:rPr>
          <w:rFonts w:eastAsia="MS Mincho"/>
          <w:b/>
          <w:color w:val="1F497D"/>
          <w:sz w:val="28"/>
        </w:rPr>
        <w:t xml:space="preserve"> </w:t>
      </w:r>
    </w:p>
    <w:p w14:paraId="4A42588B"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The final assessment on the implementation of the Strategic Plan 2020–2023 and the current progress on the implementation of the SP 2024-2027 can be seen in the Dashboard </w:t>
      </w:r>
      <w:hyperlink r:id="rId86" w:history="1">
        <w:r w:rsidRPr="0062595A">
          <w:rPr>
            <w:rFonts w:eastAsia="MS Mincho"/>
            <w:color w:val="0563C1"/>
            <w:sz w:val="22"/>
            <w:u w:val="single"/>
          </w:rPr>
          <w:t>here</w:t>
        </w:r>
      </w:hyperlink>
      <w:r w:rsidRPr="0062595A">
        <w:rPr>
          <w:rFonts w:eastAsia="MS Mincho"/>
          <w:sz w:val="22"/>
        </w:rPr>
        <w:t xml:space="preserve">: </w:t>
      </w:r>
    </w:p>
    <w:p w14:paraId="6E4BBA6A" w14:textId="77777777" w:rsidR="0062595A" w:rsidRPr="0062595A" w:rsidRDefault="0062595A" w:rsidP="00C5530E">
      <w:pPr>
        <w:suppressAutoHyphens/>
        <w:adjustRightInd/>
        <w:jc w:val="both"/>
        <w:rPr>
          <w:rFonts w:eastAsia="MS Mincho"/>
          <w:sz w:val="22"/>
        </w:rPr>
      </w:pPr>
    </w:p>
    <w:p w14:paraId="6A3B6041" w14:textId="77777777" w:rsidR="0062595A" w:rsidRPr="0062595A" w:rsidRDefault="0062595A" w:rsidP="00C5530E">
      <w:pPr>
        <w:keepNext/>
        <w:suppressAutoHyphens/>
        <w:adjustRightInd/>
        <w:jc w:val="center"/>
        <w:rPr>
          <w:rFonts w:eastAsia="MS Mincho"/>
          <w:sz w:val="22"/>
        </w:rPr>
      </w:pPr>
      <w:r w:rsidRPr="0062595A">
        <w:rPr>
          <w:rFonts w:eastAsia="MS Mincho"/>
          <w:noProof/>
          <w:sz w:val="22"/>
        </w:rPr>
        <w:drawing>
          <wp:inline distT="0" distB="0" distL="0" distR="0" wp14:anchorId="374F5560" wp14:editId="798B18C4">
            <wp:extent cx="5171846" cy="2650065"/>
            <wp:effectExtent l="0" t="0" r="0" b="0"/>
            <wp:docPr id="21027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6147" name=""/>
                    <pic:cNvPicPr/>
                  </pic:nvPicPr>
                  <pic:blipFill>
                    <a:blip r:embed="rId87"/>
                    <a:stretch>
                      <a:fillRect/>
                    </a:stretch>
                  </pic:blipFill>
                  <pic:spPr>
                    <a:xfrm>
                      <a:off x="0" y="0"/>
                      <a:ext cx="5179739" cy="2654109"/>
                    </a:xfrm>
                    <a:prstGeom prst="rect">
                      <a:avLst/>
                    </a:prstGeom>
                  </pic:spPr>
                </pic:pic>
              </a:graphicData>
            </a:graphic>
          </wp:inline>
        </w:drawing>
      </w:r>
    </w:p>
    <w:p w14:paraId="02E87F40" w14:textId="27333D9F" w:rsidR="0062595A" w:rsidRPr="0062595A" w:rsidRDefault="0062595A" w:rsidP="00C5530E">
      <w:pPr>
        <w:suppressAutoHyphens/>
        <w:adjustRightInd/>
        <w:spacing w:before="0" w:after="200"/>
        <w:jc w:val="center"/>
        <w:rPr>
          <w:rFonts w:eastAsia="MS Mincho"/>
          <w:i/>
          <w:iCs/>
          <w:color w:val="1F497D"/>
          <w:sz w:val="18"/>
          <w:szCs w:val="18"/>
        </w:rPr>
      </w:pPr>
      <w:bookmarkStart w:id="36" w:name="figure_2"/>
      <w:bookmarkStart w:id="37" w:name="_Ref224307300"/>
      <w:r w:rsidRPr="0062595A">
        <w:rPr>
          <w:rFonts w:eastAsia="MS Mincho"/>
          <w:i/>
          <w:iCs/>
          <w:color w:val="1F497D"/>
          <w:sz w:val="18"/>
          <w:szCs w:val="18"/>
        </w:rPr>
        <w:t>Figure 2</w:t>
      </w:r>
      <w:bookmarkEnd w:id="36"/>
      <w:r w:rsidRPr="0062595A">
        <w:rPr>
          <w:rFonts w:eastAsia="MS Mincho"/>
          <w:i/>
          <w:iCs/>
          <w:color w:val="1F497D"/>
          <w:sz w:val="2"/>
          <w:szCs w:val="2"/>
        </w:rPr>
        <w:fldChar w:fldCharType="begin"/>
      </w:r>
      <w:r w:rsidRPr="0062595A">
        <w:rPr>
          <w:rFonts w:eastAsia="MS Mincho"/>
          <w:i/>
          <w:iCs/>
          <w:color w:val="1F497D"/>
          <w:sz w:val="2"/>
          <w:szCs w:val="2"/>
        </w:rPr>
        <w:instrText xml:space="preserve"> SEQ Figure \* ARABIC </w:instrText>
      </w:r>
      <w:r w:rsidRPr="0062595A">
        <w:rPr>
          <w:rFonts w:eastAsia="MS Mincho"/>
          <w:i/>
          <w:iCs/>
          <w:color w:val="1F497D"/>
          <w:sz w:val="2"/>
          <w:szCs w:val="2"/>
        </w:rPr>
        <w:fldChar w:fldCharType="separate"/>
      </w:r>
      <w:r w:rsidR="004947D6">
        <w:rPr>
          <w:rFonts w:eastAsia="MS Mincho"/>
          <w:i/>
          <w:iCs/>
          <w:noProof/>
          <w:color w:val="1F497D"/>
          <w:sz w:val="2"/>
          <w:szCs w:val="2"/>
        </w:rPr>
        <w:t>1</w:t>
      </w:r>
      <w:r w:rsidRPr="0062595A">
        <w:rPr>
          <w:rFonts w:eastAsia="MS Mincho"/>
          <w:i/>
          <w:iCs/>
          <w:color w:val="1F497D"/>
          <w:sz w:val="2"/>
          <w:szCs w:val="2"/>
        </w:rPr>
        <w:fldChar w:fldCharType="end"/>
      </w:r>
      <w:r w:rsidRPr="0062595A">
        <w:rPr>
          <w:rFonts w:eastAsia="MS Mincho"/>
          <w:i/>
          <w:iCs/>
          <w:color w:val="1F497D"/>
          <w:sz w:val="18"/>
          <w:szCs w:val="18"/>
        </w:rPr>
        <w:t>. Connect 2030 Agenda</w:t>
      </w:r>
      <w:bookmarkEnd w:id="37"/>
    </w:p>
    <w:p w14:paraId="2C66615D" w14:textId="7A4EE74F" w:rsidR="0062595A" w:rsidRPr="0062595A" w:rsidRDefault="0062595A" w:rsidP="5F5FCC2B">
      <w:pPr>
        <w:keepNext/>
        <w:keepLines/>
        <w:tabs>
          <w:tab w:val="clear" w:pos="567"/>
        </w:tabs>
        <w:suppressAutoHyphens/>
        <w:adjustRightInd/>
        <w:spacing w:before="360" w:after="120"/>
        <w:ind w:left="567" w:hanging="567"/>
        <w:jc w:val="both"/>
        <w:outlineLvl w:val="1"/>
        <w:rPr>
          <w:rFonts w:eastAsia="MS Mincho"/>
          <w:b/>
          <w:bCs/>
        </w:rPr>
      </w:pPr>
      <w:bookmarkStart w:id="38" w:name="_Toc164927160"/>
      <w:bookmarkStart w:id="39" w:name="_Toc224288799"/>
      <w:bookmarkEnd w:id="22"/>
      <w:r w:rsidRPr="5F5FCC2B">
        <w:rPr>
          <w:rFonts w:eastAsia="MS Mincho"/>
          <w:b/>
          <w:bCs/>
        </w:rPr>
        <w:t>3.1</w:t>
      </w:r>
      <w:r>
        <w:rPr>
          <w:rFonts w:eastAsia="MS Mincho"/>
        </w:rPr>
        <w:tab/>
      </w:r>
      <w:r w:rsidRPr="5F5FCC2B">
        <w:rPr>
          <w:rFonts w:eastAsia="MS Mincho"/>
          <w:b/>
          <w:bCs/>
        </w:rPr>
        <w:t>Strategic Plan 2020-2023</w:t>
      </w:r>
      <w:r w:rsidR="185E83C7" w:rsidRPr="5F5FCC2B">
        <w:rPr>
          <w:rFonts w:eastAsia="MS Mincho"/>
          <w:b/>
          <w:bCs/>
        </w:rPr>
        <w:t xml:space="preserve">: </w:t>
      </w:r>
      <w:proofErr w:type="gramStart"/>
      <w:r w:rsidR="185E83C7" w:rsidRPr="5F5FCC2B">
        <w:rPr>
          <w:rFonts w:eastAsia="MS Mincho"/>
          <w:b/>
          <w:bCs/>
        </w:rPr>
        <w:t>F</w:t>
      </w:r>
      <w:r w:rsidRPr="5F5FCC2B">
        <w:rPr>
          <w:rFonts w:eastAsia="MS Mincho"/>
          <w:b/>
          <w:bCs/>
        </w:rPr>
        <w:t>inal results</w:t>
      </w:r>
      <w:bookmarkEnd w:id="38"/>
      <w:bookmarkEnd w:id="39"/>
      <w:proofErr w:type="gramEnd"/>
    </w:p>
    <w:p w14:paraId="6EB1FF95" w14:textId="16B57002" w:rsidR="0062595A" w:rsidRPr="0062595A" w:rsidRDefault="0062595A" w:rsidP="00C5530E">
      <w:pPr>
        <w:suppressAutoHyphens/>
        <w:adjustRightInd/>
        <w:spacing w:after="120"/>
        <w:jc w:val="both"/>
        <w:rPr>
          <w:rFonts w:eastAsia="MS Mincho"/>
          <w:sz w:val="22"/>
          <w:szCs w:val="22"/>
        </w:rPr>
      </w:pPr>
      <w:r w:rsidRPr="181B6A0C">
        <w:rPr>
          <w:rFonts w:eastAsia="MS Mincho"/>
          <w:sz w:val="22"/>
          <w:szCs w:val="22"/>
        </w:rPr>
        <w:t xml:space="preserve">The final assessment of the </w:t>
      </w:r>
      <w:r w:rsidRPr="181B6A0C">
        <w:rPr>
          <w:rFonts w:eastAsia="MS Mincho"/>
          <w:sz w:val="22"/>
          <w:szCs w:val="22"/>
        </w:rPr>
        <w:t xml:space="preserve">Strategic Plan 2020–2023 shows steady progress toward the </w:t>
      </w:r>
      <w:hyperlink r:id="rId88">
        <w:r w:rsidR="0ACD1BB0" w:rsidRPr="181B6A0C">
          <w:rPr>
            <w:rFonts w:eastAsia="MS Mincho"/>
            <w:color w:val="0563C1"/>
            <w:sz w:val="22"/>
            <w:szCs w:val="22"/>
            <w:u w:val="single"/>
          </w:rPr>
          <w:t>Connect 2030 Agenda</w:t>
        </w:r>
      </w:hyperlink>
      <w:r w:rsidRPr="181B6A0C">
        <w:rPr>
          <w:rFonts w:eastAsia="MS Mincho"/>
          <w:sz w:val="22"/>
          <w:szCs w:val="22"/>
        </w:rPr>
        <w:t xml:space="preserve"> (</w:t>
      </w:r>
      <w:hyperlink w:anchor="figure_2" w:history="1">
        <w:r w:rsidR="00346339" w:rsidRPr="181B6A0C">
          <w:rPr>
            <w:rStyle w:val="Hyperlink"/>
            <w:rFonts w:eastAsia="MS Mincho"/>
            <w:sz w:val="22"/>
            <w:szCs w:val="22"/>
          </w:rPr>
          <w:t>See Figure 2</w:t>
        </w:r>
      </w:hyperlink>
      <w:r w:rsidR="00346339" w:rsidRPr="181B6A0C">
        <w:rPr>
          <w:rFonts w:eastAsia="MS Mincho"/>
          <w:sz w:val="22"/>
          <w:szCs w:val="22"/>
        </w:rPr>
        <w:t xml:space="preserve">), </w:t>
      </w:r>
      <w:r w:rsidRPr="181B6A0C">
        <w:rPr>
          <w:rFonts w:eastAsia="MS Mincho"/>
          <w:sz w:val="22"/>
          <w:szCs w:val="22"/>
        </w:rPr>
        <w:t>with notable gains in access, affordability, inclusion, and enabling policy environment, while major gaps remain that will require sustained efforts in the years ahead. By the end of 2023, global Internet use reached 69 per cent of the world’s population (5.6</w:t>
      </w:r>
      <w:r w:rsidR="0027239A" w:rsidRPr="181B6A0C">
        <w:rPr>
          <w:rFonts w:eastAsia="MS Mincho"/>
          <w:sz w:val="22"/>
          <w:szCs w:val="22"/>
        </w:rPr>
        <w:t> </w:t>
      </w:r>
      <w:r w:rsidRPr="181B6A0C">
        <w:rPr>
          <w:rFonts w:eastAsia="MS Mincho"/>
          <w:sz w:val="22"/>
          <w:szCs w:val="22"/>
        </w:rPr>
        <w:t xml:space="preserve">billion people), reducing the number of offline individuals to </w:t>
      </w:r>
      <w:r w:rsidR="627D9AD9" w:rsidRPr="6537CB56">
        <w:rPr>
          <w:rFonts w:eastAsia="MS Mincho"/>
          <w:sz w:val="22"/>
          <w:szCs w:val="22"/>
        </w:rPr>
        <w:t xml:space="preserve">around </w:t>
      </w:r>
      <w:r w:rsidRPr="181B6A0C">
        <w:rPr>
          <w:rFonts w:eastAsia="MS Mincho"/>
          <w:sz w:val="22"/>
          <w:szCs w:val="22"/>
        </w:rPr>
        <w:t>2.5 billion. High-income countries approached near-universal connectivity at 92 per cent, although the number of countries with broadband plans stagnated at 167, down from 170 in 2022. Affordability continued to improve, with the price of mobile data as a share of gross national income (GNI) per capita falling by 36 per cent between 2017 and 2023. Broadband subscriptions rose significantly—fixed broadband by 19.2 per cent and mobile broadband by 21.0 per cent—with the fastest growth occurring in low-income countries, even if the target of a 50 per cent increase was not fully met.</w:t>
      </w:r>
    </w:p>
    <w:p w14:paraId="3DA6DCF5" w14:textId="549D0F25" w:rsidR="0062595A" w:rsidRPr="0062595A" w:rsidRDefault="0062595A" w:rsidP="00C5530E">
      <w:pPr>
        <w:suppressAutoHyphens/>
        <w:adjustRightInd/>
        <w:spacing w:after="120"/>
        <w:jc w:val="both"/>
        <w:rPr>
          <w:rFonts w:eastAsia="MS Mincho"/>
          <w:sz w:val="22"/>
          <w:szCs w:val="22"/>
        </w:rPr>
      </w:pPr>
      <w:r w:rsidRPr="6537CB56">
        <w:rPr>
          <w:rFonts w:eastAsia="MS Mincho"/>
          <w:sz w:val="22"/>
          <w:szCs w:val="22"/>
        </w:rPr>
        <w:t xml:space="preserve">Despite advances, inclusiveness remains a challenge. Only 22 per cent of people in low-income countries used the Internet in 2023, though this represents a 25 per cent increase since 2020. Regional disparities persist, with Africa recording just 36 per cent usage and LDCs and LLDCs reaching 30 per cent and 35 per cent, respectively. Affordability remains a barrier for low-income economies, though the gap between high-income and lower-middle-income countries has narrowed by 42 per cent since 2017. Gender inequalities continue: 72 per cent of men and 66 per cent of women were online in 2023, leaving more than 260 million more men connected, and women remain </w:t>
      </w:r>
      <w:r w:rsidR="530CCF1C" w:rsidRPr="6537CB56">
        <w:rPr>
          <w:rFonts w:eastAsia="MS Mincho"/>
          <w:sz w:val="22"/>
          <w:szCs w:val="22"/>
        </w:rPr>
        <w:t>10</w:t>
      </w:r>
      <w:r w:rsidRPr="6537CB56">
        <w:rPr>
          <w:rFonts w:eastAsia="MS Mincho"/>
          <w:sz w:val="22"/>
          <w:szCs w:val="22"/>
        </w:rPr>
        <w:t xml:space="preserve"> per cent less likely to own a mobile phone. Accessibility frameworks for persons with disabilities, however, expanded significantly, rising from 61 countries in 2018 to 117 </w:t>
      </w:r>
      <w:r w:rsidR="0C0513E9" w:rsidRPr="6537CB56">
        <w:rPr>
          <w:rFonts w:eastAsia="MS Mincho"/>
          <w:sz w:val="22"/>
          <w:szCs w:val="22"/>
        </w:rPr>
        <w:t>by end-2022 and 127 by end-2024</w:t>
      </w:r>
      <w:r w:rsidRPr="6537CB56">
        <w:rPr>
          <w:rFonts w:eastAsia="MS Mincho"/>
          <w:sz w:val="22"/>
          <w:szCs w:val="22"/>
        </w:rPr>
        <w:t>.</w:t>
      </w:r>
    </w:p>
    <w:p w14:paraId="45777726" w14:textId="2F34EB68" w:rsidR="0062595A" w:rsidRPr="0062595A" w:rsidRDefault="0062595A" w:rsidP="5F5FCC2B">
      <w:pPr>
        <w:suppressAutoHyphens/>
        <w:adjustRightInd/>
        <w:spacing w:after="120"/>
        <w:jc w:val="both"/>
        <w:rPr>
          <w:rFonts w:eastAsia="MS Mincho"/>
          <w:sz w:val="22"/>
          <w:szCs w:val="22"/>
        </w:rPr>
      </w:pPr>
      <w:r w:rsidRPr="5F5FCC2B">
        <w:rPr>
          <w:rFonts w:eastAsia="MS Mincho"/>
          <w:sz w:val="22"/>
          <w:szCs w:val="22"/>
        </w:rPr>
        <w:t xml:space="preserve">The global e-waste recycling rate increased from 20 per cent in 2017 to 22.3 per cent in 2022, still far below the 30 per cent target, while e-waste generation continues to grow rapidly and is expected to reach </w:t>
      </w:r>
      <w:r w:rsidR="002546CA" w:rsidRPr="5F5FCC2B">
        <w:rPr>
          <w:rFonts w:eastAsia="MS Mincho"/>
          <w:sz w:val="22"/>
          <w:szCs w:val="22"/>
        </w:rPr>
        <w:t>82</w:t>
      </w:r>
      <w:r w:rsidRPr="5F5FCC2B">
        <w:rPr>
          <w:rFonts w:eastAsia="MS Mincho"/>
          <w:sz w:val="22"/>
          <w:szCs w:val="22"/>
        </w:rPr>
        <w:t xml:space="preserve"> </w:t>
      </w:r>
      <w:proofErr w:type="spellStart"/>
      <w:r w:rsidR="6A6EADD6" w:rsidRPr="5F5FCC2B">
        <w:rPr>
          <w:rFonts w:eastAsia="MS Mincho"/>
          <w:sz w:val="22"/>
          <w:szCs w:val="22"/>
        </w:rPr>
        <w:t>megatonnes</w:t>
      </w:r>
      <w:proofErr w:type="spellEnd"/>
      <w:r w:rsidR="6A6EADD6" w:rsidRPr="5F5FCC2B">
        <w:rPr>
          <w:rFonts w:eastAsia="MS Mincho"/>
          <w:sz w:val="22"/>
          <w:szCs w:val="22"/>
        </w:rPr>
        <w:t xml:space="preserve"> (</w:t>
      </w:r>
      <w:r w:rsidRPr="5F5FCC2B">
        <w:rPr>
          <w:rFonts w:eastAsia="MS Mincho"/>
          <w:sz w:val="22"/>
          <w:szCs w:val="22"/>
        </w:rPr>
        <w:t>Mt</w:t>
      </w:r>
      <w:r w:rsidR="4CE9AC06" w:rsidRPr="5F5FCC2B">
        <w:rPr>
          <w:rFonts w:eastAsia="MS Mincho"/>
          <w:sz w:val="22"/>
          <w:szCs w:val="22"/>
        </w:rPr>
        <w:t>)</w:t>
      </w:r>
      <w:r w:rsidRPr="5F5FCC2B">
        <w:rPr>
          <w:rFonts w:eastAsia="MS Mincho"/>
          <w:sz w:val="22"/>
          <w:szCs w:val="22"/>
        </w:rPr>
        <w:t xml:space="preserve"> by 2030. Countries with e-waste legislation rose to 81 in 2023</w:t>
      </w:r>
      <w:r w:rsidRPr="5F5FCC2B">
        <w:rPr>
          <w:rFonts w:eastAsia="MS Mincho"/>
          <w:sz w:val="22"/>
          <w:szCs w:val="22"/>
        </w:rPr>
        <w:t xml:space="preserve">, moving closer to the target of 97. Work on climate impact advanced through ITU’s development of global standards for net-zero ICT emissions, while sector emissions remained stable at around 133 </w:t>
      </w:r>
      <w:proofErr w:type="spellStart"/>
      <w:r w:rsidR="0C8E589C" w:rsidRPr="5F5FCC2B">
        <w:rPr>
          <w:rFonts w:eastAsia="MS Mincho"/>
          <w:sz w:val="22"/>
          <w:szCs w:val="22"/>
        </w:rPr>
        <w:lastRenderedPageBreak/>
        <w:t>megatonnes</w:t>
      </w:r>
      <w:proofErr w:type="spellEnd"/>
      <w:r w:rsidR="002546CA" w:rsidRPr="5F5FCC2B">
        <w:rPr>
          <w:rFonts w:eastAsia="MS Mincho"/>
          <w:sz w:val="22"/>
          <w:szCs w:val="22"/>
        </w:rPr>
        <w:t xml:space="preserve"> </w:t>
      </w:r>
      <w:r w:rsidRPr="5F5FCC2B">
        <w:rPr>
          <w:rFonts w:eastAsia="MS Mincho"/>
          <w:sz w:val="22"/>
          <w:szCs w:val="22"/>
        </w:rPr>
        <w:t>of carbon dioxide (</w:t>
      </w:r>
      <w:proofErr w:type="spellStart"/>
      <w:r w:rsidRPr="5F5FCC2B">
        <w:rPr>
          <w:rFonts w:eastAsia="MS Mincho"/>
          <w:sz w:val="22"/>
          <w:szCs w:val="22"/>
        </w:rPr>
        <w:t>MtCO</w:t>
      </w:r>
      <w:proofErr w:type="spellEnd"/>
      <w:r w:rsidRPr="5F5FCC2B">
        <w:rPr>
          <w:rFonts w:eastAsia="MS Mincho"/>
          <w:sz w:val="22"/>
          <w:szCs w:val="22"/>
        </w:rPr>
        <w:t>₂) in 2023. Cybersecurity readiness improved: the share of countries with national CIRTs/CERTs grew from about 55 per cent in 2018 to 65 per cent in 2023, and 127 countries now have national cybersecurity strategies. Emergency telecommunications planning also advanced, with 83 per cent of countries adopting national plans by 2023.</w:t>
      </w:r>
    </w:p>
    <w:p w14:paraId="1322C5F9"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Innovation and partnership continued to strengthen the ecosystem. Ninety-seven countries reported national innovation policies in 2023, up from 66 in 2016, though still far from universal adoption. Member surveys show increasing recognition of the importance of collaboration, with 61 per cent affirming its significance and around 70 per cent reporting benefits from working with partners. In the new Strategic Plan 2024–2027, innovation and partnership are positioned as cross-cutting enablers rather than standalone goals.</w:t>
      </w:r>
    </w:p>
    <w:p w14:paraId="38119AC7" w14:textId="77777777" w:rsidR="0062595A" w:rsidRPr="0062595A" w:rsidRDefault="0062595A" w:rsidP="004630E8">
      <w:pPr>
        <w:keepNext/>
        <w:keepLines/>
        <w:tabs>
          <w:tab w:val="clear" w:pos="567"/>
        </w:tabs>
        <w:suppressAutoHyphens/>
        <w:adjustRightInd/>
        <w:spacing w:before="360" w:after="120"/>
        <w:ind w:left="567" w:hanging="567"/>
        <w:jc w:val="both"/>
        <w:outlineLvl w:val="1"/>
        <w:rPr>
          <w:rFonts w:eastAsia="MS Mincho"/>
          <w:b/>
        </w:rPr>
      </w:pPr>
      <w:bookmarkStart w:id="40" w:name="_Toc224288800"/>
      <w:r w:rsidRPr="0062595A">
        <w:rPr>
          <w:rFonts w:eastAsia="MS Mincho"/>
          <w:b/>
        </w:rPr>
        <w:t>3.2</w:t>
      </w:r>
      <w:r w:rsidRPr="0062595A">
        <w:rPr>
          <w:rFonts w:eastAsia="MS Mincho"/>
          <w:b/>
        </w:rPr>
        <w:tab/>
        <w:t>Impact of ITU’s work from 2024 to 2025 (first two years of SP 2024-2027)</w:t>
      </w:r>
      <w:bookmarkEnd w:id="40"/>
      <w:r w:rsidRPr="0062595A">
        <w:rPr>
          <w:rFonts w:eastAsia="MS Mincho"/>
          <w:b/>
        </w:rPr>
        <w:t xml:space="preserve"> </w:t>
      </w:r>
    </w:p>
    <w:p w14:paraId="166B9C69" w14:textId="40EC615C"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This </w:t>
      </w:r>
      <w:r w:rsidR="006826C3">
        <w:rPr>
          <w:rFonts w:eastAsia="MS Mincho"/>
          <w:sz w:val="22"/>
        </w:rPr>
        <w:t>s</w:t>
      </w:r>
      <w:r w:rsidRPr="0062595A">
        <w:rPr>
          <w:rFonts w:eastAsia="MS Mincho"/>
          <w:sz w:val="22"/>
        </w:rPr>
        <w:t xml:space="preserve">ection assesses the latest state </w:t>
      </w:r>
      <w:r w:rsidRPr="00346339">
        <w:rPr>
          <w:rFonts w:eastAsia="MS Mincho"/>
          <w:sz w:val="22"/>
        </w:rPr>
        <w:t xml:space="preserve">of progress on the target indicators under the two goals of the Strategic Plan 2024–2027: Universal connectivity (Section </w:t>
      </w:r>
      <w:hyperlink w:anchor="Section_3_2_1" w:history="1">
        <w:r w:rsidRPr="00C93A80">
          <w:rPr>
            <w:rStyle w:val="Hyperlink"/>
            <w:rFonts w:eastAsia="MS Mincho"/>
            <w:color w:val="0563C1"/>
            <w:sz w:val="22"/>
          </w:rPr>
          <w:t>3.2.1</w:t>
        </w:r>
      </w:hyperlink>
      <w:r w:rsidRPr="00346339">
        <w:rPr>
          <w:rFonts w:eastAsia="MS Mincho"/>
          <w:sz w:val="22"/>
        </w:rPr>
        <w:t xml:space="preserve">) and Sustainable digital transformation (Section </w:t>
      </w:r>
      <w:hyperlink w:anchor="Section_3_2_2" w:history="1">
        <w:r w:rsidRPr="00C93A80">
          <w:rPr>
            <w:rStyle w:val="Hyperlink"/>
            <w:rFonts w:eastAsia="MS Mincho"/>
            <w:color w:val="0563C1"/>
            <w:sz w:val="22"/>
          </w:rPr>
          <w:t>3.2.2</w:t>
        </w:r>
      </w:hyperlink>
      <w:r w:rsidRPr="00346339">
        <w:rPr>
          <w:rFonts w:eastAsia="MS Mincho"/>
          <w:sz w:val="22"/>
        </w:rPr>
        <w:t>). Where</w:t>
      </w:r>
      <w:r w:rsidRPr="0062595A">
        <w:rPr>
          <w:rFonts w:eastAsia="MS Mincho"/>
          <w:sz w:val="22"/>
        </w:rPr>
        <w:t xml:space="preserve"> data allow, the analysis assesses progress over the period since 2022. The assessment draws primarily on ITU’s </w:t>
      </w:r>
      <w:hyperlink r:id="rId89" w:history="1">
        <w:r w:rsidRPr="0062595A">
          <w:rPr>
            <w:rFonts w:eastAsia="MS Mincho"/>
            <w:color w:val="0563C1"/>
            <w:sz w:val="22"/>
            <w:u w:val="single"/>
          </w:rPr>
          <w:t>Measuring digital development: Facts and Figures 2025</w:t>
        </w:r>
      </w:hyperlink>
      <w:r w:rsidRPr="0062595A">
        <w:rPr>
          <w:rFonts w:eastAsia="MS Mincho"/>
          <w:sz w:val="22"/>
        </w:rPr>
        <w:t>, which provides the most recent estimates for several core connectivity indicators, as well as on ITU datasets covering e-waste, greenhouse gas emissions, regulation and cybersecurity. Additional data are drawn from other United Nations agencies, where relevant.</w:t>
      </w:r>
    </w:p>
    <w:p w14:paraId="395C3300"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The assessment remains partial, as for several targets and indicators defined in the Strategic Plan, data coverage is still insufficient to produce robust global or regional aggregates. While the progress observed reflects, in part, ITU’s efforts, outcomes are also shaped by a wide range of external factors and actions by governments, the private sector and other stakeholders. As such, ITU cannot be viewed as the sole driver of the results presented.</w:t>
      </w:r>
    </w:p>
    <w:p w14:paraId="211D4C16" w14:textId="77777777"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rPr>
      </w:pPr>
      <w:bookmarkStart w:id="41" w:name="_Toc197427032"/>
      <w:bookmarkStart w:id="42" w:name="_Toc224288801"/>
      <w:bookmarkStart w:id="43" w:name="Section_3_2_1"/>
      <w:r w:rsidRPr="0062595A">
        <w:rPr>
          <w:rFonts w:eastAsia="MS Mincho"/>
          <w:b/>
          <w:color w:val="0D0D0D"/>
        </w:rPr>
        <w:t>3.2.1</w:t>
      </w:r>
      <w:r w:rsidRPr="0062595A">
        <w:rPr>
          <w:rFonts w:eastAsia="MS Mincho"/>
          <w:b/>
          <w:color w:val="0D0D0D"/>
        </w:rPr>
        <w:tab/>
        <w:t xml:space="preserve">Universal </w:t>
      </w:r>
      <w:bookmarkEnd w:id="41"/>
      <w:r w:rsidRPr="0062595A">
        <w:rPr>
          <w:rFonts w:eastAsia="MS Mincho"/>
          <w:b/>
          <w:color w:val="0D0D0D"/>
        </w:rPr>
        <w:t>connectivity</w:t>
      </w:r>
      <w:bookmarkEnd w:id="42"/>
      <w:bookmarkEnd w:id="43"/>
    </w:p>
    <w:p w14:paraId="7BFCAD99"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This subsection covers the main dimensions of universal connectivity, including broadband coverage, affordability, access to devices, Internet use, and related enabling conditions.</w:t>
      </w:r>
    </w:p>
    <w:p w14:paraId="279CBCF8" w14:textId="77777777" w:rsidR="0062595A" w:rsidRPr="0062595A" w:rsidRDefault="0062595A" w:rsidP="00C5530E">
      <w:pPr>
        <w:keepNext/>
        <w:keepLines/>
        <w:suppressAutoHyphens/>
        <w:adjustRightInd/>
        <w:spacing w:before="240" w:after="120"/>
        <w:ind w:left="1134" w:hanging="1134"/>
        <w:jc w:val="both"/>
        <w:outlineLvl w:val="3"/>
        <w:rPr>
          <w:rFonts w:eastAsia="MS Mincho"/>
          <w:b/>
          <w:color w:val="0D0D0D"/>
          <w:sz w:val="22"/>
        </w:rPr>
      </w:pPr>
      <w:r w:rsidRPr="0062595A">
        <w:rPr>
          <w:rFonts w:eastAsia="MS Mincho"/>
          <w:b/>
          <w:color w:val="0D0D0D"/>
          <w:sz w:val="22"/>
        </w:rPr>
        <w:t>Target 1.1: Universal broadband coverage </w:t>
      </w:r>
    </w:p>
    <w:p w14:paraId="430A4FA2"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5G coverage has expanded rapidly in recent years and now covers 55 per cent of the world’s population in 2025, up from 39 per cent in 2022.</w:t>
      </w:r>
      <w:r w:rsidRPr="0062595A">
        <w:rPr>
          <w:rFonts w:eastAsia="MS Mincho"/>
          <w:b/>
          <w:sz w:val="22"/>
        </w:rPr>
        <w:t xml:space="preserve"> </w:t>
      </w:r>
      <w:r w:rsidRPr="0062595A">
        <w:rPr>
          <w:rFonts w:eastAsia="MS Mincho"/>
          <w:sz w:val="22"/>
        </w:rPr>
        <w:t xml:space="preserve">Eighty-four per cent of the population in high-income countries is covered by 5G, but only 4 per cent of people in low-income countries. </w:t>
      </w:r>
    </w:p>
    <w:p w14:paraId="7D9DD603" w14:textId="1DF7A53D" w:rsidR="0062595A" w:rsidRPr="0062595A" w:rsidRDefault="0062595A" w:rsidP="00C5530E">
      <w:pPr>
        <w:suppressAutoHyphens/>
        <w:adjustRightInd/>
        <w:spacing w:after="120"/>
        <w:jc w:val="both"/>
        <w:rPr>
          <w:rFonts w:eastAsia="MS Mincho"/>
          <w:sz w:val="22"/>
          <w:szCs w:val="18"/>
        </w:rPr>
      </w:pPr>
      <w:r w:rsidRPr="0062595A">
        <w:rPr>
          <w:rFonts w:eastAsia="MS Mincho"/>
          <w:sz w:val="22"/>
          <w:szCs w:val="18"/>
        </w:rPr>
        <w:t>While 5G deployment is still underway in many regions, 4G remains a reliable connectivity solution, currently available to 93 per cent of the world’s population. As of 2025, 96 per cent of the world’s population is covered by 3G or higher technology (</w:t>
      </w:r>
      <w:hyperlink w:anchor="figure_3" w:history="1">
        <w:r w:rsidRPr="00C93A80">
          <w:rPr>
            <w:rStyle w:val="Hyperlink"/>
            <w:rFonts w:eastAsia="MS Mincho"/>
            <w:color w:val="0563C1"/>
            <w:sz w:val="22"/>
            <w:szCs w:val="18"/>
          </w:rPr>
          <w:t>See Figure 3</w:t>
        </w:r>
      </w:hyperlink>
      <w:r w:rsidRPr="0062595A">
        <w:rPr>
          <w:rFonts w:eastAsia="MS Mincho"/>
          <w:sz w:val="22"/>
          <w:szCs w:val="18"/>
        </w:rPr>
        <w:t xml:space="preserve">). Yet extending networks to the remaining 4 per cent </w:t>
      </w:r>
      <w:r w:rsidRPr="0062595A">
        <w:rPr>
          <w:rFonts w:eastAsia="Calibri" w:cs="Calibri"/>
          <w:sz w:val="22"/>
        </w:rPr>
        <w:t>–</w:t>
      </w:r>
      <w:r w:rsidRPr="0062595A">
        <w:rPr>
          <w:rFonts w:eastAsia="MS Mincho"/>
          <w:sz w:val="22"/>
          <w:szCs w:val="18"/>
        </w:rPr>
        <w:t xml:space="preserve"> approximately 312 million people – has proven elusive</w:t>
      </w:r>
      <w:r w:rsidR="002546CA">
        <w:rPr>
          <w:rFonts w:eastAsia="MS Mincho"/>
          <w:sz w:val="22"/>
          <w:szCs w:val="18"/>
        </w:rPr>
        <w:t>, due to poor infrastructure, limited affordability, and lower device ownership</w:t>
      </w:r>
      <w:r w:rsidRPr="0062595A">
        <w:rPr>
          <w:rFonts w:eastAsia="MS Mincho"/>
          <w:sz w:val="22"/>
          <w:szCs w:val="18"/>
        </w:rPr>
        <w:t>. Since 2018, when coverage first surpassed 90 per cent, the global gain has amounted to just six percentage points. Almost half of the population that remain without access to a mobile broadband network are in Africa (</w:t>
      </w:r>
      <w:hyperlink w:anchor="figure_4" w:history="1">
        <w:r w:rsidRPr="00C93A80">
          <w:rPr>
            <w:rStyle w:val="Hyperlink"/>
            <w:rFonts w:eastAsia="MS Mincho"/>
            <w:color w:val="0563C1"/>
            <w:sz w:val="22"/>
            <w:szCs w:val="18"/>
          </w:rPr>
          <w:t>See Figure 4</w:t>
        </w:r>
      </w:hyperlink>
      <w:r w:rsidRPr="0062595A">
        <w:rPr>
          <w:rFonts w:eastAsia="MS Mincho"/>
          <w:sz w:val="22"/>
          <w:szCs w:val="18"/>
        </w:rPr>
        <w:t>).</w:t>
      </w:r>
    </w:p>
    <w:p w14:paraId="3C9F4288" w14:textId="77777777" w:rsidR="0062595A" w:rsidRPr="0062595A" w:rsidRDefault="0062595A" w:rsidP="00C5530E">
      <w:pPr>
        <w:suppressAutoHyphens/>
        <w:adjustRightInd/>
        <w:jc w:val="both"/>
        <w:rPr>
          <w:rFonts w:eastAsia="MS Mincho"/>
          <w:b/>
          <w:bCs/>
          <w:sz w:val="22"/>
        </w:rPr>
      </w:pPr>
    </w:p>
    <w:p w14:paraId="44C83C37" w14:textId="77777777" w:rsidR="0062595A" w:rsidRPr="0062595A" w:rsidRDefault="0062595A" w:rsidP="006826C3">
      <w:pPr>
        <w:keepNext/>
        <w:keepLines/>
        <w:suppressAutoHyphens/>
        <w:adjustRightInd/>
        <w:jc w:val="center"/>
        <w:rPr>
          <w:rFonts w:eastAsia="MS Mincho"/>
          <w:b/>
          <w:bCs/>
          <w:sz w:val="22"/>
        </w:rPr>
      </w:pPr>
      <w:r w:rsidRPr="0062595A">
        <w:rPr>
          <w:rFonts w:eastAsia="MS Mincho"/>
          <w:b/>
          <w:bCs/>
          <w:sz w:val="22"/>
        </w:rPr>
        <w:lastRenderedPageBreak/>
        <w:t>Population coverage by type of mobile network, 2015-2025</w:t>
      </w:r>
    </w:p>
    <w:p w14:paraId="50BAD788" w14:textId="77777777" w:rsidR="0062595A" w:rsidRPr="0062595A" w:rsidRDefault="0062595A" w:rsidP="006826C3">
      <w:pPr>
        <w:keepNext/>
        <w:keepLines/>
        <w:suppressAutoHyphens/>
        <w:adjustRightInd/>
        <w:jc w:val="center"/>
        <w:rPr>
          <w:rFonts w:eastAsia="MS Mincho"/>
          <w:sz w:val="22"/>
        </w:rPr>
      </w:pPr>
      <w:r w:rsidRPr="0062595A">
        <w:rPr>
          <w:rFonts w:eastAsia="MS Mincho"/>
          <w:noProof/>
          <w:sz w:val="22"/>
        </w:rPr>
        <w:drawing>
          <wp:inline distT="0" distB="0" distL="0" distR="0" wp14:anchorId="68420FB0" wp14:editId="4960AFC6">
            <wp:extent cx="4533119" cy="2646611"/>
            <wp:effectExtent l="0" t="0" r="781" b="1339"/>
            <wp:docPr id="1482291823"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533119" cy="2646611"/>
                    </a:xfrm>
                    <a:prstGeom prst="rect">
                      <a:avLst/>
                    </a:prstGeom>
                    <a:noFill/>
                    <a:ln>
                      <a:noFill/>
                      <a:prstDash/>
                    </a:ln>
                  </pic:spPr>
                </pic:pic>
              </a:graphicData>
            </a:graphic>
          </wp:inline>
        </w:drawing>
      </w:r>
    </w:p>
    <w:p w14:paraId="2AEB562C" w14:textId="77777777" w:rsidR="0062595A" w:rsidRPr="0062595A" w:rsidRDefault="0062595A" w:rsidP="006826C3">
      <w:pPr>
        <w:keepNext/>
        <w:keepLines/>
        <w:suppressAutoHyphens/>
        <w:adjustRightInd/>
        <w:spacing w:before="0" w:after="200"/>
        <w:jc w:val="both"/>
        <w:rPr>
          <w:rFonts w:eastAsia="MS Mincho"/>
          <w:i/>
          <w:iCs/>
          <w:color w:val="1F497D"/>
          <w:sz w:val="18"/>
          <w:szCs w:val="18"/>
        </w:rPr>
      </w:pPr>
      <w:bookmarkStart w:id="44" w:name="figure_3"/>
      <w:r w:rsidRPr="0062595A">
        <w:rPr>
          <w:rFonts w:eastAsia="MS Mincho"/>
          <w:i/>
          <w:iCs/>
          <w:color w:val="1F497D"/>
          <w:sz w:val="18"/>
          <w:szCs w:val="18"/>
        </w:rPr>
        <w:t>Figure 3</w:t>
      </w:r>
      <w:bookmarkEnd w:id="44"/>
      <w:r w:rsidRPr="0062595A">
        <w:rPr>
          <w:rFonts w:eastAsia="MS Mincho"/>
          <w:i/>
          <w:iCs/>
          <w:color w:val="1F497D"/>
          <w:sz w:val="18"/>
          <w:szCs w:val="18"/>
        </w:rPr>
        <w:t xml:space="preserve">. Population coverage by type of mobile network, 2015-2025. ITU Facts and Figures 2025 (p.9). </w:t>
      </w:r>
      <w:r w:rsidRPr="0062595A">
        <w:rPr>
          <w:rFonts w:eastAsia="MS Mincho"/>
          <w:i/>
          <w:iCs/>
          <w:color w:val="7F7F7F"/>
          <w:sz w:val="18"/>
          <w:szCs w:val="16"/>
          <w:lang w:eastAsia="fr-FR"/>
        </w:rPr>
        <w:t xml:space="preserve">The values for 2G, 3G and 4G networks show the incremental percentage of the population that is not covered by a more advanced technology network (e.g. in 2025, 96% of the world's population is covered by at least a 3G or above network, with 3.6% having only 3G, 37.6% having 4G, and 55.1% having 5G). There are insufficient data to produce estimates for 5G coverage prior to 2020. </w:t>
      </w:r>
      <w:hyperlink r:id="rId91" w:anchor="chart-1" w:history="1">
        <w:r w:rsidRPr="0062595A">
          <w:rPr>
            <w:rFonts w:eastAsia="MS Mincho"/>
            <w:i/>
            <w:iCs/>
            <w:color w:val="7F7F7F"/>
            <w:sz w:val="18"/>
            <w:szCs w:val="16"/>
            <w:u w:val="single"/>
          </w:rPr>
          <w:t>Intera</w:t>
        </w:r>
        <w:bookmarkStart w:id="45" w:name="_Hlt214030138"/>
        <w:r w:rsidRPr="0062595A">
          <w:rPr>
            <w:rFonts w:eastAsia="MS Mincho"/>
            <w:i/>
            <w:iCs/>
            <w:color w:val="7F7F7F"/>
            <w:sz w:val="18"/>
            <w:szCs w:val="16"/>
            <w:u w:val="single"/>
          </w:rPr>
          <w:t>c</w:t>
        </w:r>
        <w:bookmarkEnd w:id="45"/>
        <w:r w:rsidRPr="0062595A">
          <w:rPr>
            <w:rFonts w:eastAsia="MS Mincho"/>
            <w:i/>
            <w:iCs/>
            <w:color w:val="7F7F7F"/>
            <w:sz w:val="18"/>
            <w:szCs w:val="16"/>
            <w:u w:val="single"/>
          </w:rPr>
          <w:t>tive chart</w:t>
        </w:r>
      </w:hyperlink>
      <w:r w:rsidRPr="0062595A">
        <w:rPr>
          <w:rFonts w:eastAsia="MS Mincho"/>
          <w:i/>
          <w:iCs/>
          <w:color w:val="7F7F7F"/>
          <w:sz w:val="18"/>
          <w:szCs w:val="16"/>
          <w:lang w:eastAsia="fr-FR"/>
        </w:rPr>
        <w:t>.</w:t>
      </w:r>
    </w:p>
    <w:p w14:paraId="6D025D72" w14:textId="77777777" w:rsidR="0062595A" w:rsidRPr="0062595A" w:rsidRDefault="0062595A" w:rsidP="006826C3">
      <w:pPr>
        <w:suppressAutoHyphens/>
        <w:adjustRightInd/>
        <w:spacing w:before="600"/>
        <w:jc w:val="center"/>
        <w:rPr>
          <w:rFonts w:eastAsia="MS Mincho"/>
          <w:b/>
          <w:bCs/>
          <w:sz w:val="22"/>
        </w:rPr>
      </w:pPr>
      <w:r w:rsidRPr="0062595A">
        <w:rPr>
          <w:rFonts w:eastAsia="MS Mincho"/>
          <w:b/>
          <w:bCs/>
          <w:sz w:val="22"/>
        </w:rPr>
        <w:t>Population coverage by type of mobile network, 2025</w:t>
      </w:r>
    </w:p>
    <w:p w14:paraId="0EC7D2A2" w14:textId="77777777" w:rsidR="0062595A" w:rsidRPr="0062595A" w:rsidRDefault="0062595A" w:rsidP="006826C3">
      <w:pPr>
        <w:suppressAutoHyphens/>
        <w:adjustRightInd/>
        <w:jc w:val="center"/>
        <w:rPr>
          <w:rFonts w:eastAsia="MS Mincho"/>
          <w:sz w:val="22"/>
        </w:rPr>
      </w:pPr>
      <w:r w:rsidRPr="0062595A">
        <w:rPr>
          <w:rFonts w:eastAsia="MS Mincho"/>
          <w:noProof/>
          <w:sz w:val="22"/>
        </w:rPr>
        <w:drawing>
          <wp:inline distT="0" distB="0" distL="0" distR="0" wp14:anchorId="1D441ACB" wp14:editId="58C4ABBF">
            <wp:extent cx="4956468" cy="2615659"/>
            <wp:effectExtent l="0" t="0" r="0" b="0"/>
            <wp:docPr id="878269219"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956468" cy="2615659"/>
                    </a:xfrm>
                    <a:prstGeom prst="rect">
                      <a:avLst/>
                    </a:prstGeom>
                    <a:noFill/>
                    <a:ln>
                      <a:noFill/>
                      <a:prstDash/>
                    </a:ln>
                  </pic:spPr>
                </pic:pic>
              </a:graphicData>
            </a:graphic>
          </wp:inline>
        </w:drawing>
      </w:r>
    </w:p>
    <w:p w14:paraId="22E839D7" w14:textId="77777777" w:rsidR="0062595A" w:rsidRPr="0062595A" w:rsidRDefault="0062595A" w:rsidP="006826C3">
      <w:pPr>
        <w:suppressAutoHyphens/>
        <w:adjustRightInd/>
        <w:spacing w:before="0" w:after="200"/>
        <w:jc w:val="both"/>
        <w:rPr>
          <w:rFonts w:eastAsia="MS Mincho"/>
          <w:i/>
          <w:iCs/>
          <w:color w:val="1F497D"/>
          <w:sz w:val="18"/>
          <w:szCs w:val="18"/>
        </w:rPr>
      </w:pPr>
      <w:bookmarkStart w:id="46" w:name="figure_4"/>
      <w:r w:rsidRPr="0062595A">
        <w:rPr>
          <w:rFonts w:eastAsia="MS Mincho"/>
          <w:i/>
          <w:iCs/>
          <w:color w:val="1F497D"/>
          <w:sz w:val="18"/>
          <w:szCs w:val="18"/>
        </w:rPr>
        <w:t>Figure 4</w:t>
      </w:r>
      <w:bookmarkEnd w:id="46"/>
      <w:r w:rsidRPr="0062595A">
        <w:rPr>
          <w:rFonts w:eastAsia="MS Mincho"/>
          <w:i/>
          <w:iCs/>
          <w:color w:val="1F497D"/>
          <w:sz w:val="18"/>
          <w:szCs w:val="18"/>
        </w:rPr>
        <w:t xml:space="preserve">. Population coverage by type of mobile network, 2025. ITU Facts and Figures 2025 (p.10). </w:t>
      </w:r>
      <w:r w:rsidRPr="0062595A">
        <w:rPr>
          <w:rFonts w:eastAsia="MS Mincho"/>
          <w:i/>
          <w:iCs/>
          <w:color w:val="7F7F7F"/>
          <w:sz w:val="18"/>
          <w:szCs w:val="16"/>
          <w:lang w:eastAsia="fr-FR"/>
        </w:rPr>
        <w:t xml:space="preserve">The values for 2G, 3G and 4G networks show the incremental percentage of the population that is not covered by a more advanced technology network (e.g. in 2025, 96% of the world's population is covered by at least a 3G or above network, with 3.6% having only 3G, 37.6% having 4G, and 55.1% having 5G). </w:t>
      </w:r>
      <w:hyperlink r:id="rId93" w:anchor="chart-2" w:history="1">
        <w:r w:rsidRPr="0062595A">
          <w:rPr>
            <w:rFonts w:eastAsia="MS Mincho"/>
            <w:i/>
            <w:iCs/>
            <w:color w:val="7F7F7F"/>
            <w:sz w:val="18"/>
            <w:szCs w:val="16"/>
            <w:u w:val="single"/>
          </w:rPr>
          <w:t>Interactive chart</w:t>
        </w:r>
      </w:hyperlink>
      <w:r w:rsidRPr="0062595A">
        <w:rPr>
          <w:rFonts w:eastAsia="MS Mincho"/>
          <w:i/>
          <w:iCs/>
          <w:color w:val="7F7F7F"/>
          <w:sz w:val="18"/>
          <w:szCs w:val="16"/>
          <w:lang w:eastAsia="fr-FR"/>
        </w:rPr>
        <w:t>.</w:t>
      </w:r>
    </w:p>
    <w:p w14:paraId="41FFAE4B" w14:textId="77777777" w:rsidR="0062595A" w:rsidRPr="0062595A" w:rsidRDefault="0062595A" w:rsidP="006826C3">
      <w:pPr>
        <w:keepNext/>
        <w:keepLines/>
        <w:suppressAutoHyphens/>
        <w:adjustRightInd/>
        <w:spacing w:before="240" w:after="120"/>
        <w:ind w:left="1134" w:hanging="1134"/>
        <w:jc w:val="both"/>
        <w:outlineLvl w:val="3"/>
        <w:rPr>
          <w:rFonts w:eastAsia="MS Mincho"/>
          <w:b/>
          <w:color w:val="0D0D0D"/>
          <w:sz w:val="22"/>
        </w:rPr>
      </w:pPr>
      <w:r w:rsidRPr="0062595A">
        <w:rPr>
          <w:rFonts w:eastAsia="MS Mincho"/>
          <w:b/>
          <w:color w:val="0D0D0D"/>
          <w:sz w:val="22"/>
          <w:szCs w:val="18"/>
        </w:rPr>
        <w:lastRenderedPageBreak/>
        <w:t xml:space="preserve">Target </w:t>
      </w:r>
      <w:r w:rsidRPr="0062595A">
        <w:rPr>
          <w:rFonts w:eastAsia="MS Mincho"/>
          <w:b/>
          <w:color w:val="0D0D0D"/>
          <w:sz w:val="22"/>
        </w:rPr>
        <w:t>1.2: Broadband services to be affordable for all</w:t>
      </w:r>
    </w:p>
    <w:p w14:paraId="08CE4E23" w14:textId="42FAB271" w:rsidR="0062595A" w:rsidRPr="0062595A" w:rsidRDefault="0062595A" w:rsidP="006826C3">
      <w:pPr>
        <w:keepNext/>
        <w:keepLines/>
        <w:suppressAutoHyphens/>
        <w:adjustRightInd/>
        <w:spacing w:after="120"/>
        <w:jc w:val="both"/>
        <w:rPr>
          <w:rFonts w:eastAsia="MS Mincho"/>
          <w:sz w:val="22"/>
        </w:rPr>
      </w:pPr>
      <w:r w:rsidRPr="0062595A">
        <w:rPr>
          <w:rFonts w:eastAsia="MS Mincho"/>
          <w:sz w:val="22"/>
          <w:szCs w:val="18"/>
        </w:rPr>
        <w:t xml:space="preserve">Between 2022 and 2025, both the data-only mobile broadband and fixed broadband baskets became more affordable across all regions and income groups. Globally, the median price of the mobile broadband basket, measured as a percentage of GNI per capita using the data-only mobile broadband basket with 5 GB monthly allowance (allowing 5 gigabytes of data use per month; </w:t>
      </w:r>
      <w:hyperlink w:anchor="figure_5" w:history="1">
        <w:r w:rsidRPr="00C93A80">
          <w:rPr>
            <w:rStyle w:val="Hyperlink"/>
            <w:rFonts w:eastAsia="MS Mincho"/>
            <w:color w:val="0563C1"/>
            <w:sz w:val="22"/>
            <w:szCs w:val="18"/>
          </w:rPr>
          <w:t>See Figure 5</w:t>
        </w:r>
      </w:hyperlink>
      <w:r w:rsidRPr="0062595A">
        <w:rPr>
          <w:rFonts w:eastAsia="MS Mincho"/>
          <w:sz w:val="22"/>
          <w:szCs w:val="18"/>
        </w:rPr>
        <w:t>), the most recent reference measure, decreased from 2.0 per cent to 1.4 per cent. Similarly, the median price of the fixed broadband basket fell from 3. per cent to 2.5 per cent (</w:t>
      </w:r>
      <w:hyperlink w:anchor="figure_6" w:history="1">
        <w:r w:rsidRPr="00C93A80">
          <w:rPr>
            <w:rStyle w:val="Hyperlink"/>
            <w:rFonts w:eastAsia="MS Mincho"/>
            <w:color w:val="0563C1"/>
            <w:sz w:val="22"/>
            <w:szCs w:val="18"/>
          </w:rPr>
          <w:t>See Figure 6</w:t>
        </w:r>
      </w:hyperlink>
      <w:r w:rsidRPr="0062595A">
        <w:rPr>
          <w:rFonts w:eastAsia="MS Mincho"/>
          <w:sz w:val="22"/>
          <w:szCs w:val="18"/>
        </w:rPr>
        <w:t>). A record number of economies now meet the Broadband Commission target of keeping broadband costs below 2 per cent of GNI per capita.</w:t>
      </w:r>
    </w:p>
    <w:p w14:paraId="6D9854DA" w14:textId="1718E0C1" w:rsidR="0062595A" w:rsidRPr="0062595A" w:rsidRDefault="0062595A" w:rsidP="00C5530E">
      <w:pPr>
        <w:suppressAutoHyphens/>
        <w:adjustRightInd/>
        <w:spacing w:after="120"/>
        <w:jc w:val="both"/>
        <w:rPr>
          <w:rFonts w:eastAsia="MS Mincho"/>
          <w:sz w:val="22"/>
          <w:szCs w:val="18"/>
        </w:rPr>
      </w:pPr>
      <w:r w:rsidRPr="0062595A">
        <w:rPr>
          <w:rFonts w:eastAsia="MS Mincho"/>
          <w:sz w:val="22"/>
          <w:szCs w:val="18"/>
        </w:rPr>
        <w:t xml:space="preserve">While mobile broadband is increasingly affordable, fixed broadband remains unaffordable for many, especially in low-income economies. Subscribers in lower-middle-income economies pay approximately eight times more of their income for mobile broadband compared to those in high-income economies, while low-income subscribers pay 24 times more. Additionally, in low-income countries where fixed broadband is available, the subscription cost can consume nearly one third of the average person's income. Even where services are affordable on average, significant gaps persist within countries. Affordability continues to be a central obstacle to universal and meaningful connectivity, closely linked to weaker infrastructure, lower investment, and </w:t>
      </w:r>
      <w:r w:rsidR="006826C3" w:rsidRPr="0062595A">
        <w:rPr>
          <w:rFonts w:eastAsia="MS Mincho"/>
          <w:sz w:val="22"/>
          <w:szCs w:val="18"/>
        </w:rPr>
        <w:t>low-income</w:t>
      </w:r>
      <w:r w:rsidRPr="0062595A">
        <w:rPr>
          <w:rFonts w:eastAsia="MS Mincho"/>
          <w:sz w:val="22"/>
          <w:szCs w:val="18"/>
        </w:rPr>
        <w:t xml:space="preserve"> levels.</w:t>
      </w:r>
    </w:p>
    <w:p w14:paraId="07FC1B9F" w14:textId="77777777" w:rsidR="0062595A" w:rsidRPr="0062595A" w:rsidRDefault="0062595A" w:rsidP="006826C3">
      <w:pPr>
        <w:tabs>
          <w:tab w:val="clear" w:pos="567"/>
          <w:tab w:val="clear" w:pos="1134"/>
          <w:tab w:val="clear" w:pos="1701"/>
          <w:tab w:val="clear" w:pos="2268"/>
          <w:tab w:val="clear" w:pos="2835"/>
        </w:tabs>
        <w:suppressAutoHyphens/>
        <w:overflowPunct/>
        <w:autoSpaceDE/>
        <w:adjustRightInd/>
        <w:spacing w:before="0"/>
        <w:textAlignment w:val="auto"/>
        <w:rPr>
          <w:rFonts w:eastAsia="MS Mincho"/>
          <w:b/>
          <w:sz w:val="22"/>
        </w:rPr>
      </w:pPr>
    </w:p>
    <w:p w14:paraId="6DBC4FF1" w14:textId="77777777" w:rsidR="0062595A" w:rsidRPr="0062595A" w:rsidRDefault="0062595A" w:rsidP="006826C3">
      <w:pPr>
        <w:suppressAutoHyphens/>
        <w:adjustRightInd/>
        <w:jc w:val="center"/>
        <w:rPr>
          <w:rFonts w:eastAsia="MS Mincho"/>
          <w:b/>
          <w:sz w:val="22"/>
        </w:rPr>
      </w:pPr>
      <w:r w:rsidRPr="0062595A">
        <w:rPr>
          <w:rFonts w:eastAsia="MS Mincho"/>
          <w:b/>
          <w:sz w:val="22"/>
        </w:rPr>
        <w:t>Price of the data-only mobile broadband (5 GB) basket as per cent of gross national income per capita, 2022-2025</w:t>
      </w:r>
    </w:p>
    <w:p w14:paraId="6C53BEB1" w14:textId="77777777" w:rsidR="0062595A" w:rsidRPr="0062595A" w:rsidRDefault="0062595A" w:rsidP="006826C3">
      <w:pPr>
        <w:suppressAutoHyphens/>
        <w:adjustRightInd/>
        <w:jc w:val="center"/>
        <w:rPr>
          <w:rFonts w:eastAsia="MS Mincho"/>
          <w:sz w:val="22"/>
        </w:rPr>
      </w:pPr>
      <w:r w:rsidRPr="0062595A">
        <w:rPr>
          <w:rFonts w:eastAsia="MS Mincho"/>
          <w:noProof/>
          <w:sz w:val="22"/>
        </w:rPr>
        <w:drawing>
          <wp:inline distT="0" distB="0" distL="0" distR="0" wp14:anchorId="0BFD9B9A" wp14:editId="1B4714ED">
            <wp:extent cx="5760089" cy="2741928"/>
            <wp:effectExtent l="0" t="0" r="0" b="1272"/>
            <wp:docPr id="1211884192"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089" cy="2741928"/>
                    </a:xfrm>
                    <a:prstGeom prst="rect">
                      <a:avLst/>
                    </a:prstGeom>
                    <a:noFill/>
                    <a:ln>
                      <a:noFill/>
                      <a:prstDash/>
                    </a:ln>
                  </pic:spPr>
                </pic:pic>
              </a:graphicData>
            </a:graphic>
          </wp:inline>
        </w:drawing>
      </w:r>
    </w:p>
    <w:p w14:paraId="63C78D1A" w14:textId="3F365E0F" w:rsidR="0062595A" w:rsidRPr="0062595A" w:rsidRDefault="0062595A" w:rsidP="006826C3">
      <w:pPr>
        <w:suppressAutoHyphens/>
        <w:adjustRightInd/>
        <w:spacing w:before="0" w:after="200"/>
        <w:jc w:val="both"/>
        <w:rPr>
          <w:rFonts w:eastAsia="MS Mincho"/>
          <w:i/>
          <w:iCs/>
          <w:color w:val="1F497D"/>
          <w:sz w:val="18"/>
          <w:szCs w:val="18"/>
        </w:rPr>
      </w:pPr>
      <w:bookmarkStart w:id="47" w:name="figure_5"/>
      <w:r w:rsidRPr="0062595A">
        <w:rPr>
          <w:rFonts w:eastAsia="MS Mincho"/>
          <w:i/>
          <w:iCs/>
          <w:color w:val="1F497D"/>
          <w:sz w:val="18"/>
          <w:szCs w:val="18"/>
        </w:rPr>
        <w:t>Figure 5</w:t>
      </w:r>
      <w:bookmarkEnd w:id="47"/>
      <w:r w:rsidRPr="0062595A">
        <w:rPr>
          <w:rFonts w:eastAsia="MS Mincho"/>
          <w:i/>
          <w:iCs/>
          <w:color w:val="1F497D"/>
          <w:sz w:val="18"/>
          <w:szCs w:val="18"/>
        </w:rPr>
        <w:t xml:space="preserve">. Price of the data-only mobile broadband (5 GB) basket as per cent of gross national income per capita, 2022-2025. ITU Facts and Figures 2025 (p.20). </w:t>
      </w:r>
      <w:r w:rsidRPr="0062595A">
        <w:rPr>
          <w:rFonts w:eastAsia="MS Mincho"/>
          <w:i/>
          <w:iCs/>
          <w:color w:val="7F7F7F"/>
          <w:sz w:val="18"/>
          <w:szCs w:val="18"/>
        </w:rPr>
        <w:t xml:space="preserve">As of 2025, mobile broadband price statistics refer to the data-only mobile broadband basket with at least 5 GB monthly allowance, reflecting the methodology adopted by the Expert Group on Telecommunication/ICT Indicators (EGTI) in 2024. For comparability, </w:t>
      </w:r>
      <w:r w:rsidRPr="002546CA">
        <w:rPr>
          <w:rFonts w:eastAsia="MS Mincho"/>
          <w:i/>
          <w:iCs/>
          <w:color w:val="7F7F7F"/>
          <w:sz w:val="18"/>
          <w:szCs w:val="18"/>
        </w:rPr>
        <w:t xml:space="preserve">2024 statistics presented here are based on ITU's experimental data collection for the same data-only mobile broadband basket. </w:t>
      </w:r>
      <w:hyperlink r:id="rId95" w:history="1">
        <w:r w:rsidRPr="002546CA">
          <w:rPr>
            <w:rStyle w:val="Hyperlink"/>
            <w:rFonts w:eastAsia="MS Mincho"/>
            <w:i/>
            <w:iCs/>
            <w:sz w:val="18"/>
            <w:szCs w:val="18"/>
          </w:rPr>
          <w:t>Interactive chart</w:t>
        </w:r>
      </w:hyperlink>
      <w:r w:rsidRPr="002546CA">
        <w:rPr>
          <w:rFonts w:eastAsia="MS Mincho"/>
          <w:i/>
          <w:iCs/>
          <w:color w:val="7F7F7F"/>
          <w:sz w:val="18"/>
          <w:szCs w:val="18"/>
        </w:rPr>
        <w:t>.</w:t>
      </w:r>
    </w:p>
    <w:p w14:paraId="797D0192" w14:textId="30731445" w:rsidR="0062595A" w:rsidRPr="0062595A" w:rsidRDefault="0062595A" w:rsidP="006826C3">
      <w:pPr>
        <w:keepNext/>
        <w:keepLines/>
        <w:suppressAutoHyphens/>
        <w:adjustRightInd/>
        <w:spacing w:before="240"/>
        <w:jc w:val="center"/>
        <w:rPr>
          <w:rFonts w:eastAsia="MS Mincho"/>
          <w:sz w:val="22"/>
        </w:rPr>
      </w:pPr>
      <w:r w:rsidRPr="0062595A">
        <w:rPr>
          <w:rFonts w:eastAsia="MS Mincho"/>
          <w:b/>
          <w:sz w:val="22"/>
        </w:rPr>
        <w:lastRenderedPageBreak/>
        <w:t xml:space="preserve">Price of the fixed broadband (5 GB) basket as per cent of gross national income per capita, </w:t>
      </w:r>
      <w:r w:rsidR="006826C3">
        <w:rPr>
          <w:rFonts w:eastAsia="MS Mincho"/>
          <w:b/>
          <w:sz w:val="22"/>
        </w:rPr>
        <w:br/>
      </w:r>
      <w:r w:rsidRPr="0062595A">
        <w:rPr>
          <w:rFonts w:eastAsia="MS Mincho"/>
          <w:b/>
          <w:sz w:val="22"/>
        </w:rPr>
        <w:t>2022-2025</w:t>
      </w:r>
    </w:p>
    <w:p w14:paraId="4BB24A28" w14:textId="77777777" w:rsidR="0062595A" w:rsidRPr="0062595A" w:rsidRDefault="0062595A" w:rsidP="006826C3">
      <w:pPr>
        <w:keepNext/>
        <w:keepLines/>
        <w:suppressAutoHyphens/>
        <w:adjustRightInd/>
        <w:jc w:val="center"/>
        <w:rPr>
          <w:rFonts w:eastAsia="MS Mincho"/>
          <w:sz w:val="22"/>
        </w:rPr>
      </w:pPr>
      <w:r w:rsidRPr="0062595A">
        <w:rPr>
          <w:rFonts w:eastAsia="MS Mincho"/>
          <w:noProof/>
          <w:sz w:val="22"/>
        </w:rPr>
        <w:drawing>
          <wp:inline distT="0" distB="0" distL="0" distR="0" wp14:anchorId="10FA817F" wp14:editId="75469DDB">
            <wp:extent cx="4678061" cy="2226865"/>
            <wp:effectExtent l="0" t="0" r="8239" b="1985"/>
            <wp:docPr id="1860117225"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678061" cy="2226865"/>
                    </a:xfrm>
                    <a:prstGeom prst="rect">
                      <a:avLst/>
                    </a:prstGeom>
                    <a:noFill/>
                    <a:ln>
                      <a:noFill/>
                      <a:prstDash/>
                    </a:ln>
                  </pic:spPr>
                </pic:pic>
              </a:graphicData>
            </a:graphic>
          </wp:inline>
        </w:drawing>
      </w:r>
    </w:p>
    <w:p w14:paraId="11D3ADC9" w14:textId="1415611F" w:rsidR="0062595A" w:rsidRPr="0062595A" w:rsidRDefault="0062595A" w:rsidP="006826C3">
      <w:pPr>
        <w:keepNext/>
        <w:keepLines/>
        <w:suppressAutoHyphens/>
        <w:adjustRightInd/>
        <w:spacing w:before="0" w:after="200"/>
        <w:jc w:val="center"/>
        <w:rPr>
          <w:rFonts w:eastAsia="MS Mincho"/>
          <w:i/>
          <w:iCs/>
          <w:color w:val="1F497D"/>
          <w:sz w:val="18"/>
          <w:szCs w:val="18"/>
        </w:rPr>
      </w:pPr>
      <w:bookmarkStart w:id="48" w:name="figure_6"/>
      <w:r w:rsidRPr="0062595A">
        <w:rPr>
          <w:rFonts w:eastAsia="MS Mincho"/>
          <w:i/>
          <w:iCs/>
          <w:color w:val="1F497D"/>
          <w:sz w:val="18"/>
          <w:szCs w:val="18"/>
        </w:rPr>
        <w:t>Figure 6</w:t>
      </w:r>
      <w:bookmarkEnd w:id="48"/>
      <w:r w:rsidRPr="0062595A">
        <w:rPr>
          <w:rFonts w:eastAsia="MS Mincho"/>
          <w:i/>
          <w:iCs/>
          <w:color w:val="1F497D"/>
          <w:sz w:val="18"/>
          <w:szCs w:val="18"/>
        </w:rPr>
        <w:t xml:space="preserve">. Price of the data-only mobile broadband (5GB) basket as per cent of gross national income per capita, 2022-2025. ITU Facts and Figures </w:t>
      </w:r>
      <w:r w:rsidRPr="00AB7C67">
        <w:rPr>
          <w:rFonts w:eastAsia="MS Mincho"/>
          <w:i/>
          <w:iCs/>
          <w:color w:val="1F497D"/>
          <w:sz w:val="18"/>
          <w:szCs w:val="18"/>
        </w:rPr>
        <w:t xml:space="preserve">2025 (p.21). </w:t>
      </w:r>
      <w:hyperlink r:id="rId97" w:history="1">
        <w:r w:rsidRPr="00AB7C67">
          <w:rPr>
            <w:rStyle w:val="Hyperlink"/>
            <w:rFonts w:eastAsia="MS Mincho"/>
            <w:i/>
            <w:iCs/>
            <w:sz w:val="18"/>
            <w:szCs w:val="18"/>
          </w:rPr>
          <w:t>Interactive chart</w:t>
        </w:r>
      </w:hyperlink>
      <w:r w:rsidRPr="00AB7C67">
        <w:rPr>
          <w:rFonts w:eastAsia="MS Mincho"/>
          <w:i/>
          <w:iCs/>
          <w:color w:val="7F7F7F"/>
          <w:sz w:val="18"/>
          <w:szCs w:val="18"/>
        </w:rPr>
        <w:t>.</w:t>
      </w:r>
    </w:p>
    <w:p w14:paraId="00BEB5EA" w14:textId="77777777" w:rsidR="0062595A" w:rsidRPr="0062595A" w:rsidRDefault="0062595A" w:rsidP="006826C3">
      <w:pPr>
        <w:suppressAutoHyphens/>
        <w:adjustRightInd/>
        <w:spacing w:before="480" w:after="120"/>
        <w:jc w:val="both"/>
        <w:rPr>
          <w:rFonts w:eastAsia="MS Mincho"/>
          <w:sz w:val="22"/>
        </w:rPr>
      </w:pPr>
      <w:r w:rsidRPr="0062595A">
        <w:rPr>
          <w:rFonts w:eastAsia="MS Mincho"/>
          <w:sz w:val="22"/>
          <w:szCs w:val="18"/>
        </w:rPr>
        <w:t xml:space="preserve">Affordability is a key enabler of meaningful connectivity. The current indicator is based on the established </w:t>
      </w:r>
      <w:hyperlink r:id="rId98" w:history="1">
        <w:r w:rsidRPr="0062595A">
          <w:rPr>
            <w:rFonts w:eastAsia="MS Mincho"/>
            <w:color w:val="0563C1"/>
            <w:sz w:val="22"/>
            <w:szCs w:val="18"/>
            <w:u w:val="single"/>
          </w:rPr>
          <w:t>ITU methodology</w:t>
        </w:r>
      </w:hyperlink>
      <w:r w:rsidRPr="0062595A">
        <w:rPr>
          <w:rFonts w:eastAsia="MS Mincho"/>
          <w:sz w:val="22"/>
          <w:szCs w:val="18"/>
        </w:rPr>
        <w:t xml:space="preserve"> (‘price baskets’) but needs to be revised in the ongoing process of drafting the ITU Strategic Plan 2028-2031. The reference to “developing countries” should be removed, as this classification is no longer used and affordability should be monitored globally. In addition, affordability should be measured separately for fixed and mobile broadband services, given their different cost structures. Both should continue to be expressed as a percentage of GNI per capita. </w:t>
      </w:r>
    </w:p>
    <w:p w14:paraId="2F5586D5" w14:textId="77777777" w:rsidR="0062595A" w:rsidRPr="0062595A" w:rsidRDefault="0062595A" w:rsidP="00C5530E">
      <w:pPr>
        <w:keepNext/>
        <w:keepLines/>
        <w:suppressAutoHyphens/>
        <w:adjustRightInd/>
        <w:spacing w:before="240" w:after="120"/>
        <w:ind w:left="1134" w:hanging="1134"/>
        <w:jc w:val="both"/>
        <w:outlineLvl w:val="3"/>
        <w:rPr>
          <w:rFonts w:eastAsia="MS Mincho"/>
          <w:b/>
          <w:color w:val="0D0D0D"/>
          <w:sz w:val="22"/>
        </w:rPr>
      </w:pPr>
      <w:r w:rsidRPr="0062595A">
        <w:rPr>
          <w:rFonts w:eastAsia="MS Mincho"/>
          <w:b/>
          <w:color w:val="0D0D0D"/>
          <w:sz w:val="22"/>
        </w:rPr>
        <w:t>Target 1.3: Broadband access to every household</w:t>
      </w:r>
    </w:p>
    <w:p w14:paraId="7F227563" w14:textId="77777777" w:rsidR="0062595A" w:rsidRPr="0062595A" w:rsidRDefault="0062595A" w:rsidP="00C5530E">
      <w:pPr>
        <w:suppressAutoHyphens/>
        <w:adjustRightInd/>
        <w:spacing w:after="120"/>
        <w:jc w:val="both"/>
        <w:rPr>
          <w:rFonts w:eastAsia="MS Mincho"/>
          <w:sz w:val="22"/>
          <w:szCs w:val="18"/>
        </w:rPr>
      </w:pPr>
      <w:r w:rsidRPr="0062595A">
        <w:rPr>
          <w:rFonts w:eastAsia="MS Mincho"/>
          <w:sz w:val="22"/>
          <w:szCs w:val="18"/>
        </w:rPr>
        <w:t xml:space="preserve">Household Internet access remains an important dimension of connectivity but has become increasingly difficult to measure accurately. The distinction between individual and household access is becoming less meaningful due to widespread mobile access and shared devices. Respondents often interpret “household Internet access” inconsistently, leading to growing measurement challenges and a decrease in data availability. In addition, there are no internationally comparable data for the number of households, necessary for computing the indicator. As a result, ITU no longer produces global or regional aggregates for this indicator. </w:t>
      </w:r>
    </w:p>
    <w:p w14:paraId="67FE64C4" w14:textId="77777777" w:rsidR="0062595A" w:rsidRPr="0062595A" w:rsidRDefault="0062595A" w:rsidP="00C5530E">
      <w:pPr>
        <w:suppressAutoHyphens/>
        <w:adjustRightInd/>
        <w:spacing w:after="120"/>
        <w:jc w:val="both"/>
        <w:rPr>
          <w:rFonts w:cs="Calibri"/>
          <w:color w:val="000000"/>
          <w:sz w:val="22"/>
          <w:szCs w:val="22"/>
          <w:lang w:eastAsia="en-GB"/>
        </w:rPr>
      </w:pPr>
      <w:r w:rsidRPr="0062595A">
        <w:rPr>
          <w:rFonts w:cs="Calibri"/>
          <w:color w:val="000000"/>
          <w:sz w:val="22"/>
          <w:szCs w:val="22"/>
          <w:lang w:eastAsia="en-GB"/>
        </w:rPr>
        <w:t>In 2024, 167 countries had established broadband plans or digital strategies, a figure that has stagnated since 2019 and declined from 170 in 2022. To advance global connectivity, further efforts are needed to encourage the remaining 20 to 30 countries to develop and adopt their national broadband plans.</w:t>
      </w:r>
    </w:p>
    <w:p w14:paraId="256C96EF" w14:textId="77777777" w:rsidR="0062595A" w:rsidRPr="0062595A" w:rsidRDefault="0062595A" w:rsidP="00C5530E">
      <w:pPr>
        <w:keepNext/>
        <w:keepLines/>
        <w:suppressAutoHyphens/>
        <w:adjustRightInd/>
        <w:spacing w:before="240" w:after="120"/>
        <w:ind w:left="1134" w:hanging="1134"/>
        <w:jc w:val="both"/>
        <w:outlineLvl w:val="3"/>
        <w:rPr>
          <w:rFonts w:eastAsia="MS Mincho"/>
          <w:b/>
          <w:color w:val="0D0D0D"/>
          <w:sz w:val="22"/>
        </w:rPr>
      </w:pPr>
      <w:r w:rsidRPr="0062595A">
        <w:rPr>
          <w:rFonts w:eastAsia="MS Mincho"/>
          <w:b/>
          <w:color w:val="0D0D0D"/>
          <w:sz w:val="22"/>
        </w:rPr>
        <w:t>Target 1.4: Ownership of and access to Internet-enabled devices</w:t>
      </w:r>
    </w:p>
    <w:p w14:paraId="51E71F99" w14:textId="79BC7356" w:rsidR="0062595A" w:rsidRPr="0062595A" w:rsidRDefault="0062595A" w:rsidP="00C5530E">
      <w:pPr>
        <w:suppressAutoHyphens/>
        <w:adjustRightInd/>
        <w:spacing w:after="120"/>
        <w:jc w:val="both"/>
        <w:rPr>
          <w:rFonts w:eastAsia="MS Mincho"/>
          <w:sz w:val="22"/>
        </w:rPr>
      </w:pPr>
      <w:r w:rsidRPr="0062595A">
        <w:rPr>
          <w:rFonts w:eastAsia="MS Mincho"/>
          <w:sz w:val="22"/>
          <w:szCs w:val="18"/>
        </w:rPr>
        <w:t xml:space="preserve">Globally, 82 per cent of individuals 10 years or older own a mobile phone. Ownership is considered universal when penetration rate reaches 95 per cent. This threshold has been reached in high-income economies, </w:t>
      </w:r>
      <w:r w:rsidRPr="00AB7C67">
        <w:rPr>
          <w:rFonts w:eastAsia="MS Mincho"/>
          <w:sz w:val="22"/>
          <w:szCs w:val="22"/>
        </w:rPr>
        <w:t>while upper-middle-income economies have already surpassed the 90 per cent mark. In low-income economies, only 53 per cent of the population aged 10 years and over own a mobile phone (</w:t>
      </w:r>
      <w:hyperlink w:anchor="figure_7" w:history="1">
        <w:r w:rsidRPr="00C93A80">
          <w:rPr>
            <w:rStyle w:val="Hyperlink"/>
            <w:rFonts w:eastAsia="MS Mincho"/>
            <w:color w:val="0563C1"/>
            <w:sz w:val="22"/>
            <w:szCs w:val="22"/>
          </w:rPr>
          <w:t>See Figure 7</w:t>
        </w:r>
      </w:hyperlink>
      <w:r w:rsidRPr="00AB7C67">
        <w:rPr>
          <w:rFonts w:eastAsia="MS Mincho"/>
          <w:sz w:val="22"/>
          <w:szCs w:val="22"/>
        </w:rPr>
        <w:t>).</w:t>
      </w:r>
      <w:r w:rsidRPr="0062595A">
        <w:rPr>
          <w:rFonts w:eastAsia="MS Mincho"/>
          <w:sz w:val="22"/>
          <w:szCs w:val="18"/>
        </w:rPr>
        <w:t xml:space="preserve"> </w:t>
      </w:r>
    </w:p>
    <w:p w14:paraId="2AB40314" w14:textId="77777777" w:rsidR="0062595A" w:rsidRPr="0062595A" w:rsidRDefault="0062595A" w:rsidP="00C5530E">
      <w:pPr>
        <w:suppressAutoHyphens/>
        <w:adjustRightInd/>
        <w:jc w:val="both"/>
        <w:rPr>
          <w:rFonts w:eastAsia="MS Mincho"/>
          <w:sz w:val="22"/>
          <w:szCs w:val="18"/>
        </w:rPr>
      </w:pPr>
    </w:p>
    <w:p w14:paraId="56E6EF94" w14:textId="77777777" w:rsidR="0062595A" w:rsidRPr="0062595A" w:rsidRDefault="0062595A" w:rsidP="006826C3">
      <w:pPr>
        <w:keepNext/>
        <w:keepLines/>
        <w:suppressAutoHyphens/>
        <w:adjustRightInd/>
        <w:jc w:val="center"/>
        <w:rPr>
          <w:rFonts w:eastAsia="MS Mincho"/>
          <w:b/>
          <w:bCs/>
          <w:sz w:val="22"/>
        </w:rPr>
      </w:pPr>
      <w:bookmarkStart w:id="49" w:name="_Hlk221024975"/>
      <w:r w:rsidRPr="0062595A">
        <w:rPr>
          <w:rFonts w:eastAsia="MS Mincho"/>
          <w:b/>
          <w:bCs/>
          <w:sz w:val="22"/>
        </w:rPr>
        <w:lastRenderedPageBreak/>
        <w:t>Percentage of individuals owning a mobile phone and using the Internet, 2025</w:t>
      </w:r>
    </w:p>
    <w:bookmarkEnd w:id="49"/>
    <w:p w14:paraId="7481EE62" w14:textId="77777777" w:rsidR="0062595A" w:rsidRPr="0062595A" w:rsidRDefault="0062595A" w:rsidP="006826C3">
      <w:pPr>
        <w:keepNext/>
        <w:keepLines/>
        <w:suppressAutoHyphens/>
        <w:adjustRightInd/>
        <w:jc w:val="center"/>
        <w:rPr>
          <w:rFonts w:eastAsia="MS Mincho"/>
          <w:sz w:val="22"/>
        </w:rPr>
      </w:pPr>
      <w:r w:rsidRPr="0062595A">
        <w:rPr>
          <w:rFonts w:eastAsia="MS Mincho"/>
          <w:noProof/>
          <w:sz w:val="22"/>
        </w:rPr>
        <w:drawing>
          <wp:inline distT="0" distB="0" distL="0" distR="0" wp14:anchorId="3122C7A8" wp14:editId="1E523D7E">
            <wp:extent cx="4670032" cy="2313651"/>
            <wp:effectExtent l="0" t="0" r="0" b="0"/>
            <wp:docPr id="925653357"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670032" cy="2313651"/>
                    </a:xfrm>
                    <a:prstGeom prst="rect">
                      <a:avLst/>
                    </a:prstGeom>
                    <a:noFill/>
                    <a:ln>
                      <a:noFill/>
                      <a:prstDash/>
                    </a:ln>
                  </pic:spPr>
                </pic:pic>
              </a:graphicData>
            </a:graphic>
          </wp:inline>
        </w:drawing>
      </w:r>
    </w:p>
    <w:p w14:paraId="37A31BD7" w14:textId="77777777" w:rsidR="0062595A" w:rsidRPr="0062595A" w:rsidRDefault="0062595A" w:rsidP="006826C3">
      <w:pPr>
        <w:keepNext/>
        <w:keepLines/>
        <w:suppressAutoHyphens/>
        <w:adjustRightInd/>
        <w:spacing w:before="0" w:after="200"/>
        <w:jc w:val="center"/>
        <w:rPr>
          <w:rFonts w:eastAsia="MS Mincho"/>
          <w:i/>
          <w:iCs/>
          <w:color w:val="1F497D"/>
          <w:sz w:val="18"/>
          <w:szCs w:val="18"/>
        </w:rPr>
      </w:pPr>
      <w:bookmarkStart w:id="50" w:name="figure_7"/>
      <w:r w:rsidRPr="0062595A">
        <w:rPr>
          <w:rFonts w:eastAsia="MS Mincho"/>
          <w:i/>
          <w:iCs/>
          <w:color w:val="1F497D"/>
          <w:sz w:val="18"/>
          <w:szCs w:val="18"/>
        </w:rPr>
        <w:t>Figure 7</w:t>
      </w:r>
      <w:bookmarkEnd w:id="50"/>
      <w:r w:rsidRPr="0062595A">
        <w:rPr>
          <w:rFonts w:eastAsia="MS Mincho"/>
          <w:i/>
          <w:iCs/>
          <w:color w:val="1F497D"/>
          <w:sz w:val="18"/>
          <w:szCs w:val="18"/>
        </w:rPr>
        <w:t xml:space="preserve">. Percentage of individuals owning a mobile phone and using the Internet, 2025. ITU Facts and Figures 2025 (p.26). </w:t>
      </w:r>
      <w:r w:rsidRPr="0062595A">
        <w:rPr>
          <w:rFonts w:cs="Calibri"/>
          <w:i/>
          <w:iCs/>
          <w:color w:val="7F7F7F"/>
          <w:sz w:val="18"/>
          <w:szCs w:val="16"/>
          <w:lang w:eastAsia="en-GB"/>
        </w:rPr>
        <w:t>Mobile phone ownership refers to individuals aged 10 or older.</w:t>
      </w:r>
      <w:r w:rsidRPr="0062595A">
        <w:rPr>
          <w:rFonts w:eastAsia="MS Mincho"/>
          <w:i/>
          <w:iCs/>
          <w:color w:val="7F7F7F"/>
          <w:sz w:val="18"/>
          <w:szCs w:val="16"/>
          <w:lang w:eastAsia="fr-FR"/>
        </w:rPr>
        <w:t xml:space="preserve"> </w:t>
      </w:r>
      <w:hyperlink r:id="rId100" w:anchor="chart-2" w:history="1">
        <w:r w:rsidRPr="0062595A">
          <w:rPr>
            <w:rFonts w:eastAsia="MS Mincho"/>
            <w:i/>
            <w:iCs/>
            <w:color w:val="7F7F7F"/>
            <w:sz w:val="18"/>
            <w:szCs w:val="16"/>
            <w:u w:val="single"/>
          </w:rPr>
          <w:t>Interactive chart</w:t>
        </w:r>
      </w:hyperlink>
      <w:r w:rsidRPr="0062595A">
        <w:rPr>
          <w:rFonts w:eastAsia="MS Mincho"/>
          <w:i/>
          <w:iCs/>
          <w:color w:val="7F7F7F"/>
          <w:sz w:val="18"/>
          <w:szCs w:val="16"/>
          <w:lang w:eastAsia="fr-FR"/>
        </w:rPr>
        <w:t>.</w:t>
      </w:r>
    </w:p>
    <w:p w14:paraId="076FD2DD" w14:textId="77777777" w:rsidR="0062595A" w:rsidRPr="0062595A" w:rsidRDefault="0062595A" w:rsidP="00C5530E">
      <w:pPr>
        <w:suppressAutoHyphens/>
        <w:adjustRightInd/>
        <w:spacing w:before="240" w:after="120"/>
        <w:jc w:val="both"/>
        <w:rPr>
          <w:rFonts w:cs="Calibri"/>
          <w:color w:val="000000"/>
          <w:sz w:val="22"/>
          <w:szCs w:val="22"/>
          <w:lang w:eastAsia="en-GB"/>
        </w:rPr>
      </w:pPr>
      <w:r w:rsidRPr="0062595A">
        <w:rPr>
          <w:rFonts w:cs="Calibri"/>
          <w:color w:val="000000"/>
          <w:sz w:val="22"/>
          <w:szCs w:val="22"/>
          <w:lang w:eastAsia="en-GB"/>
        </w:rPr>
        <w:t>Access to Internet-enabled devices is essential for meaningful connectivity, but the current indicators (percentage of individuals using a smart telephone and percentage of individuals who own a smart telephone) present several challenges. They partly overlap, and data availability is low. Many countries do not regularly collect data on smartphone ownership or use, and no global or regional aggregates are available. A simpler and more widely available indicator should be used in the SP 2028-2031. The SDG indicator on mobile phone ownership provides a suitable alternative: it is methodologically sound, collected by more countries and allows disaggregation by gender and other characteristics.</w:t>
      </w:r>
    </w:p>
    <w:p w14:paraId="67F90DE6" w14:textId="77777777" w:rsidR="0062595A" w:rsidRPr="0062595A" w:rsidRDefault="0062595A" w:rsidP="00C5530E">
      <w:pPr>
        <w:keepNext/>
        <w:keepLines/>
        <w:suppressAutoHyphens/>
        <w:adjustRightInd/>
        <w:spacing w:before="240" w:after="120"/>
        <w:jc w:val="both"/>
        <w:rPr>
          <w:rFonts w:cs="Calibri"/>
          <w:b/>
          <w:bCs/>
          <w:color w:val="000000"/>
          <w:sz w:val="22"/>
          <w:szCs w:val="22"/>
          <w:lang w:eastAsia="en-GB"/>
        </w:rPr>
      </w:pPr>
      <w:r w:rsidRPr="0062595A">
        <w:rPr>
          <w:rFonts w:cs="Calibri"/>
          <w:b/>
          <w:bCs/>
          <w:color w:val="000000"/>
          <w:sz w:val="22"/>
          <w:szCs w:val="22"/>
          <w:lang w:eastAsia="en-GB"/>
        </w:rPr>
        <w:t>Target 1.5: Access to the Internet for all schools</w:t>
      </w:r>
    </w:p>
    <w:p w14:paraId="58971170" w14:textId="1066BF51" w:rsidR="0062595A" w:rsidRPr="0062595A" w:rsidRDefault="0062595A" w:rsidP="00C5530E">
      <w:pPr>
        <w:keepNext/>
        <w:keepLines/>
        <w:suppressAutoHyphens/>
        <w:adjustRightInd/>
        <w:spacing w:after="120"/>
        <w:jc w:val="both"/>
        <w:rPr>
          <w:rFonts w:eastAsia="MS Mincho"/>
          <w:sz w:val="22"/>
        </w:rPr>
      </w:pPr>
      <w:r w:rsidRPr="0062595A">
        <w:rPr>
          <w:rFonts w:eastAsia="MS Mincho"/>
          <w:sz w:val="22"/>
          <w:szCs w:val="22"/>
          <w:lang w:eastAsia="en-GB"/>
        </w:rPr>
        <w:t xml:space="preserve">This data is gathered by the UNESCO Institute for Statistics (UIS) and the following indicators are available in </w:t>
      </w:r>
      <w:hyperlink r:id="rId101" w:history="1">
        <w:r w:rsidRPr="00AB7C67">
          <w:rPr>
            <w:rFonts w:eastAsia="MS Mincho"/>
            <w:color w:val="0563C1"/>
            <w:sz w:val="22"/>
            <w:szCs w:val="22"/>
            <w:u w:val="single"/>
            <w:lang w:eastAsia="en-GB"/>
          </w:rPr>
          <w:t>this dashboard</w:t>
        </w:r>
      </w:hyperlink>
      <w:r w:rsidRPr="00AB7C67">
        <w:rPr>
          <w:rFonts w:eastAsia="MS Mincho"/>
          <w:sz w:val="22"/>
          <w:szCs w:val="22"/>
          <w:lang w:eastAsia="en-GB"/>
        </w:rPr>
        <w:t xml:space="preserve"> (</w:t>
      </w:r>
      <w:r w:rsidRPr="0062595A">
        <w:rPr>
          <w:rFonts w:eastAsia="MS Mincho"/>
          <w:sz w:val="22"/>
          <w:szCs w:val="22"/>
          <w:lang w:eastAsia="en-GB"/>
        </w:rPr>
        <w:t>under Indicator 4a, Target 4a.1):</w:t>
      </w:r>
    </w:p>
    <w:p w14:paraId="3684CA35" w14:textId="77777777" w:rsidR="0062595A" w:rsidRPr="0062595A" w:rsidRDefault="0062595A" w:rsidP="00C5530E">
      <w:pPr>
        <w:keepNext/>
        <w:keepLines/>
        <w:numPr>
          <w:ilvl w:val="0"/>
          <w:numId w:val="24"/>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2"/>
          <w:lang w:eastAsia="zh-TW"/>
        </w:rPr>
      </w:pPr>
      <w:r w:rsidRPr="0062595A">
        <w:rPr>
          <w:rFonts w:eastAsia="PMingLiU"/>
          <w:sz w:val="22"/>
          <w:szCs w:val="22"/>
          <w:lang w:eastAsia="zh-TW"/>
        </w:rPr>
        <w:t>Percentage of schools with access to the Internet for pedagogical purposes.</w:t>
      </w:r>
    </w:p>
    <w:p w14:paraId="1F4E28E6" w14:textId="77777777" w:rsidR="0062595A" w:rsidRPr="0062595A" w:rsidRDefault="0062595A" w:rsidP="00C5530E">
      <w:pPr>
        <w:keepNext/>
        <w:keepLines/>
        <w:numPr>
          <w:ilvl w:val="0"/>
          <w:numId w:val="24"/>
        </w:numPr>
        <w:tabs>
          <w:tab w:val="clear" w:pos="567"/>
          <w:tab w:val="clear" w:pos="1134"/>
          <w:tab w:val="clear" w:pos="1701"/>
          <w:tab w:val="clear" w:pos="2268"/>
          <w:tab w:val="clear" w:pos="2835"/>
        </w:tabs>
        <w:suppressAutoHyphens/>
        <w:overflowPunct/>
        <w:autoSpaceDE/>
        <w:adjustRightInd/>
        <w:spacing w:before="60" w:after="60"/>
        <w:jc w:val="both"/>
        <w:textAlignment w:val="auto"/>
        <w:rPr>
          <w:rFonts w:eastAsia="PMingLiU"/>
          <w:sz w:val="22"/>
          <w:szCs w:val="24"/>
          <w:lang w:eastAsia="zh-TW"/>
        </w:rPr>
      </w:pPr>
      <w:r w:rsidRPr="0062595A">
        <w:rPr>
          <w:rFonts w:eastAsia="PMingLiU"/>
          <w:sz w:val="22"/>
          <w:szCs w:val="24"/>
          <w:lang w:eastAsia="zh-TW"/>
        </w:rPr>
        <w:t xml:space="preserve">Percentage of schools with access to computers for pedagogical purposes. </w:t>
      </w:r>
    </w:p>
    <w:p w14:paraId="1483CAA3" w14:textId="77777777" w:rsidR="0062595A" w:rsidRPr="0062595A" w:rsidRDefault="0062595A" w:rsidP="00C5530E">
      <w:pPr>
        <w:suppressAutoHyphens/>
        <w:adjustRightInd/>
        <w:spacing w:after="120"/>
        <w:jc w:val="both"/>
        <w:rPr>
          <w:rFonts w:eastAsia="MS Mincho"/>
          <w:sz w:val="22"/>
          <w:szCs w:val="22"/>
        </w:rPr>
      </w:pPr>
      <w:r w:rsidRPr="0062595A">
        <w:rPr>
          <w:rFonts w:eastAsia="MS Mincho"/>
          <w:sz w:val="22"/>
          <w:szCs w:val="22"/>
        </w:rPr>
        <w:t xml:space="preserve">Data are available by country and disaggregated by level (i.e. primary, lower secondary, upper secondary). Latest year available is 2024. Regional and global estimates are also available. </w:t>
      </w:r>
    </w:p>
    <w:p w14:paraId="180551B7" w14:textId="79CC316E" w:rsidR="0062595A" w:rsidRPr="0062595A" w:rsidRDefault="0062595A" w:rsidP="006826C3">
      <w:pPr>
        <w:suppressAutoHyphens/>
        <w:adjustRightInd/>
        <w:spacing w:before="360"/>
        <w:jc w:val="center"/>
        <w:rPr>
          <w:rFonts w:eastAsia="MS Mincho"/>
          <w:b/>
          <w:bCs/>
          <w:sz w:val="22"/>
          <w:szCs w:val="22"/>
        </w:rPr>
      </w:pPr>
      <w:r w:rsidRPr="0062595A">
        <w:rPr>
          <w:rFonts w:eastAsia="MS Mincho"/>
          <w:b/>
          <w:bCs/>
          <w:sz w:val="22"/>
          <w:szCs w:val="22"/>
        </w:rPr>
        <w:t xml:space="preserve">Proportion of schools with access to computers or the Internet for pedagogical purposes </w:t>
      </w:r>
      <w:r w:rsidR="006826C3">
        <w:rPr>
          <w:rFonts w:eastAsia="MS Mincho"/>
          <w:b/>
          <w:bCs/>
          <w:sz w:val="22"/>
          <w:szCs w:val="22"/>
        </w:rPr>
        <w:br/>
      </w:r>
      <w:r w:rsidRPr="0062595A">
        <w:rPr>
          <w:rFonts w:eastAsia="MS Mincho"/>
          <w:b/>
          <w:bCs/>
          <w:sz w:val="22"/>
          <w:szCs w:val="22"/>
        </w:rPr>
        <w:t>(per cent), 2024</w:t>
      </w:r>
    </w:p>
    <w:p w14:paraId="1F1CAAA1" w14:textId="77777777" w:rsidR="0062595A" w:rsidRPr="0062595A" w:rsidRDefault="0062595A" w:rsidP="00C5530E">
      <w:pPr>
        <w:keepNext/>
        <w:suppressAutoHyphens/>
        <w:adjustRightInd/>
        <w:jc w:val="center"/>
        <w:rPr>
          <w:rFonts w:eastAsia="MS Mincho"/>
          <w:sz w:val="22"/>
        </w:rPr>
      </w:pPr>
      <w:r w:rsidRPr="0062595A">
        <w:rPr>
          <w:rFonts w:eastAsia="MS Mincho"/>
          <w:noProof/>
          <w:sz w:val="22"/>
        </w:rPr>
        <w:drawing>
          <wp:inline distT="0" distB="0" distL="0" distR="0" wp14:anchorId="540DCCDC" wp14:editId="3078F5B4">
            <wp:extent cx="4712973" cy="1970705"/>
            <wp:effectExtent l="0" t="0" r="0" b="0"/>
            <wp:docPr id="905413567"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712973" cy="1970705"/>
                    </a:xfrm>
                    <a:prstGeom prst="rect">
                      <a:avLst/>
                    </a:prstGeom>
                    <a:noFill/>
                    <a:ln>
                      <a:noFill/>
                      <a:prstDash/>
                    </a:ln>
                  </pic:spPr>
                </pic:pic>
              </a:graphicData>
            </a:graphic>
          </wp:inline>
        </w:drawing>
      </w:r>
    </w:p>
    <w:p w14:paraId="29CAB177" w14:textId="299140C6" w:rsidR="0062595A" w:rsidRPr="0062595A" w:rsidRDefault="0062595A" w:rsidP="00C5530E">
      <w:pPr>
        <w:suppressAutoHyphens/>
        <w:adjustRightInd/>
        <w:spacing w:before="0" w:after="200"/>
        <w:jc w:val="center"/>
        <w:rPr>
          <w:rFonts w:eastAsia="MS Mincho"/>
          <w:i/>
          <w:iCs/>
          <w:color w:val="1F497D"/>
          <w:sz w:val="18"/>
          <w:szCs w:val="18"/>
        </w:rPr>
      </w:pPr>
      <w:bookmarkStart w:id="51" w:name="figure_8"/>
      <w:r w:rsidRPr="0062595A">
        <w:rPr>
          <w:rFonts w:eastAsia="MS Mincho"/>
          <w:i/>
          <w:iCs/>
          <w:color w:val="1F497D"/>
          <w:sz w:val="18"/>
          <w:szCs w:val="18"/>
        </w:rPr>
        <w:t>Figure 8</w:t>
      </w:r>
      <w:bookmarkEnd w:id="51"/>
      <w:r w:rsidRPr="0062595A">
        <w:rPr>
          <w:rFonts w:eastAsia="MS Mincho"/>
          <w:i/>
          <w:iCs/>
          <w:color w:val="1F497D"/>
          <w:sz w:val="18"/>
          <w:szCs w:val="18"/>
        </w:rPr>
        <w:t xml:space="preserve">. Proportion of schools with access to computers or the Internet for pedagogical purposes (per cent), 2024. </w:t>
      </w:r>
      <w:r w:rsidRPr="0062595A">
        <w:rPr>
          <w:rFonts w:eastAsia="MS Mincho"/>
          <w:i/>
          <w:iCs/>
          <w:color w:val="1F497D"/>
          <w:sz w:val="18"/>
          <w:szCs w:val="16"/>
          <w:lang w:eastAsia="en-GB"/>
        </w:rPr>
        <w:t xml:space="preserve">UNESCO Institute for Statistics. </w:t>
      </w:r>
      <w:r w:rsidRPr="0062595A">
        <w:rPr>
          <w:rFonts w:eastAsia="MS Mincho"/>
          <w:i/>
          <w:iCs/>
          <w:color w:val="7F7F7F"/>
          <w:sz w:val="18"/>
          <w:szCs w:val="16"/>
          <w:lang w:eastAsia="en-GB"/>
        </w:rPr>
        <w:t xml:space="preserve">Find more </w:t>
      </w:r>
      <w:hyperlink r:id="rId103" w:history="1">
        <w:r w:rsidRPr="0062595A">
          <w:rPr>
            <w:rFonts w:eastAsia="MS Mincho"/>
            <w:i/>
            <w:iCs/>
            <w:color w:val="0563C1"/>
            <w:sz w:val="18"/>
            <w:szCs w:val="16"/>
            <w:u w:val="single"/>
            <w:lang w:eastAsia="en-GB"/>
          </w:rPr>
          <w:t>here</w:t>
        </w:r>
      </w:hyperlink>
      <w:r w:rsidRPr="0062595A">
        <w:rPr>
          <w:rFonts w:eastAsia="MS Mincho"/>
          <w:i/>
          <w:iCs/>
          <w:color w:val="7F7F7F"/>
          <w:sz w:val="18"/>
          <w:szCs w:val="16"/>
          <w:lang w:eastAsia="en-GB"/>
        </w:rPr>
        <w:t>.</w:t>
      </w:r>
    </w:p>
    <w:p w14:paraId="6006E6F0" w14:textId="67F4B988" w:rsidR="0062595A" w:rsidRPr="0062595A" w:rsidRDefault="0062595A" w:rsidP="00C5530E">
      <w:pPr>
        <w:suppressAutoHyphens/>
        <w:adjustRightInd/>
        <w:spacing w:before="360" w:after="120"/>
        <w:jc w:val="both"/>
        <w:rPr>
          <w:rFonts w:eastAsia="MS Mincho"/>
          <w:sz w:val="22"/>
        </w:rPr>
      </w:pPr>
      <w:r w:rsidRPr="0062595A">
        <w:rPr>
          <w:rFonts w:eastAsia="MS Mincho"/>
          <w:sz w:val="22"/>
          <w:szCs w:val="22"/>
        </w:rPr>
        <w:lastRenderedPageBreak/>
        <w:t>In 2024, about half of primary schools had access to computers and the Internet. More than 60 per cent of lower secondary schools and more than 70 per cent of upper secondary schools had access to these facilities (</w:t>
      </w:r>
      <w:hyperlink w:anchor="figure_8" w:history="1">
        <w:r w:rsidRPr="00C93A80">
          <w:rPr>
            <w:rStyle w:val="Hyperlink"/>
            <w:rFonts w:eastAsia="MS Mincho"/>
            <w:color w:val="0563C1"/>
            <w:sz w:val="22"/>
            <w:szCs w:val="22"/>
          </w:rPr>
          <w:t>See Figure 8</w:t>
        </w:r>
      </w:hyperlink>
      <w:r w:rsidRPr="0062595A">
        <w:rPr>
          <w:rFonts w:eastAsia="MS Mincho"/>
          <w:sz w:val="22"/>
          <w:szCs w:val="22"/>
        </w:rPr>
        <w:t>).</w:t>
      </w:r>
    </w:p>
    <w:p w14:paraId="03D674AF" w14:textId="77777777" w:rsidR="0062595A" w:rsidRPr="0062595A" w:rsidRDefault="0062595A" w:rsidP="00C5530E">
      <w:pPr>
        <w:suppressAutoHyphens/>
        <w:adjustRightInd/>
        <w:spacing w:after="120"/>
        <w:jc w:val="both"/>
        <w:rPr>
          <w:rFonts w:eastAsia="MS Mincho"/>
          <w:sz w:val="22"/>
          <w:szCs w:val="22"/>
        </w:rPr>
      </w:pPr>
      <w:r w:rsidRPr="0062595A">
        <w:rPr>
          <w:rFonts w:eastAsia="MS Mincho"/>
          <w:sz w:val="22"/>
          <w:szCs w:val="22"/>
        </w:rPr>
        <w:t xml:space="preserve">The existing data does not allow yet for drawing conclusions on the evolution of world averages. School connectivity may be a relevant target. However, the current indicator is inadequate. A threshold of 500 MB per month is far below what is required for educational use. Additionally, ITU is not the main data source for this indicator. The United Nations Educational, Scientific and Cultural Organization (UNESCO) collects data on schools with Internet access. </w:t>
      </w:r>
    </w:p>
    <w:p w14:paraId="55471BD7" w14:textId="77777777" w:rsidR="0062595A" w:rsidRPr="0062595A" w:rsidRDefault="0062595A" w:rsidP="00C5530E">
      <w:pPr>
        <w:suppressAutoHyphens/>
        <w:adjustRightInd/>
        <w:spacing w:before="240" w:after="120"/>
        <w:jc w:val="both"/>
        <w:rPr>
          <w:rFonts w:eastAsia="MS Mincho"/>
          <w:sz w:val="22"/>
        </w:rPr>
      </w:pPr>
      <w:r w:rsidRPr="0062595A">
        <w:rPr>
          <w:rFonts w:eastAsia="MS Mincho"/>
          <w:b/>
          <w:bCs/>
          <w:sz w:val="22"/>
          <w:szCs w:val="18"/>
        </w:rPr>
        <w:t>Target 1.6: Improved cybersecurity preparedness of countries</w:t>
      </w:r>
    </w:p>
    <w:p w14:paraId="2403DEC6" w14:textId="77777777" w:rsidR="0062595A" w:rsidRPr="0062595A" w:rsidRDefault="0062595A" w:rsidP="00C5530E">
      <w:pPr>
        <w:suppressAutoHyphens/>
        <w:adjustRightInd/>
        <w:spacing w:after="120"/>
        <w:jc w:val="both"/>
        <w:rPr>
          <w:rFonts w:eastAsia="Calibri"/>
          <w:sz w:val="22"/>
          <w:szCs w:val="22"/>
        </w:rPr>
      </w:pPr>
      <w:r w:rsidRPr="0062595A">
        <w:rPr>
          <w:rFonts w:eastAsia="Calibri"/>
          <w:sz w:val="22"/>
          <w:szCs w:val="22"/>
        </w:rPr>
        <w:t>In terms of enhancing cybersecurity preparedness among countries, notable progress has been observed. By 2024, 132 countries had established Computer Incident Response Teams (CIRTs), an increase from 109 in 2020. Additionally, 127 countries had implemented National Cybersecurity Strategies and Action Plans, up from 107 in 2020.</w:t>
      </w:r>
    </w:p>
    <w:p w14:paraId="43861956" w14:textId="77777777" w:rsidR="0062595A" w:rsidRPr="0062595A" w:rsidRDefault="0062595A" w:rsidP="00C5530E">
      <w:pPr>
        <w:suppressAutoHyphens/>
        <w:adjustRightInd/>
        <w:spacing w:before="240" w:after="120"/>
        <w:jc w:val="both"/>
        <w:rPr>
          <w:rFonts w:eastAsia="MS Mincho"/>
          <w:sz w:val="22"/>
        </w:rPr>
      </w:pPr>
      <w:r w:rsidRPr="0062595A">
        <w:rPr>
          <w:rFonts w:eastAsia="MS Mincho"/>
          <w:b/>
          <w:bCs/>
          <w:sz w:val="22"/>
          <w:szCs w:val="18"/>
        </w:rPr>
        <w:t xml:space="preserve">Target </w:t>
      </w:r>
      <w:r w:rsidRPr="0062595A">
        <w:rPr>
          <w:rFonts w:cs="Calibri"/>
          <w:b/>
          <w:bCs/>
          <w:color w:val="000000"/>
          <w:sz w:val="22"/>
          <w:szCs w:val="22"/>
          <w:lang w:eastAsia="en-GB"/>
        </w:rPr>
        <w:t>1.7: Universal access to the Internet by all individuals</w:t>
      </w:r>
    </w:p>
    <w:p w14:paraId="0A86D60E" w14:textId="3B163E4B" w:rsidR="0062595A" w:rsidRPr="0062595A" w:rsidRDefault="0062595A" w:rsidP="00C5530E">
      <w:pPr>
        <w:suppressAutoHyphens/>
        <w:adjustRightInd/>
        <w:spacing w:after="120"/>
        <w:jc w:val="both"/>
        <w:rPr>
          <w:rFonts w:eastAsia="MS Mincho"/>
          <w:sz w:val="22"/>
        </w:rPr>
      </w:pPr>
      <w:r w:rsidRPr="0062595A">
        <w:rPr>
          <w:rFonts w:eastAsia="MS Mincho"/>
          <w:sz w:val="22"/>
          <w:szCs w:val="18"/>
        </w:rPr>
        <w:t>In 2025, 74 per cent of the world’s population were online, compared with 71 per cent a year earlier. In absolute numbers, this corresponds to 6 billion people, up from 5.4 billion in 2022, representing an increase of 13 per cent over the period (</w:t>
      </w:r>
      <w:hyperlink w:anchor="figure_9" w:history="1">
        <w:r w:rsidRPr="00C93A80">
          <w:rPr>
            <w:rStyle w:val="Hyperlink"/>
            <w:rFonts w:eastAsia="MS Mincho"/>
            <w:color w:val="0563C1"/>
            <w:sz w:val="22"/>
            <w:szCs w:val="18"/>
          </w:rPr>
          <w:t>See Figure 9</w:t>
        </w:r>
      </w:hyperlink>
      <w:r w:rsidRPr="0062595A">
        <w:rPr>
          <w:rFonts w:eastAsia="MS Mincho"/>
          <w:sz w:val="22"/>
          <w:szCs w:val="18"/>
        </w:rPr>
        <w:t>). While progress continues toward universal connectivity more than a quarter of the global population remained offline.</w:t>
      </w:r>
    </w:p>
    <w:p w14:paraId="310B58E8" w14:textId="77777777" w:rsidR="0062595A" w:rsidRPr="0062595A" w:rsidRDefault="0062595A" w:rsidP="006826C3">
      <w:pPr>
        <w:suppressAutoHyphens/>
        <w:adjustRightInd/>
        <w:spacing w:before="360"/>
        <w:jc w:val="center"/>
        <w:rPr>
          <w:rFonts w:eastAsia="MS Mincho"/>
          <w:b/>
          <w:bCs/>
          <w:sz w:val="22"/>
          <w:szCs w:val="18"/>
        </w:rPr>
      </w:pPr>
      <w:r w:rsidRPr="0062595A">
        <w:rPr>
          <w:rFonts w:eastAsia="MS Mincho"/>
          <w:b/>
          <w:bCs/>
          <w:sz w:val="22"/>
          <w:szCs w:val="18"/>
        </w:rPr>
        <w:t>Individuals using the Internet</w:t>
      </w:r>
    </w:p>
    <w:p w14:paraId="1B5E9B25" w14:textId="77777777" w:rsidR="0062595A" w:rsidRPr="0062595A" w:rsidRDefault="0062595A" w:rsidP="006826C3">
      <w:pPr>
        <w:suppressAutoHyphens/>
        <w:adjustRightInd/>
        <w:jc w:val="center"/>
        <w:rPr>
          <w:rFonts w:eastAsia="MS Mincho"/>
          <w:sz w:val="22"/>
        </w:rPr>
      </w:pPr>
      <w:r w:rsidRPr="0062595A">
        <w:rPr>
          <w:rFonts w:eastAsia="MS Mincho"/>
          <w:noProof/>
          <w:sz w:val="22"/>
        </w:rPr>
        <w:drawing>
          <wp:inline distT="0" distB="0" distL="0" distR="0" wp14:anchorId="2B76D5CE" wp14:editId="08F50A65">
            <wp:extent cx="4548317" cy="2653881"/>
            <wp:effectExtent l="0" t="0" r="4633" b="0"/>
            <wp:docPr id="1982234140"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548317" cy="2653881"/>
                    </a:xfrm>
                    <a:prstGeom prst="rect">
                      <a:avLst/>
                    </a:prstGeom>
                    <a:noFill/>
                    <a:ln>
                      <a:noFill/>
                      <a:prstDash/>
                    </a:ln>
                  </pic:spPr>
                </pic:pic>
              </a:graphicData>
            </a:graphic>
          </wp:inline>
        </w:drawing>
      </w:r>
    </w:p>
    <w:p w14:paraId="17728C46" w14:textId="77777777" w:rsidR="0062595A" w:rsidRPr="0062595A" w:rsidRDefault="0062595A" w:rsidP="006826C3">
      <w:pPr>
        <w:suppressAutoHyphens/>
        <w:adjustRightInd/>
        <w:spacing w:before="0" w:after="200"/>
        <w:jc w:val="center"/>
        <w:rPr>
          <w:rFonts w:eastAsia="MS Mincho"/>
          <w:i/>
          <w:iCs/>
          <w:color w:val="1F497D"/>
          <w:sz w:val="18"/>
          <w:szCs w:val="18"/>
        </w:rPr>
      </w:pPr>
      <w:bookmarkStart w:id="52" w:name="figure_9"/>
      <w:r w:rsidRPr="0062595A">
        <w:rPr>
          <w:rFonts w:eastAsia="MS Mincho"/>
          <w:i/>
          <w:iCs/>
          <w:color w:val="1F497D"/>
          <w:sz w:val="18"/>
          <w:szCs w:val="18"/>
        </w:rPr>
        <w:t>Figure 9</w:t>
      </w:r>
      <w:bookmarkEnd w:id="52"/>
      <w:r w:rsidRPr="0062595A">
        <w:rPr>
          <w:rFonts w:eastAsia="MS Mincho"/>
          <w:i/>
          <w:iCs/>
          <w:color w:val="1F497D"/>
          <w:sz w:val="18"/>
          <w:szCs w:val="18"/>
        </w:rPr>
        <w:t xml:space="preserve">. Individuals using the Internet. ITU Facts and Figures 2025 (p.1). </w:t>
      </w:r>
      <w:hyperlink r:id="rId105" w:anchor="chart-1" w:history="1">
        <w:r w:rsidRPr="0062595A">
          <w:rPr>
            <w:rFonts w:eastAsia="MS Mincho"/>
            <w:i/>
            <w:iCs/>
            <w:color w:val="0563C1"/>
            <w:sz w:val="18"/>
            <w:szCs w:val="16"/>
            <w:u w:val="single"/>
          </w:rPr>
          <w:t>Interactive chart</w:t>
        </w:r>
      </w:hyperlink>
      <w:r w:rsidRPr="0062595A">
        <w:rPr>
          <w:rFonts w:eastAsia="MS Mincho"/>
          <w:i/>
          <w:iCs/>
          <w:color w:val="1F497D"/>
          <w:sz w:val="18"/>
          <w:szCs w:val="18"/>
        </w:rPr>
        <w:t>.</w:t>
      </w:r>
    </w:p>
    <w:p w14:paraId="207C04E4" w14:textId="77777777" w:rsidR="0062595A" w:rsidRPr="0062595A" w:rsidRDefault="0062595A" w:rsidP="006826C3">
      <w:pPr>
        <w:suppressAutoHyphens/>
        <w:adjustRightInd/>
        <w:spacing w:before="360" w:after="120"/>
        <w:jc w:val="both"/>
        <w:rPr>
          <w:rFonts w:eastAsia="MS Mincho"/>
          <w:sz w:val="22"/>
          <w:szCs w:val="18"/>
        </w:rPr>
      </w:pPr>
      <w:r w:rsidRPr="0062595A">
        <w:rPr>
          <w:rFonts w:eastAsia="MS Mincho"/>
          <w:sz w:val="22"/>
          <w:szCs w:val="18"/>
        </w:rPr>
        <w:t>Internet use is closely linked to levels of development. High-income countries are nearing universal Internet use with 94 per cent of the population using the Internet. In contrast, only 23 per cent of the population of low-income countries used the Internet.</w:t>
      </w:r>
    </w:p>
    <w:p w14:paraId="50D45FCA" w14:textId="77777777" w:rsidR="0062595A" w:rsidRPr="0062595A" w:rsidRDefault="0062595A" w:rsidP="00C5530E">
      <w:pPr>
        <w:suppressAutoHyphens/>
        <w:adjustRightInd/>
        <w:spacing w:after="120"/>
        <w:jc w:val="both"/>
        <w:rPr>
          <w:rFonts w:eastAsia="MS Mincho"/>
          <w:sz w:val="22"/>
          <w:szCs w:val="18"/>
        </w:rPr>
      </w:pPr>
      <w:r w:rsidRPr="0062595A">
        <w:rPr>
          <w:rFonts w:eastAsia="MS Mincho"/>
          <w:sz w:val="22"/>
          <w:szCs w:val="18"/>
        </w:rPr>
        <w:t>Within the Commonwealth of Independent States (CIS), Europe and the Americas, between 88 and 93 per cent of the population used the Internet. In Asia-Pacific and the Arab States regions, Internet use stood at 77 and 70 per cent, respectively, which is in line with the global average. By contrast, the average figure for Internet use for the Africa region was just 36 per cent.</w:t>
      </w:r>
    </w:p>
    <w:p w14:paraId="7E6BB4BA" w14:textId="141C8155" w:rsidR="0062595A" w:rsidRPr="0062595A" w:rsidRDefault="0062595A" w:rsidP="006826C3">
      <w:pPr>
        <w:keepNext/>
        <w:keepLines/>
        <w:suppressAutoHyphens/>
        <w:adjustRightInd/>
        <w:spacing w:after="120"/>
        <w:jc w:val="both"/>
        <w:rPr>
          <w:rFonts w:eastAsia="MS Mincho"/>
          <w:sz w:val="22"/>
        </w:rPr>
      </w:pPr>
      <w:r w:rsidRPr="0062595A">
        <w:rPr>
          <w:rFonts w:eastAsia="MS Mincho"/>
          <w:sz w:val="22"/>
          <w:szCs w:val="18"/>
        </w:rPr>
        <w:lastRenderedPageBreak/>
        <w:t>Universal connectivity also remains a distant prospect in the least developed countries (LDCs) and landlocked developing countries (LLDCs), where only 34 and 38 per cent of the population were online, respectively. While the annual growth rate in 2025 in these economies averaged 7.4 and 5.5 per cent, respectively, which is higher than in most of the other groups or regions, the connectivity gap is not expected to close anytime soon (</w:t>
      </w:r>
      <w:hyperlink w:anchor="figure_10" w:history="1">
        <w:r w:rsidRPr="00C93A80">
          <w:rPr>
            <w:rStyle w:val="Hyperlink"/>
            <w:rFonts w:eastAsia="MS Mincho"/>
            <w:color w:val="0563C1"/>
            <w:sz w:val="22"/>
            <w:szCs w:val="18"/>
          </w:rPr>
          <w:t>See Figure 10</w:t>
        </w:r>
      </w:hyperlink>
      <w:r w:rsidRPr="0062595A">
        <w:rPr>
          <w:rFonts w:eastAsia="MS Mincho"/>
          <w:sz w:val="22"/>
          <w:szCs w:val="18"/>
        </w:rPr>
        <w:t>).</w:t>
      </w:r>
    </w:p>
    <w:p w14:paraId="05013670" w14:textId="77777777" w:rsidR="0062595A" w:rsidRPr="0062595A" w:rsidRDefault="0062595A" w:rsidP="006826C3">
      <w:pPr>
        <w:suppressAutoHyphens/>
        <w:adjustRightInd/>
        <w:spacing w:before="320"/>
        <w:jc w:val="center"/>
        <w:rPr>
          <w:rFonts w:eastAsia="MS Mincho"/>
          <w:b/>
          <w:bCs/>
          <w:sz w:val="22"/>
          <w:szCs w:val="18"/>
        </w:rPr>
      </w:pPr>
      <w:bookmarkStart w:id="53" w:name="_Hlk221026295"/>
      <w:r w:rsidRPr="0062595A">
        <w:rPr>
          <w:rFonts w:eastAsia="MS Mincho"/>
          <w:b/>
          <w:bCs/>
          <w:sz w:val="22"/>
          <w:szCs w:val="18"/>
        </w:rPr>
        <w:t>Percentage of individuals using the Internet by region and special groups, 2022 and 2025</w:t>
      </w:r>
    </w:p>
    <w:bookmarkEnd w:id="53"/>
    <w:p w14:paraId="1A922BB3" w14:textId="77777777" w:rsidR="0062595A" w:rsidRPr="0062595A" w:rsidRDefault="0062595A" w:rsidP="00C5530E">
      <w:pPr>
        <w:keepNext/>
        <w:suppressAutoHyphens/>
        <w:adjustRightInd/>
        <w:jc w:val="center"/>
        <w:rPr>
          <w:rFonts w:eastAsia="MS Mincho"/>
          <w:sz w:val="22"/>
        </w:rPr>
      </w:pPr>
      <w:r w:rsidRPr="0062595A">
        <w:rPr>
          <w:rFonts w:eastAsia="MS Mincho"/>
          <w:noProof/>
          <w:sz w:val="22"/>
        </w:rPr>
        <w:drawing>
          <wp:inline distT="0" distB="0" distL="0" distR="0" wp14:anchorId="3B9C6DE7" wp14:editId="7B310D02">
            <wp:extent cx="4868731" cy="2412095"/>
            <wp:effectExtent l="0" t="0" r="8069" b="7255"/>
            <wp:docPr id="911674118"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868731" cy="2412095"/>
                    </a:xfrm>
                    <a:prstGeom prst="rect">
                      <a:avLst/>
                    </a:prstGeom>
                    <a:noFill/>
                    <a:ln>
                      <a:noFill/>
                      <a:prstDash/>
                    </a:ln>
                  </pic:spPr>
                </pic:pic>
              </a:graphicData>
            </a:graphic>
          </wp:inline>
        </w:drawing>
      </w:r>
    </w:p>
    <w:p w14:paraId="74A330AA" w14:textId="77777777" w:rsidR="0062595A" w:rsidRPr="0062595A" w:rsidRDefault="0062595A" w:rsidP="00C5530E">
      <w:pPr>
        <w:suppressAutoHyphens/>
        <w:adjustRightInd/>
        <w:spacing w:before="0" w:after="200"/>
        <w:jc w:val="center"/>
        <w:rPr>
          <w:rFonts w:eastAsia="MS Mincho"/>
          <w:i/>
          <w:iCs/>
          <w:color w:val="1F497D"/>
          <w:sz w:val="18"/>
          <w:szCs w:val="18"/>
        </w:rPr>
      </w:pPr>
      <w:bookmarkStart w:id="54" w:name="figure_10"/>
      <w:r w:rsidRPr="0062595A">
        <w:rPr>
          <w:rFonts w:eastAsia="MS Mincho"/>
          <w:i/>
          <w:iCs/>
          <w:color w:val="1F497D"/>
          <w:sz w:val="18"/>
          <w:szCs w:val="18"/>
        </w:rPr>
        <w:t>Figure 10</w:t>
      </w:r>
      <w:bookmarkEnd w:id="54"/>
      <w:r w:rsidRPr="0062595A">
        <w:rPr>
          <w:rFonts w:eastAsia="MS Mincho"/>
          <w:i/>
          <w:iCs/>
          <w:color w:val="1F497D"/>
          <w:sz w:val="18"/>
          <w:szCs w:val="18"/>
        </w:rPr>
        <w:t>. Percentage of individuals using the Internet by region and special groups, 2022 and 2025. ITU Facts and Figures 2025 (p.3).</w:t>
      </w:r>
      <w:hyperlink r:id="rId107" w:anchor="chart-2" w:history="1">
        <w:r w:rsidRPr="0062595A">
          <w:rPr>
            <w:rFonts w:eastAsia="MS Mincho"/>
            <w:i/>
            <w:iCs/>
            <w:color w:val="0563C1"/>
            <w:sz w:val="18"/>
            <w:szCs w:val="16"/>
            <w:u w:val="single"/>
          </w:rPr>
          <w:t>Interactive chart</w:t>
        </w:r>
      </w:hyperlink>
      <w:r w:rsidRPr="0062595A">
        <w:rPr>
          <w:rFonts w:eastAsia="MS Mincho"/>
          <w:i/>
          <w:iCs/>
          <w:sz w:val="18"/>
          <w:szCs w:val="16"/>
          <w:lang w:eastAsia="fr-FR"/>
        </w:rPr>
        <w:t>.</w:t>
      </w:r>
    </w:p>
    <w:p w14:paraId="338EE444" w14:textId="494A220D" w:rsidR="0062595A" w:rsidRPr="0062595A" w:rsidRDefault="0062595A" w:rsidP="004630E8">
      <w:pPr>
        <w:keepNext/>
        <w:keepLines/>
        <w:tabs>
          <w:tab w:val="clear" w:pos="567"/>
        </w:tabs>
        <w:suppressAutoHyphens/>
        <w:adjustRightInd/>
        <w:spacing w:before="360" w:after="120"/>
        <w:ind w:left="567" w:hanging="567"/>
        <w:jc w:val="both"/>
        <w:outlineLvl w:val="2"/>
        <w:rPr>
          <w:rFonts w:eastAsia="MS Mincho"/>
          <w:b/>
          <w:color w:val="0D0D0D"/>
        </w:rPr>
      </w:pPr>
      <w:bookmarkStart w:id="55" w:name="_Toc197427033"/>
      <w:bookmarkStart w:id="56" w:name="_Toc215760884"/>
      <w:bookmarkStart w:id="57" w:name="_Toc224288802"/>
      <w:bookmarkStart w:id="58" w:name="Section_3_2_2"/>
      <w:r w:rsidRPr="0062595A">
        <w:rPr>
          <w:rFonts w:eastAsia="MS Mincho"/>
          <w:b/>
          <w:color w:val="0D0D0D"/>
        </w:rPr>
        <w:t>3.2.2</w:t>
      </w:r>
      <w:r w:rsidRPr="0062595A">
        <w:rPr>
          <w:rFonts w:eastAsia="MS Mincho"/>
          <w:b/>
          <w:color w:val="0D0D0D"/>
        </w:rPr>
        <w:tab/>
        <w:t>Sustainable Digital Transformation</w:t>
      </w:r>
      <w:bookmarkEnd w:id="55"/>
      <w:bookmarkEnd w:id="56"/>
      <w:bookmarkEnd w:id="57"/>
      <w:bookmarkEnd w:id="58"/>
    </w:p>
    <w:p w14:paraId="736A4D33"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This subsection covers key dimensions of sustainable digital transformation, including digital inclusion gaps, digital skills, use of digital services, cybersecurity preparedness, and environmental sustainability.</w:t>
      </w:r>
    </w:p>
    <w:p w14:paraId="502097E2" w14:textId="77777777" w:rsidR="0062595A" w:rsidRPr="0062595A" w:rsidRDefault="0062595A" w:rsidP="00C5530E">
      <w:pPr>
        <w:keepNext/>
        <w:keepLines/>
        <w:suppressAutoHyphens/>
        <w:adjustRightInd/>
        <w:spacing w:before="240" w:after="120"/>
        <w:ind w:left="1134" w:hanging="1134"/>
        <w:jc w:val="both"/>
        <w:outlineLvl w:val="3"/>
        <w:rPr>
          <w:rFonts w:eastAsia="MS Mincho"/>
          <w:b/>
          <w:color w:val="0D0D0D"/>
          <w:sz w:val="22"/>
        </w:rPr>
      </w:pPr>
      <w:r w:rsidRPr="0062595A">
        <w:rPr>
          <w:rFonts w:eastAsia="MS Mincho"/>
          <w:b/>
          <w:color w:val="0D0D0D"/>
          <w:sz w:val="22"/>
        </w:rPr>
        <w:t>Target 2.1: All digital gaps to be bridged (particularly gender, age and urban/rural)</w:t>
      </w:r>
    </w:p>
    <w:p w14:paraId="0D6FAAC5" w14:textId="77777777" w:rsidR="0062595A" w:rsidRPr="0062595A" w:rsidRDefault="0062595A" w:rsidP="00C5530E">
      <w:pPr>
        <w:suppressAutoHyphens/>
        <w:adjustRightInd/>
        <w:spacing w:after="120"/>
        <w:jc w:val="both"/>
        <w:rPr>
          <w:rFonts w:eastAsia="MS Mincho"/>
          <w:sz w:val="22"/>
          <w:szCs w:val="18"/>
        </w:rPr>
      </w:pPr>
      <w:r w:rsidRPr="0062595A">
        <w:rPr>
          <w:rFonts w:eastAsia="MS Mincho"/>
          <w:sz w:val="22"/>
          <w:szCs w:val="18"/>
        </w:rPr>
        <w:t xml:space="preserve">This target shows uneven progress depending on the disaggregation, such as gender, age, and location (rural and urban). This indicates that advancements in digital access are not uniform, highlighting the need for targeted strategies to address specific gaps. </w:t>
      </w:r>
    </w:p>
    <w:p w14:paraId="0FF7101A" w14:textId="77777777" w:rsidR="0062595A" w:rsidRPr="0062595A" w:rsidRDefault="0062595A" w:rsidP="006826C3">
      <w:pPr>
        <w:suppressAutoHyphens/>
        <w:adjustRightInd/>
        <w:spacing w:before="320"/>
        <w:jc w:val="center"/>
        <w:rPr>
          <w:rFonts w:eastAsia="MS Mincho"/>
          <w:b/>
          <w:bCs/>
          <w:sz w:val="22"/>
        </w:rPr>
      </w:pPr>
      <w:r w:rsidRPr="0062595A">
        <w:rPr>
          <w:rFonts w:eastAsia="MS Mincho"/>
          <w:b/>
          <w:bCs/>
          <w:sz w:val="22"/>
        </w:rPr>
        <w:t>Percentage of women and men using the Internet, 2025</w:t>
      </w:r>
    </w:p>
    <w:p w14:paraId="14316255" w14:textId="77777777" w:rsidR="0062595A" w:rsidRPr="0062595A" w:rsidRDefault="0062595A" w:rsidP="00C5530E">
      <w:pPr>
        <w:keepNext/>
        <w:suppressAutoHyphens/>
        <w:adjustRightInd/>
        <w:jc w:val="both"/>
        <w:rPr>
          <w:rFonts w:eastAsia="MS Mincho"/>
          <w:sz w:val="22"/>
        </w:rPr>
      </w:pPr>
      <w:r w:rsidRPr="0062595A">
        <w:rPr>
          <w:rFonts w:eastAsia="MS Mincho"/>
          <w:noProof/>
          <w:sz w:val="22"/>
        </w:rPr>
        <w:drawing>
          <wp:inline distT="0" distB="0" distL="0" distR="0" wp14:anchorId="23CCFA9E" wp14:editId="09B740AA">
            <wp:extent cx="5181017" cy="2550810"/>
            <wp:effectExtent l="0" t="0" r="583" b="1890"/>
            <wp:docPr id="1634490336"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181017" cy="2550810"/>
                    </a:xfrm>
                    <a:prstGeom prst="rect">
                      <a:avLst/>
                    </a:prstGeom>
                    <a:noFill/>
                    <a:ln>
                      <a:noFill/>
                      <a:prstDash/>
                    </a:ln>
                  </pic:spPr>
                </pic:pic>
              </a:graphicData>
            </a:graphic>
          </wp:inline>
        </w:drawing>
      </w:r>
    </w:p>
    <w:p w14:paraId="459602C9" w14:textId="77777777" w:rsidR="0062595A" w:rsidRPr="0062595A" w:rsidRDefault="0062595A" w:rsidP="00C5530E">
      <w:pPr>
        <w:suppressAutoHyphens/>
        <w:adjustRightInd/>
        <w:spacing w:before="0" w:after="200"/>
        <w:jc w:val="center"/>
        <w:rPr>
          <w:rFonts w:eastAsia="MS Mincho"/>
          <w:i/>
          <w:iCs/>
          <w:color w:val="1F497D"/>
          <w:sz w:val="18"/>
          <w:szCs w:val="18"/>
        </w:rPr>
      </w:pPr>
      <w:bookmarkStart w:id="59" w:name="figure_11"/>
      <w:r w:rsidRPr="0062595A">
        <w:rPr>
          <w:rFonts w:eastAsia="MS Mincho"/>
          <w:i/>
          <w:iCs/>
          <w:color w:val="1F497D"/>
          <w:sz w:val="18"/>
          <w:szCs w:val="18"/>
        </w:rPr>
        <w:t>Figure 11</w:t>
      </w:r>
      <w:bookmarkEnd w:id="59"/>
      <w:r w:rsidRPr="0062595A">
        <w:rPr>
          <w:rFonts w:eastAsia="MS Mincho"/>
          <w:i/>
          <w:iCs/>
          <w:color w:val="1F497D"/>
          <w:sz w:val="18"/>
          <w:szCs w:val="18"/>
        </w:rPr>
        <w:t xml:space="preserve">. Percentage of women and men using the Internet, 2025. ITU Facts and Figures 2025 (p.5). </w:t>
      </w:r>
      <w:hyperlink r:id="rId109" w:anchor="chart-1" w:history="1">
        <w:r w:rsidRPr="0062595A">
          <w:rPr>
            <w:rFonts w:eastAsia="MS Mincho"/>
            <w:i/>
            <w:iCs/>
            <w:color w:val="0563C1"/>
            <w:sz w:val="18"/>
            <w:szCs w:val="16"/>
            <w:u w:val="single"/>
          </w:rPr>
          <w:t>Interactive chart</w:t>
        </w:r>
      </w:hyperlink>
      <w:r w:rsidRPr="0062595A">
        <w:rPr>
          <w:rFonts w:eastAsia="MS Mincho"/>
          <w:i/>
          <w:iCs/>
          <w:sz w:val="18"/>
          <w:szCs w:val="16"/>
          <w:lang w:eastAsia="fr-FR"/>
        </w:rPr>
        <w:t>.</w:t>
      </w:r>
    </w:p>
    <w:p w14:paraId="26F5C3CB" w14:textId="65B57F7C" w:rsidR="0062595A" w:rsidRPr="0062595A" w:rsidRDefault="0062595A" w:rsidP="00C5530E">
      <w:pPr>
        <w:suppressAutoHyphens/>
        <w:adjustRightInd/>
        <w:spacing w:before="240" w:after="120"/>
        <w:jc w:val="both"/>
        <w:rPr>
          <w:rFonts w:eastAsia="MS Mincho"/>
          <w:sz w:val="22"/>
        </w:rPr>
      </w:pPr>
      <w:r w:rsidRPr="0062595A">
        <w:rPr>
          <w:rFonts w:eastAsia="MS Mincho"/>
          <w:sz w:val="22"/>
          <w:szCs w:val="18"/>
        </w:rPr>
        <w:lastRenderedPageBreak/>
        <w:t>Globally, 77 per cent of men used the Internet, compared with 71 per cent of women (</w:t>
      </w:r>
      <w:hyperlink w:anchor="figure_11" w:history="1">
        <w:r w:rsidRPr="00C93A80">
          <w:rPr>
            <w:rStyle w:val="Hyperlink"/>
            <w:rFonts w:eastAsia="MS Mincho"/>
            <w:color w:val="0563C1"/>
            <w:sz w:val="22"/>
            <w:szCs w:val="18"/>
          </w:rPr>
          <w:t>See Figure 11</w:t>
        </w:r>
      </w:hyperlink>
      <w:r w:rsidRPr="0062595A">
        <w:rPr>
          <w:rFonts w:eastAsia="MS Mincho"/>
          <w:sz w:val="22"/>
          <w:szCs w:val="18"/>
        </w:rPr>
        <w:t>). Internet penetration rate among women and men have both grown by 10 per cent between 2022 and 2025, but there are still about 280 million more men than women using the Internet in 2025.</w:t>
      </w:r>
    </w:p>
    <w:p w14:paraId="6A17E2E5"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18"/>
          <w:lang w:eastAsia="zh-CN"/>
        </w:rPr>
        <w:t>Gender parity is deemed to be achieved when the gender parity score, defined as the female percentage divided by the male percentage, is between 0.98 and 1.02. As is the case for overall Internet use, gender parity is closely correlated with the level of development. Between 2022 and 2025, t</w:t>
      </w:r>
      <w:r w:rsidRPr="0062595A">
        <w:rPr>
          <w:rFonts w:eastAsia="MS Mincho"/>
          <w:sz w:val="22"/>
          <w:szCs w:val="18"/>
        </w:rPr>
        <w:t>he global gender parity score has remained at 0.92, indicating a lack of progress towards global gender parity.</w:t>
      </w:r>
    </w:p>
    <w:p w14:paraId="35FB2B88" w14:textId="7FE0919D"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Among ITU regions, gender parity has been achieved in Europe, in the Americas and the CIS regions. In the Small Island Developing States (SIDS) group, the gender parity score remained at or even above 1 between 2022 and 2025, indicating gender parity. The SIDS are also a notable, positive exception to the strong correlation between gender parity and overall Internet use as they have achieved gender parity even though less than two-thirds of the population use the Internet.</w:t>
      </w:r>
    </w:p>
    <w:p w14:paraId="7FC1E2A2" w14:textId="77777777" w:rsidR="0062595A" w:rsidRPr="0062595A" w:rsidRDefault="0062595A" w:rsidP="006826C3">
      <w:pPr>
        <w:keepNext/>
        <w:keepLines/>
        <w:suppressAutoHyphens/>
        <w:adjustRightInd/>
        <w:spacing w:before="360"/>
        <w:ind w:left="1134" w:hanging="1134"/>
        <w:jc w:val="center"/>
        <w:outlineLvl w:val="3"/>
        <w:rPr>
          <w:rFonts w:eastAsia="MS Mincho"/>
          <w:b/>
          <w:color w:val="0D0D0D"/>
          <w:sz w:val="22"/>
        </w:rPr>
      </w:pPr>
      <w:r w:rsidRPr="0062595A">
        <w:rPr>
          <w:rFonts w:eastAsia="MS Mincho"/>
          <w:b/>
          <w:color w:val="0D0D0D"/>
          <w:sz w:val="22"/>
        </w:rPr>
        <w:t>Percentage of individuals using the Internet by age group, 2025</w:t>
      </w:r>
    </w:p>
    <w:p w14:paraId="4C206613" w14:textId="77777777" w:rsidR="0062595A" w:rsidRPr="0062595A" w:rsidRDefault="0062595A" w:rsidP="00C5530E">
      <w:pPr>
        <w:keepNext/>
        <w:tabs>
          <w:tab w:val="clear" w:pos="567"/>
          <w:tab w:val="clear" w:pos="1134"/>
          <w:tab w:val="clear" w:pos="1701"/>
          <w:tab w:val="clear" w:pos="2268"/>
          <w:tab w:val="clear" w:pos="2835"/>
        </w:tabs>
        <w:suppressAutoHyphens/>
        <w:overflowPunct/>
        <w:autoSpaceDE/>
        <w:adjustRightInd/>
        <w:spacing w:before="0"/>
        <w:jc w:val="center"/>
        <w:rPr>
          <w:rFonts w:eastAsia="SimSun" w:cs="Arial"/>
          <w:kern w:val="3"/>
          <w:sz w:val="22"/>
          <w:szCs w:val="22"/>
          <w:lang w:eastAsia="zh-CN"/>
        </w:rPr>
      </w:pPr>
      <w:r w:rsidRPr="0062595A">
        <w:rPr>
          <w:rFonts w:eastAsia="SimSun" w:cs="Arial"/>
          <w:noProof/>
          <w:kern w:val="3"/>
          <w:sz w:val="22"/>
          <w:szCs w:val="22"/>
          <w:lang w:eastAsia="zh-CN"/>
        </w:rPr>
        <w:drawing>
          <wp:inline distT="0" distB="0" distL="0" distR="0" wp14:anchorId="56387540" wp14:editId="4EF6FAA1">
            <wp:extent cx="4961296" cy="2442636"/>
            <wp:effectExtent l="0" t="0" r="0" b="0"/>
            <wp:docPr id="1808956425"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961296" cy="2442636"/>
                    </a:xfrm>
                    <a:prstGeom prst="rect">
                      <a:avLst/>
                    </a:prstGeom>
                    <a:noFill/>
                    <a:ln>
                      <a:noFill/>
                      <a:prstDash/>
                    </a:ln>
                  </pic:spPr>
                </pic:pic>
              </a:graphicData>
            </a:graphic>
          </wp:inline>
        </w:drawing>
      </w:r>
    </w:p>
    <w:p w14:paraId="11F8BF3F" w14:textId="77777777" w:rsidR="0062595A" w:rsidRPr="0062595A" w:rsidRDefault="0062595A" w:rsidP="00C5530E">
      <w:pPr>
        <w:suppressAutoHyphens/>
        <w:adjustRightInd/>
        <w:spacing w:before="0"/>
        <w:jc w:val="center"/>
        <w:rPr>
          <w:rFonts w:eastAsia="MS Mincho"/>
          <w:i/>
          <w:iCs/>
          <w:color w:val="1F497D"/>
          <w:sz w:val="18"/>
          <w:szCs w:val="18"/>
        </w:rPr>
      </w:pPr>
      <w:bookmarkStart w:id="60" w:name="figure_12"/>
      <w:r w:rsidRPr="0062595A">
        <w:rPr>
          <w:rFonts w:eastAsia="MS Mincho"/>
          <w:i/>
          <w:iCs/>
          <w:color w:val="1F497D"/>
          <w:sz w:val="18"/>
          <w:szCs w:val="18"/>
        </w:rPr>
        <w:t>Figure 12</w:t>
      </w:r>
      <w:bookmarkEnd w:id="60"/>
      <w:r w:rsidRPr="0062595A">
        <w:rPr>
          <w:rFonts w:eastAsia="MS Mincho"/>
          <w:i/>
          <w:iCs/>
          <w:color w:val="1F497D"/>
          <w:sz w:val="18"/>
          <w:szCs w:val="18"/>
        </w:rPr>
        <w:t>. Percentage of individuals using the Internet by age group, 2025. ITU Facts and Figures 2025 (p.6).</w:t>
      </w:r>
      <w:r w:rsidRPr="0062595A">
        <w:rPr>
          <w:rFonts w:eastAsia="MS Mincho"/>
          <w:i/>
          <w:iCs/>
          <w:color w:val="1F497D"/>
          <w:sz w:val="18"/>
          <w:szCs w:val="16"/>
          <w:lang w:eastAsia="fr-FR"/>
        </w:rPr>
        <w:t xml:space="preserve"> </w:t>
      </w:r>
    </w:p>
    <w:p w14:paraId="0ECD8D49" w14:textId="77777777" w:rsidR="0062595A" w:rsidRPr="0062595A" w:rsidRDefault="0062595A" w:rsidP="00C5530E">
      <w:pPr>
        <w:suppressAutoHyphens/>
        <w:adjustRightInd/>
        <w:spacing w:before="0"/>
        <w:jc w:val="center"/>
        <w:rPr>
          <w:rFonts w:eastAsia="MS Mincho"/>
          <w:i/>
          <w:iCs/>
          <w:color w:val="1F497D"/>
          <w:sz w:val="18"/>
          <w:szCs w:val="18"/>
        </w:rPr>
      </w:pPr>
      <w:r w:rsidRPr="0062595A">
        <w:rPr>
          <w:rFonts w:eastAsia="MS Mincho"/>
          <w:i/>
          <w:iCs/>
          <w:color w:val="1F497D"/>
          <w:sz w:val="18"/>
          <w:szCs w:val="16"/>
          <w:lang w:eastAsia="fr-FR"/>
        </w:rPr>
        <w:t>“</w:t>
      </w:r>
      <w:r w:rsidRPr="0062595A">
        <w:rPr>
          <w:rFonts w:eastAsia="MS Mincho"/>
          <w:i/>
          <w:iCs/>
          <w:color w:val="7F7F7F"/>
          <w:sz w:val="18"/>
          <w:szCs w:val="16"/>
          <w:lang w:eastAsia="fr-FR"/>
        </w:rPr>
        <w:t>Youth” refers to 15 to 24-year-olds.</w:t>
      </w:r>
      <w:r w:rsidRPr="0062595A">
        <w:rPr>
          <w:rFonts w:eastAsia="MS Mincho"/>
          <w:i/>
          <w:iCs/>
          <w:color w:val="1F497D"/>
          <w:sz w:val="18"/>
          <w:szCs w:val="16"/>
          <w:lang w:eastAsia="fr-FR"/>
        </w:rPr>
        <w:t xml:space="preserve"> </w:t>
      </w:r>
      <w:hyperlink r:id="rId111" w:anchor="chart-1" w:history="1">
        <w:r w:rsidRPr="0062595A">
          <w:rPr>
            <w:rFonts w:eastAsia="MS Mincho"/>
            <w:i/>
            <w:iCs/>
            <w:color w:val="0563C1"/>
            <w:sz w:val="18"/>
            <w:szCs w:val="16"/>
            <w:u w:val="single"/>
          </w:rPr>
          <w:t>Interactive chart</w:t>
        </w:r>
      </w:hyperlink>
      <w:r w:rsidRPr="0062595A">
        <w:rPr>
          <w:rFonts w:eastAsia="MS Mincho"/>
          <w:i/>
          <w:iCs/>
          <w:color w:val="1F497D"/>
          <w:sz w:val="18"/>
          <w:szCs w:val="16"/>
          <w:lang w:eastAsia="fr-FR"/>
        </w:rPr>
        <w:t>.</w:t>
      </w:r>
    </w:p>
    <w:p w14:paraId="7EB1E23D" w14:textId="3CF90F55"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before="360" w:after="120"/>
        <w:jc w:val="both"/>
        <w:rPr>
          <w:rFonts w:eastAsia="SimSun" w:cs="Arial"/>
          <w:kern w:val="3"/>
          <w:sz w:val="22"/>
          <w:szCs w:val="22"/>
          <w:lang w:eastAsia="zh-CN"/>
        </w:rPr>
      </w:pPr>
      <w:r w:rsidRPr="0062595A">
        <w:rPr>
          <w:rFonts w:eastAsia="SimSun" w:cs="Arial"/>
          <w:kern w:val="3"/>
          <w:sz w:val="22"/>
          <w:szCs w:val="22"/>
          <w:lang w:eastAsia="zh-CN"/>
        </w:rPr>
        <w:t>In terms of Internet usage by age, Globally, 82 per cent of people aged 15 to 24 use the Internet, ten percentage points more than among the rest of the population (72 per cent) (</w:t>
      </w:r>
      <w:hyperlink w:anchor="figure_12" w:history="1">
        <w:r w:rsidRPr="00C93A80">
          <w:rPr>
            <w:rStyle w:val="Hyperlink"/>
            <w:rFonts w:eastAsia="SimSun" w:cs="Arial"/>
            <w:color w:val="0563C1"/>
            <w:kern w:val="3"/>
            <w:sz w:val="22"/>
            <w:szCs w:val="22"/>
            <w:lang w:eastAsia="zh-CN"/>
          </w:rPr>
          <w:t>See Figure 12</w:t>
        </w:r>
      </w:hyperlink>
      <w:r w:rsidRPr="0062595A">
        <w:rPr>
          <w:rFonts w:eastAsia="SimSun" w:cs="Arial"/>
          <w:kern w:val="3"/>
          <w:sz w:val="22"/>
          <w:szCs w:val="22"/>
          <w:lang w:eastAsia="zh-CN"/>
        </w:rPr>
        <w:t>). This generational gap, observed in every region, has been slowly shrinking over the last four years. In this age group, “universality,” meaning when the penetration rate is at least 95 per cent, has already been achieved in Europe, the CIS region and the Americas region.</w:t>
      </w:r>
    </w:p>
    <w:p w14:paraId="4558B2C6" w14:textId="2BD6A93E"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In relative terms, 15- to 24-year-olds in low-income countries are 1.9 times more likely to use the Internet than the rest of the population. This is the largest generational gap of any income group, with 15- to 24-year-olds in high-income countries only five percent more likely to use the Internet than the rest of the population.</w:t>
      </w:r>
    </w:p>
    <w:p w14:paraId="76CF37B5" w14:textId="77777777" w:rsidR="0062595A" w:rsidRPr="0062595A" w:rsidRDefault="0062595A" w:rsidP="006826C3">
      <w:pPr>
        <w:keepNext/>
        <w:keepLines/>
        <w:tabs>
          <w:tab w:val="clear" w:pos="567"/>
          <w:tab w:val="clear" w:pos="1134"/>
          <w:tab w:val="clear" w:pos="1701"/>
          <w:tab w:val="clear" w:pos="2268"/>
          <w:tab w:val="clear" w:pos="2835"/>
        </w:tabs>
        <w:suppressAutoHyphens/>
        <w:overflowPunct/>
        <w:autoSpaceDE/>
        <w:adjustRightInd/>
        <w:spacing w:before="360"/>
        <w:jc w:val="center"/>
        <w:rPr>
          <w:rFonts w:eastAsia="SimSun" w:cs="Arial"/>
          <w:b/>
          <w:bCs/>
          <w:kern w:val="3"/>
          <w:sz w:val="22"/>
          <w:szCs w:val="22"/>
          <w:lang w:eastAsia="zh-CN"/>
        </w:rPr>
      </w:pPr>
      <w:r w:rsidRPr="0062595A">
        <w:rPr>
          <w:rFonts w:eastAsia="SimSun" w:cs="Arial"/>
          <w:b/>
          <w:bCs/>
          <w:kern w:val="3"/>
          <w:sz w:val="22"/>
          <w:szCs w:val="22"/>
          <w:lang w:eastAsia="zh-CN"/>
        </w:rPr>
        <w:lastRenderedPageBreak/>
        <w:t>Percentage of individuals using the Internet in urban and rural areas, 2025</w:t>
      </w:r>
    </w:p>
    <w:p w14:paraId="06991C89" w14:textId="77777777" w:rsidR="0062595A" w:rsidRPr="0062595A" w:rsidRDefault="0062595A" w:rsidP="006826C3">
      <w:pPr>
        <w:keepNext/>
        <w:keepLines/>
        <w:tabs>
          <w:tab w:val="clear" w:pos="567"/>
          <w:tab w:val="clear" w:pos="1134"/>
          <w:tab w:val="clear" w:pos="1701"/>
          <w:tab w:val="clear" w:pos="2268"/>
          <w:tab w:val="clear" w:pos="2835"/>
        </w:tabs>
        <w:suppressAutoHyphens/>
        <w:overflowPunct/>
        <w:autoSpaceDE/>
        <w:adjustRightInd/>
        <w:spacing w:before="0"/>
        <w:jc w:val="both"/>
        <w:rPr>
          <w:rFonts w:eastAsia="SimSun" w:cs="Arial"/>
          <w:kern w:val="3"/>
          <w:sz w:val="22"/>
          <w:szCs w:val="22"/>
          <w:lang w:eastAsia="zh-CN"/>
        </w:rPr>
      </w:pPr>
      <w:r w:rsidRPr="0062595A">
        <w:rPr>
          <w:rFonts w:eastAsia="SimSun" w:cs="Arial"/>
          <w:noProof/>
          <w:kern w:val="3"/>
          <w:sz w:val="22"/>
          <w:szCs w:val="22"/>
          <w:lang w:eastAsia="zh-CN"/>
        </w:rPr>
        <w:drawing>
          <wp:inline distT="0" distB="0" distL="0" distR="0" wp14:anchorId="73F9DF48" wp14:editId="53F7C378">
            <wp:extent cx="5024216" cy="2489124"/>
            <wp:effectExtent l="0" t="0" r="4984" b="6426"/>
            <wp:docPr id="413838451" name="Graphic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024216" cy="2489124"/>
                    </a:xfrm>
                    <a:prstGeom prst="rect">
                      <a:avLst/>
                    </a:prstGeom>
                    <a:noFill/>
                    <a:ln>
                      <a:noFill/>
                      <a:prstDash/>
                    </a:ln>
                  </pic:spPr>
                </pic:pic>
              </a:graphicData>
            </a:graphic>
          </wp:inline>
        </w:drawing>
      </w:r>
    </w:p>
    <w:p w14:paraId="3AE857F6" w14:textId="77777777" w:rsidR="0062595A" w:rsidRPr="0062595A" w:rsidRDefault="0062595A" w:rsidP="006826C3">
      <w:pPr>
        <w:keepNext/>
        <w:keepLines/>
        <w:suppressAutoHyphens/>
        <w:adjustRightInd/>
        <w:spacing w:before="0" w:after="200"/>
        <w:jc w:val="center"/>
        <w:rPr>
          <w:rFonts w:eastAsia="MS Mincho"/>
          <w:i/>
          <w:iCs/>
          <w:color w:val="1F497D"/>
          <w:sz w:val="18"/>
          <w:szCs w:val="18"/>
        </w:rPr>
      </w:pPr>
      <w:bookmarkStart w:id="61" w:name="figure_13"/>
      <w:r w:rsidRPr="0062595A">
        <w:rPr>
          <w:rFonts w:eastAsia="MS Mincho"/>
          <w:i/>
          <w:iCs/>
          <w:color w:val="1F497D"/>
          <w:sz w:val="18"/>
          <w:szCs w:val="18"/>
        </w:rPr>
        <w:t>Figure 13</w:t>
      </w:r>
      <w:bookmarkEnd w:id="61"/>
      <w:r w:rsidRPr="0062595A">
        <w:rPr>
          <w:rFonts w:eastAsia="MS Mincho"/>
          <w:i/>
          <w:iCs/>
          <w:color w:val="1F497D"/>
          <w:sz w:val="18"/>
          <w:szCs w:val="18"/>
        </w:rPr>
        <w:t>. Percentage of individuals using the Internet in urban and rural areas, 2025. ITU Facts and Figures 2025 (p.7).</w:t>
      </w:r>
      <w:r w:rsidRPr="0062595A">
        <w:rPr>
          <w:rFonts w:eastAsia="MS Mincho"/>
          <w:i/>
          <w:iCs/>
          <w:sz w:val="18"/>
          <w:szCs w:val="16"/>
          <w:lang w:eastAsia="fr-FR"/>
        </w:rPr>
        <w:t xml:space="preserve"> </w:t>
      </w:r>
      <w:hyperlink r:id="rId113" w:anchor="chart-1" w:history="1">
        <w:r w:rsidRPr="0062595A">
          <w:rPr>
            <w:rFonts w:eastAsia="MS Mincho"/>
            <w:i/>
            <w:iCs/>
            <w:color w:val="0563C1"/>
            <w:sz w:val="18"/>
            <w:szCs w:val="16"/>
            <w:u w:val="single"/>
          </w:rPr>
          <w:t>Interactive chart</w:t>
        </w:r>
      </w:hyperlink>
      <w:r w:rsidRPr="0062595A">
        <w:rPr>
          <w:rFonts w:eastAsia="MS Mincho"/>
          <w:i/>
          <w:iCs/>
          <w:sz w:val="18"/>
          <w:szCs w:val="16"/>
          <w:lang w:eastAsia="fr-FR"/>
        </w:rPr>
        <w:t>.</w:t>
      </w:r>
    </w:p>
    <w:p w14:paraId="7E8347F0"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before="360" w:after="120"/>
        <w:jc w:val="both"/>
        <w:rPr>
          <w:rFonts w:eastAsia="SimSun" w:cs="Arial"/>
          <w:kern w:val="3"/>
          <w:sz w:val="22"/>
          <w:szCs w:val="22"/>
          <w:lang w:eastAsia="zh-CN"/>
        </w:rPr>
      </w:pPr>
      <w:r w:rsidRPr="0062595A">
        <w:rPr>
          <w:rFonts w:eastAsia="SimSun" w:cs="Arial"/>
          <w:kern w:val="3"/>
          <w:sz w:val="22"/>
          <w:szCs w:val="22"/>
          <w:lang w:eastAsia="zh-CN"/>
        </w:rPr>
        <w:t>Significant disparities in Internet usage persist between urban and rural areas. Globally, 85 per cent of urban dwellers use the Internet in 2025, compared to just over half of the rural population (58 per cent).</w:t>
      </w:r>
    </w:p>
    <w:p w14:paraId="797D8E8A"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The urban-rural gap, measured as the ratio of the two percentages, has slowly decreased from 1.6 to 1.5 over the last four years. Unsurprisingly, the urban-rural gap is smallest in regions with high Internet use penetration, including in Europe, where the ratio is just 1.1, compared with 2.6 in Africa. In all regions, progress has been modest over the last four years.</w:t>
      </w:r>
    </w:p>
    <w:p w14:paraId="7AF0E74D" w14:textId="2E6D29E2"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In high-income countries, where 94 per cent of the population uses the Internet, the urban-rural gap has almost been bridged, with an average ratio of 1.1. In low-income countries, by contrast, the urban-rural gap remains wide with only one in seven rural dwellers (14 per cent) online, which is little more than one-third the share of urban residents (</w:t>
      </w:r>
      <w:hyperlink w:anchor="figure_13" w:history="1">
        <w:r w:rsidRPr="00C93A80">
          <w:rPr>
            <w:rStyle w:val="Hyperlink"/>
            <w:rFonts w:eastAsia="SimSun" w:cs="Arial"/>
            <w:color w:val="0563C1"/>
            <w:kern w:val="3"/>
            <w:sz w:val="22"/>
            <w:szCs w:val="22"/>
            <w:lang w:eastAsia="zh-CN"/>
          </w:rPr>
          <w:t>See Figure 13</w:t>
        </w:r>
      </w:hyperlink>
      <w:r w:rsidRPr="0062595A">
        <w:rPr>
          <w:rFonts w:eastAsia="SimSun" w:cs="Arial"/>
          <w:kern w:val="3"/>
          <w:sz w:val="22"/>
          <w:szCs w:val="22"/>
          <w:lang w:eastAsia="zh-CN"/>
        </w:rPr>
        <w:t>).</w:t>
      </w:r>
    </w:p>
    <w:p w14:paraId="538021C7"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This target is very broadly formulated and overlaps with Target 1.7 on universal Internet use and other targets. No single indicator can possibly measure all the digital gaps. The indicator is identical to the one already proposed under that target. The recommended approach, therefore, is to not use this target in the SP 2028-2031 and instead to consolidate all monitoring of usage gaps under Target 1.7, where disaggregation by gender, age and location is already proposed. </w:t>
      </w:r>
    </w:p>
    <w:p w14:paraId="759CBEEF" w14:textId="77777777" w:rsidR="0062595A" w:rsidRPr="0062595A" w:rsidRDefault="0062595A" w:rsidP="00C5530E">
      <w:pPr>
        <w:keepNext/>
        <w:keepLines/>
        <w:suppressAutoHyphens/>
        <w:adjustRightInd/>
        <w:spacing w:before="240" w:after="120"/>
        <w:ind w:left="1134" w:hanging="1134"/>
        <w:jc w:val="both"/>
        <w:outlineLvl w:val="3"/>
        <w:rPr>
          <w:rFonts w:eastAsia="MS Mincho"/>
          <w:b/>
          <w:color w:val="0D0D0D"/>
          <w:sz w:val="22"/>
        </w:rPr>
      </w:pPr>
      <w:r w:rsidRPr="0062595A">
        <w:rPr>
          <w:rFonts w:eastAsia="MS Mincho"/>
          <w:b/>
          <w:color w:val="0D0D0D"/>
          <w:sz w:val="22"/>
        </w:rPr>
        <w:t>Target 2.2: Majority of individuals to have digital skills</w:t>
      </w:r>
    </w:p>
    <w:p w14:paraId="1955C964"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Because self-reporting of individuals’ ICT skills may be subjective, ICT skills are measured based on whether an individual has recently performed certain activities that presuppose a degree of proficiency in the relevant skills. These ICT skills are grouped into five areas: communication and collaboration; problem solving; safety; digital content creation; and information and data literacy.</w:t>
      </w:r>
    </w:p>
    <w:p w14:paraId="45272424"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While the importance of digital skills in leveraging ICTs for economic prosperity and social well-being is well-documented, data remain very scant. Only 88 countries have submitted data since 2020, and rarely for all skill areas. Of these just 48 countries provide comparable data on ICT skill levels and only eight provided data on overall skill levels.</w:t>
      </w:r>
    </w:p>
    <w:p w14:paraId="323FDF76"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 xml:space="preserve">Despite these gaps, certain trends and patterns in ICT skills are emerging. Internet users consistently show strong communication skills. In all countries reporting data on </w:t>
      </w:r>
      <w:r w:rsidRPr="0062595A">
        <w:rPr>
          <w:rFonts w:eastAsia="SimSun" w:cs="Arial"/>
          <w:i/>
          <w:iCs/>
          <w:kern w:val="3"/>
          <w:sz w:val="22"/>
          <w:szCs w:val="22"/>
          <w:lang w:eastAsia="zh-CN"/>
        </w:rPr>
        <w:t>communication and collaboration</w:t>
      </w:r>
      <w:r w:rsidRPr="0062595A">
        <w:rPr>
          <w:rFonts w:eastAsia="SimSun" w:cs="Arial"/>
          <w:kern w:val="3"/>
          <w:sz w:val="22"/>
          <w:szCs w:val="22"/>
          <w:lang w:eastAsia="zh-CN"/>
        </w:rPr>
        <w:t>, at least three-quarters of Internet users possess at least basic skills in this area, regardless of national Internet usage levels.</w:t>
      </w:r>
    </w:p>
    <w:p w14:paraId="76335EB9"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lastRenderedPageBreak/>
        <w:t>Skill levels in other areas are more diverse. In the countries providing data, the share of Internet users with at least basic skills in information and data literacy tends to be higher than in other areas, except communication and collaboration. However, substantial variation persists across all skill areas, even among countries with similar levels of Internet use. For the eight countries reporting overall skill levels, the share of Internet users with at least basic skills ranges from 16 to 74 per cent, a gap of almost 60 percentage points.</w:t>
      </w:r>
    </w:p>
    <w:p w14:paraId="5DE8359E"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 xml:space="preserve">Digital skills are a critical enabler of meaningful connectivity and digital transformation. The current indicator is no longer collected and was replaced with an indicator using a </w:t>
      </w:r>
      <w:hyperlink r:id="rId114" w:history="1">
        <w:r w:rsidRPr="0062595A">
          <w:rPr>
            <w:rFonts w:eastAsia="SimSun" w:cs="Arial"/>
            <w:color w:val="0563C1"/>
            <w:kern w:val="3"/>
            <w:sz w:val="22"/>
            <w:szCs w:val="22"/>
            <w:u w:val="single"/>
            <w:lang w:eastAsia="zh-CN"/>
          </w:rPr>
          <w:t>refined methodology</w:t>
        </w:r>
      </w:hyperlink>
      <w:r w:rsidRPr="0062595A">
        <w:rPr>
          <w:rFonts w:eastAsia="SimSun" w:cs="Arial"/>
          <w:kern w:val="3"/>
          <w:sz w:val="22"/>
          <w:szCs w:val="22"/>
          <w:lang w:eastAsia="zh-CN"/>
        </w:rPr>
        <w:t xml:space="preserve"> introduced in 2025 by ITU. Data availability remains limited, although it is expected to improve as more countries adopt the refined methodology when collecting data. </w:t>
      </w:r>
    </w:p>
    <w:p w14:paraId="1CBD10F5" w14:textId="77777777" w:rsidR="0062595A" w:rsidRPr="0062595A" w:rsidRDefault="0062595A" w:rsidP="00C5530E">
      <w:pPr>
        <w:suppressAutoHyphens/>
        <w:adjustRightInd/>
        <w:spacing w:before="240" w:after="120"/>
        <w:jc w:val="both"/>
        <w:rPr>
          <w:rFonts w:eastAsia="MS Mincho"/>
          <w:sz w:val="22"/>
        </w:rPr>
      </w:pPr>
      <w:r w:rsidRPr="0062595A">
        <w:rPr>
          <w:rFonts w:cs="Arial"/>
          <w:b/>
          <w:color w:val="000000"/>
          <w:sz w:val="22"/>
          <w:lang w:eastAsia="en-GB"/>
        </w:rPr>
        <w:t>Target 2.3: Universal usage of Internet services by businesses</w:t>
      </w:r>
    </w:p>
    <w:p w14:paraId="1C4055D5"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4"/>
          <w:lang w:eastAsia="zh-CN"/>
        </w:rPr>
        <w:t xml:space="preserve">Business Internet use is an important dimension of digital transformation. However, ITU is not the primary source of this data. UN Trade and Development (UNCTAD) and Eurostat compile data on the use of ICTs by businesses. Data availability varies greatly across countries. However, world averages are currently unavailable due to insufficient data. </w:t>
      </w:r>
    </w:p>
    <w:p w14:paraId="57B3601C" w14:textId="177AF24F" w:rsidR="0056065E" w:rsidRPr="0062595A" w:rsidRDefault="0062595A" w:rsidP="00C5530E">
      <w:pPr>
        <w:keepNext/>
        <w:keepLines/>
        <w:tabs>
          <w:tab w:val="clear" w:pos="567"/>
          <w:tab w:val="clear" w:pos="1134"/>
          <w:tab w:val="clear" w:pos="1701"/>
          <w:tab w:val="clear" w:pos="2268"/>
          <w:tab w:val="clear" w:pos="2835"/>
        </w:tabs>
        <w:suppressAutoHyphens/>
        <w:overflowPunct/>
        <w:autoSpaceDE/>
        <w:adjustRightInd/>
        <w:spacing w:before="240" w:after="120"/>
        <w:jc w:val="both"/>
        <w:rPr>
          <w:rFonts w:eastAsia="SimSun" w:cs="Arial"/>
          <w:b/>
          <w:bCs/>
          <w:kern w:val="3"/>
          <w:sz w:val="22"/>
          <w:szCs w:val="22"/>
          <w:lang w:eastAsia="zh-CN"/>
        </w:rPr>
      </w:pPr>
      <w:r w:rsidRPr="0062595A">
        <w:rPr>
          <w:rFonts w:eastAsia="SimSun" w:cs="Arial"/>
          <w:b/>
          <w:bCs/>
          <w:kern w:val="3"/>
          <w:sz w:val="22"/>
          <w:szCs w:val="22"/>
          <w:lang w:eastAsia="zh-CN"/>
        </w:rPr>
        <w:t>Target 2.4: Majority of individuals accessing government services online</w:t>
      </w:r>
    </w:p>
    <w:p w14:paraId="3C4DD22A" w14:textId="77777777" w:rsidR="0062595A" w:rsidRPr="0062595A" w:rsidRDefault="0062595A" w:rsidP="00C5530E">
      <w:pPr>
        <w:keepNext/>
        <w:keepLines/>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4"/>
          <w:lang w:eastAsia="zh-CN"/>
        </w:rPr>
        <w:t>ITU oversees this indicator, but world averages are not available as there is insufficient data.</w:t>
      </w:r>
      <w:r w:rsidRPr="0062595A">
        <w:rPr>
          <w:rFonts w:eastAsia="SimSun" w:cs="Arial"/>
          <w:kern w:val="3"/>
          <w:sz w:val="22"/>
          <w:szCs w:val="22"/>
          <w:lang w:eastAsia="zh-CN"/>
        </w:rPr>
        <w:t xml:space="preserve"> The use of online government services is an important dimension of digital inclusion, but this target focuses on one specific application of the Internet while excluding others such as e-commerce, digital payments or health services. Data availability is low, and no global aggregates are produced. </w:t>
      </w:r>
    </w:p>
    <w:p w14:paraId="40B8A582"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before="240" w:after="120"/>
        <w:jc w:val="both"/>
        <w:rPr>
          <w:rFonts w:eastAsia="SimSun" w:cs="Arial"/>
          <w:kern w:val="3"/>
          <w:sz w:val="22"/>
          <w:szCs w:val="22"/>
          <w:lang w:eastAsia="zh-CN"/>
        </w:rPr>
      </w:pPr>
      <w:r w:rsidRPr="0062595A">
        <w:rPr>
          <w:rFonts w:eastAsia="SimSun" w:cs="Arial"/>
          <w:b/>
          <w:kern w:val="3"/>
          <w:sz w:val="22"/>
          <w:szCs w:val="18"/>
          <w:lang w:eastAsia="zh-CN"/>
        </w:rPr>
        <w:t xml:space="preserve">Target 2.5: Climate and environment action </w:t>
      </w:r>
    </w:p>
    <w:p w14:paraId="5ACA1630" w14:textId="44BBF83D" w:rsidR="00E2036B" w:rsidRDefault="00E2036B"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E2036B">
        <w:rPr>
          <w:rFonts w:eastAsia="SimSun" w:cs="Arial"/>
          <w:kern w:val="3"/>
          <w:sz w:val="22"/>
          <w:szCs w:val="22"/>
          <w:lang w:eastAsia="zh-CN"/>
        </w:rPr>
        <w:t>Of the 81 countries covered by a national e-waste policy, legislation, or regulation, 67 contained provisions promoting the Extended Producer Responsibility (EPR) principle, 48 had enshrined national e-waste collection targets in their regulations, and 37 had done so for e-waste recycling targets at the national level.</w:t>
      </w:r>
    </w:p>
    <w:p w14:paraId="0ADB57D7" w14:textId="7A6FBEB9" w:rsidR="0062595A" w:rsidRDefault="00E2036B"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en-GB"/>
        </w:rPr>
      </w:pPr>
      <w:r>
        <w:rPr>
          <w:rFonts w:eastAsia="SimSun" w:cs="Arial"/>
          <w:kern w:val="3"/>
          <w:sz w:val="22"/>
          <w:szCs w:val="22"/>
          <w:lang w:eastAsia="zh-CN"/>
        </w:rPr>
        <w:t xml:space="preserve">Meanwhile, the </w:t>
      </w:r>
      <w:r w:rsidR="0062595A" w:rsidRPr="0062595A">
        <w:rPr>
          <w:rFonts w:eastAsia="SimSun" w:cs="Arial"/>
          <w:kern w:val="3"/>
          <w:sz w:val="22"/>
          <w:szCs w:val="22"/>
          <w:lang w:eastAsia="zh-CN"/>
        </w:rPr>
        <w:t xml:space="preserve">fourth edition of the </w:t>
      </w:r>
      <w:hyperlink r:id="rId115" w:history="1">
        <w:r w:rsidRPr="00C93A80">
          <w:rPr>
            <w:rStyle w:val="Hyperlink"/>
            <w:rFonts w:eastAsia="SimSun" w:cs="Arial"/>
            <w:color w:val="0563C1"/>
            <w:kern w:val="3"/>
            <w:sz w:val="22"/>
            <w:szCs w:val="22"/>
            <w:lang w:eastAsia="zh-CN"/>
          </w:rPr>
          <w:t xml:space="preserve">Greening Digital Companies </w:t>
        </w:r>
        <w:r w:rsidR="0062595A" w:rsidRPr="00C93A80">
          <w:rPr>
            <w:rStyle w:val="Hyperlink"/>
            <w:rFonts w:eastAsia="SimSun" w:cs="Arial"/>
            <w:color w:val="0563C1"/>
            <w:kern w:val="3"/>
            <w:sz w:val="22"/>
            <w:szCs w:val="22"/>
            <w:lang w:eastAsia="zh-CN"/>
          </w:rPr>
          <w:t>report</w:t>
        </w:r>
      </w:hyperlink>
      <w:r w:rsidR="0062595A" w:rsidRPr="0062595A">
        <w:rPr>
          <w:rFonts w:eastAsia="SimSun" w:cs="Arial"/>
          <w:kern w:val="3"/>
          <w:sz w:val="22"/>
          <w:szCs w:val="22"/>
          <w:lang w:eastAsia="zh-CN"/>
        </w:rPr>
        <w:t xml:space="preserve"> shows that the 166 digital companies that disclose data on direct emissions and indirect </w:t>
      </w:r>
      <w:r>
        <w:rPr>
          <w:rFonts w:eastAsia="SimSun" w:cs="Arial"/>
          <w:kern w:val="3"/>
          <w:sz w:val="22"/>
          <w:szCs w:val="22"/>
          <w:lang w:eastAsia="zh-CN"/>
        </w:rPr>
        <w:t xml:space="preserve">GHG </w:t>
      </w:r>
      <w:r w:rsidR="0062595A" w:rsidRPr="0062595A">
        <w:rPr>
          <w:rFonts w:eastAsia="SimSun" w:cs="Arial"/>
          <w:kern w:val="3"/>
          <w:sz w:val="22"/>
          <w:szCs w:val="22"/>
          <w:lang w:eastAsia="zh-CN"/>
        </w:rPr>
        <w:t>emissions from purchased electricity (accounting for 94 per cent of the revenue of the 200 companies) reported 297.3 million tCO</w:t>
      </w:r>
      <w:r w:rsidR="0062595A" w:rsidRPr="0062595A">
        <w:rPr>
          <w:rFonts w:eastAsia="SimSun" w:cs="Arial"/>
          <w:kern w:val="3"/>
          <w:sz w:val="22"/>
          <w:szCs w:val="22"/>
          <w:vertAlign w:val="subscript"/>
          <w:lang w:eastAsia="zh-CN"/>
        </w:rPr>
        <w:t>2</w:t>
      </w:r>
      <w:r w:rsidR="0062595A" w:rsidRPr="0062595A">
        <w:rPr>
          <w:rFonts w:eastAsia="SimSun" w:cs="Arial"/>
          <w:kern w:val="3"/>
          <w:sz w:val="22"/>
          <w:szCs w:val="22"/>
          <w:lang w:eastAsia="zh-CN"/>
        </w:rPr>
        <w:t>e in 2023, or 0.8 per cent of the world total energy-</w:t>
      </w:r>
      <w:r w:rsidR="0062595A" w:rsidRPr="007D4363">
        <w:rPr>
          <w:rFonts w:eastAsia="SimSun" w:cs="Arial"/>
          <w:kern w:val="3"/>
          <w:sz w:val="22"/>
          <w:szCs w:val="22"/>
          <w:lang w:eastAsia="zh-CN"/>
        </w:rPr>
        <w:t>related emissions, marking a 1.4 per cent increase from 2022. (</w:t>
      </w:r>
      <w:r w:rsidR="0062595A" w:rsidRPr="007D4363">
        <w:rPr>
          <w:rFonts w:eastAsia="SimSun" w:cs="Arial"/>
          <w:kern w:val="3"/>
          <w:sz w:val="22"/>
          <w:szCs w:val="22"/>
          <w:lang w:eastAsia="en-GB"/>
        </w:rPr>
        <w:t xml:space="preserve">For information on </w:t>
      </w:r>
      <w:r>
        <w:rPr>
          <w:rFonts w:eastAsia="SimSun" w:cs="Arial"/>
          <w:kern w:val="3"/>
          <w:sz w:val="22"/>
          <w:szCs w:val="22"/>
          <w:lang w:eastAsia="en-GB"/>
        </w:rPr>
        <w:t>climate and environment</w:t>
      </w:r>
      <w:r w:rsidR="0062595A" w:rsidRPr="007D4363">
        <w:rPr>
          <w:rFonts w:eastAsia="SimSun" w:cs="Arial"/>
          <w:kern w:val="3"/>
          <w:sz w:val="22"/>
          <w:szCs w:val="22"/>
          <w:lang w:eastAsia="en-GB"/>
        </w:rPr>
        <w:t xml:space="preserve"> see Section </w:t>
      </w:r>
      <w:hyperlink w:anchor="Section_5_4" w:history="1">
        <w:r w:rsidR="0062595A" w:rsidRPr="00C93A80">
          <w:rPr>
            <w:rStyle w:val="Hyperlink"/>
            <w:rFonts w:eastAsia="SimSun" w:cs="Arial"/>
            <w:color w:val="0563C1"/>
            <w:kern w:val="3"/>
            <w:sz w:val="22"/>
            <w:szCs w:val="22"/>
            <w:lang w:eastAsia="en-GB"/>
          </w:rPr>
          <w:t>5.4</w:t>
        </w:r>
      </w:hyperlink>
      <w:r w:rsidR="0062595A" w:rsidRPr="007D4363">
        <w:rPr>
          <w:rFonts w:eastAsia="SimSun" w:cs="Arial"/>
          <w:kern w:val="3"/>
          <w:sz w:val="22"/>
          <w:szCs w:val="22"/>
          <w:lang w:eastAsia="en-GB"/>
        </w:rPr>
        <w:t>)</w:t>
      </w:r>
      <w:r>
        <w:rPr>
          <w:rFonts w:eastAsia="SimSun" w:cs="Arial"/>
          <w:kern w:val="3"/>
          <w:sz w:val="22"/>
          <w:szCs w:val="22"/>
          <w:lang w:eastAsia="en-GB"/>
        </w:rPr>
        <w:t>.</w:t>
      </w:r>
    </w:p>
    <w:p w14:paraId="6978998B" w14:textId="3AE1A0A9" w:rsid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B51954">
        <w:rPr>
          <w:rFonts w:eastAsia="SimSun" w:cs="Arial"/>
          <w:kern w:val="3"/>
          <w:sz w:val="22"/>
          <w:szCs w:val="22"/>
          <w:lang w:eastAsia="zh-CN"/>
        </w:rPr>
        <w:t>The environmental impact of ICTs is increasing rapidly, driven by the growing number of connected devices, the expansion of data centres, and the scaling of AI applications. These trends are accelerating demand for energy and raw materials and contributing to higher emissions, pollution, and e-waste generation. The target should therefore be reframed</w:t>
      </w:r>
      <w:r w:rsidRPr="0062595A">
        <w:rPr>
          <w:rFonts w:eastAsia="SimSun" w:cs="Arial"/>
          <w:kern w:val="3"/>
          <w:sz w:val="22"/>
          <w:szCs w:val="22"/>
          <w:lang w:eastAsia="zh-CN"/>
        </w:rPr>
        <w:t xml:space="preserve"> in the SP 2028-2031 to explicitly include the reduction of the negative environmental impacts of ICTs.</w:t>
      </w:r>
    </w:p>
    <w:p w14:paraId="189AAFF9" w14:textId="38EB2C0F" w:rsidR="008D14D8" w:rsidRPr="0062595A" w:rsidRDefault="008D14D8"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 xml:space="preserve">Additional information </w:t>
      </w:r>
      <w:r>
        <w:rPr>
          <w:rFonts w:eastAsia="SimSun" w:cs="Arial"/>
          <w:kern w:val="3"/>
          <w:sz w:val="22"/>
          <w:szCs w:val="22"/>
          <w:lang w:eastAsia="zh-CN"/>
        </w:rPr>
        <w:t xml:space="preserve">for all these targets </w:t>
      </w:r>
      <w:r w:rsidRPr="0062595A">
        <w:rPr>
          <w:rFonts w:eastAsia="SimSun" w:cs="Arial"/>
          <w:kern w:val="3"/>
          <w:sz w:val="22"/>
          <w:szCs w:val="22"/>
          <w:lang w:eastAsia="zh-CN"/>
        </w:rPr>
        <w:t xml:space="preserve">can be found in the latest edition of ITU’s flagship reports </w:t>
      </w:r>
      <w:hyperlink r:id="rId116" w:history="1">
        <w:r w:rsidRPr="0062595A">
          <w:rPr>
            <w:rFonts w:eastAsia="SimSun" w:cs="Arial"/>
            <w:color w:val="0563C1"/>
            <w:kern w:val="3"/>
            <w:sz w:val="22"/>
            <w:szCs w:val="22"/>
            <w:u w:val="single"/>
            <w:lang w:eastAsia="zh-CN"/>
          </w:rPr>
          <w:t>Measuring digital development: Facts and Figures 2024</w:t>
        </w:r>
      </w:hyperlink>
      <w:r w:rsidRPr="0062595A">
        <w:rPr>
          <w:rFonts w:eastAsia="SimSun" w:cs="Arial"/>
          <w:kern w:val="3"/>
          <w:sz w:val="22"/>
          <w:szCs w:val="22"/>
          <w:lang w:eastAsia="zh-CN"/>
        </w:rPr>
        <w:t xml:space="preserve">, </w:t>
      </w:r>
      <w:hyperlink r:id="rId117" w:history="1">
        <w:r w:rsidRPr="0062595A">
          <w:rPr>
            <w:rFonts w:eastAsia="SimSun" w:cs="Arial"/>
            <w:color w:val="0563C1"/>
            <w:kern w:val="3"/>
            <w:sz w:val="22"/>
            <w:szCs w:val="22"/>
            <w:u w:val="single"/>
            <w:lang w:eastAsia="zh-CN"/>
          </w:rPr>
          <w:t>Measuring digital development: Facts and Figures: Focus on Landlocked Developing Countries July 2025</w:t>
        </w:r>
      </w:hyperlink>
      <w:r w:rsidRPr="0062595A">
        <w:rPr>
          <w:rFonts w:eastAsia="SimSun" w:cs="Arial"/>
          <w:kern w:val="3"/>
          <w:sz w:val="22"/>
          <w:szCs w:val="22"/>
          <w:lang w:eastAsia="zh-CN"/>
        </w:rPr>
        <w:t xml:space="preserve">, as well as the </w:t>
      </w:r>
      <w:hyperlink r:id="rId118" w:history="1">
        <w:r w:rsidRPr="0062595A">
          <w:rPr>
            <w:rFonts w:eastAsia="SimSun" w:cs="Arial"/>
            <w:color w:val="0563C1"/>
            <w:kern w:val="3"/>
            <w:sz w:val="22"/>
            <w:szCs w:val="22"/>
            <w:u w:val="single"/>
            <w:lang w:eastAsia="zh-CN"/>
          </w:rPr>
          <w:t>Global Connectivity Report 2025</w:t>
        </w:r>
      </w:hyperlink>
      <w:r w:rsidRPr="0062595A">
        <w:rPr>
          <w:rFonts w:eastAsia="SimSun" w:cs="Arial"/>
          <w:kern w:val="3"/>
          <w:sz w:val="22"/>
          <w:szCs w:val="22"/>
          <w:lang w:eastAsia="zh-CN"/>
        </w:rPr>
        <w:t>.</w:t>
      </w:r>
    </w:p>
    <w:p w14:paraId="52A764D4" w14:textId="73B8C053" w:rsidR="0062595A" w:rsidRPr="0062595A" w:rsidRDefault="0062595A" w:rsidP="00C5530E">
      <w:pPr>
        <w:keepNext/>
        <w:keepLines/>
        <w:suppressAutoHyphens/>
        <w:adjustRightInd/>
        <w:spacing w:before="360"/>
        <w:ind w:left="1134" w:hanging="1134"/>
        <w:jc w:val="center"/>
        <w:outlineLvl w:val="3"/>
        <w:rPr>
          <w:rFonts w:eastAsia="MS Mincho"/>
          <w:b/>
          <w:color w:val="0D0D0D"/>
          <w:sz w:val="22"/>
        </w:rPr>
      </w:pPr>
      <w:r w:rsidRPr="0062595A">
        <w:rPr>
          <w:rFonts w:eastAsia="MS Mincho"/>
          <w:b/>
          <w:color w:val="0D0D0D"/>
          <w:sz w:val="22"/>
        </w:rPr>
        <w:lastRenderedPageBreak/>
        <w:t xml:space="preserve">Projection of </w:t>
      </w:r>
      <w:r w:rsidR="007B2734">
        <w:rPr>
          <w:rFonts w:eastAsia="MS Mincho"/>
          <w:b/>
          <w:color w:val="0D0D0D"/>
          <w:sz w:val="22"/>
        </w:rPr>
        <w:t>e</w:t>
      </w:r>
      <w:r w:rsidRPr="0062595A">
        <w:rPr>
          <w:rFonts w:eastAsia="MS Mincho"/>
          <w:b/>
          <w:color w:val="0D0D0D"/>
          <w:sz w:val="22"/>
        </w:rPr>
        <w:t>-waste generation worldwide, 2010-2030</w:t>
      </w:r>
    </w:p>
    <w:p w14:paraId="7AD3F21A" w14:textId="77777777" w:rsidR="0062595A" w:rsidRPr="0062595A" w:rsidRDefault="0062595A" w:rsidP="00C5530E">
      <w:pPr>
        <w:keepNext/>
        <w:suppressAutoHyphens/>
        <w:adjustRightInd/>
        <w:jc w:val="center"/>
        <w:rPr>
          <w:rFonts w:eastAsia="MS Mincho"/>
          <w:sz w:val="22"/>
        </w:rPr>
      </w:pPr>
      <w:r w:rsidRPr="0062595A">
        <w:rPr>
          <w:rFonts w:eastAsia="MS Mincho"/>
          <w:noProof/>
          <w:sz w:val="22"/>
        </w:rPr>
        <w:drawing>
          <wp:inline distT="0" distB="0" distL="0" distR="0" wp14:anchorId="6312A53D" wp14:editId="59BBA58D">
            <wp:extent cx="4599295" cy="2634018"/>
            <wp:effectExtent l="0" t="0" r="0" b="0"/>
            <wp:docPr id="2080705865" name="Picture 1" descr="A graph of a graph showing the amount of waste in the marke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601282" cy="2635156"/>
                    </a:xfrm>
                    <a:prstGeom prst="rect">
                      <a:avLst/>
                    </a:prstGeom>
                    <a:noFill/>
                    <a:ln>
                      <a:noFill/>
                      <a:prstDash/>
                    </a:ln>
                  </pic:spPr>
                </pic:pic>
              </a:graphicData>
            </a:graphic>
          </wp:inline>
        </w:drawing>
      </w:r>
    </w:p>
    <w:p w14:paraId="2FFBCE86" w14:textId="3F98664F" w:rsidR="0062595A" w:rsidRPr="0062595A" w:rsidRDefault="0062595A" w:rsidP="00C5530E">
      <w:pPr>
        <w:suppressAutoHyphens/>
        <w:adjustRightInd/>
        <w:spacing w:before="0" w:after="120"/>
        <w:jc w:val="both"/>
        <w:rPr>
          <w:rFonts w:eastAsia="MS Mincho"/>
          <w:i/>
          <w:iCs/>
          <w:color w:val="1F497D"/>
          <w:sz w:val="18"/>
          <w:szCs w:val="18"/>
        </w:rPr>
      </w:pPr>
      <w:bookmarkStart w:id="62" w:name="figure_14"/>
      <w:r w:rsidRPr="0062595A">
        <w:rPr>
          <w:rFonts w:eastAsia="MS Mincho"/>
          <w:i/>
          <w:iCs/>
          <w:color w:val="1F497D"/>
          <w:sz w:val="18"/>
          <w:szCs w:val="18"/>
        </w:rPr>
        <w:t xml:space="preserve">Figure 14. </w:t>
      </w:r>
      <w:bookmarkEnd w:id="62"/>
      <w:r w:rsidRPr="0062595A">
        <w:rPr>
          <w:rFonts w:eastAsia="MS Mincho"/>
          <w:i/>
          <w:iCs/>
          <w:color w:val="1F497D"/>
          <w:sz w:val="18"/>
          <w:szCs w:val="18"/>
        </w:rPr>
        <w:t xml:space="preserve">Projection of </w:t>
      </w:r>
      <w:r w:rsidR="007B2734">
        <w:rPr>
          <w:rFonts w:eastAsia="MS Mincho"/>
          <w:i/>
          <w:iCs/>
          <w:color w:val="1F497D"/>
          <w:sz w:val="18"/>
          <w:szCs w:val="18"/>
        </w:rPr>
        <w:t>e</w:t>
      </w:r>
      <w:r w:rsidRPr="0062595A">
        <w:rPr>
          <w:rFonts w:eastAsia="MS Mincho"/>
          <w:i/>
          <w:iCs/>
          <w:color w:val="1F497D"/>
          <w:sz w:val="18"/>
          <w:szCs w:val="18"/>
        </w:rPr>
        <w:t xml:space="preserve">-waste generation worldwide, 2010-2030. Global </w:t>
      </w:r>
      <w:r w:rsidR="007B2734">
        <w:rPr>
          <w:rFonts w:eastAsia="MS Mincho"/>
          <w:i/>
          <w:iCs/>
          <w:color w:val="1F497D"/>
          <w:sz w:val="18"/>
          <w:szCs w:val="18"/>
        </w:rPr>
        <w:t>e</w:t>
      </w:r>
      <w:r w:rsidRPr="0062595A">
        <w:rPr>
          <w:rFonts w:eastAsia="MS Mincho"/>
          <w:i/>
          <w:iCs/>
          <w:color w:val="1F497D"/>
          <w:sz w:val="18"/>
          <w:szCs w:val="18"/>
        </w:rPr>
        <w:t xml:space="preserve">-waste Monitor 2024 (p.28). </w:t>
      </w:r>
      <w:r w:rsidRPr="0062595A">
        <w:rPr>
          <w:rFonts w:eastAsia="MS Mincho"/>
          <w:i/>
          <w:iCs/>
          <w:color w:val="7F7F7F"/>
          <w:sz w:val="18"/>
          <w:szCs w:val="18"/>
        </w:rPr>
        <w:t>Figure adapted, see more</w:t>
      </w:r>
      <w:hyperlink r:id="rId120" w:history="1">
        <w:r w:rsidRPr="0062595A">
          <w:rPr>
            <w:rFonts w:eastAsia="MS Mincho"/>
            <w:i/>
            <w:iCs/>
            <w:color w:val="0563C1"/>
            <w:sz w:val="18"/>
            <w:szCs w:val="18"/>
            <w:u w:val="single"/>
          </w:rPr>
          <w:t xml:space="preserve"> here</w:t>
        </w:r>
      </w:hyperlink>
      <w:r w:rsidRPr="0062595A">
        <w:rPr>
          <w:rFonts w:eastAsia="MS Mincho"/>
          <w:i/>
          <w:iCs/>
          <w:color w:val="7F7F7F"/>
          <w:sz w:val="18"/>
          <w:szCs w:val="18"/>
        </w:rPr>
        <w:t xml:space="preserve">. </w:t>
      </w:r>
    </w:p>
    <w:p w14:paraId="2BFA4A86" w14:textId="77777777" w:rsidR="005C1378" w:rsidRDefault="005C1378">
      <w:pPr>
        <w:tabs>
          <w:tab w:val="clear" w:pos="567"/>
          <w:tab w:val="clear" w:pos="1134"/>
          <w:tab w:val="clear" w:pos="1701"/>
          <w:tab w:val="clear" w:pos="2268"/>
          <w:tab w:val="clear" w:pos="2835"/>
        </w:tabs>
        <w:overflowPunct/>
        <w:autoSpaceDE/>
        <w:autoSpaceDN/>
        <w:adjustRightInd/>
        <w:spacing w:before="0"/>
        <w:textAlignment w:val="auto"/>
        <w:rPr>
          <w:rFonts w:eastAsia="MS Mincho"/>
          <w:b/>
          <w:color w:val="1F497D"/>
          <w:sz w:val="28"/>
        </w:rPr>
      </w:pPr>
      <w:bookmarkStart w:id="63" w:name="_Toc224288803"/>
      <w:bookmarkStart w:id="64" w:name="_Toc37860456"/>
      <w:bookmarkStart w:id="65" w:name="_Toc37861217"/>
      <w:bookmarkStart w:id="66" w:name="_Toc37943336"/>
      <w:bookmarkEnd w:id="16"/>
      <w:bookmarkEnd w:id="17"/>
      <w:bookmarkEnd w:id="18"/>
      <w:bookmarkEnd w:id="23"/>
      <w:r>
        <w:rPr>
          <w:rFonts w:eastAsia="MS Mincho"/>
          <w:b/>
          <w:color w:val="1F497D"/>
          <w:sz w:val="28"/>
        </w:rPr>
        <w:br w:type="page"/>
      </w:r>
    </w:p>
    <w:p w14:paraId="1F91EFDA" w14:textId="284CF907" w:rsidR="0062595A" w:rsidRPr="0062595A" w:rsidRDefault="0062595A" w:rsidP="004630E8">
      <w:pPr>
        <w:keepNext/>
        <w:keepLines/>
        <w:tabs>
          <w:tab w:val="clear" w:pos="567"/>
        </w:tabs>
        <w:suppressAutoHyphens/>
        <w:adjustRightInd/>
        <w:spacing w:before="480" w:after="360"/>
        <w:ind w:left="567" w:hanging="567"/>
        <w:jc w:val="both"/>
        <w:outlineLvl w:val="0"/>
        <w:rPr>
          <w:rFonts w:eastAsia="MS Mincho"/>
          <w:b/>
          <w:color w:val="1F497D"/>
          <w:sz w:val="28"/>
        </w:rPr>
      </w:pPr>
      <w:r w:rsidRPr="0062595A">
        <w:rPr>
          <w:rFonts w:eastAsia="MS Mincho"/>
          <w:b/>
          <w:color w:val="1F497D"/>
          <w:sz w:val="28"/>
        </w:rPr>
        <w:lastRenderedPageBreak/>
        <w:t>4.</w:t>
      </w:r>
      <w:r w:rsidR="00B51954">
        <w:rPr>
          <w:rFonts w:eastAsia="MS Mincho"/>
          <w:b/>
          <w:color w:val="1F497D"/>
          <w:sz w:val="28"/>
        </w:rPr>
        <w:tab/>
      </w:r>
      <w:r w:rsidRPr="0062595A">
        <w:rPr>
          <w:rFonts w:eastAsia="MS Mincho"/>
          <w:b/>
          <w:color w:val="1F497D"/>
          <w:sz w:val="28"/>
        </w:rPr>
        <w:t>Products and services</w:t>
      </w:r>
      <w:bookmarkEnd w:id="63"/>
    </w:p>
    <w:p w14:paraId="3CAB46CD" w14:textId="77777777" w:rsidR="0062595A" w:rsidRPr="0062595A" w:rsidRDefault="0062595A" w:rsidP="004630E8">
      <w:pPr>
        <w:keepNext/>
        <w:keepLines/>
        <w:tabs>
          <w:tab w:val="clear" w:pos="567"/>
        </w:tabs>
        <w:suppressAutoHyphens/>
        <w:adjustRightInd/>
        <w:spacing w:before="360" w:after="120"/>
        <w:ind w:left="567" w:hanging="567"/>
        <w:jc w:val="both"/>
        <w:outlineLvl w:val="1"/>
        <w:rPr>
          <w:rFonts w:eastAsia="MS Mincho"/>
          <w:b/>
        </w:rPr>
      </w:pPr>
      <w:bookmarkStart w:id="67" w:name="_Toc224288804"/>
      <w:r w:rsidRPr="0062595A">
        <w:rPr>
          <w:rFonts w:eastAsia="MS Mincho"/>
          <w:b/>
        </w:rPr>
        <w:t>4.1</w:t>
      </w:r>
      <w:r w:rsidRPr="0062595A">
        <w:rPr>
          <w:rFonts w:eastAsia="MS Mincho"/>
          <w:b/>
        </w:rPr>
        <w:tab/>
        <w:t>Development and application of ITU Administrative Regulations</w:t>
      </w:r>
      <w:bookmarkEnd w:id="67"/>
    </w:p>
    <w:p w14:paraId="11C800B1" w14:textId="77777777"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rPr>
      </w:pPr>
      <w:bookmarkStart w:id="68" w:name="_Toc224288805"/>
      <w:r w:rsidRPr="0062595A">
        <w:rPr>
          <w:rFonts w:eastAsia="MS Mincho"/>
          <w:b/>
          <w:color w:val="0D0D0D"/>
        </w:rPr>
        <w:t>4.1.1</w:t>
      </w:r>
      <w:r w:rsidRPr="0062595A">
        <w:rPr>
          <w:rFonts w:eastAsia="MS Mincho"/>
          <w:b/>
          <w:color w:val="0D0D0D"/>
        </w:rPr>
        <w:tab/>
        <w:t>Radio Regulations</w:t>
      </w:r>
      <w:bookmarkEnd w:id="68"/>
    </w:p>
    <w:p w14:paraId="40CF2E17" w14:textId="77777777" w:rsidR="0062595A" w:rsidRPr="00B51954" w:rsidRDefault="0062595A" w:rsidP="00C5530E">
      <w:pPr>
        <w:suppressAutoHyphens/>
        <w:adjustRightInd/>
        <w:spacing w:after="120"/>
        <w:jc w:val="both"/>
        <w:rPr>
          <w:rFonts w:eastAsia="MS Mincho"/>
          <w:sz w:val="22"/>
          <w:szCs w:val="22"/>
        </w:rPr>
      </w:pPr>
      <w:r w:rsidRPr="00B51954">
        <w:rPr>
          <w:rFonts w:eastAsia="MS Mincho"/>
          <w:sz w:val="22"/>
          <w:szCs w:val="22"/>
        </w:rPr>
        <w:t>ITU maintains the Radio Regulations – the international treaty governing the use of the radiofrequency spectrum and satellite orbits for all kinds of wireless communications. In upholding the regulations and facilitating related international cooperation, the organization supports equitable access to and rational use of spectrum and orbits as finite natural resources.</w:t>
      </w:r>
    </w:p>
    <w:p w14:paraId="6727ED23" w14:textId="77777777" w:rsidR="0062595A" w:rsidRPr="00B51954" w:rsidRDefault="0062595A" w:rsidP="00C5530E">
      <w:pPr>
        <w:suppressAutoHyphens/>
        <w:adjustRightInd/>
        <w:spacing w:after="120"/>
        <w:jc w:val="both"/>
        <w:rPr>
          <w:rFonts w:eastAsia="MS Mincho"/>
          <w:sz w:val="22"/>
          <w:szCs w:val="22"/>
        </w:rPr>
      </w:pPr>
      <w:r w:rsidRPr="00B51954">
        <w:rPr>
          <w:rFonts w:eastAsia="MS Mincho"/>
          <w:sz w:val="22"/>
          <w:szCs w:val="22"/>
        </w:rPr>
        <w:t>Through ITU, administrations agree on the allocation of radio frequencies and management, along with the procedures for coordination to avoid harmful radio interference. ITU and its Radiocommunication Bureau enable these activities, supporting Member States worldwide with expertise on communications on land, at sea, in the air, and in space.</w:t>
      </w:r>
    </w:p>
    <w:p w14:paraId="01C14E2E" w14:textId="77777777" w:rsidR="0062595A" w:rsidRPr="00B51954" w:rsidRDefault="0062595A" w:rsidP="00C5530E">
      <w:pPr>
        <w:suppressAutoHyphens/>
        <w:adjustRightInd/>
        <w:spacing w:after="120"/>
        <w:jc w:val="both"/>
        <w:rPr>
          <w:rFonts w:eastAsia="MS Mincho"/>
          <w:sz w:val="22"/>
          <w:szCs w:val="22"/>
        </w:rPr>
      </w:pPr>
      <w:r w:rsidRPr="00B51954">
        <w:rPr>
          <w:rFonts w:eastAsia="MS Mincho"/>
          <w:sz w:val="22"/>
          <w:szCs w:val="22"/>
        </w:rPr>
        <w:t xml:space="preserve">The Radiocommunication Bureau implemented the results of </w:t>
      </w:r>
      <w:hyperlink r:id="rId121" w:history="1">
        <w:r w:rsidRPr="00B51954">
          <w:rPr>
            <w:rFonts w:eastAsia="MS Mincho"/>
            <w:color w:val="0563C1"/>
            <w:sz w:val="22"/>
            <w:szCs w:val="22"/>
            <w:u w:val="single"/>
          </w:rPr>
          <w:t>WRC-23</w:t>
        </w:r>
      </w:hyperlink>
      <w:r w:rsidRPr="00B51954">
        <w:rPr>
          <w:rFonts w:eastAsia="MS Mincho"/>
          <w:sz w:val="22"/>
          <w:szCs w:val="22"/>
        </w:rPr>
        <w:t xml:space="preserve"> and is working on the preparations for </w:t>
      </w:r>
      <w:hyperlink r:id="rId122" w:history="1">
        <w:r w:rsidRPr="00B51954">
          <w:rPr>
            <w:rFonts w:eastAsia="MS Mincho"/>
            <w:color w:val="0563C1"/>
            <w:sz w:val="22"/>
            <w:szCs w:val="22"/>
            <w:u w:val="single"/>
          </w:rPr>
          <w:t>WRC-27</w:t>
        </w:r>
      </w:hyperlink>
      <w:r w:rsidRPr="00B51954">
        <w:rPr>
          <w:rFonts w:eastAsia="MS Mincho"/>
          <w:sz w:val="22"/>
          <w:szCs w:val="22"/>
        </w:rPr>
        <w:t>.</w:t>
      </w:r>
    </w:p>
    <w:p w14:paraId="6FE0F4DA" w14:textId="77777777" w:rsidR="0062595A" w:rsidRPr="00B51954" w:rsidRDefault="0062595A" w:rsidP="00C5530E">
      <w:pPr>
        <w:suppressAutoHyphens/>
        <w:adjustRightInd/>
        <w:spacing w:after="120"/>
        <w:jc w:val="both"/>
        <w:rPr>
          <w:rFonts w:eastAsia="MS Mincho"/>
          <w:sz w:val="22"/>
          <w:szCs w:val="22"/>
        </w:rPr>
      </w:pPr>
      <w:r w:rsidRPr="00B51954">
        <w:rPr>
          <w:rFonts w:eastAsia="MS Mincho"/>
          <w:sz w:val="22"/>
          <w:szCs w:val="22"/>
        </w:rPr>
        <w:t>Notably:</w:t>
      </w:r>
    </w:p>
    <w:p w14:paraId="241E4D9B" w14:textId="77777777" w:rsidR="0062595A" w:rsidRPr="00B51954" w:rsidRDefault="0062595A" w:rsidP="004630E8">
      <w:pPr>
        <w:numPr>
          <w:ilvl w:val="0"/>
          <w:numId w:val="25"/>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B51954">
        <w:rPr>
          <w:rFonts w:eastAsia="PMingLiU"/>
          <w:sz w:val="22"/>
          <w:szCs w:val="22"/>
          <w:lang w:eastAsia="zh-TW"/>
        </w:rPr>
        <w:t xml:space="preserve">The new edition of the </w:t>
      </w:r>
      <w:hyperlink r:id="rId123" w:history="1">
        <w:r w:rsidRPr="00B51954">
          <w:rPr>
            <w:rFonts w:eastAsia="PMingLiU"/>
            <w:color w:val="0563C1"/>
            <w:sz w:val="22"/>
            <w:szCs w:val="22"/>
            <w:u w:val="single"/>
            <w:lang w:eastAsia="zh-TW"/>
          </w:rPr>
          <w:t>Radio Regulations</w:t>
        </w:r>
      </w:hyperlink>
      <w:r w:rsidRPr="00B51954">
        <w:rPr>
          <w:rFonts w:eastAsia="PMingLiU"/>
          <w:sz w:val="22"/>
          <w:szCs w:val="22"/>
          <w:lang w:eastAsia="zh-TW"/>
        </w:rPr>
        <w:t>, containing the final acts adopted by WRC-23, was published in 2024 and is available for free download from the ITU website.</w:t>
      </w:r>
    </w:p>
    <w:p w14:paraId="3993E7D6" w14:textId="77777777" w:rsidR="0062595A" w:rsidRPr="00B51954" w:rsidRDefault="0062595A" w:rsidP="004630E8">
      <w:pPr>
        <w:numPr>
          <w:ilvl w:val="0"/>
          <w:numId w:val="25"/>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B51954">
        <w:rPr>
          <w:rFonts w:eastAsia="PMingLiU"/>
          <w:sz w:val="22"/>
          <w:szCs w:val="22"/>
          <w:lang w:eastAsia="zh-TW"/>
        </w:rPr>
        <w:t>The Radiocommunication Bureau continues to update and maintain software tools for the implementation, use and analysis of the Radio Regulations.</w:t>
      </w:r>
    </w:p>
    <w:p w14:paraId="7A31BCE1" w14:textId="79A016F7" w:rsidR="0062595A" w:rsidRPr="0062595A" w:rsidRDefault="0062595A" w:rsidP="004630E8">
      <w:pPr>
        <w:numPr>
          <w:ilvl w:val="0"/>
          <w:numId w:val="25"/>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8D14D8">
        <w:rPr>
          <w:rFonts w:eastAsia="PMingLiU"/>
          <w:sz w:val="22"/>
          <w:szCs w:val="22"/>
          <w:lang w:eastAsia="zh-TW"/>
        </w:rPr>
        <w:t xml:space="preserve">The </w:t>
      </w:r>
      <w:hyperlink r:id="rId124" w:history="1">
        <w:r w:rsidRPr="008D14D8">
          <w:rPr>
            <w:rFonts w:eastAsia="PMingLiU"/>
            <w:color w:val="0563C1"/>
            <w:sz w:val="22"/>
            <w:szCs w:val="22"/>
            <w:u w:val="single"/>
            <w:lang w:eastAsia="zh-TW"/>
          </w:rPr>
          <w:t>RR5 Table of Frequency Allocations tool</w:t>
        </w:r>
      </w:hyperlink>
      <w:r w:rsidRPr="00B51954">
        <w:rPr>
          <w:rFonts w:eastAsia="PMingLiU"/>
          <w:sz w:val="22"/>
          <w:szCs w:val="22"/>
          <w:lang w:eastAsia="zh-TW"/>
        </w:rPr>
        <w:t xml:space="preserve"> and the </w:t>
      </w:r>
      <w:hyperlink r:id="rId125" w:history="1">
        <w:r w:rsidRPr="00B51954">
          <w:rPr>
            <w:rFonts w:eastAsia="PMingLiU"/>
            <w:color w:val="0563C1"/>
            <w:sz w:val="22"/>
            <w:szCs w:val="22"/>
            <w:u w:val="single"/>
            <w:lang w:eastAsia="zh-TW"/>
          </w:rPr>
          <w:t>Radio Regulations Navigation Tool</w:t>
        </w:r>
      </w:hyperlink>
      <w:r w:rsidRPr="00B51954">
        <w:rPr>
          <w:rFonts w:eastAsia="PMingLiU"/>
          <w:sz w:val="22"/>
          <w:szCs w:val="22"/>
          <w:lang w:eastAsia="zh-TW"/>
        </w:rPr>
        <w:t xml:space="preserve"> have been updated in line with the 2024 Edition.</w:t>
      </w:r>
    </w:p>
    <w:p w14:paraId="6127F028" w14:textId="77777777" w:rsidR="0062595A" w:rsidRPr="0062595A" w:rsidRDefault="0062595A" w:rsidP="004630E8">
      <w:pPr>
        <w:numPr>
          <w:ilvl w:val="0"/>
          <w:numId w:val="25"/>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 xml:space="preserve">More information on ITU-R software tools can be found in the section </w:t>
      </w:r>
      <w:hyperlink r:id="rId126" w:history="1">
        <w:r w:rsidRPr="0062595A">
          <w:rPr>
            <w:rFonts w:eastAsia="PMingLiU"/>
            <w:color w:val="0563C1"/>
            <w:sz w:val="22"/>
            <w:szCs w:val="22"/>
            <w:u w:val="single"/>
            <w:lang w:eastAsia="zh-TW"/>
          </w:rPr>
          <w:t>on Software Improvements and Developments</w:t>
        </w:r>
      </w:hyperlink>
      <w:r w:rsidRPr="0062595A">
        <w:rPr>
          <w:rFonts w:eastAsia="PMingLiU"/>
          <w:sz w:val="22"/>
          <w:szCs w:val="22"/>
          <w:lang w:eastAsia="zh-TW"/>
        </w:rPr>
        <w:t xml:space="preserve"> (2022-2025).</w:t>
      </w:r>
    </w:p>
    <w:p w14:paraId="54352870" w14:textId="77777777" w:rsidR="0062595A" w:rsidRPr="0062595A" w:rsidRDefault="0062595A" w:rsidP="004630E8">
      <w:pPr>
        <w:numPr>
          <w:ilvl w:val="0"/>
          <w:numId w:val="25"/>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 xml:space="preserve">The </w:t>
      </w:r>
      <w:hyperlink r:id="rId127" w:history="1">
        <w:r w:rsidRPr="0062595A">
          <w:rPr>
            <w:rFonts w:eastAsia="PMingLiU"/>
            <w:color w:val="0563C1"/>
            <w:sz w:val="22"/>
            <w:szCs w:val="22"/>
            <w:u w:val="single"/>
            <w:lang w:eastAsia="zh-TW"/>
          </w:rPr>
          <w:t>Manual for Use by the Maritime Mobile and Maritime Mobile-Satellite Services</w:t>
        </w:r>
      </w:hyperlink>
      <w:r w:rsidRPr="0062595A">
        <w:rPr>
          <w:rFonts w:eastAsia="PMingLiU"/>
          <w:sz w:val="22"/>
          <w:szCs w:val="22"/>
          <w:lang w:eastAsia="zh-TW"/>
        </w:rPr>
        <w:t xml:space="preserve"> (Maritime Manual), published in December 2024, provides a comprehensive overview of maritime communications.</w:t>
      </w:r>
    </w:p>
    <w:p w14:paraId="165D3ED6" w14:textId="77777777" w:rsidR="0062595A" w:rsidRPr="0062595A" w:rsidRDefault="0062595A" w:rsidP="004630E8">
      <w:pPr>
        <w:numPr>
          <w:ilvl w:val="0"/>
          <w:numId w:val="25"/>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The Council adopted the agenda and decided on the dates and location of the World Radiocommunication Conference 2027 (WRC-27).</w:t>
      </w:r>
    </w:p>
    <w:p w14:paraId="12404BAC" w14:textId="77777777" w:rsidR="0062595A" w:rsidRPr="0062595A" w:rsidRDefault="0062595A" w:rsidP="004630E8">
      <w:pPr>
        <w:numPr>
          <w:ilvl w:val="0"/>
          <w:numId w:val="25"/>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WRC-27 and the Radiocommunication Assembly 2027 (RA-27) will be held in Shanghai, China, from 11 October to 12 November 2027.</w:t>
      </w:r>
    </w:p>
    <w:p w14:paraId="47A3B43D" w14:textId="77777777" w:rsidR="0062595A" w:rsidRPr="0062595A" w:rsidRDefault="0062595A" w:rsidP="004630E8">
      <w:pPr>
        <w:numPr>
          <w:ilvl w:val="0"/>
          <w:numId w:val="25"/>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The responsible and contributing groups for each WRC-27 agenda item, which were identified by CPM27-1, are conducting the preparatory studies for WRC-27.</w:t>
      </w:r>
    </w:p>
    <w:p w14:paraId="6E466F2F" w14:textId="77777777" w:rsidR="0062595A" w:rsidRPr="0062595A" w:rsidRDefault="0062595A" w:rsidP="004630E8">
      <w:pPr>
        <w:numPr>
          <w:ilvl w:val="0"/>
          <w:numId w:val="25"/>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The Radiocommunication Bureau is working on the processing of space and terrestrial notices.</w:t>
      </w:r>
    </w:p>
    <w:p w14:paraId="4FDA4BC8" w14:textId="36AB56B5" w:rsidR="0062595A" w:rsidRPr="00097C08" w:rsidRDefault="0062595A" w:rsidP="004630E8">
      <w:pPr>
        <w:numPr>
          <w:ilvl w:val="0"/>
          <w:numId w:val="25"/>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 xml:space="preserve">More information on the results of this work can be found in the next section on </w:t>
      </w:r>
      <w:hyperlink w:anchor="Section_4_2_1" w:history="1">
        <w:r w:rsidRPr="00C93A80">
          <w:rPr>
            <w:rStyle w:val="Hyperlink"/>
            <w:rFonts w:eastAsia="PMingLiU"/>
            <w:color w:val="0563C1"/>
            <w:sz w:val="22"/>
            <w:szCs w:val="22"/>
            <w:lang w:eastAsia="zh-TW"/>
          </w:rPr>
          <w:t>Spectrum use for space and terrestrial services</w:t>
        </w:r>
      </w:hyperlink>
      <w:r w:rsidRPr="00FC14E9">
        <w:rPr>
          <w:rFonts w:eastAsia="PMingLiU"/>
          <w:sz w:val="22"/>
          <w:szCs w:val="22"/>
          <w:lang w:eastAsia="zh-TW"/>
        </w:rPr>
        <w:t>.</w:t>
      </w:r>
    </w:p>
    <w:p w14:paraId="049A0908" w14:textId="77777777" w:rsidR="0062595A" w:rsidRPr="0062595A" w:rsidRDefault="0062595A" w:rsidP="004630E8">
      <w:pPr>
        <w:keepNext/>
        <w:keepLines/>
        <w:tabs>
          <w:tab w:val="clear" w:pos="567"/>
        </w:tabs>
        <w:suppressAutoHyphens/>
        <w:adjustRightInd/>
        <w:spacing w:before="360" w:after="120"/>
        <w:ind w:left="567" w:hanging="567"/>
        <w:jc w:val="both"/>
        <w:outlineLvl w:val="1"/>
        <w:rPr>
          <w:rFonts w:eastAsia="MS Mincho"/>
          <w:b/>
        </w:rPr>
      </w:pPr>
      <w:bookmarkStart w:id="69" w:name="_Toc224288806"/>
      <w:r w:rsidRPr="0062595A">
        <w:rPr>
          <w:rFonts w:eastAsia="MS Mincho"/>
          <w:b/>
        </w:rPr>
        <w:lastRenderedPageBreak/>
        <w:t>4.2</w:t>
      </w:r>
      <w:r w:rsidRPr="0062595A">
        <w:rPr>
          <w:rFonts w:eastAsia="MS Mincho"/>
          <w:b/>
        </w:rPr>
        <w:tab/>
        <w:t>Allocation and management of resources</w:t>
      </w:r>
      <w:bookmarkEnd w:id="69"/>
    </w:p>
    <w:p w14:paraId="2459356D" w14:textId="77777777"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rPr>
      </w:pPr>
      <w:bookmarkStart w:id="70" w:name="_Toc224288807"/>
      <w:bookmarkStart w:id="71" w:name="Section_4_2_1"/>
      <w:r w:rsidRPr="0062595A">
        <w:rPr>
          <w:rFonts w:eastAsia="MS Mincho"/>
          <w:b/>
          <w:color w:val="0D0D0D"/>
        </w:rPr>
        <w:t>4.2.1</w:t>
      </w:r>
      <w:r w:rsidRPr="0062595A">
        <w:rPr>
          <w:rFonts w:eastAsia="MS Mincho"/>
          <w:b/>
          <w:color w:val="0D0D0D"/>
        </w:rPr>
        <w:tab/>
        <w:t>Spectrum use for space and terrestrial services</w:t>
      </w:r>
      <w:bookmarkEnd w:id="70"/>
      <w:bookmarkEnd w:id="71"/>
    </w:p>
    <w:p w14:paraId="49879FAF" w14:textId="09A34CC7" w:rsidR="0062595A" w:rsidRPr="0062595A" w:rsidRDefault="0062595A" w:rsidP="00097C08">
      <w:pPr>
        <w:keepNext/>
        <w:keepLines/>
        <w:suppressAutoHyphens/>
        <w:adjustRightInd/>
        <w:spacing w:before="360" w:after="240"/>
        <w:jc w:val="center"/>
        <w:rPr>
          <w:rFonts w:eastAsia="MS Mincho"/>
          <w:sz w:val="22"/>
        </w:rPr>
      </w:pPr>
      <w:r w:rsidRPr="0062595A">
        <w:rPr>
          <w:rFonts w:eastAsia="Calibri"/>
          <w:b/>
          <w:bCs/>
          <w:sz w:val="22"/>
        </w:rPr>
        <w:t>Results of the processing of space notices and other related activities, 2022-2025</w:t>
      </w:r>
    </w:p>
    <w:tbl>
      <w:tblPr>
        <w:tblW w:w="8955" w:type="dxa"/>
        <w:tblLayout w:type="fixed"/>
        <w:tblCellMar>
          <w:left w:w="10" w:type="dxa"/>
          <w:right w:w="10" w:type="dxa"/>
        </w:tblCellMar>
        <w:tblLook w:val="0000" w:firstRow="0" w:lastRow="0" w:firstColumn="0" w:lastColumn="0" w:noHBand="0" w:noVBand="0"/>
      </w:tblPr>
      <w:tblGrid>
        <w:gridCol w:w="3960"/>
        <w:gridCol w:w="810"/>
        <w:gridCol w:w="765"/>
        <w:gridCol w:w="945"/>
        <w:gridCol w:w="1080"/>
        <w:gridCol w:w="1395"/>
      </w:tblGrid>
      <w:tr w:rsidR="0062595A" w:rsidRPr="0062595A" w14:paraId="1DFE4F08" w14:textId="77777777" w:rsidTr="00443B52">
        <w:trPr>
          <w:trHeight w:val="300"/>
        </w:trPr>
        <w:tc>
          <w:tcPr>
            <w:tcW w:w="3960" w:type="dxa"/>
            <w:tcBorders>
              <w:top w:val="single" w:sz="4" w:space="0" w:color="4BACC6"/>
              <w:left w:val="single" w:sz="4" w:space="0" w:color="4BACC6"/>
            </w:tcBorders>
            <w:tcMar>
              <w:top w:w="0" w:type="dxa"/>
              <w:left w:w="108" w:type="dxa"/>
              <w:bottom w:w="0" w:type="dxa"/>
              <w:right w:w="108" w:type="dxa"/>
            </w:tcMar>
          </w:tcPr>
          <w:p w14:paraId="7305E326" w14:textId="77777777" w:rsidR="0062595A" w:rsidRPr="0062595A" w:rsidRDefault="0062595A" w:rsidP="0056065E">
            <w:pPr>
              <w:keepNext/>
              <w:keepLines/>
              <w:suppressAutoHyphens/>
              <w:adjustRightInd/>
              <w:spacing w:before="0"/>
              <w:jc w:val="center"/>
              <w:rPr>
                <w:rFonts w:eastAsia="Calibri"/>
                <w:b/>
                <w:bCs/>
                <w:color w:val="FFFFFF"/>
                <w:sz w:val="22"/>
              </w:rPr>
            </w:pPr>
            <w:r w:rsidRPr="0062595A">
              <w:rPr>
                <w:rFonts w:eastAsia="Calibri"/>
                <w:b/>
                <w:bCs/>
                <w:color w:val="FFFFFF"/>
                <w:sz w:val="22"/>
              </w:rPr>
              <w:t>Results of the processing of space notices and other related activities</w:t>
            </w:r>
          </w:p>
        </w:tc>
        <w:tc>
          <w:tcPr>
            <w:tcW w:w="810" w:type="dxa"/>
            <w:tcBorders>
              <w:top w:val="single" w:sz="4" w:space="0" w:color="4BACC6"/>
            </w:tcBorders>
            <w:tcMar>
              <w:top w:w="0" w:type="dxa"/>
              <w:left w:w="108" w:type="dxa"/>
              <w:bottom w:w="0" w:type="dxa"/>
              <w:right w:w="108" w:type="dxa"/>
            </w:tcMar>
          </w:tcPr>
          <w:p w14:paraId="43E81C32" w14:textId="77777777" w:rsidR="0062595A" w:rsidRPr="0062595A" w:rsidRDefault="0062595A" w:rsidP="0056065E">
            <w:pPr>
              <w:keepNext/>
              <w:keepLines/>
              <w:suppressAutoHyphens/>
              <w:adjustRightInd/>
              <w:spacing w:before="0"/>
              <w:jc w:val="center"/>
              <w:rPr>
                <w:rFonts w:eastAsia="Calibri"/>
                <w:b/>
                <w:bCs/>
                <w:color w:val="FFFFFF"/>
                <w:sz w:val="22"/>
              </w:rPr>
            </w:pPr>
            <w:r w:rsidRPr="0062595A">
              <w:rPr>
                <w:rFonts w:eastAsia="Calibri"/>
                <w:b/>
                <w:bCs/>
                <w:color w:val="FFFFFF"/>
                <w:sz w:val="22"/>
              </w:rPr>
              <w:t>2022</w:t>
            </w:r>
          </w:p>
        </w:tc>
        <w:tc>
          <w:tcPr>
            <w:tcW w:w="765" w:type="dxa"/>
            <w:tcBorders>
              <w:top w:val="single" w:sz="4" w:space="0" w:color="4BACC6"/>
            </w:tcBorders>
            <w:tcMar>
              <w:top w:w="0" w:type="dxa"/>
              <w:left w:w="108" w:type="dxa"/>
              <w:bottom w:w="0" w:type="dxa"/>
              <w:right w:w="108" w:type="dxa"/>
            </w:tcMar>
          </w:tcPr>
          <w:p w14:paraId="3A8E7984" w14:textId="77777777" w:rsidR="0062595A" w:rsidRPr="0062595A" w:rsidRDefault="0062595A" w:rsidP="0056065E">
            <w:pPr>
              <w:keepNext/>
              <w:keepLines/>
              <w:suppressAutoHyphens/>
              <w:adjustRightInd/>
              <w:spacing w:before="0"/>
              <w:jc w:val="center"/>
              <w:rPr>
                <w:rFonts w:eastAsia="Calibri"/>
                <w:b/>
                <w:bCs/>
                <w:color w:val="FFFFFF"/>
                <w:sz w:val="22"/>
              </w:rPr>
            </w:pPr>
            <w:r w:rsidRPr="0062595A">
              <w:rPr>
                <w:rFonts w:eastAsia="Calibri"/>
                <w:b/>
                <w:bCs/>
                <w:color w:val="FFFFFF"/>
                <w:sz w:val="22"/>
              </w:rPr>
              <w:t>2023</w:t>
            </w:r>
          </w:p>
        </w:tc>
        <w:tc>
          <w:tcPr>
            <w:tcW w:w="945" w:type="dxa"/>
            <w:tcBorders>
              <w:top w:val="single" w:sz="4" w:space="0" w:color="4BACC6"/>
            </w:tcBorders>
            <w:tcMar>
              <w:top w:w="0" w:type="dxa"/>
              <w:left w:w="108" w:type="dxa"/>
              <w:bottom w:w="0" w:type="dxa"/>
              <w:right w:w="108" w:type="dxa"/>
            </w:tcMar>
          </w:tcPr>
          <w:p w14:paraId="06D87E25" w14:textId="77777777" w:rsidR="0062595A" w:rsidRPr="0062595A" w:rsidRDefault="0062595A" w:rsidP="0056065E">
            <w:pPr>
              <w:keepNext/>
              <w:keepLines/>
              <w:suppressAutoHyphens/>
              <w:adjustRightInd/>
              <w:spacing w:before="0"/>
              <w:jc w:val="center"/>
              <w:rPr>
                <w:rFonts w:eastAsia="Calibri"/>
                <w:b/>
                <w:bCs/>
                <w:color w:val="FFFFFF"/>
                <w:sz w:val="22"/>
              </w:rPr>
            </w:pPr>
            <w:r w:rsidRPr="0062595A">
              <w:rPr>
                <w:rFonts w:eastAsia="Calibri"/>
                <w:b/>
                <w:bCs/>
                <w:color w:val="FFFFFF"/>
                <w:sz w:val="22"/>
              </w:rPr>
              <w:t>2024</w:t>
            </w:r>
          </w:p>
        </w:tc>
        <w:tc>
          <w:tcPr>
            <w:tcW w:w="1080" w:type="dxa"/>
            <w:tcBorders>
              <w:top w:val="single" w:sz="4" w:space="0" w:color="4BACC6"/>
            </w:tcBorders>
            <w:tcMar>
              <w:top w:w="0" w:type="dxa"/>
              <w:left w:w="108" w:type="dxa"/>
              <w:bottom w:w="0" w:type="dxa"/>
              <w:right w:w="108" w:type="dxa"/>
            </w:tcMar>
          </w:tcPr>
          <w:p w14:paraId="3A6C05F8" w14:textId="77777777" w:rsidR="0062595A" w:rsidRPr="0062595A" w:rsidRDefault="0062595A" w:rsidP="0056065E">
            <w:pPr>
              <w:keepNext/>
              <w:keepLines/>
              <w:suppressAutoHyphens/>
              <w:adjustRightInd/>
              <w:spacing w:before="0"/>
              <w:jc w:val="center"/>
              <w:rPr>
                <w:rFonts w:eastAsia="Calibri"/>
                <w:b/>
                <w:bCs/>
                <w:color w:val="FFFFFF"/>
                <w:sz w:val="22"/>
              </w:rPr>
            </w:pPr>
            <w:r w:rsidRPr="0062595A">
              <w:rPr>
                <w:rFonts w:eastAsia="Calibri"/>
                <w:b/>
                <w:bCs/>
                <w:color w:val="FFFFFF"/>
                <w:sz w:val="22"/>
              </w:rPr>
              <w:t>2025</w:t>
            </w:r>
          </w:p>
        </w:tc>
        <w:tc>
          <w:tcPr>
            <w:tcW w:w="1395" w:type="dxa"/>
            <w:tcBorders>
              <w:top w:val="single" w:sz="4" w:space="0" w:color="4BACC6"/>
              <w:right w:val="single" w:sz="4" w:space="0" w:color="4BACC6"/>
            </w:tcBorders>
            <w:tcMar>
              <w:top w:w="0" w:type="dxa"/>
              <w:left w:w="108" w:type="dxa"/>
              <w:bottom w:w="0" w:type="dxa"/>
              <w:right w:w="108" w:type="dxa"/>
            </w:tcMar>
          </w:tcPr>
          <w:p w14:paraId="5D2DBB3B" w14:textId="77777777" w:rsidR="0062595A" w:rsidRPr="0062595A" w:rsidRDefault="0062595A" w:rsidP="0056065E">
            <w:pPr>
              <w:keepNext/>
              <w:keepLines/>
              <w:suppressAutoHyphens/>
              <w:adjustRightInd/>
              <w:spacing w:before="0"/>
              <w:jc w:val="center"/>
              <w:rPr>
                <w:rFonts w:eastAsia="Calibri"/>
                <w:b/>
                <w:bCs/>
                <w:color w:val="FFFFFF"/>
                <w:sz w:val="22"/>
              </w:rPr>
            </w:pPr>
            <w:r w:rsidRPr="0062595A">
              <w:rPr>
                <w:rFonts w:eastAsia="Calibri"/>
                <w:b/>
                <w:bCs/>
                <w:color w:val="FFFFFF"/>
                <w:sz w:val="22"/>
              </w:rPr>
              <w:t>Total</w:t>
            </w:r>
          </w:p>
          <w:p w14:paraId="3E74B2DB" w14:textId="77777777" w:rsidR="0062595A" w:rsidRPr="0062595A" w:rsidRDefault="0062595A" w:rsidP="0056065E">
            <w:pPr>
              <w:keepNext/>
              <w:keepLines/>
              <w:suppressAutoHyphens/>
              <w:adjustRightInd/>
              <w:spacing w:before="0"/>
              <w:jc w:val="center"/>
              <w:rPr>
                <w:rFonts w:eastAsia="Calibri"/>
                <w:b/>
                <w:bCs/>
                <w:color w:val="FFFFFF"/>
                <w:sz w:val="22"/>
              </w:rPr>
            </w:pPr>
            <w:r w:rsidRPr="0062595A">
              <w:rPr>
                <w:rFonts w:eastAsia="Calibri"/>
                <w:b/>
                <w:bCs/>
                <w:color w:val="FFFFFF"/>
                <w:sz w:val="22"/>
              </w:rPr>
              <w:t>2022-2025</w:t>
            </w:r>
          </w:p>
        </w:tc>
      </w:tr>
      <w:tr w:rsidR="0062595A" w:rsidRPr="0062595A" w14:paraId="68F33E4F" w14:textId="77777777" w:rsidTr="00443B52">
        <w:trPr>
          <w:trHeight w:val="619"/>
        </w:trPr>
        <w:tc>
          <w:tcPr>
            <w:tcW w:w="3960" w:type="dxa"/>
            <w:tcBorders>
              <w:left w:val="single" w:sz="4" w:space="0" w:color="4BACC6"/>
            </w:tcBorders>
            <w:tcMar>
              <w:top w:w="0" w:type="dxa"/>
              <w:left w:w="108" w:type="dxa"/>
              <w:bottom w:w="0" w:type="dxa"/>
              <w:right w:w="108" w:type="dxa"/>
            </w:tcMar>
            <w:vAlign w:val="center"/>
          </w:tcPr>
          <w:p w14:paraId="402AA6B8" w14:textId="77777777" w:rsidR="0062595A" w:rsidRPr="0062595A" w:rsidRDefault="0062595A" w:rsidP="0056065E">
            <w:pPr>
              <w:keepNext/>
              <w:keepLines/>
              <w:suppressAutoHyphens/>
              <w:adjustRightInd/>
              <w:spacing w:before="0"/>
              <w:rPr>
                <w:rFonts w:eastAsia="MS Mincho"/>
                <w:sz w:val="22"/>
              </w:rPr>
            </w:pPr>
            <w:r w:rsidRPr="0062595A">
              <w:rPr>
                <w:rFonts w:eastAsia="Calibri"/>
                <w:sz w:val="20"/>
                <w:szCs w:val="18"/>
              </w:rPr>
              <w:t>Coordination and notification requests</w:t>
            </w:r>
          </w:p>
        </w:tc>
        <w:tc>
          <w:tcPr>
            <w:tcW w:w="810" w:type="dxa"/>
            <w:tcMar>
              <w:top w:w="0" w:type="dxa"/>
              <w:left w:w="108" w:type="dxa"/>
              <w:bottom w:w="0" w:type="dxa"/>
              <w:right w:w="108" w:type="dxa"/>
            </w:tcMar>
            <w:vAlign w:val="center"/>
          </w:tcPr>
          <w:p w14:paraId="3F4ABF41" w14:textId="77777777" w:rsidR="0062595A" w:rsidRPr="0062595A" w:rsidRDefault="0062595A" w:rsidP="0056065E">
            <w:pPr>
              <w:keepNext/>
              <w:keepLines/>
              <w:suppressAutoHyphens/>
              <w:adjustRightInd/>
              <w:spacing w:before="0"/>
              <w:jc w:val="center"/>
              <w:rPr>
                <w:rFonts w:eastAsia="Calibri"/>
                <w:sz w:val="20"/>
                <w:szCs w:val="18"/>
              </w:rPr>
            </w:pPr>
            <w:r w:rsidRPr="0062595A">
              <w:rPr>
                <w:rFonts w:eastAsia="Calibri"/>
                <w:sz w:val="20"/>
                <w:szCs w:val="18"/>
              </w:rPr>
              <w:t>1518</w:t>
            </w:r>
          </w:p>
        </w:tc>
        <w:tc>
          <w:tcPr>
            <w:tcW w:w="765" w:type="dxa"/>
            <w:tcMar>
              <w:top w:w="0" w:type="dxa"/>
              <w:left w:w="108" w:type="dxa"/>
              <w:bottom w:w="0" w:type="dxa"/>
              <w:right w:w="108" w:type="dxa"/>
            </w:tcMar>
            <w:vAlign w:val="center"/>
          </w:tcPr>
          <w:p w14:paraId="3197F55C" w14:textId="77777777" w:rsidR="0062595A" w:rsidRPr="0062595A" w:rsidRDefault="0062595A" w:rsidP="0056065E">
            <w:pPr>
              <w:keepNext/>
              <w:keepLines/>
              <w:suppressAutoHyphens/>
              <w:adjustRightInd/>
              <w:spacing w:before="0"/>
              <w:jc w:val="center"/>
              <w:rPr>
                <w:rFonts w:eastAsia="Calibri"/>
                <w:sz w:val="20"/>
                <w:szCs w:val="18"/>
              </w:rPr>
            </w:pPr>
            <w:r w:rsidRPr="0062595A">
              <w:rPr>
                <w:rFonts w:eastAsia="Calibri"/>
                <w:sz w:val="20"/>
                <w:szCs w:val="18"/>
              </w:rPr>
              <w:t>1349</w:t>
            </w:r>
          </w:p>
        </w:tc>
        <w:tc>
          <w:tcPr>
            <w:tcW w:w="945" w:type="dxa"/>
            <w:tcMar>
              <w:top w:w="0" w:type="dxa"/>
              <w:left w:w="108" w:type="dxa"/>
              <w:bottom w:w="0" w:type="dxa"/>
              <w:right w:w="108" w:type="dxa"/>
            </w:tcMar>
            <w:vAlign w:val="center"/>
          </w:tcPr>
          <w:p w14:paraId="2DAC8E9C" w14:textId="77777777" w:rsidR="0062595A" w:rsidRPr="0062595A" w:rsidRDefault="0062595A" w:rsidP="0056065E">
            <w:pPr>
              <w:keepNext/>
              <w:keepLines/>
              <w:suppressAutoHyphens/>
              <w:adjustRightInd/>
              <w:spacing w:before="0"/>
              <w:jc w:val="center"/>
              <w:rPr>
                <w:rFonts w:eastAsia="Calibri"/>
                <w:sz w:val="20"/>
                <w:szCs w:val="18"/>
              </w:rPr>
            </w:pPr>
            <w:r w:rsidRPr="0062595A">
              <w:rPr>
                <w:rFonts w:eastAsia="Calibri"/>
                <w:sz w:val="20"/>
                <w:szCs w:val="18"/>
              </w:rPr>
              <w:t>1384</w:t>
            </w:r>
          </w:p>
        </w:tc>
        <w:tc>
          <w:tcPr>
            <w:tcW w:w="1080" w:type="dxa"/>
            <w:tcMar>
              <w:top w:w="0" w:type="dxa"/>
              <w:left w:w="108" w:type="dxa"/>
              <w:bottom w:w="0" w:type="dxa"/>
              <w:right w:w="108" w:type="dxa"/>
            </w:tcMar>
            <w:vAlign w:val="center"/>
          </w:tcPr>
          <w:p w14:paraId="4FE7B563" w14:textId="77777777" w:rsidR="0062595A" w:rsidRPr="0062595A" w:rsidRDefault="0062595A" w:rsidP="0056065E">
            <w:pPr>
              <w:keepNext/>
              <w:keepLines/>
              <w:suppressAutoHyphens/>
              <w:adjustRightInd/>
              <w:spacing w:before="0"/>
              <w:jc w:val="center"/>
              <w:rPr>
                <w:rFonts w:eastAsia="Calibri"/>
                <w:sz w:val="20"/>
                <w:szCs w:val="18"/>
              </w:rPr>
            </w:pPr>
            <w:r w:rsidRPr="0062595A">
              <w:rPr>
                <w:rFonts w:eastAsia="Calibri"/>
                <w:sz w:val="20"/>
                <w:szCs w:val="18"/>
              </w:rPr>
              <w:t>1198</w:t>
            </w:r>
          </w:p>
        </w:tc>
        <w:tc>
          <w:tcPr>
            <w:tcW w:w="1395" w:type="dxa"/>
            <w:tcBorders>
              <w:right w:val="single" w:sz="4" w:space="0" w:color="4BACC6"/>
            </w:tcBorders>
            <w:tcMar>
              <w:top w:w="0" w:type="dxa"/>
              <w:left w:w="108" w:type="dxa"/>
              <w:bottom w:w="0" w:type="dxa"/>
              <w:right w:w="108" w:type="dxa"/>
            </w:tcMar>
            <w:vAlign w:val="center"/>
          </w:tcPr>
          <w:p w14:paraId="07267215" w14:textId="77777777" w:rsidR="0062595A" w:rsidRPr="0062595A" w:rsidRDefault="0062595A" w:rsidP="0056065E">
            <w:pPr>
              <w:keepNext/>
              <w:keepLines/>
              <w:suppressAutoHyphens/>
              <w:adjustRightInd/>
              <w:spacing w:before="0"/>
              <w:jc w:val="center"/>
              <w:rPr>
                <w:rFonts w:eastAsia="Calibri"/>
                <w:sz w:val="20"/>
                <w:szCs w:val="18"/>
              </w:rPr>
            </w:pPr>
            <w:r w:rsidRPr="0062595A">
              <w:rPr>
                <w:rFonts w:eastAsia="Calibri"/>
                <w:sz w:val="20"/>
                <w:szCs w:val="18"/>
              </w:rPr>
              <w:t>5459</w:t>
            </w:r>
          </w:p>
        </w:tc>
      </w:tr>
      <w:tr w:rsidR="0062595A" w:rsidRPr="0062595A" w14:paraId="24348849" w14:textId="77777777" w:rsidTr="00443B52">
        <w:trPr>
          <w:trHeight w:val="699"/>
        </w:trPr>
        <w:tc>
          <w:tcPr>
            <w:tcW w:w="3960" w:type="dxa"/>
            <w:tcBorders>
              <w:left w:val="single" w:sz="4" w:space="0" w:color="4BACC6"/>
            </w:tcBorders>
            <w:tcMar>
              <w:top w:w="0" w:type="dxa"/>
              <w:left w:w="108" w:type="dxa"/>
              <w:bottom w:w="0" w:type="dxa"/>
              <w:right w:w="108" w:type="dxa"/>
            </w:tcMar>
            <w:vAlign w:val="center"/>
          </w:tcPr>
          <w:p w14:paraId="56AA3CC2" w14:textId="77777777" w:rsidR="0062595A" w:rsidRPr="0062595A" w:rsidRDefault="0062595A" w:rsidP="0062595A">
            <w:pPr>
              <w:suppressAutoHyphens/>
              <w:adjustRightInd/>
              <w:spacing w:before="0"/>
              <w:rPr>
                <w:rFonts w:eastAsia="MS Mincho"/>
                <w:sz w:val="22"/>
              </w:rPr>
            </w:pPr>
            <w:r w:rsidRPr="0062595A">
              <w:rPr>
                <w:rFonts w:eastAsia="Calibri"/>
                <w:sz w:val="20"/>
                <w:szCs w:val="18"/>
              </w:rPr>
              <w:t>Requests for broadcasting-satellite and associated feeder links Plans</w:t>
            </w:r>
          </w:p>
        </w:tc>
        <w:tc>
          <w:tcPr>
            <w:tcW w:w="810" w:type="dxa"/>
            <w:tcMar>
              <w:top w:w="0" w:type="dxa"/>
              <w:left w:w="108" w:type="dxa"/>
              <w:bottom w:w="0" w:type="dxa"/>
              <w:right w:w="108" w:type="dxa"/>
            </w:tcMar>
            <w:vAlign w:val="center"/>
          </w:tcPr>
          <w:p w14:paraId="5BE9B312" w14:textId="77777777" w:rsidR="0062595A" w:rsidRPr="0062595A" w:rsidRDefault="0062595A" w:rsidP="0062595A">
            <w:pPr>
              <w:suppressAutoHyphens/>
              <w:adjustRightInd/>
              <w:spacing w:before="0"/>
              <w:jc w:val="center"/>
              <w:rPr>
                <w:rFonts w:eastAsia="Calibri"/>
                <w:sz w:val="20"/>
                <w:szCs w:val="18"/>
              </w:rPr>
            </w:pPr>
            <w:r w:rsidRPr="0062595A">
              <w:rPr>
                <w:rFonts w:eastAsia="Calibri"/>
                <w:sz w:val="20"/>
                <w:szCs w:val="18"/>
              </w:rPr>
              <w:t>134</w:t>
            </w:r>
          </w:p>
        </w:tc>
        <w:tc>
          <w:tcPr>
            <w:tcW w:w="765" w:type="dxa"/>
            <w:tcMar>
              <w:top w:w="0" w:type="dxa"/>
              <w:left w:w="108" w:type="dxa"/>
              <w:bottom w:w="0" w:type="dxa"/>
              <w:right w:w="108" w:type="dxa"/>
            </w:tcMar>
            <w:vAlign w:val="center"/>
          </w:tcPr>
          <w:p w14:paraId="2F879627" w14:textId="77777777" w:rsidR="0062595A" w:rsidRPr="0062595A" w:rsidRDefault="0062595A" w:rsidP="0062595A">
            <w:pPr>
              <w:suppressAutoHyphens/>
              <w:adjustRightInd/>
              <w:spacing w:before="0"/>
              <w:jc w:val="center"/>
              <w:rPr>
                <w:rFonts w:eastAsia="Calibri"/>
                <w:sz w:val="20"/>
                <w:szCs w:val="18"/>
              </w:rPr>
            </w:pPr>
            <w:r w:rsidRPr="0062595A">
              <w:rPr>
                <w:rFonts w:eastAsia="Calibri"/>
                <w:sz w:val="20"/>
                <w:szCs w:val="18"/>
              </w:rPr>
              <w:t>130*</w:t>
            </w:r>
          </w:p>
        </w:tc>
        <w:tc>
          <w:tcPr>
            <w:tcW w:w="945" w:type="dxa"/>
            <w:tcMar>
              <w:top w:w="0" w:type="dxa"/>
              <w:left w:w="108" w:type="dxa"/>
              <w:bottom w:w="0" w:type="dxa"/>
              <w:right w:w="108" w:type="dxa"/>
            </w:tcMar>
            <w:vAlign w:val="center"/>
          </w:tcPr>
          <w:p w14:paraId="7F981D1F" w14:textId="77777777" w:rsidR="0062595A" w:rsidRPr="0062595A" w:rsidRDefault="0062595A" w:rsidP="0062595A">
            <w:pPr>
              <w:suppressAutoHyphens/>
              <w:adjustRightInd/>
              <w:spacing w:before="0"/>
              <w:jc w:val="center"/>
              <w:rPr>
                <w:rFonts w:eastAsia="Calibri"/>
                <w:sz w:val="20"/>
                <w:szCs w:val="18"/>
              </w:rPr>
            </w:pPr>
            <w:r w:rsidRPr="0062595A">
              <w:rPr>
                <w:rFonts w:eastAsia="Calibri"/>
                <w:sz w:val="20"/>
                <w:szCs w:val="18"/>
              </w:rPr>
              <w:t>204**</w:t>
            </w:r>
          </w:p>
        </w:tc>
        <w:tc>
          <w:tcPr>
            <w:tcW w:w="1080" w:type="dxa"/>
            <w:tcMar>
              <w:top w:w="0" w:type="dxa"/>
              <w:left w:w="108" w:type="dxa"/>
              <w:bottom w:w="0" w:type="dxa"/>
              <w:right w:w="108" w:type="dxa"/>
            </w:tcMar>
            <w:vAlign w:val="center"/>
          </w:tcPr>
          <w:p w14:paraId="09A22EFE" w14:textId="77777777" w:rsidR="0062595A" w:rsidRPr="0062595A" w:rsidRDefault="0062595A" w:rsidP="0062595A">
            <w:pPr>
              <w:suppressAutoHyphens/>
              <w:adjustRightInd/>
              <w:spacing w:before="0"/>
              <w:jc w:val="center"/>
              <w:rPr>
                <w:rFonts w:eastAsia="Calibri"/>
                <w:sz w:val="20"/>
                <w:szCs w:val="18"/>
              </w:rPr>
            </w:pPr>
            <w:r w:rsidRPr="0062595A">
              <w:rPr>
                <w:rFonts w:eastAsia="Calibri"/>
                <w:sz w:val="20"/>
                <w:szCs w:val="18"/>
              </w:rPr>
              <w:t>90</w:t>
            </w:r>
          </w:p>
        </w:tc>
        <w:tc>
          <w:tcPr>
            <w:tcW w:w="1395" w:type="dxa"/>
            <w:tcBorders>
              <w:right w:val="single" w:sz="4" w:space="0" w:color="4BACC6"/>
            </w:tcBorders>
            <w:tcMar>
              <w:top w:w="0" w:type="dxa"/>
              <w:left w:w="108" w:type="dxa"/>
              <w:bottom w:w="0" w:type="dxa"/>
              <w:right w:w="108" w:type="dxa"/>
            </w:tcMar>
            <w:vAlign w:val="center"/>
          </w:tcPr>
          <w:p w14:paraId="2DF17C26" w14:textId="77777777" w:rsidR="0062595A" w:rsidRPr="0062595A" w:rsidRDefault="0062595A" w:rsidP="0062595A">
            <w:pPr>
              <w:suppressAutoHyphens/>
              <w:adjustRightInd/>
              <w:spacing w:before="0"/>
              <w:jc w:val="center"/>
              <w:rPr>
                <w:rFonts w:eastAsia="Calibri"/>
                <w:sz w:val="20"/>
                <w:szCs w:val="18"/>
              </w:rPr>
            </w:pPr>
            <w:r w:rsidRPr="0062595A">
              <w:rPr>
                <w:rFonts w:eastAsia="Calibri"/>
                <w:sz w:val="20"/>
                <w:szCs w:val="18"/>
              </w:rPr>
              <w:t>558</w:t>
            </w:r>
          </w:p>
        </w:tc>
      </w:tr>
      <w:tr w:rsidR="0062595A" w:rsidRPr="0062595A" w14:paraId="30FF0FB5" w14:textId="77777777" w:rsidTr="00443B52">
        <w:trPr>
          <w:trHeight w:val="585"/>
        </w:trPr>
        <w:tc>
          <w:tcPr>
            <w:tcW w:w="3960" w:type="dxa"/>
            <w:tcBorders>
              <w:left w:val="single" w:sz="4" w:space="0" w:color="4BACC6"/>
              <w:bottom w:val="single" w:sz="4" w:space="0" w:color="4BACC6"/>
            </w:tcBorders>
            <w:tcMar>
              <w:top w:w="0" w:type="dxa"/>
              <w:left w:w="108" w:type="dxa"/>
              <w:bottom w:w="0" w:type="dxa"/>
              <w:right w:w="108" w:type="dxa"/>
            </w:tcMar>
            <w:vAlign w:val="center"/>
          </w:tcPr>
          <w:p w14:paraId="0E5D2121" w14:textId="77777777" w:rsidR="0062595A" w:rsidRPr="0062595A" w:rsidRDefault="0062595A" w:rsidP="0062595A">
            <w:pPr>
              <w:suppressAutoHyphens/>
              <w:adjustRightInd/>
              <w:spacing w:before="0"/>
              <w:rPr>
                <w:rFonts w:eastAsia="MS Mincho"/>
                <w:sz w:val="22"/>
              </w:rPr>
            </w:pPr>
            <w:r w:rsidRPr="0062595A">
              <w:rPr>
                <w:rFonts w:eastAsia="Calibri"/>
                <w:sz w:val="20"/>
                <w:szCs w:val="18"/>
              </w:rPr>
              <w:t>Requests for fixed-satellite service Plan</w:t>
            </w:r>
          </w:p>
        </w:tc>
        <w:tc>
          <w:tcPr>
            <w:tcW w:w="810" w:type="dxa"/>
            <w:tcBorders>
              <w:bottom w:val="single" w:sz="4" w:space="0" w:color="4BACC6"/>
            </w:tcBorders>
            <w:tcMar>
              <w:top w:w="0" w:type="dxa"/>
              <w:left w:w="108" w:type="dxa"/>
              <w:bottom w:w="0" w:type="dxa"/>
              <w:right w:w="108" w:type="dxa"/>
            </w:tcMar>
            <w:vAlign w:val="center"/>
          </w:tcPr>
          <w:p w14:paraId="25CCA2D7" w14:textId="77777777" w:rsidR="0062595A" w:rsidRPr="0062595A" w:rsidRDefault="0062595A" w:rsidP="0062595A">
            <w:pPr>
              <w:suppressAutoHyphens/>
              <w:adjustRightInd/>
              <w:spacing w:before="0"/>
              <w:jc w:val="center"/>
              <w:rPr>
                <w:rFonts w:eastAsia="Calibri"/>
                <w:sz w:val="20"/>
                <w:szCs w:val="18"/>
              </w:rPr>
            </w:pPr>
            <w:r w:rsidRPr="0062595A">
              <w:rPr>
                <w:rFonts w:eastAsia="Calibri"/>
                <w:sz w:val="20"/>
                <w:szCs w:val="18"/>
              </w:rPr>
              <w:t>134</w:t>
            </w:r>
          </w:p>
        </w:tc>
        <w:tc>
          <w:tcPr>
            <w:tcW w:w="765" w:type="dxa"/>
            <w:tcBorders>
              <w:bottom w:val="single" w:sz="4" w:space="0" w:color="4BACC6"/>
            </w:tcBorders>
            <w:tcMar>
              <w:top w:w="0" w:type="dxa"/>
              <w:left w:w="108" w:type="dxa"/>
              <w:bottom w:w="0" w:type="dxa"/>
              <w:right w:w="108" w:type="dxa"/>
            </w:tcMar>
            <w:vAlign w:val="center"/>
          </w:tcPr>
          <w:p w14:paraId="368FE042" w14:textId="77777777" w:rsidR="0062595A" w:rsidRPr="0062595A" w:rsidRDefault="0062595A" w:rsidP="0062595A">
            <w:pPr>
              <w:suppressAutoHyphens/>
              <w:adjustRightInd/>
              <w:spacing w:before="0"/>
              <w:jc w:val="center"/>
              <w:rPr>
                <w:rFonts w:eastAsia="Calibri"/>
                <w:sz w:val="20"/>
                <w:szCs w:val="18"/>
              </w:rPr>
            </w:pPr>
            <w:r w:rsidRPr="0062595A">
              <w:rPr>
                <w:rFonts w:eastAsia="Calibri"/>
                <w:sz w:val="20"/>
                <w:szCs w:val="18"/>
              </w:rPr>
              <w:t>92</w:t>
            </w:r>
          </w:p>
        </w:tc>
        <w:tc>
          <w:tcPr>
            <w:tcW w:w="945" w:type="dxa"/>
            <w:tcBorders>
              <w:bottom w:val="single" w:sz="4" w:space="0" w:color="4BACC6"/>
            </w:tcBorders>
            <w:tcMar>
              <w:top w:w="0" w:type="dxa"/>
              <w:left w:w="108" w:type="dxa"/>
              <w:bottom w:w="0" w:type="dxa"/>
              <w:right w:w="108" w:type="dxa"/>
            </w:tcMar>
            <w:vAlign w:val="center"/>
          </w:tcPr>
          <w:p w14:paraId="489B08C3" w14:textId="77777777" w:rsidR="0062595A" w:rsidRPr="0062595A" w:rsidRDefault="0062595A" w:rsidP="0062595A">
            <w:pPr>
              <w:suppressAutoHyphens/>
              <w:adjustRightInd/>
              <w:spacing w:before="0"/>
              <w:jc w:val="center"/>
              <w:rPr>
                <w:rFonts w:eastAsia="Calibri"/>
                <w:sz w:val="20"/>
                <w:szCs w:val="18"/>
              </w:rPr>
            </w:pPr>
            <w:r w:rsidRPr="0062595A">
              <w:rPr>
                <w:rFonts w:eastAsia="Calibri"/>
                <w:sz w:val="20"/>
                <w:szCs w:val="18"/>
              </w:rPr>
              <w:t>87***</w:t>
            </w:r>
          </w:p>
        </w:tc>
        <w:tc>
          <w:tcPr>
            <w:tcW w:w="1080" w:type="dxa"/>
            <w:tcBorders>
              <w:bottom w:val="single" w:sz="4" w:space="0" w:color="4BACC6"/>
            </w:tcBorders>
            <w:tcMar>
              <w:top w:w="0" w:type="dxa"/>
              <w:left w:w="108" w:type="dxa"/>
              <w:bottom w:w="0" w:type="dxa"/>
              <w:right w:w="108" w:type="dxa"/>
            </w:tcMar>
            <w:vAlign w:val="center"/>
          </w:tcPr>
          <w:p w14:paraId="7EABF0EF" w14:textId="77777777" w:rsidR="0062595A" w:rsidRPr="0062595A" w:rsidRDefault="0062595A" w:rsidP="0062595A">
            <w:pPr>
              <w:suppressAutoHyphens/>
              <w:adjustRightInd/>
              <w:spacing w:before="0"/>
              <w:jc w:val="center"/>
              <w:rPr>
                <w:rFonts w:eastAsia="Calibri"/>
                <w:sz w:val="20"/>
                <w:szCs w:val="18"/>
              </w:rPr>
            </w:pPr>
            <w:r w:rsidRPr="0062595A">
              <w:rPr>
                <w:rFonts w:eastAsia="Calibri"/>
                <w:sz w:val="20"/>
                <w:szCs w:val="18"/>
              </w:rPr>
              <w:t>53</w:t>
            </w:r>
          </w:p>
        </w:tc>
        <w:tc>
          <w:tcPr>
            <w:tcW w:w="1395" w:type="dxa"/>
            <w:tcBorders>
              <w:bottom w:val="single" w:sz="4" w:space="0" w:color="4BACC6"/>
              <w:right w:val="single" w:sz="4" w:space="0" w:color="4BACC6"/>
            </w:tcBorders>
            <w:tcMar>
              <w:top w:w="0" w:type="dxa"/>
              <w:left w:w="108" w:type="dxa"/>
              <w:bottom w:w="0" w:type="dxa"/>
              <w:right w:w="108" w:type="dxa"/>
            </w:tcMar>
            <w:vAlign w:val="center"/>
          </w:tcPr>
          <w:p w14:paraId="254707B2" w14:textId="77777777" w:rsidR="0062595A" w:rsidRPr="0062595A" w:rsidRDefault="0062595A" w:rsidP="0062595A">
            <w:pPr>
              <w:keepNext/>
              <w:suppressAutoHyphens/>
              <w:adjustRightInd/>
              <w:spacing w:before="0"/>
              <w:jc w:val="center"/>
              <w:rPr>
                <w:rFonts w:eastAsia="Calibri"/>
                <w:sz w:val="20"/>
                <w:szCs w:val="18"/>
              </w:rPr>
            </w:pPr>
            <w:r w:rsidRPr="0062595A">
              <w:rPr>
                <w:rFonts w:eastAsia="Calibri"/>
                <w:sz w:val="20"/>
                <w:szCs w:val="18"/>
              </w:rPr>
              <w:t>366</w:t>
            </w:r>
          </w:p>
        </w:tc>
      </w:tr>
    </w:tbl>
    <w:p w14:paraId="440A56A4" w14:textId="77777777" w:rsidR="0062595A" w:rsidRPr="0062595A" w:rsidRDefault="0062595A" w:rsidP="0062595A">
      <w:pPr>
        <w:suppressAutoHyphens/>
        <w:adjustRightInd/>
        <w:spacing w:before="0"/>
        <w:jc w:val="both"/>
        <w:rPr>
          <w:rFonts w:eastAsia="Calibri"/>
          <w:i/>
          <w:iCs/>
          <w:color w:val="1F497D"/>
          <w:sz w:val="18"/>
          <w:szCs w:val="18"/>
        </w:rPr>
      </w:pPr>
    </w:p>
    <w:p w14:paraId="5BAA9AC8" w14:textId="77777777" w:rsidR="0062595A" w:rsidRPr="0062595A" w:rsidRDefault="0062595A" w:rsidP="0062595A">
      <w:pPr>
        <w:suppressAutoHyphens/>
        <w:adjustRightInd/>
        <w:spacing w:before="0"/>
        <w:jc w:val="center"/>
        <w:rPr>
          <w:rFonts w:eastAsia="MS Mincho"/>
          <w:i/>
          <w:iCs/>
          <w:color w:val="1F497D"/>
          <w:sz w:val="18"/>
          <w:szCs w:val="18"/>
        </w:rPr>
      </w:pPr>
      <w:r w:rsidRPr="0062595A">
        <w:rPr>
          <w:rFonts w:eastAsia="MS Mincho"/>
          <w:i/>
          <w:iCs/>
          <w:color w:val="1F497D"/>
          <w:sz w:val="18"/>
          <w:szCs w:val="18"/>
        </w:rPr>
        <w:t>Table 1. Results of the processing of space notices and other related activities, 2022-2025.</w:t>
      </w:r>
    </w:p>
    <w:p w14:paraId="3B00D641" w14:textId="77777777" w:rsidR="0062595A" w:rsidRPr="0062595A" w:rsidRDefault="0062595A" w:rsidP="0062595A">
      <w:pPr>
        <w:suppressAutoHyphens/>
        <w:adjustRightInd/>
        <w:spacing w:before="0"/>
        <w:jc w:val="both"/>
        <w:rPr>
          <w:rFonts w:eastAsia="MS Mincho"/>
          <w:i/>
          <w:iCs/>
          <w:color w:val="7F7F7F"/>
          <w:sz w:val="18"/>
          <w:szCs w:val="18"/>
        </w:rPr>
      </w:pPr>
      <w:r w:rsidRPr="0062595A">
        <w:rPr>
          <w:rFonts w:eastAsia="MS Mincho"/>
          <w:i/>
          <w:iCs/>
          <w:color w:val="7F7F7F"/>
          <w:sz w:val="18"/>
          <w:szCs w:val="18"/>
        </w:rPr>
        <w:t xml:space="preserve">* </w:t>
      </w:r>
      <w:r w:rsidRPr="0062595A">
        <w:rPr>
          <w:rFonts w:eastAsia="MS Mincho"/>
          <w:i/>
          <w:iCs/>
          <w:color w:val="7F7F7F"/>
          <w:sz w:val="18"/>
          <w:szCs w:val="18"/>
        </w:rPr>
        <w:tab/>
        <w:t>Including 90 entries in the List of Regions 1 and 3 in application of Resolution 559 (WRC-19) by 45 countries</w:t>
      </w:r>
    </w:p>
    <w:p w14:paraId="2A284F29" w14:textId="77777777" w:rsidR="0062595A" w:rsidRPr="0062595A" w:rsidRDefault="0062595A" w:rsidP="0062595A">
      <w:pPr>
        <w:suppressAutoHyphens/>
        <w:adjustRightInd/>
        <w:spacing w:before="0"/>
        <w:ind w:left="567" w:hanging="567"/>
        <w:jc w:val="both"/>
        <w:rPr>
          <w:rFonts w:eastAsia="MS Mincho"/>
          <w:i/>
          <w:iCs/>
          <w:color w:val="7F7F7F"/>
          <w:sz w:val="18"/>
          <w:szCs w:val="18"/>
        </w:rPr>
      </w:pPr>
      <w:r w:rsidRPr="0062595A">
        <w:rPr>
          <w:rFonts w:eastAsia="MS Mincho"/>
          <w:i/>
          <w:iCs/>
          <w:color w:val="7F7F7F"/>
          <w:sz w:val="18"/>
          <w:szCs w:val="18"/>
        </w:rPr>
        <w:t>**</w:t>
      </w:r>
      <w:r w:rsidRPr="0062595A">
        <w:rPr>
          <w:rFonts w:eastAsia="MS Mincho"/>
          <w:i/>
          <w:iCs/>
          <w:color w:val="7F7F7F"/>
          <w:sz w:val="18"/>
          <w:szCs w:val="18"/>
        </w:rPr>
        <w:tab/>
        <w:t>Including 82 entries into the Plans of Regions 1 and 3 following the successful completion of Resolution 559 (WRC-19) by 41 countries</w:t>
      </w:r>
    </w:p>
    <w:p w14:paraId="0D078A24" w14:textId="1C65A2FC" w:rsidR="0062595A" w:rsidRPr="00097C08" w:rsidRDefault="0062595A" w:rsidP="00097C08">
      <w:pPr>
        <w:suppressAutoHyphens/>
        <w:adjustRightInd/>
        <w:spacing w:before="0"/>
        <w:jc w:val="both"/>
        <w:rPr>
          <w:rFonts w:eastAsia="MS Mincho"/>
          <w:i/>
          <w:iCs/>
          <w:color w:val="1F497D"/>
          <w:sz w:val="18"/>
          <w:szCs w:val="18"/>
        </w:rPr>
      </w:pPr>
      <w:r w:rsidRPr="0062595A">
        <w:rPr>
          <w:rFonts w:eastAsia="MS Mincho"/>
          <w:i/>
          <w:iCs/>
          <w:color w:val="7F7F7F"/>
          <w:sz w:val="18"/>
          <w:szCs w:val="18"/>
        </w:rPr>
        <w:t>***</w:t>
      </w:r>
      <w:r w:rsidRPr="0062595A">
        <w:rPr>
          <w:rFonts w:eastAsia="MS Mincho"/>
          <w:i/>
          <w:iCs/>
          <w:color w:val="7F7F7F"/>
          <w:sz w:val="18"/>
          <w:szCs w:val="18"/>
        </w:rPr>
        <w:tab/>
        <w:t>Including seven new entries in the Plan for ITU Member States not yet having an allotment</w:t>
      </w:r>
    </w:p>
    <w:p w14:paraId="615D1367" w14:textId="58C5193A" w:rsidR="0062595A" w:rsidRPr="0062595A" w:rsidRDefault="0062595A" w:rsidP="00B51954">
      <w:pPr>
        <w:keepNext/>
        <w:keepLines/>
        <w:suppressAutoHyphens/>
        <w:adjustRightInd/>
        <w:spacing w:before="360" w:after="240"/>
        <w:jc w:val="center"/>
        <w:rPr>
          <w:rFonts w:eastAsia="Calibri"/>
          <w:sz w:val="22"/>
        </w:rPr>
      </w:pPr>
      <w:r w:rsidRPr="0062595A">
        <w:rPr>
          <w:rFonts w:eastAsia="Calibri"/>
          <w:b/>
          <w:bCs/>
          <w:sz w:val="22"/>
        </w:rPr>
        <w:t>Terrestrial notices, 2022-2025</w:t>
      </w:r>
    </w:p>
    <w:tbl>
      <w:tblPr>
        <w:tblW w:w="8895" w:type="dxa"/>
        <w:tblLayout w:type="fixed"/>
        <w:tblCellMar>
          <w:left w:w="10" w:type="dxa"/>
          <w:right w:w="10" w:type="dxa"/>
        </w:tblCellMar>
        <w:tblLook w:val="0000" w:firstRow="0" w:lastRow="0" w:firstColumn="0" w:lastColumn="0" w:noHBand="0" w:noVBand="0"/>
      </w:tblPr>
      <w:tblGrid>
        <w:gridCol w:w="3225"/>
        <w:gridCol w:w="1110"/>
        <w:gridCol w:w="1110"/>
        <w:gridCol w:w="1035"/>
        <w:gridCol w:w="990"/>
        <w:gridCol w:w="1425"/>
      </w:tblGrid>
      <w:tr w:rsidR="0062595A" w:rsidRPr="0062595A" w14:paraId="1BCC8603" w14:textId="77777777" w:rsidTr="00443B52">
        <w:trPr>
          <w:trHeight w:val="300"/>
        </w:trPr>
        <w:tc>
          <w:tcPr>
            <w:tcW w:w="3225" w:type="dxa"/>
            <w:tcBorders>
              <w:top w:val="single" w:sz="4" w:space="0" w:color="4BACC6"/>
              <w:left w:val="single" w:sz="4" w:space="0" w:color="4BACC6"/>
            </w:tcBorders>
            <w:tcMar>
              <w:top w:w="0" w:type="dxa"/>
              <w:left w:w="108" w:type="dxa"/>
              <w:bottom w:w="0" w:type="dxa"/>
              <w:right w:w="108" w:type="dxa"/>
            </w:tcMar>
            <w:vAlign w:val="center"/>
          </w:tcPr>
          <w:p w14:paraId="4ABE4D54" w14:textId="77777777" w:rsidR="0062595A" w:rsidRPr="0062595A" w:rsidRDefault="0062595A" w:rsidP="00B51954">
            <w:pPr>
              <w:keepNext/>
              <w:keepLines/>
              <w:suppressAutoHyphens/>
              <w:adjustRightInd/>
              <w:spacing w:before="0"/>
              <w:jc w:val="center"/>
              <w:rPr>
                <w:rFonts w:eastAsia="Calibri"/>
                <w:b/>
                <w:bCs/>
                <w:color w:val="FFFFFF"/>
                <w:sz w:val="22"/>
              </w:rPr>
            </w:pPr>
            <w:r w:rsidRPr="0062595A">
              <w:rPr>
                <w:rFonts w:eastAsia="Calibri"/>
                <w:b/>
                <w:bCs/>
                <w:color w:val="FFFFFF"/>
                <w:sz w:val="22"/>
              </w:rPr>
              <w:t>Terrestrial notices</w:t>
            </w:r>
          </w:p>
        </w:tc>
        <w:tc>
          <w:tcPr>
            <w:tcW w:w="1110" w:type="dxa"/>
            <w:tcBorders>
              <w:top w:val="single" w:sz="4" w:space="0" w:color="4BACC6"/>
            </w:tcBorders>
            <w:tcMar>
              <w:top w:w="0" w:type="dxa"/>
              <w:left w:w="108" w:type="dxa"/>
              <w:bottom w:w="0" w:type="dxa"/>
              <w:right w:w="108" w:type="dxa"/>
            </w:tcMar>
            <w:vAlign w:val="center"/>
          </w:tcPr>
          <w:p w14:paraId="01A97379" w14:textId="77777777" w:rsidR="0062595A" w:rsidRPr="0062595A" w:rsidRDefault="0062595A" w:rsidP="00B51954">
            <w:pPr>
              <w:keepNext/>
              <w:keepLines/>
              <w:suppressAutoHyphens/>
              <w:adjustRightInd/>
              <w:spacing w:before="0"/>
              <w:jc w:val="center"/>
              <w:rPr>
                <w:rFonts w:eastAsia="Calibri"/>
                <w:b/>
                <w:bCs/>
                <w:color w:val="FFFFFF"/>
                <w:sz w:val="22"/>
              </w:rPr>
            </w:pPr>
            <w:r w:rsidRPr="0062595A">
              <w:rPr>
                <w:rFonts w:eastAsia="Calibri"/>
                <w:b/>
                <w:bCs/>
                <w:color w:val="FFFFFF"/>
                <w:sz w:val="22"/>
              </w:rPr>
              <w:t>2022</w:t>
            </w:r>
          </w:p>
        </w:tc>
        <w:tc>
          <w:tcPr>
            <w:tcW w:w="1110" w:type="dxa"/>
            <w:tcBorders>
              <w:top w:val="single" w:sz="4" w:space="0" w:color="4BACC6"/>
            </w:tcBorders>
            <w:tcMar>
              <w:top w:w="0" w:type="dxa"/>
              <w:left w:w="108" w:type="dxa"/>
              <w:bottom w:w="0" w:type="dxa"/>
              <w:right w:w="108" w:type="dxa"/>
            </w:tcMar>
            <w:vAlign w:val="center"/>
          </w:tcPr>
          <w:p w14:paraId="5CBFA845" w14:textId="77777777" w:rsidR="0062595A" w:rsidRPr="0062595A" w:rsidRDefault="0062595A" w:rsidP="00B51954">
            <w:pPr>
              <w:keepNext/>
              <w:keepLines/>
              <w:suppressAutoHyphens/>
              <w:adjustRightInd/>
              <w:spacing w:before="0"/>
              <w:jc w:val="center"/>
              <w:rPr>
                <w:rFonts w:eastAsia="Calibri"/>
                <w:b/>
                <w:bCs/>
                <w:color w:val="FFFFFF"/>
                <w:sz w:val="22"/>
              </w:rPr>
            </w:pPr>
            <w:r w:rsidRPr="0062595A">
              <w:rPr>
                <w:rFonts w:eastAsia="Calibri"/>
                <w:b/>
                <w:bCs/>
                <w:color w:val="FFFFFF"/>
                <w:sz w:val="22"/>
              </w:rPr>
              <w:t>2023</w:t>
            </w:r>
          </w:p>
        </w:tc>
        <w:tc>
          <w:tcPr>
            <w:tcW w:w="1035" w:type="dxa"/>
            <w:tcBorders>
              <w:top w:val="single" w:sz="4" w:space="0" w:color="4BACC6"/>
            </w:tcBorders>
            <w:tcMar>
              <w:top w:w="0" w:type="dxa"/>
              <w:left w:w="108" w:type="dxa"/>
              <w:bottom w:w="0" w:type="dxa"/>
              <w:right w:w="108" w:type="dxa"/>
            </w:tcMar>
            <w:vAlign w:val="center"/>
          </w:tcPr>
          <w:p w14:paraId="3FA74B90" w14:textId="77777777" w:rsidR="0062595A" w:rsidRPr="0062595A" w:rsidRDefault="0062595A" w:rsidP="00B51954">
            <w:pPr>
              <w:keepNext/>
              <w:keepLines/>
              <w:suppressAutoHyphens/>
              <w:adjustRightInd/>
              <w:spacing w:before="0"/>
              <w:jc w:val="center"/>
              <w:rPr>
                <w:rFonts w:eastAsia="Calibri"/>
                <w:b/>
                <w:bCs/>
                <w:color w:val="FFFFFF"/>
                <w:sz w:val="22"/>
              </w:rPr>
            </w:pPr>
            <w:r w:rsidRPr="0062595A">
              <w:rPr>
                <w:rFonts w:eastAsia="Calibri"/>
                <w:b/>
                <w:bCs/>
                <w:color w:val="FFFFFF"/>
                <w:sz w:val="22"/>
              </w:rPr>
              <w:t>2024</w:t>
            </w:r>
          </w:p>
        </w:tc>
        <w:tc>
          <w:tcPr>
            <w:tcW w:w="990" w:type="dxa"/>
            <w:tcBorders>
              <w:top w:val="single" w:sz="4" w:space="0" w:color="4BACC6"/>
            </w:tcBorders>
            <w:tcMar>
              <w:top w:w="0" w:type="dxa"/>
              <w:left w:w="108" w:type="dxa"/>
              <w:bottom w:w="0" w:type="dxa"/>
              <w:right w:w="108" w:type="dxa"/>
            </w:tcMar>
            <w:vAlign w:val="center"/>
          </w:tcPr>
          <w:p w14:paraId="100AB938" w14:textId="77777777" w:rsidR="0062595A" w:rsidRPr="0062595A" w:rsidRDefault="0062595A" w:rsidP="00B51954">
            <w:pPr>
              <w:keepNext/>
              <w:keepLines/>
              <w:suppressAutoHyphens/>
              <w:adjustRightInd/>
              <w:spacing w:before="0"/>
              <w:jc w:val="center"/>
              <w:rPr>
                <w:rFonts w:eastAsia="Calibri"/>
                <w:b/>
                <w:bCs/>
                <w:color w:val="FFFFFF"/>
                <w:sz w:val="22"/>
              </w:rPr>
            </w:pPr>
            <w:r w:rsidRPr="0062595A">
              <w:rPr>
                <w:rFonts w:eastAsia="Calibri"/>
                <w:b/>
                <w:bCs/>
                <w:color w:val="FFFFFF"/>
                <w:sz w:val="22"/>
              </w:rPr>
              <w:t>2025</w:t>
            </w:r>
          </w:p>
        </w:tc>
        <w:tc>
          <w:tcPr>
            <w:tcW w:w="1425" w:type="dxa"/>
            <w:tcBorders>
              <w:top w:val="single" w:sz="4" w:space="0" w:color="4BACC6"/>
              <w:right w:val="single" w:sz="4" w:space="0" w:color="4BACC6"/>
            </w:tcBorders>
            <w:tcMar>
              <w:top w:w="0" w:type="dxa"/>
              <w:left w:w="108" w:type="dxa"/>
              <w:bottom w:w="0" w:type="dxa"/>
              <w:right w:w="108" w:type="dxa"/>
            </w:tcMar>
            <w:vAlign w:val="center"/>
          </w:tcPr>
          <w:p w14:paraId="06704E06" w14:textId="77777777" w:rsidR="0062595A" w:rsidRPr="0062595A" w:rsidRDefault="0062595A" w:rsidP="00B51954">
            <w:pPr>
              <w:keepNext/>
              <w:keepLines/>
              <w:suppressAutoHyphens/>
              <w:adjustRightInd/>
              <w:spacing w:before="0"/>
              <w:jc w:val="center"/>
              <w:rPr>
                <w:rFonts w:eastAsia="Calibri"/>
                <w:b/>
                <w:bCs/>
                <w:color w:val="FFFFFF"/>
                <w:sz w:val="22"/>
              </w:rPr>
            </w:pPr>
            <w:r w:rsidRPr="0062595A">
              <w:rPr>
                <w:rFonts w:eastAsia="Calibri"/>
                <w:b/>
                <w:bCs/>
                <w:color w:val="FFFFFF"/>
                <w:sz w:val="22"/>
              </w:rPr>
              <w:t>Total</w:t>
            </w:r>
          </w:p>
          <w:p w14:paraId="1D6DE3E5" w14:textId="77777777" w:rsidR="0062595A" w:rsidRPr="0062595A" w:rsidRDefault="0062595A" w:rsidP="00B51954">
            <w:pPr>
              <w:keepNext/>
              <w:keepLines/>
              <w:suppressAutoHyphens/>
              <w:adjustRightInd/>
              <w:spacing w:before="0"/>
              <w:jc w:val="center"/>
              <w:rPr>
                <w:rFonts w:eastAsia="Calibri"/>
                <w:b/>
                <w:bCs/>
                <w:color w:val="FFFFFF"/>
                <w:sz w:val="22"/>
              </w:rPr>
            </w:pPr>
            <w:r w:rsidRPr="0062595A">
              <w:rPr>
                <w:rFonts w:eastAsia="Calibri"/>
                <w:b/>
                <w:bCs/>
                <w:color w:val="FFFFFF"/>
                <w:sz w:val="22"/>
              </w:rPr>
              <w:t>2022 – 2025</w:t>
            </w:r>
          </w:p>
        </w:tc>
      </w:tr>
      <w:tr w:rsidR="0062595A" w:rsidRPr="0062595A" w14:paraId="731CFCB6" w14:textId="77777777" w:rsidTr="00443B52">
        <w:trPr>
          <w:trHeight w:val="674"/>
        </w:trPr>
        <w:tc>
          <w:tcPr>
            <w:tcW w:w="3225" w:type="dxa"/>
            <w:tcBorders>
              <w:left w:val="single" w:sz="4" w:space="0" w:color="4BACC6"/>
            </w:tcBorders>
            <w:tcMar>
              <w:top w:w="0" w:type="dxa"/>
              <w:left w:w="108" w:type="dxa"/>
              <w:bottom w:w="0" w:type="dxa"/>
              <w:right w:w="108" w:type="dxa"/>
            </w:tcMar>
            <w:vAlign w:val="center"/>
          </w:tcPr>
          <w:p w14:paraId="103DCEF3" w14:textId="77777777" w:rsidR="0062595A" w:rsidRPr="0062595A" w:rsidRDefault="0062595A" w:rsidP="00B51954">
            <w:pPr>
              <w:keepNext/>
              <w:keepLines/>
              <w:suppressAutoHyphens/>
              <w:adjustRightInd/>
              <w:spacing w:before="0"/>
              <w:rPr>
                <w:rFonts w:eastAsia="MS Mincho"/>
                <w:sz w:val="22"/>
              </w:rPr>
            </w:pPr>
            <w:r w:rsidRPr="0062595A">
              <w:rPr>
                <w:rFonts w:eastAsia="Calibri"/>
                <w:bCs/>
                <w:sz w:val="20"/>
              </w:rPr>
              <w:t xml:space="preserve">Notices recorded in the MIFR/Plans </w:t>
            </w:r>
          </w:p>
        </w:tc>
        <w:tc>
          <w:tcPr>
            <w:tcW w:w="1110" w:type="dxa"/>
            <w:tcMar>
              <w:top w:w="0" w:type="dxa"/>
              <w:left w:w="108" w:type="dxa"/>
              <w:bottom w:w="0" w:type="dxa"/>
              <w:right w:w="108" w:type="dxa"/>
            </w:tcMar>
            <w:vAlign w:val="center"/>
          </w:tcPr>
          <w:p w14:paraId="2E38FA0C"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63 893/</w:t>
            </w:r>
          </w:p>
          <w:p w14:paraId="5ADD79EC"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16 250</w:t>
            </w:r>
          </w:p>
        </w:tc>
        <w:tc>
          <w:tcPr>
            <w:tcW w:w="1110" w:type="dxa"/>
            <w:tcMar>
              <w:top w:w="0" w:type="dxa"/>
              <w:left w:w="108" w:type="dxa"/>
              <w:bottom w:w="0" w:type="dxa"/>
              <w:right w:w="108" w:type="dxa"/>
            </w:tcMar>
            <w:vAlign w:val="center"/>
          </w:tcPr>
          <w:p w14:paraId="7D9B2B39"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71 083 /</w:t>
            </w:r>
          </w:p>
          <w:p w14:paraId="44D61767"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28 076</w:t>
            </w:r>
          </w:p>
        </w:tc>
        <w:tc>
          <w:tcPr>
            <w:tcW w:w="1035" w:type="dxa"/>
            <w:tcMar>
              <w:top w:w="0" w:type="dxa"/>
              <w:left w:w="108" w:type="dxa"/>
              <w:bottom w:w="0" w:type="dxa"/>
              <w:right w:w="108" w:type="dxa"/>
            </w:tcMar>
            <w:vAlign w:val="center"/>
          </w:tcPr>
          <w:p w14:paraId="644CA142"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71 072/</w:t>
            </w:r>
          </w:p>
          <w:p w14:paraId="6AD34ED2"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16 878</w:t>
            </w:r>
          </w:p>
        </w:tc>
        <w:tc>
          <w:tcPr>
            <w:tcW w:w="990" w:type="dxa"/>
            <w:tcMar>
              <w:top w:w="0" w:type="dxa"/>
              <w:left w:w="108" w:type="dxa"/>
              <w:bottom w:w="0" w:type="dxa"/>
              <w:right w:w="108" w:type="dxa"/>
            </w:tcMar>
            <w:vAlign w:val="center"/>
          </w:tcPr>
          <w:p w14:paraId="4783B311"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45 109/</w:t>
            </w:r>
          </w:p>
          <w:p w14:paraId="227978DB"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21 998</w:t>
            </w:r>
          </w:p>
        </w:tc>
        <w:tc>
          <w:tcPr>
            <w:tcW w:w="1425" w:type="dxa"/>
            <w:tcBorders>
              <w:right w:val="single" w:sz="4" w:space="0" w:color="4BACC6"/>
            </w:tcBorders>
            <w:tcMar>
              <w:top w:w="0" w:type="dxa"/>
              <w:left w:w="108" w:type="dxa"/>
              <w:bottom w:w="0" w:type="dxa"/>
              <w:right w:w="108" w:type="dxa"/>
            </w:tcMar>
            <w:vAlign w:val="center"/>
          </w:tcPr>
          <w:p w14:paraId="291E2FB1"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251 157/</w:t>
            </w:r>
          </w:p>
          <w:p w14:paraId="061873BE"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83 202</w:t>
            </w:r>
          </w:p>
        </w:tc>
      </w:tr>
      <w:tr w:rsidR="0062595A" w:rsidRPr="0062595A" w14:paraId="41A96965" w14:textId="77777777" w:rsidTr="00443B52">
        <w:trPr>
          <w:trHeight w:val="300"/>
        </w:trPr>
        <w:tc>
          <w:tcPr>
            <w:tcW w:w="3225" w:type="dxa"/>
            <w:tcBorders>
              <w:left w:val="single" w:sz="4" w:space="0" w:color="4BACC6"/>
            </w:tcBorders>
            <w:tcMar>
              <w:top w:w="0" w:type="dxa"/>
              <w:left w:w="108" w:type="dxa"/>
              <w:bottom w:w="0" w:type="dxa"/>
              <w:right w:w="108" w:type="dxa"/>
            </w:tcMar>
            <w:vAlign w:val="center"/>
          </w:tcPr>
          <w:p w14:paraId="3A17D744" w14:textId="77777777" w:rsidR="0062595A" w:rsidRPr="0062595A" w:rsidRDefault="0062595A" w:rsidP="00B51954">
            <w:pPr>
              <w:keepNext/>
              <w:keepLines/>
              <w:suppressAutoHyphens/>
              <w:adjustRightInd/>
              <w:spacing w:before="0"/>
              <w:rPr>
                <w:rFonts w:eastAsia="MS Mincho"/>
                <w:sz w:val="22"/>
              </w:rPr>
            </w:pPr>
            <w:r w:rsidRPr="0062595A">
              <w:rPr>
                <w:rFonts w:eastAsia="Calibri"/>
                <w:bCs/>
                <w:sz w:val="20"/>
              </w:rPr>
              <w:t xml:space="preserve">Review of findings for terrestrial stations recorded in the MIFR </w:t>
            </w:r>
          </w:p>
        </w:tc>
        <w:tc>
          <w:tcPr>
            <w:tcW w:w="1110" w:type="dxa"/>
            <w:tcMar>
              <w:top w:w="0" w:type="dxa"/>
              <w:left w:w="108" w:type="dxa"/>
              <w:bottom w:w="0" w:type="dxa"/>
              <w:right w:w="108" w:type="dxa"/>
            </w:tcMar>
            <w:vAlign w:val="center"/>
          </w:tcPr>
          <w:p w14:paraId="3FAA1D00"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1 562</w:t>
            </w:r>
          </w:p>
        </w:tc>
        <w:tc>
          <w:tcPr>
            <w:tcW w:w="1110" w:type="dxa"/>
            <w:tcMar>
              <w:top w:w="0" w:type="dxa"/>
              <w:left w:w="108" w:type="dxa"/>
              <w:bottom w:w="0" w:type="dxa"/>
              <w:right w:w="108" w:type="dxa"/>
            </w:tcMar>
            <w:vAlign w:val="center"/>
          </w:tcPr>
          <w:p w14:paraId="7C2765E8"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11</w:t>
            </w:r>
          </w:p>
        </w:tc>
        <w:tc>
          <w:tcPr>
            <w:tcW w:w="1035" w:type="dxa"/>
            <w:tcMar>
              <w:top w:w="0" w:type="dxa"/>
              <w:left w:w="108" w:type="dxa"/>
              <w:bottom w:w="0" w:type="dxa"/>
              <w:right w:w="108" w:type="dxa"/>
            </w:tcMar>
            <w:vAlign w:val="center"/>
          </w:tcPr>
          <w:p w14:paraId="0E7D7E7A"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w:t>
            </w:r>
          </w:p>
        </w:tc>
        <w:tc>
          <w:tcPr>
            <w:tcW w:w="990" w:type="dxa"/>
            <w:tcMar>
              <w:top w:w="0" w:type="dxa"/>
              <w:left w:w="108" w:type="dxa"/>
              <w:bottom w:w="0" w:type="dxa"/>
              <w:right w:w="108" w:type="dxa"/>
            </w:tcMar>
            <w:vAlign w:val="center"/>
          </w:tcPr>
          <w:p w14:paraId="7F69D845"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6 490</w:t>
            </w:r>
          </w:p>
        </w:tc>
        <w:tc>
          <w:tcPr>
            <w:tcW w:w="1425" w:type="dxa"/>
            <w:tcBorders>
              <w:right w:val="single" w:sz="4" w:space="0" w:color="4BACC6"/>
            </w:tcBorders>
            <w:tcMar>
              <w:top w:w="0" w:type="dxa"/>
              <w:left w:w="108" w:type="dxa"/>
              <w:bottom w:w="0" w:type="dxa"/>
              <w:right w:w="108" w:type="dxa"/>
            </w:tcMar>
            <w:vAlign w:val="center"/>
          </w:tcPr>
          <w:p w14:paraId="1A9AD9FC"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8 063</w:t>
            </w:r>
          </w:p>
        </w:tc>
      </w:tr>
      <w:tr w:rsidR="0062595A" w:rsidRPr="0062595A" w14:paraId="644A0DC1" w14:textId="77777777" w:rsidTr="00443B52">
        <w:trPr>
          <w:trHeight w:val="300"/>
        </w:trPr>
        <w:tc>
          <w:tcPr>
            <w:tcW w:w="3225" w:type="dxa"/>
            <w:tcBorders>
              <w:left w:val="single" w:sz="4" w:space="0" w:color="4BACC6"/>
            </w:tcBorders>
            <w:tcMar>
              <w:top w:w="0" w:type="dxa"/>
              <w:left w:w="108" w:type="dxa"/>
              <w:bottom w:w="0" w:type="dxa"/>
              <w:right w:w="108" w:type="dxa"/>
            </w:tcMar>
            <w:vAlign w:val="center"/>
          </w:tcPr>
          <w:p w14:paraId="1B3D2129" w14:textId="77777777" w:rsidR="0062595A" w:rsidRPr="0062595A" w:rsidRDefault="0062595A" w:rsidP="00B51954">
            <w:pPr>
              <w:keepNext/>
              <w:keepLines/>
              <w:suppressAutoHyphens/>
              <w:adjustRightInd/>
              <w:spacing w:before="0"/>
              <w:rPr>
                <w:rFonts w:eastAsia="MS Mincho"/>
                <w:sz w:val="22"/>
              </w:rPr>
            </w:pPr>
            <w:r w:rsidRPr="0062595A">
              <w:rPr>
                <w:rFonts w:eastAsia="Calibri"/>
                <w:bCs/>
                <w:sz w:val="20"/>
              </w:rPr>
              <w:t xml:space="preserve">Notifications of coast and ship stations for recording in the ITU maritime database </w:t>
            </w:r>
          </w:p>
        </w:tc>
        <w:tc>
          <w:tcPr>
            <w:tcW w:w="1110" w:type="dxa"/>
            <w:tcMar>
              <w:top w:w="0" w:type="dxa"/>
              <w:left w:w="108" w:type="dxa"/>
              <w:bottom w:w="0" w:type="dxa"/>
              <w:right w:w="108" w:type="dxa"/>
            </w:tcMar>
            <w:vAlign w:val="center"/>
          </w:tcPr>
          <w:p w14:paraId="132DD0BA"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1 854</w:t>
            </w:r>
          </w:p>
        </w:tc>
        <w:tc>
          <w:tcPr>
            <w:tcW w:w="1110" w:type="dxa"/>
            <w:tcMar>
              <w:top w:w="0" w:type="dxa"/>
              <w:left w:w="108" w:type="dxa"/>
              <w:bottom w:w="0" w:type="dxa"/>
              <w:right w:w="108" w:type="dxa"/>
            </w:tcMar>
            <w:vAlign w:val="center"/>
          </w:tcPr>
          <w:p w14:paraId="5FAD3733"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1 818</w:t>
            </w:r>
          </w:p>
        </w:tc>
        <w:tc>
          <w:tcPr>
            <w:tcW w:w="1035" w:type="dxa"/>
            <w:tcMar>
              <w:top w:w="0" w:type="dxa"/>
              <w:left w:w="108" w:type="dxa"/>
              <w:bottom w:w="0" w:type="dxa"/>
              <w:right w:w="108" w:type="dxa"/>
            </w:tcMar>
            <w:vAlign w:val="center"/>
          </w:tcPr>
          <w:p w14:paraId="132B923F"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683</w:t>
            </w:r>
          </w:p>
        </w:tc>
        <w:tc>
          <w:tcPr>
            <w:tcW w:w="990" w:type="dxa"/>
            <w:tcMar>
              <w:top w:w="0" w:type="dxa"/>
              <w:left w:w="108" w:type="dxa"/>
              <w:bottom w:w="0" w:type="dxa"/>
              <w:right w:w="108" w:type="dxa"/>
            </w:tcMar>
            <w:vAlign w:val="center"/>
          </w:tcPr>
          <w:p w14:paraId="099631E3"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1 957</w:t>
            </w:r>
          </w:p>
        </w:tc>
        <w:tc>
          <w:tcPr>
            <w:tcW w:w="1425" w:type="dxa"/>
            <w:tcBorders>
              <w:right w:val="single" w:sz="4" w:space="0" w:color="4BACC6"/>
            </w:tcBorders>
            <w:tcMar>
              <w:top w:w="0" w:type="dxa"/>
              <w:left w:w="108" w:type="dxa"/>
              <w:bottom w:w="0" w:type="dxa"/>
              <w:right w:w="108" w:type="dxa"/>
            </w:tcMar>
            <w:vAlign w:val="center"/>
          </w:tcPr>
          <w:p w14:paraId="62049160"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7 312</w:t>
            </w:r>
          </w:p>
        </w:tc>
      </w:tr>
      <w:tr w:rsidR="0062595A" w:rsidRPr="0062595A" w14:paraId="16169A4E" w14:textId="77777777" w:rsidTr="00443B52">
        <w:trPr>
          <w:trHeight w:val="300"/>
        </w:trPr>
        <w:tc>
          <w:tcPr>
            <w:tcW w:w="3225" w:type="dxa"/>
            <w:tcBorders>
              <w:left w:val="single" w:sz="4" w:space="0" w:color="4BACC6"/>
            </w:tcBorders>
            <w:tcMar>
              <w:top w:w="0" w:type="dxa"/>
              <w:left w:w="108" w:type="dxa"/>
              <w:bottom w:w="0" w:type="dxa"/>
              <w:right w:w="108" w:type="dxa"/>
            </w:tcMar>
            <w:vAlign w:val="center"/>
          </w:tcPr>
          <w:p w14:paraId="07FE84F3" w14:textId="77777777" w:rsidR="0062595A" w:rsidRPr="0062595A" w:rsidRDefault="0062595A" w:rsidP="00B51954">
            <w:pPr>
              <w:keepNext/>
              <w:keepLines/>
              <w:suppressAutoHyphens/>
              <w:adjustRightInd/>
              <w:spacing w:before="0"/>
              <w:rPr>
                <w:rFonts w:eastAsia="MS Mincho"/>
                <w:sz w:val="22"/>
              </w:rPr>
            </w:pPr>
            <w:r w:rsidRPr="0062595A">
              <w:rPr>
                <w:rFonts w:eastAsia="Calibri"/>
                <w:bCs/>
                <w:sz w:val="20"/>
              </w:rPr>
              <w:t xml:space="preserve">High-frequency broadcasting requirements </w:t>
            </w:r>
          </w:p>
        </w:tc>
        <w:tc>
          <w:tcPr>
            <w:tcW w:w="1110" w:type="dxa"/>
            <w:tcMar>
              <w:top w:w="0" w:type="dxa"/>
              <w:left w:w="108" w:type="dxa"/>
              <w:bottom w:w="0" w:type="dxa"/>
              <w:right w:w="108" w:type="dxa"/>
            </w:tcMar>
            <w:vAlign w:val="center"/>
          </w:tcPr>
          <w:p w14:paraId="4A3F1DF7"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11 311</w:t>
            </w:r>
          </w:p>
        </w:tc>
        <w:tc>
          <w:tcPr>
            <w:tcW w:w="1110" w:type="dxa"/>
            <w:tcMar>
              <w:top w:w="0" w:type="dxa"/>
              <w:left w:w="108" w:type="dxa"/>
              <w:bottom w:w="0" w:type="dxa"/>
              <w:right w:w="108" w:type="dxa"/>
            </w:tcMar>
            <w:vAlign w:val="center"/>
          </w:tcPr>
          <w:p w14:paraId="726D75B4"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7 969</w:t>
            </w:r>
          </w:p>
        </w:tc>
        <w:tc>
          <w:tcPr>
            <w:tcW w:w="1035" w:type="dxa"/>
            <w:tcMar>
              <w:top w:w="0" w:type="dxa"/>
              <w:left w:w="108" w:type="dxa"/>
              <w:bottom w:w="0" w:type="dxa"/>
              <w:right w:w="108" w:type="dxa"/>
            </w:tcMar>
            <w:vAlign w:val="center"/>
          </w:tcPr>
          <w:p w14:paraId="6C496696"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10 195</w:t>
            </w:r>
          </w:p>
        </w:tc>
        <w:tc>
          <w:tcPr>
            <w:tcW w:w="990" w:type="dxa"/>
            <w:tcMar>
              <w:top w:w="0" w:type="dxa"/>
              <w:left w:w="108" w:type="dxa"/>
              <w:bottom w:w="0" w:type="dxa"/>
              <w:right w:w="108" w:type="dxa"/>
            </w:tcMar>
            <w:vAlign w:val="center"/>
          </w:tcPr>
          <w:p w14:paraId="56F16D6B"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10 470</w:t>
            </w:r>
          </w:p>
        </w:tc>
        <w:tc>
          <w:tcPr>
            <w:tcW w:w="1425" w:type="dxa"/>
            <w:tcBorders>
              <w:right w:val="single" w:sz="4" w:space="0" w:color="4BACC6"/>
            </w:tcBorders>
            <w:tcMar>
              <w:top w:w="0" w:type="dxa"/>
              <w:left w:w="108" w:type="dxa"/>
              <w:bottom w:w="0" w:type="dxa"/>
              <w:right w:w="108" w:type="dxa"/>
            </w:tcMar>
            <w:vAlign w:val="center"/>
          </w:tcPr>
          <w:p w14:paraId="06FF957D"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39 945</w:t>
            </w:r>
          </w:p>
        </w:tc>
      </w:tr>
      <w:tr w:rsidR="0062595A" w:rsidRPr="0062595A" w14:paraId="24B59C57" w14:textId="77777777" w:rsidTr="00443B52">
        <w:trPr>
          <w:trHeight w:val="300"/>
        </w:trPr>
        <w:tc>
          <w:tcPr>
            <w:tcW w:w="3225" w:type="dxa"/>
            <w:tcBorders>
              <w:left w:val="single" w:sz="4" w:space="0" w:color="4BACC6"/>
            </w:tcBorders>
            <w:tcMar>
              <w:top w:w="0" w:type="dxa"/>
              <w:left w:w="108" w:type="dxa"/>
              <w:bottom w:w="0" w:type="dxa"/>
              <w:right w:w="108" w:type="dxa"/>
            </w:tcMar>
            <w:vAlign w:val="center"/>
          </w:tcPr>
          <w:p w14:paraId="7C2A5728" w14:textId="77777777" w:rsidR="0062595A" w:rsidRPr="0062595A" w:rsidRDefault="0062595A" w:rsidP="00B51954">
            <w:pPr>
              <w:keepNext/>
              <w:keepLines/>
              <w:suppressAutoHyphens/>
              <w:adjustRightInd/>
              <w:spacing w:before="0"/>
              <w:rPr>
                <w:rFonts w:eastAsia="MS Mincho"/>
                <w:sz w:val="22"/>
              </w:rPr>
            </w:pPr>
            <w:r w:rsidRPr="0062595A">
              <w:rPr>
                <w:rFonts w:eastAsia="Calibri"/>
                <w:bCs/>
                <w:sz w:val="20"/>
              </w:rPr>
              <w:t xml:space="preserve">Monitoring observations concerning the monitoring programme at 2 850-28 000 kHz/ and 406-406.1 MHz </w:t>
            </w:r>
          </w:p>
        </w:tc>
        <w:tc>
          <w:tcPr>
            <w:tcW w:w="1110" w:type="dxa"/>
            <w:tcMar>
              <w:top w:w="0" w:type="dxa"/>
              <w:left w:w="108" w:type="dxa"/>
              <w:bottom w:w="0" w:type="dxa"/>
              <w:right w:w="108" w:type="dxa"/>
            </w:tcMar>
            <w:vAlign w:val="center"/>
          </w:tcPr>
          <w:p w14:paraId="7F5E9BE7"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25 530/ 407</w:t>
            </w:r>
          </w:p>
        </w:tc>
        <w:tc>
          <w:tcPr>
            <w:tcW w:w="1110" w:type="dxa"/>
            <w:tcMar>
              <w:top w:w="0" w:type="dxa"/>
              <w:left w:w="108" w:type="dxa"/>
              <w:bottom w:w="0" w:type="dxa"/>
              <w:right w:w="108" w:type="dxa"/>
            </w:tcMar>
            <w:vAlign w:val="center"/>
          </w:tcPr>
          <w:p w14:paraId="6B8FEF37"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29 909/</w:t>
            </w:r>
          </w:p>
          <w:p w14:paraId="0BD90C64"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612</w:t>
            </w:r>
          </w:p>
        </w:tc>
        <w:tc>
          <w:tcPr>
            <w:tcW w:w="1035" w:type="dxa"/>
            <w:tcMar>
              <w:top w:w="0" w:type="dxa"/>
              <w:left w:w="108" w:type="dxa"/>
              <w:bottom w:w="0" w:type="dxa"/>
              <w:right w:w="108" w:type="dxa"/>
            </w:tcMar>
            <w:vAlign w:val="center"/>
          </w:tcPr>
          <w:p w14:paraId="20BD121A"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27 854/</w:t>
            </w:r>
          </w:p>
          <w:p w14:paraId="106C24A6"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920</w:t>
            </w:r>
          </w:p>
        </w:tc>
        <w:tc>
          <w:tcPr>
            <w:tcW w:w="990" w:type="dxa"/>
            <w:tcMar>
              <w:top w:w="0" w:type="dxa"/>
              <w:left w:w="108" w:type="dxa"/>
              <w:bottom w:w="0" w:type="dxa"/>
              <w:right w:w="108" w:type="dxa"/>
            </w:tcMar>
            <w:vAlign w:val="center"/>
          </w:tcPr>
          <w:p w14:paraId="1FC6A66F"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33 406/</w:t>
            </w:r>
          </w:p>
          <w:p w14:paraId="22EBB7A8"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1 114</w:t>
            </w:r>
          </w:p>
        </w:tc>
        <w:tc>
          <w:tcPr>
            <w:tcW w:w="1425" w:type="dxa"/>
            <w:tcBorders>
              <w:right w:val="single" w:sz="4" w:space="0" w:color="4BACC6"/>
            </w:tcBorders>
            <w:tcMar>
              <w:top w:w="0" w:type="dxa"/>
              <w:left w:w="108" w:type="dxa"/>
              <w:bottom w:w="0" w:type="dxa"/>
              <w:right w:w="108" w:type="dxa"/>
            </w:tcMar>
            <w:vAlign w:val="center"/>
          </w:tcPr>
          <w:p w14:paraId="47F17EDF"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116 699/</w:t>
            </w:r>
          </w:p>
          <w:p w14:paraId="169D1EDC"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3 053</w:t>
            </w:r>
          </w:p>
        </w:tc>
      </w:tr>
      <w:tr w:rsidR="0062595A" w:rsidRPr="0062595A" w14:paraId="3CA4338C" w14:textId="77777777" w:rsidTr="00443B52">
        <w:trPr>
          <w:trHeight w:val="70"/>
        </w:trPr>
        <w:tc>
          <w:tcPr>
            <w:tcW w:w="3225" w:type="dxa"/>
            <w:tcBorders>
              <w:left w:val="single" w:sz="4" w:space="0" w:color="4BACC6"/>
              <w:bottom w:val="single" w:sz="4" w:space="0" w:color="4BACC6"/>
            </w:tcBorders>
            <w:tcMar>
              <w:top w:w="0" w:type="dxa"/>
              <w:left w:w="108" w:type="dxa"/>
              <w:bottom w:w="0" w:type="dxa"/>
              <w:right w:w="108" w:type="dxa"/>
            </w:tcMar>
            <w:vAlign w:val="center"/>
          </w:tcPr>
          <w:p w14:paraId="663B74D8" w14:textId="77777777" w:rsidR="0062595A" w:rsidRPr="0062595A" w:rsidRDefault="0062595A" w:rsidP="00B51954">
            <w:pPr>
              <w:keepNext/>
              <w:keepLines/>
              <w:suppressAutoHyphens/>
              <w:adjustRightInd/>
              <w:spacing w:before="0"/>
              <w:rPr>
                <w:rFonts w:eastAsia="MS Mincho"/>
                <w:sz w:val="22"/>
              </w:rPr>
            </w:pPr>
            <w:r w:rsidRPr="0062595A">
              <w:rPr>
                <w:rFonts w:eastAsia="Calibri"/>
                <w:bCs/>
                <w:sz w:val="20"/>
              </w:rPr>
              <w:t xml:space="preserve">Reports of harmful interference </w:t>
            </w:r>
          </w:p>
        </w:tc>
        <w:tc>
          <w:tcPr>
            <w:tcW w:w="1110" w:type="dxa"/>
            <w:tcBorders>
              <w:bottom w:val="single" w:sz="4" w:space="0" w:color="4BACC6"/>
            </w:tcBorders>
            <w:tcMar>
              <w:top w:w="0" w:type="dxa"/>
              <w:left w:w="108" w:type="dxa"/>
              <w:bottom w:w="0" w:type="dxa"/>
              <w:right w:w="108" w:type="dxa"/>
            </w:tcMar>
            <w:vAlign w:val="center"/>
          </w:tcPr>
          <w:p w14:paraId="11FE6800"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1 007</w:t>
            </w:r>
          </w:p>
        </w:tc>
        <w:tc>
          <w:tcPr>
            <w:tcW w:w="1110" w:type="dxa"/>
            <w:tcBorders>
              <w:bottom w:val="single" w:sz="4" w:space="0" w:color="4BACC6"/>
            </w:tcBorders>
            <w:tcMar>
              <w:top w:w="0" w:type="dxa"/>
              <w:left w:w="108" w:type="dxa"/>
              <w:bottom w:w="0" w:type="dxa"/>
              <w:right w:w="108" w:type="dxa"/>
            </w:tcMar>
            <w:vAlign w:val="center"/>
          </w:tcPr>
          <w:p w14:paraId="67E88032"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1 110</w:t>
            </w:r>
          </w:p>
        </w:tc>
        <w:tc>
          <w:tcPr>
            <w:tcW w:w="1035" w:type="dxa"/>
            <w:tcBorders>
              <w:bottom w:val="single" w:sz="4" w:space="0" w:color="4BACC6"/>
            </w:tcBorders>
            <w:tcMar>
              <w:top w:w="0" w:type="dxa"/>
              <w:left w:w="108" w:type="dxa"/>
              <w:bottom w:w="0" w:type="dxa"/>
              <w:right w:w="108" w:type="dxa"/>
            </w:tcMar>
            <w:vAlign w:val="center"/>
          </w:tcPr>
          <w:p w14:paraId="5D8AE0D8" w14:textId="77777777" w:rsidR="0062595A" w:rsidRPr="0062595A" w:rsidRDefault="0062595A" w:rsidP="00B51954">
            <w:pPr>
              <w:keepNext/>
              <w:keepLines/>
              <w:suppressAutoHyphens/>
              <w:adjustRightInd/>
              <w:spacing w:before="0"/>
              <w:jc w:val="center"/>
              <w:rPr>
                <w:rFonts w:eastAsia="MS Mincho"/>
                <w:sz w:val="22"/>
              </w:rPr>
            </w:pPr>
            <w:r w:rsidRPr="0062595A">
              <w:rPr>
                <w:rFonts w:eastAsia="Calibri" w:cs="Calibri"/>
                <w:sz w:val="20"/>
              </w:rPr>
              <w:t>1 100</w:t>
            </w:r>
          </w:p>
        </w:tc>
        <w:tc>
          <w:tcPr>
            <w:tcW w:w="990" w:type="dxa"/>
            <w:tcBorders>
              <w:bottom w:val="single" w:sz="4" w:space="0" w:color="4BACC6"/>
            </w:tcBorders>
            <w:tcMar>
              <w:top w:w="0" w:type="dxa"/>
              <w:left w:w="108" w:type="dxa"/>
              <w:bottom w:w="0" w:type="dxa"/>
              <w:right w:w="108" w:type="dxa"/>
            </w:tcMar>
            <w:vAlign w:val="center"/>
          </w:tcPr>
          <w:p w14:paraId="33E0A0C7"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1 140</w:t>
            </w:r>
          </w:p>
        </w:tc>
        <w:tc>
          <w:tcPr>
            <w:tcW w:w="1425" w:type="dxa"/>
            <w:tcBorders>
              <w:bottom w:val="single" w:sz="4" w:space="0" w:color="4BACC6"/>
              <w:right w:val="single" w:sz="4" w:space="0" w:color="4BACC6"/>
            </w:tcBorders>
            <w:tcMar>
              <w:top w:w="0" w:type="dxa"/>
              <w:left w:w="108" w:type="dxa"/>
              <w:bottom w:w="0" w:type="dxa"/>
              <w:right w:w="108" w:type="dxa"/>
            </w:tcMar>
            <w:vAlign w:val="center"/>
          </w:tcPr>
          <w:p w14:paraId="4B84B1C2" w14:textId="77777777" w:rsidR="0062595A" w:rsidRPr="0062595A" w:rsidRDefault="0062595A" w:rsidP="00B51954">
            <w:pPr>
              <w:keepNext/>
              <w:keepLines/>
              <w:suppressAutoHyphens/>
              <w:adjustRightInd/>
              <w:spacing w:before="0"/>
              <w:jc w:val="center"/>
              <w:rPr>
                <w:rFonts w:eastAsia="Calibri"/>
                <w:sz w:val="20"/>
              </w:rPr>
            </w:pPr>
            <w:r w:rsidRPr="0062595A">
              <w:rPr>
                <w:rFonts w:eastAsia="Calibri"/>
                <w:sz w:val="20"/>
              </w:rPr>
              <w:t>4 357</w:t>
            </w:r>
          </w:p>
        </w:tc>
      </w:tr>
    </w:tbl>
    <w:p w14:paraId="025A540F" w14:textId="77777777" w:rsidR="0062595A" w:rsidRPr="0062595A" w:rsidRDefault="0062595A" w:rsidP="00B51954">
      <w:pPr>
        <w:keepNext/>
        <w:keepLines/>
        <w:suppressAutoHyphens/>
        <w:adjustRightInd/>
        <w:spacing w:before="0"/>
        <w:jc w:val="both"/>
        <w:rPr>
          <w:rFonts w:eastAsia="MS Mincho"/>
          <w:i/>
          <w:iCs/>
          <w:color w:val="1F497D"/>
          <w:sz w:val="18"/>
          <w:szCs w:val="18"/>
        </w:rPr>
      </w:pPr>
    </w:p>
    <w:p w14:paraId="5E5780E4" w14:textId="77777777" w:rsidR="0062595A" w:rsidRPr="0062595A" w:rsidRDefault="0062595A" w:rsidP="00B51954">
      <w:pPr>
        <w:keepNext/>
        <w:keepLines/>
        <w:suppressAutoHyphens/>
        <w:adjustRightInd/>
        <w:spacing w:before="0"/>
        <w:jc w:val="center"/>
        <w:rPr>
          <w:rFonts w:eastAsia="MS Mincho"/>
          <w:i/>
          <w:iCs/>
          <w:color w:val="1F497D"/>
          <w:sz w:val="18"/>
          <w:szCs w:val="18"/>
        </w:rPr>
      </w:pPr>
      <w:r w:rsidRPr="0062595A">
        <w:rPr>
          <w:rFonts w:eastAsia="MS Mincho"/>
          <w:i/>
          <w:iCs/>
          <w:color w:val="1F497D"/>
          <w:sz w:val="18"/>
          <w:szCs w:val="18"/>
        </w:rPr>
        <w:t>Table 2. Terrestrial notices 2022-2025</w:t>
      </w:r>
    </w:p>
    <w:p w14:paraId="21B6006B" w14:textId="77777777" w:rsidR="0062595A" w:rsidRPr="0062595A" w:rsidRDefault="0062595A" w:rsidP="00097C08">
      <w:pPr>
        <w:tabs>
          <w:tab w:val="clear" w:pos="567"/>
          <w:tab w:val="clear" w:pos="1134"/>
          <w:tab w:val="clear" w:pos="1701"/>
          <w:tab w:val="clear" w:pos="2268"/>
          <w:tab w:val="clear" w:pos="2835"/>
        </w:tabs>
        <w:suppressAutoHyphens/>
        <w:overflowPunct/>
        <w:autoSpaceDE/>
        <w:adjustRightInd/>
        <w:spacing w:before="360" w:after="120"/>
        <w:jc w:val="both"/>
        <w:rPr>
          <w:rFonts w:eastAsia="SimSun" w:cs="Arial"/>
          <w:kern w:val="3"/>
          <w:sz w:val="22"/>
          <w:szCs w:val="22"/>
          <w:lang w:eastAsia="zh-CN"/>
        </w:rPr>
      </w:pPr>
      <w:r w:rsidRPr="0062595A">
        <w:rPr>
          <w:rFonts w:eastAsia="SimSun" w:cs="Arial"/>
          <w:b/>
          <w:bCs/>
          <w:kern w:val="3"/>
          <w:sz w:val="22"/>
          <w:szCs w:val="22"/>
          <w:lang w:eastAsia="en-GB"/>
        </w:rPr>
        <w:t>ITU-R Software Improvements and Developments (2022-2025)</w:t>
      </w:r>
    </w:p>
    <w:p w14:paraId="5E3AD97E" w14:textId="374605DA" w:rsidR="0062595A" w:rsidRPr="0062595A" w:rsidRDefault="008D14D8" w:rsidP="00097C08">
      <w:pPr>
        <w:tabs>
          <w:tab w:val="clear" w:pos="567"/>
          <w:tab w:val="clear" w:pos="1134"/>
          <w:tab w:val="clear" w:pos="1701"/>
          <w:tab w:val="clear" w:pos="2268"/>
          <w:tab w:val="clear" w:pos="2835"/>
        </w:tabs>
        <w:suppressAutoHyphens/>
        <w:overflowPunct/>
        <w:autoSpaceDE/>
        <w:adjustRightInd/>
        <w:spacing w:after="120"/>
        <w:jc w:val="both"/>
        <w:rPr>
          <w:rFonts w:eastAsia="MS Mincho" w:cs="Calibri"/>
          <w:sz w:val="22"/>
        </w:rPr>
      </w:pPr>
      <w:r>
        <w:rPr>
          <w:rFonts w:eastAsia="MS Mincho" w:cs="Calibri"/>
          <w:sz w:val="22"/>
        </w:rPr>
        <w:t>There have been</w:t>
      </w:r>
      <w:r w:rsidR="0062595A" w:rsidRPr="0062595A">
        <w:rPr>
          <w:rFonts w:eastAsia="MS Mincho" w:cs="Calibri"/>
          <w:sz w:val="22"/>
        </w:rPr>
        <w:t xml:space="preserve"> substantial advancements in software applications and tools from 2022 to 2025, focusing on enhancing user access to ITU-R outputs and improving the overall efficiency of radiocommunication services. </w:t>
      </w:r>
    </w:p>
    <w:p w14:paraId="12B6A1B3" w14:textId="77777777" w:rsidR="0062595A" w:rsidRPr="0062595A" w:rsidRDefault="0062595A" w:rsidP="00097C08">
      <w:pPr>
        <w:suppressAutoHyphens/>
        <w:adjustRightInd/>
        <w:spacing w:after="120"/>
        <w:jc w:val="both"/>
        <w:rPr>
          <w:rFonts w:eastAsia="MS Mincho" w:cs="Calibri"/>
          <w:sz w:val="22"/>
        </w:rPr>
      </w:pPr>
      <w:r w:rsidRPr="0062595A">
        <w:rPr>
          <w:rFonts w:eastAsia="MS Mincho" w:cs="Calibri"/>
          <w:sz w:val="22"/>
        </w:rPr>
        <w:t xml:space="preserve">In 2022, BR concentrated on updating key software applications that enable users to query and analyse the Table of Frequency Allocations (TFA) and related regulatory texts. Major enhancements included the development of tools for processing coordination requests and High-Altitude Platform Station (HAPS) notifications. The migration of the </w:t>
      </w:r>
      <w:proofErr w:type="spellStart"/>
      <w:r w:rsidRPr="0062595A">
        <w:rPr>
          <w:rFonts w:eastAsia="MS Mincho" w:cs="Calibri"/>
          <w:sz w:val="22"/>
        </w:rPr>
        <w:t>TerRaSys</w:t>
      </w:r>
      <w:proofErr w:type="spellEnd"/>
      <w:r w:rsidRPr="0062595A">
        <w:rPr>
          <w:rFonts w:eastAsia="MS Mincho" w:cs="Calibri"/>
          <w:sz w:val="22"/>
        </w:rPr>
        <w:t xml:space="preserve"> database to the SQL (Structured Query Language) server and the integration of </w:t>
      </w:r>
      <w:proofErr w:type="spellStart"/>
      <w:r w:rsidRPr="0062595A">
        <w:rPr>
          <w:rFonts w:eastAsia="MS Mincho" w:cs="Calibri"/>
          <w:sz w:val="22"/>
        </w:rPr>
        <w:t>eTerrestrial</w:t>
      </w:r>
      <w:proofErr w:type="spellEnd"/>
      <w:r w:rsidRPr="0062595A">
        <w:rPr>
          <w:rFonts w:eastAsia="MS Mincho" w:cs="Calibri"/>
          <w:sz w:val="22"/>
        </w:rPr>
        <w:t xml:space="preserve"> web tools for various terrestrial services were also significant achievements. Additionally, online tools for GE84 compatibility were enhanced, and High Frequency </w:t>
      </w:r>
      <w:r w:rsidRPr="0062595A">
        <w:rPr>
          <w:rFonts w:eastAsia="MS Mincho" w:cs="Calibri"/>
          <w:sz w:val="22"/>
        </w:rPr>
        <w:lastRenderedPageBreak/>
        <w:t xml:space="preserve">Broadcasting software was re-engineered to improve user experience. A new online </w:t>
      </w:r>
      <w:r w:rsidRPr="0062595A">
        <w:rPr>
          <w:rFonts w:eastAsia="MS Mincho" w:cs="Calibri"/>
          <w:sz w:val="22"/>
          <w:szCs w:val="22"/>
        </w:rPr>
        <w:t>Harmful Interference Tracking System</w:t>
      </w:r>
      <w:r w:rsidRPr="0062595A" w:rsidDel="005F7840">
        <w:rPr>
          <w:rFonts w:eastAsia="MS Mincho" w:cs="Calibri"/>
          <w:sz w:val="22"/>
        </w:rPr>
        <w:t xml:space="preserve"> </w:t>
      </w:r>
      <w:r w:rsidRPr="0062595A">
        <w:rPr>
          <w:rFonts w:eastAsia="MS Mincho" w:cs="Calibri"/>
          <w:sz w:val="22"/>
        </w:rPr>
        <w:t>(HITS) was established to handle reports of harmful interference, while efforts were made to modernize space information systems and implement electronic communication systems for satellite network filings.</w:t>
      </w:r>
    </w:p>
    <w:p w14:paraId="03660B3A" w14:textId="27AA090D" w:rsidR="0062595A" w:rsidRPr="0062595A" w:rsidRDefault="0062595A" w:rsidP="00097C08">
      <w:pPr>
        <w:suppressAutoHyphens/>
        <w:adjustRightInd/>
        <w:spacing w:after="120"/>
        <w:jc w:val="both"/>
        <w:rPr>
          <w:rFonts w:eastAsia="MS Mincho" w:cs="Calibri"/>
          <w:sz w:val="22"/>
        </w:rPr>
      </w:pPr>
      <w:r w:rsidRPr="0062595A">
        <w:rPr>
          <w:rFonts w:eastAsia="MS Mincho" w:cs="Calibri"/>
          <w:sz w:val="22"/>
        </w:rPr>
        <w:t xml:space="preserve">Continuing into 2023, </w:t>
      </w:r>
      <w:r w:rsidR="008D14D8">
        <w:rPr>
          <w:rFonts w:eastAsia="MS Mincho" w:cs="Calibri"/>
          <w:sz w:val="22"/>
        </w:rPr>
        <w:t>there has been progress</w:t>
      </w:r>
      <w:r w:rsidRPr="0062595A">
        <w:rPr>
          <w:rFonts w:eastAsia="MS Mincho" w:cs="Calibri"/>
          <w:sz w:val="22"/>
        </w:rPr>
        <w:t xml:space="preserve"> with software developments centred on the BR Space Information System. Key achievements included nearing user acceptance testing for modernized PXT software and maintaining the advancement of the e-submission system, ensuring compliance with recent resolutions from the World Radiocommunication Conference (WRC-23). A notable introduction was an online examination tool designed to assist administrations in verifying compliance with satellite filings. Moreover, the BR </w:t>
      </w:r>
      <w:r w:rsidRPr="0062595A">
        <w:rPr>
          <w:rFonts w:eastAsia="MS Mincho" w:cs="Calibri"/>
          <w:sz w:val="22"/>
          <w:szCs w:val="22"/>
        </w:rPr>
        <w:t>International Frequency Information Circular</w:t>
      </w:r>
      <w:r w:rsidRPr="0062595A" w:rsidDel="00190161">
        <w:rPr>
          <w:rFonts w:eastAsia="MS Mincho" w:cs="Calibri"/>
          <w:sz w:val="22"/>
        </w:rPr>
        <w:t xml:space="preserve"> </w:t>
      </w:r>
      <w:r w:rsidRPr="0062595A">
        <w:rPr>
          <w:rFonts w:eastAsia="MS Mincho" w:cs="Calibri"/>
          <w:sz w:val="22"/>
        </w:rPr>
        <w:t xml:space="preserve">(BR-IFIC) for Space Services transitioned from a DVD format to a more accessible web-based application, improving user engagement with essential space service information. </w:t>
      </w:r>
    </w:p>
    <w:p w14:paraId="7CC95036" w14:textId="3540F4FA" w:rsidR="0062595A" w:rsidRPr="0062595A" w:rsidRDefault="0062595A" w:rsidP="00097C08">
      <w:pPr>
        <w:suppressAutoHyphens/>
        <w:adjustRightInd/>
        <w:spacing w:after="120"/>
        <w:jc w:val="both"/>
        <w:rPr>
          <w:rFonts w:eastAsia="MS Mincho"/>
          <w:sz w:val="22"/>
        </w:rPr>
      </w:pPr>
      <w:r w:rsidRPr="0062595A">
        <w:rPr>
          <w:rFonts w:eastAsia="MS Mincho" w:cs="Calibri"/>
          <w:sz w:val="22"/>
        </w:rPr>
        <w:t xml:space="preserve">In 2024, BR officially launched the </w:t>
      </w:r>
      <w:hyperlink r:id="rId128" w:history="1">
        <w:r w:rsidRPr="0062595A">
          <w:rPr>
            <w:rFonts w:eastAsia="MS Mincho" w:cs="Calibri"/>
            <w:color w:val="0563C1"/>
            <w:sz w:val="22"/>
            <w:u w:val="single"/>
          </w:rPr>
          <w:t>BR IFIC (Space Services)</w:t>
        </w:r>
      </w:hyperlink>
      <w:r w:rsidRPr="0062595A">
        <w:rPr>
          <w:rFonts w:eastAsia="MS Mincho" w:cs="Calibri"/>
          <w:sz w:val="22"/>
        </w:rPr>
        <w:t xml:space="preserve"> online application, providing 24/7 access to crucial frequency information. Significant initiatives for the year included the rollout of the ITU Space Explorer web application to enhance satellite network submissions and the introduction of advancements in the e-Submission system, enabling uploads in the new SNS v10 format and facilitating better correspondence management through integration with the e-Communications system. </w:t>
      </w:r>
    </w:p>
    <w:p w14:paraId="521724E6" w14:textId="77777777" w:rsidR="0062595A" w:rsidRPr="0062595A" w:rsidRDefault="0062595A" w:rsidP="00097C08">
      <w:pPr>
        <w:suppressAutoHyphens/>
        <w:adjustRightInd/>
        <w:spacing w:after="120"/>
        <w:jc w:val="both"/>
        <w:rPr>
          <w:rFonts w:eastAsia="MS Mincho"/>
          <w:sz w:val="22"/>
        </w:rPr>
      </w:pPr>
      <w:r w:rsidRPr="0062595A">
        <w:rPr>
          <w:rFonts w:eastAsia="MS Mincho" w:cs="Calibri"/>
          <w:sz w:val="22"/>
        </w:rPr>
        <w:t xml:space="preserve">Furthermore, BR made considerable progress on </w:t>
      </w:r>
      <w:hyperlink r:id="rId129" w:history="1">
        <w:r w:rsidRPr="0062595A">
          <w:rPr>
            <w:rFonts w:eastAsia="MS Mincho" w:cs="Calibri"/>
            <w:color w:val="0563C1"/>
            <w:sz w:val="22"/>
            <w:u w:val="single"/>
          </w:rPr>
          <w:t>terrestrial applications</w:t>
        </w:r>
      </w:hyperlink>
      <w:r w:rsidRPr="0062595A">
        <w:rPr>
          <w:rFonts w:eastAsia="MS Mincho" w:cs="Calibri"/>
          <w:sz w:val="22"/>
        </w:rPr>
        <w:t xml:space="preserve"> by updating software for processing notices and notifications under Radio Regulation No. 9.21. New tools were developed, and existing ones were integrated into a single portal, significantly enhancing the overall user experience. </w:t>
      </w:r>
    </w:p>
    <w:p w14:paraId="5CEF5A01" w14:textId="77777777" w:rsidR="0062595A" w:rsidRPr="0062595A" w:rsidRDefault="0062595A" w:rsidP="00097C08">
      <w:pPr>
        <w:suppressAutoHyphens/>
        <w:adjustRightInd/>
        <w:spacing w:after="120"/>
        <w:jc w:val="both"/>
        <w:rPr>
          <w:rFonts w:eastAsia="MS Mincho" w:cs="Calibri"/>
          <w:sz w:val="22"/>
        </w:rPr>
      </w:pPr>
      <w:r w:rsidRPr="0062595A">
        <w:rPr>
          <w:rFonts w:eastAsia="MS Mincho" w:cs="Calibri"/>
          <w:sz w:val="22"/>
        </w:rPr>
        <w:t xml:space="preserve">In 2025, BR delivered software implementing most of the changes mandated by WRC-23, allowing for processing of terrestrial and space frequency notifications in accordance with the 2024 edition of the ITU Radio Regulations. BR web applications were also improved, making it easier for administrations and satellite operators to submit and exchange information related to satellite network filings. Software implementing Council Decision 482 (Mod. 2025) was made available in advance of the entry into force of the latest revision. The Satellite Interference Reporting and Resolution System (SIRRS) has been enhanced to enable UN Organizations such as ICAO to report and communicate cases of harmful interference to ITU. </w:t>
      </w:r>
    </w:p>
    <w:p w14:paraId="655CB905" w14:textId="77777777" w:rsidR="0062595A" w:rsidRPr="0062595A" w:rsidRDefault="0062595A" w:rsidP="00097C08">
      <w:pPr>
        <w:suppressAutoHyphens/>
        <w:adjustRightInd/>
        <w:spacing w:after="120"/>
        <w:jc w:val="both"/>
        <w:rPr>
          <w:rFonts w:eastAsia="MS Mincho" w:cs="Calibri"/>
          <w:sz w:val="22"/>
        </w:rPr>
      </w:pPr>
      <w:r w:rsidRPr="0062595A">
        <w:rPr>
          <w:rFonts w:eastAsia="MS Mincho" w:cs="Calibri"/>
          <w:sz w:val="22"/>
        </w:rPr>
        <w:t xml:space="preserve">In 2025, BR finalized and released the updated version of the Radio Regulations Navigation Tool, to incorporate the Radio Regulations 2024 Edition (WRC-23) and the most recent versions of the ITU’s Basic Texts (Constitution and Convention). The RR5 TFA software was also updated accordingly. Moreover, BR officially launched the BR IFIC (Terrestrial Services) online application, ensuring 24/7 access to frequency information pertaining to terrestrial services and providing for the online validation of the terrestrial frequency assignments notifications, prior to their submission to BR. In addition, BR completed the Maritime Service Publications enhancement. It included the development of digital maritime publications, a sales platform and anticounterfeits measures. </w:t>
      </w:r>
    </w:p>
    <w:p w14:paraId="3132DACC" w14:textId="06A0DDB7" w:rsidR="0062595A" w:rsidRPr="0062595A" w:rsidRDefault="00952887" w:rsidP="00097C08">
      <w:pPr>
        <w:suppressAutoHyphens/>
        <w:adjustRightInd/>
        <w:spacing w:after="120"/>
        <w:jc w:val="both"/>
        <w:rPr>
          <w:rFonts w:eastAsia="MS Mincho"/>
          <w:sz w:val="22"/>
        </w:rPr>
      </w:pPr>
      <w:r>
        <w:rPr>
          <w:rFonts w:eastAsia="MS Mincho" w:cs="Calibri"/>
          <w:sz w:val="22"/>
        </w:rPr>
        <w:t>I</w:t>
      </w:r>
      <w:r w:rsidR="0062595A" w:rsidRPr="0062595A">
        <w:rPr>
          <w:rFonts w:eastAsia="MS Mincho" w:cs="Calibri"/>
          <w:sz w:val="22"/>
        </w:rPr>
        <w:t xml:space="preserve">n 2025, the </w:t>
      </w:r>
      <w:hyperlink r:id="rId130" w:history="1">
        <w:r w:rsidR="0062595A" w:rsidRPr="0062595A">
          <w:rPr>
            <w:rFonts w:eastAsia="MS Mincho" w:cs="Calibri"/>
            <w:sz w:val="22"/>
          </w:rPr>
          <w:t xml:space="preserve">ITU-R </w:t>
        </w:r>
        <w:r w:rsidR="0062595A" w:rsidRPr="0062595A">
          <w:rPr>
            <w:rFonts w:eastAsia="PMingLiU"/>
            <w:color w:val="0563C1"/>
            <w:sz w:val="22"/>
            <w:szCs w:val="22"/>
            <w:u w:val="single"/>
            <w:lang w:eastAsia="zh-TW"/>
          </w:rPr>
          <w:t>Geospatial Catalogue</w:t>
        </w:r>
      </w:hyperlink>
      <w:r w:rsidR="0062595A" w:rsidRPr="0062595A">
        <w:rPr>
          <w:rFonts w:eastAsia="MS Mincho" w:cs="Calibri"/>
          <w:sz w:val="22"/>
        </w:rPr>
        <w:t xml:space="preserve"> </w:t>
      </w:r>
      <w:r>
        <w:rPr>
          <w:rFonts w:eastAsia="MS Mincho" w:cs="Calibri"/>
          <w:sz w:val="22"/>
        </w:rPr>
        <w:t xml:space="preserve">was released, </w:t>
      </w:r>
      <w:r w:rsidR="0062595A" w:rsidRPr="0062595A">
        <w:rPr>
          <w:rFonts w:eastAsia="MS Mincho" w:cs="Calibri"/>
          <w:sz w:val="22"/>
        </w:rPr>
        <w:t xml:space="preserve">comprising Geographical, Geopolitical, and Radio-Meteorological Data supporting the development and application of radio wave propagation prediction methods, and enabling the BR to conduct precise technical analyses, ensuring interference-free operation of radiocommunication systems. </w:t>
      </w:r>
    </w:p>
    <w:p w14:paraId="3931D911" w14:textId="022A5A05" w:rsidR="0062595A" w:rsidRPr="0062595A" w:rsidRDefault="0062595A" w:rsidP="00097C08">
      <w:pPr>
        <w:suppressAutoHyphens/>
        <w:adjustRightInd/>
        <w:spacing w:after="120"/>
        <w:jc w:val="both"/>
        <w:rPr>
          <w:rFonts w:eastAsia="MS Mincho" w:cs="Calibri"/>
          <w:sz w:val="22"/>
        </w:rPr>
      </w:pPr>
      <w:r w:rsidRPr="0062595A">
        <w:rPr>
          <w:rFonts w:eastAsia="MS Mincho" w:cs="Calibri"/>
          <w:sz w:val="22"/>
        </w:rPr>
        <w:t>Overall, the improvements spanning 2022 to 2025 have streamlined processes, provided easier access to vital information, and fostered a more efficient interface for members and stakeholders involved in radiocommunication, establishing a robust foundation for future technological advancements.</w:t>
      </w:r>
    </w:p>
    <w:p w14:paraId="486145BB" w14:textId="77777777"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rPr>
      </w:pPr>
      <w:bookmarkStart w:id="72" w:name="_Toc224288808"/>
      <w:r w:rsidRPr="0062595A">
        <w:rPr>
          <w:rFonts w:eastAsia="MS Mincho"/>
          <w:b/>
          <w:color w:val="0D0D0D"/>
        </w:rPr>
        <w:lastRenderedPageBreak/>
        <w:t>4.2.2</w:t>
      </w:r>
      <w:r w:rsidRPr="0062595A">
        <w:rPr>
          <w:rFonts w:eastAsia="MS Mincho"/>
          <w:b/>
          <w:color w:val="0D0D0D"/>
        </w:rPr>
        <w:tab/>
        <w:t>Numbering, naming, addressing and identification resources</w:t>
      </w:r>
      <w:bookmarkEnd w:id="72"/>
    </w:p>
    <w:p w14:paraId="56BCE7A1" w14:textId="77777777" w:rsidR="0062595A" w:rsidRPr="0062595A" w:rsidRDefault="0062595A" w:rsidP="00C5530E">
      <w:pPr>
        <w:keepNext/>
        <w:keepLines/>
        <w:suppressAutoHyphens/>
        <w:adjustRightInd/>
        <w:spacing w:before="240" w:after="120"/>
        <w:jc w:val="both"/>
        <w:rPr>
          <w:rFonts w:eastAsia="MS Mincho" w:cs="Calibri"/>
          <w:b/>
          <w:sz w:val="22"/>
        </w:rPr>
      </w:pPr>
      <w:r w:rsidRPr="0062595A">
        <w:rPr>
          <w:rFonts w:eastAsia="MS Mincho" w:cs="Calibri"/>
          <w:b/>
          <w:sz w:val="22"/>
        </w:rPr>
        <w:t>Enhancing global connectivity: Evolution of NNAI resource management</w:t>
      </w:r>
    </w:p>
    <w:p w14:paraId="280EFD62" w14:textId="77777777" w:rsidR="0062595A" w:rsidRPr="0062595A" w:rsidRDefault="0062595A" w:rsidP="00C5530E">
      <w:pPr>
        <w:keepNext/>
        <w:keepLines/>
        <w:suppressAutoHyphens/>
        <w:adjustRightInd/>
        <w:spacing w:after="120"/>
        <w:jc w:val="both"/>
        <w:rPr>
          <w:rFonts w:eastAsia="MS Mincho" w:cs="Calibri"/>
          <w:sz w:val="22"/>
        </w:rPr>
      </w:pPr>
      <w:r w:rsidRPr="0062595A">
        <w:rPr>
          <w:rFonts w:eastAsia="MS Mincho" w:cs="Calibri"/>
          <w:sz w:val="22"/>
        </w:rPr>
        <w:t>Numbering, naming, addressing and identification (NNAI) resources governed by relevant ITU-T Recommendations play an indispensable role in enabling global connectivity across fixed, mobile and satellite telecommunication networks. The mandates contained in the ITU Constitution and Convention, the International Telecommunication Regulations, and relevant ITU-T Recommendations have been implemented by disseminating information approved by national Administrations. Updates to assignments, changes and reclamations of NNAI resources administered by national Administrators are notified to ITU, published in the ITU Operational Bulletin (two issues per month), posted on the ITU website and reflected in ITU databases. In addition, for certain international resources, ITU assigns resources directly to Member States and eligible entities (e.g., operators) in accordance with established procedures in the relevant ITU-T Recommendations, and in consultation with the competent ITU-T Study Group, its Chair and/or designated advisers.</w:t>
      </w:r>
    </w:p>
    <w:p w14:paraId="621B4FAC" w14:textId="0E3B9E54" w:rsidR="0062595A" w:rsidRPr="0062595A" w:rsidRDefault="0062595A" w:rsidP="00C5530E">
      <w:pPr>
        <w:suppressAutoHyphens/>
        <w:adjustRightInd/>
        <w:spacing w:after="120"/>
        <w:jc w:val="both"/>
        <w:rPr>
          <w:rFonts w:eastAsia="MS Mincho"/>
          <w:sz w:val="22"/>
        </w:rPr>
      </w:pPr>
      <w:r w:rsidRPr="0062595A">
        <w:rPr>
          <w:rFonts w:eastAsia="MS Mincho" w:cs="Calibri"/>
          <w:sz w:val="22"/>
        </w:rPr>
        <w:t>During the period of 2022 to 2025, the demand for international telecommunication NNAI resources increased significantly, largely due to the rise of machine-to-machine (M2M) and Internet of Things (IoT) services, as well as the expansion of services via Low Earth Orbit (LEO) satellites. This growth necessitated enhanced flexibility in resource management, particularly with the emergence of embedded SIM cards (</w:t>
      </w:r>
      <w:proofErr w:type="spellStart"/>
      <w:r w:rsidRPr="0062595A">
        <w:rPr>
          <w:rFonts w:eastAsia="MS Mincho" w:cs="Calibri"/>
          <w:sz w:val="22"/>
        </w:rPr>
        <w:t>eSIMs</w:t>
      </w:r>
      <w:proofErr w:type="spellEnd"/>
      <w:r w:rsidRPr="0062595A">
        <w:rPr>
          <w:rFonts w:eastAsia="MS Mincho" w:cs="Calibri"/>
          <w:sz w:val="22"/>
        </w:rPr>
        <w:t xml:space="preserve">). At the WTSA-24 held in October 2024, key Resolutions </w:t>
      </w:r>
      <w:r w:rsidR="00952887">
        <w:rPr>
          <w:rFonts w:eastAsia="MS Mincho" w:cs="Calibri"/>
          <w:sz w:val="22"/>
        </w:rPr>
        <w:t xml:space="preserve">(60, 61, and 20) </w:t>
      </w:r>
      <w:r w:rsidRPr="0062595A">
        <w:rPr>
          <w:rFonts w:eastAsia="MS Mincho" w:cs="Calibri"/>
          <w:sz w:val="22"/>
        </w:rPr>
        <w:t>related to international telecommunication numbering were revised to adapt to these challenges. Throughout the period, ITU-T Study Group 2 played a crucial role in addressing numbering complexities by updating recommendations and introducing new procedures to improve transparency in the application process. In addition, relevant Recommendations were advanced to support emerging connectivity models, including a new ITU-T Recommendation on international NNAI resources for IoT/M2M services/applications, and work on a new category of E.164 resource for global satellite services, in coordination with relevant ITU-R Working Parties.</w:t>
      </w:r>
    </w:p>
    <w:p w14:paraId="4CCC66BB" w14:textId="77777777" w:rsidR="0062595A" w:rsidRPr="0062595A" w:rsidRDefault="0062595A" w:rsidP="00C5530E">
      <w:pPr>
        <w:suppressAutoHyphens/>
        <w:adjustRightInd/>
        <w:spacing w:after="120"/>
        <w:jc w:val="both"/>
        <w:rPr>
          <w:rFonts w:eastAsia="MS Mincho"/>
          <w:sz w:val="22"/>
        </w:rPr>
      </w:pPr>
      <w:r w:rsidRPr="0062595A">
        <w:rPr>
          <w:rFonts w:eastAsia="MS Mincho" w:cs="Calibri"/>
          <w:sz w:val="22"/>
        </w:rPr>
        <w:t>For international telecommunication NNAI resources assigned directly under the authority of the Director of ITU’s Telecommunication Standardization Bureau (TSB),</w:t>
      </w:r>
      <w:r w:rsidRPr="0062595A">
        <w:rPr>
          <w:rFonts w:eastAsia="Calibri" w:cs="Calibri"/>
          <w:sz w:val="22"/>
        </w:rPr>
        <w:t xml:space="preserve"> the specification of clearer assignment procedures (</w:t>
      </w:r>
      <w:hyperlink r:id="rId131" w:history="1">
        <w:r w:rsidRPr="0062595A">
          <w:rPr>
            <w:rFonts w:eastAsia="Calibri" w:cs="Calibri"/>
            <w:color w:val="0563C1"/>
            <w:sz w:val="22"/>
            <w:u w:val="single"/>
          </w:rPr>
          <w:t>Recommendation ITU-T E.1120</w:t>
        </w:r>
      </w:hyperlink>
      <w:r w:rsidRPr="0062595A">
        <w:rPr>
          <w:rFonts w:eastAsia="Calibri" w:cs="Calibri"/>
          <w:sz w:val="22"/>
        </w:rPr>
        <w:t>) strengthened governance, transparency and operational handling, tightening lifecycle controls (including annual certification and reclamation) and complementing the ecosystem by adding an auditing framework (</w:t>
      </w:r>
      <w:hyperlink r:id="rId132" w:history="1">
        <w:r w:rsidRPr="0062595A">
          <w:rPr>
            <w:rFonts w:eastAsia="Calibri" w:cs="Calibri"/>
            <w:color w:val="0563C1"/>
            <w:sz w:val="22"/>
            <w:u w:val="single"/>
          </w:rPr>
          <w:t>Recommendation ITU-T E.1121</w:t>
        </w:r>
      </w:hyperlink>
      <w:r w:rsidRPr="0062595A">
        <w:rPr>
          <w:rFonts w:eastAsia="Calibri" w:cs="Calibri"/>
          <w:sz w:val="22"/>
        </w:rPr>
        <w:t xml:space="preserve">) to help verify that assignments remain valid and properly administered and used. User-facing numbering webpages and applicant guidance were also improved to reduce delays associated with incomplete applications. Expectations regarding annual certification and consequences for non-payment were reinforced, and efforts progressed from policy discussion to concrete reclamation actions, supporting accurate databases and reducing the accumulation of unused or orphaned resources. </w:t>
      </w:r>
      <w:r w:rsidRPr="0062595A">
        <w:rPr>
          <w:rFonts w:eastAsia="MS Mincho" w:cs="Calibri"/>
          <w:sz w:val="22"/>
        </w:rPr>
        <w:t xml:space="preserve">Efforts to combat misuse of numbering resources led to the revision of </w:t>
      </w:r>
      <w:hyperlink r:id="rId133" w:history="1">
        <w:r w:rsidRPr="0062595A">
          <w:rPr>
            <w:rFonts w:eastAsia="MS Mincho" w:cs="Calibri"/>
            <w:color w:val="0563C1"/>
            <w:sz w:val="22"/>
            <w:u w:val="single"/>
          </w:rPr>
          <w:t>WTSA Resolution 61</w:t>
        </w:r>
      </w:hyperlink>
      <w:r w:rsidRPr="0062595A">
        <w:rPr>
          <w:rFonts w:eastAsia="MS Mincho" w:cs="Calibri"/>
          <w:sz w:val="22"/>
        </w:rPr>
        <w:t xml:space="preserve">, expanding its scope to cover NNAI resources, while promoting public awareness and best practices among Member States. Additionally, WTSA Resolution 65 was modified to address emerging issues such as spoofing and voice cloning technologies, ensuring telecommunications networks remain responsive to these threats. Relevant ITU-T recommendation was clarified and improved to provide clearer provisions on the </w:t>
      </w:r>
      <w:r w:rsidRPr="0062595A">
        <w:rPr>
          <w:rFonts w:eastAsia="Calibri" w:cs="Calibri"/>
          <w:sz w:val="22"/>
        </w:rPr>
        <w:t xml:space="preserve">handling of misuse cases through ITU-T processes. In addition, the </w:t>
      </w:r>
      <w:proofErr w:type="spellStart"/>
      <w:r w:rsidRPr="0062595A">
        <w:rPr>
          <w:rFonts w:eastAsia="Calibri" w:cs="Calibri"/>
          <w:sz w:val="22"/>
        </w:rPr>
        <w:t>Wangiri</w:t>
      </w:r>
      <w:proofErr w:type="spellEnd"/>
      <w:r w:rsidRPr="0062595A">
        <w:rPr>
          <w:rFonts w:eastAsia="Calibri" w:cs="Calibri"/>
          <w:sz w:val="22"/>
        </w:rPr>
        <w:t xml:space="preserve"> Fraud Mitigation Technical Report (</w:t>
      </w:r>
      <w:hyperlink r:id="rId134" w:history="1">
        <w:r w:rsidRPr="0062595A">
          <w:rPr>
            <w:rFonts w:eastAsia="Calibri" w:cs="Calibri"/>
            <w:color w:val="0563C1"/>
            <w:sz w:val="22"/>
            <w:u w:val="single"/>
          </w:rPr>
          <w:t>TR.MMWF</w:t>
        </w:r>
      </w:hyperlink>
      <w:r w:rsidRPr="0062595A">
        <w:rPr>
          <w:rFonts w:eastAsia="Calibri" w:cs="Calibri"/>
          <w:sz w:val="22"/>
        </w:rPr>
        <w:t xml:space="preserve">) was agreed, providing analysis and methodologies to mitigate </w:t>
      </w:r>
      <w:proofErr w:type="spellStart"/>
      <w:r w:rsidRPr="0062595A">
        <w:rPr>
          <w:rFonts w:eastAsia="Calibri" w:cs="Calibri"/>
          <w:sz w:val="22"/>
        </w:rPr>
        <w:t>wangiri</w:t>
      </w:r>
      <w:proofErr w:type="spellEnd"/>
      <w:r w:rsidRPr="0062595A">
        <w:rPr>
          <w:rFonts w:eastAsia="Calibri" w:cs="Calibri"/>
          <w:sz w:val="22"/>
        </w:rPr>
        <w:t xml:space="preserve"> fraud. The newly introduced auditing framework is also a complementary mechanism to reporting of misuse.</w:t>
      </w:r>
    </w:p>
    <w:p w14:paraId="588DE754" w14:textId="77777777" w:rsidR="0062595A" w:rsidRPr="0062595A" w:rsidRDefault="0062595A" w:rsidP="00C5530E">
      <w:pPr>
        <w:suppressAutoHyphens/>
        <w:adjustRightInd/>
        <w:spacing w:after="120"/>
        <w:jc w:val="both"/>
        <w:rPr>
          <w:rFonts w:eastAsia="MS Mincho"/>
          <w:sz w:val="22"/>
        </w:rPr>
      </w:pPr>
      <w:r w:rsidRPr="0062595A">
        <w:rPr>
          <w:rFonts w:eastAsia="MS Mincho" w:cs="Calibri"/>
          <w:sz w:val="22"/>
        </w:rPr>
        <w:t>Moreover, the ITU Operational Bulletin (</w:t>
      </w:r>
      <w:hyperlink r:id="rId135" w:history="1">
        <w:r w:rsidRPr="0062595A">
          <w:rPr>
            <w:rFonts w:eastAsia="MS Mincho" w:cs="Calibri"/>
            <w:color w:val="0563C1"/>
            <w:sz w:val="22"/>
            <w:u w:val="single"/>
          </w:rPr>
          <w:t>OB</w:t>
        </w:r>
      </w:hyperlink>
      <w:r w:rsidRPr="0062595A">
        <w:rPr>
          <w:rFonts w:eastAsia="MS Mincho" w:cs="Calibri"/>
          <w:sz w:val="22"/>
        </w:rPr>
        <w:t xml:space="preserve">), which disseminates official updates on NNAI resources, was modernized to enhance readability and efficiency in alignment with digital transformation efforts, with further digitalization initiatives ongoing. In response to </w:t>
      </w:r>
      <w:hyperlink r:id="rId136" w:history="1">
        <w:r w:rsidRPr="0062595A">
          <w:rPr>
            <w:rFonts w:eastAsia="MS Mincho" w:cs="Calibri"/>
            <w:color w:val="0563C1"/>
            <w:sz w:val="22"/>
            <w:u w:val="single"/>
          </w:rPr>
          <w:t>WTSA Resolution 91</w:t>
        </w:r>
      </w:hyperlink>
      <w:r w:rsidRPr="0062595A">
        <w:rPr>
          <w:rFonts w:eastAsia="MS Mincho" w:cs="Calibri"/>
          <w:sz w:val="22"/>
        </w:rPr>
        <w:t xml:space="preserve">, a repository for national numbering plans was established, encouraging active participation from various stakeholders to further refine the repository based on their feedback. This ongoing evolution ensures that the </w:t>
      </w:r>
      <w:r w:rsidRPr="0062595A">
        <w:rPr>
          <w:rFonts w:eastAsia="MS Mincho" w:cs="Calibri"/>
          <w:sz w:val="22"/>
        </w:rPr>
        <w:lastRenderedPageBreak/>
        <w:t>management of NNAI resources remains robust and aligned with technological advancements in the telecommunications landscape.</w:t>
      </w:r>
    </w:p>
    <w:p w14:paraId="56F061B9" w14:textId="77777777" w:rsidR="0062595A" w:rsidRPr="0062595A" w:rsidRDefault="0062595A" w:rsidP="004630E8">
      <w:pPr>
        <w:keepNext/>
        <w:keepLines/>
        <w:tabs>
          <w:tab w:val="clear" w:pos="567"/>
        </w:tabs>
        <w:suppressAutoHyphens/>
        <w:adjustRightInd/>
        <w:spacing w:before="360" w:after="120"/>
        <w:ind w:left="567" w:hanging="567"/>
        <w:jc w:val="both"/>
        <w:outlineLvl w:val="1"/>
        <w:rPr>
          <w:rFonts w:eastAsia="MS Mincho"/>
          <w:b/>
        </w:rPr>
      </w:pPr>
      <w:bookmarkStart w:id="73" w:name="_Toc224288809"/>
      <w:bookmarkStart w:id="74" w:name="Section_4_3"/>
      <w:r w:rsidRPr="0062595A">
        <w:rPr>
          <w:rFonts w:eastAsia="MS Mincho"/>
          <w:b/>
        </w:rPr>
        <w:t>4.3</w:t>
      </w:r>
      <w:r w:rsidRPr="0062595A">
        <w:rPr>
          <w:rFonts w:eastAsia="MS Mincho"/>
          <w:b/>
        </w:rPr>
        <w:tab/>
        <w:t>Development of international standards</w:t>
      </w:r>
      <w:bookmarkEnd w:id="73"/>
      <w:bookmarkEnd w:id="74"/>
    </w:p>
    <w:p w14:paraId="5EE1D8BC" w14:textId="77777777" w:rsidR="0062595A" w:rsidRPr="0062595A" w:rsidRDefault="0062595A" w:rsidP="00C5530E">
      <w:pPr>
        <w:suppressAutoHyphens/>
        <w:adjustRightInd/>
        <w:spacing w:before="240" w:after="120"/>
        <w:jc w:val="both"/>
        <w:rPr>
          <w:rFonts w:eastAsia="MS Mincho"/>
          <w:b/>
          <w:bCs/>
          <w:sz w:val="22"/>
          <w:lang w:eastAsia="en-GB"/>
        </w:rPr>
      </w:pPr>
      <w:r w:rsidRPr="0062595A">
        <w:rPr>
          <w:rFonts w:eastAsia="MS Mincho"/>
          <w:b/>
          <w:bCs/>
          <w:sz w:val="22"/>
          <w:lang w:eastAsia="en-GB"/>
        </w:rPr>
        <w:t>Standardization: Foundations to shape technologies of today and tomorrow</w:t>
      </w:r>
    </w:p>
    <w:p w14:paraId="19449F08"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22"/>
          <w:lang w:eastAsia="en-GB"/>
        </w:rPr>
        <w:t>Accessible technologies built to universal specifications can work smoothly for everyone</w:t>
      </w:r>
      <w:r w:rsidRPr="0062595A">
        <w:rPr>
          <w:rFonts w:eastAsia="MS Mincho" w:cs="Arial"/>
          <w:sz w:val="22"/>
          <w:szCs w:val="22"/>
        </w:rPr>
        <w:t>. An unwavering commitment to interoperability, accessibility, security, affordability, and resilience ensures that standards from ITU benefit the whole world. Through ITU technical standards, local devices link seamlessly with global networks. Safe connections, within reach for all, give communities access to vital information and help reduce climate impact.</w:t>
      </w:r>
    </w:p>
    <w:p w14:paraId="7895BD9C" w14:textId="77777777" w:rsidR="0062595A" w:rsidRPr="0062595A" w:rsidRDefault="0062595A" w:rsidP="00C5530E">
      <w:pPr>
        <w:suppressAutoHyphens/>
        <w:adjustRightInd/>
        <w:spacing w:after="120"/>
        <w:jc w:val="both"/>
        <w:rPr>
          <w:rFonts w:eastAsia="MS Mincho"/>
          <w:sz w:val="22"/>
        </w:rPr>
      </w:pPr>
      <w:r w:rsidRPr="0062595A">
        <w:rPr>
          <w:rFonts w:eastAsia="MS Mincho" w:cs="Arial"/>
          <w:sz w:val="22"/>
          <w:szCs w:val="22"/>
        </w:rPr>
        <w:t xml:space="preserve">ITU standards are developed in ITU-T and also in ITU’s Radiocommunication Sector (ITU-R), being issued, respectively, as </w:t>
      </w:r>
      <w:hyperlink r:id="rId137" w:history="1">
        <w:r w:rsidRPr="0062595A">
          <w:rPr>
            <w:rFonts w:eastAsia="Calibri" w:cs="Calibri"/>
            <w:color w:val="0563C1"/>
            <w:sz w:val="22"/>
            <w:szCs w:val="22"/>
            <w:u w:val="single"/>
          </w:rPr>
          <w:t>ITU-T Recommendations</w:t>
        </w:r>
      </w:hyperlink>
      <w:r w:rsidRPr="0062595A">
        <w:rPr>
          <w:rFonts w:eastAsia="MS Mincho" w:cs="Arial"/>
          <w:sz w:val="22"/>
          <w:szCs w:val="22"/>
        </w:rPr>
        <w:t xml:space="preserve"> and </w:t>
      </w:r>
      <w:hyperlink r:id="rId138" w:history="1">
        <w:r w:rsidRPr="0062595A">
          <w:rPr>
            <w:rFonts w:eastAsia="Calibri" w:cs="Calibri"/>
            <w:color w:val="0563C1"/>
            <w:sz w:val="22"/>
            <w:szCs w:val="22"/>
            <w:u w:val="single"/>
          </w:rPr>
          <w:t>ITU-R Recommendations</w:t>
        </w:r>
      </w:hyperlink>
      <w:r w:rsidRPr="0062595A">
        <w:rPr>
          <w:rFonts w:eastAsia="MS Mincho" w:cs="Arial"/>
          <w:sz w:val="22"/>
          <w:szCs w:val="22"/>
        </w:rPr>
        <w:t>.</w:t>
      </w:r>
    </w:p>
    <w:p w14:paraId="2398035C" w14:textId="77777777"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rPr>
      </w:pPr>
      <w:bookmarkStart w:id="75" w:name="_Toc224288810"/>
      <w:r w:rsidRPr="0062595A">
        <w:rPr>
          <w:rFonts w:eastAsia="MS Mincho"/>
          <w:b/>
          <w:color w:val="0D0D0D"/>
        </w:rPr>
        <w:t>4.3.1</w:t>
      </w:r>
      <w:r w:rsidRPr="0062595A">
        <w:rPr>
          <w:rFonts w:eastAsia="MS Mincho"/>
          <w:b/>
          <w:color w:val="0D0D0D"/>
        </w:rPr>
        <w:tab/>
        <w:t>ITU-T Recommendations and related publications</w:t>
      </w:r>
      <w:bookmarkEnd w:id="75"/>
    </w:p>
    <w:p w14:paraId="19C5934D"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ITU-T Recommendations are the technical standards developed by ITU-T. They are complemented by other publications, such as Supplements, Technical Papers, Technical Reports, and augmented by pre-standardization deliverables prepared by ITU-T Focus Groups. There are currently </w:t>
      </w:r>
      <w:hyperlink r:id="rId139" w:history="1">
        <w:r w:rsidRPr="0062595A">
          <w:rPr>
            <w:rFonts w:eastAsia="MS Mincho"/>
            <w:color w:val="0563C1"/>
            <w:sz w:val="22"/>
            <w:u w:val="single"/>
          </w:rPr>
          <w:t>10 study groups</w:t>
        </w:r>
      </w:hyperlink>
      <w:r w:rsidRPr="0062595A">
        <w:rPr>
          <w:rFonts w:eastAsia="MS Mincho"/>
          <w:sz w:val="22"/>
        </w:rPr>
        <w:t xml:space="preserve"> in the sector, after the consolidation of ITU-T Study Groups 9 and 16 into Study Group 21 by WTSA-24. As of December 2025, only one active Focus Group was active, out of the 11 that were active in the reporting period (see the </w:t>
      </w:r>
      <w:hyperlink r:id="rId140" w:history="1">
        <w:r w:rsidRPr="0062595A">
          <w:rPr>
            <w:rFonts w:eastAsia="MS Mincho"/>
            <w:color w:val="0563C1"/>
            <w:sz w:val="22"/>
            <w:u w:val="single"/>
          </w:rPr>
          <w:t>ITU-T focus group homepage</w:t>
        </w:r>
      </w:hyperlink>
      <w:r w:rsidRPr="0062595A">
        <w:rPr>
          <w:rFonts w:eastAsia="MS Mincho"/>
          <w:sz w:val="22"/>
        </w:rPr>
        <w:t xml:space="preserve"> for further detail):</w:t>
      </w:r>
    </w:p>
    <w:p w14:paraId="4BB0B143" w14:textId="77777777" w:rsidR="0062595A" w:rsidRPr="0062595A" w:rsidRDefault="0062595A" w:rsidP="00B51954">
      <w:pPr>
        <w:keepNext/>
        <w:keepLines/>
        <w:suppressAutoHyphens/>
        <w:adjustRightInd/>
        <w:spacing w:before="360" w:after="120"/>
        <w:jc w:val="center"/>
        <w:rPr>
          <w:rFonts w:eastAsia="MS Mincho"/>
          <w:sz w:val="22"/>
        </w:rPr>
      </w:pPr>
      <w:r w:rsidRPr="0062595A">
        <w:rPr>
          <w:rFonts w:eastAsia="MS Mincho"/>
          <w:b/>
          <w:bCs/>
          <w:sz w:val="22"/>
        </w:rPr>
        <w:t>ITU-T Focus Groups 2025</w:t>
      </w:r>
    </w:p>
    <w:tbl>
      <w:tblPr>
        <w:tblW w:w="9061" w:type="dxa"/>
        <w:tblCellMar>
          <w:left w:w="10" w:type="dxa"/>
          <w:right w:w="10" w:type="dxa"/>
        </w:tblCellMar>
        <w:tblLook w:val="0000" w:firstRow="0" w:lastRow="0" w:firstColumn="0" w:lastColumn="0" w:noHBand="0" w:noVBand="0"/>
      </w:tblPr>
      <w:tblGrid>
        <w:gridCol w:w="1413"/>
        <w:gridCol w:w="3934"/>
        <w:gridCol w:w="1169"/>
        <w:gridCol w:w="1134"/>
        <w:gridCol w:w="1411"/>
      </w:tblGrid>
      <w:tr w:rsidR="0062595A" w:rsidRPr="0062595A" w14:paraId="6051A1B4" w14:textId="77777777" w:rsidTr="00443B52">
        <w:tc>
          <w:tcPr>
            <w:tcW w:w="1413" w:type="dxa"/>
            <w:tcBorders>
              <w:top w:val="single" w:sz="4" w:space="0" w:color="4BACC6"/>
              <w:left w:val="single" w:sz="4" w:space="0" w:color="4BACC6"/>
            </w:tcBorders>
            <w:tcMar>
              <w:top w:w="0" w:type="dxa"/>
              <w:left w:w="108" w:type="dxa"/>
              <w:bottom w:w="0" w:type="dxa"/>
              <w:right w:w="108" w:type="dxa"/>
            </w:tcMar>
            <w:vAlign w:val="center"/>
          </w:tcPr>
          <w:p w14:paraId="548D2B55"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b/>
                <w:color w:val="ADADAD"/>
                <w:sz w:val="22"/>
              </w:rPr>
            </w:pPr>
            <w:r w:rsidRPr="0062595A">
              <w:rPr>
                <w:rFonts w:eastAsia="MS Mincho" w:cs="Calibri"/>
                <w:b/>
                <w:bCs/>
                <w:color w:val="ADADAD"/>
                <w:sz w:val="22"/>
                <w:szCs w:val="22"/>
              </w:rPr>
              <w:t>Focus Group</w:t>
            </w:r>
          </w:p>
        </w:tc>
        <w:tc>
          <w:tcPr>
            <w:tcW w:w="3934" w:type="dxa"/>
            <w:tcBorders>
              <w:top w:val="single" w:sz="4" w:space="0" w:color="4BACC6"/>
            </w:tcBorders>
            <w:tcMar>
              <w:top w:w="0" w:type="dxa"/>
              <w:left w:w="108" w:type="dxa"/>
              <w:bottom w:w="0" w:type="dxa"/>
              <w:right w:w="108" w:type="dxa"/>
            </w:tcMar>
            <w:vAlign w:val="center"/>
          </w:tcPr>
          <w:p w14:paraId="46C44D78"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b/>
                <w:color w:val="ADADAD"/>
                <w:sz w:val="22"/>
              </w:rPr>
            </w:pPr>
            <w:r w:rsidRPr="0062595A">
              <w:rPr>
                <w:rFonts w:eastAsia="MS Mincho" w:cs="Calibri"/>
                <w:b/>
                <w:bCs/>
                <w:color w:val="ADADAD"/>
                <w:sz w:val="22"/>
                <w:szCs w:val="22"/>
              </w:rPr>
              <w:t>Topic</w:t>
            </w:r>
          </w:p>
        </w:tc>
        <w:tc>
          <w:tcPr>
            <w:tcW w:w="1169" w:type="dxa"/>
            <w:tcBorders>
              <w:top w:val="single" w:sz="4" w:space="0" w:color="4BACC6"/>
            </w:tcBorders>
            <w:tcMar>
              <w:top w:w="0" w:type="dxa"/>
              <w:left w:w="108" w:type="dxa"/>
              <w:bottom w:w="0" w:type="dxa"/>
              <w:right w:w="108" w:type="dxa"/>
            </w:tcMar>
            <w:vAlign w:val="center"/>
          </w:tcPr>
          <w:p w14:paraId="73DCDC84"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b/>
                <w:color w:val="ADADAD"/>
                <w:sz w:val="22"/>
              </w:rPr>
            </w:pPr>
            <w:r w:rsidRPr="0062595A">
              <w:rPr>
                <w:rFonts w:eastAsia="MS Mincho" w:cs="Calibri"/>
                <w:b/>
                <w:bCs/>
                <w:color w:val="ADADAD"/>
                <w:sz w:val="22"/>
                <w:szCs w:val="22"/>
              </w:rPr>
              <w:t>Start</w:t>
            </w:r>
          </w:p>
        </w:tc>
        <w:tc>
          <w:tcPr>
            <w:tcW w:w="1134" w:type="dxa"/>
            <w:tcBorders>
              <w:top w:val="single" w:sz="4" w:space="0" w:color="4BACC6"/>
            </w:tcBorders>
            <w:tcMar>
              <w:top w:w="0" w:type="dxa"/>
              <w:left w:w="108" w:type="dxa"/>
              <w:bottom w:w="0" w:type="dxa"/>
              <w:right w:w="108" w:type="dxa"/>
            </w:tcMar>
            <w:vAlign w:val="center"/>
          </w:tcPr>
          <w:p w14:paraId="7B04B1AE"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b/>
                <w:color w:val="ADADAD"/>
                <w:sz w:val="22"/>
              </w:rPr>
            </w:pPr>
            <w:r w:rsidRPr="0062595A">
              <w:rPr>
                <w:rFonts w:eastAsia="MS Mincho" w:cs="Calibri"/>
                <w:b/>
                <w:bCs/>
                <w:color w:val="ADADAD"/>
                <w:sz w:val="22"/>
                <w:szCs w:val="22"/>
              </w:rPr>
              <w:t>End</w:t>
            </w:r>
          </w:p>
        </w:tc>
        <w:tc>
          <w:tcPr>
            <w:tcW w:w="1411" w:type="dxa"/>
            <w:tcBorders>
              <w:top w:val="single" w:sz="4" w:space="0" w:color="4BACC6"/>
              <w:right w:val="single" w:sz="4" w:space="0" w:color="4BACC6"/>
            </w:tcBorders>
            <w:tcMar>
              <w:top w:w="0" w:type="dxa"/>
              <w:left w:w="108" w:type="dxa"/>
              <w:bottom w:w="0" w:type="dxa"/>
              <w:right w:w="108" w:type="dxa"/>
            </w:tcMar>
            <w:vAlign w:val="center"/>
          </w:tcPr>
          <w:p w14:paraId="7E21589E"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b/>
                <w:color w:val="ADADAD"/>
                <w:sz w:val="22"/>
              </w:rPr>
            </w:pPr>
            <w:r w:rsidRPr="0062595A">
              <w:rPr>
                <w:rFonts w:eastAsia="MS Mincho" w:cs="Calibri"/>
                <w:b/>
                <w:bCs/>
                <w:color w:val="ADADAD"/>
                <w:sz w:val="22"/>
                <w:szCs w:val="22"/>
              </w:rPr>
              <w:t>Deliverables produced</w:t>
            </w:r>
          </w:p>
        </w:tc>
      </w:tr>
      <w:tr w:rsidR="0062595A" w:rsidRPr="0062595A" w14:paraId="738A8F28" w14:textId="77777777" w:rsidTr="00443B52">
        <w:tc>
          <w:tcPr>
            <w:tcW w:w="1413" w:type="dxa"/>
            <w:tcBorders>
              <w:left w:val="single" w:sz="4" w:space="0" w:color="4BACC6"/>
            </w:tcBorders>
            <w:tcMar>
              <w:top w:w="0" w:type="dxa"/>
              <w:left w:w="108" w:type="dxa"/>
              <w:bottom w:w="0" w:type="dxa"/>
              <w:right w:w="108" w:type="dxa"/>
            </w:tcMar>
            <w:vAlign w:val="center"/>
          </w:tcPr>
          <w:p w14:paraId="36B55D6B" w14:textId="77777777" w:rsidR="0062595A" w:rsidRPr="0062595A" w:rsidRDefault="0062595A" w:rsidP="00B51954">
            <w:pPr>
              <w:keepNext/>
              <w:keepLines/>
              <w:suppressAutoHyphens/>
              <w:adjustRightInd/>
              <w:spacing w:before="0"/>
              <w:rPr>
                <w:rFonts w:eastAsia="MS Mincho"/>
                <w:sz w:val="22"/>
              </w:rPr>
            </w:pPr>
            <w:r w:rsidRPr="0062595A">
              <w:rPr>
                <w:rFonts w:eastAsia="MS Mincho" w:cs="Calibri"/>
                <w:sz w:val="20"/>
              </w:rPr>
              <w:t>FG-AINN</w:t>
            </w:r>
          </w:p>
        </w:tc>
        <w:tc>
          <w:tcPr>
            <w:tcW w:w="3934" w:type="dxa"/>
            <w:tcMar>
              <w:top w:w="0" w:type="dxa"/>
              <w:left w:w="108" w:type="dxa"/>
              <w:bottom w:w="0" w:type="dxa"/>
              <w:right w:w="108" w:type="dxa"/>
            </w:tcMar>
            <w:vAlign w:val="center"/>
          </w:tcPr>
          <w:p w14:paraId="66CDA258" w14:textId="77777777" w:rsidR="0062595A" w:rsidRPr="0062595A" w:rsidRDefault="0062595A" w:rsidP="00B51954">
            <w:pPr>
              <w:keepNext/>
              <w:keepLines/>
              <w:suppressAutoHyphens/>
              <w:adjustRightInd/>
              <w:spacing w:before="0"/>
              <w:rPr>
                <w:rFonts w:eastAsia="MS Mincho"/>
                <w:sz w:val="22"/>
              </w:rPr>
            </w:pPr>
            <w:r w:rsidRPr="0062595A">
              <w:rPr>
                <w:rFonts w:eastAsia="MS Mincho" w:cs="Calibri"/>
                <w:sz w:val="20"/>
              </w:rPr>
              <w:t>Artificial Intelligence Native for Telecommunication Networks (FG-AINN)</w:t>
            </w:r>
          </w:p>
        </w:tc>
        <w:tc>
          <w:tcPr>
            <w:tcW w:w="1169" w:type="dxa"/>
            <w:tcMar>
              <w:top w:w="0" w:type="dxa"/>
              <w:left w:w="108" w:type="dxa"/>
              <w:bottom w:w="0" w:type="dxa"/>
              <w:right w:w="108" w:type="dxa"/>
            </w:tcMar>
            <w:vAlign w:val="center"/>
          </w:tcPr>
          <w:p w14:paraId="79D9E6F4" w14:textId="77777777" w:rsidR="0062595A" w:rsidRPr="0062595A" w:rsidRDefault="0062595A" w:rsidP="00B51954">
            <w:pPr>
              <w:keepNext/>
              <w:keepLines/>
              <w:suppressAutoHyphens/>
              <w:adjustRightInd/>
              <w:spacing w:before="0"/>
              <w:jc w:val="center"/>
              <w:rPr>
                <w:rFonts w:eastAsia="MS Mincho" w:cs="Calibri"/>
                <w:sz w:val="20"/>
              </w:rPr>
            </w:pPr>
            <w:r w:rsidRPr="0062595A">
              <w:rPr>
                <w:rFonts w:eastAsia="MS Mincho" w:cs="Calibri"/>
                <w:sz w:val="20"/>
              </w:rPr>
              <w:t>2024-07</w:t>
            </w:r>
          </w:p>
        </w:tc>
        <w:tc>
          <w:tcPr>
            <w:tcW w:w="1134" w:type="dxa"/>
            <w:tcMar>
              <w:top w:w="0" w:type="dxa"/>
              <w:left w:w="108" w:type="dxa"/>
              <w:bottom w:w="0" w:type="dxa"/>
              <w:right w:w="108" w:type="dxa"/>
            </w:tcMar>
            <w:vAlign w:val="center"/>
          </w:tcPr>
          <w:p w14:paraId="377E0871" w14:textId="77777777" w:rsidR="0062595A" w:rsidRPr="0062595A" w:rsidRDefault="0062595A" w:rsidP="00B51954">
            <w:pPr>
              <w:keepNext/>
              <w:keepLines/>
              <w:suppressAutoHyphens/>
              <w:adjustRightInd/>
              <w:spacing w:before="0"/>
              <w:jc w:val="center"/>
              <w:rPr>
                <w:rFonts w:eastAsia="MS Mincho" w:cs="Calibri"/>
                <w:sz w:val="20"/>
              </w:rPr>
            </w:pPr>
            <w:r w:rsidRPr="0062595A">
              <w:rPr>
                <w:rFonts w:eastAsia="MS Mincho" w:cs="Calibri"/>
                <w:sz w:val="20"/>
              </w:rPr>
              <w:t>–</w:t>
            </w:r>
          </w:p>
        </w:tc>
        <w:tc>
          <w:tcPr>
            <w:tcW w:w="1411" w:type="dxa"/>
            <w:tcBorders>
              <w:right w:val="single" w:sz="4" w:space="0" w:color="4BACC6"/>
            </w:tcBorders>
            <w:tcMar>
              <w:top w:w="0" w:type="dxa"/>
              <w:left w:w="108" w:type="dxa"/>
              <w:bottom w:w="0" w:type="dxa"/>
              <w:right w:w="108" w:type="dxa"/>
            </w:tcMar>
            <w:vAlign w:val="center"/>
          </w:tcPr>
          <w:p w14:paraId="79169CCE" w14:textId="77777777" w:rsidR="0062595A" w:rsidRPr="0062595A" w:rsidRDefault="0062595A" w:rsidP="00B51954">
            <w:pPr>
              <w:keepNext/>
              <w:keepLines/>
              <w:suppressAutoHyphens/>
              <w:adjustRightInd/>
              <w:spacing w:before="0"/>
              <w:jc w:val="center"/>
              <w:rPr>
                <w:rFonts w:eastAsia="MS Mincho"/>
                <w:sz w:val="22"/>
              </w:rPr>
            </w:pPr>
            <w:r w:rsidRPr="0062595A">
              <w:rPr>
                <w:rFonts w:eastAsia="MS Mincho" w:cs="Calibri"/>
                <w:sz w:val="20"/>
              </w:rPr>
              <w:t>–</w:t>
            </w:r>
          </w:p>
        </w:tc>
      </w:tr>
      <w:tr w:rsidR="0062595A" w:rsidRPr="0062595A" w14:paraId="1EF7158E" w14:textId="77777777" w:rsidTr="00443B52">
        <w:tc>
          <w:tcPr>
            <w:tcW w:w="1413" w:type="dxa"/>
            <w:tcBorders>
              <w:left w:val="single" w:sz="4" w:space="0" w:color="4BACC6"/>
            </w:tcBorders>
            <w:tcMar>
              <w:top w:w="0" w:type="dxa"/>
              <w:left w:w="108" w:type="dxa"/>
              <w:bottom w:w="0" w:type="dxa"/>
              <w:right w:w="108" w:type="dxa"/>
            </w:tcMar>
            <w:vAlign w:val="center"/>
          </w:tcPr>
          <w:p w14:paraId="25A2E958"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FG-CD</w:t>
            </w:r>
          </w:p>
        </w:tc>
        <w:tc>
          <w:tcPr>
            <w:tcW w:w="3934" w:type="dxa"/>
            <w:tcMar>
              <w:top w:w="0" w:type="dxa"/>
              <w:left w:w="108" w:type="dxa"/>
              <w:bottom w:w="0" w:type="dxa"/>
              <w:right w:w="108" w:type="dxa"/>
            </w:tcMar>
            <w:vAlign w:val="center"/>
          </w:tcPr>
          <w:p w14:paraId="75DE9986"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Cost Models for Affordable Data Services</w:t>
            </w:r>
          </w:p>
        </w:tc>
        <w:tc>
          <w:tcPr>
            <w:tcW w:w="1169" w:type="dxa"/>
            <w:tcMar>
              <w:top w:w="0" w:type="dxa"/>
              <w:left w:w="108" w:type="dxa"/>
              <w:bottom w:w="0" w:type="dxa"/>
              <w:right w:w="108" w:type="dxa"/>
            </w:tcMar>
            <w:vAlign w:val="center"/>
          </w:tcPr>
          <w:p w14:paraId="77B4B199"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2023-03</w:t>
            </w:r>
          </w:p>
        </w:tc>
        <w:tc>
          <w:tcPr>
            <w:tcW w:w="1134" w:type="dxa"/>
            <w:tcMar>
              <w:top w:w="0" w:type="dxa"/>
              <w:left w:w="108" w:type="dxa"/>
              <w:bottom w:w="0" w:type="dxa"/>
              <w:right w:w="108" w:type="dxa"/>
            </w:tcMar>
            <w:vAlign w:val="center"/>
          </w:tcPr>
          <w:p w14:paraId="6A0E279A"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2025-10</w:t>
            </w:r>
          </w:p>
        </w:tc>
        <w:tc>
          <w:tcPr>
            <w:tcW w:w="1411" w:type="dxa"/>
            <w:tcBorders>
              <w:right w:val="single" w:sz="4" w:space="0" w:color="4BACC6"/>
            </w:tcBorders>
            <w:tcMar>
              <w:top w:w="0" w:type="dxa"/>
              <w:left w:w="108" w:type="dxa"/>
              <w:bottom w:w="0" w:type="dxa"/>
              <w:right w:w="108" w:type="dxa"/>
            </w:tcMar>
            <w:vAlign w:val="center"/>
          </w:tcPr>
          <w:p w14:paraId="3C1223E0"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6</w:t>
            </w:r>
          </w:p>
        </w:tc>
      </w:tr>
      <w:tr w:rsidR="0062595A" w:rsidRPr="0062595A" w14:paraId="57A23583" w14:textId="77777777" w:rsidTr="00443B52">
        <w:tc>
          <w:tcPr>
            <w:tcW w:w="1413" w:type="dxa"/>
            <w:tcBorders>
              <w:left w:val="single" w:sz="4" w:space="0" w:color="4BACC6"/>
            </w:tcBorders>
            <w:tcMar>
              <w:top w:w="0" w:type="dxa"/>
              <w:left w:w="108" w:type="dxa"/>
              <w:bottom w:w="0" w:type="dxa"/>
              <w:right w:w="108" w:type="dxa"/>
            </w:tcMar>
            <w:vAlign w:val="center"/>
          </w:tcPr>
          <w:p w14:paraId="08029F83"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FG-MV</w:t>
            </w:r>
          </w:p>
        </w:tc>
        <w:tc>
          <w:tcPr>
            <w:tcW w:w="3934" w:type="dxa"/>
            <w:tcMar>
              <w:top w:w="0" w:type="dxa"/>
              <w:left w:w="108" w:type="dxa"/>
              <w:bottom w:w="0" w:type="dxa"/>
              <w:right w:w="108" w:type="dxa"/>
            </w:tcMar>
            <w:vAlign w:val="center"/>
          </w:tcPr>
          <w:p w14:paraId="67AE1D89"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Metaverse</w:t>
            </w:r>
          </w:p>
        </w:tc>
        <w:tc>
          <w:tcPr>
            <w:tcW w:w="1169" w:type="dxa"/>
            <w:tcMar>
              <w:top w:w="0" w:type="dxa"/>
              <w:left w:w="108" w:type="dxa"/>
              <w:bottom w:w="0" w:type="dxa"/>
              <w:right w:w="108" w:type="dxa"/>
            </w:tcMar>
            <w:vAlign w:val="center"/>
          </w:tcPr>
          <w:p w14:paraId="1DAFEC69"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2022-12</w:t>
            </w:r>
          </w:p>
        </w:tc>
        <w:tc>
          <w:tcPr>
            <w:tcW w:w="1134" w:type="dxa"/>
            <w:tcMar>
              <w:top w:w="0" w:type="dxa"/>
              <w:left w:w="108" w:type="dxa"/>
              <w:bottom w:w="0" w:type="dxa"/>
              <w:right w:w="108" w:type="dxa"/>
            </w:tcMar>
            <w:vAlign w:val="center"/>
          </w:tcPr>
          <w:p w14:paraId="010D313E"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2024-06</w:t>
            </w:r>
          </w:p>
        </w:tc>
        <w:tc>
          <w:tcPr>
            <w:tcW w:w="1411" w:type="dxa"/>
            <w:tcBorders>
              <w:right w:val="single" w:sz="4" w:space="0" w:color="4BACC6"/>
            </w:tcBorders>
            <w:tcMar>
              <w:top w:w="0" w:type="dxa"/>
              <w:left w:w="108" w:type="dxa"/>
              <w:bottom w:w="0" w:type="dxa"/>
              <w:right w:w="108" w:type="dxa"/>
            </w:tcMar>
            <w:vAlign w:val="center"/>
          </w:tcPr>
          <w:p w14:paraId="7226DABB"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52</w:t>
            </w:r>
          </w:p>
        </w:tc>
      </w:tr>
      <w:tr w:rsidR="0062595A" w:rsidRPr="0062595A" w14:paraId="5023EDD9" w14:textId="77777777" w:rsidTr="00443B52">
        <w:tc>
          <w:tcPr>
            <w:tcW w:w="1413" w:type="dxa"/>
            <w:tcBorders>
              <w:left w:val="single" w:sz="4" w:space="0" w:color="4BACC6"/>
            </w:tcBorders>
            <w:tcMar>
              <w:top w:w="0" w:type="dxa"/>
              <w:left w:w="108" w:type="dxa"/>
              <w:bottom w:w="0" w:type="dxa"/>
              <w:right w:w="108" w:type="dxa"/>
            </w:tcMar>
            <w:vAlign w:val="center"/>
          </w:tcPr>
          <w:p w14:paraId="04EBD875"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FG-AI4A</w:t>
            </w:r>
          </w:p>
        </w:tc>
        <w:tc>
          <w:tcPr>
            <w:tcW w:w="3934" w:type="dxa"/>
            <w:tcMar>
              <w:top w:w="0" w:type="dxa"/>
              <w:left w:w="108" w:type="dxa"/>
              <w:bottom w:w="0" w:type="dxa"/>
              <w:right w:w="108" w:type="dxa"/>
            </w:tcMar>
            <w:vAlign w:val="center"/>
          </w:tcPr>
          <w:p w14:paraId="66DBA943"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AI and IoT for Digital Agriculture</w:t>
            </w:r>
          </w:p>
        </w:tc>
        <w:tc>
          <w:tcPr>
            <w:tcW w:w="1169" w:type="dxa"/>
            <w:tcMar>
              <w:top w:w="0" w:type="dxa"/>
              <w:left w:w="108" w:type="dxa"/>
              <w:bottom w:w="0" w:type="dxa"/>
              <w:right w:w="108" w:type="dxa"/>
            </w:tcMar>
            <w:vAlign w:val="center"/>
          </w:tcPr>
          <w:p w14:paraId="13F9685A"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2021-10</w:t>
            </w:r>
          </w:p>
        </w:tc>
        <w:tc>
          <w:tcPr>
            <w:tcW w:w="1134" w:type="dxa"/>
            <w:tcMar>
              <w:top w:w="0" w:type="dxa"/>
              <w:left w:w="108" w:type="dxa"/>
              <w:bottom w:w="0" w:type="dxa"/>
              <w:right w:w="108" w:type="dxa"/>
            </w:tcMar>
            <w:vAlign w:val="center"/>
          </w:tcPr>
          <w:p w14:paraId="62250595"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2024-06</w:t>
            </w:r>
          </w:p>
        </w:tc>
        <w:tc>
          <w:tcPr>
            <w:tcW w:w="1411" w:type="dxa"/>
            <w:tcBorders>
              <w:right w:val="single" w:sz="4" w:space="0" w:color="4BACC6"/>
            </w:tcBorders>
            <w:tcMar>
              <w:top w:w="0" w:type="dxa"/>
              <w:left w:w="108" w:type="dxa"/>
              <w:bottom w:w="0" w:type="dxa"/>
              <w:right w:w="108" w:type="dxa"/>
            </w:tcMar>
            <w:vAlign w:val="center"/>
          </w:tcPr>
          <w:p w14:paraId="41540A82"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5</w:t>
            </w:r>
          </w:p>
        </w:tc>
      </w:tr>
      <w:tr w:rsidR="0062595A" w:rsidRPr="0062595A" w14:paraId="6B370FCC" w14:textId="77777777" w:rsidTr="00443B52">
        <w:tc>
          <w:tcPr>
            <w:tcW w:w="1413" w:type="dxa"/>
            <w:tcBorders>
              <w:left w:val="single" w:sz="4" w:space="0" w:color="4BACC6"/>
            </w:tcBorders>
            <w:tcMar>
              <w:top w:w="0" w:type="dxa"/>
              <w:left w:w="108" w:type="dxa"/>
              <w:bottom w:w="0" w:type="dxa"/>
              <w:right w:w="108" w:type="dxa"/>
            </w:tcMar>
            <w:vAlign w:val="center"/>
          </w:tcPr>
          <w:p w14:paraId="0D6888C2"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FG-</w:t>
            </w:r>
            <w:proofErr w:type="spellStart"/>
            <w:r w:rsidRPr="0062595A">
              <w:rPr>
                <w:rFonts w:eastAsia="MS Mincho" w:cs="Calibri"/>
                <w:sz w:val="20"/>
              </w:rPr>
              <w:t>TBFxG</w:t>
            </w:r>
            <w:proofErr w:type="spellEnd"/>
          </w:p>
        </w:tc>
        <w:tc>
          <w:tcPr>
            <w:tcW w:w="3934" w:type="dxa"/>
            <w:tcMar>
              <w:top w:w="0" w:type="dxa"/>
              <w:left w:w="108" w:type="dxa"/>
              <w:bottom w:w="0" w:type="dxa"/>
              <w:right w:w="108" w:type="dxa"/>
            </w:tcMar>
            <w:vAlign w:val="center"/>
          </w:tcPr>
          <w:p w14:paraId="7E5335AB"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Testbeds Federations for IMT-2020 and beyond</w:t>
            </w:r>
          </w:p>
        </w:tc>
        <w:tc>
          <w:tcPr>
            <w:tcW w:w="1169" w:type="dxa"/>
            <w:tcMar>
              <w:top w:w="0" w:type="dxa"/>
              <w:left w:w="108" w:type="dxa"/>
              <w:bottom w:w="0" w:type="dxa"/>
              <w:right w:w="108" w:type="dxa"/>
            </w:tcMar>
            <w:vAlign w:val="center"/>
          </w:tcPr>
          <w:p w14:paraId="593ECDFE"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2021-12</w:t>
            </w:r>
          </w:p>
        </w:tc>
        <w:tc>
          <w:tcPr>
            <w:tcW w:w="1134" w:type="dxa"/>
            <w:tcMar>
              <w:top w:w="0" w:type="dxa"/>
              <w:left w:w="108" w:type="dxa"/>
              <w:bottom w:w="0" w:type="dxa"/>
              <w:right w:w="108" w:type="dxa"/>
            </w:tcMar>
            <w:vAlign w:val="center"/>
          </w:tcPr>
          <w:p w14:paraId="59716044"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2024-04</w:t>
            </w:r>
          </w:p>
        </w:tc>
        <w:tc>
          <w:tcPr>
            <w:tcW w:w="1411" w:type="dxa"/>
            <w:tcBorders>
              <w:right w:val="single" w:sz="4" w:space="0" w:color="4BACC6"/>
            </w:tcBorders>
            <w:tcMar>
              <w:top w:w="0" w:type="dxa"/>
              <w:left w:w="108" w:type="dxa"/>
              <w:bottom w:w="0" w:type="dxa"/>
              <w:right w:w="108" w:type="dxa"/>
            </w:tcMar>
            <w:vAlign w:val="center"/>
          </w:tcPr>
          <w:p w14:paraId="6D86E61E"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8</w:t>
            </w:r>
          </w:p>
        </w:tc>
      </w:tr>
      <w:tr w:rsidR="0062595A" w:rsidRPr="0062595A" w14:paraId="5FD96366" w14:textId="77777777" w:rsidTr="00443B52">
        <w:tc>
          <w:tcPr>
            <w:tcW w:w="1413" w:type="dxa"/>
            <w:tcBorders>
              <w:left w:val="single" w:sz="4" w:space="0" w:color="4BACC6"/>
            </w:tcBorders>
            <w:tcMar>
              <w:top w:w="0" w:type="dxa"/>
              <w:left w:w="108" w:type="dxa"/>
              <w:bottom w:w="0" w:type="dxa"/>
              <w:right w:w="108" w:type="dxa"/>
            </w:tcMar>
            <w:vAlign w:val="center"/>
          </w:tcPr>
          <w:p w14:paraId="3A65EB89"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FG-AI4NDM</w:t>
            </w:r>
          </w:p>
        </w:tc>
        <w:tc>
          <w:tcPr>
            <w:tcW w:w="3934" w:type="dxa"/>
            <w:tcMar>
              <w:top w:w="0" w:type="dxa"/>
              <w:left w:w="108" w:type="dxa"/>
              <w:bottom w:w="0" w:type="dxa"/>
              <w:right w:w="108" w:type="dxa"/>
            </w:tcMar>
            <w:vAlign w:val="center"/>
          </w:tcPr>
          <w:p w14:paraId="7309CC4B"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AI for Natural Disaster Management</w:t>
            </w:r>
          </w:p>
        </w:tc>
        <w:tc>
          <w:tcPr>
            <w:tcW w:w="1169" w:type="dxa"/>
            <w:tcMar>
              <w:top w:w="0" w:type="dxa"/>
              <w:left w:w="108" w:type="dxa"/>
              <w:bottom w:w="0" w:type="dxa"/>
              <w:right w:w="108" w:type="dxa"/>
            </w:tcMar>
            <w:vAlign w:val="center"/>
          </w:tcPr>
          <w:p w14:paraId="59EF5E2B"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2020-12</w:t>
            </w:r>
          </w:p>
        </w:tc>
        <w:tc>
          <w:tcPr>
            <w:tcW w:w="1134" w:type="dxa"/>
            <w:tcMar>
              <w:top w:w="0" w:type="dxa"/>
              <w:left w:w="108" w:type="dxa"/>
              <w:bottom w:w="0" w:type="dxa"/>
              <w:right w:w="108" w:type="dxa"/>
            </w:tcMar>
            <w:vAlign w:val="center"/>
          </w:tcPr>
          <w:p w14:paraId="4EFC7A73"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2024-03</w:t>
            </w:r>
          </w:p>
        </w:tc>
        <w:tc>
          <w:tcPr>
            <w:tcW w:w="1411" w:type="dxa"/>
            <w:tcBorders>
              <w:right w:val="single" w:sz="4" w:space="0" w:color="4BACC6"/>
            </w:tcBorders>
            <w:tcMar>
              <w:top w:w="0" w:type="dxa"/>
              <w:left w:w="108" w:type="dxa"/>
              <w:bottom w:w="0" w:type="dxa"/>
              <w:right w:w="108" w:type="dxa"/>
            </w:tcMar>
            <w:vAlign w:val="center"/>
          </w:tcPr>
          <w:p w14:paraId="46F27E05" w14:textId="77777777" w:rsidR="0062595A" w:rsidRPr="0062595A" w:rsidRDefault="0062595A" w:rsidP="00B51954">
            <w:pPr>
              <w:keepNext/>
              <w:keepLines/>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5</w:t>
            </w:r>
          </w:p>
        </w:tc>
      </w:tr>
      <w:tr w:rsidR="0062595A" w:rsidRPr="0062595A" w14:paraId="421B6760" w14:textId="77777777" w:rsidTr="00443B52">
        <w:tc>
          <w:tcPr>
            <w:tcW w:w="1413" w:type="dxa"/>
            <w:tcBorders>
              <w:left w:val="single" w:sz="4" w:space="0" w:color="4BACC6"/>
            </w:tcBorders>
            <w:tcMar>
              <w:top w:w="0" w:type="dxa"/>
              <w:left w:w="108" w:type="dxa"/>
              <w:bottom w:w="0" w:type="dxa"/>
              <w:right w:w="108" w:type="dxa"/>
            </w:tcMar>
            <w:vAlign w:val="center"/>
          </w:tcPr>
          <w:p w14:paraId="31C73B3D"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FG-AN</w:t>
            </w:r>
          </w:p>
        </w:tc>
        <w:tc>
          <w:tcPr>
            <w:tcW w:w="3934" w:type="dxa"/>
            <w:tcMar>
              <w:top w:w="0" w:type="dxa"/>
              <w:left w:w="108" w:type="dxa"/>
              <w:bottom w:w="0" w:type="dxa"/>
              <w:right w:w="108" w:type="dxa"/>
            </w:tcMar>
            <w:vAlign w:val="center"/>
          </w:tcPr>
          <w:p w14:paraId="43385E50"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Autonomous Networks</w:t>
            </w:r>
          </w:p>
        </w:tc>
        <w:tc>
          <w:tcPr>
            <w:tcW w:w="1169" w:type="dxa"/>
            <w:tcMar>
              <w:top w:w="0" w:type="dxa"/>
              <w:left w:w="108" w:type="dxa"/>
              <w:bottom w:w="0" w:type="dxa"/>
              <w:right w:w="108" w:type="dxa"/>
            </w:tcMar>
            <w:vAlign w:val="center"/>
          </w:tcPr>
          <w:p w14:paraId="64870405"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2020-12</w:t>
            </w:r>
          </w:p>
        </w:tc>
        <w:tc>
          <w:tcPr>
            <w:tcW w:w="1134" w:type="dxa"/>
            <w:tcMar>
              <w:top w:w="0" w:type="dxa"/>
              <w:left w:w="108" w:type="dxa"/>
              <w:bottom w:w="0" w:type="dxa"/>
              <w:right w:w="108" w:type="dxa"/>
            </w:tcMar>
            <w:vAlign w:val="center"/>
          </w:tcPr>
          <w:p w14:paraId="2AB20F4E"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2024-03</w:t>
            </w:r>
          </w:p>
        </w:tc>
        <w:tc>
          <w:tcPr>
            <w:tcW w:w="1411" w:type="dxa"/>
            <w:tcBorders>
              <w:right w:val="single" w:sz="4" w:space="0" w:color="4BACC6"/>
            </w:tcBorders>
            <w:tcMar>
              <w:top w:w="0" w:type="dxa"/>
              <w:left w:w="108" w:type="dxa"/>
              <w:bottom w:w="0" w:type="dxa"/>
              <w:right w:w="108" w:type="dxa"/>
            </w:tcMar>
            <w:vAlign w:val="center"/>
          </w:tcPr>
          <w:p w14:paraId="0C01F4DD"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9</w:t>
            </w:r>
          </w:p>
        </w:tc>
      </w:tr>
      <w:tr w:rsidR="0062595A" w:rsidRPr="0062595A" w14:paraId="32EEDAA2" w14:textId="77777777" w:rsidTr="00443B52">
        <w:tc>
          <w:tcPr>
            <w:tcW w:w="1413" w:type="dxa"/>
            <w:tcBorders>
              <w:left w:val="single" w:sz="4" w:space="0" w:color="4BACC6"/>
            </w:tcBorders>
            <w:tcMar>
              <w:top w:w="0" w:type="dxa"/>
              <w:left w:w="108" w:type="dxa"/>
              <w:bottom w:w="0" w:type="dxa"/>
              <w:right w:w="108" w:type="dxa"/>
            </w:tcMar>
            <w:vAlign w:val="center"/>
          </w:tcPr>
          <w:p w14:paraId="3059A458"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FG-AI4H</w:t>
            </w:r>
          </w:p>
        </w:tc>
        <w:tc>
          <w:tcPr>
            <w:tcW w:w="3934" w:type="dxa"/>
            <w:tcMar>
              <w:top w:w="0" w:type="dxa"/>
              <w:left w:w="108" w:type="dxa"/>
              <w:bottom w:w="0" w:type="dxa"/>
              <w:right w:w="108" w:type="dxa"/>
            </w:tcMar>
            <w:vAlign w:val="center"/>
          </w:tcPr>
          <w:p w14:paraId="7A028EF8"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Artificial Intelligence for Health</w:t>
            </w:r>
          </w:p>
        </w:tc>
        <w:tc>
          <w:tcPr>
            <w:tcW w:w="1169" w:type="dxa"/>
            <w:tcMar>
              <w:top w:w="0" w:type="dxa"/>
              <w:left w:w="108" w:type="dxa"/>
              <w:bottom w:w="0" w:type="dxa"/>
              <w:right w:w="108" w:type="dxa"/>
            </w:tcMar>
            <w:vAlign w:val="center"/>
          </w:tcPr>
          <w:p w14:paraId="4F33B97A"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2018-07</w:t>
            </w:r>
          </w:p>
        </w:tc>
        <w:tc>
          <w:tcPr>
            <w:tcW w:w="1134" w:type="dxa"/>
            <w:tcMar>
              <w:top w:w="0" w:type="dxa"/>
              <w:left w:w="108" w:type="dxa"/>
              <w:bottom w:w="0" w:type="dxa"/>
              <w:right w:w="108" w:type="dxa"/>
            </w:tcMar>
            <w:vAlign w:val="center"/>
          </w:tcPr>
          <w:p w14:paraId="0E5F610E"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2023-09</w:t>
            </w:r>
          </w:p>
        </w:tc>
        <w:tc>
          <w:tcPr>
            <w:tcW w:w="1411" w:type="dxa"/>
            <w:tcBorders>
              <w:right w:val="single" w:sz="4" w:space="0" w:color="4BACC6"/>
            </w:tcBorders>
            <w:tcMar>
              <w:top w:w="0" w:type="dxa"/>
              <w:left w:w="108" w:type="dxa"/>
              <w:bottom w:w="0" w:type="dxa"/>
              <w:right w:w="108" w:type="dxa"/>
            </w:tcMar>
            <w:vAlign w:val="center"/>
          </w:tcPr>
          <w:p w14:paraId="7C1B007E"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36</w:t>
            </w:r>
          </w:p>
        </w:tc>
      </w:tr>
      <w:tr w:rsidR="0062595A" w:rsidRPr="0062595A" w14:paraId="745F5778" w14:textId="77777777" w:rsidTr="00443B52">
        <w:tc>
          <w:tcPr>
            <w:tcW w:w="1413" w:type="dxa"/>
            <w:tcBorders>
              <w:left w:val="single" w:sz="4" w:space="0" w:color="4BACC6"/>
            </w:tcBorders>
            <w:tcMar>
              <w:top w:w="0" w:type="dxa"/>
              <w:left w:w="108" w:type="dxa"/>
              <w:bottom w:w="0" w:type="dxa"/>
              <w:right w:w="108" w:type="dxa"/>
            </w:tcMar>
            <w:vAlign w:val="center"/>
          </w:tcPr>
          <w:p w14:paraId="1046523F"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FG-AI4EE</w:t>
            </w:r>
          </w:p>
        </w:tc>
        <w:tc>
          <w:tcPr>
            <w:tcW w:w="3934" w:type="dxa"/>
            <w:tcMar>
              <w:top w:w="0" w:type="dxa"/>
              <w:left w:w="108" w:type="dxa"/>
              <w:bottom w:w="0" w:type="dxa"/>
              <w:right w:w="108" w:type="dxa"/>
            </w:tcMar>
            <w:vAlign w:val="center"/>
          </w:tcPr>
          <w:p w14:paraId="74CDE2BF"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Environmental Efficiency for AI and Emerging Technologies</w:t>
            </w:r>
          </w:p>
        </w:tc>
        <w:tc>
          <w:tcPr>
            <w:tcW w:w="1169" w:type="dxa"/>
            <w:tcMar>
              <w:top w:w="0" w:type="dxa"/>
              <w:left w:w="108" w:type="dxa"/>
              <w:bottom w:w="0" w:type="dxa"/>
              <w:right w:w="108" w:type="dxa"/>
            </w:tcMar>
            <w:vAlign w:val="center"/>
          </w:tcPr>
          <w:p w14:paraId="1980AB81"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2019-05</w:t>
            </w:r>
          </w:p>
        </w:tc>
        <w:tc>
          <w:tcPr>
            <w:tcW w:w="1134" w:type="dxa"/>
            <w:tcMar>
              <w:top w:w="0" w:type="dxa"/>
              <w:left w:w="108" w:type="dxa"/>
              <w:bottom w:w="0" w:type="dxa"/>
              <w:right w:w="108" w:type="dxa"/>
            </w:tcMar>
            <w:vAlign w:val="center"/>
          </w:tcPr>
          <w:p w14:paraId="78403FEA"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2022-12</w:t>
            </w:r>
          </w:p>
        </w:tc>
        <w:tc>
          <w:tcPr>
            <w:tcW w:w="1411" w:type="dxa"/>
            <w:tcBorders>
              <w:right w:val="single" w:sz="4" w:space="0" w:color="4BACC6"/>
            </w:tcBorders>
            <w:tcMar>
              <w:top w:w="0" w:type="dxa"/>
              <w:left w:w="108" w:type="dxa"/>
              <w:bottom w:w="0" w:type="dxa"/>
              <w:right w:w="108" w:type="dxa"/>
            </w:tcMar>
            <w:vAlign w:val="center"/>
          </w:tcPr>
          <w:p w14:paraId="53E0DBDC"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w:t>
            </w:r>
          </w:p>
        </w:tc>
      </w:tr>
      <w:tr w:rsidR="0062595A" w:rsidRPr="0062595A" w14:paraId="204866BF" w14:textId="77777777" w:rsidTr="00443B52">
        <w:tc>
          <w:tcPr>
            <w:tcW w:w="1413" w:type="dxa"/>
            <w:tcBorders>
              <w:left w:val="single" w:sz="4" w:space="0" w:color="4BACC6"/>
            </w:tcBorders>
            <w:tcMar>
              <w:top w:w="0" w:type="dxa"/>
              <w:left w:w="108" w:type="dxa"/>
              <w:bottom w:w="0" w:type="dxa"/>
              <w:right w:w="108" w:type="dxa"/>
            </w:tcMar>
            <w:vAlign w:val="center"/>
          </w:tcPr>
          <w:p w14:paraId="08AB7A8D"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FG-AI4AD</w:t>
            </w:r>
          </w:p>
        </w:tc>
        <w:tc>
          <w:tcPr>
            <w:tcW w:w="3934" w:type="dxa"/>
            <w:tcMar>
              <w:top w:w="0" w:type="dxa"/>
              <w:left w:w="108" w:type="dxa"/>
              <w:bottom w:w="0" w:type="dxa"/>
              <w:right w:w="108" w:type="dxa"/>
            </w:tcMar>
            <w:vAlign w:val="center"/>
          </w:tcPr>
          <w:p w14:paraId="358932B0"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AI for Autonomous and Assisted Driving</w:t>
            </w:r>
          </w:p>
        </w:tc>
        <w:tc>
          <w:tcPr>
            <w:tcW w:w="1169" w:type="dxa"/>
            <w:tcMar>
              <w:top w:w="0" w:type="dxa"/>
              <w:left w:w="108" w:type="dxa"/>
              <w:bottom w:w="0" w:type="dxa"/>
              <w:right w:w="108" w:type="dxa"/>
            </w:tcMar>
            <w:vAlign w:val="center"/>
          </w:tcPr>
          <w:p w14:paraId="6B6A5E01"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2019-10</w:t>
            </w:r>
          </w:p>
        </w:tc>
        <w:tc>
          <w:tcPr>
            <w:tcW w:w="1134" w:type="dxa"/>
            <w:tcMar>
              <w:top w:w="0" w:type="dxa"/>
              <w:left w:w="108" w:type="dxa"/>
              <w:bottom w:w="0" w:type="dxa"/>
              <w:right w:w="108" w:type="dxa"/>
            </w:tcMar>
            <w:vAlign w:val="center"/>
          </w:tcPr>
          <w:p w14:paraId="6AA544EC"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2022-09</w:t>
            </w:r>
          </w:p>
        </w:tc>
        <w:tc>
          <w:tcPr>
            <w:tcW w:w="1411" w:type="dxa"/>
            <w:tcBorders>
              <w:right w:val="single" w:sz="4" w:space="0" w:color="4BACC6"/>
            </w:tcBorders>
            <w:tcMar>
              <w:top w:w="0" w:type="dxa"/>
              <w:left w:w="108" w:type="dxa"/>
              <w:bottom w:w="0" w:type="dxa"/>
              <w:right w:w="108" w:type="dxa"/>
            </w:tcMar>
            <w:vAlign w:val="center"/>
          </w:tcPr>
          <w:p w14:paraId="6151F59D"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3</w:t>
            </w:r>
          </w:p>
        </w:tc>
      </w:tr>
      <w:tr w:rsidR="0062595A" w:rsidRPr="0062595A" w14:paraId="3C0F613C" w14:textId="77777777" w:rsidTr="00443B52">
        <w:tc>
          <w:tcPr>
            <w:tcW w:w="1413" w:type="dxa"/>
            <w:tcBorders>
              <w:left w:val="single" w:sz="4" w:space="0" w:color="4BACC6"/>
              <w:bottom w:val="single" w:sz="4" w:space="0" w:color="4BACC6"/>
            </w:tcBorders>
            <w:tcMar>
              <w:top w:w="0" w:type="dxa"/>
              <w:left w:w="108" w:type="dxa"/>
              <w:bottom w:w="0" w:type="dxa"/>
              <w:right w:w="108" w:type="dxa"/>
            </w:tcMar>
            <w:vAlign w:val="center"/>
          </w:tcPr>
          <w:p w14:paraId="149A77A5"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FG-VM</w:t>
            </w:r>
          </w:p>
        </w:tc>
        <w:tc>
          <w:tcPr>
            <w:tcW w:w="3934" w:type="dxa"/>
            <w:tcBorders>
              <w:bottom w:val="single" w:sz="4" w:space="0" w:color="4BACC6"/>
            </w:tcBorders>
            <w:tcMar>
              <w:top w:w="0" w:type="dxa"/>
              <w:left w:w="108" w:type="dxa"/>
              <w:bottom w:w="0" w:type="dxa"/>
              <w:right w:w="108" w:type="dxa"/>
            </w:tcMar>
            <w:vAlign w:val="center"/>
          </w:tcPr>
          <w:p w14:paraId="04ECA8A5"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rPr>
                <w:rFonts w:eastAsia="MS Mincho" w:cs="Calibri"/>
                <w:sz w:val="20"/>
              </w:rPr>
            </w:pPr>
            <w:r w:rsidRPr="0062595A">
              <w:rPr>
                <w:rFonts w:eastAsia="MS Mincho" w:cs="Calibri"/>
                <w:sz w:val="20"/>
              </w:rPr>
              <w:t>Vehicular Multimedia</w:t>
            </w:r>
          </w:p>
        </w:tc>
        <w:tc>
          <w:tcPr>
            <w:tcW w:w="1169" w:type="dxa"/>
            <w:tcBorders>
              <w:bottom w:val="single" w:sz="4" w:space="0" w:color="4BACC6"/>
            </w:tcBorders>
            <w:tcMar>
              <w:top w:w="0" w:type="dxa"/>
              <w:left w:w="108" w:type="dxa"/>
              <w:bottom w:w="0" w:type="dxa"/>
              <w:right w:w="108" w:type="dxa"/>
            </w:tcMar>
            <w:vAlign w:val="center"/>
          </w:tcPr>
          <w:p w14:paraId="060E8229"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2018-07</w:t>
            </w:r>
          </w:p>
        </w:tc>
        <w:tc>
          <w:tcPr>
            <w:tcW w:w="1134" w:type="dxa"/>
            <w:tcBorders>
              <w:bottom w:val="single" w:sz="4" w:space="0" w:color="4BACC6"/>
            </w:tcBorders>
            <w:tcMar>
              <w:top w:w="0" w:type="dxa"/>
              <w:left w:w="108" w:type="dxa"/>
              <w:bottom w:w="0" w:type="dxa"/>
              <w:right w:w="108" w:type="dxa"/>
            </w:tcMar>
            <w:vAlign w:val="center"/>
          </w:tcPr>
          <w:p w14:paraId="75A4058E"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2022-09</w:t>
            </w:r>
          </w:p>
        </w:tc>
        <w:tc>
          <w:tcPr>
            <w:tcW w:w="1411" w:type="dxa"/>
            <w:tcBorders>
              <w:bottom w:val="single" w:sz="4" w:space="0" w:color="4BACC6"/>
              <w:right w:val="single" w:sz="4" w:space="0" w:color="4BACC6"/>
            </w:tcBorders>
            <w:tcMar>
              <w:top w:w="0" w:type="dxa"/>
              <w:left w:w="108" w:type="dxa"/>
              <w:bottom w:w="0" w:type="dxa"/>
              <w:right w:w="108" w:type="dxa"/>
            </w:tcMar>
            <w:vAlign w:val="center"/>
          </w:tcPr>
          <w:p w14:paraId="30760E4D" w14:textId="77777777" w:rsidR="0062595A" w:rsidRPr="0062595A" w:rsidRDefault="0062595A" w:rsidP="00C5530E">
            <w:pPr>
              <w:keepNext/>
              <w:tabs>
                <w:tab w:val="clear" w:pos="567"/>
                <w:tab w:val="clear" w:pos="1134"/>
                <w:tab w:val="clear" w:pos="1701"/>
                <w:tab w:val="clear" w:pos="2268"/>
                <w:tab w:val="clear" w:pos="2835"/>
              </w:tabs>
              <w:suppressAutoHyphens/>
              <w:adjustRightInd/>
              <w:spacing w:before="0"/>
              <w:jc w:val="center"/>
              <w:rPr>
                <w:rFonts w:eastAsia="MS Mincho" w:cs="Calibri"/>
                <w:sz w:val="20"/>
              </w:rPr>
            </w:pPr>
            <w:r w:rsidRPr="0062595A">
              <w:rPr>
                <w:rFonts w:eastAsia="MS Mincho" w:cs="Calibri"/>
                <w:sz w:val="20"/>
              </w:rPr>
              <w:t>3</w:t>
            </w:r>
          </w:p>
        </w:tc>
      </w:tr>
    </w:tbl>
    <w:p w14:paraId="35121CA7" w14:textId="77777777" w:rsidR="0062595A" w:rsidRPr="0062595A" w:rsidRDefault="0062595A" w:rsidP="00C5530E">
      <w:pPr>
        <w:suppressAutoHyphens/>
        <w:adjustRightInd/>
        <w:spacing w:before="0"/>
        <w:jc w:val="both"/>
        <w:rPr>
          <w:rFonts w:eastAsia="MS Mincho"/>
          <w:i/>
          <w:iCs/>
          <w:color w:val="1F497D"/>
          <w:sz w:val="18"/>
          <w:szCs w:val="18"/>
        </w:rPr>
      </w:pPr>
    </w:p>
    <w:p w14:paraId="12E2150D" w14:textId="77777777" w:rsidR="0062595A" w:rsidRPr="0062595A" w:rsidRDefault="0062595A" w:rsidP="00C5530E">
      <w:pPr>
        <w:suppressAutoHyphens/>
        <w:adjustRightInd/>
        <w:spacing w:before="0"/>
        <w:jc w:val="center"/>
        <w:rPr>
          <w:rFonts w:eastAsia="MS Mincho"/>
          <w:i/>
          <w:iCs/>
          <w:color w:val="1F497D"/>
          <w:sz w:val="18"/>
          <w:szCs w:val="18"/>
          <w:lang w:val="fr-FR"/>
        </w:rPr>
      </w:pPr>
      <w:r w:rsidRPr="0062595A">
        <w:rPr>
          <w:rFonts w:eastAsia="MS Mincho"/>
          <w:i/>
          <w:iCs/>
          <w:color w:val="1F497D"/>
          <w:sz w:val="18"/>
          <w:szCs w:val="18"/>
          <w:lang w:val="fr-FR"/>
        </w:rPr>
        <w:t>Table 3. ITU-T Focus Groups 2025</w:t>
      </w:r>
    </w:p>
    <w:p w14:paraId="064E5A29" w14:textId="77777777" w:rsidR="0062595A" w:rsidRPr="0062595A" w:rsidRDefault="0062595A" w:rsidP="005C1378">
      <w:pPr>
        <w:keepNext/>
        <w:keepLines/>
        <w:suppressAutoHyphens/>
        <w:adjustRightInd/>
        <w:spacing w:before="360" w:after="120"/>
        <w:jc w:val="both"/>
        <w:rPr>
          <w:rFonts w:eastAsia="MS Mincho"/>
          <w:sz w:val="22"/>
        </w:rPr>
      </w:pPr>
      <w:r w:rsidRPr="0062595A">
        <w:rPr>
          <w:rFonts w:eastAsia="MS Mincho"/>
          <w:sz w:val="22"/>
        </w:rPr>
        <w:lastRenderedPageBreak/>
        <w:t xml:space="preserve">The following table summarizes the number of normative and non-normative publications approved during the reporting period (see </w:t>
      </w:r>
      <w:hyperlink r:id="rId141" w:history="1">
        <w:r w:rsidRPr="0062595A">
          <w:rPr>
            <w:rFonts w:eastAsia="MS Mincho"/>
            <w:color w:val="0563C1"/>
            <w:sz w:val="22"/>
            <w:u w:val="single"/>
          </w:rPr>
          <w:t>https://itu.int/tdata/pubs/</w:t>
        </w:r>
      </w:hyperlink>
      <w:r w:rsidRPr="0062595A">
        <w:rPr>
          <w:rFonts w:eastAsia="MS Mincho"/>
          <w:sz w:val="22"/>
        </w:rPr>
        <w:t xml:space="preserve"> for additional publication statistics).</w:t>
      </w:r>
    </w:p>
    <w:p w14:paraId="06E5807C" w14:textId="77777777" w:rsidR="0062595A" w:rsidRPr="0062595A" w:rsidRDefault="0062595A" w:rsidP="005C1378">
      <w:pPr>
        <w:keepNext/>
        <w:keepLines/>
        <w:suppressAutoHyphens/>
        <w:adjustRightInd/>
        <w:spacing w:before="360" w:after="120"/>
        <w:jc w:val="center"/>
        <w:rPr>
          <w:rFonts w:eastAsia="MS Mincho"/>
          <w:sz w:val="22"/>
        </w:rPr>
      </w:pPr>
      <w:r w:rsidRPr="0062595A">
        <w:rPr>
          <w:rFonts w:eastAsia="MS Mincho"/>
          <w:b/>
          <w:bCs/>
          <w:sz w:val="22"/>
        </w:rPr>
        <w:t>ITU-T publications 2022-2025</w:t>
      </w:r>
    </w:p>
    <w:tbl>
      <w:tblPr>
        <w:tblW w:w="5000" w:type="pct"/>
        <w:tblCellMar>
          <w:left w:w="10" w:type="dxa"/>
          <w:right w:w="10" w:type="dxa"/>
        </w:tblCellMar>
        <w:tblLook w:val="0000" w:firstRow="0" w:lastRow="0" w:firstColumn="0" w:lastColumn="0" w:noHBand="0" w:noVBand="0"/>
      </w:tblPr>
      <w:tblGrid>
        <w:gridCol w:w="3776"/>
        <w:gridCol w:w="1322"/>
        <w:gridCol w:w="1321"/>
        <w:gridCol w:w="1321"/>
        <w:gridCol w:w="1321"/>
      </w:tblGrid>
      <w:tr w:rsidR="0062595A" w:rsidRPr="0062595A" w14:paraId="7952A722" w14:textId="77777777" w:rsidTr="00443B52">
        <w:trPr>
          <w:trHeight w:val="473"/>
        </w:trPr>
        <w:tc>
          <w:tcPr>
            <w:tcW w:w="3776" w:type="dxa"/>
            <w:tcBorders>
              <w:top w:val="single" w:sz="4" w:space="0" w:color="4BACC6"/>
              <w:left w:val="single" w:sz="4" w:space="0" w:color="4BACC6"/>
            </w:tcBorders>
            <w:tcMar>
              <w:top w:w="0" w:type="dxa"/>
              <w:left w:w="108" w:type="dxa"/>
              <w:bottom w:w="0" w:type="dxa"/>
              <w:right w:w="108" w:type="dxa"/>
            </w:tcMar>
            <w:vAlign w:val="center"/>
          </w:tcPr>
          <w:p w14:paraId="2D7EC142" w14:textId="77777777" w:rsidR="0062595A" w:rsidRPr="0062595A" w:rsidRDefault="0062595A" w:rsidP="005C1378">
            <w:pPr>
              <w:keepNext/>
              <w:keepLines/>
              <w:tabs>
                <w:tab w:val="clear" w:pos="567"/>
                <w:tab w:val="clear" w:pos="1134"/>
                <w:tab w:val="clear" w:pos="1701"/>
                <w:tab w:val="clear" w:pos="2268"/>
                <w:tab w:val="clear" w:pos="2835"/>
              </w:tabs>
              <w:suppressAutoHyphens/>
              <w:adjustRightInd/>
              <w:spacing w:before="0"/>
              <w:jc w:val="center"/>
              <w:rPr>
                <w:rFonts w:eastAsia="MS Mincho"/>
                <w:b/>
                <w:bCs/>
                <w:color w:val="FFFFFF"/>
                <w:sz w:val="22"/>
              </w:rPr>
            </w:pPr>
            <w:r w:rsidRPr="00952887">
              <w:rPr>
                <w:rFonts w:eastAsia="MS Mincho"/>
                <w:b/>
                <w:bCs/>
                <w:sz w:val="22"/>
              </w:rPr>
              <w:t>Publication type</w:t>
            </w:r>
          </w:p>
        </w:tc>
        <w:tc>
          <w:tcPr>
            <w:tcW w:w="1322" w:type="dxa"/>
            <w:tcBorders>
              <w:top w:val="single" w:sz="4" w:space="0" w:color="4BACC6"/>
            </w:tcBorders>
            <w:tcMar>
              <w:top w:w="0" w:type="dxa"/>
              <w:left w:w="108" w:type="dxa"/>
              <w:bottom w:w="0" w:type="dxa"/>
              <w:right w:w="108" w:type="dxa"/>
            </w:tcMar>
            <w:vAlign w:val="center"/>
          </w:tcPr>
          <w:p w14:paraId="72C8BAE5" w14:textId="77777777" w:rsidR="0062595A" w:rsidRPr="00952887" w:rsidRDefault="0062595A" w:rsidP="005C1378">
            <w:pPr>
              <w:keepNext/>
              <w:keepLines/>
              <w:tabs>
                <w:tab w:val="clear" w:pos="567"/>
                <w:tab w:val="clear" w:pos="1134"/>
                <w:tab w:val="clear" w:pos="1701"/>
                <w:tab w:val="clear" w:pos="2268"/>
                <w:tab w:val="clear" w:pos="2835"/>
              </w:tabs>
              <w:suppressAutoHyphens/>
              <w:adjustRightInd/>
              <w:spacing w:before="0"/>
              <w:jc w:val="center"/>
              <w:rPr>
                <w:rFonts w:eastAsia="MS Mincho"/>
                <w:b/>
                <w:bCs/>
                <w:sz w:val="22"/>
              </w:rPr>
            </w:pPr>
            <w:r w:rsidRPr="00952887">
              <w:rPr>
                <w:rFonts w:eastAsia="MS Mincho"/>
                <w:b/>
                <w:bCs/>
                <w:sz w:val="22"/>
              </w:rPr>
              <w:t>2022</w:t>
            </w:r>
          </w:p>
        </w:tc>
        <w:tc>
          <w:tcPr>
            <w:tcW w:w="1321" w:type="dxa"/>
            <w:tcBorders>
              <w:top w:val="single" w:sz="4" w:space="0" w:color="4BACC6"/>
            </w:tcBorders>
            <w:tcMar>
              <w:top w:w="0" w:type="dxa"/>
              <w:left w:w="108" w:type="dxa"/>
              <w:bottom w:w="0" w:type="dxa"/>
              <w:right w:w="108" w:type="dxa"/>
            </w:tcMar>
            <w:vAlign w:val="center"/>
          </w:tcPr>
          <w:p w14:paraId="19B6CCB1" w14:textId="77777777" w:rsidR="0062595A" w:rsidRPr="00952887" w:rsidRDefault="0062595A" w:rsidP="005C1378">
            <w:pPr>
              <w:keepNext/>
              <w:keepLines/>
              <w:tabs>
                <w:tab w:val="clear" w:pos="567"/>
                <w:tab w:val="clear" w:pos="1134"/>
                <w:tab w:val="clear" w:pos="1701"/>
                <w:tab w:val="clear" w:pos="2268"/>
                <w:tab w:val="clear" w:pos="2835"/>
              </w:tabs>
              <w:suppressAutoHyphens/>
              <w:adjustRightInd/>
              <w:spacing w:before="0"/>
              <w:jc w:val="center"/>
              <w:rPr>
                <w:rFonts w:eastAsia="MS Mincho"/>
                <w:b/>
                <w:bCs/>
                <w:sz w:val="22"/>
              </w:rPr>
            </w:pPr>
            <w:r w:rsidRPr="00952887">
              <w:rPr>
                <w:rFonts w:eastAsia="MS Mincho"/>
                <w:b/>
                <w:bCs/>
                <w:sz w:val="22"/>
              </w:rPr>
              <w:t>2023</w:t>
            </w:r>
          </w:p>
        </w:tc>
        <w:tc>
          <w:tcPr>
            <w:tcW w:w="1321" w:type="dxa"/>
            <w:tcBorders>
              <w:top w:val="single" w:sz="4" w:space="0" w:color="4BACC6"/>
            </w:tcBorders>
            <w:tcMar>
              <w:top w:w="0" w:type="dxa"/>
              <w:left w:w="108" w:type="dxa"/>
              <w:bottom w:w="0" w:type="dxa"/>
              <w:right w:w="108" w:type="dxa"/>
            </w:tcMar>
            <w:vAlign w:val="center"/>
          </w:tcPr>
          <w:p w14:paraId="14D7728D" w14:textId="77777777" w:rsidR="0062595A" w:rsidRPr="00952887" w:rsidRDefault="0062595A" w:rsidP="005C1378">
            <w:pPr>
              <w:keepNext/>
              <w:keepLines/>
              <w:tabs>
                <w:tab w:val="clear" w:pos="567"/>
                <w:tab w:val="clear" w:pos="1134"/>
                <w:tab w:val="clear" w:pos="1701"/>
                <w:tab w:val="clear" w:pos="2268"/>
                <w:tab w:val="clear" w:pos="2835"/>
              </w:tabs>
              <w:suppressAutoHyphens/>
              <w:adjustRightInd/>
              <w:spacing w:before="0"/>
              <w:jc w:val="center"/>
              <w:rPr>
                <w:rFonts w:eastAsia="MS Mincho"/>
                <w:b/>
                <w:bCs/>
                <w:sz w:val="22"/>
              </w:rPr>
            </w:pPr>
            <w:r w:rsidRPr="00952887">
              <w:rPr>
                <w:rFonts w:eastAsia="MS Mincho"/>
                <w:b/>
                <w:bCs/>
                <w:sz w:val="22"/>
              </w:rPr>
              <w:t>2024</w:t>
            </w:r>
          </w:p>
        </w:tc>
        <w:tc>
          <w:tcPr>
            <w:tcW w:w="1321" w:type="dxa"/>
            <w:tcBorders>
              <w:top w:val="single" w:sz="4" w:space="0" w:color="4BACC6"/>
              <w:right w:val="single" w:sz="4" w:space="0" w:color="4BACC6"/>
            </w:tcBorders>
            <w:tcMar>
              <w:top w:w="0" w:type="dxa"/>
              <w:left w:w="108" w:type="dxa"/>
              <w:bottom w:w="0" w:type="dxa"/>
              <w:right w:w="108" w:type="dxa"/>
            </w:tcMar>
            <w:vAlign w:val="center"/>
          </w:tcPr>
          <w:p w14:paraId="2852534E" w14:textId="77777777" w:rsidR="0062595A" w:rsidRPr="00952887" w:rsidRDefault="0062595A" w:rsidP="005C1378">
            <w:pPr>
              <w:keepNext/>
              <w:keepLines/>
              <w:tabs>
                <w:tab w:val="clear" w:pos="567"/>
                <w:tab w:val="clear" w:pos="1134"/>
                <w:tab w:val="clear" w:pos="1701"/>
                <w:tab w:val="clear" w:pos="2268"/>
                <w:tab w:val="clear" w:pos="2835"/>
              </w:tabs>
              <w:suppressAutoHyphens/>
              <w:adjustRightInd/>
              <w:spacing w:before="0"/>
              <w:jc w:val="center"/>
              <w:rPr>
                <w:rFonts w:eastAsia="MS Mincho"/>
                <w:b/>
                <w:bCs/>
                <w:sz w:val="22"/>
              </w:rPr>
            </w:pPr>
            <w:r w:rsidRPr="00952887">
              <w:rPr>
                <w:rFonts w:eastAsia="MS Mincho"/>
                <w:b/>
                <w:bCs/>
                <w:sz w:val="22"/>
              </w:rPr>
              <w:t>2025</w:t>
            </w:r>
          </w:p>
        </w:tc>
      </w:tr>
      <w:tr w:rsidR="0062595A" w:rsidRPr="0062595A" w14:paraId="21F20B30" w14:textId="77777777" w:rsidTr="00443B52">
        <w:tc>
          <w:tcPr>
            <w:tcW w:w="3776" w:type="dxa"/>
            <w:tcBorders>
              <w:left w:val="single" w:sz="4" w:space="0" w:color="4BACC6"/>
            </w:tcBorders>
            <w:tcMar>
              <w:top w:w="0" w:type="dxa"/>
              <w:left w:w="108" w:type="dxa"/>
              <w:bottom w:w="0" w:type="dxa"/>
              <w:right w:w="108" w:type="dxa"/>
            </w:tcMar>
          </w:tcPr>
          <w:p w14:paraId="72E2AE59"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both"/>
              <w:rPr>
                <w:rFonts w:eastAsia="MS Mincho"/>
                <w:sz w:val="20"/>
              </w:rPr>
            </w:pPr>
            <w:r w:rsidRPr="0062595A">
              <w:rPr>
                <w:rFonts w:eastAsia="MS Mincho"/>
                <w:sz w:val="20"/>
              </w:rPr>
              <w:t>Recommendations (new and revised)</w:t>
            </w:r>
          </w:p>
        </w:tc>
        <w:tc>
          <w:tcPr>
            <w:tcW w:w="1322" w:type="dxa"/>
            <w:tcMar>
              <w:top w:w="0" w:type="dxa"/>
              <w:left w:w="108" w:type="dxa"/>
              <w:bottom w:w="0" w:type="dxa"/>
              <w:right w:w="108" w:type="dxa"/>
            </w:tcMar>
          </w:tcPr>
          <w:p w14:paraId="7D4774DB"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255</w:t>
            </w:r>
          </w:p>
        </w:tc>
        <w:tc>
          <w:tcPr>
            <w:tcW w:w="1321" w:type="dxa"/>
            <w:tcMar>
              <w:top w:w="0" w:type="dxa"/>
              <w:left w:w="108" w:type="dxa"/>
              <w:bottom w:w="0" w:type="dxa"/>
              <w:right w:w="108" w:type="dxa"/>
            </w:tcMar>
          </w:tcPr>
          <w:p w14:paraId="395ADE62"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286</w:t>
            </w:r>
          </w:p>
        </w:tc>
        <w:tc>
          <w:tcPr>
            <w:tcW w:w="1321" w:type="dxa"/>
            <w:tcMar>
              <w:top w:w="0" w:type="dxa"/>
              <w:left w:w="108" w:type="dxa"/>
              <w:bottom w:w="0" w:type="dxa"/>
              <w:right w:w="108" w:type="dxa"/>
            </w:tcMar>
          </w:tcPr>
          <w:p w14:paraId="6E1233EF"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412</w:t>
            </w:r>
          </w:p>
        </w:tc>
        <w:tc>
          <w:tcPr>
            <w:tcW w:w="1321" w:type="dxa"/>
            <w:tcBorders>
              <w:right w:val="single" w:sz="4" w:space="0" w:color="4BACC6"/>
            </w:tcBorders>
            <w:tcMar>
              <w:top w:w="0" w:type="dxa"/>
              <w:left w:w="108" w:type="dxa"/>
              <w:bottom w:w="0" w:type="dxa"/>
              <w:right w:w="108" w:type="dxa"/>
            </w:tcMar>
          </w:tcPr>
          <w:p w14:paraId="4B5F4BF6"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272</w:t>
            </w:r>
          </w:p>
        </w:tc>
      </w:tr>
      <w:tr w:rsidR="0062595A" w:rsidRPr="0062595A" w14:paraId="58BA4EAB" w14:textId="77777777" w:rsidTr="00443B52">
        <w:tc>
          <w:tcPr>
            <w:tcW w:w="3776" w:type="dxa"/>
            <w:tcBorders>
              <w:left w:val="single" w:sz="4" w:space="0" w:color="4BACC6"/>
            </w:tcBorders>
            <w:tcMar>
              <w:top w:w="0" w:type="dxa"/>
              <w:left w:w="108" w:type="dxa"/>
              <w:bottom w:w="0" w:type="dxa"/>
              <w:right w:w="108" w:type="dxa"/>
            </w:tcMar>
          </w:tcPr>
          <w:p w14:paraId="5DA3FCB7"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both"/>
              <w:rPr>
                <w:rFonts w:eastAsia="MS Mincho"/>
                <w:sz w:val="20"/>
              </w:rPr>
            </w:pPr>
            <w:r w:rsidRPr="0062595A">
              <w:rPr>
                <w:rFonts w:eastAsia="MS Mincho"/>
                <w:sz w:val="20"/>
              </w:rPr>
              <w:t>Supplements (new and revised)</w:t>
            </w:r>
          </w:p>
        </w:tc>
        <w:tc>
          <w:tcPr>
            <w:tcW w:w="1322" w:type="dxa"/>
            <w:tcMar>
              <w:top w:w="0" w:type="dxa"/>
              <w:left w:w="108" w:type="dxa"/>
              <w:bottom w:w="0" w:type="dxa"/>
              <w:right w:w="108" w:type="dxa"/>
            </w:tcMar>
          </w:tcPr>
          <w:p w14:paraId="7722CEDF"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33</w:t>
            </w:r>
          </w:p>
        </w:tc>
        <w:tc>
          <w:tcPr>
            <w:tcW w:w="1321" w:type="dxa"/>
            <w:tcMar>
              <w:top w:w="0" w:type="dxa"/>
              <w:left w:w="108" w:type="dxa"/>
              <w:bottom w:w="0" w:type="dxa"/>
              <w:right w:w="108" w:type="dxa"/>
            </w:tcMar>
          </w:tcPr>
          <w:p w14:paraId="0D672B6A"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27</w:t>
            </w:r>
          </w:p>
        </w:tc>
        <w:tc>
          <w:tcPr>
            <w:tcW w:w="1321" w:type="dxa"/>
            <w:tcMar>
              <w:top w:w="0" w:type="dxa"/>
              <w:left w:w="108" w:type="dxa"/>
              <w:bottom w:w="0" w:type="dxa"/>
              <w:right w:w="108" w:type="dxa"/>
            </w:tcMar>
          </w:tcPr>
          <w:p w14:paraId="49F93249"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23</w:t>
            </w:r>
          </w:p>
        </w:tc>
        <w:tc>
          <w:tcPr>
            <w:tcW w:w="1321" w:type="dxa"/>
            <w:tcBorders>
              <w:right w:val="single" w:sz="4" w:space="0" w:color="4BACC6"/>
            </w:tcBorders>
            <w:tcMar>
              <w:top w:w="0" w:type="dxa"/>
              <w:left w:w="108" w:type="dxa"/>
              <w:bottom w:w="0" w:type="dxa"/>
              <w:right w:w="108" w:type="dxa"/>
            </w:tcMar>
          </w:tcPr>
          <w:p w14:paraId="780AFDDF"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24</w:t>
            </w:r>
          </w:p>
        </w:tc>
      </w:tr>
      <w:tr w:rsidR="0062595A" w:rsidRPr="0062595A" w14:paraId="036BA92C" w14:textId="77777777" w:rsidTr="00443B52">
        <w:tc>
          <w:tcPr>
            <w:tcW w:w="3776" w:type="dxa"/>
            <w:tcBorders>
              <w:left w:val="single" w:sz="4" w:space="0" w:color="4BACC6"/>
            </w:tcBorders>
            <w:tcMar>
              <w:top w:w="0" w:type="dxa"/>
              <w:left w:w="108" w:type="dxa"/>
              <w:bottom w:w="0" w:type="dxa"/>
              <w:right w:w="108" w:type="dxa"/>
            </w:tcMar>
          </w:tcPr>
          <w:p w14:paraId="7E68DD4B"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both"/>
              <w:rPr>
                <w:rFonts w:eastAsia="MS Mincho"/>
                <w:sz w:val="20"/>
              </w:rPr>
            </w:pPr>
            <w:r w:rsidRPr="0062595A">
              <w:rPr>
                <w:rFonts w:eastAsia="MS Mincho"/>
                <w:sz w:val="20"/>
              </w:rPr>
              <w:t>Technical Papers and Technical Reports</w:t>
            </w:r>
          </w:p>
        </w:tc>
        <w:tc>
          <w:tcPr>
            <w:tcW w:w="1322" w:type="dxa"/>
            <w:tcMar>
              <w:top w:w="0" w:type="dxa"/>
              <w:left w:w="108" w:type="dxa"/>
              <w:bottom w:w="0" w:type="dxa"/>
              <w:right w:w="108" w:type="dxa"/>
            </w:tcMar>
          </w:tcPr>
          <w:p w14:paraId="17FE8B06"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14</w:t>
            </w:r>
          </w:p>
        </w:tc>
        <w:tc>
          <w:tcPr>
            <w:tcW w:w="1321" w:type="dxa"/>
            <w:tcMar>
              <w:top w:w="0" w:type="dxa"/>
              <w:left w:w="108" w:type="dxa"/>
              <w:bottom w:w="0" w:type="dxa"/>
              <w:right w:w="108" w:type="dxa"/>
            </w:tcMar>
          </w:tcPr>
          <w:p w14:paraId="1B281390"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26</w:t>
            </w:r>
          </w:p>
        </w:tc>
        <w:tc>
          <w:tcPr>
            <w:tcW w:w="1321" w:type="dxa"/>
            <w:tcMar>
              <w:top w:w="0" w:type="dxa"/>
              <w:left w:w="108" w:type="dxa"/>
              <w:bottom w:w="0" w:type="dxa"/>
              <w:right w:w="108" w:type="dxa"/>
            </w:tcMar>
          </w:tcPr>
          <w:p w14:paraId="6B833F7F"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22</w:t>
            </w:r>
          </w:p>
        </w:tc>
        <w:tc>
          <w:tcPr>
            <w:tcW w:w="1321" w:type="dxa"/>
            <w:tcBorders>
              <w:right w:val="single" w:sz="4" w:space="0" w:color="4BACC6"/>
            </w:tcBorders>
            <w:tcMar>
              <w:top w:w="0" w:type="dxa"/>
              <w:left w:w="108" w:type="dxa"/>
              <w:bottom w:w="0" w:type="dxa"/>
              <w:right w:w="108" w:type="dxa"/>
            </w:tcMar>
          </w:tcPr>
          <w:p w14:paraId="2527D038"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18</w:t>
            </w:r>
          </w:p>
        </w:tc>
      </w:tr>
      <w:tr w:rsidR="0062595A" w:rsidRPr="0062595A" w14:paraId="29408E89" w14:textId="77777777" w:rsidTr="00443B52">
        <w:tc>
          <w:tcPr>
            <w:tcW w:w="3776" w:type="dxa"/>
            <w:tcBorders>
              <w:left w:val="single" w:sz="4" w:space="0" w:color="4BACC6"/>
            </w:tcBorders>
            <w:tcMar>
              <w:top w:w="0" w:type="dxa"/>
              <w:left w:w="108" w:type="dxa"/>
              <w:bottom w:w="0" w:type="dxa"/>
              <w:right w:w="108" w:type="dxa"/>
            </w:tcMar>
          </w:tcPr>
          <w:p w14:paraId="5445B2A2"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both"/>
              <w:rPr>
                <w:rFonts w:eastAsia="MS Mincho"/>
                <w:sz w:val="20"/>
              </w:rPr>
            </w:pPr>
            <w:r w:rsidRPr="0062595A">
              <w:rPr>
                <w:rFonts w:eastAsia="MS Mincho"/>
                <w:sz w:val="20"/>
              </w:rPr>
              <w:t>Other study group publications</w:t>
            </w:r>
          </w:p>
        </w:tc>
        <w:tc>
          <w:tcPr>
            <w:tcW w:w="1322" w:type="dxa"/>
            <w:tcMar>
              <w:top w:w="0" w:type="dxa"/>
              <w:left w:w="108" w:type="dxa"/>
              <w:bottom w:w="0" w:type="dxa"/>
              <w:right w:w="108" w:type="dxa"/>
            </w:tcMar>
          </w:tcPr>
          <w:p w14:paraId="10E2CCCB"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13</w:t>
            </w:r>
          </w:p>
        </w:tc>
        <w:tc>
          <w:tcPr>
            <w:tcW w:w="1321" w:type="dxa"/>
            <w:tcMar>
              <w:top w:w="0" w:type="dxa"/>
              <w:left w:w="108" w:type="dxa"/>
              <w:bottom w:w="0" w:type="dxa"/>
              <w:right w:w="108" w:type="dxa"/>
            </w:tcMar>
          </w:tcPr>
          <w:p w14:paraId="67D73659"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3</w:t>
            </w:r>
          </w:p>
        </w:tc>
        <w:tc>
          <w:tcPr>
            <w:tcW w:w="1321" w:type="dxa"/>
            <w:tcMar>
              <w:top w:w="0" w:type="dxa"/>
              <w:left w:w="108" w:type="dxa"/>
              <w:bottom w:w="0" w:type="dxa"/>
              <w:right w:w="108" w:type="dxa"/>
            </w:tcMar>
          </w:tcPr>
          <w:p w14:paraId="464CF3C9"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3</w:t>
            </w:r>
          </w:p>
        </w:tc>
        <w:tc>
          <w:tcPr>
            <w:tcW w:w="1321" w:type="dxa"/>
            <w:tcBorders>
              <w:right w:val="single" w:sz="4" w:space="0" w:color="4BACC6"/>
            </w:tcBorders>
            <w:tcMar>
              <w:top w:w="0" w:type="dxa"/>
              <w:left w:w="108" w:type="dxa"/>
              <w:bottom w:w="0" w:type="dxa"/>
              <w:right w:w="108" w:type="dxa"/>
            </w:tcMar>
          </w:tcPr>
          <w:p w14:paraId="11313EBD" w14:textId="77777777" w:rsidR="0062595A" w:rsidRPr="0062595A" w:rsidRDefault="0062595A" w:rsidP="00C5530E">
            <w:pPr>
              <w:keepNext/>
              <w:keepLines/>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2</w:t>
            </w:r>
          </w:p>
        </w:tc>
      </w:tr>
      <w:tr w:rsidR="0062595A" w:rsidRPr="0062595A" w14:paraId="39C42CC2" w14:textId="77777777" w:rsidTr="00443B52">
        <w:tc>
          <w:tcPr>
            <w:tcW w:w="3776" w:type="dxa"/>
            <w:tcBorders>
              <w:left w:val="single" w:sz="4" w:space="0" w:color="4BACC6"/>
              <w:bottom w:val="single" w:sz="4" w:space="0" w:color="4BACC6"/>
            </w:tcBorders>
            <w:tcMar>
              <w:top w:w="0" w:type="dxa"/>
              <w:left w:w="108" w:type="dxa"/>
              <w:bottom w:w="0" w:type="dxa"/>
              <w:right w:w="108" w:type="dxa"/>
            </w:tcMar>
          </w:tcPr>
          <w:p w14:paraId="2CA8E840"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both"/>
              <w:rPr>
                <w:rFonts w:eastAsia="MS Mincho"/>
                <w:sz w:val="20"/>
              </w:rPr>
            </w:pPr>
            <w:r w:rsidRPr="0062595A">
              <w:rPr>
                <w:rFonts w:eastAsia="MS Mincho"/>
                <w:sz w:val="20"/>
              </w:rPr>
              <w:t>Focus group deliverables</w:t>
            </w:r>
          </w:p>
        </w:tc>
        <w:tc>
          <w:tcPr>
            <w:tcW w:w="1322" w:type="dxa"/>
            <w:tcBorders>
              <w:bottom w:val="single" w:sz="4" w:space="0" w:color="4BACC6"/>
            </w:tcBorders>
            <w:tcMar>
              <w:top w:w="0" w:type="dxa"/>
              <w:left w:w="108" w:type="dxa"/>
              <w:bottom w:w="0" w:type="dxa"/>
              <w:right w:w="108" w:type="dxa"/>
            </w:tcMar>
          </w:tcPr>
          <w:p w14:paraId="66E2A7DA"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26</w:t>
            </w:r>
          </w:p>
        </w:tc>
        <w:tc>
          <w:tcPr>
            <w:tcW w:w="1321" w:type="dxa"/>
            <w:tcBorders>
              <w:bottom w:val="single" w:sz="4" w:space="0" w:color="4BACC6"/>
            </w:tcBorders>
            <w:tcMar>
              <w:top w:w="0" w:type="dxa"/>
              <w:left w:w="108" w:type="dxa"/>
              <w:bottom w:w="0" w:type="dxa"/>
              <w:right w:w="108" w:type="dxa"/>
            </w:tcMar>
          </w:tcPr>
          <w:p w14:paraId="204E56C6"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36</w:t>
            </w:r>
          </w:p>
        </w:tc>
        <w:tc>
          <w:tcPr>
            <w:tcW w:w="1321" w:type="dxa"/>
            <w:tcBorders>
              <w:bottom w:val="single" w:sz="4" w:space="0" w:color="4BACC6"/>
            </w:tcBorders>
            <w:tcMar>
              <w:top w:w="0" w:type="dxa"/>
              <w:left w:w="108" w:type="dxa"/>
              <w:bottom w:w="0" w:type="dxa"/>
              <w:right w:w="108" w:type="dxa"/>
            </w:tcMar>
          </w:tcPr>
          <w:p w14:paraId="7863B814" w14:textId="77777777" w:rsidR="0062595A" w:rsidRPr="0062595A" w:rsidRDefault="0062595A" w:rsidP="00C5530E">
            <w:pPr>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79</w:t>
            </w:r>
          </w:p>
        </w:tc>
        <w:tc>
          <w:tcPr>
            <w:tcW w:w="1321" w:type="dxa"/>
            <w:tcBorders>
              <w:bottom w:val="single" w:sz="4" w:space="0" w:color="4BACC6"/>
              <w:right w:val="single" w:sz="4" w:space="0" w:color="4BACC6"/>
            </w:tcBorders>
            <w:tcMar>
              <w:top w:w="0" w:type="dxa"/>
              <w:left w:w="108" w:type="dxa"/>
              <w:bottom w:w="0" w:type="dxa"/>
              <w:right w:w="108" w:type="dxa"/>
            </w:tcMar>
          </w:tcPr>
          <w:p w14:paraId="2499C26A" w14:textId="77777777" w:rsidR="0062595A" w:rsidRPr="0062595A" w:rsidRDefault="0062595A" w:rsidP="00C5530E">
            <w:pPr>
              <w:keepNext/>
              <w:tabs>
                <w:tab w:val="clear" w:pos="567"/>
                <w:tab w:val="clear" w:pos="1134"/>
                <w:tab w:val="clear" w:pos="1701"/>
                <w:tab w:val="clear" w:pos="2268"/>
                <w:tab w:val="clear" w:pos="2835"/>
              </w:tabs>
              <w:suppressAutoHyphens/>
              <w:adjustRightInd/>
              <w:spacing w:before="0"/>
              <w:jc w:val="center"/>
              <w:rPr>
                <w:rFonts w:eastAsia="MS Mincho"/>
                <w:sz w:val="20"/>
              </w:rPr>
            </w:pPr>
            <w:r w:rsidRPr="0062595A">
              <w:rPr>
                <w:rFonts w:eastAsia="MS Mincho"/>
                <w:sz w:val="20"/>
              </w:rPr>
              <w:t>6</w:t>
            </w:r>
          </w:p>
        </w:tc>
      </w:tr>
    </w:tbl>
    <w:p w14:paraId="35F5D68F" w14:textId="77777777" w:rsidR="0062595A" w:rsidRPr="0062595A" w:rsidRDefault="0062595A" w:rsidP="00C5530E">
      <w:pPr>
        <w:suppressAutoHyphens/>
        <w:adjustRightInd/>
        <w:spacing w:before="0"/>
        <w:jc w:val="both"/>
        <w:rPr>
          <w:rFonts w:eastAsia="MS Mincho"/>
          <w:i/>
          <w:iCs/>
          <w:color w:val="1F497D"/>
          <w:sz w:val="18"/>
          <w:szCs w:val="18"/>
        </w:rPr>
      </w:pPr>
    </w:p>
    <w:p w14:paraId="3334FBC0" w14:textId="77777777" w:rsidR="0062595A" w:rsidRPr="0062595A" w:rsidRDefault="0062595A" w:rsidP="00C5530E">
      <w:pPr>
        <w:suppressAutoHyphens/>
        <w:adjustRightInd/>
        <w:spacing w:before="0"/>
        <w:jc w:val="center"/>
        <w:rPr>
          <w:rFonts w:eastAsia="MS Mincho"/>
          <w:i/>
          <w:iCs/>
          <w:color w:val="1F497D"/>
          <w:sz w:val="18"/>
          <w:szCs w:val="18"/>
        </w:rPr>
      </w:pPr>
      <w:r w:rsidRPr="0062595A">
        <w:rPr>
          <w:rFonts w:eastAsia="MS Mincho"/>
          <w:i/>
          <w:iCs/>
          <w:color w:val="1F497D"/>
          <w:sz w:val="18"/>
          <w:szCs w:val="18"/>
        </w:rPr>
        <w:t>Table 4. ITU-T publications, 2022-2025</w:t>
      </w:r>
    </w:p>
    <w:p w14:paraId="234F35BC" w14:textId="749AB40E" w:rsidR="00E457CA" w:rsidRPr="00873EFC" w:rsidRDefault="00E457CA" w:rsidP="00C5530E">
      <w:pPr>
        <w:suppressAutoHyphens/>
        <w:adjustRightInd/>
        <w:spacing w:before="360" w:after="120"/>
        <w:jc w:val="both"/>
        <w:rPr>
          <w:rFonts w:eastAsia="MS Mincho"/>
          <w:b/>
          <w:bCs/>
          <w:sz w:val="22"/>
        </w:rPr>
      </w:pPr>
      <w:r w:rsidRPr="00873EFC">
        <w:rPr>
          <w:rFonts w:eastAsia="MS Mincho"/>
          <w:b/>
          <w:bCs/>
          <w:sz w:val="22"/>
        </w:rPr>
        <w:t>Conformance and interoperability</w:t>
      </w:r>
    </w:p>
    <w:p w14:paraId="3C4C6126" w14:textId="4BEEF3CD" w:rsidR="00E457CA" w:rsidRPr="00E457CA" w:rsidRDefault="00E457CA" w:rsidP="00E457CA">
      <w:pPr>
        <w:suppressAutoHyphens/>
        <w:adjustRightInd/>
        <w:spacing w:after="120"/>
        <w:jc w:val="both"/>
        <w:rPr>
          <w:rFonts w:eastAsia="MS Mincho"/>
          <w:sz w:val="22"/>
          <w:szCs w:val="22"/>
        </w:rPr>
      </w:pPr>
      <w:r w:rsidRPr="181B6A0C">
        <w:rPr>
          <w:rFonts w:eastAsia="MS Mincho"/>
          <w:sz w:val="22"/>
          <w:szCs w:val="22"/>
        </w:rPr>
        <w:t xml:space="preserve">In 2026, ITU conducted a survey on the </w:t>
      </w:r>
      <w:r w:rsidRPr="181B6A0C">
        <w:rPr>
          <w:rFonts w:eastAsia="MS Mincho"/>
          <w:sz w:val="22"/>
          <w:szCs w:val="22"/>
        </w:rPr>
        <w:t>use of ITU</w:t>
      </w:r>
      <w:r w:rsidR="1BA13F2D" w:rsidRPr="181B6A0C">
        <w:rPr>
          <w:rFonts w:eastAsia="MS Mincho"/>
          <w:sz w:val="22"/>
          <w:szCs w:val="22"/>
        </w:rPr>
        <w:t>-</w:t>
      </w:r>
      <w:r w:rsidRPr="181B6A0C">
        <w:rPr>
          <w:rFonts w:eastAsia="MS Mincho"/>
          <w:sz w:val="22"/>
          <w:szCs w:val="22"/>
        </w:rPr>
        <w:t xml:space="preserve">T Recommendations in </w:t>
      </w:r>
      <w:r w:rsidRPr="181B6A0C">
        <w:rPr>
          <w:rFonts w:eastAsia="MS Mincho"/>
          <w:sz w:val="22"/>
          <w:szCs w:val="22"/>
        </w:rPr>
        <w:t>national conformity assessment frameworks, confirming strong interest in the ITU Conformity and Interoperability (C&amp;I) Programme (</w:t>
      </w:r>
      <w:hyperlink r:id="rId142">
        <w:r w:rsidR="3F0465BD" w:rsidRPr="181B6A0C">
          <w:rPr>
            <w:rStyle w:val="Hyperlink"/>
            <w:rFonts w:eastAsia="MS Mincho"/>
            <w:sz w:val="22"/>
            <w:szCs w:val="22"/>
          </w:rPr>
          <w:t>SG11-TD909/GEN</w:t>
        </w:r>
      </w:hyperlink>
      <w:r w:rsidRPr="181B6A0C">
        <w:rPr>
          <w:rFonts w:eastAsia="MS Mincho"/>
          <w:sz w:val="22"/>
          <w:szCs w:val="22"/>
        </w:rPr>
        <w:t xml:space="preserve">). In line with </w:t>
      </w:r>
      <w:r w:rsidR="3F0465BD" w:rsidRPr="181B6A0C">
        <w:rPr>
          <w:rFonts w:eastAsia="MS Mincho"/>
          <w:sz w:val="22"/>
          <w:szCs w:val="22"/>
        </w:rPr>
        <w:t>Resolution 177</w:t>
      </w:r>
      <w:r w:rsidRPr="181B6A0C">
        <w:rPr>
          <w:rFonts w:eastAsia="MS Mincho"/>
          <w:sz w:val="22"/>
          <w:szCs w:val="22"/>
        </w:rPr>
        <w:t xml:space="preserve"> (Rev. Bucharest, 2022), TSB developed criteria for assessing </w:t>
      </w:r>
      <w:r w:rsidR="3F0465BD" w:rsidRPr="181B6A0C">
        <w:rPr>
          <w:rFonts w:eastAsia="MS Mincho"/>
          <w:sz w:val="22"/>
          <w:szCs w:val="22"/>
        </w:rPr>
        <w:t>Pillar 1</w:t>
      </w:r>
      <w:r w:rsidRPr="181B6A0C">
        <w:rPr>
          <w:rFonts w:eastAsia="MS Mincho"/>
          <w:sz w:val="22"/>
          <w:szCs w:val="22"/>
        </w:rPr>
        <w:t xml:space="preserve"> of the C&amp;I Programme and prepared a draft concept for an “ITU Mark,” drawing on existing international conformity programmes, including the ITU Mark (</w:t>
      </w:r>
      <w:hyperlink r:id="rId143">
        <w:r w:rsidR="3F0465BD" w:rsidRPr="181B6A0C">
          <w:rPr>
            <w:rStyle w:val="Hyperlink"/>
            <w:rFonts w:eastAsia="MS Mincho"/>
            <w:sz w:val="22"/>
            <w:szCs w:val="22"/>
          </w:rPr>
          <w:t>ITU GMPCS</w:t>
        </w:r>
      </w:hyperlink>
      <w:r w:rsidR="3F0465BD" w:rsidRPr="181B6A0C">
        <w:rPr>
          <w:rFonts w:eastAsia="MS Mincho"/>
          <w:sz w:val="22"/>
          <w:szCs w:val="22"/>
        </w:rPr>
        <w:t>).</w:t>
      </w:r>
      <w:r w:rsidRPr="181B6A0C">
        <w:rPr>
          <w:rFonts w:eastAsia="MS Mincho"/>
          <w:sz w:val="22"/>
          <w:szCs w:val="22"/>
        </w:rPr>
        <w:t xml:space="preserve"> A report on these developments, prepared in collaboration with ITU T SG11, is available as </w:t>
      </w:r>
      <w:hyperlink r:id="rId144">
        <w:r w:rsidR="3F0465BD" w:rsidRPr="181B6A0C">
          <w:rPr>
            <w:rStyle w:val="Hyperlink"/>
            <w:rFonts w:eastAsia="MS Mincho"/>
            <w:sz w:val="22"/>
            <w:szCs w:val="22"/>
          </w:rPr>
          <w:t>SG11-TD939 R1/GEN</w:t>
        </w:r>
      </w:hyperlink>
      <w:r w:rsidR="3F0465BD" w:rsidRPr="181B6A0C">
        <w:rPr>
          <w:rFonts w:eastAsia="MS Mincho"/>
          <w:sz w:val="22"/>
          <w:szCs w:val="22"/>
        </w:rPr>
        <w:t>.</w:t>
      </w:r>
    </w:p>
    <w:p w14:paraId="3A96CD21" w14:textId="15601D42" w:rsidR="0062595A" w:rsidRPr="0062595A" w:rsidRDefault="0062595A" w:rsidP="00C5530E">
      <w:pPr>
        <w:suppressAutoHyphens/>
        <w:adjustRightInd/>
        <w:spacing w:before="360" w:after="120"/>
        <w:jc w:val="both"/>
        <w:rPr>
          <w:rFonts w:eastAsia="MS Mincho"/>
          <w:b/>
          <w:bCs/>
          <w:sz w:val="22"/>
        </w:rPr>
      </w:pPr>
      <w:r w:rsidRPr="0062595A">
        <w:rPr>
          <w:rFonts w:eastAsia="MS Mincho"/>
          <w:b/>
          <w:bCs/>
          <w:sz w:val="22"/>
        </w:rPr>
        <w:t>AI Standards Exchange Database</w:t>
      </w:r>
    </w:p>
    <w:p w14:paraId="5A01932A" w14:textId="729F35EA" w:rsidR="0062595A" w:rsidRPr="0062595A" w:rsidRDefault="0062595A" w:rsidP="00C5530E">
      <w:pPr>
        <w:suppressAutoHyphens/>
        <w:adjustRightInd/>
        <w:spacing w:after="120"/>
        <w:jc w:val="both"/>
        <w:rPr>
          <w:rFonts w:eastAsia="Calibri"/>
          <w:sz w:val="22"/>
          <w:szCs w:val="22"/>
        </w:rPr>
      </w:pPr>
      <w:r w:rsidRPr="181B6A0C">
        <w:rPr>
          <w:rFonts w:eastAsia="MS Mincho"/>
          <w:sz w:val="22"/>
          <w:szCs w:val="22"/>
        </w:rPr>
        <w:t xml:space="preserve">The </w:t>
      </w:r>
      <w:hyperlink r:id="rId145">
        <w:r w:rsidR="0ACD1BB0" w:rsidRPr="181B6A0C">
          <w:rPr>
            <w:rFonts w:eastAsia="MS Mincho"/>
            <w:color w:val="0563C1"/>
            <w:sz w:val="22"/>
            <w:szCs w:val="22"/>
            <w:u w:val="single"/>
          </w:rPr>
          <w:t>AI Standards Exchange Database</w:t>
        </w:r>
      </w:hyperlink>
      <w:r w:rsidRPr="181B6A0C">
        <w:rPr>
          <w:rFonts w:eastAsia="MS Mincho"/>
          <w:sz w:val="22"/>
          <w:szCs w:val="22"/>
        </w:rPr>
        <w:t xml:space="preserve"> is a call to the Global Digital Compact (Articles 58, 59 and 60) which proposed the establishment of an AI Standards Exchange to facilitate sharing of information about AI standards. </w:t>
      </w:r>
      <w:r w:rsidRPr="0062595A">
        <w:rPr>
          <w:rFonts w:eastAsia="Calibri"/>
          <w:sz w:val="22"/>
          <w:szCs w:val="22"/>
        </w:rPr>
        <w:t xml:space="preserve">The AI Standards Exchange Database was established in 2025 based on the ITU-T Standards Landscape data for ITU-T standards. It was developed under the World Standards Cooperation – which brings ITU together the International Organization for Standardization (ISO) and the International </w:t>
      </w:r>
      <w:r w:rsidRPr="0062595A">
        <w:rPr>
          <w:rFonts w:eastAsia="Calibri"/>
          <w:sz w:val="22"/>
          <w:szCs w:val="22"/>
        </w:rPr>
        <w:t xml:space="preserve">Electrotechnical Commission (IEC) – in partnership with the Institute of Electrical and Electronics Engineers (IEEE), the </w:t>
      </w:r>
      <w:r w:rsidRPr="0062595A">
        <w:rPr>
          <w:rFonts w:eastAsia="MS Mincho" w:cs="Calibri"/>
          <w:sz w:val="22"/>
          <w:szCs w:val="22"/>
        </w:rPr>
        <w:t>Internet Engineering Task Force</w:t>
      </w:r>
      <w:r w:rsidRPr="0062595A">
        <w:rPr>
          <w:rFonts w:eastAsia="Calibri"/>
          <w:sz w:val="22"/>
          <w:szCs w:val="22"/>
        </w:rPr>
        <w:t xml:space="preserve"> (IETF) and the AI Standards Hub of Alan Turing Institute. At the time of the launch of the AI Standards Exchange Database at the AI for Good Global Summit 2025 on 11 July 2025, there were some 700 AI standards and related publications from ITU, ISO, IEC, IEEE and IETF. As of January 2026, there are</w:t>
      </w:r>
      <w:r w:rsidR="00B751A9">
        <w:rPr>
          <w:rFonts w:eastAsia="Calibri"/>
          <w:sz w:val="22"/>
          <w:szCs w:val="22"/>
        </w:rPr>
        <w:t xml:space="preserve"> </w:t>
      </w:r>
      <w:r w:rsidRPr="0062595A">
        <w:rPr>
          <w:rFonts w:eastAsia="Calibri"/>
          <w:sz w:val="22"/>
          <w:szCs w:val="22"/>
        </w:rPr>
        <w:t>some 200 ITU-T AI standards published and 200 under development.</w:t>
      </w:r>
    </w:p>
    <w:p w14:paraId="0977A38E" w14:textId="77777777"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rPr>
      </w:pPr>
      <w:bookmarkStart w:id="76" w:name="_Toc224288811"/>
      <w:r w:rsidRPr="0062595A">
        <w:rPr>
          <w:rFonts w:eastAsia="MS Mincho"/>
          <w:b/>
          <w:color w:val="0D0D0D"/>
        </w:rPr>
        <w:t>4.3.2</w:t>
      </w:r>
      <w:r w:rsidRPr="0062595A">
        <w:rPr>
          <w:rFonts w:eastAsia="MS Mincho"/>
          <w:b/>
          <w:color w:val="0D0D0D"/>
        </w:rPr>
        <w:tab/>
        <w:t>ITU-R Recommendations</w:t>
      </w:r>
      <w:bookmarkEnd w:id="76"/>
    </w:p>
    <w:p w14:paraId="5EDE7947" w14:textId="77777777" w:rsidR="0062595A" w:rsidRPr="00AE7FA7" w:rsidRDefault="0062595A" w:rsidP="00B51954">
      <w:pPr>
        <w:keepNext/>
        <w:keepLines/>
        <w:widowControl w:val="0"/>
        <w:tabs>
          <w:tab w:val="clear" w:pos="567"/>
          <w:tab w:val="clear" w:pos="1134"/>
          <w:tab w:val="clear" w:pos="1701"/>
          <w:tab w:val="clear" w:pos="2268"/>
          <w:tab w:val="clear" w:pos="2835"/>
        </w:tabs>
        <w:suppressAutoHyphens/>
        <w:overflowPunct/>
        <w:adjustRightInd/>
        <w:spacing w:after="120"/>
        <w:ind w:right="559"/>
        <w:jc w:val="both"/>
        <w:textAlignment w:val="auto"/>
        <w:rPr>
          <w:rFonts w:eastAsia="Calibri" w:cs="Calibri"/>
          <w:sz w:val="22"/>
          <w:szCs w:val="22"/>
        </w:rPr>
      </w:pPr>
      <w:r w:rsidRPr="00AE7FA7">
        <w:rPr>
          <w:rFonts w:eastAsia="Calibri" w:cs="Calibri"/>
          <w:sz w:val="22"/>
          <w:szCs w:val="22"/>
        </w:rPr>
        <w:t xml:space="preserve">During the reporting period 2022-2025, ITU Member States approved 164 new or revised ITU-R Recommendations. All ITU-R recommendations are available at: </w:t>
      </w:r>
      <w:hyperlink r:id="rId146" w:history="1">
        <w:r w:rsidRPr="00AE7FA7">
          <w:rPr>
            <w:rFonts w:eastAsia="Calibri" w:cs="Calibri"/>
            <w:color w:val="0462C1"/>
            <w:sz w:val="22"/>
            <w:szCs w:val="22"/>
            <w:u w:val="single"/>
          </w:rPr>
          <w:t>https://www.itu.int/pub/R-REC</w:t>
        </w:r>
      </w:hyperlink>
      <w:r w:rsidRPr="00AE7FA7">
        <w:rPr>
          <w:rFonts w:eastAsia="Calibri" w:cs="Calibri"/>
          <w:color w:val="0462C1"/>
          <w:sz w:val="22"/>
          <w:szCs w:val="22"/>
          <w:u w:val="single"/>
        </w:rPr>
        <w:t>.</w:t>
      </w:r>
      <w:r w:rsidRPr="00AE7FA7">
        <w:rPr>
          <w:rFonts w:eastAsia="Calibri" w:cs="Calibri"/>
          <w:color w:val="0462C1"/>
          <w:spacing w:val="-2"/>
          <w:sz w:val="22"/>
          <w:szCs w:val="22"/>
          <w:u w:val="single" w:color="0462C1"/>
        </w:rPr>
        <w:t xml:space="preserve"> </w:t>
      </w:r>
      <w:r w:rsidRPr="00AE7FA7">
        <w:rPr>
          <w:rFonts w:eastAsia="Calibri" w:cs="Calibri"/>
          <w:sz w:val="22"/>
          <w:szCs w:val="22"/>
        </w:rPr>
        <w:t>There are 1,161 ITU-R Recommendations currently in force.</w:t>
      </w:r>
    </w:p>
    <w:p w14:paraId="7693109A" w14:textId="77777777" w:rsidR="0062595A" w:rsidRPr="0062595A" w:rsidRDefault="0062595A" w:rsidP="00C5530E">
      <w:pPr>
        <w:widowControl w:val="0"/>
        <w:tabs>
          <w:tab w:val="clear" w:pos="567"/>
          <w:tab w:val="clear" w:pos="1134"/>
          <w:tab w:val="clear" w:pos="1701"/>
          <w:tab w:val="clear" w:pos="2268"/>
          <w:tab w:val="clear" w:pos="2835"/>
        </w:tabs>
        <w:suppressAutoHyphens/>
        <w:overflowPunct/>
        <w:adjustRightInd/>
        <w:spacing w:after="120"/>
        <w:ind w:right="559"/>
        <w:jc w:val="both"/>
        <w:textAlignment w:val="auto"/>
        <w:rPr>
          <w:rFonts w:eastAsia="Calibri" w:cs="Calibri"/>
          <w:sz w:val="22"/>
          <w:szCs w:val="22"/>
        </w:rPr>
      </w:pPr>
      <w:r w:rsidRPr="00AE7FA7">
        <w:rPr>
          <w:rFonts w:eastAsia="Calibri" w:cs="Calibri"/>
          <w:sz w:val="22"/>
          <w:szCs w:val="22"/>
        </w:rPr>
        <w:t>In 2023, the work of ITU-R was recognized with the Engineering, Science &amp; Technology Emmy Award for developing the radiocommunication standard for high dynamic range television (HDR-TV). Presented by the Television</w:t>
      </w:r>
      <w:r w:rsidRPr="00AE7FA7">
        <w:rPr>
          <w:rFonts w:eastAsia="Calibri" w:cs="Calibri"/>
          <w:spacing w:val="-13"/>
          <w:sz w:val="22"/>
          <w:szCs w:val="22"/>
        </w:rPr>
        <w:t xml:space="preserve"> </w:t>
      </w:r>
      <w:r w:rsidRPr="00AE7FA7">
        <w:rPr>
          <w:rFonts w:eastAsia="Calibri" w:cs="Calibri"/>
          <w:sz w:val="22"/>
          <w:szCs w:val="22"/>
        </w:rPr>
        <w:t>Academy,</w:t>
      </w:r>
      <w:r w:rsidRPr="00AE7FA7">
        <w:rPr>
          <w:rFonts w:eastAsia="Calibri" w:cs="Calibri"/>
          <w:spacing w:val="-12"/>
          <w:sz w:val="22"/>
          <w:szCs w:val="22"/>
        </w:rPr>
        <w:t xml:space="preserve"> </w:t>
      </w:r>
      <w:r w:rsidRPr="00AE7FA7">
        <w:rPr>
          <w:rFonts w:eastAsia="Calibri" w:cs="Calibri"/>
          <w:sz w:val="22"/>
          <w:szCs w:val="22"/>
        </w:rPr>
        <w:t>the</w:t>
      </w:r>
      <w:r w:rsidRPr="00AE7FA7">
        <w:rPr>
          <w:rFonts w:eastAsia="Calibri" w:cs="Calibri"/>
          <w:spacing w:val="-13"/>
          <w:sz w:val="22"/>
          <w:szCs w:val="22"/>
        </w:rPr>
        <w:t xml:space="preserve"> </w:t>
      </w:r>
      <w:r w:rsidRPr="00AE7FA7">
        <w:rPr>
          <w:rFonts w:eastAsia="Calibri" w:cs="Calibri"/>
          <w:sz w:val="22"/>
          <w:szCs w:val="22"/>
        </w:rPr>
        <w:t>award</w:t>
      </w:r>
      <w:r w:rsidRPr="00AE7FA7">
        <w:rPr>
          <w:rFonts w:eastAsia="Calibri" w:cs="Calibri"/>
          <w:spacing w:val="-12"/>
          <w:sz w:val="22"/>
          <w:szCs w:val="22"/>
        </w:rPr>
        <w:t xml:space="preserve"> </w:t>
      </w:r>
      <w:r w:rsidRPr="00AE7FA7">
        <w:rPr>
          <w:rFonts w:eastAsia="Calibri" w:cs="Calibri"/>
          <w:sz w:val="22"/>
          <w:szCs w:val="22"/>
        </w:rPr>
        <w:t>acknowledges</w:t>
      </w:r>
      <w:r w:rsidRPr="00AE7FA7">
        <w:rPr>
          <w:rFonts w:eastAsia="Calibri" w:cs="Calibri"/>
          <w:spacing w:val="-13"/>
          <w:sz w:val="22"/>
          <w:szCs w:val="22"/>
        </w:rPr>
        <w:t xml:space="preserve"> </w:t>
      </w:r>
      <w:r w:rsidRPr="00AE7FA7">
        <w:rPr>
          <w:rFonts w:eastAsia="Calibri" w:cs="Calibri"/>
          <w:sz w:val="22"/>
          <w:szCs w:val="22"/>
        </w:rPr>
        <w:t>the</w:t>
      </w:r>
      <w:r w:rsidRPr="00AE7FA7">
        <w:rPr>
          <w:rFonts w:eastAsia="Calibri" w:cs="Calibri"/>
          <w:spacing w:val="-12"/>
          <w:sz w:val="22"/>
          <w:szCs w:val="22"/>
        </w:rPr>
        <w:t xml:space="preserve"> </w:t>
      </w:r>
      <w:r w:rsidRPr="00AE7FA7">
        <w:rPr>
          <w:rFonts w:eastAsia="Calibri" w:cs="Calibri"/>
          <w:sz w:val="22"/>
          <w:szCs w:val="22"/>
        </w:rPr>
        <w:t>pioneering</w:t>
      </w:r>
      <w:r w:rsidRPr="00AE7FA7">
        <w:rPr>
          <w:rFonts w:eastAsia="Calibri" w:cs="Calibri"/>
          <w:spacing w:val="-13"/>
          <w:sz w:val="22"/>
          <w:szCs w:val="22"/>
        </w:rPr>
        <w:t xml:space="preserve"> </w:t>
      </w:r>
      <w:r w:rsidRPr="00AE7FA7">
        <w:rPr>
          <w:rFonts w:eastAsia="Calibri" w:cs="Calibri"/>
          <w:sz w:val="22"/>
          <w:szCs w:val="22"/>
        </w:rPr>
        <w:t>efforts</w:t>
      </w:r>
      <w:r w:rsidRPr="00AE7FA7">
        <w:rPr>
          <w:rFonts w:eastAsia="Calibri" w:cs="Calibri"/>
          <w:spacing w:val="-12"/>
          <w:sz w:val="22"/>
          <w:szCs w:val="22"/>
        </w:rPr>
        <w:t xml:space="preserve"> </w:t>
      </w:r>
      <w:r w:rsidRPr="00AE7FA7">
        <w:rPr>
          <w:rFonts w:eastAsia="Calibri" w:cs="Calibri"/>
          <w:sz w:val="22"/>
          <w:szCs w:val="22"/>
        </w:rPr>
        <w:t>of</w:t>
      </w:r>
      <w:r w:rsidRPr="00AE7FA7">
        <w:rPr>
          <w:rFonts w:eastAsia="Calibri" w:cs="Calibri"/>
          <w:spacing w:val="-12"/>
          <w:sz w:val="22"/>
          <w:szCs w:val="22"/>
        </w:rPr>
        <w:t xml:space="preserve"> </w:t>
      </w:r>
      <w:r w:rsidRPr="00AE7FA7">
        <w:rPr>
          <w:rFonts w:eastAsia="Calibri" w:cs="Calibri"/>
          <w:sz w:val="22"/>
          <w:szCs w:val="22"/>
        </w:rPr>
        <w:t>engineers</w:t>
      </w:r>
      <w:r w:rsidRPr="00AE7FA7">
        <w:rPr>
          <w:rFonts w:eastAsia="Calibri" w:cs="Calibri"/>
          <w:spacing w:val="-13"/>
          <w:sz w:val="22"/>
          <w:szCs w:val="22"/>
        </w:rPr>
        <w:t xml:space="preserve"> </w:t>
      </w:r>
      <w:r w:rsidRPr="00AE7FA7">
        <w:rPr>
          <w:rFonts w:eastAsia="Calibri" w:cs="Calibri"/>
          <w:sz w:val="22"/>
          <w:szCs w:val="22"/>
        </w:rPr>
        <w:t>and</w:t>
      </w:r>
      <w:r w:rsidRPr="00AE7FA7">
        <w:rPr>
          <w:rFonts w:eastAsia="Calibri" w:cs="Calibri"/>
          <w:spacing w:val="-12"/>
          <w:sz w:val="22"/>
          <w:szCs w:val="22"/>
        </w:rPr>
        <w:t xml:space="preserve"> </w:t>
      </w:r>
      <w:r w:rsidRPr="00AE7FA7">
        <w:rPr>
          <w:rFonts w:eastAsia="Calibri" w:cs="Calibri"/>
          <w:sz w:val="22"/>
          <w:szCs w:val="22"/>
        </w:rPr>
        <w:t>specialists</w:t>
      </w:r>
      <w:r w:rsidRPr="00AE7FA7">
        <w:rPr>
          <w:rFonts w:eastAsia="Calibri" w:cs="Calibri"/>
          <w:spacing w:val="-13"/>
          <w:sz w:val="22"/>
          <w:szCs w:val="22"/>
        </w:rPr>
        <w:t xml:space="preserve"> </w:t>
      </w:r>
      <w:r w:rsidRPr="00AE7FA7">
        <w:rPr>
          <w:rFonts w:eastAsia="Calibri" w:cs="Calibri"/>
          <w:sz w:val="22"/>
          <w:szCs w:val="22"/>
        </w:rPr>
        <w:t xml:space="preserve">within ITU-R Study Group 6 in creating a global HDR-TV standard that enhances viewers' visual experience. This marks the third Emmy Award granted to ITU-R study groups – and the sixth Emmy for </w:t>
      </w:r>
      <w:proofErr w:type="gramStart"/>
      <w:r w:rsidRPr="00AE7FA7">
        <w:rPr>
          <w:rFonts w:eastAsia="Calibri" w:cs="Calibri"/>
          <w:sz w:val="22"/>
          <w:szCs w:val="22"/>
        </w:rPr>
        <w:t xml:space="preserve">ITU as a </w:t>
      </w:r>
      <w:r w:rsidRPr="00AE7FA7">
        <w:rPr>
          <w:rFonts w:eastAsia="Calibri" w:cs="Calibri"/>
          <w:spacing w:val="-2"/>
          <w:sz w:val="22"/>
          <w:szCs w:val="22"/>
        </w:rPr>
        <w:t>whole</w:t>
      </w:r>
      <w:proofErr w:type="gramEnd"/>
      <w:r w:rsidRPr="00AE7FA7">
        <w:rPr>
          <w:rFonts w:eastAsia="Calibri" w:cs="Calibri"/>
          <w:spacing w:val="-2"/>
          <w:sz w:val="22"/>
          <w:szCs w:val="22"/>
        </w:rPr>
        <w:t>.</w:t>
      </w:r>
    </w:p>
    <w:p w14:paraId="02F0D1DF" w14:textId="77777777"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rPr>
      </w:pPr>
      <w:bookmarkStart w:id="77" w:name="_Toc224288812"/>
      <w:r w:rsidRPr="0062595A">
        <w:rPr>
          <w:rFonts w:eastAsia="MS Mincho"/>
          <w:b/>
          <w:color w:val="0D0D0D"/>
        </w:rPr>
        <w:lastRenderedPageBreak/>
        <w:t>4.3.3</w:t>
      </w:r>
      <w:r w:rsidRPr="0062595A">
        <w:rPr>
          <w:rFonts w:eastAsia="MS Mincho"/>
          <w:b/>
          <w:color w:val="0D0D0D"/>
        </w:rPr>
        <w:tab/>
        <w:t>Bridging the standardization gap</w:t>
      </w:r>
      <w:bookmarkEnd w:id="77"/>
    </w:p>
    <w:p w14:paraId="58A7AF43" w14:textId="5F7F5E78" w:rsidR="0062595A" w:rsidRPr="0062595A" w:rsidRDefault="0062595A" w:rsidP="00C5530E">
      <w:pPr>
        <w:suppressAutoHyphens/>
        <w:adjustRightInd/>
        <w:spacing w:after="120"/>
        <w:jc w:val="both"/>
        <w:rPr>
          <w:rFonts w:eastAsia="MS Mincho"/>
          <w:sz w:val="22"/>
        </w:rPr>
      </w:pPr>
      <w:hyperlink r:id="rId147" w:history="1">
        <w:r w:rsidRPr="0062595A">
          <w:rPr>
            <w:rFonts w:eastAsia="MS Mincho"/>
            <w:color w:val="0563C1"/>
            <w:sz w:val="22"/>
            <w:u w:val="single"/>
          </w:rPr>
          <w:t>WTSA Resolution 44</w:t>
        </w:r>
      </w:hyperlink>
      <w:r w:rsidRPr="0062595A">
        <w:rPr>
          <w:rFonts w:eastAsia="MS Mincho"/>
          <w:sz w:val="22"/>
        </w:rPr>
        <w:t xml:space="preserve">, “Bridging the standardization gap between developing and developed countries” was first adopted in Florianopolis (2004) and has adapted over time to keep pace with evolving needs and to align with </w:t>
      </w:r>
      <w:hyperlink r:id="rId148" w:history="1">
        <w:r w:rsidRPr="00C93A80">
          <w:rPr>
            <w:rStyle w:val="Hyperlink"/>
            <w:rFonts w:eastAsia="MS Mincho"/>
            <w:color w:val="0563C1"/>
            <w:sz w:val="22"/>
          </w:rPr>
          <w:t>Resolution 123 (Rev. Bucharest, 2022)</w:t>
        </w:r>
      </w:hyperlink>
      <w:r w:rsidR="005F3B61">
        <w:rPr>
          <w:rFonts w:eastAsia="MS Mincho"/>
          <w:sz w:val="22"/>
        </w:rPr>
        <w:t xml:space="preserve"> of the Plenipotentiary Conference</w:t>
      </w:r>
      <w:r w:rsidRPr="0062595A">
        <w:rPr>
          <w:rFonts w:eastAsia="MS Mincho"/>
          <w:sz w:val="22"/>
        </w:rPr>
        <w:t>. Resolution 44 was most recently updated at WTSA-24 to reaffirm and clarify the four-point action plan (</w:t>
      </w:r>
      <w:hyperlink w:anchor="figure_15" w:history="1">
        <w:r w:rsidRPr="00C93A80">
          <w:rPr>
            <w:rStyle w:val="Hyperlink"/>
            <w:rFonts w:eastAsia="MS Mincho"/>
            <w:color w:val="0563C1"/>
            <w:sz w:val="22"/>
          </w:rPr>
          <w:t>See</w:t>
        </w:r>
        <w:r w:rsidR="00C93A80">
          <w:rPr>
            <w:rStyle w:val="Hyperlink"/>
            <w:rFonts w:eastAsia="MS Mincho"/>
            <w:color w:val="0563C1"/>
            <w:sz w:val="22"/>
          </w:rPr>
          <w:t> </w:t>
        </w:r>
        <w:r w:rsidRPr="00C93A80">
          <w:rPr>
            <w:rStyle w:val="Hyperlink"/>
            <w:rFonts w:eastAsia="MS Mincho"/>
            <w:color w:val="0563C1"/>
            <w:sz w:val="22"/>
          </w:rPr>
          <w:t>Figure</w:t>
        </w:r>
        <w:r w:rsidR="00B51954" w:rsidRPr="00C93A80">
          <w:rPr>
            <w:rStyle w:val="Hyperlink"/>
            <w:rFonts w:eastAsia="MS Mincho"/>
            <w:color w:val="0563C1"/>
            <w:sz w:val="22"/>
          </w:rPr>
          <w:t> </w:t>
        </w:r>
        <w:r w:rsidRPr="00C93A80">
          <w:rPr>
            <w:rStyle w:val="Hyperlink"/>
            <w:rFonts w:eastAsia="MS Mincho"/>
            <w:color w:val="0563C1"/>
            <w:sz w:val="22"/>
          </w:rPr>
          <w:t>15)</w:t>
        </w:r>
      </w:hyperlink>
      <w:r w:rsidRPr="007D4363">
        <w:rPr>
          <w:rFonts w:eastAsia="MS Mincho"/>
          <w:sz w:val="22"/>
        </w:rPr>
        <w:t xml:space="preserve"> </w:t>
      </w:r>
      <w:r w:rsidRPr="0062595A">
        <w:rPr>
          <w:rFonts w:eastAsia="MS Mincho"/>
          <w:sz w:val="22"/>
        </w:rPr>
        <w:t>for the next four years.</w:t>
      </w:r>
    </w:p>
    <w:p w14:paraId="33FB6FD6" w14:textId="77777777" w:rsidR="0062595A" w:rsidRPr="0062595A" w:rsidRDefault="0062595A" w:rsidP="00B51954">
      <w:pPr>
        <w:keepNext/>
        <w:keepLines/>
        <w:suppressAutoHyphens/>
        <w:adjustRightInd/>
        <w:spacing w:before="360" w:after="120"/>
        <w:jc w:val="center"/>
        <w:rPr>
          <w:rFonts w:eastAsia="MS Mincho"/>
          <w:b/>
          <w:bCs/>
          <w:sz w:val="22"/>
          <w:szCs w:val="22"/>
        </w:rPr>
      </w:pPr>
      <w:r w:rsidRPr="0062595A">
        <w:rPr>
          <w:rFonts w:eastAsia="MS Mincho"/>
          <w:b/>
          <w:bCs/>
          <w:sz w:val="22"/>
          <w:szCs w:val="22"/>
        </w:rPr>
        <w:t>Bridging the Standardization Gap action plan</w:t>
      </w:r>
    </w:p>
    <w:p w14:paraId="4FFE3E0E" w14:textId="77777777" w:rsidR="0062595A" w:rsidRPr="0062595A" w:rsidRDefault="0062595A" w:rsidP="00C5530E">
      <w:pPr>
        <w:keepNext/>
        <w:keepLines/>
        <w:suppressAutoHyphens/>
        <w:adjustRightInd/>
        <w:spacing w:before="0" w:after="160"/>
        <w:jc w:val="center"/>
        <w:rPr>
          <w:rFonts w:eastAsia="MS Mincho"/>
          <w:sz w:val="22"/>
        </w:rPr>
      </w:pPr>
      <w:r w:rsidRPr="0062595A">
        <w:rPr>
          <w:rFonts w:eastAsia="MS Mincho"/>
          <w:noProof/>
          <w:sz w:val="22"/>
          <w:szCs w:val="22"/>
        </w:rPr>
        <w:drawing>
          <wp:inline distT="0" distB="0" distL="0" distR="0" wp14:anchorId="60352D85" wp14:editId="4CEA0C3F">
            <wp:extent cx="4728170" cy="2150641"/>
            <wp:effectExtent l="0" t="0" r="0" b="2009"/>
            <wp:docPr id="1818040787" name="Picture 1" descr="A diagram of a diagr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4728170" cy="2150641"/>
                    </a:xfrm>
                    <a:prstGeom prst="rect">
                      <a:avLst/>
                    </a:prstGeom>
                    <a:noFill/>
                    <a:ln>
                      <a:noFill/>
                      <a:prstDash/>
                    </a:ln>
                  </pic:spPr>
                </pic:pic>
              </a:graphicData>
            </a:graphic>
          </wp:inline>
        </w:drawing>
      </w:r>
    </w:p>
    <w:p w14:paraId="679F8CB4" w14:textId="77777777" w:rsidR="0062595A" w:rsidRPr="0062595A" w:rsidRDefault="0062595A" w:rsidP="00C5530E">
      <w:pPr>
        <w:keepNext/>
        <w:keepLines/>
        <w:suppressAutoHyphens/>
        <w:adjustRightInd/>
        <w:spacing w:before="0" w:after="200"/>
        <w:jc w:val="center"/>
        <w:rPr>
          <w:rFonts w:eastAsia="MS Mincho"/>
          <w:i/>
          <w:iCs/>
          <w:color w:val="1F497D"/>
          <w:sz w:val="18"/>
          <w:szCs w:val="18"/>
        </w:rPr>
      </w:pPr>
      <w:bookmarkStart w:id="78" w:name="figure_15"/>
      <w:r w:rsidRPr="0062595A">
        <w:rPr>
          <w:rFonts w:eastAsia="MS Mincho"/>
          <w:i/>
          <w:iCs/>
          <w:color w:val="1F497D"/>
          <w:sz w:val="18"/>
          <w:szCs w:val="18"/>
        </w:rPr>
        <w:t xml:space="preserve">Figure 15. </w:t>
      </w:r>
      <w:bookmarkEnd w:id="78"/>
      <w:r w:rsidRPr="0062595A">
        <w:rPr>
          <w:rFonts w:eastAsia="MS Mincho"/>
          <w:i/>
          <w:iCs/>
          <w:color w:val="1F497D"/>
          <w:sz w:val="18"/>
          <w:szCs w:val="18"/>
        </w:rPr>
        <w:t>Bridging the Standardization Gap action plan.</w:t>
      </w:r>
    </w:p>
    <w:p w14:paraId="6EE5CBA0" w14:textId="77777777" w:rsidR="0062595A" w:rsidRPr="0062595A" w:rsidRDefault="0062595A" w:rsidP="00C5530E">
      <w:pPr>
        <w:suppressAutoHyphens/>
        <w:adjustRightInd/>
        <w:spacing w:before="360" w:after="120"/>
        <w:jc w:val="both"/>
        <w:rPr>
          <w:rFonts w:eastAsia="MS Mincho"/>
          <w:sz w:val="22"/>
          <w:szCs w:val="22"/>
        </w:rPr>
      </w:pPr>
      <w:r w:rsidRPr="0062595A">
        <w:rPr>
          <w:rFonts w:eastAsia="MS Mincho"/>
          <w:sz w:val="22"/>
          <w:szCs w:val="22"/>
        </w:rPr>
        <w:t xml:space="preserve">Accordingly, ITU’s implementation of the </w:t>
      </w:r>
      <w:hyperlink r:id="rId150" w:history="1">
        <w:r w:rsidRPr="0062595A">
          <w:rPr>
            <w:rFonts w:eastAsia="MS Mincho"/>
            <w:color w:val="0563C1"/>
            <w:sz w:val="22"/>
            <w:szCs w:val="22"/>
            <w:u w:val="single"/>
          </w:rPr>
          <w:t>Bridging the Standardization Gap</w:t>
        </w:r>
        <w:r w:rsidRPr="0062595A">
          <w:rPr>
            <w:rFonts w:eastAsia="MS Mincho"/>
            <w:color w:val="0563C1"/>
            <w:sz w:val="22"/>
            <w:u w:val="single"/>
          </w:rPr>
          <w:t xml:space="preserve"> (BSG)</w:t>
        </w:r>
      </w:hyperlink>
      <w:r w:rsidRPr="0062595A">
        <w:rPr>
          <w:rFonts w:eastAsia="MS Mincho"/>
          <w:sz w:val="22"/>
          <w:szCs w:val="22"/>
        </w:rPr>
        <w:t xml:space="preserve"> programme aims to enhance the ability of all countries, in particular developing countries, to participate in the</w:t>
      </w:r>
      <w:r w:rsidRPr="0062595A">
        <w:rPr>
          <w:rFonts w:eastAsia="MS Mincho"/>
          <w:i/>
          <w:iCs/>
          <w:sz w:val="22"/>
          <w:szCs w:val="22"/>
        </w:rPr>
        <w:t xml:space="preserve"> </w:t>
      </w:r>
      <w:r w:rsidRPr="0062595A">
        <w:rPr>
          <w:rFonts w:eastAsia="MS Mincho"/>
          <w:sz w:val="22"/>
          <w:szCs w:val="22"/>
        </w:rPr>
        <w:t xml:space="preserve">development and implementation of ITU-T standards. </w:t>
      </w:r>
    </w:p>
    <w:p w14:paraId="00C1AB18"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22"/>
        </w:rPr>
        <w:t>During the 2022-2025 reporting period, the Telecommunication Standardization Bureau (TSB) has continued building on previous work, concentrating on:</w:t>
      </w:r>
    </w:p>
    <w:p w14:paraId="20CD75D6" w14:textId="77777777" w:rsidR="0062595A" w:rsidRPr="0062595A" w:rsidRDefault="0062595A" w:rsidP="004630E8">
      <w:pPr>
        <w:numPr>
          <w:ilvl w:val="0"/>
          <w:numId w:val="26"/>
        </w:numPr>
        <w:tabs>
          <w:tab w:val="clear" w:pos="567"/>
          <w:tab w:val="clear" w:pos="1134"/>
          <w:tab w:val="clear" w:pos="1701"/>
          <w:tab w:val="clear" w:pos="2268"/>
          <w:tab w:val="clear" w:pos="2835"/>
        </w:tabs>
        <w:suppressAutoHyphens/>
        <w:overflowPunct/>
        <w:autoSpaceDE/>
        <w:adjustRightInd/>
        <w:spacing w:after="120"/>
        <w:ind w:left="567" w:hanging="283"/>
        <w:jc w:val="both"/>
        <w:textAlignment w:val="auto"/>
        <w:rPr>
          <w:rFonts w:eastAsia="PMingLiU"/>
          <w:sz w:val="22"/>
          <w:szCs w:val="22"/>
          <w:lang w:eastAsia="zh-TW"/>
        </w:rPr>
      </w:pPr>
      <w:r w:rsidRPr="0062595A">
        <w:rPr>
          <w:rFonts w:eastAsia="PMingLiU"/>
          <w:b/>
          <w:bCs/>
          <w:sz w:val="22"/>
          <w:szCs w:val="22"/>
          <w:lang w:eastAsia="zh-TW"/>
        </w:rPr>
        <w:t>Organizing 62 regional group meetings</w:t>
      </w:r>
      <w:r w:rsidRPr="0062595A">
        <w:rPr>
          <w:rFonts w:eastAsia="PMingLiU"/>
          <w:sz w:val="22"/>
          <w:szCs w:val="22"/>
          <w:lang w:eastAsia="zh-TW"/>
        </w:rPr>
        <w:t xml:space="preserve"> across the </w:t>
      </w:r>
      <w:hyperlink r:id="rId151" w:history="1">
        <w:r w:rsidRPr="0062595A">
          <w:rPr>
            <w:rFonts w:eastAsia="PMingLiU"/>
            <w:color w:val="0563C1"/>
            <w:sz w:val="22"/>
            <w:szCs w:val="22"/>
            <w:u w:val="single"/>
            <w:lang w:eastAsia="zh-TW"/>
          </w:rPr>
          <w:t>27 current regional groups</w:t>
        </w:r>
      </w:hyperlink>
      <w:r w:rsidRPr="0062595A">
        <w:rPr>
          <w:rFonts w:eastAsia="PMingLiU"/>
          <w:sz w:val="22"/>
          <w:szCs w:val="22"/>
          <w:lang w:eastAsia="zh-TW"/>
        </w:rPr>
        <w:t xml:space="preserve"> of ITU-T study groups. The most recent of these groups is ITU-T Study Group 15 Regional Group for Africa (</w:t>
      </w:r>
      <w:hyperlink r:id="rId152" w:history="1">
        <w:r w:rsidRPr="0062595A">
          <w:rPr>
            <w:rFonts w:eastAsia="PMingLiU"/>
            <w:color w:val="0563C1"/>
            <w:sz w:val="22"/>
            <w:szCs w:val="22"/>
            <w:u w:val="single"/>
            <w:lang w:eastAsia="zh-TW"/>
          </w:rPr>
          <w:t>SG15RG-AFR</w:t>
        </w:r>
      </w:hyperlink>
      <w:r w:rsidRPr="0062595A">
        <w:rPr>
          <w:rFonts w:eastAsia="PMingLiU"/>
          <w:sz w:val="22"/>
          <w:szCs w:val="22"/>
          <w:lang w:eastAsia="zh-TW"/>
        </w:rPr>
        <w:t>), created at the request of Members in October 2025. Regional groups are effective mechanisms to address local issues, encourage contributions to ITU, and increase the number and quality of technical inputs from developing countries.</w:t>
      </w:r>
    </w:p>
    <w:p w14:paraId="052E5C7A" w14:textId="77777777" w:rsidR="0062595A" w:rsidRPr="0062595A" w:rsidRDefault="0062595A" w:rsidP="004630E8">
      <w:pPr>
        <w:numPr>
          <w:ilvl w:val="0"/>
          <w:numId w:val="26"/>
        </w:numPr>
        <w:tabs>
          <w:tab w:val="clear" w:pos="567"/>
          <w:tab w:val="clear" w:pos="1134"/>
          <w:tab w:val="clear" w:pos="1701"/>
          <w:tab w:val="clear" w:pos="2268"/>
          <w:tab w:val="clear" w:pos="2835"/>
        </w:tabs>
        <w:suppressAutoHyphens/>
        <w:overflowPunct/>
        <w:autoSpaceDE/>
        <w:adjustRightInd/>
        <w:spacing w:after="120"/>
        <w:ind w:left="567" w:hanging="283"/>
        <w:jc w:val="both"/>
        <w:textAlignment w:val="auto"/>
        <w:rPr>
          <w:rFonts w:eastAsia="PMingLiU"/>
          <w:sz w:val="22"/>
          <w:szCs w:val="22"/>
          <w:lang w:eastAsia="zh-TW"/>
        </w:rPr>
      </w:pPr>
      <w:r w:rsidRPr="00B51954">
        <w:rPr>
          <w:rFonts w:eastAsia="Calibri" w:cs="Arial"/>
          <w:spacing w:val="2"/>
          <w:sz w:val="22"/>
          <w:szCs w:val="22"/>
          <w:lang w:eastAsia="zh-TW"/>
        </w:rPr>
        <w:t>Providing</w:t>
      </w:r>
      <w:r w:rsidRPr="00B51954">
        <w:rPr>
          <w:rFonts w:eastAsia="Calibri" w:cs="Arial"/>
          <w:b/>
          <w:bCs/>
          <w:spacing w:val="2"/>
          <w:sz w:val="22"/>
          <w:szCs w:val="22"/>
          <w:lang w:eastAsia="zh-TW"/>
        </w:rPr>
        <w:t xml:space="preserve"> Fellowships</w:t>
      </w:r>
      <w:r w:rsidRPr="00B51954">
        <w:rPr>
          <w:rFonts w:eastAsia="Calibri" w:cs="Arial"/>
          <w:spacing w:val="2"/>
          <w:sz w:val="22"/>
          <w:szCs w:val="22"/>
          <w:lang w:eastAsia="zh-TW"/>
        </w:rPr>
        <w:t xml:space="preserve"> to encourage engagement and continuity of active participation by</w:t>
      </w:r>
      <w:r w:rsidRPr="0062595A">
        <w:rPr>
          <w:rFonts w:eastAsia="Calibri" w:cs="Arial"/>
          <w:sz w:val="22"/>
          <w:szCs w:val="22"/>
          <w:lang w:eastAsia="zh-TW"/>
        </w:rPr>
        <w:t xml:space="preserve"> ITU-T delegates from eligible developing countries. 713 fellowships were awarded during the reporting period, </w:t>
      </w:r>
      <w:proofErr w:type="gramStart"/>
      <w:r w:rsidRPr="0062595A">
        <w:rPr>
          <w:rFonts w:eastAsia="Calibri" w:cs="Arial"/>
          <w:sz w:val="22"/>
          <w:szCs w:val="22"/>
          <w:lang w:eastAsia="zh-TW"/>
        </w:rPr>
        <w:t>taking into account</w:t>
      </w:r>
      <w:proofErr w:type="gramEnd"/>
      <w:r w:rsidRPr="0062595A">
        <w:rPr>
          <w:rFonts w:eastAsia="Calibri" w:cs="Arial"/>
          <w:sz w:val="22"/>
          <w:szCs w:val="22"/>
          <w:lang w:eastAsia="zh-TW"/>
        </w:rPr>
        <w:t xml:space="preserve"> each candidate's suitability and prioritizing equitable distribution in terms of region, gender, delegates with specific needs in accordance with Service Order 21/02, "Policy for awarding fellowships for events and activities funded through the ITU regular budget".</w:t>
      </w:r>
    </w:p>
    <w:p w14:paraId="5E9E691B" w14:textId="58332C6B" w:rsidR="0062595A" w:rsidRPr="0062595A" w:rsidRDefault="0062595A" w:rsidP="004630E8">
      <w:pPr>
        <w:numPr>
          <w:ilvl w:val="0"/>
          <w:numId w:val="26"/>
        </w:numPr>
        <w:tabs>
          <w:tab w:val="clear" w:pos="567"/>
          <w:tab w:val="clear" w:pos="1134"/>
          <w:tab w:val="clear" w:pos="1701"/>
          <w:tab w:val="clear" w:pos="2268"/>
          <w:tab w:val="clear" w:pos="2835"/>
        </w:tabs>
        <w:suppressAutoHyphens/>
        <w:overflowPunct/>
        <w:autoSpaceDE/>
        <w:adjustRightInd/>
        <w:spacing w:after="120"/>
        <w:ind w:left="567" w:hanging="283"/>
        <w:jc w:val="both"/>
        <w:textAlignment w:val="auto"/>
        <w:rPr>
          <w:rFonts w:eastAsia="PMingLiU"/>
          <w:sz w:val="22"/>
          <w:szCs w:val="22"/>
          <w:lang w:eastAsia="zh-TW"/>
        </w:rPr>
      </w:pPr>
      <w:r w:rsidRPr="0062595A">
        <w:rPr>
          <w:rFonts w:eastAsia="PMingLiU"/>
          <w:sz w:val="22"/>
          <w:szCs w:val="22"/>
          <w:lang w:eastAsia="zh-TW"/>
        </w:rPr>
        <w:t xml:space="preserve">Expanding the content and delivery of </w:t>
      </w:r>
      <w:r w:rsidRPr="0062595A">
        <w:rPr>
          <w:rFonts w:eastAsia="PMingLiU"/>
          <w:b/>
          <w:bCs/>
          <w:sz w:val="22"/>
          <w:szCs w:val="22"/>
          <w:lang w:eastAsia="zh-TW"/>
        </w:rPr>
        <w:t>training</w:t>
      </w:r>
      <w:r w:rsidRPr="0062595A">
        <w:rPr>
          <w:rFonts w:eastAsia="PMingLiU"/>
          <w:sz w:val="22"/>
          <w:szCs w:val="22"/>
          <w:lang w:eastAsia="zh-TW"/>
        </w:rPr>
        <w:t xml:space="preserve"> to more fully meet the needs of newcomers and experienced delegates from developing countries, including those who serve or wish to serve in leadership positions. Updated training is provided via </w:t>
      </w:r>
      <w:hyperlink r:id="rId153" w:history="1">
        <w:r w:rsidRPr="0062595A">
          <w:rPr>
            <w:rFonts w:eastAsia="PMingLiU"/>
            <w:color w:val="0563C1"/>
            <w:sz w:val="22"/>
            <w:szCs w:val="22"/>
            <w:u w:val="single"/>
            <w:lang w:eastAsia="zh-TW"/>
          </w:rPr>
          <w:t>online training modules</w:t>
        </w:r>
      </w:hyperlink>
      <w:r w:rsidRPr="0062595A">
        <w:rPr>
          <w:rFonts w:eastAsia="PMingLiU"/>
          <w:sz w:val="22"/>
          <w:szCs w:val="22"/>
          <w:lang w:eastAsia="zh-TW"/>
        </w:rPr>
        <w:t xml:space="preserve">, stand-alone e-meetings and face-to-face events, frequently collocated with study group or regional group meetings, with an increased emphasis on practical skills and interactive learning. This training is closely integrated with the capacity building requirements of WTSA Resolutions </w:t>
      </w:r>
      <w:hyperlink r:id="rId154" w:history="1">
        <w:r w:rsidRPr="0062595A">
          <w:rPr>
            <w:rFonts w:eastAsia="PMingLiU"/>
            <w:color w:val="0563C1"/>
            <w:sz w:val="22"/>
            <w:szCs w:val="22"/>
            <w:u w:val="single"/>
            <w:lang w:eastAsia="zh-TW"/>
          </w:rPr>
          <w:t>55</w:t>
        </w:r>
      </w:hyperlink>
      <w:r w:rsidRPr="0062595A">
        <w:rPr>
          <w:rFonts w:eastAsia="PMingLiU"/>
          <w:sz w:val="22"/>
          <w:szCs w:val="22"/>
          <w:lang w:eastAsia="zh-TW"/>
        </w:rPr>
        <w:t xml:space="preserve"> (gender </w:t>
      </w:r>
      <w:r w:rsidRPr="00FC14E9">
        <w:rPr>
          <w:rFonts w:eastAsia="PMingLiU"/>
          <w:sz w:val="22"/>
          <w:szCs w:val="22"/>
          <w:lang w:eastAsia="zh-TW"/>
        </w:rPr>
        <w:t xml:space="preserve">equality) and </w:t>
      </w:r>
      <w:hyperlink r:id="rId155" w:history="1">
        <w:r w:rsidRPr="00FC14E9">
          <w:rPr>
            <w:rFonts w:eastAsia="PMingLiU"/>
            <w:color w:val="0563C1"/>
            <w:sz w:val="22"/>
            <w:szCs w:val="22"/>
            <w:u w:val="single"/>
            <w:lang w:eastAsia="zh-TW"/>
          </w:rPr>
          <w:t>107</w:t>
        </w:r>
      </w:hyperlink>
      <w:r w:rsidRPr="00FC14E9">
        <w:rPr>
          <w:rFonts w:eastAsia="PMingLiU"/>
          <w:sz w:val="22"/>
          <w:szCs w:val="22"/>
          <w:lang w:eastAsia="zh-TW"/>
        </w:rPr>
        <w:t xml:space="preserve"> (next-generation experts). Sixty-two capacity building events were held during the reporting period, in person and online, reaching over 1,000 participants in 2025 alone. (See more in Section </w:t>
      </w:r>
      <w:hyperlink w:anchor="Section_4_8_5_3" w:history="1">
        <w:r w:rsidRPr="00C93A80">
          <w:rPr>
            <w:rStyle w:val="Hyperlink"/>
            <w:rFonts w:eastAsia="PMingLiU"/>
            <w:color w:val="0563C1"/>
            <w:sz w:val="22"/>
            <w:szCs w:val="22"/>
            <w:lang w:eastAsia="en-GB"/>
          </w:rPr>
          <w:t>4.8.</w:t>
        </w:r>
        <w:r w:rsidRPr="00C93A80">
          <w:rPr>
            <w:rStyle w:val="Hyperlink"/>
            <w:rFonts w:eastAsia="PMingLiU"/>
            <w:color w:val="0563C1"/>
            <w:sz w:val="22"/>
            <w:szCs w:val="22"/>
            <w:lang w:eastAsia="zh-TW"/>
          </w:rPr>
          <w:t>5.3</w:t>
        </w:r>
      </w:hyperlink>
      <w:r w:rsidRPr="00FC14E9">
        <w:rPr>
          <w:rFonts w:eastAsia="PMingLiU"/>
          <w:sz w:val="22"/>
          <w:szCs w:val="22"/>
          <w:lang w:eastAsia="zh-TW"/>
        </w:rPr>
        <w:t>)</w:t>
      </w:r>
    </w:p>
    <w:p w14:paraId="7E331C84" w14:textId="77777777" w:rsidR="0062595A" w:rsidRPr="0062595A" w:rsidRDefault="0062595A" w:rsidP="004630E8">
      <w:pPr>
        <w:numPr>
          <w:ilvl w:val="0"/>
          <w:numId w:val="26"/>
        </w:numPr>
        <w:tabs>
          <w:tab w:val="clear" w:pos="567"/>
          <w:tab w:val="clear" w:pos="1134"/>
          <w:tab w:val="clear" w:pos="1701"/>
          <w:tab w:val="clear" w:pos="2268"/>
          <w:tab w:val="clear" w:pos="2835"/>
        </w:tabs>
        <w:suppressAutoHyphens/>
        <w:overflowPunct/>
        <w:autoSpaceDE/>
        <w:adjustRightInd/>
        <w:spacing w:after="120"/>
        <w:ind w:left="567" w:hanging="283"/>
        <w:jc w:val="both"/>
        <w:textAlignment w:val="auto"/>
        <w:rPr>
          <w:rFonts w:eastAsia="PMingLiU"/>
          <w:sz w:val="22"/>
          <w:szCs w:val="22"/>
          <w:lang w:eastAsia="zh-TW"/>
        </w:rPr>
      </w:pPr>
      <w:r w:rsidRPr="0062595A">
        <w:rPr>
          <w:rFonts w:eastAsia="PMingLiU"/>
          <w:b/>
          <w:bCs/>
          <w:sz w:val="22"/>
          <w:szCs w:val="22"/>
          <w:lang w:eastAsia="zh-TW"/>
        </w:rPr>
        <w:lastRenderedPageBreak/>
        <w:t>Enhancing Electronic Working Methods</w:t>
      </w:r>
      <w:r w:rsidRPr="0062595A">
        <w:rPr>
          <w:rFonts w:eastAsia="PMingLiU"/>
          <w:sz w:val="22"/>
          <w:szCs w:val="22"/>
          <w:lang w:eastAsia="zh-TW"/>
        </w:rPr>
        <w:t xml:space="preserve"> to facilitate the participation of delegates from developing countries, primarily through the </w:t>
      </w:r>
      <w:hyperlink r:id="rId156" w:history="1">
        <w:proofErr w:type="spellStart"/>
        <w:r w:rsidRPr="0062595A">
          <w:rPr>
            <w:rFonts w:eastAsia="PMingLiU"/>
            <w:color w:val="0563C1"/>
            <w:sz w:val="22"/>
            <w:szCs w:val="22"/>
            <w:u w:val="single"/>
            <w:lang w:eastAsia="zh-TW"/>
          </w:rPr>
          <w:t>MyWorkspace</w:t>
        </w:r>
        <w:proofErr w:type="spellEnd"/>
        <w:r w:rsidRPr="0062595A">
          <w:rPr>
            <w:rFonts w:eastAsia="PMingLiU"/>
            <w:color w:val="0563C1"/>
            <w:sz w:val="22"/>
            <w:szCs w:val="22"/>
            <w:u w:val="single"/>
            <w:lang w:eastAsia="zh-TW"/>
          </w:rPr>
          <w:t xml:space="preserve"> platform</w:t>
        </w:r>
      </w:hyperlink>
      <w:r w:rsidRPr="0062595A">
        <w:rPr>
          <w:rFonts w:eastAsia="PMingLiU"/>
          <w:sz w:val="22"/>
          <w:szCs w:val="22"/>
          <w:lang w:eastAsia="zh-TW"/>
        </w:rPr>
        <w:t xml:space="preserve"> and the enhancement of language services, such as on-demand machine translation of official meeting documents via ITU’s Document Management System. Such enhancements reinforce ITU’s implementation of WTSA Resolutions </w:t>
      </w:r>
      <w:hyperlink r:id="rId157" w:history="1">
        <w:r w:rsidRPr="0062595A">
          <w:rPr>
            <w:rFonts w:eastAsia="PMingLiU"/>
            <w:color w:val="0563C1"/>
            <w:sz w:val="22"/>
            <w:szCs w:val="22"/>
            <w:u w:val="single"/>
            <w:lang w:eastAsia="zh-TW"/>
          </w:rPr>
          <w:t>32</w:t>
        </w:r>
      </w:hyperlink>
      <w:r w:rsidRPr="0062595A">
        <w:rPr>
          <w:rFonts w:eastAsia="PMingLiU"/>
          <w:sz w:val="22"/>
          <w:szCs w:val="22"/>
          <w:lang w:eastAsia="zh-TW"/>
        </w:rPr>
        <w:t xml:space="preserve"> (strengthening electronic working methods) and </w:t>
      </w:r>
      <w:hyperlink r:id="rId158" w:history="1">
        <w:r w:rsidRPr="0062595A">
          <w:rPr>
            <w:rFonts w:eastAsia="PMingLiU"/>
            <w:color w:val="0563C1"/>
            <w:sz w:val="22"/>
            <w:szCs w:val="22"/>
            <w:u w:val="single"/>
            <w:lang w:eastAsia="zh-TW"/>
          </w:rPr>
          <w:t>67</w:t>
        </w:r>
      </w:hyperlink>
      <w:r w:rsidRPr="0062595A">
        <w:rPr>
          <w:rFonts w:eastAsia="PMingLiU"/>
          <w:sz w:val="22"/>
          <w:szCs w:val="22"/>
          <w:lang w:eastAsia="zh-TW"/>
        </w:rPr>
        <w:t xml:space="preserve"> (use of all official languages on an equal footing).</w:t>
      </w:r>
    </w:p>
    <w:p w14:paraId="09D9E519" w14:textId="77777777" w:rsidR="0062595A" w:rsidRPr="0062595A" w:rsidRDefault="0062595A" w:rsidP="004630E8">
      <w:pPr>
        <w:numPr>
          <w:ilvl w:val="0"/>
          <w:numId w:val="26"/>
        </w:numPr>
        <w:tabs>
          <w:tab w:val="clear" w:pos="567"/>
          <w:tab w:val="clear" w:pos="1134"/>
          <w:tab w:val="clear" w:pos="1701"/>
          <w:tab w:val="clear" w:pos="2268"/>
          <w:tab w:val="clear" w:pos="2835"/>
        </w:tabs>
        <w:suppressAutoHyphens/>
        <w:overflowPunct/>
        <w:autoSpaceDE/>
        <w:adjustRightInd/>
        <w:spacing w:after="120"/>
        <w:ind w:left="567" w:hanging="283"/>
        <w:jc w:val="both"/>
        <w:textAlignment w:val="auto"/>
        <w:rPr>
          <w:rFonts w:eastAsia="PMingLiU"/>
          <w:sz w:val="22"/>
          <w:szCs w:val="22"/>
          <w:lang w:eastAsia="zh-TW"/>
        </w:rPr>
      </w:pPr>
      <w:r w:rsidRPr="0062595A">
        <w:rPr>
          <w:rFonts w:eastAsia="PMingLiU"/>
          <w:b/>
          <w:bCs/>
          <w:sz w:val="22"/>
          <w:szCs w:val="22"/>
          <w:lang w:eastAsia="zh-TW"/>
        </w:rPr>
        <w:t>Collaborating with partners</w:t>
      </w:r>
      <w:r w:rsidRPr="0062595A">
        <w:rPr>
          <w:rFonts w:eastAsia="PMingLiU"/>
          <w:sz w:val="22"/>
          <w:szCs w:val="22"/>
          <w:lang w:eastAsia="zh-TW"/>
        </w:rPr>
        <w:t>, including sponsors and hosts, as well as with ITU’s Telecommunication Development Bureau (BDT) and ITU regional/area offices, to raise awareness and build regional capacity. WTSA Resolution 44 invites voluntary contributions from all stakeholders to facilitate ITU-T’s efforts to bridge the standardization gap. For example, Japan's Ministry of Internal Affairs and Communications has supported activities since 2023, most recently via the project “</w:t>
      </w:r>
      <w:hyperlink r:id="rId159" w:history="1">
        <w:r w:rsidRPr="0062595A">
          <w:rPr>
            <w:rFonts w:eastAsia="PMingLiU"/>
            <w:color w:val="0563C1"/>
            <w:sz w:val="22"/>
            <w:szCs w:val="22"/>
            <w:u w:val="single"/>
            <w:lang w:eastAsia="zh-TW"/>
          </w:rPr>
          <w:t>Artificial Intelligence Technology and Standards Capacity Building in Asia Pacific</w:t>
        </w:r>
      </w:hyperlink>
      <w:r w:rsidRPr="0062595A">
        <w:rPr>
          <w:rFonts w:eastAsia="PMingLiU"/>
          <w:sz w:val="22"/>
          <w:szCs w:val="22"/>
          <w:lang w:eastAsia="zh-TW"/>
        </w:rPr>
        <w:t>”, which by December 2025 had delivered four capacity building workshops across the Asia region, reaching over 200 BSG participants.</w:t>
      </w:r>
    </w:p>
    <w:p w14:paraId="0736AE5A" w14:textId="77777777" w:rsidR="0062595A" w:rsidRPr="0062595A" w:rsidRDefault="0062595A" w:rsidP="004630E8">
      <w:pPr>
        <w:numPr>
          <w:ilvl w:val="0"/>
          <w:numId w:val="26"/>
        </w:numPr>
        <w:tabs>
          <w:tab w:val="clear" w:pos="567"/>
          <w:tab w:val="clear" w:pos="1134"/>
          <w:tab w:val="clear" w:pos="1701"/>
          <w:tab w:val="clear" w:pos="2268"/>
          <w:tab w:val="clear" w:pos="2835"/>
        </w:tabs>
        <w:suppressAutoHyphens/>
        <w:overflowPunct/>
        <w:autoSpaceDE/>
        <w:adjustRightInd/>
        <w:spacing w:after="120"/>
        <w:ind w:left="567" w:hanging="283"/>
        <w:jc w:val="both"/>
        <w:textAlignment w:val="auto"/>
        <w:rPr>
          <w:rFonts w:eastAsia="PMingLiU"/>
          <w:sz w:val="22"/>
          <w:szCs w:val="22"/>
          <w:lang w:eastAsia="zh-TW"/>
        </w:rPr>
      </w:pPr>
      <w:r w:rsidRPr="0062595A">
        <w:rPr>
          <w:rFonts w:eastAsia="PMingLiU"/>
          <w:sz w:val="22"/>
          <w:szCs w:val="22"/>
          <w:lang w:eastAsia="zh-TW"/>
        </w:rPr>
        <w:t xml:space="preserve">Streamlining and harmonizing </w:t>
      </w:r>
      <w:r w:rsidRPr="0062595A">
        <w:rPr>
          <w:rFonts w:eastAsia="PMingLiU"/>
          <w:b/>
          <w:bCs/>
          <w:sz w:val="22"/>
          <w:szCs w:val="22"/>
          <w:lang w:eastAsia="zh-TW"/>
        </w:rPr>
        <w:t>internal data analysis</w:t>
      </w:r>
      <w:r w:rsidRPr="0062595A">
        <w:rPr>
          <w:rFonts w:eastAsia="PMingLiU"/>
          <w:sz w:val="22"/>
          <w:szCs w:val="22"/>
          <w:lang w:eastAsia="zh-TW"/>
        </w:rPr>
        <w:t xml:space="preserve">, </w:t>
      </w:r>
      <w:r w:rsidRPr="0062595A">
        <w:rPr>
          <w:rFonts w:eastAsia="PMingLiU"/>
          <w:b/>
          <w:bCs/>
          <w:sz w:val="22"/>
          <w:szCs w:val="22"/>
          <w:lang w:eastAsia="zh-TW"/>
        </w:rPr>
        <w:t xml:space="preserve">working methods </w:t>
      </w:r>
      <w:r w:rsidRPr="0062595A">
        <w:rPr>
          <w:rFonts w:eastAsia="PMingLiU"/>
          <w:sz w:val="22"/>
          <w:szCs w:val="22"/>
          <w:lang w:eastAsia="zh-TW"/>
        </w:rPr>
        <w:t xml:space="preserve">and </w:t>
      </w:r>
      <w:r w:rsidRPr="0062595A">
        <w:rPr>
          <w:rFonts w:eastAsia="PMingLiU"/>
          <w:b/>
          <w:bCs/>
          <w:sz w:val="22"/>
          <w:szCs w:val="22"/>
          <w:lang w:eastAsia="zh-TW"/>
        </w:rPr>
        <w:t>delegate on-boarding</w:t>
      </w:r>
      <w:r w:rsidRPr="0062595A">
        <w:rPr>
          <w:rFonts w:eastAsia="PMingLiU"/>
          <w:sz w:val="22"/>
          <w:szCs w:val="22"/>
          <w:lang w:eastAsia="zh-TW"/>
        </w:rPr>
        <w:t xml:space="preserve"> to help delegates, particularly those from developing countries, to contribute effectively at ITU-T events, and to report progress on implementation of WTSA Resolution 44 to Council, WTSA and the Telecommunication Standardization Advisory Group.</w:t>
      </w:r>
    </w:p>
    <w:p w14:paraId="57CB63FF" w14:textId="77777777" w:rsidR="0062595A" w:rsidRPr="0062595A" w:rsidRDefault="0062595A" w:rsidP="004630E8">
      <w:pPr>
        <w:numPr>
          <w:ilvl w:val="0"/>
          <w:numId w:val="26"/>
        </w:numPr>
        <w:tabs>
          <w:tab w:val="clear" w:pos="567"/>
          <w:tab w:val="clear" w:pos="1134"/>
          <w:tab w:val="clear" w:pos="1701"/>
          <w:tab w:val="clear" w:pos="2268"/>
          <w:tab w:val="clear" w:pos="2835"/>
        </w:tabs>
        <w:suppressAutoHyphens/>
        <w:overflowPunct/>
        <w:autoSpaceDE/>
        <w:adjustRightInd/>
        <w:spacing w:after="120"/>
        <w:ind w:left="567" w:hanging="283"/>
        <w:jc w:val="both"/>
        <w:textAlignment w:val="auto"/>
        <w:rPr>
          <w:rFonts w:eastAsia="PMingLiU"/>
          <w:sz w:val="22"/>
          <w:szCs w:val="22"/>
          <w:lang w:eastAsia="zh-TW"/>
        </w:rPr>
      </w:pPr>
      <w:r w:rsidRPr="0062595A">
        <w:rPr>
          <w:rFonts w:eastAsia="Calibri" w:cs="Arial"/>
          <w:sz w:val="22"/>
          <w:szCs w:val="22"/>
          <w:lang w:eastAsia="zh-TW"/>
        </w:rPr>
        <w:t xml:space="preserve">Promoting the </w:t>
      </w:r>
      <w:hyperlink r:id="rId160" w:history="1">
        <w:r w:rsidRPr="0062595A">
          <w:rPr>
            <w:rFonts w:eastAsia="PMingLiU"/>
            <w:color w:val="0563C1"/>
            <w:sz w:val="22"/>
            <w:szCs w:val="22"/>
            <w:u w:val="single"/>
            <w:lang w:eastAsia="zh-TW"/>
          </w:rPr>
          <w:t>Guidelines for National Standardization Secretariats</w:t>
        </w:r>
      </w:hyperlink>
      <w:r w:rsidRPr="0062595A">
        <w:rPr>
          <w:rFonts w:eastAsia="Calibri" w:cs="Arial"/>
          <w:sz w:val="22"/>
          <w:szCs w:val="22"/>
          <w:lang w:eastAsia="zh-TW"/>
        </w:rPr>
        <w:t>, which set out practical mechanisms to develop national structures and procedures to support effective participation in ITU-T activities in alignment with national standardization priorities.</w:t>
      </w:r>
    </w:p>
    <w:p w14:paraId="30C81B68" w14:textId="2A409985" w:rsidR="0062595A" w:rsidRPr="0062595A" w:rsidRDefault="0062595A" w:rsidP="004630E8">
      <w:pPr>
        <w:numPr>
          <w:ilvl w:val="0"/>
          <w:numId w:val="26"/>
        </w:numPr>
        <w:tabs>
          <w:tab w:val="clear" w:pos="567"/>
          <w:tab w:val="clear" w:pos="1134"/>
          <w:tab w:val="clear" w:pos="1701"/>
          <w:tab w:val="clear" w:pos="2268"/>
          <w:tab w:val="clear" w:pos="2835"/>
        </w:tabs>
        <w:suppressAutoHyphens/>
        <w:overflowPunct/>
        <w:autoSpaceDE/>
        <w:adjustRightInd/>
        <w:spacing w:after="120"/>
        <w:ind w:left="567" w:hanging="283"/>
        <w:jc w:val="both"/>
        <w:textAlignment w:val="auto"/>
        <w:rPr>
          <w:rFonts w:eastAsia="PMingLiU"/>
          <w:sz w:val="22"/>
          <w:szCs w:val="22"/>
          <w:lang w:eastAsia="zh-TW"/>
        </w:rPr>
      </w:pPr>
      <w:r w:rsidRPr="0062595A">
        <w:rPr>
          <w:rFonts w:eastAsia="Calibri" w:cs="Arial"/>
          <w:sz w:val="22"/>
          <w:szCs w:val="22"/>
          <w:lang w:eastAsia="zh-TW"/>
        </w:rPr>
        <w:t xml:space="preserve">Engaging in a range of initiatives that promote the implementation of ITU-T Recommendations, including: </w:t>
      </w:r>
      <w:hyperlink r:id="rId161" w:history="1">
        <w:r w:rsidR="007B2734">
          <w:rPr>
            <w:rFonts w:eastAsia="Calibri" w:cs="Arial"/>
            <w:color w:val="0563C1"/>
            <w:sz w:val="22"/>
            <w:szCs w:val="22"/>
            <w:u w:val="single"/>
            <w:lang w:eastAsia="zh-TW"/>
          </w:rPr>
          <w:t>e</w:t>
        </w:r>
        <w:r w:rsidRPr="0062595A">
          <w:rPr>
            <w:rFonts w:eastAsia="Calibri" w:cs="Arial"/>
            <w:color w:val="0563C1"/>
            <w:sz w:val="22"/>
            <w:szCs w:val="22"/>
            <w:u w:val="single"/>
            <w:lang w:eastAsia="zh-TW"/>
          </w:rPr>
          <w:t>-waste</w:t>
        </w:r>
      </w:hyperlink>
      <w:r w:rsidRPr="0062595A">
        <w:rPr>
          <w:rFonts w:eastAsia="Calibri" w:cs="Arial"/>
          <w:sz w:val="22"/>
          <w:szCs w:val="22"/>
          <w:lang w:eastAsia="zh-TW"/>
        </w:rPr>
        <w:t xml:space="preserve">, the </w:t>
      </w:r>
      <w:hyperlink r:id="rId162" w:history="1">
        <w:r w:rsidRPr="0062595A">
          <w:rPr>
            <w:rFonts w:eastAsia="Calibri" w:cs="Arial"/>
            <w:color w:val="0563C1"/>
            <w:sz w:val="22"/>
            <w:szCs w:val="22"/>
            <w:u w:val="single"/>
            <w:lang w:eastAsia="zh-TW"/>
          </w:rPr>
          <w:t>Digital Financial Services Security Lab</w:t>
        </w:r>
      </w:hyperlink>
      <w:r w:rsidRPr="0062595A">
        <w:rPr>
          <w:rFonts w:eastAsia="Calibri" w:cs="Arial"/>
          <w:sz w:val="22"/>
          <w:szCs w:val="22"/>
          <w:lang w:eastAsia="zh-TW"/>
        </w:rPr>
        <w:t>, United for Smart Sustainable Cities (</w:t>
      </w:r>
      <w:hyperlink r:id="rId163" w:history="1">
        <w:r w:rsidRPr="0062595A">
          <w:rPr>
            <w:rFonts w:eastAsia="Calibri" w:cs="Arial"/>
            <w:color w:val="0563C1"/>
            <w:sz w:val="22"/>
            <w:szCs w:val="22"/>
            <w:u w:val="single"/>
            <w:lang w:eastAsia="zh-TW"/>
          </w:rPr>
          <w:t>U4SSC</w:t>
        </w:r>
      </w:hyperlink>
      <w:r w:rsidRPr="0062595A">
        <w:rPr>
          <w:rFonts w:eastAsia="PMingLiU"/>
          <w:sz w:val="22"/>
          <w:szCs w:val="22"/>
          <w:lang w:eastAsia="zh-TW"/>
        </w:rPr>
        <w:t>)</w:t>
      </w:r>
      <w:r w:rsidRPr="0062595A">
        <w:rPr>
          <w:rFonts w:eastAsia="Calibri" w:cs="Arial"/>
          <w:sz w:val="22"/>
          <w:szCs w:val="22"/>
          <w:lang w:eastAsia="zh-TW"/>
        </w:rPr>
        <w:t xml:space="preserve">, </w:t>
      </w:r>
      <w:hyperlink r:id="rId164" w:history="1">
        <w:r w:rsidRPr="0062595A">
          <w:rPr>
            <w:rFonts w:eastAsia="Calibri" w:cs="Arial"/>
            <w:color w:val="0563C1"/>
            <w:sz w:val="22"/>
            <w:szCs w:val="22"/>
            <w:u w:val="single"/>
            <w:lang w:eastAsia="zh-TW"/>
          </w:rPr>
          <w:t>Conformity and Interoperability (C&amp;I)</w:t>
        </w:r>
      </w:hyperlink>
      <w:r w:rsidRPr="0062595A">
        <w:rPr>
          <w:rFonts w:eastAsia="Calibri" w:cs="Arial"/>
          <w:sz w:val="22"/>
          <w:szCs w:val="22"/>
          <w:lang w:eastAsia="zh-TW"/>
        </w:rPr>
        <w:t xml:space="preserve">, and </w:t>
      </w:r>
      <w:hyperlink r:id="rId165" w:history="1">
        <w:r w:rsidRPr="0062595A">
          <w:rPr>
            <w:rFonts w:eastAsia="Calibri" w:cs="Arial"/>
            <w:color w:val="0563C1"/>
            <w:sz w:val="22"/>
            <w:szCs w:val="22"/>
            <w:u w:val="single"/>
            <w:lang w:eastAsia="zh-TW"/>
          </w:rPr>
          <w:t>Safe listening</w:t>
        </w:r>
      </w:hyperlink>
      <w:r w:rsidRPr="0062595A">
        <w:rPr>
          <w:rFonts w:eastAsia="Calibri" w:cs="Arial"/>
          <w:sz w:val="22"/>
          <w:szCs w:val="22"/>
          <w:lang w:eastAsia="zh-TW"/>
        </w:rPr>
        <w:t>.</w:t>
      </w:r>
    </w:p>
    <w:p w14:paraId="07D04298" w14:textId="77777777" w:rsidR="0062595A" w:rsidRPr="0062595A" w:rsidRDefault="0062595A" w:rsidP="004630E8">
      <w:pPr>
        <w:keepNext/>
        <w:keepLines/>
        <w:tabs>
          <w:tab w:val="clear" w:pos="567"/>
        </w:tabs>
        <w:suppressAutoHyphens/>
        <w:adjustRightInd/>
        <w:spacing w:before="360" w:after="120"/>
        <w:ind w:left="567" w:hanging="567"/>
        <w:jc w:val="both"/>
        <w:outlineLvl w:val="1"/>
        <w:rPr>
          <w:rFonts w:eastAsia="MS Mincho"/>
          <w:b/>
        </w:rPr>
      </w:pPr>
      <w:bookmarkStart w:id="79" w:name="_Toc224288813"/>
      <w:r w:rsidRPr="0062595A">
        <w:rPr>
          <w:rFonts w:eastAsia="MS Mincho"/>
          <w:b/>
        </w:rPr>
        <w:t>4.4</w:t>
      </w:r>
      <w:r w:rsidRPr="0062595A">
        <w:rPr>
          <w:rFonts w:eastAsia="MS Mincho"/>
          <w:b/>
        </w:rPr>
        <w:tab/>
        <w:t>Development of policy frameworks and knowledge products</w:t>
      </w:r>
      <w:bookmarkEnd w:id="79"/>
    </w:p>
    <w:p w14:paraId="5B978494" w14:textId="3D3C4972"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ITU develops handbooks, technical reports and papers, inter alia through its study groups to assist its membership on telecommunication/ ICT matters (see, for </w:t>
      </w:r>
      <w:r w:rsidRPr="00FC14E9">
        <w:rPr>
          <w:rFonts w:eastAsia="MS Mincho"/>
          <w:sz w:val="22"/>
        </w:rPr>
        <w:t xml:space="preserve">example, Section </w:t>
      </w:r>
      <w:hyperlink w:anchor="Section_4_3" w:history="1">
        <w:r w:rsidRPr="00C93A80">
          <w:rPr>
            <w:rStyle w:val="Hyperlink"/>
            <w:rFonts w:eastAsia="MS Mincho"/>
            <w:color w:val="0563C1"/>
            <w:sz w:val="22"/>
          </w:rPr>
          <w:t>4.3</w:t>
        </w:r>
      </w:hyperlink>
      <w:r w:rsidRPr="00FC14E9">
        <w:rPr>
          <w:rFonts w:eastAsia="MS Mincho"/>
          <w:sz w:val="22"/>
        </w:rPr>
        <w:t xml:space="preserve"> above</w:t>
      </w:r>
      <w:r w:rsidRPr="0062595A">
        <w:rPr>
          <w:rFonts w:eastAsia="MS Mincho"/>
          <w:sz w:val="22"/>
        </w:rPr>
        <w:t xml:space="preserve">). Best practices from Member States, the private sector, research and academia are collected and shared back with Member States. </w:t>
      </w:r>
    </w:p>
    <w:p w14:paraId="5EC606EB"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ITU provides knowledge-exchange products and tools to enable dialogue and enhance cooperation, helping countries maximize digital benefits for everyone, and providing key insights to understand and navigate the challenges and opportunities that come with promoting connectivity and digital transformation.</w:t>
      </w:r>
    </w:p>
    <w:p w14:paraId="6E044773"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With the aim of strengthening the capacity of Member States to advance their ICT policy, legal, and regulatory frameworks, ITU-D provides guidance, knowledge products, capacity development, and technical assistance. This helps equip national decision-makers with the evidence and tools needed to navigate increasingly complex ICT and digital markets and ecosystems. The coordinated efforts of ITU-D also ensure that the support provided to countries incorporate key dimensions such as affordability, inclusion, competition, and investment with a whole-of-government approach to unleash overarching digital strategies. ITU-D also advances global advocacy on the role of regulation in enabling sustainable digital transformation through high- level flagship events in accordance with WTDC Resolution 48 (Rev. Kigali, 2022) on Strengthening cooperation among Improving national policy and regulations.</w:t>
      </w:r>
    </w:p>
    <w:p w14:paraId="3535FE10" w14:textId="77777777" w:rsidR="0062595A" w:rsidRPr="00873EFC" w:rsidRDefault="0062595A" w:rsidP="004630E8">
      <w:pPr>
        <w:keepNext/>
        <w:keepLines/>
        <w:tabs>
          <w:tab w:val="clear" w:pos="567"/>
        </w:tabs>
        <w:suppressAutoHyphens/>
        <w:adjustRightInd/>
        <w:spacing w:before="240" w:after="120"/>
        <w:ind w:left="567" w:hanging="567"/>
        <w:jc w:val="both"/>
        <w:outlineLvl w:val="2"/>
        <w:rPr>
          <w:rFonts w:eastAsia="MS Mincho"/>
          <w:b/>
          <w:color w:val="0D0D0D"/>
          <w:lang w:eastAsia="en-GB"/>
        </w:rPr>
      </w:pPr>
      <w:bookmarkStart w:id="80" w:name="_Toc224288814"/>
      <w:r w:rsidRPr="00873EFC">
        <w:rPr>
          <w:rFonts w:eastAsia="MS Mincho"/>
          <w:b/>
          <w:color w:val="0D0D0D"/>
          <w:lang w:eastAsia="en-GB"/>
        </w:rPr>
        <w:lastRenderedPageBreak/>
        <w:t>4.4.1</w:t>
      </w:r>
      <w:r w:rsidRPr="00873EFC">
        <w:rPr>
          <w:rFonts w:eastAsia="MS Mincho"/>
          <w:b/>
          <w:color w:val="0D0D0D"/>
          <w:lang w:eastAsia="en-GB"/>
        </w:rPr>
        <w:tab/>
        <w:t>Cybersecurity: Building confidence and security in ICTs</w:t>
      </w:r>
      <w:bookmarkEnd w:id="80"/>
    </w:p>
    <w:p w14:paraId="26F9BE0F" w14:textId="77777777" w:rsidR="00C93A80" w:rsidRPr="00873EFC" w:rsidRDefault="00C93A80" w:rsidP="00C93A80">
      <w:pPr>
        <w:spacing w:line="259" w:lineRule="auto"/>
        <w:jc w:val="both"/>
        <w:rPr>
          <w:sz w:val="22"/>
          <w:szCs w:val="22"/>
        </w:rPr>
      </w:pPr>
      <w:r w:rsidRPr="00873EFC">
        <w:rPr>
          <w:sz w:val="22"/>
          <w:szCs w:val="22"/>
        </w:rPr>
        <w:t xml:space="preserve">Across ITU, </w:t>
      </w:r>
      <w:r w:rsidRPr="00873EFC">
        <w:rPr>
          <w:rFonts w:eastAsia="SimSun"/>
          <w:sz w:val="22"/>
          <w:szCs w:val="22"/>
        </w:rPr>
        <w:t xml:space="preserve">organized around the five pillars of the Global Cybersecurity Agenda (GCA), </w:t>
      </w:r>
      <w:r w:rsidRPr="00873EFC">
        <w:rPr>
          <w:sz w:val="22"/>
          <w:szCs w:val="22"/>
        </w:rPr>
        <w:t xml:space="preserve">work programmes in development, standardization, and radiocommunication contributed to a comprehensive cybersecurity framework. </w:t>
      </w:r>
    </w:p>
    <w:p w14:paraId="55FD09C8" w14:textId="47CC6675" w:rsidR="00C93A80" w:rsidRPr="00873EFC" w:rsidRDefault="00C93A80" w:rsidP="00C93A80">
      <w:pPr>
        <w:spacing w:line="259" w:lineRule="auto"/>
        <w:jc w:val="both"/>
        <w:rPr>
          <w:sz w:val="22"/>
          <w:szCs w:val="22"/>
        </w:rPr>
      </w:pPr>
      <w:r w:rsidRPr="00873EFC">
        <w:rPr>
          <w:sz w:val="22"/>
          <w:szCs w:val="22"/>
        </w:rPr>
        <w:t xml:space="preserve">Within the development sector, ITU supported Member States in strengthening their institutional readiness by assisting in the development of </w:t>
      </w:r>
      <w:hyperlink r:id="rId166" w:history="1">
        <w:r w:rsidRPr="00873EFC">
          <w:rPr>
            <w:rStyle w:val="Hyperlink"/>
            <w:color w:val="0563C1"/>
            <w:sz w:val="22"/>
            <w:szCs w:val="22"/>
          </w:rPr>
          <w:t>National Cybersecurity Strategies</w:t>
        </w:r>
      </w:hyperlink>
      <w:r w:rsidRPr="00873EFC">
        <w:rPr>
          <w:sz w:val="22"/>
          <w:szCs w:val="22"/>
        </w:rPr>
        <w:t xml:space="preserve">, helping to establish and operationalize </w:t>
      </w:r>
      <w:hyperlink r:id="rId167" w:history="1">
        <w:r w:rsidRPr="00873EFC">
          <w:rPr>
            <w:rStyle w:val="Hyperlink"/>
            <w:color w:val="0563C1"/>
            <w:sz w:val="22"/>
            <w:szCs w:val="22"/>
          </w:rPr>
          <w:t>National Computer Incident Response Teams (CIRTs)</w:t>
        </w:r>
      </w:hyperlink>
      <w:r w:rsidRPr="00873EFC">
        <w:rPr>
          <w:sz w:val="22"/>
          <w:szCs w:val="22"/>
        </w:rPr>
        <w:t xml:space="preserve">, and through </w:t>
      </w:r>
      <w:r w:rsidRPr="00873EFC">
        <w:rPr>
          <w:rFonts w:eastAsiaTheme="minorEastAsia"/>
          <w:sz w:val="22"/>
          <w:szCs w:val="22"/>
        </w:rPr>
        <w:t xml:space="preserve">national, regional and global </w:t>
      </w:r>
      <w:proofErr w:type="spellStart"/>
      <w:r w:rsidRPr="00873EFC">
        <w:rPr>
          <w:rFonts w:eastAsiaTheme="minorEastAsia"/>
          <w:sz w:val="22"/>
          <w:szCs w:val="22"/>
        </w:rPr>
        <w:t>cyberdrills</w:t>
      </w:r>
      <w:proofErr w:type="spellEnd"/>
      <w:r w:rsidRPr="00873EFC">
        <w:rPr>
          <w:sz w:val="22"/>
          <w:szCs w:val="22"/>
        </w:rPr>
        <w:t xml:space="preserve">. </w:t>
      </w:r>
      <w:r w:rsidRPr="00873EFC">
        <w:rPr>
          <w:rFonts w:eastAsia="Calibri"/>
          <w:sz w:val="22"/>
          <w:szCs w:val="22"/>
        </w:rPr>
        <w:t xml:space="preserve">So far, ITU has assisted 85 countries by evaluating their cybersecurity readiness, leading to the establishment or improvement of National CIRTs. </w:t>
      </w:r>
      <w:r w:rsidRPr="00873EFC">
        <w:rPr>
          <w:rFonts w:eastAsia="SimSun"/>
          <w:sz w:val="22"/>
          <w:szCs w:val="22"/>
          <w:lang w:val="en-US"/>
        </w:rPr>
        <w:t xml:space="preserve">As of </w:t>
      </w:r>
      <w:r w:rsidRPr="00873EFC">
        <w:rPr>
          <w:rFonts w:eastAsia="SimSun"/>
          <w:sz w:val="22"/>
          <w:szCs w:val="22"/>
        </w:rPr>
        <w:t>May</w:t>
      </w:r>
      <w:r w:rsidRPr="00873EFC">
        <w:rPr>
          <w:rFonts w:eastAsia="SimSun"/>
          <w:sz w:val="22"/>
          <w:szCs w:val="22"/>
          <w:lang w:val="en-US"/>
        </w:rPr>
        <w:t xml:space="preserve"> 202</w:t>
      </w:r>
      <w:r w:rsidR="00945BD4">
        <w:rPr>
          <w:rFonts w:eastAsia="SimSun"/>
          <w:sz w:val="22"/>
          <w:szCs w:val="22"/>
          <w:lang w:val="en-US"/>
        </w:rPr>
        <w:t>6</w:t>
      </w:r>
      <w:r w:rsidRPr="00873EFC">
        <w:rPr>
          <w:rFonts w:eastAsia="SimSun"/>
          <w:sz w:val="22"/>
          <w:szCs w:val="22"/>
          <w:lang w:val="en-US"/>
        </w:rPr>
        <w:t xml:space="preserve">, ITU has organized over 60 international, regional, or national </w:t>
      </w:r>
      <w:hyperlink r:id="rId168" w:tgtFrame="_blank" w:history="1">
        <w:proofErr w:type="spellStart"/>
        <w:r w:rsidRPr="00873EFC">
          <w:rPr>
            <w:rStyle w:val="Hyperlink"/>
            <w:rFonts w:eastAsiaTheme="minorEastAsia"/>
            <w:color w:val="0563C1"/>
            <w:sz w:val="22"/>
            <w:szCs w:val="22"/>
          </w:rPr>
          <w:t>CyberDrills</w:t>
        </w:r>
        <w:proofErr w:type="spellEnd"/>
      </w:hyperlink>
      <w:r w:rsidRPr="00873EFC">
        <w:rPr>
          <w:rFonts w:eastAsia="SimSun"/>
          <w:sz w:val="22"/>
          <w:szCs w:val="22"/>
          <w:lang w:val="en-US"/>
        </w:rPr>
        <w:t xml:space="preserve"> (including 4 Global </w:t>
      </w:r>
      <w:proofErr w:type="spellStart"/>
      <w:r w:rsidRPr="00873EFC">
        <w:rPr>
          <w:rFonts w:eastAsia="SimSun"/>
          <w:sz w:val="22"/>
          <w:szCs w:val="22"/>
          <w:lang w:val="en-US"/>
        </w:rPr>
        <w:t>CyberDrills</w:t>
      </w:r>
      <w:proofErr w:type="spellEnd"/>
      <w:r w:rsidRPr="00873EFC">
        <w:rPr>
          <w:rFonts w:eastAsia="SimSun"/>
          <w:sz w:val="22"/>
          <w:szCs w:val="22"/>
          <w:lang w:val="en-US"/>
        </w:rPr>
        <w:t>), involving more than 160 countries</w:t>
      </w:r>
      <w:r w:rsidRPr="00873EFC" w:rsidDel="00597921">
        <w:rPr>
          <w:rFonts w:eastAsia="SimSun"/>
          <w:sz w:val="22"/>
          <w:szCs w:val="22"/>
          <w:lang w:val="en-US"/>
        </w:rPr>
        <w:t xml:space="preserve"> </w:t>
      </w:r>
      <w:r w:rsidRPr="00873EFC">
        <w:rPr>
          <w:rFonts w:eastAsia="SimSun"/>
          <w:sz w:val="22"/>
          <w:szCs w:val="22"/>
          <w:lang w:val="en-US"/>
        </w:rPr>
        <w:t xml:space="preserve">across all six ITU regions. </w:t>
      </w:r>
    </w:p>
    <w:p w14:paraId="6FAC2C73" w14:textId="4A775A74" w:rsidR="00C93A80" w:rsidRPr="00AE7FA7" w:rsidRDefault="00C93A80" w:rsidP="6F546B6A">
      <w:pPr>
        <w:spacing w:line="259" w:lineRule="auto"/>
        <w:jc w:val="both"/>
        <w:rPr>
          <w:sz w:val="22"/>
          <w:szCs w:val="22"/>
        </w:rPr>
      </w:pPr>
      <w:r w:rsidRPr="00873EFC">
        <w:rPr>
          <w:rFonts w:eastAsiaTheme="minorEastAsia"/>
          <w:sz w:val="22"/>
          <w:szCs w:val="22"/>
        </w:rPr>
        <w:t>The</w:t>
      </w:r>
      <w:r w:rsidRPr="00873EFC">
        <w:rPr>
          <w:rFonts w:eastAsiaTheme="minorEastAsia"/>
          <w:sz w:val="22"/>
          <w:szCs w:val="22"/>
          <w:lang w:val="en-US"/>
        </w:rPr>
        <w:t xml:space="preserve"> fifth edition of the </w:t>
      </w:r>
      <w:hyperlink r:id="rId169">
        <w:r w:rsidRPr="00873EFC">
          <w:rPr>
            <w:rStyle w:val="Hyperlink"/>
            <w:rFonts w:eastAsia="SimSun"/>
            <w:color w:val="0563C1"/>
            <w:sz w:val="22"/>
            <w:szCs w:val="22"/>
          </w:rPr>
          <w:t>ITU Global Cybersecurity Index</w:t>
        </w:r>
      </w:hyperlink>
      <w:r w:rsidRPr="00873EFC">
        <w:rPr>
          <w:rFonts w:eastAsiaTheme="minorEastAsia"/>
          <w:sz w:val="22"/>
          <w:szCs w:val="22"/>
          <w:lang w:val="en-US"/>
        </w:rPr>
        <w:t xml:space="preserve"> (GCI) launched in September 2024. </w:t>
      </w:r>
      <w:r w:rsidRPr="00873EFC">
        <w:rPr>
          <w:sz w:val="22"/>
          <w:szCs w:val="22"/>
        </w:rPr>
        <w:t xml:space="preserve">ITU provided targeted capacity building, technical assistance, and policy guidance to enhance cyber preparedness and operational response capabilities through programmes for </w:t>
      </w:r>
      <w:hyperlink r:id="rId170">
        <w:r w:rsidRPr="6F546B6A">
          <w:rPr>
            <w:rStyle w:val="Hyperlink"/>
            <w:color w:val="0563C1"/>
            <w:sz w:val="22"/>
            <w:szCs w:val="22"/>
          </w:rPr>
          <w:t>Cyber for Good</w:t>
        </w:r>
      </w:hyperlink>
      <w:r w:rsidRPr="00873EFC">
        <w:rPr>
          <w:sz w:val="22"/>
          <w:szCs w:val="22"/>
        </w:rPr>
        <w:t xml:space="preserve">, </w:t>
      </w:r>
      <w:hyperlink r:id="rId171">
        <w:r w:rsidRPr="6F546B6A">
          <w:rPr>
            <w:rStyle w:val="Hyperlink"/>
            <w:color w:val="0563C1"/>
            <w:sz w:val="22"/>
            <w:szCs w:val="22"/>
          </w:rPr>
          <w:t xml:space="preserve">Her </w:t>
        </w:r>
        <w:proofErr w:type="spellStart"/>
        <w:r w:rsidRPr="6F546B6A">
          <w:rPr>
            <w:rStyle w:val="Hyperlink"/>
            <w:color w:val="0563C1"/>
            <w:sz w:val="22"/>
            <w:szCs w:val="22"/>
          </w:rPr>
          <w:t>CyberTracks</w:t>
        </w:r>
        <w:proofErr w:type="spellEnd"/>
      </w:hyperlink>
      <w:r w:rsidRPr="00873EFC">
        <w:rPr>
          <w:sz w:val="22"/>
          <w:szCs w:val="22"/>
        </w:rPr>
        <w:t xml:space="preserve"> and </w:t>
      </w:r>
      <w:hyperlink r:id="rId172">
        <w:r w:rsidRPr="6F546B6A">
          <w:rPr>
            <w:rStyle w:val="Hyperlink"/>
            <w:color w:val="0563C1"/>
            <w:sz w:val="22"/>
            <w:szCs w:val="22"/>
          </w:rPr>
          <w:t>ITU Academy</w:t>
        </w:r>
      </w:hyperlink>
      <w:r w:rsidRPr="00873EFC">
        <w:rPr>
          <w:sz w:val="22"/>
          <w:szCs w:val="22"/>
        </w:rPr>
        <w:t xml:space="preserve"> </w:t>
      </w:r>
      <w:r w:rsidRPr="00873EFC">
        <w:rPr>
          <w:rFonts w:eastAsiaTheme="minorEastAsia"/>
          <w:sz w:val="22"/>
          <w:szCs w:val="22"/>
        </w:rPr>
        <w:t xml:space="preserve">and the ITU Centres of Excellence and Academy </w:t>
      </w:r>
      <w:r w:rsidRPr="00AE7FA7">
        <w:rPr>
          <w:rFonts w:eastAsiaTheme="minorEastAsia"/>
          <w:sz w:val="22"/>
          <w:szCs w:val="22"/>
        </w:rPr>
        <w:t>Training Centres</w:t>
      </w:r>
      <w:r w:rsidRPr="00AE7FA7">
        <w:rPr>
          <w:sz w:val="22"/>
          <w:szCs w:val="22"/>
        </w:rPr>
        <w:t xml:space="preserve">. These activities complemented broader efforts to strengthen resilience, improve cyber governance, and ensure secure and inclusive access to digital technologies. </w:t>
      </w:r>
      <w:r w:rsidRPr="00AE7FA7">
        <w:rPr>
          <w:rFonts w:eastAsia="SimSun"/>
          <w:sz w:val="22"/>
          <w:szCs w:val="22"/>
        </w:rPr>
        <w:t xml:space="preserve">ITU continued to engage with stakeholders in the </w:t>
      </w:r>
      <w:hyperlink r:id="rId173">
        <w:r w:rsidRPr="00AE7FA7">
          <w:rPr>
            <w:rStyle w:val="Hyperlink"/>
            <w:rFonts w:eastAsia="SimSun"/>
            <w:color w:val="0563C1"/>
            <w:sz w:val="22"/>
            <w:szCs w:val="22"/>
          </w:rPr>
          <w:t>Open-ended Working Group on security of and in the use of ICTs (OEWG)</w:t>
        </w:r>
      </w:hyperlink>
      <w:r w:rsidRPr="00AE7FA7">
        <w:rPr>
          <w:sz w:val="22"/>
          <w:szCs w:val="22"/>
        </w:rPr>
        <w:t xml:space="preserve">, and </w:t>
      </w:r>
      <w:r w:rsidRPr="00AE7FA7">
        <w:rPr>
          <w:rFonts w:eastAsia="SimSun"/>
          <w:sz w:val="22"/>
          <w:szCs w:val="22"/>
        </w:rPr>
        <w:t xml:space="preserve">is prepared to continue engage with the new permanent mechanism and its thematic group on capacity building. </w:t>
      </w:r>
    </w:p>
    <w:p w14:paraId="676D30AB" w14:textId="4B660F59" w:rsidR="00C93A80" w:rsidRPr="00873EFC" w:rsidRDefault="00C93A80" w:rsidP="00C93A80">
      <w:pPr>
        <w:spacing w:line="259" w:lineRule="auto"/>
        <w:jc w:val="both"/>
        <w:rPr>
          <w:sz w:val="22"/>
          <w:szCs w:val="22"/>
        </w:rPr>
      </w:pPr>
      <w:r w:rsidRPr="00AE7FA7">
        <w:rPr>
          <w:rFonts w:eastAsia="SimSun"/>
          <w:sz w:val="22"/>
          <w:szCs w:val="22"/>
        </w:rPr>
        <w:t xml:space="preserve">In 2024, ITU established the International Advisory Body on Submarine Cables, in partnership with the International Cable Protection Committee. At the </w:t>
      </w:r>
      <w:hyperlink r:id="rId174">
        <w:r w:rsidRPr="00AE7FA7">
          <w:rPr>
            <w:rStyle w:val="Hyperlink"/>
            <w:rFonts w:eastAsia="SimSun"/>
            <w:color w:val="0563C1"/>
            <w:sz w:val="22"/>
            <w:szCs w:val="22"/>
          </w:rPr>
          <w:t>Abuja Summit 2025</w:t>
        </w:r>
        <w:r w:rsidRPr="00AE7FA7">
          <w:rPr>
            <w:rStyle w:val="Hyperlink"/>
            <w:rFonts w:eastAsia="SimSun"/>
            <w:color w:val="auto"/>
            <w:sz w:val="22"/>
            <w:szCs w:val="22"/>
          </w:rPr>
          <w:t>,</w:t>
        </w:r>
      </w:hyperlink>
      <w:r w:rsidRPr="00AE7FA7">
        <w:rPr>
          <w:rFonts w:eastAsia="SimSun"/>
          <w:sz w:val="22"/>
          <w:szCs w:val="22"/>
        </w:rPr>
        <w:t xml:space="preserve"> three Working Groups were launched by the Advisory Body to focus on risk identification, monitoring and mitigation, as well as connectivity and geographic diversity of landing points and routes, and timely deployment and repair of cables. Building on the momentum of the Abuja Summit, the </w:t>
      </w:r>
      <w:hyperlink r:id="rId175">
        <w:r w:rsidRPr="00AE7FA7">
          <w:rPr>
            <w:rStyle w:val="Hyperlink"/>
            <w:rFonts w:eastAsia="SimSun"/>
            <w:color w:val="0563C1"/>
            <w:sz w:val="22"/>
            <w:szCs w:val="22"/>
          </w:rPr>
          <w:t>Second International Submarine Cable Resilience Summit</w:t>
        </w:r>
      </w:hyperlink>
      <w:r w:rsidRPr="00AE7FA7">
        <w:rPr>
          <w:rFonts w:eastAsia="SimSun"/>
          <w:sz w:val="22"/>
          <w:szCs w:val="22"/>
        </w:rPr>
        <w:t xml:space="preserve"> took place on 2–3 February 2026 in Porto, Portugal. At this</w:t>
      </w:r>
      <w:r w:rsidRPr="6F546B6A">
        <w:rPr>
          <w:rFonts w:eastAsia="SimSun"/>
          <w:sz w:val="22"/>
          <w:szCs w:val="22"/>
        </w:rPr>
        <w:t xml:space="preserve"> </w:t>
      </w:r>
      <w:r w:rsidRPr="6F546B6A">
        <w:rPr>
          <w:rFonts w:eastAsia="SimSun"/>
          <w:sz w:val="22"/>
          <w:szCs w:val="22"/>
        </w:rPr>
        <w:t xml:space="preserve">Summit, Working Group Recommendations were approved by the IAB and the </w:t>
      </w:r>
      <w:hyperlink r:id="rId176">
        <w:r w:rsidRPr="6F546B6A">
          <w:rPr>
            <w:rStyle w:val="Hyperlink"/>
            <w:rFonts w:eastAsia="SimSun"/>
            <w:color w:val="0563C1"/>
            <w:sz w:val="22"/>
            <w:szCs w:val="22"/>
          </w:rPr>
          <w:t>Porto Declaration</w:t>
        </w:r>
      </w:hyperlink>
      <w:r w:rsidRPr="6F546B6A">
        <w:rPr>
          <w:rFonts w:eastAsia="SimSun"/>
          <w:sz w:val="22"/>
          <w:szCs w:val="22"/>
        </w:rPr>
        <w:t xml:space="preserve"> was endorsed.</w:t>
      </w:r>
    </w:p>
    <w:p w14:paraId="62F1095A" w14:textId="5790DC1D" w:rsidR="00C93A80" w:rsidRPr="00873EFC" w:rsidRDefault="00C93A80" w:rsidP="00C93A80">
      <w:pPr>
        <w:spacing w:line="259" w:lineRule="auto"/>
        <w:jc w:val="both"/>
        <w:rPr>
          <w:sz w:val="22"/>
          <w:szCs w:val="22"/>
        </w:rPr>
      </w:pPr>
      <w:r w:rsidRPr="00873EFC">
        <w:rPr>
          <w:sz w:val="22"/>
          <w:szCs w:val="22"/>
        </w:rPr>
        <w:t xml:space="preserve">ITU also advanced Child Online Protection through awareness-raising materials, knowledge management, and targeted programmes, alongside policy support and collaboration with national stakeholders to strengthen digital safety frameworks for children. </w:t>
      </w:r>
      <w:r w:rsidRPr="00873EFC">
        <w:rPr>
          <w:rFonts w:eastAsia="SimSun"/>
          <w:sz w:val="22"/>
          <w:szCs w:val="22"/>
        </w:rPr>
        <w:t>As of March 202</w:t>
      </w:r>
      <w:r w:rsidR="00945BD4">
        <w:rPr>
          <w:rFonts w:eastAsia="SimSun"/>
          <w:sz w:val="22"/>
          <w:szCs w:val="22"/>
        </w:rPr>
        <w:t>6</w:t>
      </w:r>
      <w:r w:rsidRPr="00873EFC">
        <w:rPr>
          <w:rFonts w:eastAsia="SimSun"/>
          <w:sz w:val="22"/>
          <w:szCs w:val="22"/>
        </w:rPr>
        <w:t>, ITU has supported the development of national COP frameworks or related assessments in 16 countries.</w:t>
      </w:r>
      <w:r w:rsidRPr="00873EFC">
        <w:rPr>
          <w:sz w:val="22"/>
          <w:szCs w:val="22"/>
        </w:rPr>
        <w:t xml:space="preserve"> This work was further reinforced through the </w:t>
      </w:r>
      <w:hyperlink r:id="rId177" w:history="1">
        <w:r w:rsidRPr="00873EFC">
          <w:rPr>
            <w:rStyle w:val="Hyperlink"/>
            <w:color w:val="0563C1"/>
            <w:sz w:val="22"/>
            <w:szCs w:val="22"/>
          </w:rPr>
          <w:t>Protection through Online Participation (</w:t>
        </w:r>
        <w:proofErr w:type="spellStart"/>
        <w:r w:rsidRPr="00873EFC">
          <w:rPr>
            <w:rStyle w:val="Hyperlink"/>
            <w:color w:val="0563C1"/>
            <w:sz w:val="22"/>
            <w:szCs w:val="22"/>
          </w:rPr>
          <w:t>PoP</w:t>
        </w:r>
        <w:proofErr w:type="spellEnd"/>
        <w:r w:rsidRPr="00873EFC">
          <w:rPr>
            <w:rStyle w:val="Hyperlink"/>
            <w:color w:val="0563C1"/>
            <w:sz w:val="22"/>
            <w:szCs w:val="22"/>
          </w:rPr>
          <w:t>) initiative</w:t>
        </w:r>
      </w:hyperlink>
      <w:r w:rsidRPr="00873EFC">
        <w:rPr>
          <w:sz w:val="22"/>
          <w:szCs w:val="22"/>
        </w:rPr>
        <w:t xml:space="preserve">, which combined intersectoral collaboration, preparatory research, and multi-stakeholder consultations, culminating in the launch of the </w:t>
      </w:r>
      <w:proofErr w:type="spellStart"/>
      <w:r w:rsidRPr="00873EFC">
        <w:rPr>
          <w:sz w:val="22"/>
          <w:szCs w:val="22"/>
        </w:rPr>
        <w:t>PoP</w:t>
      </w:r>
      <w:proofErr w:type="spellEnd"/>
      <w:r w:rsidRPr="00873EFC">
        <w:rPr>
          <w:sz w:val="22"/>
          <w:szCs w:val="22"/>
        </w:rPr>
        <w:t xml:space="preserve"> Guiding Principles. In parallel, ITU strengthened industry engagement through the 2025 </w:t>
      </w:r>
      <w:hyperlink r:id="rId178" w:history="1">
        <w:r w:rsidRPr="00873EFC">
          <w:rPr>
            <w:rStyle w:val="Hyperlink"/>
            <w:color w:val="0563C1"/>
            <w:sz w:val="22"/>
            <w:szCs w:val="22"/>
          </w:rPr>
          <w:t>Industry Connect event series</w:t>
        </w:r>
      </w:hyperlink>
      <w:r w:rsidRPr="00873EFC">
        <w:rPr>
          <w:sz w:val="22"/>
          <w:szCs w:val="22"/>
        </w:rPr>
        <w:t xml:space="preserve">, fostering dialogue with digital service providers on emerging risks and shared responsibilities for child online safety. </w:t>
      </w:r>
      <w:r w:rsidRPr="00873EFC">
        <w:rPr>
          <w:rFonts w:eastAsia="SimSun"/>
          <w:sz w:val="22"/>
          <w:szCs w:val="22"/>
        </w:rPr>
        <w:t xml:space="preserve">ITU-T SG17 established a Correspondence Group on </w:t>
      </w:r>
      <w:sdt>
        <w:sdtPr>
          <w:rPr>
            <w:rFonts w:eastAsia="SimSun"/>
            <w:sz w:val="22"/>
            <w:szCs w:val="22"/>
          </w:rPr>
          <w:alias w:val="name"/>
          <w:tag w:val="name"/>
          <w:id w:val="-1579439315"/>
          <w:placeholder>
            <w:docPart w:val="2D287738E5CD48E59F88DF0A8FF8A393"/>
          </w:placeholder>
          <w:text/>
        </w:sdtPr>
        <w:sdtContent>
          <w:r w:rsidRPr="00873EFC">
            <w:rPr>
              <w:rFonts w:eastAsia="SimSun"/>
              <w:sz w:val="22"/>
              <w:szCs w:val="22"/>
            </w:rPr>
            <w:t>Child Online Protection (CG-COP)</w:t>
          </w:r>
        </w:sdtContent>
      </w:sdt>
      <w:r w:rsidRPr="00873EFC">
        <w:rPr>
          <w:rFonts w:eastAsia="SimSun"/>
          <w:sz w:val="22"/>
          <w:szCs w:val="22"/>
        </w:rPr>
        <w:t xml:space="preserve"> in March 2024 to identify the scope and gap for COP standardization.</w:t>
      </w:r>
    </w:p>
    <w:p w14:paraId="5400BDDA" w14:textId="41FEC7CA" w:rsidR="00C93A80" w:rsidRPr="00873EFC" w:rsidRDefault="00C93A80" w:rsidP="00C93A80">
      <w:pPr>
        <w:spacing w:line="259" w:lineRule="auto"/>
        <w:jc w:val="both"/>
        <w:rPr>
          <w:sz w:val="22"/>
          <w:szCs w:val="22"/>
        </w:rPr>
      </w:pPr>
      <w:r w:rsidRPr="00873EFC">
        <w:rPr>
          <w:rFonts w:eastAsia="Calibri"/>
          <w:sz w:val="22"/>
          <w:szCs w:val="22"/>
        </w:rPr>
        <w:t xml:space="preserve">In collaboration with the Committee on the Rights of the Child, UNICEF, and over ten co-signatory UN agencies, ITU developed and launched the </w:t>
      </w:r>
      <w:hyperlink r:id="rId179" w:history="1">
        <w:r w:rsidRPr="00873EFC">
          <w:rPr>
            <w:rStyle w:val="Hyperlink"/>
            <w:rFonts w:eastAsia="Calibri"/>
            <w:color w:val="0563C1"/>
            <w:sz w:val="22"/>
            <w:szCs w:val="22"/>
          </w:rPr>
          <w:t>Joint Statement on Artificial Intelligence and the Rights of the Child</w:t>
        </w:r>
      </w:hyperlink>
      <w:r w:rsidRPr="00873EFC">
        <w:rPr>
          <w:rFonts w:eastAsia="Calibri"/>
          <w:sz w:val="22"/>
          <w:szCs w:val="22"/>
        </w:rPr>
        <w:t xml:space="preserve">. </w:t>
      </w:r>
      <w:r w:rsidRPr="00873EFC">
        <w:rPr>
          <w:sz w:val="22"/>
          <w:szCs w:val="22"/>
        </w:rPr>
        <w:t xml:space="preserve">Technical standardization and radiocommunication activities supported this work through </w:t>
      </w:r>
      <w:hyperlink r:id="rId180" w:history="1">
        <w:r w:rsidRPr="00873EFC">
          <w:rPr>
            <w:rStyle w:val="Hyperlink"/>
            <w:color w:val="0563C1"/>
            <w:sz w:val="22"/>
            <w:szCs w:val="22"/>
          </w:rPr>
          <w:t>security-focused recommendations, studies, and updates</w:t>
        </w:r>
      </w:hyperlink>
      <w:r w:rsidRPr="00873EFC">
        <w:rPr>
          <w:sz w:val="22"/>
          <w:szCs w:val="22"/>
        </w:rPr>
        <w:t xml:space="preserve"> that addressed evolving threats and the protection of critical ICT infrastructure. </w:t>
      </w:r>
    </w:p>
    <w:p w14:paraId="3B802D36" w14:textId="409A1D8C" w:rsidR="00C93A80" w:rsidRPr="00873EFC" w:rsidRDefault="00C93A80" w:rsidP="00C93A80">
      <w:pPr>
        <w:spacing w:line="259" w:lineRule="auto"/>
        <w:jc w:val="both"/>
        <w:rPr>
          <w:sz w:val="22"/>
          <w:szCs w:val="22"/>
        </w:rPr>
      </w:pPr>
      <w:r w:rsidRPr="00873EFC">
        <w:rPr>
          <w:spacing w:val="-2"/>
          <w:sz w:val="22"/>
          <w:szCs w:val="22"/>
        </w:rPr>
        <w:t xml:space="preserve">ITU-T SG 17 advanced work on </w:t>
      </w:r>
      <w:hyperlink r:id="rId181" w:history="1">
        <w:r w:rsidRPr="00873EFC">
          <w:rPr>
            <w:rStyle w:val="Hyperlink"/>
            <w:rFonts w:eastAsia="Calibri"/>
            <w:color w:val="0563C1"/>
            <w:spacing w:val="-2"/>
            <w:sz w:val="22"/>
            <w:szCs w:val="22"/>
          </w:rPr>
          <w:t>security of Artificial Intelligence, International Mobile Telecommunication systems, cloud, Internet of Things, Intelligent Transport Systems, digital twin systems, quantum key distribution, access control, digital financial, privacy preserving and other smart services</w:t>
        </w:r>
      </w:hyperlink>
      <w:r w:rsidRPr="00873EFC">
        <w:rPr>
          <w:spacing w:val="-2"/>
          <w:sz w:val="22"/>
          <w:szCs w:val="22"/>
        </w:rPr>
        <w:t>.</w:t>
      </w:r>
      <w:r w:rsidRPr="00873EFC">
        <w:rPr>
          <w:sz w:val="22"/>
          <w:szCs w:val="22"/>
        </w:rPr>
        <w:t xml:space="preserve"> </w:t>
      </w:r>
      <w:r w:rsidRPr="00873EFC">
        <w:rPr>
          <w:rFonts w:eastAsia="SimSun"/>
          <w:sz w:val="22"/>
          <w:szCs w:val="22"/>
        </w:rPr>
        <w:t xml:space="preserve">ITU-T SGs 5, 13, </w:t>
      </w:r>
      <w:r w:rsidRPr="00873EFC">
        <w:rPr>
          <w:rFonts w:eastAsia="SimSun"/>
          <w:sz w:val="22"/>
          <w:szCs w:val="22"/>
        </w:rPr>
        <w:lastRenderedPageBreak/>
        <w:t xml:space="preserve">15 and 21 also approved recommendations across a wide range of issues from </w:t>
      </w:r>
      <w:r w:rsidRPr="00873EFC">
        <w:rPr>
          <w:rFonts w:eastAsia="Calibri"/>
          <w:sz w:val="22"/>
          <w:szCs w:val="22"/>
        </w:rPr>
        <w:t>trustworthiness of IMT-2020 and beyond,</w:t>
      </w:r>
      <w:r w:rsidRPr="00873EFC">
        <w:rPr>
          <w:rFonts w:eastAsia="SimSun"/>
          <w:sz w:val="22"/>
          <w:szCs w:val="22"/>
        </w:rPr>
        <w:t xml:space="preserve"> infrastructure (e.g. power grid, passive optical network), fixed, mobile and satellite convergence, digital rights management for video/audio content distribution, and multimedia authenticity. </w:t>
      </w:r>
      <w:r w:rsidRPr="00873EFC">
        <w:rPr>
          <w:rFonts w:eastAsia="Calibri"/>
          <w:sz w:val="22"/>
          <w:szCs w:val="22"/>
        </w:rPr>
        <w:t xml:space="preserve">SG11 continues its activities on </w:t>
      </w:r>
      <w:hyperlink r:id="rId182" w:history="1">
        <w:proofErr w:type="spellStart"/>
        <w:r w:rsidRPr="00873EFC">
          <w:rPr>
            <w:rStyle w:val="Hyperlink"/>
            <w:rFonts w:eastAsia="SimSun"/>
            <w:color w:val="0563C1"/>
            <w:sz w:val="22"/>
            <w:szCs w:val="22"/>
            <w:lang w:val="en-US"/>
          </w:rPr>
          <w:t>signalling</w:t>
        </w:r>
        <w:proofErr w:type="spellEnd"/>
        <w:r w:rsidRPr="00873EFC">
          <w:rPr>
            <w:rStyle w:val="Hyperlink"/>
            <w:rFonts w:eastAsia="SimSun"/>
            <w:color w:val="0563C1"/>
            <w:sz w:val="22"/>
            <w:szCs w:val="22"/>
            <w:lang w:val="en-US"/>
          </w:rPr>
          <w:t xml:space="preserve"> security</w:t>
        </w:r>
      </w:hyperlink>
      <w:r w:rsidRPr="00873EFC">
        <w:rPr>
          <w:rFonts w:eastAsia="Calibri"/>
          <w:sz w:val="22"/>
          <w:szCs w:val="22"/>
        </w:rPr>
        <w:t xml:space="preserve"> to combat counterfeit and stolen ICT mobile devices and attacks on telephone networks (e.g. telephone spam, robocalls, spoofing numbers, etc. </w:t>
      </w:r>
      <w:hyperlink r:id="rId183" w:history="1">
        <w:r w:rsidRPr="00873EFC">
          <w:rPr>
            <w:rStyle w:val="Hyperlink"/>
            <w:color w:val="0563C1"/>
            <w:sz w:val="22"/>
            <w:szCs w:val="22"/>
          </w:rPr>
          <w:t>SG20</w:t>
        </w:r>
      </w:hyperlink>
      <w:r w:rsidRPr="00873EFC">
        <w:rPr>
          <w:sz w:val="22"/>
          <w:szCs w:val="22"/>
        </w:rPr>
        <w:t xml:space="preserve"> continues its work on security, privacy, trustworthiness, and identification for the Internet of Things (IoT) and smart sustainable cities and communities (SSC&amp;C). </w:t>
      </w:r>
      <w:r w:rsidRPr="00873EFC">
        <w:rPr>
          <w:rFonts w:eastAsia="SimSun"/>
          <w:sz w:val="22"/>
          <w:szCs w:val="22"/>
        </w:rPr>
        <w:t xml:space="preserve">ITU-R has established clear security principles for International Mobile Telecommunication (IMT) (3G, 4G and 5G) networks. The </w:t>
      </w:r>
      <w:hyperlink r:id="rId184" w:history="1">
        <w:r w:rsidRPr="00873EFC">
          <w:rPr>
            <w:rStyle w:val="Hyperlink"/>
            <w:rFonts w:eastAsia="SimSun"/>
            <w:color w:val="0563C1"/>
            <w:sz w:val="22"/>
            <w:szCs w:val="22"/>
          </w:rPr>
          <w:t>United for Smart Sustainable Cities (U4SSC) initiative</w:t>
        </w:r>
      </w:hyperlink>
      <w:r w:rsidRPr="00873EFC">
        <w:rPr>
          <w:rFonts w:eastAsia="SimSun"/>
          <w:sz w:val="22"/>
          <w:szCs w:val="22"/>
        </w:rPr>
        <w:t xml:space="preserve">, supported by 20 UN entities, is advancing work on security and privacy aspects related to digital public infrastructure in cities. The </w:t>
      </w:r>
      <w:hyperlink r:id="rId185" w:history="1">
        <w:r w:rsidRPr="00873EFC">
          <w:rPr>
            <w:rStyle w:val="Hyperlink"/>
            <w:rFonts w:eastAsia="SimSun"/>
            <w:color w:val="0563C1"/>
            <w:spacing w:val="-2"/>
            <w:sz w:val="22"/>
            <w:szCs w:val="22"/>
          </w:rPr>
          <w:t xml:space="preserve">Global Initiative on Virtual Worlds and AI – Discovering the </w:t>
        </w:r>
        <w:proofErr w:type="spellStart"/>
        <w:r w:rsidRPr="00873EFC">
          <w:rPr>
            <w:rStyle w:val="Hyperlink"/>
            <w:rFonts w:eastAsia="SimSun"/>
            <w:color w:val="0563C1"/>
            <w:spacing w:val="-2"/>
            <w:sz w:val="22"/>
            <w:szCs w:val="22"/>
          </w:rPr>
          <w:t>Citiverse</w:t>
        </w:r>
        <w:proofErr w:type="spellEnd"/>
      </w:hyperlink>
      <w:r w:rsidRPr="00873EFC">
        <w:rPr>
          <w:rFonts w:eastAsia="SimSun"/>
          <w:spacing w:val="-2"/>
          <w:sz w:val="22"/>
          <w:szCs w:val="22"/>
        </w:rPr>
        <w:t xml:space="preserve">, supported by more than 70 partners, is also advancing work under its Security and Trust track in the development of the </w:t>
      </w:r>
      <w:proofErr w:type="spellStart"/>
      <w:r w:rsidRPr="00873EFC">
        <w:rPr>
          <w:rFonts w:eastAsia="SimSun"/>
          <w:spacing w:val="-2"/>
          <w:sz w:val="22"/>
          <w:szCs w:val="22"/>
        </w:rPr>
        <w:t>citiverse</w:t>
      </w:r>
      <w:proofErr w:type="spellEnd"/>
      <w:r w:rsidRPr="00873EFC">
        <w:rPr>
          <w:rFonts w:eastAsia="SimSun"/>
          <w:spacing w:val="-2"/>
          <w:sz w:val="22"/>
          <w:szCs w:val="22"/>
        </w:rPr>
        <w:t xml:space="preserve"> and virtual worlds.</w:t>
      </w:r>
    </w:p>
    <w:p w14:paraId="79FEA65B" w14:textId="697F4A31" w:rsidR="0062595A" w:rsidRPr="00C93A80" w:rsidRDefault="0062595A" w:rsidP="00C5530E">
      <w:pPr>
        <w:suppressAutoHyphens/>
        <w:adjustRightInd/>
        <w:spacing w:after="120"/>
        <w:jc w:val="both"/>
        <w:rPr>
          <w:rFonts w:eastAsia="MS Mincho"/>
          <w:sz w:val="22"/>
          <w:szCs w:val="22"/>
        </w:rPr>
      </w:pPr>
      <w:r w:rsidRPr="00873EFC">
        <w:rPr>
          <w:rFonts w:eastAsia="MS Mincho"/>
          <w:sz w:val="22"/>
          <w:szCs w:val="22"/>
          <w:lang w:eastAsia="en-GB"/>
        </w:rPr>
        <w:t xml:space="preserve">For further information visit </w:t>
      </w:r>
      <w:hyperlink r:id="rId186" w:history="1">
        <w:r w:rsidRPr="00873EFC">
          <w:rPr>
            <w:rStyle w:val="Hyperlink"/>
            <w:rFonts w:eastAsia="MS Mincho"/>
            <w:color w:val="0563C1"/>
            <w:sz w:val="22"/>
            <w:szCs w:val="22"/>
            <w:lang w:eastAsia="en-GB"/>
          </w:rPr>
          <w:t>ITU Cybersecurity Activities</w:t>
        </w:r>
      </w:hyperlink>
      <w:r w:rsidRPr="00873EFC">
        <w:rPr>
          <w:rFonts w:eastAsia="MS Mincho"/>
          <w:sz w:val="22"/>
          <w:szCs w:val="22"/>
        </w:rPr>
        <w:t>.</w:t>
      </w:r>
    </w:p>
    <w:p w14:paraId="3940E220" w14:textId="473AD72D" w:rsidR="0062595A" w:rsidRPr="00997AB0" w:rsidRDefault="0062595A" w:rsidP="5F5FCC2B">
      <w:pPr>
        <w:keepNext/>
        <w:keepLines/>
        <w:tabs>
          <w:tab w:val="clear" w:pos="567"/>
        </w:tabs>
        <w:suppressAutoHyphens/>
        <w:adjustRightInd/>
        <w:spacing w:before="240" w:after="120"/>
        <w:ind w:left="567" w:hanging="567"/>
        <w:jc w:val="both"/>
        <w:outlineLvl w:val="2"/>
        <w:rPr>
          <w:rFonts w:eastAsia="MS Mincho"/>
          <w:b/>
          <w:bCs/>
          <w:color w:val="0D0D0D"/>
          <w:szCs w:val="24"/>
        </w:rPr>
      </w:pPr>
      <w:bookmarkStart w:id="81" w:name="_Toc224288815"/>
      <w:bookmarkStart w:id="82" w:name="Section_4_4_2"/>
      <w:r w:rsidRPr="00997AB0">
        <w:rPr>
          <w:rFonts w:eastAsia="MS Mincho"/>
          <w:b/>
          <w:bCs/>
          <w:color w:val="0D0D0D" w:themeColor="text1" w:themeTint="F2"/>
          <w:szCs w:val="24"/>
        </w:rPr>
        <w:t>4.4.2</w:t>
      </w:r>
      <w:bookmarkEnd w:id="82"/>
      <w:r w:rsidRPr="00997AB0">
        <w:rPr>
          <w:rFonts w:eastAsia="MS Mincho"/>
          <w:szCs w:val="24"/>
        </w:rPr>
        <w:tab/>
      </w:r>
      <w:r w:rsidRPr="00997AB0">
        <w:rPr>
          <w:rFonts w:eastAsia="MS Mincho"/>
          <w:b/>
          <w:bCs/>
          <w:color w:val="0D0D0D" w:themeColor="text1" w:themeTint="F2"/>
          <w:szCs w:val="24"/>
        </w:rPr>
        <w:t>Emerging tech</w:t>
      </w:r>
      <w:r w:rsidR="5F709DC7" w:rsidRPr="00997AB0">
        <w:rPr>
          <w:rFonts w:eastAsia="MS Mincho"/>
          <w:b/>
          <w:bCs/>
          <w:color w:val="0D0D0D" w:themeColor="text1" w:themeTint="F2"/>
          <w:szCs w:val="24"/>
        </w:rPr>
        <w:t>nologie</w:t>
      </w:r>
      <w:r w:rsidRPr="00997AB0">
        <w:rPr>
          <w:rFonts w:eastAsia="MS Mincho"/>
          <w:b/>
          <w:bCs/>
          <w:color w:val="0D0D0D" w:themeColor="text1" w:themeTint="F2"/>
          <w:szCs w:val="24"/>
        </w:rPr>
        <w:t>s: Shaping frameworks for transformation</w:t>
      </w:r>
      <w:bookmarkEnd w:id="81"/>
    </w:p>
    <w:p w14:paraId="092FC337" w14:textId="77777777" w:rsidR="0062595A" w:rsidRPr="0062595A" w:rsidRDefault="0062595A" w:rsidP="00C5530E">
      <w:pPr>
        <w:suppressAutoHyphens/>
        <w:adjustRightInd/>
        <w:spacing w:after="120"/>
        <w:jc w:val="both"/>
        <w:rPr>
          <w:rFonts w:eastAsia="MS Mincho"/>
          <w:sz w:val="22"/>
          <w:szCs w:val="22"/>
        </w:rPr>
      </w:pPr>
      <w:r w:rsidRPr="00C93A80">
        <w:rPr>
          <w:rFonts w:eastAsia="MS Mincho"/>
          <w:sz w:val="22"/>
          <w:szCs w:val="22"/>
        </w:rPr>
        <w:t>ITU continues to shape global frameworks for fast-evolving technologies</w:t>
      </w:r>
      <w:r w:rsidRPr="0062595A">
        <w:rPr>
          <w:rFonts w:eastAsia="MS Mincho"/>
          <w:sz w:val="22"/>
          <w:szCs w:val="22"/>
        </w:rPr>
        <w:t>, with a particular focus on AI, quantum information technology, the metaverse and virtual worlds, and the Internet of Things (IoT). This work supports inclusive and sustainable digital transformation worldwide and is achieved through standards, UN system coordination, dedicated initiatives, and practical projects on the ground.</w:t>
      </w:r>
    </w:p>
    <w:p w14:paraId="0860C371" w14:textId="77777777" w:rsidR="0062595A" w:rsidRPr="0062595A" w:rsidRDefault="0062595A" w:rsidP="00C5530E">
      <w:pPr>
        <w:suppressAutoHyphens/>
        <w:adjustRightInd/>
        <w:spacing w:before="240" w:after="120"/>
        <w:jc w:val="both"/>
        <w:rPr>
          <w:rFonts w:eastAsia="MS Mincho"/>
          <w:b/>
          <w:sz w:val="22"/>
          <w:szCs w:val="22"/>
        </w:rPr>
      </w:pPr>
      <w:r w:rsidRPr="0062595A">
        <w:rPr>
          <w:rFonts w:eastAsia="MS Mincho"/>
          <w:b/>
          <w:sz w:val="22"/>
          <w:szCs w:val="22"/>
        </w:rPr>
        <w:t>Artificial intelligence</w:t>
      </w:r>
    </w:p>
    <w:p w14:paraId="03366AD8"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22"/>
        </w:rPr>
        <w:t xml:space="preserve">ITU has remained at the leading edge of international </w:t>
      </w:r>
      <w:hyperlink r:id="rId187" w:history="1">
        <w:r w:rsidRPr="0062595A">
          <w:rPr>
            <w:rFonts w:eastAsia="MS Mincho"/>
            <w:color w:val="0563C1"/>
            <w:sz w:val="22"/>
            <w:szCs w:val="22"/>
            <w:u w:val="single"/>
          </w:rPr>
          <w:t>Artificial Intelligence</w:t>
        </w:r>
      </w:hyperlink>
      <w:r w:rsidRPr="0062595A">
        <w:rPr>
          <w:rFonts w:eastAsia="MS Mincho"/>
          <w:sz w:val="22"/>
          <w:szCs w:val="22"/>
        </w:rPr>
        <w:t xml:space="preserve"> cooperation since 2017, ensuring that AI contributes to social and economic development and advances progress across the UN Sustainable Development Goals. </w:t>
      </w:r>
      <w:r w:rsidRPr="0062595A">
        <w:rPr>
          <w:rFonts w:eastAsia="SimSun"/>
          <w:color w:val="000000"/>
          <w:sz w:val="22"/>
          <w:shd w:val="clear" w:color="auto" w:fill="FFFFFF"/>
          <w:lang w:eastAsia="zh-CN"/>
        </w:rPr>
        <w:t>G</w:t>
      </w:r>
      <w:r w:rsidRPr="0062595A">
        <w:rPr>
          <w:rFonts w:eastAsia="MS Mincho"/>
          <w:color w:val="000000"/>
          <w:sz w:val="22"/>
          <w:shd w:val="clear" w:color="auto" w:fill="FFFFFF"/>
        </w:rPr>
        <w:t xml:space="preserve">uided by Plenipotentiary </w:t>
      </w:r>
      <w:hyperlink r:id="rId188" w:history="1">
        <w:r w:rsidRPr="0062595A">
          <w:rPr>
            <w:rFonts w:eastAsia="SimSun"/>
            <w:color w:val="0563C1"/>
            <w:sz w:val="22"/>
            <w:u w:val="single"/>
            <w:shd w:val="clear" w:color="auto" w:fill="FFFFFF"/>
            <w:lang w:eastAsia="zh-CN"/>
          </w:rPr>
          <w:t>Resolution 2</w:t>
        </w:r>
        <w:r w:rsidRPr="0062595A">
          <w:rPr>
            <w:rFonts w:eastAsia="MS Mincho"/>
            <w:color w:val="0563C1"/>
            <w:sz w:val="22"/>
            <w:u w:val="single"/>
            <w:shd w:val="clear" w:color="auto" w:fill="FFFFFF"/>
          </w:rPr>
          <w:t>14 (Bucharest, 2022)</w:t>
        </w:r>
      </w:hyperlink>
      <w:r w:rsidRPr="0062595A">
        <w:rPr>
          <w:rFonts w:eastAsia="SimSun"/>
          <w:sz w:val="22"/>
          <w:lang w:eastAsia="zh-CN"/>
        </w:rPr>
        <w:t xml:space="preserve">, </w:t>
      </w:r>
      <w:r w:rsidRPr="0062595A">
        <w:rPr>
          <w:rFonts w:eastAsia="SimSun"/>
          <w:sz w:val="22"/>
          <w:szCs w:val="22"/>
          <w:lang w:eastAsia="zh-CN"/>
        </w:rPr>
        <w:t>ITU’s AI</w:t>
      </w:r>
      <w:r w:rsidRPr="0062595A">
        <w:rPr>
          <w:rFonts w:eastAsia="MS Mincho"/>
          <w:sz w:val="22"/>
          <w:szCs w:val="22"/>
        </w:rPr>
        <w:t xml:space="preserve"> work covers standardization capacity building UN system-wide coordination, and multistakeholder platforms.</w:t>
      </w:r>
    </w:p>
    <w:p w14:paraId="59AD9B10"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22"/>
        </w:rPr>
        <w:t xml:space="preserve">ITU advanced the standardization work through relevant study groups, focus groups and several pre-standardization initiatives. These include </w:t>
      </w:r>
      <w:r w:rsidRPr="0062595A">
        <w:rPr>
          <w:rFonts w:eastAsia="SimSun"/>
          <w:sz w:val="22"/>
          <w:szCs w:val="22"/>
          <w:lang w:eastAsia="zh-CN"/>
        </w:rPr>
        <w:t>study groups in</w:t>
      </w:r>
      <w:r w:rsidRPr="0062595A">
        <w:rPr>
          <w:rFonts w:eastAsia="SimSun"/>
          <w:sz w:val="22"/>
          <w:lang w:eastAsia="zh-CN"/>
        </w:rPr>
        <w:t xml:space="preserve"> the standardization </w:t>
      </w:r>
      <w:r w:rsidRPr="0062595A">
        <w:rPr>
          <w:rFonts w:eastAsia="MS Mincho"/>
          <w:sz w:val="22"/>
        </w:rPr>
        <w:t xml:space="preserve">sector as well as some in </w:t>
      </w:r>
      <w:r w:rsidRPr="0062595A">
        <w:rPr>
          <w:rFonts w:eastAsia="SimSun"/>
          <w:sz w:val="22"/>
          <w:lang w:eastAsia="zh-CN"/>
        </w:rPr>
        <w:t xml:space="preserve">the </w:t>
      </w:r>
      <w:r w:rsidRPr="0062595A">
        <w:rPr>
          <w:rFonts w:eastAsia="MS Mincho"/>
          <w:sz w:val="22"/>
        </w:rPr>
        <w:t>radio communication sector</w:t>
      </w:r>
      <w:r w:rsidRPr="0062595A">
        <w:rPr>
          <w:rFonts w:eastAsia="SimSun"/>
          <w:sz w:val="22"/>
          <w:szCs w:val="22"/>
          <w:lang w:eastAsia="zh-CN"/>
        </w:rPr>
        <w:t xml:space="preserve">, </w:t>
      </w:r>
      <w:r w:rsidRPr="0062595A">
        <w:rPr>
          <w:rFonts w:eastAsia="MS Mincho"/>
          <w:sz w:val="22"/>
          <w:szCs w:val="22"/>
        </w:rPr>
        <w:t xml:space="preserve">the </w:t>
      </w:r>
      <w:r w:rsidRPr="0062595A">
        <w:rPr>
          <w:rFonts w:eastAsia="SimSun"/>
          <w:sz w:val="22"/>
          <w:lang w:eastAsia="zh-CN"/>
        </w:rPr>
        <w:t>focus groups</w:t>
      </w:r>
      <w:r w:rsidRPr="0062595A">
        <w:rPr>
          <w:rFonts w:eastAsia="MS Mincho"/>
          <w:sz w:val="22"/>
          <w:szCs w:val="22"/>
        </w:rPr>
        <w:t xml:space="preserve"> on </w:t>
      </w:r>
      <w:hyperlink r:id="rId189" w:history="1">
        <w:r w:rsidRPr="0062595A">
          <w:rPr>
            <w:rFonts w:eastAsia="MS Mincho"/>
            <w:color w:val="0563C1"/>
            <w:sz w:val="22"/>
            <w:szCs w:val="22"/>
            <w:u w:val="single"/>
          </w:rPr>
          <w:t>AI-Native Networks</w:t>
        </w:r>
      </w:hyperlink>
      <w:r w:rsidRPr="0062595A">
        <w:rPr>
          <w:rFonts w:eastAsia="SimSun"/>
          <w:sz w:val="22"/>
          <w:szCs w:val="22"/>
          <w:lang w:eastAsia="zh-CN"/>
        </w:rPr>
        <w:t xml:space="preserve">, </w:t>
      </w:r>
      <w:hyperlink r:id="rId190" w:history="1">
        <w:r w:rsidRPr="0062595A">
          <w:rPr>
            <w:rFonts w:eastAsia="SimSun"/>
            <w:color w:val="0563C1"/>
            <w:sz w:val="22"/>
            <w:szCs w:val="22"/>
            <w:u w:val="single"/>
            <w:lang w:eastAsia="zh-CN"/>
          </w:rPr>
          <w:t>AI for Agriculture</w:t>
        </w:r>
      </w:hyperlink>
      <w:r w:rsidRPr="0062595A">
        <w:rPr>
          <w:rFonts w:eastAsia="SimSun"/>
          <w:sz w:val="22"/>
          <w:szCs w:val="22"/>
          <w:lang w:eastAsia="zh-CN"/>
        </w:rPr>
        <w:t xml:space="preserve">, </w:t>
      </w:r>
      <w:hyperlink r:id="rId191" w:history="1">
        <w:r w:rsidRPr="0062595A">
          <w:rPr>
            <w:rFonts w:eastAsia="SimSun"/>
            <w:color w:val="0563C1"/>
            <w:sz w:val="22"/>
            <w:szCs w:val="22"/>
            <w:u w:val="single"/>
            <w:lang w:eastAsia="zh-CN"/>
          </w:rPr>
          <w:t>AI for Natural Disaster Management</w:t>
        </w:r>
      </w:hyperlink>
      <w:r w:rsidRPr="0062595A">
        <w:rPr>
          <w:rFonts w:eastAsia="SimSun"/>
          <w:sz w:val="22"/>
          <w:szCs w:val="22"/>
          <w:lang w:eastAsia="zh-CN"/>
        </w:rPr>
        <w:t xml:space="preserve">, </w:t>
      </w:r>
      <w:hyperlink r:id="rId192" w:history="1">
        <w:r w:rsidRPr="0062595A">
          <w:rPr>
            <w:rFonts w:eastAsia="SimSun"/>
            <w:color w:val="0563C1"/>
            <w:sz w:val="22"/>
            <w:szCs w:val="22"/>
            <w:u w:val="single"/>
            <w:lang w:eastAsia="zh-CN"/>
          </w:rPr>
          <w:t>AI for Health</w:t>
        </w:r>
      </w:hyperlink>
      <w:r w:rsidRPr="0062595A">
        <w:rPr>
          <w:rFonts w:eastAsia="SimSun"/>
          <w:sz w:val="22"/>
          <w:szCs w:val="22"/>
          <w:lang w:eastAsia="zh-CN"/>
        </w:rPr>
        <w:t>,</w:t>
      </w:r>
      <w:r w:rsidRPr="0062595A">
        <w:rPr>
          <w:rFonts w:eastAsia="MS Mincho"/>
          <w:sz w:val="22"/>
          <w:szCs w:val="22"/>
        </w:rPr>
        <w:t xml:space="preserve"> and </w:t>
      </w:r>
      <w:r w:rsidRPr="0062595A">
        <w:rPr>
          <w:rFonts w:eastAsia="SimSun"/>
          <w:sz w:val="22"/>
          <w:szCs w:val="22"/>
          <w:lang w:eastAsia="zh-CN"/>
        </w:rPr>
        <w:t xml:space="preserve">global </w:t>
      </w:r>
      <w:r w:rsidRPr="0062595A">
        <w:rPr>
          <w:rFonts w:eastAsia="MS Mincho"/>
          <w:sz w:val="22"/>
          <w:szCs w:val="22"/>
        </w:rPr>
        <w:t xml:space="preserve">initiatives </w:t>
      </w:r>
      <w:r w:rsidRPr="0062595A">
        <w:rPr>
          <w:rFonts w:eastAsia="SimSun"/>
          <w:sz w:val="22"/>
          <w:szCs w:val="22"/>
          <w:lang w:eastAsia="zh-CN"/>
        </w:rPr>
        <w:t xml:space="preserve">on </w:t>
      </w:r>
      <w:hyperlink r:id="rId193" w:history="1">
        <w:r w:rsidRPr="0062595A">
          <w:rPr>
            <w:rFonts w:eastAsia="MS Mincho"/>
            <w:color w:val="0563C1"/>
            <w:sz w:val="22"/>
            <w:szCs w:val="22"/>
            <w:u w:val="single"/>
          </w:rPr>
          <w:t>Resilience to Natural Hazards through AI Solutions</w:t>
        </w:r>
      </w:hyperlink>
      <w:r w:rsidRPr="0062595A">
        <w:rPr>
          <w:rFonts w:eastAsia="SimSun"/>
          <w:sz w:val="22"/>
          <w:lang w:eastAsia="zh-CN"/>
        </w:rPr>
        <w:t xml:space="preserve">, </w:t>
      </w:r>
      <w:hyperlink r:id="rId194" w:history="1">
        <w:r w:rsidRPr="0062595A">
          <w:rPr>
            <w:rFonts w:eastAsia="MS Mincho"/>
            <w:color w:val="0563C1"/>
            <w:sz w:val="22"/>
            <w:u w:val="single"/>
          </w:rPr>
          <w:t>AI for Food Systems</w:t>
        </w:r>
      </w:hyperlink>
      <w:r w:rsidRPr="0062595A">
        <w:rPr>
          <w:rFonts w:eastAsia="SimSun"/>
          <w:sz w:val="22"/>
          <w:lang w:eastAsia="zh-CN"/>
        </w:rPr>
        <w:t xml:space="preserve">, </w:t>
      </w:r>
      <w:hyperlink r:id="rId195" w:history="1">
        <w:r w:rsidRPr="0062595A">
          <w:rPr>
            <w:rFonts w:eastAsia="SimSun"/>
            <w:color w:val="0563C1"/>
            <w:sz w:val="22"/>
            <w:u w:val="single"/>
            <w:lang w:eastAsia="zh-CN"/>
          </w:rPr>
          <w:t>AI for Health</w:t>
        </w:r>
      </w:hyperlink>
      <w:r w:rsidRPr="0062595A">
        <w:rPr>
          <w:rFonts w:eastAsia="SimSun"/>
          <w:sz w:val="22"/>
          <w:lang w:eastAsia="zh-CN"/>
        </w:rPr>
        <w:t xml:space="preserve">, </w:t>
      </w:r>
      <w:hyperlink r:id="rId196" w:history="1">
        <w:r w:rsidRPr="0062595A">
          <w:rPr>
            <w:rFonts w:eastAsia="SimSun"/>
            <w:color w:val="0563C1"/>
            <w:sz w:val="22"/>
            <w:u w:val="single"/>
            <w:lang w:eastAsia="zh-CN"/>
          </w:rPr>
          <w:t>AI and Data Commons</w:t>
        </w:r>
      </w:hyperlink>
      <w:r w:rsidRPr="0062595A">
        <w:rPr>
          <w:rFonts w:eastAsia="SimSun"/>
          <w:sz w:val="22"/>
          <w:lang w:eastAsia="zh-CN"/>
        </w:rPr>
        <w:t xml:space="preserve">, </w:t>
      </w:r>
      <w:hyperlink r:id="rId197" w:history="1">
        <w:r w:rsidRPr="0062595A">
          <w:rPr>
            <w:rFonts w:eastAsia="SimSun"/>
            <w:color w:val="0563C1"/>
            <w:sz w:val="22"/>
            <w:u w:val="single"/>
            <w:lang w:eastAsia="zh-CN"/>
          </w:rPr>
          <w:t>Virtual Worlds and AI</w:t>
        </w:r>
      </w:hyperlink>
      <w:r w:rsidRPr="0062595A">
        <w:rPr>
          <w:rFonts w:eastAsia="MS Mincho"/>
          <w:sz w:val="22"/>
          <w:szCs w:val="22"/>
        </w:rPr>
        <w:t>.</w:t>
      </w:r>
      <w:r w:rsidRPr="0062595A">
        <w:rPr>
          <w:rFonts w:eastAsia="SimSun"/>
          <w:sz w:val="22"/>
          <w:szCs w:val="22"/>
          <w:lang w:eastAsia="zh-CN"/>
        </w:rPr>
        <w:t xml:space="preserve"> </w:t>
      </w:r>
      <w:r w:rsidRPr="0062595A">
        <w:rPr>
          <w:rFonts w:eastAsia="MS Mincho"/>
          <w:sz w:val="22"/>
          <w:szCs w:val="22"/>
        </w:rPr>
        <w:t xml:space="preserve">This work was complemented by </w:t>
      </w:r>
      <w:r w:rsidRPr="0062595A">
        <w:rPr>
          <w:rFonts w:eastAsia="Malgun Gothic"/>
          <w:sz w:val="22"/>
          <w:lang w:eastAsia="ko-KR"/>
        </w:rPr>
        <w:t>ITU</w:t>
      </w:r>
      <w:r w:rsidRPr="0062595A">
        <w:rPr>
          <w:rFonts w:eastAsia="SimSun"/>
          <w:sz w:val="22"/>
          <w:lang w:eastAsia="zh-CN"/>
        </w:rPr>
        <w:t>’s</w:t>
      </w:r>
      <w:r w:rsidRPr="0062595A">
        <w:rPr>
          <w:rFonts w:eastAsia="Malgun Gothic"/>
          <w:sz w:val="22"/>
          <w:lang w:eastAsia="ko-KR"/>
        </w:rPr>
        <w:t xml:space="preserve"> collaboration on AI standards</w:t>
      </w:r>
      <w:r w:rsidRPr="0062595A">
        <w:rPr>
          <w:rFonts w:eastAsia="MS Mincho"/>
          <w:sz w:val="22"/>
          <w:lang w:eastAsia="zh-CN"/>
        </w:rPr>
        <w:t xml:space="preserve"> with </w:t>
      </w:r>
      <w:r w:rsidRPr="0062595A">
        <w:rPr>
          <w:rFonts w:eastAsia="Malgun Gothic"/>
          <w:sz w:val="22"/>
          <w:lang w:eastAsia="ko-KR"/>
        </w:rPr>
        <w:t>other Standards Development Organizations under the</w:t>
      </w:r>
      <w:r w:rsidRPr="0062595A">
        <w:rPr>
          <w:rFonts w:eastAsia="MS Mincho"/>
          <w:sz w:val="22"/>
          <w:lang w:eastAsia="zh-CN"/>
        </w:rPr>
        <w:t xml:space="preserve"> </w:t>
      </w:r>
      <w:hyperlink r:id="rId198" w:history="1">
        <w:r w:rsidRPr="0062595A">
          <w:rPr>
            <w:rFonts w:eastAsia="Malgun Gothic"/>
            <w:color w:val="0563C1"/>
            <w:sz w:val="22"/>
            <w:u w:val="single"/>
            <w:lang w:eastAsia="ko-KR"/>
          </w:rPr>
          <w:t>World Standards Cooperation</w:t>
        </w:r>
      </w:hyperlink>
      <w:r w:rsidRPr="0062595A">
        <w:rPr>
          <w:rFonts w:eastAsia="Malgun Gothic"/>
          <w:sz w:val="22"/>
          <w:lang w:eastAsia="ko-KR"/>
        </w:rPr>
        <w:t xml:space="preserve"> (</w:t>
      </w:r>
      <w:r w:rsidRPr="00E67021">
        <w:rPr>
          <w:rFonts w:eastAsia="Malgun Gothic"/>
          <w:sz w:val="22"/>
          <w:lang w:eastAsia="ko-KR"/>
        </w:rPr>
        <w:t>see Section 4.3.1</w:t>
      </w:r>
      <w:r w:rsidRPr="0062595A">
        <w:rPr>
          <w:rFonts w:eastAsia="Malgun Gothic"/>
          <w:sz w:val="22"/>
          <w:lang w:eastAsia="ko-KR"/>
        </w:rPr>
        <w:t>) to promote consensus-based international standards</w:t>
      </w:r>
      <w:r w:rsidRPr="0062595A">
        <w:rPr>
          <w:rFonts w:eastAsia="MS Mincho"/>
          <w:sz w:val="22"/>
          <w:lang w:eastAsia="zh-CN"/>
        </w:rPr>
        <w:t>.</w:t>
      </w:r>
      <w:r w:rsidRPr="0062595A">
        <w:rPr>
          <w:rFonts w:eastAsia="SimSun"/>
          <w:sz w:val="22"/>
          <w:lang w:eastAsia="zh-CN"/>
        </w:rPr>
        <w:t xml:space="preserve"> A</w:t>
      </w:r>
      <w:r w:rsidRPr="0062595A">
        <w:rPr>
          <w:rFonts w:eastAsia="MS Mincho"/>
          <w:spacing w:val="-2"/>
          <w:sz w:val="22"/>
        </w:rPr>
        <w:t>nnual International</w:t>
      </w:r>
      <w:r w:rsidRPr="0062595A">
        <w:rPr>
          <w:rFonts w:eastAsia="MS Mincho"/>
          <w:sz w:val="22"/>
        </w:rPr>
        <w:t xml:space="preserve"> AI Standards Summits have started</w:t>
      </w:r>
      <w:r w:rsidRPr="0062595A">
        <w:rPr>
          <w:rFonts w:eastAsia="SimSun"/>
          <w:sz w:val="22"/>
          <w:lang w:eastAsia="zh-CN"/>
        </w:rPr>
        <w:t xml:space="preserve"> </w:t>
      </w:r>
      <w:r w:rsidRPr="0062595A">
        <w:rPr>
          <w:rFonts w:eastAsia="MS Mincho"/>
          <w:sz w:val="22"/>
        </w:rPr>
        <w:t>to answer the call from the global community</w:t>
      </w:r>
      <w:r w:rsidRPr="0062595A">
        <w:rPr>
          <w:rFonts w:eastAsia="MS Mincho"/>
          <w:sz w:val="22"/>
          <w:lang w:eastAsia="zh-CN"/>
        </w:rPr>
        <w:t xml:space="preserve"> </w:t>
      </w:r>
      <w:r w:rsidRPr="0062595A">
        <w:rPr>
          <w:rFonts w:eastAsia="MS Mincho"/>
          <w:sz w:val="22"/>
        </w:rPr>
        <w:t>for comprehensive and impactful AI standards.</w:t>
      </w:r>
      <w:r w:rsidRPr="0062595A">
        <w:rPr>
          <w:rFonts w:eastAsia="SimSun"/>
          <w:sz w:val="22"/>
          <w:lang w:eastAsia="zh-CN"/>
        </w:rPr>
        <w:t xml:space="preserve"> </w:t>
      </w:r>
      <w:r w:rsidRPr="0062595A">
        <w:rPr>
          <w:rFonts w:eastAsia="MS Mincho"/>
          <w:sz w:val="22"/>
        </w:rPr>
        <w:t>ITU’s standardization role in AI was formally reinforced through the adoption of World Telecommunication Standardization Assembly</w:t>
      </w:r>
      <w:r w:rsidRPr="0062595A">
        <w:rPr>
          <w:rFonts w:eastAsia="SimSun"/>
          <w:sz w:val="22"/>
          <w:lang w:eastAsia="zh-CN"/>
        </w:rPr>
        <w:t xml:space="preserve"> </w:t>
      </w:r>
      <w:hyperlink r:id="rId199" w:history="1">
        <w:r w:rsidRPr="0062595A">
          <w:rPr>
            <w:rFonts w:eastAsia="MS Mincho"/>
            <w:color w:val="0563C1"/>
            <w:sz w:val="22"/>
            <w:u w:val="single"/>
          </w:rPr>
          <w:t>Resolution 101 (New Delhi, 2024)</w:t>
        </w:r>
      </w:hyperlink>
      <w:r w:rsidRPr="0062595A">
        <w:rPr>
          <w:rFonts w:eastAsia="MS Mincho"/>
          <w:sz w:val="22"/>
        </w:rPr>
        <w:t>, underscoring ITU’s recognized mandate to develop trusted, international AI standards.</w:t>
      </w:r>
    </w:p>
    <w:p w14:paraId="7422904D" w14:textId="77777777" w:rsidR="0062595A" w:rsidRPr="0062595A" w:rsidRDefault="0062595A" w:rsidP="00C5530E">
      <w:pPr>
        <w:suppressAutoHyphens/>
        <w:adjustRightInd/>
        <w:spacing w:after="120"/>
        <w:jc w:val="both"/>
        <w:rPr>
          <w:rFonts w:eastAsia="MS Mincho"/>
          <w:sz w:val="22"/>
        </w:rPr>
      </w:pPr>
      <w:r w:rsidRPr="0062595A">
        <w:rPr>
          <w:rFonts w:eastAsia="SimSun"/>
          <w:sz w:val="22"/>
          <w:szCs w:val="22"/>
          <w:lang w:eastAsia="zh-CN"/>
        </w:rPr>
        <w:t xml:space="preserve">ITU is working to help with equipping countries around the world with the knowledge and tools necessary to take advantage of AI, with the aim of ensuring that its benefits are globally accessible and equitable. </w:t>
      </w:r>
      <w:r w:rsidRPr="0062595A">
        <w:rPr>
          <w:rFonts w:eastAsia="Calibri"/>
          <w:color w:val="000000"/>
          <w:sz w:val="22"/>
        </w:rPr>
        <w:t>The AI for Good Impact initiative</w:t>
      </w:r>
      <w:r w:rsidRPr="0062595A">
        <w:rPr>
          <w:rFonts w:eastAsia="SimSun"/>
          <w:color w:val="000000"/>
          <w:sz w:val="22"/>
          <w:lang w:eastAsia="zh-CN"/>
        </w:rPr>
        <w:t xml:space="preserve"> </w:t>
      </w:r>
      <w:r w:rsidRPr="0062595A">
        <w:rPr>
          <w:rFonts w:eastAsia="Calibri"/>
          <w:color w:val="000000"/>
          <w:sz w:val="22"/>
        </w:rPr>
        <w:t>includes flagship programmes such as the</w:t>
      </w:r>
      <w:r w:rsidRPr="0062595A">
        <w:rPr>
          <w:rFonts w:eastAsia="SimSun"/>
          <w:color w:val="000000"/>
          <w:sz w:val="22"/>
          <w:lang w:eastAsia="zh-CN"/>
        </w:rPr>
        <w:t xml:space="preserve"> </w:t>
      </w:r>
      <w:hyperlink r:id="rId200" w:history="1">
        <w:r w:rsidRPr="0062595A">
          <w:rPr>
            <w:rFonts w:eastAsia="MS Mincho"/>
            <w:color w:val="0563C1"/>
            <w:sz w:val="22"/>
            <w:szCs w:val="22"/>
            <w:u w:val="single"/>
          </w:rPr>
          <w:t>AI Skills Coalition</w:t>
        </w:r>
      </w:hyperlink>
      <w:r w:rsidRPr="0062595A">
        <w:rPr>
          <w:rFonts w:eastAsia="SimSun"/>
          <w:sz w:val="22"/>
          <w:lang w:eastAsia="zh-CN"/>
        </w:rPr>
        <w:t>,</w:t>
      </w:r>
      <w:r w:rsidRPr="0062595A">
        <w:rPr>
          <w:rFonts w:eastAsia="Calibri"/>
          <w:color w:val="000000"/>
          <w:sz w:val="22"/>
        </w:rPr>
        <w:t xml:space="preserve"> </w:t>
      </w:r>
      <w:hyperlink r:id="rId201" w:history="1">
        <w:r w:rsidRPr="0062595A">
          <w:rPr>
            <w:rFonts w:eastAsia="Calibri" w:cs="Calibri"/>
            <w:color w:val="0563C1"/>
            <w:sz w:val="22"/>
            <w:szCs w:val="24"/>
            <w:u w:val="single"/>
          </w:rPr>
          <w:t>Young AI Leaders Community</w:t>
        </w:r>
      </w:hyperlink>
      <w:r w:rsidRPr="0062595A">
        <w:rPr>
          <w:rFonts w:eastAsia="SimSun"/>
          <w:sz w:val="22"/>
          <w:lang w:eastAsia="zh-CN"/>
        </w:rPr>
        <w:t xml:space="preserve">, </w:t>
      </w:r>
      <w:hyperlink r:id="rId202" w:history="1">
        <w:r w:rsidRPr="0062595A">
          <w:rPr>
            <w:rFonts w:eastAsia="Calibri"/>
            <w:color w:val="0563C1"/>
            <w:sz w:val="22"/>
            <w:u w:val="single"/>
          </w:rPr>
          <w:t>Global AI Challenges</w:t>
        </w:r>
      </w:hyperlink>
      <w:r w:rsidRPr="0062595A">
        <w:rPr>
          <w:rFonts w:eastAsia="Calibri"/>
          <w:color w:val="000000"/>
          <w:sz w:val="22"/>
        </w:rPr>
        <w:t xml:space="preserve">, </w:t>
      </w:r>
      <w:r w:rsidRPr="0062595A">
        <w:rPr>
          <w:rFonts w:eastAsia="SimSun"/>
          <w:color w:val="000000"/>
          <w:sz w:val="22"/>
          <w:lang w:eastAsia="zh-CN"/>
        </w:rPr>
        <w:t xml:space="preserve">and </w:t>
      </w:r>
      <w:r w:rsidRPr="0062595A">
        <w:rPr>
          <w:rFonts w:eastAsia="Calibri"/>
          <w:color w:val="000000"/>
          <w:sz w:val="22"/>
        </w:rPr>
        <w:t>the</w:t>
      </w:r>
      <w:r w:rsidRPr="0062595A">
        <w:rPr>
          <w:rFonts w:eastAsia="MS Mincho"/>
          <w:color w:val="000000"/>
          <w:sz w:val="22"/>
          <w:lang w:eastAsia="zh-CN"/>
        </w:rPr>
        <w:t xml:space="preserve"> </w:t>
      </w:r>
      <w:hyperlink r:id="rId203" w:history="1">
        <w:r w:rsidRPr="0062595A">
          <w:rPr>
            <w:rFonts w:eastAsia="Calibri"/>
            <w:color w:val="0563C1"/>
            <w:sz w:val="22"/>
            <w:u w:val="single"/>
          </w:rPr>
          <w:t>Innovation Factory and Startup Acceleration Programme</w:t>
        </w:r>
      </w:hyperlink>
      <w:r w:rsidRPr="0062595A">
        <w:rPr>
          <w:rFonts w:eastAsia="SimSun"/>
          <w:color w:val="000000"/>
          <w:sz w:val="22"/>
          <w:lang w:eastAsia="zh-CN"/>
        </w:rPr>
        <w:t xml:space="preserve">. </w:t>
      </w:r>
      <w:r w:rsidRPr="0062595A">
        <w:rPr>
          <w:rFonts w:eastAsia="MS Mincho"/>
          <w:sz w:val="22"/>
        </w:rPr>
        <w:t xml:space="preserve">The </w:t>
      </w:r>
      <w:r w:rsidRPr="0062595A">
        <w:rPr>
          <w:rFonts w:eastAsia="SimSun"/>
          <w:sz w:val="22"/>
          <w:lang w:eastAsia="zh-CN"/>
        </w:rPr>
        <w:t>i</w:t>
      </w:r>
      <w:r w:rsidRPr="0062595A">
        <w:rPr>
          <w:rFonts w:eastAsia="MS Mincho"/>
          <w:sz w:val="22"/>
        </w:rPr>
        <w:t>nitiative also launched a series of regional Impact events, including AI for Good Impact India</w:t>
      </w:r>
      <w:r w:rsidRPr="0062595A">
        <w:rPr>
          <w:rFonts w:eastAsia="MS Mincho"/>
          <w:sz w:val="22"/>
          <w:lang w:eastAsia="zh-CN"/>
        </w:rPr>
        <w:t xml:space="preserve">, and </w:t>
      </w:r>
      <w:hyperlink r:id="rId204" w:history="1">
        <w:r w:rsidRPr="0062595A">
          <w:rPr>
            <w:rFonts w:eastAsia="MS Mincho"/>
            <w:color w:val="0563C1"/>
            <w:sz w:val="22"/>
            <w:u w:val="single"/>
          </w:rPr>
          <w:t>AI for Good Impact Africa</w:t>
        </w:r>
      </w:hyperlink>
      <w:r w:rsidRPr="0062595A">
        <w:rPr>
          <w:rFonts w:eastAsia="MS Mincho"/>
          <w:sz w:val="22"/>
        </w:rPr>
        <w:t>.</w:t>
      </w:r>
      <w:r w:rsidRPr="0062595A">
        <w:rPr>
          <w:rFonts w:eastAsia="MS Mincho"/>
          <w:sz w:val="22"/>
          <w:lang w:eastAsia="zh-CN"/>
        </w:rPr>
        <w:t xml:space="preserve"> </w:t>
      </w:r>
      <w:r w:rsidRPr="0062595A">
        <w:rPr>
          <w:rFonts w:eastAsia="Calibri"/>
          <w:color w:val="000000"/>
          <w:sz w:val="22"/>
        </w:rPr>
        <w:t>These programmes, alongside</w:t>
      </w:r>
      <w:r w:rsidRPr="0062595A">
        <w:rPr>
          <w:rFonts w:eastAsia="SimSun"/>
          <w:color w:val="000000"/>
          <w:sz w:val="22"/>
          <w:lang w:eastAsia="zh-CN"/>
        </w:rPr>
        <w:t xml:space="preserve"> </w:t>
      </w:r>
      <w:hyperlink r:id="rId205" w:history="1">
        <w:r w:rsidRPr="0062595A">
          <w:rPr>
            <w:rFonts w:eastAsia="MS Mincho"/>
            <w:color w:val="0563C1"/>
            <w:sz w:val="22"/>
            <w:u w:val="single"/>
            <w:shd w:val="clear" w:color="auto" w:fill="FFFFFF"/>
            <w:lang w:eastAsia="zh-CN"/>
          </w:rPr>
          <w:t>AI Landscape Survey</w:t>
        </w:r>
      </w:hyperlink>
      <w:r w:rsidRPr="0062595A">
        <w:rPr>
          <w:rFonts w:eastAsia="SimSun"/>
          <w:sz w:val="22"/>
          <w:lang w:eastAsia="zh-CN"/>
        </w:rPr>
        <w:t>,</w:t>
      </w:r>
      <w:r w:rsidRPr="0062595A">
        <w:rPr>
          <w:rFonts w:eastAsia="Calibri"/>
          <w:color w:val="000000"/>
          <w:sz w:val="22"/>
        </w:rPr>
        <w:t xml:space="preserve"> </w:t>
      </w:r>
      <w:hyperlink r:id="rId206" w:history="1">
        <w:r w:rsidRPr="0062595A">
          <w:rPr>
            <w:rFonts w:eastAsia="MS Mincho"/>
            <w:color w:val="0563C1"/>
            <w:sz w:val="22"/>
            <w:u w:val="single"/>
          </w:rPr>
          <w:t>Early Warnings for All AI Sub-Group</w:t>
        </w:r>
      </w:hyperlink>
      <w:r w:rsidRPr="0062595A">
        <w:rPr>
          <w:rFonts w:eastAsia="MS Mincho"/>
          <w:sz w:val="22"/>
        </w:rPr>
        <w:t>,</w:t>
      </w:r>
      <w:r w:rsidRPr="0062595A">
        <w:rPr>
          <w:rFonts w:eastAsia="SimSun"/>
          <w:sz w:val="22"/>
          <w:lang w:eastAsia="zh-CN"/>
        </w:rPr>
        <w:t xml:space="preserve"> </w:t>
      </w:r>
      <w:r w:rsidRPr="0062595A">
        <w:rPr>
          <w:rFonts w:eastAsia="MS Mincho"/>
          <w:sz w:val="22"/>
        </w:rPr>
        <w:t xml:space="preserve">the </w:t>
      </w:r>
      <w:hyperlink r:id="rId207" w:history="1">
        <w:r w:rsidRPr="0062595A">
          <w:rPr>
            <w:rFonts w:eastAsia="MS Mincho"/>
            <w:color w:val="0563C1"/>
            <w:sz w:val="22"/>
            <w:u w:val="single"/>
          </w:rPr>
          <w:t>ITU Academy</w:t>
        </w:r>
      </w:hyperlink>
      <w:r w:rsidRPr="0062595A">
        <w:rPr>
          <w:rFonts w:eastAsia="MS Mincho"/>
          <w:sz w:val="22"/>
        </w:rPr>
        <w:t xml:space="preserve"> AI</w:t>
      </w:r>
      <w:r w:rsidRPr="0062595A">
        <w:rPr>
          <w:rFonts w:eastAsia="SimSun"/>
          <w:sz w:val="22"/>
          <w:lang w:eastAsia="zh-CN"/>
        </w:rPr>
        <w:t xml:space="preserve"> </w:t>
      </w:r>
      <w:r w:rsidRPr="0062595A">
        <w:rPr>
          <w:rFonts w:eastAsia="MS Mincho"/>
          <w:sz w:val="22"/>
        </w:rPr>
        <w:t>course</w:t>
      </w:r>
      <w:r w:rsidRPr="0062595A">
        <w:rPr>
          <w:rFonts w:eastAsia="SimSun"/>
          <w:sz w:val="22"/>
          <w:lang w:eastAsia="zh-CN"/>
        </w:rPr>
        <w:t>s</w:t>
      </w:r>
      <w:r w:rsidRPr="0062595A">
        <w:rPr>
          <w:rFonts w:eastAsia="MS Mincho"/>
          <w:sz w:val="22"/>
        </w:rPr>
        <w:t xml:space="preserve">, </w:t>
      </w:r>
      <w:r w:rsidRPr="0062595A">
        <w:rPr>
          <w:rFonts w:eastAsia="SimSun"/>
          <w:sz w:val="22"/>
          <w:lang w:eastAsia="zh-CN"/>
        </w:rPr>
        <w:t xml:space="preserve">and project like </w:t>
      </w:r>
      <w:hyperlink r:id="rId208" w:history="1">
        <w:r w:rsidRPr="0062595A">
          <w:rPr>
            <w:rFonts w:eastAsia="MS Mincho"/>
            <w:color w:val="0563C1"/>
            <w:sz w:val="22"/>
            <w:u w:val="single"/>
          </w:rPr>
          <w:t>AI Technology and Standards Capacity Building in Asia-Pacific</w:t>
        </w:r>
      </w:hyperlink>
      <w:r w:rsidRPr="0062595A">
        <w:rPr>
          <w:rFonts w:eastAsia="SimSun"/>
          <w:sz w:val="22"/>
          <w:lang w:eastAsia="zh-CN"/>
        </w:rPr>
        <w:t xml:space="preserve">, </w:t>
      </w:r>
      <w:r w:rsidRPr="0062595A">
        <w:rPr>
          <w:rFonts w:eastAsia="Calibri"/>
          <w:color w:val="000000"/>
          <w:sz w:val="22"/>
        </w:rPr>
        <w:t>underscore ITU’s commitment to bridging the AI divide, fostering international partnerships, and supporting sustainable development goals through AI capacity building.</w:t>
      </w:r>
      <w:r w:rsidRPr="0062595A">
        <w:rPr>
          <w:rFonts w:eastAsia="SimSun"/>
          <w:color w:val="000000"/>
          <w:sz w:val="22"/>
          <w:lang w:eastAsia="zh-CN"/>
        </w:rPr>
        <w:t xml:space="preserve"> </w:t>
      </w:r>
      <w:r w:rsidRPr="0062595A">
        <w:rPr>
          <w:rFonts w:eastAsia="SimSun"/>
          <w:sz w:val="22"/>
          <w:szCs w:val="22"/>
          <w:lang w:eastAsia="zh-CN"/>
        </w:rPr>
        <w:t xml:space="preserve">The adoption of World Telecommunication Development Conference </w:t>
      </w:r>
      <w:hyperlink r:id="rId209" w:history="1">
        <w:r w:rsidRPr="0062595A">
          <w:rPr>
            <w:rFonts w:eastAsia="SimSun"/>
            <w:color w:val="0563C1"/>
            <w:sz w:val="22"/>
            <w:szCs w:val="22"/>
            <w:u w:val="single"/>
            <w:lang w:eastAsia="zh-CN"/>
          </w:rPr>
          <w:t>Resolution 91 (Baku, 2025)</w:t>
        </w:r>
      </w:hyperlink>
      <w:r w:rsidRPr="0062595A">
        <w:rPr>
          <w:rFonts w:eastAsia="SimSun"/>
          <w:sz w:val="22"/>
          <w:szCs w:val="22"/>
          <w:lang w:eastAsia="zh-CN"/>
        </w:rPr>
        <w:t xml:space="preserve"> further strengthens ITU’s commitment to supporting AI technologies in telecommunications development.</w:t>
      </w:r>
    </w:p>
    <w:p w14:paraId="6D06C27F"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22"/>
        </w:rPr>
        <w:t xml:space="preserve">UN system-wide policy coherence and programmatic coordination on AI continued through the </w:t>
      </w:r>
      <w:hyperlink r:id="rId210" w:history="1">
        <w:r w:rsidRPr="0062595A">
          <w:rPr>
            <w:rFonts w:eastAsia="MS Mincho"/>
            <w:color w:val="0563C1"/>
            <w:sz w:val="22"/>
            <w:szCs w:val="22"/>
            <w:u w:val="single"/>
          </w:rPr>
          <w:t>Inter-Agency Working Group on AI</w:t>
        </w:r>
      </w:hyperlink>
      <w:r w:rsidRPr="0062595A">
        <w:rPr>
          <w:rFonts w:eastAsia="MS Mincho"/>
          <w:sz w:val="22"/>
          <w:szCs w:val="22"/>
        </w:rPr>
        <w:t xml:space="preserve"> (</w:t>
      </w:r>
      <w:r w:rsidRPr="0062595A">
        <w:rPr>
          <w:rFonts w:eastAsia="MS Mincho"/>
          <w:sz w:val="22"/>
        </w:rPr>
        <w:t>IAWG-AI</w:t>
      </w:r>
      <w:r w:rsidRPr="0062595A">
        <w:rPr>
          <w:rFonts w:eastAsia="MS Mincho"/>
          <w:sz w:val="22"/>
          <w:szCs w:val="22"/>
        </w:rPr>
        <w:t xml:space="preserve">), co-led by ITU and UNESCO. The group has developed key initiatives like the </w:t>
      </w:r>
      <w:hyperlink r:id="rId211" w:history="1">
        <w:r w:rsidRPr="0062595A">
          <w:rPr>
            <w:rFonts w:eastAsia="MS Mincho"/>
            <w:color w:val="0563C1"/>
            <w:sz w:val="22"/>
            <w:szCs w:val="22"/>
            <w:u w:val="single"/>
          </w:rPr>
          <w:t>UN System-wide Ethical Principles for AI</w:t>
        </w:r>
      </w:hyperlink>
      <w:r w:rsidRPr="0062595A">
        <w:rPr>
          <w:rFonts w:eastAsia="MS Mincho"/>
          <w:sz w:val="22"/>
          <w:szCs w:val="22"/>
        </w:rPr>
        <w:t xml:space="preserve">, </w:t>
      </w:r>
      <w:r w:rsidRPr="0062595A">
        <w:rPr>
          <w:rFonts w:eastAsia="SimSun"/>
          <w:sz w:val="22"/>
          <w:szCs w:val="22"/>
          <w:lang w:eastAsia="zh-CN"/>
        </w:rPr>
        <w:t xml:space="preserve">and </w:t>
      </w:r>
      <w:r w:rsidRPr="0062595A">
        <w:rPr>
          <w:rFonts w:eastAsia="MS Mincho"/>
          <w:sz w:val="22"/>
          <w:szCs w:val="22"/>
        </w:rPr>
        <w:t xml:space="preserve">the </w:t>
      </w:r>
      <w:hyperlink r:id="rId212" w:history="1">
        <w:r w:rsidRPr="0062595A">
          <w:rPr>
            <w:rFonts w:eastAsia="MS Mincho"/>
            <w:color w:val="0563C1"/>
            <w:sz w:val="22"/>
            <w:szCs w:val="22"/>
            <w:u w:val="single"/>
          </w:rPr>
          <w:t>UN System White Paper on AI Governance</w:t>
        </w:r>
      </w:hyperlink>
      <w:r w:rsidRPr="0062595A">
        <w:rPr>
          <w:rFonts w:eastAsia="MS Mincho"/>
          <w:sz w:val="22"/>
          <w:szCs w:val="22"/>
        </w:rPr>
        <w:t xml:space="preserve">, </w:t>
      </w:r>
      <w:r w:rsidRPr="0062595A">
        <w:rPr>
          <w:rFonts w:eastAsia="SimSun"/>
          <w:sz w:val="22"/>
          <w:szCs w:val="22"/>
          <w:lang w:eastAsia="zh-CN"/>
        </w:rPr>
        <w:t xml:space="preserve">both </w:t>
      </w:r>
      <w:r w:rsidRPr="0062595A">
        <w:rPr>
          <w:rFonts w:eastAsia="MS Mincho"/>
          <w:sz w:val="22"/>
          <w:szCs w:val="22"/>
        </w:rPr>
        <w:t>endorsed by the UN Chief Executives Board for Coordination</w:t>
      </w:r>
      <w:r w:rsidRPr="0062595A">
        <w:rPr>
          <w:rFonts w:eastAsia="SimSun"/>
          <w:sz w:val="22"/>
          <w:szCs w:val="22"/>
          <w:lang w:eastAsia="zh-CN"/>
        </w:rPr>
        <w:t>.</w:t>
      </w:r>
      <w:r w:rsidRPr="0062595A">
        <w:rPr>
          <w:rFonts w:eastAsia="MS Mincho"/>
          <w:sz w:val="22"/>
          <w:szCs w:val="22"/>
        </w:rPr>
        <w:t xml:space="preserve"> </w:t>
      </w:r>
      <w:r w:rsidRPr="0062595A">
        <w:rPr>
          <w:rFonts w:eastAsia="SimSun"/>
          <w:sz w:val="22"/>
          <w:szCs w:val="22"/>
          <w:lang w:eastAsia="zh-CN"/>
        </w:rPr>
        <w:t>The group also launched</w:t>
      </w:r>
      <w:r w:rsidRPr="0062595A">
        <w:rPr>
          <w:rFonts w:eastAsia="MS Mincho"/>
          <w:sz w:val="22"/>
          <w:szCs w:val="22"/>
        </w:rPr>
        <w:t xml:space="preserve"> the </w:t>
      </w:r>
      <w:hyperlink r:id="rId213" w:history="1">
        <w:r w:rsidRPr="0062595A">
          <w:rPr>
            <w:rFonts w:eastAsia="MS Mincho"/>
            <w:color w:val="0563C1"/>
            <w:sz w:val="22"/>
            <w:szCs w:val="22"/>
            <w:u w:val="single"/>
          </w:rPr>
          <w:t>UN AI Resource Hub</w:t>
        </w:r>
      </w:hyperlink>
      <w:r w:rsidRPr="0062595A">
        <w:rPr>
          <w:rFonts w:eastAsia="MS Mincho"/>
          <w:sz w:val="22"/>
          <w:szCs w:val="22"/>
        </w:rPr>
        <w:t xml:space="preserve">, which is a dynamic, searchable public platform showcasing over 700 documented AI initiatives, building on the </w:t>
      </w:r>
      <w:r w:rsidRPr="0062595A">
        <w:rPr>
          <w:rFonts w:eastAsia="SimSun"/>
          <w:sz w:val="22"/>
          <w:szCs w:val="22"/>
          <w:lang w:eastAsia="zh-CN"/>
        </w:rPr>
        <w:t xml:space="preserve">ITU-compiled </w:t>
      </w:r>
      <w:hyperlink r:id="rId214" w:history="1">
        <w:r w:rsidRPr="0062595A">
          <w:rPr>
            <w:rFonts w:eastAsia="MS Mincho"/>
            <w:color w:val="0563C1"/>
            <w:sz w:val="22"/>
            <w:szCs w:val="22"/>
            <w:u w:val="single"/>
          </w:rPr>
          <w:t>UN Activities on AI Report</w:t>
        </w:r>
      </w:hyperlink>
      <w:r w:rsidRPr="0062595A">
        <w:rPr>
          <w:rFonts w:eastAsia="MS Mincho"/>
          <w:sz w:val="22"/>
          <w:szCs w:val="22"/>
        </w:rPr>
        <w:t>.</w:t>
      </w:r>
      <w:r w:rsidRPr="0062595A">
        <w:rPr>
          <w:rFonts w:eastAsia="SimSun"/>
          <w:sz w:val="22"/>
          <w:szCs w:val="22"/>
          <w:lang w:eastAsia="zh-CN"/>
        </w:rPr>
        <w:t xml:space="preserve"> Entering its sixth year, the IAWG-AI has transitioned into a stable institutional coordination mechanism. Several resolutions, including United Nations General Assembly Resolution </w:t>
      </w:r>
      <w:hyperlink r:id="rId215" w:history="1">
        <w:r w:rsidRPr="0062595A">
          <w:rPr>
            <w:rFonts w:eastAsia="SimSun"/>
            <w:color w:val="0563C1"/>
            <w:sz w:val="22"/>
            <w:szCs w:val="22"/>
            <w:u w:val="single"/>
            <w:lang w:eastAsia="zh-CN"/>
          </w:rPr>
          <w:t>A/RES/79/325</w:t>
        </w:r>
      </w:hyperlink>
      <w:r w:rsidRPr="0062595A">
        <w:rPr>
          <w:rFonts w:eastAsia="SimSun"/>
          <w:sz w:val="22"/>
          <w:szCs w:val="22"/>
          <w:lang w:eastAsia="zh-CN"/>
        </w:rPr>
        <w:t xml:space="preserve"> and </w:t>
      </w:r>
      <w:hyperlink r:id="rId216" w:history="1">
        <w:r w:rsidRPr="0062595A">
          <w:rPr>
            <w:rFonts w:eastAsia="SimSun"/>
            <w:color w:val="0563C1"/>
            <w:sz w:val="22"/>
            <w:szCs w:val="22"/>
            <w:u w:val="single"/>
            <w:lang w:eastAsia="zh-CN"/>
          </w:rPr>
          <w:t>A/RES/80/173</w:t>
        </w:r>
      </w:hyperlink>
      <w:r w:rsidRPr="0062595A">
        <w:rPr>
          <w:rFonts w:eastAsia="SimSun"/>
          <w:sz w:val="22"/>
          <w:szCs w:val="22"/>
          <w:lang w:eastAsia="zh-CN"/>
        </w:rPr>
        <w:t>, recognize the work of the IAWG-AI. ITU co-chairs the AI subgroup of the Working Group on Digital Technologies, supporting implementation of the Global Digital Compact.</w:t>
      </w:r>
    </w:p>
    <w:p w14:paraId="37606AF6" w14:textId="77777777" w:rsidR="0062595A" w:rsidRPr="00AE7FA7" w:rsidRDefault="0062595A" w:rsidP="00C5530E">
      <w:pPr>
        <w:suppressAutoHyphens/>
        <w:adjustRightInd/>
        <w:spacing w:after="120"/>
        <w:jc w:val="both"/>
        <w:rPr>
          <w:rFonts w:eastAsia="MS Mincho"/>
          <w:sz w:val="22"/>
        </w:rPr>
      </w:pPr>
      <w:r w:rsidRPr="0062595A">
        <w:rPr>
          <w:rFonts w:eastAsia="SimSun"/>
          <w:sz w:val="22"/>
          <w:lang w:eastAsia="zh-CN"/>
        </w:rPr>
        <w:t xml:space="preserve">At the multistakeholder platform level, </w:t>
      </w:r>
      <w:hyperlink r:id="rId217" w:history="1">
        <w:r w:rsidRPr="0062595A">
          <w:rPr>
            <w:rFonts w:eastAsia="MS Mincho"/>
            <w:color w:val="0563C1"/>
            <w:sz w:val="22"/>
            <w:szCs w:val="22"/>
            <w:u w:val="single"/>
          </w:rPr>
          <w:t>AI for Good</w:t>
        </w:r>
      </w:hyperlink>
      <w:r w:rsidRPr="0062595A">
        <w:rPr>
          <w:rFonts w:eastAsia="MS Mincho"/>
          <w:sz w:val="22"/>
          <w:szCs w:val="22"/>
        </w:rPr>
        <w:t xml:space="preserve"> has continued serving as the UN’s primary, action-oriented platform promoting AI solutions in health, education, infrastructure and other development priorities, co-convened by ITU with more than </w:t>
      </w:r>
      <w:r w:rsidRPr="0062595A">
        <w:rPr>
          <w:rFonts w:eastAsia="SimSun"/>
          <w:sz w:val="22"/>
          <w:szCs w:val="22"/>
          <w:lang w:eastAsia="zh-CN"/>
        </w:rPr>
        <w:t>5</w:t>
      </w:r>
      <w:r w:rsidRPr="0062595A">
        <w:rPr>
          <w:rFonts w:eastAsia="MS Mincho"/>
          <w:sz w:val="22"/>
          <w:szCs w:val="22"/>
        </w:rPr>
        <w:t xml:space="preserve">0 UN </w:t>
      </w:r>
      <w:r w:rsidRPr="0062595A">
        <w:rPr>
          <w:rFonts w:eastAsia="SimSun"/>
          <w:sz w:val="22"/>
          <w:szCs w:val="22"/>
          <w:lang w:eastAsia="zh-CN"/>
        </w:rPr>
        <w:t>partners</w:t>
      </w:r>
      <w:r w:rsidRPr="0062595A">
        <w:rPr>
          <w:rFonts w:eastAsia="MS Mincho"/>
          <w:sz w:val="22"/>
          <w:szCs w:val="22"/>
        </w:rPr>
        <w:t xml:space="preserve"> and the Government of Switzerland. The global conversation on governance was elevated further during the </w:t>
      </w:r>
      <w:hyperlink r:id="rId218" w:history="1">
        <w:r w:rsidRPr="0062595A">
          <w:rPr>
            <w:rFonts w:eastAsia="MS Mincho"/>
            <w:color w:val="0563C1"/>
            <w:sz w:val="22"/>
            <w:szCs w:val="22"/>
            <w:u w:val="single"/>
          </w:rPr>
          <w:t>AI Governance Day</w:t>
        </w:r>
      </w:hyperlink>
      <w:r w:rsidRPr="0062595A">
        <w:rPr>
          <w:rFonts w:eastAsia="MS Mincho"/>
          <w:sz w:val="22"/>
          <w:szCs w:val="22"/>
        </w:rPr>
        <w:t xml:space="preserve"> at the </w:t>
      </w:r>
      <w:hyperlink r:id="rId219" w:history="1">
        <w:r w:rsidRPr="0062595A">
          <w:rPr>
            <w:rFonts w:eastAsia="MS Mincho"/>
            <w:color w:val="0563C1"/>
            <w:sz w:val="22"/>
            <w:szCs w:val="22"/>
            <w:u w:val="single"/>
          </w:rPr>
          <w:t>AI for Good Global Summit</w:t>
        </w:r>
      </w:hyperlink>
      <w:r w:rsidRPr="0062595A">
        <w:rPr>
          <w:rFonts w:eastAsia="MS Mincho"/>
          <w:sz w:val="22"/>
          <w:szCs w:val="22"/>
        </w:rPr>
        <w:t>.</w:t>
      </w:r>
      <w:r w:rsidRPr="0062595A">
        <w:rPr>
          <w:rFonts w:eastAsia="SimSun"/>
          <w:sz w:val="22"/>
          <w:szCs w:val="22"/>
          <w:lang w:eastAsia="zh-CN"/>
        </w:rPr>
        <w:t xml:space="preserve"> </w:t>
      </w:r>
      <w:r w:rsidRPr="0062595A">
        <w:rPr>
          <w:rFonts w:eastAsia="MS Mincho"/>
          <w:color w:val="000000"/>
          <w:sz w:val="22"/>
          <w:shd w:val="clear" w:color="auto" w:fill="FFFFFF"/>
        </w:rPr>
        <w:t xml:space="preserve">The annual </w:t>
      </w:r>
      <w:hyperlink r:id="rId220" w:history="1">
        <w:r w:rsidRPr="0062595A">
          <w:rPr>
            <w:rFonts w:eastAsia="MS Mincho"/>
            <w:color w:val="0563C1"/>
            <w:sz w:val="22"/>
            <w:u w:val="single"/>
            <w:shd w:val="clear" w:color="auto" w:fill="FFFFFF"/>
          </w:rPr>
          <w:t>WSIS Forum</w:t>
        </w:r>
      </w:hyperlink>
      <w:r w:rsidRPr="0062595A">
        <w:rPr>
          <w:rFonts w:eastAsia="MS Mincho"/>
          <w:color w:val="000000"/>
          <w:sz w:val="22"/>
          <w:shd w:val="clear" w:color="auto" w:fill="FFFFFF"/>
        </w:rPr>
        <w:t xml:space="preserve"> serves as a multistakeholder platform for the broader ICT for </w:t>
      </w:r>
      <w:r w:rsidRPr="00AE7FA7">
        <w:rPr>
          <w:rFonts w:eastAsia="MS Mincho"/>
          <w:color w:val="000000"/>
          <w:sz w:val="22"/>
          <w:shd w:val="clear" w:color="auto" w:fill="FFFFFF"/>
        </w:rPr>
        <w:t xml:space="preserve">Development community to </w:t>
      </w:r>
      <w:r w:rsidRPr="00AE7FA7">
        <w:rPr>
          <w:rFonts w:eastAsia="MS Mincho"/>
          <w:color w:val="000000"/>
          <w:sz w:val="22"/>
          <w:shd w:val="clear" w:color="auto" w:fill="FFFFFF"/>
        </w:rPr>
        <w:t>discuss the challenges and opportunities for emerging technologies such as AI in the context of development.</w:t>
      </w:r>
    </w:p>
    <w:p w14:paraId="08F43DB5" w14:textId="3F8D4486" w:rsidR="0062595A" w:rsidRPr="00AE7FA7" w:rsidRDefault="0062595A" w:rsidP="00C5530E">
      <w:pPr>
        <w:suppressAutoHyphens/>
        <w:adjustRightInd/>
        <w:spacing w:after="120"/>
        <w:jc w:val="both"/>
        <w:rPr>
          <w:rFonts w:eastAsia="MS Mincho"/>
          <w:sz w:val="22"/>
          <w:szCs w:val="22"/>
        </w:rPr>
      </w:pPr>
      <w:r w:rsidRPr="00AE7FA7">
        <w:rPr>
          <w:rFonts w:eastAsia="MS Mincho"/>
          <w:sz w:val="22"/>
          <w:szCs w:val="22"/>
        </w:rPr>
        <w:t xml:space="preserve">For information on ITU’s work on AI and the environment, see Section </w:t>
      </w:r>
      <w:hyperlink w:anchor="Section_4_4_2" w:history="1">
        <w:r w:rsidR="00AE7FA7" w:rsidRPr="00AE7FA7">
          <w:rPr>
            <w:rStyle w:val="Hyperlink"/>
            <w:rFonts w:eastAsia="MS Mincho"/>
            <w:sz w:val="22"/>
            <w:szCs w:val="22"/>
          </w:rPr>
          <w:t>4.4.2</w:t>
        </w:r>
      </w:hyperlink>
      <w:r w:rsidR="00AE7FA7" w:rsidRPr="00AE7FA7">
        <w:rPr>
          <w:rFonts w:eastAsia="MS Mincho"/>
          <w:sz w:val="22"/>
          <w:szCs w:val="22"/>
        </w:rPr>
        <w:t xml:space="preserve"> </w:t>
      </w:r>
      <w:r w:rsidRPr="00AE7FA7">
        <w:rPr>
          <w:rFonts w:eastAsia="MS Mincho"/>
          <w:sz w:val="22"/>
          <w:szCs w:val="22"/>
        </w:rPr>
        <w:t>above.</w:t>
      </w:r>
    </w:p>
    <w:p w14:paraId="1CEFF02B" w14:textId="77777777" w:rsidR="0062595A" w:rsidRPr="0062595A" w:rsidRDefault="0062595A" w:rsidP="00C5530E">
      <w:pPr>
        <w:suppressAutoHyphens/>
        <w:adjustRightInd/>
        <w:spacing w:before="240" w:after="120"/>
        <w:jc w:val="both"/>
        <w:rPr>
          <w:rFonts w:eastAsia="MS Mincho"/>
          <w:b/>
          <w:sz w:val="22"/>
          <w:szCs w:val="22"/>
        </w:rPr>
      </w:pPr>
      <w:r w:rsidRPr="00AE7FA7">
        <w:rPr>
          <w:rFonts w:eastAsia="MS Mincho"/>
          <w:b/>
          <w:sz w:val="22"/>
          <w:szCs w:val="22"/>
        </w:rPr>
        <w:t>Quantum information technology</w:t>
      </w:r>
    </w:p>
    <w:p w14:paraId="3BDD69ED"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textAlignment w:val="auto"/>
        <w:rPr>
          <w:rFonts w:eastAsia="Calibri" w:cs="Calibri"/>
          <w:sz w:val="22"/>
          <w:szCs w:val="22"/>
          <w:lang w:eastAsia="en-GB"/>
        </w:rPr>
      </w:pPr>
      <w:r w:rsidRPr="0062595A">
        <w:rPr>
          <w:rFonts w:eastAsia="Calibri" w:cs="Calibri"/>
          <w:sz w:val="22"/>
          <w:szCs w:val="22"/>
          <w:lang w:eastAsia="en-GB"/>
        </w:rPr>
        <w:t xml:space="preserve">Quantum information technology remains a major area of growth within ITU’s work, reflecting its increasing impact on future communication networks. ITU-T </w:t>
      </w:r>
      <w:hyperlink r:id="rId221" w:history="1">
        <w:r w:rsidRPr="0062595A">
          <w:rPr>
            <w:rFonts w:eastAsia="Calibri" w:cs="Calibri"/>
            <w:color w:val="0563C1"/>
            <w:sz w:val="22"/>
            <w:szCs w:val="22"/>
            <w:u w:val="single"/>
            <w:lang w:eastAsia="en-GB"/>
          </w:rPr>
          <w:t>Study Group 11</w:t>
        </w:r>
      </w:hyperlink>
      <w:r w:rsidRPr="0062595A">
        <w:rPr>
          <w:rFonts w:eastAsia="Calibri" w:cs="Calibri"/>
          <w:sz w:val="22"/>
          <w:szCs w:val="22"/>
          <w:lang w:eastAsia="en-GB"/>
        </w:rPr>
        <w:t xml:space="preserve">, </w:t>
      </w:r>
      <w:hyperlink r:id="rId222" w:history="1">
        <w:r w:rsidRPr="0062595A">
          <w:rPr>
            <w:rFonts w:eastAsia="Calibri" w:cs="Calibri"/>
            <w:color w:val="0563C1"/>
            <w:sz w:val="22"/>
            <w:szCs w:val="22"/>
            <w:u w:val="single"/>
            <w:lang w:eastAsia="en-GB"/>
          </w:rPr>
          <w:t>Study Group 13</w:t>
        </w:r>
      </w:hyperlink>
      <w:r w:rsidRPr="0062595A">
        <w:rPr>
          <w:rFonts w:eastAsia="Calibri" w:cs="Calibri"/>
          <w:sz w:val="22"/>
          <w:szCs w:val="22"/>
          <w:lang w:eastAsia="en-GB"/>
        </w:rPr>
        <w:t xml:space="preserve"> and </w:t>
      </w:r>
      <w:hyperlink r:id="rId223" w:history="1">
        <w:r w:rsidRPr="0062595A">
          <w:rPr>
            <w:rFonts w:eastAsia="Calibri" w:cs="Calibri"/>
            <w:color w:val="0563C1"/>
            <w:sz w:val="22"/>
            <w:szCs w:val="22"/>
            <w:u w:val="single"/>
            <w:lang w:eastAsia="en-GB"/>
          </w:rPr>
          <w:t>Study Group 17</w:t>
        </w:r>
      </w:hyperlink>
      <w:r w:rsidRPr="0062595A">
        <w:rPr>
          <w:rFonts w:eastAsia="Calibri" w:cs="Calibri"/>
          <w:sz w:val="22"/>
          <w:szCs w:val="22"/>
          <w:lang w:eastAsia="en-GB"/>
        </w:rPr>
        <w:t xml:space="preserve"> continued developing quantum</w:t>
      </w:r>
      <w:r w:rsidRPr="0062595A">
        <w:rPr>
          <w:rFonts w:eastAsia="Calibri" w:cs="Calibri"/>
          <w:sz w:val="22"/>
          <w:szCs w:val="22"/>
          <w:lang w:eastAsia="en-GB"/>
        </w:rPr>
        <w:t xml:space="preserve">-related Recommendations, with over thirty new standards adopted since 2022, including </w:t>
      </w:r>
      <w:hyperlink r:id="rId224" w:history="1">
        <w:r w:rsidRPr="0062595A">
          <w:rPr>
            <w:rFonts w:eastAsia="Calibri" w:cs="Calibri"/>
            <w:color w:val="0563C1"/>
            <w:sz w:val="22"/>
            <w:szCs w:val="22"/>
            <w:u w:val="single"/>
            <w:lang w:eastAsia="en-GB"/>
          </w:rPr>
          <w:t>X.1715</w:t>
        </w:r>
      </w:hyperlink>
      <w:r w:rsidRPr="0062595A">
        <w:rPr>
          <w:rFonts w:eastAsia="Calibri" w:cs="Calibri"/>
          <w:sz w:val="22"/>
          <w:szCs w:val="22"/>
          <w:lang w:eastAsia="en-GB"/>
        </w:rPr>
        <w:t xml:space="preserve"> and the </w:t>
      </w:r>
      <w:hyperlink r:id="rId225" w:history="1">
        <w:r w:rsidRPr="0062595A">
          <w:rPr>
            <w:rFonts w:eastAsia="Calibri" w:cs="Calibri"/>
            <w:color w:val="0563C1"/>
            <w:sz w:val="22"/>
            <w:szCs w:val="22"/>
            <w:u w:val="single"/>
            <w:lang w:eastAsia="en-GB"/>
          </w:rPr>
          <w:t>Y.3809</w:t>
        </w:r>
      </w:hyperlink>
      <w:r w:rsidRPr="0062595A">
        <w:rPr>
          <w:rFonts w:eastAsia="Calibri" w:cs="Calibri"/>
          <w:sz w:val="22"/>
          <w:szCs w:val="22"/>
          <w:lang w:eastAsia="en-GB"/>
        </w:rPr>
        <w:t xml:space="preserve"> – </w:t>
      </w:r>
      <w:hyperlink r:id="rId226" w:history="1">
        <w:r w:rsidRPr="0062595A">
          <w:rPr>
            <w:rFonts w:eastAsia="Calibri" w:cs="Calibri"/>
            <w:color w:val="0563C1"/>
            <w:sz w:val="22"/>
            <w:szCs w:val="22"/>
            <w:u w:val="single"/>
            <w:lang w:eastAsia="en-GB"/>
          </w:rPr>
          <w:t>Y.3814</w:t>
        </w:r>
      </w:hyperlink>
      <w:r w:rsidRPr="0062595A">
        <w:rPr>
          <w:rFonts w:eastAsia="Calibri" w:cs="Calibri"/>
          <w:sz w:val="22"/>
          <w:szCs w:val="22"/>
          <w:lang w:eastAsia="en-GB"/>
        </w:rPr>
        <w:t xml:space="preserve"> series. Following WTSA-24, these groups updated and expanded their mandates: Study Group 11 continued studies on signalling and control architectures for quantum key distribution networks (QKDN); Study Group 13 advanced work on quantum network technologies; Study Group 15 introduced studies on transport-network requirements for quantum information technology; and Study Group 17 continued leading work on quantum key distribution (QKD) and post-quantum cryptography. An action adopted at WTSA-24 reinforced the urgency of migration to post-quantum cryptography (PQC) in telecommunication networks.</w:t>
      </w:r>
    </w:p>
    <w:p w14:paraId="798DD01B" w14:textId="783F17E5"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textAlignment w:val="auto"/>
        <w:rPr>
          <w:rFonts w:eastAsia="Calibri" w:cs="Calibri"/>
          <w:sz w:val="22"/>
          <w:szCs w:val="22"/>
          <w:lang w:eastAsia="en-GB"/>
        </w:rPr>
      </w:pPr>
      <w:r w:rsidRPr="0062595A">
        <w:rPr>
          <w:rFonts w:eastAsia="Calibri" w:cs="Calibri"/>
          <w:sz w:val="22"/>
          <w:szCs w:val="22"/>
          <w:lang w:eastAsia="en-GB"/>
        </w:rPr>
        <w:t xml:space="preserve">ITU-T now hosts approximately 50 quantum standards, with more than 30 additional deliverables under development. Coordination across this fast-moving domain continued through the </w:t>
      </w:r>
      <w:hyperlink r:id="rId227" w:history="1">
        <w:r w:rsidRPr="0062595A">
          <w:rPr>
            <w:rFonts w:eastAsia="Calibri" w:cs="Calibri"/>
            <w:color w:val="0563C1"/>
            <w:sz w:val="22"/>
            <w:szCs w:val="22"/>
            <w:u w:val="single"/>
            <w:lang w:eastAsia="en-GB"/>
          </w:rPr>
          <w:t>Joint Coordination Activity on Quantum Key Distribution Networks</w:t>
        </w:r>
      </w:hyperlink>
      <w:r w:rsidRPr="0062595A">
        <w:rPr>
          <w:rFonts w:eastAsia="Calibri" w:cs="Calibri"/>
          <w:sz w:val="22"/>
          <w:szCs w:val="22"/>
          <w:lang w:eastAsia="en-GB"/>
        </w:rPr>
        <w:t xml:space="preserve"> (</w:t>
      </w:r>
      <w:hyperlink r:id="rId228" w:history="1">
        <w:r w:rsidRPr="00952887">
          <w:rPr>
            <w:rFonts w:eastAsia="Calibri" w:cs="Calibri"/>
            <w:color w:val="0563C1"/>
            <w:sz w:val="22"/>
            <w:szCs w:val="22"/>
            <w:u w:val="single"/>
            <w:lang w:eastAsia="en-GB"/>
          </w:rPr>
          <w:t>JCA-QKDN</w:t>
        </w:r>
      </w:hyperlink>
      <w:r w:rsidRPr="0062595A">
        <w:rPr>
          <w:rFonts w:eastAsia="Calibri" w:cs="Calibri"/>
          <w:sz w:val="22"/>
          <w:szCs w:val="22"/>
          <w:lang w:eastAsia="en-GB"/>
        </w:rPr>
        <w:t xml:space="preserve">), established by ITU’s Telecommunication Standardization Advisory Group in January 2023. The JCA-QKDN held its first meeting in March 2023 and continued work through a collaborative session in Singapore in May 2024, which advanced a comprehensive </w:t>
      </w:r>
      <w:hyperlink r:id="rId229" w:history="1">
        <w:r w:rsidRPr="0062595A">
          <w:rPr>
            <w:rFonts w:eastAsia="Calibri" w:cs="Calibri"/>
            <w:color w:val="0563C1"/>
            <w:sz w:val="22"/>
            <w:szCs w:val="22"/>
            <w:u w:val="single"/>
            <w:lang w:eastAsia="en-GB"/>
          </w:rPr>
          <w:t>Quantum Standards Database</w:t>
        </w:r>
      </w:hyperlink>
    </w:p>
    <w:p w14:paraId="478DB7D7" w14:textId="1235E0FA" w:rsidR="0062595A" w:rsidRPr="00CB4EBA" w:rsidRDefault="0062595A" w:rsidP="00C5530E">
      <w:pPr>
        <w:tabs>
          <w:tab w:val="clear" w:pos="567"/>
          <w:tab w:val="clear" w:pos="1134"/>
          <w:tab w:val="clear" w:pos="1701"/>
          <w:tab w:val="clear" w:pos="2268"/>
          <w:tab w:val="clear" w:pos="2835"/>
        </w:tabs>
        <w:suppressAutoHyphens/>
        <w:overflowPunct/>
        <w:autoSpaceDE/>
        <w:adjustRightInd/>
        <w:spacing w:after="120"/>
        <w:jc w:val="both"/>
        <w:textAlignment w:val="auto"/>
        <w:rPr>
          <w:rFonts w:eastAsia="Calibri" w:cs="Calibri"/>
          <w:spacing w:val="-2"/>
          <w:sz w:val="22"/>
          <w:szCs w:val="22"/>
          <w:lang w:eastAsia="en-GB"/>
        </w:rPr>
      </w:pPr>
      <w:r w:rsidRPr="00CB4EBA">
        <w:rPr>
          <w:rFonts w:eastAsia="Calibri" w:cs="Calibri"/>
          <w:spacing w:val="-2"/>
          <w:sz w:val="22"/>
          <w:szCs w:val="22"/>
          <w:lang w:eastAsia="en-GB"/>
        </w:rPr>
        <w:t xml:space="preserve">At the global level, the United Nations General Assembly adopted </w:t>
      </w:r>
      <w:hyperlink r:id="rId230" w:history="1">
        <w:r w:rsidRPr="00CB4EBA">
          <w:rPr>
            <w:rFonts w:eastAsia="Calibri" w:cs="Calibri"/>
            <w:color w:val="0563C1"/>
            <w:spacing w:val="-2"/>
            <w:sz w:val="22"/>
            <w:szCs w:val="22"/>
            <w:u w:val="single"/>
            <w:lang w:eastAsia="en-GB"/>
          </w:rPr>
          <w:t>Resolution 78/287</w:t>
        </w:r>
      </w:hyperlink>
      <w:r w:rsidRPr="00CB4EBA">
        <w:rPr>
          <w:rFonts w:eastAsia="Calibri" w:cs="Calibri"/>
          <w:spacing w:val="-2"/>
          <w:sz w:val="22"/>
          <w:szCs w:val="22"/>
          <w:lang w:eastAsia="en-GB"/>
        </w:rPr>
        <w:t xml:space="preserve"> in June 2024, proclaiming 2025 as the International Year of Quantum Science and Technology (IYQ). ITU played a central role in the IYQ Steering Committee, supporting implementation, awareness-raising and global events. In this context, </w:t>
      </w:r>
      <w:hyperlink r:id="rId231" w:history="1">
        <w:r w:rsidRPr="00CB4EBA">
          <w:rPr>
            <w:rFonts w:eastAsia="Calibri" w:cs="Calibri"/>
            <w:color w:val="0563C1"/>
            <w:spacing w:val="-2"/>
            <w:sz w:val="22"/>
            <w:szCs w:val="22"/>
            <w:u w:val="single"/>
            <w:lang w:eastAsia="en-GB"/>
          </w:rPr>
          <w:t>Quantum for Good</w:t>
        </w:r>
      </w:hyperlink>
      <w:r w:rsidRPr="00CB4EBA">
        <w:rPr>
          <w:rFonts w:eastAsia="Calibri" w:cs="Calibri"/>
          <w:spacing w:val="-2"/>
          <w:sz w:val="22"/>
          <w:szCs w:val="22"/>
          <w:lang w:eastAsia="en-GB"/>
        </w:rPr>
        <w:t xml:space="preserve"> was launched a global initiative for inclusive and sustainable quantum impact, dedicated to aligning quantum innovation with the UN Sustainable Development Goals. It is structured around three core pillars: bridging the quantum divide; industry leadership and standards and strengthening global cooperation on quantum technologies. Quantum for Good is integrated into the annual AI for Good Summit alongside additional IYQ-related activities since 2025, including the </w:t>
      </w:r>
      <w:hyperlink r:id="rId232" w:tooltip="https://aiforgood.itu.int/search-result-programme/?keyword=&amp;category=802&amp;event-venue=&amp;enddate=&amp;startdate=" w:history="1">
        <w:r w:rsidRPr="00CB4EBA">
          <w:rPr>
            <w:rFonts w:eastAsia="Calibri" w:cs="Calibri"/>
            <w:color w:val="0563C1"/>
            <w:spacing w:val="-2"/>
            <w:sz w:val="22"/>
            <w:szCs w:val="22"/>
            <w:u w:val="single"/>
            <w:lang w:eastAsia="en-GB"/>
          </w:rPr>
          <w:t>Quantum World Tour webinar series</w:t>
        </w:r>
      </w:hyperlink>
      <w:r w:rsidRPr="00CB4EBA">
        <w:rPr>
          <w:rFonts w:eastAsia="Calibri" w:cs="Calibri"/>
          <w:spacing w:val="-2"/>
          <w:sz w:val="22"/>
          <w:szCs w:val="22"/>
          <w:lang w:eastAsia="en-GB"/>
        </w:rPr>
        <w:t xml:space="preserve"> that showcases quantum ecosystems globally and the </w:t>
      </w:r>
      <w:hyperlink r:id="rId233" w:tooltip="https://www.quantum-course.com/" w:history="1">
        <w:r w:rsidRPr="00CB4EBA">
          <w:rPr>
            <w:rFonts w:eastAsia="Calibri" w:cs="Calibri"/>
            <w:color w:val="0563C1"/>
            <w:spacing w:val="-2"/>
            <w:sz w:val="22"/>
            <w:szCs w:val="22"/>
            <w:u w:val="single"/>
            <w:lang w:eastAsia="en-GB"/>
          </w:rPr>
          <w:t>Quantum for Everyone online course</w:t>
        </w:r>
      </w:hyperlink>
      <w:r w:rsidRPr="00CB4EBA">
        <w:rPr>
          <w:rFonts w:eastAsia="Calibri" w:cs="Calibri"/>
          <w:spacing w:val="-2"/>
          <w:sz w:val="22"/>
          <w:szCs w:val="22"/>
          <w:lang w:eastAsia="en-GB"/>
        </w:rPr>
        <w:t xml:space="preserve"> developed in partnership with the UN International Computing Centre (UNICC) </w:t>
      </w:r>
      <w:r w:rsidRPr="00CB4EBA">
        <w:rPr>
          <w:rFonts w:eastAsia="Calibri" w:cs="Calibri"/>
          <w:spacing w:val="-2"/>
          <w:sz w:val="22"/>
          <w:szCs w:val="22"/>
          <w:lang w:eastAsia="en-GB"/>
        </w:rPr>
        <w:lastRenderedPageBreak/>
        <w:t xml:space="preserve">and Quantum Delta NL to build capacity. Youth engagement has also been a key priority throughout these activities, including through hackathons such as the </w:t>
      </w:r>
      <w:hyperlink r:id="rId234" w:history="1">
        <w:r w:rsidRPr="00CB4EBA">
          <w:rPr>
            <w:rFonts w:eastAsia="Calibri" w:cs="Calibri"/>
            <w:color w:val="0563C1"/>
            <w:spacing w:val="-2"/>
            <w:sz w:val="22"/>
            <w:szCs w:val="22"/>
            <w:u w:val="single"/>
            <w:lang w:eastAsia="en-GB"/>
          </w:rPr>
          <w:t>Future Leaders in Quantum Hackathon 2025</w:t>
        </w:r>
      </w:hyperlink>
      <w:r w:rsidRPr="00CB4EBA">
        <w:rPr>
          <w:rFonts w:eastAsia="Calibri" w:cs="Calibri"/>
          <w:spacing w:val="-2"/>
          <w:sz w:val="22"/>
          <w:szCs w:val="22"/>
          <w:lang w:eastAsia="en-GB"/>
        </w:rPr>
        <w:t xml:space="preserve"> which empower young innovators to apply quantum technologies to real-world challenges.</w:t>
      </w:r>
    </w:p>
    <w:p w14:paraId="00A72669" w14:textId="77777777" w:rsidR="0062595A" w:rsidRPr="0062595A" w:rsidRDefault="0062595A" w:rsidP="00C5530E">
      <w:pPr>
        <w:keepNext/>
        <w:suppressAutoHyphens/>
        <w:adjustRightInd/>
        <w:spacing w:before="240" w:after="120"/>
        <w:jc w:val="both"/>
        <w:rPr>
          <w:rFonts w:eastAsia="MS Mincho"/>
          <w:sz w:val="22"/>
        </w:rPr>
      </w:pPr>
      <w:r w:rsidRPr="0062595A">
        <w:rPr>
          <w:rFonts w:eastAsia="MS Mincho"/>
          <w:b/>
          <w:sz w:val="22"/>
        </w:rPr>
        <w:t>Metavers</w:t>
      </w:r>
      <w:r w:rsidRPr="0062595A">
        <w:rPr>
          <w:rFonts w:eastAsia="Calibri"/>
          <w:b/>
          <w:sz w:val="22"/>
        </w:rPr>
        <w:t xml:space="preserve">e and </w:t>
      </w:r>
      <w:proofErr w:type="spellStart"/>
      <w:r w:rsidRPr="0062595A">
        <w:rPr>
          <w:rFonts w:eastAsia="Calibri"/>
          <w:b/>
          <w:sz w:val="22"/>
        </w:rPr>
        <w:t>citiverse</w:t>
      </w:r>
      <w:proofErr w:type="spellEnd"/>
    </w:p>
    <w:p w14:paraId="72DE9BAE" w14:textId="77777777" w:rsidR="0062595A" w:rsidRPr="0062595A" w:rsidRDefault="0062595A" w:rsidP="00C5530E">
      <w:pPr>
        <w:suppressAutoHyphens/>
        <w:adjustRightInd/>
        <w:spacing w:after="120"/>
        <w:jc w:val="both"/>
        <w:rPr>
          <w:rFonts w:eastAsia="MS Mincho"/>
          <w:sz w:val="22"/>
        </w:rPr>
      </w:pPr>
      <w:r w:rsidRPr="0062595A">
        <w:rPr>
          <w:rFonts w:eastAsia="Calibri"/>
          <w:sz w:val="22"/>
          <w:szCs w:val="22"/>
        </w:rPr>
        <w:t xml:space="preserve">Rapid growth in virtual worlds and </w:t>
      </w:r>
      <w:hyperlink r:id="rId235" w:history="1">
        <w:r w:rsidRPr="0062595A">
          <w:rPr>
            <w:rFonts w:eastAsia="Calibri"/>
            <w:color w:val="0563C1"/>
            <w:sz w:val="22"/>
            <w:szCs w:val="22"/>
            <w:u w:val="single"/>
          </w:rPr>
          <w:t>metaverse</w:t>
        </w:r>
      </w:hyperlink>
      <w:r w:rsidRPr="0062595A">
        <w:rPr>
          <w:rFonts w:eastAsia="Calibri"/>
          <w:sz w:val="22"/>
          <w:szCs w:val="22"/>
        </w:rPr>
        <w:t xml:space="preserve">-related technologies led ITU to explore the foundational requirements for future international standards. The </w:t>
      </w:r>
      <w:hyperlink r:id="rId236" w:history="1">
        <w:r w:rsidRPr="0062595A">
          <w:rPr>
            <w:rFonts w:eastAsia="Calibri"/>
            <w:color w:val="0563C1"/>
            <w:sz w:val="22"/>
            <w:szCs w:val="22"/>
            <w:u w:val="single"/>
          </w:rPr>
          <w:t>Focus Group on Metaverse (FG-MV)</w:t>
        </w:r>
      </w:hyperlink>
      <w:r w:rsidRPr="0062595A">
        <w:rPr>
          <w:rFonts w:eastAsia="Calibri"/>
          <w:sz w:val="22"/>
          <w:szCs w:val="22"/>
        </w:rPr>
        <w:t xml:space="preserve">, established by ITU’s </w:t>
      </w:r>
      <w:r w:rsidRPr="0062595A">
        <w:rPr>
          <w:rFonts w:eastAsia="Calibri" w:cs="Calibri"/>
          <w:sz w:val="22"/>
        </w:rPr>
        <w:t xml:space="preserve">Telecommunication Standardization Advisory Group </w:t>
      </w:r>
      <w:r w:rsidRPr="0062595A">
        <w:rPr>
          <w:rFonts w:eastAsia="Calibri"/>
          <w:sz w:val="22"/>
          <w:szCs w:val="22"/>
        </w:rPr>
        <w:t xml:space="preserve">in December 2022, undertook extensive analysis of technical requirements and enabling technologies, with its first meeting in March 2023 attracting over 650 participants. The group also benefited from five </w:t>
      </w:r>
      <w:hyperlink r:id="rId237" w:history="1">
        <w:r w:rsidRPr="0062595A">
          <w:rPr>
            <w:rFonts w:eastAsia="Calibri"/>
            <w:color w:val="0563C1"/>
            <w:sz w:val="22"/>
            <w:szCs w:val="22"/>
            <w:u w:val="single"/>
          </w:rPr>
          <w:t>ITU Forums on the Metaverse</w:t>
        </w:r>
      </w:hyperlink>
      <w:r w:rsidRPr="0062595A">
        <w:rPr>
          <w:rFonts w:eastAsia="Calibri"/>
          <w:sz w:val="22"/>
          <w:szCs w:val="22"/>
        </w:rPr>
        <w:t>, which brought together more than 14,500 participants to explore challenges and opportunities.</w:t>
      </w:r>
    </w:p>
    <w:p w14:paraId="71AF514A" w14:textId="77777777" w:rsidR="0062595A" w:rsidRPr="0062595A" w:rsidRDefault="0062595A" w:rsidP="00C5530E">
      <w:pPr>
        <w:suppressAutoHyphens/>
        <w:adjustRightInd/>
        <w:spacing w:after="120"/>
        <w:jc w:val="both"/>
        <w:rPr>
          <w:rFonts w:eastAsia="MS Mincho"/>
          <w:sz w:val="22"/>
        </w:rPr>
      </w:pPr>
      <w:hyperlink r:id="rId238" w:history="1">
        <w:r w:rsidRPr="0062595A">
          <w:rPr>
            <w:rFonts w:eastAsia="Calibri"/>
            <w:color w:val="0563C1"/>
            <w:sz w:val="22"/>
            <w:szCs w:val="22"/>
            <w:u w:val="single"/>
          </w:rPr>
          <w:t>FG-MV Workplan</w:t>
        </w:r>
      </w:hyperlink>
      <w:r w:rsidRPr="0062595A">
        <w:rPr>
          <w:rFonts w:eastAsia="Calibri"/>
          <w:sz w:val="22"/>
          <w:szCs w:val="22"/>
        </w:rPr>
        <w:t xml:space="preserve"> concluded in June 2024, producing 52 deliverables. These included a definition of the metaverse, a standardization roadmap, and studies on generative AI in virtual worlds, </w:t>
      </w:r>
      <w:proofErr w:type="spellStart"/>
      <w:r w:rsidRPr="0062595A">
        <w:rPr>
          <w:rFonts w:eastAsia="Calibri"/>
          <w:sz w:val="22"/>
          <w:szCs w:val="22"/>
        </w:rPr>
        <w:t>citiverse</w:t>
      </w:r>
      <w:proofErr w:type="spellEnd"/>
      <w:r w:rsidRPr="0062595A">
        <w:rPr>
          <w:rFonts w:eastAsia="Calibri"/>
          <w:sz w:val="22"/>
          <w:szCs w:val="22"/>
        </w:rPr>
        <w:t xml:space="preserve"> concepts, cross-platform interoperability, trust and security, accessibility, energy efficiency, policy considerations, digital twins, and metaverse use cases for cities and industrial contexts.</w:t>
      </w:r>
    </w:p>
    <w:p w14:paraId="263DF6B6" w14:textId="77777777" w:rsidR="0062595A" w:rsidRPr="0062595A" w:rsidRDefault="0062595A" w:rsidP="00C5530E">
      <w:pPr>
        <w:suppressAutoHyphens/>
        <w:adjustRightInd/>
        <w:spacing w:after="120"/>
        <w:jc w:val="both"/>
        <w:rPr>
          <w:rFonts w:eastAsia="Calibri"/>
          <w:sz w:val="22"/>
          <w:szCs w:val="22"/>
        </w:rPr>
      </w:pPr>
      <w:r w:rsidRPr="0062595A">
        <w:rPr>
          <w:rFonts w:eastAsia="Calibri"/>
          <w:sz w:val="22"/>
          <w:szCs w:val="22"/>
        </w:rPr>
        <w:t>The work of the Focus Group has been successfully transferred to ITU-T Study Groups including ITU-T Study Group 20, which has successfully developed standards on digital twins for metaverse.</w:t>
      </w:r>
    </w:p>
    <w:p w14:paraId="37EBA7FE" w14:textId="77777777" w:rsidR="0062595A" w:rsidRPr="0062595A" w:rsidRDefault="0062595A" w:rsidP="00C5530E">
      <w:pPr>
        <w:suppressAutoHyphens/>
        <w:adjustRightInd/>
        <w:spacing w:after="120"/>
        <w:jc w:val="both"/>
        <w:rPr>
          <w:rFonts w:eastAsia="Calibri"/>
          <w:sz w:val="22"/>
          <w:szCs w:val="22"/>
        </w:rPr>
      </w:pPr>
      <w:r w:rsidRPr="0062595A">
        <w:rPr>
          <w:rFonts w:eastAsia="Calibri"/>
          <w:sz w:val="22"/>
          <w:szCs w:val="22"/>
        </w:rPr>
        <w:t xml:space="preserve">Following the closing of the Focus Group a new initiative on Virtual Worlds and AI has been launched, to provide a platform to develop interoperable and safe </w:t>
      </w:r>
      <w:proofErr w:type="spellStart"/>
      <w:r w:rsidRPr="0062595A">
        <w:rPr>
          <w:rFonts w:eastAsia="Calibri"/>
          <w:sz w:val="22"/>
          <w:szCs w:val="22"/>
        </w:rPr>
        <w:t>citiverse</w:t>
      </w:r>
      <w:proofErr w:type="spellEnd"/>
      <w:r w:rsidRPr="0062595A">
        <w:rPr>
          <w:rFonts w:eastAsia="Calibri"/>
          <w:sz w:val="22"/>
          <w:szCs w:val="22"/>
        </w:rPr>
        <w:t>.</w:t>
      </w:r>
    </w:p>
    <w:p w14:paraId="0738843A" w14:textId="77777777" w:rsidR="0062595A" w:rsidRPr="0062595A" w:rsidRDefault="0062595A" w:rsidP="00C5530E">
      <w:pPr>
        <w:suppressAutoHyphens/>
        <w:adjustRightInd/>
        <w:spacing w:after="120"/>
        <w:jc w:val="both"/>
        <w:rPr>
          <w:rFonts w:eastAsia="MS Mincho"/>
          <w:sz w:val="22"/>
        </w:rPr>
      </w:pPr>
      <w:r w:rsidRPr="0062595A">
        <w:rPr>
          <w:rFonts w:eastAsia="Calibri"/>
          <w:sz w:val="22"/>
          <w:szCs w:val="22"/>
        </w:rPr>
        <w:t xml:space="preserve">Building on this work, ITU co-organized the </w:t>
      </w:r>
      <w:hyperlink r:id="rId239" w:history="1">
        <w:r w:rsidRPr="0062595A">
          <w:rPr>
            <w:rFonts w:eastAsia="Calibri"/>
            <w:color w:val="0563C1"/>
            <w:sz w:val="22"/>
            <w:szCs w:val="22"/>
            <w:u w:val="single"/>
          </w:rPr>
          <w:t>Metaverse Think-a-Thon</w:t>
        </w:r>
      </w:hyperlink>
      <w:r w:rsidRPr="0062595A">
        <w:rPr>
          <w:rFonts w:eastAsia="Calibri"/>
          <w:sz w:val="22"/>
          <w:szCs w:val="22"/>
        </w:rPr>
        <w:t xml:space="preserve"> 2024 with UNICC, FAO and the International Atomic Energy Agency (IAEA), challenging students and graduates to develop virtual-simulation solutions for global problems in education, disaster preparedness, conflict resolution and sustainable urban development. The initiative culminated in recognition of the winning teams during </w:t>
      </w:r>
      <w:hyperlink r:id="rId240" w:history="1">
        <w:r w:rsidRPr="0062595A">
          <w:rPr>
            <w:rFonts w:eastAsia="Calibri"/>
            <w:color w:val="0563C1"/>
            <w:sz w:val="22"/>
            <w:szCs w:val="22"/>
            <w:u w:val="single"/>
          </w:rPr>
          <w:t>UN Virtual Worlds Day</w:t>
        </w:r>
      </w:hyperlink>
      <w:r w:rsidRPr="0062595A">
        <w:rPr>
          <w:rFonts w:eastAsia="Calibri"/>
          <w:sz w:val="22"/>
          <w:szCs w:val="22"/>
        </w:rPr>
        <w:t xml:space="preserve">. ITU also coordinated the preparation and launch of the </w:t>
      </w:r>
      <w:hyperlink r:id="rId241" w:history="1">
        <w:r w:rsidRPr="0062595A">
          <w:rPr>
            <w:rFonts w:eastAsia="Calibri"/>
            <w:color w:val="0563C1"/>
            <w:sz w:val="22"/>
            <w:szCs w:val="22"/>
            <w:u w:val="single"/>
          </w:rPr>
          <w:t xml:space="preserve">first UN </w:t>
        </w:r>
        <w:proofErr w:type="spellStart"/>
        <w:r w:rsidRPr="0062595A">
          <w:rPr>
            <w:rFonts w:eastAsia="Calibri"/>
            <w:color w:val="0563C1"/>
            <w:sz w:val="22"/>
            <w:szCs w:val="22"/>
            <w:u w:val="single"/>
          </w:rPr>
          <w:t>Citiverse</w:t>
        </w:r>
        <w:proofErr w:type="spellEnd"/>
        <w:r w:rsidRPr="0062595A">
          <w:rPr>
            <w:rFonts w:eastAsia="Calibri"/>
            <w:color w:val="0563C1"/>
            <w:sz w:val="22"/>
            <w:szCs w:val="22"/>
            <w:u w:val="single"/>
          </w:rPr>
          <w:t xml:space="preserve"> Challenge</w:t>
        </w:r>
      </w:hyperlink>
      <w:r w:rsidRPr="0062595A">
        <w:rPr>
          <w:rFonts w:eastAsia="Calibri"/>
          <w:sz w:val="22"/>
          <w:szCs w:val="22"/>
        </w:rPr>
        <w:t xml:space="preserve">, launched in February 2025 with 15 partners. The challenge concluded with the development and recognition of innovative </w:t>
      </w:r>
      <w:proofErr w:type="spellStart"/>
      <w:r w:rsidRPr="0062595A">
        <w:rPr>
          <w:rFonts w:eastAsia="Calibri"/>
          <w:sz w:val="22"/>
          <w:szCs w:val="22"/>
        </w:rPr>
        <w:t>citiverse</w:t>
      </w:r>
      <w:proofErr w:type="spellEnd"/>
      <w:r w:rsidRPr="0062595A">
        <w:rPr>
          <w:rFonts w:eastAsia="Calibri"/>
          <w:sz w:val="22"/>
          <w:szCs w:val="22"/>
        </w:rPr>
        <w:t xml:space="preserve">-based solutions addressing public service delivery, sustainability and tourism, highlighting practical pathways for cities to leverage virtual worlds as digital public infrastructure, and recognizing Team </w:t>
      </w:r>
      <w:proofErr w:type="spellStart"/>
      <w:r w:rsidRPr="0062595A">
        <w:rPr>
          <w:rFonts w:eastAsia="Calibri"/>
          <w:sz w:val="22"/>
          <w:szCs w:val="22"/>
        </w:rPr>
        <w:t>DataLab</w:t>
      </w:r>
      <w:proofErr w:type="spellEnd"/>
      <w:r w:rsidRPr="0062595A">
        <w:rPr>
          <w:rFonts w:eastAsia="Calibri"/>
          <w:sz w:val="22"/>
          <w:szCs w:val="22"/>
        </w:rPr>
        <w:t>, winner of the Student Category, for their outstanding contribution, and Team WEO, winner of the Startup Category, for their innovative and scalable solution.</w:t>
      </w:r>
    </w:p>
    <w:p w14:paraId="00A6B81F" w14:textId="77777777" w:rsidR="0062595A" w:rsidRPr="0062595A" w:rsidRDefault="0062595A" w:rsidP="00C5530E">
      <w:pPr>
        <w:suppressAutoHyphens/>
        <w:adjustRightInd/>
        <w:spacing w:after="120"/>
        <w:jc w:val="both"/>
        <w:rPr>
          <w:rFonts w:eastAsia="MS Mincho"/>
          <w:sz w:val="22"/>
        </w:rPr>
      </w:pPr>
      <w:r w:rsidRPr="0062595A">
        <w:rPr>
          <w:rFonts w:eastAsia="Calibri"/>
          <w:sz w:val="22"/>
          <w:szCs w:val="22"/>
        </w:rPr>
        <w:t xml:space="preserve">In parallel, ITU and 16 UN agencies published the first </w:t>
      </w:r>
      <w:hyperlink r:id="rId242" w:anchor="p=1" w:history="1">
        <w:r w:rsidRPr="0062595A">
          <w:rPr>
            <w:rFonts w:eastAsia="Calibri"/>
            <w:color w:val="0563C1"/>
            <w:sz w:val="22"/>
            <w:szCs w:val="22"/>
            <w:u w:val="single"/>
          </w:rPr>
          <w:t>UN Executive Briefing on Unlocking the Potential of Virtual Worlds and the Metaverse for the SDGs</w:t>
        </w:r>
      </w:hyperlink>
      <w:r w:rsidRPr="0062595A">
        <w:rPr>
          <w:rFonts w:eastAsia="Calibri"/>
          <w:sz w:val="22"/>
          <w:szCs w:val="22"/>
        </w:rPr>
        <w:t xml:space="preserve"> in June 2024, highlighting their potential transformative impact and emphasizing the need for international standards and responsible development.</w:t>
      </w:r>
    </w:p>
    <w:p w14:paraId="626769CD" w14:textId="77777777" w:rsidR="0062595A" w:rsidRPr="0062595A" w:rsidRDefault="0062595A" w:rsidP="00C5530E">
      <w:pPr>
        <w:suppressAutoHyphens/>
        <w:adjustRightInd/>
        <w:spacing w:before="240" w:after="120"/>
        <w:jc w:val="both"/>
        <w:rPr>
          <w:rFonts w:eastAsia="Calibri"/>
          <w:b/>
          <w:sz w:val="22"/>
        </w:rPr>
      </w:pPr>
      <w:r w:rsidRPr="0062595A">
        <w:rPr>
          <w:rFonts w:eastAsia="Calibri"/>
          <w:b/>
          <w:sz w:val="22"/>
        </w:rPr>
        <w:t>Internet of Things (IoT), Digital Twins and Smart Sustainable Cities</w:t>
      </w:r>
    </w:p>
    <w:p w14:paraId="650011D1" w14:textId="77777777" w:rsidR="0062595A" w:rsidRPr="0062595A" w:rsidRDefault="0062595A" w:rsidP="00C5530E">
      <w:pPr>
        <w:suppressAutoHyphens/>
        <w:adjustRightInd/>
        <w:spacing w:after="120"/>
        <w:jc w:val="both"/>
        <w:rPr>
          <w:rFonts w:eastAsia="MS Mincho"/>
          <w:sz w:val="22"/>
        </w:rPr>
      </w:pPr>
      <w:r w:rsidRPr="0062595A">
        <w:rPr>
          <w:rFonts w:eastAsia="MS Mincho"/>
          <w:noProof/>
          <w:sz w:val="22"/>
        </w:rPr>
        <w:drawing>
          <wp:anchor distT="0" distB="0" distL="114300" distR="114300" simplePos="0" relativeHeight="251658240" behindDoc="1" locked="0" layoutInCell="1" allowOverlap="1" wp14:anchorId="3702FAE5" wp14:editId="74DC5423">
            <wp:simplePos x="0" y="0"/>
            <wp:positionH relativeFrom="column">
              <wp:posOffset>-34925</wp:posOffset>
            </wp:positionH>
            <wp:positionV relativeFrom="paragraph">
              <wp:posOffset>512445</wp:posOffset>
            </wp:positionV>
            <wp:extent cx="1148715" cy="1626870"/>
            <wp:effectExtent l="19050" t="19050" r="13335" b="11430"/>
            <wp:wrapSquare wrapText="bothSides"/>
            <wp:docPr id="634508962" name="Picture 2" descr="A cover of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rcRect/>
                    <a:stretch>
                      <a:fillRect/>
                    </a:stretch>
                  </pic:blipFill>
                  <pic:spPr>
                    <a:xfrm>
                      <a:off x="0" y="0"/>
                      <a:ext cx="1148715" cy="1626870"/>
                    </a:xfrm>
                    <a:prstGeom prst="rect">
                      <a:avLst/>
                    </a:prstGeom>
                    <a:noFill/>
                    <a:ln w="3172">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62595A">
        <w:rPr>
          <w:rFonts w:eastAsia="Calibri"/>
          <w:sz w:val="22"/>
          <w:szCs w:val="22"/>
        </w:rPr>
        <w:t xml:space="preserve">Work on </w:t>
      </w:r>
      <w:hyperlink r:id="rId244" w:history="1">
        <w:r w:rsidRPr="0062595A">
          <w:rPr>
            <w:rFonts w:eastAsia="Calibri"/>
            <w:color w:val="0563C1"/>
            <w:sz w:val="22"/>
            <w:szCs w:val="22"/>
            <w:u w:val="single"/>
          </w:rPr>
          <w:t>IoT</w:t>
        </w:r>
      </w:hyperlink>
      <w:r w:rsidRPr="0062595A">
        <w:rPr>
          <w:rFonts w:eastAsia="MS Mincho"/>
          <w:sz w:val="22"/>
        </w:rPr>
        <w:t>, Digital Twins</w:t>
      </w:r>
      <w:r w:rsidRPr="0062595A">
        <w:rPr>
          <w:rFonts w:eastAsia="Calibri"/>
          <w:sz w:val="22"/>
          <w:szCs w:val="22"/>
        </w:rPr>
        <w:t xml:space="preserve"> and smart sustainable cities remained a key strand of ITU’s emerging-technology agenda. </w:t>
      </w:r>
      <w:hyperlink r:id="rId245" w:history="1">
        <w:r w:rsidRPr="0062595A">
          <w:rPr>
            <w:rFonts w:eastAsia="Calibri"/>
            <w:color w:val="0563C1"/>
            <w:sz w:val="22"/>
            <w:szCs w:val="22"/>
            <w:u w:val="single"/>
          </w:rPr>
          <w:t>ITU-T Study Group 20</w:t>
        </w:r>
      </w:hyperlink>
      <w:r w:rsidRPr="0062595A">
        <w:rPr>
          <w:rFonts w:eastAsia="Calibri"/>
          <w:sz w:val="22"/>
          <w:szCs w:val="22"/>
        </w:rPr>
        <w:t xml:space="preserve"> continued developing global standards for interoperable IoT technologies, big-data ecosystems and digital transformation for smart and sustainable cities and communities. These efforts support city-scale innovation, secure data flows and urban-systems efficiency.</w:t>
      </w:r>
    </w:p>
    <w:p w14:paraId="4EB86AE6"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22"/>
        </w:rPr>
        <w:t>See also the </w:t>
      </w:r>
      <w:hyperlink r:id="rId246" w:history="1">
        <w:r w:rsidRPr="0062595A">
          <w:rPr>
            <w:rFonts w:eastAsia="MS Mincho"/>
            <w:color w:val="0563C1"/>
            <w:sz w:val="22"/>
            <w:szCs w:val="22"/>
            <w:u w:val="single"/>
          </w:rPr>
          <w:t>ITU-T Study Group 20 homepage</w:t>
        </w:r>
      </w:hyperlink>
      <w:r w:rsidRPr="0062595A">
        <w:rPr>
          <w:rFonts w:eastAsia="MS Mincho"/>
          <w:sz w:val="22"/>
          <w:szCs w:val="22"/>
        </w:rPr>
        <w:t xml:space="preserve"> and </w:t>
      </w:r>
      <w:hyperlink r:id="rId247" w:history="1">
        <w:r w:rsidRPr="0062595A">
          <w:rPr>
            <w:rFonts w:eastAsia="MS Mincho"/>
            <w:color w:val="0563C1"/>
            <w:sz w:val="22"/>
            <w:szCs w:val="22"/>
            <w:u w:val="single"/>
          </w:rPr>
          <w:t>List of Recommendations</w:t>
        </w:r>
      </w:hyperlink>
      <w:r w:rsidRPr="0062595A">
        <w:rPr>
          <w:rFonts w:eastAsia="MS Mincho"/>
          <w:sz w:val="22"/>
          <w:szCs w:val="22"/>
          <w:u w:val="single"/>
        </w:rPr>
        <w:t>.</w:t>
      </w:r>
      <w:r w:rsidRPr="0062595A">
        <w:rPr>
          <w:rFonts w:eastAsia="MS Mincho"/>
          <w:sz w:val="22"/>
          <w:szCs w:val="22"/>
        </w:rPr>
        <w:t> </w:t>
      </w:r>
    </w:p>
    <w:p w14:paraId="13E9C995"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22"/>
        </w:rPr>
        <w:t xml:space="preserve">The </w:t>
      </w:r>
      <w:hyperlink r:id="rId248" w:history="1">
        <w:r w:rsidRPr="0062595A">
          <w:rPr>
            <w:rFonts w:eastAsia="MS Mincho"/>
            <w:color w:val="0563C1"/>
            <w:sz w:val="22"/>
            <w:szCs w:val="22"/>
            <w:u w:val="single"/>
          </w:rPr>
          <w:t>U4SSC Initiative</w:t>
        </w:r>
      </w:hyperlink>
      <w:r w:rsidRPr="0062595A">
        <w:rPr>
          <w:rFonts w:eastAsia="MS Mincho"/>
          <w:sz w:val="22"/>
          <w:szCs w:val="22"/>
        </w:rPr>
        <w:t xml:space="preserve"> complements this work by supporting digital public infrastructure, city platforms, and broader digital transformation in people-centred cities. Through its tools, frameworks and thematic working groups, U4SSC provides practical guidance to help cities implement standards-based, interoperable and inclusive digital solutions that advance sustainability, resilience and citizen-focused urban services.</w:t>
      </w:r>
    </w:p>
    <w:p w14:paraId="0AE70C4F" w14:textId="77777777" w:rsidR="0062595A" w:rsidRPr="0062595A" w:rsidRDefault="0062595A" w:rsidP="00C5530E">
      <w:pPr>
        <w:suppressAutoHyphens/>
        <w:adjustRightInd/>
        <w:spacing w:after="120"/>
        <w:jc w:val="both"/>
        <w:rPr>
          <w:rFonts w:eastAsia="MS Mincho"/>
          <w:sz w:val="22"/>
        </w:rPr>
      </w:pPr>
      <w:r w:rsidRPr="0062595A">
        <w:rPr>
          <w:rFonts w:eastAsia="MS Mincho"/>
          <w:noProof/>
          <w:sz w:val="22"/>
          <w:szCs w:val="22"/>
        </w:rPr>
        <w:lastRenderedPageBreak/>
        <w:drawing>
          <wp:anchor distT="0" distB="0" distL="114300" distR="114300" simplePos="0" relativeHeight="251658241" behindDoc="0" locked="0" layoutInCell="1" allowOverlap="1" wp14:anchorId="66A5E020" wp14:editId="049424CA">
            <wp:simplePos x="0" y="0"/>
            <wp:positionH relativeFrom="column">
              <wp:posOffset>3053867</wp:posOffset>
            </wp:positionH>
            <wp:positionV relativeFrom="paragraph">
              <wp:posOffset>59381</wp:posOffset>
            </wp:positionV>
            <wp:extent cx="2660071" cy="1442493"/>
            <wp:effectExtent l="0" t="0" r="6929" b="5307"/>
            <wp:wrapSquare wrapText="bothSides"/>
            <wp:docPr id="1125331832" name="Picture 1" descr="A screenshot of a cell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2660071" cy="1442493"/>
                    </a:xfrm>
                    <a:prstGeom prst="rect">
                      <a:avLst/>
                    </a:prstGeom>
                    <a:noFill/>
                    <a:ln>
                      <a:noFill/>
                      <a:prstDash/>
                    </a:ln>
                  </pic:spPr>
                </pic:pic>
              </a:graphicData>
            </a:graphic>
          </wp:anchor>
        </w:drawing>
      </w:r>
      <w:r w:rsidRPr="0062595A">
        <w:rPr>
          <w:rFonts w:eastAsia="MS Mincho"/>
          <w:sz w:val="22"/>
          <w:szCs w:val="22"/>
        </w:rPr>
        <w:t xml:space="preserve">In support of people-centred digital transformation, ITU together with 11 UN entities, developed a </w:t>
      </w:r>
      <w:hyperlink r:id="rId250" w:history="1">
        <w:r w:rsidRPr="0062595A">
          <w:rPr>
            <w:rFonts w:eastAsia="MS Mincho"/>
            <w:color w:val="0563C1"/>
            <w:sz w:val="22"/>
            <w:u w:val="single"/>
          </w:rPr>
          <w:t>Toolkit on Digital Transformation for People-Oriented Cities and Communities</w:t>
        </w:r>
      </w:hyperlink>
      <w:r w:rsidRPr="0062595A">
        <w:rPr>
          <w:rFonts w:eastAsia="MS Mincho"/>
          <w:sz w:val="22"/>
          <w:szCs w:val="22"/>
        </w:rPr>
        <w:t xml:space="preserve"> to assist cities and local authorities in navigating digital change. The Toolkit brings together international standards and guidance, the latest research and projections, and cutting-edge reports on a range of timely topics relevant to the digital transformation of cities and communities.</w:t>
      </w:r>
    </w:p>
    <w:p w14:paraId="5CCFE87F"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22"/>
        </w:rPr>
        <w:t xml:space="preserve">ITU, together with other organizations and United Nations agencies, held the </w:t>
      </w:r>
      <w:hyperlink r:id="rId251" w:history="1">
        <w:r w:rsidRPr="0062595A">
          <w:rPr>
            <w:rFonts w:eastAsia="MS Mincho"/>
            <w:color w:val="0563C1"/>
            <w:sz w:val="22"/>
            <w:u w:val="single"/>
          </w:rPr>
          <w:t>Digital Transformation Dialogues (DTD)</w:t>
        </w:r>
      </w:hyperlink>
      <w:r w:rsidRPr="0062595A">
        <w:rPr>
          <w:rFonts w:eastAsia="MS Mincho"/>
          <w:sz w:val="22"/>
          <w:szCs w:val="22"/>
        </w:rPr>
        <w:t xml:space="preserve"> series a platform to deepen understanding of how emerging technologies can reshape traditional processes, improve operational efficiency and unlock new opportunities for innovation and standardization. The Dialogues address evolving digital transformation themes, foster cooperation among city stakeholders, and examine the role of international standards in this domain. Through webinars, fireside chats and “ask-the-expert” sessions, DTD highlights the latest work and outcomes of ITU-T Focus Groups, initiatives and ITU-T Study Groups.</w:t>
      </w:r>
    </w:p>
    <w:p w14:paraId="2F173A03"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22"/>
        </w:rPr>
        <w:t xml:space="preserve">Knowledge dissemination in this area is further reinforced through the regular publication of the </w:t>
      </w:r>
      <w:hyperlink r:id="rId252" w:history="1">
        <w:r w:rsidRPr="0062595A">
          <w:rPr>
            <w:rFonts w:eastAsia="MS Mincho"/>
            <w:color w:val="0563C1"/>
            <w:sz w:val="22"/>
            <w:u w:val="single"/>
          </w:rPr>
          <w:t>Digital Transformation and Cities Digest</w:t>
        </w:r>
      </w:hyperlink>
      <w:r w:rsidRPr="0062595A">
        <w:rPr>
          <w:rFonts w:eastAsia="MS Mincho"/>
          <w:sz w:val="22"/>
          <w:szCs w:val="22"/>
        </w:rPr>
        <w:t>, which compiles insights, trends and developments related to digital transformation and smart cities, and is made publicly available through a dedicated online platform.</w:t>
      </w:r>
    </w:p>
    <w:p w14:paraId="291951D1" w14:textId="77777777" w:rsidR="0062595A" w:rsidRPr="0062595A" w:rsidRDefault="0062595A" w:rsidP="004630E8">
      <w:pPr>
        <w:keepNext/>
        <w:keepLines/>
        <w:numPr>
          <w:ilvl w:val="1"/>
          <w:numId w:val="28"/>
        </w:numPr>
        <w:tabs>
          <w:tab w:val="clear" w:pos="567"/>
        </w:tabs>
        <w:suppressAutoHyphens/>
        <w:adjustRightInd/>
        <w:spacing w:before="360" w:after="120"/>
        <w:ind w:left="567" w:hanging="567"/>
        <w:jc w:val="both"/>
        <w:outlineLvl w:val="1"/>
        <w:rPr>
          <w:rFonts w:eastAsia="MS Mincho"/>
          <w:b/>
        </w:rPr>
      </w:pPr>
      <w:bookmarkStart w:id="83" w:name="_Toc224288816"/>
      <w:r w:rsidRPr="0062595A">
        <w:rPr>
          <w:rFonts w:eastAsia="MS Mincho"/>
          <w:b/>
        </w:rPr>
        <w:t>Provision of data and statistics</w:t>
      </w:r>
      <w:bookmarkEnd w:id="83"/>
    </w:p>
    <w:p w14:paraId="6D4568DF"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jc w:val="both"/>
        <w:rPr>
          <w:rFonts w:eastAsia="SimSun" w:cs="Arial"/>
          <w:kern w:val="3"/>
          <w:sz w:val="22"/>
          <w:szCs w:val="22"/>
          <w:lang w:eastAsia="zh-CN"/>
        </w:rPr>
      </w:pPr>
      <w:r w:rsidRPr="0062595A">
        <w:rPr>
          <w:rFonts w:eastAsia="SimSun" w:cs="Arial"/>
          <w:kern w:val="3"/>
          <w:sz w:val="22"/>
          <w:szCs w:val="22"/>
          <w:lang w:eastAsia="zh-CN"/>
        </w:rPr>
        <w:t xml:space="preserve">ITU leads the global ICT statistics agenda, providing the evidence base needed for universal and meaningful connectivity and sustained digital transformation. Its statistical activities span the entire data lifecycle, with the </w:t>
      </w:r>
      <w:hyperlink r:id="rId253" w:history="1">
        <w:r w:rsidRPr="0062595A">
          <w:rPr>
            <w:rFonts w:eastAsia="SimSun" w:cs="Arial"/>
            <w:color w:val="0563C1"/>
            <w:kern w:val="3"/>
            <w:sz w:val="22"/>
            <w:szCs w:val="22"/>
            <w:u w:val="single"/>
            <w:lang w:eastAsia="zh-CN"/>
          </w:rPr>
          <w:t>ICT Data and Analytics Division</w:t>
        </w:r>
      </w:hyperlink>
      <w:r w:rsidRPr="0062595A">
        <w:rPr>
          <w:rFonts w:eastAsia="SimSun" w:cs="Arial"/>
          <w:kern w:val="3"/>
          <w:sz w:val="22"/>
          <w:szCs w:val="22"/>
          <w:lang w:eastAsia="zh-CN"/>
        </w:rPr>
        <w:t xml:space="preserve">, within ITU-D’s Digital Knowledge Society Department, carrying out most of this work. </w:t>
      </w:r>
    </w:p>
    <w:p w14:paraId="00095782" w14:textId="77777777" w:rsidR="0062595A" w:rsidRPr="0062595A" w:rsidRDefault="0062595A" w:rsidP="004630E8">
      <w:pPr>
        <w:numPr>
          <w:ilvl w:val="0"/>
          <w:numId w:val="29"/>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SimSun" w:cs="Arial"/>
          <w:b/>
          <w:bCs/>
          <w:kern w:val="3"/>
          <w:sz w:val="22"/>
          <w:szCs w:val="22"/>
          <w:lang w:eastAsia="zh-CN"/>
        </w:rPr>
        <w:t xml:space="preserve">Statistical standards: </w:t>
      </w:r>
      <w:r w:rsidRPr="0062595A">
        <w:rPr>
          <w:rFonts w:eastAsia="SimSun" w:cs="Arial"/>
          <w:kern w:val="3"/>
          <w:sz w:val="22"/>
          <w:szCs w:val="22"/>
          <w:lang w:eastAsia="zh-CN"/>
        </w:rPr>
        <w:t xml:space="preserve">ITU defines and updates international </w:t>
      </w:r>
      <w:hyperlink r:id="rId254" w:history="1">
        <w:r w:rsidRPr="0062595A">
          <w:rPr>
            <w:rFonts w:eastAsia="SimSun" w:cs="Arial"/>
            <w:color w:val="0563C1"/>
            <w:kern w:val="3"/>
            <w:sz w:val="22"/>
            <w:szCs w:val="22"/>
            <w:u w:val="single"/>
            <w:lang w:eastAsia="zh-CN"/>
          </w:rPr>
          <w:t>statistical standards</w:t>
        </w:r>
      </w:hyperlink>
      <w:r w:rsidRPr="0062595A">
        <w:rPr>
          <w:rFonts w:eastAsia="SimSun" w:cs="Arial"/>
          <w:kern w:val="3"/>
          <w:sz w:val="22"/>
          <w:szCs w:val="22"/>
          <w:lang w:eastAsia="zh-CN"/>
        </w:rPr>
        <w:t xml:space="preserve"> for ICT indicators through the Expert Group on Telecom/ICT Indicators (EGTI) and the Expert Group on ICT Household Indicators (EGH).</w:t>
      </w:r>
    </w:p>
    <w:p w14:paraId="016EC297" w14:textId="76C96C32" w:rsidR="0062595A" w:rsidRPr="0062595A" w:rsidRDefault="0062595A" w:rsidP="004630E8">
      <w:pPr>
        <w:numPr>
          <w:ilvl w:val="0"/>
          <w:numId w:val="29"/>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SimSun" w:cs="Arial"/>
          <w:b/>
          <w:bCs/>
          <w:kern w:val="3"/>
          <w:sz w:val="22"/>
          <w:szCs w:val="22"/>
          <w:lang w:eastAsia="zh-CN"/>
        </w:rPr>
        <w:t xml:space="preserve">Data collection and dissemination: </w:t>
      </w:r>
      <w:r w:rsidRPr="0062595A">
        <w:rPr>
          <w:rFonts w:eastAsia="SimSun" w:cs="Arial"/>
          <w:kern w:val="3"/>
          <w:sz w:val="22"/>
          <w:szCs w:val="22"/>
          <w:lang w:eastAsia="zh-CN"/>
        </w:rPr>
        <w:t>ITU compiles statistics for hundreds of ICT indicators, based on data collected from over 200 economies; it computes global, regional and country group estimates. All data is available for free on the</w:t>
      </w:r>
      <w:r w:rsidR="00B51954">
        <w:rPr>
          <w:rFonts w:eastAsia="SimSun" w:cs="Arial"/>
          <w:kern w:val="3"/>
          <w:sz w:val="22"/>
          <w:szCs w:val="22"/>
          <w:lang w:eastAsia="zh-CN"/>
        </w:rPr>
        <w:t xml:space="preserve"> </w:t>
      </w:r>
      <w:hyperlink r:id="rId255" w:history="1">
        <w:r w:rsidRPr="0062595A">
          <w:rPr>
            <w:rFonts w:eastAsia="SimSun" w:cs="Arial"/>
            <w:color w:val="0563C1"/>
            <w:kern w:val="3"/>
            <w:sz w:val="22"/>
            <w:szCs w:val="22"/>
            <w:u w:val="single"/>
            <w:lang w:eastAsia="zh-CN"/>
          </w:rPr>
          <w:t xml:space="preserve">ITU </w:t>
        </w:r>
        <w:proofErr w:type="spellStart"/>
        <w:r w:rsidRPr="0062595A">
          <w:rPr>
            <w:rFonts w:eastAsia="SimSun" w:cs="Arial"/>
            <w:color w:val="0563C1"/>
            <w:kern w:val="3"/>
            <w:sz w:val="22"/>
            <w:szCs w:val="22"/>
            <w:u w:val="single"/>
            <w:lang w:eastAsia="zh-CN"/>
          </w:rPr>
          <w:t>DataHub</w:t>
        </w:r>
        <w:proofErr w:type="spellEnd"/>
      </w:hyperlink>
      <w:r w:rsidRPr="0062595A">
        <w:rPr>
          <w:rFonts w:eastAsia="SimSun" w:cs="Arial"/>
          <w:kern w:val="3"/>
          <w:sz w:val="22"/>
          <w:szCs w:val="22"/>
          <w:lang w:eastAsia="zh-CN"/>
        </w:rPr>
        <w:t>.</w:t>
      </w:r>
    </w:p>
    <w:p w14:paraId="112BBC5A" w14:textId="77777777" w:rsidR="0062595A" w:rsidRPr="0062595A" w:rsidRDefault="0062595A" w:rsidP="004630E8">
      <w:pPr>
        <w:numPr>
          <w:ilvl w:val="0"/>
          <w:numId w:val="29"/>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SimSun" w:cs="Arial"/>
          <w:b/>
          <w:bCs/>
          <w:kern w:val="3"/>
          <w:sz w:val="22"/>
          <w:szCs w:val="22"/>
          <w:lang w:eastAsia="zh-CN"/>
        </w:rPr>
        <w:t xml:space="preserve">Analysis and research: </w:t>
      </w:r>
      <w:hyperlink r:id="rId256" w:history="1">
        <w:r w:rsidRPr="0062595A">
          <w:rPr>
            <w:rFonts w:eastAsia="SimSun" w:cs="Arial"/>
            <w:color w:val="0563C1"/>
            <w:kern w:val="3"/>
            <w:sz w:val="22"/>
            <w:szCs w:val="22"/>
            <w:u w:val="single"/>
            <w:lang w:eastAsia="zh-CN"/>
          </w:rPr>
          <w:t>Publications</w:t>
        </w:r>
      </w:hyperlink>
      <w:r w:rsidRPr="0062595A">
        <w:rPr>
          <w:rFonts w:eastAsia="SimSun" w:cs="Arial"/>
          <w:kern w:val="3"/>
          <w:sz w:val="22"/>
          <w:szCs w:val="22"/>
          <w:lang w:eastAsia="zh-CN"/>
        </w:rPr>
        <w:t xml:space="preserve"> in the </w:t>
      </w:r>
      <w:r w:rsidRPr="0062595A">
        <w:rPr>
          <w:rFonts w:eastAsia="SimSun" w:cs="Arial"/>
          <w:i/>
          <w:iCs/>
          <w:kern w:val="3"/>
          <w:sz w:val="22"/>
          <w:szCs w:val="22"/>
          <w:lang w:eastAsia="zh-CN"/>
        </w:rPr>
        <w:t xml:space="preserve">Measuring Digital Development </w:t>
      </w:r>
      <w:r w:rsidRPr="0062595A">
        <w:rPr>
          <w:rFonts w:eastAsia="SimSun" w:cs="Arial"/>
          <w:kern w:val="3"/>
          <w:sz w:val="22"/>
          <w:szCs w:val="22"/>
          <w:lang w:eastAsia="zh-CN"/>
        </w:rPr>
        <w:t>series assess the state of global connectivity, tackle specific themes, and identify solutions.</w:t>
      </w:r>
    </w:p>
    <w:p w14:paraId="55E5913E" w14:textId="01B7FC41" w:rsidR="0062595A" w:rsidRPr="0062595A" w:rsidRDefault="0062595A" w:rsidP="004630E8">
      <w:pPr>
        <w:numPr>
          <w:ilvl w:val="0"/>
          <w:numId w:val="29"/>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SimSun" w:cs="Arial"/>
          <w:b/>
          <w:bCs/>
          <w:kern w:val="3"/>
          <w:sz w:val="22"/>
          <w:szCs w:val="22"/>
          <w:lang w:eastAsia="zh-CN"/>
        </w:rPr>
        <w:t xml:space="preserve">Data science for official statistics: </w:t>
      </w:r>
      <w:r w:rsidRPr="0062595A">
        <w:rPr>
          <w:rFonts w:eastAsia="SimSun" w:cs="Arial"/>
          <w:kern w:val="3"/>
          <w:sz w:val="22"/>
          <w:szCs w:val="22"/>
          <w:lang w:eastAsia="zh-CN"/>
        </w:rPr>
        <w:t xml:space="preserve">ITU’s </w:t>
      </w:r>
      <w:hyperlink r:id="rId257" w:history="1">
        <w:r w:rsidRPr="0062595A">
          <w:rPr>
            <w:rFonts w:eastAsia="SimSun" w:cs="Arial"/>
            <w:color w:val="0563C1"/>
            <w:kern w:val="3"/>
            <w:sz w:val="22"/>
            <w:szCs w:val="22"/>
            <w:u w:val="single"/>
            <w:lang w:eastAsia="zh-CN"/>
          </w:rPr>
          <w:t>data science practice</w:t>
        </w:r>
      </w:hyperlink>
      <w:r w:rsidR="00B51954">
        <w:rPr>
          <w:rFonts w:eastAsia="SimSun" w:cs="Arial"/>
          <w:kern w:val="3"/>
          <w:sz w:val="22"/>
          <w:szCs w:val="22"/>
          <w:lang w:eastAsia="zh-CN"/>
        </w:rPr>
        <w:t xml:space="preserve"> </w:t>
      </w:r>
      <w:r w:rsidRPr="0062595A">
        <w:rPr>
          <w:rFonts w:eastAsia="SimSun" w:cs="Arial"/>
          <w:kern w:val="3"/>
          <w:sz w:val="22"/>
          <w:szCs w:val="22"/>
          <w:lang w:eastAsia="zh-CN"/>
        </w:rPr>
        <w:t>leverages big data and new methods to enhance the accuracy, timeliness, and granularity of ICT statistics.</w:t>
      </w:r>
    </w:p>
    <w:p w14:paraId="6301DDC8" w14:textId="061FC08C" w:rsidR="0062595A" w:rsidRPr="0062595A" w:rsidRDefault="0062595A" w:rsidP="004630E8">
      <w:pPr>
        <w:numPr>
          <w:ilvl w:val="0"/>
          <w:numId w:val="29"/>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SimSun" w:cs="Arial"/>
          <w:b/>
          <w:bCs/>
          <w:kern w:val="3"/>
          <w:sz w:val="22"/>
          <w:szCs w:val="22"/>
          <w:lang w:eastAsia="zh-CN"/>
        </w:rPr>
        <w:t xml:space="preserve">Capacity development and technical assistance: </w:t>
      </w:r>
      <w:r w:rsidRPr="0062595A">
        <w:rPr>
          <w:rFonts w:eastAsia="SimSun" w:cs="Arial"/>
          <w:kern w:val="3"/>
          <w:sz w:val="22"/>
          <w:szCs w:val="22"/>
          <w:lang w:eastAsia="zh-CN"/>
        </w:rPr>
        <w:t xml:space="preserve">ITU </w:t>
      </w:r>
      <w:hyperlink r:id="rId258" w:history="1">
        <w:r w:rsidRPr="0062595A">
          <w:rPr>
            <w:rFonts w:eastAsia="SimSun" w:cs="Arial"/>
            <w:color w:val="0563C1"/>
            <w:kern w:val="3"/>
            <w:sz w:val="22"/>
            <w:szCs w:val="22"/>
            <w:u w:val="single"/>
            <w:lang w:eastAsia="zh-CN"/>
          </w:rPr>
          <w:t>supports</w:t>
        </w:r>
      </w:hyperlink>
      <w:r w:rsidR="00B51954">
        <w:rPr>
          <w:rFonts w:eastAsia="SimSun" w:cs="Arial"/>
          <w:kern w:val="3"/>
          <w:sz w:val="22"/>
          <w:szCs w:val="22"/>
          <w:lang w:eastAsia="zh-CN"/>
        </w:rPr>
        <w:t xml:space="preserve"> </w:t>
      </w:r>
      <w:r w:rsidRPr="0062595A">
        <w:rPr>
          <w:rFonts w:eastAsia="SimSun" w:cs="Arial"/>
          <w:kern w:val="3"/>
          <w:sz w:val="22"/>
          <w:szCs w:val="22"/>
          <w:lang w:eastAsia="zh-CN"/>
        </w:rPr>
        <w:t>the statistical community and other stakeholders, including policymakers, by developing technical documentation, training materials, online courses, workshops, and providing technical assistance.</w:t>
      </w:r>
    </w:p>
    <w:p w14:paraId="59A6210A" w14:textId="754AD140" w:rsidR="0062595A" w:rsidRPr="0062595A" w:rsidRDefault="0062595A" w:rsidP="004630E8">
      <w:pPr>
        <w:numPr>
          <w:ilvl w:val="0"/>
          <w:numId w:val="29"/>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SimSun" w:cs="Arial"/>
          <w:b/>
          <w:bCs/>
          <w:kern w:val="3"/>
          <w:sz w:val="22"/>
          <w:szCs w:val="22"/>
          <w:lang w:eastAsia="zh-CN"/>
        </w:rPr>
        <w:t>Global cooperation and engagement</w:t>
      </w:r>
      <w:r w:rsidRPr="0062595A">
        <w:rPr>
          <w:rFonts w:eastAsia="SimSun" w:cs="Arial"/>
          <w:kern w:val="3"/>
          <w:sz w:val="22"/>
          <w:szCs w:val="22"/>
          <w:lang w:eastAsia="zh-CN"/>
        </w:rPr>
        <w:t>: ITU’s</w:t>
      </w:r>
      <w:r w:rsidRPr="0062595A">
        <w:rPr>
          <w:rFonts w:eastAsia="SimSun" w:cs="Arial"/>
          <w:b/>
          <w:bCs/>
          <w:kern w:val="3"/>
          <w:sz w:val="22"/>
          <w:szCs w:val="22"/>
          <w:lang w:eastAsia="zh-CN"/>
        </w:rPr>
        <w:t xml:space="preserve"> </w:t>
      </w:r>
      <w:r w:rsidRPr="0062595A">
        <w:rPr>
          <w:rFonts w:eastAsia="SimSun" w:cs="Calibri"/>
          <w:kern w:val="3"/>
          <w:sz w:val="22"/>
          <w:szCs w:val="22"/>
          <w:lang w:eastAsia="zh-CN"/>
        </w:rPr>
        <w:t xml:space="preserve">ICT Data and Analytics Division </w:t>
      </w:r>
      <w:r w:rsidRPr="0062595A">
        <w:rPr>
          <w:rFonts w:eastAsia="SimSun" w:cs="Arial"/>
          <w:kern w:val="3"/>
          <w:sz w:val="22"/>
          <w:szCs w:val="22"/>
          <w:lang w:eastAsia="zh-CN"/>
        </w:rPr>
        <w:t xml:space="preserve">organizes events, including the </w:t>
      </w:r>
      <w:r w:rsidRPr="0062595A">
        <w:rPr>
          <w:rFonts w:eastAsia="SimSun" w:cs="Calibri"/>
          <w:kern w:val="3"/>
          <w:sz w:val="22"/>
          <w:szCs w:val="22"/>
          <w:lang w:eastAsia="zh-CN"/>
        </w:rPr>
        <w:t>World Telecommunication/ICT Indicators Symposium</w:t>
      </w:r>
      <w:r w:rsidRPr="0062595A">
        <w:rPr>
          <w:rFonts w:eastAsia="SimSun" w:cs="Arial"/>
          <w:kern w:val="3"/>
          <w:sz w:val="22"/>
          <w:szCs w:val="22"/>
          <w:lang w:eastAsia="zh-CN"/>
        </w:rPr>
        <w:t xml:space="preserve"> (</w:t>
      </w:r>
      <w:hyperlink r:id="rId259" w:history="1">
        <w:r w:rsidRPr="0062595A">
          <w:rPr>
            <w:rFonts w:eastAsia="SimSun" w:cs="Arial"/>
            <w:color w:val="0563C1"/>
            <w:kern w:val="3"/>
            <w:sz w:val="22"/>
            <w:szCs w:val="22"/>
            <w:u w:val="single"/>
            <w:lang w:eastAsia="zh-CN"/>
          </w:rPr>
          <w:t>WTIS</w:t>
        </w:r>
      </w:hyperlink>
      <w:r w:rsidRPr="0062595A">
        <w:rPr>
          <w:rFonts w:eastAsia="SimSun" w:cs="Arial"/>
          <w:kern w:val="3"/>
          <w:sz w:val="22"/>
          <w:szCs w:val="22"/>
          <w:lang w:eastAsia="zh-CN"/>
        </w:rPr>
        <w:t xml:space="preserve">), a key global event on ICT statistics, and </w:t>
      </w:r>
      <w:hyperlink r:id="rId260" w:history="1">
        <w:r w:rsidRPr="0062595A">
          <w:rPr>
            <w:rFonts w:eastAsia="SimSun" w:cs="Arial"/>
            <w:color w:val="0563C1"/>
            <w:kern w:val="3"/>
            <w:sz w:val="22"/>
            <w:szCs w:val="22"/>
            <w:u w:val="single"/>
            <w:lang w:eastAsia="zh-CN"/>
          </w:rPr>
          <w:t>cooperates</w:t>
        </w:r>
      </w:hyperlink>
      <w:r w:rsidR="00B51954">
        <w:rPr>
          <w:rFonts w:eastAsia="SimSun" w:cs="Arial"/>
          <w:kern w:val="3"/>
          <w:sz w:val="22"/>
          <w:szCs w:val="22"/>
          <w:lang w:eastAsia="zh-CN"/>
        </w:rPr>
        <w:t xml:space="preserve"> </w:t>
      </w:r>
      <w:r w:rsidRPr="0062595A">
        <w:rPr>
          <w:rFonts w:eastAsia="SimSun" w:cs="Arial"/>
          <w:kern w:val="3"/>
          <w:sz w:val="22"/>
          <w:szCs w:val="22"/>
          <w:lang w:eastAsia="zh-CN"/>
        </w:rPr>
        <w:t>with various organizations, to mobilize resources, advance the statistics agenda, leverage synergies, scale up initiatives, and maximize impact.</w:t>
      </w:r>
    </w:p>
    <w:p w14:paraId="554E5F3D" w14:textId="77777777" w:rsidR="0062595A" w:rsidRPr="0062595A" w:rsidRDefault="0062595A" w:rsidP="004630E8">
      <w:pPr>
        <w:keepNext/>
        <w:keepLines/>
        <w:numPr>
          <w:ilvl w:val="1"/>
          <w:numId w:val="28"/>
        </w:numPr>
        <w:tabs>
          <w:tab w:val="clear" w:pos="567"/>
        </w:tabs>
        <w:suppressAutoHyphens/>
        <w:adjustRightInd/>
        <w:spacing w:before="360" w:after="120"/>
        <w:ind w:left="567" w:hanging="567"/>
        <w:jc w:val="both"/>
        <w:outlineLvl w:val="1"/>
        <w:rPr>
          <w:rFonts w:eastAsia="MS Mincho"/>
          <w:b/>
        </w:rPr>
      </w:pPr>
      <w:bookmarkStart w:id="84" w:name="_Toc224288817"/>
      <w:r w:rsidRPr="0062595A">
        <w:rPr>
          <w:rFonts w:eastAsia="MS Mincho"/>
          <w:b/>
        </w:rPr>
        <w:lastRenderedPageBreak/>
        <w:t>Capacity development and digital skills</w:t>
      </w:r>
      <w:bookmarkEnd w:id="84"/>
    </w:p>
    <w:p w14:paraId="3AA88280" w14:textId="77777777" w:rsidR="0062595A" w:rsidRPr="0062595A" w:rsidRDefault="0062595A" w:rsidP="00C5530E">
      <w:pPr>
        <w:keepNext/>
        <w:keepLines/>
        <w:suppressAutoHyphens/>
        <w:adjustRightInd/>
        <w:spacing w:after="120"/>
        <w:jc w:val="both"/>
        <w:rPr>
          <w:rFonts w:eastAsia="MS Mincho"/>
          <w:sz w:val="22"/>
        </w:rPr>
      </w:pPr>
      <w:r w:rsidRPr="0062595A">
        <w:rPr>
          <w:rFonts w:eastAsia="MS Mincho"/>
          <w:sz w:val="22"/>
        </w:rPr>
        <w:t>Capacity development is the flagship programme of ITU’s Telecommunication Development Sector (ITU-D), aimed at achieving a digitally competent society where all people can improve their livelihoods through digital skills and tech knowledge. This is realized by developing capacities of ICT and telecommunication professionals, boosting digital literacy and skills of citizens, and developing knowledge resources.</w:t>
      </w:r>
    </w:p>
    <w:p w14:paraId="6DA32C15"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The </w:t>
      </w:r>
      <w:hyperlink r:id="rId261" w:history="1">
        <w:r w:rsidRPr="0062595A">
          <w:rPr>
            <w:rFonts w:eastAsia="MS Mincho"/>
            <w:color w:val="0563C1"/>
            <w:sz w:val="22"/>
            <w:u w:val="single"/>
          </w:rPr>
          <w:t>ITU Academy portal</w:t>
        </w:r>
      </w:hyperlink>
      <w:r w:rsidRPr="0062595A">
        <w:rPr>
          <w:rFonts w:eastAsia="MS Mincho"/>
          <w:sz w:val="22"/>
        </w:rPr>
        <w:t xml:space="preserve"> is the main gateway to ITU capacity development and training activities. It offers ICT professionals and policy-makers access to capacity development opportunities using various methodologies and tailored to different learning styles, such as online instructor-led, self-paced, or face-to-face courses. Its comprehensive training catalogue covers a large array of topics relevant to the ITU membership, such as artificial intelligence, cybersecurity, e-waste, spectrum management, digital transformation, satellite communications, emergency telecommunication, data governance, ICT measurement, policy and regulation, wireless and fixed broadband and others.</w:t>
      </w:r>
    </w:p>
    <w:p w14:paraId="27DF1BB0" w14:textId="458E97C4" w:rsidR="0062595A" w:rsidRPr="0062595A" w:rsidRDefault="0062595A" w:rsidP="00C5530E">
      <w:pPr>
        <w:suppressAutoHyphens/>
        <w:adjustRightInd/>
        <w:spacing w:after="120"/>
        <w:jc w:val="both"/>
        <w:rPr>
          <w:rFonts w:eastAsia="MS Mincho"/>
          <w:sz w:val="22"/>
        </w:rPr>
      </w:pPr>
      <w:r w:rsidRPr="0062595A">
        <w:rPr>
          <w:rFonts w:eastAsia="MS Mincho"/>
          <w:sz w:val="22"/>
        </w:rPr>
        <w:t>Over the past years, the ITU Academy has experienced strong growth. Between March 2022 and December 2025, the ITU Academy tripled its community, expanding from 26</w:t>
      </w:r>
      <w:r w:rsidR="00B51954">
        <w:rPr>
          <w:rFonts w:eastAsia="MS Mincho"/>
          <w:sz w:val="22"/>
        </w:rPr>
        <w:t> </w:t>
      </w:r>
      <w:r w:rsidRPr="0062595A">
        <w:rPr>
          <w:rFonts w:eastAsia="MS Mincho"/>
          <w:sz w:val="22"/>
        </w:rPr>
        <w:t>000 to 83</w:t>
      </w:r>
      <w:r w:rsidR="00B51954">
        <w:rPr>
          <w:rFonts w:eastAsia="MS Mincho"/>
          <w:sz w:val="22"/>
        </w:rPr>
        <w:t> </w:t>
      </w:r>
      <w:r w:rsidRPr="0062595A">
        <w:rPr>
          <w:rFonts w:eastAsia="MS Mincho"/>
          <w:sz w:val="22"/>
        </w:rPr>
        <w:t>000 users. Today, over 80 per cent of participants come from developing countries, and the share of women among new users has risen to 40 per cent, almost twice the level recorded in 2019. Around 150 courses are delivered every year, with 70 per cent online, enabling scale and accessibility, and the remainder face-to-face courses, enabling intensive exchange among participants. Completion rates have consistently exceeded industry benchmarks, rising from 68 per cent for face-to-face courses and 28 per cent for online courses in 2023, to 90 per cent and 45 per cent, respectively, in 2025. These gains reflect sustained efforts to enhance the quality of courses and strengthen engagement with learners. In total, more than 17</w:t>
      </w:r>
      <w:r w:rsidR="00B51954">
        <w:rPr>
          <w:rFonts w:eastAsia="MS Mincho"/>
          <w:sz w:val="22"/>
        </w:rPr>
        <w:t> </w:t>
      </w:r>
      <w:r w:rsidRPr="0062595A">
        <w:rPr>
          <w:rFonts w:eastAsia="MS Mincho"/>
          <w:sz w:val="22"/>
        </w:rPr>
        <w:t>500 certifications were issued since 2023, recognizing participant achievements and providing them with credentials to advance their careers.</w:t>
      </w:r>
    </w:p>
    <w:p w14:paraId="353604BB" w14:textId="77777777" w:rsidR="0062595A" w:rsidRPr="0062595A" w:rsidRDefault="0062595A" w:rsidP="00B51954">
      <w:pPr>
        <w:keepNext/>
        <w:keepLines/>
        <w:suppressAutoHyphens/>
        <w:adjustRightInd/>
        <w:spacing w:before="360"/>
        <w:jc w:val="center"/>
        <w:rPr>
          <w:rFonts w:eastAsia="MS Mincho"/>
          <w:b/>
          <w:bCs/>
          <w:sz w:val="22"/>
        </w:rPr>
      </w:pPr>
      <w:r w:rsidRPr="0062595A">
        <w:rPr>
          <w:rFonts w:eastAsia="MS Mincho"/>
          <w:b/>
          <w:bCs/>
          <w:sz w:val="22"/>
        </w:rPr>
        <w:t>ITU Academy registrations, 2012-2024</w:t>
      </w:r>
    </w:p>
    <w:p w14:paraId="746052F2" w14:textId="77777777" w:rsidR="0062595A" w:rsidRPr="0062595A" w:rsidRDefault="0062595A" w:rsidP="00C5530E">
      <w:pPr>
        <w:keepNext/>
        <w:keepLines/>
        <w:suppressAutoHyphens/>
        <w:adjustRightInd/>
        <w:jc w:val="center"/>
        <w:rPr>
          <w:rFonts w:eastAsia="MS Mincho"/>
          <w:sz w:val="22"/>
        </w:rPr>
      </w:pPr>
      <w:r w:rsidRPr="0062595A">
        <w:rPr>
          <w:rFonts w:eastAsia="MS Mincho"/>
          <w:noProof/>
          <w:sz w:val="22"/>
        </w:rPr>
        <w:drawing>
          <wp:inline distT="0" distB="0" distL="0" distR="0" wp14:anchorId="425401D8" wp14:editId="2BD7989B">
            <wp:extent cx="4389888" cy="2134465"/>
            <wp:effectExtent l="0" t="0" r="0" b="0"/>
            <wp:docPr id="1955748186" name="Picture 8" descr="A blue and black graphic&#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rcRect t="11720" b="10151"/>
                    <a:stretch>
                      <a:fillRect/>
                    </a:stretch>
                  </pic:blipFill>
                  <pic:spPr>
                    <a:xfrm>
                      <a:off x="0" y="0"/>
                      <a:ext cx="4389888" cy="2134465"/>
                    </a:xfrm>
                    <a:prstGeom prst="rect">
                      <a:avLst/>
                    </a:prstGeom>
                    <a:noFill/>
                    <a:ln>
                      <a:noFill/>
                      <a:prstDash/>
                    </a:ln>
                  </pic:spPr>
                </pic:pic>
              </a:graphicData>
            </a:graphic>
          </wp:inline>
        </w:drawing>
      </w:r>
    </w:p>
    <w:p w14:paraId="2E5B0607" w14:textId="77777777" w:rsidR="0062595A" w:rsidRPr="0062595A" w:rsidRDefault="0062595A" w:rsidP="00C5530E">
      <w:pPr>
        <w:suppressAutoHyphens/>
        <w:adjustRightInd/>
        <w:spacing w:before="0" w:after="200"/>
        <w:jc w:val="center"/>
        <w:rPr>
          <w:rFonts w:eastAsia="MS Mincho"/>
          <w:i/>
          <w:iCs/>
          <w:color w:val="1F497D"/>
          <w:sz w:val="18"/>
          <w:szCs w:val="18"/>
        </w:rPr>
      </w:pPr>
      <w:r w:rsidRPr="0062595A">
        <w:rPr>
          <w:rFonts w:eastAsia="MS Mincho"/>
          <w:i/>
          <w:iCs/>
          <w:color w:val="1F497D"/>
          <w:sz w:val="18"/>
          <w:szCs w:val="18"/>
        </w:rPr>
        <w:t>Figure 16.ITU Academy registrations, 2012-2024</w:t>
      </w:r>
    </w:p>
    <w:p w14:paraId="7502F49C" w14:textId="77777777" w:rsidR="0062595A" w:rsidRPr="0062595A" w:rsidRDefault="0062595A" w:rsidP="00B51954">
      <w:pPr>
        <w:suppressAutoHyphens/>
        <w:adjustRightInd/>
        <w:spacing w:before="360" w:after="120"/>
        <w:jc w:val="both"/>
        <w:rPr>
          <w:rFonts w:eastAsia="MS Mincho"/>
          <w:sz w:val="22"/>
        </w:rPr>
      </w:pPr>
      <w:r w:rsidRPr="0062595A">
        <w:rPr>
          <w:rFonts w:eastAsia="MS Mincho"/>
          <w:sz w:val="22"/>
        </w:rPr>
        <w:t xml:space="preserve">One of ITU’s key training delivery mechanisms is the network of </w:t>
      </w:r>
      <w:hyperlink r:id="rId263" w:history="1">
        <w:r w:rsidRPr="0062595A">
          <w:rPr>
            <w:rFonts w:eastAsia="MS Mincho"/>
            <w:color w:val="0563C1"/>
            <w:sz w:val="22"/>
            <w:u w:val="single"/>
          </w:rPr>
          <w:t>ITU Academy Training Centres</w:t>
        </w:r>
      </w:hyperlink>
      <w:r w:rsidRPr="0062595A">
        <w:rPr>
          <w:rFonts w:eastAsia="MS Mincho"/>
          <w:sz w:val="22"/>
        </w:rPr>
        <w:t xml:space="preserve"> (ATCs), which was launched in 2023, following the outcomes of WTDC in 2022.</w:t>
      </w:r>
    </w:p>
    <w:p w14:paraId="0D6EFC1C"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ATCs are internationally recognized institutions that offer high-quality training to intermediate and senior personnel, with a strong focus on the needs of developing countries. These ITU core capacity development partners deliver nearly 40 per cent of all courses on the ITU Academy platform, with the remainder being organized by ITU, and other partners. This network anchors the ITU Academy in a diverse ecosystem that combines global reach with regional expertise. ATCs deliver courses on the most important topics identified by ITU membership, including policy and regulation, network </w:t>
      </w:r>
      <w:r w:rsidRPr="0062595A">
        <w:rPr>
          <w:rFonts w:eastAsia="MS Mincho"/>
          <w:sz w:val="22"/>
        </w:rPr>
        <w:lastRenderedPageBreak/>
        <w:t>infrastructure, spectrum management, cybersecurity, emerging technologies, digital inclusion, and digital services.</w:t>
      </w:r>
    </w:p>
    <w:p w14:paraId="75CA8653" w14:textId="13A03897" w:rsidR="0062595A" w:rsidRPr="0062595A" w:rsidRDefault="0062595A" w:rsidP="00C5530E">
      <w:pPr>
        <w:suppressAutoHyphens/>
        <w:adjustRightInd/>
        <w:spacing w:after="120"/>
        <w:jc w:val="both"/>
        <w:rPr>
          <w:rFonts w:eastAsia="MS Mincho"/>
          <w:sz w:val="22"/>
        </w:rPr>
      </w:pPr>
      <w:r w:rsidRPr="0062595A">
        <w:rPr>
          <w:rFonts w:eastAsia="MS Mincho"/>
          <w:sz w:val="22"/>
        </w:rPr>
        <w:t>Since the launch of the programme in January 2023 until December 2025, 159</w:t>
      </w:r>
      <w:r w:rsidR="00FD50B4">
        <w:rPr>
          <w:rFonts w:eastAsia="MS Mincho"/>
          <w:sz w:val="22"/>
        </w:rPr>
        <w:t xml:space="preserve"> </w:t>
      </w:r>
      <w:r w:rsidRPr="0062595A">
        <w:rPr>
          <w:rFonts w:eastAsia="MS Mincho"/>
          <w:sz w:val="22"/>
        </w:rPr>
        <w:t>courses were implemented by the 14 centres, with 4</w:t>
      </w:r>
      <w:r w:rsidR="00FD50B4">
        <w:rPr>
          <w:rFonts w:eastAsia="MS Mincho"/>
          <w:sz w:val="22"/>
        </w:rPr>
        <w:t> </w:t>
      </w:r>
      <w:r w:rsidRPr="0062595A">
        <w:rPr>
          <w:rFonts w:eastAsia="MS Mincho"/>
          <w:sz w:val="22"/>
        </w:rPr>
        <w:t>048 participants receiving course certificates. The majority of course participants are from public sector entities (ministries, regulatory authorities) and telecommunication entities, followed by academic institutions, the private sector and other organizations. Participants come from all ITU Member States, with 86 per cent from developing countries and</w:t>
      </w:r>
      <w:r w:rsidRPr="00FC14E9">
        <w:rPr>
          <w:rFonts w:eastAsia="MS Mincho"/>
          <w:sz w:val="22"/>
        </w:rPr>
        <w:t xml:space="preserve">, in terms of regional distribution, the majority being from Africa, followed by Americas and Asia &amp; Pacific </w:t>
      </w:r>
      <w:r w:rsidR="007D4363" w:rsidRPr="00FC14E9">
        <w:rPr>
          <w:rFonts w:eastAsia="MS Mincho"/>
          <w:sz w:val="22"/>
        </w:rPr>
        <w:t>(S</w:t>
      </w:r>
      <w:r w:rsidRPr="00FC14E9">
        <w:rPr>
          <w:rFonts w:eastAsia="MS Mincho"/>
          <w:sz w:val="22"/>
        </w:rPr>
        <w:t xml:space="preserve">ee </w:t>
      </w:r>
      <w:hyperlink w:anchor="figure_17" w:history="1">
        <w:r w:rsidR="00B224E7" w:rsidRPr="00CB4EBA">
          <w:rPr>
            <w:rStyle w:val="Hyperlink"/>
            <w:rFonts w:eastAsia="MS Mincho"/>
            <w:color w:val="0563C1"/>
            <w:sz w:val="22"/>
          </w:rPr>
          <w:t>Figure 17</w:t>
        </w:r>
      </w:hyperlink>
      <w:r w:rsidRPr="00FC14E9">
        <w:rPr>
          <w:rFonts w:eastAsia="MS Mincho"/>
          <w:sz w:val="22"/>
        </w:rPr>
        <w:t>).</w:t>
      </w:r>
    </w:p>
    <w:p w14:paraId="4E095B9F" w14:textId="7502DFD4" w:rsidR="0062595A" w:rsidRPr="0062595A" w:rsidRDefault="0062595A" w:rsidP="00B51954">
      <w:pPr>
        <w:keepNext/>
        <w:keepLines/>
        <w:suppressAutoHyphens/>
        <w:adjustRightInd/>
        <w:spacing w:before="360" w:after="240"/>
        <w:jc w:val="center"/>
        <w:rPr>
          <w:rFonts w:eastAsia="MS Mincho"/>
          <w:b/>
          <w:bCs/>
          <w:sz w:val="22"/>
        </w:rPr>
      </w:pPr>
      <w:r w:rsidRPr="0062595A">
        <w:rPr>
          <w:rFonts w:eastAsia="MS Mincho"/>
          <w:b/>
          <w:bCs/>
          <w:sz w:val="22"/>
        </w:rPr>
        <w:t>ITU Academy training centres course participants, by region</w:t>
      </w:r>
    </w:p>
    <w:p w14:paraId="580CC6B7" w14:textId="77777777" w:rsidR="0062595A" w:rsidRPr="0062595A" w:rsidRDefault="0062595A" w:rsidP="00B51954">
      <w:pPr>
        <w:keepNext/>
        <w:keepLines/>
        <w:suppressAutoHyphens/>
        <w:adjustRightInd/>
        <w:spacing w:before="0"/>
        <w:jc w:val="center"/>
        <w:rPr>
          <w:rFonts w:eastAsia="MS Mincho"/>
          <w:sz w:val="22"/>
        </w:rPr>
      </w:pPr>
      <w:r w:rsidRPr="0062595A">
        <w:rPr>
          <w:rFonts w:eastAsia="MS Mincho"/>
          <w:noProof/>
          <w:sz w:val="22"/>
        </w:rPr>
        <w:drawing>
          <wp:inline distT="0" distB="0" distL="0" distR="0" wp14:anchorId="090643AF" wp14:editId="505F4E17">
            <wp:extent cx="3477545" cy="2088453"/>
            <wp:effectExtent l="0" t="0" r="8605" b="7047"/>
            <wp:docPr id="482977993"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rcRect/>
                    <a:stretch>
                      <a:fillRect/>
                    </a:stretch>
                  </pic:blipFill>
                  <pic:spPr>
                    <a:xfrm>
                      <a:off x="0" y="0"/>
                      <a:ext cx="3477545" cy="2088453"/>
                    </a:xfrm>
                    <a:prstGeom prst="rect">
                      <a:avLst/>
                    </a:prstGeom>
                    <a:noFill/>
                    <a:ln>
                      <a:noFill/>
                      <a:prstDash/>
                    </a:ln>
                  </pic:spPr>
                </pic:pic>
              </a:graphicData>
            </a:graphic>
          </wp:inline>
        </w:drawing>
      </w:r>
    </w:p>
    <w:p w14:paraId="7D304028" w14:textId="77777777" w:rsidR="0062595A" w:rsidRPr="0062595A" w:rsidRDefault="0062595A" w:rsidP="00B51954">
      <w:pPr>
        <w:keepNext/>
        <w:keepLines/>
        <w:suppressAutoHyphens/>
        <w:adjustRightInd/>
        <w:spacing w:before="0"/>
        <w:jc w:val="both"/>
        <w:rPr>
          <w:rFonts w:eastAsia="MS Mincho"/>
          <w:i/>
          <w:iCs/>
          <w:color w:val="1F497D"/>
          <w:sz w:val="18"/>
          <w:szCs w:val="18"/>
        </w:rPr>
      </w:pPr>
    </w:p>
    <w:p w14:paraId="3F1A2B07" w14:textId="77777777" w:rsidR="0062595A" w:rsidRPr="0062595A" w:rsidRDefault="0062595A" w:rsidP="00B51954">
      <w:pPr>
        <w:keepNext/>
        <w:keepLines/>
        <w:suppressAutoHyphens/>
        <w:adjustRightInd/>
        <w:spacing w:before="0"/>
        <w:jc w:val="center"/>
        <w:rPr>
          <w:rFonts w:eastAsia="MS Mincho"/>
          <w:i/>
          <w:iCs/>
          <w:color w:val="1F497D"/>
          <w:sz w:val="18"/>
          <w:szCs w:val="18"/>
        </w:rPr>
      </w:pPr>
      <w:bookmarkStart w:id="85" w:name="figure_17"/>
      <w:r w:rsidRPr="0062595A">
        <w:rPr>
          <w:rFonts w:eastAsia="MS Mincho"/>
          <w:i/>
          <w:iCs/>
          <w:color w:val="1F497D"/>
          <w:sz w:val="18"/>
          <w:szCs w:val="18"/>
        </w:rPr>
        <w:t>Figure 17</w:t>
      </w:r>
      <w:bookmarkEnd w:id="85"/>
      <w:r w:rsidRPr="0062595A">
        <w:rPr>
          <w:rFonts w:eastAsia="MS Mincho"/>
          <w:i/>
          <w:iCs/>
          <w:color w:val="1F497D"/>
          <w:sz w:val="18"/>
          <w:szCs w:val="18"/>
        </w:rPr>
        <w:t>. ITU Academy training centres course participants, by region</w:t>
      </w:r>
    </w:p>
    <w:p w14:paraId="69F185FB" w14:textId="77777777" w:rsidR="0062595A" w:rsidRPr="0062595A" w:rsidRDefault="0062595A" w:rsidP="00FD50B4">
      <w:pPr>
        <w:suppressAutoHyphens/>
        <w:adjustRightInd/>
        <w:spacing w:before="360" w:after="120"/>
        <w:jc w:val="both"/>
        <w:rPr>
          <w:rFonts w:eastAsia="MS Mincho"/>
          <w:sz w:val="22"/>
        </w:rPr>
      </w:pPr>
      <w:r w:rsidRPr="0062595A">
        <w:rPr>
          <w:rFonts w:eastAsia="MS Mincho"/>
          <w:sz w:val="22"/>
        </w:rPr>
        <w:t xml:space="preserve">The </w:t>
      </w:r>
      <w:hyperlink r:id="rId265" w:history="1">
        <w:r w:rsidRPr="0062595A">
          <w:rPr>
            <w:rFonts w:eastAsia="MS Mincho"/>
            <w:color w:val="0563C1"/>
            <w:sz w:val="22"/>
            <w:u w:val="single"/>
          </w:rPr>
          <w:t>Digital Transformation Centres (DTC) Initiative</w:t>
        </w:r>
      </w:hyperlink>
      <w:r w:rsidRPr="0062595A">
        <w:rPr>
          <w:rFonts w:eastAsia="MS Mincho"/>
          <w:sz w:val="22"/>
        </w:rPr>
        <w:t>, which</w:t>
      </w:r>
      <w:r w:rsidRPr="0062595A">
        <w:rPr>
          <w:rFonts w:eastAsia="MS Mincho"/>
          <w:sz w:val="22"/>
          <w:u w:val="single"/>
        </w:rPr>
        <w:t xml:space="preserve"> </w:t>
      </w:r>
      <w:r w:rsidRPr="0062595A">
        <w:rPr>
          <w:rFonts w:eastAsia="MS Mincho"/>
          <w:sz w:val="22"/>
        </w:rPr>
        <w:t>was launched in September 2019 by ITU in partnership with Cisco, has the objective of supporting countries to strengthen the digital capacities of citizens, particularly those in rural and the underserved communities. The initiative operates through a global network of national institutions, the Digital Transformation Centres (DTCs), which have a mandate to deliver digital skills programmes in their countries. The DTCs operate nationally and demonstrate proven capacity, infrastructure and experience to implement basic and intermediate level training. Between 2021 and 2025, the Initiative received strong financial support from the Government of Norway, complemented by ITU ICT-DF support.</w:t>
      </w:r>
    </w:p>
    <w:p w14:paraId="71ADD13C" w14:textId="2B4EFFD0" w:rsidR="0062595A" w:rsidRPr="0062595A" w:rsidRDefault="0062595A" w:rsidP="00C5530E">
      <w:pPr>
        <w:suppressAutoHyphens/>
        <w:adjustRightInd/>
        <w:spacing w:after="120"/>
        <w:jc w:val="both"/>
        <w:rPr>
          <w:rFonts w:eastAsia="MS Mincho"/>
          <w:sz w:val="22"/>
        </w:rPr>
      </w:pPr>
      <w:r w:rsidRPr="0062595A">
        <w:rPr>
          <w:rFonts w:eastAsia="MS Mincho"/>
          <w:sz w:val="22"/>
        </w:rPr>
        <w:t>The number of DTCs has grown to 15 in total, covering the Africa, Americas, Arab States, and Asia-Pacific regions. Since the start of the DTC initiative in 2020 until the end of December 2025, over 610</w:t>
      </w:r>
      <w:r w:rsidR="00FD50B4">
        <w:rPr>
          <w:rFonts w:eastAsia="MS Mincho"/>
          <w:sz w:val="22"/>
        </w:rPr>
        <w:t> </w:t>
      </w:r>
      <w:r w:rsidRPr="0062595A">
        <w:rPr>
          <w:rFonts w:eastAsia="MS Mincho"/>
          <w:sz w:val="22"/>
        </w:rPr>
        <w:t>000 (53 per cent female) participants have been provided with basic and intermediate digital skills training.</w:t>
      </w:r>
    </w:p>
    <w:p w14:paraId="3440EFF2"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Beyond achieving gender parity in overall reach, training delivered through the initiative has grown in underserved and rural communities served by the DTCs. This includes students, persons with disabilities (particularly those with visual impairments), youth, as well as micro, small and medium enterprises. Additionally, trainers and teachers received capacity-building support to ensure the delivery of high-quality training within these communities.</w:t>
      </w:r>
    </w:p>
    <w:p w14:paraId="3A41E836"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Under the initiative, ITU and Cisco facilitate networking opportunities for DTCs by organizing face-to-face workshops and virtual meetings every year. These meetings contribute to strengthening the global DTC network and provide a platform to discuss implementation, review progress and achievements made, and explore new ideas to support the work of the DTCs. In 2023, 2024 and 2025, Global DTC Workshops were hosted by the Department of Information and Communication </w:t>
      </w:r>
      <w:r w:rsidRPr="0062595A">
        <w:rPr>
          <w:rFonts w:eastAsia="MS Mincho"/>
          <w:sz w:val="22"/>
        </w:rPr>
        <w:lastRenderedPageBreak/>
        <w:t xml:space="preserve">Technology (the DTC in the Republic of the Philippines); the ICT Training and Development Center under the Ministry of Communications and Digital Affairs (the DTC in Indonesia) in collaboration with Indosat Ooredoo Hutchison; and the Community Technology Centres (Centros </w:t>
      </w:r>
      <w:proofErr w:type="spellStart"/>
      <w:r w:rsidRPr="0062595A">
        <w:rPr>
          <w:rFonts w:eastAsia="MS Mincho"/>
          <w:sz w:val="22"/>
        </w:rPr>
        <w:t>Tecnológicos</w:t>
      </w:r>
      <w:proofErr w:type="spellEnd"/>
      <w:r w:rsidRPr="0062595A">
        <w:rPr>
          <w:rFonts w:eastAsia="MS Mincho"/>
          <w:sz w:val="22"/>
        </w:rPr>
        <w:t xml:space="preserve"> </w:t>
      </w:r>
      <w:proofErr w:type="spellStart"/>
      <w:r w:rsidRPr="0062595A">
        <w:rPr>
          <w:rFonts w:eastAsia="MS Mincho"/>
          <w:sz w:val="22"/>
        </w:rPr>
        <w:t>Comunitarios</w:t>
      </w:r>
      <w:proofErr w:type="spellEnd"/>
      <w:r w:rsidRPr="0062595A">
        <w:rPr>
          <w:rFonts w:eastAsia="MS Mincho"/>
          <w:sz w:val="22"/>
        </w:rPr>
        <w:t xml:space="preserve"> – the DTC in the Dominican Republic) in collaboration with the Instituto Dominicano de las Telecomunicaciones (INDOTEL). These meetings serve as an opportunity for DTCs to regularly engage with each other and to further strengthen the DTC community.</w:t>
      </w:r>
    </w:p>
    <w:p w14:paraId="0D763C88" w14:textId="77777777" w:rsidR="0062595A" w:rsidRPr="0062595A" w:rsidRDefault="0062595A" w:rsidP="00FD50B4">
      <w:pPr>
        <w:suppressAutoHyphens/>
        <w:adjustRightInd/>
        <w:spacing w:after="120"/>
        <w:jc w:val="both"/>
        <w:rPr>
          <w:rFonts w:eastAsia="MS Mincho"/>
          <w:sz w:val="22"/>
        </w:rPr>
      </w:pPr>
      <w:r w:rsidRPr="0062595A">
        <w:rPr>
          <w:rFonts w:eastAsia="MS Mincho"/>
          <w:sz w:val="22"/>
        </w:rPr>
        <w:t xml:space="preserve">The ITU Digital Skills Forum is a core global event for the ITU membership and other stakeholders where the most pressing needs are discussed with the aim of achieving universal digital skills and close the global digital skills gap. The </w:t>
      </w:r>
      <w:hyperlink r:id="rId266" w:history="1">
        <w:r w:rsidRPr="0062595A">
          <w:rPr>
            <w:rFonts w:eastAsia="MS Mincho"/>
            <w:color w:val="0563C1"/>
            <w:sz w:val="22"/>
            <w:u w:val="single"/>
          </w:rPr>
          <w:t>ITU Digital Skills Forum 2024</w:t>
        </w:r>
      </w:hyperlink>
      <w:r w:rsidRPr="0062595A">
        <w:rPr>
          <w:rFonts w:eastAsia="MS Mincho"/>
          <w:sz w:val="22"/>
        </w:rPr>
        <w:t xml:space="preserve"> took place in Manama, Bahrain, from 17 to 19 September 2024. It was organized by ITU and hosted by the Telecommunications Regulatory Authority (TRA) of the Kingdom of Bahrain. Under the theme “Developing skills for digital transformation” the Forum brought together over 700 participants from 66 countries, comprising physical and remote participation, from public and private organizations, universities and research institutions, and other regional and international organizations.</w:t>
      </w:r>
    </w:p>
    <w:p w14:paraId="0BFCE9E0"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The </w:t>
      </w:r>
      <w:hyperlink r:id="rId267" w:history="1">
        <w:r w:rsidRPr="0062595A">
          <w:rPr>
            <w:rFonts w:eastAsia="MS Mincho"/>
            <w:color w:val="0563C1"/>
            <w:sz w:val="22"/>
            <w:u w:val="single"/>
          </w:rPr>
          <w:t>ITU Digital Skills Toolkit 2024</w:t>
        </w:r>
      </w:hyperlink>
      <w:r w:rsidRPr="0062595A">
        <w:rPr>
          <w:rFonts w:eastAsia="MS Mincho"/>
          <w:sz w:val="22"/>
        </w:rPr>
        <w:t xml:space="preserve"> was launched at the Digital Skills Forum 2024. The toolkit offers a comprehensive, step-by-step guide to support the ITU membership to create effective national digital skills strategies and policies. This practical resource offers actionable insights and examples, making it a valuable tool for countries at all stages of digital development. An online training course on the Toolkit was developed in 2025 and will be available as of early 2026.</w:t>
      </w:r>
    </w:p>
    <w:p w14:paraId="00A50042" w14:textId="77777777" w:rsidR="0062595A" w:rsidRPr="0062595A" w:rsidRDefault="0062595A" w:rsidP="00FD50B4">
      <w:pPr>
        <w:suppressAutoHyphens/>
        <w:adjustRightInd/>
        <w:spacing w:after="120"/>
        <w:jc w:val="both"/>
        <w:rPr>
          <w:rFonts w:eastAsia="MS Mincho"/>
          <w:sz w:val="22"/>
        </w:rPr>
      </w:pPr>
      <w:r w:rsidRPr="0062595A">
        <w:rPr>
          <w:rFonts w:eastAsia="MS Mincho"/>
          <w:sz w:val="22"/>
        </w:rPr>
        <w:t xml:space="preserve">The capacity building component of Bridging the Standardization Gap, the initiative provides training materials provided for on-demand access via </w:t>
      </w:r>
      <w:hyperlink r:id="rId268" w:history="1">
        <w:r w:rsidRPr="0062595A">
          <w:rPr>
            <w:rFonts w:eastAsia="MS Mincho"/>
            <w:color w:val="0563C1"/>
            <w:sz w:val="22"/>
            <w:u w:val="single"/>
          </w:rPr>
          <w:t>ITU-T resources</w:t>
        </w:r>
      </w:hyperlink>
      <w:r w:rsidRPr="0062595A">
        <w:rPr>
          <w:rFonts w:eastAsia="MS Mincho"/>
          <w:sz w:val="22"/>
        </w:rPr>
        <w:t>, in all six languages wherever possible. Collaboration is ongoing between ITU’s standardization and development bureaux (TSB and BDT) and ITU regional offices to raise awareness and build capacity at regional level.</w:t>
      </w:r>
    </w:p>
    <w:p w14:paraId="55079B33" w14:textId="28043145" w:rsidR="0062595A" w:rsidRPr="0062595A" w:rsidRDefault="0062595A" w:rsidP="5F5FCC2B">
      <w:pPr>
        <w:suppressAutoHyphens/>
        <w:adjustRightInd/>
        <w:spacing w:after="120"/>
        <w:jc w:val="both"/>
        <w:rPr>
          <w:rFonts w:eastAsia="MS Mincho"/>
          <w:sz w:val="22"/>
          <w:szCs w:val="22"/>
        </w:rPr>
      </w:pPr>
      <w:r w:rsidRPr="5F5FCC2B">
        <w:rPr>
          <w:rFonts w:eastAsia="MS Mincho"/>
          <w:sz w:val="22"/>
          <w:szCs w:val="22"/>
        </w:rPr>
        <w:t xml:space="preserve">Another example of ongoing capacity building programmes and initiatives can be found in Section </w:t>
      </w:r>
      <w:hyperlink w:anchor="Section_4_8_2" w:history="1">
        <w:r w:rsidRPr="5F5FCC2B">
          <w:rPr>
            <w:rStyle w:val="Hyperlink"/>
            <w:rFonts w:eastAsia="MS Mincho"/>
            <w:color w:val="0563C1"/>
            <w:sz w:val="22"/>
            <w:szCs w:val="22"/>
          </w:rPr>
          <w:t>4.8.2</w:t>
        </w:r>
      </w:hyperlink>
      <w:r w:rsidRPr="5F5FCC2B">
        <w:rPr>
          <w:rFonts w:eastAsia="MS Mincho"/>
          <w:sz w:val="22"/>
          <w:szCs w:val="22"/>
        </w:rPr>
        <w:t xml:space="preserve"> (</w:t>
      </w:r>
      <w:hyperlink r:id="rId269">
        <w:r w:rsidRPr="5F5FCC2B">
          <w:rPr>
            <w:rFonts w:eastAsia="MS Mincho"/>
            <w:color w:val="0563C1"/>
            <w:sz w:val="22"/>
            <w:szCs w:val="22"/>
            <w:u w:val="single"/>
          </w:rPr>
          <w:t>AI Skills Coalition</w:t>
        </w:r>
      </w:hyperlink>
      <w:r w:rsidRPr="5F5FCC2B">
        <w:rPr>
          <w:rFonts w:eastAsia="MS Mincho"/>
          <w:sz w:val="22"/>
          <w:szCs w:val="22"/>
        </w:rPr>
        <w:t xml:space="preserve">). A final example can be found in section </w:t>
      </w:r>
      <w:hyperlink w:anchor="Section_5_5" w:history="1">
        <w:r w:rsidRPr="5F5FCC2B">
          <w:rPr>
            <w:rStyle w:val="Hyperlink"/>
            <w:rFonts w:eastAsia="MS Mincho"/>
            <w:color w:val="0563C1"/>
            <w:sz w:val="22"/>
            <w:szCs w:val="22"/>
          </w:rPr>
          <w:t>5.5</w:t>
        </w:r>
      </w:hyperlink>
      <w:r w:rsidRPr="5F5FCC2B">
        <w:rPr>
          <w:rFonts w:eastAsia="MS Mincho"/>
          <w:sz w:val="22"/>
          <w:szCs w:val="22"/>
        </w:rPr>
        <w:t>, which shows how the Giga school connectivity initiative is underpinned by capacity development programmes with governments and stakeholders, leveraging the ITU Academy platform.</w:t>
      </w:r>
    </w:p>
    <w:p w14:paraId="1FD9C85A" w14:textId="77777777" w:rsidR="0062595A" w:rsidRPr="0062595A" w:rsidRDefault="0062595A" w:rsidP="004630E8">
      <w:pPr>
        <w:tabs>
          <w:tab w:val="clear" w:pos="567"/>
        </w:tabs>
        <w:suppressAutoHyphens/>
        <w:adjustRightInd/>
        <w:spacing w:before="360" w:after="120"/>
        <w:ind w:left="567" w:hanging="567"/>
        <w:jc w:val="both"/>
        <w:outlineLvl w:val="1"/>
        <w:rPr>
          <w:rFonts w:eastAsia="MS Mincho"/>
          <w:b/>
        </w:rPr>
      </w:pPr>
      <w:bookmarkStart w:id="86" w:name="_Toc224288818"/>
      <w:r w:rsidRPr="0062595A">
        <w:rPr>
          <w:rFonts w:eastAsia="MS Mincho"/>
          <w:b/>
        </w:rPr>
        <w:t>4.7</w:t>
      </w:r>
      <w:r w:rsidRPr="0062595A">
        <w:rPr>
          <w:rFonts w:eastAsia="MS Mincho"/>
          <w:b/>
        </w:rPr>
        <w:tab/>
        <w:t>Provision of technical assistance</w:t>
      </w:r>
      <w:bookmarkEnd w:id="86"/>
    </w:p>
    <w:p w14:paraId="00E7D4F4" w14:textId="77777777" w:rsidR="0062595A" w:rsidRPr="0062595A" w:rsidRDefault="0062595A" w:rsidP="00FD50B4">
      <w:pPr>
        <w:suppressAutoHyphens/>
        <w:adjustRightInd/>
        <w:spacing w:after="120"/>
        <w:jc w:val="both"/>
        <w:rPr>
          <w:sz w:val="22"/>
          <w:szCs w:val="22"/>
        </w:rPr>
      </w:pPr>
      <w:r w:rsidRPr="0062595A">
        <w:rPr>
          <w:sz w:val="22"/>
          <w:szCs w:val="22"/>
        </w:rPr>
        <w:t>Along with providing extensive technical expertise and coordination as a UN specialized agency, ITU serves as an executing agency for digital development projects aimed at ensuring connectivity benefits everyone, everywhere.</w:t>
      </w:r>
    </w:p>
    <w:p w14:paraId="58E14737" w14:textId="77777777" w:rsidR="0062595A" w:rsidRPr="0062595A" w:rsidRDefault="0062595A" w:rsidP="00C5530E">
      <w:pPr>
        <w:suppressAutoHyphens/>
        <w:adjustRightInd/>
        <w:spacing w:after="120"/>
        <w:jc w:val="both"/>
        <w:rPr>
          <w:sz w:val="22"/>
          <w:szCs w:val="22"/>
        </w:rPr>
      </w:pPr>
      <w:r w:rsidRPr="0062595A">
        <w:rPr>
          <w:sz w:val="22"/>
          <w:szCs w:val="22"/>
        </w:rPr>
        <w:t>ITU-D has the key function of implementing projects under arrangements established with funding partners. Such projects aim to facilitate and enhance telecommunication development by offering, organizing, and coordinating technical cooperation and assistance activities.</w:t>
      </w:r>
    </w:p>
    <w:p w14:paraId="5575FA1F" w14:textId="532C6203" w:rsidR="0062595A" w:rsidRPr="0062595A" w:rsidRDefault="0062595A" w:rsidP="00C5530E">
      <w:pPr>
        <w:suppressAutoHyphens/>
        <w:adjustRightInd/>
        <w:spacing w:after="120"/>
        <w:jc w:val="both"/>
        <w:rPr>
          <w:sz w:val="22"/>
          <w:szCs w:val="22"/>
        </w:rPr>
      </w:pPr>
      <w:r w:rsidRPr="0062595A">
        <w:rPr>
          <w:sz w:val="22"/>
          <w:szCs w:val="22"/>
        </w:rPr>
        <w:t xml:space="preserve">During 2025 alone, ITU (through BDT) implemented or helped implement 106 projects in total, valued at CHF 79.7 million. 32 of these projects completed their activities </w:t>
      </w:r>
      <w:r w:rsidRPr="00FC14E9">
        <w:rPr>
          <w:sz w:val="22"/>
          <w:szCs w:val="22"/>
        </w:rPr>
        <w:t xml:space="preserve">during the year, while the remaining 74 projects will continue their implementation as per the respective project documents. </w:t>
      </w:r>
      <w:r w:rsidR="00B224E7" w:rsidRPr="00FC14E9">
        <w:rPr>
          <w:sz w:val="22"/>
          <w:szCs w:val="22"/>
        </w:rPr>
        <w:t xml:space="preserve">The </w:t>
      </w:r>
      <w:hyperlink w:anchor="Table_below_overviewITU_D" w:history="1">
        <w:r w:rsidR="00B224E7" w:rsidRPr="00CB4EBA">
          <w:rPr>
            <w:rStyle w:val="Hyperlink"/>
            <w:color w:val="0563C1"/>
            <w:sz w:val="22"/>
            <w:szCs w:val="22"/>
          </w:rPr>
          <w:t>table below</w:t>
        </w:r>
      </w:hyperlink>
      <w:r w:rsidRPr="00FC14E9">
        <w:rPr>
          <w:sz w:val="22"/>
          <w:szCs w:val="22"/>
        </w:rPr>
        <w:t xml:space="preserve"> presents the overall distribution of this portfolio by region and the overview of (1) the funds mobilized to support the implementation of these projects, (2) the seed</w:t>
      </w:r>
      <w:r w:rsidRPr="0062595A">
        <w:rPr>
          <w:sz w:val="22"/>
          <w:szCs w:val="22"/>
        </w:rPr>
        <w:t xml:space="preserve"> funding allocated by ITU from the ICT Development Fund (ICT-DF). </w:t>
      </w:r>
    </w:p>
    <w:p w14:paraId="2A096735" w14:textId="77777777" w:rsidR="0062595A" w:rsidRPr="0062595A" w:rsidRDefault="0062595A" w:rsidP="00C5530E">
      <w:pPr>
        <w:keepNext/>
        <w:keepLines/>
        <w:suppressAutoHyphens/>
        <w:adjustRightInd/>
        <w:spacing w:before="360" w:after="240"/>
        <w:jc w:val="center"/>
        <w:rPr>
          <w:rFonts w:eastAsia="MS Mincho" w:cs="Calibri"/>
          <w:b/>
          <w:sz w:val="22"/>
          <w:szCs w:val="24"/>
        </w:rPr>
      </w:pPr>
      <w:bookmarkStart w:id="87" w:name="Table_below_overviewITU_D"/>
      <w:r w:rsidRPr="0062595A">
        <w:rPr>
          <w:rFonts w:eastAsia="MS Mincho" w:cs="Calibri"/>
          <w:b/>
          <w:sz w:val="22"/>
          <w:szCs w:val="24"/>
        </w:rPr>
        <w:lastRenderedPageBreak/>
        <w:t xml:space="preserve">Overview of ITU-D projects </w:t>
      </w:r>
      <w:bookmarkEnd w:id="87"/>
      <w:r w:rsidRPr="0062595A">
        <w:rPr>
          <w:rFonts w:eastAsia="MS Mincho" w:cs="Calibri"/>
          <w:b/>
          <w:sz w:val="22"/>
          <w:szCs w:val="24"/>
        </w:rPr>
        <w:t>with activities in 2025 by region (figures in k CHF)</w:t>
      </w:r>
    </w:p>
    <w:tbl>
      <w:tblPr>
        <w:tblW w:w="6412" w:type="dxa"/>
        <w:jc w:val="center"/>
        <w:tblCellMar>
          <w:left w:w="10" w:type="dxa"/>
          <w:right w:w="10" w:type="dxa"/>
        </w:tblCellMar>
        <w:tblLook w:val="0000" w:firstRow="0" w:lastRow="0" w:firstColumn="0" w:lastColumn="0" w:noHBand="0" w:noVBand="0"/>
      </w:tblPr>
      <w:tblGrid>
        <w:gridCol w:w="1277"/>
        <w:gridCol w:w="1171"/>
        <w:gridCol w:w="1450"/>
        <w:gridCol w:w="1170"/>
        <w:gridCol w:w="1344"/>
      </w:tblGrid>
      <w:tr w:rsidR="0062595A" w:rsidRPr="0062595A" w14:paraId="080C816E" w14:textId="77777777" w:rsidTr="00443B52">
        <w:trPr>
          <w:trHeight w:val="852"/>
          <w:jc w:val="center"/>
        </w:trPr>
        <w:tc>
          <w:tcPr>
            <w:tcW w:w="1277" w:type="dxa"/>
            <w:tcBorders>
              <w:top w:val="single" w:sz="8" w:space="0" w:color="000000"/>
              <w:left w:val="single" w:sz="8" w:space="0" w:color="000000"/>
              <w:bottom w:val="single" w:sz="8" w:space="0" w:color="000000"/>
            </w:tcBorders>
            <w:shd w:val="clear" w:color="auto" w:fill="70A9E0"/>
            <w:noWrap/>
            <w:tcMar>
              <w:top w:w="0" w:type="dxa"/>
              <w:left w:w="108" w:type="dxa"/>
              <w:bottom w:w="0" w:type="dxa"/>
              <w:right w:w="108" w:type="dxa"/>
            </w:tcMar>
          </w:tcPr>
          <w:p w14:paraId="45C91DF7"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Region</w:t>
            </w:r>
          </w:p>
        </w:tc>
        <w:tc>
          <w:tcPr>
            <w:tcW w:w="1171" w:type="dxa"/>
            <w:tcBorders>
              <w:top w:val="single" w:sz="8" w:space="0" w:color="000000"/>
              <w:bottom w:val="single" w:sz="8" w:space="0" w:color="000000"/>
            </w:tcBorders>
            <w:shd w:val="clear" w:color="auto" w:fill="70A9E0"/>
            <w:noWrap/>
            <w:tcMar>
              <w:top w:w="0" w:type="dxa"/>
              <w:left w:w="108" w:type="dxa"/>
              <w:bottom w:w="0" w:type="dxa"/>
              <w:right w:w="108" w:type="dxa"/>
            </w:tcMar>
          </w:tcPr>
          <w:p w14:paraId="4F8F7208"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Number of Projects</w:t>
            </w:r>
          </w:p>
        </w:tc>
        <w:tc>
          <w:tcPr>
            <w:tcW w:w="1450" w:type="dxa"/>
            <w:tcBorders>
              <w:top w:val="single" w:sz="8" w:space="0" w:color="000000"/>
              <w:bottom w:val="single" w:sz="8" w:space="0" w:color="000000"/>
            </w:tcBorders>
            <w:shd w:val="clear" w:color="auto" w:fill="70A9E0"/>
            <w:noWrap/>
            <w:tcMar>
              <w:top w:w="0" w:type="dxa"/>
              <w:left w:w="108" w:type="dxa"/>
              <w:bottom w:w="0" w:type="dxa"/>
              <w:right w:w="108" w:type="dxa"/>
            </w:tcMar>
          </w:tcPr>
          <w:p w14:paraId="4D168CEC"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 xml:space="preserve">Funding from partners </w:t>
            </w:r>
          </w:p>
        </w:tc>
        <w:tc>
          <w:tcPr>
            <w:tcW w:w="1170" w:type="dxa"/>
            <w:tcBorders>
              <w:top w:val="single" w:sz="8" w:space="0" w:color="000000"/>
              <w:bottom w:val="single" w:sz="8" w:space="0" w:color="000000"/>
            </w:tcBorders>
            <w:shd w:val="clear" w:color="auto" w:fill="70A9E0"/>
            <w:noWrap/>
            <w:tcMar>
              <w:top w:w="0" w:type="dxa"/>
              <w:left w:w="108" w:type="dxa"/>
              <w:bottom w:w="0" w:type="dxa"/>
              <w:right w:w="108" w:type="dxa"/>
            </w:tcMar>
          </w:tcPr>
          <w:p w14:paraId="752928C6"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 xml:space="preserve">ITU funds </w:t>
            </w:r>
          </w:p>
        </w:tc>
        <w:tc>
          <w:tcPr>
            <w:tcW w:w="1344" w:type="dxa"/>
            <w:tcBorders>
              <w:top w:val="single" w:sz="8" w:space="0" w:color="000000"/>
              <w:bottom w:val="single" w:sz="8" w:space="0" w:color="000000"/>
              <w:right w:val="single" w:sz="8" w:space="0" w:color="000000"/>
            </w:tcBorders>
            <w:shd w:val="clear" w:color="auto" w:fill="70A9E0"/>
            <w:noWrap/>
            <w:tcMar>
              <w:top w:w="0" w:type="dxa"/>
              <w:left w:w="108" w:type="dxa"/>
              <w:bottom w:w="0" w:type="dxa"/>
              <w:right w:w="108" w:type="dxa"/>
            </w:tcMar>
          </w:tcPr>
          <w:p w14:paraId="470E3B7A"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Total project funding</w:t>
            </w:r>
          </w:p>
        </w:tc>
      </w:tr>
      <w:tr w:rsidR="0062595A" w:rsidRPr="0062595A" w14:paraId="4A45E4D0" w14:textId="77777777" w:rsidTr="00443B52">
        <w:trPr>
          <w:trHeight w:val="54"/>
          <w:jc w:val="center"/>
        </w:trPr>
        <w:tc>
          <w:tcPr>
            <w:tcW w:w="1277" w:type="dxa"/>
            <w:tcBorders>
              <w:left w:val="single" w:sz="8" w:space="0" w:color="000000"/>
              <w:bottom w:val="single" w:sz="8" w:space="0" w:color="000000"/>
            </w:tcBorders>
            <w:tcMar>
              <w:top w:w="0" w:type="dxa"/>
              <w:left w:w="108" w:type="dxa"/>
              <w:bottom w:w="0" w:type="dxa"/>
              <w:right w:w="108" w:type="dxa"/>
            </w:tcMar>
          </w:tcPr>
          <w:p w14:paraId="62CDFEB9"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 xml:space="preserve">Africa </w:t>
            </w:r>
          </w:p>
        </w:tc>
        <w:tc>
          <w:tcPr>
            <w:tcW w:w="1171" w:type="dxa"/>
            <w:tcBorders>
              <w:bottom w:val="single" w:sz="8" w:space="0" w:color="000000"/>
            </w:tcBorders>
            <w:noWrap/>
            <w:tcMar>
              <w:top w:w="0" w:type="dxa"/>
              <w:left w:w="108" w:type="dxa"/>
              <w:bottom w:w="0" w:type="dxa"/>
              <w:right w:w="108" w:type="dxa"/>
            </w:tcMar>
          </w:tcPr>
          <w:p w14:paraId="13B1EE07"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20</w:t>
            </w:r>
          </w:p>
        </w:tc>
        <w:tc>
          <w:tcPr>
            <w:tcW w:w="1450" w:type="dxa"/>
            <w:tcBorders>
              <w:bottom w:val="single" w:sz="8" w:space="0" w:color="000000"/>
            </w:tcBorders>
            <w:tcMar>
              <w:top w:w="0" w:type="dxa"/>
              <w:left w:w="108" w:type="dxa"/>
              <w:bottom w:w="0" w:type="dxa"/>
              <w:right w:w="108" w:type="dxa"/>
            </w:tcMar>
          </w:tcPr>
          <w:p w14:paraId="2C054ED2"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26,917.7</w:t>
            </w:r>
          </w:p>
        </w:tc>
        <w:tc>
          <w:tcPr>
            <w:tcW w:w="1170" w:type="dxa"/>
            <w:tcBorders>
              <w:bottom w:val="single" w:sz="8" w:space="0" w:color="000000"/>
            </w:tcBorders>
            <w:tcMar>
              <w:top w:w="0" w:type="dxa"/>
              <w:left w:w="108" w:type="dxa"/>
              <w:bottom w:w="0" w:type="dxa"/>
              <w:right w:w="108" w:type="dxa"/>
            </w:tcMar>
          </w:tcPr>
          <w:p w14:paraId="62ADA4AE"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1,505.4</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3A93919C"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28,423.2</w:t>
            </w:r>
          </w:p>
        </w:tc>
      </w:tr>
      <w:tr w:rsidR="0062595A" w:rsidRPr="0062595A" w14:paraId="18315EC2" w14:textId="77777777" w:rsidTr="00443B52">
        <w:trPr>
          <w:trHeight w:val="54"/>
          <w:jc w:val="center"/>
        </w:trPr>
        <w:tc>
          <w:tcPr>
            <w:tcW w:w="1277" w:type="dxa"/>
            <w:tcBorders>
              <w:left w:val="single" w:sz="8" w:space="0" w:color="000000"/>
              <w:bottom w:val="single" w:sz="8" w:space="0" w:color="000000"/>
            </w:tcBorders>
            <w:tcMar>
              <w:top w:w="0" w:type="dxa"/>
              <w:left w:w="108" w:type="dxa"/>
              <w:bottom w:w="0" w:type="dxa"/>
              <w:right w:w="108" w:type="dxa"/>
            </w:tcMar>
          </w:tcPr>
          <w:p w14:paraId="7667E2EA"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 xml:space="preserve">Americas </w:t>
            </w:r>
          </w:p>
        </w:tc>
        <w:tc>
          <w:tcPr>
            <w:tcW w:w="1171" w:type="dxa"/>
            <w:tcBorders>
              <w:bottom w:val="single" w:sz="8" w:space="0" w:color="000000"/>
            </w:tcBorders>
            <w:noWrap/>
            <w:tcMar>
              <w:top w:w="0" w:type="dxa"/>
              <w:left w:w="108" w:type="dxa"/>
              <w:bottom w:w="0" w:type="dxa"/>
              <w:right w:w="108" w:type="dxa"/>
            </w:tcMar>
          </w:tcPr>
          <w:p w14:paraId="0A7925AB"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16</w:t>
            </w:r>
          </w:p>
        </w:tc>
        <w:tc>
          <w:tcPr>
            <w:tcW w:w="1450" w:type="dxa"/>
            <w:tcBorders>
              <w:bottom w:val="single" w:sz="8" w:space="0" w:color="000000"/>
            </w:tcBorders>
            <w:tcMar>
              <w:top w:w="0" w:type="dxa"/>
              <w:left w:w="108" w:type="dxa"/>
              <w:bottom w:w="0" w:type="dxa"/>
              <w:right w:w="108" w:type="dxa"/>
            </w:tcMar>
          </w:tcPr>
          <w:p w14:paraId="64A6D1EF"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6,241.1</w:t>
            </w:r>
          </w:p>
        </w:tc>
        <w:tc>
          <w:tcPr>
            <w:tcW w:w="1170" w:type="dxa"/>
            <w:tcBorders>
              <w:bottom w:val="single" w:sz="8" w:space="0" w:color="000000"/>
            </w:tcBorders>
            <w:tcMar>
              <w:top w:w="0" w:type="dxa"/>
              <w:left w:w="108" w:type="dxa"/>
              <w:bottom w:w="0" w:type="dxa"/>
              <w:right w:w="108" w:type="dxa"/>
            </w:tcMar>
          </w:tcPr>
          <w:p w14:paraId="6ED09C3B"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236.8</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54067E8A"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6,477.9</w:t>
            </w:r>
          </w:p>
        </w:tc>
      </w:tr>
      <w:tr w:rsidR="0062595A" w:rsidRPr="0062595A" w14:paraId="38831829" w14:textId="77777777" w:rsidTr="00443B52">
        <w:trPr>
          <w:trHeight w:val="300"/>
          <w:jc w:val="center"/>
        </w:trPr>
        <w:tc>
          <w:tcPr>
            <w:tcW w:w="1277" w:type="dxa"/>
            <w:tcBorders>
              <w:left w:val="single" w:sz="8" w:space="0" w:color="000000"/>
              <w:bottom w:val="single" w:sz="8" w:space="0" w:color="000000"/>
            </w:tcBorders>
            <w:tcMar>
              <w:top w:w="0" w:type="dxa"/>
              <w:left w:w="108" w:type="dxa"/>
              <w:bottom w:w="0" w:type="dxa"/>
              <w:right w:w="108" w:type="dxa"/>
            </w:tcMar>
          </w:tcPr>
          <w:p w14:paraId="390CFE29"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 xml:space="preserve">Arab States </w:t>
            </w:r>
          </w:p>
        </w:tc>
        <w:tc>
          <w:tcPr>
            <w:tcW w:w="1171" w:type="dxa"/>
            <w:tcBorders>
              <w:bottom w:val="single" w:sz="8" w:space="0" w:color="000000"/>
            </w:tcBorders>
            <w:tcMar>
              <w:top w:w="0" w:type="dxa"/>
              <w:left w:w="108" w:type="dxa"/>
              <w:bottom w:w="0" w:type="dxa"/>
              <w:right w:w="108" w:type="dxa"/>
            </w:tcMar>
          </w:tcPr>
          <w:p w14:paraId="427F41E3"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6</w:t>
            </w:r>
          </w:p>
        </w:tc>
        <w:tc>
          <w:tcPr>
            <w:tcW w:w="1450" w:type="dxa"/>
            <w:tcBorders>
              <w:bottom w:val="single" w:sz="8" w:space="0" w:color="000000"/>
            </w:tcBorders>
            <w:tcMar>
              <w:top w:w="0" w:type="dxa"/>
              <w:left w:w="108" w:type="dxa"/>
              <w:bottom w:w="0" w:type="dxa"/>
              <w:right w:w="108" w:type="dxa"/>
            </w:tcMar>
          </w:tcPr>
          <w:p w14:paraId="270F76E3"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2,568.9</w:t>
            </w:r>
          </w:p>
        </w:tc>
        <w:tc>
          <w:tcPr>
            <w:tcW w:w="1170" w:type="dxa"/>
            <w:tcBorders>
              <w:bottom w:val="single" w:sz="8" w:space="0" w:color="000000"/>
            </w:tcBorders>
            <w:tcMar>
              <w:top w:w="0" w:type="dxa"/>
              <w:left w:w="108" w:type="dxa"/>
              <w:bottom w:w="0" w:type="dxa"/>
              <w:right w:w="108" w:type="dxa"/>
            </w:tcMar>
          </w:tcPr>
          <w:p w14:paraId="175098A4"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696.8</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09FC8B92"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3,265.7</w:t>
            </w:r>
          </w:p>
        </w:tc>
      </w:tr>
      <w:tr w:rsidR="0062595A" w:rsidRPr="0062595A" w14:paraId="5315B9B6" w14:textId="77777777" w:rsidTr="00443B52">
        <w:trPr>
          <w:trHeight w:val="54"/>
          <w:jc w:val="center"/>
        </w:trPr>
        <w:tc>
          <w:tcPr>
            <w:tcW w:w="1277" w:type="dxa"/>
            <w:tcBorders>
              <w:left w:val="single" w:sz="8" w:space="0" w:color="000000"/>
              <w:bottom w:val="single" w:sz="8" w:space="0" w:color="000000"/>
            </w:tcBorders>
            <w:tcMar>
              <w:top w:w="0" w:type="dxa"/>
              <w:left w:w="108" w:type="dxa"/>
              <w:bottom w:w="0" w:type="dxa"/>
              <w:right w:w="108" w:type="dxa"/>
            </w:tcMar>
          </w:tcPr>
          <w:p w14:paraId="1842B89C"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Asia-Pacific</w:t>
            </w:r>
          </w:p>
        </w:tc>
        <w:tc>
          <w:tcPr>
            <w:tcW w:w="1171" w:type="dxa"/>
            <w:tcBorders>
              <w:bottom w:val="single" w:sz="8" w:space="0" w:color="000000"/>
            </w:tcBorders>
            <w:noWrap/>
            <w:tcMar>
              <w:top w:w="0" w:type="dxa"/>
              <w:left w:w="108" w:type="dxa"/>
              <w:bottom w:w="0" w:type="dxa"/>
              <w:right w:w="108" w:type="dxa"/>
            </w:tcMar>
          </w:tcPr>
          <w:p w14:paraId="52B0F8BC"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15</w:t>
            </w:r>
          </w:p>
        </w:tc>
        <w:tc>
          <w:tcPr>
            <w:tcW w:w="1450" w:type="dxa"/>
            <w:tcBorders>
              <w:bottom w:val="single" w:sz="8" w:space="0" w:color="000000"/>
            </w:tcBorders>
            <w:tcMar>
              <w:top w:w="0" w:type="dxa"/>
              <w:left w:w="108" w:type="dxa"/>
              <w:bottom w:w="0" w:type="dxa"/>
              <w:right w:w="108" w:type="dxa"/>
            </w:tcMar>
          </w:tcPr>
          <w:p w14:paraId="6A4329BF"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6,374.1</w:t>
            </w:r>
          </w:p>
        </w:tc>
        <w:tc>
          <w:tcPr>
            <w:tcW w:w="1170" w:type="dxa"/>
            <w:tcBorders>
              <w:bottom w:val="single" w:sz="8" w:space="0" w:color="000000"/>
            </w:tcBorders>
            <w:tcMar>
              <w:top w:w="0" w:type="dxa"/>
              <w:left w:w="108" w:type="dxa"/>
              <w:bottom w:w="0" w:type="dxa"/>
              <w:right w:w="108" w:type="dxa"/>
            </w:tcMar>
          </w:tcPr>
          <w:p w14:paraId="2DA58258"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851.8</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41862A68"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7,225.9</w:t>
            </w:r>
          </w:p>
        </w:tc>
      </w:tr>
      <w:tr w:rsidR="0062595A" w:rsidRPr="0062595A" w14:paraId="519EA174" w14:textId="77777777" w:rsidTr="00443B52">
        <w:trPr>
          <w:trHeight w:val="54"/>
          <w:jc w:val="center"/>
        </w:trPr>
        <w:tc>
          <w:tcPr>
            <w:tcW w:w="1277" w:type="dxa"/>
            <w:tcBorders>
              <w:left w:val="single" w:sz="8" w:space="0" w:color="000000"/>
              <w:bottom w:val="single" w:sz="8" w:space="0" w:color="000000"/>
            </w:tcBorders>
            <w:tcMar>
              <w:top w:w="0" w:type="dxa"/>
              <w:left w:w="108" w:type="dxa"/>
              <w:bottom w:w="0" w:type="dxa"/>
              <w:right w:w="108" w:type="dxa"/>
            </w:tcMar>
          </w:tcPr>
          <w:p w14:paraId="03826478"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 xml:space="preserve">CIS </w:t>
            </w:r>
          </w:p>
        </w:tc>
        <w:tc>
          <w:tcPr>
            <w:tcW w:w="1171" w:type="dxa"/>
            <w:tcBorders>
              <w:bottom w:val="single" w:sz="8" w:space="0" w:color="000000"/>
            </w:tcBorders>
            <w:tcMar>
              <w:top w:w="0" w:type="dxa"/>
              <w:left w:w="108" w:type="dxa"/>
              <w:bottom w:w="0" w:type="dxa"/>
              <w:right w:w="108" w:type="dxa"/>
            </w:tcMar>
          </w:tcPr>
          <w:p w14:paraId="3C5511E8"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3</w:t>
            </w:r>
          </w:p>
        </w:tc>
        <w:tc>
          <w:tcPr>
            <w:tcW w:w="1450" w:type="dxa"/>
            <w:tcBorders>
              <w:bottom w:val="single" w:sz="8" w:space="0" w:color="000000"/>
            </w:tcBorders>
            <w:tcMar>
              <w:top w:w="0" w:type="dxa"/>
              <w:left w:w="108" w:type="dxa"/>
              <w:bottom w:w="0" w:type="dxa"/>
              <w:right w:w="108" w:type="dxa"/>
            </w:tcMar>
          </w:tcPr>
          <w:p w14:paraId="269CC19B"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344.1</w:t>
            </w:r>
          </w:p>
        </w:tc>
        <w:tc>
          <w:tcPr>
            <w:tcW w:w="1170" w:type="dxa"/>
            <w:tcBorders>
              <w:bottom w:val="single" w:sz="8" w:space="0" w:color="000000"/>
            </w:tcBorders>
            <w:tcMar>
              <w:top w:w="0" w:type="dxa"/>
              <w:left w:w="108" w:type="dxa"/>
              <w:bottom w:w="0" w:type="dxa"/>
              <w:right w:w="108" w:type="dxa"/>
            </w:tcMar>
          </w:tcPr>
          <w:p w14:paraId="66BC265B"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509.5</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5B186319"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853.6</w:t>
            </w:r>
          </w:p>
        </w:tc>
      </w:tr>
      <w:tr w:rsidR="0062595A" w:rsidRPr="0062595A" w14:paraId="4FD29170" w14:textId="77777777" w:rsidTr="00443B52">
        <w:trPr>
          <w:trHeight w:val="54"/>
          <w:jc w:val="center"/>
        </w:trPr>
        <w:tc>
          <w:tcPr>
            <w:tcW w:w="1277" w:type="dxa"/>
            <w:tcBorders>
              <w:left w:val="single" w:sz="8" w:space="0" w:color="000000"/>
              <w:bottom w:val="single" w:sz="8" w:space="0" w:color="000000"/>
            </w:tcBorders>
            <w:tcMar>
              <w:top w:w="0" w:type="dxa"/>
              <w:left w:w="108" w:type="dxa"/>
              <w:bottom w:w="0" w:type="dxa"/>
              <w:right w:w="108" w:type="dxa"/>
            </w:tcMar>
          </w:tcPr>
          <w:p w14:paraId="4DA4C425"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Europe</w:t>
            </w:r>
          </w:p>
        </w:tc>
        <w:tc>
          <w:tcPr>
            <w:tcW w:w="1171" w:type="dxa"/>
            <w:tcBorders>
              <w:bottom w:val="single" w:sz="8" w:space="0" w:color="000000"/>
            </w:tcBorders>
            <w:tcMar>
              <w:top w:w="0" w:type="dxa"/>
              <w:left w:w="108" w:type="dxa"/>
              <w:bottom w:w="0" w:type="dxa"/>
              <w:right w:w="108" w:type="dxa"/>
            </w:tcMar>
          </w:tcPr>
          <w:p w14:paraId="45059396"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3</w:t>
            </w:r>
          </w:p>
        </w:tc>
        <w:tc>
          <w:tcPr>
            <w:tcW w:w="1450" w:type="dxa"/>
            <w:tcBorders>
              <w:bottom w:val="single" w:sz="8" w:space="0" w:color="000000"/>
            </w:tcBorders>
            <w:tcMar>
              <w:top w:w="0" w:type="dxa"/>
              <w:left w:w="108" w:type="dxa"/>
              <w:bottom w:w="0" w:type="dxa"/>
              <w:right w:w="108" w:type="dxa"/>
            </w:tcMar>
          </w:tcPr>
          <w:p w14:paraId="01FBBAA9"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411.1</w:t>
            </w:r>
          </w:p>
        </w:tc>
        <w:tc>
          <w:tcPr>
            <w:tcW w:w="1170" w:type="dxa"/>
            <w:tcBorders>
              <w:bottom w:val="single" w:sz="8" w:space="0" w:color="000000"/>
            </w:tcBorders>
            <w:tcMar>
              <w:top w:w="0" w:type="dxa"/>
              <w:left w:w="108" w:type="dxa"/>
              <w:bottom w:w="0" w:type="dxa"/>
              <w:right w:w="108" w:type="dxa"/>
            </w:tcMar>
          </w:tcPr>
          <w:p w14:paraId="31349EB7"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45.6</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4AB9AA99"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456.7</w:t>
            </w:r>
          </w:p>
        </w:tc>
      </w:tr>
      <w:tr w:rsidR="0062595A" w:rsidRPr="0062595A" w14:paraId="6DD28451" w14:textId="77777777" w:rsidTr="00443B52">
        <w:trPr>
          <w:trHeight w:val="54"/>
          <w:jc w:val="center"/>
        </w:trPr>
        <w:tc>
          <w:tcPr>
            <w:tcW w:w="1277" w:type="dxa"/>
            <w:tcBorders>
              <w:left w:val="single" w:sz="8" w:space="0" w:color="000000"/>
              <w:bottom w:val="single" w:sz="8" w:space="0" w:color="000000"/>
            </w:tcBorders>
            <w:tcMar>
              <w:top w:w="0" w:type="dxa"/>
              <w:left w:w="108" w:type="dxa"/>
              <w:bottom w:w="0" w:type="dxa"/>
              <w:right w:w="108" w:type="dxa"/>
            </w:tcMar>
          </w:tcPr>
          <w:p w14:paraId="5C225811"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Multi-regional*</w:t>
            </w:r>
          </w:p>
        </w:tc>
        <w:tc>
          <w:tcPr>
            <w:tcW w:w="1171" w:type="dxa"/>
            <w:tcBorders>
              <w:bottom w:val="single" w:sz="8" w:space="0" w:color="000000"/>
            </w:tcBorders>
            <w:noWrap/>
            <w:tcMar>
              <w:top w:w="0" w:type="dxa"/>
              <w:left w:w="108" w:type="dxa"/>
              <w:bottom w:w="0" w:type="dxa"/>
              <w:right w:w="108" w:type="dxa"/>
            </w:tcMar>
          </w:tcPr>
          <w:p w14:paraId="2C9970F9"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43</w:t>
            </w:r>
          </w:p>
        </w:tc>
        <w:tc>
          <w:tcPr>
            <w:tcW w:w="1450" w:type="dxa"/>
            <w:tcBorders>
              <w:bottom w:val="single" w:sz="8" w:space="0" w:color="000000"/>
            </w:tcBorders>
            <w:tcMar>
              <w:top w:w="0" w:type="dxa"/>
              <w:left w:w="108" w:type="dxa"/>
              <w:bottom w:w="0" w:type="dxa"/>
              <w:right w:w="108" w:type="dxa"/>
            </w:tcMar>
          </w:tcPr>
          <w:p w14:paraId="158FD069"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25,164.9</w:t>
            </w:r>
          </w:p>
        </w:tc>
        <w:tc>
          <w:tcPr>
            <w:tcW w:w="1170" w:type="dxa"/>
            <w:tcBorders>
              <w:bottom w:val="single" w:sz="8" w:space="0" w:color="000000"/>
            </w:tcBorders>
            <w:tcMar>
              <w:top w:w="0" w:type="dxa"/>
              <w:left w:w="108" w:type="dxa"/>
              <w:bottom w:w="0" w:type="dxa"/>
              <w:right w:w="108" w:type="dxa"/>
            </w:tcMar>
          </w:tcPr>
          <w:p w14:paraId="493AF85A"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7,880.7</w:t>
            </w:r>
          </w:p>
        </w:tc>
        <w:tc>
          <w:tcPr>
            <w:tcW w:w="1344" w:type="dxa"/>
            <w:tcBorders>
              <w:bottom w:val="single" w:sz="8" w:space="0" w:color="000000"/>
              <w:right w:val="single" w:sz="8" w:space="0" w:color="000000"/>
            </w:tcBorders>
            <w:shd w:val="clear" w:color="auto" w:fill="C1E4F5"/>
            <w:tcMar>
              <w:top w:w="0" w:type="dxa"/>
              <w:left w:w="108" w:type="dxa"/>
              <w:bottom w:w="0" w:type="dxa"/>
              <w:right w:w="108" w:type="dxa"/>
            </w:tcMar>
          </w:tcPr>
          <w:p w14:paraId="765674FA"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sz w:val="22"/>
              </w:rPr>
              <w:t>33,045.5</w:t>
            </w:r>
          </w:p>
        </w:tc>
      </w:tr>
      <w:tr w:rsidR="0062595A" w:rsidRPr="0062595A" w14:paraId="2E887467" w14:textId="77777777" w:rsidTr="00443B52">
        <w:trPr>
          <w:trHeight w:val="54"/>
          <w:jc w:val="center"/>
        </w:trPr>
        <w:tc>
          <w:tcPr>
            <w:tcW w:w="1277" w:type="dxa"/>
            <w:tcBorders>
              <w:left w:val="single" w:sz="8" w:space="0" w:color="000000"/>
              <w:bottom w:val="single" w:sz="8" w:space="0" w:color="000000"/>
            </w:tcBorders>
            <w:shd w:val="clear" w:color="auto" w:fill="C1E4F5"/>
            <w:noWrap/>
            <w:tcMar>
              <w:top w:w="0" w:type="dxa"/>
              <w:left w:w="108" w:type="dxa"/>
              <w:bottom w:w="0" w:type="dxa"/>
              <w:right w:w="108" w:type="dxa"/>
            </w:tcMar>
            <w:vAlign w:val="center"/>
          </w:tcPr>
          <w:p w14:paraId="402B0E0A" w14:textId="77777777" w:rsidR="0062595A" w:rsidRPr="0062595A" w:rsidRDefault="0062595A" w:rsidP="00C5530E">
            <w:pPr>
              <w:keepNext/>
              <w:keepLines/>
              <w:suppressAutoHyphens/>
              <w:adjustRightInd/>
              <w:spacing w:before="0" w:after="160"/>
              <w:jc w:val="both"/>
              <w:rPr>
                <w:b/>
                <w:bCs/>
                <w:sz w:val="22"/>
                <w:szCs w:val="22"/>
              </w:rPr>
            </w:pPr>
            <w:r w:rsidRPr="0062595A">
              <w:rPr>
                <w:b/>
                <w:bCs/>
                <w:sz w:val="22"/>
                <w:szCs w:val="22"/>
              </w:rPr>
              <w:t>Total</w:t>
            </w:r>
          </w:p>
        </w:tc>
        <w:tc>
          <w:tcPr>
            <w:tcW w:w="1171" w:type="dxa"/>
            <w:tcBorders>
              <w:bottom w:val="single" w:sz="8" w:space="0" w:color="000000"/>
            </w:tcBorders>
            <w:shd w:val="clear" w:color="auto" w:fill="C1E4F5"/>
            <w:noWrap/>
            <w:tcMar>
              <w:top w:w="0" w:type="dxa"/>
              <w:left w:w="108" w:type="dxa"/>
              <w:bottom w:w="0" w:type="dxa"/>
              <w:right w:w="108" w:type="dxa"/>
            </w:tcMar>
          </w:tcPr>
          <w:p w14:paraId="4EC65DCA"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b/>
                <w:bCs/>
                <w:sz w:val="22"/>
              </w:rPr>
              <w:t>106</w:t>
            </w:r>
          </w:p>
        </w:tc>
        <w:tc>
          <w:tcPr>
            <w:tcW w:w="1450" w:type="dxa"/>
            <w:tcBorders>
              <w:bottom w:val="single" w:sz="8" w:space="0" w:color="000000"/>
            </w:tcBorders>
            <w:shd w:val="clear" w:color="auto" w:fill="C1E4F5"/>
            <w:noWrap/>
            <w:tcMar>
              <w:top w:w="0" w:type="dxa"/>
              <w:left w:w="108" w:type="dxa"/>
              <w:bottom w:w="0" w:type="dxa"/>
              <w:right w:w="108" w:type="dxa"/>
            </w:tcMar>
          </w:tcPr>
          <w:p w14:paraId="2B08E527"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b/>
                <w:bCs/>
                <w:sz w:val="22"/>
              </w:rPr>
              <w:t>68,022.0</w:t>
            </w:r>
          </w:p>
        </w:tc>
        <w:tc>
          <w:tcPr>
            <w:tcW w:w="1170" w:type="dxa"/>
            <w:tcBorders>
              <w:bottom w:val="single" w:sz="8" w:space="0" w:color="000000"/>
            </w:tcBorders>
            <w:shd w:val="clear" w:color="auto" w:fill="C1E4F5"/>
            <w:noWrap/>
            <w:tcMar>
              <w:top w:w="0" w:type="dxa"/>
              <w:left w:w="108" w:type="dxa"/>
              <w:bottom w:w="0" w:type="dxa"/>
              <w:right w:w="108" w:type="dxa"/>
            </w:tcMar>
          </w:tcPr>
          <w:p w14:paraId="0F4BC9AF"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b/>
                <w:bCs/>
                <w:sz w:val="22"/>
              </w:rPr>
              <w:t>11,726.5</w:t>
            </w:r>
          </w:p>
        </w:tc>
        <w:tc>
          <w:tcPr>
            <w:tcW w:w="1344" w:type="dxa"/>
            <w:tcBorders>
              <w:bottom w:val="single" w:sz="8" w:space="0" w:color="000000"/>
              <w:right w:val="single" w:sz="8" w:space="0" w:color="000000"/>
            </w:tcBorders>
            <w:shd w:val="clear" w:color="auto" w:fill="C1E4F5"/>
            <w:noWrap/>
            <w:tcMar>
              <w:top w:w="0" w:type="dxa"/>
              <w:left w:w="108" w:type="dxa"/>
              <w:bottom w:w="0" w:type="dxa"/>
              <w:right w:w="108" w:type="dxa"/>
            </w:tcMar>
          </w:tcPr>
          <w:p w14:paraId="6985011C" w14:textId="77777777" w:rsidR="0062595A" w:rsidRPr="0062595A" w:rsidRDefault="0062595A" w:rsidP="00C5530E">
            <w:pPr>
              <w:keepNext/>
              <w:keepLines/>
              <w:suppressAutoHyphens/>
              <w:adjustRightInd/>
              <w:spacing w:before="0" w:after="160"/>
              <w:jc w:val="both"/>
              <w:rPr>
                <w:rFonts w:eastAsia="MS Mincho"/>
                <w:sz w:val="22"/>
              </w:rPr>
            </w:pPr>
            <w:r w:rsidRPr="0062595A">
              <w:rPr>
                <w:rFonts w:eastAsia="MS Mincho"/>
                <w:b/>
                <w:bCs/>
                <w:sz w:val="22"/>
              </w:rPr>
              <w:t>79,748.5</w:t>
            </w:r>
          </w:p>
        </w:tc>
      </w:tr>
    </w:tbl>
    <w:p w14:paraId="43E6561B" w14:textId="77777777" w:rsidR="0062595A" w:rsidRPr="0062595A" w:rsidRDefault="0062595A" w:rsidP="00C5530E">
      <w:pPr>
        <w:keepNext/>
        <w:keepLines/>
        <w:suppressAutoHyphens/>
        <w:adjustRightInd/>
        <w:spacing w:before="0" w:after="160"/>
        <w:jc w:val="center"/>
        <w:rPr>
          <w:sz w:val="22"/>
          <w:szCs w:val="22"/>
        </w:rPr>
      </w:pPr>
      <w:r w:rsidRPr="0062595A">
        <w:rPr>
          <w:sz w:val="22"/>
          <w:szCs w:val="22"/>
        </w:rPr>
        <w:t>* Multi-regional or projects benefiting all regions</w:t>
      </w:r>
    </w:p>
    <w:p w14:paraId="59521F3C" w14:textId="68F57EDF"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before="360" w:after="120"/>
        <w:ind w:left="-100"/>
        <w:jc w:val="both"/>
        <w:textAlignment w:val="auto"/>
        <w:rPr>
          <w:sz w:val="22"/>
          <w:szCs w:val="22"/>
          <w:lang w:eastAsia="zh-TW"/>
        </w:rPr>
      </w:pPr>
      <w:r w:rsidRPr="0062595A">
        <w:rPr>
          <w:sz w:val="22"/>
          <w:szCs w:val="22"/>
          <w:lang w:eastAsia="zh-TW"/>
        </w:rPr>
        <w:t xml:space="preserve">In 2025, BDT signed a total of 26 new projects valued at CHF 4.3 million. With these figures, BDT closed the preceding WTDC cycle (2023-2025) with a total of 91 new projects signed valued at CHF 51. Despite being a shorter implementation period of 3 years, the total number of projects signed during the cycle represents a positive </w:t>
      </w:r>
      <w:r w:rsidRPr="00FC14E9">
        <w:rPr>
          <w:sz w:val="22"/>
          <w:szCs w:val="22"/>
          <w:lang w:eastAsia="zh-TW"/>
        </w:rPr>
        <w:t>trend in terms of resource mobilization, continuing the upward trend already achieved during the WTDC-17 cycle (2018-2022) (</w:t>
      </w:r>
      <w:r w:rsidR="007D4363" w:rsidRPr="00FC14E9">
        <w:rPr>
          <w:sz w:val="22"/>
          <w:szCs w:val="22"/>
          <w:lang w:eastAsia="zh-TW"/>
        </w:rPr>
        <w:t>S</w:t>
      </w:r>
      <w:r w:rsidRPr="00FC14E9">
        <w:rPr>
          <w:sz w:val="22"/>
          <w:szCs w:val="22"/>
          <w:lang w:eastAsia="zh-TW"/>
        </w:rPr>
        <w:t xml:space="preserve">ee </w:t>
      </w:r>
      <w:r w:rsidR="007D4363" w:rsidRPr="00FC14E9">
        <w:rPr>
          <w:sz w:val="22"/>
          <w:szCs w:val="22"/>
          <w:lang w:eastAsia="zh-TW"/>
        </w:rPr>
        <w:t>F</w:t>
      </w:r>
      <w:r w:rsidRPr="00FC14E9">
        <w:rPr>
          <w:sz w:val="22"/>
          <w:szCs w:val="22"/>
          <w:lang w:eastAsia="zh-TW"/>
        </w:rPr>
        <w:t xml:space="preserve">igures </w:t>
      </w:r>
      <w:hyperlink w:anchor="figure_18" w:history="1">
        <w:r w:rsidR="00B224E7" w:rsidRPr="00CB4EBA">
          <w:rPr>
            <w:rStyle w:val="Hyperlink"/>
            <w:color w:val="0563C1"/>
            <w:sz w:val="22"/>
            <w:szCs w:val="22"/>
            <w:lang w:eastAsia="zh-TW"/>
          </w:rPr>
          <w:t>18</w:t>
        </w:r>
      </w:hyperlink>
      <w:r w:rsidRPr="00FC14E9">
        <w:rPr>
          <w:sz w:val="22"/>
          <w:szCs w:val="22"/>
          <w:lang w:eastAsia="zh-TW"/>
        </w:rPr>
        <w:t xml:space="preserve"> and </w:t>
      </w:r>
      <w:hyperlink w:anchor="figure_19" w:history="1">
        <w:r w:rsidR="00B224E7" w:rsidRPr="00CB4EBA">
          <w:rPr>
            <w:rStyle w:val="Hyperlink"/>
            <w:color w:val="0563C1"/>
            <w:sz w:val="22"/>
            <w:szCs w:val="22"/>
            <w:lang w:eastAsia="zh-TW"/>
          </w:rPr>
          <w:t>19</w:t>
        </w:r>
      </w:hyperlink>
      <w:r w:rsidRPr="00FC14E9">
        <w:rPr>
          <w:sz w:val="22"/>
          <w:szCs w:val="22"/>
          <w:lang w:eastAsia="zh-TW"/>
        </w:rPr>
        <w:t>). These</w:t>
      </w:r>
      <w:r w:rsidRPr="0062595A">
        <w:rPr>
          <w:sz w:val="22"/>
          <w:szCs w:val="22"/>
          <w:lang w:eastAsia="zh-TW"/>
        </w:rPr>
        <w:t xml:space="preserve"> new projects are multi-regional, regional, and national in nature, and cover the full range of ITU-D priorities defined in the WTDC Kigali Action Plan. </w:t>
      </w:r>
    </w:p>
    <w:p w14:paraId="3E851AA3" w14:textId="77777777" w:rsidR="0062595A" w:rsidRPr="0062595A" w:rsidRDefault="0062595A" w:rsidP="00C5530E">
      <w:pPr>
        <w:keepNext/>
        <w:suppressAutoHyphens/>
        <w:adjustRightInd/>
        <w:spacing w:after="120"/>
        <w:jc w:val="center"/>
        <w:rPr>
          <w:rFonts w:eastAsia="MS Mincho"/>
          <w:sz w:val="22"/>
        </w:rPr>
      </w:pPr>
    </w:p>
    <w:p w14:paraId="135BB0E4" w14:textId="77777777" w:rsidR="0062595A" w:rsidRPr="0062595A" w:rsidRDefault="0062595A" w:rsidP="00C5530E">
      <w:pPr>
        <w:suppressAutoHyphens/>
        <w:adjustRightInd/>
        <w:jc w:val="center"/>
        <w:rPr>
          <w:rFonts w:eastAsia="MS Mincho"/>
          <w:sz w:val="22"/>
          <w:szCs w:val="22"/>
        </w:rPr>
      </w:pPr>
      <w:r w:rsidRPr="0062595A">
        <w:rPr>
          <w:rFonts w:eastAsia="MS Mincho"/>
          <w:noProof/>
          <w:sz w:val="22"/>
        </w:rPr>
        <w:drawing>
          <wp:inline distT="0" distB="0" distL="0" distR="0" wp14:anchorId="7343A710" wp14:editId="056D016F">
            <wp:extent cx="5347411" cy="2896819"/>
            <wp:effectExtent l="0" t="0" r="5715" b="0"/>
            <wp:docPr id="15375721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14:paraId="3F9DCDDB" w14:textId="77777777" w:rsidR="0062595A" w:rsidRPr="0062595A" w:rsidRDefault="0062595A" w:rsidP="00C5530E">
      <w:pPr>
        <w:suppressAutoHyphens/>
        <w:adjustRightInd/>
        <w:spacing w:before="0" w:after="200"/>
        <w:jc w:val="center"/>
        <w:rPr>
          <w:rFonts w:eastAsia="MS Mincho"/>
          <w:i/>
          <w:iCs/>
          <w:color w:val="1F497D"/>
          <w:sz w:val="18"/>
          <w:szCs w:val="18"/>
        </w:rPr>
      </w:pPr>
      <w:bookmarkStart w:id="88" w:name="figure_18"/>
      <w:r w:rsidRPr="0062595A">
        <w:rPr>
          <w:rFonts w:eastAsia="MS Mincho"/>
          <w:i/>
          <w:iCs/>
          <w:color w:val="1F497D"/>
          <w:sz w:val="18"/>
          <w:szCs w:val="18"/>
        </w:rPr>
        <w:t>Figure 18</w:t>
      </w:r>
      <w:bookmarkEnd w:id="88"/>
      <w:r w:rsidRPr="0062595A">
        <w:rPr>
          <w:rFonts w:eastAsia="MS Mincho"/>
          <w:i/>
          <w:iCs/>
          <w:color w:val="1F497D"/>
          <w:sz w:val="18"/>
          <w:szCs w:val="18"/>
        </w:rPr>
        <w:t>. New projects signed by ITU per year of signature (2015-2025)</w:t>
      </w:r>
    </w:p>
    <w:p w14:paraId="23EF18C9" w14:textId="77777777" w:rsidR="0062595A" w:rsidRPr="0062595A" w:rsidRDefault="0062595A" w:rsidP="00C5530E">
      <w:pPr>
        <w:suppressAutoHyphens/>
        <w:adjustRightInd/>
        <w:jc w:val="center"/>
        <w:rPr>
          <w:rFonts w:eastAsia="MS Mincho"/>
          <w:sz w:val="22"/>
          <w:szCs w:val="22"/>
        </w:rPr>
      </w:pPr>
      <w:r w:rsidRPr="0062595A">
        <w:rPr>
          <w:rFonts w:eastAsia="MS Mincho"/>
          <w:noProof/>
          <w:sz w:val="22"/>
        </w:rPr>
        <w:lastRenderedPageBreak/>
        <w:drawing>
          <wp:inline distT="0" distB="0" distL="0" distR="0" wp14:anchorId="41DCB31A" wp14:editId="4ACFB3A0">
            <wp:extent cx="4542866" cy="2223821"/>
            <wp:effectExtent l="0" t="0" r="0" b="5080"/>
            <wp:docPr id="4380945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14:paraId="2696A2C6" w14:textId="77777777" w:rsidR="0062595A" w:rsidRPr="0062595A" w:rsidRDefault="0062595A" w:rsidP="00C5530E">
      <w:pPr>
        <w:suppressAutoHyphens/>
        <w:adjustRightInd/>
        <w:spacing w:before="0" w:after="200"/>
        <w:jc w:val="center"/>
        <w:rPr>
          <w:rFonts w:eastAsia="MS Mincho"/>
          <w:i/>
          <w:iCs/>
          <w:color w:val="1F497D"/>
          <w:sz w:val="18"/>
          <w:szCs w:val="18"/>
        </w:rPr>
      </w:pPr>
      <w:bookmarkStart w:id="89" w:name="figure_19"/>
      <w:r w:rsidRPr="0062595A">
        <w:rPr>
          <w:rFonts w:eastAsia="MS Mincho"/>
          <w:i/>
          <w:iCs/>
          <w:color w:val="1F497D"/>
          <w:sz w:val="18"/>
          <w:szCs w:val="18"/>
        </w:rPr>
        <w:t>Figure 19</w:t>
      </w:r>
      <w:bookmarkEnd w:id="89"/>
      <w:r w:rsidRPr="0062595A">
        <w:rPr>
          <w:rFonts w:eastAsia="MS Mincho"/>
          <w:i/>
          <w:iCs/>
          <w:color w:val="1F497D"/>
          <w:sz w:val="18"/>
          <w:szCs w:val="18"/>
        </w:rPr>
        <w:t>. Funding mobilized in new projects signed by WTDC cycles</w:t>
      </w:r>
    </w:p>
    <w:p w14:paraId="2726122A" w14:textId="77777777" w:rsidR="0062595A" w:rsidRPr="0062595A" w:rsidRDefault="0062595A" w:rsidP="00C5530E">
      <w:pPr>
        <w:suppressAutoHyphens/>
        <w:adjustRightInd/>
        <w:spacing w:before="360" w:after="120"/>
        <w:jc w:val="both"/>
        <w:rPr>
          <w:rFonts w:eastAsia="MS Mincho"/>
          <w:sz w:val="22"/>
        </w:rPr>
      </w:pPr>
      <w:r w:rsidRPr="0062595A">
        <w:rPr>
          <w:rFonts w:eastAsia="MS Mincho" w:cs="Arial"/>
          <w:sz w:val="22"/>
        </w:rPr>
        <w:t>With regards to source of funds, 90 per cent of the funds for the new projects signed during the WTDC cycle for 2023-2025 came from the extrabudgetary funds mobilized by BDT from third parties, while the remaining 10 per cent results from the allocation of seed-funds from ITU’s ICT Development Fund (ICT-DF).</w:t>
      </w:r>
      <w:r w:rsidRPr="0062595A">
        <w:rPr>
          <w:rFonts w:eastAsia="MS Mincho"/>
          <w:sz w:val="22"/>
          <w:szCs w:val="22"/>
        </w:rPr>
        <w:t xml:space="preserve"> Notably, since ITU is not a funding institution, the feasibility of signing new projects depends greatly on the availability of funding partners willing to support ITU’s work. However, the ICT-DF has provided an instrumental resource to enable the set-up of new ITU-D projects, since a growing number of donors now request that agencies receiving funds provide a certain level of co-funding to ensure the feasibility of new projects. This shows the instrumental importance of the ICT Development Fund (ICT-DF) as a key mechanism to enhance the resource mobilization work conducted by BDT in support of ITU Member States. </w:t>
      </w:r>
    </w:p>
    <w:p w14:paraId="0DE7ECCF" w14:textId="77777777" w:rsidR="0062595A" w:rsidRPr="0062595A" w:rsidRDefault="0062595A" w:rsidP="00C5530E">
      <w:pPr>
        <w:suppressAutoHyphens/>
        <w:adjustRightInd/>
        <w:spacing w:after="120"/>
        <w:jc w:val="both"/>
        <w:rPr>
          <w:rFonts w:eastAsia="MS Mincho"/>
          <w:sz w:val="22"/>
          <w:szCs w:val="22"/>
        </w:rPr>
      </w:pPr>
      <w:r w:rsidRPr="0062595A">
        <w:rPr>
          <w:rFonts w:eastAsia="MS Mincho"/>
          <w:sz w:val="22"/>
          <w:szCs w:val="22"/>
        </w:rPr>
        <w:t>During 2025 ITU has also continued to strengthen project management practices across all ITU projects. This included strengthening reporting to partners, continuing with the operation of the Projects Board and strengthening the project monitoring function.</w:t>
      </w:r>
    </w:p>
    <w:p w14:paraId="329840E5"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22"/>
        </w:rPr>
        <w:t xml:space="preserve">Further details and data can be found in the </w:t>
      </w:r>
      <w:hyperlink r:id="rId272" w:history="1">
        <w:r w:rsidRPr="0062595A">
          <w:rPr>
            <w:rFonts w:eastAsia="MS Mincho"/>
            <w:color w:val="0563C1"/>
            <w:sz w:val="22"/>
            <w:szCs w:val="22"/>
            <w:u w:val="single"/>
          </w:rPr>
          <w:t>ITU-D projects portal</w:t>
        </w:r>
      </w:hyperlink>
      <w:r w:rsidRPr="0062595A">
        <w:rPr>
          <w:rFonts w:eastAsia="MS Mincho"/>
          <w:sz w:val="22"/>
          <w:szCs w:val="22"/>
        </w:rPr>
        <w:t xml:space="preserve"> and the new </w:t>
      </w:r>
      <w:hyperlink r:id="rId273" w:history="1">
        <w:r w:rsidRPr="005C1378">
          <w:rPr>
            <w:rFonts w:eastAsia="MS Mincho"/>
            <w:color w:val="0563C1"/>
            <w:sz w:val="22"/>
            <w:szCs w:val="22"/>
            <w:u w:val="single"/>
          </w:rPr>
          <w:t>dashboard for ITU membership on status of projects</w:t>
        </w:r>
      </w:hyperlink>
      <w:r w:rsidRPr="005C1378">
        <w:rPr>
          <w:rFonts w:eastAsia="MS Mincho"/>
          <w:sz w:val="22"/>
          <w:szCs w:val="22"/>
        </w:rPr>
        <w:t>.</w:t>
      </w:r>
    </w:p>
    <w:p w14:paraId="5CB31FB2" w14:textId="77777777" w:rsidR="0062595A" w:rsidRPr="0062595A" w:rsidRDefault="0062595A" w:rsidP="004630E8">
      <w:pPr>
        <w:keepNext/>
        <w:keepLines/>
        <w:tabs>
          <w:tab w:val="clear" w:pos="567"/>
        </w:tabs>
        <w:suppressAutoHyphens/>
        <w:adjustRightInd/>
        <w:spacing w:before="360" w:after="120"/>
        <w:ind w:left="567" w:hanging="567"/>
        <w:jc w:val="both"/>
        <w:outlineLvl w:val="1"/>
        <w:rPr>
          <w:rFonts w:eastAsia="MS Mincho"/>
          <w:b/>
        </w:rPr>
      </w:pPr>
      <w:bookmarkStart w:id="90" w:name="_Toc224288819"/>
      <w:r w:rsidRPr="0062595A">
        <w:rPr>
          <w:rFonts w:eastAsia="MS Mincho"/>
          <w:b/>
          <w:lang w:eastAsia="zh-CN"/>
        </w:rPr>
        <w:t>4.8</w:t>
      </w:r>
      <w:r w:rsidRPr="0062595A">
        <w:rPr>
          <w:rFonts w:eastAsia="MS Mincho"/>
          <w:b/>
          <w:lang w:eastAsia="zh-CN"/>
        </w:rPr>
        <w:tab/>
      </w:r>
      <w:r w:rsidRPr="0062595A">
        <w:rPr>
          <w:rFonts w:eastAsia="MS Mincho"/>
          <w:b/>
        </w:rPr>
        <w:t>C</w:t>
      </w:r>
      <w:r w:rsidRPr="0062595A">
        <w:rPr>
          <w:rFonts w:eastAsia="MS Mincho"/>
          <w:b/>
          <w:lang w:eastAsia="zh-CN"/>
        </w:rPr>
        <w:t>onvening platform</w:t>
      </w:r>
      <w:r w:rsidRPr="0062595A">
        <w:rPr>
          <w:rFonts w:eastAsia="MS Mincho"/>
          <w:b/>
        </w:rPr>
        <w:t>s</w:t>
      </w:r>
      <w:bookmarkEnd w:id="90"/>
    </w:p>
    <w:p w14:paraId="5ED3E6E0" w14:textId="35470B10"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lang w:eastAsia="zh-CN"/>
        </w:rPr>
      </w:pPr>
      <w:bookmarkStart w:id="91" w:name="_Toc224288820"/>
      <w:r w:rsidRPr="0062595A">
        <w:rPr>
          <w:rFonts w:eastAsia="MS Mincho"/>
          <w:b/>
          <w:color w:val="0D0D0D"/>
          <w:lang w:eastAsia="zh-CN"/>
        </w:rPr>
        <w:t>4.8.1</w:t>
      </w:r>
      <w:r w:rsidRPr="0062595A">
        <w:rPr>
          <w:rFonts w:eastAsia="MS Mincho"/>
          <w:b/>
          <w:color w:val="0D0D0D"/>
          <w:lang w:eastAsia="zh-CN"/>
        </w:rPr>
        <w:tab/>
        <w:t>WSIS process</w:t>
      </w:r>
      <w:bookmarkEnd w:id="91"/>
    </w:p>
    <w:p w14:paraId="024CF8D8" w14:textId="77777777" w:rsidR="0062595A" w:rsidRPr="0062595A" w:rsidRDefault="0062595A" w:rsidP="00C5530E">
      <w:pPr>
        <w:suppressAutoHyphens/>
        <w:adjustRightInd/>
        <w:spacing w:after="120"/>
        <w:jc w:val="both"/>
        <w:rPr>
          <w:rFonts w:eastAsia="MS Mincho"/>
          <w:sz w:val="22"/>
        </w:rPr>
      </w:pPr>
      <w:r w:rsidRPr="0062595A">
        <w:rPr>
          <w:rFonts w:eastAsia="Calibri" w:cs="Calibri"/>
          <w:sz w:val="22"/>
          <w:szCs w:val="22"/>
        </w:rPr>
        <w:t xml:space="preserve">The </w:t>
      </w:r>
      <w:hyperlink r:id="rId274" w:history="1">
        <w:r w:rsidRPr="0062595A">
          <w:rPr>
            <w:rFonts w:eastAsia="Calibri" w:cs="Calibri"/>
            <w:color w:val="0563C1"/>
            <w:sz w:val="22"/>
            <w:szCs w:val="22"/>
            <w:u w:val="single"/>
          </w:rPr>
          <w:t>World Summit on the Information Society (WSIS)</w:t>
        </w:r>
      </w:hyperlink>
      <w:r w:rsidRPr="0062595A">
        <w:rPr>
          <w:rFonts w:eastAsia="Calibri" w:cs="Calibri"/>
          <w:sz w:val="22"/>
          <w:szCs w:val="22"/>
        </w:rPr>
        <w:t xml:space="preserve"> continues to provide a key global framework for inclusive, people</w:t>
      </w:r>
      <w:r w:rsidRPr="0062595A">
        <w:rPr>
          <w:rFonts w:eastAsia="Calibri" w:cs="Calibri"/>
          <w:sz w:val="22"/>
          <w:szCs w:val="22"/>
        </w:rPr>
        <w:noBreakHyphen/>
        <w:t>centred digital development and for advancing the 2030 Sustainable Development Agenda. As lead facilitator, ITU leads WSIS Action Line implementation, strengthens multistakeholder engagement, and supports coordinated digital transformation efforts.</w:t>
      </w:r>
    </w:p>
    <w:p w14:paraId="5DF3254C" w14:textId="04E78EB5" w:rsidR="0062595A" w:rsidRPr="00AE7FA7" w:rsidRDefault="0062595A" w:rsidP="00C5530E">
      <w:pPr>
        <w:suppressAutoHyphens/>
        <w:adjustRightInd/>
        <w:spacing w:after="120"/>
        <w:jc w:val="both"/>
        <w:rPr>
          <w:rFonts w:asciiTheme="minorHAnsi" w:eastAsia="MS Mincho" w:hAnsiTheme="minorHAnsi" w:cstheme="minorBidi"/>
          <w:sz w:val="22"/>
          <w:szCs w:val="22"/>
        </w:rPr>
      </w:pPr>
      <w:r w:rsidRPr="6537CB56">
        <w:rPr>
          <w:rFonts w:asciiTheme="minorHAnsi" w:eastAsia="Calibri" w:hAnsiTheme="minorHAnsi" w:cstheme="minorBidi"/>
          <w:sz w:val="22"/>
          <w:szCs w:val="22"/>
        </w:rPr>
        <w:t xml:space="preserve">Guided by the Plenipotentiary </w:t>
      </w:r>
      <w:hyperlink r:id="rId275">
        <w:r w:rsidRPr="6537CB56">
          <w:rPr>
            <w:rStyle w:val="Hyperlink"/>
            <w:rFonts w:asciiTheme="minorHAnsi" w:eastAsia="Calibri" w:hAnsiTheme="minorHAnsi" w:cstheme="minorBidi"/>
            <w:color w:val="0563C1"/>
            <w:sz w:val="22"/>
            <w:szCs w:val="22"/>
          </w:rPr>
          <w:t xml:space="preserve">Resolution </w:t>
        </w:r>
        <w:r w:rsidRPr="6537CB56">
          <w:rPr>
            <w:rStyle w:val="Hyperlink"/>
            <w:rFonts w:asciiTheme="minorHAnsi" w:eastAsia="MS Mincho" w:hAnsiTheme="minorHAnsi" w:cstheme="minorBidi"/>
            <w:color w:val="0563C1"/>
            <w:sz w:val="22"/>
            <w:szCs w:val="22"/>
          </w:rPr>
          <w:t>140 (Rev. Bucharest, 2022)</w:t>
        </w:r>
      </w:hyperlink>
      <w:r w:rsidRPr="6537CB56">
        <w:rPr>
          <w:rFonts w:asciiTheme="minorHAnsi" w:eastAsia="MS Mincho" w:hAnsiTheme="minorHAnsi" w:cstheme="minorBidi"/>
          <w:sz w:val="22"/>
          <w:szCs w:val="22"/>
        </w:rPr>
        <w:t xml:space="preserve">, Council Resolutions: </w:t>
      </w:r>
      <w:hyperlink r:id="rId276">
        <w:r w:rsidRPr="6537CB56">
          <w:rPr>
            <w:rFonts w:asciiTheme="minorHAnsi" w:eastAsia="MS Mincho" w:hAnsiTheme="minorHAnsi" w:cstheme="minorBidi"/>
            <w:color w:val="0563C1"/>
            <w:sz w:val="22"/>
            <w:szCs w:val="22"/>
            <w:u w:val="single"/>
          </w:rPr>
          <w:t>1332 (Mod. 2024)</w:t>
        </w:r>
      </w:hyperlink>
      <w:r w:rsidRPr="6537CB56">
        <w:rPr>
          <w:rFonts w:asciiTheme="minorHAnsi" w:eastAsia="MS Mincho" w:hAnsiTheme="minorHAnsi" w:cstheme="minorBidi"/>
          <w:sz w:val="22"/>
          <w:szCs w:val="22"/>
        </w:rPr>
        <w:t xml:space="preserve">, </w:t>
      </w:r>
      <w:hyperlink r:id="rId277">
        <w:r w:rsidRPr="6537CB56">
          <w:rPr>
            <w:rFonts w:asciiTheme="minorHAnsi" w:eastAsia="MS Mincho" w:hAnsiTheme="minorHAnsi" w:cstheme="minorBidi"/>
            <w:color w:val="0563C1"/>
            <w:sz w:val="22"/>
            <w:szCs w:val="22"/>
            <w:u w:val="single"/>
          </w:rPr>
          <w:t>1334 (Mod. 2023)</w:t>
        </w:r>
      </w:hyperlink>
      <w:r w:rsidRPr="6537CB56">
        <w:rPr>
          <w:rFonts w:asciiTheme="minorHAnsi" w:eastAsia="MS Mincho" w:hAnsiTheme="minorHAnsi" w:cstheme="minorBidi"/>
          <w:sz w:val="22"/>
          <w:szCs w:val="22"/>
        </w:rPr>
        <w:t xml:space="preserve">, Sector Resolutions: WTDC </w:t>
      </w:r>
      <w:hyperlink r:id="rId278">
        <w:r w:rsidRPr="6537CB56">
          <w:rPr>
            <w:rStyle w:val="Hyperlink"/>
            <w:rFonts w:asciiTheme="minorHAnsi" w:eastAsia="MS Mincho" w:hAnsiTheme="minorHAnsi" w:cstheme="minorBidi"/>
            <w:color w:val="0563C1"/>
            <w:sz w:val="22"/>
            <w:szCs w:val="22"/>
          </w:rPr>
          <w:t>Resolution 30 (Rev. Baku, 2025)</w:t>
        </w:r>
      </w:hyperlink>
      <w:r w:rsidRPr="6537CB56">
        <w:rPr>
          <w:rFonts w:asciiTheme="minorHAnsi" w:eastAsia="MS Mincho" w:hAnsiTheme="minorHAnsi" w:cstheme="minorBidi"/>
          <w:sz w:val="22"/>
          <w:szCs w:val="22"/>
        </w:rPr>
        <w:t xml:space="preserve">, WTSA Resolution </w:t>
      </w:r>
      <w:hyperlink r:id="rId279">
        <w:r w:rsidRPr="6537CB56">
          <w:rPr>
            <w:rFonts w:asciiTheme="minorHAnsi" w:eastAsia="MS Mincho" w:hAnsiTheme="minorHAnsi" w:cstheme="minorBidi"/>
            <w:color w:val="0563C1"/>
            <w:sz w:val="22"/>
            <w:szCs w:val="22"/>
            <w:u w:val="single"/>
          </w:rPr>
          <w:t>75 (Rev. Geneva, 2022)</w:t>
        </w:r>
      </w:hyperlink>
      <w:r w:rsidRPr="6537CB56">
        <w:rPr>
          <w:rFonts w:asciiTheme="minorHAnsi" w:eastAsia="MS Mincho" w:hAnsiTheme="minorHAnsi" w:cstheme="minorBidi"/>
          <w:sz w:val="22"/>
          <w:szCs w:val="22"/>
        </w:rPr>
        <w:t xml:space="preserve">, and RA </w:t>
      </w:r>
      <w:r w:rsidRPr="6537CB56">
        <w:rPr>
          <w:rFonts w:asciiTheme="minorHAnsi" w:eastAsia="Calibri" w:hAnsiTheme="minorHAnsi" w:cstheme="minorBidi"/>
          <w:sz w:val="22"/>
          <w:szCs w:val="22"/>
        </w:rPr>
        <w:t xml:space="preserve">Resolution </w:t>
      </w:r>
      <w:hyperlink r:id="rId280">
        <w:r w:rsidRPr="6537CB56">
          <w:rPr>
            <w:rFonts w:asciiTheme="minorHAnsi" w:eastAsia="Calibri" w:hAnsiTheme="minorHAnsi" w:cstheme="minorBidi"/>
            <w:color w:val="0563C1"/>
            <w:sz w:val="22"/>
            <w:szCs w:val="22"/>
            <w:u w:val="single"/>
          </w:rPr>
          <w:t>ITU-R 61-3 (Rev. Dubai, 2023)</w:t>
        </w:r>
      </w:hyperlink>
      <w:r w:rsidRPr="6537CB56">
        <w:rPr>
          <w:rFonts w:asciiTheme="minorHAnsi" w:eastAsia="MS Mincho" w:hAnsiTheme="minorHAnsi" w:cstheme="minorBidi"/>
          <w:spacing w:val="-2"/>
          <w:sz w:val="22"/>
          <w:szCs w:val="22"/>
        </w:rPr>
        <w:t xml:space="preserve">, since PP-22, ITU has hosted three </w:t>
      </w:r>
      <w:hyperlink r:id="rId281" w:history="1">
        <w:r w:rsidRPr="6537CB56">
          <w:rPr>
            <w:rFonts w:asciiTheme="minorHAnsi" w:eastAsia="MS Mincho" w:hAnsiTheme="minorHAnsi" w:cstheme="minorBidi"/>
            <w:color w:val="0563C1"/>
            <w:spacing w:val="-2"/>
            <w:sz w:val="22"/>
            <w:szCs w:val="22"/>
            <w:u w:val="single"/>
          </w:rPr>
          <w:t>WSIS Forum</w:t>
        </w:r>
      </w:hyperlink>
      <w:r w:rsidRPr="6537CB56">
        <w:rPr>
          <w:rFonts w:asciiTheme="minorHAnsi" w:eastAsia="MS Mincho" w:hAnsiTheme="minorHAnsi" w:cstheme="minorBidi"/>
          <w:spacing w:val="-2"/>
          <w:sz w:val="22"/>
          <w:szCs w:val="22"/>
        </w:rPr>
        <w:t xml:space="preserve"> events, with the 2024 and 2025 editions held as WSIS+20 High-level Events, contributing towards the overall review, providing a global platform for dialogue and cooperation. The </w:t>
      </w:r>
      <w:hyperlink r:id="rId282" w:history="1">
        <w:r w:rsidRPr="6537CB56">
          <w:rPr>
            <w:rFonts w:asciiTheme="minorHAnsi" w:eastAsia="MS Mincho" w:hAnsiTheme="minorHAnsi" w:cstheme="minorBidi"/>
            <w:color w:val="0563C1"/>
            <w:spacing w:val="-2"/>
            <w:sz w:val="22"/>
            <w:szCs w:val="22"/>
            <w:u w:val="single"/>
          </w:rPr>
          <w:t>WSIS Stocktaking</w:t>
        </w:r>
      </w:hyperlink>
      <w:r w:rsidRPr="6537CB56">
        <w:rPr>
          <w:rFonts w:asciiTheme="minorHAnsi" w:eastAsia="MS Mincho" w:hAnsiTheme="minorHAnsi" w:cstheme="minorBidi"/>
          <w:spacing w:val="-2"/>
          <w:sz w:val="22"/>
          <w:szCs w:val="22"/>
        </w:rPr>
        <w:t xml:space="preserve"> platform now contains </w:t>
      </w:r>
      <w:r w:rsidRPr="00AE7FA7">
        <w:rPr>
          <w:rFonts w:asciiTheme="minorHAnsi" w:eastAsia="MS Mincho" w:hAnsiTheme="minorHAnsi" w:cstheme="minorBidi"/>
          <w:spacing w:val="-2"/>
          <w:sz w:val="22"/>
          <w:szCs w:val="22"/>
        </w:rPr>
        <w:t xml:space="preserve">more than </w:t>
      </w:r>
      <w:r w:rsidR="559DB7DB" w:rsidRPr="00AE7FA7">
        <w:rPr>
          <w:rFonts w:asciiTheme="minorHAnsi" w:eastAsia="MS Mincho" w:hAnsiTheme="minorHAnsi" w:cstheme="minorBidi"/>
          <w:spacing w:val="-2"/>
          <w:sz w:val="22"/>
          <w:szCs w:val="22"/>
        </w:rPr>
        <w:t>21</w:t>
      </w:r>
      <w:r w:rsidR="00FD50B4" w:rsidRPr="00AE7FA7">
        <w:rPr>
          <w:rFonts w:asciiTheme="minorHAnsi" w:eastAsia="MS Mincho" w:hAnsiTheme="minorHAnsi" w:cstheme="minorBidi"/>
          <w:spacing w:val="-2"/>
          <w:sz w:val="22"/>
          <w:szCs w:val="22"/>
        </w:rPr>
        <w:t> </w:t>
      </w:r>
      <w:r w:rsidRPr="00AE7FA7">
        <w:rPr>
          <w:rFonts w:asciiTheme="minorHAnsi" w:eastAsia="MS Mincho" w:hAnsiTheme="minorHAnsi" w:cstheme="minorBidi"/>
          <w:spacing w:val="-2"/>
          <w:sz w:val="22"/>
          <w:szCs w:val="22"/>
        </w:rPr>
        <w:t xml:space="preserve">000 </w:t>
      </w:r>
      <w:r w:rsidRPr="00AE7FA7">
        <w:rPr>
          <w:rFonts w:asciiTheme="minorHAnsi" w:eastAsia="MS Mincho" w:hAnsiTheme="minorHAnsi" w:cstheme="minorBidi"/>
          <w:i/>
          <w:iCs/>
          <w:spacing w:val="-2"/>
          <w:sz w:val="22"/>
          <w:szCs w:val="22"/>
        </w:rPr>
        <w:t>ICT for development</w:t>
      </w:r>
      <w:r w:rsidRPr="00AE7FA7">
        <w:rPr>
          <w:rFonts w:asciiTheme="minorHAnsi" w:eastAsia="MS Mincho" w:hAnsiTheme="minorHAnsi" w:cstheme="minorBidi"/>
          <w:spacing w:val="-2"/>
          <w:sz w:val="22"/>
          <w:szCs w:val="22"/>
        </w:rPr>
        <w:t xml:space="preserve"> projects, and the </w:t>
      </w:r>
      <w:hyperlink r:id="rId283" w:history="1">
        <w:r w:rsidRPr="00AE7FA7">
          <w:rPr>
            <w:rFonts w:asciiTheme="minorHAnsi" w:eastAsia="MS Mincho" w:hAnsiTheme="minorHAnsi" w:cstheme="minorBidi"/>
            <w:color w:val="0563C1"/>
            <w:spacing w:val="-2"/>
            <w:sz w:val="22"/>
            <w:szCs w:val="22"/>
            <w:u w:val="single"/>
          </w:rPr>
          <w:t>WSIS Prizes</w:t>
        </w:r>
      </w:hyperlink>
      <w:r w:rsidRPr="00AE7FA7">
        <w:rPr>
          <w:rFonts w:asciiTheme="minorHAnsi" w:eastAsia="MS Mincho" w:hAnsiTheme="minorHAnsi" w:cstheme="minorBidi"/>
          <w:spacing w:val="-2"/>
          <w:sz w:val="22"/>
          <w:szCs w:val="22"/>
        </w:rPr>
        <w:t xml:space="preserve"> continue to highlight impactful digital initiatives, with more than 3</w:t>
      </w:r>
      <w:r w:rsidR="00FD50B4" w:rsidRPr="00AE7FA7">
        <w:rPr>
          <w:rFonts w:asciiTheme="minorHAnsi" w:eastAsia="MS Mincho" w:hAnsiTheme="minorHAnsi" w:cstheme="minorBidi"/>
          <w:spacing w:val="-2"/>
          <w:sz w:val="22"/>
          <w:szCs w:val="22"/>
        </w:rPr>
        <w:t> </w:t>
      </w:r>
      <w:r w:rsidRPr="00AE7FA7">
        <w:rPr>
          <w:rFonts w:asciiTheme="minorHAnsi" w:eastAsia="MS Mincho" w:hAnsiTheme="minorHAnsi" w:cstheme="minorBidi"/>
          <w:spacing w:val="-2"/>
          <w:sz w:val="22"/>
          <w:szCs w:val="22"/>
        </w:rPr>
        <w:t xml:space="preserve">000 submissions received in the past three years. </w:t>
      </w:r>
    </w:p>
    <w:p w14:paraId="53EAC29B" w14:textId="20788715" w:rsidR="0062595A" w:rsidRPr="0062595A" w:rsidRDefault="0062595A" w:rsidP="00C5530E">
      <w:pPr>
        <w:suppressAutoHyphens/>
        <w:adjustRightInd/>
        <w:spacing w:after="120"/>
        <w:jc w:val="both"/>
        <w:rPr>
          <w:rFonts w:eastAsia="MS Mincho"/>
          <w:sz w:val="22"/>
        </w:rPr>
      </w:pPr>
      <w:r w:rsidRPr="00AE7FA7">
        <w:rPr>
          <w:rFonts w:asciiTheme="minorHAnsi" w:eastAsia="MS Mincho" w:hAnsiTheme="minorHAnsi" w:cstheme="minorHAnsi"/>
          <w:spacing w:val="-2"/>
          <w:sz w:val="22"/>
          <w:szCs w:val="22"/>
        </w:rPr>
        <w:t>Full details on ITU’s implementation of the WSIS process and the</w:t>
      </w:r>
      <w:r w:rsidRPr="00CB4EBA">
        <w:rPr>
          <w:rFonts w:asciiTheme="minorHAnsi" w:eastAsia="MS Mincho" w:hAnsiTheme="minorHAnsi" w:cstheme="minorHAnsi"/>
          <w:spacing w:val="-2"/>
          <w:sz w:val="22"/>
          <w:szCs w:val="22"/>
        </w:rPr>
        <w:t xml:space="preserve"> </w:t>
      </w:r>
      <w:r w:rsidRPr="00CB4EBA">
        <w:rPr>
          <w:rFonts w:asciiTheme="minorHAnsi" w:eastAsia="MS Mincho" w:hAnsiTheme="minorHAnsi" w:cstheme="minorHAnsi"/>
          <w:spacing w:val="-2"/>
          <w:sz w:val="22"/>
          <w:szCs w:val="22"/>
        </w:rPr>
        <w:t>2030 Agenda for Sustainable Development (through the WSIS architecture) since PP</w:t>
      </w:r>
      <w:r w:rsidRPr="00CB4EBA">
        <w:rPr>
          <w:rFonts w:asciiTheme="minorHAnsi" w:eastAsia="MS Mincho" w:hAnsiTheme="minorHAnsi" w:cstheme="minorHAnsi"/>
          <w:spacing w:val="-2"/>
          <w:sz w:val="22"/>
          <w:szCs w:val="22"/>
        </w:rPr>
        <w:noBreakHyphen/>
        <w:t xml:space="preserve">22 are listed in the </w:t>
      </w:r>
      <w:hyperlink r:id="rId284" w:history="1">
        <w:r w:rsidRPr="00CB4EBA">
          <w:rPr>
            <w:rStyle w:val="Hyperlink"/>
            <w:rFonts w:asciiTheme="minorHAnsi" w:eastAsia="MS Mincho" w:hAnsiTheme="minorHAnsi" w:cstheme="minorHAnsi"/>
            <w:color w:val="0563C1"/>
            <w:spacing w:val="-2"/>
            <w:sz w:val="22"/>
            <w:szCs w:val="22"/>
          </w:rPr>
          <w:t xml:space="preserve">Final and Comprehensive Report on the ITU Activities for WSIS Implementation and the 2030 Sustainable Development Agenda </w:t>
        </w:r>
        <w:r w:rsidRPr="00CB4EBA">
          <w:rPr>
            <w:rStyle w:val="Hyperlink"/>
            <w:rFonts w:asciiTheme="minorHAnsi" w:eastAsia="MS Mincho" w:hAnsiTheme="minorHAnsi" w:cstheme="minorHAnsi"/>
            <w:color w:val="0563C1"/>
            <w:spacing w:val="-2"/>
            <w:sz w:val="22"/>
            <w:szCs w:val="22"/>
          </w:rPr>
          <w:lastRenderedPageBreak/>
          <w:t>Together with Proposals for Further Activities</w:t>
        </w:r>
      </w:hyperlink>
      <w:r w:rsidRPr="00CB4EBA">
        <w:rPr>
          <w:rFonts w:asciiTheme="minorHAnsi" w:eastAsia="MS Mincho" w:hAnsiTheme="minorHAnsi" w:cstheme="minorHAnsi"/>
          <w:spacing w:val="-2"/>
          <w:sz w:val="22"/>
          <w:szCs w:val="22"/>
        </w:rPr>
        <w:t xml:space="preserve">. Finally, the </w:t>
      </w:r>
      <w:hyperlink r:id="rId285" w:history="1">
        <w:r w:rsidRPr="00CB4EBA">
          <w:rPr>
            <w:rFonts w:asciiTheme="minorHAnsi" w:eastAsia="MS Mincho" w:hAnsiTheme="minorHAnsi" w:cstheme="minorHAnsi"/>
            <w:color w:val="0563C1"/>
            <w:spacing w:val="-2"/>
            <w:sz w:val="22"/>
            <w:szCs w:val="22"/>
            <w:u w:val="single"/>
          </w:rPr>
          <w:t>Annual reports on ITU’s contribution to the implementation of the WSIS outcomes</w:t>
        </w:r>
      </w:hyperlink>
      <w:r w:rsidRPr="00CB4EBA">
        <w:rPr>
          <w:rFonts w:asciiTheme="minorHAnsi" w:eastAsia="MS Mincho" w:hAnsiTheme="minorHAnsi" w:cstheme="minorHAnsi"/>
          <w:b/>
          <w:bCs/>
          <w:spacing w:val="-2"/>
          <w:sz w:val="22"/>
          <w:szCs w:val="22"/>
        </w:rPr>
        <w:t xml:space="preserve"> </w:t>
      </w:r>
      <w:r w:rsidRPr="00CB4EBA">
        <w:rPr>
          <w:rFonts w:asciiTheme="minorHAnsi" w:eastAsia="MS Mincho" w:hAnsiTheme="minorHAnsi" w:cstheme="minorHAnsi"/>
          <w:spacing w:val="-2"/>
          <w:sz w:val="22"/>
          <w:szCs w:val="22"/>
        </w:rPr>
        <w:t>focus on key WSIS-related initiatives and activities across ITU’s three sectors —Standardization, Radiocommunication, and Development— as well as the General Secretariat, outlining operational and policy-level progress in fulfilling ITU’s WSIS-related mandates.</w:t>
      </w:r>
    </w:p>
    <w:p w14:paraId="703897A9" w14:textId="77777777" w:rsidR="0062595A" w:rsidRPr="0062595A" w:rsidRDefault="0062595A" w:rsidP="00C5530E">
      <w:pPr>
        <w:suppressAutoHyphens/>
        <w:adjustRightInd/>
        <w:spacing w:before="240" w:after="120"/>
        <w:jc w:val="both"/>
        <w:rPr>
          <w:rFonts w:eastAsia="Calibri" w:cs="Calibri"/>
          <w:b/>
          <w:sz w:val="22"/>
          <w:szCs w:val="22"/>
        </w:rPr>
      </w:pPr>
      <w:r w:rsidRPr="0062595A">
        <w:rPr>
          <w:rFonts w:eastAsia="Calibri" w:cs="Calibri"/>
          <w:b/>
          <w:sz w:val="22"/>
          <w:szCs w:val="22"/>
        </w:rPr>
        <w:t>WSIS Forum</w:t>
      </w:r>
    </w:p>
    <w:p w14:paraId="461F290D" w14:textId="0AC2F1D2" w:rsidR="0062595A" w:rsidRPr="0062595A" w:rsidRDefault="0062595A" w:rsidP="00C5530E">
      <w:pPr>
        <w:suppressAutoHyphens/>
        <w:adjustRightInd/>
        <w:spacing w:after="120"/>
        <w:jc w:val="both"/>
        <w:rPr>
          <w:rFonts w:eastAsia="MS Mincho"/>
          <w:sz w:val="22"/>
        </w:rPr>
      </w:pPr>
      <w:r w:rsidRPr="0062595A">
        <w:rPr>
          <w:rFonts w:eastAsia="Calibri" w:cs="Calibri"/>
          <w:sz w:val="22"/>
          <w:szCs w:val="22"/>
        </w:rPr>
        <w:t xml:space="preserve">The </w:t>
      </w:r>
      <w:hyperlink r:id="rId286" w:history="1">
        <w:r w:rsidRPr="0062595A">
          <w:rPr>
            <w:rFonts w:eastAsia="Calibri" w:cs="Calibri"/>
            <w:color w:val="0563C1"/>
            <w:sz w:val="22"/>
            <w:szCs w:val="22"/>
            <w:u w:val="single"/>
          </w:rPr>
          <w:t>WSIS Forum</w:t>
        </w:r>
      </w:hyperlink>
      <w:r w:rsidRPr="0062595A">
        <w:rPr>
          <w:rFonts w:eastAsia="Calibri" w:cs="Calibri"/>
          <w:sz w:val="22"/>
          <w:szCs w:val="22"/>
        </w:rPr>
        <w:t xml:space="preserve"> hosted by ITU (co-hosted with Switzerland in 2024 and 2025) and co-organized with UNESCO, UNDP, and UNCTAD in collaboration with over 50 UN partners, is a leading global platform for advancing inclusive digital development and reviewing progress on WSIS Action Lines. Through capacity-building, partnerships, and knowledge exchange, it has engaged over 50</w:t>
      </w:r>
      <w:r w:rsidR="00FD50B4">
        <w:rPr>
          <w:rFonts w:eastAsia="Calibri" w:cs="Calibri"/>
          <w:sz w:val="22"/>
          <w:szCs w:val="22"/>
        </w:rPr>
        <w:t> </w:t>
      </w:r>
      <w:r w:rsidRPr="0062595A">
        <w:rPr>
          <w:rFonts w:eastAsia="Calibri" w:cs="Calibri"/>
          <w:sz w:val="22"/>
          <w:szCs w:val="22"/>
        </w:rPr>
        <w:t>000 stakeholders from 160+ countries, shaping a shared vision and actionable roadmap for digital development and emerging technologies. The WSIS Forum 2023 focused on “</w:t>
      </w:r>
      <w:hyperlink r:id="rId287" w:history="1">
        <w:r w:rsidRPr="0062595A">
          <w:rPr>
            <w:rFonts w:eastAsia="Calibri" w:cs="Calibri"/>
            <w:color w:val="0563C1"/>
            <w:sz w:val="22"/>
            <w:szCs w:val="22"/>
            <w:u w:val="single"/>
          </w:rPr>
          <w:t>WSIS Action Lines for building back better and accelerating the achievement of the SDGs</w:t>
        </w:r>
      </w:hyperlink>
      <w:r w:rsidRPr="0062595A">
        <w:rPr>
          <w:rFonts w:eastAsia="Calibri" w:cs="Calibri"/>
          <w:sz w:val="22"/>
          <w:szCs w:val="22"/>
        </w:rPr>
        <w:t xml:space="preserve">”, </w:t>
      </w:r>
      <w:hyperlink r:id="rId288" w:history="1">
        <w:r w:rsidRPr="0062595A">
          <w:rPr>
            <w:rFonts w:eastAsia="Calibri" w:cs="Calibri"/>
            <w:color w:val="0563C1"/>
            <w:sz w:val="22"/>
            <w:szCs w:val="22"/>
            <w:u w:val="single"/>
          </w:rPr>
          <w:t>WSIS+20 Forum High-Level Event 2024</w:t>
        </w:r>
      </w:hyperlink>
      <w:r w:rsidRPr="0062595A">
        <w:rPr>
          <w:rFonts w:eastAsia="Calibri" w:cs="Calibri"/>
          <w:sz w:val="22"/>
          <w:szCs w:val="22"/>
        </w:rPr>
        <w:t xml:space="preserve"> reviewed two decades of progress, and </w:t>
      </w:r>
      <w:hyperlink r:id="rId289" w:history="1">
        <w:r w:rsidRPr="0062595A">
          <w:rPr>
            <w:rFonts w:eastAsia="Calibri" w:cs="Calibri"/>
            <w:color w:val="0563C1"/>
            <w:sz w:val="22"/>
            <w:szCs w:val="22"/>
            <w:u w:val="single"/>
          </w:rPr>
          <w:t>WSIS+20 High-Level Event 2025</w:t>
        </w:r>
      </w:hyperlink>
      <w:r w:rsidRPr="0062595A">
        <w:rPr>
          <w:rFonts w:eastAsia="Calibri" w:cs="Calibri"/>
          <w:sz w:val="22"/>
          <w:szCs w:val="22"/>
        </w:rPr>
        <w:t xml:space="preserve"> reaffirmed WSIS’s role in shaping global digital cooperation and laid the groundwork for the UN General Assembly’s WSIS+20 review.</w:t>
      </w:r>
    </w:p>
    <w:p w14:paraId="3476BEE6" w14:textId="77777777" w:rsidR="0062595A" w:rsidRPr="0062595A" w:rsidRDefault="0062595A" w:rsidP="00C5530E">
      <w:pPr>
        <w:suppressAutoHyphens/>
        <w:adjustRightInd/>
        <w:spacing w:before="240" w:after="120"/>
        <w:jc w:val="both"/>
        <w:rPr>
          <w:rFonts w:eastAsia="Calibri" w:cs="Calibri"/>
          <w:b/>
          <w:bCs/>
          <w:sz w:val="22"/>
          <w:szCs w:val="22"/>
        </w:rPr>
      </w:pPr>
      <w:r w:rsidRPr="0062595A">
        <w:rPr>
          <w:rFonts w:eastAsia="Calibri" w:cs="Calibri"/>
          <w:b/>
          <w:bCs/>
          <w:sz w:val="22"/>
          <w:szCs w:val="22"/>
        </w:rPr>
        <w:t>ITU’s contribution to the WSIS+20 review process</w:t>
      </w:r>
    </w:p>
    <w:p w14:paraId="4A865BF7" w14:textId="4AB30D4D" w:rsidR="0062595A" w:rsidRPr="0062595A" w:rsidRDefault="0062595A" w:rsidP="00C5530E">
      <w:pPr>
        <w:suppressAutoHyphens/>
        <w:adjustRightInd/>
        <w:spacing w:after="120"/>
        <w:jc w:val="both"/>
        <w:rPr>
          <w:rFonts w:eastAsia="MS Mincho"/>
          <w:sz w:val="22"/>
        </w:rPr>
      </w:pPr>
      <w:r w:rsidRPr="0062595A">
        <w:rPr>
          <w:rFonts w:eastAsia="Calibri" w:cs="Calibri"/>
          <w:bCs/>
          <w:sz w:val="22"/>
          <w:szCs w:val="22"/>
        </w:rPr>
        <w:t xml:space="preserve">As the UN agency for digital technologies and a founding institution of the WSIS process, ITU played a central role throughout the WSIS+20 Review process. ITU actively contributed to and supported the preparatory process led by the UN General Assembly (UNGA), including engagement with the WSIS+20 co-facilitators, participation in consultative meetings, and the provision of substantive input to the WSIS+20 outcome document, as documented </w:t>
      </w:r>
      <w:hyperlink r:id="rId290" w:history="1">
        <w:r w:rsidRPr="0062595A">
          <w:rPr>
            <w:rFonts w:eastAsia="Calibri" w:cs="Calibri"/>
            <w:bCs/>
            <w:color w:val="0563C1"/>
            <w:sz w:val="22"/>
            <w:szCs w:val="22"/>
            <w:u w:val="single"/>
          </w:rPr>
          <w:t>here</w:t>
        </w:r>
      </w:hyperlink>
      <w:r w:rsidRPr="0062595A">
        <w:rPr>
          <w:rFonts w:eastAsia="Calibri" w:cs="Calibri"/>
          <w:bCs/>
          <w:sz w:val="22"/>
          <w:szCs w:val="22"/>
        </w:rPr>
        <w:t xml:space="preserve"> on the WSIS+20 Secretariat dedicated page. ITU was guided by the ITU Secretary-General’s </w:t>
      </w:r>
      <w:hyperlink r:id="rId291" w:history="1">
        <w:r w:rsidRPr="00CB4EBA">
          <w:rPr>
            <w:rStyle w:val="Hyperlink"/>
            <w:rFonts w:eastAsia="Calibri" w:cs="Calibri"/>
            <w:bCs/>
            <w:i/>
            <w:iCs/>
            <w:color w:val="0563C1"/>
            <w:sz w:val="22"/>
            <w:szCs w:val="22"/>
          </w:rPr>
          <w:t>WSIS+20 Roadmap</w:t>
        </w:r>
      </w:hyperlink>
      <w:r w:rsidRPr="0062595A">
        <w:rPr>
          <w:rFonts w:eastAsia="Calibri" w:cs="Calibri"/>
          <w:bCs/>
          <w:sz w:val="22"/>
          <w:szCs w:val="22"/>
        </w:rPr>
        <w:t xml:space="preserve">, which elaborates the strategic direction for ITU’s role in the WSIS+20 Review process and its preparatory activities. The Secretary-General prepared and submitted to UNGA-led WSIS+20 Review, the </w:t>
      </w:r>
      <w:hyperlink r:id="rId292" w:history="1">
        <w:r w:rsidRPr="0062595A">
          <w:rPr>
            <w:rFonts w:eastAsia="Calibri" w:cs="Calibri"/>
            <w:bCs/>
            <w:color w:val="0563C1"/>
            <w:sz w:val="22"/>
            <w:szCs w:val="22"/>
            <w:u w:val="single"/>
          </w:rPr>
          <w:t>WSIS+20 Report: “Building a Digital Future for All”</w:t>
        </w:r>
      </w:hyperlink>
      <w:r w:rsidRPr="0062595A">
        <w:rPr>
          <w:rFonts w:eastAsia="Calibri" w:cs="Calibri"/>
          <w:bCs/>
          <w:sz w:val="22"/>
          <w:szCs w:val="22"/>
        </w:rPr>
        <w:t xml:space="preserve">, documenting two decades of WSIS implementation and ITU’s contributions across policy, technical assistance, capacity development, data, and partnerships. </w:t>
      </w:r>
    </w:p>
    <w:p w14:paraId="1F82E77A" w14:textId="77777777" w:rsidR="0062595A" w:rsidRPr="0062595A" w:rsidRDefault="0062595A" w:rsidP="00C5530E">
      <w:pPr>
        <w:suppressAutoHyphens/>
        <w:adjustRightInd/>
        <w:spacing w:after="120"/>
        <w:jc w:val="both"/>
        <w:rPr>
          <w:rFonts w:eastAsia="MS Mincho"/>
          <w:sz w:val="22"/>
        </w:rPr>
      </w:pPr>
      <w:r w:rsidRPr="0062595A">
        <w:rPr>
          <w:rFonts w:eastAsia="Calibri" w:cs="Calibri"/>
          <w:bCs/>
          <w:sz w:val="22"/>
          <w:szCs w:val="22"/>
        </w:rPr>
        <w:t xml:space="preserve">The summary of ITU’s </w:t>
      </w:r>
      <w:hyperlink r:id="rId293" w:history="1">
        <w:r w:rsidRPr="0062595A">
          <w:rPr>
            <w:rFonts w:eastAsia="Calibri" w:cs="Calibri"/>
            <w:bCs/>
            <w:color w:val="0563C1"/>
            <w:sz w:val="22"/>
            <w:szCs w:val="22"/>
            <w:u w:val="single"/>
          </w:rPr>
          <w:t>Call for Inputs on the WSIS+20 Review</w:t>
        </w:r>
      </w:hyperlink>
      <w:r w:rsidRPr="0062595A">
        <w:rPr>
          <w:rFonts w:eastAsia="Calibri" w:cs="Calibri"/>
          <w:bCs/>
          <w:sz w:val="22"/>
          <w:szCs w:val="22"/>
        </w:rPr>
        <w:t xml:space="preserve">, coordinated through the Council Working Group on WSIS and SDGs (CWG-WSIS&amp;SDG), was transmitted by the CWG-WSIS&amp;SDG Chair to the UNGA-led WSIS+20 Review, ensuring that diverse perspectives from governments and stakeholders were reflected and contributed to the overall process. For more detailed information on the outcome of the WSIS+20 review by UNGA and ITU’s contribution to the review process and its follow-up outcomes, read the </w:t>
      </w:r>
      <w:hyperlink r:id="rId294" w:history="1">
        <w:r w:rsidRPr="0062595A">
          <w:rPr>
            <w:rFonts w:eastAsia="Calibri" w:cs="Calibri"/>
            <w:bCs/>
            <w:color w:val="0563C1"/>
            <w:sz w:val="22"/>
            <w:szCs w:val="22"/>
            <w:u w:val="single"/>
          </w:rPr>
          <w:t>Report on the United Nations General Assembly on the overall review of the implementation of the outcomes of the World Summit on the Information Society</w:t>
        </w:r>
      </w:hyperlink>
      <w:r w:rsidRPr="0062595A">
        <w:rPr>
          <w:rFonts w:eastAsia="Calibri" w:cs="Calibri"/>
          <w:bCs/>
          <w:sz w:val="22"/>
          <w:szCs w:val="22"/>
        </w:rPr>
        <w:t>.</w:t>
      </w:r>
    </w:p>
    <w:p w14:paraId="7BF6F780" w14:textId="77777777" w:rsidR="0062595A" w:rsidRPr="0062595A" w:rsidRDefault="0062595A" w:rsidP="00C5530E">
      <w:pPr>
        <w:suppressAutoHyphens/>
        <w:adjustRightInd/>
        <w:spacing w:before="240" w:after="120"/>
        <w:jc w:val="both"/>
        <w:rPr>
          <w:rFonts w:eastAsia="MS Mincho"/>
          <w:sz w:val="22"/>
        </w:rPr>
      </w:pPr>
      <w:r w:rsidRPr="0062595A">
        <w:rPr>
          <w:rFonts w:eastAsia="Calibri" w:cs="Calibri"/>
          <w:b/>
          <w:sz w:val="22"/>
          <w:szCs w:val="22"/>
        </w:rPr>
        <w:t>United Nations Group on the Information Society</w:t>
      </w:r>
      <w:r w:rsidRPr="0062595A">
        <w:rPr>
          <w:rFonts w:eastAsia="MS Mincho"/>
          <w:b/>
          <w:bCs/>
          <w:sz w:val="22"/>
        </w:rPr>
        <w:t xml:space="preserve"> </w:t>
      </w:r>
    </w:p>
    <w:p w14:paraId="4C81F4F1" w14:textId="77777777" w:rsidR="0062595A" w:rsidRPr="0062595A" w:rsidRDefault="0062595A" w:rsidP="00C5530E">
      <w:pPr>
        <w:suppressAutoHyphens/>
        <w:adjustRightInd/>
        <w:spacing w:after="120"/>
        <w:jc w:val="both"/>
        <w:textAlignment w:val="auto"/>
        <w:rPr>
          <w:rFonts w:eastAsia="MS Mincho"/>
          <w:sz w:val="22"/>
        </w:rPr>
      </w:pPr>
      <w:r w:rsidRPr="0062595A">
        <w:rPr>
          <w:rFonts w:eastAsia="MS Mincho"/>
          <w:sz w:val="22"/>
          <w:szCs w:val="18"/>
        </w:rPr>
        <w:t xml:space="preserve">ITU, as permanent Secretariat for the </w:t>
      </w:r>
      <w:hyperlink r:id="rId295" w:history="1">
        <w:r w:rsidRPr="0062595A">
          <w:rPr>
            <w:rFonts w:eastAsia="MS Mincho"/>
            <w:color w:val="0563C1"/>
            <w:sz w:val="22"/>
            <w:szCs w:val="18"/>
            <w:u w:val="single"/>
          </w:rPr>
          <w:t>United Nations Group on the Information Society (UNGIS)</w:t>
        </w:r>
      </w:hyperlink>
      <w:r w:rsidRPr="0062595A">
        <w:rPr>
          <w:rFonts w:eastAsia="MS Mincho"/>
          <w:sz w:val="22"/>
          <w:szCs w:val="18"/>
        </w:rPr>
        <w:t xml:space="preserve"> with a rotational role of Chair and Vice-Chair, drives coordination, leadership, and strategic direction for digital cooperation across the UN system. UNGIS, the UN system’s inter-agency mechanism for advancing policy coherence and programme coordination on digital matters, comprises 31 UN entities and 17 observers. Since the adoption of the Global Digital Compact (GDC) in 2024, the group has led implementation via the </w:t>
      </w:r>
      <w:hyperlink r:id="rId296" w:history="1">
        <w:r w:rsidRPr="0062595A">
          <w:rPr>
            <w:rFonts w:eastAsia="MS Mincho"/>
            <w:color w:val="0563C1"/>
            <w:sz w:val="22"/>
            <w:szCs w:val="18"/>
            <w:u w:val="single"/>
          </w:rPr>
          <w:t>WSIS Process and 2030 Agenda – GDC Matrix</w:t>
        </w:r>
      </w:hyperlink>
      <w:r w:rsidRPr="0062595A">
        <w:rPr>
          <w:rFonts w:eastAsia="MS Mincho"/>
          <w:sz w:val="22"/>
          <w:szCs w:val="18"/>
        </w:rPr>
        <w:t xml:space="preserve"> while contributing to major digital and development events, including the WSIS+20 review, the High-Level Political Forum (HLPF) IGF, and others. </w:t>
      </w:r>
    </w:p>
    <w:p w14:paraId="309E9CBD" w14:textId="77777777" w:rsidR="0062595A" w:rsidRPr="0062595A" w:rsidRDefault="0062595A" w:rsidP="00C5530E">
      <w:pPr>
        <w:keepNext/>
        <w:keepLines/>
        <w:suppressAutoHyphens/>
        <w:adjustRightInd/>
        <w:spacing w:before="240" w:after="120"/>
        <w:jc w:val="both"/>
        <w:rPr>
          <w:rFonts w:eastAsia="Calibri" w:cs="Calibri"/>
          <w:b/>
          <w:sz w:val="22"/>
          <w:szCs w:val="22"/>
        </w:rPr>
      </w:pPr>
      <w:r w:rsidRPr="0062595A">
        <w:rPr>
          <w:rFonts w:eastAsia="Calibri" w:cs="Calibri"/>
          <w:b/>
          <w:sz w:val="22"/>
          <w:szCs w:val="22"/>
        </w:rPr>
        <w:lastRenderedPageBreak/>
        <w:t>Ongoing activities</w:t>
      </w:r>
    </w:p>
    <w:p w14:paraId="4FEFDAAC" w14:textId="29022202" w:rsidR="0062595A" w:rsidRPr="00AE7FA7" w:rsidRDefault="0062595A" w:rsidP="00C5530E">
      <w:pPr>
        <w:keepNext/>
        <w:keepLines/>
        <w:suppressAutoHyphens/>
        <w:adjustRightInd/>
        <w:spacing w:after="120"/>
        <w:jc w:val="both"/>
        <w:rPr>
          <w:rFonts w:eastAsia="MS Mincho"/>
          <w:sz w:val="22"/>
          <w:szCs w:val="22"/>
        </w:rPr>
      </w:pPr>
      <w:r w:rsidRPr="00AE7FA7">
        <w:rPr>
          <w:rFonts w:eastAsia="Calibri" w:cs="Calibri"/>
          <w:sz w:val="22"/>
          <w:szCs w:val="22"/>
        </w:rPr>
        <w:t xml:space="preserve">ITU maintains and enhances the </w:t>
      </w:r>
      <w:hyperlink r:id="rId297">
        <w:r w:rsidRPr="00AE7FA7">
          <w:rPr>
            <w:rFonts w:eastAsia="Calibri" w:cs="Calibri"/>
            <w:color w:val="0563C1"/>
            <w:sz w:val="22"/>
            <w:szCs w:val="22"/>
            <w:u w:val="single"/>
          </w:rPr>
          <w:t>WSIS Stocktaking</w:t>
        </w:r>
      </w:hyperlink>
      <w:r w:rsidRPr="00AE7FA7">
        <w:rPr>
          <w:rFonts w:eastAsia="Calibri" w:cs="Calibri"/>
          <w:b/>
          <w:bCs/>
          <w:sz w:val="22"/>
          <w:szCs w:val="22"/>
        </w:rPr>
        <w:t xml:space="preserve"> </w:t>
      </w:r>
      <w:r w:rsidRPr="00AE7FA7">
        <w:rPr>
          <w:rFonts w:eastAsia="Calibri" w:cs="Calibri"/>
          <w:sz w:val="22"/>
          <w:szCs w:val="22"/>
        </w:rPr>
        <w:t xml:space="preserve">database, a global repository of over </w:t>
      </w:r>
      <w:r w:rsidR="331885E1" w:rsidRPr="00AE7FA7">
        <w:rPr>
          <w:rFonts w:eastAsia="Calibri" w:cs="Calibri"/>
          <w:sz w:val="22"/>
          <w:szCs w:val="22"/>
        </w:rPr>
        <w:t>21</w:t>
      </w:r>
      <w:r w:rsidR="00FD50B4" w:rsidRPr="00AE7FA7">
        <w:rPr>
          <w:rFonts w:eastAsia="Calibri" w:cs="Calibri"/>
          <w:sz w:val="22"/>
          <w:szCs w:val="22"/>
        </w:rPr>
        <w:t> </w:t>
      </w:r>
      <w:r w:rsidRPr="00AE7FA7">
        <w:rPr>
          <w:rFonts w:eastAsia="Calibri" w:cs="Calibri"/>
          <w:sz w:val="22"/>
          <w:szCs w:val="22"/>
        </w:rPr>
        <w:t xml:space="preserve">000 ICT-related initiatives aligned with WSIS Action Lines, the SDGs, and the Global Digital Compact, serving as a critical tool for transparency, knowledge sharing, evidence-based policy, and innovation, while encouraging stakeholders to contribute, update, and support the development of analytical tools that generate strategic insights. Its role, including the WSIS Prizes, is outlined in the </w:t>
      </w:r>
      <w:hyperlink r:id="rId298">
        <w:r w:rsidRPr="00AE7FA7">
          <w:rPr>
            <w:rFonts w:eastAsia="Calibri" w:cs="Calibri"/>
            <w:color w:val="0563C1"/>
            <w:sz w:val="22"/>
            <w:szCs w:val="22"/>
            <w:u w:val="single"/>
          </w:rPr>
          <w:t>ECOSOC Resolution E/RES/2025/18</w:t>
        </w:r>
      </w:hyperlink>
      <w:r w:rsidRPr="00AE7FA7">
        <w:rPr>
          <w:rFonts w:eastAsia="Calibri" w:cs="Calibri"/>
          <w:sz w:val="22"/>
          <w:szCs w:val="22"/>
        </w:rPr>
        <w:t xml:space="preserve">. </w:t>
      </w:r>
    </w:p>
    <w:p w14:paraId="3FA4D46C" w14:textId="391EB32C" w:rsidR="0062595A" w:rsidRPr="00AE7FA7" w:rsidRDefault="0062595A" w:rsidP="00C5530E">
      <w:pPr>
        <w:suppressAutoHyphens/>
        <w:adjustRightInd/>
        <w:spacing w:after="120"/>
        <w:jc w:val="both"/>
        <w:rPr>
          <w:rFonts w:eastAsia="MS Mincho"/>
          <w:sz w:val="22"/>
          <w:szCs w:val="22"/>
        </w:rPr>
      </w:pPr>
      <w:r w:rsidRPr="00AE7FA7">
        <w:rPr>
          <w:rFonts w:eastAsia="Calibri" w:cs="Calibri"/>
          <w:sz w:val="22"/>
          <w:szCs w:val="22"/>
        </w:rPr>
        <w:t xml:space="preserve">Since 2012, ITU has organized the </w:t>
      </w:r>
      <w:hyperlink r:id="rId299" w:history="1">
        <w:r w:rsidRPr="00AE7FA7">
          <w:rPr>
            <w:rFonts w:eastAsia="Calibri" w:cs="Calibri"/>
            <w:color w:val="0563C1"/>
            <w:sz w:val="22"/>
            <w:szCs w:val="22"/>
            <w:u w:val="single"/>
          </w:rPr>
          <w:t>WSIS Prizes</w:t>
        </w:r>
      </w:hyperlink>
      <w:r w:rsidRPr="00AE7FA7">
        <w:rPr>
          <w:rFonts w:eastAsia="Calibri" w:cs="Calibri"/>
          <w:sz w:val="22"/>
          <w:szCs w:val="22"/>
        </w:rPr>
        <w:t>, the world’s most anticipated contest celebrating best practices in digital-for-development, recognizing excellence and innovation in over 9</w:t>
      </w:r>
      <w:r w:rsidR="00FD50B4" w:rsidRPr="00AE7FA7">
        <w:rPr>
          <w:rFonts w:eastAsia="Calibri" w:cs="Calibri"/>
          <w:sz w:val="22"/>
          <w:szCs w:val="22"/>
        </w:rPr>
        <w:t> </w:t>
      </w:r>
      <w:r w:rsidRPr="00AE7FA7">
        <w:rPr>
          <w:rFonts w:eastAsia="Calibri" w:cs="Calibri"/>
          <w:sz w:val="22"/>
          <w:szCs w:val="22"/>
        </w:rPr>
        <w:t xml:space="preserve">000 projects, with 252 winners and 720 champions to date, engaging hundreds of thousands of stakeholders and reaching millions; the 2023-2025 winners are available online. </w:t>
      </w:r>
    </w:p>
    <w:p w14:paraId="31760834" w14:textId="77777777" w:rsidR="0062595A" w:rsidRPr="00AE7FA7" w:rsidRDefault="0062595A" w:rsidP="00C5530E">
      <w:pPr>
        <w:suppressAutoHyphens/>
        <w:adjustRightInd/>
        <w:spacing w:after="120"/>
        <w:jc w:val="both"/>
        <w:rPr>
          <w:rFonts w:eastAsia="MS Mincho"/>
          <w:sz w:val="22"/>
          <w:szCs w:val="22"/>
        </w:rPr>
      </w:pPr>
      <w:r w:rsidRPr="00AE7FA7">
        <w:rPr>
          <w:rFonts w:eastAsia="Calibri" w:cs="Calibri"/>
          <w:sz w:val="22"/>
          <w:szCs w:val="22"/>
        </w:rPr>
        <w:t xml:space="preserve">Since 2011, ITU has coordinated the </w:t>
      </w:r>
      <w:hyperlink r:id="rId300" w:history="1">
        <w:r w:rsidRPr="00AE7FA7">
          <w:rPr>
            <w:rFonts w:eastAsia="Calibri" w:cs="Calibri"/>
            <w:color w:val="0563C1"/>
            <w:sz w:val="22"/>
            <w:szCs w:val="22"/>
            <w:u w:val="single"/>
          </w:rPr>
          <w:t>WSIS Fund in Trust</w:t>
        </w:r>
      </w:hyperlink>
      <w:r w:rsidRPr="00AE7FA7">
        <w:rPr>
          <w:rFonts w:eastAsia="Calibri" w:cs="Calibri"/>
          <w:sz w:val="22"/>
          <w:szCs w:val="22"/>
        </w:rPr>
        <w:t>, established by PP Resolution 140, to support WSIS implementation. In line with Council Resolutions 1332 and 1334, all members and stakeholders are encouraged to contribute voluntarily, with partners of the WSIS Forum 2023 and WSIS+20 High-Level Events 2024-2025 acknowledged for their support.</w:t>
      </w:r>
    </w:p>
    <w:p w14:paraId="18258BFC" w14:textId="77777777" w:rsidR="0062595A" w:rsidRPr="0062595A" w:rsidRDefault="0062595A" w:rsidP="00C5530E">
      <w:pPr>
        <w:suppressAutoHyphens/>
        <w:adjustRightInd/>
        <w:spacing w:after="120"/>
        <w:jc w:val="both"/>
        <w:rPr>
          <w:rFonts w:eastAsia="MS Mincho"/>
          <w:sz w:val="22"/>
        </w:rPr>
      </w:pPr>
      <w:r w:rsidRPr="00AE7FA7">
        <w:rPr>
          <w:rFonts w:eastAsia="Calibri" w:cs="Calibri"/>
          <w:sz w:val="22"/>
          <w:szCs w:val="22"/>
        </w:rPr>
        <w:t xml:space="preserve">ITU serves in the Steering Committee </w:t>
      </w:r>
      <w:hyperlink r:id="rId301" w:history="1">
        <w:r w:rsidRPr="00AE7FA7">
          <w:rPr>
            <w:rFonts w:eastAsia="Calibri" w:cs="Calibri"/>
            <w:color w:val="0563C1"/>
            <w:sz w:val="22"/>
            <w:szCs w:val="22"/>
            <w:u w:val="single"/>
          </w:rPr>
          <w:t>Partnership on Measuring ICT for Development</w:t>
        </w:r>
      </w:hyperlink>
      <w:r w:rsidRPr="00AE7FA7">
        <w:rPr>
          <w:rFonts w:eastAsia="Calibri" w:cs="Calibri"/>
          <w:sz w:val="22"/>
          <w:szCs w:val="22"/>
        </w:rPr>
        <w:t>, with UNCTAD and UN DESA. The Partnership improves ICT data quality and availability for sustainable development, mapping core indicators against WSIS Action Lines, the Global Digital Compact, and the</w:t>
      </w:r>
      <w:r w:rsidRPr="0062595A">
        <w:rPr>
          <w:rFonts w:eastAsia="Calibri" w:cs="Calibri"/>
          <w:sz w:val="22"/>
          <w:szCs w:val="22"/>
        </w:rPr>
        <w:t xml:space="preserve"> </w:t>
      </w:r>
      <w:r w:rsidRPr="0062595A">
        <w:rPr>
          <w:rFonts w:eastAsia="Calibri" w:cs="Calibri"/>
          <w:sz w:val="22"/>
          <w:szCs w:val="22"/>
        </w:rPr>
        <w:t xml:space="preserve">UN Meaningful Connectivity framework, identifying gaps, and supporting the 20-year WSIS+20 review, with ITU hosting all core data in the </w:t>
      </w:r>
      <w:hyperlink r:id="rId302" w:history="1">
        <w:r w:rsidRPr="0062595A">
          <w:rPr>
            <w:rFonts w:eastAsia="Calibri" w:cs="Calibri"/>
            <w:color w:val="0563C1"/>
            <w:sz w:val="22"/>
            <w:szCs w:val="22"/>
            <w:u w:val="single"/>
          </w:rPr>
          <w:t xml:space="preserve">ITU </w:t>
        </w:r>
        <w:proofErr w:type="spellStart"/>
        <w:r w:rsidRPr="0062595A">
          <w:rPr>
            <w:rFonts w:eastAsia="Calibri" w:cs="Calibri"/>
            <w:color w:val="0563C1"/>
            <w:sz w:val="22"/>
            <w:szCs w:val="22"/>
            <w:u w:val="single"/>
          </w:rPr>
          <w:t>DataHub</w:t>
        </w:r>
        <w:proofErr w:type="spellEnd"/>
      </w:hyperlink>
      <w:r w:rsidRPr="0062595A">
        <w:rPr>
          <w:rFonts w:eastAsia="Calibri" w:cs="Calibri"/>
          <w:sz w:val="22"/>
          <w:szCs w:val="22"/>
        </w:rPr>
        <w:t xml:space="preserve">. </w:t>
      </w:r>
    </w:p>
    <w:p w14:paraId="7377F4E5" w14:textId="77777777"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rPr>
      </w:pPr>
      <w:bookmarkStart w:id="92" w:name="_Toc224288821"/>
      <w:bookmarkStart w:id="93" w:name="Section_4_8_2"/>
      <w:r w:rsidRPr="0062595A">
        <w:rPr>
          <w:rFonts w:eastAsia="MS Mincho"/>
          <w:b/>
          <w:color w:val="0D0D0D"/>
        </w:rPr>
        <w:t>4.8.2</w:t>
      </w:r>
      <w:r w:rsidRPr="0062595A">
        <w:rPr>
          <w:rFonts w:eastAsia="MS Mincho"/>
          <w:b/>
          <w:color w:val="0D0D0D"/>
        </w:rPr>
        <w:tab/>
        <w:t>AI for Good</w:t>
      </w:r>
      <w:bookmarkEnd w:id="92"/>
      <w:bookmarkEnd w:id="93"/>
    </w:p>
    <w:p w14:paraId="5BFAF7CA" w14:textId="77777777" w:rsidR="0062595A" w:rsidRPr="0062595A" w:rsidRDefault="0062595A" w:rsidP="00C5530E">
      <w:pPr>
        <w:suppressAutoHyphens/>
        <w:adjustRightInd/>
        <w:spacing w:after="120"/>
        <w:jc w:val="both"/>
        <w:rPr>
          <w:rFonts w:eastAsia="MS Mincho"/>
          <w:sz w:val="22"/>
        </w:rPr>
      </w:pPr>
      <w:hyperlink r:id="rId303" w:history="1">
        <w:r w:rsidRPr="0062595A">
          <w:rPr>
            <w:rFonts w:eastAsia="MS Mincho"/>
            <w:color w:val="0563C1"/>
            <w:sz w:val="22"/>
            <w:szCs w:val="22"/>
            <w:u w:val="single"/>
          </w:rPr>
          <w:t>AI for Good</w:t>
        </w:r>
      </w:hyperlink>
      <w:r w:rsidRPr="0062595A">
        <w:rPr>
          <w:rFonts w:eastAsia="MS Mincho"/>
          <w:sz w:val="22"/>
          <w:szCs w:val="22"/>
        </w:rPr>
        <w:t xml:space="preserve"> has continued to expand as the leading action-oriented UN platform for artificial intelligence, dedicated to identifying practical AI solutions that advance progress on the Sustainable Development Goals. Led by ITU and supported by over 40 UN agencies, the initiative operates through its Learn, Build, and Connect streams and maintains a year-round </w:t>
      </w:r>
      <w:hyperlink r:id="rId304" w:history="1">
        <w:r w:rsidRPr="0062595A">
          <w:rPr>
            <w:rFonts w:eastAsia="MS Mincho"/>
            <w:color w:val="0563C1"/>
            <w:sz w:val="22"/>
            <w:szCs w:val="22"/>
            <w:u w:val="single"/>
          </w:rPr>
          <w:t>digital programme</w:t>
        </w:r>
      </w:hyperlink>
      <w:r w:rsidRPr="0062595A">
        <w:rPr>
          <w:rFonts w:eastAsia="MS Mincho"/>
          <w:sz w:val="22"/>
          <w:szCs w:val="22"/>
        </w:rPr>
        <w:t xml:space="preserve"> with frequent webinars, expert sessions, and collaborative activities.</w:t>
      </w:r>
    </w:p>
    <w:p w14:paraId="4600F14D" w14:textId="260CB907" w:rsidR="0062595A" w:rsidRPr="0062595A" w:rsidRDefault="0062595A" w:rsidP="00C5530E">
      <w:pPr>
        <w:suppressAutoHyphens/>
        <w:adjustRightInd/>
        <w:spacing w:after="120"/>
        <w:jc w:val="both"/>
        <w:rPr>
          <w:rFonts w:eastAsia="MS Mincho"/>
          <w:sz w:val="22"/>
        </w:rPr>
      </w:pPr>
      <w:r w:rsidRPr="0062595A">
        <w:rPr>
          <w:rFonts w:eastAsia="MS Mincho"/>
          <w:sz w:val="22"/>
          <w:szCs w:val="22"/>
        </w:rPr>
        <w:t xml:space="preserve">Central to this ecosystem is the </w:t>
      </w:r>
      <w:hyperlink r:id="rId305" w:history="1">
        <w:r w:rsidRPr="0062595A">
          <w:rPr>
            <w:rFonts w:eastAsia="MS Mincho"/>
            <w:color w:val="0563C1"/>
            <w:sz w:val="22"/>
            <w:szCs w:val="22"/>
            <w:u w:val="single"/>
          </w:rPr>
          <w:t>AI for Good Neural Network</w:t>
        </w:r>
      </w:hyperlink>
      <w:r w:rsidRPr="0062595A">
        <w:rPr>
          <w:rFonts w:eastAsia="MS Mincho"/>
          <w:sz w:val="22"/>
          <w:szCs w:val="22"/>
        </w:rPr>
        <w:t>, an AI-powered matchmaking community, which grew from 15</w:t>
      </w:r>
      <w:r w:rsidR="00FD50B4">
        <w:rPr>
          <w:rFonts w:eastAsia="MS Mincho"/>
          <w:sz w:val="22"/>
          <w:szCs w:val="22"/>
        </w:rPr>
        <w:t> </w:t>
      </w:r>
      <w:r w:rsidRPr="0062595A">
        <w:rPr>
          <w:rFonts w:eastAsia="MS Mincho"/>
          <w:sz w:val="22"/>
          <w:szCs w:val="22"/>
        </w:rPr>
        <w:t>000 members in 2023 to more than 35</w:t>
      </w:r>
      <w:r w:rsidR="00FD50B4">
        <w:rPr>
          <w:rFonts w:eastAsia="MS Mincho"/>
          <w:sz w:val="22"/>
          <w:szCs w:val="22"/>
        </w:rPr>
        <w:t> </w:t>
      </w:r>
      <w:r w:rsidRPr="0062595A">
        <w:rPr>
          <w:rFonts w:eastAsia="MS Mincho"/>
          <w:sz w:val="22"/>
          <w:szCs w:val="22"/>
        </w:rPr>
        <w:t>000 in 2024, with an extended online community exceeding 137</w:t>
      </w:r>
      <w:r w:rsidR="00FD50B4">
        <w:rPr>
          <w:rFonts w:eastAsia="MS Mincho"/>
          <w:sz w:val="22"/>
          <w:szCs w:val="22"/>
        </w:rPr>
        <w:t> </w:t>
      </w:r>
      <w:r w:rsidRPr="0062595A">
        <w:rPr>
          <w:rFonts w:eastAsia="MS Mincho"/>
          <w:sz w:val="22"/>
          <w:szCs w:val="22"/>
        </w:rPr>
        <w:t>000. The platform’s smart-matching mechanisms support global cooperation and SDG-focused innovation, fostering impactful partnerships across sectors and regions.</w:t>
      </w:r>
    </w:p>
    <w:p w14:paraId="2D35E68C" w14:textId="4F78A09D" w:rsidR="0062595A" w:rsidRPr="0062595A" w:rsidRDefault="0062595A" w:rsidP="00C5530E">
      <w:pPr>
        <w:suppressAutoHyphens/>
        <w:adjustRightInd/>
        <w:spacing w:after="120"/>
        <w:jc w:val="both"/>
        <w:rPr>
          <w:rFonts w:eastAsia="MS Mincho"/>
          <w:sz w:val="22"/>
        </w:rPr>
      </w:pPr>
      <w:r w:rsidRPr="0062595A">
        <w:rPr>
          <w:rFonts w:eastAsia="MS Mincho"/>
          <w:sz w:val="22"/>
          <w:szCs w:val="22"/>
        </w:rPr>
        <w:t xml:space="preserve">The annual </w:t>
      </w:r>
      <w:hyperlink r:id="rId306" w:history="1">
        <w:r w:rsidRPr="0062595A">
          <w:rPr>
            <w:rFonts w:eastAsia="MS Mincho"/>
            <w:color w:val="0563C1"/>
            <w:sz w:val="22"/>
            <w:szCs w:val="22"/>
            <w:u w:val="single"/>
          </w:rPr>
          <w:t>AI for Good Global Summit</w:t>
        </w:r>
      </w:hyperlink>
      <w:r w:rsidRPr="0062595A">
        <w:rPr>
          <w:rFonts w:eastAsia="MS Mincho"/>
          <w:sz w:val="22"/>
          <w:szCs w:val="22"/>
        </w:rPr>
        <w:t xml:space="preserve"> remains the initiative’s flagship event. The </w:t>
      </w:r>
      <w:hyperlink r:id="rId307" w:history="1">
        <w:r w:rsidRPr="0062595A">
          <w:rPr>
            <w:rFonts w:eastAsia="MS Mincho"/>
            <w:color w:val="0563C1"/>
            <w:sz w:val="22"/>
            <w:szCs w:val="22"/>
            <w:u w:val="single"/>
          </w:rPr>
          <w:t>2023 AI for Good Global Summit</w:t>
        </w:r>
      </w:hyperlink>
      <w:r w:rsidRPr="0062595A">
        <w:rPr>
          <w:rFonts w:eastAsia="MS Mincho"/>
          <w:sz w:val="22"/>
          <w:szCs w:val="22"/>
        </w:rPr>
        <w:t xml:space="preserve"> in Geneva gathered over 3</w:t>
      </w:r>
      <w:r w:rsidR="00FD50B4">
        <w:rPr>
          <w:rFonts w:eastAsia="MS Mincho"/>
          <w:sz w:val="22"/>
          <w:szCs w:val="22"/>
        </w:rPr>
        <w:t> </w:t>
      </w:r>
      <w:r w:rsidRPr="0062595A">
        <w:rPr>
          <w:rFonts w:eastAsia="MS Mincho"/>
          <w:sz w:val="22"/>
          <w:szCs w:val="22"/>
        </w:rPr>
        <w:t xml:space="preserve">000 participants and featured the world’s largest assembly of humanoid and specialized robots, complemented by expert-level machine learning workshops. By 2024, the </w:t>
      </w:r>
      <w:hyperlink r:id="rId308" w:history="1">
        <w:r w:rsidRPr="0062595A">
          <w:rPr>
            <w:rFonts w:eastAsia="MS Mincho"/>
            <w:color w:val="0563C1"/>
            <w:sz w:val="22"/>
            <w:szCs w:val="22"/>
            <w:u w:val="single"/>
          </w:rPr>
          <w:t>AI for Good Global Summit</w:t>
        </w:r>
      </w:hyperlink>
      <w:r w:rsidRPr="0062595A">
        <w:rPr>
          <w:rFonts w:eastAsia="MS Mincho"/>
          <w:sz w:val="22"/>
          <w:szCs w:val="22"/>
        </w:rPr>
        <w:t xml:space="preserve"> expanded significantly, attracting more than 5</w:t>
      </w:r>
      <w:r w:rsidR="00FD50B4">
        <w:rPr>
          <w:rFonts w:eastAsia="MS Mincho"/>
          <w:sz w:val="22"/>
          <w:szCs w:val="22"/>
        </w:rPr>
        <w:t> </w:t>
      </w:r>
      <w:r w:rsidRPr="0062595A">
        <w:rPr>
          <w:rFonts w:eastAsia="MS Mincho"/>
          <w:sz w:val="22"/>
          <w:szCs w:val="22"/>
        </w:rPr>
        <w:t>000 on-site participants, 27 UN partner organizations, 183 represented countries, and over 900</w:t>
      </w:r>
      <w:r w:rsidR="00FD50B4">
        <w:rPr>
          <w:rFonts w:eastAsia="MS Mincho"/>
          <w:sz w:val="22"/>
          <w:szCs w:val="22"/>
        </w:rPr>
        <w:t> </w:t>
      </w:r>
      <w:r w:rsidRPr="0062595A">
        <w:rPr>
          <w:rFonts w:eastAsia="MS Mincho"/>
          <w:sz w:val="22"/>
          <w:szCs w:val="22"/>
        </w:rPr>
        <w:t>000 online views. These events continued to serve as the UN system’s primary showcase for cutting-edge AI technologies, demonstrating pioneering applications, and connecting innovators with policymakers, researchers, and industry leaders to scale up AI solutions globally.</w:t>
      </w:r>
    </w:p>
    <w:p w14:paraId="07DA5EF5"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22"/>
        </w:rPr>
        <w:t xml:space="preserve">AI for Good further strengthened its global impact through the development of new initiatives, including the </w:t>
      </w:r>
      <w:hyperlink r:id="rId309" w:history="1">
        <w:r w:rsidRPr="0062595A">
          <w:rPr>
            <w:rFonts w:eastAsia="MS Mincho"/>
            <w:color w:val="0563C1"/>
            <w:sz w:val="22"/>
            <w:szCs w:val="22"/>
            <w:u w:val="single"/>
          </w:rPr>
          <w:t>AI Skills Coalition</w:t>
        </w:r>
      </w:hyperlink>
      <w:r w:rsidRPr="0062595A">
        <w:rPr>
          <w:rFonts w:eastAsia="MS Mincho"/>
          <w:sz w:val="22"/>
          <w:szCs w:val="22"/>
        </w:rPr>
        <w:t xml:space="preserve">, aimed at expanding AI education and capacity building worldwide. The programme also advanced regional engagement, as demonstrated by the </w:t>
      </w:r>
      <w:hyperlink r:id="rId310" w:history="1">
        <w:r w:rsidRPr="0062595A">
          <w:rPr>
            <w:rFonts w:eastAsia="MS Mincho"/>
            <w:color w:val="0563C1"/>
            <w:sz w:val="22"/>
            <w:szCs w:val="22"/>
            <w:u w:val="single"/>
          </w:rPr>
          <w:t>AI for Good Impact Initiative</w:t>
        </w:r>
      </w:hyperlink>
      <w:r w:rsidRPr="0062595A">
        <w:rPr>
          <w:rFonts w:eastAsia="MS Mincho"/>
          <w:sz w:val="22"/>
          <w:szCs w:val="22"/>
        </w:rPr>
        <w:t xml:space="preserve">, implemented in regions like India during an event in 2024 and preparations for the </w:t>
      </w:r>
      <w:hyperlink r:id="rId311" w:history="1">
        <w:r w:rsidRPr="0062595A">
          <w:rPr>
            <w:rFonts w:eastAsia="MS Mincho"/>
            <w:color w:val="0563C1"/>
            <w:sz w:val="22"/>
            <w:szCs w:val="22"/>
            <w:u w:val="single"/>
          </w:rPr>
          <w:t>AI for Good Impact Africa</w:t>
        </w:r>
      </w:hyperlink>
      <w:r w:rsidRPr="0062595A">
        <w:rPr>
          <w:rFonts w:eastAsia="MS Mincho"/>
          <w:sz w:val="22"/>
          <w:szCs w:val="22"/>
        </w:rPr>
        <w:t xml:space="preserve"> event scheduled in South Africa in 2025, organized in partnership with the G20 Secretariat. Across these years, AI for Good reinforced its role as an inclusive, trusted, and forward-looking platform dedicated to using AI to benefit everyone, everywhere, while accelerating progress toward the UN Sustainable Development Goals.</w:t>
      </w:r>
    </w:p>
    <w:p w14:paraId="5F79852A" w14:textId="77777777"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lang w:eastAsia="en-GB"/>
        </w:rPr>
      </w:pPr>
      <w:bookmarkStart w:id="94" w:name="_Toc224288822"/>
      <w:r w:rsidRPr="0062595A">
        <w:rPr>
          <w:rFonts w:eastAsia="MS Mincho"/>
          <w:b/>
          <w:color w:val="0D0D0D"/>
          <w:lang w:eastAsia="en-GB"/>
        </w:rPr>
        <w:lastRenderedPageBreak/>
        <w:t>4.8.3</w:t>
      </w:r>
      <w:r w:rsidRPr="0062595A">
        <w:rPr>
          <w:rFonts w:eastAsia="MS Mincho"/>
          <w:b/>
          <w:color w:val="0D0D0D"/>
          <w:lang w:eastAsia="en-GB"/>
        </w:rPr>
        <w:tab/>
        <w:t>Global Standards Symposium</w:t>
      </w:r>
      <w:bookmarkEnd w:id="94"/>
      <w:r w:rsidRPr="0062595A">
        <w:rPr>
          <w:rFonts w:eastAsia="MS Mincho"/>
          <w:b/>
          <w:color w:val="0D0D0D"/>
          <w:lang w:eastAsia="en-GB"/>
        </w:rPr>
        <w:t xml:space="preserve"> </w:t>
      </w:r>
    </w:p>
    <w:p w14:paraId="53F683E2" w14:textId="50919130" w:rsidR="0062595A" w:rsidRPr="00D756BD" w:rsidRDefault="0062595A" w:rsidP="00C5530E">
      <w:pPr>
        <w:suppressAutoHyphens/>
        <w:adjustRightInd/>
        <w:spacing w:after="120"/>
        <w:jc w:val="both"/>
        <w:rPr>
          <w:rFonts w:eastAsia="MS Mincho"/>
          <w:sz w:val="22"/>
          <w:szCs w:val="22"/>
        </w:rPr>
      </w:pPr>
      <w:r w:rsidRPr="00D756BD">
        <w:rPr>
          <w:rFonts w:eastAsia="Calibri"/>
          <w:sz w:val="22"/>
          <w:szCs w:val="22"/>
          <w:lang w:eastAsia="en-GB"/>
        </w:rPr>
        <w:t xml:space="preserve">The </w:t>
      </w:r>
      <w:hyperlink r:id="rId312" w:history="1">
        <w:r w:rsidRPr="00D756BD">
          <w:rPr>
            <w:rFonts w:eastAsia="Calibri"/>
            <w:color w:val="0563C1"/>
            <w:sz w:val="22"/>
            <w:szCs w:val="22"/>
            <w:u w:val="single"/>
            <w:lang w:eastAsia="en-GB"/>
          </w:rPr>
          <w:t>Fifth Global Standards Symposium (GSS-24)</w:t>
        </w:r>
      </w:hyperlink>
      <w:r w:rsidRPr="00D756BD">
        <w:rPr>
          <w:rFonts w:eastAsia="Calibri"/>
          <w:sz w:val="22"/>
          <w:szCs w:val="22"/>
          <w:lang w:eastAsia="en-GB"/>
        </w:rPr>
        <w:t xml:space="preserve"> was held on </w:t>
      </w:r>
      <w:r w:rsidR="00FD50B4" w:rsidRPr="00D756BD">
        <w:rPr>
          <w:rFonts w:eastAsia="Calibri"/>
          <w:sz w:val="22"/>
          <w:szCs w:val="22"/>
          <w:lang w:eastAsia="en-GB"/>
        </w:rPr>
        <w:t>14 October</w:t>
      </w:r>
      <w:r w:rsidRPr="00D756BD">
        <w:rPr>
          <w:rFonts w:eastAsia="Calibri"/>
          <w:sz w:val="22"/>
          <w:szCs w:val="22"/>
          <w:lang w:eastAsia="en-GB"/>
        </w:rPr>
        <w:t xml:space="preserve"> 2024, in New Delhi, providing a vibrant platform for thought leaders, innovators, and decision-makers globally. This inclusive event welcomed both ITU members and non-members, serving as a precursor to the World Telecommunication Standardization Assembly (WTSA-24) that followed.</w:t>
      </w:r>
    </w:p>
    <w:p w14:paraId="332E56F6" w14:textId="77777777" w:rsidR="0062595A" w:rsidRPr="00D756BD" w:rsidRDefault="0062595A" w:rsidP="00C5530E">
      <w:pPr>
        <w:suppressAutoHyphens/>
        <w:adjustRightInd/>
        <w:spacing w:after="120"/>
        <w:jc w:val="both"/>
        <w:rPr>
          <w:rFonts w:eastAsia="Calibri"/>
          <w:sz w:val="22"/>
          <w:szCs w:val="22"/>
          <w:lang w:eastAsia="en-GB"/>
        </w:rPr>
      </w:pPr>
      <w:r w:rsidRPr="00D756BD">
        <w:rPr>
          <w:rFonts w:eastAsia="Calibri"/>
          <w:sz w:val="22"/>
          <w:szCs w:val="22"/>
          <w:lang w:eastAsia="en-GB"/>
        </w:rPr>
        <w:t>GSS-24 focused on the theme “Charting the Next Digital Wave: Emerging Technologies, Innovation, and International Standards,” highlighting the pivotal role of cutting-edge technologies and international standards in shaping the digital landscape. A notable highlight of the symposium was the High-Level Segment, where ministers and industry leaders gathered to discuss and influence the future of innovation, aiming to drive transformative change on a global scale.</w:t>
      </w:r>
    </w:p>
    <w:p w14:paraId="13CAD763" w14:textId="77777777" w:rsidR="0062595A" w:rsidRPr="0062595A" w:rsidRDefault="0062595A" w:rsidP="00C5530E">
      <w:pPr>
        <w:suppressAutoHyphens/>
        <w:adjustRightInd/>
        <w:spacing w:after="120"/>
        <w:jc w:val="both"/>
        <w:rPr>
          <w:rFonts w:eastAsia="MS Mincho"/>
          <w:sz w:val="22"/>
        </w:rPr>
      </w:pPr>
      <w:r w:rsidRPr="00D756BD">
        <w:rPr>
          <w:rFonts w:eastAsia="Calibri"/>
          <w:sz w:val="22"/>
          <w:szCs w:val="22"/>
          <w:lang w:eastAsia="en-GB"/>
        </w:rPr>
        <w:t xml:space="preserve">Building on this momentum, GSS-24 concluded with a series of actionable recommendations emphasizing the importance of international standards in supporting innovation, emerging technologies, and sustainable development. The </w:t>
      </w:r>
      <w:hyperlink r:id="rId313" w:anchor="p=1" w:history="1">
        <w:r w:rsidRPr="00D756BD">
          <w:rPr>
            <w:rFonts w:eastAsia="Calibri"/>
            <w:color w:val="0563C1"/>
            <w:sz w:val="22"/>
            <w:szCs w:val="22"/>
            <w:u w:val="single"/>
            <w:lang w:eastAsia="en-GB"/>
          </w:rPr>
          <w:t>GSS-24 conclusions</w:t>
        </w:r>
      </w:hyperlink>
      <w:r w:rsidRPr="00D756BD">
        <w:rPr>
          <w:rFonts w:eastAsia="Calibri"/>
          <w:sz w:val="22"/>
          <w:szCs w:val="22"/>
          <w:lang w:eastAsia="en-GB"/>
        </w:rPr>
        <w:t xml:space="preserve"> reaffirmed ITU’s role as a central platform for fostering collaboration among governments, industry, academia, and civil society, and underscored the need for coordinated efforts to leverage standards for the digital transformation of societies worldwide.</w:t>
      </w:r>
    </w:p>
    <w:p w14:paraId="67B5B765" w14:textId="77777777"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rPr>
      </w:pPr>
      <w:bookmarkStart w:id="95" w:name="_Toc224288823"/>
      <w:r w:rsidRPr="0062595A">
        <w:rPr>
          <w:rFonts w:eastAsia="MS Mincho"/>
          <w:b/>
          <w:color w:val="0D0D0D"/>
        </w:rPr>
        <w:t>4.8.4</w:t>
      </w:r>
      <w:r w:rsidRPr="0062595A">
        <w:rPr>
          <w:rFonts w:eastAsia="MS Mincho"/>
          <w:b/>
          <w:color w:val="0D0D0D"/>
        </w:rPr>
        <w:tab/>
        <w:t>Global Symposium for Regulators</w:t>
      </w:r>
      <w:bookmarkEnd w:id="95"/>
    </w:p>
    <w:p w14:paraId="41499401" w14:textId="343CF96C" w:rsidR="0062595A" w:rsidRPr="00D756BD" w:rsidRDefault="0062595A" w:rsidP="00C5530E">
      <w:pPr>
        <w:suppressAutoHyphens/>
        <w:adjustRightInd/>
        <w:spacing w:after="120"/>
        <w:jc w:val="both"/>
        <w:rPr>
          <w:rFonts w:eastAsia="MS Mincho"/>
          <w:sz w:val="22"/>
          <w:szCs w:val="22"/>
        </w:rPr>
      </w:pPr>
      <w:r w:rsidRPr="00D756BD">
        <w:rPr>
          <w:rFonts w:eastAsia="MS Mincho"/>
          <w:sz w:val="22"/>
          <w:szCs w:val="22"/>
        </w:rPr>
        <w:t>During the 2022–2025 period, the Global Symposium for Regulators (</w:t>
      </w:r>
      <w:hyperlink r:id="rId314" w:history="1">
        <w:r w:rsidRPr="00D756BD">
          <w:rPr>
            <w:rFonts w:eastAsia="MS Mincho"/>
            <w:color w:val="0563C1"/>
            <w:sz w:val="22"/>
            <w:szCs w:val="22"/>
            <w:u w:val="single"/>
          </w:rPr>
          <w:t>GSR</w:t>
        </w:r>
      </w:hyperlink>
      <w:r w:rsidRPr="00D756BD">
        <w:rPr>
          <w:rFonts w:eastAsia="MS Mincho"/>
          <w:sz w:val="22"/>
          <w:szCs w:val="22"/>
        </w:rPr>
        <w:t>) served as the premier global platform for evolving the regulatory mandate in response to rapid technological change and focused on innovative regulatory approaches essential for fostering digital transformation and inclusivity across the globe. Across the 2023–2025 cycle, participation in the GSR rose steadily—from around 750 delegates at GSR</w:t>
      </w:r>
      <w:r w:rsidRPr="00D756BD">
        <w:rPr>
          <w:rFonts w:eastAsia="MS Mincho"/>
          <w:sz w:val="22"/>
          <w:szCs w:val="22"/>
        </w:rPr>
        <w:noBreakHyphen/>
        <w:t>23 to roughly 1</w:t>
      </w:r>
      <w:r w:rsidR="00D756BD" w:rsidRPr="00D756BD">
        <w:rPr>
          <w:rFonts w:eastAsia="MS Mincho"/>
          <w:sz w:val="22"/>
          <w:szCs w:val="22"/>
        </w:rPr>
        <w:t> </w:t>
      </w:r>
      <w:r w:rsidRPr="00D756BD">
        <w:rPr>
          <w:rFonts w:eastAsia="MS Mincho"/>
          <w:sz w:val="22"/>
          <w:szCs w:val="22"/>
        </w:rPr>
        <w:t>200 at GSR</w:t>
      </w:r>
      <w:r w:rsidRPr="00D756BD">
        <w:rPr>
          <w:rFonts w:eastAsia="MS Mincho"/>
          <w:sz w:val="22"/>
          <w:szCs w:val="22"/>
        </w:rPr>
        <w:noBreakHyphen/>
        <w:t xml:space="preserve">25—reflecting growing global engagement in regulatory innovation. Over these three years, the GSR process delivered successive </w:t>
      </w:r>
      <w:hyperlink r:id="rId315" w:history="1">
        <w:r w:rsidRPr="00D756BD">
          <w:rPr>
            <w:rFonts w:eastAsia="MS Mincho"/>
            <w:color w:val="0563C1"/>
            <w:sz w:val="22"/>
            <w:szCs w:val="22"/>
            <w:u w:val="single"/>
          </w:rPr>
          <w:t>Best Practice Guidelines</w:t>
        </w:r>
      </w:hyperlink>
      <w:r w:rsidRPr="00D756BD">
        <w:rPr>
          <w:rFonts w:eastAsia="MS Mincho"/>
          <w:sz w:val="22"/>
          <w:szCs w:val="22"/>
        </w:rPr>
        <w:t xml:space="preserve"> that strengthened the role of regulators as digital ecosystem builders and set clear strategies for inclusive, human</w:t>
      </w:r>
      <w:r w:rsidRPr="00D756BD">
        <w:rPr>
          <w:rFonts w:eastAsia="MS Mincho"/>
          <w:sz w:val="22"/>
          <w:szCs w:val="22"/>
        </w:rPr>
        <w:noBreakHyphen/>
        <w:t>centred, and sustainable digital development worldwide.</w:t>
      </w:r>
    </w:p>
    <w:p w14:paraId="3EBFBCEF" w14:textId="312BDDD7" w:rsidR="0062595A" w:rsidRPr="00D756BD" w:rsidRDefault="0062595A" w:rsidP="00C5530E">
      <w:pPr>
        <w:suppressAutoHyphens/>
        <w:adjustRightInd/>
        <w:spacing w:after="120"/>
        <w:jc w:val="both"/>
        <w:rPr>
          <w:rFonts w:eastAsia="MS Mincho"/>
          <w:sz w:val="22"/>
          <w:szCs w:val="22"/>
        </w:rPr>
      </w:pPr>
      <w:r w:rsidRPr="00D756BD">
        <w:rPr>
          <w:rFonts w:eastAsia="MS Mincho"/>
          <w:sz w:val="22"/>
          <w:szCs w:val="22"/>
        </w:rPr>
        <w:t>GSR-23, held in Sharm El-Sheikh, Egypt from 5 to 8</w:t>
      </w:r>
      <w:r w:rsidR="00FD50B4" w:rsidRPr="00D756BD">
        <w:rPr>
          <w:rFonts w:eastAsia="MS Mincho"/>
          <w:sz w:val="22"/>
          <w:szCs w:val="22"/>
        </w:rPr>
        <w:t xml:space="preserve"> June</w:t>
      </w:r>
      <w:r w:rsidRPr="00D756BD">
        <w:rPr>
          <w:rFonts w:eastAsia="MS Mincho"/>
          <w:sz w:val="22"/>
          <w:szCs w:val="22"/>
        </w:rPr>
        <w:t xml:space="preserve"> 2023, under the theme of digital connectivity, participants discussed such topics as child safety online, affordable technology access, and sustainability in digital transformation. The event culminated in the endorsement of </w:t>
      </w:r>
      <w:hyperlink r:id="rId316" w:history="1">
        <w:r w:rsidRPr="00D756BD">
          <w:rPr>
            <w:rFonts w:eastAsia="MS Mincho"/>
            <w:color w:val="0563C1"/>
            <w:sz w:val="22"/>
            <w:szCs w:val="22"/>
            <w:u w:val="single"/>
          </w:rPr>
          <w:t>Best Practice Guidelines</w:t>
        </w:r>
      </w:hyperlink>
      <w:r w:rsidRPr="00D756BD">
        <w:rPr>
          <w:rFonts w:eastAsia="MS Mincho"/>
          <w:sz w:val="22"/>
          <w:szCs w:val="22"/>
        </w:rPr>
        <w:t xml:space="preserve"> aimed at promoting an inclusive digital future, which provide strategies for enhancing connectivity and regulatory practices.</w:t>
      </w:r>
    </w:p>
    <w:p w14:paraId="5CBFFD1B" w14:textId="48509066" w:rsidR="0062595A" w:rsidRPr="00D756BD" w:rsidRDefault="0062595A" w:rsidP="00C5530E">
      <w:pPr>
        <w:suppressAutoHyphens/>
        <w:adjustRightInd/>
        <w:spacing w:after="120"/>
        <w:jc w:val="both"/>
        <w:rPr>
          <w:rFonts w:eastAsia="MS Mincho"/>
          <w:sz w:val="22"/>
          <w:szCs w:val="22"/>
        </w:rPr>
      </w:pPr>
      <w:r w:rsidRPr="00D756BD">
        <w:rPr>
          <w:rFonts w:eastAsia="MS Mincho"/>
          <w:sz w:val="22"/>
          <w:szCs w:val="22"/>
        </w:rPr>
        <w:t>Following GSR-23, GSR-24 took place in Kampala, Uganda from 1 to 4</w:t>
      </w:r>
      <w:r w:rsidR="00FD50B4" w:rsidRPr="00D756BD">
        <w:rPr>
          <w:rFonts w:eastAsia="MS Mincho"/>
          <w:sz w:val="22"/>
          <w:szCs w:val="22"/>
        </w:rPr>
        <w:t xml:space="preserve"> July</w:t>
      </w:r>
      <w:r w:rsidRPr="00D756BD">
        <w:rPr>
          <w:rFonts w:eastAsia="MS Mincho"/>
          <w:sz w:val="22"/>
          <w:szCs w:val="22"/>
        </w:rPr>
        <w:t xml:space="preserve"> 2024. The focus was on creating impactful regulations for cutting-edge infrastructure and transformative technologies, resulting in new </w:t>
      </w:r>
      <w:hyperlink r:id="rId317" w:history="1">
        <w:r w:rsidRPr="00D756BD">
          <w:rPr>
            <w:rFonts w:eastAsia="Calibri" w:cs="Calibri"/>
            <w:color w:val="0563C1"/>
            <w:sz w:val="22"/>
            <w:szCs w:val="22"/>
            <w:u w:val="single"/>
            <w:lang w:eastAsia="en-GB"/>
          </w:rPr>
          <w:t>Best Practice Guidelines</w:t>
        </w:r>
      </w:hyperlink>
      <w:r w:rsidRPr="00D756BD">
        <w:rPr>
          <w:rFonts w:eastAsia="MS Mincho"/>
          <w:sz w:val="22"/>
          <w:szCs w:val="22"/>
        </w:rPr>
        <w:t xml:space="preserve"> designed to help ICT regulators support sustainable digital economies.</w:t>
      </w:r>
    </w:p>
    <w:p w14:paraId="4C5DDE4F" w14:textId="77777777" w:rsidR="0062595A" w:rsidRPr="00D756BD" w:rsidRDefault="0062595A" w:rsidP="00C5530E">
      <w:pPr>
        <w:suppressAutoHyphens/>
        <w:adjustRightInd/>
        <w:spacing w:after="120"/>
        <w:jc w:val="both"/>
        <w:rPr>
          <w:rFonts w:eastAsia="MS Mincho"/>
          <w:sz w:val="22"/>
          <w:szCs w:val="22"/>
        </w:rPr>
      </w:pPr>
      <w:r w:rsidRPr="00D756BD">
        <w:rPr>
          <w:rFonts w:eastAsia="MS Mincho"/>
          <w:sz w:val="22"/>
          <w:szCs w:val="22"/>
        </w:rPr>
        <w:t xml:space="preserve">The most recent edition, GSR-25, occurred in Riyadh, Saudi Arabia, from 31 August to 3 September 2025. Under the theme of “Regulation for sustainable digital development.” Key discussions emphasized collaboration, innovation, and cross-border cooperation among regulators. </w:t>
      </w:r>
      <w:hyperlink r:id="rId318" w:anchor="p=1" w:history="1">
        <w:r w:rsidRPr="00D756BD">
          <w:rPr>
            <w:rFonts w:eastAsia="MS Mincho"/>
            <w:color w:val="0563C1"/>
            <w:sz w:val="22"/>
            <w:szCs w:val="22"/>
            <w:u w:val="single"/>
          </w:rPr>
          <w:t>The GSR-25 Best Practice Guidelines</w:t>
        </w:r>
      </w:hyperlink>
      <w:r w:rsidRPr="00D756BD">
        <w:rPr>
          <w:rFonts w:eastAsia="MS Mincho"/>
          <w:sz w:val="22"/>
          <w:szCs w:val="22"/>
        </w:rPr>
        <w:t xml:space="preserve"> endorsed the role of regulators as digital ecosystem builders, stressing the need for innovation in regulatory practices and a human-centric approach to ensure digital transformation benefits all individuals.</w:t>
      </w:r>
    </w:p>
    <w:p w14:paraId="48264CF2" w14:textId="77777777" w:rsidR="0062595A" w:rsidRPr="0062595A" w:rsidRDefault="0062595A" w:rsidP="00C5530E">
      <w:pPr>
        <w:suppressAutoHyphens/>
        <w:adjustRightInd/>
        <w:spacing w:after="120"/>
        <w:jc w:val="both"/>
        <w:rPr>
          <w:rFonts w:eastAsia="MS Mincho"/>
          <w:sz w:val="22"/>
        </w:rPr>
      </w:pPr>
      <w:r w:rsidRPr="00D756BD">
        <w:rPr>
          <w:rFonts w:eastAsia="MS Mincho"/>
          <w:sz w:val="22"/>
          <w:szCs w:val="22"/>
        </w:rPr>
        <w:t>Throughout the period, core thematic priorities remained consistent and were progressively deepened, including child online safety, universal and meaningful connectivity, environmental sustainability (Green Digital), and trustworthy digital infrastructure.</w:t>
      </w:r>
      <w:r w:rsidRPr="0062595A">
        <w:rPr>
          <w:rFonts w:eastAsia="MS Mincho"/>
          <w:sz w:val="22"/>
        </w:rPr>
        <w:t xml:space="preserve"> The series solidified the necessity of "whole-of-government" and cross-sectoral collaboration to achieve the strategic goals of ITU</w:t>
      </w:r>
      <w:r w:rsidRPr="0062595A">
        <w:rPr>
          <w:rFonts w:eastAsia="MS Mincho"/>
          <w:sz w:val="22"/>
          <w:szCs w:val="22"/>
        </w:rPr>
        <w:t>.</w:t>
      </w:r>
    </w:p>
    <w:p w14:paraId="0062CE5D" w14:textId="4394A8EB" w:rsidR="0062595A" w:rsidRPr="0062595A" w:rsidRDefault="0062595A" w:rsidP="004630E8">
      <w:pPr>
        <w:keepNext/>
        <w:keepLines/>
        <w:tabs>
          <w:tab w:val="clear" w:pos="567"/>
        </w:tabs>
        <w:suppressAutoHyphens/>
        <w:adjustRightInd/>
        <w:spacing w:before="240" w:after="120"/>
        <w:ind w:left="567" w:hanging="567"/>
        <w:jc w:val="both"/>
        <w:outlineLvl w:val="2"/>
        <w:rPr>
          <w:rFonts w:eastAsia="MS Mincho"/>
          <w:b/>
          <w:color w:val="0D0D0D"/>
          <w:lang w:eastAsia="en-GB"/>
        </w:rPr>
      </w:pPr>
      <w:bookmarkStart w:id="96" w:name="_Toc224288824"/>
      <w:r w:rsidRPr="0062595A">
        <w:rPr>
          <w:rFonts w:eastAsia="MS Mincho"/>
          <w:b/>
          <w:color w:val="0D0D0D"/>
          <w:lang w:eastAsia="en-GB"/>
        </w:rPr>
        <w:lastRenderedPageBreak/>
        <w:t>4.8.5</w:t>
      </w:r>
      <w:r w:rsidR="00097C08">
        <w:rPr>
          <w:rFonts w:eastAsia="MS Mincho"/>
          <w:b/>
          <w:color w:val="0D0D0D"/>
          <w:lang w:eastAsia="en-GB"/>
        </w:rPr>
        <w:tab/>
      </w:r>
      <w:r w:rsidRPr="0062595A">
        <w:rPr>
          <w:rFonts w:eastAsia="MS Mincho"/>
          <w:b/>
          <w:color w:val="0D0D0D"/>
          <w:lang w:eastAsia="en-GB"/>
        </w:rPr>
        <w:t>Engaging academia in ITU’s work</w:t>
      </w:r>
      <w:bookmarkEnd w:id="96"/>
    </w:p>
    <w:p w14:paraId="69936F38" w14:textId="77777777" w:rsidR="0062595A" w:rsidRPr="0062595A" w:rsidRDefault="0062595A" w:rsidP="00C5530E">
      <w:pPr>
        <w:suppressAutoHyphens/>
        <w:adjustRightInd/>
        <w:spacing w:after="120"/>
        <w:jc w:val="both"/>
        <w:rPr>
          <w:rFonts w:eastAsia="Calibri" w:cs="Calibri"/>
          <w:kern w:val="3"/>
          <w:sz w:val="22"/>
          <w:szCs w:val="22"/>
        </w:rPr>
      </w:pPr>
      <w:bookmarkStart w:id="97" w:name="_Hlk92298430"/>
      <w:r w:rsidRPr="0062595A">
        <w:rPr>
          <w:rFonts w:eastAsia="Calibri" w:cs="Calibri"/>
          <w:kern w:val="3"/>
          <w:sz w:val="22"/>
          <w:szCs w:val="22"/>
        </w:rPr>
        <w:t>Over 180 universities and research institutions participate as academic members of ITU and contribute on a regular basis to ITU’s work. The number of academic institutions participating in ITU’s activities is constantly growing.</w:t>
      </w:r>
    </w:p>
    <w:p w14:paraId="581EA257" w14:textId="77777777" w:rsidR="0062595A" w:rsidRPr="0062595A" w:rsidRDefault="0062595A" w:rsidP="00C5530E">
      <w:pPr>
        <w:suppressAutoHyphens/>
        <w:adjustRightInd/>
        <w:spacing w:after="120"/>
        <w:jc w:val="both"/>
        <w:rPr>
          <w:rFonts w:eastAsia="MS Mincho"/>
          <w:sz w:val="22"/>
        </w:rPr>
      </w:pPr>
      <w:hyperlink r:id="rId319" w:history="1">
        <w:r w:rsidRPr="0062595A">
          <w:rPr>
            <w:rFonts w:eastAsia="MS Mincho"/>
            <w:color w:val="0563C1"/>
            <w:sz w:val="22"/>
            <w:szCs w:val="22"/>
            <w:u w:val="single"/>
          </w:rPr>
          <w:t>ITU Academia membership</w:t>
        </w:r>
      </w:hyperlink>
      <w:r w:rsidRPr="0062595A">
        <w:rPr>
          <w:rFonts w:eastAsia="MS Mincho"/>
          <w:sz w:val="22"/>
          <w:szCs w:val="22"/>
        </w:rPr>
        <w:t xml:space="preserve">, the </w:t>
      </w:r>
      <w:hyperlink r:id="rId320" w:history="1">
        <w:r w:rsidRPr="0062595A">
          <w:rPr>
            <w:rFonts w:eastAsia="MS Mincho"/>
            <w:color w:val="0563C1"/>
            <w:sz w:val="22"/>
            <w:szCs w:val="22"/>
            <w:u w:val="single"/>
          </w:rPr>
          <w:t>ITU Journal</w:t>
        </w:r>
      </w:hyperlink>
      <w:r w:rsidRPr="0062595A">
        <w:rPr>
          <w:rFonts w:eastAsia="MS Mincho"/>
          <w:sz w:val="22"/>
          <w:szCs w:val="22"/>
        </w:rPr>
        <w:t xml:space="preserve">, </w:t>
      </w:r>
      <w:hyperlink r:id="rId321" w:history="1">
        <w:r w:rsidRPr="0062595A">
          <w:rPr>
            <w:rFonts w:eastAsia="MS Mincho"/>
            <w:color w:val="0563C1"/>
            <w:sz w:val="22"/>
            <w:szCs w:val="22"/>
            <w:u w:val="single"/>
          </w:rPr>
          <w:t>ITU Kaleidoscope conferences</w:t>
        </w:r>
      </w:hyperlink>
      <w:r w:rsidRPr="0062595A">
        <w:rPr>
          <w:rFonts w:eastAsia="MS Mincho"/>
          <w:sz w:val="22"/>
          <w:szCs w:val="22"/>
        </w:rPr>
        <w:t xml:space="preserve">, </w:t>
      </w:r>
      <w:hyperlink r:id="rId322" w:history="1">
        <w:r w:rsidRPr="0062595A">
          <w:rPr>
            <w:rFonts w:eastAsia="MS Mincho"/>
            <w:color w:val="0563C1"/>
            <w:sz w:val="22"/>
            <w:szCs w:val="22"/>
            <w:u w:val="single"/>
          </w:rPr>
          <w:t>the Academic Advisory Board on Emerging Technologies</w:t>
        </w:r>
      </w:hyperlink>
      <w:r w:rsidRPr="0062595A">
        <w:rPr>
          <w:rFonts w:eastAsia="MS Mincho"/>
          <w:sz w:val="22"/>
          <w:szCs w:val="22"/>
        </w:rPr>
        <w:t xml:space="preserve">, capstone projects serve as key platforms for academic engagement in ITU’s work. </w:t>
      </w:r>
      <w:r w:rsidRPr="0062595A">
        <w:rPr>
          <w:rFonts w:eastAsia="MS Mincho" w:cs="Calibri"/>
          <w:sz w:val="22"/>
          <w:szCs w:val="22"/>
        </w:rPr>
        <w:t>These initiatives foster collaboration between academia and industry, driving research and development while accelerating the transition of cutting-edge innovations from the lab to the market.</w:t>
      </w:r>
      <w:r w:rsidRPr="0062595A">
        <w:rPr>
          <w:rFonts w:eastAsia="Calibri" w:cs="Calibri"/>
          <w:kern w:val="3"/>
          <w:sz w:val="22"/>
          <w:szCs w:val="22"/>
        </w:rPr>
        <w:t xml:space="preserve"> Among the initiatives highlighted above, there are additional opportunities, including science and technology research, training, publications, events, and many others across ITU, to engage academia.</w:t>
      </w:r>
    </w:p>
    <w:p w14:paraId="2A46DA85" w14:textId="77777777" w:rsidR="0062595A" w:rsidRPr="0062595A" w:rsidRDefault="0062595A" w:rsidP="00C5530E">
      <w:pPr>
        <w:suppressAutoHyphens/>
        <w:adjustRightInd/>
        <w:spacing w:before="240" w:after="120"/>
        <w:jc w:val="both"/>
        <w:rPr>
          <w:rFonts w:eastAsia="MS Mincho" w:cs="Calibri"/>
          <w:b/>
          <w:sz w:val="22"/>
          <w:szCs w:val="22"/>
        </w:rPr>
      </w:pPr>
      <w:r w:rsidRPr="0062595A">
        <w:rPr>
          <w:rFonts w:eastAsia="MS Mincho" w:cs="Calibri"/>
          <w:b/>
          <w:sz w:val="22"/>
          <w:szCs w:val="22"/>
        </w:rPr>
        <w:t>The Academic Advisory Board on Emerging Technologies</w:t>
      </w:r>
    </w:p>
    <w:p w14:paraId="7B39DDE7" w14:textId="77777777" w:rsidR="0062595A" w:rsidRPr="0062595A" w:rsidRDefault="0062595A" w:rsidP="00C5530E">
      <w:pPr>
        <w:suppressAutoHyphens/>
        <w:adjustRightInd/>
        <w:spacing w:after="120"/>
        <w:jc w:val="both"/>
        <w:rPr>
          <w:rFonts w:eastAsia="MS Mincho"/>
          <w:sz w:val="22"/>
        </w:rPr>
      </w:pPr>
      <w:hyperlink r:id="rId323" w:history="1">
        <w:r w:rsidRPr="0062595A">
          <w:rPr>
            <w:rFonts w:eastAsia="Calibri" w:cs="Calibri"/>
            <w:color w:val="0563C1"/>
            <w:sz w:val="22"/>
            <w:szCs w:val="22"/>
            <w:u w:val="single"/>
          </w:rPr>
          <w:t>The Academic Advisory Body on Emerging Technologies</w:t>
        </w:r>
      </w:hyperlink>
      <w:r w:rsidRPr="0062595A">
        <w:rPr>
          <w:rFonts w:eastAsia="Calibri" w:cs="Calibri"/>
          <w:sz w:val="22"/>
          <w:szCs w:val="22"/>
        </w:rPr>
        <w:t xml:space="preserve"> was launched in September 2025 to produce informative policy briefs and forward-looking analyses on the evolving role and impact of innovation. The Academic Advisory Body brings together 26 leading experts from different world regions to examine how emerging technologies can best serve society.</w:t>
      </w:r>
    </w:p>
    <w:p w14:paraId="7602F2F5" w14:textId="77777777" w:rsidR="0062595A" w:rsidRPr="0062595A" w:rsidRDefault="0062595A" w:rsidP="00C5530E">
      <w:pPr>
        <w:suppressAutoHyphens/>
        <w:adjustRightInd/>
        <w:spacing w:before="240" w:after="120"/>
        <w:jc w:val="both"/>
        <w:rPr>
          <w:rFonts w:eastAsia="MS Mincho"/>
          <w:sz w:val="22"/>
        </w:rPr>
      </w:pPr>
      <w:r w:rsidRPr="0062595A">
        <w:rPr>
          <w:rFonts w:eastAsia="Calibri" w:cs="Calibri"/>
          <w:b/>
          <w:kern w:val="3"/>
          <w:sz w:val="22"/>
          <w:szCs w:val="22"/>
        </w:rPr>
        <w:t>Capstone Projects</w:t>
      </w:r>
    </w:p>
    <w:p w14:paraId="6A2F8D93" w14:textId="77777777" w:rsidR="0062595A" w:rsidRPr="0062595A" w:rsidRDefault="0062595A" w:rsidP="00C5530E">
      <w:pPr>
        <w:suppressAutoHyphens/>
        <w:adjustRightInd/>
        <w:spacing w:after="120"/>
        <w:jc w:val="both"/>
        <w:rPr>
          <w:rFonts w:eastAsia="MS Mincho"/>
          <w:sz w:val="22"/>
        </w:rPr>
      </w:pPr>
      <w:r w:rsidRPr="0062595A">
        <w:rPr>
          <w:rFonts w:eastAsia="Calibri" w:cs="Calibri"/>
          <w:kern w:val="3"/>
          <w:sz w:val="22"/>
          <w:szCs w:val="22"/>
        </w:rPr>
        <w:t>There is also an opportunity to collaborate on capstone projects that serve as a bridge between academic learning and real-world challenges. These projects provide students with hands-on experience by working on pressing global issues. ITU proposes real-world challenges, enabling students to apply their knowledge, develop innovative solutions, and gain practical experience.</w:t>
      </w:r>
    </w:p>
    <w:p w14:paraId="3D5721E2" w14:textId="12DBBF1C" w:rsidR="0062595A" w:rsidRPr="0062595A" w:rsidRDefault="0062595A" w:rsidP="00C5530E">
      <w:pPr>
        <w:keepNext/>
        <w:keepLines/>
        <w:suppressAutoHyphens/>
        <w:adjustRightInd/>
        <w:spacing w:before="240" w:after="120"/>
        <w:ind w:left="1134" w:hanging="1134"/>
        <w:jc w:val="both"/>
        <w:outlineLvl w:val="3"/>
        <w:rPr>
          <w:rFonts w:eastAsia="MS Mincho"/>
          <w:b/>
          <w:color w:val="0D0D0D"/>
          <w:sz w:val="22"/>
        </w:rPr>
      </w:pPr>
      <w:r w:rsidRPr="0062595A">
        <w:rPr>
          <w:rFonts w:eastAsia="MS Mincho"/>
          <w:b/>
          <w:color w:val="0D0D0D"/>
          <w:sz w:val="22"/>
        </w:rPr>
        <w:t>4.8.5.1</w:t>
      </w:r>
      <w:r w:rsidR="00961632">
        <w:rPr>
          <w:rFonts w:eastAsia="MS Mincho"/>
          <w:b/>
          <w:color w:val="0D0D0D"/>
          <w:sz w:val="22"/>
        </w:rPr>
        <w:t xml:space="preserve"> </w:t>
      </w:r>
      <w:r w:rsidRPr="0062595A">
        <w:rPr>
          <w:rFonts w:eastAsia="MS Mincho"/>
          <w:b/>
          <w:color w:val="0D0D0D"/>
          <w:sz w:val="22"/>
          <w:szCs w:val="18"/>
          <w:lang w:eastAsia="en-GB"/>
        </w:rPr>
        <w:t>ITU Journal</w:t>
      </w:r>
    </w:p>
    <w:p w14:paraId="52BBC101"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The </w:t>
      </w:r>
      <w:hyperlink r:id="rId324" w:history="1">
        <w:r w:rsidRPr="0062595A">
          <w:rPr>
            <w:rFonts w:eastAsia="MS Mincho"/>
            <w:color w:val="0563C1"/>
            <w:sz w:val="22"/>
            <w:u w:val="single"/>
          </w:rPr>
          <w:t>ITU Journal on Future and Evolving Technologies (ITU J-FET)</w:t>
        </w:r>
      </w:hyperlink>
      <w:r w:rsidRPr="0062595A">
        <w:rPr>
          <w:rFonts w:eastAsia="MS Mincho"/>
          <w:sz w:val="22"/>
        </w:rPr>
        <w:t xml:space="preserve"> continues to serve as an inclusive, high-quality platform for research on communications, networking, and emerging technologies. Published online on a quarterly basis and accepting submissions year-round, the journal provides comprehensive scientific coverage across all areas emerging relevant to ITU’s work like the metaverse and advances in AI, edge computing, and low-Earth orbit satellite networking, among others. ITU Journal is free of charge for both, readers and authors.</w:t>
      </w:r>
    </w:p>
    <w:p w14:paraId="07E81E68"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In addition to peer-reviewed research, the ITU Journal offers the </w:t>
      </w:r>
      <w:hyperlink r:id="rId325" w:history="1">
        <w:r w:rsidRPr="0062595A">
          <w:rPr>
            <w:rFonts w:eastAsia="MS Mincho"/>
            <w:color w:val="0563C1"/>
            <w:sz w:val="22"/>
            <w:u w:val="single"/>
          </w:rPr>
          <w:t>ITU Journal Webinars Series</w:t>
        </w:r>
      </w:hyperlink>
      <w:r w:rsidRPr="0062595A">
        <w:rPr>
          <w:rFonts w:eastAsia="MS Mincho"/>
          <w:sz w:val="22"/>
        </w:rPr>
        <w:t>, recorded webinar discussions featuring leading minds in academia and chief technology officers (CTOs). Since launching its special webinar series in 2022, the journal has hosted high-level talks with organizations such as NTT DOCOMO, the O-RAN Alliance, GSMA, Nokia, and China Mobile, as well as with prestigious universities worldwide. These webinars complement the journal’s mission by fostering dialogue between researchers and industry leaders, promoting knowledge exchange, and supporting the global research community in exploring future and evolving technologies.</w:t>
      </w:r>
    </w:p>
    <w:p w14:paraId="6EE3237E" w14:textId="77777777" w:rsidR="0062595A" w:rsidRPr="0062595A" w:rsidRDefault="0062595A" w:rsidP="00C5530E">
      <w:pPr>
        <w:suppressAutoHyphens/>
        <w:adjustRightInd/>
        <w:spacing w:after="120"/>
        <w:jc w:val="both"/>
        <w:rPr>
          <w:rFonts w:eastAsia="MS Mincho"/>
          <w:sz w:val="22"/>
        </w:rPr>
      </w:pPr>
      <w:r w:rsidRPr="0062595A">
        <w:rPr>
          <w:rFonts w:eastAsia="Calibri" w:cs="Calibri"/>
          <w:sz w:val="22"/>
          <w:szCs w:val="22"/>
        </w:rPr>
        <w:t xml:space="preserve">Along with research articles, the journal includes </w:t>
      </w:r>
      <w:hyperlink r:id="rId326" w:history="1">
        <w:r w:rsidRPr="0062595A">
          <w:rPr>
            <w:rFonts w:eastAsia="MS Mincho" w:cs="Calibri"/>
            <w:color w:val="0563C1"/>
            <w:sz w:val="22"/>
            <w:szCs w:val="22"/>
            <w:u w:val="single"/>
          </w:rPr>
          <w:t>recorded webinar discussions</w:t>
        </w:r>
      </w:hyperlink>
      <w:r w:rsidRPr="0062595A">
        <w:rPr>
          <w:rFonts w:eastAsia="Calibri" w:cs="Calibri"/>
          <w:sz w:val="22"/>
          <w:szCs w:val="22"/>
        </w:rPr>
        <w:t xml:space="preserve"> with top-level researchers and industry leaders.</w:t>
      </w:r>
    </w:p>
    <w:p w14:paraId="1AD57CF5" w14:textId="20231978" w:rsidR="0062595A" w:rsidRPr="0062595A" w:rsidRDefault="0062595A" w:rsidP="00C5530E">
      <w:pPr>
        <w:keepNext/>
        <w:keepLines/>
        <w:suppressAutoHyphens/>
        <w:adjustRightInd/>
        <w:spacing w:before="240" w:after="120"/>
        <w:ind w:left="1134" w:hanging="1134"/>
        <w:jc w:val="both"/>
        <w:outlineLvl w:val="3"/>
        <w:rPr>
          <w:rFonts w:eastAsia="MS Mincho"/>
          <w:b/>
          <w:color w:val="0D0D0D"/>
          <w:sz w:val="22"/>
        </w:rPr>
      </w:pPr>
      <w:r w:rsidRPr="0062595A">
        <w:rPr>
          <w:rFonts w:eastAsia="MS Mincho"/>
          <w:b/>
          <w:color w:val="0D0D0D"/>
          <w:sz w:val="22"/>
        </w:rPr>
        <w:t>4.8.5.2</w:t>
      </w:r>
      <w:r w:rsidR="00961632">
        <w:rPr>
          <w:rFonts w:eastAsia="MS Mincho"/>
          <w:b/>
          <w:color w:val="0D0D0D"/>
          <w:lang w:eastAsia="en-GB"/>
        </w:rPr>
        <w:t xml:space="preserve"> </w:t>
      </w:r>
      <w:r w:rsidRPr="0062595A">
        <w:rPr>
          <w:rFonts w:eastAsia="MS Mincho"/>
          <w:b/>
          <w:color w:val="0D0D0D"/>
          <w:sz w:val="22"/>
          <w:szCs w:val="18"/>
          <w:lang w:eastAsia="en-GB"/>
        </w:rPr>
        <w:t>Kaleidoscope academic conference</w:t>
      </w:r>
    </w:p>
    <w:p w14:paraId="0B2770F0"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The </w:t>
      </w:r>
      <w:hyperlink r:id="rId327" w:history="1">
        <w:r w:rsidRPr="0062595A">
          <w:rPr>
            <w:rFonts w:eastAsia="MS Mincho"/>
            <w:color w:val="0563C1"/>
            <w:sz w:val="22"/>
            <w:u w:val="single"/>
          </w:rPr>
          <w:t>ITU Kaleidoscope</w:t>
        </w:r>
      </w:hyperlink>
      <w:r w:rsidRPr="0062595A">
        <w:rPr>
          <w:rFonts w:eastAsia="MS Mincho"/>
          <w:sz w:val="22"/>
        </w:rPr>
        <w:t xml:space="preserve"> academic conference series, technically co-sponsored by IEEE and the IEEE Communications Society, continued to showcase emerging research trends and their relevance for international standardization across the last few years. </w:t>
      </w:r>
      <w:hyperlink r:id="rId328" w:history="1">
        <w:r w:rsidRPr="0062595A">
          <w:rPr>
            <w:rFonts w:eastAsia="MS Mincho"/>
            <w:color w:val="0563C1"/>
            <w:sz w:val="22"/>
            <w:u w:val="single"/>
          </w:rPr>
          <w:t>Kaleidoscope 2022</w:t>
        </w:r>
      </w:hyperlink>
      <w:r w:rsidRPr="0062595A">
        <w:rPr>
          <w:rFonts w:eastAsia="MS Mincho"/>
          <w:sz w:val="22"/>
        </w:rPr>
        <w:t xml:space="preserve">, held in Accra, Ghana, explored innovation for the metaverse through keynote sessions, paper presentations, demos, and student exhibits. Building on this, </w:t>
      </w:r>
      <w:hyperlink r:id="rId329" w:history="1">
        <w:r w:rsidRPr="0062595A">
          <w:rPr>
            <w:rFonts w:eastAsia="MS Mincho"/>
            <w:color w:val="0563C1"/>
            <w:sz w:val="22"/>
            <w:u w:val="single"/>
          </w:rPr>
          <w:t>Kaleidoscope 2024</w:t>
        </w:r>
      </w:hyperlink>
      <w:r w:rsidRPr="0062595A">
        <w:rPr>
          <w:rFonts w:eastAsia="MS Mincho"/>
          <w:sz w:val="22"/>
        </w:rPr>
        <w:t xml:space="preserve">, organized in New Delhi alongside WTSA-24, focused on innovation and digital transformation for a sustainable world, featuring a special session </w:t>
      </w:r>
      <w:r w:rsidRPr="0062595A">
        <w:rPr>
          <w:rFonts w:eastAsia="MS Mincho"/>
          <w:sz w:val="22"/>
        </w:rPr>
        <w:lastRenderedPageBreak/>
        <w:t>on engaging youth in standards development and supporting the next generation of consensus builders, emphasizing the role of digital technologies in tackling global challenges and the urgent need to connect the remaining one-third of the world’s population still offline, reinforcing Kaleidoscope as a key platform linking academic research with global standardization priorities. In 2025 the 16</w:t>
      </w:r>
      <w:r w:rsidRPr="0062595A">
        <w:rPr>
          <w:rFonts w:eastAsia="MS Mincho"/>
          <w:sz w:val="22"/>
          <w:vertAlign w:val="superscript"/>
        </w:rPr>
        <w:t>th</w:t>
      </w:r>
      <w:r w:rsidRPr="0062595A">
        <w:rPr>
          <w:rFonts w:eastAsia="MS Mincho"/>
          <w:sz w:val="22"/>
        </w:rPr>
        <w:t xml:space="preserve"> edition of the conference, </w:t>
      </w:r>
      <w:hyperlink r:id="rId330" w:history="1">
        <w:r w:rsidRPr="0062595A">
          <w:rPr>
            <w:rFonts w:eastAsia="MS Mincho"/>
            <w:color w:val="0563C1"/>
            <w:sz w:val="22"/>
            <w:szCs w:val="22"/>
            <w:u w:val="single"/>
          </w:rPr>
          <w:t>AI and frontier technologies for good</w:t>
        </w:r>
      </w:hyperlink>
      <w:r w:rsidRPr="0062595A">
        <w:rPr>
          <w:rFonts w:eastAsia="MS Mincho"/>
          <w:sz w:val="22"/>
          <w:szCs w:val="22"/>
        </w:rPr>
        <w:t>,</w:t>
      </w:r>
      <w:r w:rsidRPr="0062595A">
        <w:rPr>
          <w:rFonts w:eastAsia="MS Mincho"/>
          <w:sz w:val="22"/>
        </w:rPr>
        <w:t xml:space="preserve"> was launched. Kaleidoscope 2026 will be hosted by the </w:t>
      </w:r>
      <w:hyperlink r:id="rId331" w:history="1">
        <w:r w:rsidRPr="0062595A">
          <w:rPr>
            <w:rFonts w:eastAsia="MS Mincho"/>
            <w:color w:val="0563C1"/>
            <w:sz w:val="22"/>
            <w:u w:val="single"/>
          </w:rPr>
          <w:t>AI for Good Global Summit 2026</w:t>
        </w:r>
      </w:hyperlink>
      <w:r w:rsidRPr="0062595A">
        <w:rPr>
          <w:rFonts w:eastAsia="MS Mincho"/>
          <w:sz w:val="22"/>
        </w:rPr>
        <w:t xml:space="preserve"> in July and</w:t>
      </w:r>
      <w:r w:rsidRPr="0062595A">
        <w:rPr>
          <w:rFonts w:eastAsia="MS Mincho"/>
          <w:sz w:val="22"/>
          <w:szCs w:val="22"/>
        </w:rPr>
        <w:t xml:space="preserve"> will feature multidisciplinary research exploring how frontier technologies—such as artificial intelligence, brain–computer interfaces, embodied AI, autonomous driving, geospatial and space computing, and quantum information—interface with telecommunications. Participants will exchange ideas on these innovations, their socioeconomic impacts, the policies needed for sustainable development, and the ethical considerations guiding their use.</w:t>
      </w:r>
    </w:p>
    <w:p w14:paraId="032467EE" w14:textId="092E5AE0" w:rsidR="0062595A" w:rsidRPr="0062595A" w:rsidRDefault="0062595A" w:rsidP="00C5530E">
      <w:pPr>
        <w:keepNext/>
        <w:keepLines/>
        <w:suppressAutoHyphens/>
        <w:adjustRightInd/>
        <w:spacing w:before="240" w:after="120"/>
        <w:ind w:left="1134" w:hanging="1134"/>
        <w:jc w:val="both"/>
        <w:outlineLvl w:val="3"/>
        <w:rPr>
          <w:rFonts w:eastAsia="MS Mincho"/>
          <w:b/>
          <w:color w:val="0D0D0D"/>
          <w:sz w:val="22"/>
        </w:rPr>
      </w:pPr>
      <w:bookmarkStart w:id="98" w:name="_Toc37860464"/>
      <w:bookmarkStart w:id="99" w:name="_Toc37861225"/>
      <w:bookmarkStart w:id="100" w:name="_Toc37943348"/>
      <w:bookmarkStart w:id="101" w:name="_Toc1628990078"/>
      <w:bookmarkStart w:id="102" w:name="Section_4_8_5_3"/>
      <w:r w:rsidRPr="0062595A">
        <w:rPr>
          <w:rFonts w:eastAsia="MS Mincho"/>
          <w:b/>
          <w:color w:val="0D0D0D"/>
          <w:sz w:val="22"/>
          <w:lang w:eastAsia="en-GB"/>
        </w:rPr>
        <w:t>4.8.</w:t>
      </w:r>
      <w:r w:rsidRPr="0062595A">
        <w:rPr>
          <w:rFonts w:eastAsia="MS Mincho"/>
          <w:b/>
          <w:color w:val="0D0D0D"/>
          <w:sz w:val="22"/>
        </w:rPr>
        <w:t>5.3</w:t>
      </w:r>
      <w:r w:rsidR="00961632">
        <w:rPr>
          <w:rFonts w:eastAsia="MS Mincho"/>
          <w:b/>
          <w:color w:val="0D0D0D"/>
          <w:sz w:val="22"/>
          <w:lang w:eastAsia="en-GB"/>
        </w:rPr>
        <w:t xml:space="preserve"> </w:t>
      </w:r>
      <w:r w:rsidRPr="0062595A">
        <w:rPr>
          <w:rFonts w:eastAsia="MS Mincho"/>
          <w:b/>
          <w:color w:val="0D0D0D"/>
          <w:sz w:val="22"/>
          <w:lang w:eastAsia="en-GB"/>
        </w:rPr>
        <w:t>Seminars and workshops</w:t>
      </w:r>
      <w:bookmarkEnd w:id="98"/>
      <w:bookmarkEnd w:id="99"/>
      <w:bookmarkEnd w:id="100"/>
      <w:bookmarkEnd w:id="101"/>
      <w:r w:rsidRPr="0062595A">
        <w:rPr>
          <w:rFonts w:eastAsia="MS Mincho"/>
          <w:b/>
          <w:color w:val="0D0D0D"/>
          <w:sz w:val="22"/>
          <w:lang w:eastAsia="en-GB"/>
        </w:rPr>
        <w:t>: Diving deeper</w:t>
      </w:r>
      <w:bookmarkEnd w:id="102"/>
    </w:p>
    <w:p w14:paraId="26B3C68A" w14:textId="77777777" w:rsidR="0062595A" w:rsidRPr="0062595A" w:rsidRDefault="0062595A" w:rsidP="00C5530E">
      <w:pPr>
        <w:suppressAutoHyphens/>
        <w:adjustRightInd/>
        <w:spacing w:after="120"/>
        <w:jc w:val="both"/>
        <w:rPr>
          <w:rFonts w:eastAsia="MS Mincho"/>
          <w:sz w:val="22"/>
          <w:szCs w:val="22"/>
        </w:rPr>
      </w:pPr>
      <w:r w:rsidRPr="181B6A0C">
        <w:rPr>
          <w:rFonts w:eastAsia="MS Mincho"/>
          <w:sz w:val="22"/>
          <w:szCs w:val="22"/>
        </w:rPr>
        <w:t>In-depth seminars and workshops are vital to ITU’s engagement across the radiocommunication, standardization and development sectors</w:t>
      </w:r>
    </w:p>
    <w:p w14:paraId="59D47500" w14:textId="77777777" w:rsidR="0062595A" w:rsidRPr="0062595A" w:rsidRDefault="0062595A" w:rsidP="00C5530E">
      <w:pPr>
        <w:keepNext/>
        <w:keepLines/>
        <w:suppressAutoHyphens/>
        <w:adjustRightInd/>
        <w:spacing w:before="240" w:after="120"/>
        <w:ind w:left="567" w:hanging="567"/>
        <w:jc w:val="both"/>
        <w:outlineLvl w:val="4"/>
        <w:rPr>
          <w:rFonts w:eastAsia="MS Mincho"/>
          <w:b/>
          <w:sz w:val="22"/>
          <w:szCs w:val="22"/>
        </w:rPr>
      </w:pPr>
      <w:r w:rsidRPr="0062595A">
        <w:rPr>
          <w:rFonts w:eastAsia="MS Mincho"/>
          <w:b/>
          <w:sz w:val="22"/>
          <w:szCs w:val="22"/>
        </w:rPr>
        <w:t>ITU-R</w:t>
      </w:r>
    </w:p>
    <w:p w14:paraId="46995BD0" w14:textId="77777777" w:rsidR="0062595A" w:rsidRPr="0062595A" w:rsidRDefault="0062595A" w:rsidP="00C5530E">
      <w:pPr>
        <w:suppressAutoHyphens/>
        <w:adjustRightInd/>
        <w:spacing w:after="120"/>
        <w:jc w:val="both"/>
        <w:rPr>
          <w:rFonts w:eastAsia="Calibri" w:cs="Calibri"/>
          <w:b/>
          <w:color w:val="000000"/>
          <w:sz w:val="22"/>
          <w:szCs w:val="22"/>
        </w:rPr>
      </w:pPr>
      <w:r w:rsidRPr="0062595A">
        <w:rPr>
          <w:rFonts w:eastAsia="Calibri" w:cs="Calibri"/>
          <w:b/>
          <w:color w:val="000000"/>
          <w:sz w:val="22"/>
          <w:szCs w:val="22"/>
        </w:rPr>
        <w:t>Seminars</w:t>
      </w:r>
    </w:p>
    <w:p w14:paraId="04641A1A" w14:textId="77777777" w:rsidR="0062595A" w:rsidRPr="0062595A" w:rsidRDefault="0062595A" w:rsidP="00C5530E">
      <w:pPr>
        <w:suppressAutoHyphens/>
        <w:adjustRightInd/>
        <w:spacing w:after="120"/>
        <w:jc w:val="both"/>
        <w:rPr>
          <w:rFonts w:eastAsia="MS Mincho"/>
          <w:sz w:val="22"/>
        </w:rPr>
      </w:pPr>
      <w:r w:rsidRPr="0062595A">
        <w:rPr>
          <w:rFonts w:eastAsia="Calibri" w:cs="Calibri"/>
          <w:color w:val="000000"/>
          <w:sz w:val="22"/>
          <w:szCs w:val="22"/>
        </w:rPr>
        <w:t>ITU-R delivered a robust programme of world and regional radiocommunication seminars to strengthen global understanding of the Radio Regulations and the management of radio-frequency spectrum and satellite orbits. Activities included the World Radiocommunication Seminar (</w:t>
      </w:r>
      <w:hyperlink r:id="rId332" w:history="1">
        <w:r w:rsidRPr="0062595A">
          <w:rPr>
            <w:rFonts w:eastAsia="Calibri" w:cs="Calibri"/>
            <w:color w:val="0563C1"/>
            <w:sz w:val="22"/>
            <w:szCs w:val="22"/>
            <w:u w:val="single"/>
          </w:rPr>
          <w:t>WRS-22</w:t>
        </w:r>
      </w:hyperlink>
      <w:r w:rsidRPr="0062595A">
        <w:rPr>
          <w:rFonts w:eastAsia="MS Mincho"/>
          <w:sz w:val="22"/>
        </w:rPr>
        <w:t>)</w:t>
      </w:r>
      <w:r w:rsidRPr="0062595A">
        <w:rPr>
          <w:rFonts w:eastAsia="Calibri" w:cs="Calibri"/>
          <w:color w:val="000000"/>
          <w:sz w:val="22"/>
          <w:szCs w:val="22"/>
        </w:rPr>
        <w:t xml:space="preserve"> and the </w:t>
      </w:r>
      <w:hyperlink r:id="rId333" w:history="1">
        <w:r w:rsidRPr="0062595A">
          <w:rPr>
            <w:rFonts w:eastAsia="MS Mincho"/>
            <w:color w:val="0563C1"/>
            <w:sz w:val="22"/>
            <w:u w:val="single"/>
          </w:rPr>
          <w:t>Regional Radiocommunication Seminars</w:t>
        </w:r>
      </w:hyperlink>
      <w:r w:rsidRPr="0062595A">
        <w:rPr>
          <w:rFonts w:eastAsia="Calibri" w:cs="Calibri"/>
          <w:color w:val="000000"/>
          <w:sz w:val="22"/>
          <w:szCs w:val="22"/>
        </w:rPr>
        <w:t xml:space="preserve"> for the </w:t>
      </w:r>
      <w:hyperlink r:id="rId334" w:history="1">
        <w:r w:rsidRPr="0062595A">
          <w:rPr>
            <w:rFonts w:eastAsia="MS Mincho"/>
            <w:color w:val="0563C1"/>
            <w:sz w:val="22"/>
            <w:szCs w:val="22"/>
            <w:u w:val="single"/>
          </w:rPr>
          <w:t>Arab States</w:t>
        </w:r>
      </w:hyperlink>
      <w:r w:rsidRPr="0062595A">
        <w:rPr>
          <w:rFonts w:eastAsia="MS Mincho"/>
          <w:sz w:val="22"/>
          <w:szCs w:val="22"/>
        </w:rPr>
        <w:t xml:space="preserve">, </w:t>
      </w:r>
      <w:hyperlink r:id="rId335" w:history="1">
        <w:r w:rsidRPr="0062595A">
          <w:rPr>
            <w:rFonts w:eastAsia="MS Mincho"/>
            <w:color w:val="0563C1"/>
            <w:sz w:val="22"/>
            <w:szCs w:val="22"/>
            <w:u w:val="single"/>
          </w:rPr>
          <w:t>Europe</w:t>
        </w:r>
      </w:hyperlink>
      <w:r w:rsidRPr="0062595A">
        <w:rPr>
          <w:rFonts w:eastAsia="MS Mincho"/>
          <w:sz w:val="22"/>
          <w:szCs w:val="22"/>
        </w:rPr>
        <w:t xml:space="preserve">, </w:t>
      </w:r>
      <w:hyperlink r:id="rId336" w:history="1">
        <w:r w:rsidRPr="0062595A">
          <w:rPr>
            <w:rFonts w:eastAsia="MS Mincho"/>
            <w:color w:val="0563C1"/>
            <w:sz w:val="22"/>
            <w:szCs w:val="22"/>
            <w:u w:val="single"/>
          </w:rPr>
          <w:t>Asia-Pacific</w:t>
        </w:r>
      </w:hyperlink>
      <w:r w:rsidRPr="0062595A">
        <w:rPr>
          <w:rFonts w:eastAsia="Calibri" w:cs="Calibri"/>
          <w:color w:val="000000"/>
          <w:sz w:val="22"/>
          <w:szCs w:val="22"/>
        </w:rPr>
        <w:t xml:space="preserve">, and later for the </w:t>
      </w:r>
      <w:hyperlink r:id="rId337" w:history="1">
        <w:r w:rsidRPr="0062595A">
          <w:rPr>
            <w:rFonts w:eastAsia="MS Mincho"/>
            <w:color w:val="0563C1"/>
            <w:sz w:val="22"/>
            <w:szCs w:val="22"/>
            <w:u w:val="single"/>
          </w:rPr>
          <w:t>Americas</w:t>
        </w:r>
      </w:hyperlink>
      <w:r w:rsidRPr="0062595A">
        <w:rPr>
          <w:rFonts w:eastAsia="Calibri" w:cs="Calibri"/>
          <w:color w:val="000000"/>
          <w:sz w:val="22"/>
          <w:szCs w:val="22"/>
        </w:rPr>
        <w:t xml:space="preserve">, </w:t>
      </w:r>
      <w:hyperlink r:id="rId338" w:history="1">
        <w:r w:rsidRPr="0062595A">
          <w:rPr>
            <w:rFonts w:eastAsia="MS Mincho"/>
            <w:color w:val="0563C1"/>
            <w:sz w:val="22"/>
            <w:szCs w:val="22"/>
            <w:u w:val="single"/>
          </w:rPr>
          <w:t>Africa</w:t>
        </w:r>
      </w:hyperlink>
      <w:r w:rsidRPr="0062595A">
        <w:rPr>
          <w:rFonts w:eastAsia="Calibri" w:cs="Calibri"/>
          <w:color w:val="000000"/>
          <w:sz w:val="22"/>
          <w:szCs w:val="22"/>
        </w:rPr>
        <w:t xml:space="preserve">, the </w:t>
      </w:r>
      <w:hyperlink r:id="rId339" w:history="1">
        <w:r w:rsidRPr="0062595A">
          <w:rPr>
            <w:rFonts w:eastAsia="Calibri" w:cs="Calibri"/>
            <w:color w:val="0563C1"/>
            <w:sz w:val="22"/>
            <w:szCs w:val="22"/>
            <w:u w:val="single"/>
          </w:rPr>
          <w:t>CIS region</w:t>
        </w:r>
      </w:hyperlink>
      <w:r w:rsidRPr="0062595A">
        <w:rPr>
          <w:rFonts w:eastAsia="Calibri" w:cs="Calibri"/>
          <w:color w:val="000000"/>
          <w:sz w:val="22"/>
          <w:szCs w:val="22"/>
        </w:rPr>
        <w:t xml:space="preserve">. These seminars offered hands-on training on ITU notification procedures, software tools, trends in radiocommunication services and databases, and provided regional forums addressing evolving radiocommunication trends. The latest World Radiocommunication Seminar, </w:t>
      </w:r>
      <w:hyperlink r:id="rId340" w:history="1">
        <w:r w:rsidRPr="0062595A">
          <w:rPr>
            <w:rFonts w:eastAsia="Calibri" w:cs="Calibri"/>
            <w:color w:val="0563C1"/>
            <w:sz w:val="22"/>
            <w:szCs w:val="22"/>
            <w:u w:val="single"/>
          </w:rPr>
          <w:t>WRS-24</w:t>
        </w:r>
      </w:hyperlink>
      <w:r w:rsidRPr="0062595A">
        <w:rPr>
          <w:rFonts w:eastAsia="Calibri" w:cs="Calibri"/>
          <w:color w:val="000000"/>
          <w:sz w:val="22"/>
          <w:szCs w:val="22"/>
        </w:rPr>
        <w:t>, convened in Geneva, complemented by outreach events to support regional capacity building.</w:t>
      </w:r>
    </w:p>
    <w:p w14:paraId="0F49FB44" w14:textId="77777777" w:rsidR="0062595A" w:rsidRPr="0062595A" w:rsidRDefault="0062595A" w:rsidP="00C5530E">
      <w:pPr>
        <w:suppressAutoHyphens/>
        <w:adjustRightInd/>
        <w:spacing w:after="120"/>
        <w:jc w:val="both"/>
        <w:rPr>
          <w:rFonts w:eastAsia="MS Mincho" w:cs="Calibri"/>
          <w:b/>
          <w:sz w:val="22"/>
          <w:szCs w:val="22"/>
        </w:rPr>
      </w:pPr>
      <w:r w:rsidRPr="0062595A">
        <w:rPr>
          <w:rFonts w:eastAsia="MS Mincho" w:cs="Calibri"/>
          <w:b/>
          <w:sz w:val="22"/>
          <w:szCs w:val="22"/>
        </w:rPr>
        <w:t>Workshops</w:t>
      </w:r>
    </w:p>
    <w:p w14:paraId="24390C70" w14:textId="7E2DB707" w:rsidR="0062595A" w:rsidRPr="0062595A" w:rsidRDefault="0062595A" w:rsidP="00C5530E">
      <w:pPr>
        <w:suppressAutoHyphens/>
        <w:adjustRightInd/>
        <w:spacing w:after="120"/>
        <w:jc w:val="both"/>
        <w:rPr>
          <w:rFonts w:eastAsia="MS Mincho"/>
          <w:sz w:val="22"/>
        </w:rPr>
      </w:pPr>
      <w:r w:rsidRPr="0062595A">
        <w:rPr>
          <w:rFonts w:eastAsia="MS Mincho" w:cs="Calibri"/>
          <w:sz w:val="22"/>
          <w:szCs w:val="22"/>
        </w:rPr>
        <w:t xml:space="preserve">ITU-R also expanded its thematic workshop programme, organizing Inter-regional Information Sessions on </w:t>
      </w:r>
      <w:hyperlink r:id="rId341" w:history="1">
        <w:r w:rsidRPr="0062595A">
          <w:rPr>
            <w:rFonts w:eastAsia="MS Mincho" w:cs="Calibri"/>
            <w:color w:val="0563C1"/>
            <w:sz w:val="22"/>
            <w:szCs w:val="22"/>
            <w:u w:val="single"/>
          </w:rPr>
          <w:t>WRC-27 Preparation</w:t>
        </w:r>
      </w:hyperlink>
      <w:r w:rsidRPr="0062595A">
        <w:rPr>
          <w:rFonts w:eastAsia="MS Mincho" w:cs="Calibri"/>
          <w:sz w:val="22"/>
          <w:szCs w:val="22"/>
        </w:rPr>
        <w:t>, “</w:t>
      </w:r>
      <w:hyperlink r:id="rId342" w:history="1">
        <w:r w:rsidRPr="0062595A">
          <w:rPr>
            <w:rFonts w:eastAsia="MS Mincho" w:cs="Calibri"/>
            <w:color w:val="0563C1"/>
            <w:sz w:val="22"/>
            <w:szCs w:val="22"/>
            <w:u w:val="single"/>
          </w:rPr>
          <w:t>ITU in Service of Space</w:t>
        </w:r>
      </w:hyperlink>
      <w:r w:rsidRPr="0062595A">
        <w:rPr>
          <w:rFonts w:eastAsia="MS Mincho" w:cs="Calibri"/>
          <w:sz w:val="22"/>
          <w:szCs w:val="22"/>
        </w:rPr>
        <w:t>”, “</w:t>
      </w:r>
      <w:hyperlink r:id="rId343" w:history="1">
        <w:r w:rsidRPr="0062595A">
          <w:rPr>
            <w:rFonts w:eastAsia="MS Mincho" w:cs="Calibri"/>
            <w:color w:val="0563C1"/>
            <w:sz w:val="22"/>
            <w:szCs w:val="22"/>
            <w:u w:val="single"/>
          </w:rPr>
          <w:t>Broadcasting in Times of Crisis</w:t>
        </w:r>
      </w:hyperlink>
      <w:r w:rsidRPr="0062595A">
        <w:rPr>
          <w:rFonts w:eastAsia="MS Mincho" w:cs="Calibri"/>
          <w:sz w:val="22"/>
          <w:szCs w:val="22"/>
        </w:rPr>
        <w:t>,”,</w:t>
      </w:r>
      <w:r w:rsidRPr="0062595A">
        <w:rPr>
          <w:rFonts w:eastAsia="MS Mincho"/>
          <w:sz w:val="22"/>
        </w:rPr>
        <w:t xml:space="preserve"> </w:t>
      </w:r>
      <w:r w:rsidRPr="0062595A">
        <w:rPr>
          <w:rFonts w:eastAsia="MS Mincho" w:cs="Calibri"/>
          <w:sz w:val="22"/>
        </w:rPr>
        <w:t>“</w:t>
      </w:r>
      <w:hyperlink r:id="rId344" w:history="1">
        <w:r w:rsidRPr="0062595A">
          <w:rPr>
            <w:rFonts w:eastAsia="MS Mincho" w:cs="Calibri"/>
            <w:color w:val="3789BD"/>
            <w:sz w:val="22"/>
            <w:szCs w:val="22"/>
            <w:u w:val="single"/>
            <w:shd w:val="clear" w:color="auto" w:fill="FFFFFF"/>
          </w:rPr>
          <w:t>ITU Workshop on the Future of Television for Europe</w:t>
        </w:r>
      </w:hyperlink>
      <w:r w:rsidR="00FD50B4">
        <w:t xml:space="preserve"> </w:t>
      </w:r>
      <w:r w:rsidRPr="0062595A">
        <w:rPr>
          <w:rFonts w:eastAsia="MS Mincho" w:cs="Calibri"/>
          <w:sz w:val="22"/>
          <w:szCs w:val="22"/>
          <w:shd w:val="clear" w:color="auto" w:fill="FFFFFF"/>
        </w:rPr>
        <w:t xml:space="preserve">together with </w:t>
      </w:r>
      <w:r w:rsidRPr="0062595A">
        <w:rPr>
          <w:rFonts w:eastAsia="MS Mincho" w:cs="Calibri"/>
          <w:sz w:val="22"/>
        </w:rPr>
        <w:t>“</w:t>
      </w:r>
      <w:hyperlink r:id="rId345" w:history="1">
        <w:r w:rsidRPr="00991A93">
          <w:rPr>
            <w:rStyle w:val="Hyperlink"/>
            <w:rFonts w:eastAsia="MS Mincho" w:cs="Calibri"/>
            <w:sz w:val="22"/>
            <w:szCs w:val="22"/>
            <w:shd w:val="clear" w:color="auto" w:fill="FFFFFF"/>
          </w:rPr>
          <w:t>D</w:t>
        </w:r>
        <w:r w:rsidRPr="00991A93">
          <w:rPr>
            <w:rStyle w:val="Hyperlink"/>
            <w:rFonts w:eastAsia="MS Mincho" w:cs="Calibri"/>
            <w:sz w:val="22"/>
            <w:szCs w:val="22"/>
          </w:rPr>
          <w:t>emonstrations on the Future of Broadcasting</w:t>
        </w:r>
      </w:hyperlink>
      <w:r w:rsidRPr="0062595A">
        <w:rPr>
          <w:rFonts w:eastAsia="MS Mincho" w:cs="Calibri"/>
          <w:sz w:val="22"/>
        </w:rPr>
        <w:t>”</w:t>
      </w:r>
      <w:r w:rsidRPr="0062595A">
        <w:rPr>
          <w:rFonts w:eastAsia="MS Mincho" w:cs="Calibri"/>
          <w:sz w:val="22"/>
          <w:szCs w:val="22"/>
          <w:shd w:val="clear" w:color="auto" w:fill="FFFFFF"/>
        </w:rPr>
        <w:t>,</w:t>
      </w:r>
      <w:r w:rsidRPr="0062595A">
        <w:rPr>
          <w:rFonts w:ascii="Arial" w:eastAsia="MS Mincho" w:hAnsi="Arial" w:cs="Arial"/>
          <w:sz w:val="18"/>
          <w:szCs w:val="18"/>
          <w:shd w:val="clear" w:color="auto" w:fill="FFFFFF"/>
        </w:rPr>
        <w:t xml:space="preserve"> </w:t>
      </w:r>
      <w:r w:rsidRPr="0062595A">
        <w:rPr>
          <w:rFonts w:eastAsia="MS Mincho"/>
          <w:sz w:val="22"/>
        </w:rPr>
        <w:t>“</w:t>
      </w:r>
      <w:hyperlink r:id="rId346" w:history="1">
        <w:r w:rsidRPr="0062595A">
          <w:rPr>
            <w:rFonts w:eastAsia="MS Mincho"/>
            <w:color w:val="0563C1"/>
            <w:sz w:val="22"/>
            <w:u w:val="single"/>
          </w:rPr>
          <w:t>ITU-R Workshop on Fixed Wireless Access Systems</w:t>
        </w:r>
      </w:hyperlink>
      <w:r w:rsidRPr="0062595A">
        <w:rPr>
          <w:rFonts w:eastAsia="MS Mincho"/>
          <w:sz w:val="22"/>
        </w:rPr>
        <w:t>”</w:t>
      </w:r>
      <w:r w:rsidRPr="0062595A">
        <w:rPr>
          <w:rFonts w:eastAsia="MS Mincho" w:cs="Calibri"/>
          <w:sz w:val="22"/>
          <w:szCs w:val="22"/>
        </w:rPr>
        <w:t xml:space="preserve"> alongside specialized workshops on </w:t>
      </w:r>
      <w:hyperlink r:id="rId347" w:history="1">
        <w:r w:rsidRPr="0062595A">
          <w:rPr>
            <w:rFonts w:eastAsia="MS Mincho" w:cs="Calibri"/>
            <w:color w:val="0563C1"/>
            <w:sz w:val="22"/>
            <w:szCs w:val="22"/>
            <w:u w:val="single"/>
          </w:rPr>
          <w:t>National Table of Frequency Allocation</w:t>
        </w:r>
      </w:hyperlink>
      <w:r w:rsidRPr="0062595A">
        <w:rPr>
          <w:rFonts w:eastAsia="MS Mincho" w:cs="Calibri"/>
          <w:sz w:val="22"/>
          <w:szCs w:val="22"/>
        </w:rPr>
        <w:t xml:space="preserve"> across all three ITU regions. Additional technical assistance in the years 2023 to 2025 notably included </w:t>
      </w:r>
      <w:hyperlink r:id="rId348" w:history="1">
        <w:r w:rsidRPr="0062595A">
          <w:rPr>
            <w:rFonts w:eastAsia="MS Mincho" w:cs="Calibri"/>
            <w:color w:val="0563C1"/>
            <w:sz w:val="22"/>
            <w:szCs w:val="22"/>
            <w:u w:val="single"/>
          </w:rPr>
          <w:t>support to the 16 Southern African Development Community (SADC) administrations</w:t>
        </w:r>
      </w:hyperlink>
      <w:r w:rsidRPr="0062595A">
        <w:rPr>
          <w:rFonts w:eastAsia="MS Mincho" w:cs="Calibri"/>
          <w:sz w:val="22"/>
          <w:szCs w:val="22"/>
        </w:rPr>
        <w:t xml:space="preserve"> for the SADC Shared Satellite Network initiative, through in-person workshops and virtual meetings. Further scientific sessions, such as the </w:t>
      </w:r>
      <w:hyperlink r:id="rId349" w:history="1">
        <w:r w:rsidRPr="0062595A">
          <w:rPr>
            <w:rFonts w:eastAsia="MS Mincho" w:cs="Calibri"/>
            <w:color w:val="0563C1"/>
            <w:sz w:val="22"/>
            <w:szCs w:val="22"/>
            <w:u w:val="single"/>
          </w:rPr>
          <w:t>WMO-ITU Seminar on Earth Observation for SDGs</w:t>
        </w:r>
      </w:hyperlink>
      <w:r w:rsidRPr="0062595A">
        <w:rPr>
          <w:rFonts w:eastAsia="MS Mincho" w:cs="Calibri"/>
          <w:sz w:val="22"/>
          <w:szCs w:val="22"/>
        </w:rPr>
        <w:t xml:space="preserve"> and the </w:t>
      </w:r>
      <w:hyperlink r:id="rId350" w:history="1">
        <w:r w:rsidRPr="0062595A">
          <w:rPr>
            <w:rFonts w:eastAsia="MS Mincho" w:cs="Calibri"/>
            <w:color w:val="0563C1"/>
            <w:sz w:val="22"/>
            <w:szCs w:val="22"/>
            <w:u w:val="single"/>
          </w:rPr>
          <w:t>ITU Workshop on Radioastronomy</w:t>
        </w:r>
      </w:hyperlink>
      <w:r w:rsidRPr="0062595A">
        <w:rPr>
          <w:rFonts w:eastAsia="MS Mincho" w:cs="Calibri"/>
          <w:sz w:val="22"/>
          <w:szCs w:val="22"/>
        </w:rPr>
        <w:t>, reinforced the Radiocommunication Bureau’s role in advancing radiocommunication knowledge and global spectrum coordination.</w:t>
      </w:r>
    </w:p>
    <w:p w14:paraId="3B9EE906" w14:textId="77777777" w:rsidR="0062595A" w:rsidRPr="0062595A" w:rsidRDefault="0062595A" w:rsidP="00C5530E">
      <w:pPr>
        <w:keepNext/>
        <w:keepLines/>
        <w:suppressAutoHyphens/>
        <w:adjustRightInd/>
        <w:spacing w:before="240" w:after="120"/>
        <w:jc w:val="both"/>
        <w:outlineLvl w:val="4"/>
        <w:rPr>
          <w:rFonts w:eastAsia="MS Mincho"/>
          <w:b/>
          <w:sz w:val="22"/>
          <w:szCs w:val="22"/>
        </w:rPr>
      </w:pPr>
      <w:bookmarkStart w:id="103" w:name="_Hlk72319163"/>
      <w:r w:rsidRPr="0062595A">
        <w:rPr>
          <w:rFonts w:eastAsia="MS Mincho"/>
          <w:b/>
          <w:sz w:val="22"/>
          <w:szCs w:val="22"/>
        </w:rPr>
        <w:t>ITU-T</w:t>
      </w:r>
    </w:p>
    <w:p w14:paraId="5A5E57D4"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18"/>
        </w:rPr>
        <w:t xml:space="preserve">ITU-T maintained a high level of engagement through increasingly diverse seminars, workshops, symposiums, and webinars. It organized many </w:t>
      </w:r>
      <w:hyperlink r:id="rId351" w:history="1">
        <w:r w:rsidRPr="0062595A">
          <w:rPr>
            <w:rFonts w:eastAsia="MS Mincho"/>
            <w:color w:val="0563C1"/>
            <w:sz w:val="22"/>
            <w:szCs w:val="18"/>
            <w:u w:val="single"/>
          </w:rPr>
          <w:t>non-statutory events</w:t>
        </w:r>
      </w:hyperlink>
      <w:r w:rsidRPr="0062595A">
        <w:rPr>
          <w:rFonts w:eastAsia="MS Mincho"/>
          <w:sz w:val="22"/>
          <w:szCs w:val="18"/>
        </w:rPr>
        <w:t xml:space="preserve">, virtual, hybrid, and in-person, highlighted by strong participation in the </w:t>
      </w:r>
      <w:hyperlink r:id="rId352" w:history="1">
        <w:r w:rsidRPr="0062595A">
          <w:rPr>
            <w:rFonts w:eastAsia="MS Mincho"/>
            <w:color w:val="0563C1"/>
            <w:sz w:val="22"/>
            <w:szCs w:val="18"/>
            <w:u w:val="single"/>
          </w:rPr>
          <w:t>DC3 Conference</w:t>
        </w:r>
      </w:hyperlink>
      <w:r w:rsidRPr="0062595A">
        <w:rPr>
          <w:rFonts w:eastAsia="MS Mincho"/>
          <w:sz w:val="22"/>
          <w:szCs w:val="18"/>
        </w:rPr>
        <w:t xml:space="preserve"> on digital currencies. Activity expanded further, with more than 100 workshops in </w:t>
      </w:r>
      <w:hyperlink r:id="rId353" w:history="1">
        <w:r w:rsidRPr="0062595A">
          <w:rPr>
            <w:rFonts w:eastAsia="MS Mincho"/>
            <w:color w:val="0563C1"/>
            <w:sz w:val="22"/>
            <w:szCs w:val="18"/>
            <w:u w:val="single"/>
          </w:rPr>
          <w:t>2022</w:t>
        </w:r>
      </w:hyperlink>
      <w:r w:rsidRPr="0062595A">
        <w:rPr>
          <w:rFonts w:eastAsia="MS Mincho"/>
          <w:sz w:val="22"/>
          <w:szCs w:val="18"/>
        </w:rPr>
        <w:t xml:space="preserve">, </w:t>
      </w:r>
      <w:hyperlink r:id="rId354" w:history="1">
        <w:r w:rsidRPr="0062595A">
          <w:rPr>
            <w:rFonts w:eastAsia="MS Mincho"/>
            <w:color w:val="0563C1"/>
            <w:sz w:val="22"/>
            <w:szCs w:val="18"/>
            <w:u w:val="single"/>
          </w:rPr>
          <w:t>2023</w:t>
        </w:r>
      </w:hyperlink>
      <w:r w:rsidRPr="0062595A">
        <w:rPr>
          <w:rFonts w:eastAsia="MS Mincho"/>
          <w:sz w:val="22"/>
        </w:rPr>
        <w:t>,</w:t>
      </w:r>
      <w:r w:rsidRPr="0062595A">
        <w:rPr>
          <w:rFonts w:eastAsia="MS Mincho"/>
          <w:sz w:val="22"/>
          <w:szCs w:val="18"/>
        </w:rPr>
        <w:t xml:space="preserve"> </w:t>
      </w:r>
      <w:hyperlink r:id="rId355" w:history="1">
        <w:r w:rsidRPr="0062595A">
          <w:rPr>
            <w:rFonts w:eastAsia="MS Mincho"/>
            <w:color w:val="0563C1"/>
            <w:sz w:val="22"/>
            <w:szCs w:val="18"/>
            <w:u w:val="single"/>
          </w:rPr>
          <w:t>2024</w:t>
        </w:r>
      </w:hyperlink>
      <w:r w:rsidRPr="0062595A">
        <w:rPr>
          <w:rFonts w:eastAsia="MS Mincho"/>
          <w:sz w:val="22"/>
        </w:rPr>
        <w:t xml:space="preserve"> and in </w:t>
      </w:r>
      <w:hyperlink r:id="rId356" w:history="1">
        <w:r w:rsidRPr="0062595A">
          <w:rPr>
            <w:rFonts w:eastAsia="MS Mincho"/>
            <w:color w:val="0563C1"/>
            <w:sz w:val="22"/>
            <w:u w:val="single"/>
          </w:rPr>
          <w:t>2025</w:t>
        </w:r>
      </w:hyperlink>
      <w:r w:rsidRPr="0062595A">
        <w:rPr>
          <w:rFonts w:eastAsia="MS Mincho"/>
          <w:sz w:val="22"/>
          <w:szCs w:val="18"/>
        </w:rPr>
        <w:t xml:space="preserve">, complementing the weekly year-round programming of the </w:t>
      </w:r>
      <w:hyperlink r:id="rId357" w:history="1">
        <w:r w:rsidRPr="0062595A">
          <w:rPr>
            <w:rFonts w:eastAsia="MS Mincho"/>
            <w:color w:val="0563C1"/>
            <w:sz w:val="22"/>
            <w:szCs w:val="18"/>
            <w:u w:val="single"/>
          </w:rPr>
          <w:t>AI for Good</w:t>
        </w:r>
      </w:hyperlink>
      <w:r w:rsidRPr="0062595A">
        <w:rPr>
          <w:rFonts w:eastAsia="MS Mincho"/>
          <w:sz w:val="22"/>
          <w:szCs w:val="18"/>
        </w:rPr>
        <w:t xml:space="preserve"> platform. These events strengthened collaboration with external partners, increased visibility of ITU-T’s standardization work, supported peer learning, and attracted new members. Collectively, they addressed emerging trends in global standardization and contributed to the development and implementation of international standards.</w:t>
      </w:r>
    </w:p>
    <w:p w14:paraId="705C593F" w14:textId="77777777" w:rsidR="0062595A" w:rsidRPr="0062595A" w:rsidRDefault="0062595A" w:rsidP="00C5530E">
      <w:pPr>
        <w:keepNext/>
        <w:keepLines/>
        <w:suppressAutoHyphens/>
        <w:adjustRightInd/>
        <w:spacing w:before="240" w:after="120"/>
        <w:jc w:val="both"/>
        <w:rPr>
          <w:rFonts w:eastAsia="MS Mincho"/>
          <w:b/>
          <w:sz w:val="22"/>
          <w:szCs w:val="22"/>
        </w:rPr>
      </w:pPr>
      <w:r w:rsidRPr="0062595A">
        <w:rPr>
          <w:rFonts w:eastAsia="MS Mincho"/>
          <w:b/>
          <w:sz w:val="22"/>
          <w:szCs w:val="22"/>
        </w:rPr>
        <w:lastRenderedPageBreak/>
        <w:t>ITU-D</w:t>
      </w:r>
      <w:bookmarkEnd w:id="103"/>
    </w:p>
    <w:bookmarkEnd w:id="97"/>
    <w:p w14:paraId="21D8C20C" w14:textId="385ACCD6" w:rsidR="0062595A" w:rsidRPr="0062595A" w:rsidRDefault="0062595A" w:rsidP="00C5530E">
      <w:pPr>
        <w:keepNext/>
        <w:keepLines/>
        <w:suppressAutoHyphens/>
        <w:adjustRightInd/>
        <w:spacing w:after="120"/>
        <w:jc w:val="both"/>
        <w:rPr>
          <w:rFonts w:eastAsia="MS Mincho"/>
          <w:sz w:val="22"/>
        </w:rPr>
      </w:pPr>
      <w:r w:rsidRPr="0062595A">
        <w:rPr>
          <w:rFonts w:eastAsia="MS Mincho"/>
          <w:sz w:val="22"/>
        </w:rPr>
        <w:fldChar w:fldCharType="begin"/>
      </w:r>
      <w:r w:rsidRPr="0062595A">
        <w:rPr>
          <w:rFonts w:eastAsia="MS Mincho"/>
          <w:sz w:val="22"/>
        </w:rPr>
        <w:instrText xml:space="preserve"> HYPERLINK  "https://www.itu.int/en/events/Pages/Calendar-Events.aspx?sector=ITU-D%5c" </w:instrText>
      </w:r>
      <w:r w:rsidRPr="0062595A">
        <w:rPr>
          <w:rFonts w:eastAsia="MS Mincho"/>
          <w:sz w:val="22"/>
        </w:rPr>
      </w:r>
      <w:r w:rsidRPr="0062595A">
        <w:rPr>
          <w:rFonts w:eastAsia="MS Mincho"/>
          <w:sz w:val="22"/>
        </w:rPr>
        <w:fldChar w:fldCharType="separate"/>
      </w:r>
      <w:r w:rsidRPr="0062595A">
        <w:rPr>
          <w:rFonts w:eastAsia="MS Mincho"/>
          <w:color w:val="0563C1"/>
          <w:sz w:val="22"/>
          <w:szCs w:val="18"/>
          <w:u w:val="single"/>
        </w:rPr>
        <w:t>ITU-D seminars and workshops</w:t>
      </w:r>
      <w:r w:rsidRPr="0062595A">
        <w:rPr>
          <w:rFonts w:eastAsia="MS Mincho"/>
          <w:sz w:val="22"/>
        </w:rPr>
        <w:fldChar w:fldCharType="end"/>
      </w:r>
      <w:r w:rsidRPr="0062595A">
        <w:rPr>
          <w:rFonts w:eastAsia="MS Mincho"/>
          <w:sz w:val="22"/>
          <w:szCs w:val="18"/>
        </w:rPr>
        <w:t xml:space="preserve"> continued to serve as essential mechanisms for capacity building and development support. In 2022, ITU’s Telecommunication Development Bureau (BDT) organized 57 events aligned with the </w:t>
      </w:r>
      <w:hyperlink r:id="rId358" w:history="1">
        <w:r w:rsidRPr="0062595A">
          <w:rPr>
            <w:rFonts w:eastAsia="MS Mincho"/>
            <w:color w:val="0563C1"/>
            <w:sz w:val="22"/>
            <w:szCs w:val="18"/>
            <w:u w:val="single"/>
          </w:rPr>
          <w:t>Buenos Aires Action Plan</w:t>
        </w:r>
      </w:hyperlink>
      <w:r w:rsidRPr="0062595A">
        <w:rPr>
          <w:rFonts w:eastAsia="MS Mincho"/>
          <w:sz w:val="22"/>
          <w:szCs w:val="18"/>
        </w:rPr>
        <w:t xml:space="preserve"> and in 2023 this number has reached to 143 with the implementation of projects and the </w:t>
      </w:r>
      <w:hyperlink r:id="rId359" w:history="1">
        <w:r w:rsidRPr="0062595A">
          <w:rPr>
            <w:rFonts w:eastAsia="MS Mincho"/>
            <w:color w:val="0563C1"/>
            <w:sz w:val="22"/>
            <w:szCs w:val="18"/>
            <w:u w:val="single"/>
          </w:rPr>
          <w:t>Kigali Action Plan</w:t>
        </w:r>
      </w:hyperlink>
      <w:r w:rsidRPr="0062595A">
        <w:rPr>
          <w:rFonts w:eastAsia="MS Mincho"/>
          <w:sz w:val="22"/>
          <w:szCs w:val="18"/>
        </w:rPr>
        <w:t xml:space="preserve">. By 2024, ITU-D had significantly expanded its engagement, delivering 211 events, including seminars, workshops, webinars, and forums, focused on advancing sustainable digital transformation. In 2025, the number of events peaked at 220 events which were structured as capacity-building sessions addressing cybersecurity, digital access, gender inclusion, youth empowerment, policy and regulation, environmental sustainability, and institutional strengthening. Highlights included </w:t>
      </w:r>
      <w:hyperlink r:id="rId360" w:history="1">
        <w:r w:rsidRPr="0062595A">
          <w:rPr>
            <w:rFonts w:eastAsia="MS Mincho"/>
            <w:color w:val="0563C1"/>
            <w:sz w:val="22"/>
            <w:szCs w:val="18"/>
            <w:u w:val="single"/>
          </w:rPr>
          <w:t>Cyber Drills</w:t>
        </w:r>
      </w:hyperlink>
      <w:r w:rsidRPr="0062595A">
        <w:rPr>
          <w:rFonts w:eastAsia="MS Mincho"/>
          <w:sz w:val="22"/>
          <w:szCs w:val="18"/>
        </w:rPr>
        <w:t xml:space="preserve"> across multiple regions, the Mainstreaming Gender in ICTs series</w:t>
      </w:r>
      <w:r w:rsidRPr="00CB4996">
        <w:rPr>
          <w:rFonts w:eastAsia="MS Mincho"/>
          <w:sz w:val="22"/>
          <w:szCs w:val="18"/>
        </w:rPr>
        <w:t xml:space="preserve">, </w:t>
      </w:r>
      <w:hyperlink r:id="rId361" w:history="1">
        <w:r w:rsidRPr="00CB4996">
          <w:rPr>
            <w:rStyle w:val="Hyperlink"/>
            <w:rFonts w:eastAsia="MS Mincho"/>
            <w:sz w:val="22"/>
            <w:szCs w:val="18"/>
          </w:rPr>
          <w:t>Girls in ICT Day</w:t>
        </w:r>
      </w:hyperlink>
      <w:r w:rsidRPr="00CB4996">
        <w:rPr>
          <w:rFonts w:eastAsia="MS Mincho"/>
          <w:sz w:val="22"/>
          <w:szCs w:val="18"/>
        </w:rPr>
        <w:t xml:space="preserve"> </w:t>
      </w:r>
      <w:r w:rsidRPr="0062595A">
        <w:rPr>
          <w:rFonts w:eastAsia="MS Mincho"/>
          <w:sz w:val="22"/>
          <w:szCs w:val="18"/>
        </w:rPr>
        <w:t xml:space="preserve">regional events, training on digital regulation, broadband and 5G stakeholder workshops, e-waste management seminars, and </w:t>
      </w:r>
      <w:hyperlink r:id="rId362" w:history="1">
        <w:proofErr w:type="spellStart"/>
        <w:r w:rsidRPr="0062595A">
          <w:rPr>
            <w:rFonts w:eastAsia="MS Mincho"/>
            <w:color w:val="0563C1"/>
            <w:sz w:val="22"/>
            <w:szCs w:val="18"/>
            <w:u w:val="single"/>
          </w:rPr>
          <w:t>GovStack</w:t>
        </w:r>
        <w:proofErr w:type="spellEnd"/>
      </w:hyperlink>
      <w:r w:rsidRPr="0062595A">
        <w:rPr>
          <w:rFonts w:eastAsia="MS Mincho"/>
          <w:sz w:val="22"/>
          <w:szCs w:val="18"/>
        </w:rPr>
        <w:t xml:space="preserve"> and ITU Academy Training Centre (</w:t>
      </w:r>
      <w:hyperlink r:id="rId363" w:history="1">
        <w:r w:rsidRPr="0062595A">
          <w:rPr>
            <w:rFonts w:eastAsia="MS Mincho"/>
            <w:color w:val="0563C1"/>
            <w:sz w:val="22"/>
            <w:szCs w:val="18"/>
            <w:u w:val="single"/>
          </w:rPr>
          <w:t>ATC) courses</w:t>
        </w:r>
      </w:hyperlink>
      <w:r w:rsidRPr="0062595A">
        <w:rPr>
          <w:rFonts w:eastAsia="MS Mincho"/>
          <w:sz w:val="22"/>
          <w:szCs w:val="18"/>
        </w:rPr>
        <w:t xml:space="preserve">. These initiatives provided practical knowledge, fostered collaboration, and supported Member States in building resilient, inclusive digital ecosystems. </w:t>
      </w:r>
    </w:p>
    <w:p w14:paraId="1398F917" w14:textId="77777777" w:rsidR="0062595A" w:rsidRPr="0062595A" w:rsidRDefault="0062595A" w:rsidP="004F28FD">
      <w:pPr>
        <w:keepNext/>
        <w:keepLines/>
        <w:pageBreakBefore/>
        <w:tabs>
          <w:tab w:val="clear" w:pos="567"/>
        </w:tabs>
        <w:suppressAutoHyphens/>
        <w:adjustRightInd/>
        <w:spacing w:before="480" w:after="360"/>
        <w:ind w:left="567" w:hanging="567"/>
        <w:jc w:val="both"/>
        <w:outlineLvl w:val="0"/>
        <w:rPr>
          <w:rFonts w:eastAsia="MS Mincho"/>
          <w:b/>
          <w:color w:val="365F91"/>
          <w:sz w:val="32"/>
          <w:szCs w:val="32"/>
        </w:rPr>
      </w:pPr>
      <w:bookmarkStart w:id="104" w:name="_Toc224288825"/>
      <w:r w:rsidRPr="5F5FCC2B">
        <w:rPr>
          <w:rFonts w:eastAsia="MS Mincho"/>
          <w:b/>
          <w:bCs/>
          <w:color w:val="365F91" w:themeColor="accent1" w:themeShade="BF"/>
          <w:sz w:val="32"/>
          <w:szCs w:val="32"/>
        </w:rPr>
        <w:lastRenderedPageBreak/>
        <w:t>5.</w:t>
      </w:r>
      <w:r>
        <w:rPr>
          <w:rFonts w:eastAsia="MS Mincho"/>
        </w:rPr>
        <w:tab/>
      </w:r>
      <w:r w:rsidRPr="5F5FCC2B">
        <w:rPr>
          <w:rFonts w:eastAsia="MS Mincho"/>
          <w:b/>
          <w:bCs/>
          <w:color w:val="365F91" w:themeColor="accent1" w:themeShade="BF"/>
          <w:sz w:val="32"/>
          <w:szCs w:val="32"/>
        </w:rPr>
        <w:t>Enablers</w:t>
      </w:r>
      <w:bookmarkEnd w:id="104"/>
    </w:p>
    <w:p w14:paraId="044AF628" w14:textId="16BDD472" w:rsidR="1171DE44" w:rsidRDefault="1171DE44" w:rsidP="5F5FCC2B">
      <w:pPr>
        <w:keepNext/>
        <w:keepLines/>
        <w:tabs>
          <w:tab w:val="clear" w:pos="567"/>
        </w:tabs>
        <w:spacing w:before="360" w:after="120"/>
        <w:jc w:val="both"/>
        <w:outlineLvl w:val="1"/>
        <w:rPr>
          <w:rFonts w:eastAsia="MS Mincho"/>
          <w:sz w:val="22"/>
          <w:szCs w:val="22"/>
        </w:rPr>
      </w:pPr>
      <w:r w:rsidRPr="5F5FCC2B">
        <w:rPr>
          <w:rFonts w:eastAsia="MS Mincho"/>
          <w:sz w:val="22"/>
          <w:szCs w:val="22"/>
        </w:rPr>
        <w:t xml:space="preserve">ITU's membership-driven approach, presence </w:t>
      </w:r>
      <w:r w:rsidR="5F618FFA" w:rsidRPr="5F5FCC2B">
        <w:rPr>
          <w:rFonts w:eastAsia="MS Mincho"/>
          <w:sz w:val="22"/>
          <w:szCs w:val="22"/>
        </w:rPr>
        <w:t xml:space="preserve">in regions </w:t>
      </w:r>
      <w:r w:rsidRPr="5F5FCC2B">
        <w:rPr>
          <w:rFonts w:eastAsia="MS Mincho"/>
          <w:sz w:val="22"/>
          <w:szCs w:val="22"/>
        </w:rPr>
        <w:t>worldwide, and commitment to bringing everyone to the table en</w:t>
      </w:r>
      <w:r w:rsidR="648AA64C" w:rsidRPr="5F5FCC2B">
        <w:rPr>
          <w:rFonts w:eastAsia="MS Mincho"/>
          <w:sz w:val="22"/>
          <w:szCs w:val="22"/>
        </w:rPr>
        <w:t>ables it to deliver on its goals and priorities effectively and efficiently.</w:t>
      </w:r>
    </w:p>
    <w:p w14:paraId="6F4D90FD" w14:textId="77777777" w:rsidR="0062595A" w:rsidRPr="0062595A" w:rsidRDefault="0062595A" w:rsidP="004F28FD">
      <w:pPr>
        <w:keepNext/>
        <w:keepLines/>
        <w:tabs>
          <w:tab w:val="clear" w:pos="567"/>
        </w:tabs>
        <w:suppressAutoHyphens/>
        <w:adjustRightInd/>
        <w:spacing w:before="360" w:after="120"/>
        <w:ind w:left="567" w:hanging="567"/>
        <w:jc w:val="both"/>
        <w:outlineLvl w:val="1"/>
        <w:rPr>
          <w:rFonts w:eastAsia="MS Mincho"/>
          <w:b/>
        </w:rPr>
      </w:pPr>
      <w:bookmarkStart w:id="105" w:name="_Toc224288826"/>
      <w:r w:rsidRPr="0062595A">
        <w:rPr>
          <w:rFonts w:eastAsia="MS Mincho"/>
          <w:b/>
        </w:rPr>
        <w:t>5.1</w:t>
      </w:r>
      <w:r w:rsidRPr="0062595A">
        <w:rPr>
          <w:rFonts w:eastAsia="MS Mincho"/>
          <w:b/>
        </w:rPr>
        <w:tab/>
        <w:t>Membership-driven approach</w:t>
      </w:r>
      <w:bookmarkEnd w:id="105"/>
    </w:p>
    <w:p w14:paraId="0DC02AD5" w14:textId="25929244" w:rsidR="0062595A" w:rsidRPr="0062595A" w:rsidRDefault="0062595A" w:rsidP="00C5530E">
      <w:pPr>
        <w:suppressAutoHyphens/>
        <w:adjustRightInd/>
        <w:spacing w:after="120"/>
        <w:jc w:val="both"/>
        <w:rPr>
          <w:rFonts w:eastAsia="MS Mincho"/>
          <w:sz w:val="22"/>
        </w:rPr>
      </w:pPr>
      <w:r w:rsidRPr="0062595A">
        <w:rPr>
          <w:rFonts w:eastAsia="MS Mincho"/>
          <w:sz w:val="22"/>
        </w:rPr>
        <w:t>In 2025, ITU reached its highest level of membership, with 1</w:t>
      </w:r>
      <w:r w:rsidR="00FD50B4">
        <w:rPr>
          <w:rFonts w:eastAsia="MS Mincho"/>
          <w:sz w:val="22"/>
        </w:rPr>
        <w:t> </w:t>
      </w:r>
      <w:r w:rsidRPr="0062595A">
        <w:rPr>
          <w:rFonts w:eastAsia="MS Mincho"/>
          <w:sz w:val="22"/>
        </w:rPr>
        <w:t>048 member entities accounting for 1</w:t>
      </w:r>
      <w:r w:rsidR="00FD50B4">
        <w:rPr>
          <w:rFonts w:eastAsia="MS Mincho"/>
          <w:sz w:val="22"/>
        </w:rPr>
        <w:t> </w:t>
      </w:r>
      <w:r w:rsidRPr="0062595A">
        <w:rPr>
          <w:rFonts w:eastAsia="MS Mincho"/>
          <w:sz w:val="22"/>
        </w:rPr>
        <w:t xml:space="preserve">386 Sector </w:t>
      </w:r>
      <w:r w:rsidR="00A53F39">
        <w:rPr>
          <w:rFonts w:eastAsia="MS Mincho"/>
          <w:sz w:val="22"/>
        </w:rPr>
        <w:t>M</w:t>
      </w:r>
      <w:r w:rsidRPr="0062595A">
        <w:rPr>
          <w:rFonts w:eastAsia="MS Mincho"/>
          <w:sz w:val="22"/>
        </w:rPr>
        <w:t xml:space="preserve">ember, Associate, and Academia memberships, with 402 new memberships (+139 net new memberships) between 2022 and 2025. Membership growth across sectors and regions reflects sustained engagement and commitment to ITU's objectives, despite challenges in retention and financial risks. </w:t>
      </w:r>
    </w:p>
    <w:p w14:paraId="2037D6AB"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The loss of 263 memberships between 2022 and 2025 underscores a constant risk to stability, both in the budget and in ongoing technical studies, as well as the need to maintain a membership-driven, responsive, service-oriented approach in ITU’s work. However, ITU’s membership has evolved and grown over time to reflect the global, changing digital ecosystem. With this evolution, ITU is continuously adapting its topics and working methods to remain a relevant global, neutral platform for its members. </w:t>
      </w:r>
    </w:p>
    <w:p w14:paraId="193314D2" w14:textId="2E23A328" w:rsidR="0062595A" w:rsidRPr="0062595A" w:rsidRDefault="0062595A" w:rsidP="00C5530E">
      <w:pPr>
        <w:suppressAutoHyphens/>
        <w:adjustRightInd/>
        <w:spacing w:after="120"/>
        <w:jc w:val="both"/>
        <w:rPr>
          <w:rFonts w:eastAsia="MS Mincho"/>
          <w:sz w:val="22"/>
        </w:rPr>
      </w:pPr>
      <w:r w:rsidRPr="0062595A">
        <w:rPr>
          <w:rFonts w:eastAsia="MS Mincho"/>
          <w:sz w:val="22"/>
        </w:rPr>
        <w:t>At end of 2025, ITU has reached 1</w:t>
      </w:r>
      <w:r w:rsidR="00FD50B4">
        <w:rPr>
          <w:rFonts w:eastAsia="MS Mincho"/>
          <w:sz w:val="22"/>
        </w:rPr>
        <w:t> </w:t>
      </w:r>
      <w:r w:rsidRPr="0062595A">
        <w:rPr>
          <w:rFonts w:eastAsia="MS Mincho"/>
          <w:sz w:val="22"/>
        </w:rPr>
        <w:t>048 distinct member entities (+102 new/+44 net new entities in a year) including Sector Members, Associates and Academia.</w:t>
      </w:r>
    </w:p>
    <w:p w14:paraId="57B286B1"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In the period from 2022 to 2025: </w:t>
      </w:r>
    </w:p>
    <w:p w14:paraId="76E61C4C" w14:textId="61FC90B3" w:rsidR="0062595A" w:rsidRPr="0062595A" w:rsidRDefault="0062595A" w:rsidP="004F28FD">
      <w:pPr>
        <w:numPr>
          <w:ilvl w:val="0"/>
          <w:numId w:val="30"/>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1</w:t>
      </w:r>
      <w:r w:rsidR="00FD50B4">
        <w:rPr>
          <w:rFonts w:eastAsia="PMingLiU"/>
          <w:sz w:val="22"/>
          <w:szCs w:val="22"/>
          <w:lang w:eastAsia="zh-TW"/>
        </w:rPr>
        <w:t> </w:t>
      </w:r>
      <w:r w:rsidRPr="0062595A">
        <w:rPr>
          <w:rFonts w:eastAsia="PMingLiU"/>
          <w:sz w:val="22"/>
          <w:szCs w:val="22"/>
          <w:lang w:eastAsia="zh-TW"/>
        </w:rPr>
        <w:t xml:space="preserve">386 memberships across all Sectors: +402 new and -263 either denounced or excluded. </w:t>
      </w:r>
    </w:p>
    <w:p w14:paraId="74D8944E" w14:textId="77777777" w:rsidR="0062595A" w:rsidRPr="0062595A" w:rsidRDefault="0062595A" w:rsidP="004F28FD">
      <w:pPr>
        <w:numPr>
          <w:ilvl w:val="0"/>
          <w:numId w:val="30"/>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Sector Members accounted for 42 per cent of all new memberships, Associates for 39 per cent and Academia for 19 per cent.</w:t>
      </w:r>
    </w:p>
    <w:p w14:paraId="33BE688D" w14:textId="77777777" w:rsidR="0062595A" w:rsidRPr="0062595A" w:rsidRDefault="0062595A" w:rsidP="004F28FD">
      <w:pPr>
        <w:numPr>
          <w:ilvl w:val="0"/>
          <w:numId w:val="30"/>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Positive trend across all sectors, with net new memberships of +34 in ITU-R, +21 in ITU-T, +57 in ITU-D, and +27 for Academia.</w:t>
      </w:r>
    </w:p>
    <w:p w14:paraId="2ABDB893" w14:textId="77777777" w:rsidR="0062595A" w:rsidRPr="0062595A" w:rsidRDefault="0062595A" w:rsidP="004F28FD">
      <w:pPr>
        <w:numPr>
          <w:ilvl w:val="0"/>
          <w:numId w:val="30"/>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 xml:space="preserve">Membership grew in all regions, though the overall increase was driven mainly by Asia and the </w:t>
      </w:r>
      <w:r w:rsidRPr="00FD50B4">
        <w:rPr>
          <w:rFonts w:eastAsia="PMingLiU"/>
          <w:spacing w:val="2"/>
          <w:sz w:val="22"/>
          <w:szCs w:val="22"/>
          <w:lang w:eastAsia="zh-TW"/>
        </w:rPr>
        <w:t>Pacific (+64 net new memberships: +153/-59), and Europe (+27 net new memberships: +116/-89),</w:t>
      </w:r>
      <w:r w:rsidRPr="0062595A">
        <w:rPr>
          <w:rFonts w:eastAsia="PMingLiU"/>
          <w:sz w:val="22"/>
          <w:szCs w:val="22"/>
          <w:lang w:eastAsia="zh-TW"/>
        </w:rPr>
        <w:t xml:space="preserve"> followed by international and regional organizations (+22 net new memberships: +26/-4).</w:t>
      </w:r>
    </w:p>
    <w:p w14:paraId="4B5EA097" w14:textId="7686CDBD" w:rsidR="0062595A" w:rsidRPr="0062595A" w:rsidRDefault="0062595A" w:rsidP="004F28FD">
      <w:pPr>
        <w:numPr>
          <w:ilvl w:val="0"/>
          <w:numId w:val="30"/>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 xml:space="preserve">Over the four-year period from 2022 to 2025, forecasted contributions grew slightly but remain just under </w:t>
      </w:r>
      <w:r w:rsidR="00FD50B4">
        <w:rPr>
          <w:rFonts w:eastAsia="PMingLiU"/>
          <w:sz w:val="22"/>
          <w:szCs w:val="22"/>
          <w:lang w:eastAsia="zh-TW"/>
        </w:rPr>
        <w:t>CHF </w:t>
      </w:r>
      <w:r w:rsidRPr="0062595A">
        <w:rPr>
          <w:rFonts w:eastAsia="PMingLiU"/>
          <w:sz w:val="22"/>
          <w:szCs w:val="22"/>
          <w:lang w:eastAsia="zh-TW"/>
        </w:rPr>
        <w:t xml:space="preserve">17 million, despite net growth in membership. This is due to the continued growth in low-fee categories and exempted entities. </w:t>
      </w:r>
    </w:p>
    <w:p w14:paraId="08439BBF" w14:textId="2A54EE0B" w:rsidR="0062595A" w:rsidRPr="0062595A" w:rsidRDefault="0062595A" w:rsidP="004F28FD">
      <w:pPr>
        <w:numPr>
          <w:ilvl w:val="0"/>
          <w:numId w:val="30"/>
        </w:numPr>
        <w:tabs>
          <w:tab w:val="clear" w:pos="567"/>
          <w:tab w:val="clear" w:pos="1134"/>
          <w:tab w:val="clear" w:pos="1701"/>
          <w:tab w:val="clear" w:pos="2268"/>
          <w:tab w:val="clear" w:pos="2835"/>
        </w:tabs>
        <w:suppressAutoHyphens/>
        <w:overflowPunct/>
        <w:autoSpaceDE/>
        <w:adjustRightInd/>
        <w:spacing w:before="60" w:after="60"/>
        <w:ind w:left="567" w:hanging="283"/>
        <w:jc w:val="both"/>
        <w:textAlignment w:val="auto"/>
        <w:rPr>
          <w:rFonts w:eastAsia="PMingLiU"/>
          <w:sz w:val="22"/>
          <w:szCs w:val="22"/>
          <w:lang w:eastAsia="zh-TW"/>
        </w:rPr>
      </w:pPr>
      <w:r w:rsidRPr="0062595A">
        <w:rPr>
          <w:rFonts w:eastAsia="PMingLiU"/>
          <w:sz w:val="22"/>
          <w:szCs w:val="22"/>
          <w:lang w:eastAsia="zh-TW"/>
        </w:rPr>
        <w:t>After a slow 2024, the community of small and medium-sized enterprises (SMEs) is growing again at rapid pace. Associates with SME reduced fees option, available from Jan</w:t>
      </w:r>
      <w:r w:rsidR="00FD50B4">
        <w:rPr>
          <w:rFonts w:eastAsia="PMingLiU"/>
          <w:sz w:val="22"/>
          <w:szCs w:val="22"/>
          <w:lang w:eastAsia="zh-TW"/>
        </w:rPr>
        <w:t>uary</w:t>
      </w:r>
      <w:r w:rsidRPr="0062595A">
        <w:rPr>
          <w:rFonts w:eastAsia="PMingLiU"/>
          <w:sz w:val="22"/>
          <w:szCs w:val="22"/>
          <w:lang w:eastAsia="zh-TW"/>
        </w:rPr>
        <w:t xml:space="preserve"> 2020: 120 memberships (33 from ITU-R, 87 from ITU-T) have benefitted from the reduced fees. +26 net new entities in 2025 (+8 net new entities in 2024).</w:t>
      </w:r>
    </w:p>
    <w:p w14:paraId="24BAAE87" w14:textId="77777777" w:rsidR="0062595A" w:rsidRPr="0062595A" w:rsidRDefault="0062595A" w:rsidP="00C5530E">
      <w:pPr>
        <w:suppressAutoHyphens/>
        <w:adjustRightInd/>
        <w:spacing w:after="160"/>
        <w:jc w:val="both"/>
        <w:rPr>
          <w:rFonts w:eastAsia="MS Mincho"/>
          <w:sz w:val="22"/>
        </w:rPr>
      </w:pPr>
    </w:p>
    <w:p w14:paraId="28C6371A" w14:textId="77777777" w:rsidR="0062595A" w:rsidRPr="0062595A" w:rsidRDefault="0062595A" w:rsidP="00C5530E">
      <w:pPr>
        <w:suppressAutoHyphens/>
        <w:adjustRightInd/>
        <w:spacing w:after="160"/>
        <w:jc w:val="both"/>
        <w:textAlignment w:val="auto"/>
        <w:rPr>
          <w:rFonts w:ascii="Arial" w:eastAsia="MS Mincho" w:hAnsi="Arial" w:cs="Arial"/>
          <w:sz w:val="22"/>
        </w:rPr>
      </w:pPr>
      <w:r w:rsidRPr="0062595A">
        <w:rPr>
          <w:rFonts w:ascii="Arial" w:eastAsia="MS Mincho" w:hAnsi="Arial" w:cs="Arial"/>
          <w:sz w:val="22"/>
        </w:rPr>
        <w:lastRenderedPageBreak/>
        <w:t> </w:t>
      </w:r>
      <w:r w:rsidRPr="0062595A">
        <w:rPr>
          <w:rFonts w:ascii="Arial" w:eastAsia="MS Mincho" w:hAnsi="Arial" w:cs="Arial"/>
          <w:noProof/>
          <w:sz w:val="22"/>
        </w:rPr>
        <w:drawing>
          <wp:inline distT="0" distB="0" distL="0" distR="0" wp14:anchorId="1D2AF065" wp14:editId="1355226B">
            <wp:extent cx="5760089" cy="3242306"/>
            <wp:effectExtent l="0" t="0" r="0" b="0"/>
            <wp:docPr id="109849493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stretch>
                      <a:fillRect/>
                    </a:stretch>
                  </pic:blipFill>
                  <pic:spPr>
                    <a:xfrm>
                      <a:off x="0" y="0"/>
                      <a:ext cx="5760089" cy="3242306"/>
                    </a:xfrm>
                    <a:prstGeom prst="rect">
                      <a:avLst/>
                    </a:prstGeom>
                    <a:noFill/>
                    <a:ln>
                      <a:noFill/>
                      <a:prstDash/>
                    </a:ln>
                  </pic:spPr>
                </pic:pic>
              </a:graphicData>
            </a:graphic>
          </wp:inline>
        </w:drawing>
      </w:r>
    </w:p>
    <w:p w14:paraId="573CB3EA" w14:textId="77777777" w:rsidR="0062595A" w:rsidRPr="0062595A" w:rsidRDefault="0062595A" w:rsidP="00C5530E">
      <w:pPr>
        <w:suppressAutoHyphens/>
        <w:adjustRightInd/>
        <w:spacing w:before="0" w:after="200"/>
        <w:jc w:val="center"/>
        <w:rPr>
          <w:rFonts w:eastAsia="MS Mincho"/>
          <w:i/>
          <w:iCs/>
          <w:color w:val="1F497D"/>
          <w:sz w:val="18"/>
          <w:szCs w:val="18"/>
        </w:rPr>
      </w:pPr>
      <w:r w:rsidRPr="0062595A">
        <w:rPr>
          <w:rFonts w:eastAsia="MS Mincho"/>
          <w:i/>
          <w:iCs/>
          <w:color w:val="1F497D"/>
          <w:sz w:val="18"/>
          <w:szCs w:val="18"/>
        </w:rPr>
        <w:t>Figure 20. Membership changes 2022- 2025</w:t>
      </w:r>
    </w:p>
    <w:p w14:paraId="76208C7B" w14:textId="77777777" w:rsidR="0062595A" w:rsidRPr="0062595A" w:rsidRDefault="0062595A" w:rsidP="004F28FD">
      <w:pPr>
        <w:keepNext/>
        <w:keepLines/>
        <w:tabs>
          <w:tab w:val="clear" w:pos="567"/>
        </w:tabs>
        <w:suppressAutoHyphens/>
        <w:adjustRightInd/>
        <w:spacing w:before="360" w:after="120"/>
        <w:ind w:left="567" w:hanging="567"/>
        <w:jc w:val="both"/>
        <w:outlineLvl w:val="1"/>
        <w:rPr>
          <w:rFonts w:eastAsia="MS Mincho"/>
          <w:b/>
        </w:rPr>
      </w:pPr>
      <w:bookmarkStart w:id="106" w:name="_Toc224288827"/>
      <w:r w:rsidRPr="0062595A">
        <w:rPr>
          <w:rFonts w:eastAsia="MS Mincho"/>
          <w:b/>
        </w:rPr>
        <w:t>5.2</w:t>
      </w:r>
      <w:r w:rsidRPr="0062595A">
        <w:rPr>
          <w:rFonts w:eastAsia="MS Mincho"/>
          <w:b/>
        </w:rPr>
        <w:tab/>
        <w:t>Regional presence</w:t>
      </w:r>
      <w:bookmarkEnd w:id="106"/>
    </w:p>
    <w:p w14:paraId="59BA45CA"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18"/>
        </w:rPr>
        <w:t xml:space="preserve">As an extension of ITU as a whole, the </w:t>
      </w:r>
      <w:hyperlink r:id="rId365" w:history="1">
        <w:r w:rsidRPr="0062595A">
          <w:rPr>
            <w:rFonts w:eastAsia="MS Mincho"/>
            <w:color w:val="0563C1"/>
            <w:sz w:val="22"/>
            <w:szCs w:val="18"/>
            <w:u w:val="single"/>
          </w:rPr>
          <w:t>regional presence</w:t>
        </w:r>
      </w:hyperlink>
      <w:r w:rsidRPr="0062595A">
        <w:rPr>
          <w:rFonts w:eastAsia="MS Mincho"/>
          <w:sz w:val="22"/>
          <w:szCs w:val="18"/>
        </w:rPr>
        <w:t xml:space="preserve"> plays a vital role in the achievement of ITU’s mission, enhancing ITU’s understanding of local contexts and its ability to respond to countries’ needs effectively. The regional presence consolidates strategic planning at the level of each regional/area office, implementing programmes and initiatives that are consistent with and based on ITU’s strategic goals and thematic priorities. By applying the global targets and clarifying programme priorities at the regional level, ITU also seeks to enhance its overall global effectiveness and impact.</w:t>
      </w:r>
    </w:p>
    <w:p w14:paraId="5A144101" w14:textId="77777777" w:rsidR="0062595A" w:rsidRPr="00AE7FA7" w:rsidRDefault="0062595A" w:rsidP="00C5530E">
      <w:pPr>
        <w:suppressAutoHyphens/>
        <w:adjustRightInd/>
        <w:spacing w:after="120"/>
        <w:jc w:val="both"/>
        <w:rPr>
          <w:rFonts w:eastAsia="MS Mincho"/>
          <w:sz w:val="22"/>
          <w:szCs w:val="22"/>
        </w:rPr>
      </w:pPr>
      <w:r w:rsidRPr="00AE7FA7">
        <w:rPr>
          <w:rFonts w:eastAsia="MS Mincho"/>
          <w:sz w:val="22"/>
          <w:szCs w:val="22"/>
        </w:rPr>
        <w:t xml:space="preserve">The regional presence strengthens ITU’s position as a shaper/doer and enhance United Nations cooperation, to build enhanced regional opportunities and thereby reach more countries and define clearer, more impactful priorities for country-level engagements. Efforts are also be made to strengthen capacity at the regional level to ensure the ability of the regional and area offices to implement the programmes and engagements determined based on ITU’s strategic goals and thematic </w:t>
      </w:r>
      <w:r w:rsidRPr="00AE7FA7">
        <w:rPr>
          <w:rFonts w:eastAsia="MS Mincho"/>
          <w:sz w:val="22"/>
          <w:szCs w:val="22"/>
        </w:rPr>
        <w:t>priorities.</w:t>
      </w:r>
    </w:p>
    <w:p w14:paraId="560EAF69" w14:textId="43AABFB8" w:rsidR="0062595A" w:rsidRPr="0062595A" w:rsidRDefault="0062595A" w:rsidP="5F5FCC2B">
      <w:pPr>
        <w:suppressAutoHyphens/>
        <w:adjustRightInd/>
        <w:spacing w:after="120"/>
        <w:jc w:val="both"/>
        <w:rPr>
          <w:rFonts w:eastAsia="MS Mincho"/>
          <w:sz w:val="22"/>
          <w:szCs w:val="22"/>
        </w:rPr>
      </w:pPr>
      <w:r w:rsidRPr="00AE7FA7">
        <w:rPr>
          <w:rFonts w:eastAsia="MS Mincho"/>
          <w:sz w:val="22"/>
          <w:szCs w:val="22"/>
        </w:rPr>
        <w:t>Per the recommendations of Council-25 (Report by the Chair of the Standing Committee on Administration and Management,</w:t>
      </w:r>
      <w:r w:rsidR="00FD50B4" w:rsidRPr="00AE7FA7">
        <w:rPr>
          <w:rFonts w:eastAsia="MS Mincho"/>
          <w:sz w:val="22"/>
          <w:szCs w:val="22"/>
        </w:rPr>
        <w:t xml:space="preserve"> Document </w:t>
      </w:r>
      <w:hyperlink r:id="rId366">
        <w:r w:rsidR="00FD50B4" w:rsidRPr="00AE7FA7">
          <w:rPr>
            <w:rStyle w:val="Hyperlink"/>
            <w:rFonts w:eastAsia="MS Mincho"/>
            <w:sz w:val="22"/>
            <w:szCs w:val="22"/>
          </w:rPr>
          <w:t>C25/105</w:t>
        </w:r>
      </w:hyperlink>
      <w:r w:rsidRPr="00AE7FA7">
        <w:rPr>
          <w:rFonts w:eastAsia="MS Mincho"/>
          <w:sz w:val="22"/>
          <w:szCs w:val="22"/>
        </w:rPr>
        <w:t>, paragraph 26, Annex H, Annex A and Annex</w:t>
      </w:r>
      <w:r w:rsidR="00FD50B4" w:rsidRPr="00AE7FA7">
        <w:rPr>
          <w:rFonts w:eastAsia="MS Mincho"/>
          <w:sz w:val="22"/>
          <w:szCs w:val="22"/>
        </w:rPr>
        <w:t> </w:t>
      </w:r>
      <w:r w:rsidRPr="00AE7FA7">
        <w:rPr>
          <w:rFonts w:eastAsia="MS Mincho"/>
          <w:sz w:val="22"/>
          <w:szCs w:val="22"/>
        </w:rPr>
        <w:t>1),</w:t>
      </w:r>
      <w:r w:rsidR="00FD50B4" w:rsidRPr="00AE7FA7">
        <w:rPr>
          <w:rFonts w:eastAsia="MS Mincho"/>
          <w:sz w:val="22"/>
          <w:szCs w:val="22"/>
        </w:rPr>
        <w:t xml:space="preserve"> </w:t>
      </w:r>
      <w:r w:rsidR="6B5D54D3" w:rsidRPr="00AE7FA7">
        <w:rPr>
          <w:rFonts w:eastAsia="MS Mincho"/>
          <w:sz w:val="22"/>
          <w:szCs w:val="22"/>
        </w:rPr>
        <w:t xml:space="preserve">the Secretariat </w:t>
      </w:r>
      <w:r w:rsidRPr="00AE7FA7">
        <w:rPr>
          <w:rFonts w:eastAsia="MS Mincho"/>
          <w:sz w:val="22"/>
          <w:szCs w:val="22"/>
        </w:rPr>
        <w:t xml:space="preserve">has </w:t>
      </w:r>
      <w:r w:rsidR="00D54E6A" w:rsidRPr="00AE7FA7">
        <w:rPr>
          <w:rFonts w:eastAsia="MS Mincho"/>
          <w:sz w:val="22"/>
          <w:szCs w:val="22"/>
        </w:rPr>
        <w:t>conducted</w:t>
      </w:r>
      <w:r w:rsidRPr="00AE7FA7">
        <w:rPr>
          <w:rFonts w:eastAsia="MS Mincho"/>
          <w:sz w:val="22"/>
          <w:szCs w:val="22"/>
        </w:rPr>
        <w:t xml:space="preserve"> the review of the ITU Regional Presence since July 2025.</w:t>
      </w:r>
      <w:r w:rsidR="00FD50B4" w:rsidRPr="00AE7FA7">
        <w:rPr>
          <w:rFonts w:eastAsia="MS Mincho"/>
          <w:sz w:val="22"/>
          <w:szCs w:val="22"/>
        </w:rPr>
        <w:t xml:space="preserve"> </w:t>
      </w:r>
      <w:r w:rsidRPr="00AE7FA7">
        <w:rPr>
          <w:rFonts w:eastAsia="MS Mincho"/>
          <w:sz w:val="22"/>
          <w:szCs w:val="22"/>
        </w:rPr>
        <w:t xml:space="preserve">These efforts </w:t>
      </w:r>
      <w:r w:rsidR="00D54E6A" w:rsidRPr="00AE7FA7">
        <w:rPr>
          <w:rFonts w:eastAsia="MS Mincho"/>
          <w:sz w:val="22"/>
          <w:szCs w:val="22"/>
        </w:rPr>
        <w:t xml:space="preserve">have </w:t>
      </w:r>
      <w:r w:rsidRPr="00AE7FA7">
        <w:rPr>
          <w:rFonts w:eastAsia="MS Mincho"/>
          <w:sz w:val="22"/>
          <w:szCs w:val="22"/>
        </w:rPr>
        <w:t>culminate</w:t>
      </w:r>
      <w:r w:rsidR="00D54E6A" w:rsidRPr="00AE7FA7">
        <w:rPr>
          <w:rFonts w:eastAsia="MS Mincho"/>
          <w:sz w:val="22"/>
          <w:szCs w:val="22"/>
        </w:rPr>
        <w:t>d</w:t>
      </w:r>
      <w:r w:rsidRPr="00AE7FA7">
        <w:rPr>
          <w:rFonts w:eastAsia="MS Mincho"/>
          <w:sz w:val="22"/>
          <w:szCs w:val="22"/>
        </w:rPr>
        <w:t xml:space="preserve"> in the final report on the review of the ITU Regional Presence </w:t>
      </w:r>
      <w:r w:rsidR="00BA0AB0" w:rsidRPr="00AE7FA7">
        <w:rPr>
          <w:rFonts w:eastAsia="MS Mincho"/>
          <w:sz w:val="22"/>
          <w:szCs w:val="22"/>
        </w:rPr>
        <w:t xml:space="preserve">(Document </w:t>
      </w:r>
      <w:hyperlink r:id="rId367" w:history="1">
        <w:r w:rsidR="00BA0AB0" w:rsidRPr="00AE7FA7">
          <w:rPr>
            <w:rStyle w:val="Hyperlink"/>
            <w:rFonts w:eastAsia="MS Mincho"/>
            <w:sz w:val="22"/>
            <w:szCs w:val="22"/>
          </w:rPr>
          <w:t>C26/24</w:t>
        </w:r>
      </w:hyperlink>
      <w:r w:rsidR="00BA0AB0" w:rsidRPr="00AE7FA7">
        <w:rPr>
          <w:rFonts w:eastAsia="MS Mincho"/>
          <w:sz w:val="22"/>
          <w:szCs w:val="22"/>
        </w:rPr>
        <w:t xml:space="preserve">) </w:t>
      </w:r>
      <w:r w:rsidRPr="00AE7FA7">
        <w:rPr>
          <w:rFonts w:eastAsia="MS Mincho"/>
          <w:sz w:val="22"/>
          <w:szCs w:val="22"/>
        </w:rPr>
        <w:t>that will be presented at Council-26, scheduled to be held from 28 April to 8 May 2026.</w:t>
      </w:r>
      <w:r w:rsidR="00BA0AB0" w:rsidRPr="00AE7FA7">
        <w:rPr>
          <w:rFonts w:eastAsia="MS Mincho"/>
          <w:sz w:val="22"/>
          <w:szCs w:val="22"/>
        </w:rPr>
        <w:t xml:space="preserve"> The details of the review will be made available in </w:t>
      </w:r>
      <w:hyperlink r:id="rId368" w:history="1">
        <w:r w:rsidR="00610FE6" w:rsidRPr="00AE7FA7">
          <w:rPr>
            <w:rStyle w:val="Hyperlink"/>
            <w:rFonts w:eastAsia="MS Mincho"/>
            <w:sz w:val="22"/>
            <w:szCs w:val="22"/>
          </w:rPr>
          <w:t>C26/</w:t>
        </w:r>
        <w:r w:rsidR="00CF710C" w:rsidRPr="00AE7FA7">
          <w:rPr>
            <w:rStyle w:val="Hyperlink"/>
            <w:rFonts w:eastAsia="MS Mincho"/>
            <w:sz w:val="22"/>
            <w:szCs w:val="22"/>
          </w:rPr>
          <w:t>INF/10</w:t>
        </w:r>
      </w:hyperlink>
      <w:r w:rsidR="00CF710C" w:rsidRPr="00AE7FA7">
        <w:rPr>
          <w:rFonts w:eastAsia="MS Mincho"/>
          <w:sz w:val="22"/>
          <w:szCs w:val="22"/>
        </w:rPr>
        <w:t>.</w:t>
      </w:r>
    </w:p>
    <w:p w14:paraId="0C6C2624" w14:textId="77777777" w:rsidR="0062595A" w:rsidRPr="0062595A" w:rsidRDefault="0062595A" w:rsidP="00C5530E">
      <w:pPr>
        <w:suppressAutoHyphens/>
        <w:adjustRightInd/>
        <w:spacing w:before="240" w:after="120"/>
        <w:jc w:val="both"/>
        <w:rPr>
          <w:rFonts w:eastAsia="MS Mincho"/>
          <w:b/>
          <w:bCs/>
          <w:sz w:val="22"/>
        </w:rPr>
      </w:pPr>
      <w:r w:rsidRPr="0062595A">
        <w:rPr>
          <w:rFonts w:eastAsia="MS Mincho"/>
          <w:b/>
          <w:bCs/>
          <w:sz w:val="22"/>
        </w:rPr>
        <w:t>Regional Initiatives, 2026-2029</w:t>
      </w:r>
    </w:p>
    <w:p w14:paraId="2BFFE222"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18"/>
        </w:rPr>
        <w:t xml:space="preserve">ITU’s latest </w:t>
      </w:r>
      <w:hyperlink r:id="rId369" w:history="1">
        <w:r w:rsidRPr="0062595A">
          <w:rPr>
            <w:rFonts w:eastAsia="MS Mincho"/>
            <w:color w:val="0563C1"/>
            <w:sz w:val="22"/>
            <w:szCs w:val="18"/>
            <w:u w:val="single"/>
          </w:rPr>
          <w:t>World Telecommunication Development Conference (WTDC),</w:t>
        </w:r>
      </w:hyperlink>
      <w:r w:rsidRPr="0062595A">
        <w:rPr>
          <w:rFonts w:eastAsia="MS Mincho"/>
          <w:sz w:val="22"/>
          <w:szCs w:val="18"/>
        </w:rPr>
        <w:t xml:space="preserve"> held in Baku in November 2025, approved a new set of regional initiatives for the period 2026-2029. These initiatives, outlined in the Baku Action Plan, address specific needs </w:t>
      </w:r>
      <w:r w:rsidRPr="0062595A">
        <w:rPr>
          <w:rFonts w:eastAsia="MS Mincho"/>
          <w:sz w:val="22"/>
          <w:szCs w:val="18"/>
        </w:rPr>
        <w:t xml:space="preserve">for each major region of the world to advance and accelerate digital transformation. See the ITU-D webpage for further details on the </w:t>
      </w:r>
      <w:hyperlink r:id="rId370" w:history="1">
        <w:r w:rsidRPr="0062595A">
          <w:rPr>
            <w:rFonts w:eastAsia="MS Mincho"/>
            <w:color w:val="0563C1"/>
            <w:sz w:val="22"/>
            <w:szCs w:val="18"/>
            <w:u w:val="single"/>
          </w:rPr>
          <w:t>regional initiatives</w:t>
        </w:r>
      </w:hyperlink>
      <w:r w:rsidRPr="0062595A">
        <w:rPr>
          <w:rFonts w:eastAsia="MS Mincho"/>
          <w:sz w:val="22"/>
          <w:szCs w:val="18"/>
        </w:rPr>
        <w:t>. </w:t>
      </w:r>
    </w:p>
    <w:p w14:paraId="12930EE4" w14:textId="77777777" w:rsidR="0062595A" w:rsidRPr="0062595A" w:rsidRDefault="0062595A" w:rsidP="004F28FD">
      <w:pPr>
        <w:keepNext/>
        <w:keepLines/>
        <w:tabs>
          <w:tab w:val="clear" w:pos="567"/>
        </w:tabs>
        <w:suppressAutoHyphens/>
        <w:adjustRightInd/>
        <w:spacing w:before="360" w:after="120"/>
        <w:ind w:left="567" w:hanging="567"/>
        <w:jc w:val="both"/>
        <w:outlineLvl w:val="1"/>
        <w:rPr>
          <w:rFonts w:eastAsia="MS Mincho"/>
          <w:b/>
        </w:rPr>
      </w:pPr>
      <w:bookmarkStart w:id="107" w:name="_Toc224288828"/>
      <w:r w:rsidRPr="0062595A">
        <w:rPr>
          <w:rFonts w:eastAsia="MS Mincho"/>
          <w:b/>
        </w:rPr>
        <w:lastRenderedPageBreak/>
        <w:t>5.3</w:t>
      </w:r>
      <w:r w:rsidRPr="0062595A">
        <w:rPr>
          <w:rFonts w:eastAsia="MS Mincho"/>
          <w:b/>
        </w:rPr>
        <w:tab/>
        <w:t>Bringing everyone to the table</w:t>
      </w:r>
      <w:bookmarkEnd w:id="107"/>
    </w:p>
    <w:p w14:paraId="2EAF00D1" w14:textId="77777777" w:rsidR="0062595A" w:rsidRPr="0062595A" w:rsidRDefault="0062595A" w:rsidP="00C5530E">
      <w:pPr>
        <w:keepNext/>
        <w:keepLines/>
        <w:suppressAutoHyphens/>
        <w:adjustRightInd/>
        <w:spacing w:before="240" w:after="120"/>
        <w:jc w:val="both"/>
        <w:rPr>
          <w:rFonts w:eastAsia="MS Mincho"/>
          <w:sz w:val="22"/>
        </w:rPr>
      </w:pPr>
      <w:bookmarkStart w:id="108" w:name="_Toc217486234"/>
      <w:r w:rsidRPr="0062595A">
        <w:rPr>
          <w:rFonts w:eastAsia="MS Mincho"/>
          <w:b/>
          <w:bCs/>
          <w:sz w:val="22"/>
          <w:u w:val="single"/>
          <w:lang w:eastAsia="en-GB"/>
        </w:rPr>
        <w:t>Ensuring equal access to and use of ICTs for all</w:t>
      </w:r>
    </w:p>
    <w:p w14:paraId="0ABF306A" w14:textId="77777777" w:rsidR="0062595A" w:rsidRPr="0062595A" w:rsidRDefault="0062595A" w:rsidP="00C5530E">
      <w:pPr>
        <w:keepNext/>
        <w:keepLines/>
        <w:suppressAutoHyphens/>
        <w:adjustRightInd/>
        <w:spacing w:after="120"/>
        <w:jc w:val="both"/>
        <w:rPr>
          <w:rFonts w:eastAsia="MS Mincho"/>
          <w:sz w:val="22"/>
          <w:szCs w:val="18"/>
          <w:lang w:eastAsia="en-GB"/>
        </w:rPr>
      </w:pPr>
      <w:r w:rsidRPr="0062595A">
        <w:rPr>
          <w:rFonts w:eastAsia="MS Mincho"/>
          <w:sz w:val="22"/>
          <w:szCs w:val="18"/>
          <w:lang w:eastAsia="en-GB"/>
        </w:rPr>
        <w:t>Diversity and Inclusion has played a pivotal role in promoting global digital inclusion towards building an inclusive digital society for all people with a particular focus on persons in vulnerable situation from among youth, women and girls, persons from rural, remote and indigenous communities, persons with disabilities and older persons.</w:t>
      </w:r>
    </w:p>
    <w:p w14:paraId="63B107DB" w14:textId="77777777" w:rsidR="0062595A" w:rsidRPr="0062595A" w:rsidRDefault="0062595A" w:rsidP="00C5530E">
      <w:pPr>
        <w:suppressAutoHyphens/>
        <w:adjustRightInd/>
        <w:spacing w:after="120"/>
        <w:jc w:val="both"/>
        <w:rPr>
          <w:rFonts w:eastAsia="MS Mincho"/>
          <w:sz w:val="22"/>
          <w:szCs w:val="18"/>
          <w:lang w:eastAsia="en-GB"/>
        </w:rPr>
      </w:pPr>
      <w:r w:rsidRPr="0062595A">
        <w:rPr>
          <w:rFonts w:eastAsia="MS Mincho"/>
          <w:sz w:val="22"/>
          <w:szCs w:val="18"/>
          <w:lang w:eastAsia="en-GB"/>
        </w:rPr>
        <w:t xml:space="preserve">ITU’s work on digital inclusion is guided by a </w:t>
      </w:r>
      <w:bookmarkStart w:id="109" w:name="_Hlk219987138"/>
      <w:r w:rsidRPr="0062595A">
        <w:rPr>
          <w:rFonts w:eastAsia="MS Mincho"/>
          <w:sz w:val="22"/>
          <w:szCs w:val="18"/>
          <w:lang w:eastAsia="en-GB"/>
        </w:rPr>
        <w:t xml:space="preserve">holistic and intersectional approach </w:t>
      </w:r>
      <w:bookmarkEnd w:id="109"/>
      <w:r w:rsidRPr="0062595A">
        <w:rPr>
          <w:rFonts w:eastAsia="MS Mincho"/>
          <w:sz w:val="22"/>
          <w:szCs w:val="18"/>
          <w:lang w:eastAsia="en-GB"/>
        </w:rPr>
        <w:t>that addresses the diverse needs of people across age, ability, gender, educational background, socio-economic status, and geographical location.</w:t>
      </w:r>
    </w:p>
    <w:p w14:paraId="198742FD" w14:textId="77777777" w:rsidR="0062595A" w:rsidRPr="0062595A" w:rsidRDefault="0062595A" w:rsidP="00C5530E">
      <w:pPr>
        <w:suppressAutoHyphens/>
        <w:adjustRightInd/>
        <w:spacing w:before="240" w:after="120"/>
        <w:jc w:val="both"/>
        <w:rPr>
          <w:rFonts w:eastAsia="MS Mincho"/>
          <w:b/>
          <w:bCs/>
          <w:sz w:val="22"/>
          <w:szCs w:val="18"/>
          <w:u w:val="single"/>
          <w:lang w:eastAsia="en-GB"/>
        </w:rPr>
      </w:pPr>
      <w:r w:rsidRPr="0062595A">
        <w:rPr>
          <w:rFonts w:eastAsia="MS Mincho"/>
          <w:b/>
          <w:bCs/>
          <w:sz w:val="22"/>
          <w:szCs w:val="18"/>
          <w:u w:val="single"/>
          <w:lang w:eastAsia="en-GB"/>
        </w:rPr>
        <w:t>Intersectional work</w:t>
      </w:r>
    </w:p>
    <w:p w14:paraId="7521A2FF" w14:textId="77777777" w:rsidR="0062595A" w:rsidRPr="0062595A" w:rsidRDefault="0062595A" w:rsidP="0062595A">
      <w:pPr>
        <w:keepNext/>
        <w:suppressAutoHyphens/>
        <w:adjustRightInd/>
        <w:jc w:val="center"/>
        <w:rPr>
          <w:rFonts w:eastAsia="MS Mincho"/>
          <w:sz w:val="22"/>
        </w:rPr>
      </w:pPr>
      <w:r w:rsidRPr="0062595A">
        <w:rPr>
          <w:rFonts w:eastAsia="MS Mincho"/>
          <w:noProof/>
          <w:sz w:val="22"/>
        </w:rPr>
        <w:drawing>
          <wp:inline distT="0" distB="0" distL="0" distR="0" wp14:anchorId="4416208A" wp14:editId="1FEB146B">
            <wp:extent cx="3401568" cy="2843502"/>
            <wp:effectExtent l="0" t="0" r="8890" b="0"/>
            <wp:docPr id="1498435710" name="Picture 1" descr="A diagram consisting in a Pantheon construction that has the basis on ICT accessibility as the universal design of technology and 5 pillars composed by 5 groups (youth, women and girls, people from rural , remote and Indigenous communities, PWD, and older persons who  - all- should be considered in the digital inclusion process to ensure that no one is left behind and everyone is part of the digital inclusive societ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stretch>
                      <a:fillRect/>
                    </a:stretch>
                  </pic:blipFill>
                  <pic:spPr>
                    <a:xfrm>
                      <a:off x="0" y="0"/>
                      <a:ext cx="3406388" cy="2847531"/>
                    </a:xfrm>
                    <a:prstGeom prst="rect">
                      <a:avLst/>
                    </a:prstGeom>
                    <a:noFill/>
                    <a:ln>
                      <a:noFill/>
                      <a:prstDash/>
                    </a:ln>
                  </pic:spPr>
                </pic:pic>
              </a:graphicData>
            </a:graphic>
          </wp:inline>
        </w:drawing>
      </w:r>
    </w:p>
    <w:p w14:paraId="26770E98" w14:textId="77777777" w:rsidR="0062595A" w:rsidRPr="0062595A" w:rsidRDefault="0062595A" w:rsidP="0062595A">
      <w:pPr>
        <w:suppressAutoHyphens/>
        <w:adjustRightInd/>
        <w:spacing w:before="0" w:after="200"/>
        <w:jc w:val="center"/>
        <w:rPr>
          <w:rFonts w:eastAsia="MS Mincho"/>
          <w:i/>
          <w:iCs/>
          <w:color w:val="1F497D"/>
          <w:sz w:val="18"/>
          <w:szCs w:val="18"/>
        </w:rPr>
      </w:pPr>
      <w:r w:rsidRPr="0062595A">
        <w:rPr>
          <w:rFonts w:eastAsia="MS Mincho"/>
          <w:i/>
          <w:iCs/>
          <w:color w:val="1F497D"/>
          <w:sz w:val="18"/>
          <w:szCs w:val="18"/>
        </w:rPr>
        <w:t>Figure 21. Digital Inclusive Society.</w:t>
      </w:r>
    </w:p>
    <w:p w14:paraId="40779DBB" w14:textId="1BDC1A42" w:rsidR="0062595A" w:rsidRPr="0062595A" w:rsidRDefault="0062595A" w:rsidP="00C5530E">
      <w:pPr>
        <w:suppressAutoHyphens/>
        <w:adjustRightInd/>
        <w:spacing w:before="360" w:after="120"/>
        <w:jc w:val="both"/>
        <w:rPr>
          <w:rFonts w:eastAsia="MS Mincho"/>
          <w:b/>
          <w:bCs/>
          <w:sz w:val="22"/>
          <w:szCs w:val="22"/>
          <w:lang w:eastAsia="en-GB"/>
        </w:rPr>
      </w:pPr>
      <w:r w:rsidRPr="5F5FCC2B">
        <w:rPr>
          <w:rFonts w:eastAsia="MS Mincho"/>
          <w:b/>
          <w:bCs/>
          <w:sz w:val="22"/>
          <w:szCs w:val="22"/>
          <w:lang w:eastAsia="en-GB"/>
        </w:rPr>
        <w:t xml:space="preserve">Key achievements </w:t>
      </w:r>
      <w:r w:rsidR="270732D1" w:rsidRPr="5F5FCC2B">
        <w:rPr>
          <w:rFonts w:eastAsia="MS Mincho"/>
          <w:b/>
          <w:bCs/>
          <w:sz w:val="22"/>
          <w:szCs w:val="22"/>
          <w:lang w:eastAsia="en-GB"/>
        </w:rPr>
        <w:t>in</w:t>
      </w:r>
      <w:r w:rsidRPr="5F5FCC2B">
        <w:rPr>
          <w:rFonts w:eastAsia="MS Mincho"/>
          <w:b/>
          <w:bCs/>
          <w:sz w:val="22"/>
          <w:szCs w:val="22"/>
          <w:lang w:eastAsia="en-GB"/>
        </w:rPr>
        <w:t xml:space="preserve"> ITU-D’s holistic and intersectional approach include:</w:t>
      </w:r>
    </w:p>
    <w:p w14:paraId="47EAF7D5" w14:textId="22D4A1A1" w:rsidR="0062595A" w:rsidRPr="0062595A" w:rsidRDefault="0062595A" w:rsidP="00C5530E">
      <w:pPr>
        <w:numPr>
          <w:ilvl w:val="0"/>
          <w:numId w:val="31"/>
        </w:numPr>
        <w:tabs>
          <w:tab w:val="clear" w:pos="567"/>
          <w:tab w:val="clear" w:pos="1134"/>
          <w:tab w:val="clear" w:pos="1701"/>
          <w:tab w:val="clear" w:pos="2268"/>
          <w:tab w:val="clear" w:pos="2835"/>
        </w:tabs>
        <w:suppressAutoHyphens/>
        <w:overflowPunct/>
        <w:autoSpaceDE/>
        <w:adjustRightInd/>
        <w:spacing w:before="60" w:after="60"/>
        <w:ind w:left="714" w:hanging="357"/>
        <w:jc w:val="both"/>
        <w:textAlignment w:val="auto"/>
        <w:rPr>
          <w:rFonts w:eastAsia="PMingLiU"/>
          <w:sz w:val="22"/>
          <w:szCs w:val="22"/>
          <w:lang w:eastAsia="en-GB"/>
        </w:rPr>
      </w:pPr>
      <w:r w:rsidRPr="0062595A">
        <w:rPr>
          <w:rFonts w:eastAsia="PMingLiU"/>
          <w:sz w:val="22"/>
          <w:szCs w:val="22"/>
          <w:lang w:eastAsia="en-GB"/>
        </w:rPr>
        <w:t>Strengthen capacity on digital inclusion topics to over 14</w:t>
      </w:r>
      <w:r w:rsidR="00A808F0">
        <w:rPr>
          <w:rFonts w:eastAsia="PMingLiU"/>
          <w:sz w:val="22"/>
          <w:szCs w:val="22"/>
          <w:lang w:eastAsia="en-GB"/>
        </w:rPr>
        <w:t> </w:t>
      </w:r>
      <w:r w:rsidRPr="0062595A">
        <w:rPr>
          <w:rFonts w:eastAsia="PMingLiU"/>
          <w:sz w:val="22"/>
          <w:szCs w:val="22"/>
          <w:lang w:eastAsia="en-GB"/>
        </w:rPr>
        <w:t>000 ITU members, stakeholders and policymakers from 120+ countries to support designing and implementation of national digital inclusion policies and strategies.</w:t>
      </w:r>
    </w:p>
    <w:p w14:paraId="1C328B9C" w14:textId="665A06DD" w:rsidR="0062595A" w:rsidRPr="0062595A" w:rsidRDefault="0062595A" w:rsidP="00C5530E">
      <w:pPr>
        <w:numPr>
          <w:ilvl w:val="0"/>
          <w:numId w:val="31"/>
        </w:numPr>
        <w:tabs>
          <w:tab w:val="clear" w:pos="567"/>
          <w:tab w:val="clear" w:pos="1134"/>
          <w:tab w:val="clear" w:pos="1701"/>
          <w:tab w:val="clear" w:pos="2268"/>
          <w:tab w:val="clear" w:pos="2835"/>
        </w:tabs>
        <w:suppressAutoHyphens/>
        <w:overflowPunct/>
        <w:autoSpaceDE/>
        <w:adjustRightInd/>
        <w:spacing w:before="60" w:after="60"/>
        <w:ind w:left="714" w:hanging="357"/>
        <w:jc w:val="both"/>
        <w:textAlignment w:val="auto"/>
        <w:rPr>
          <w:rFonts w:eastAsia="PMingLiU"/>
          <w:sz w:val="22"/>
          <w:szCs w:val="18"/>
          <w:lang w:eastAsia="en-GB"/>
        </w:rPr>
      </w:pPr>
      <w:r w:rsidRPr="0062595A">
        <w:rPr>
          <w:rFonts w:eastAsia="PMingLiU"/>
          <w:sz w:val="22"/>
          <w:szCs w:val="18"/>
          <w:lang w:eastAsia="en-GB"/>
        </w:rPr>
        <w:t>Tailored and localized digital inclusion trainings to 13</w:t>
      </w:r>
      <w:r w:rsidR="00A808F0">
        <w:rPr>
          <w:rFonts w:eastAsia="PMingLiU"/>
          <w:sz w:val="22"/>
          <w:szCs w:val="18"/>
          <w:lang w:eastAsia="en-GB"/>
        </w:rPr>
        <w:t> </w:t>
      </w:r>
      <w:r w:rsidRPr="0062595A">
        <w:rPr>
          <w:rFonts w:eastAsia="PMingLiU"/>
          <w:sz w:val="22"/>
          <w:szCs w:val="18"/>
          <w:lang w:eastAsia="en-GB"/>
        </w:rPr>
        <w:t>000+ end-users in 40+ countries, including blind users in Pakistan, youth in Africa, and Indigenous communities in Latin America.</w:t>
      </w:r>
    </w:p>
    <w:p w14:paraId="5A22A25B" w14:textId="77777777" w:rsidR="0062595A" w:rsidRPr="0062595A" w:rsidRDefault="0062595A" w:rsidP="00C5530E">
      <w:pPr>
        <w:numPr>
          <w:ilvl w:val="0"/>
          <w:numId w:val="31"/>
        </w:numPr>
        <w:tabs>
          <w:tab w:val="clear" w:pos="567"/>
          <w:tab w:val="clear" w:pos="1134"/>
          <w:tab w:val="clear" w:pos="1701"/>
          <w:tab w:val="clear" w:pos="2268"/>
          <w:tab w:val="clear" w:pos="2835"/>
        </w:tabs>
        <w:suppressAutoHyphens/>
        <w:overflowPunct/>
        <w:autoSpaceDE/>
        <w:adjustRightInd/>
        <w:spacing w:before="60" w:after="60"/>
        <w:ind w:left="714" w:hanging="357"/>
        <w:jc w:val="both"/>
        <w:textAlignment w:val="auto"/>
        <w:rPr>
          <w:rFonts w:eastAsia="PMingLiU"/>
          <w:sz w:val="22"/>
          <w:szCs w:val="18"/>
          <w:lang w:eastAsia="en-GB"/>
        </w:rPr>
      </w:pPr>
      <w:r w:rsidRPr="0062595A">
        <w:rPr>
          <w:rFonts w:eastAsia="PMingLiU"/>
          <w:sz w:val="22"/>
          <w:szCs w:val="18"/>
          <w:lang w:eastAsia="en-GB"/>
        </w:rPr>
        <w:t>Targeted support to 12 LDCs, LLDCs, and SIDS.</w:t>
      </w:r>
    </w:p>
    <w:p w14:paraId="7DBB7038" w14:textId="77777777" w:rsidR="0062595A" w:rsidRPr="0062595A" w:rsidRDefault="0062595A" w:rsidP="00C5530E">
      <w:pPr>
        <w:numPr>
          <w:ilvl w:val="0"/>
          <w:numId w:val="31"/>
        </w:numPr>
        <w:tabs>
          <w:tab w:val="clear" w:pos="567"/>
          <w:tab w:val="clear" w:pos="1134"/>
          <w:tab w:val="clear" w:pos="1701"/>
          <w:tab w:val="clear" w:pos="2268"/>
          <w:tab w:val="clear" w:pos="2835"/>
        </w:tabs>
        <w:suppressAutoHyphens/>
        <w:overflowPunct/>
        <w:autoSpaceDE/>
        <w:adjustRightInd/>
        <w:spacing w:before="60" w:after="60"/>
        <w:ind w:left="714" w:hanging="357"/>
        <w:jc w:val="both"/>
        <w:textAlignment w:val="auto"/>
        <w:rPr>
          <w:rFonts w:eastAsia="Calibri" w:cs="Calibri"/>
          <w:sz w:val="22"/>
          <w:szCs w:val="22"/>
          <w:lang w:eastAsia="zh-TW"/>
        </w:rPr>
      </w:pPr>
      <w:r w:rsidRPr="0062595A">
        <w:rPr>
          <w:rFonts w:eastAsia="Calibri" w:cs="Calibri"/>
          <w:sz w:val="22"/>
          <w:szCs w:val="22"/>
          <w:lang w:eastAsia="zh-TW"/>
        </w:rPr>
        <w:t>In particular, the BDT work on digital inclusion brought tangible impact in the following areas:</w:t>
      </w:r>
    </w:p>
    <w:p w14:paraId="1ACD1B84" w14:textId="2854E933" w:rsidR="0062595A" w:rsidRPr="0062595A" w:rsidRDefault="0062595A" w:rsidP="5F5FCC2B">
      <w:pPr>
        <w:tabs>
          <w:tab w:val="left" w:pos="1871"/>
        </w:tabs>
        <w:suppressAutoHyphens/>
        <w:adjustRightInd/>
        <w:spacing w:before="240" w:after="120"/>
        <w:rPr>
          <w:rFonts w:eastAsia="Calibri" w:cs="Calibri"/>
          <w:b/>
          <w:bCs/>
          <w:sz w:val="22"/>
          <w:szCs w:val="22"/>
        </w:rPr>
      </w:pPr>
      <w:r w:rsidRPr="5F5FCC2B">
        <w:rPr>
          <w:rFonts w:eastAsia="Calibri" w:cs="Calibri"/>
          <w:b/>
          <w:bCs/>
          <w:sz w:val="22"/>
          <w:szCs w:val="22"/>
        </w:rPr>
        <w:t xml:space="preserve">Expert advice </w:t>
      </w:r>
      <w:r w:rsidR="4C778A81" w:rsidRPr="5F5FCC2B">
        <w:rPr>
          <w:rFonts w:eastAsia="Calibri" w:cs="Calibri"/>
          <w:b/>
          <w:bCs/>
          <w:sz w:val="22"/>
          <w:szCs w:val="22"/>
        </w:rPr>
        <w:t>and c</w:t>
      </w:r>
      <w:r w:rsidRPr="5F5FCC2B">
        <w:rPr>
          <w:rFonts w:eastAsia="Calibri" w:cs="Calibri"/>
          <w:b/>
          <w:bCs/>
          <w:sz w:val="22"/>
          <w:szCs w:val="22"/>
        </w:rPr>
        <w:t xml:space="preserve">apacity </w:t>
      </w:r>
      <w:r w:rsidR="38D1F808" w:rsidRPr="5F5FCC2B">
        <w:rPr>
          <w:rFonts w:eastAsia="Calibri" w:cs="Calibri"/>
          <w:b/>
          <w:bCs/>
          <w:sz w:val="22"/>
          <w:szCs w:val="22"/>
        </w:rPr>
        <w:t xml:space="preserve">building </w:t>
      </w:r>
      <w:r w:rsidRPr="5F5FCC2B">
        <w:rPr>
          <w:rFonts w:eastAsia="Calibri" w:cs="Calibri"/>
          <w:b/>
          <w:bCs/>
          <w:sz w:val="22"/>
          <w:szCs w:val="22"/>
        </w:rPr>
        <w:t xml:space="preserve">to </w:t>
      </w:r>
      <w:r w:rsidR="1EC82A1D" w:rsidRPr="5F5FCC2B">
        <w:rPr>
          <w:rFonts w:eastAsia="Calibri" w:cs="Calibri"/>
          <w:b/>
          <w:bCs/>
          <w:sz w:val="22"/>
          <w:szCs w:val="22"/>
        </w:rPr>
        <w:t>d</w:t>
      </w:r>
      <w:r w:rsidRPr="5F5FCC2B">
        <w:rPr>
          <w:rFonts w:eastAsia="Calibri" w:cs="Calibri"/>
          <w:b/>
          <w:bCs/>
          <w:sz w:val="22"/>
          <w:szCs w:val="22"/>
        </w:rPr>
        <w:t xml:space="preserve">evelop </w:t>
      </w:r>
      <w:r w:rsidR="2FCC5D11" w:rsidRPr="5F5FCC2B">
        <w:rPr>
          <w:rFonts w:eastAsia="Calibri" w:cs="Calibri"/>
          <w:b/>
          <w:bCs/>
          <w:sz w:val="22"/>
          <w:szCs w:val="22"/>
        </w:rPr>
        <w:t>d</w:t>
      </w:r>
      <w:r w:rsidRPr="5F5FCC2B">
        <w:rPr>
          <w:rFonts w:eastAsia="Calibri" w:cs="Calibri"/>
          <w:b/>
          <w:bCs/>
          <w:sz w:val="22"/>
          <w:szCs w:val="22"/>
        </w:rPr>
        <w:t xml:space="preserve">igital </w:t>
      </w:r>
      <w:r w:rsidR="729D5985" w:rsidRPr="5F5FCC2B">
        <w:rPr>
          <w:rFonts w:eastAsia="Calibri" w:cs="Calibri"/>
          <w:b/>
          <w:bCs/>
          <w:sz w:val="22"/>
          <w:szCs w:val="22"/>
        </w:rPr>
        <w:t>i</w:t>
      </w:r>
      <w:r w:rsidRPr="5F5FCC2B">
        <w:rPr>
          <w:rFonts w:eastAsia="Calibri" w:cs="Calibri"/>
          <w:b/>
          <w:bCs/>
          <w:sz w:val="22"/>
          <w:szCs w:val="22"/>
        </w:rPr>
        <w:t xml:space="preserve">nclusion </w:t>
      </w:r>
      <w:r w:rsidR="6A07319F" w:rsidRPr="5F5FCC2B">
        <w:rPr>
          <w:rFonts w:eastAsia="Calibri" w:cs="Calibri"/>
          <w:b/>
          <w:bCs/>
          <w:sz w:val="22"/>
          <w:szCs w:val="22"/>
        </w:rPr>
        <w:t>p</w:t>
      </w:r>
      <w:r w:rsidRPr="5F5FCC2B">
        <w:rPr>
          <w:rFonts w:eastAsia="Calibri" w:cs="Calibri"/>
          <w:b/>
          <w:bCs/>
          <w:sz w:val="22"/>
          <w:szCs w:val="22"/>
        </w:rPr>
        <w:t xml:space="preserve">olicies </w:t>
      </w:r>
      <w:r w:rsidR="69D3337E" w:rsidRPr="5F5FCC2B">
        <w:rPr>
          <w:rFonts w:eastAsia="Calibri" w:cs="Calibri"/>
          <w:b/>
          <w:bCs/>
          <w:sz w:val="22"/>
          <w:szCs w:val="22"/>
        </w:rPr>
        <w:t>and s</w:t>
      </w:r>
      <w:r w:rsidRPr="5F5FCC2B">
        <w:rPr>
          <w:rFonts w:eastAsia="Calibri" w:cs="Calibri"/>
          <w:b/>
          <w:bCs/>
          <w:sz w:val="22"/>
          <w:szCs w:val="22"/>
        </w:rPr>
        <w:t>trategies</w:t>
      </w:r>
    </w:p>
    <w:p w14:paraId="49A56481" w14:textId="1C4C78CE" w:rsidR="0062595A" w:rsidRPr="0062595A" w:rsidRDefault="0062595A" w:rsidP="00C5530E">
      <w:pPr>
        <w:suppressAutoHyphens/>
        <w:adjustRightInd/>
        <w:spacing w:after="120"/>
        <w:jc w:val="both"/>
        <w:rPr>
          <w:rFonts w:eastAsia="Calibri" w:cs="Calibri"/>
          <w:sz w:val="22"/>
        </w:rPr>
      </w:pPr>
      <w:r w:rsidRPr="0062595A">
        <w:rPr>
          <w:rFonts w:eastAsia="Calibri" w:cs="Calibri"/>
          <w:sz w:val="22"/>
        </w:rPr>
        <w:t>BDT strengthened capacity on digital inclusion policies through expert support and tailored interventions, equipping more than 10</w:t>
      </w:r>
      <w:r w:rsidR="00A808F0">
        <w:rPr>
          <w:rFonts w:eastAsia="Calibri" w:cs="Calibri"/>
          <w:sz w:val="22"/>
        </w:rPr>
        <w:t> </w:t>
      </w:r>
      <w:r w:rsidRPr="0062595A">
        <w:rPr>
          <w:rFonts w:eastAsia="Calibri" w:cs="Calibri"/>
          <w:sz w:val="22"/>
        </w:rPr>
        <w:t>500 policymakers, decision-makers, and stakeholders from over 120 countries across Africa, Asia-Pacific, the CIS, the Arab States, the Americas, and Europe. This capacity-building enabled them to design, develop, and implement strategies, policies, and practices that advance digital inclusion and equity, ensuring that all people—including women and girls, older persons, persons with disabilities, and people from remote and Indigenous communities—can equitably use ICT products and services to communicate, participate, and thrive in the digital space.</w:t>
      </w:r>
    </w:p>
    <w:p w14:paraId="690D82A0" w14:textId="77777777" w:rsidR="0062595A" w:rsidRPr="0062595A" w:rsidRDefault="0062595A" w:rsidP="00C5530E">
      <w:pPr>
        <w:suppressAutoHyphens/>
        <w:adjustRightInd/>
        <w:spacing w:after="120"/>
        <w:jc w:val="both"/>
        <w:rPr>
          <w:rFonts w:eastAsia="Calibri" w:cs="Calibri"/>
          <w:sz w:val="22"/>
        </w:rPr>
      </w:pPr>
      <w:r w:rsidRPr="0062595A">
        <w:rPr>
          <w:rFonts w:eastAsia="Calibri" w:cs="Calibri"/>
          <w:sz w:val="22"/>
        </w:rPr>
        <w:lastRenderedPageBreak/>
        <w:t>This extensive knowledge transfer was achieved through tailored face-to-face executive trainings, workshops, and participation in regional, global, and UN platforms addressing inclusive digital policies, gender mainstreaming, ICT/digital accessibility, ageing, and youth engagement.</w:t>
      </w:r>
    </w:p>
    <w:p w14:paraId="46592531" w14:textId="7ECFED36" w:rsidR="0062595A" w:rsidRPr="0062595A" w:rsidRDefault="0062595A" w:rsidP="00C5530E">
      <w:pPr>
        <w:suppressAutoHyphens/>
        <w:adjustRightInd/>
        <w:spacing w:after="120"/>
        <w:jc w:val="both"/>
        <w:rPr>
          <w:rFonts w:eastAsia="Calibri" w:cs="Calibri"/>
          <w:sz w:val="22"/>
        </w:rPr>
      </w:pPr>
      <w:r w:rsidRPr="0062595A">
        <w:rPr>
          <w:rFonts w:eastAsia="Calibri" w:cs="Calibri"/>
          <w:sz w:val="22"/>
        </w:rPr>
        <w:t>In addition, to above effort over 3</w:t>
      </w:r>
      <w:r w:rsidR="00A808F0">
        <w:rPr>
          <w:rFonts w:eastAsia="Calibri" w:cs="Calibri"/>
          <w:sz w:val="22"/>
        </w:rPr>
        <w:t> </w:t>
      </w:r>
      <w:r w:rsidRPr="0062595A">
        <w:rPr>
          <w:rFonts w:eastAsia="Calibri" w:cs="Calibri"/>
          <w:sz w:val="22"/>
        </w:rPr>
        <w:t xml:space="preserve">500 ITU </w:t>
      </w:r>
      <w:r w:rsidR="00A53F39">
        <w:rPr>
          <w:rFonts w:eastAsia="Calibri" w:cs="Calibri"/>
          <w:sz w:val="22"/>
        </w:rPr>
        <w:t>m</w:t>
      </w:r>
      <w:r w:rsidRPr="0062595A">
        <w:rPr>
          <w:rFonts w:eastAsia="Calibri" w:cs="Calibri"/>
          <w:sz w:val="22"/>
        </w:rPr>
        <w:t>embers and stakeholders strengthened their capacity on digital inclusion topics by engaging through online self-paced training made available through platforms such as ITU Academy. These trainings are free of charge, delivered in digitally accessible formats (can be also used by blind and deaf persons), and in multiple languages (such as English, French, Spanish, Arabic, Russian, and Portuguese) with localized content, ensuring inclusivity and broader reach.</w:t>
      </w:r>
    </w:p>
    <w:p w14:paraId="64F4A64F" w14:textId="6CDEFE97" w:rsidR="0062595A" w:rsidRPr="0062595A" w:rsidRDefault="0062595A" w:rsidP="5F5FCC2B">
      <w:pPr>
        <w:tabs>
          <w:tab w:val="left" w:pos="1871"/>
        </w:tabs>
        <w:suppressAutoHyphens/>
        <w:adjustRightInd/>
        <w:spacing w:before="240" w:after="120"/>
        <w:rPr>
          <w:rFonts w:eastAsia="Calibri" w:cs="Calibri"/>
          <w:b/>
          <w:bCs/>
          <w:sz w:val="22"/>
          <w:szCs w:val="22"/>
        </w:rPr>
      </w:pPr>
      <w:r w:rsidRPr="5F5FCC2B">
        <w:rPr>
          <w:rFonts w:eastAsia="Calibri" w:cs="Calibri"/>
          <w:b/>
          <w:bCs/>
          <w:sz w:val="22"/>
          <w:szCs w:val="22"/>
        </w:rPr>
        <w:t xml:space="preserve">National </w:t>
      </w:r>
      <w:r w:rsidR="26783A4A" w:rsidRPr="5F5FCC2B">
        <w:rPr>
          <w:rFonts w:eastAsia="Calibri" w:cs="Calibri"/>
          <w:b/>
          <w:bCs/>
          <w:sz w:val="22"/>
          <w:szCs w:val="22"/>
        </w:rPr>
        <w:t>s</w:t>
      </w:r>
      <w:r w:rsidRPr="5F5FCC2B">
        <w:rPr>
          <w:rFonts w:eastAsia="Calibri" w:cs="Calibri"/>
          <w:b/>
          <w:bCs/>
          <w:sz w:val="22"/>
          <w:szCs w:val="22"/>
        </w:rPr>
        <w:t xml:space="preserve">trategy on </w:t>
      </w:r>
      <w:r w:rsidR="64A2D996" w:rsidRPr="5F5FCC2B">
        <w:rPr>
          <w:rFonts w:eastAsia="Calibri" w:cs="Calibri"/>
          <w:b/>
          <w:bCs/>
          <w:sz w:val="22"/>
          <w:szCs w:val="22"/>
        </w:rPr>
        <w:t>d</w:t>
      </w:r>
      <w:r w:rsidRPr="5F5FCC2B">
        <w:rPr>
          <w:rFonts w:eastAsia="Calibri" w:cs="Calibri"/>
          <w:b/>
          <w:bCs/>
          <w:sz w:val="22"/>
          <w:szCs w:val="22"/>
        </w:rPr>
        <w:t xml:space="preserve">igital </w:t>
      </w:r>
      <w:r w:rsidR="31728B16" w:rsidRPr="5F5FCC2B">
        <w:rPr>
          <w:rFonts w:eastAsia="Calibri" w:cs="Calibri"/>
          <w:b/>
          <w:bCs/>
          <w:sz w:val="22"/>
          <w:szCs w:val="22"/>
        </w:rPr>
        <w:t>i</w:t>
      </w:r>
      <w:r w:rsidRPr="5F5FCC2B">
        <w:rPr>
          <w:rFonts w:eastAsia="Calibri" w:cs="Calibri"/>
          <w:b/>
          <w:bCs/>
          <w:sz w:val="22"/>
          <w:szCs w:val="22"/>
        </w:rPr>
        <w:t>nclusion – an evolving model</w:t>
      </w:r>
    </w:p>
    <w:p w14:paraId="189D18EA" w14:textId="699A7335" w:rsidR="0062595A" w:rsidRPr="0062595A" w:rsidRDefault="0062595A" w:rsidP="00C5530E">
      <w:pPr>
        <w:suppressAutoHyphens/>
        <w:adjustRightInd/>
        <w:spacing w:after="120"/>
        <w:jc w:val="both"/>
        <w:rPr>
          <w:rFonts w:eastAsia="MS Mincho"/>
          <w:sz w:val="22"/>
        </w:rPr>
      </w:pPr>
      <w:r w:rsidRPr="0062595A">
        <w:rPr>
          <w:rFonts w:eastAsia="Calibri" w:cs="Calibri"/>
          <w:sz w:val="22"/>
        </w:rPr>
        <w:t xml:space="preserve">Subject matter expertise to support development of National Strategic Plans on Digital Inclusion—designed from a holistic and intersectional perspective to ensure that the needs and requirements of all citizens to use technology, communicate, and participate in the digital society are addressed—was also promoted and facilitated. A pilot plan was implemented by BDT in Burundi, with the intention of replicating and further developing this approach in other countries and regions. In addition, gender policy reports were developed for </w:t>
      </w:r>
      <w:hyperlink r:id="rId372" w:history="1">
        <w:r w:rsidRPr="00CB4EBA">
          <w:rPr>
            <w:rStyle w:val="Hyperlink"/>
            <w:rFonts w:eastAsia="Calibri" w:cs="Calibri"/>
            <w:color w:val="0563C1"/>
            <w:sz w:val="22"/>
          </w:rPr>
          <w:t>Burundi</w:t>
        </w:r>
      </w:hyperlink>
      <w:r w:rsidRPr="0062595A">
        <w:rPr>
          <w:rFonts w:eastAsia="Calibri" w:cs="Calibri"/>
          <w:sz w:val="22"/>
        </w:rPr>
        <w:t xml:space="preserve">, </w:t>
      </w:r>
      <w:hyperlink r:id="rId373" w:history="1">
        <w:r w:rsidRPr="00CB4EBA">
          <w:rPr>
            <w:rStyle w:val="Hyperlink"/>
            <w:rFonts w:eastAsia="Calibri" w:cs="Calibri"/>
            <w:color w:val="0563C1"/>
            <w:sz w:val="22"/>
          </w:rPr>
          <w:t>Ethiopia</w:t>
        </w:r>
      </w:hyperlink>
      <w:r w:rsidRPr="0062595A">
        <w:rPr>
          <w:rFonts w:eastAsia="Calibri" w:cs="Calibri"/>
          <w:sz w:val="22"/>
        </w:rPr>
        <w:t>, Haiti, the Dominican Republic, and Libya.</w:t>
      </w:r>
    </w:p>
    <w:p w14:paraId="5DD19848" w14:textId="77777777" w:rsidR="0062595A" w:rsidRPr="0062595A" w:rsidRDefault="0062595A" w:rsidP="004F28FD">
      <w:pPr>
        <w:keepNext/>
        <w:keepLines/>
        <w:tabs>
          <w:tab w:val="clear" w:pos="567"/>
        </w:tabs>
        <w:suppressAutoHyphens/>
        <w:adjustRightInd/>
        <w:spacing w:before="240" w:after="120"/>
        <w:ind w:left="567" w:hanging="567"/>
        <w:jc w:val="both"/>
        <w:outlineLvl w:val="1"/>
        <w:rPr>
          <w:rFonts w:eastAsia="MS Mincho"/>
          <w:b/>
          <w:lang w:eastAsia="en-GB"/>
        </w:rPr>
      </w:pPr>
      <w:bookmarkStart w:id="110" w:name="_Toc224288829"/>
      <w:bookmarkEnd w:id="108"/>
      <w:r w:rsidRPr="0062595A">
        <w:rPr>
          <w:rFonts w:eastAsia="MS Mincho"/>
          <w:b/>
          <w:lang w:eastAsia="en-GB"/>
        </w:rPr>
        <w:t>5.3.1</w:t>
      </w:r>
      <w:r w:rsidRPr="0062595A">
        <w:rPr>
          <w:rFonts w:eastAsia="MS Mincho"/>
          <w:b/>
          <w:lang w:eastAsia="en-GB"/>
        </w:rPr>
        <w:tab/>
        <w:t>Gender equality</w:t>
      </w:r>
      <w:bookmarkEnd w:id="110"/>
    </w:p>
    <w:p w14:paraId="4CCBE2BD" w14:textId="3624385A" w:rsidR="0062595A" w:rsidRPr="0062595A" w:rsidRDefault="0062595A" w:rsidP="00C5530E">
      <w:pPr>
        <w:suppressAutoHyphens/>
        <w:adjustRightInd/>
        <w:spacing w:after="120"/>
        <w:jc w:val="both"/>
        <w:rPr>
          <w:rFonts w:eastAsia="MS Mincho"/>
          <w:sz w:val="22"/>
        </w:rPr>
      </w:pPr>
      <w:r w:rsidRPr="0062595A">
        <w:rPr>
          <w:rFonts w:eastAsia="MS Mincho"/>
          <w:sz w:val="22"/>
          <w:lang w:eastAsia="en-GB"/>
        </w:rPr>
        <w:t xml:space="preserve">Data in shows that </w:t>
      </w:r>
      <w:r w:rsidRPr="0062595A">
        <w:rPr>
          <w:rFonts w:eastAsia="MS Mincho"/>
          <w:b/>
          <w:bCs/>
          <w:sz w:val="22"/>
          <w:lang w:eastAsia="en-GB"/>
        </w:rPr>
        <w:t>gender disparities in digital access persist</w:t>
      </w:r>
      <w:r w:rsidRPr="0062595A">
        <w:rPr>
          <w:rFonts w:eastAsia="MS Mincho"/>
          <w:sz w:val="22"/>
          <w:lang w:eastAsia="en-GB"/>
        </w:rPr>
        <w:t xml:space="preserve"> 77 per cent of men online compared to and 71 per cent of women, using the Internet worldwide. Unchanged since 2019, the global gender parity score remains at 0.92, indicating </w:t>
      </w:r>
      <w:r w:rsidRPr="0062595A">
        <w:rPr>
          <w:rFonts w:eastAsia="MS Mincho"/>
          <w:b/>
          <w:bCs/>
          <w:sz w:val="22"/>
          <w:lang w:eastAsia="en-GB"/>
        </w:rPr>
        <w:t xml:space="preserve">no overall progress </w:t>
      </w:r>
      <w:r w:rsidRPr="0062595A">
        <w:rPr>
          <w:rFonts w:eastAsia="MS Mincho"/>
          <w:sz w:val="22"/>
          <w:lang w:eastAsia="en-GB"/>
        </w:rPr>
        <w:t xml:space="preserve">in recent years. </w:t>
      </w:r>
      <w:r w:rsidRPr="00B224E7">
        <w:rPr>
          <w:rFonts w:eastAsia="MS Mincho"/>
          <w:sz w:val="22"/>
          <w:lang w:eastAsia="en-GB"/>
        </w:rPr>
        <w:t>The Americas, Europe, CIS and Small Island Developing States are around parity, but significant gaps remain in Asia</w:t>
      </w:r>
      <w:r w:rsidR="00A808F0" w:rsidRPr="00B224E7">
        <w:rPr>
          <w:rFonts w:eastAsia="MS Mincho"/>
          <w:sz w:val="22"/>
          <w:lang w:eastAsia="en-GB"/>
        </w:rPr>
        <w:t>-</w:t>
      </w:r>
      <w:r w:rsidRPr="00B224E7">
        <w:rPr>
          <w:rFonts w:eastAsia="MS Mincho"/>
          <w:sz w:val="22"/>
          <w:lang w:eastAsia="en-GB"/>
        </w:rPr>
        <w:t xml:space="preserve">Pacific (0.91) and the Arab States (0.86), and are widest in Africa, despite progress from 0.70 to 0.78 since 2019. Notably, least developed countries and landlocked developing countries continue to experience substantial divides. Despite increased global connectivity, women continue to be disproportionately excluded from full participation in the </w:t>
      </w:r>
      <w:r w:rsidRPr="00CB4996">
        <w:rPr>
          <w:rFonts w:eastAsia="MS Mincho"/>
          <w:sz w:val="22"/>
          <w:lang w:eastAsia="en-GB"/>
        </w:rPr>
        <w:t xml:space="preserve">digital world, especially in lower income (Find more in Section </w:t>
      </w:r>
      <w:hyperlink w:anchor="Section_3_2_2" w:history="1">
        <w:r w:rsidRPr="00CB4EBA">
          <w:rPr>
            <w:rStyle w:val="Hyperlink"/>
            <w:rFonts w:eastAsia="MS Mincho"/>
            <w:color w:val="0563C1"/>
            <w:sz w:val="22"/>
            <w:lang w:eastAsia="en-GB"/>
          </w:rPr>
          <w:t>3.2.2</w:t>
        </w:r>
      </w:hyperlink>
      <w:r w:rsidRPr="00CB4996">
        <w:rPr>
          <w:rFonts w:eastAsia="MS Mincho"/>
          <w:sz w:val="22"/>
          <w:lang w:eastAsia="en-GB"/>
        </w:rPr>
        <w:t xml:space="preserve"> above).</w:t>
      </w:r>
    </w:p>
    <w:p w14:paraId="44C64BAB" w14:textId="77777777" w:rsidR="0062595A" w:rsidRPr="0062595A" w:rsidRDefault="0062595A" w:rsidP="00C5530E">
      <w:pPr>
        <w:suppressAutoHyphens/>
        <w:adjustRightInd/>
        <w:spacing w:after="120"/>
        <w:jc w:val="both"/>
        <w:rPr>
          <w:rFonts w:eastAsia="MS Mincho"/>
          <w:sz w:val="22"/>
          <w:szCs w:val="18"/>
          <w:lang w:eastAsia="en-GB"/>
        </w:rPr>
      </w:pPr>
      <w:r w:rsidRPr="0062595A">
        <w:rPr>
          <w:rFonts w:eastAsia="MS Mincho"/>
          <w:sz w:val="22"/>
          <w:szCs w:val="18"/>
          <w:lang w:eastAsia="en-GB"/>
        </w:rPr>
        <w:t>ITU uses a dual approach to address disparities: (1) targeted interventions to directly address gender gaps, and (2) mainstreaming gender perspectives across all policies, programmes, and decision-making processes. ITU’s commitment to integrating gender equality across all activities is anchored in Resolution 70.</w:t>
      </w:r>
    </w:p>
    <w:p w14:paraId="0651C541" w14:textId="04A175C0" w:rsidR="0062595A" w:rsidRPr="0062595A" w:rsidRDefault="0062595A" w:rsidP="00C5530E">
      <w:pPr>
        <w:suppressAutoHyphens/>
        <w:adjustRightInd/>
        <w:spacing w:after="120"/>
        <w:jc w:val="both"/>
        <w:rPr>
          <w:rFonts w:eastAsia="MS Mincho"/>
          <w:sz w:val="22"/>
        </w:rPr>
      </w:pPr>
      <w:r w:rsidRPr="0062595A">
        <w:rPr>
          <w:rFonts w:eastAsia="MS Mincho"/>
          <w:sz w:val="22"/>
          <w:lang w:eastAsia="en-GB"/>
        </w:rPr>
        <w:t xml:space="preserve">Targeted interventions supporting girls and women in ICT include </w:t>
      </w:r>
      <w:hyperlink r:id="rId374" w:history="1">
        <w:r w:rsidRPr="0062595A">
          <w:rPr>
            <w:rFonts w:eastAsia="MS Mincho"/>
            <w:color w:val="0563C1"/>
            <w:sz w:val="22"/>
            <w:u w:val="single"/>
            <w:lang w:eastAsia="en-GB"/>
          </w:rPr>
          <w:t>International Girls in ICT Day</w:t>
        </w:r>
      </w:hyperlink>
      <w:r w:rsidRPr="0062595A">
        <w:rPr>
          <w:rFonts w:eastAsia="MS Mincho"/>
          <w:sz w:val="22"/>
          <w:lang w:eastAsia="en-GB"/>
        </w:rPr>
        <w:t xml:space="preserve">, </w:t>
      </w:r>
      <w:hyperlink r:id="rId375" w:history="1">
        <w:r w:rsidRPr="0062595A">
          <w:rPr>
            <w:rFonts w:eastAsia="MS Mincho"/>
            <w:color w:val="0563C1"/>
            <w:sz w:val="22"/>
            <w:u w:val="single"/>
            <w:lang w:eastAsia="en-GB"/>
          </w:rPr>
          <w:t>EQUALS</w:t>
        </w:r>
      </w:hyperlink>
      <w:r w:rsidRPr="0062595A">
        <w:rPr>
          <w:rFonts w:eastAsia="MS Mincho"/>
          <w:sz w:val="22"/>
          <w:lang w:eastAsia="en-GB"/>
        </w:rPr>
        <w:t xml:space="preserve">, </w:t>
      </w:r>
      <w:hyperlink r:id="rId376" w:history="1">
        <w:r w:rsidRPr="0062595A">
          <w:rPr>
            <w:rFonts w:eastAsia="MS Mincho"/>
            <w:color w:val="0563C1"/>
            <w:sz w:val="22"/>
            <w:u w:val="single"/>
            <w:lang w:eastAsia="en-GB"/>
          </w:rPr>
          <w:t>Women in Cyber</w:t>
        </w:r>
      </w:hyperlink>
      <w:r w:rsidRPr="0062595A">
        <w:rPr>
          <w:rFonts w:eastAsia="MS Mincho"/>
          <w:sz w:val="22"/>
          <w:lang w:eastAsia="en-GB"/>
        </w:rPr>
        <w:t xml:space="preserve">, </w:t>
      </w:r>
      <w:hyperlink r:id="rId377" w:history="1">
        <w:r w:rsidRPr="0062595A">
          <w:rPr>
            <w:rFonts w:eastAsia="MS Mincho"/>
            <w:color w:val="0563C1"/>
            <w:sz w:val="22"/>
            <w:u w:val="single"/>
            <w:lang w:eastAsia="en-GB"/>
          </w:rPr>
          <w:t>Talking Tech</w:t>
        </w:r>
      </w:hyperlink>
      <w:r w:rsidRPr="0062595A">
        <w:rPr>
          <w:rFonts w:eastAsia="MS Mincho"/>
          <w:sz w:val="22"/>
          <w:lang w:eastAsia="en-GB"/>
        </w:rPr>
        <w:t xml:space="preserve">, </w:t>
      </w:r>
      <w:hyperlink r:id="rId378" w:history="1">
        <w:r w:rsidRPr="0062595A">
          <w:rPr>
            <w:rFonts w:eastAsia="MS Mincho"/>
            <w:color w:val="0563C1"/>
            <w:sz w:val="22"/>
            <w:u w:val="single"/>
            <w:lang w:eastAsia="en-GB"/>
          </w:rPr>
          <w:t>Her Digital Skills</w:t>
        </w:r>
      </w:hyperlink>
      <w:r w:rsidRPr="0062595A">
        <w:rPr>
          <w:rFonts w:eastAsia="MS Mincho"/>
          <w:sz w:val="22"/>
          <w:lang w:eastAsia="en-GB"/>
        </w:rPr>
        <w:t xml:space="preserve">, </w:t>
      </w:r>
      <w:hyperlink r:id="rId379" w:history="1">
        <w:r w:rsidRPr="0062595A">
          <w:rPr>
            <w:rFonts w:eastAsia="MS Mincho"/>
            <w:color w:val="0563C1"/>
            <w:sz w:val="22"/>
            <w:u w:val="single"/>
            <w:lang w:eastAsia="en-GB"/>
          </w:rPr>
          <w:t xml:space="preserve">Her </w:t>
        </w:r>
        <w:proofErr w:type="spellStart"/>
        <w:r w:rsidRPr="0062595A">
          <w:rPr>
            <w:rFonts w:eastAsia="MS Mincho"/>
            <w:color w:val="0563C1"/>
            <w:sz w:val="22"/>
            <w:u w:val="single"/>
            <w:lang w:eastAsia="en-GB"/>
          </w:rPr>
          <w:t>CyberTracks</w:t>
        </w:r>
        <w:proofErr w:type="spellEnd"/>
      </w:hyperlink>
      <w:r w:rsidRPr="0062595A">
        <w:rPr>
          <w:rFonts w:eastAsia="MS Mincho"/>
          <w:sz w:val="22"/>
          <w:lang w:eastAsia="en-GB"/>
        </w:rPr>
        <w:t xml:space="preserve">, and the </w:t>
      </w:r>
      <w:hyperlink r:id="rId380" w:history="1">
        <w:r w:rsidRPr="0062595A">
          <w:rPr>
            <w:rFonts w:eastAsia="MS Mincho"/>
            <w:color w:val="0563C1"/>
            <w:sz w:val="22"/>
            <w:u w:val="single"/>
            <w:lang w:eastAsia="en-GB"/>
          </w:rPr>
          <w:t>African</w:t>
        </w:r>
      </w:hyperlink>
      <w:r w:rsidRPr="0062595A">
        <w:rPr>
          <w:rFonts w:eastAsia="MS Mincho"/>
          <w:sz w:val="22"/>
          <w:lang w:eastAsia="en-GB"/>
        </w:rPr>
        <w:t xml:space="preserve"> and </w:t>
      </w:r>
      <w:hyperlink r:id="rId381" w:history="1">
        <w:r w:rsidRPr="0062595A">
          <w:rPr>
            <w:rFonts w:eastAsia="MS Mincho"/>
            <w:color w:val="0563C1"/>
            <w:sz w:val="22"/>
            <w:u w:val="single"/>
            <w:lang w:eastAsia="en-GB"/>
          </w:rPr>
          <w:t>Americas</w:t>
        </w:r>
      </w:hyperlink>
      <w:r w:rsidRPr="0062595A">
        <w:rPr>
          <w:rFonts w:eastAsia="MS Mincho"/>
          <w:sz w:val="22"/>
          <w:lang w:eastAsia="en-GB"/>
        </w:rPr>
        <w:t xml:space="preserve"> Girls Can Code Initiatives. Initiatives offer training, mentoring, and opportunities to motivate girls and young women to pursue ICT careers. In 2024, for example, Her Digital Skills delivered 21 workshops benefiting over 1</w:t>
      </w:r>
      <w:r w:rsidR="00CB4996">
        <w:rPr>
          <w:rFonts w:eastAsia="MS Mincho"/>
          <w:sz w:val="22"/>
          <w:lang w:eastAsia="en-GB"/>
        </w:rPr>
        <w:t> </w:t>
      </w:r>
      <w:r w:rsidRPr="0062595A">
        <w:rPr>
          <w:rFonts w:eastAsia="MS Mincho"/>
          <w:sz w:val="22"/>
          <w:lang w:eastAsia="en-GB"/>
        </w:rPr>
        <w:t xml:space="preserve">700 participants, while Her </w:t>
      </w:r>
      <w:proofErr w:type="spellStart"/>
      <w:r w:rsidRPr="0062595A">
        <w:rPr>
          <w:rFonts w:eastAsia="MS Mincho"/>
          <w:sz w:val="22"/>
          <w:lang w:eastAsia="en-GB"/>
        </w:rPr>
        <w:t>CyberTracks</w:t>
      </w:r>
      <w:proofErr w:type="spellEnd"/>
      <w:r w:rsidRPr="0062595A">
        <w:rPr>
          <w:rFonts w:eastAsia="MS Mincho"/>
          <w:sz w:val="22"/>
          <w:lang w:eastAsia="en-GB"/>
        </w:rPr>
        <w:t xml:space="preserve"> trained approximately 300 women in cybersecurity.</w:t>
      </w:r>
    </w:p>
    <w:p w14:paraId="0A08F1D5" w14:textId="77777777" w:rsidR="0062595A" w:rsidRPr="0062595A" w:rsidRDefault="0062595A" w:rsidP="00C5530E">
      <w:pPr>
        <w:suppressAutoHyphens/>
        <w:adjustRightInd/>
        <w:spacing w:after="120"/>
        <w:jc w:val="both"/>
        <w:rPr>
          <w:rFonts w:eastAsia="MS Mincho"/>
          <w:sz w:val="22"/>
        </w:rPr>
      </w:pPr>
      <w:r w:rsidRPr="0062595A">
        <w:rPr>
          <w:rFonts w:eastAsia="MS Mincho"/>
          <w:sz w:val="22"/>
          <w:lang w:eastAsia="en-GB"/>
        </w:rPr>
        <w:t xml:space="preserve">EQUALS 2.0 reflects its new phase, with a refreshed governance structure and strategic vision and mission, reaffirming commitments to close the gender digital divide. The </w:t>
      </w:r>
      <w:hyperlink r:id="rId382" w:history="1">
        <w:r w:rsidRPr="0062595A">
          <w:rPr>
            <w:rFonts w:eastAsia="MS Mincho"/>
            <w:color w:val="0563C1"/>
            <w:sz w:val="22"/>
            <w:u w:val="single"/>
            <w:lang w:eastAsia="en-GB"/>
          </w:rPr>
          <w:t>EQUALS Research Report 2025: Advancing Gender Empowerment in the Digital Age</w:t>
        </w:r>
      </w:hyperlink>
      <w:r w:rsidRPr="0062595A">
        <w:rPr>
          <w:rFonts w:eastAsia="MS Mincho"/>
          <w:sz w:val="22"/>
          <w:lang w:eastAsia="en-GB"/>
        </w:rPr>
        <w:t xml:space="preserve"> provides updated global evidence on gender gaps in access, skills, leadership, and emerging technologies.</w:t>
      </w:r>
      <w:r w:rsidRPr="0062595A">
        <w:rPr>
          <w:rFonts w:eastAsia="MS Mincho"/>
          <w:sz w:val="22"/>
        </w:rPr>
        <w:t xml:space="preserve"> </w:t>
      </w:r>
      <w:r w:rsidRPr="0062595A">
        <w:rPr>
          <w:rFonts w:eastAsia="MS Mincho"/>
          <w:sz w:val="22"/>
          <w:lang w:eastAsia="en-GB"/>
        </w:rPr>
        <w:t>The 2025 EQUALS Gender Inclusivity Index outlines progress and remaining gaps in advancing gender equality across the mobile industry.</w:t>
      </w:r>
    </w:p>
    <w:p w14:paraId="14323A18" w14:textId="77777777" w:rsidR="0062595A" w:rsidRPr="0062595A" w:rsidRDefault="0062595A" w:rsidP="00C5530E">
      <w:pPr>
        <w:keepNext/>
        <w:keepLines/>
        <w:suppressAutoHyphens/>
        <w:adjustRightInd/>
        <w:spacing w:after="120"/>
        <w:jc w:val="both"/>
        <w:rPr>
          <w:rFonts w:eastAsia="MS Mincho"/>
          <w:sz w:val="22"/>
        </w:rPr>
      </w:pPr>
      <w:r w:rsidRPr="0062595A">
        <w:rPr>
          <w:rFonts w:eastAsia="MS Mincho"/>
          <w:sz w:val="22"/>
          <w:szCs w:val="18"/>
          <w:lang w:eastAsia="en-GB"/>
        </w:rPr>
        <w:lastRenderedPageBreak/>
        <w:t xml:space="preserve">Expanded capacity-building efforts include structured courses and certifications accessible from ITU Academy There is a self-paced online training on </w:t>
      </w:r>
      <w:hyperlink r:id="rId383" w:history="1">
        <w:r w:rsidRPr="0062595A">
          <w:rPr>
            <w:rFonts w:eastAsia="MS Mincho"/>
            <w:color w:val="0563C1"/>
            <w:sz w:val="22"/>
            <w:szCs w:val="18"/>
            <w:u w:val="single"/>
            <w:lang w:eastAsia="en-GB"/>
          </w:rPr>
          <w:t>gender analysis for digital inclusion</w:t>
        </w:r>
      </w:hyperlink>
      <w:r w:rsidRPr="0062595A">
        <w:rPr>
          <w:rFonts w:eastAsia="MS Mincho"/>
          <w:sz w:val="22"/>
          <w:szCs w:val="18"/>
          <w:lang w:eastAsia="en-GB"/>
        </w:rPr>
        <w:t xml:space="preserve"> and another based on ITU’s </w:t>
      </w:r>
      <w:hyperlink r:id="rId384" w:history="1">
        <w:r w:rsidRPr="0062595A">
          <w:rPr>
            <w:rFonts w:eastAsia="Calibri" w:cs="Calibri"/>
            <w:color w:val="0563C1"/>
            <w:sz w:val="22"/>
            <w:szCs w:val="22"/>
            <w:u w:val="single"/>
          </w:rPr>
          <w:t>Handbook on mainstreaming gender in digital policies</w:t>
        </w:r>
      </w:hyperlink>
      <w:r w:rsidRPr="0062595A">
        <w:rPr>
          <w:rFonts w:eastAsia="MS Mincho"/>
          <w:sz w:val="22"/>
          <w:szCs w:val="18"/>
          <w:lang w:eastAsia="en-GB"/>
        </w:rPr>
        <w:t>, which supports the integration of gender equality into national strategies. This remains essential given that 94 countries had developed national digital agendas by 2022, but only 21 explicitly included women and girls.</w:t>
      </w:r>
    </w:p>
    <w:p w14:paraId="65EB69A8" w14:textId="0E3F0161" w:rsidR="0062595A" w:rsidRPr="0062595A" w:rsidRDefault="0062595A" w:rsidP="00C5530E">
      <w:pPr>
        <w:suppressAutoHyphens/>
        <w:adjustRightInd/>
        <w:spacing w:after="120"/>
        <w:jc w:val="both"/>
        <w:rPr>
          <w:rFonts w:eastAsia="MS Mincho"/>
          <w:sz w:val="22"/>
          <w:lang w:eastAsia="en-GB"/>
        </w:rPr>
      </w:pPr>
      <w:r w:rsidRPr="0062595A">
        <w:rPr>
          <w:rFonts w:eastAsia="MS Mincho"/>
          <w:sz w:val="22"/>
          <w:lang w:eastAsia="en-GB"/>
        </w:rPr>
        <w:t>The Her Digital Skills project developed by ITU-D is enabled by contributions, including one from Qualcomm that supports the implementation of Her Digital Skills in Cameroon, Ethiopia, Ghana, Kenya, and Nigeria, and one from the Women’s World Wide Web, GSMA and Ernst &amp; Young (EY) that supported content development and the delivery of the initiative in the Philippines, Kenya, Nepal, Uganda, and South Africa, as well as the Caribbean, reaching over 23 countries and benefiting around 5</w:t>
      </w:r>
      <w:r w:rsidR="00A808F0">
        <w:rPr>
          <w:rFonts w:eastAsia="MS Mincho"/>
          <w:sz w:val="22"/>
          <w:lang w:eastAsia="en-GB"/>
        </w:rPr>
        <w:t> </w:t>
      </w:r>
      <w:r w:rsidRPr="0062595A">
        <w:rPr>
          <w:rFonts w:eastAsia="MS Mincho"/>
          <w:sz w:val="22"/>
          <w:lang w:eastAsia="en-GB"/>
        </w:rPr>
        <w:t>600 young women in total.</w:t>
      </w:r>
    </w:p>
    <w:p w14:paraId="1341420D" w14:textId="77777777" w:rsidR="0062595A" w:rsidRPr="0062595A" w:rsidRDefault="0062595A" w:rsidP="00C5530E">
      <w:pPr>
        <w:suppressAutoHyphens/>
        <w:adjustRightInd/>
        <w:spacing w:after="120"/>
        <w:jc w:val="both"/>
        <w:rPr>
          <w:rFonts w:eastAsia="MS Mincho"/>
          <w:sz w:val="22"/>
        </w:rPr>
      </w:pPr>
      <w:hyperlink r:id="rId385" w:history="1">
        <w:r w:rsidRPr="0062595A">
          <w:rPr>
            <w:rFonts w:eastAsia="MS Mincho"/>
            <w:color w:val="0563C1"/>
            <w:sz w:val="22"/>
            <w:szCs w:val="18"/>
            <w:u w:val="single"/>
            <w:lang w:eastAsia="en-GB"/>
          </w:rPr>
          <w:t>Her Digital Skills: Towards a Gender Transformative Approach</w:t>
        </w:r>
      </w:hyperlink>
      <w:r w:rsidRPr="0062595A">
        <w:rPr>
          <w:rFonts w:eastAsia="MS Mincho"/>
          <w:sz w:val="22"/>
        </w:rPr>
        <w:t>,</w:t>
      </w:r>
      <w:r w:rsidRPr="0062595A">
        <w:rPr>
          <w:rFonts w:eastAsia="MS Mincho"/>
          <w:sz w:val="22"/>
          <w:szCs w:val="18"/>
          <w:lang w:eastAsia="en-GB"/>
        </w:rPr>
        <w:t xml:space="preserve"> a framework and practitioners' guide released in 2024, recommends gender-transformative approaches to the design of digital skills education programmes, inside and outside the classroom.</w:t>
      </w:r>
    </w:p>
    <w:p w14:paraId="498FB567" w14:textId="77777777" w:rsidR="0062595A" w:rsidRPr="0062595A" w:rsidRDefault="0062595A" w:rsidP="00C5530E">
      <w:pPr>
        <w:suppressAutoHyphens/>
        <w:adjustRightInd/>
        <w:spacing w:after="120"/>
        <w:jc w:val="both"/>
        <w:rPr>
          <w:rFonts w:eastAsia="MS Mincho"/>
          <w:sz w:val="22"/>
        </w:rPr>
      </w:pPr>
      <w:r w:rsidRPr="0062595A">
        <w:rPr>
          <w:rFonts w:eastAsia="MS Mincho"/>
          <w:sz w:val="22"/>
          <w:lang w:eastAsia="en-GB"/>
        </w:rPr>
        <w:t xml:space="preserve">The ITU-D </w:t>
      </w:r>
      <w:hyperlink r:id="rId386" w:history="1">
        <w:r w:rsidRPr="0062595A">
          <w:rPr>
            <w:rFonts w:eastAsia="MS Mincho"/>
            <w:color w:val="0563C1"/>
            <w:sz w:val="22"/>
            <w:u w:val="single"/>
            <w:lang w:eastAsia="en-GB"/>
          </w:rPr>
          <w:t>AI Skills Accelerator for Girls</w:t>
        </w:r>
      </w:hyperlink>
      <w:r w:rsidRPr="0062595A">
        <w:rPr>
          <w:rFonts w:eastAsia="MS Mincho"/>
          <w:sz w:val="22"/>
          <w:lang w:eastAsia="en-GB"/>
        </w:rPr>
        <w:t xml:space="preserve"> programme was born out of a need to address the underrepresentation of women in AI and leadership roles in tech. The programme is hands-on and will have two cohorts of young women benefiting of the activities. The first cohort started in October 2024 with in-person workshops running across 6 countries (one per each ITU region: Paraguay, Malta, Kenya, India, Kazakhstan, Jordan) and from August 2025 other countries would benefit under the second cohort (Uzbekistan, Guatemala, Egypt, Mozambique). More than 820 young women have benefited from the programme.</w:t>
      </w:r>
    </w:p>
    <w:p w14:paraId="292F119A" w14:textId="6FA5C49C" w:rsidR="0062595A" w:rsidRPr="0062595A" w:rsidRDefault="0062595A" w:rsidP="00C5530E">
      <w:pPr>
        <w:suppressAutoHyphens/>
        <w:adjustRightInd/>
        <w:spacing w:after="120"/>
        <w:jc w:val="both"/>
        <w:rPr>
          <w:rFonts w:eastAsia="MS Mincho"/>
          <w:sz w:val="22"/>
        </w:rPr>
      </w:pPr>
      <w:r w:rsidRPr="0062595A">
        <w:rPr>
          <w:rFonts w:eastAsia="MS Mincho"/>
          <w:sz w:val="22"/>
          <w:szCs w:val="18"/>
          <w:lang w:eastAsia="en-GB"/>
        </w:rPr>
        <w:t xml:space="preserve">The yearly celebration of </w:t>
      </w:r>
      <w:hyperlink r:id="rId387" w:history="1">
        <w:r w:rsidRPr="0062595A">
          <w:rPr>
            <w:rFonts w:eastAsia="MS Mincho"/>
            <w:color w:val="0563C1"/>
            <w:sz w:val="22"/>
            <w:szCs w:val="18"/>
            <w:u w:val="single"/>
            <w:lang w:eastAsia="en-GB"/>
          </w:rPr>
          <w:t>International Girls in ICT Day</w:t>
        </w:r>
      </w:hyperlink>
      <w:r w:rsidRPr="0062595A">
        <w:rPr>
          <w:rFonts w:eastAsia="MS Mincho"/>
          <w:sz w:val="22"/>
          <w:szCs w:val="18"/>
          <w:lang w:eastAsia="en-GB"/>
        </w:rPr>
        <w:t xml:space="preserve"> continued to grow as a means to mobilize skills and leadership globally. The 2023–2025 themes moved from “Digital Skills for Life” to “Leadership” and then to “Girls in ICT for inclusive digital transformation”. The initiative’s cumulative reach from 2023 to 2025 had surpassed 76</w:t>
      </w:r>
      <w:r w:rsidR="00A808F0">
        <w:rPr>
          <w:rFonts w:eastAsia="MS Mincho"/>
          <w:sz w:val="22"/>
          <w:szCs w:val="18"/>
          <w:lang w:eastAsia="en-GB"/>
        </w:rPr>
        <w:t> </w:t>
      </w:r>
      <w:r w:rsidRPr="0062595A">
        <w:rPr>
          <w:rFonts w:eastAsia="MS Mincho"/>
          <w:sz w:val="22"/>
          <w:szCs w:val="18"/>
          <w:lang w:eastAsia="en-GB"/>
        </w:rPr>
        <w:t>000 girls and young women through 472 events in all six ITU regions</w:t>
      </w:r>
    </w:p>
    <w:p w14:paraId="0DC30AFA"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18"/>
          <w:lang w:eastAsia="en-GB"/>
        </w:rPr>
        <w:t xml:space="preserve">ITU’s </w:t>
      </w:r>
      <w:hyperlink r:id="rId388" w:history="1">
        <w:r w:rsidRPr="0062595A">
          <w:rPr>
            <w:rFonts w:eastAsia="MS Mincho"/>
            <w:color w:val="0563C1"/>
            <w:sz w:val="22"/>
            <w:szCs w:val="18"/>
            <w:u w:val="single"/>
            <w:lang w:eastAsia="en-GB"/>
          </w:rPr>
          <w:t>Network of Women (</w:t>
        </w:r>
        <w:proofErr w:type="spellStart"/>
        <w:r w:rsidRPr="0062595A">
          <w:rPr>
            <w:rFonts w:eastAsia="MS Mincho"/>
            <w:color w:val="0563C1"/>
            <w:sz w:val="22"/>
            <w:szCs w:val="18"/>
            <w:u w:val="single"/>
            <w:lang w:eastAsia="en-GB"/>
          </w:rPr>
          <w:t>NoW</w:t>
        </w:r>
        <w:proofErr w:type="spellEnd"/>
        <w:r w:rsidRPr="0062595A">
          <w:rPr>
            <w:rFonts w:eastAsia="MS Mincho"/>
            <w:color w:val="0563C1"/>
            <w:sz w:val="22"/>
            <w:szCs w:val="18"/>
            <w:u w:val="single"/>
            <w:lang w:eastAsia="en-GB"/>
          </w:rPr>
          <w:t>)</w:t>
        </w:r>
      </w:hyperlink>
      <w:r w:rsidRPr="0062595A">
        <w:rPr>
          <w:rFonts w:eastAsia="MS Mincho"/>
          <w:sz w:val="22"/>
          <w:szCs w:val="18"/>
          <w:lang w:eastAsia="en-GB"/>
        </w:rPr>
        <w:t xml:space="preserve"> communities operate across all three ITU sectors: </w:t>
      </w:r>
      <w:hyperlink r:id="rId389" w:history="1">
        <w:r w:rsidRPr="0062595A">
          <w:rPr>
            <w:rFonts w:eastAsia="MS Mincho"/>
            <w:color w:val="0563C1"/>
            <w:sz w:val="22"/>
            <w:szCs w:val="18"/>
            <w:u w:val="single"/>
            <w:lang w:eastAsia="en-GB"/>
          </w:rPr>
          <w:t>ITU-R</w:t>
        </w:r>
      </w:hyperlink>
      <w:r w:rsidRPr="0062595A">
        <w:rPr>
          <w:rFonts w:eastAsia="MS Mincho"/>
          <w:sz w:val="22"/>
          <w:szCs w:val="18"/>
          <w:lang w:eastAsia="en-GB"/>
        </w:rPr>
        <w:t xml:space="preserve">, </w:t>
      </w:r>
      <w:hyperlink r:id="rId390" w:history="1">
        <w:r w:rsidRPr="0062595A">
          <w:rPr>
            <w:rFonts w:eastAsia="MS Mincho"/>
            <w:color w:val="0563C1"/>
            <w:sz w:val="22"/>
            <w:szCs w:val="18"/>
            <w:u w:val="single"/>
            <w:lang w:eastAsia="en-GB"/>
          </w:rPr>
          <w:t>ITU-T</w:t>
        </w:r>
      </w:hyperlink>
      <w:r w:rsidRPr="0062595A">
        <w:rPr>
          <w:rFonts w:eastAsia="MS Mincho"/>
          <w:sz w:val="22"/>
          <w:szCs w:val="18"/>
          <w:lang w:eastAsia="en-GB"/>
        </w:rPr>
        <w:t xml:space="preserve"> and </w:t>
      </w:r>
      <w:hyperlink r:id="rId391" w:history="1">
        <w:r w:rsidRPr="0062595A">
          <w:rPr>
            <w:rFonts w:eastAsia="MS Mincho"/>
            <w:color w:val="0563C1"/>
            <w:sz w:val="22"/>
            <w:szCs w:val="18"/>
            <w:u w:val="single"/>
            <w:lang w:eastAsia="en-GB"/>
          </w:rPr>
          <w:t>ITU-D</w:t>
        </w:r>
      </w:hyperlink>
      <w:r w:rsidRPr="0062595A">
        <w:rPr>
          <w:rFonts w:eastAsia="MS Mincho"/>
          <w:sz w:val="22"/>
          <w:szCs w:val="18"/>
          <w:lang w:eastAsia="en-GB"/>
        </w:rPr>
        <w:t>; to increase women’s representation, and leadership in ITU’s work. These networks offer mentoring, training, and support for women delegates, particularly in preparation for major conferences:</w:t>
      </w:r>
    </w:p>
    <w:p w14:paraId="0E88DDFC" w14:textId="7A2232D5" w:rsidR="0062595A" w:rsidRPr="00A808F0" w:rsidRDefault="0062595A" w:rsidP="00C5530E">
      <w:pPr>
        <w:suppressAutoHyphens/>
        <w:adjustRightInd/>
        <w:spacing w:after="120"/>
        <w:jc w:val="both"/>
        <w:rPr>
          <w:rFonts w:eastAsia="MS Mincho"/>
          <w:sz w:val="22"/>
          <w:szCs w:val="22"/>
        </w:rPr>
      </w:pPr>
      <w:r w:rsidRPr="0062595A">
        <w:rPr>
          <w:rFonts w:eastAsia="PMingLiU"/>
          <w:sz w:val="22"/>
          <w:szCs w:val="18"/>
          <w:lang w:eastAsia="en-GB"/>
        </w:rPr>
        <w:t xml:space="preserve">ITU-D: 36% women's participation at WTDC 2022 and 2025; Empowering Women Leaders Mentorship </w:t>
      </w:r>
      <w:r w:rsidRPr="00A808F0">
        <w:rPr>
          <w:rFonts w:eastAsia="PMingLiU"/>
          <w:sz w:val="22"/>
          <w:szCs w:val="22"/>
          <w:lang w:eastAsia="en-GB"/>
        </w:rPr>
        <w:t>Programme engaged 150+ participants, including 30% male mentors marking a milestone in ally engagement.</w:t>
      </w:r>
      <w:r w:rsidRPr="00A808F0">
        <w:rPr>
          <w:rFonts w:eastAsia="MS Mincho"/>
          <w:sz w:val="22"/>
          <w:szCs w:val="22"/>
        </w:rPr>
        <w:t xml:space="preserve"> </w:t>
      </w:r>
      <w:r w:rsidRPr="00A808F0">
        <w:rPr>
          <w:rFonts w:eastAsia="MS Mincho"/>
          <w:sz w:val="22"/>
          <w:szCs w:val="22"/>
          <w:lang w:eastAsia="en-GB"/>
        </w:rPr>
        <w:t xml:space="preserve">A “Confidence Booster Masterclass” in August 2025 on the eve of the Global Symposium for Regulators (GSR-25) in Saudi Arabia, brought together over 60 participants from 40 countries, helping them to strengthen their confidence in public speaking, improve communication techniques, and gain practical tips for effective presentations and interventions. A pre-WTDC-25 training course was organized and delivered virtually on October 8th with 143 delegates from 64 countries. The </w:t>
      </w:r>
      <w:hyperlink r:id="rId392" w:history="1">
        <w:r w:rsidRPr="00A808F0">
          <w:rPr>
            <w:rFonts w:eastAsia="MS Mincho"/>
            <w:i/>
            <w:color w:val="0563C1"/>
            <w:sz w:val="22"/>
            <w:szCs w:val="22"/>
            <w:u w:val="single"/>
            <w:lang w:eastAsia="en-GB"/>
          </w:rPr>
          <w:t>Super Women Series: Enhance your presence, influence, and impact</w:t>
        </w:r>
      </w:hyperlink>
      <w:r w:rsidRPr="00A808F0">
        <w:rPr>
          <w:rFonts w:eastAsia="MS Mincho"/>
          <w:sz w:val="22"/>
          <w:szCs w:val="22"/>
          <w:lang w:eastAsia="en-GB"/>
        </w:rPr>
        <w:t xml:space="preserve">, were also delivered via the ITU Academy between October and November. Over 107 women delegates benefited of this training representing 42+ </w:t>
      </w:r>
      <w:r w:rsidR="00A808F0" w:rsidRPr="00A808F0">
        <w:rPr>
          <w:rFonts w:eastAsia="MS Mincho"/>
          <w:sz w:val="22"/>
          <w:szCs w:val="22"/>
          <w:lang w:eastAsia="en-GB"/>
        </w:rPr>
        <w:t>Member States</w:t>
      </w:r>
      <w:r w:rsidRPr="00A808F0">
        <w:rPr>
          <w:rFonts w:eastAsia="MS Mincho"/>
          <w:sz w:val="22"/>
          <w:szCs w:val="22"/>
          <w:lang w:eastAsia="en-GB"/>
        </w:rPr>
        <w:t xml:space="preserve">. </w:t>
      </w:r>
      <w:r w:rsidRPr="00A808F0">
        <w:rPr>
          <w:rFonts w:eastAsia="PMingLiU"/>
          <w:sz w:val="22"/>
          <w:szCs w:val="22"/>
          <w:lang w:eastAsia="en-GB"/>
        </w:rPr>
        <w:t>ITU-T: 26% women’s participation at WTSA24; NOW4WTSA24 contributed to women holding 25% of leadership posts (25% increase) and 28% of standardization experts.</w:t>
      </w:r>
    </w:p>
    <w:p w14:paraId="33B8B2C3" w14:textId="77777777" w:rsidR="0062595A" w:rsidRPr="00A808F0" w:rsidRDefault="0062595A" w:rsidP="00C5530E">
      <w:pPr>
        <w:suppressAutoHyphens/>
        <w:adjustRightInd/>
        <w:spacing w:after="120"/>
        <w:jc w:val="both"/>
        <w:rPr>
          <w:rFonts w:eastAsia="PMingLiU"/>
          <w:sz w:val="22"/>
          <w:szCs w:val="22"/>
          <w:lang w:eastAsia="en-GB"/>
        </w:rPr>
      </w:pPr>
      <w:r w:rsidRPr="00A808F0">
        <w:rPr>
          <w:rFonts w:eastAsia="PMingLiU"/>
          <w:sz w:val="22"/>
          <w:szCs w:val="22"/>
          <w:lang w:eastAsia="en-GB"/>
        </w:rPr>
        <w:t>ITU-R: NOW4WRC increased women delegates from 18% (2019) to 22% (2023); NOW4WRC27 mentoring is currently underway.</w:t>
      </w:r>
    </w:p>
    <w:p w14:paraId="4FAEAEBE" w14:textId="77777777" w:rsidR="0062595A" w:rsidRPr="00A808F0" w:rsidRDefault="0062595A" w:rsidP="00C5530E">
      <w:pPr>
        <w:suppressAutoHyphens/>
        <w:adjustRightInd/>
        <w:spacing w:after="120"/>
        <w:jc w:val="both"/>
        <w:rPr>
          <w:rFonts w:eastAsia="MS Mincho"/>
          <w:sz w:val="22"/>
          <w:szCs w:val="22"/>
        </w:rPr>
      </w:pPr>
      <w:r w:rsidRPr="00A808F0">
        <w:rPr>
          <w:rFonts w:eastAsia="MS Mincho"/>
          <w:sz w:val="22"/>
          <w:szCs w:val="22"/>
          <w:lang w:eastAsia="en-GB"/>
        </w:rPr>
        <w:t xml:space="preserve">In ITU-T, the </w:t>
      </w:r>
      <w:hyperlink r:id="rId393" w:history="1">
        <w:r w:rsidRPr="00A808F0">
          <w:rPr>
            <w:rFonts w:eastAsia="MS Mincho"/>
            <w:color w:val="0563C1"/>
            <w:sz w:val="22"/>
            <w:szCs w:val="22"/>
            <w:u w:val="single"/>
            <w:lang w:eastAsia="en-GB"/>
          </w:rPr>
          <w:t>NOW4WTSA24</w:t>
        </w:r>
      </w:hyperlink>
      <w:r w:rsidRPr="00A808F0">
        <w:rPr>
          <w:rFonts w:eastAsia="MS Mincho"/>
          <w:sz w:val="22"/>
          <w:szCs w:val="22"/>
          <w:lang w:eastAsia="en-GB"/>
        </w:rPr>
        <w:t xml:space="preserve"> campaign encouraged greater nomination of women for leadership roles, contributing to women holding around 25 per cent of ITU-T leadership posts and representing approximately 28 per cent of standardization experts.</w:t>
      </w:r>
    </w:p>
    <w:p w14:paraId="7B7288EF" w14:textId="77777777" w:rsidR="0062595A" w:rsidRPr="00A808F0" w:rsidRDefault="0062595A" w:rsidP="00C5530E">
      <w:pPr>
        <w:suppressAutoHyphens/>
        <w:adjustRightInd/>
        <w:spacing w:after="120"/>
        <w:jc w:val="both"/>
        <w:rPr>
          <w:rFonts w:eastAsia="MS Mincho" w:cs="Calibri"/>
          <w:sz w:val="22"/>
          <w:szCs w:val="22"/>
        </w:rPr>
      </w:pPr>
      <w:r w:rsidRPr="00A808F0">
        <w:rPr>
          <w:rFonts w:eastAsia="MS Mincho"/>
          <w:sz w:val="22"/>
          <w:szCs w:val="22"/>
          <w:lang w:eastAsia="en-GB"/>
        </w:rPr>
        <w:t xml:space="preserve">The </w:t>
      </w:r>
      <w:hyperlink r:id="rId394" w:history="1">
        <w:r w:rsidRPr="00A808F0">
          <w:rPr>
            <w:rFonts w:eastAsia="MS Mincho"/>
            <w:color w:val="0563C1"/>
            <w:sz w:val="22"/>
            <w:szCs w:val="22"/>
            <w:u w:val="single"/>
            <w:lang w:eastAsia="en-GB"/>
          </w:rPr>
          <w:t>NOW4WRC</w:t>
        </w:r>
      </w:hyperlink>
      <w:r w:rsidRPr="00A808F0">
        <w:rPr>
          <w:rFonts w:eastAsia="MS Mincho"/>
          <w:sz w:val="22"/>
          <w:szCs w:val="22"/>
          <w:lang w:eastAsia="en-GB"/>
        </w:rPr>
        <w:t xml:space="preserve"> initiative was adopted to promote gender equality and bridge participation gaps in ITU-R activities. Women represented 22 per cent</w:t>
      </w:r>
      <w:r w:rsidRPr="0062595A">
        <w:rPr>
          <w:rFonts w:eastAsia="MS Mincho"/>
          <w:sz w:val="22"/>
          <w:szCs w:val="18"/>
          <w:lang w:eastAsia="en-GB"/>
        </w:rPr>
        <w:t xml:space="preserve"> of RA/WRC-23 delegates, up from 18 per cent in 2019. A new </w:t>
      </w:r>
      <w:hyperlink r:id="rId395" w:history="1">
        <w:r w:rsidRPr="0062595A">
          <w:rPr>
            <w:rFonts w:eastAsia="MS Mincho"/>
            <w:color w:val="0563C1"/>
            <w:sz w:val="22"/>
            <w:szCs w:val="18"/>
            <w:u w:val="single"/>
            <w:lang w:eastAsia="en-GB"/>
          </w:rPr>
          <w:t>Network of Women Ministers and Leaders in ICT</w:t>
        </w:r>
      </w:hyperlink>
      <w:r w:rsidRPr="0062595A">
        <w:rPr>
          <w:rFonts w:eastAsia="MS Mincho"/>
          <w:sz w:val="22"/>
          <w:szCs w:val="18"/>
          <w:lang w:eastAsia="en-GB"/>
        </w:rPr>
        <w:t xml:space="preserve"> was convened during the WSIS+20 High-</w:t>
      </w:r>
      <w:r w:rsidRPr="00A808F0">
        <w:rPr>
          <w:rFonts w:eastAsia="MS Mincho" w:cs="Calibri"/>
          <w:sz w:val="22"/>
          <w:szCs w:val="22"/>
          <w:lang w:eastAsia="en-GB"/>
        </w:rPr>
        <w:lastRenderedPageBreak/>
        <w:t xml:space="preserve">Level Event in July 2024 and again during WSIS+20 High-Level Event and the AI for Good Global Summit 2025. Mentoring is underway for the upcoming World Radiocommunication Conference (WRC-27) through the NOW4WRC27 initiative. A new coordination mechanism for all ITU Networks of Women has been launched, with the participation of the various </w:t>
      </w:r>
      <w:proofErr w:type="spellStart"/>
      <w:r w:rsidRPr="00A808F0">
        <w:rPr>
          <w:rFonts w:eastAsia="MS Mincho" w:cs="Calibri"/>
          <w:sz w:val="22"/>
          <w:szCs w:val="22"/>
          <w:lang w:eastAsia="en-GB"/>
        </w:rPr>
        <w:t>NoW</w:t>
      </w:r>
      <w:proofErr w:type="spellEnd"/>
      <w:r w:rsidRPr="00A808F0">
        <w:rPr>
          <w:rFonts w:eastAsia="MS Mincho" w:cs="Calibri"/>
          <w:sz w:val="22"/>
          <w:szCs w:val="22"/>
          <w:lang w:eastAsia="en-GB"/>
        </w:rPr>
        <w:t xml:space="preserve"> secretariats, to share knowledge, best practices and common activities.</w:t>
      </w:r>
    </w:p>
    <w:p w14:paraId="73FC37D3" w14:textId="77777777" w:rsidR="0062595A" w:rsidRPr="00A808F0" w:rsidRDefault="0062595A" w:rsidP="00C5530E">
      <w:pPr>
        <w:suppressAutoHyphens/>
        <w:adjustRightInd/>
        <w:spacing w:after="120"/>
        <w:jc w:val="both"/>
        <w:rPr>
          <w:rFonts w:eastAsia="MS Mincho" w:cs="Calibri"/>
          <w:sz w:val="22"/>
          <w:szCs w:val="22"/>
        </w:rPr>
      </w:pPr>
      <w:r w:rsidRPr="00A808F0">
        <w:rPr>
          <w:rFonts w:eastAsia="MS Mincho" w:cs="Calibri"/>
          <w:sz w:val="22"/>
          <w:szCs w:val="22"/>
          <w:lang w:eastAsia="en-GB"/>
        </w:rPr>
        <w:t xml:space="preserve">In 2024, the </w:t>
      </w:r>
      <w:hyperlink r:id="rId396" w:history="1">
        <w:r w:rsidRPr="00A808F0">
          <w:rPr>
            <w:rFonts w:eastAsia="MS Mincho" w:cs="Calibri"/>
            <w:color w:val="0563C1"/>
            <w:sz w:val="22"/>
            <w:szCs w:val="22"/>
            <w:u w:val="single"/>
            <w:lang w:eastAsia="en-GB"/>
          </w:rPr>
          <w:t>Handbook on mainstreaming gender in digital policies</w:t>
        </w:r>
      </w:hyperlink>
      <w:r w:rsidRPr="00A808F0">
        <w:rPr>
          <w:rFonts w:eastAsia="MS Mincho" w:cs="Calibri"/>
          <w:sz w:val="22"/>
          <w:szCs w:val="22"/>
          <w:lang w:eastAsia="en-GB"/>
        </w:rPr>
        <w:t xml:space="preserve"> offered Member States good practices on how to mainstream gender into current and future digital policies.</w:t>
      </w:r>
    </w:p>
    <w:p w14:paraId="2DF6955C" w14:textId="77777777" w:rsidR="0062595A" w:rsidRPr="00A808F0" w:rsidRDefault="0062595A" w:rsidP="00C5530E">
      <w:pPr>
        <w:suppressAutoHyphens/>
        <w:adjustRightInd/>
        <w:spacing w:after="120"/>
        <w:jc w:val="both"/>
        <w:rPr>
          <w:rFonts w:eastAsia="MS Mincho" w:cs="Calibri"/>
          <w:sz w:val="22"/>
          <w:szCs w:val="22"/>
        </w:rPr>
      </w:pPr>
      <w:r w:rsidRPr="00A808F0">
        <w:rPr>
          <w:rFonts w:eastAsia="MS Mincho" w:cs="Calibri"/>
          <w:sz w:val="22"/>
          <w:szCs w:val="22"/>
        </w:rPr>
        <w:t xml:space="preserve">ITU celebrated its </w:t>
      </w:r>
      <w:hyperlink r:id="rId397" w:history="1">
        <w:r w:rsidRPr="00A808F0">
          <w:rPr>
            <w:rFonts w:eastAsia="MS Mincho" w:cs="Calibri"/>
            <w:color w:val="0563C1"/>
            <w:sz w:val="22"/>
            <w:szCs w:val="22"/>
            <w:u w:val="single"/>
          </w:rPr>
          <w:t>160th anniversary</w:t>
        </w:r>
      </w:hyperlink>
      <w:r w:rsidRPr="00A808F0">
        <w:rPr>
          <w:rFonts w:eastAsia="MS Mincho" w:cs="Calibri"/>
          <w:sz w:val="22"/>
          <w:szCs w:val="22"/>
        </w:rPr>
        <w:t xml:space="preserve"> in 2025 and marked World Telecommunication and Information Society Day (WTISD) under the theme </w:t>
      </w:r>
      <w:hyperlink r:id="rId398" w:history="1">
        <w:r w:rsidRPr="00A808F0">
          <w:rPr>
            <w:rFonts w:eastAsia="MS Mincho" w:cs="Calibri"/>
            <w:color w:val="0563C1"/>
            <w:sz w:val="22"/>
            <w:szCs w:val="22"/>
            <w:u w:val="single"/>
          </w:rPr>
          <w:t>Gender equality in digital transformation</w:t>
        </w:r>
      </w:hyperlink>
      <w:r w:rsidRPr="00A808F0">
        <w:rPr>
          <w:rFonts w:eastAsia="MS Mincho" w:cs="Calibri"/>
          <w:sz w:val="22"/>
          <w:szCs w:val="22"/>
        </w:rPr>
        <w:t xml:space="preserve">. </w:t>
      </w:r>
      <w:hyperlink r:id="rId399" w:history="1">
        <w:r w:rsidRPr="00A808F0">
          <w:rPr>
            <w:rFonts w:eastAsia="MS Mincho" w:cs="Calibri"/>
            <w:color w:val="0563C1"/>
            <w:sz w:val="22"/>
            <w:szCs w:val="22"/>
            <w:u w:val="single"/>
          </w:rPr>
          <w:t>ITU160 Gender Champions</w:t>
        </w:r>
      </w:hyperlink>
      <w:r w:rsidRPr="00A808F0">
        <w:rPr>
          <w:rFonts w:eastAsia="MS Mincho" w:cs="Calibri"/>
          <w:sz w:val="22"/>
          <w:szCs w:val="22"/>
        </w:rPr>
        <w:t xml:space="preserve"> embody this vision by amplifying young women’s leadership in digital development and driving inclusive, equitable digital futures.</w:t>
      </w:r>
    </w:p>
    <w:p w14:paraId="67CCC010" w14:textId="77777777" w:rsidR="0062595A" w:rsidRPr="00A808F0" w:rsidRDefault="0062595A" w:rsidP="00C5530E">
      <w:pPr>
        <w:suppressAutoHyphens/>
        <w:adjustRightInd/>
        <w:spacing w:after="120"/>
        <w:jc w:val="both"/>
        <w:rPr>
          <w:rFonts w:eastAsia="MS Mincho" w:cs="Calibri"/>
          <w:sz w:val="22"/>
          <w:szCs w:val="22"/>
        </w:rPr>
      </w:pPr>
      <w:r w:rsidRPr="00A808F0">
        <w:rPr>
          <w:rFonts w:eastAsia="MS Mincho" w:cs="Calibri"/>
          <w:sz w:val="22"/>
          <w:szCs w:val="22"/>
          <w:lang w:eastAsia="en-GB"/>
        </w:rPr>
        <w:t xml:space="preserve">Gender is integrated across annual WSIS Forum activities. The </w:t>
      </w:r>
      <w:hyperlink r:id="rId400" w:history="1">
        <w:r w:rsidRPr="00A808F0">
          <w:rPr>
            <w:rFonts w:eastAsia="MS Mincho" w:cs="Calibri"/>
            <w:color w:val="0563C1"/>
            <w:sz w:val="22"/>
            <w:szCs w:val="22"/>
            <w:u w:val="single"/>
            <w:lang w:eastAsia="en-GB"/>
          </w:rPr>
          <w:t>WSIS+20 Outcome Document</w:t>
        </w:r>
      </w:hyperlink>
      <w:r w:rsidRPr="00A808F0">
        <w:rPr>
          <w:rFonts w:eastAsia="MS Mincho" w:cs="Calibri"/>
          <w:sz w:val="22"/>
          <w:szCs w:val="22"/>
          <w:lang w:eastAsia="en-GB"/>
        </w:rPr>
        <w:t>, adopted at the UN General Assembly in December 2025, calls for gender-responsive digital transformation and integrates gender into all WSIS Action Lines.</w:t>
      </w:r>
    </w:p>
    <w:p w14:paraId="34F11741" w14:textId="77777777" w:rsidR="0062595A" w:rsidRPr="00A808F0" w:rsidRDefault="0062595A" w:rsidP="00C5530E">
      <w:pPr>
        <w:suppressAutoHyphens/>
        <w:adjustRightInd/>
        <w:spacing w:after="120"/>
        <w:jc w:val="both"/>
        <w:rPr>
          <w:rFonts w:eastAsia="MS Mincho" w:cs="Calibri"/>
          <w:sz w:val="22"/>
          <w:szCs w:val="22"/>
        </w:rPr>
      </w:pPr>
      <w:r w:rsidRPr="00A808F0">
        <w:rPr>
          <w:rFonts w:eastAsia="MS Mincho" w:cs="Calibri"/>
          <w:sz w:val="22"/>
          <w:szCs w:val="22"/>
        </w:rPr>
        <w:t>As part of the 2025 UN-wide 16 Days of Activism under the theme: “</w:t>
      </w:r>
      <w:proofErr w:type="spellStart"/>
      <w:r w:rsidRPr="00A808F0">
        <w:rPr>
          <w:rFonts w:eastAsia="MS Mincho" w:cs="Calibri"/>
          <w:sz w:val="22"/>
          <w:szCs w:val="22"/>
        </w:rPr>
        <w:t>UNiTE</w:t>
      </w:r>
      <w:proofErr w:type="spellEnd"/>
      <w:r w:rsidRPr="00A808F0">
        <w:rPr>
          <w:rFonts w:eastAsia="MS Mincho" w:cs="Calibri"/>
          <w:sz w:val="22"/>
          <w:szCs w:val="22"/>
        </w:rPr>
        <w:t xml:space="preserve"> to End Digital Violence against All Women and Girls'', ITU organized a social media video campaign, co-authored a </w:t>
      </w:r>
      <w:hyperlink r:id="rId401" w:history="1">
        <w:r w:rsidRPr="00A808F0">
          <w:rPr>
            <w:rFonts w:eastAsia="MS Mincho" w:cs="Calibri"/>
            <w:color w:val="0563C1"/>
            <w:sz w:val="22"/>
            <w:szCs w:val="22"/>
            <w:u w:val="single"/>
          </w:rPr>
          <w:t>blog article</w:t>
        </w:r>
      </w:hyperlink>
      <w:r w:rsidRPr="00A808F0">
        <w:rPr>
          <w:rFonts w:eastAsia="MS Mincho" w:cs="Calibri"/>
          <w:sz w:val="22"/>
          <w:szCs w:val="22"/>
        </w:rPr>
        <w:t xml:space="preserve"> with Plan International, and held a Virtual Session on sexual harassment in the tech sector in partnership with UN Women. Additionally, </w:t>
      </w:r>
      <w:r w:rsidRPr="00A808F0">
        <w:rPr>
          <w:rFonts w:eastAsia="Aptos" w:cs="Calibri"/>
          <w:sz w:val="22"/>
          <w:szCs w:val="22"/>
        </w:rPr>
        <w:t>ITU has been actively engaged in the work of the Human Rights Council President’s Advisory Board on Gender Equality.</w:t>
      </w:r>
    </w:p>
    <w:p w14:paraId="2015F29B" w14:textId="77777777" w:rsidR="0062595A" w:rsidRPr="0062595A" w:rsidRDefault="0062595A" w:rsidP="00C5530E">
      <w:pPr>
        <w:suppressAutoHyphens/>
        <w:adjustRightInd/>
        <w:spacing w:after="120"/>
        <w:jc w:val="both"/>
        <w:rPr>
          <w:rFonts w:eastAsia="MS Mincho"/>
          <w:sz w:val="22"/>
        </w:rPr>
      </w:pPr>
      <w:r w:rsidRPr="00A808F0">
        <w:rPr>
          <w:rFonts w:eastAsia="MS Mincho" w:cs="Calibri"/>
          <w:sz w:val="22"/>
          <w:szCs w:val="22"/>
          <w:lang w:eastAsia="en-GB"/>
        </w:rPr>
        <w:t>ITU continues to report annually to the UN System-Wide Action Plan on Gender Equality and the Empowerment of Women (</w:t>
      </w:r>
      <w:hyperlink r:id="rId402" w:history="1">
        <w:r w:rsidRPr="00A808F0">
          <w:rPr>
            <w:rFonts w:eastAsia="MS Mincho" w:cs="Calibri"/>
            <w:color w:val="0563C1"/>
            <w:sz w:val="22"/>
            <w:szCs w:val="22"/>
            <w:u w:val="single"/>
            <w:lang w:eastAsia="en-GB"/>
          </w:rPr>
          <w:t>UN-SWAP</w:t>
        </w:r>
      </w:hyperlink>
      <w:r w:rsidRPr="00A808F0">
        <w:rPr>
          <w:rFonts w:eastAsia="MS Mincho" w:cs="Calibri"/>
          <w:sz w:val="22"/>
          <w:szCs w:val="22"/>
          <w:lang w:eastAsia="en-GB"/>
        </w:rPr>
        <w:t xml:space="preserve">). </w:t>
      </w:r>
      <w:hyperlink r:id="rId403" w:history="1">
        <w:r w:rsidRPr="00A808F0">
          <w:rPr>
            <w:rFonts w:eastAsia="MS Mincho" w:cs="Calibri"/>
            <w:color w:val="0563C1"/>
            <w:sz w:val="22"/>
            <w:szCs w:val="22"/>
            <w:u w:val="single"/>
            <w:lang w:eastAsia="en-GB"/>
          </w:rPr>
          <w:t>Network of Women Ministers and Leaders in ICT</w:t>
        </w:r>
      </w:hyperlink>
      <w:r w:rsidRPr="00A808F0">
        <w:rPr>
          <w:rFonts w:eastAsia="MS Mincho" w:cs="Calibri"/>
          <w:sz w:val="22"/>
          <w:szCs w:val="22"/>
          <w:lang w:eastAsia="en-GB"/>
        </w:rPr>
        <w:t xml:space="preserve"> was convened. Institutional gender balance remains a challenge with women in senior leadership posts (P5–D1–D2) have only increased from 31 per cent (end 2022) to 33 per cent (end 2025). Efforts to address this include strengthened accountability frameworks, organizational culture, and improved talent attraction measures. A new parental leave policy introduced in 2023, extending 16 weeks to all parents regardless of gender, plus an additional 10 weeks for birthing mothers, aims to support work–life balance and retain diverse talent. ITU has also committed to the United Nations Gender Equality Acceleration Plan (GEAP), where senior management works towards effectively mainstreaming gender equality.</w:t>
      </w:r>
    </w:p>
    <w:p w14:paraId="0508DD8F" w14:textId="77777777" w:rsidR="0062595A" w:rsidRPr="0062595A" w:rsidRDefault="0062595A" w:rsidP="00C5530E">
      <w:pPr>
        <w:suppressAutoHyphens/>
        <w:adjustRightInd/>
        <w:spacing w:after="120"/>
        <w:jc w:val="both"/>
        <w:rPr>
          <w:rFonts w:eastAsia="MS Mincho"/>
          <w:sz w:val="22"/>
          <w:szCs w:val="18"/>
          <w:lang w:eastAsia="en-GB"/>
        </w:rPr>
      </w:pPr>
      <w:r w:rsidRPr="0062595A">
        <w:rPr>
          <w:rFonts w:eastAsia="MS Mincho"/>
          <w:sz w:val="22"/>
          <w:szCs w:val="18"/>
          <w:lang w:eastAsia="en-GB"/>
        </w:rPr>
        <w:t>The ITU Gender Task Force is ITU’s internal coordination mechanism on gender equality and mainstreaming, established to support the mainstreaming of gender across all Sectors and the General Secretariat. A new internal coordination and accountability mechanism for the Gender Task Force has been developed.</w:t>
      </w:r>
    </w:p>
    <w:p w14:paraId="402861BC" w14:textId="77777777" w:rsidR="0062595A" w:rsidRPr="0062595A" w:rsidRDefault="0062595A" w:rsidP="00C5530E">
      <w:pPr>
        <w:suppressAutoHyphens/>
        <w:adjustRightInd/>
        <w:spacing w:after="120"/>
        <w:jc w:val="both"/>
        <w:rPr>
          <w:rFonts w:eastAsia="MS Mincho"/>
          <w:sz w:val="22"/>
          <w:szCs w:val="18"/>
          <w:lang w:eastAsia="en-GB"/>
        </w:rPr>
      </w:pPr>
      <w:r w:rsidRPr="0062595A">
        <w:rPr>
          <w:rFonts w:eastAsia="MS Mincho"/>
          <w:sz w:val="22"/>
          <w:szCs w:val="18"/>
          <w:lang w:eastAsia="en-GB"/>
        </w:rPr>
        <w:t>A January 2024 staff capacity assessment informed new capacity development and gender parity needs, where trainings on inclusive leadership, microaggressions and harassment prevention where offered, as well as an ITU Gender Parity Plan was developed in 2025. ITU’s first staff engagement survey in January 2025 established an important monitoring role key to continuous improvement, including towards gender equality and gender mainstreaming in ITU.</w:t>
      </w:r>
    </w:p>
    <w:p w14:paraId="683A3845" w14:textId="77777777" w:rsidR="0062595A" w:rsidRPr="0062595A" w:rsidRDefault="0062595A" w:rsidP="00C5530E">
      <w:pPr>
        <w:suppressAutoHyphens/>
        <w:adjustRightInd/>
        <w:spacing w:after="120"/>
        <w:jc w:val="both"/>
        <w:rPr>
          <w:rFonts w:eastAsia="MS Mincho"/>
          <w:sz w:val="22"/>
          <w:szCs w:val="18"/>
          <w:lang w:eastAsia="en-GB"/>
        </w:rPr>
      </w:pPr>
      <w:r w:rsidRPr="0062595A">
        <w:rPr>
          <w:rFonts w:eastAsia="MS Mincho"/>
          <w:sz w:val="22"/>
          <w:szCs w:val="18"/>
          <w:lang w:eastAsia="en-GB"/>
        </w:rPr>
        <w:t>ITU’s leadership milestone at PP-22, electing its first woman Secretary-General, who assumed office in January 2023, is a testament to the organization’s commitment to gender equality across all levels of governance.</w:t>
      </w:r>
    </w:p>
    <w:p w14:paraId="1C8D9A24" w14:textId="533477AC" w:rsidR="0062595A" w:rsidRPr="0062595A" w:rsidRDefault="0062595A" w:rsidP="00C5530E">
      <w:pPr>
        <w:suppressAutoHyphens/>
        <w:adjustRightInd/>
        <w:spacing w:after="120"/>
        <w:jc w:val="both"/>
        <w:rPr>
          <w:rFonts w:eastAsia="MS Mincho"/>
          <w:sz w:val="22"/>
        </w:rPr>
      </w:pPr>
      <w:r w:rsidRPr="0062595A">
        <w:rPr>
          <w:rFonts w:eastAsia="MS Mincho"/>
          <w:sz w:val="22"/>
          <w:szCs w:val="18"/>
          <w:lang w:eastAsia="en-GB"/>
        </w:rPr>
        <w:t xml:space="preserve">For further information see </w:t>
      </w:r>
      <w:hyperlink r:id="rId404" w:history="1">
        <w:r w:rsidRPr="0062595A">
          <w:rPr>
            <w:rFonts w:eastAsia="MS Mincho"/>
            <w:color w:val="0563C1"/>
            <w:sz w:val="22"/>
            <w:szCs w:val="18"/>
            <w:u w:val="single"/>
            <w:lang w:eastAsia="en-GB"/>
          </w:rPr>
          <w:t>www.itu.int/gender</w:t>
        </w:r>
      </w:hyperlink>
      <w:r w:rsidRPr="0062595A">
        <w:rPr>
          <w:rFonts w:eastAsia="MS Mincho"/>
          <w:sz w:val="22"/>
          <w:szCs w:val="18"/>
          <w:lang w:eastAsia="en-GB"/>
        </w:rPr>
        <w:t xml:space="preserve"> and annual reports to the Council: </w:t>
      </w:r>
      <w:hyperlink r:id="rId405" w:history="1">
        <w:r w:rsidRPr="0062595A">
          <w:rPr>
            <w:rFonts w:eastAsia="MS Mincho"/>
            <w:color w:val="0563C1"/>
            <w:sz w:val="22"/>
            <w:szCs w:val="18"/>
            <w:u w:val="single"/>
            <w:lang w:eastAsia="en-GB"/>
          </w:rPr>
          <w:t>C25/6</w:t>
        </w:r>
      </w:hyperlink>
      <w:r w:rsidRPr="0062595A">
        <w:rPr>
          <w:rFonts w:eastAsia="MS Mincho"/>
          <w:sz w:val="22"/>
          <w:szCs w:val="18"/>
          <w:u w:val="single"/>
          <w:lang w:eastAsia="en-GB"/>
        </w:rPr>
        <w:t>,</w:t>
      </w:r>
      <w:r w:rsidRPr="0062595A">
        <w:rPr>
          <w:rFonts w:eastAsia="MS Mincho"/>
          <w:sz w:val="22"/>
          <w:szCs w:val="18"/>
          <w:lang w:eastAsia="en-GB"/>
        </w:rPr>
        <w:t xml:space="preserve"> </w:t>
      </w:r>
      <w:hyperlink r:id="rId406" w:history="1">
        <w:r w:rsidRPr="0062595A">
          <w:rPr>
            <w:rFonts w:eastAsia="MS Mincho"/>
            <w:color w:val="0563C1"/>
            <w:sz w:val="22"/>
            <w:szCs w:val="18"/>
            <w:u w:val="single"/>
            <w:lang w:eastAsia="en-GB"/>
          </w:rPr>
          <w:t>C24/6</w:t>
        </w:r>
      </w:hyperlink>
      <w:r w:rsidRPr="0062595A">
        <w:rPr>
          <w:rFonts w:eastAsia="MS Mincho"/>
          <w:sz w:val="22"/>
          <w:szCs w:val="18"/>
          <w:lang w:eastAsia="en-GB"/>
        </w:rPr>
        <w:t xml:space="preserve"> and </w:t>
      </w:r>
      <w:hyperlink r:id="rId407" w:history="1">
        <w:r w:rsidRPr="0062595A">
          <w:rPr>
            <w:rFonts w:eastAsia="MS Mincho"/>
            <w:color w:val="0563C1"/>
            <w:sz w:val="22"/>
            <w:szCs w:val="18"/>
            <w:u w:val="single"/>
            <w:lang w:eastAsia="en-GB"/>
          </w:rPr>
          <w:t>C23/6</w:t>
        </w:r>
      </w:hyperlink>
      <w:r w:rsidRPr="0062595A">
        <w:rPr>
          <w:rFonts w:eastAsia="MS Mincho"/>
          <w:sz w:val="22"/>
          <w:szCs w:val="18"/>
          <w:lang w:eastAsia="en-GB"/>
        </w:rPr>
        <w:t>.</w:t>
      </w:r>
    </w:p>
    <w:p w14:paraId="7F5F2034" w14:textId="77777777" w:rsidR="0062595A" w:rsidRPr="0062595A" w:rsidRDefault="0062595A" w:rsidP="004F28FD">
      <w:pPr>
        <w:keepNext/>
        <w:keepLines/>
        <w:tabs>
          <w:tab w:val="clear" w:pos="567"/>
        </w:tabs>
        <w:suppressAutoHyphens/>
        <w:adjustRightInd/>
        <w:spacing w:before="360" w:after="120"/>
        <w:ind w:left="567" w:hanging="567"/>
        <w:jc w:val="both"/>
        <w:outlineLvl w:val="1"/>
        <w:rPr>
          <w:rFonts w:eastAsia="MS Mincho"/>
          <w:b/>
        </w:rPr>
      </w:pPr>
      <w:bookmarkStart w:id="111" w:name="_Toc224288830"/>
      <w:r w:rsidRPr="0062595A">
        <w:rPr>
          <w:rFonts w:eastAsia="MS Mincho"/>
          <w:b/>
          <w:lang w:eastAsia="en-GB"/>
        </w:rPr>
        <w:lastRenderedPageBreak/>
        <w:t>5.3.2</w:t>
      </w:r>
      <w:r w:rsidRPr="0062595A">
        <w:rPr>
          <w:rFonts w:eastAsia="MS Mincho"/>
          <w:b/>
          <w:lang w:eastAsia="en-GB"/>
        </w:rPr>
        <w:tab/>
        <w:t>Youth empowerment</w:t>
      </w:r>
      <w:bookmarkEnd w:id="111"/>
    </w:p>
    <w:p w14:paraId="7F6375E1" w14:textId="7A0C6A71" w:rsidR="0062595A" w:rsidRPr="0062595A" w:rsidRDefault="0062595A" w:rsidP="00C5530E">
      <w:pPr>
        <w:keepNext/>
        <w:keepLines/>
        <w:suppressAutoHyphens/>
        <w:adjustRightInd/>
        <w:spacing w:after="120"/>
        <w:jc w:val="both"/>
        <w:rPr>
          <w:rFonts w:eastAsia="MS Mincho"/>
          <w:sz w:val="22"/>
        </w:rPr>
      </w:pPr>
      <w:r w:rsidRPr="0062595A">
        <w:rPr>
          <w:rFonts w:eastAsia="Calibri"/>
          <w:sz w:val="22"/>
          <w:szCs w:val="18"/>
        </w:rPr>
        <w:t xml:space="preserve">The </w:t>
      </w:r>
      <w:hyperlink r:id="rId408" w:history="1">
        <w:r w:rsidRPr="0062595A">
          <w:rPr>
            <w:rFonts w:eastAsia="Calibri"/>
            <w:color w:val="0563C1"/>
            <w:sz w:val="22"/>
            <w:szCs w:val="18"/>
            <w:u w:val="single"/>
          </w:rPr>
          <w:t>ITU Youth Strategy</w:t>
        </w:r>
      </w:hyperlink>
      <w:r w:rsidRPr="0062595A">
        <w:rPr>
          <w:rFonts w:eastAsia="Calibri"/>
          <w:sz w:val="22"/>
          <w:szCs w:val="18"/>
        </w:rPr>
        <w:t xml:space="preserve"> is the operational framework for strengthening ITU's capacities in engaging and empowering youth through ICTs. The strategy aims to be fit-for-purpose and to reduce the youth digital divide and is built on three pillars: creating a community of young leaders; bringing young people together to engage with ITU and </w:t>
      </w:r>
      <w:r w:rsidR="00A53F39">
        <w:rPr>
          <w:rFonts w:eastAsia="Calibri"/>
          <w:sz w:val="22"/>
          <w:szCs w:val="18"/>
        </w:rPr>
        <w:t>m</w:t>
      </w:r>
      <w:r w:rsidRPr="0062595A">
        <w:rPr>
          <w:rFonts w:eastAsia="Calibri"/>
          <w:sz w:val="22"/>
          <w:szCs w:val="18"/>
        </w:rPr>
        <w:t>embers; and fostering participation in ITU activities.</w:t>
      </w:r>
    </w:p>
    <w:p w14:paraId="25AE36D8" w14:textId="5AE9731A" w:rsidR="0062595A" w:rsidRPr="0062595A" w:rsidRDefault="0062595A" w:rsidP="00C5530E">
      <w:pPr>
        <w:suppressAutoHyphens/>
        <w:adjustRightInd/>
        <w:spacing w:after="120"/>
        <w:jc w:val="both"/>
        <w:rPr>
          <w:rFonts w:eastAsia="MS Mincho"/>
          <w:sz w:val="22"/>
        </w:rPr>
      </w:pPr>
      <w:r w:rsidRPr="0062595A">
        <w:rPr>
          <w:rFonts w:eastAsia="Calibri"/>
          <w:sz w:val="22"/>
          <w:szCs w:val="18"/>
        </w:rPr>
        <w:t xml:space="preserve">From 2020 onward, ITU-D advanced youth engagement through </w:t>
      </w:r>
      <w:hyperlink r:id="rId409" w:history="1">
        <w:r w:rsidRPr="0062595A">
          <w:rPr>
            <w:rFonts w:eastAsia="Calibri"/>
            <w:color w:val="0563C1"/>
            <w:sz w:val="22"/>
            <w:szCs w:val="18"/>
            <w:u w:val="single"/>
          </w:rPr>
          <w:t>Generation Connect</w:t>
        </w:r>
      </w:hyperlink>
      <w:r w:rsidRPr="0062595A">
        <w:rPr>
          <w:rFonts w:eastAsia="Calibri"/>
          <w:sz w:val="22"/>
          <w:szCs w:val="18"/>
        </w:rPr>
        <w:t xml:space="preserve">, an initiative that aims to engage global youth and encourage their participation as equal partners. In 2023, Generation Connect expanded its activities through its </w:t>
      </w:r>
      <w:hyperlink r:id="rId410" w:history="1">
        <w:r w:rsidRPr="0062595A">
          <w:rPr>
            <w:rFonts w:eastAsia="Calibri"/>
            <w:color w:val="0563C1"/>
            <w:sz w:val="22"/>
            <w:szCs w:val="18"/>
            <w:u w:val="single"/>
          </w:rPr>
          <w:t>Generation Connect Global Youth Summit</w:t>
        </w:r>
      </w:hyperlink>
      <w:r w:rsidRPr="0062595A">
        <w:rPr>
          <w:rFonts w:eastAsia="Calibri"/>
          <w:sz w:val="22"/>
          <w:szCs w:val="18"/>
        </w:rPr>
        <w:t xml:space="preserve"> in Kigali; participation of Youth Envoys in PP-22 in Bucharest; intergenerational dialogues in ITU-D Study Groups; and contributions to global events including </w:t>
      </w:r>
      <w:hyperlink r:id="rId411" w:history="1">
        <w:r w:rsidRPr="0062595A">
          <w:rPr>
            <w:rFonts w:eastAsia="Calibri"/>
            <w:color w:val="0563C1"/>
            <w:sz w:val="22"/>
            <w:szCs w:val="18"/>
            <w:u w:val="single"/>
          </w:rPr>
          <w:t>ECOSOC Youth Forum</w:t>
        </w:r>
      </w:hyperlink>
      <w:r w:rsidRPr="0062595A">
        <w:rPr>
          <w:rFonts w:eastAsia="Calibri"/>
          <w:sz w:val="22"/>
          <w:szCs w:val="18"/>
        </w:rPr>
        <w:t xml:space="preserve">, the </w:t>
      </w:r>
      <w:hyperlink r:id="rId412" w:history="1">
        <w:r w:rsidRPr="0062595A">
          <w:rPr>
            <w:rFonts w:eastAsia="Calibri"/>
            <w:color w:val="0563C1"/>
            <w:sz w:val="22"/>
            <w:szCs w:val="18"/>
            <w:u w:val="single"/>
          </w:rPr>
          <w:t>World Food Forum</w:t>
        </w:r>
      </w:hyperlink>
      <w:r w:rsidRPr="0062595A">
        <w:rPr>
          <w:rFonts w:eastAsia="Calibri"/>
          <w:sz w:val="22"/>
          <w:szCs w:val="18"/>
        </w:rPr>
        <w:t xml:space="preserve">, </w:t>
      </w:r>
      <w:hyperlink r:id="rId413" w:history="1">
        <w:r w:rsidRPr="0062595A">
          <w:rPr>
            <w:rFonts w:eastAsia="Calibri"/>
            <w:color w:val="0563C1"/>
            <w:sz w:val="22"/>
            <w:szCs w:val="18"/>
            <w:u w:val="single"/>
          </w:rPr>
          <w:t>YOUNGA</w:t>
        </w:r>
      </w:hyperlink>
      <w:r w:rsidRPr="0062595A">
        <w:rPr>
          <w:rFonts w:eastAsia="Calibri"/>
          <w:sz w:val="22"/>
          <w:szCs w:val="18"/>
        </w:rPr>
        <w:t xml:space="preserve">, the Misk Global Forum, </w:t>
      </w:r>
      <w:hyperlink r:id="rId414" w:history="1">
        <w:r w:rsidRPr="0062595A">
          <w:rPr>
            <w:rFonts w:eastAsia="Calibri"/>
            <w:color w:val="0563C1"/>
            <w:sz w:val="22"/>
            <w:szCs w:val="18"/>
            <w:u w:val="single"/>
          </w:rPr>
          <w:t>LDC5 Youth Track in Doha,</w:t>
        </w:r>
      </w:hyperlink>
      <w:r w:rsidRPr="0062595A">
        <w:rPr>
          <w:rFonts w:eastAsia="Calibri"/>
          <w:sz w:val="22"/>
          <w:szCs w:val="18"/>
        </w:rPr>
        <w:t xml:space="preserve"> the </w:t>
      </w:r>
      <w:hyperlink r:id="rId415" w:history="1">
        <w:r w:rsidRPr="0062595A">
          <w:rPr>
            <w:rFonts w:eastAsia="Calibri"/>
            <w:color w:val="0563C1"/>
            <w:sz w:val="22"/>
            <w:szCs w:val="18"/>
            <w:u w:val="single"/>
          </w:rPr>
          <w:t>World Mobile Congress</w:t>
        </w:r>
      </w:hyperlink>
      <w:r w:rsidRPr="0062595A">
        <w:rPr>
          <w:rFonts w:eastAsia="MS Mincho"/>
          <w:sz w:val="22"/>
        </w:rPr>
        <w:t xml:space="preserve"> </w:t>
      </w:r>
      <w:r w:rsidRPr="0062595A">
        <w:rPr>
          <w:rFonts w:eastAsia="Calibri"/>
          <w:sz w:val="22"/>
          <w:szCs w:val="18"/>
        </w:rPr>
        <w:t>in Barcelona, and at the Commission on the Status of Women (</w:t>
      </w:r>
      <w:hyperlink r:id="rId416" w:history="1">
        <w:r w:rsidRPr="0062595A">
          <w:rPr>
            <w:rFonts w:eastAsia="Calibri"/>
            <w:color w:val="0563C1"/>
            <w:sz w:val="22"/>
            <w:szCs w:val="18"/>
            <w:u w:val="single"/>
          </w:rPr>
          <w:t>CSW-67</w:t>
        </w:r>
      </w:hyperlink>
      <w:r w:rsidRPr="0062595A">
        <w:rPr>
          <w:rFonts w:eastAsia="MS Mincho"/>
          <w:sz w:val="22"/>
        </w:rPr>
        <w:t xml:space="preserve">) </w:t>
      </w:r>
      <w:r w:rsidRPr="0062595A">
        <w:rPr>
          <w:rFonts w:eastAsia="Calibri"/>
          <w:sz w:val="22"/>
          <w:szCs w:val="18"/>
        </w:rPr>
        <w:t>in New York.</w:t>
      </w:r>
    </w:p>
    <w:p w14:paraId="277ACAEC" w14:textId="77777777" w:rsidR="0062595A" w:rsidRPr="0062595A" w:rsidRDefault="0062595A" w:rsidP="00C5530E">
      <w:pPr>
        <w:suppressAutoHyphens/>
        <w:adjustRightInd/>
        <w:spacing w:after="120"/>
        <w:jc w:val="both"/>
        <w:rPr>
          <w:rFonts w:eastAsia="Calibri" w:cs="Calibri"/>
          <w:sz w:val="22"/>
        </w:rPr>
      </w:pPr>
      <w:r w:rsidRPr="0062595A">
        <w:rPr>
          <w:rFonts w:eastAsia="Calibri" w:cs="Calibri"/>
          <w:sz w:val="22"/>
        </w:rPr>
        <w:t xml:space="preserve">The 2025 edition of the </w:t>
      </w:r>
      <w:hyperlink r:id="rId417" w:history="1">
        <w:r w:rsidRPr="0062595A">
          <w:rPr>
            <w:rFonts w:eastAsia="Calibri" w:cs="Calibri"/>
            <w:color w:val="0563C1"/>
            <w:sz w:val="22"/>
            <w:u w:val="single"/>
          </w:rPr>
          <w:t>ITU Global Youth Summit</w:t>
        </w:r>
      </w:hyperlink>
      <w:r w:rsidRPr="0062595A">
        <w:rPr>
          <w:rFonts w:eastAsia="Calibri" w:cs="Calibri"/>
          <w:sz w:val="22"/>
        </w:rPr>
        <w:t xml:space="preserve"> (GYS-25) led by ITU-D, was held in Varadero, Cuba from 11 to 13 March 2025 under the theme “Amplifying youth voices in ICT for an inclusive and connected future”. GYS-25 was the 17th youth event organized by ITU, continuing a journey that began with ITU’s first-ever youth forum, held in Johannesburg, South Africa, in 2001. Around 400 participants from 31 countries attended the event from all ITU regions with gender balance, and representation from Least Developed Countries, Landlocked Developing Countries and Small Island Developing States, among others. Governments, international and regional organizations, private sector, and academia also took part, along with representatives of other UN agencies and Generation Connect Youth Envoys. The programme benefited from the input by the Informal Coordination Group on the Youth Summit and the Global Youth Celebration (TDAG-ICG-GYS) and the structured youth consultations facilitated by BDT in a co-creation process engaging Generation Connect Youth Envoys from all six ITU regions. The process supported transparency, alignment, and coordination between youth inputs and ITU decision-making structures, contributing to a more systematic and consistent institutional approach to meaningful youth engagement. </w:t>
      </w:r>
    </w:p>
    <w:p w14:paraId="2CC77A08" w14:textId="77777777" w:rsidR="0062595A" w:rsidRPr="0062595A" w:rsidRDefault="0062595A" w:rsidP="00C5530E">
      <w:pPr>
        <w:suppressAutoHyphens/>
        <w:adjustRightInd/>
        <w:spacing w:after="120"/>
        <w:jc w:val="both"/>
        <w:rPr>
          <w:rFonts w:eastAsia="MS Mincho"/>
          <w:sz w:val="22"/>
        </w:rPr>
      </w:pPr>
      <w:r w:rsidRPr="0062595A">
        <w:rPr>
          <w:rFonts w:eastAsia="Calibri"/>
          <w:sz w:val="22"/>
        </w:rPr>
        <w:t xml:space="preserve">In 2022, the Generation Connect </w:t>
      </w:r>
      <w:hyperlink r:id="rId418" w:history="1">
        <w:r w:rsidRPr="0062595A">
          <w:rPr>
            <w:rFonts w:eastAsia="Calibri"/>
            <w:color w:val="0563C1"/>
            <w:sz w:val="22"/>
            <w:u w:val="single"/>
          </w:rPr>
          <w:t>Digital Learning Certificate</w:t>
        </w:r>
      </w:hyperlink>
      <w:r w:rsidRPr="0062595A">
        <w:rPr>
          <w:rFonts w:eastAsia="Calibri"/>
          <w:sz w:val="22"/>
        </w:rPr>
        <w:t xml:space="preserve"> launched through ITU Academy, new Generation Connect </w:t>
      </w:r>
      <w:hyperlink r:id="rId419" w:history="1">
        <w:r w:rsidRPr="0062595A">
          <w:rPr>
            <w:rFonts w:eastAsia="Calibri"/>
            <w:color w:val="0563C1"/>
            <w:sz w:val="22"/>
            <w:u w:val="single"/>
          </w:rPr>
          <w:t>podcast</w:t>
        </w:r>
      </w:hyperlink>
      <w:r w:rsidRPr="0062595A">
        <w:rPr>
          <w:rFonts w:eastAsia="Calibri"/>
          <w:sz w:val="22"/>
        </w:rPr>
        <w:t xml:space="preserve"> episodes were released, and cooperation with the </w:t>
      </w:r>
      <w:hyperlink r:id="rId420" w:history="1">
        <w:r w:rsidRPr="0062595A">
          <w:rPr>
            <w:rFonts w:eastAsia="Calibri"/>
            <w:color w:val="0563C1"/>
            <w:sz w:val="22"/>
            <w:u w:val="single"/>
          </w:rPr>
          <w:t>Kofi Annan Changemakers</w:t>
        </w:r>
      </w:hyperlink>
      <w:r w:rsidRPr="0062595A">
        <w:rPr>
          <w:rFonts w:eastAsia="MS Mincho"/>
          <w:sz w:val="22"/>
        </w:rPr>
        <w:t xml:space="preserve"> </w:t>
      </w:r>
      <w:r w:rsidRPr="0062595A">
        <w:rPr>
          <w:rFonts w:eastAsia="Calibri"/>
          <w:sz w:val="22"/>
        </w:rPr>
        <w:t xml:space="preserve">programme deepened. The six Youth Envoy regional groups grew to 180 envoys in 120 countries, with activities such as the </w:t>
      </w:r>
      <w:hyperlink r:id="rId421" w:history="1">
        <w:r w:rsidRPr="0062595A">
          <w:rPr>
            <w:rFonts w:eastAsia="Calibri"/>
            <w:color w:val="0563C1"/>
            <w:sz w:val="22"/>
            <w:u w:val="single"/>
          </w:rPr>
          <w:t>GC-EUR Digital Jam</w:t>
        </w:r>
      </w:hyperlink>
      <w:r w:rsidRPr="0062595A">
        <w:rPr>
          <w:rFonts w:eastAsia="MS Mincho"/>
          <w:sz w:val="22"/>
        </w:rPr>
        <w:t xml:space="preserve"> </w:t>
      </w:r>
      <w:r w:rsidRPr="0062595A">
        <w:rPr>
          <w:rFonts w:eastAsia="Calibri"/>
          <w:sz w:val="22"/>
        </w:rPr>
        <w:t xml:space="preserve">and participation in Huawei’s </w:t>
      </w:r>
      <w:hyperlink r:id="rId422" w:history="1">
        <w:r w:rsidRPr="0062595A">
          <w:rPr>
            <w:rFonts w:eastAsia="Calibri"/>
            <w:color w:val="0563C1"/>
            <w:sz w:val="22"/>
            <w:u w:val="single"/>
          </w:rPr>
          <w:t>Seeds for the Future</w:t>
        </w:r>
      </w:hyperlink>
      <w:r w:rsidRPr="0062595A">
        <w:rPr>
          <w:rFonts w:eastAsia="Calibri"/>
          <w:sz w:val="22"/>
        </w:rPr>
        <w:t xml:space="preserve"> in Bangkok.</w:t>
      </w:r>
    </w:p>
    <w:p w14:paraId="7BA14484" w14:textId="77777777" w:rsidR="0062595A" w:rsidRPr="0062595A" w:rsidRDefault="0062595A" w:rsidP="00C5530E">
      <w:pPr>
        <w:suppressAutoHyphens/>
        <w:adjustRightInd/>
        <w:spacing w:after="120"/>
        <w:jc w:val="both"/>
        <w:rPr>
          <w:rFonts w:eastAsia="MS Mincho"/>
          <w:sz w:val="22"/>
        </w:rPr>
      </w:pPr>
      <w:r w:rsidRPr="0062595A">
        <w:rPr>
          <w:rFonts w:eastAsia="Calibri"/>
          <w:sz w:val="22"/>
          <w:szCs w:val="18"/>
        </w:rPr>
        <w:t xml:space="preserve">In March 2023, the WSIS Forum and </w:t>
      </w:r>
      <w:r w:rsidRPr="0062595A">
        <w:rPr>
          <w:rFonts w:eastAsia="MS Mincho" w:cs="Calibri"/>
          <w:sz w:val="22"/>
          <w:szCs w:val="22"/>
        </w:rPr>
        <w:t>Geneva International Model United Nations</w:t>
      </w:r>
      <w:r w:rsidRPr="0062595A">
        <w:rPr>
          <w:rFonts w:eastAsia="Calibri"/>
          <w:sz w:val="22"/>
          <w:szCs w:val="18"/>
        </w:rPr>
        <w:t xml:space="preserve"> (GIMUN) jointly launched the </w:t>
      </w:r>
      <w:hyperlink r:id="rId423" w:history="1">
        <w:r w:rsidRPr="0062595A">
          <w:rPr>
            <w:rFonts w:eastAsia="Calibri"/>
            <w:color w:val="0563C1"/>
            <w:sz w:val="22"/>
            <w:szCs w:val="18"/>
            <w:u w:val="single"/>
          </w:rPr>
          <w:t>WSIS Generation Connect Youth Prize</w:t>
        </w:r>
      </w:hyperlink>
      <w:r w:rsidRPr="0062595A">
        <w:rPr>
          <w:rFonts w:eastAsia="Calibri"/>
          <w:sz w:val="22"/>
          <w:szCs w:val="18"/>
        </w:rPr>
        <w:t xml:space="preserve"> under the theme “Digital Future Through Meaningful Inclusion of Youth.”</w:t>
      </w:r>
    </w:p>
    <w:p w14:paraId="74CE8452" w14:textId="77777777" w:rsidR="0062595A" w:rsidRPr="0062595A" w:rsidRDefault="0062595A" w:rsidP="00C5530E">
      <w:pPr>
        <w:suppressAutoHyphens/>
        <w:adjustRightInd/>
        <w:spacing w:after="120"/>
        <w:jc w:val="both"/>
        <w:rPr>
          <w:rFonts w:eastAsia="MS Mincho"/>
          <w:sz w:val="22"/>
        </w:rPr>
      </w:pPr>
      <w:r w:rsidRPr="0062595A">
        <w:rPr>
          <w:rFonts w:eastAsia="Calibri"/>
          <w:sz w:val="22"/>
          <w:szCs w:val="18"/>
        </w:rPr>
        <w:t xml:space="preserve">In 2024, ITU intensified the implementation of PP Resolution 198 by integrating youth perspectives into programmes, management practices, and human resources development. A Youth Task Force of staff from all sectors and the General Secretariat strengthened internal advocacy, while the </w:t>
      </w:r>
      <w:hyperlink r:id="rId424" w:history="1">
        <w:r w:rsidRPr="0062595A">
          <w:rPr>
            <w:rFonts w:eastAsia="Calibri"/>
            <w:color w:val="0563C1"/>
            <w:sz w:val="22"/>
            <w:szCs w:val="18"/>
            <w:u w:val="single"/>
          </w:rPr>
          <w:t>Secretary-General’s Youth Advisory Board</w:t>
        </w:r>
      </w:hyperlink>
      <w:r w:rsidRPr="0062595A">
        <w:rPr>
          <w:rFonts w:eastAsia="Calibri"/>
          <w:sz w:val="22"/>
          <w:szCs w:val="18"/>
        </w:rPr>
        <w:t xml:space="preserve"> was established to provide youth-driven recommendations on topics such as AI, space, submarine cables, and environmental issues. The </w:t>
      </w:r>
      <w:hyperlink r:id="rId425" w:history="1">
        <w:r w:rsidRPr="0062595A">
          <w:rPr>
            <w:rFonts w:eastAsia="Calibri"/>
            <w:color w:val="0563C1"/>
            <w:sz w:val="22"/>
            <w:szCs w:val="18"/>
            <w:u w:val="single"/>
          </w:rPr>
          <w:t>Generation Connect Young Leadership Programme (GCYLP)</w:t>
        </w:r>
      </w:hyperlink>
      <w:r w:rsidRPr="0062595A">
        <w:rPr>
          <w:rFonts w:eastAsia="Calibri" w:cs="Calibri"/>
          <w:color w:val="0563C1"/>
          <w:sz w:val="22"/>
          <w:szCs w:val="22"/>
          <w:u w:val="single"/>
        </w:rPr>
        <w:t>Generation Connect Young Leadership Programme (GCYLP)</w:t>
      </w:r>
      <w:r w:rsidRPr="0062595A">
        <w:rPr>
          <w:rFonts w:eastAsia="Calibri"/>
          <w:sz w:val="22"/>
          <w:szCs w:val="18"/>
        </w:rPr>
        <w:t xml:space="preserve"> was developed to support thirty young fellows annually with mentorship, training, and funding to implement digital development initiatives in their communities.</w:t>
      </w:r>
    </w:p>
    <w:p w14:paraId="31B72E1C" w14:textId="382F8812" w:rsidR="0062595A" w:rsidRPr="0062595A" w:rsidRDefault="0062595A" w:rsidP="00C5530E">
      <w:pPr>
        <w:suppressAutoHyphens/>
        <w:adjustRightInd/>
        <w:spacing w:after="120"/>
        <w:jc w:val="both"/>
        <w:rPr>
          <w:rFonts w:eastAsia="MS Mincho"/>
          <w:sz w:val="22"/>
        </w:rPr>
      </w:pPr>
      <w:r w:rsidRPr="0062595A">
        <w:rPr>
          <w:rFonts w:eastAsia="Calibri"/>
          <w:sz w:val="22"/>
        </w:rPr>
        <w:t xml:space="preserve">In 2024-2025, the first </w:t>
      </w:r>
      <w:hyperlink r:id="rId426" w:history="1">
        <w:r w:rsidRPr="0062595A">
          <w:rPr>
            <w:rFonts w:eastAsia="Calibri"/>
            <w:color w:val="0563C1"/>
            <w:sz w:val="22"/>
            <w:u w:val="single"/>
          </w:rPr>
          <w:t>ITU Young Professionals Programme</w:t>
        </w:r>
      </w:hyperlink>
      <w:r w:rsidRPr="0062595A">
        <w:rPr>
          <w:rFonts w:eastAsia="Calibri"/>
          <w:sz w:val="22"/>
        </w:rPr>
        <w:t xml:space="preserve"> attracted more than 3</w:t>
      </w:r>
      <w:r w:rsidR="00011535">
        <w:rPr>
          <w:rFonts w:eastAsia="Calibri"/>
          <w:sz w:val="22"/>
        </w:rPr>
        <w:t> </w:t>
      </w:r>
      <w:r w:rsidRPr="0062595A">
        <w:rPr>
          <w:rFonts w:eastAsia="Calibri"/>
          <w:sz w:val="22"/>
        </w:rPr>
        <w:t xml:space="preserve">500 applicants, resulting in six P1 appointments across the organization. ITU-D’s </w:t>
      </w:r>
      <w:hyperlink r:id="rId427" w:history="1">
        <w:r w:rsidRPr="0062595A">
          <w:rPr>
            <w:rFonts w:eastAsia="Calibri" w:cs="Calibri"/>
            <w:color w:val="0563C1"/>
            <w:sz w:val="22"/>
            <w:u w:val="single"/>
          </w:rPr>
          <w:t>Generation Connect Young Leadership Programme (GCYLP)</w:t>
        </w:r>
      </w:hyperlink>
      <w:r w:rsidRPr="0062595A">
        <w:rPr>
          <w:rFonts w:eastAsia="Calibri"/>
          <w:sz w:val="22"/>
        </w:rPr>
        <w:t xml:space="preserve"> first global cohort, selected from over 5</w:t>
      </w:r>
      <w:r w:rsidR="00011535">
        <w:rPr>
          <w:rFonts w:eastAsia="Calibri"/>
          <w:sz w:val="22"/>
        </w:rPr>
        <w:t> </w:t>
      </w:r>
      <w:r w:rsidRPr="0062595A">
        <w:rPr>
          <w:rFonts w:eastAsia="Calibri"/>
          <w:sz w:val="22"/>
        </w:rPr>
        <w:t xml:space="preserve">000 applicants from more than 200 countries, completed its inaugural year, while the second cohort selection process began in 2025. By then, ITU supported 184 Generation Connect Youth Envoys from 64 countries, ensuring that youth voices were represented across global digital development platforms. ITU also continued </w:t>
      </w:r>
      <w:r w:rsidRPr="0062595A">
        <w:rPr>
          <w:rFonts w:eastAsia="Calibri"/>
          <w:sz w:val="22"/>
        </w:rPr>
        <w:lastRenderedPageBreak/>
        <w:t xml:space="preserve">publishing updates on youth-related initiatives through Council documents </w:t>
      </w:r>
      <w:hyperlink r:id="rId428" w:history="1">
        <w:r w:rsidRPr="0062595A">
          <w:rPr>
            <w:rFonts w:eastAsia="Calibri"/>
            <w:color w:val="0563C1"/>
            <w:sz w:val="22"/>
            <w:u w:val="single"/>
          </w:rPr>
          <w:t>C24/31</w:t>
        </w:r>
      </w:hyperlink>
      <w:r w:rsidRPr="0062595A">
        <w:rPr>
          <w:rFonts w:eastAsia="Calibri"/>
          <w:sz w:val="22"/>
        </w:rPr>
        <w:t xml:space="preserve">, </w:t>
      </w:r>
      <w:hyperlink r:id="rId429" w:history="1">
        <w:r w:rsidRPr="0062595A">
          <w:rPr>
            <w:rFonts w:eastAsia="Calibri"/>
            <w:color w:val="0563C1"/>
            <w:sz w:val="22"/>
            <w:u w:val="single"/>
          </w:rPr>
          <w:t>C24/32</w:t>
        </w:r>
      </w:hyperlink>
      <w:r w:rsidRPr="0062595A">
        <w:rPr>
          <w:rFonts w:eastAsia="Calibri"/>
          <w:sz w:val="22"/>
        </w:rPr>
        <w:t xml:space="preserve"> and </w:t>
      </w:r>
      <w:hyperlink r:id="rId430" w:history="1">
        <w:r w:rsidRPr="0062595A">
          <w:rPr>
            <w:rFonts w:eastAsia="Calibri"/>
            <w:color w:val="0563C1"/>
            <w:sz w:val="22"/>
            <w:u w:val="single"/>
          </w:rPr>
          <w:t>C25/32</w:t>
        </w:r>
      </w:hyperlink>
      <w:r w:rsidRPr="0062595A">
        <w:rPr>
          <w:rFonts w:eastAsia="Calibri"/>
          <w:sz w:val="22"/>
        </w:rPr>
        <w:t xml:space="preserve">, while ITU-D youth activities were documented in BDT reports to </w:t>
      </w:r>
      <w:r w:rsidRPr="0062595A">
        <w:rPr>
          <w:rFonts w:eastAsia="Calibri" w:cs="Calibri"/>
          <w:sz w:val="22"/>
        </w:rPr>
        <w:t>ITU’s Telecommunication Development Advisory Group</w:t>
      </w:r>
      <w:r w:rsidRPr="0062595A">
        <w:rPr>
          <w:rFonts w:eastAsia="Calibri"/>
          <w:sz w:val="22"/>
        </w:rPr>
        <w:t>.</w:t>
      </w:r>
    </w:p>
    <w:p w14:paraId="5B70A670" w14:textId="77777777" w:rsidR="0062595A" w:rsidRPr="0062595A" w:rsidRDefault="0062595A" w:rsidP="00C5530E">
      <w:pPr>
        <w:keepNext/>
        <w:keepLines/>
        <w:suppressAutoHyphens/>
        <w:adjustRightInd/>
        <w:spacing w:after="120"/>
        <w:jc w:val="both"/>
        <w:rPr>
          <w:rFonts w:eastAsia="Calibri"/>
          <w:sz w:val="22"/>
        </w:rPr>
      </w:pPr>
      <w:r w:rsidRPr="0062595A">
        <w:rPr>
          <w:rFonts w:eastAsia="Calibri"/>
          <w:sz w:val="22"/>
        </w:rPr>
        <w:t>In 2025, the ITU Gender and Youth Office (GYO) was established with functions including to ensure coordinated and meaningful youth engagement across ITU as a unified organization. The GYO also leads the Geneva-based UN Youth Focal Points network, currently comprising 15 organizations working together to enhance inter-agency collaboration on youth initiatives and promote professional development opportunities for young UN staff and interns. ITU actively participated the UN Task Force on Meaningful Youth Participation Core Principles in 2025, as part of the Pact for the Future’s Working Group on Youth led by the UN Youth office in New York.</w:t>
      </w:r>
    </w:p>
    <w:p w14:paraId="0BADEE5B" w14:textId="77777777" w:rsidR="0062595A" w:rsidRPr="0062595A" w:rsidRDefault="0062595A" w:rsidP="00C5530E">
      <w:pPr>
        <w:suppressAutoHyphens/>
        <w:adjustRightInd/>
        <w:spacing w:after="120"/>
        <w:jc w:val="both"/>
        <w:rPr>
          <w:rFonts w:eastAsia="MS Mincho"/>
          <w:sz w:val="22"/>
        </w:rPr>
      </w:pPr>
      <w:r w:rsidRPr="0062595A">
        <w:rPr>
          <w:rFonts w:eastAsia="Calibri"/>
          <w:sz w:val="22"/>
        </w:rPr>
        <w:t xml:space="preserve">ITU further engages with youth globally through social media and digital platforms, including Instagram, Facebook, LinkedIn, and dedicated podcasts. Between 2022 and 2025, 13 ITU youth podcast episodes were released, addressing themes such as digital skills, artificial intelligence, the metaverse, space, and climate. </w:t>
      </w:r>
      <w:r w:rsidRPr="0062595A">
        <w:rPr>
          <w:rFonts w:eastAsia="Calibri"/>
          <w:sz w:val="22"/>
          <w:szCs w:val="22"/>
        </w:rPr>
        <w:t xml:space="preserve">The ITU Digital Hubs initiative for students in ITU academia institutions was developed to officially launch in early 2026. </w:t>
      </w:r>
      <w:r w:rsidRPr="0062595A">
        <w:rPr>
          <w:rFonts w:eastAsia="Calibri"/>
          <w:sz w:val="22"/>
        </w:rPr>
        <w:t>These youth-led initiatives strengthen ITU’s outreach to young audiences and advance its mandate to foster inclusive participation in the digital future.</w:t>
      </w:r>
    </w:p>
    <w:p w14:paraId="2A9DE078" w14:textId="691837DE" w:rsidR="0062595A" w:rsidRPr="00011535" w:rsidRDefault="0062595A" w:rsidP="00C5530E">
      <w:pPr>
        <w:suppressAutoHyphens/>
        <w:adjustRightInd/>
        <w:spacing w:after="120"/>
        <w:jc w:val="both"/>
        <w:rPr>
          <w:rFonts w:eastAsia="MS Mincho"/>
          <w:sz w:val="22"/>
          <w:szCs w:val="22"/>
        </w:rPr>
      </w:pPr>
      <w:r w:rsidRPr="0062595A">
        <w:rPr>
          <w:rFonts w:eastAsia="Calibri"/>
          <w:sz w:val="22"/>
          <w:szCs w:val="18"/>
        </w:rPr>
        <w:t xml:space="preserve">Youth engagement in emerging technologies, especially AI and robotics, grew significantly during this period. In 2024, the </w:t>
      </w:r>
      <w:hyperlink r:id="rId431" w:history="1">
        <w:r w:rsidRPr="00011535">
          <w:rPr>
            <w:rFonts w:eastAsia="Calibri" w:cs="Calibri"/>
            <w:color w:val="0563C1"/>
            <w:sz w:val="22"/>
            <w:szCs w:val="22"/>
            <w:u w:val="single"/>
          </w:rPr>
          <w:t>AI/ML in 5G Challenge</w:t>
        </w:r>
      </w:hyperlink>
      <w:r w:rsidRPr="00011535">
        <w:rPr>
          <w:rFonts w:eastAsia="MS Mincho"/>
          <w:sz w:val="22"/>
          <w:szCs w:val="22"/>
        </w:rPr>
        <w:t xml:space="preserve"> </w:t>
      </w:r>
      <w:r w:rsidRPr="00011535">
        <w:rPr>
          <w:rFonts w:eastAsia="Calibri"/>
          <w:sz w:val="22"/>
          <w:szCs w:val="22"/>
        </w:rPr>
        <w:t>featured thirteen youth-focused challenges and attracted more than 4</w:t>
      </w:r>
      <w:r w:rsidR="00011535" w:rsidRPr="00011535">
        <w:rPr>
          <w:rFonts w:eastAsia="Calibri"/>
          <w:sz w:val="22"/>
          <w:szCs w:val="22"/>
        </w:rPr>
        <w:t> </w:t>
      </w:r>
      <w:r w:rsidRPr="00011535">
        <w:rPr>
          <w:rFonts w:eastAsia="Calibri"/>
          <w:sz w:val="22"/>
          <w:szCs w:val="22"/>
        </w:rPr>
        <w:t xml:space="preserve">000 young participants, while the 2024–2025 </w:t>
      </w:r>
      <w:hyperlink r:id="rId432" w:history="1">
        <w:r w:rsidRPr="00011535">
          <w:rPr>
            <w:rFonts w:eastAsia="Calibri" w:cs="Calibri"/>
            <w:color w:val="0563C1"/>
            <w:sz w:val="22"/>
            <w:szCs w:val="22"/>
            <w:u w:val="single"/>
          </w:rPr>
          <w:t>Robotics for Good Youth Challenge</w:t>
        </w:r>
      </w:hyperlink>
      <w:r w:rsidRPr="00011535">
        <w:rPr>
          <w:rFonts w:eastAsia="MS Mincho"/>
          <w:sz w:val="22"/>
          <w:szCs w:val="22"/>
        </w:rPr>
        <w:t xml:space="preserve"> </w:t>
      </w:r>
      <w:r w:rsidRPr="00011535">
        <w:rPr>
          <w:rFonts w:eastAsia="Calibri"/>
          <w:sz w:val="22"/>
          <w:szCs w:val="22"/>
        </w:rPr>
        <w:t>engaged over 7</w:t>
      </w:r>
      <w:r w:rsidR="00011535" w:rsidRPr="00011535">
        <w:rPr>
          <w:rFonts w:eastAsia="Calibri"/>
          <w:sz w:val="22"/>
          <w:szCs w:val="22"/>
        </w:rPr>
        <w:t> </w:t>
      </w:r>
      <w:r w:rsidRPr="00011535">
        <w:rPr>
          <w:rFonts w:eastAsia="Calibri"/>
          <w:sz w:val="22"/>
          <w:szCs w:val="22"/>
        </w:rPr>
        <w:t>000 youth from more than forty countries in developing solutions for disaster response. A dedicated youth zone at the AI for Good Global Summit 2024 and 2025 further expanded learning and collaboration opportunities.</w:t>
      </w:r>
    </w:p>
    <w:p w14:paraId="05B9130B" w14:textId="77777777" w:rsidR="0062595A" w:rsidRPr="00011535"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MS Mincho"/>
          <w:sz w:val="22"/>
          <w:szCs w:val="22"/>
        </w:rPr>
      </w:pPr>
      <w:r w:rsidRPr="00011535">
        <w:rPr>
          <w:rFonts w:eastAsia="Calibri"/>
          <w:sz w:val="22"/>
          <w:szCs w:val="22"/>
        </w:rPr>
        <w:t xml:space="preserve">Youth engagement also extends to immersive and emerging digital environments. Building on initiatives such as the </w:t>
      </w:r>
      <w:hyperlink r:id="rId433" w:history="1">
        <w:r w:rsidRPr="00011535">
          <w:rPr>
            <w:rFonts w:eastAsia="Calibri"/>
            <w:color w:val="0563C1"/>
            <w:sz w:val="22"/>
            <w:szCs w:val="22"/>
            <w:u w:val="single"/>
          </w:rPr>
          <w:t>UN Metaverse Think-a-Thon</w:t>
        </w:r>
      </w:hyperlink>
      <w:r w:rsidRPr="00011535">
        <w:rPr>
          <w:rFonts w:eastAsia="Calibri"/>
          <w:sz w:val="22"/>
          <w:szCs w:val="22"/>
        </w:rPr>
        <w:t xml:space="preserve"> and the </w:t>
      </w:r>
      <w:hyperlink r:id="rId434" w:history="1">
        <w:r w:rsidRPr="00011535">
          <w:rPr>
            <w:rFonts w:eastAsia="Calibri"/>
            <w:color w:val="0563C1"/>
            <w:sz w:val="22"/>
            <w:szCs w:val="22"/>
            <w:u w:val="single"/>
          </w:rPr>
          <w:t xml:space="preserve">UN </w:t>
        </w:r>
        <w:proofErr w:type="spellStart"/>
        <w:r w:rsidRPr="00011535">
          <w:rPr>
            <w:rFonts w:eastAsia="Calibri"/>
            <w:color w:val="0563C1"/>
            <w:sz w:val="22"/>
            <w:szCs w:val="22"/>
            <w:u w:val="single"/>
          </w:rPr>
          <w:t>Citiverse</w:t>
        </w:r>
        <w:proofErr w:type="spellEnd"/>
        <w:r w:rsidRPr="00011535">
          <w:rPr>
            <w:rFonts w:eastAsia="Calibri"/>
            <w:color w:val="0563C1"/>
            <w:sz w:val="22"/>
            <w:szCs w:val="22"/>
            <w:u w:val="single"/>
          </w:rPr>
          <w:t xml:space="preserve"> Challenge</w:t>
        </w:r>
      </w:hyperlink>
      <w:r w:rsidRPr="00011535">
        <w:rPr>
          <w:rFonts w:eastAsia="Calibri"/>
          <w:sz w:val="22"/>
          <w:szCs w:val="22"/>
        </w:rPr>
        <w:t xml:space="preserve">, youth was invited to develop innovative solutions using virtual worlds and </w:t>
      </w:r>
      <w:proofErr w:type="spellStart"/>
      <w:r w:rsidRPr="00011535">
        <w:rPr>
          <w:rFonts w:eastAsia="Calibri"/>
          <w:sz w:val="22"/>
          <w:szCs w:val="22"/>
        </w:rPr>
        <w:t>citiverse</w:t>
      </w:r>
      <w:proofErr w:type="spellEnd"/>
      <w:r w:rsidRPr="00011535">
        <w:rPr>
          <w:rFonts w:eastAsia="Calibri"/>
          <w:sz w:val="22"/>
          <w:szCs w:val="22"/>
        </w:rPr>
        <w:t>-based digital infrastructure, fostering creativity, digital skills, and real-world applications.</w:t>
      </w:r>
    </w:p>
    <w:p w14:paraId="281C505C" w14:textId="77777777" w:rsidR="0062595A" w:rsidRPr="00011535" w:rsidRDefault="0062595A" w:rsidP="004F28FD">
      <w:pPr>
        <w:keepNext/>
        <w:keepLines/>
        <w:tabs>
          <w:tab w:val="clear" w:pos="567"/>
        </w:tabs>
        <w:suppressAutoHyphens/>
        <w:adjustRightInd/>
        <w:spacing w:before="240" w:after="120"/>
        <w:ind w:left="567" w:hanging="567"/>
        <w:jc w:val="both"/>
        <w:outlineLvl w:val="1"/>
        <w:rPr>
          <w:rFonts w:eastAsia="MS Mincho"/>
          <w:b/>
          <w:sz w:val="22"/>
          <w:szCs w:val="22"/>
        </w:rPr>
      </w:pPr>
      <w:bookmarkStart w:id="112" w:name="_Toc224288831"/>
      <w:r w:rsidRPr="00011535">
        <w:rPr>
          <w:rFonts w:eastAsia="MS Mincho"/>
          <w:b/>
          <w:sz w:val="22"/>
          <w:szCs w:val="22"/>
        </w:rPr>
        <w:t>5.3.3</w:t>
      </w:r>
      <w:r w:rsidRPr="00011535">
        <w:rPr>
          <w:rFonts w:eastAsia="MS Mincho"/>
          <w:b/>
          <w:sz w:val="22"/>
          <w:szCs w:val="22"/>
        </w:rPr>
        <w:tab/>
        <w:t>ICT/digital accessibility</w:t>
      </w:r>
      <w:bookmarkEnd w:id="112"/>
    </w:p>
    <w:p w14:paraId="61439836" w14:textId="77777777" w:rsidR="0062595A" w:rsidRPr="0062595A" w:rsidRDefault="0062595A" w:rsidP="00C5530E">
      <w:pPr>
        <w:suppressAutoHyphens/>
        <w:adjustRightInd/>
        <w:spacing w:after="120"/>
        <w:jc w:val="both"/>
        <w:rPr>
          <w:rFonts w:eastAsia="MS Mincho"/>
          <w:sz w:val="22"/>
        </w:rPr>
      </w:pPr>
      <w:r w:rsidRPr="00011535">
        <w:rPr>
          <w:rFonts w:eastAsia="MS Mincho"/>
          <w:sz w:val="22"/>
          <w:szCs w:val="22"/>
        </w:rPr>
        <w:t xml:space="preserve">The ITU Council adopted an </w:t>
      </w:r>
      <w:hyperlink r:id="rId435" w:history="1">
        <w:r w:rsidRPr="00011535">
          <w:rPr>
            <w:rFonts w:eastAsia="MS Mincho"/>
            <w:color w:val="0563C1"/>
            <w:sz w:val="22"/>
            <w:szCs w:val="22"/>
            <w:u w:val="single"/>
          </w:rPr>
          <w:t>ITU Accessibility Policy</w:t>
        </w:r>
      </w:hyperlink>
      <w:r w:rsidRPr="00011535">
        <w:rPr>
          <w:rFonts w:eastAsia="MS Mincho"/>
          <w:sz w:val="22"/>
          <w:szCs w:val="22"/>
        </w:rPr>
        <w:t xml:space="preserve"> in 2021 that addresses both external accessibility (making ICTs accessible) and internal accessibility (making ITU accessible). During the reporting period, ITU continued to advance digital accessibility for persons with disabilities by strengthening awareness, expanding training opportunities, and mainstreaming accessibility across all sectors of its work. ITU-D, ITU-T, and ITU-R worked jointly to ensure that persons with disabilities could fully benefit from digital technologies, supporting Member States through expert advice, capacity-building programmes, and technical resources such as executive trainings, regional events, speaking engagements, and the dissemination of good practices and tools. ITU’s global work</w:t>
      </w:r>
      <w:r w:rsidRPr="0062595A">
        <w:rPr>
          <w:rFonts w:eastAsia="MS Mincho"/>
          <w:sz w:val="22"/>
          <w:szCs w:val="18"/>
        </w:rPr>
        <w:t xml:space="preserve"> also contributed to broader progress at country level, with the number of national regulatory frameworks on ICT accessibility rising to 127, marking a significant increase after years of stagnation.</w:t>
      </w:r>
    </w:p>
    <w:p w14:paraId="793331B2" w14:textId="4DE661CE" w:rsidR="0062595A" w:rsidRPr="00011535" w:rsidRDefault="0062595A" w:rsidP="00C5530E">
      <w:pPr>
        <w:suppressAutoHyphens/>
        <w:adjustRightInd/>
        <w:spacing w:after="120"/>
        <w:jc w:val="both"/>
        <w:rPr>
          <w:rFonts w:eastAsia="MS Mincho"/>
          <w:sz w:val="22"/>
          <w:szCs w:val="22"/>
        </w:rPr>
      </w:pPr>
      <w:r w:rsidRPr="00011535">
        <w:rPr>
          <w:rFonts w:eastAsia="MS Mincho"/>
          <w:sz w:val="22"/>
          <w:szCs w:val="22"/>
        </w:rPr>
        <w:t>ICT/ digital accessibility activities in the Telecommunication Development Sector (</w:t>
      </w:r>
      <w:hyperlink r:id="rId436" w:history="1">
        <w:r w:rsidRPr="00011535">
          <w:rPr>
            <w:rFonts w:eastAsia="MS Mincho"/>
            <w:color w:val="0563C1"/>
            <w:sz w:val="22"/>
            <w:szCs w:val="22"/>
            <w:u w:val="single"/>
          </w:rPr>
          <w:t>ITU-D</w:t>
        </w:r>
      </w:hyperlink>
      <w:r w:rsidRPr="00011535">
        <w:rPr>
          <w:rFonts w:eastAsia="MS Mincho"/>
          <w:sz w:val="22"/>
          <w:szCs w:val="22"/>
        </w:rPr>
        <w:t>) focused on strengthening Member States’ capacities and driving digital inclusion. ITU-D provided expert advice for policy makers, supported regional events on “Accessible ICT for All,” ” (</w:t>
      </w:r>
      <w:hyperlink r:id="rId437" w:history="1">
        <w:r w:rsidRPr="00011535">
          <w:rPr>
            <w:rFonts w:eastAsia="MS Mincho"/>
            <w:color w:val="0563C1"/>
            <w:sz w:val="22"/>
            <w:szCs w:val="22"/>
            <w:u w:val="single"/>
          </w:rPr>
          <w:t>https://www.itu.int/en/ITU-D/Regional-Presence/AsiaPacific/Pages/v2/regional-events.aspx</w:t>
        </w:r>
      </w:hyperlink>
      <w:r w:rsidRPr="00011535">
        <w:rPr>
          <w:rFonts w:eastAsia="MS Mincho"/>
          <w:sz w:val="22"/>
          <w:szCs w:val="22"/>
        </w:rPr>
        <w:t xml:space="preserve"> </w:t>
      </w:r>
      <w:hyperlink r:id="rId438" w:anchor=":~:text=The%209th%20edition%20of%20Accessible,)%2C%20the%20Brazilian%20regulatory%20authority." w:history="1">
        <w:r w:rsidRPr="00011535">
          <w:rPr>
            <w:rFonts w:eastAsia="MS Mincho"/>
            <w:color w:val="0563C1"/>
            <w:sz w:val="22"/>
            <w:szCs w:val="22"/>
            <w:u w:val="single"/>
          </w:rPr>
          <w:t>Americas,</w:t>
        </w:r>
      </w:hyperlink>
      <w:r w:rsidRPr="00011535">
        <w:rPr>
          <w:rFonts w:eastAsia="MS Mincho"/>
          <w:sz w:val="22"/>
          <w:szCs w:val="22"/>
        </w:rPr>
        <w:t xml:space="preserve"> </w:t>
      </w:r>
      <w:hyperlink r:id="rId439" w:anchor=":~:text=The%20special%20event%20for%20Europe,virtually%20on%206%20December%202022." w:history="1">
        <w:r w:rsidRPr="00011535">
          <w:rPr>
            <w:rFonts w:eastAsia="MS Mincho"/>
            <w:color w:val="0563C1"/>
            <w:sz w:val="22"/>
            <w:szCs w:val="22"/>
            <w:u w:val="single"/>
          </w:rPr>
          <w:t>Europe</w:t>
        </w:r>
      </w:hyperlink>
      <w:r w:rsidRPr="00011535">
        <w:rPr>
          <w:rFonts w:eastAsia="MS Mincho"/>
          <w:sz w:val="22"/>
          <w:szCs w:val="22"/>
        </w:rPr>
        <w:t xml:space="preserve">, </w:t>
      </w:r>
      <w:hyperlink r:id="rId440" w:history="1">
        <w:r w:rsidRPr="00011535">
          <w:rPr>
            <w:rFonts w:eastAsia="MS Mincho"/>
            <w:color w:val="0563C1"/>
            <w:sz w:val="22"/>
            <w:szCs w:val="22"/>
            <w:u w:val="single"/>
          </w:rPr>
          <w:t>Arab States</w:t>
        </w:r>
      </w:hyperlink>
      <w:r w:rsidRPr="00011535">
        <w:rPr>
          <w:rFonts w:eastAsia="MS Mincho"/>
          <w:sz w:val="22"/>
          <w:szCs w:val="22"/>
        </w:rPr>
        <w:t>) and with related workshop and initiatives in Asia and the Pacific, CIS, and Africa regions. ITU-D regularly contributed with expertise to international fora to promote inclusive policies and strategies. Stakeholder demand for ITU-D’s online learning (</w:t>
      </w:r>
      <w:hyperlink r:id="rId441" w:history="1">
        <w:r w:rsidRPr="00011535">
          <w:rPr>
            <w:rFonts w:eastAsia="MS Mincho"/>
            <w:color w:val="0563C1"/>
            <w:sz w:val="22"/>
            <w:szCs w:val="22"/>
            <w:u w:val="single"/>
          </w:rPr>
          <w:t>ITU Academy</w:t>
        </w:r>
      </w:hyperlink>
      <w:r w:rsidRPr="00011535">
        <w:rPr>
          <w:rFonts w:eastAsia="MS Mincho"/>
          <w:sz w:val="22"/>
          <w:szCs w:val="22"/>
        </w:rPr>
        <w:t xml:space="preserve">) opportunities remained high, with thousands participating in self-paced training programmes on web accessibility, communications in emergency and crisis situations, ageing in the digital age, and inclusive connectivity for rural and Indigenous communities. New or updated resources included an </w:t>
      </w:r>
      <w:hyperlink r:id="rId442" w:history="1">
        <w:r w:rsidRPr="00011535">
          <w:rPr>
            <w:rFonts w:eastAsia="MS Mincho"/>
            <w:color w:val="0563C1"/>
            <w:sz w:val="22"/>
            <w:szCs w:val="22"/>
            <w:u w:val="single"/>
          </w:rPr>
          <w:t>ITU-ILO toolkit on accessibility in job applications</w:t>
        </w:r>
      </w:hyperlink>
      <w:r w:rsidRPr="00011535">
        <w:rPr>
          <w:rFonts w:eastAsia="MS Mincho"/>
          <w:sz w:val="22"/>
          <w:szCs w:val="22"/>
        </w:rPr>
        <w:t xml:space="preserve">; the </w:t>
      </w:r>
      <w:r w:rsidRPr="00011535">
        <w:rPr>
          <w:rFonts w:eastAsia="Calibri" w:cs="Calibri"/>
          <w:sz w:val="22"/>
          <w:szCs w:val="22"/>
        </w:rPr>
        <w:t>ITU-D toolkit for ICT accessibility implementation “</w:t>
      </w:r>
      <w:hyperlink r:id="rId443" w:history="1">
        <w:r w:rsidRPr="00CB4EBA">
          <w:rPr>
            <w:rStyle w:val="Hyperlink"/>
            <w:rFonts w:eastAsia="Calibri" w:cs="Calibri"/>
            <w:color w:val="0563C1"/>
            <w:sz w:val="22"/>
            <w:szCs w:val="22"/>
          </w:rPr>
          <w:t xml:space="preserve">Towards inclusive digital </w:t>
        </w:r>
        <w:r w:rsidRPr="00CB4EBA">
          <w:rPr>
            <w:rStyle w:val="Hyperlink"/>
            <w:rFonts w:eastAsia="Calibri" w:cs="Calibri"/>
            <w:color w:val="0563C1"/>
            <w:sz w:val="22"/>
            <w:szCs w:val="22"/>
          </w:rPr>
          <w:lastRenderedPageBreak/>
          <w:t>communities</w:t>
        </w:r>
      </w:hyperlink>
      <w:r w:rsidRPr="00011535">
        <w:rPr>
          <w:rFonts w:eastAsia="Calibri" w:cs="Calibri"/>
          <w:sz w:val="22"/>
          <w:szCs w:val="22"/>
        </w:rPr>
        <w:t xml:space="preserve">” (with a self-assessment in </w:t>
      </w:r>
      <w:hyperlink r:id="rId444" w:history="1">
        <w:r w:rsidRPr="00CB4EBA">
          <w:rPr>
            <w:rStyle w:val="Hyperlink"/>
            <w:rFonts w:eastAsia="Calibri" w:cs="Calibri"/>
            <w:color w:val="0563C1"/>
            <w:sz w:val="22"/>
            <w:szCs w:val="22"/>
          </w:rPr>
          <w:t>English</w:t>
        </w:r>
      </w:hyperlink>
      <w:r w:rsidRPr="00011535">
        <w:rPr>
          <w:rFonts w:eastAsia="Calibri" w:cs="Calibri"/>
          <w:color w:val="2F2F2F"/>
          <w:sz w:val="22"/>
          <w:szCs w:val="22"/>
        </w:rPr>
        <w:t xml:space="preserve">, </w:t>
      </w:r>
      <w:hyperlink r:id="rId445" w:history="1">
        <w:r w:rsidRPr="00CB4EBA">
          <w:rPr>
            <w:rStyle w:val="Hyperlink"/>
            <w:rFonts w:eastAsia="Calibri" w:cs="Calibri"/>
            <w:color w:val="0563C1"/>
            <w:sz w:val="22"/>
            <w:szCs w:val="22"/>
          </w:rPr>
          <w:t>French</w:t>
        </w:r>
      </w:hyperlink>
      <w:r w:rsidRPr="00011535">
        <w:rPr>
          <w:rFonts w:eastAsia="Calibri" w:cs="Calibri"/>
          <w:color w:val="0076A1"/>
          <w:sz w:val="22"/>
          <w:szCs w:val="22"/>
        </w:rPr>
        <w:t xml:space="preserve"> </w:t>
      </w:r>
      <w:r w:rsidRPr="00011535">
        <w:rPr>
          <w:rFonts w:eastAsia="Calibri" w:cs="Calibri"/>
          <w:sz w:val="22"/>
          <w:szCs w:val="22"/>
        </w:rPr>
        <w:t>and</w:t>
      </w:r>
      <w:r w:rsidRPr="00011535">
        <w:rPr>
          <w:rFonts w:eastAsia="Calibri" w:cs="Calibri"/>
          <w:color w:val="2F2F2F"/>
          <w:sz w:val="22"/>
          <w:szCs w:val="22"/>
        </w:rPr>
        <w:t xml:space="preserve"> </w:t>
      </w:r>
      <w:hyperlink r:id="rId446" w:history="1">
        <w:r w:rsidRPr="00CB4EBA">
          <w:rPr>
            <w:rStyle w:val="Hyperlink"/>
            <w:rFonts w:eastAsia="Calibri" w:cs="Calibri"/>
            <w:color w:val="0563C1"/>
            <w:sz w:val="22"/>
            <w:szCs w:val="22"/>
          </w:rPr>
          <w:t>Spanish</w:t>
        </w:r>
      </w:hyperlink>
      <w:r w:rsidRPr="00011535">
        <w:rPr>
          <w:rFonts w:eastAsia="MS Mincho"/>
          <w:sz w:val="22"/>
          <w:szCs w:val="22"/>
        </w:rPr>
        <w:t>)</w:t>
      </w:r>
      <w:r w:rsidRPr="00011535">
        <w:rPr>
          <w:rFonts w:eastAsia="Calibri" w:cs="Calibri"/>
          <w:sz w:val="22"/>
          <w:szCs w:val="22"/>
        </w:rPr>
        <w:t xml:space="preserve">; video available in </w:t>
      </w:r>
      <w:hyperlink r:id="rId447" w:history="1">
        <w:r w:rsidRPr="00CB4EBA">
          <w:rPr>
            <w:rStyle w:val="Hyperlink"/>
            <w:rFonts w:eastAsia="Calibri" w:cs="Calibri"/>
            <w:color w:val="0563C1"/>
            <w:sz w:val="22"/>
            <w:szCs w:val="22"/>
          </w:rPr>
          <w:t>Arabic</w:t>
        </w:r>
      </w:hyperlink>
      <w:r w:rsidRPr="00011535">
        <w:rPr>
          <w:rFonts w:eastAsia="Calibri" w:cs="Calibri"/>
          <w:color w:val="2F2F2F"/>
          <w:sz w:val="22"/>
          <w:szCs w:val="22"/>
        </w:rPr>
        <w:t xml:space="preserve">, </w:t>
      </w:r>
      <w:hyperlink r:id="rId448" w:history="1">
        <w:r w:rsidRPr="00CB4EBA">
          <w:rPr>
            <w:rStyle w:val="Hyperlink"/>
            <w:rFonts w:eastAsia="Calibri" w:cs="Calibri"/>
            <w:color w:val="0563C1"/>
            <w:sz w:val="22"/>
            <w:szCs w:val="22"/>
          </w:rPr>
          <w:t>Chinese</w:t>
        </w:r>
      </w:hyperlink>
      <w:r w:rsidRPr="00011535">
        <w:rPr>
          <w:rFonts w:eastAsia="Calibri" w:cs="Calibri"/>
          <w:color w:val="2F2F2F"/>
          <w:sz w:val="22"/>
          <w:szCs w:val="22"/>
        </w:rPr>
        <w:t xml:space="preserve">, </w:t>
      </w:r>
      <w:hyperlink r:id="rId449" w:history="1">
        <w:r w:rsidRPr="00CB4EBA">
          <w:rPr>
            <w:rStyle w:val="Hyperlink"/>
            <w:rFonts w:eastAsia="Calibri" w:cs="Calibri"/>
            <w:color w:val="0563C1"/>
            <w:sz w:val="22"/>
            <w:szCs w:val="22"/>
          </w:rPr>
          <w:t>English</w:t>
        </w:r>
      </w:hyperlink>
      <w:r w:rsidRPr="00011535">
        <w:rPr>
          <w:rFonts w:eastAsia="Calibri" w:cs="Calibri"/>
          <w:color w:val="2F2F2F"/>
          <w:sz w:val="22"/>
          <w:szCs w:val="22"/>
        </w:rPr>
        <w:t xml:space="preserve">, </w:t>
      </w:r>
      <w:hyperlink r:id="rId450" w:history="1">
        <w:r w:rsidRPr="00CB4EBA">
          <w:rPr>
            <w:rStyle w:val="Hyperlink"/>
            <w:rFonts w:eastAsia="Calibri" w:cs="Calibri"/>
            <w:color w:val="0563C1"/>
            <w:sz w:val="22"/>
            <w:szCs w:val="22"/>
          </w:rPr>
          <w:t>French</w:t>
        </w:r>
      </w:hyperlink>
      <w:r w:rsidRPr="00011535">
        <w:rPr>
          <w:rFonts w:eastAsia="Calibri" w:cs="Calibri"/>
          <w:color w:val="2F2F2F"/>
          <w:sz w:val="22"/>
          <w:szCs w:val="22"/>
        </w:rPr>
        <w:t xml:space="preserve">, </w:t>
      </w:r>
      <w:hyperlink r:id="rId451" w:history="1">
        <w:r w:rsidRPr="00CB4EBA">
          <w:rPr>
            <w:rStyle w:val="Hyperlink"/>
            <w:rFonts w:eastAsia="Calibri" w:cs="Calibri"/>
            <w:color w:val="0563C1"/>
            <w:sz w:val="22"/>
            <w:szCs w:val="22"/>
          </w:rPr>
          <w:t>Russian</w:t>
        </w:r>
      </w:hyperlink>
      <w:r w:rsidRPr="00011535">
        <w:rPr>
          <w:rFonts w:eastAsia="Calibri" w:cs="Calibri"/>
          <w:color w:val="0076A1"/>
          <w:sz w:val="22"/>
          <w:szCs w:val="22"/>
        </w:rPr>
        <w:t xml:space="preserve"> </w:t>
      </w:r>
      <w:r w:rsidRPr="00011535">
        <w:rPr>
          <w:rFonts w:eastAsia="Calibri" w:cs="Calibri"/>
          <w:sz w:val="22"/>
          <w:szCs w:val="22"/>
        </w:rPr>
        <w:t xml:space="preserve">and </w:t>
      </w:r>
      <w:hyperlink r:id="rId452" w:history="1">
        <w:r w:rsidRPr="00CB4EBA">
          <w:rPr>
            <w:rStyle w:val="Hyperlink"/>
            <w:rFonts w:eastAsia="Calibri" w:cs="Calibri"/>
            <w:color w:val="0563C1"/>
            <w:sz w:val="22"/>
            <w:szCs w:val="22"/>
          </w:rPr>
          <w:t>Spanish</w:t>
        </w:r>
      </w:hyperlink>
      <w:r w:rsidRPr="00011535">
        <w:rPr>
          <w:rFonts w:eastAsia="MS Mincho"/>
          <w:sz w:val="22"/>
          <w:szCs w:val="22"/>
        </w:rPr>
        <w:t>, specialized guidance for Smart Villages and Smart Islands programmes that complement over 80 tools and resources to support global implementation of an inclusive digital transformation. All ITU-D resources, including thematic reports and online self-paced courses remained free of charge, available in accessible formats, and translated into multiple UN languages.</w:t>
      </w:r>
    </w:p>
    <w:p w14:paraId="3C0670F3" w14:textId="774FA05D" w:rsidR="0062595A" w:rsidRPr="0062595A" w:rsidRDefault="0062595A" w:rsidP="00C5530E">
      <w:pPr>
        <w:suppressAutoHyphens/>
        <w:adjustRightInd/>
        <w:spacing w:after="120"/>
        <w:jc w:val="both"/>
        <w:rPr>
          <w:rFonts w:eastAsia="MS Mincho"/>
          <w:sz w:val="22"/>
        </w:rPr>
      </w:pPr>
      <w:r w:rsidRPr="00011535">
        <w:rPr>
          <w:rFonts w:eastAsia="Calibri" w:cs="Calibri"/>
          <w:sz w:val="22"/>
          <w:szCs w:val="22"/>
        </w:rPr>
        <w:t xml:space="preserve">ITU-D has been instrumental in empowering ITU </w:t>
      </w:r>
      <w:r w:rsidR="00A53F39">
        <w:rPr>
          <w:rFonts w:eastAsia="Calibri" w:cs="Calibri"/>
          <w:sz w:val="22"/>
          <w:szCs w:val="22"/>
        </w:rPr>
        <w:t>m</w:t>
      </w:r>
      <w:r w:rsidRPr="00011535">
        <w:rPr>
          <w:rFonts w:eastAsia="Calibri" w:cs="Calibri"/>
          <w:sz w:val="22"/>
          <w:szCs w:val="22"/>
        </w:rPr>
        <w:t>embers to strengthen knowledge, exchange experiences, and design actionable policies strategies</w:t>
      </w:r>
      <w:r w:rsidRPr="0062595A">
        <w:rPr>
          <w:rFonts w:eastAsia="Calibri" w:cs="Calibri"/>
          <w:sz w:val="22"/>
        </w:rPr>
        <w:t xml:space="preserve"> to advance digital accessibility at global, regional, and national levels. Moreover, ITU-D has created dynamic spaces for exchanging good practices to advance implementation through flagship regional events such as </w:t>
      </w:r>
      <w:r w:rsidRPr="0062595A">
        <w:rPr>
          <w:rFonts w:eastAsia="Calibri" w:cs="Calibri"/>
          <w:i/>
          <w:iCs/>
          <w:sz w:val="22"/>
        </w:rPr>
        <w:t>Accessible ICTs for All</w:t>
      </w:r>
      <w:r w:rsidRPr="0062595A">
        <w:rPr>
          <w:rFonts w:eastAsia="Calibri" w:cs="Calibri"/>
          <w:sz w:val="22"/>
        </w:rPr>
        <w:t xml:space="preserve"> (held in Cuba, Mexico, Guatemala, Spain, Belgium, Morocco, and Jordan), with participation of over 80 per cent of countries from each region and an average of 200 participants in every event, jointly with major Digital Inclusion and Accessibility platforms including the Conferences of States Parties to the UN Convention on the Rights of Persons with Disabilities (CRPD), Regional Digital Inclusion Forums (e.g. Asia-Pacific), the Global Forum on Ageing (Japan), and the Digital Accessibility Forum (UAE).</w:t>
      </w:r>
    </w:p>
    <w:p w14:paraId="5E27FAB5" w14:textId="7E9C2100" w:rsidR="0062595A" w:rsidRPr="0062595A" w:rsidRDefault="0062595A" w:rsidP="00C5530E">
      <w:pPr>
        <w:suppressAutoHyphens/>
        <w:adjustRightInd/>
        <w:spacing w:after="120"/>
        <w:jc w:val="both"/>
        <w:rPr>
          <w:rFonts w:eastAsia="MS Mincho"/>
          <w:sz w:val="22"/>
        </w:rPr>
      </w:pPr>
      <w:hyperlink r:id="rId453" w:history="1">
        <w:r w:rsidRPr="0062595A">
          <w:rPr>
            <w:rFonts w:eastAsia="MS Mincho"/>
            <w:color w:val="0563C1"/>
            <w:sz w:val="22"/>
            <w:szCs w:val="18"/>
            <w:u w:val="single"/>
          </w:rPr>
          <w:t>ITU-T</w:t>
        </w:r>
      </w:hyperlink>
      <w:r w:rsidR="000A36C9">
        <w:rPr>
          <w:rFonts w:eastAsia="MS Mincho"/>
          <w:sz w:val="22"/>
          <w:szCs w:val="18"/>
        </w:rPr>
        <w:t>’s</w:t>
      </w:r>
      <w:r w:rsidRPr="0062595A">
        <w:rPr>
          <w:rFonts w:eastAsia="MS Mincho"/>
          <w:sz w:val="22"/>
          <w:szCs w:val="18"/>
        </w:rPr>
        <w:t xml:space="preserve"> advanced accessibility through work on mainstreaming inclusive design within standards development and improving user-facing digital platforms. ITU-T enhanced the "</w:t>
      </w:r>
      <w:proofErr w:type="spellStart"/>
      <w:r>
        <w:fldChar w:fldCharType="begin"/>
      </w:r>
      <w:r>
        <w:instrText>HYPERLINK "https://www.itu.int/net4/itu-t/search"</w:instrText>
      </w:r>
      <w:r>
        <w:fldChar w:fldCharType="separate"/>
      </w:r>
      <w:r w:rsidRPr="0062595A">
        <w:rPr>
          <w:rFonts w:eastAsia="MS Mincho"/>
          <w:color w:val="0563C1"/>
          <w:sz w:val="22"/>
          <w:szCs w:val="18"/>
          <w:u w:val="single"/>
        </w:rPr>
        <w:t>ITUSearch</w:t>
      </w:r>
      <w:proofErr w:type="spellEnd"/>
      <w:r>
        <w:fldChar w:fldCharType="end"/>
      </w:r>
      <w:r w:rsidRPr="0062595A">
        <w:rPr>
          <w:rFonts w:eastAsia="MS Mincho"/>
          <w:sz w:val="22"/>
        </w:rPr>
        <w:t>"</w:t>
      </w:r>
      <w:r w:rsidRPr="0062595A">
        <w:rPr>
          <w:rFonts w:eastAsia="MS Mincho"/>
          <w:sz w:val="22"/>
          <w:szCs w:val="18"/>
        </w:rPr>
        <w:t xml:space="preserve"> system by aligning it with ITU design guidelines to make navigation clearer and more accessible. The sector also continued to support work linked to emerging technologies, including through collaboration with the World Health Organization (WHO) on </w:t>
      </w:r>
      <w:hyperlink r:id="rId454" w:history="1">
        <w:r w:rsidRPr="0062595A">
          <w:rPr>
            <w:rFonts w:eastAsia="MS Mincho"/>
            <w:color w:val="0563C1"/>
            <w:sz w:val="22"/>
            <w:szCs w:val="18"/>
            <w:u w:val="single"/>
          </w:rPr>
          <w:t>Accessibility of telehealth services</w:t>
        </w:r>
      </w:hyperlink>
      <w:r w:rsidRPr="0062595A">
        <w:rPr>
          <w:rFonts w:eastAsia="MS Mincho"/>
          <w:sz w:val="22"/>
          <w:szCs w:val="18"/>
        </w:rPr>
        <w:t xml:space="preserve"> and safe listening in for music playing </w:t>
      </w:r>
      <w:hyperlink r:id="rId455" w:history="1">
        <w:r w:rsidRPr="0062595A">
          <w:rPr>
            <w:rFonts w:eastAsia="MS Mincho"/>
            <w:color w:val="0563C1"/>
            <w:sz w:val="22"/>
            <w:szCs w:val="18"/>
            <w:u w:val="single"/>
          </w:rPr>
          <w:t>devices</w:t>
        </w:r>
      </w:hyperlink>
      <w:r w:rsidRPr="0062595A">
        <w:rPr>
          <w:rFonts w:eastAsia="MS Mincho"/>
          <w:sz w:val="22"/>
        </w:rPr>
        <w:t xml:space="preserve">, </w:t>
      </w:r>
      <w:hyperlink r:id="rId456" w:history="1">
        <w:r w:rsidRPr="0062595A">
          <w:rPr>
            <w:rFonts w:eastAsia="MS Mincho"/>
            <w:color w:val="0563C1"/>
            <w:sz w:val="22"/>
            <w:u w:val="single"/>
          </w:rPr>
          <w:t>personal sound amplifiers</w:t>
        </w:r>
      </w:hyperlink>
      <w:r w:rsidRPr="0062595A">
        <w:rPr>
          <w:rFonts w:eastAsia="MS Mincho"/>
          <w:sz w:val="22"/>
        </w:rPr>
        <w:t>,</w:t>
      </w:r>
      <w:r w:rsidRPr="0062595A">
        <w:rPr>
          <w:rFonts w:eastAsia="MS Mincho"/>
          <w:sz w:val="22"/>
          <w:szCs w:val="18"/>
        </w:rPr>
        <w:t xml:space="preserve"> </w:t>
      </w:r>
      <w:hyperlink r:id="rId457" w:history="1">
        <w:r w:rsidRPr="0062595A">
          <w:rPr>
            <w:rFonts w:eastAsia="MS Mincho"/>
            <w:color w:val="0563C1"/>
            <w:sz w:val="22"/>
            <w:szCs w:val="18"/>
            <w:u w:val="single"/>
          </w:rPr>
          <w:t>venues</w:t>
        </w:r>
      </w:hyperlink>
      <w:r w:rsidRPr="0062595A">
        <w:rPr>
          <w:rFonts w:eastAsia="MS Mincho"/>
          <w:sz w:val="22"/>
          <w:szCs w:val="18"/>
        </w:rPr>
        <w:t xml:space="preserve">, and video </w:t>
      </w:r>
      <w:hyperlink r:id="rId458" w:history="1">
        <w:r w:rsidRPr="0062595A">
          <w:rPr>
            <w:rFonts w:eastAsia="MS Mincho"/>
            <w:color w:val="0563C1"/>
            <w:sz w:val="22"/>
            <w:szCs w:val="18"/>
            <w:u w:val="single"/>
          </w:rPr>
          <w:t>game playing / e-sports</w:t>
        </w:r>
      </w:hyperlink>
      <w:r w:rsidRPr="0062595A">
        <w:rPr>
          <w:rFonts w:eastAsia="MS Mincho"/>
          <w:sz w:val="22"/>
          <w:szCs w:val="18"/>
        </w:rPr>
        <w:t xml:space="preserve">, as well as AI-related benchmarking frameworks for health applications developed within a </w:t>
      </w:r>
      <w:hyperlink r:id="rId459" w:history="1">
        <w:r w:rsidRPr="0062595A">
          <w:rPr>
            <w:rFonts w:eastAsia="MS Mincho"/>
            <w:color w:val="0563C1"/>
            <w:sz w:val="22"/>
            <w:szCs w:val="18"/>
            <w:u w:val="single"/>
          </w:rPr>
          <w:t>joint ITU and WHO Focus Group</w:t>
        </w:r>
      </w:hyperlink>
      <w:r w:rsidRPr="0062595A">
        <w:rPr>
          <w:rFonts w:eastAsia="MS Mincho"/>
          <w:sz w:val="22"/>
          <w:szCs w:val="18"/>
        </w:rPr>
        <w:t xml:space="preserve"> (Part of </w:t>
      </w:r>
      <w:hyperlink r:id="rId460" w:history="1">
        <w:r w:rsidRPr="0062595A">
          <w:rPr>
            <w:rFonts w:eastAsia="MS Mincho"/>
            <w:color w:val="0563C1"/>
            <w:sz w:val="22"/>
            <w:szCs w:val="18"/>
            <w:u w:val="single"/>
          </w:rPr>
          <w:t>ITU-T Study Group 21</w:t>
        </w:r>
      </w:hyperlink>
      <w:r w:rsidRPr="0062595A">
        <w:rPr>
          <w:rFonts w:eastAsia="MS Mincho"/>
          <w:sz w:val="22"/>
        </w:rPr>
        <w:t>, formerly Study Group 16</w:t>
      </w:r>
      <w:r w:rsidRPr="0062595A">
        <w:rPr>
          <w:rFonts w:eastAsia="MS Mincho"/>
          <w:sz w:val="22"/>
          <w:szCs w:val="18"/>
        </w:rPr>
        <w:t xml:space="preserve">). In addition, </w:t>
      </w:r>
      <w:hyperlink r:id="rId461" w:history="1">
        <w:r w:rsidRPr="0062595A">
          <w:rPr>
            <w:rFonts w:eastAsia="MS Mincho"/>
            <w:color w:val="0563C1"/>
            <w:sz w:val="22"/>
            <w:szCs w:val="18"/>
            <w:u w:val="single"/>
          </w:rPr>
          <w:t>ITU-T Study Group 20</w:t>
        </w:r>
      </w:hyperlink>
      <w:r w:rsidRPr="0062595A">
        <w:rPr>
          <w:rFonts w:eastAsia="MS Mincho"/>
          <w:sz w:val="22"/>
          <w:szCs w:val="18"/>
        </w:rPr>
        <w:t xml:space="preserve"> advanced standardization on human-centric digital services enabled by Internet of Things (IoT) and smart sustainable cities and communities, with particular focus on digital health, accessibility, and inclusion. Complementing these efforts, the </w:t>
      </w:r>
      <w:hyperlink r:id="rId462" w:history="1">
        <w:r w:rsidRPr="0062595A">
          <w:rPr>
            <w:rFonts w:eastAsia="MS Mincho"/>
            <w:color w:val="0563C1"/>
            <w:sz w:val="22"/>
            <w:szCs w:val="18"/>
            <w:u w:val="single"/>
          </w:rPr>
          <w:t>Global Initiative on Virtual Worlds and AI – </w:t>
        </w:r>
        <w:r w:rsidRPr="0062595A">
          <w:rPr>
            <w:rFonts w:eastAsia="MS Mincho"/>
            <w:i/>
            <w:iCs/>
            <w:color w:val="0563C1"/>
            <w:sz w:val="22"/>
            <w:szCs w:val="18"/>
            <w:u w:val="single"/>
          </w:rPr>
          <w:t xml:space="preserve">Discovering the </w:t>
        </w:r>
        <w:proofErr w:type="spellStart"/>
        <w:r w:rsidRPr="0062595A">
          <w:rPr>
            <w:rFonts w:eastAsia="MS Mincho"/>
            <w:i/>
            <w:iCs/>
            <w:color w:val="0563C1"/>
            <w:sz w:val="22"/>
            <w:szCs w:val="18"/>
            <w:u w:val="single"/>
          </w:rPr>
          <w:t>Citiverse</w:t>
        </w:r>
        <w:proofErr w:type="spellEnd"/>
      </w:hyperlink>
      <w:r w:rsidRPr="0062595A">
        <w:rPr>
          <w:rFonts w:eastAsia="MS Mincho"/>
          <w:i/>
          <w:iCs/>
          <w:sz w:val="22"/>
          <w:szCs w:val="18"/>
        </w:rPr>
        <w:t xml:space="preserve"> </w:t>
      </w:r>
      <w:r w:rsidRPr="0062595A">
        <w:rPr>
          <w:rFonts w:eastAsia="MS Mincho"/>
          <w:sz w:val="22"/>
          <w:szCs w:val="18"/>
        </w:rPr>
        <w:t xml:space="preserve">continues to address digital inclusion and accessibility in the </w:t>
      </w:r>
      <w:proofErr w:type="spellStart"/>
      <w:r w:rsidRPr="0062595A">
        <w:rPr>
          <w:rFonts w:eastAsia="MS Mincho"/>
          <w:sz w:val="22"/>
          <w:szCs w:val="18"/>
        </w:rPr>
        <w:t>citiverse</w:t>
      </w:r>
      <w:proofErr w:type="spellEnd"/>
      <w:r w:rsidRPr="0062595A">
        <w:rPr>
          <w:rFonts w:eastAsia="MS Mincho"/>
          <w:sz w:val="22"/>
          <w:szCs w:val="18"/>
        </w:rPr>
        <w:t xml:space="preserve"> and virtual worlds, recognizing that the creation of new digital environments raises accessibility considerations related to digital skills, visual impairment, and neurodivergence that must be proactively addressed. ITU-T maintained dedicated repositories and information channels to ensure that accessibility considerations remained central to standards-related activities and widely accessible to members and stakeholders.</w:t>
      </w:r>
    </w:p>
    <w:p w14:paraId="3EC9E931"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18"/>
        </w:rPr>
        <w:t>The Radiocommunication Sector (</w:t>
      </w:r>
      <w:hyperlink r:id="rId463" w:history="1">
        <w:r w:rsidRPr="0062595A">
          <w:rPr>
            <w:rFonts w:eastAsia="MS Mincho"/>
            <w:color w:val="0563C1"/>
            <w:sz w:val="22"/>
            <w:szCs w:val="18"/>
            <w:u w:val="single"/>
          </w:rPr>
          <w:t>ITU-R</w:t>
        </w:r>
      </w:hyperlink>
      <w:r w:rsidRPr="0062595A">
        <w:rPr>
          <w:rFonts w:eastAsia="MS Mincho"/>
          <w:sz w:val="22"/>
          <w:szCs w:val="18"/>
        </w:rPr>
        <w:t xml:space="preserve">) reinforced accessibility by updating several key technical publications addressing the needs of persons with disabilities and persons with specific needs. Five ITU-R publications were revised and approved under Resolution </w:t>
      </w:r>
      <w:hyperlink r:id="rId464" w:history="1">
        <w:r w:rsidRPr="0062595A">
          <w:rPr>
            <w:rFonts w:eastAsia="MS Mincho"/>
            <w:color w:val="0563C1"/>
            <w:sz w:val="22"/>
            <w:szCs w:val="18"/>
            <w:u w:val="single"/>
          </w:rPr>
          <w:t>ITU-R 67-2</w:t>
        </w:r>
      </w:hyperlink>
      <w:r w:rsidRPr="0062595A">
        <w:rPr>
          <w:rFonts w:eastAsia="MS Mincho"/>
          <w:sz w:val="22"/>
          <w:szCs w:val="18"/>
        </w:rPr>
        <w:t xml:space="preserve"> on telecommunication/ICT accessibility, ensuring their continued relevance and alignment with emerging technological contexts. Updates included Report </w:t>
      </w:r>
      <w:hyperlink r:id="rId465" w:history="1">
        <w:r w:rsidRPr="0062595A">
          <w:rPr>
            <w:rFonts w:eastAsia="MS Mincho"/>
            <w:color w:val="0563C1"/>
            <w:sz w:val="22"/>
            <w:szCs w:val="18"/>
            <w:u w:val="single"/>
          </w:rPr>
          <w:t>ITU-R BT.2207</w:t>
        </w:r>
      </w:hyperlink>
      <w:r w:rsidRPr="0062595A">
        <w:rPr>
          <w:rFonts w:eastAsia="MS Mincho"/>
          <w:sz w:val="22"/>
          <w:szCs w:val="18"/>
        </w:rPr>
        <w:t xml:space="preserve"> on accessibility to broadcasting services and Report </w:t>
      </w:r>
      <w:hyperlink r:id="rId466" w:history="1">
        <w:r w:rsidRPr="0062595A">
          <w:rPr>
            <w:rFonts w:eastAsia="MS Mincho"/>
            <w:color w:val="0563C1"/>
            <w:sz w:val="22"/>
            <w:szCs w:val="18"/>
            <w:u w:val="single"/>
          </w:rPr>
          <w:t>ITU-R SM.2153</w:t>
        </w:r>
      </w:hyperlink>
      <w:r w:rsidRPr="0062595A">
        <w:rPr>
          <w:rFonts w:eastAsia="MS Mincho"/>
          <w:sz w:val="22"/>
          <w:szCs w:val="18"/>
        </w:rPr>
        <w:t xml:space="preserve"> on short-range radiocommunication devices. ITU-R also approved Recommendation </w:t>
      </w:r>
      <w:hyperlink r:id="rId467" w:history="1">
        <w:r w:rsidRPr="0062595A">
          <w:rPr>
            <w:rFonts w:eastAsia="MS Mincho"/>
            <w:color w:val="0563C1"/>
            <w:sz w:val="22"/>
            <w:szCs w:val="18"/>
            <w:u w:val="single"/>
          </w:rPr>
          <w:t>ITU-R BT.1702-3</w:t>
        </w:r>
      </w:hyperlink>
      <w:r w:rsidRPr="0062595A">
        <w:rPr>
          <w:rFonts w:eastAsia="MS Mincho"/>
          <w:sz w:val="22"/>
          <w:szCs w:val="18"/>
        </w:rPr>
        <w:t xml:space="preserve">, which provides guidance for reducing photosensitive epileptic seizures caused by television content. </w:t>
      </w:r>
      <w:r w:rsidRPr="0062595A">
        <w:rPr>
          <w:rFonts w:eastAsia="MS Mincho"/>
          <w:sz w:val="22"/>
        </w:rPr>
        <w:t xml:space="preserve">The </w:t>
      </w:r>
      <w:r w:rsidRPr="0062595A">
        <w:rPr>
          <w:rFonts w:eastAsia="MS Mincho" w:cs="Calibri"/>
          <w:sz w:val="22"/>
        </w:rPr>
        <w:t>Handbook on “</w:t>
      </w:r>
      <w:hyperlink r:id="rId468" w:history="1">
        <w:r w:rsidRPr="0062595A">
          <w:rPr>
            <w:rFonts w:eastAsia="MS Mincho" w:cs="Calibri"/>
            <w:color w:val="0563C1"/>
            <w:sz w:val="22"/>
            <w:u w:val="single"/>
          </w:rPr>
          <w:t>Digital Terrestrial Television Broadcasting networks and systems implementation</w:t>
        </w:r>
      </w:hyperlink>
      <w:r w:rsidRPr="0062595A">
        <w:rPr>
          <w:rFonts w:eastAsia="MS Mincho" w:cs="Calibri"/>
          <w:sz w:val="22"/>
        </w:rPr>
        <w:t xml:space="preserve">” also deals with accessibility issues and how those can help persons with disabilities and persons with specific needs. </w:t>
      </w:r>
      <w:r w:rsidRPr="0062595A">
        <w:rPr>
          <w:rFonts w:eastAsia="MS Mincho"/>
          <w:sz w:val="22"/>
          <w:szCs w:val="18"/>
        </w:rPr>
        <w:t>Through these revisions, ITU-R strengthened its commitment to ensuring that radiocommunication systems and broadcasting environments remain safe, inclusive, and accessible to all users.</w:t>
      </w:r>
    </w:p>
    <w:p w14:paraId="6303C4CE" w14:textId="77777777" w:rsidR="0062595A" w:rsidRPr="00011535" w:rsidRDefault="0062595A" w:rsidP="00C5530E">
      <w:pPr>
        <w:suppressAutoHyphens/>
        <w:adjustRightInd/>
        <w:spacing w:after="120"/>
        <w:jc w:val="both"/>
        <w:rPr>
          <w:rFonts w:eastAsia="MS Mincho"/>
          <w:sz w:val="22"/>
        </w:rPr>
      </w:pPr>
      <w:r w:rsidRPr="0062595A">
        <w:rPr>
          <w:rFonts w:eastAsia="MS Mincho"/>
          <w:sz w:val="22"/>
          <w:szCs w:val="18"/>
        </w:rPr>
        <w:t xml:space="preserve">On the internal component of the ITU Accessibility Policy, there is a significant ongoing work at each concerned component, e.g. new building design, Facilities, Communications, Procurement, Human Resources (HR) functions such </w:t>
      </w:r>
      <w:r w:rsidRPr="00011535">
        <w:rPr>
          <w:rFonts w:eastAsia="MS Mincho"/>
          <w:sz w:val="22"/>
          <w:szCs w:val="18"/>
        </w:rPr>
        <w:t xml:space="preserve">as recruitment or staff wellness, information technology (IT) systems, Conferences and Publications, etc. ITU is progressing to meet UN standards and ITU Accessibility Policy, but some areas need strengthening and better coordination. In this order of ideas, ITU has continued reporting on the </w:t>
      </w:r>
      <w:r w:rsidRPr="00011535">
        <w:rPr>
          <w:rFonts w:eastAsia="MS Mincho"/>
          <w:sz w:val="22"/>
          <w:shd w:val="clear" w:color="auto" w:fill="FFFFFF"/>
        </w:rPr>
        <w:t>15 UNDIS (</w:t>
      </w:r>
      <w:r w:rsidRPr="00011535">
        <w:rPr>
          <w:rFonts w:eastAsia="MS Mincho"/>
          <w:sz w:val="22"/>
          <w:szCs w:val="18"/>
        </w:rPr>
        <w:t>UN Disability Inclusion Strategy)</w:t>
      </w:r>
      <w:r w:rsidRPr="00011535">
        <w:rPr>
          <w:rFonts w:eastAsia="MS Mincho"/>
          <w:sz w:val="22"/>
          <w:shd w:val="clear" w:color="auto" w:fill="FFFFFF"/>
        </w:rPr>
        <w:t xml:space="preserve"> common system performance indicators </w:t>
      </w:r>
      <w:r w:rsidRPr="00011535">
        <w:rPr>
          <w:rFonts w:eastAsia="MS Mincho"/>
          <w:sz w:val="22"/>
          <w:shd w:val="clear" w:color="auto" w:fill="FFFFFF"/>
        </w:rPr>
        <w:lastRenderedPageBreak/>
        <w:t>(PIs). T</w:t>
      </w:r>
      <w:r w:rsidRPr="00011535">
        <w:rPr>
          <w:rFonts w:eastAsia="MS Mincho"/>
          <w:sz w:val="22"/>
          <w:szCs w:val="18"/>
        </w:rPr>
        <w:t xml:space="preserve">he UNDIS seeks to ensure the UN system fully integrates disability inclusion across all activities, providing a framework for sustainable, transformative progress across the organization. </w:t>
      </w:r>
    </w:p>
    <w:p w14:paraId="22A20208" w14:textId="77777777" w:rsidR="0062595A" w:rsidRPr="0062595A" w:rsidRDefault="0062595A" w:rsidP="00C5530E">
      <w:pPr>
        <w:suppressAutoHyphens/>
        <w:adjustRightInd/>
        <w:spacing w:after="120"/>
        <w:jc w:val="both"/>
        <w:rPr>
          <w:rFonts w:eastAsia="MS Mincho"/>
          <w:sz w:val="22"/>
        </w:rPr>
      </w:pPr>
      <w:r w:rsidRPr="00011535">
        <w:rPr>
          <w:rFonts w:eastAsia="MS Mincho"/>
          <w:sz w:val="22"/>
        </w:rPr>
        <w:t>The</w:t>
      </w:r>
      <w:r w:rsidRPr="00011535">
        <w:rPr>
          <w:rFonts w:eastAsia="MS Mincho"/>
          <w:sz w:val="22"/>
          <w:shd w:val="clear" w:color="auto" w:fill="FFFFFF"/>
        </w:rPr>
        <w:t xml:space="preserve"> UNDIS PIs focus on four core areas: Leadership, strategic planning and management; Inclusiveness; Programming; and Organizational culture. The results of ITU’s self-assessment are:</w:t>
      </w:r>
    </w:p>
    <w:p w14:paraId="3C34B5AA" w14:textId="77777777" w:rsidR="0062595A" w:rsidRPr="0062595A" w:rsidRDefault="0062595A" w:rsidP="00C5530E">
      <w:pPr>
        <w:suppressAutoHyphens/>
        <w:adjustRightInd/>
        <w:spacing w:before="240" w:after="120"/>
        <w:jc w:val="both"/>
        <w:rPr>
          <w:rFonts w:eastAsia="MS Mincho"/>
          <w:color w:val="2F2F2F"/>
          <w:sz w:val="22"/>
          <w:shd w:val="clear" w:color="auto" w:fill="FFFFFF"/>
        </w:rPr>
      </w:pPr>
    </w:p>
    <w:p w14:paraId="4D29FC8B" w14:textId="77777777" w:rsidR="0062595A" w:rsidRPr="0062595A" w:rsidRDefault="0062595A" w:rsidP="0062595A">
      <w:pPr>
        <w:suppressAutoHyphens/>
        <w:adjustRightInd/>
        <w:jc w:val="center"/>
        <w:rPr>
          <w:rFonts w:eastAsia="MS Mincho"/>
          <w:sz w:val="22"/>
        </w:rPr>
      </w:pPr>
      <w:r w:rsidRPr="0062595A">
        <w:rPr>
          <w:rFonts w:eastAsia="MS Mincho"/>
          <w:noProof/>
          <w:sz w:val="22"/>
          <w:szCs w:val="18"/>
        </w:rPr>
        <w:drawing>
          <wp:inline distT="0" distB="0" distL="0" distR="0" wp14:anchorId="187B0EE3" wp14:editId="43F6CEEA">
            <wp:extent cx="4374654" cy="2546146"/>
            <wp:effectExtent l="0" t="0" r="6846" b="6554"/>
            <wp:docPr id="193969478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rcRect/>
                    <a:stretch>
                      <a:fillRect/>
                    </a:stretch>
                  </pic:blipFill>
                  <pic:spPr>
                    <a:xfrm>
                      <a:off x="0" y="0"/>
                      <a:ext cx="4374654" cy="2546146"/>
                    </a:xfrm>
                    <a:prstGeom prst="rect">
                      <a:avLst/>
                    </a:prstGeom>
                    <a:noFill/>
                    <a:ln>
                      <a:noFill/>
                      <a:prstDash/>
                    </a:ln>
                  </pic:spPr>
                </pic:pic>
              </a:graphicData>
            </a:graphic>
          </wp:inline>
        </w:drawing>
      </w:r>
    </w:p>
    <w:p w14:paraId="5ECA4CC4" w14:textId="77777777" w:rsidR="0062595A" w:rsidRPr="0062595A" w:rsidRDefault="0062595A" w:rsidP="0062595A">
      <w:pPr>
        <w:suppressAutoHyphens/>
        <w:adjustRightInd/>
        <w:spacing w:before="0" w:after="200"/>
        <w:jc w:val="center"/>
        <w:rPr>
          <w:rFonts w:eastAsia="MS Mincho"/>
          <w:i/>
          <w:iCs/>
          <w:color w:val="1F497D"/>
          <w:sz w:val="18"/>
          <w:szCs w:val="18"/>
        </w:rPr>
      </w:pPr>
      <w:r w:rsidRPr="0062595A">
        <w:rPr>
          <w:rFonts w:eastAsia="MS Mincho"/>
          <w:i/>
          <w:iCs/>
          <w:color w:val="1F497D"/>
          <w:sz w:val="18"/>
          <w:szCs w:val="18"/>
        </w:rPr>
        <w:t>Figure 22. ITU’s self-assessment under UNDIS.</w:t>
      </w:r>
    </w:p>
    <w:p w14:paraId="3B819980" w14:textId="77777777" w:rsidR="0062595A" w:rsidRPr="0062595A" w:rsidRDefault="0062595A" w:rsidP="004F28FD">
      <w:pPr>
        <w:keepNext/>
        <w:keepLines/>
        <w:tabs>
          <w:tab w:val="clear" w:pos="567"/>
        </w:tabs>
        <w:suppressAutoHyphens/>
        <w:adjustRightInd/>
        <w:spacing w:before="480" w:after="120"/>
        <w:ind w:left="567" w:hanging="567"/>
        <w:jc w:val="both"/>
        <w:outlineLvl w:val="1"/>
        <w:rPr>
          <w:rFonts w:eastAsia="MS Mincho"/>
          <w:b/>
        </w:rPr>
      </w:pPr>
      <w:bookmarkStart w:id="113" w:name="_Toc224288832"/>
      <w:r w:rsidRPr="0062595A">
        <w:rPr>
          <w:rFonts w:eastAsia="MS Mincho"/>
          <w:b/>
        </w:rPr>
        <w:t>5.3.4</w:t>
      </w:r>
      <w:r w:rsidRPr="0062595A">
        <w:rPr>
          <w:rFonts w:eastAsia="MS Mincho"/>
          <w:b/>
        </w:rPr>
        <w:tab/>
        <w:t>Solutions for rural, remote and indigenous communities</w:t>
      </w:r>
      <w:bookmarkEnd w:id="113"/>
    </w:p>
    <w:p w14:paraId="75EAA128" w14:textId="77777777" w:rsidR="0062595A" w:rsidRPr="0062595A" w:rsidRDefault="0062595A" w:rsidP="00C5530E">
      <w:pPr>
        <w:suppressAutoHyphens/>
        <w:adjustRightInd/>
        <w:spacing w:after="120"/>
        <w:jc w:val="both"/>
        <w:textAlignment w:val="auto"/>
        <w:rPr>
          <w:rFonts w:eastAsia="MS Mincho"/>
          <w:sz w:val="22"/>
        </w:rPr>
      </w:pPr>
      <w:r w:rsidRPr="0062595A">
        <w:rPr>
          <w:rFonts w:eastAsia="MS Mincho"/>
          <w:sz w:val="22"/>
        </w:rPr>
        <w:t>Since 2002, ITU members have sought to empower indigenous communities through technologies, as reflected in the resolutions adopted and reconducted systematically within the work of ITU’s World Telecommunication Development and Plenipotentiary Conferences.</w:t>
      </w:r>
    </w:p>
    <w:p w14:paraId="45357DAF"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In 2023, ITU delivered its first online training programme, </w:t>
      </w:r>
      <w:hyperlink r:id="rId470" w:history="1">
        <w:r w:rsidRPr="0062595A">
          <w:rPr>
            <w:rFonts w:eastAsia="MS Mincho"/>
            <w:color w:val="0563C1"/>
            <w:sz w:val="22"/>
            <w:u w:val="single"/>
          </w:rPr>
          <w:t>Innovative communication tools to strengthen the capacities of Indigenous communities</w:t>
        </w:r>
      </w:hyperlink>
      <w:r w:rsidRPr="0062595A">
        <w:rPr>
          <w:rFonts w:eastAsia="MS Mincho"/>
          <w:sz w:val="22"/>
        </w:rPr>
        <w:t xml:space="preserve">, which drew more than 200 participants (45 per cent women) from 16 Latin American countries. A second blended programme, </w:t>
      </w:r>
      <w:hyperlink r:id="rId471" w:history="1">
        <w:r w:rsidRPr="0062595A">
          <w:rPr>
            <w:rFonts w:eastAsia="MS Mincho"/>
            <w:color w:val="0563C1"/>
            <w:sz w:val="22"/>
            <w:u w:val="single"/>
          </w:rPr>
          <w:t>Managers in ICT Networks in Indigenous and Rural Communities in Latin America</w:t>
        </w:r>
      </w:hyperlink>
      <w:r w:rsidRPr="0062595A">
        <w:rPr>
          <w:rFonts w:eastAsia="MS Mincho"/>
          <w:sz w:val="22"/>
        </w:rPr>
        <w:t>, delivered through the ITU Academy and in person in Colombia, graduated 40 professionals with gender balance. The 2023 edition of this managers’ programme was also launched to continuously adapt training to the evolving needs of Indigenous and rural communities. ITU further contributed its long-standing experience in a dedicated WSIS session on “</w:t>
      </w:r>
      <w:hyperlink r:id="rId472" w:history="1">
        <w:r w:rsidRPr="0062595A">
          <w:rPr>
            <w:rFonts w:eastAsia="MS Mincho"/>
            <w:color w:val="0563C1"/>
            <w:sz w:val="22"/>
            <w:u w:val="single"/>
          </w:rPr>
          <w:t>Capacity Building and Enabling Environments for Meaningful Access in Indigenous and Rural Communities</w:t>
        </w:r>
      </w:hyperlink>
      <w:r w:rsidRPr="0062595A">
        <w:rPr>
          <w:rFonts w:eastAsia="MS Mincho"/>
          <w:sz w:val="22"/>
        </w:rPr>
        <w:t xml:space="preserve">,” highlighting lessons learned from 18 years of work in this field. Work continued through 2024-2025 on ITU-D activities addressing the specific needs of Indigenous Peoples through targeted training, knowledge-sharing, and project support. </w:t>
      </w:r>
    </w:p>
    <w:p w14:paraId="302369AF"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Since 2023, ITU’s digital inclusion work for rural, remote, and Indigenous communities has expanded significantly. In Latin America and the Caribbean, the 4th generation of the Blended Training Programme graduated 28 network managers from 9 countries (2023/2024), while a new short course on Designing Community Connectivity Strategies certified 50 participants from 10 countries in 2024. The ongoing 5th generation (2025) has already engaged 69 participants from 12 countries. In parallel, the programme was launched in Africa for the first time in 2025, with 65 participants from 18 countries currently enrolled. These efforts are strengthening local capacity and empowering communities to lead their own digital development.</w:t>
      </w:r>
    </w:p>
    <w:p w14:paraId="599A2083" w14:textId="77777777" w:rsidR="0062595A" w:rsidRPr="0062595A" w:rsidRDefault="0062595A" w:rsidP="004F28FD">
      <w:pPr>
        <w:keepNext/>
        <w:keepLines/>
        <w:tabs>
          <w:tab w:val="clear" w:pos="567"/>
        </w:tabs>
        <w:suppressAutoHyphens/>
        <w:adjustRightInd/>
        <w:spacing w:before="240" w:after="120"/>
        <w:ind w:left="567" w:hanging="567"/>
        <w:jc w:val="both"/>
        <w:outlineLvl w:val="1"/>
        <w:rPr>
          <w:rFonts w:eastAsia="MS Mincho"/>
          <w:b/>
        </w:rPr>
      </w:pPr>
      <w:bookmarkStart w:id="114" w:name="_Toc224288833"/>
      <w:r w:rsidRPr="0062595A">
        <w:rPr>
          <w:rFonts w:eastAsia="MS Mincho"/>
          <w:b/>
        </w:rPr>
        <w:lastRenderedPageBreak/>
        <w:t>5.3.5</w:t>
      </w:r>
      <w:r w:rsidRPr="0062595A">
        <w:rPr>
          <w:rFonts w:eastAsia="MS Mincho"/>
          <w:b/>
        </w:rPr>
        <w:tab/>
        <w:t>Support for ageing populations</w:t>
      </w:r>
      <w:bookmarkEnd w:id="114"/>
    </w:p>
    <w:p w14:paraId="08DE1570" w14:textId="46907EEB" w:rsidR="0062595A" w:rsidRPr="0062595A" w:rsidRDefault="0062595A" w:rsidP="00C5530E">
      <w:pPr>
        <w:suppressAutoHyphens/>
        <w:adjustRightInd/>
        <w:spacing w:after="120"/>
        <w:jc w:val="both"/>
        <w:textAlignment w:val="auto"/>
        <w:rPr>
          <w:rFonts w:eastAsia="MS Mincho"/>
          <w:sz w:val="22"/>
        </w:rPr>
      </w:pPr>
      <w:r w:rsidRPr="0062595A">
        <w:rPr>
          <w:rFonts w:eastAsia="MS Mincho"/>
          <w:sz w:val="22"/>
        </w:rPr>
        <w:t xml:space="preserve">By 2050, the world’s population of people aged 60 years and older will double (2.1 billion). In the context of the two global mega trends, population ageing and the rise of technology, the socio-economic landscape will face significant change and challenges. ITU strengthened its commitment to supporting ageing populations in an increasingly digital world, in alignment with the UN Decade of Healthy Ageing (2021–2030). Throughout this period, ITU contributed expertise in 17 international events and workshops, such as </w:t>
      </w:r>
      <w:r w:rsidRPr="000A36C9">
        <w:rPr>
          <w:rFonts w:eastAsia="MS Mincho"/>
          <w:sz w:val="22"/>
        </w:rPr>
        <w:t xml:space="preserve">the </w:t>
      </w:r>
      <w:hyperlink r:id="rId473" w:history="1">
        <w:r w:rsidRPr="000A36C9">
          <w:rPr>
            <w:rFonts w:eastAsia="MS Mincho"/>
            <w:color w:val="0563C1"/>
            <w:sz w:val="22"/>
            <w:u w:val="single"/>
          </w:rPr>
          <w:t>UN DESA Global Policy Dialogue on Ageing</w:t>
        </w:r>
      </w:hyperlink>
      <w:r w:rsidRPr="000A36C9">
        <w:rPr>
          <w:rFonts w:eastAsia="MS Mincho"/>
          <w:sz w:val="22"/>
        </w:rPr>
        <w:t xml:space="preserve"> and</w:t>
      </w:r>
      <w:r w:rsidRPr="0062595A">
        <w:rPr>
          <w:rFonts w:eastAsia="MS Mincho"/>
          <w:sz w:val="22"/>
        </w:rPr>
        <w:t xml:space="preserve"> the </w:t>
      </w:r>
      <w:hyperlink r:id="rId474" w:history="1">
        <w:r w:rsidRPr="0062595A">
          <w:rPr>
            <w:rFonts w:eastAsia="MS Mincho"/>
            <w:color w:val="0563C1"/>
            <w:sz w:val="22"/>
            <w:u w:val="single"/>
          </w:rPr>
          <w:t>High-Level Forum on the Silver Economy</w:t>
        </w:r>
      </w:hyperlink>
      <w:r w:rsidRPr="0062595A">
        <w:rPr>
          <w:rFonts w:eastAsia="MS Mincho"/>
          <w:sz w:val="22"/>
        </w:rPr>
        <w:t>, working alongside UN agencies and civil society partners to advance a rights-based, inclusive digital transformation for older persons.</w:t>
      </w:r>
    </w:p>
    <w:p w14:paraId="4AE926FA"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A key achievement was the dissemination of ITU’s flagship resources, including the </w:t>
      </w:r>
      <w:hyperlink r:id="rId475" w:history="1">
        <w:r w:rsidRPr="0062595A">
          <w:rPr>
            <w:rFonts w:eastAsia="MS Mincho"/>
            <w:color w:val="0563C1"/>
            <w:sz w:val="22"/>
            <w:u w:val="single"/>
          </w:rPr>
          <w:t>Guidelines Report: Ageing in the Digital World, From Vulnerable to Valuable</w:t>
        </w:r>
      </w:hyperlink>
      <w:r w:rsidRPr="0062595A">
        <w:rPr>
          <w:rFonts w:eastAsia="MS Mincho"/>
          <w:sz w:val="22"/>
        </w:rPr>
        <w:t xml:space="preserve">, complemented by multilingual video tutorials and an online </w:t>
      </w:r>
      <w:hyperlink r:id="rId476" w:history="1">
        <w:r w:rsidRPr="0062595A">
          <w:rPr>
            <w:rFonts w:eastAsia="MS Mincho"/>
            <w:color w:val="0563C1"/>
            <w:sz w:val="22"/>
            <w:u w:val="single"/>
          </w:rPr>
          <w:t>self-paced training programme on ICTs for better ageing and livelihoods</w:t>
        </w:r>
      </w:hyperlink>
      <w:r w:rsidRPr="0062595A">
        <w:rPr>
          <w:rFonts w:eastAsia="MS Mincho"/>
          <w:sz w:val="22"/>
        </w:rPr>
        <w:t xml:space="preserve">. These tools enabled governments, practitioners, and stakeholders to strengthen their capacity to design inclusive technologies, support digital literacy among older persons, and convert demographic challenges into sustainable development opportunities. ITU also promoted evidence-based policymaking through the joint report by ITU and the Pan American Health Organization, </w:t>
      </w:r>
      <w:hyperlink r:id="rId477" w:history="1">
        <w:r w:rsidRPr="0062595A">
          <w:rPr>
            <w:rFonts w:eastAsia="MS Mincho"/>
            <w:color w:val="0563C1"/>
            <w:sz w:val="22"/>
            <w:u w:val="single"/>
          </w:rPr>
          <w:t>The Role of Digital Technologies in Ageing and Health</w:t>
        </w:r>
      </w:hyperlink>
      <w:r w:rsidRPr="0062595A">
        <w:rPr>
          <w:rFonts w:eastAsia="MS Mincho"/>
          <w:sz w:val="22"/>
        </w:rPr>
        <w:t xml:space="preserve"> (2023), which highlighted how accessible, inclusive digital solutions can improve health services, facilitate independent living, and enhance social participation for older adults.</w:t>
      </w:r>
    </w:p>
    <w:p w14:paraId="6D8934FC"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From 2024 to 2025, ITU-D continued advancing practical initiatives to support older persons, including digital skills development in Gran Chaco, ICT network management training in Latin America, and community-level training for indigenous and rural populations, all with an emphasis on connectivity, community media, and sustaining local digital ecosystems.</w:t>
      </w:r>
    </w:p>
    <w:p w14:paraId="43C2A487" w14:textId="77777777" w:rsidR="0062595A" w:rsidRPr="0062595A" w:rsidRDefault="0062595A" w:rsidP="004F28FD">
      <w:pPr>
        <w:keepNext/>
        <w:keepLines/>
        <w:tabs>
          <w:tab w:val="clear" w:pos="567"/>
        </w:tabs>
        <w:suppressAutoHyphens/>
        <w:adjustRightInd/>
        <w:spacing w:before="240" w:after="120"/>
        <w:ind w:left="567" w:hanging="567"/>
        <w:jc w:val="both"/>
        <w:outlineLvl w:val="1"/>
        <w:rPr>
          <w:rFonts w:eastAsia="MS Mincho"/>
          <w:b/>
        </w:rPr>
      </w:pPr>
      <w:bookmarkStart w:id="115" w:name="_Toc224288834"/>
      <w:bookmarkStart w:id="116" w:name="Section_5_4"/>
      <w:r w:rsidRPr="0062595A">
        <w:rPr>
          <w:rFonts w:eastAsia="MS Mincho"/>
          <w:b/>
        </w:rPr>
        <w:t>5.4</w:t>
      </w:r>
      <w:r>
        <w:rPr>
          <w:rFonts w:eastAsia="MS Mincho"/>
        </w:rPr>
        <w:tab/>
      </w:r>
      <w:r w:rsidRPr="0062595A">
        <w:rPr>
          <w:rFonts w:eastAsia="MS Mincho"/>
          <w:b/>
        </w:rPr>
        <w:t>Commitment to environmental sustainability</w:t>
      </w:r>
      <w:bookmarkEnd w:id="115"/>
      <w:bookmarkEnd w:id="116"/>
    </w:p>
    <w:p w14:paraId="21EF3954" w14:textId="77777777" w:rsidR="0062595A" w:rsidRPr="0062595A" w:rsidRDefault="0062595A" w:rsidP="00C5530E">
      <w:pPr>
        <w:suppressAutoHyphens/>
        <w:adjustRightInd/>
        <w:spacing w:after="120"/>
        <w:jc w:val="both"/>
        <w:rPr>
          <w:rFonts w:eastAsia="MS Mincho"/>
          <w:bCs/>
          <w:sz w:val="22"/>
          <w:szCs w:val="18"/>
          <w:lang w:eastAsia="en-GB"/>
        </w:rPr>
      </w:pPr>
      <w:r w:rsidRPr="0062595A">
        <w:rPr>
          <w:rFonts w:eastAsia="MS Mincho"/>
          <w:bCs/>
          <w:sz w:val="22"/>
          <w:szCs w:val="18"/>
          <w:lang w:eastAsia="en-GB"/>
        </w:rPr>
        <w:t>Overall, the initiatives implemented by ITU from 2022 to 2025 reflect a robust commitment to environmental sustainability through climate action, responsible e-waste management, disaster risk reduction, and the promotion of smart, sustainable urban development. ITU’s comprehensive approach underscores the necessity of collaboration among various stakeholders to meet global sustainability goals effectively.</w:t>
      </w:r>
    </w:p>
    <w:p w14:paraId="717709A1" w14:textId="31BA26B5" w:rsidR="0062595A" w:rsidRPr="0062595A" w:rsidRDefault="000A36C9" w:rsidP="00C5530E">
      <w:pPr>
        <w:suppressAutoHyphens/>
        <w:adjustRightInd/>
        <w:spacing w:after="120"/>
        <w:jc w:val="both"/>
        <w:rPr>
          <w:rFonts w:eastAsia="MS Mincho"/>
          <w:sz w:val="22"/>
          <w:szCs w:val="22"/>
          <w:lang w:eastAsia="en-GB"/>
        </w:rPr>
      </w:pPr>
      <w:r w:rsidRPr="181B6A0C">
        <w:rPr>
          <w:rFonts w:eastAsia="MS Mincho"/>
          <w:sz w:val="22"/>
          <w:szCs w:val="22"/>
          <w:lang w:eastAsia="en-GB"/>
        </w:rPr>
        <w:t>To that end,</w:t>
      </w:r>
      <w:r w:rsidR="0062595A" w:rsidRPr="181B6A0C">
        <w:rPr>
          <w:rFonts w:eastAsia="MS Mincho"/>
          <w:sz w:val="22"/>
          <w:szCs w:val="22"/>
          <w:lang w:eastAsia="en-GB"/>
        </w:rPr>
        <w:t xml:space="preserve"> the Green Digital Action track at COP28 catalysed industry commitments aimed at reducing emissions and building a monitoring framework for sustainability within the ICT sector.</w:t>
      </w:r>
    </w:p>
    <w:p w14:paraId="271504C8" w14:textId="345F85AF" w:rsidR="0062595A" w:rsidRPr="0062595A" w:rsidRDefault="0062595A" w:rsidP="5F5FCC2B">
      <w:pPr>
        <w:suppressAutoHyphens/>
        <w:adjustRightInd/>
        <w:spacing w:before="240" w:after="120"/>
        <w:jc w:val="both"/>
        <w:rPr>
          <w:rFonts w:eastAsia="MS Mincho"/>
          <w:b/>
          <w:bCs/>
          <w:sz w:val="22"/>
          <w:szCs w:val="22"/>
          <w:lang w:eastAsia="en-GB"/>
        </w:rPr>
      </w:pPr>
      <w:r w:rsidRPr="5F5FCC2B">
        <w:rPr>
          <w:rFonts w:eastAsia="MS Mincho"/>
          <w:b/>
          <w:bCs/>
          <w:sz w:val="22"/>
          <w:szCs w:val="22"/>
          <w:lang w:eastAsia="en-GB"/>
        </w:rPr>
        <w:t xml:space="preserve">E-Waste </w:t>
      </w:r>
      <w:r w:rsidR="41031C64" w:rsidRPr="5F5FCC2B">
        <w:rPr>
          <w:rFonts w:eastAsia="MS Mincho"/>
          <w:b/>
          <w:bCs/>
          <w:sz w:val="22"/>
          <w:szCs w:val="22"/>
          <w:lang w:eastAsia="en-GB"/>
        </w:rPr>
        <w:t>m</w:t>
      </w:r>
      <w:r w:rsidRPr="5F5FCC2B">
        <w:rPr>
          <w:rFonts w:eastAsia="MS Mincho"/>
          <w:b/>
          <w:bCs/>
          <w:sz w:val="22"/>
          <w:szCs w:val="22"/>
          <w:lang w:eastAsia="en-GB"/>
        </w:rPr>
        <w:t xml:space="preserve">anagement and </w:t>
      </w:r>
      <w:r w:rsidR="3ED00E9A" w:rsidRPr="5F5FCC2B">
        <w:rPr>
          <w:rFonts w:eastAsia="MS Mincho"/>
          <w:b/>
          <w:bCs/>
          <w:sz w:val="22"/>
          <w:szCs w:val="22"/>
          <w:lang w:eastAsia="en-GB"/>
        </w:rPr>
        <w:t>c</w:t>
      </w:r>
      <w:r w:rsidRPr="5F5FCC2B">
        <w:rPr>
          <w:rFonts w:eastAsia="MS Mincho"/>
          <w:b/>
          <w:bCs/>
          <w:sz w:val="22"/>
          <w:szCs w:val="22"/>
          <w:lang w:eastAsia="en-GB"/>
        </w:rPr>
        <w:t xml:space="preserve">ircular </w:t>
      </w:r>
      <w:r w:rsidR="4A3125E3" w:rsidRPr="5F5FCC2B">
        <w:rPr>
          <w:rFonts w:eastAsia="MS Mincho"/>
          <w:b/>
          <w:bCs/>
          <w:sz w:val="22"/>
          <w:szCs w:val="22"/>
          <w:lang w:eastAsia="en-GB"/>
        </w:rPr>
        <w:t>e</w:t>
      </w:r>
      <w:r w:rsidRPr="5F5FCC2B">
        <w:rPr>
          <w:rFonts w:eastAsia="MS Mincho"/>
          <w:b/>
          <w:bCs/>
          <w:sz w:val="22"/>
          <w:szCs w:val="22"/>
          <w:lang w:eastAsia="en-GB"/>
        </w:rPr>
        <w:t>conomies</w:t>
      </w:r>
    </w:p>
    <w:p w14:paraId="0AA74392" w14:textId="7BBA7124" w:rsidR="00633767" w:rsidRPr="00633767" w:rsidRDefault="0062595A" w:rsidP="00633767">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 xml:space="preserve">E-waste management remains a cause for concern and requires immediate attention and action, as the amount of e-waste has grown </w:t>
      </w:r>
      <w:r w:rsidR="4845981A" w:rsidRPr="0062595A">
        <w:rPr>
          <w:rFonts w:eastAsia="SimSun" w:cs="Arial"/>
          <w:kern w:val="3"/>
          <w:sz w:val="22"/>
          <w:szCs w:val="22"/>
          <w:lang w:eastAsia="zh-CN"/>
        </w:rPr>
        <w:t>five</w:t>
      </w:r>
      <w:r w:rsidRPr="0062595A">
        <w:rPr>
          <w:rFonts w:eastAsia="SimSun" w:cs="Arial"/>
          <w:kern w:val="3"/>
          <w:sz w:val="22"/>
          <w:szCs w:val="22"/>
          <w:lang w:eastAsia="zh-CN"/>
        </w:rPr>
        <w:t xml:space="preserve"> times faster than compliant collection and recycling since 2010. </w:t>
      </w:r>
      <w:r w:rsidR="00633767" w:rsidRPr="00633767">
        <w:rPr>
          <w:rFonts w:eastAsia="SimSun" w:cs="Arial"/>
          <w:kern w:val="3"/>
          <w:sz w:val="22"/>
          <w:szCs w:val="22"/>
          <w:lang w:eastAsia="zh-CN"/>
        </w:rPr>
        <w:t xml:space="preserve">According to the 2024 Global </w:t>
      </w:r>
      <w:r w:rsidR="007B2734">
        <w:rPr>
          <w:rFonts w:eastAsia="SimSun" w:cs="Arial"/>
          <w:kern w:val="3"/>
          <w:sz w:val="22"/>
          <w:szCs w:val="22"/>
          <w:lang w:eastAsia="zh-CN"/>
        </w:rPr>
        <w:t>e</w:t>
      </w:r>
      <w:r w:rsidR="00633767" w:rsidRPr="00633767">
        <w:rPr>
          <w:rFonts w:eastAsia="SimSun" w:cs="Arial"/>
          <w:kern w:val="3"/>
          <w:sz w:val="22"/>
          <w:szCs w:val="22"/>
          <w:lang w:eastAsia="zh-CN"/>
        </w:rPr>
        <w:t xml:space="preserve">-waste Monitor, the world is projected to produce 82 billion kilograms of e-waste annually by 2030. Further on its partnership with UNITAR and Fondation </w:t>
      </w:r>
      <w:proofErr w:type="spellStart"/>
      <w:r w:rsidR="00633767" w:rsidRPr="00633767">
        <w:rPr>
          <w:rFonts w:eastAsia="SimSun" w:cs="Arial"/>
          <w:kern w:val="3"/>
          <w:sz w:val="22"/>
          <w:szCs w:val="22"/>
          <w:lang w:eastAsia="zh-CN"/>
        </w:rPr>
        <w:t>Carmignac</w:t>
      </w:r>
      <w:proofErr w:type="spellEnd"/>
      <w:r w:rsidR="00633767" w:rsidRPr="00633767">
        <w:rPr>
          <w:rFonts w:eastAsia="SimSun" w:cs="Arial"/>
          <w:kern w:val="3"/>
          <w:sz w:val="22"/>
          <w:szCs w:val="22"/>
          <w:lang w:eastAsia="zh-CN"/>
        </w:rPr>
        <w:t xml:space="preserve"> to deliver this flagship global publication, the Global E-waste Monitor, ITU also supported the preparation of two regional E-waste monitor reports and two national E-waste monitor reports. </w:t>
      </w:r>
    </w:p>
    <w:p w14:paraId="4DD7E5AB" w14:textId="77777777" w:rsidR="00633767" w:rsidRPr="00633767" w:rsidRDefault="00633767" w:rsidP="00633767">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33767">
        <w:rPr>
          <w:rFonts w:eastAsia="SimSun" w:cs="Arial"/>
          <w:kern w:val="3"/>
          <w:sz w:val="22"/>
          <w:szCs w:val="22"/>
          <w:lang w:eastAsia="zh-CN"/>
        </w:rPr>
        <w:t>ITU has also been actively supporting several countries across the Americas, Africa, and Asia-Pacific in developing and implementing producer responsibility regulations for e-waste. Between 2023 and 2025, ITU provided technical assistance on the circular economy in 14 countries along international funding partners that include UN Environment Programme and UN Institute for Training and Research (UNITAR), the German Agency for International Cooperation (GIZ), the Government of the Kingdom of Saudi Arabia, the Government of Australia, and the Government of Colombia.</w:t>
      </w:r>
    </w:p>
    <w:p w14:paraId="1A6AF501"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Noteworthy regional knowledge products on e-waste and the circular economy published between 2022 and 2025 include the “</w:t>
      </w:r>
      <w:hyperlink r:id="rId478" w:history="1">
        <w:r w:rsidRPr="0062595A">
          <w:rPr>
            <w:rFonts w:eastAsia="SimSun" w:cs="Arial"/>
            <w:color w:val="0563C1"/>
            <w:kern w:val="3"/>
            <w:sz w:val="22"/>
            <w:szCs w:val="22"/>
            <w:u w:val="single"/>
            <w:lang w:eastAsia="zh-CN"/>
          </w:rPr>
          <w:t xml:space="preserve">Management of waste electrical and electronic equipment in Latin </w:t>
        </w:r>
        <w:r w:rsidRPr="0062595A">
          <w:rPr>
            <w:rFonts w:eastAsia="SimSun" w:cs="Arial"/>
            <w:color w:val="0563C1"/>
            <w:kern w:val="3"/>
            <w:sz w:val="22"/>
            <w:szCs w:val="22"/>
            <w:u w:val="single"/>
            <w:lang w:eastAsia="zh-CN"/>
          </w:rPr>
          <w:lastRenderedPageBreak/>
          <w:t>America: current situation and outlook</w:t>
        </w:r>
      </w:hyperlink>
      <w:r w:rsidRPr="0062595A">
        <w:rPr>
          <w:rFonts w:eastAsia="SimSun" w:cs="Arial"/>
          <w:kern w:val="3"/>
          <w:sz w:val="22"/>
          <w:szCs w:val="22"/>
          <w:lang w:eastAsia="zh-CN"/>
        </w:rPr>
        <w:t>”, and the “</w:t>
      </w:r>
      <w:r w:rsidRPr="0062595A">
        <w:rPr>
          <w:rFonts w:eastAsia="Calibri" w:cs="Calibri"/>
          <w:kern w:val="3"/>
          <w:sz w:val="22"/>
          <w:szCs w:val="22"/>
          <w:lang w:eastAsia="zh-CN"/>
        </w:rPr>
        <w:t>Guidelines for the development of national systems for integral management of waste electrical and electronic equipment in Latin America”</w:t>
      </w:r>
      <w:r w:rsidRPr="0062595A">
        <w:rPr>
          <w:rFonts w:eastAsia="SimSun" w:cs="Arial"/>
          <w:kern w:val="3"/>
          <w:sz w:val="22"/>
          <w:szCs w:val="22"/>
          <w:lang w:eastAsia="zh-CN"/>
        </w:rPr>
        <w:t xml:space="preserve">, both coordinated with the UN Industrial Development Organization (UNIDO). </w:t>
      </w:r>
    </w:p>
    <w:p w14:paraId="5A2236A9"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 xml:space="preserve">ITU has also launched several initiatives to strengthen global capacity building and knowledge exchange on e-waste regulation, including study tours, webinars and the E-waste Challenge Massive Open Online Course (MOOC), designed and developed along with UN Environment Programme (UNEP), the Basel Convention Secretariat, EIT </w:t>
      </w:r>
      <w:proofErr w:type="spellStart"/>
      <w:r w:rsidRPr="0062595A">
        <w:rPr>
          <w:rFonts w:eastAsia="SimSun" w:cs="Arial"/>
          <w:kern w:val="3"/>
          <w:sz w:val="22"/>
          <w:szCs w:val="22"/>
          <w:lang w:eastAsia="zh-CN"/>
        </w:rPr>
        <w:t>RawMaterials</w:t>
      </w:r>
      <w:proofErr w:type="spellEnd"/>
      <w:r w:rsidRPr="0062595A">
        <w:rPr>
          <w:rFonts w:eastAsia="SimSun" w:cs="Arial"/>
          <w:kern w:val="3"/>
          <w:sz w:val="22"/>
          <w:szCs w:val="22"/>
          <w:lang w:eastAsia="zh-CN"/>
        </w:rPr>
        <w:t xml:space="preserve">, KU Leuven, the World Health Organization (WHO), and the World Resources Forum. </w:t>
      </w:r>
    </w:p>
    <w:p w14:paraId="744563FE"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To advance circularity, ITU has developed practical guides and tools for key stakeholders on circular and sustainable public procurement, including the “</w:t>
      </w:r>
      <w:hyperlink r:id="rId479" w:history="1">
        <w:r w:rsidRPr="0062595A">
          <w:rPr>
            <w:rFonts w:eastAsia="SimSun" w:cs="Arial"/>
            <w:color w:val="0563C1"/>
            <w:kern w:val="3"/>
            <w:sz w:val="22"/>
            <w:szCs w:val="22"/>
            <w:u w:val="single"/>
            <w:lang w:eastAsia="zh-CN"/>
          </w:rPr>
          <w:t>Policy practices for e-waste management: tools for a balanced and fair circular economy</w:t>
        </w:r>
      </w:hyperlink>
      <w:r w:rsidRPr="0062595A">
        <w:rPr>
          <w:rFonts w:eastAsia="SimSun" w:cs="Arial"/>
          <w:kern w:val="3"/>
          <w:sz w:val="22"/>
          <w:szCs w:val="22"/>
          <w:lang w:eastAsia="zh-CN"/>
        </w:rPr>
        <w:t>”, developed in collaboration with the Communications, Space &amp; Technology Commission (CST) of Saudi Arabia, as well as a “</w:t>
      </w:r>
      <w:hyperlink r:id="rId480" w:history="1">
        <w:r w:rsidRPr="0062595A">
          <w:rPr>
            <w:rFonts w:eastAsia="SimSun" w:cs="Arial"/>
            <w:color w:val="0563C1"/>
            <w:kern w:val="3"/>
            <w:sz w:val="22"/>
            <w:szCs w:val="22"/>
            <w:u w:val="single"/>
            <w:lang w:eastAsia="zh-CN"/>
          </w:rPr>
          <w:t>Circular and sustainable public procurement- ICT equipment guide</w:t>
        </w:r>
      </w:hyperlink>
      <w:r w:rsidRPr="0062595A">
        <w:rPr>
          <w:rFonts w:eastAsia="SimSun" w:cs="Arial"/>
          <w:kern w:val="3"/>
          <w:sz w:val="22"/>
          <w:szCs w:val="22"/>
          <w:lang w:eastAsia="zh-CN"/>
        </w:rPr>
        <w:t xml:space="preserve">” produced under the </w:t>
      </w:r>
      <w:proofErr w:type="spellStart"/>
      <w:r w:rsidRPr="0062595A">
        <w:rPr>
          <w:rFonts w:eastAsia="SimSun" w:cs="Arial"/>
          <w:kern w:val="3"/>
          <w:sz w:val="22"/>
          <w:szCs w:val="22"/>
          <w:lang w:eastAsia="zh-CN"/>
        </w:rPr>
        <w:t>GovStack</w:t>
      </w:r>
      <w:proofErr w:type="spellEnd"/>
      <w:r w:rsidRPr="0062595A">
        <w:rPr>
          <w:rFonts w:eastAsia="SimSun" w:cs="Arial"/>
          <w:kern w:val="3"/>
          <w:sz w:val="22"/>
          <w:szCs w:val="22"/>
          <w:lang w:eastAsia="zh-CN"/>
        </w:rPr>
        <w:t xml:space="preserve"> initiative. The guide was developed alongside ITU-T Recommendation “</w:t>
      </w:r>
      <w:hyperlink r:id="rId481" w:history="1">
        <w:r w:rsidRPr="0062595A">
          <w:rPr>
            <w:rFonts w:eastAsia="SimSun" w:cs="Arial"/>
            <w:color w:val="0563C1"/>
            <w:kern w:val="3"/>
            <w:sz w:val="22"/>
            <w:szCs w:val="22"/>
            <w:u w:val="single"/>
            <w:lang w:eastAsia="zh-CN"/>
          </w:rPr>
          <w:t>L.1061: Circular public procurement of information and communication technologies</w:t>
        </w:r>
      </w:hyperlink>
      <w:r w:rsidRPr="0062595A">
        <w:rPr>
          <w:rFonts w:eastAsia="SimSun" w:cs="Arial"/>
          <w:kern w:val="3"/>
          <w:sz w:val="22"/>
          <w:szCs w:val="22"/>
          <w:lang w:eastAsia="zh-CN"/>
        </w:rPr>
        <w:t xml:space="preserve">”, which provides technical guidance to public-sector organizations on strengthening procurement practices and increasing the uptake of circular ICT goods and services. </w:t>
      </w:r>
    </w:p>
    <w:p w14:paraId="2519EC34"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Similarly, ITU has produced two national use cases to support the Implementation of the ITU-T International Standards for the Sustainable Management of Electrical and Electronic Equipment: On the road to a circular economy. In 2024, the standardization work on digital product passports and the development of environmental performance labelling further advanced approaches towards circular economies.</w:t>
      </w:r>
    </w:p>
    <w:p w14:paraId="58B3CD55"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Calibri" w:cs="Calibri"/>
          <w:kern w:val="3"/>
          <w:sz w:val="22"/>
          <w:szCs w:val="22"/>
          <w:lang w:eastAsia="zh-CN"/>
        </w:rPr>
        <w:t xml:space="preserve">ITU-T Study Group 5, in turn, continued developing international standards to promote an environmentally sustainable, resilient and inclusive telecommunications/ICT sector. </w:t>
      </w:r>
      <w:r w:rsidRPr="0062595A">
        <w:rPr>
          <w:rFonts w:eastAsia="SimSun" w:cs="Arial"/>
          <w:kern w:val="3"/>
          <w:sz w:val="22"/>
          <w:szCs w:val="22"/>
          <w:lang w:eastAsia="zh-CN"/>
        </w:rPr>
        <w:t>Between 2022 and 2025, 110 Recommendations were approved or consented by Study Group 5 in ITU-T, while 26 guidelines and supplements were agreed.</w:t>
      </w:r>
    </w:p>
    <w:p w14:paraId="167654EF"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 xml:space="preserve">ITU standards have been especially instrumental in measuring and improving the environmental performance of ICTs, covering energy efficiency, emissions monitoring and material efficiency in technology products. Key activities for environmental efficiency ICT infrastructure include recommendations for networks, ICT services and products, as well as data centres. Two white papers on the safety of lithium-ion battery applications in data centres and on Lithium Batteries for Telecom Sites were published in collaboration with Huawei. </w:t>
      </w:r>
    </w:p>
    <w:p w14:paraId="59508E3F" w14:textId="2EC20CDE" w:rsidR="0062595A" w:rsidRPr="0062595A" w:rsidRDefault="0062595A" w:rsidP="5F5FCC2B">
      <w:pPr>
        <w:suppressAutoHyphens/>
        <w:adjustRightInd/>
        <w:spacing w:before="240" w:after="120"/>
        <w:jc w:val="both"/>
        <w:rPr>
          <w:rFonts w:eastAsia="MS Mincho"/>
          <w:b/>
          <w:bCs/>
          <w:sz w:val="22"/>
          <w:szCs w:val="22"/>
          <w:lang w:eastAsia="en-GB"/>
        </w:rPr>
      </w:pPr>
      <w:r w:rsidRPr="5F5FCC2B">
        <w:rPr>
          <w:rFonts w:eastAsia="MS Mincho"/>
          <w:b/>
          <w:bCs/>
          <w:sz w:val="22"/>
          <w:szCs w:val="22"/>
          <w:lang w:eastAsia="en-GB"/>
        </w:rPr>
        <w:t xml:space="preserve">Emergency </w:t>
      </w:r>
      <w:r w:rsidR="421B8E9F" w:rsidRPr="5F5FCC2B">
        <w:rPr>
          <w:rFonts w:eastAsia="MS Mincho"/>
          <w:b/>
          <w:bCs/>
          <w:sz w:val="22"/>
          <w:szCs w:val="22"/>
          <w:lang w:eastAsia="en-GB"/>
        </w:rPr>
        <w:t>t</w:t>
      </w:r>
      <w:r w:rsidRPr="5F5FCC2B">
        <w:rPr>
          <w:rFonts w:eastAsia="MS Mincho"/>
          <w:b/>
          <w:bCs/>
          <w:sz w:val="22"/>
          <w:szCs w:val="22"/>
          <w:lang w:eastAsia="en-GB"/>
        </w:rPr>
        <w:t xml:space="preserve">elecommunications and </w:t>
      </w:r>
      <w:r w:rsidR="041596BF" w:rsidRPr="5F5FCC2B">
        <w:rPr>
          <w:rFonts w:eastAsia="MS Mincho"/>
          <w:b/>
          <w:bCs/>
          <w:sz w:val="22"/>
          <w:szCs w:val="22"/>
          <w:lang w:eastAsia="en-GB"/>
        </w:rPr>
        <w:t>c</w:t>
      </w:r>
      <w:r w:rsidRPr="5F5FCC2B">
        <w:rPr>
          <w:rFonts w:eastAsia="MS Mincho"/>
          <w:b/>
          <w:bCs/>
          <w:sz w:val="22"/>
          <w:szCs w:val="22"/>
          <w:lang w:eastAsia="en-GB"/>
        </w:rPr>
        <w:t xml:space="preserve">risis </w:t>
      </w:r>
      <w:r w:rsidR="74BFDE7B" w:rsidRPr="5F5FCC2B">
        <w:rPr>
          <w:rFonts w:eastAsia="MS Mincho"/>
          <w:b/>
          <w:bCs/>
          <w:sz w:val="22"/>
          <w:szCs w:val="22"/>
          <w:lang w:eastAsia="en-GB"/>
        </w:rPr>
        <w:t>m</w:t>
      </w:r>
      <w:r w:rsidRPr="5F5FCC2B">
        <w:rPr>
          <w:rFonts w:eastAsia="MS Mincho"/>
          <w:b/>
          <w:bCs/>
          <w:sz w:val="22"/>
          <w:szCs w:val="22"/>
          <w:lang w:eastAsia="en-GB"/>
        </w:rPr>
        <w:t>anagement</w:t>
      </w:r>
    </w:p>
    <w:p w14:paraId="026DFF4D" w14:textId="76F99494" w:rsidR="0062595A" w:rsidRPr="0062595A" w:rsidRDefault="0062595A" w:rsidP="2AADD4FD">
      <w:pPr>
        <w:suppressAutoHyphens/>
        <w:adjustRightInd/>
        <w:spacing w:before="0" w:after="160" w:line="276" w:lineRule="auto"/>
        <w:jc w:val="both"/>
        <w:rPr>
          <w:rFonts w:ascii="Aptos" w:eastAsia="Aptos" w:hAnsi="Aptos" w:cs="Aptos"/>
          <w:szCs w:val="24"/>
        </w:rPr>
      </w:pPr>
      <w:r w:rsidRPr="2AADD4FD">
        <w:rPr>
          <w:rFonts w:eastAsia="MS Mincho"/>
          <w:sz w:val="22"/>
          <w:szCs w:val="22"/>
          <w:lang w:eastAsia="en-GB"/>
        </w:rPr>
        <w:t xml:space="preserve">Emergency telecommunications remain a core ITU workstream for strengthening national climate resilience. </w:t>
      </w:r>
      <w:r w:rsidR="6ADC9D4D" w:rsidRPr="00AE7FA7">
        <w:rPr>
          <w:rFonts w:asciiTheme="minorHAnsi" w:eastAsiaTheme="minorEastAsia" w:hAnsiTheme="minorHAnsi" w:cstheme="minorBidi"/>
          <w:sz w:val="22"/>
          <w:szCs w:val="22"/>
        </w:rPr>
        <w:t>By the end of 2025, a</w:t>
      </w:r>
      <w:r w:rsidR="67D6C8BE" w:rsidRPr="2AADD4FD">
        <w:rPr>
          <w:rFonts w:asciiTheme="minorHAnsi" w:eastAsiaTheme="minorEastAsia" w:hAnsiTheme="minorHAnsi" w:cstheme="minorBidi"/>
          <w:sz w:val="22"/>
          <w:szCs w:val="22"/>
        </w:rPr>
        <w:t>t least</w:t>
      </w:r>
      <w:r w:rsidR="6ADC9D4D" w:rsidRPr="00AE7FA7">
        <w:rPr>
          <w:rFonts w:asciiTheme="minorHAnsi" w:eastAsiaTheme="minorEastAsia" w:hAnsiTheme="minorHAnsi" w:cstheme="minorBidi"/>
          <w:sz w:val="22"/>
          <w:szCs w:val="22"/>
        </w:rPr>
        <w:t xml:space="preserve"> 9</w:t>
      </w:r>
      <w:r w:rsidR="2B4D900F" w:rsidRPr="2AADD4FD">
        <w:rPr>
          <w:rFonts w:asciiTheme="minorHAnsi" w:eastAsiaTheme="minorEastAsia" w:hAnsiTheme="minorHAnsi" w:cstheme="minorBidi"/>
          <w:sz w:val="22"/>
          <w:szCs w:val="22"/>
        </w:rPr>
        <w:t>5</w:t>
      </w:r>
      <w:r w:rsidR="6ADC9D4D" w:rsidRPr="00AE7FA7">
        <w:rPr>
          <w:rFonts w:asciiTheme="minorHAnsi" w:eastAsiaTheme="minorEastAsia" w:hAnsiTheme="minorHAnsi" w:cstheme="minorBidi"/>
          <w:sz w:val="22"/>
          <w:szCs w:val="22"/>
        </w:rPr>
        <w:t xml:space="preserve"> countries had national emergency telecommunications plans in place, up from 66 countries in 2021, reflecting improved disaster preparedness and resilience worldwide.</w:t>
      </w:r>
    </w:p>
    <w:p w14:paraId="50E7DC7A" w14:textId="31F46FBD" w:rsidR="0062595A" w:rsidRPr="0062595A" w:rsidRDefault="0062595A" w:rsidP="00C5530E">
      <w:pPr>
        <w:suppressAutoHyphens/>
        <w:adjustRightInd/>
        <w:spacing w:after="120"/>
        <w:jc w:val="both"/>
        <w:rPr>
          <w:rFonts w:eastAsia="MS Mincho"/>
          <w:sz w:val="22"/>
        </w:rPr>
      </w:pPr>
      <w:r w:rsidRPr="0062595A">
        <w:rPr>
          <w:rFonts w:eastAsia="MS Mincho"/>
          <w:sz w:val="22"/>
          <w:lang w:eastAsia="en-GB"/>
        </w:rPr>
        <w:t>From 2022 to 2025, ITU-D</w:t>
      </w:r>
      <w:r w:rsidRPr="0062595A">
        <w:rPr>
          <w:rFonts w:eastAsia="Calibri" w:cs="Calibri"/>
          <w:sz w:val="22"/>
          <w:szCs w:val="22"/>
        </w:rPr>
        <w:t xml:space="preserve"> strengthened national disaster preparedness and response by advancing the use of ICTs for emergency telecommunications in Member States</w:t>
      </w:r>
      <w:r w:rsidRPr="0062595A">
        <w:rPr>
          <w:rFonts w:eastAsia="MS Mincho"/>
          <w:sz w:val="22"/>
          <w:lang w:eastAsia="en-GB"/>
        </w:rPr>
        <w:t xml:space="preserve">. During this period, ITU-D supported more than 25 countries in the development and implementation </w:t>
      </w:r>
      <w:r w:rsidRPr="0062595A">
        <w:rPr>
          <w:rFonts w:eastAsia="MS Mincho"/>
          <w:sz w:val="22"/>
          <w:lang w:eastAsia="en-GB"/>
        </w:rPr>
        <w:t xml:space="preserve">of National Emergency Telecommunication Plans (NETPs), completing a total of 41 NETPs. These efforts enhanced national resilience and enabled faster and more effective emergency response. The organization also played a pivotal role in the implementation of the Early Warnings for All (EW4All) initiative, under which, ITU had supported 30 countries by 2025, including four pilot AI applications in countries under the AI subgroup of the EW4All to enhance early warning capabilities. ITU leads Pilar 3 on Warning Dissemination and Communication. </w:t>
      </w:r>
      <w:r w:rsidRPr="0062595A">
        <w:rPr>
          <w:rFonts w:eastAsia="Calibri" w:cs="Calibri"/>
          <w:sz w:val="22"/>
          <w:szCs w:val="22"/>
        </w:rPr>
        <w:t xml:space="preserve">Through this initiative, ITU-D facilitated technical, economic, and regulatory assessments to support the deployment of key public alerting technologies, including the </w:t>
      </w:r>
      <w:r w:rsidRPr="00997AB0">
        <w:rPr>
          <w:rFonts w:eastAsia="Calibri" w:cs="Calibri"/>
          <w:spacing w:val="2"/>
          <w:sz w:val="22"/>
          <w:szCs w:val="22"/>
        </w:rPr>
        <w:t>Common Alerting Protocol (CAP), Cell Broadcast (CB), and Location-Based Short Message Service</w:t>
      </w:r>
      <w:r w:rsidRPr="0062595A">
        <w:rPr>
          <w:rFonts w:eastAsia="Calibri" w:cs="Calibri"/>
          <w:sz w:val="22"/>
          <w:szCs w:val="22"/>
        </w:rPr>
        <w:t xml:space="preserve"> </w:t>
      </w:r>
      <w:r w:rsidRPr="0062595A">
        <w:rPr>
          <w:rFonts w:eastAsia="Calibri" w:cs="Calibri"/>
          <w:sz w:val="22"/>
          <w:szCs w:val="22"/>
        </w:rPr>
        <w:lastRenderedPageBreak/>
        <w:t>(LB-SMS). These technologies enable the effective use of digital networks, services, and mobile devices to disseminate timely alerts, contributing to the protection of lives and livelihoods. Since 2022, 28</w:t>
      </w:r>
      <w:r w:rsidR="00011535">
        <w:rPr>
          <w:rFonts w:eastAsia="Calibri" w:cs="Calibri"/>
          <w:sz w:val="22"/>
          <w:szCs w:val="22"/>
        </w:rPr>
        <w:t> </w:t>
      </w:r>
      <w:r w:rsidRPr="0062595A">
        <w:rPr>
          <w:rFonts w:eastAsia="Calibri" w:cs="Calibri"/>
          <w:sz w:val="22"/>
          <w:szCs w:val="22"/>
        </w:rPr>
        <w:t>countries have adopted Cell Broadcast, 10 countries rely on LB-SMS, and 6 countries have deployed both technologies for public alerting.</w:t>
      </w:r>
      <w:r w:rsidRPr="0062595A">
        <w:rPr>
          <w:rFonts w:eastAsia="MS Mincho"/>
          <w:sz w:val="22"/>
          <w:lang w:eastAsia="en-GB"/>
        </w:rPr>
        <w:t xml:space="preserve"> </w:t>
      </w:r>
    </w:p>
    <w:p w14:paraId="6A02144E" w14:textId="2FA2D912" w:rsidR="0062595A" w:rsidRPr="0062595A" w:rsidRDefault="0062595A" w:rsidP="00C5530E">
      <w:pPr>
        <w:suppressAutoHyphens/>
        <w:adjustRightInd/>
        <w:spacing w:after="120"/>
        <w:jc w:val="both"/>
        <w:rPr>
          <w:rFonts w:eastAsia="MS Mincho"/>
          <w:sz w:val="22"/>
        </w:rPr>
      </w:pPr>
      <w:r w:rsidRPr="0062595A">
        <w:rPr>
          <w:rFonts w:eastAsia="MS Mincho"/>
          <w:sz w:val="22"/>
          <w:lang w:eastAsia="en-GB"/>
        </w:rPr>
        <w:t xml:space="preserve">Direct disaster response efforts included the strategic pre-positioning of ITU's emergency telecommunications equipment in multiple </w:t>
      </w:r>
      <w:r w:rsidRPr="0062595A">
        <w:rPr>
          <w:rFonts w:eastAsia="Calibri" w:cs="Calibri"/>
          <w:sz w:val="22"/>
          <w:szCs w:val="22"/>
        </w:rPr>
        <w:t>geographical locations to reduce response times following disasters. Pre-positioning sites include Dubai (at the WFP warehouse), serving the Arab States, Africa, and Asia–Pacific regions; Zimbabwe, serving the SADC Member States; and Barbados, covering the Americas and the Caribbean.</w:t>
      </w:r>
      <w:r w:rsidRPr="0062595A">
        <w:rPr>
          <w:rFonts w:eastAsia="MS Mincho"/>
          <w:sz w:val="22"/>
          <w:lang w:eastAsia="en-GB"/>
        </w:rPr>
        <w:t xml:space="preserve"> </w:t>
      </w:r>
      <w:r w:rsidRPr="0062595A">
        <w:rPr>
          <w:rFonts w:eastAsia="Calibri" w:cs="Calibri"/>
          <w:sz w:val="22"/>
          <w:szCs w:val="22"/>
        </w:rPr>
        <w:t xml:space="preserve">Since 2022, satellite communication equipment has been deployed to support emergency response operations in several countries, including Tonga following the eruption of the Hunga Tonga–Hunga </w:t>
      </w:r>
      <w:proofErr w:type="spellStart"/>
      <w:r w:rsidRPr="0062595A">
        <w:rPr>
          <w:rFonts w:eastAsia="Calibri" w:cs="Calibri"/>
          <w:sz w:val="22"/>
          <w:szCs w:val="22"/>
        </w:rPr>
        <w:t>Haʻapai</w:t>
      </w:r>
      <w:proofErr w:type="spellEnd"/>
      <w:r w:rsidRPr="0062595A">
        <w:rPr>
          <w:rFonts w:eastAsia="Calibri" w:cs="Calibri"/>
          <w:sz w:val="22"/>
          <w:szCs w:val="22"/>
        </w:rPr>
        <w:t xml:space="preserve"> volcano; Nicaragua after Hurricane Julia; Malawi and Mozambique in response to Cyclone Freddy and Cyclone Chido; Papua New Guinea following the eruption of Mount </w:t>
      </w:r>
      <w:proofErr w:type="spellStart"/>
      <w:r w:rsidRPr="0062595A">
        <w:rPr>
          <w:rFonts w:eastAsia="Calibri" w:cs="Calibri"/>
          <w:sz w:val="22"/>
          <w:szCs w:val="22"/>
        </w:rPr>
        <w:t>Bagana</w:t>
      </w:r>
      <w:proofErr w:type="spellEnd"/>
      <w:r w:rsidRPr="0062595A">
        <w:rPr>
          <w:rFonts w:eastAsia="Calibri" w:cs="Calibri"/>
          <w:sz w:val="22"/>
          <w:szCs w:val="22"/>
        </w:rPr>
        <w:t>; and Grenada, Saint Vincent and the Grenadines, and Jamaica in the aftermath of Hurricanes Beryl and Melissa.</w:t>
      </w:r>
    </w:p>
    <w:p w14:paraId="6CD1D8F6" w14:textId="77777777" w:rsidR="0062595A" w:rsidRPr="0062595A" w:rsidRDefault="0062595A" w:rsidP="00C5530E">
      <w:pPr>
        <w:suppressAutoHyphens/>
        <w:adjustRightInd/>
        <w:spacing w:after="120"/>
        <w:jc w:val="both"/>
        <w:rPr>
          <w:rFonts w:eastAsia="MS Mincho"/>
          <w:bCs/>
          <w:sz w:val="22"/>
          <w:szCs w:val="18"/>
          <w:lang w:eastAsia="en-GB"/>
        </w:rPr>
      </w:pPr>
      <w:r w:rsidRPr="0062595A">
        <w:rPr>
          <w:rFonts w:eastAsia="MS Mincho"/>
          <w:bCs/>
          <w:sz w:val="22"/>
          <w:szCs w:val="18"/>
          <w:lang w:eastAsia="en-GB"/>
        </w:rPr>
        <w:t>Training modules on emergency telecommunications were developed, with significant participation across various countries, helping ensure that disaster response is both structured and effective.</w:t>
      </w:r>
    </w:p>
    <w:p w14:paraId="497D5365" w14:textId="77777777" w:rsidR="0062595A" w:rsidRPr="0062595A" w:rsidRDefault="0062595A" w:rsidP="00C5530E">
      <w:pPr>
        <w:suppressAutoHyphens/>
        <w:adjustRightInd/>
        <w:spacing w:after="120"/>
        <w:jc w:val="both"/>
        <w:rPr>
          <w:rFonts w:eastAsia="MS Mincho"/>
          <w:bCs/>
          <w:sz w:val="22"/>
          <w:szCs w:val="18"/>
          <w:lang w:eastAsia="en-GB"/>
        </w:rPr>
      </w:pPr>
      <w:r w:rsidRPr="0062595A">
        <w:rPr>
          <w:rFonts w:eastAsia="MS Mincho"/>
          <w:bCs/>
          <w:sz w:val="22"/>
          <w:szCs w:val="18"/>
          <w:lang w:eastAsia="en-GB"/>
        </w:rPr>
        <w:t>During COP28, ITU together with GSMA launched the call to action to deploy cell broadcast and location-based SMS, many MNOs, including VEON, KDDI, Globe, Safaricom, Telefonica, MTN, and Axiata Group, have responded to the call and committed to utilizing digital connectivity to save lives.</w:t>
      </w:r>
    </w:p>
    <w:p w14:paraId="67F5379C" w14:textId="156E42E3" w:rsidR="0062595A" w:rsidRPr="0062595A" w:rsidRDefault="0062595A" w:rsidP="00C5530E">
      <w:pPr>
        <w:suppressAutoHyphens/>
        <w:adjustRightInd/>
        <w:spacing w:after="120"/>
        <w:jc w:val="both"/>
        <w:rPr>
          <w:rFonts w:eastAsia="MS Mincho"/>
          <w:bCs/>
          <w:sz w:val="22"/>
          <w:szCs w:val="18"/>
          <w:lang w:eastAsia="en-GB"/>
        </w:rPr>
      </w:pPr>
      <w:r w:rsidRPr="0062595A">
        <w:rPr>
          <w:rFonts w:eastAsia="MS Mincho"/>
          <w:bCs/>
          <w:sz w:val="22"/>
          <w:szCs w:val="18"/>
          <w:lang w:eastAsia="en-GB"/>
        </w:rPr>
        <w:t>ITU is also part of the Global Initiative on Resilience to Natural Hazards through AI Solutions, a collaborative effort led by various UN agencies, including ITU, UNEP, the UN Framework Convention on Climate Change (UNFCCC), the Universal Postal Union (UPU), and the World Meteorological Organization (WMO), to explore how AI can be effectively used in disaster management, providing expert guidance and support for research, innovation, and the development of standards.</w:t>
      </w:r>
    </w:p>
    <w:p w14:paraId="4563476B" w14:textId="180B7871" w:rsidR="0062595A" w:rsidRPr="0062595A" w:rsidRDefault="0062595A" w:rsidP="5F5FCC2B">
      <w:pPr>
        <w:suppressAutoHyphens/>
        <w:adjustRightInd/>
        <w:spacing w:before="240" w:after="120"/>
        <w:jc w:val="both"/>
        <w:rPr>
          <w:rFonts w:eastAsia="MS Mincho"/>
          <w:b/>
          <w:bCs/>
          <w:sz w:val="22"/>
          <w:szCs w:val="22"/>
          <w:lang w:eastAsia="en-GB"/>
        </w:rPr>
      </w:pPr>
      <w:r w:rsidRPr="5F5FCC2B">
        <w:rPr>
          <w:rFonts w:eastAsia="MS Mincho"/>
          <w:b/>
          <w:bCs/>
          <w:sz w:val="22"/>
          <w:szCs w:val="22"/>
          <w:lang w:eastAsia="en-GB"/>
        </w:rPr>
        <w:t xml:space="preserve">Digital </w:t>
      </w:r>
      <w:r w:rsidR="1AE28D24" w:rsidRPr="5F5FCC2B">
        <w:rPr>
          <w:rFonts w:eastAsia="MS Mincho"/>
          <w:b/>
          <w:bCs/>
          <w:sz w:val="22"/>
          <w:szCs w:val="22"/>
          <w:lang w:eastAsia="en-GB"/>
        </w:rPr>
        <w:t>t</w:t>
      </w:r>
      <w:r w:rsidRPr="5F5FCC2B">
        <w:rPr>
          <w:rFonts w:eastAsia="MS Mincho"/>
          <w:b/>
          <w:bCs/>
          <w:sz w:val="22"/>
          <w:szCs w:val="22"/>
          <w:lang w:eastAsia="en-GB"/>
        </w:rPr>
        <w:t xml:space="preserve">ransformation </w:t>
      </w:r>
      <w:r w:rsidR="5B6F96F2" w:rsidRPr="5F5FCC2B">
        <w:rPr>
          <w:rFonts w:eastAsia="MS Mincho"/>
          <w:b/>
          <w:bCs/>
          <w:sz w:val="22"/>
          <w:szCs w:val="22"/>
          <w:lang w:eastAsia="en-GB"/>
        </w:rPr>
        <w:t>e</w:t>
      </w:r>
      <w:r w:rsidRPr="5F5FCC2B">
        <w:rPr>
          <w:rFonts w:eastAsia="MS Mincho"/>
          <w:b/>
          <w:bCs/>
          <w:sz w:val="22"/>
          <w:szCs w:val="22"/>
          <w:lang w:eastAsia="en-GB"/>
        </w:rPr>
        <w:t xml:space="preserve">nabling </w:t>
      </w:r>
      <w:r w:rsidR="1AABB26C" w:rsidRPr="5F5FCC2B">
        <w:rPr>
          <w:rFonts w:eastAsia="MS Mincho"/>
          <w:b/>
          <w:bCs/>
          <w:sz w:val="22"/>
          <w:szCs w:val="22"/>
          <w:lang w:eastAsia="en-GB"/>
        </w:rPr>
        <w:t>s</w:t>
      </w:r>
      <w:r w:rsidRPr="5F5FCC2B">
        <w:rPr>
          <w:rFonts w:eastAsia="MS Mincho"/>
          <w:b/>
          <w:bCs/>
          <w:sz w:val="22"/>
          <w:szCs w:val="22"/>
          <w:lang w:eastAsia="en-GB"/>
        </w:rPr>
        <w:t xml:space="preserve">ustainable </w:t>
      </w:r>
      <w:r w:rsidR="1F0B02DE" w:rsidRPr="5F5FCC2B">
        <w:rPr>
          <w:rFonts w:eastAsia="MS Mincho"/>
          <w:b/>
          <w:bCs/>
          <w:sz w:val="22"/>
          <w:szCs w:val="22"/>
          <w:lang w:eastAsia="en-GB"/>
        </w:rPr>
        <w:t>c</w:t>
      </w:r>
      <w:r w:rsidRPr="5F5FCC2B">
        <w:rPr>
          <w:rFonts w:eastAsia="MS Mincho"/>
          <w:b/>
          <w:bCs/>
          <w:sz w:val="22"/>
          <w:szCs w:val="22"/>
          <w:lang w:eastAsia="en-GB"/>
        </w:rPr>
        <w:t>ities</w:t>
      </w:r>
    </w:p>
    <w:p w14:paraId="0CB7B55B" w14:textId="77777777" w:rsidR="0062595A" w:rsidRPr="0062595A" w:rsidRDefault="0062595A" w:rsidP="00C5530E">
      <w:pPr>
        <w:suppressAutoHyphens/>
        <w:adjustRightInd/>
        <w:spacing w:after="120"/>
        <w:jc w:val="both"/>
        <w:rPr>
          <w:rFonts w:eastAsia="MS Mincho"/>
          <w:bCs/>
          <w:sz w:val="22"/>
          <w:szCs w:val="18"/>
          <w:lang w:eastAsia="en-GB"/>
        </w:rPr>
      </w:pPr>
      <w:r w:rsidRPr="0062595A">
        <w:rPr>
          <w:rFonts w:eastAsia="MS Mincho"/>
          <w:bCs/>
          <w:sz w:val="22"/>
          <w:szCs w:val="18"/>
          <w:lang w:eastAsia="en-GB"/>
        </w:rPr>
        <w:t>ITU-T Study Group 20 made progress in smart city initiatives with the United for Smart Sustainable Cities (U4SSC) initiative, engaging over 250 cities in adopting performance indicators based on ITU standards. The focus has been on city governance and data integration to foster sustainable urban development.</w:t>
      </w:r>
    </w:p>
    <w:p w14:paraId="7EB52398" w14:textId="77777777" w:rsidR="0062595A" w:rsidRPr="0062595A" w:rsidRDefault="0062595A" w:rsidP="00C5530E">
      <w:pPr>
        <w:suppressAutoHyphens/>
        <w:adjustRightInd/>
        <w:spacing w:after="120"/>
        <w:jc w:val="both"/>
        <w:rPr>
          <w:rFonts w:eastAsia="MS Mincho"/>
          <w:bCs/>
          <w:sz w:val="22"/>
          <w:szCs w:val="18"/>
          <w:lang w:eastAsia="en-GB"/>
        </w:rPr>
      </w:pPr>
      <w:r w:rsidRPr="0062595A">
        <w:rPr>
          <w:rFonts w:eastAsia="MS Mincho"/>
          <w:bCs/>
          <w:sz w:val="22"/>
          <w:szCs w:val="18"/>
          <w:lang w:eastAsia="en-GB"/>
        </w:rPr>
        <w:t xml:space="preserve">ITU has produced several knowledge products through the initiative, including Guidelines for cities to achieve carbon Net Zero through digital transformation and a methodology to assess Net Zero progress in cities. </w:t>
      </w:r>
    </w:p>
    <w:p w14:paraId="06237FA0" w14:textId="79A6A17F" w:rsidR="0062595A" w:rsidRPr="0062595A" w:rsidRDefault="0062595A" w:rsidP="5F5FCC2B">
      <w:pPr>
        <w:suppressAutoHyphens/>
        <w:adjustRightInd/>
        <w:spacing w:before="240" w:after="120"/>
        <w:jc w:val="both"/>
        <w:rPr>
          <w:rFonts w:eastAsia="MS Mincho"/>
          <w:b/>
          <w:bCs/>
          <w:sz w:val="22"/>
          <w:szCs w:val="22"/>
          <w:lang w:eastAsia="en-GB"/>
        </w:rPr>
      </w:pPr>
      <w:r w:rsidRPr="5F5FCC2B">
        <w:rPr>
          <w:rFonts w:eastAsia="MS Mincho"/>
          <w:b/>
          <w:bCs/>
          <w:sz w:val="22"/>
          <w:szCs w:val="22"/>
          <w:lang w:eastAsia="en-GB"/>
        </w:rPr>
        <w:t xml:space="preserve">Climate </w:t>
      </w:r>
      <w:r w:rsidR="2FEDCFE0" w:rsidRPr="5F5FCC2B">
        <w:rPr>
          <w:rFonts w:eastAsia="MS Mincho"/>
          <w:b/>
          <w:bCs/>
          <w:sz w:val="22"/>
          <w:szCs w:val="22"/>
          <w:lang w:eastAsia="en-GB"/>
        </w:rPr>
        <w:t>c</w:t>
      </w:r>
      <w:r w:rsidRPr="5F5FCC2B">
        <w:rPr>
          <w:rFonts w:eastAsia="MS Mincho"/>
          <w:b/>
          <w:bCs/>
          <w:sz w:val="22"/>
          <w:szCs w:val="22"/>
          <w:lang w:eastAsia="en-GB"/>
        </w:rPr>
        <w:t xml:space="preserve">hange </w:t>
      </w:r>
      <w:r w:rsidR="25F28C3B" w:rsidRPr="5F5FCC2B">
        <w:rPr>
          <w:rFonts w:eastAsia="MS Mincho"/>
          <w:b/>
          <w:bCs/>
          <w:sz w:val="22"/>
          <w:szCs w:val="22"/>
          <w:lang w:eastAsia="en-GB"/>
        </w:rPr>
        <w:t>i</w:t>
      </w:r>
      <w:r w:rsidRPr="5F5FCC2B">
        <w:rPr>
          <w:rFonts w:eastAsia="MS Mincho"/>
          <w:b/>
          <w:bCs/>
          <w:sz w:val="22"/>
          <w:szCs w:val="22"/>
          <w:lang w:eastAsia="en-GB"/>
        </w:rPr>
        <w:t xml:space="preserve">nitiatives and </w:t>
      </w:r>
      <w:r w:rsidR="0023A5FC" w:rsidRPr="5F5FCC2B">
        <w:rPr>
          <w:rFonts w:eastAsia="MS Mincho"/>
          <w:b/>
          <w:bCs/>
          <w:sz w:val="22"/>
          <w:szCs w:val="22"/>
          <w:lang w:eastAsia="en-GB"/>
        </w:rPr>
        <w:t>c</w:t>
      </w:r>
      <w:r w:rsidRPr="5F5FCC2B">
        <w:rPr>
          <w:rFonts w:eastAsia="MS Mincho"/>
          <w:b/>
          <w:bCs/>
          <w:sz w:val="22"/>
          <w:szCs w:val="22"/>
          <w:lang w:eastAsia="en-GB"/>
        </w:rPr>
        <w:t>ollaboration</w:t>
      </w:r>
    </w:p>
    <w:p w14:paraId="106B3AE0" w14:textId="1AD2DE85" w:rsidR="00633767" w:rsidRPr="00E2036B" w:rsidRDefault="392F965C" w:rsidP="00E2036B">
      <w:pPr>
        <w:suppressAutoHyphens/>
        <w:adjustRightInd/>
        <w:spacing w:after="120"/>
        <w:jc w:val="both"/>
        <w:rPr>
          <w:rFonts w:eastAsia="SimSun" w:cs="Arial"/>
          <w:kern w:val="3"/>
          <w:sz w:val="22"/>
          <w:szCs w:val="22"/>
          <w:lang w:eastAsia="zh-CN"/>
        </w:rPr>
      </w:pPr>
      <w:r w:rsidRPr="00E2036B">
        <w:rPr>
          <w:rFonts w:eastAsia="SimSun" w:cs="Arial"/>
          <w:kern w:val="3"/>
          <w:sz w:val="22"/>
          <w:szCs w:val="22"/>
          <w:lang w:eastAsia="zh-CN"/>
        </w:rPr>
        <w:t>In response to</w:t>
      </w:r>
      <w:r w:rsidR="00633767" w:rsidRPr="00E2036B">
        <w:rPr>
          <w:rFonts w:eastAsia="SimSun" w:cs="Arial"/>
          <w:kern w:val="3"/>
          <w:sz w:val="22"/>
          <w:szCs w:val="22"/>
          <w:lang w:eastAsia="zh-CN"/>
        </w:rPr>
        <w:t xml:space="preserve"> climate change, ITU has made strides in studying energy consumption and greenhouse gas (GHG) emissions across the global tech sector.</w:t>
      </w:r>
      <w:r w:rsidR="00E2036B" w:rsidRPr="00E2036B">
        <w:rPr>
          <w:rFonts w:eastAsia="SimSun" w:cs="Arial"/>
          <w:kern w:val="3"/>
          <w:sz w:val="22"/>
          <w:szCs w:val="22"/>
          <w:lang w:eastAsia="zh-CN"/>
        </w:rPr>
        <w:t xml:space="preserve"> </w:t>
      </w:r>
      <w:r w:rsidR="1345BCF9" w:rsidRPr="00E2036B">
        <w:rPr>
          <w:rFonts w:eastAsia="SimSun" w:cs="Arial"/>
          <w:kern w:val="3"/>
          <w:sz w:val="22"/>
          <w:szCs w:val="22"/>
          <w:lang w:eastAsia="zh-CN"/>
        </w:rPr>
        <w:t>The annual</w:t>
      </w:r>
      <w:r w:rsidR="00E2036B" w:rsidRPr="00E2036B">
        <w:rPr>
          <w:rFonts w:eastAsia="SimSun" w:cs="Arial"/>
          <w:kern w:val="3"/>
          <w:sz w:val="22"/>
          <w:szCs w:val="22"/>
          <w:lang w:eastAsia="zh-CN"/>
        </w:rPr>
        <w:t xml:space="preserve"> "Greening Digital Companies" </w:t>
      </w:r>
      <w:r w:rsidR="56E0E947" w:rsidRPr="00E2036B">
        <w:rPr>
          <w:rFonts w:eastAsia="SimSun" w:cs="Arial"/>
          <w:kern w:val="3"/>
          <w:sz w:val="22"/>
          <w:szCs w:val="22"/>
          <w:lang w:eastAsia="zh-CN"/>
        </w:rPr>
        <w:t>report</w:t>
      </w:r>
      <w:r w:rsidR="00E2036B" w:rsidRPr="00E2036B">
        <w:rPr>
          <w:rFonts w:eastAsia="SimSun" w:cs="Arial"/>
          <w:kern w:val="3"/>
          <w:sz w:val="22"/>
          <w:szCs w:val="22"/>
          <w:lang w:eastAsia="zh-CN"/>
        </w:rPr>
        <w:t xml:space="preserve"> series and the associated new Greening Digital Dashboard</w:t>
      </w:r>
      <w:r w:rsidR="0B869C08" w:rsidRPr="00E2036B">
        <w:rPr>
          <w:rFonts w:eastAsia="SimSun" w:cs="Arial"/>
          <w:kern w:val="3"/>
          <w:sz w:val="22"/>
          <w:szCs w:val="22"/>
          <w:lang w:eastAsia="zh-CN"/>
        </w:rPr>
        <w:t xml:space="preserve"> enable analysis based on </w:t>
      </w:r>
      <w:r w:rsidR="00E2036B" w:rsidRPr="00E2036B">
        <w:rPr>
          <w:rFonts w:eastAsia="SimSun" w:cs="Arial"/>
          <w:kern w:val="3"/>
          <w:sz w:val="22"/>
          <w:szCs w:val="22"/>
          <w:lang w:eastAsia="zh-CN"/>
        </w:rPr>
        <w:t xml:space="preserve">the </w:t>
      </w:r>
      <w:r w:rsidR="2ED6C014" w:rsidRPr="00E2036B">
        <w:rPr>
          <w:rFonts w:eastAsia="SimSun" w:cs="Arial"/>
          <w:kern w:val="3"/>
          <w:sz w:val="22"/>
          <w:szCs w:val="22"/>
          <w:lang w:eastAsia="zh-CN"/>
        </w:rPr>
        <w:t xml:space="preserve">reported </w:t>
      </w:r>
      <w:r w:rsidR="00E2036B" w:rsidRPr="00E2036B">
        <w:rPr>
          <w:rFonts w:eastAsia="SimSun" w:cs="Arial"/>
          <w:kern w:val="3"/>
          <w:sz w:val="22"/>
          <w:szCs w:val="22"/>
          <w:lang w:eastAsia="zh-CN"/>
        </w:rPr>
        <w:t>GHG emissions and energy use of 200 digital companies.</w:t>
      </w:r>
    </w:p>
    <w:p w14:paraId="1455C2A6" w14:textId="77777777" w:rsidR="00E2036B" w:rsidRPr="00E2036B" w:rsidRDefault="00E2036B" w:rsidP="00E2036B">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E2036B">
        <w:rPr>
          <w:rFonts w:eastAsia="SimSun" w:cs="Arial"/>
          <w:kern w:val="3"/>
          <w:sz w:val="22"/>
          <w:szCs w:val="22"/>
          <w:lang w:eastAsia="zh-CN"/>
        </w:rPr>
        <w:t>Complementing this flagship series, two knowledge products were published in 2025 on the environmental footprint of the ICT sector: a joint publication with the World Bank, “</w:t>
      </w:r>
      <w:hyperlink r:id="rId482" w:history="1">
        <w:r w:rsidRPr="00E2036B">
          <w:rPr>
            <w:rFonts w:eastAsia="SimSun" w:cs="Arial"/>
            <w:color w:val="0563C1"/>
            <w:kern w:val="3"/>
            <w:sz w:val="22"/>
            <w:szCs w:val="22"/>
            <w:u w:val="single"/>
            <w:lang w:eastAsia="zh-CN"/>
          </w:rPr>
          <w:t>Measuring National ICT Sector Environmental Impact: ARCEP Case Study – France</w:t>
        </w:r>
      </w:hyperlink>
      <w:r w:rsidRPr="00E2036B">
        <w:rPr>
          <w:rFonts w:eastAsia="SimSun" w:cs="Arial"/>
          <w:kern w:val="3"/>
          <w:sz w:val="22"/>
          <w:szCs w:val="22"/>
          <w:lang w:eastAsia="zh-CN"/>
        </w:rPr>
        <w:t>”, and an “</w:t>
      </w:r>
      <w:hyperlink r:id="rId483" w:history="1">
        <w:r w:rsidRPr="00E2036B">
          <w:rPr>
            <w:rFonts w:eastAsia="SimSun" w:cs="Arial"/>
            <w:color w:val="0563C1"/>
            <w:kern w:val="3"/>
            <w:sz w:val="22"/>
            <w:szCs w:val="22"/>
            <w:u w:val="single"/>
            <w:lang w:eastAsia="zh-CN"/>
          </w:rPr>
          <w:t>ITU-</w:t>
        </w:r>
        <w:proofErr w:type="spellStart"/>
        <w:r w:rsidRPr="00E2036B">
          <w:rPr>
            <w:rFonts w:eastAsia="SimSun" w:cs="Arial"/>
            <w:color w:val="0563C1"/>
            <w:kern w:val="3"/>
            <w:sz w:val="22"/>
            <w:szCs w:val="22"/>
            <w:u w:val="single"/>
            <w:lang w:eastAsia="zh-CN"/>
          </w:rPr>
          <w:t>Resilio</w:t>
        </w:r>
        <w:proofErr w:type="spellEnd"/>
        <w:r w:rsidRPr="00E2036B">
          <w:rPr>
            <w:rFonts w:eastAsia="SimSun" w:cs="Arial"/>
            <w:color w:val="0563C1"/>
            <w:kern w:val="3"/>
            <w:sz w:val="22"/>
            <w:szCs w:val="22"/>
            <w:u w:val="single"/>
            <w:lang w:eastAsia="zh-CN"/>
          </w:rPr>
          <w:t xml:space="preserve"> White Paper on the Environmental impacts of the ICT sector in Switzerland</w:t>
        </w:r>
      </w:hyperlink>
      <w:r w:rsidRPr="00E2036B">
        <w:rPr>
          <w:rFonts w:eastAsia="SimSun" w:cs="Arial"/>
          <w:kern w:val="3"/>
          <w:sz w:val="22"/>
          <w:szCs w:val="22"/>
          <w:lang w:eastAsia="zh-CN"/>
        </w:rPr>
        <w:t>”. These outputs build on earlier ITU work, including the report “</w:t>
      </w:r>
      <w:hyperlink r:id="rId484" w:history="1">
        <w:r w:rsidRPr="00E2036B">
          <w:rPr>
            <w:rFonts w:eastAsia="SimSun" w:cs="Arial"/>
            <w:color w:val="0563C1"/>
            <w:kern w:val="3"/>
            <w:sz w:val="22"/>
            <w:szCs w:val="22"/>
            <w:u w:val="single"/>
            <w:lang w:eastAsia="zh-CN"/>
          </w:rPr>
          <w:t>Measuring the Emissions and Energy Footprint of the ICT Sector: Implications for Climate Action</w:t>
        </w:r>
      </w:hyperlink>
      <w:r w:rsidRPr="00E2036B">
        <w:rPr>
          <w:rFonts w:eastAsia="SimSun" w:cs="Arial"/>
          <w:kern w:val="3"/>
          <w:sz w:val="22"/>
          <w:szCs w:val="22"/>
          <w:lang w:eastAsia="zh-CN"/>
        </w:rPr>
        <w:t xml:space="preserve">”, jointly produced with the World Bank in 2023 to present a comprehensive analysis of the energy and emissions landscape across 30 countries and examines connectivity networks, data centres, and consumer devices, offering insights into the environmental impact of the ICT sector. </w:t>
      </w:r>
    </w:p>
    <w:p w14:paraId="616C45A1" w14:textId="67F67462" w:rsidR="00E2036B" w:rsidRPr="00E2036B" w:rsidRDefault="1D616F4F" w:rsidP="5F5FCC2B">
      <w:pPr>
        <w:suppressAutoHyphens/>
        <w:adjustRightInd/>
        <w:spacing w:after="120"/>
        <w:jc w:val="both"/>
        <w:rPr>
          <w:rFonts w:eastAsia="MS Mincho"/>
          <w:sz w:val="22"/>
          <w:szCs w:val="22"/>
          <w:lang w:eastAsia="en-GB"/>
        </w:rPr>
      </w:pPr>
      <w:r w:rsidRPr="00E2036B">
        <w:rPr>
          <w:rFonts w:eastAsia="SimSun" w:cs="Arial"/>
          <w:kern w:val="3"/>
          <w:sz w:val="22"/>
          <w:szCs w:val="22"/>
          <w:lang w:eastAsia="zh-CN"/>
        </w:rPr>
        <w:lastRenderedPageBreak/>
        <w:t>ITU has also developed guidance and tools t</w:t>
      </w:r>
      <w:r w:rsidR="00E2036B" w:rsidRPr="00E2036B">
        <w:rPr>
          <w:rFonts w:eastAsia="SimSun" w:cs="Arial"/>
          <w:kern w:val="3"/>
          <w:sz w:val="22"/>
          <w:szCs w:val="22"/>
          <w:lang w:eastAsia="zh-CN"/>
        </w:rPr>
        <w:t xml:space="preserve">o support key stakeholders in </w:t>
      </w:r>
      <w:r w:rsidR="55794096" w:rsidRPr="00E2036B">
        <w:rPr>
          <w:rFonts w:eastAsia="SimSun" w:cs="Arial"/>
          <w:kern w:val="3"/>
          <w:sz w:val="22"/>
          <w:szCs w:val="22"/>
          <w:lang w:eastAsia="zh-CN"/>
        </w:rPr>
        <w:t xml:space="preserve">enhancing </w:t>
      </w:r>
      <w:r w:rsidR="00E2036B" w:rsidRPr="00E2036B">
        <w:rPr>
          <w:rFonts w:eastAsia="SimSun" w:cs="Arial"/>
          <w:kern w:val="3"/>
          <w:sz w:val="22"/>
          <w:szCs w:val="22"/>
          <w:lang w:eastAsia="zh-CN"/>
        </w:rPr>
        <w:t>ICT contributions to climate and environment action.</w:t>
      </w:r>
    </w:p>
    <w:p w14:paraId="394482AC" w14:textId="46DC1936" w:rsidR="00E2036B" w:rsidRPr="00E2036B" w:rsidRDefault="65E2C03E" w:rsidP="5F5FCC2B">
      <w:pPr>
        <w:suppressAutoHyphens/>
        <w:adjustRightInd/>
        <w:spacing w:after="120"/>
        <w:jc w:val="both"/>
        <w:rPr>
          <w:rFonts w:eastAsia="MS Mincho"/>
          <w:sz w:val="22"/>
          <w:szCs w:val="22"/>
          <w:lang w:eastAsia="en-GB"/>
        </w:rPr>
      </w:pPr>
      <w:r w:rsidRPr="00E2036B">
        <w:rPr>
          <w:rFonts w:eastAsia="SimSun" w:cs="Arial"/>
          <w:kern w:val="3"/>
          <w:sz w:val="22"/>
          <w:szCs w:val="22"/>
          <w:lang w:eastAsia="zh-CN"/>
        </w:rPr>
        <w:t xml:space="preserve">The </w:t>
      </w:r>
      <w:r w:rsidR="00E2036B" w:rsidRPr="00E2036B">
        <w:rPr>
          <w:rFonts w:eastAsia="SimSun" w:cs="Arial"/>
          <w:kern w:val="3"/>
          <w:sz w:val="22"/>
          <w:szCs w:val="22"/>
          <w:lang w:eastAsia="zh-CN"/>
        </w:rPr>
        <w:t>“</w:t>
      </w:r>
      <w:hyperlink r:id="rId485" w:history="1">
        <w:r w:rsidR="00E2036B" w:rsidRPr="00E2036B">
          <w:rPr>
            <w:rFonts w:eastAsia="SimSun" w:cs="Arial"/>
            <w:color w:val="0563C1"/>
            <w:kern w:val="3"/>
            <w:sz w:val="22"/>
            <w:szCs w:val="22"/>
            <w:u w:val="single"/>
            <w:lang w:eastAsia="zh-CN"/>
          </w:rPr>
          <w:t>Scope 3 Guidance for Telecommunication Operators</w:t>
        </w:r>
      </w:hyperlink>
      <w:r w:rsidR="00E2036B" w:rsidRPr="00E2036B">
        <w:rPr>
          <w:rFonts w:eastAsia="SimSun" w:cs="Arial"/>
          <w:kern w:val="3"/>
          <w:sz w:val="22"/>
          <w:szCs w:val="22"/>
          <w:lang w:eastAsia="zh-CN"/>
        </w:rPr>
        <w:t xml:space="preserve">” developed by GSMA, </w:t>
      </w:r>
      <w:proofErr w:type="spellStart"/>
      <w:r w:rsidR="00E2036B" w:rsidRPr="00E2036B">
        <w:rPr>
          <w:rFonts w:eastAsia="SimSun" w:cs="Arial"/>
          <w:kern w:val="3"/>
          <w:sz w:val="22"/>
          <w:szCs w:val="22"/>
          <w:lang w:eastAsia="zh-CN"/>
        </w:rPr>
        <w:t>GeSI</w:t>
      </w:r>
      <w:proofErr w:type="spellEnd"/>
      <w:r w:rsidR="00E2036B" w:rsidRPr="00E2036B">
        <w:rPr>
          <w:rFonts w:eastAsia="SimSun" w:cs="Arial"/>
          <w:kern w:val="3"/>
          <w:sz w:val="22"/>
          <w:szCs w:val="22"/>
          <w:lang w:eastAsia="zh-CN"/>
        </w:rPr>
        <w:t xml:space="preserve"> and ITU aim to harmonize methods for assessing and reporting Scope 3 GHG emissions. Together with the World Bank, ITU produced a “</w:t>
      </w:r>
      <w:hyperlink r:id="rId486" w:history="1">
        <w:r w:rsidR="00E2036B" w:rsidRPr="00E2036B">
          <w:rPr>
            <w:rFonts w:eastAsia="Calibri" w:cs="Calibri"/>
            <w:color w:val="0563C1"/>
            <w:kern w:val="3"/>
            <w:sz w:val="22"/>
            <w:szCs w:val="22"/>
            <w:u w:val="single"/>
            <w:lang w:eastAsia="zh-CN"/>
          </w:rPr>
          <w:t>Green data centres: Towards a sustainable digital transformation – A practitioner’s guide</w:t>
        </w:r>
      </w:hyperlink>
      <w:r w:rsidR="00E2036B" w:rsidRPr="00E2036B">
        <w:rPr>
          <w:rFonts w:eastAsia="Calibri" w:cs="Calibri"/>
          <w:color w:val="000000"/>
          <w:kern w:val="3"/>
          <w:sz w:val="22"/>
          <w:szCs w:val="22"/>
          <w:lang w:eastAsia="zh-CN"/>
        </w:rPr>
        <w:t>” with an accompanying</w:t>
      </w:r>
      <w:r w:rsidR="00E2036B" w:rsidRPr="00E2036B">
        <w:rPr>
          <w:rFonts w:eastAsia="SimSun" w:cs="Arial"/>
          <w:kern w:val="3"/>
          <w:sz w:val="22"/>
          <w:szCs w:val="22"/>
          <w:lang w:eastAsia="zh-CN"/>
        </w:rPr>
        <w:t xml:space="preserve"> “</w:t>
      </w:r>
      <w:hyperlink r:id="rId487" w:history="1">
        <w:r w:rsidR="00E2036B" w:rsidRPr="00E2036B">
          <w:rPr>
            <w:rFonts w:eastAsia="SimSun" w:cs="Arial"/>
            <w:color w:val="0563C1"/>
            <w:kern w:val="3"/>
            <w:sz w:val="22"/>
            <w:szCs w:val="22"/>
            <w:u w:val="single"/>
            <w:lang w:eastAsia="zh-CN"/>
          </w:rPr>
          <w:t>Green Data Centres for Policy Makers</w:t>
        </w:r>
      </w:hyperlink>
      <w:r w:rsidR="00E2036B" w:rsidRPr="00E2036B">
        <w:rPr>
          <w:rFonts w:eastAsia="SimSun" w:cs="Arial"/>
          <w:kern w:val="3"/>
          <w:sz w:val="22"/>
          <w:szCs w:val="22"/>
          <w:lang w:eastAsia="zh-CN"/>
        </w:rPr>
        <w:t>” e-learning course to make data centres more sustainable, climate resilient, and policy ready through practical strategies, frameworks, and real-world examples.</w:t>
      </w:r>
    </w:p>
    <w:p w14:paraId="625A647B" w14:textId="73D6D0B9" w:rsidR="00E2036B" w:rsidRPr="00E2036B" w:rsidRDefault="00E2036B" w:rsidP="00E2036B">
      <w:pPr>
        <w:suppressAutoHyphens/>
        <w:adjustRightInd/>
        <w:spacing w:after="120"/>
        <w:jc w:val="both"/>
        <w:rPr>
          <w:rFonts w:eastAsia="MS Mincho"/>
          <w:bCs/>
          <w:sz w:val="22"/>
          <w:szCs w:val="22"/>
          <w:lang w:eastAsia="en-GB"/>
        </w:rPr>
      </w:pPr>
      <w:r w:rsidRPr="00E2036B">
        <w:rPr>
          <w:rFonts w:eastAsia="MS Mincho"/>
          <w:bCs/>
          <w:sz w:val="22"/>
          <w:szCs w:val="22"/>
          <w:lang w:eastAsia="en-GB"/>
        </w:rPr>
        <w:t>In November 2025, ITU published a new brief that takes stock of digital technologies references in 53 NDCs and highlights four national use cases demonstrating good practices for digital climate action.</w:t>
      </w:r>
    </w:p>
    <w:p w14:paraId="1AE3C4EA" w14:textId="706B604D" w:rsidR="0062595A" w:rsidRPr="0062595A" w:rsidRDefault="0062595A" w:rsidP="00E2036B">
      <w:pPr>
        <w:suppressAutoHyphens/>
        <w:adjustRightInd/>
        <w:spacing w:after="120"/>
        <w:jc w:val="both"/>
        <w:rPr>
          <w:rFonts w:eastAsia="MS Mincho"/>
          <w:bCs/>
          <w:sz w:val="22"/>
          <w:szCs w:val="18"/>
          <w:lang w:eastAsia="en-GB"/>
        </w:rPr>
      </w:pPr>
      <w:r w:rsidRPr="00E2036B">
        <w:rPr>
          <w:rFonts w:eastAsia="MS Mincho"/>
          <w:bCs/>
          <w:sz w:val="22"/>
          <w:szCs w:val="22"/>
          <w:lang w:eastAsia="en-GB"/>
        </w:rPr>
        <w:t>ITU has actively engaged in climate resilience through partnerships with like the United Nations Office for Disaster Risk Reduction (UNDRR), the World Meteorological Organization (WMO) and the International Federation of Red Cross and Red Crescent</w:t>
      </w:r>
      <w:r w:rsidRPr="0062595A">
        <w:rPr>
          <w:rFonts w:eastAsia="MS Mincho"/>
          <w:bCs/>
          <w:sz w:val="22"/>
          <w:szCs w:val="18"/>
          <w:lang w:eastAsia="en-GB"/>
        </w:rPr>
        <w:t xml:space="preserve"> Societies; as well as the WMO and the United Nations Environment Programme (UNEP) to leverage AI in disaster management. A comprehensive approach has been adopted whereby ITU collaborates with various international entities to ensure the allocation of radio spectrum for crucial meteorological services, enhancing communication during emergencies.</w:t>
      </w:r>
    </w:p>
    <w:p w14:paraId="15B280D9" w14:textId="44B19820" w:rsidR="0062595A" w:rsidRPr="0062595A" w:rsidRDefault="000A36C9" w:rsidP="00C5530E">
      <w:pPr>
        <w:suppressAutoHyphens/>
        <w:adjustRightInd/>
        <w:spacing w:after="120"/>
        <w:jc w:val="both"/>
        <w:rPr>
          <w:rFonts w:eastAsia="MS Mincho"/>
          <w:sz w:val="22"/>
        </w:rPr>
      </w:pPr>
      <w:r w:rsidRPr="000A36C9">
        <w:rPr>
          <w:rFonts w:eastAsia="MS Mincho"/>
          <w:sz w:val="22"/>
          <w:lang w:eastAsia="en-GB"/>
        </w:rPr>
        <w:t xml:space="preserve">Within the Green Digital Action initiative, ITU is also leading a thematic pillar to reduce ICT Sector GHG emissions through collaboration, robust accountability and transparent reporting. </w:t>
      </w:r>
      <w:r w:rsidR="0062595A" w:rsidRPr="0062595A">
        <w:rPr>
          <w:rFonts w:eastAsia="MS Mincho"/>
          <w:sz w:val="22"/>
          <w:lang w:eastAsia="en-GB"/>
        </w:rPr>
        <w:t xml:space="preserve">For information on the Green Digital Action </w:t>
      </w:r>
      <w:r w:rsidR="0062595A" w:rsidRPr="00327427">
        <w:rPr>
          <w:rFonts w:eastAsia="MS Mincho"/>
          <w:sz w:val="22"/>
          <w:lang w:eastAsia="en-GB"/>
        </w:rPr>
        <w:t xml:space="preserve">initiative see Section </w:t>
      </w:r>
      <w:hyperlink w:anchor="Section_5_5" w:history="1">
        <w:r w:rsidR="0062595A" w:rsidRPr="00CB4EBA">
          <w:rPr>
            <w:rStyle w:val="Hyperlink"/>
            <w:rFonts w:eastAsia="MS Mincho"/>
            <w:color w:val="0563C1"/>
            <w:sz w:val="22"/>
            <w:lang w:eastAsia="en-GB"/>
          </w:rPr>
          <w:t>5.5</w:t>
        </w:r>
      </w:hyperlink>
      <w:r w:rsidR="0062595A" w:rsidRPr="00327427">
        <w:rPr>
          <w:rFonts w:eastAsia="MS Mincho"/>
          <w:sz w:val="22"/>
          <w:lang w:eastAsia="en-GB"/>
        </w:rPr>
        <w:t xml:space="preserve"> below</w:t>
      </w:r>
      <w:r w:rsidR="0062595A" w:rsidRPr="0062595A">
        <w:rPr>
          <w:rFonts w:eastAsia="MS Mincho"/>
          <w:sz w:val="22"/>
          <w:lang w:eastAsia="en-GB"/>
        </w:rPr>
        <w:t xml:space="preserve">. </w:t>
      </w:r>
    </w:p>
    <w:p w14:paraId="7C05BEF9" w14:textId="727118FA" w:rsidR="0062595A" w:rsidRPr="0062595A" w:rsidRDefault="0062595A" w:rsidP="5F5FCC2B">
      <w:pPr>
        <w:keepNext/>
        <w:keepLines/>
        <w:suppressAutoHyphens/>
        <w:adjustRightInd/>
        <w:spacing w:before="240" w:after="120"/>
        <w:jc w:val="both"/>
        <w:rPr>
          <w:rFonts w:eastAsia="MS Mincho"/>
          <w:b/>
          <w:bCs/>
          <w:sz w:val="22"/>
          <w:szCs w:val="22"/>
          <w:lang w:eastAsia="en-GB"/>
        </w:rPr>
      </w:pPr>
      <w:r w:rsidRPr="5F5FCC2B">
        <w:rPr>
          <w:rFonts w:eastAsia="MS Mincho"/>
          <w:b/>
          <w:bCs/>
          <w:sz w:val="22"/>
          <w:szCs w:val="22"/>
          <w:lang w:eastAsia="en-GB"/>
        </w:rPr>
        <w:t xml:space="preserve">Sustainable AI </w:t>
      </w:r>
      <w:r w:rsidR="35360627" w:rsidRPr="5F5FCC2B">
        <w:rPr>
          <w:rFonts w:eastAsia="MS Mincho"/>
          <w:b/>
          <w:bCs/>
          <w:sz w:val="22"/>
          <w:szCs w:val="22"/>
          <w:lang w:eastAsia="en-GB"/>
        </w:rPr>
        <w:t>i</w:t>
      </w:r>
      <w:r w:rsidRPr="5F5FCC2B">
        <w:rPr>
          <w:rFonts w:eastAsia="MS Mincho"/>
          <w:b/>
          <w:bCs/>
          <w:sz w:val="22"/>
          <w:szCs w:val="22"/>
          <w:lang w:eastAsia="en-GB"/>
        </w:rPr>
        <w:t xml:space="preserve">nitiatives and </w:t>
      </w:r>
      <w:r w:rsidR="3FB9C5BD" w:rsidRPr="5F5FCC2B">
        <w:rPr>
          <w:rFonts w:eastAsia="MS Mincho"/>
          <w:b/>
          <w:bCs/>
          <w:sz w:val="22"/>
          <w:szCs w:val="22"/>
          <w:lang w:eastAsia="en-GB"/>
        </w:rPr>
        <w:t>c</w:t>
      </w:r>
      <w:r w:rsidRPr="5F5FCC2B">
        <w:rPr>
          <w:rFonts w:eastAsia="MS Mincho"/>
          <w:b/>
          <w:bCs/>
          <w:sz w:val="22"/>
          <w:szCs w:val="22"/>
          <w:lang w:eastAsia="en-GB"/>
        </w:rPr>
        <w:t xml:space="preserve">ollaboration </w:t>
      </w:r>
    </w:p>
    <w:p w14:paraId="069E0CC2" w14:textId="2DA34C75" w:rsidR="000A36C9" w:rsidRPr="000A36C9" w:rsidRDefault="000A36C9" w:rsidP="000A36C9">
      <w:pPr>
        <w:keepNext/>
        <w:keepLines/>
        <w:suppressAutoHyphens/>
        <w:adjustRightInd/>
        <w:spacing w:after="120"/>
        <w:jc w:val="both"/>
        <w:rPr>
          <w:rFonts w:eastAsia="MS Mincho"/>
          <w:bCs/>
          <w:sz w:val="22"/>
          <w:szCs w:val="18"/>
          <w:lang w:eastAsia="en-GB"/>
        </w:rPr>
      </w:pPr>
      <w:r w:rsidRPr="000A36C9">
        <w:rPr>
          <w:rFonts w:eastAsia="MS Mincho"/>
          <w:bCs/>
          <w:sz w:val="22"/>
          <w:szCs w:val="18"/>
          <w:lang w:eastAsia="en-GB"/>
        </w:rPr>
        <w:t>Under the Green Digital Action initiative’s thematic pillar on green computing, ITU has addressed the environmental implications of emerging technologies by reviewing existing approaches to assess their environmental impact. For artificial intelligence, this work is reflected in the 2025 report “</w:t>
      </w:r>
      <w:hyperlink r:id="rId488" w:history="1">
        <w:r w:rsidRPr="00CB4EBA">
          <w:rPr>
            <w:rStyle w:val="Hyperlink"/>
            <w:rFonts w:eastAsia="MS Mincho"/>
            <w:bCs/>
            <w:color w:val="0563C1"/>
            <w:sz w:val="22"/>
            <w:szCs w:val="18"/>
            <w:lang w:eastAsia="en-GB"/>
          </w:rPr>
          <w:t>Measuring what matters: How to assess AI’s environmental impact</w:t>
        </w:r>
      </w:hyperlink>
      <w:r w:rsidRPr="000A36C9">
        <w:rPr>
          <w:rFonts w:eastAsia="MS Mincho"/>
          <w:bCs/>
          <w:sz w:val="22"/>
          <w:szCs w:val="18"/>
          <w:lang w:eastAsia="en-GB"/>
        </w:rPr>
        <w:t xml:space="preserve">”. In parallel, ITU co created, in collaboration with </w:t>
      </w:r>
      <w:proofErr w:type="spellStart"/>
      <w:r w:rsidRPr="000A36C9">
        <w:rPr>
          <w:rFonts w:eastAsia="MS Mincho"/>
          <w:bCs/>
          <w:sz w:val="22"/>
          <w:szCs w:val="18"/>
          <w:lang w:eastAsia="en-GB"/>
        </w:rPr>
        <w:t>GoCodeGreen</w:t>
      </w:r>
      <w:proofErr w:type="spellEnd"/>
      <w:r w:rsidRPr="000A36C9">
        <w:rPr>
          <w:rFonts w:eastAsia="MS Mincho"/>
          <w:bCs/>
          <w:sz w:val="22"/>
          <w:szCs w:val="18"/>
          <w:lang w:eastAsia="en-GB"/>
        </w:rPr>
        <w:t xml:space="preserve">, an </w:t>
      </w:r>
      <w:hyperlink r:id="rId489" w:history="1">
        <w:r w:rsidRPr="00CB4EBA">
          <w:rPr>
            <w:rStyle w:val="Hyperlink"/>
            <w:rFonts w:eastAsia="MS Mincho"/>
            <w:bCs/>
            <w:color w:val="0563C1"/>
            <w:sz w:val="22"/>
            <w:szCs w:val="18"/>
            <w:lang w:eastAsia="en-GB"/>
          </w:rPr>
          <w:t>open-access repository compiling sustainable software practices</w:t>
        </w:r>
      </w:hyperlink>
      <w:r w:rsidRPr="000A36C9">
        <w:rPr>
          <w:rFonts w:eastAsia="MS Mincho"/>
          <w:bCs/>
          <w:sz w:val="22"/>
          <w:szCs w:val="18"/>
          <w:lang w:eastAsia="en-GB"/>
        </w:rPr>
        <w:t xml:space="preserve"> from around the world, supporting more environmentally responsible digital development.</w:t>
      </w:r>
    </w:p>
    <w:p w14:paraId="18E2537D" w14:textId="785C2B3E" w:rsidR="000A36C9" w:rsidRDefault="000A36C9" w:rsidP="000A36C9">
      <w:pPr>
        <w:keepNext/>
        <w:keepLines/>
        <w:suppressAutoHyphens/>
        <w:adjustRightInd/>
        <w:spacing w:after="120"/>
        <w:jc w:val="both"/>
        <w:rPr>
          <w:rFonts w:eastAsia="MS Mincho"/>
          <w:bCs/>
          <w:sz w:val="22"/>
          <w:szCs w:val="18"/>
          <w:lang w:eastAsia="en-GB"/>
        </w:rPr>
      </w:pPr>
      <w:r w:rsidRPr="000A36C9">
        <w:rPr>
          <w:rFonts w:eastAsia="MS Mincho"/>
          <w:bCs/>
          <w:sz w:val="22"/>
          <w:szCs w:val="18"/>
          <w:lang w:eastAsia="en-GB"/>
        </w:rPr>
        <w:t>On AI and environmental standards, a new standard had its first step of approval at the end of 2025 for Assessing the Environmental Impact of Artificial Intelligence systems.</w:t>
      </w:r>
    </w:p>
    <w:p w14:paraId="037C54DD" w14:textId="49032654" w:rsidR="0062595A" w:rsidRPr="0062595A" w:rsidRDefault="0062595A" w:rsidP="00C5530E">
      <w:pPr>
        <w:keepNext/>
        <w:keepLines/>
        <w:suppressAutoHyphens/>
        <w:adjustRightInd/>
        <w:spacing w:after="120"/>
        <w:jc w:val="both"/>
        <w:rPr>
          <w:rFonts w:eastAsia="MS Mincho"/>
          <w:bCs/>
          <w:sz w:val="22"/>
          <w:szCs w:val="18"/>
          <w:lang w:eastAsia="en-GB"/>
        </w:rPr>
      </w:pPr>
      <w:r w:rsidRPr="0062595A">
        <w:rPr>
          <w:rFonts w:eastAsia="MS Mincho"/>
          <w:bCs/>
          <w:sz w:val="22"/>
          <w:szCs w:val="18"/>
          <w:lang w:eastAsia="en-GB"/>
        </w:rPr>
        <w:t xml:space="preserve">ITU </w:t>
      </w:r>
      <w:r w:rsidR="000A36C9">
        <w:rPr>
          <w:rFonts w:eastAsia="MS Mincho"/>
          <w:bCs/>
          <w:sz w:val="22"/>
          <w:szCs w:val="18"/>
          <w:lang w:eastAsia="en-GB"/>
        </w:rPr>
        <w:t xml:space="preserve">also </w:t>
      </w:r>
      <w:r w:rsidRPr="0062595A">
        <w:rPr>
          <w:rFonts w:eastAsia="MS Mincho"/>
          <w:bCs/>
          <w:sz w:val="22"/>
          <w:szCs w:val="18"/>
          <w:lang w:eastAsia="en-GB"/>
        </w:rPr>
        <w:t xml:space="preserve">advances its work on responsible and sustainable artificial intelligence through various partnerships, including the Sustainable AI Coalition, convening a diverse network of governments, industry, academia and civil society to accelerate practical action. Through targeted dialogues and joint workstreams, the Coalition promoted shared approaches to assessing and reducing the environmental footprint of AI systems, while supporting transparency, measurement and good practices that can be adopted by stakeholders at different levels of capacity. </w:t>
      </w:r>
    </w:p>
    <w:p w14:paraId="7CEF4F0E" w14:textId="417FA34D" w:rsidR="0062595A" w:rsidRPr="0062595A" w:rsidRDefault="0062595A" w:rsidP="5F5FCC2B">
      <w:pPr>
        <w:suppressAutoHyphens/>
        <w:adjustRightInd/>
        <w:spacing w:before="240" w:after="120"/>
        <w:jc w:val="both"/>
        <w:rPr>
          <w:rFonts w:eastAsia="MS Mincho"/>
          <w:b/>
          <w:bCs/>
          <w:sz w:val="22"/>
          <w:szCs w:val="22"/>
          <w:lang w:eastAsia="en-GB"/>
        </w:rPr>
      </w:pPr>
      <w:r w:rsidRPr="5F5FCC2B">
        <w:rPr>
          <w:rFonts w:eastAsia="MS Mincho"/>
          <w:b/>
          <w:bCs/>
          <w:sz w:val="22"/>
          <w:szCs w:val="22"/>
          <w:lang w:eastAsia="en-GB"/>
        </w:rPr>
        <w:t xml:space="preserve">Circular </w:t>
      </w:r>
      <w:r w:rsidR="5EDF95F4" w:rsidRPr="5F5FCC2B">
        <w:rPr>
          <w:rFonts w:eastAsia="MS Mincho"/>
          <w:b/>
          <w:bCs/>
          <w:sz w:val="22"/>
          <w:szCs w:val="22"/>
          <w:lang w:eastAsia="en-GB"/>
        </w:rPr>
        <w:t>e</w:t>
      </w:r>
      <w:r w:rsidRPr="5F5FCC2B">
        <w:rPr>
          <w:rFonts w:eastAsia="MS Mincho"/>
          <w:b/>
          <w:bCs/>
          <w:sz w:val="22"/>
          <w:szCs w:val="22"/>
          <w:lang w:eastAsia="en-GB"/>
        </w:rPr>
        <w:t xml:space="preserve">conomy </w:t>
      </w:r>
      <w:r w:rsidR="3CCA5AD8" w:rsidRPr="5F5FCC2B">
        <w:rPr>
          <w:rFonts w:eastAsia="MS Mincho"/>
          <w:b/>
          <w:bCs/>
          <w:sz w:val="22"/>
          <w:szCs w:val="22"/>
          <w:lang w:eastAsia="en-GB"/>
        </w:rPr>
        <w:t>i</w:t>
      </w:r>
      <w:r w:rsidRPr="5F5FCC2B">
        <w:rPr>
          <w:rFonts w:eastAsia="MS Mincho"/>
          <w:b/>
          <w:bCs/>
          <w:sz w:val="22"/>
          <w:szCs w:val="22"/>
          <w:lang w:eastAsia="en-GB"/>
        </w:rPr>
        <w:t xml:space="preserve">nitiatives and </w:t>
      </w:r>
      <w:r w:rsidR="0BD4F576" w:rsidRPr="5F5FCC2B">
        <w:rPr>
          <w:rFonts w:eastAsia="MS Mincho"/>
          <w:b/>
          <w:bCs/>
          <w:sz w:val="22"/>
          <w:szCs w:val="22"/>
          <w:lang w:eastAsia="en-GB"/>
        </w:rPr>
        <w:t>c</w:t>
      </w:r>
      <w:r w:rsidRPr="5F5FCC2B">
        <w:rPr>
          <w:rFonts w:eastAsia="MS Mincho"/>
          <w:b/>
          <w:bCs/>
          <w:sz w:val="22"/>
          <w:szCs w:val="22"/>
          <w:lang w:eastAsia="en-GB"/>
        </w:rPr>
        <w:t>ollaboration</w:t>
      </w:r>
    </w:p>
    <w:p w14:paraId="03B8D9EE" w14:textId="77777777" w:rsidR="0062595A" w:rsidRPr="0062595A" w:rsidRDefault="0062595A" w:rsidP="00C5530E">
      <w:pPr>
        <w:suppressAutoHyphens/>
        <w:adjustRightInd/>
        <w:spacing w:after="120"/>
        <w:jc w:val="both"/>
        <w:rPr>
          <w:rFonts w:eastAsia="MS Mincho"/>
          <w:sz w:val="22"/>
          <w:lang w:eastAsia="en-GB"/>
        </w:rPr>
      </w:pPr>
      <w:r w:rsidRPr="0062595A">
        <w:rPr>
          <w:rFonts w:eastAsia="MS Mincho"/>
          <w:sz w:val="22"/>
          <w:lang w:eastAsia="en-GB"/>
        </w:rPr>
        <w:t xml:space="preserve">ITU strengthened its circular economy engagement on standardization through the Digitalization for Circular Economy initiative (D4CE), working with UN partners such as the UNEP One Planet Network and UNIDO, as well as a broad coalition of stakeholders to advance digital solutions that enable more sustainable consumption and production. Among the key workstreams, D4CE supported collaboration on digital product passports, promoting interoperability, data governance and user-relevant information that can improve circular approaches, reduce e-waste and enable more resource-efficient value chains. </w:t>
      </w:r>
    </w:p>
    <w:p w14:paraId="7407BCF2" w14:textId="22E57624" w:rsidR="0062595A" w:rsidRPr="0062595A" w:rsidRDefault="0062595A" w:rsidP="00AE7FA7">
      <w:pPr>
        <w:keepNext/>
        <w:keepLines/>
        <w:suppressAutoHyphens/>
        <w:adjustRightInd/>
        <w:spacing w:before="240" w:after="120"/>
        <w:jc w:val="both"/>
        <w:rPr>
          <w:rFonts w:eastAsia="MS Mincho"/>
          <w:b/>
          <w:bCs/>
          <w:sz w:val="22"/>
          <w:szCs w:val="22"/>
          <w:lang w:eastAsia="en-GB"/>
        </w:rPr>
      </w:pPr>
      <w:r w:rsidRPr="5F5FCC2B">
        <w:rPr>
          <w:rFonts w:eastAsia="MS Mincho"/>
          <w:b/>
          <w:bCs/>
          <w:sz w:val="22"/>
          <w:szCs w:val="22"/>
          <w:lang w:eastAsia="en-GB"/>
        </w:rPr>
        <w:lastRenderedPageBreak/>
        <w:t xml:space="preserve">Internal </w:t>
      </w:r>
      <w:r w:rsidR="54E67612" w:rsidRPr="5F5FCC2B">
        <w:rPr>
          <w:rFonts w:eastAsia="MS Mincho"/>
          <w:b/>
          <w:bCs/>
          <w:sz w:val="22"/>
          <w:szCs w:val="22"/>
          <w:lang w:eastAsia="en-GB"/>
        </w:rPr>
        <w:t>s</w:t>
      </w:r>
      <w:r w:rsidRPr="5F5FCC2B">
        <w:rPr>
          <w:rFonts w:eastAsia="MS Mincho"/>
          <w:b/>
          <w:bCs/>
          <w:sz w:val="22"/>
          <w:szCs w:val="22"/>
          <w:lang w:eastAsia="en-GB"/>
        </w:rPr>
        <w:t xml:space="preserve">ustainability </w:t>
      </w:r>
      <w:r w:rsidR="6997E516" w:rsidRPr="5F5FCC2B">
        <w:rPr>
          <w:rFonts w:eastAsia="MS Mincho"/>
          <w:b/>
          <w:bCs/>
          <w:sz w:val="22"/>
          <w:szCs w:val="22"/>
          <w:lang w:eastAsia="en-GB"/>
        </w:rPr>
        <w:t>i</w:t>
      </w:r>
      <w:r w:rsidRPr="5F5FCC2B">
        <w:rPr>
          <w:rFonts w:eastAsia="MS Mincho"/>
          <w:b/>
          <w:bCs/>
          <w:sz w:val="22"/>
          <w:szCs w:val="22"/>
          <w:lang w:eastAsia="en-GB"/>
        </w:rPr>
        <w:t>nitiatives</w:t>
      </w:r>
    </w:p>
    <w:p w14:paraId="67E877D6" w14:textId="61D04588" w:rsidR="0062595A" w:rsidRPr="0062595A" w:rsidRDefault="0062595A" w:rsidP="00AE7FA7">
      <w:pPr>
        <w:keepNext/>
        <w:keepLines/>
        <w:suppressAutoHyphens/>
        <w:adjustRightInd/>
        <w:spacing w:after="120"/>
        <w:jc w:val="both"/>
        <w:rPr>
          <w:rFonts w:eastAsia="MS Mincho"/>
          <w:sz w:val="22"/>
        </w:rPr>
      </w:pPr>
      <w:r w:rsidRPr="0062595A">
        <w:rPr>
          <w:rFonts w:eastAsia="MS Mincho"/>
          <w:bCs/>
          <w:sz w:val="22"/>
          <w:szCs w:val="18"/>
          <w:lang w:eastAsia="en-GB"/>
        </w:rPr>
        <w:t>Between 2022 and 2025, ITU operationalized its Environmental Management System in line with ISO</w:t>
      </w:r>
      <w:r w:rsidR="00D435EB">
        <w:rPr>
          <w:rFonts w:eastAsia="MS Mincho"/>
          <w:bCs/>
          <w:sz w:val="22"/>
          <w:szCs w:val="18"/>
          <w:lang w:eastAsia="en-GB"/>
        </w:rPr>
        <w:t> </w:t>
      </w:r>
      <w:r w:rsidRPr="0062595A">
        <w:rPr>
          <w:rFonts w:eastAsia="MS Mincho"/>
          <w:bCs/>
          <w:sz w:val="22"/>
          <w:szCs w:val="18"/>
          <w:lang w:eastAsia="en-GB"/>
        </w:rPr>
        <w:t>14001 and UN Greening the Blue requirements, establishing formal governance, organization-wide objectives, mandatory staff training, systematic environmental data monitoring, internal audits, and annual management reviews. This period marked the transition from policy intent to embedded practice, with environmental considerations progressively integrated into facilities management, events, travel, procurement, and ICT operations, providing a structured foundation for measurable greenhouse-gas reduction and long-term operational efficiencies.</w:t>
      </w:r>
    </w:p>
    <w:p w14:paraId="5C4A4A8C" w14:textId="77777777" w:rsidR="0062595A" w:rsidRPr="0062595A" w:rsidRDefault="0062595A" w:rsidP="004F28FD">
      <w:pPr>
        <w:keepNext/>
        <w:keepLines/>
        <w:tabs>
          <w:tab w:val="clear" w:pos="567"/>
        </w:tabs>
        <w:suppressAutoHyphens/>
        <w:adjustRightInd/>
        <w:spacing w:before="360" w:after="120"/>
        <w:ind w:left="567" w:hanging="567"/>
        <w:jc w:val="both"/>
        <w:outlineLvl w:val="1"/>
        <w:rPr>
          <w:rFonts w:eastAsia="MS Mincho"/>
          <w:b/>
        </w:rPr>
      </w:pPr>
      <w:bookmarkStart w:id="117" w:name="_5.5￼Partnerships_and_international"/>
      <w:bookmarkStart w:id="118" w:name="_Toc224288835"/>
      <w:bookmarkStart w:id="119" w:name="Section_5_5"/>
      <w:r w:rsidRPr="0062595A">
        <w:rPr>
          <w:rFonts w:eastAsia="MS Mincho"/>
          <w:b/>
        </w:rPr>
        <w:t>5.5</w:t>
      </w:r>
      <w:r w:rsidRPr="0062595A">
        <w:rPr>
          <w:rFonts w:eastAsia="MS Mincho"/>
          <w:b/>
        </w:rPr>
        <w:tab/>
        <w:t>Partnerships and international cooperation</w:t>
      </w:r>
      <w:bookmarkEnd w:id="117"/>
      <w:bookmarkEnd w:id="118"/>
      <w:bookmarkEnd w:id="119"/>
    </w:p>
    <w:p w14:paraId="291AB5BA"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Cooperation, resource-sharing and win-win arrangements that benefit governments, industry and users, are helping drive towards technology as a basic enabling service that benefits all. </w:t>
      </w:r>
      <w:r w:rsidRPr="0062595A">
        <w:rPr>
          <w:rFonts w:eastAsia="MS Mincho"/>
          <w:sz w:val="22"/>
          <w:szCs w:val="18"/>
        </w:rPr>
        <w:t>ITU has strengthened a broad ecosystem of strategic partnerships and initiatives to accelerate sustainable digital transformation and advance progress on the UN Sustainable Development Goals. Working with UN agencies, governments, the private sector, academia and civil society, ITU has focused on expanding meaningful connectivity, promoting inclusive and gender-responsive digital development, supporting innovative uses of AI and emerging technologies, and embedding sustainability and resilience into standards, infrastructures and services worldwide.</w:t>
      </w:r>
    </w:p>
    <w:p w14:paraId="00BA6462"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This section summarizes key partnerships over the period of this report.</w:t>
      </w:r>
    </w:p>
    <w:p w14:paraId="09A9C5D8" w14:textId="77777777" w:rsidR="0062595A" w:rsidRPr="0062595A" w:rsidRDefault="0062595A" w:rsidP="00C5530E">
      <w:pPr>
        <w:keepNext/>
        <w:suppressAutoHyphens/>
        <w:adjustRightInd/>
        <w:spacing w:before="240" w:after="120"/>
        <w:jc w:val="both"/>
        <w:rPr>
          <w:rFonts w:eastAsia="MS Mincho"/>
          <w:sz w:val="22"/>
        </w:rPr>
      </w:pPr>
      <w:r w:rsidRPr="0062595A">
        <w:rPr>
          <w:rFonts w:eastAsia="MS Mincho"/>
          <w:b/>
          <w:color w:val="000000"/>
          <w:sz w:val="22"/>
          <w:szCs w:val="22"/>
        </w:rPr>
        <w:t>Partner2Connect</w:t>
      </w:r>
    </w:p>
    <w:p w14:paraId="51179276" w14:textId="678CBB21" w:rsidR="0062595A" w:rsidRPr="0062595A" w:rsidRDefault="0062595A" w:rsidP="00C5530E">
      <w:pPr>
        <w:suppressAutoHyphens/>
        <w:adjustRightInd/>
        <w:spacing w:after="120"/>
        <w:jc w:val="both"/>
        <w:rPr>
          <w:rFonts w:eastAsia="MS Mincho"/>
          <w:sz w:val="22"/>
        </w:rPr>
      </w:pPr>
      <w:r w:rsidRPr="0062595A">
        <w:rPr>
          <w:rFonts w:eastAsia="MS Mincho"/>
          <w:sz w:val="22"/>
          <w:szCs w:val="18"/>
        </w:rPr>
        <w:t xml:space="preserve">The </w:t>
      </w:r>
      <w:hyperlink r:id="rId490" w:history="1">
        <w:r w:rsidRPr="00CB4EBA">
          <w:rPr>
            <w:rStyle w:val="Hyperlink"/>
            <w:rFonts w:eastAsia="MS Mincho"/>
            <w:color w:val="0563C1"/>
            <w:sz w:val="22"/>
            <w:szCs w:val="18"/>
          </w:rPr>
          <w:t>Partner2Connect Digital Coalition (P2C)</w:t>
        </w:r>
      </w:hyperlink>
      <w:r w:rsidR="00D435EB" w:rsidRPr="000A36C9">
        <w:t xml:space="preserve"> </w:t>
      </w:r>
      <w:r w:rsidRPr="0062595A">
        <w:rPr>
          <w:rFonts w:eastAsia="MS Mincho"/>
          <w:sz w:val="22"/>
          <w:szCs w:val="18"/>
        </w:rPr>
        <w:t>has evolved as a key</w:t>
      </w:r>
      <w:r w:rsidR="00D435EB">
        <w:rPr>
          <w:rFonts w:eastAsia="MS Mincho"/>
          <w:sz w:val="22"/>
          <w:szCs w:val="18"/>
        </w:rPr>
        <w:t xml:space="preserve"> </w:t>
      </w:r>
      <w:r w:rsidRPr="0062595A">
        <w:rPr>
          <w:rFonts w:eastAsia="MS Mincho"/>
          <w:sz w:val="22"/>
          <w:szCs w:val="18"/>
        </w:rPr>
        <w:t>ITU multistakeholder alliance. Launched in 2021 in close cooperation with the Office of the Secretary-General’s Envoy on Technology, the United Nations Office of the High Representative for the Least Developed Countries (UN-OHRLLS), and the UN Secretary-General’s Roadmap for Digital Cooperation, the platform mobilizes resources, partnerships, and commitments for achieving universal meaningful connectivity and sustainable digital transformation.</w:t>
      </w:r>
      <w:r w:rsidR="00D435EB">
        <w:rPr>
          <w:rFonts w:eastAsia="MS Mincho"/>
          <w:sz w:val="22"/>
          <w:szCs w:val="18"/>
        </w:rPr>
        <w:t xml:space="preserve"> </w:t>
      </w:r>
      <w:r w:rsidRPr="0062595A">
        <w:rPr>
          <w:rFonts w:eastAsia="MS Mincho"/>
          <w:sz w:val="22"/>
          <w:szCs w:val="18"/>
        </w:rPr>
        <w:t>P2C</w:t>
      </w:r>
      <w:r w:rsidR="00D435EB">
        <w:rPr>
          <w:rFonts w:eastAsia="MS Mincho"/>
          <w:sz w:val="22"/>
          <w:szCs w:val="18"/>
        </w:rPr>
        <w:t xml:space="preserve"> </w:t>
      </w:r>
      <w:r w:rsidRPr="0062595A">
        <w:rPr>
          <w:rFonts w:eastAsia="MS Mincho"/>
          <w:sz w:val="22"/>
          <w:szCs w:val="18"/>
        </w:rPr>
        <w:t>sessions took place at ITU’s Regional Development Forums,</w:t>
      </w:r>
      <w:r w:rsidR="00D435EB">
        <w:rPr>
          <w:rFonts w:eastAsia="MS Mincho"/>
          <w:sz w:val="22"/>
          <w:szCs w:val="18"/>
        </w:rPr>
        <w:t xml:space="preserve"> </w:t>
      </w:r>
      <w:r w:rsidRPr="0062595A">
        <w:rPr>
          <w:rFonts w:eastAsia="MS Mincho"/>
          <w:sz w:val="22"/>
          <w:szCs w:val="18"/>
        </w:rPr>
        <w:t>during WSIS and</w:t>
      </w:r>
      <w:r w:rsidR="00D435EB">
        <w:rPr>
          <w:rFonts w:eastAsia="MS Mincho"/>
          <w:sz w:val="22"/>
          <w:szCs w:val="18"/>
        </w:rPr>
        <w:t xml:space="preserve"> </w:t>
      </w:r>
      <w:r w:rsidRPr="0062595A">
        <w:rPr>
          <w:rFonts w:eastAsia="MS Mincho"/>
          <w:sz w:val="22"/>
          <w:szCs w:val="18"/>
        </w:rPr>
        <w:t xml:space="preserve">AI for Good sessions, as part of </w:t>
      </w:r>
      <w:proofErr w:type="spellStart"/>
      <w:r w:rsidRPr="0062595A">
        <w:rPr>
          <w:rFonts w:eastAsia="MS Mincho"/>
          <w:sz w:val="22"/>
          <w:szCs w:val="18"/>
        </w:rPr>
        <w:t>Digital@UNGA</w:t>
      </w:r>
      <w:proofErr w:type="spellEnd"/>
      <w:r w:rsidRPr="0062595A">
        <w:rPr>
          <w:rFonts w:eastAsia="MS Mincho"/>
          <w:sz w:val="22"/>
          <w:szCs w:val="18"/>
        </w:rPr>
        <w:t>, during the UN Conference on Landlocked Developing Countries (LLDC3), and as part of national</w:t>
      </w:r>
      <w:r w:rsidR="00D435EB">
        <w:rPr>
          <w:rFonts w:eastAsia="MS Mincho"/>
          <w:sz w:val="22"/>
          <w:szCs w:val="18"/>
        </w:rPr>
        <w:t xml:space="preserve"> </w:t>
      </w:r>
      <w:r w:rsidRPr="0062595A">
        <w:rPr>
          <w:rFonts w:eastAsia="MS Mincho"/>
          <w:sz w:val="22"/>
          <w:szCs w:val="18"/>
        </w:rPr>
        <w:t>matchmaking</w:t>
      </w:r>
      <w:r w:rsidR="00D435EB">
        <w:rPr>
          <w:rFonts w:eastAsia="MS Mincho"/>
          <w:sz w:val="22"/>
          <w:szCs w:val="18"/>
        </w:rPr>
        <w:t xml:space="preserve"> </w:t>
      </w:r>
      <w:r w:rsidRPr="0062595A">
        <w:rPr>
          <w:rFonts w:eastAsia="MS Mincho"/>
          <w:sz w:val="22"/>
          <w:szCs w:val="18"/>
        </w:rPr>
        <w:t>accelerators in the Caribbean, Guatemala and Jamaica, among</w:t>
      </w:r>
      <w:r w:rsidR="00D435EB">
        <w:rPr>
          <w:rFonts w:eastAsia="MS Mincho"/>
          <w:sz w:val="22"/>
          <w:szCs w:val="18"/>
        </w:rPr>
        <w:t xml:space="preserve"> </w:t>
      </w:r>
      <w:hyperlink r:id="rId491" w:history="1">
        <w:r w:rsidRPr="00CB4EBA">
          <w:rPr>
            <w:rStyle w:val="Hyperlink"/>
            <w:rFonts w:eastAsia="MS Mincho"/>
            <w:color w:val="0563C1"/>
            <w:sz w:val="22"/>
            <w:szCs w:val="18"/>
          </w:rPr>
          <w:t>other events</w:t>
        </w:r>
      </w:hyperlink>
      <w:r w:rsidRPr="00D435EB">
        <w:rPr>
          <w:rFonts w:eastAsia="MS Mincho"/>
          <w:sz w:val="22"/>
          <w:szCs w:val="18"/>
        </w:rPr>
        <w:t>.</w:t>
      </w:r>
      <w:r w:rsidR="00D435EB">
        <w:rPr>
          <w:rFonts w:eastAsia="MS Mincho"/>
          <w:sz w:val="22"/>
          <w:szCs w:val="18"/>
        </w:rPr>
        <w:t xml:space="preserve"> </w:t>
      </w:r>
      <w:r w:rsidRPr="0062595A">
        <w:rPr>
          <w:rFonts w:eastAsia="MS Mincho"/>
          <w:sz w:val="22"/>
          <w:szCs w:val="18"/>
        </w:rPr>
        <w:t>Numerous webinars and the Partner2Connect Annual Meeting in December 2025 further provided opportunities for announcements, reporting, and collaboration.</w:t>
      </w:r>
    </w:p>
    <w:p w14:paraId="105A978B" w14:textId="49DDD173" w:rsidR="0062595A" w:rsidRPr="0062595A" w:rsidRDefault="0062595A" w:rsidP="00C5530E">
      <w:pPr>
        <w:suppressAutoHyphens/>
        <w:adjustRightInd/>
        <w:spacing w:after="120"/>
        <w:jc w:val="both"/>
        <w:rPr>
          <w:rFonts w:eastAsia="MS Mincho"/>
          <w:sz w:val="22"/>
          <w:szCs w:val="18"/>
        </w:rPr>
      </w:pPr>
      <w:r w:rsidRPr="0062595A">
        <w:rPr>
          <w:rFonts w:eastAsia="MS Mincho"/>
          <w:sz w:val="22"/>
          <w:szCs w:val="18"/>
        </w:rPr>
        <w:t>Partner2Connect has now mobilized</w:t>
      </w:r>
      <w:r w:rsidR="00D435EB">
        <w:rPr>
          <w:rFonts w:eastAsia="MS Mincho"/>
          <w:sz w:val="22"/>
          <w:szCs w:val="18"/>
        </w:rPr>
        <w:t xml:space="preserve"> </w:t>
      </w:r>
      <w:r w:rsidRPr="0062595A">
        <w:rPr>
          <w:rFonts w:eastAsia="MS Mincho"/>
          <w:sz w:val="22"/>
          <w:szCs w:val="18"/>
        </w:rPr>
        <w:t>1</w:t>
      </w:r>
      <w:r w:rsidR="00D435EB">
        <w:rPr>
          <w:rFonts w:eastAsia="MS Mincho"/>
          <w:sz w:val="22"/>
          <w:szCs w:val="18"/>
        </w:rPr>
        <w:t> </w:t>
      </w:r>
      <w:r w:rsidRPr="0062595A">
        <w:rPr>
          <w:rFonts w:eastAsia="MS Mincho"/>
          <w:sz w:val="22"/>
          <w:szCs w:val="18"/>
        </w:rPr>
        <w:t>060 pledges from 492 entities across 149 countries, with a total value of</w:t>
      </w:r>
      <w:r w:rsidR="00D435EB">
        <w:rPr>
          <w:rFonts w:eastAsia="MS Mincho"/>
          <w:sz w:val="22"/>
          <w:szCs w:val="18"/>
        </w:rPr>
        <w:t xml:space="preserve"> </w:t>
      </w:r>
      <w:r w:rsidRPr="0062595A">
        <w:rPr>
          <w:rFonts w:eastAsia="MS Mincho"/>
          <w:sz w:val="22"/>
          <w:szCs w:val="18"/>
        </w:rPr>
        <w:t>USD 80.72 billion, including commitments from</w:t>
      </w:r>
      <w:r w:rsidR="00D435EB">
        <w:rPr>
          <w:rFonts w:eastAsia="MS Mincho"/>
          <w:sz w:val="22"/>
          <w:szCs w:val="18"/>
        </w:rPr>
        <w:t xml:space="preserve"> </w:t>
      </w:r>
      <w:r w:rsidRPr="0062595A">
        <w:rPr>
          <w:rFonts w:eastAsia="MS Mincho"/>
          <w:sz w:val="22"/>
          <w:szCs w:val="18"/>
        </w:rPr>
        <w:t>30 UN agencies. Today,</w:t>
      </w:r>
      <w:r w:rsidR="00D435EB">
        <w:rPr>
          <w:rFonts w:eastAsia="MS Mincho"/>
          <w:sz w:val="22"/>
          <w:szCs w:val="18"/>
        </w:rPr>
        <w:t xml:space="preserve"> </w:t>
      </w:r>
      <w:r w:rsidRPr="0062595A">
        <w:rPr>
          <w:rFonts w:eastAsia="MS Mincho"/>
          <w:sz w:val="22"/>
          <w:szCs w:val="18"/>
        </w:rPr>
        <w:t>50 per cent</w:t>
      </w:r>
      <w:r w:rsidR="00D435EB">
        <w:rPr>
          <w:rFonts w:eastAsia="MS Mincho"/>
          <w:sz w:val="22"/>
          <w:szCs w:val="18"/>
        </w:rPr>
        <w:t xml:space="preserve"> </w:t>
      </w:r>
      <w:r w:rsidRPr="0062595A">
        <w:rPr>
          <w:rFonts w:eastAsia="MS Mincho"/>
          <w:sz w:val="22"/>
          <w:szCs w:val="18"/>
        </w:rPr>
        <w:t>of participating entities</w:t>
      </w:r>
      <w:r w:rsidR="00D435EB">
        <w:rPr>
          <w:rFonts w:eastAsia="MS Mincho"/>
          <w:sz w:val="22"/>
          <w:szCs w:val="18"/>
        </w:rPr>
        <w:t xml:space="preserve"> </w:t>
      </w:r>
      <w:r w:rsidRPr="0062595A">
        <w:rPr>
          <w:rFonts w:eastAsia="MS Mincho"/>
          <w:sz w:val="22"/>
          <w:szCs w:val="18"/>
        </w:rPr>
        <w:t>have</w:t>
      </w:r>
      <w:r w:rsidR="00D435EB">
        <w:rPr>
          <w:rFonts w:eastAsia="MS Mincho"/>
          <w:sz w:val="22"/>
          <w:szCs w:val="18"/>
        </w:rPr>
        <w:t xml:space="preserve"> </w:t>
      </w:r>
      <w:r w:rsidRPr="0062595A">
        <w:rPr>
          <w:rFonts w:eastAsia="MS Mincho"/>
          <w:sz w:val="22"/>
          <w:szCs w:val="18"/>
        </w:rPr>
        <w:t>submitted</w:t>
      </w:r>
      <w:r w:rsidR="00D435EB">
        <w:rPr>
          <w:rFonts w:eastAsia="MS Mincho"/>
          <w:sz w:val="22"/>
          <w:szCs w:val="18"/>
        </w:rPr>
        <w:t xml:space="preserve"> </w:t>
      </w:r>
      <w:r w:rsidRPr="0062595A">
        <w:rPr>
          <w:rFonts w:eastAsia="MS Mincho"/>
          <w:sz w:val="22"/>
          <w:szCs w:val="18"/>
        </w:rPr>
        <w:t>progress reports, confirming that Partner2Connect is not only a platform for commitments, but also a mechanism for tracking implementation and impact on the ground. Annual meetings, targeted pledging campaigns, dashboards for tracking pledges and reports, and strengthened matchmaking features support partners in announcing and implementing commitments, particularly for LDCs, LLDCs, SIDS, and displaced populations. This work contributes to an ambitious programme aiming to mobilize</w:t>
      </w:r>
      <w:r w:rsidR="00D435EB">
        <w:rPr>
          <w:rFonts w:eastAsia="MS Mincho"/>
          <w:sz w:val="22"/>
          <w:szCs w:val="18"/>
        </w:rPr>
        <w:t xml:space="preserve"> </w:t>
      </w:r>
      <w:r w:rsidRPr="0062595A">
        <w:rPr>
          <w:rFonts w:eastAsia="MS Mincho"/>
          <w:sz w:val="22"/>
          <w:szCs w:val="18"/>
        </w:rPr>
        <w:t>USD 100 billion in pledges by the end of 2026.</w:t>
      </w:r>
      <w:r w:rsidR="00D435EB">
        <w:rPr>
          <w:rFonts w:eastAsia="MS Mincho"/>
          <w:sz w:val="22"/>
          <w:szCs w:val="18"/>
        </w:rPr>
        <w:t xml:space="preserve"> </w:t>
      </w:r>
      <w:r w:rsidRPr="0062595A">
        <w:rPr>
          <w:rFonts w:eastAsia="MS Mincho"/>
          <w:sz w:val="22"/>
          <w:szCs w:val="18"/>
        </w:rPr>
        <w:t xml:space="preserve">P2C is a 100 per cent extrabudgetary funded project, P2C is supported by the contributions of the P2C Champions, which is open to all ITU </w:t>
      </w:r>
      <w:r w:rsidR="00A53F39">
        <w:rPr>
          <w:rFonts w:eastAsia="MS Mincho"/>
          <w:sz w:val="22"/>
          <w:szCs w:val="18"/>
        </w:rPr>
        <w:t>m</w:t>
      </w:r>
      <w:r w:rsidRPr="0062595A">
        <w:rPr>
          <w:rFonts w:eastAsia="MS Mincho"/>
          <w:sz w:val="22"/>
          <w:szCs w:val="18"/>
        </w:rPr>
        <w:t xml:space="preserve">embership. As of December 2025, the P2C Champions are Amazon, Google, the Inter-American Development Bank, Microsoft, and ZTE. </w:t>
      </w:r>
    </w:p>
    <w:p w14:paraId="2F558158" w14:textId="77777777" w:rsidR="0062595A" w:rsidRPr="0062595A" w:rsidRDefault="0062595A" w:rsidP="005C1378">
      <w:pPr>
        <w:keepNext/>
        <w:keepLines/>
        <w:suppressAutoHyphens/>
        <w:adjustRightInd/>
        <w:spacing w:before="240" w:after="120"/>
        <w:jc w:val="both"/>
        <w:rPr>
          <w:rFonts w:eastAsia="MS Mincho"/>
          <w:b/>
          <w:bCs/>
          <w:sz w:val="22"/>
          <w:szCs w:val="18"/>
        </w:rPr>
      </w:pPr>
      <w:r w:rsidRPr="0062595A">
        <w:rPr>
          <w:rFonts w:eastAsia="MS Mincho"/>
          <w:b/>
          <w:bCs/>
          <w:sz w:val="22"/>
          <w:szCs w:val="18"/>
        </w:rPr>
        <w:lastRenderedPageBreak/>
        <w:t>Green Digital Action</w:t>
      </w:r>
    </w:p>
    <w:p w14:paraId="7E4FE289" w14:textId="77777777" w:rsidR="0062595A" w:rsidRPr="0062595A" w:rsidRDefault="0062595A" w:rsidP="005C1378">
      <w:pPr>
        <w:keepNext/>
        <w:keepLines/>
        <w:suppressAutoHyphens/>
        <w:adjustRightInd/>
        <w:spacing w:after="120"/>
        <w:jc w:val="both"/>
        <w:rPr>
          <w:rFonts w:eastAsia="MS Mincho"/>
          <w:sz w:val="22"/>
          <w:szCs w:val="18"/>
        </w:rPr>
      </w:pPr>
      <w:r w:rsidRPr="0062595A">
        <w:rPr>
          <w:rFonts w:eastAsia="MS Mincho"/>
          <w:sz w:val="22"/>
          <w:szCs w:val="18"/>
        </w:rPr>
        <w:t xml:space="preserve">The Green Digital Action initiative, launched at COP28 in 2023, as an ITU convened multistakeholder partnership with over 40 partners. Across </w:t>
      </w:r>
      <w:hyperlink r:id="rId492" w:history="1">
        <w:r w:rsidRPr="0062595A">
          <w:rPr>
            <w:rFonts w:eastAsia="MS Mincho"/>
            <w:color w:val="0563C1"/>
            <w:sz w:val="22"/>
            <w:szCs w:val="18"/>
            <w:u w:val="single"/>
          </w:rPr>
          <w:t>COP28</w:t>
        </w:r>
      </w:hyperlink>
      <w:r w:rsidRPr="0062595A">
        <w:rPr>
          <w:rFonts w:eastAsia="MS Mincho"/>
          <w:sz w:val="22"/>
          <w:szCs w:val="18"/>
        </w:rPr>
        <w:t xml:space="preserve">, </w:t>
      </w:r>
      <w:hyperlink r:id="rId493" w:history="1">
        <w:r w:rsidRPr="0062595A">
          <w:rPr>
            <w:rFonts w:eastAsia="MS Mincho"/>
            <w:color w:val="0563C1"/>
            <w:sz w:val="22"/>
            <w:szCs w:val="18"/>
            <w:u w:val="single"/>
          </w:rPr>
          <w:t>COP29</w:t>
        </w:r>
      </w:hyperlink>
      <w:r w:rsidRPr="0062595A">
        <w:rPr>
          <w:rFonts w:eastAsia="MS Mincho"/>
          <w:sz w:val="22"/>
          <w:szCs w:val="18"/>
        </w:rPr>
        <w:t xml:space="preserve">, and </w:t>
      </w:r>
      <w:hyperlink r:id="rId494" w:history="1">
        <w:r w:rsidRPr="0062595A">
          <w:rPr>
            <w:rFonts w:eastAsia="MS Mincho"/>
            <w:color w:val="0563C1"/>
            <w:sz w:val="22"/>
            <w:szCs w:val="18"/>
            <w:u w:val="single"/>
          </w:rPr>
          <w:t>COP30</w:t>
        </w:r>
      </w:hyperlink>
      <w:r w:rsidRPr="0062595A">
        <w:rPr>
          <w:rFonts w:eastAsia="MS Mincho"/>
          <w:sz w:val="22"/>
          <w:szCs w:val="18"/>
        </w:rPr>
        <w:t xml:space="preserve">, ITU worked with partners to convene and advance the </w:t>
      </w:r>
      <w:hyperlink r:id="rId495" w:history="1">
        <w:r w:rsidRPr="0062595A">
          <w:rPr>
            <w:rFonts w:eastAsia="MS Mincho"/>
            <w:color w:val="0563C1"/>
            <w:sz w:val="22"/>
            <w:szCs w:val="18"/>
            <w:u w:val="single"/>
          </w:rPr>
          <w:t>Green Digital Action</w:t>
        </w:r>
      </w:hyperlink>
      <w:r w:rsidRPr="0062595A">
        <w:rPr>
          <w:rFonts w:eastAsia="MS Mincho"/>
          <w:sz w:val="22"/>
          <w:szCs w:val="18"/>
        </w:rPr>
        <w:t xml:space="preserve"> track with over 80 sessions uniting governments, industry, civil society, UN agencies, and multilateral banks to promote digital technologies as a means to achieve global climate objectives. Through these coordinated efforts, ITU positioned digital policy, connectivity, and innovation as central enablers of climate mitigation, circularity, and resilience, emphasizing the need for a whole-of-ecosystem response to the climate crisis.</w:t>
      </w:r>
    </w:p>
    <w:p w14:paraId="59B28C3E" w14:textId="77777777" w:rsidR="0062595A" w:rsidRPr="00D435EB" w:rsidRDefault="0062595A" w:rsidP="00C5530E">
      <w:pPr>
        <w:suppressAutoHyphens/>
        <w:adjustRightInd/>
        <w:spacing w:after="120"/>
        <w:jc w:val="both"/>
        <w:rPr>
          <w:rFonts w:eastAsia="MS Mincho"/>
          <w:sz w:val="22"/>
          <w:szCs w:val="22"/>
        </w:rPr>
      </w:pPr>
      <w:r w:rsidRPr="0062595A">
        <w:rPr>
          <w:rFonts w:eastAsia="MS Mincho"/>
          <w:sz w:val="22"/>
          <w:szCs w:val="18"/>
        </w:rPr>
        <w:t xml:space="preserve">At COP30 in Belém, Brazil, the Green Digital Action track marked its third edition, following the historic </w:t>
      </w:r>
      <w:hyperlink r:id="rId496" w:history="1">
        <w:r w:rsidRPr="0062595A">
          <w:rPr>
            <w:rFonts w:eastAsia="MS Mincho"/>
            <w:color w:val="0563C1"/>
            <w:sz w:val="22"/>
            <w:szCs w:val="18"/>
            <w:u w:val="single"/>
          </w:rPr>
          <w:t>COP29 Declaration on Green Digital Action</w:t>
        </w:r>
      </w:hyperlink>
      <w:r w:rsidRPr="0062595A">
        <w:rPr>
          <w:rFonts w:eastAsia="MS Mincho"/>
          <w:sz w:val="22"/>
          <w:szCs w:val="18"/>
        </w:rPr>
        <w:t xml:space="preserve">, which received endorsements from over 80 countries and about 1 800 companies, organizations and other stakeholders. A landmark outcome is the creation of the </w:t>
      </w:r>
      <w:hyperlink r:id="rId497" w:history="1">
        <w:r w:rsidRPr="0062595A">
          <w:rPr>
            <w:rFonts w:eastAsia="MS Mincho"/>
            <w:color w:val="0563C1"/>
            <w:sz w:val="22"/>
            <w:szCs w:val="18"/>
            <w:u w:val="single"/>
          </w:rPr>
          <w:t>Green Digital Action Hub (GDA Hub)</w:t>
        </w:r>
      </w:hyperlink>
      <w:r w:rsidRPr="0062595A">
        <w:rPr>
          <w:rFonts w:eastAsia="MS Mincho"/>
          <w:sz w:val="22"/>
          <w:szCs w:val="18"/>
        </w:rPr>
        <w:t xml:space="preserve">, </w:t>
      </w:r>
      <w:r w:rsidRPr="00D435EB">
        <w:rPr>
          <w:rFonts w:eastAsia="MS Mincho"/>
          <w:sz w:val="22"/>
          <w:szCs w:val="22"/>
        </w:rPr>
        <w:t xml:space="preserve">announced as a legacy of COP30 and anchored in Brazil, which will serve as the nerve centre for coordinating digital climate solutions worldwide. Key objectives of the Hub include the operation of the newly launched </w:t>
      </w:r>
      <w:hyperlink r:id="rId498" w:history="1">
        <w:r w:rsidRPr="00D435EB">
          <w:rPr>
            <w:rFonts w:eastAsia="MS Mincho"/>
            <w:color w:val="0563C1"/>
            <w:sz w:val="22"/>
            <w:szCs w:val="22"/>
            <w:u w:val="single"/>
          </w:rPr>
          <w:t>AI Climate Institute</w:t>
        </w:r>
      </w:hyperlink>
      <w:r w:rsidRPr="00D435EB">
        <w:rPr>
          <w:rFonts w:eastAsia="MS Mincho"/>
          <w:sz w:val="22"/>
          <w:szCs w:val="22"/>
        </w:rPr>
        <w:t xml:space="preserve">, focused on building technological capabilities and fostering local innovation in developing countries so AI can effectively support climate mitigation and adaptation. </w:t>
      </w:r>
    </w:p>
    <w:p w14:paraId="31BB04B6" w14:textId="77777777" w:rsidR="0062595A" w:rsidRPr="00D435EB" w:rsidRDefault="0062595A" w:rsidP="00C5530E">
      <w:pPr>
        <w:suppressAutoHyphens/>
        <w:adjustRightInd/>
        <w:spacing w:after="120"/>
        <w:jc w:val="both"/>
        <w:rPr>
          <w:rFonts w:eastAsia="MS Mincho"/>
          <w:sz w:val="22"/>
          <w:szCs w:val="22"/>
        </w:rPr>
      </w:pPr>
      <w:r w:rsidRPr="00D435EB">
        <w:rPr>
          <w:rFonts w:eastAsia="MS Mincho"/>
          <w:sz w:val="22"/>
          <w:szCs w:val="22"/>
        </w:rPr>
        <w:t xml:space="preserve">The </w:t>
      </w:r>
      <w:hyperlink r:id="rId499" w:history="1">
        <w:r w:rsidRPr="00D435EB">
          <w:rPr>
            <w:rFonts w:eastAsia="MS Mincho"/>
            <w:color w:val="0563C1"/>
            <w:sz w:val="22"/>
            <w:szCs w:val="22"/>
            <w:u w:val="single"/>
          </w:rPr>
          <w:t>Green Digital Action Summit</w:t>
        </w:r>
      </w:hyperlink>
      <w:r w:rsidRPr="00D435EB">
        <w:rPr>
          <w:rFonts w:eastAsia="MS Mincho"/>
          <w:sz w:val="22"/>
          <w:szCs w:val="22"/>
        </w:rPr>
        <w:t>, co-hosted with the German Environment Agency, further intensified efforts by assessing progress since COP29 and driving collective action ahead of COP30. The summit gathered almost 50 speakers, 8 panels, 4 keynotes, 3 fireside chats and 1 digital art presentation.</w:t>
      </w:r>
    </w:p>
    <w:p w14:paraId="6EB079F4" w14:textId="77777777" w:rsidR="0062595A" w:rsidRDefault="0062595A" w:rsidP="00C5530E">
      <w:pPr>
        <w:suppressAutoHyphens/>
        <w:adjustRightInd/>
        <w:spacing w:after="120"/>
        <w:jc w:val="both"/>
        <w:rPr>
          <w:rFonts w:eastAsia="MS Mincho"/>
          <w:sz w:val="22"/>
          <w:szCs w:val="18"/>
        </w:rPr>
      </w:pPr>
      <w:r w:rsidRPr="00D435EB">
        <w:rPr>
          <w:rFonts w:eastAsia="MS Mincho"/>
          <w:sz w:val="22"/>
          <w:szCs w:val="22"/>
        </w:rPr>
        <w:t xml:space="preserve">The initiative continues to strengthen a global ecosystem of </w:t>
      </w:r>
      <w:hyperlink r:id="rId500" w:history="1">
        <w:r w:rsidRPr="00D435EB">
          <w:rPr>
            <w:rFonts w:eastAsia="MS Mincho"/>
            <w:color w:val="0563C1"/>
            <w:sz w:val="22"/>
            <w:szCs w:val="22"/>
            <w:u w:val="single"/>
          </w:rPr>
          <w:t>partners</w:t>
        </w:r>
      </w:hyperlink>
      <w:r w:rsidRPr="00D435EB">
        <w:rPr>
          <w:rFonts w:eastAsia="MS Mincho"/>
          <w:sz w:val="22"/>
          <w:szCs w:val="22"/>
        </w:rPr>
        <w:t xml:space="preserve"> and </w:t>
      </w:r>
      <w:hyperlink r:id="rId501" w:history="1">
        <w:r w:rsidRPr="00D435EB">
          <w:rPr>
            <w:rFonts w:eastAsia="MS Mincho"/>
            <w:color w:val="0563C1"/>
            <w:sz w:val="22"/>
            <w:szCs w:val="22"/>
            <w:u w:val="single"/>
          </w:rPr>
          <w:t>commitments</w:t>
        </w:r>
      </w:hyperlink>
      <w:r w:rsidRPr="00D435EB">
        <w:rPr>
          <w:rFonts w:eastAsia="MS Mincho"/>
          <w:sz w:val="22"/>
          <w:szCs w:val="22"/>
        </w:rPr>
        <w:t xml:space="preserve">, with industry, governments, and organizations working together to promote sustainable digital transformation and accelerate progress toward net-zero. Community </w:t>
      </w:r>
      <w:hyperlink r:id="rId502" w:history="1">
        <w:r w:rsidRPr="00D435EB">
          <w:rPr>
            <w:rFonts w:eastAsia="MS Mincho"/>
            <w:color w:val="0563C1"/>
            <w:sz w:val="22"/>
            <w:szCs w:val="22"/>
            <w:u w:val="single"/>
          </w:rPr>
          <w:t>events,</w:t>
        </w:r>
      </w:hyperlink>
      <w:r w:rsidRPr="00D435EB">
        <w:rPr>
          <w:rFonts w:eastAsia="MS Mincho"/>
          <w:sz w:val="22"/>
          <w:szCs w:val="22"/>
        </w:rPr>
        <w:t xml:space="preserve"> digital climate solution exchanges, and a growing body of ITU publications support knowledge-sharing and innovation across sectors. With partners spanning the tech industry, international</w:t>
      </w:r>
      <w:r w:rsidRPr="0062595A">
        <w:rPr>
          <w:rFonts w:eastAsia="MS Mincho"/>
          <w:sz w:val="22"/>
          <w:szCs w:val="18"/>
        </w:rPr>
        <w:t xml:space="preserve"> organizations, policymakers, and civil society, Green Digital Action stands as a cornerstone for harnessing digital technologies to address climate change, laying the foundation for a sustainable and inclusive digital future for all.</w:t>
      </w:r>
    </w:p>
    <w:p w14:paraId="4C4FDB8E" w14:textId="7283023F" w:rsidR="00564442" w:rsidRPr="0062595A" w:rsidRDefault="00564442" w:rsidP="00CB4EBA">
      <w:pPr>
        <w:suppressAutoHyphens/>
        <w:adjustRightInd/>
        <w:spacing w:after="120"/>
        <w:jc w:val="both"/>
        <w:rPr>
          <w:rFonts w:eastAsia="MS Mincho"/>
          <w:sz w:val="22"/>
        </w:rPr>
      </w:pPr>
      <w:r w:rsidRPr="00564442">
        <w:rPr>
          <w:rFonts w:eastAsia="MS Mincho"/>
          <w:sz w:val="22"/>
        </w:rPr>
        <w:t xml:space="preserve">For more </w:t>
      </w:r>
      <w:r w:rsidRPr="00564442">
        <w:rPr>
          <w:rFonts w:eastAsia="MS Mincho"/>
          <w:sz w:val="22"/>
        </w:rPr>
        <w:t xml:space="preserve">information on the thematic pillar work under the Green Digital Action see section </w:t>
      </w:r>
      <w:hyperlink w:anchor="Section_5_4" w:history="1">
        <w:r w:rsidRPr="00564442">
          <w:rPr>
            <w:rStyle w:val="Hyperlink"/>
            <w:rFonts w:eastAsia="MS Mincho"/>
            <w:sz w:val="22"/>
          </w:rPr>
          <w:t>5.4</w:t>
        </w:r>
      </w:hyperlink>
      <w:r w:rsidRPr="00564442">
        <w:rPr>
          <w:rFonts w:eastAsia="MS Mincho"/>
          <w:sz w:val="22"/>
        </w:rPr>
        <w:t xml:space="preserve"> above.</w:t>
      </w:r>
    </w:p>
    <w:p w14:paraId="4F0E1140" w14:textId="32B088AC" w:rsidR="0062595A" w:rsidRPr="0062595A" w:rsidRDefault="0062595A" w:rsidP="00CB4EBA">
      <w:pPr>
        <w:suppressAutoHyphens/>
        <w:adjustRightInd/>
        <w:spacing w:before="240" w:after="120"/>
        <w:jc w:val="both"/>
        <w:rPr>
          <w:rFonts w:eastAsia="MS Mincho"/>
          <w:b/>
          <w:bCs/>
          <w:sz w:val="22"/>
          <w:szCs w:val="22"/>
        </w:rPr>
      </w:pPr>
      <w:proofErr w:type="spellStart"/>
      <w:r w:rsidRPr="181B6A0C">
        <w:rPr>
          <w:rFonts w:eastAsia="MS Mincho"/>
          <w:b/>
          <w:bCs/>
          <w:sz w:val="22"/>
          <w:szCs w:val="22"/>
        </w:rPr>
        <w:t>Digital</w:t>
      </w:r>
      <w:r w:rsidR="7FC4EDCB" w:rsidRPr="181B6A0C">
        <w:rPr>
          <w:rFonts w:eastAsia="MS Mincho"/>
          <w:b/>
          <w:bCs/>
          <w:sz w:val="22"/>
          <w:szCs w:val="22"/>
        </w:rPr>
        <w:t>@UNGA</w:t>
      </w:r>
      <w:proofErr w:type="spellEnd"/>
    </w:p>
    <w:p w14:paraId="69B8B0E5" w14:textId="3C98493A" w:rsidR="0062595A" w:rsidRPr="00AE7FA7" w:rsidRDefault="0062595A" w:rsidP="00CB4EBA">
      <w:pPr>
        <w:suppressAutoHyphens/>
        <w:adjustRightInd/>
        <w:spacing w:after="120"/>
        <w:jc w:val="both"/>
        <w:rPr>
          <w:rFonts w:eastAsia="MS Mincho"/>
          <w:sz w:val="22"/>
          <w:szCs w:val="22"/>
        </w:rPr>
      </w:pPr>
      <w:r w:rsidRPr="0062595A">
        <w:rPr>
          <w:rFonts w:eastAsia="MS Mincho"/>
          <w:sz w:val="22"/>
          <w:szCs w:val="18"/>
        </w:rPr>
        <w:t xml:space="preserve">To highlight digital solutions that can accelerate progress towards the 2030 Agenda, ITU and UNDP have </w:t>
      </w:r>
      <w:r w:rsidRPr="00AE7FA7">
        <w:rPr>
          <w:rFonts w:eastAsia="MS Mincho"/>
          <w:sz w:val="22"/>
          <w:szCs w:val="22"/>
        </w:rPr>
        <w:t xml:space="preserve">convened major digital development events at UN Headquarters in New York under the themes of SDG Digital and </w:t>
      </w:r>
      <w:hyperlink r:id="rId503" w:history="1">
        <w:proofErr w:type="spellStart"/>
        <w:r w:rsidR="00AC17A6" w:rsidRPr="00AE7FA7">
          <w:rPr>
            <w:rStyle w:val="Hyperlink"/>
            <w:rFonts w:eastAsia="MS Mincho"/>
            <w:color w:val="0563C1"/>
            <w:sz w:val="22"/>
            <w:szCs w:val="22"/>
          </w:rPr>
          <w:t>Digital@UNGA</w:t>
        </w:r>
        <w:proofErr w:type="spellEnd"/>
      </w:hyperlink>
      <w:r w:rsidRPr="00AE7FA7">
        <w:rPr>
          <w:rFonts w:eastAsia="MS Mincho"/>
          <w:sz w:val="22"/>
          <w:szCs w:val="22"/>
        </w:rPr>
        <w:t xml:space="preserve">. The </w:t>
      </w:r>
      <w:hyperlink r:id="rId504" w:history="1">
        <w:r w:rsidRPr="00AE7FA7">
          <w:rPr>
            <w:rStyle w:val="Hyperlink"/>
            <w:rFonts w:eastAsia="MS Mincho"/>
            <w:sz w:val="22"/>
            <w:szCs w:val="22"/>
          </w:rPr>
          <w:t>2023 edition,</w:t>
        </w:r>
      </w:hyperlink>
      <w:r w:rsidRPr="00AE7FA7">
        <w:rPr>
          <w:rFonts w:eastAsia="MS Mincho"/>
          <w:sz w:val="22"/>
          <w:szCs w:val="22"/>
        </w:rPr>
        <w:t xml:space="preserve"> held as part of the SDG Action Weekend, and the </w:t>
      </w:r>
      <w:hyperlink r:id="rId505" w:history="1">
        <w:r w:rsidRPr="00AE7FA7">
          <w:rPr>
            <w:rFonts w:eastAsia="MS Mincho"/>
            <w:color w:val="0563C1"/>
            <w:sz w:val="22"/>
            <w:szCs w:val="22"/>
            <w:u w:val="single"/>
          </w:rPr>
          <w:t>2024 edition</w:t>
        </w:r>
      </w:hyperlink>
      <w:r w:rsidRPr="00AE7FA7">
        <w:rPr>
          <w:rFonts w:eastAsia="MS Mincho"/>
          <w:sz w:val="22"/>
          <w:szCs w:val="22"/>
        </w:rPr>
        <w:t>, held ahead of the UN General Assembly and the Summit of the Future, showcased scalable digital initiatives and emphasized the essential role of digital in advancing the 2030 Agenda.</w:t>
      </w:r>
    </w:p>
    <w:p w14:paraId="6D674091" w14:textId="69DC0CA4" w:rsidR="0062595A" w:rsidRPr="0062595A" w:rsidRDefault="0062595A" w:rsidP="00CB4EBA">
      <w:pPr>
        <w:suppressAutoHyphens/>
        <w:adjustRightInd/>
        <w:spacing w:after="120"/>
        <w:jc w:val="both"/>
        <w:rPr>
          <w:rFonts w:eastAsia="MS Mincho"/>
          <w:sz w:val="22"/>
        </w:rPr>
      </w:pPr>
      <w:r w:rsidRPr="00AE7FA7">
        <w:rPr>
          <w:rFonts w:eastAsia="MS Mincho"/>
          <w:sz w:val="22"/>
          <w:szCs w:val="22"/>
        </w:rPr>
        <w:t xml:space="preserve">In 2025, to highlight the ever increasing importance of digital on all areas of development, </w:t>
      </w:r>
      <w:hyperlink r:id="rId506" w:history="1">
        <w:proofErr w:type="spellStart"/>
        <w:r w:rsidRPr="00AE7FA7">
          <w:rPr>
            <w:rStyle w:val="Hyperlink"/>
            <w:rFonts w:eastAsia="MS Mincho"/>
            <w:color w:val="0563C1"/>
            <w:sz w:val="22"/>
            <w:szCs w:val="22"/>
          </w:rPr>
          <w:t>Digital@UNGA</w:t>
        </w:r>
        <w:proofErr w:type="spellEnd"/>
      </w:hyperlink>
      <w:r w:rsidR="00D435EB" w:rsidRPr="00AE7FA7">
        <w:rPr>
          <w:sz w:val="22"/>
          <w:szCs w:val="22"/>
        </w:rPr>
        <w:t xml:space="preserve"> </w:t>
      </w:r>
      <w:r w:rsidRPr="00AE7FA7">
        <w:rPr>
          <w:rFonts w:eastAsia="MS Mincho"/>
          <w:sz w:val="22"/>
          <w:szCs w:val="22"/>
        </w:rPr>
        <w:t xml:space="preserve">took this legacy forward by elevating, showcasing, and celebrating digital innovation during the United Nations General Assembly in September. In addition to an anchor event co-hosted by ITU and UNDP, the </w:t>
      </w:r>
      <w:proofErr w:type="spellStart"/>
      <w:r w:rsidRPr="00AE7FA7">
        <w:rPr>
          <w:rFonts w:eastAsia="MS Mincho"/>
          <w:sz w:val="22"/>
          <w:szCs w:val="22"/>
        </w:rPr>
        <w:t>Digital@UNGA</w:t>
      </w:r>
      <w:proofErr w:type="spellEnd"/>
      <w:r w:rsidRPr="00AE7FA7">
        <w:rPr>
          <w:rFonts w:eastAsia="MS Mincho"/>
          <w:sz w:val="22"/>
          <w:szCs w:val="22"/>
        </w:rPr>
        <w:t xml:space="preserve"> programme also featured 46 affiliate sessions led by more than 80 organizations, significantly expanding ITU’s each and impact during UN High-Level Week. A special edition of </w:t>
      </w:r>
      <w:proofErr w:type="spellStart"/>
      <w:r w:rsidRPr="00AE7FA7">
        <w:rPr>
          <w:rFonts w:eastAsia="MS Mincho"/>
          <w:sz w:val="22"/>
          <w:szCs w:val="22"/>
        </w:rPr>
        <w:t>Digital@UNGA</w:t>
      </w:r>
      <w:proofErr w:type="spellEnd"/>
      <w:r w:rsidRPr="00AE7FA7">
        <w:rPr>
          <w:rFonts w:eastAsia="MS Mincho"/>
          <w:sz w:val="22"/>
          <w:szCs w:val="22"/>
        </w:rPr>
        <w:t xml:space="preserve">, called the </w:t>
      </w:r>
      <w:proofErr w:type="spellStart"/>
      <w:r w:rsidRPr="00AE7FA7">
        <w:rPr>
          <w:rFonts w:eastAsia="MS Mincho"/>
          <w:sz w:val="22"/>
          <w:szCs w:val="22"/>
        </w:rPr>
        <w:t>Digital@UNGA</w:t>
      </w:r>
      <w:proofErr w:type="spellEnd"/>
      <w:r w:rsidRPr="00AE7FA7">
        <w:rPr>
          <w:rFonts w:eastAsia="MS Mincho"/>
          <w:sz w:val="22"/>
          <w:szCs w:val="22"/>
        </w:rPr>
        <w:t xml:space="preserve"> WSIS edition</w:t>
      </w:r>
      <w:r w:rsidRPr="00AE7FA7">
        <w:rPr>
          <w:rFonts w:eastAsia="MS Mincho"/>
          <w:sz w:val="22"/>
          <w:szCs w:val="22"/>
        </w:rPr>
        <w:t>, also took place</w:t>
      </w:r>
      <w:r w:rsidRPr="0062595A">
        <w:rPr>
          <w:rFonts w:eastAsia="MS Mincho"/>
          <w:sz w:val="22"/>
        </w:rPr>
        <w:t xml:space="preserve"> in December ahead of the WSIS+20 High Level Review. By convening leaders from government, civil society, the private sector, youth, and academia, </w:t>
      </w:r>
      <w:proofErr w:type="spellStart"/>
      <w:r w:rsidRPr="0062595A">
        <w:rPr>
          <w:rFonts w:eastAsia="MS Mincho"/>
          <w:sz w:val="22"/>
        </w:rPr>
        <w:t>Digital@UNGA</w:t>
      </w:r>
      <w:proofErr w:type="spellEnd"/>
      <w:r w:rsidRPr="0062595A">
        <w:rPr>
          <w:rFonts w:eastAsia="MS Mincho"/>
          <w:sz w:val="22"/>
        </w:rPr>
        <w:t xml:space="preserve"> encourages the exploration of the trends, risks, and opportunities presented by digital and emerging technologies.</w:t>
      </w:r>
    </w:p>
    <w:p w14:paraId="7D82E973" w14:textId="77777777" w:rsidR="0062595A" w:rsidRPr="0062595A" w:rsidRDefault="0062595A" w:rsidP="00CB4EBA">
      <w:pPr>
        <w:keepNext/>
        <w:keepLines/>
        <w:tabs>
          <w:tab w:val="clear" w:pos="567"/>
          <w:tab w:val="left" w:pos="0"/>
        </w:tabs>
        <w:suppressAutoHyphens/>
        <w:adjustRightInd/>
        <w:spacing w:before="240" w:after="120"/>
        <w:jc w:val="both"/>
        <w:outlineLvl w:val="4"/>
        <w:rPr>
          <w:rFonts w:eastAsia="MS Mincho"/>
          <w:b/>
          <w:sz w:val="22"/>
          <w:szCs w:val="22"/>
        </w:rPr>
      </w:pPr>
      <w:r w:rsidRPr="0062595A">
        <w:rPr>
          <w:rFonts w:eastAsia="MS Mincho"/>
          <w:b/>
          <w:sz w:val="22"/>
          <w:szCs w:val="22"/>
        </w:rPr>
        <w:lastRenderedPageBreak/>
        <w:t xml:space="preserve">Broadband Commission – impact over 15 years of putting broadband firmly on the international policy agenda </w:t>
      </w:r>
    </w:p>
    <w:p w14:paraId="2242D837" w14:textId="451B8C99" w:rsidR="0062595A" w:rsidRPr="0062595A" w:rsidRDefault="0062595A" w:rsidP="00CB4EBA">
      <w:pPr>
        <w:keepNext/>
        <w:keepLines/>
        <w:suppressAutoHyphens/>
        <w:adjustRightInd/>
        <w:spacing w:after="120"/>
        <w:jc w:val="both"/>
        <w:rPr>
          <w:rFonts w:eastAsia="MS Mincho"/>
          <w:sz w:val="22"/>
        </w:rPr>
      </w:pPr>
      <w:r w:rsidRPr="0062595A">
        <w:rPr>
          <w:rFonts w:eastAsia="MS Mincho"/>
          <w:sz w:val="22"/>
          <w:szCs w:val="18"/>
        </w:rPr>
        <w:t xml:space="preserve">The </w:t>
      </w:r>
      <w:hyperlink r:id="rId507" w:history="1">
        <w:r w:rsidRPr="0062595A">
          <w:rPr>
            <w:rFonts w:eastAsia="MS Mincho"/>
            <w:color w:val="0563C1"/>
            <w:sz w:val="22"/>
            <w:szCs w:val="18"/>
            <w:u w:val="single"/>
          </w:rPr>
          <w:t>Broadband Commission for Sustainable Development</w:t>
        </w:r>
      </w:hyperlink>
      <w:r w:rsidRPr="0062595A">
        <w:rPr>
          <w:rFonts w:eastAsia="MS Mincho"/>
          <w:sz w:val="22"/>
          <w:szCs w:val="18"/>
        </w:rPr>
        <w:t xml:space="preserve">, was established in 2010 by ITU and UNESCO, under the leadership of H.E. President Paul Kagame of Rwanda and Mr Carlos Slim Helú, the Mexican industry leader of the Carlos Slim Foundation to advocate universal broadband connectivity to advance the UN 2030 Agenda and its </w:t>
      </w:r>
      <w:hyperlink r:id="rId508" w:history="1">
        <w:r w:rsidRPr="0062595A">
          <w:rPr>
            <w:rFonts w:eastAsia="MS Mincho"/>
            <w:color w:val="0563C1"/>
            <w:sz w:val="22"/>
            <w:szCs w:val="18"/>
            <w:u w:val="single"/>
          </w:rPr>
          <w:t>7 Global Advocacy Targets</w:t>
        </w:r>
      </w:hyperlink>
      <w:r w:rsidRPr="0062595A">
        <w:rPr>
          <w:rFonts w:eastAsia="MS Mincho"/>
          <w:sz w:val="22"/>
          <w:szCs w:val="18"/>
        </w:rPr>
        <w:t xml:space="preserve">. </w:t>
      </w:r>
    </w:p>
    <w:p w14:paraId="796D7E22" w14:textId="030C6EA1" w:rsidR="0062595A" w:rsidRPr="0062595A" w:rsidRDefault="0062595A" w:rsidP="00C5530E">
      <w:pPr>
        <w:suppressAutoHyphens/>
        <w:adjustRightInd/>
        <w:spacing w:after="120"/>
        <w:jc w:val="both"/>
        <w:rPr>
          <w:rFonts w:eastAsia="MS Mincho"/>
          <w:sz w:val="22"/>
        </w:rPr>
      </w:pPr>
      <w:r w:rsidRPr="0062595A">
        <w:rPr>
          <w:rFonts w:eastAsia="MS Mincho"/>
          <w:sz w:val="22"/>
          <w:szCs w:val="18"/>
        </w:rPr>
        <w:t>In 2025, the Commission marked its 15</w:t>
      </w:r>
      <w:r w:rsidRPr="0062595A">
        <w:rPr>
          <w:rFonts w:eastAsia="MS Mincho"/>
          <w:sz w:val="22"/>
          <w:szCs w:val="18"/>
          <w:vertAlign w:val="superscript"/>
        </w:rPr>
        <w:t>th</w:t>
      </w:r>
      <w:r w:rsidRPr="0062595A">
        <w:rPr>
          <w:rFonts w:eastAsia="MS Mincho"/>
          <w:sz w:val="22"/>
          <w:szCs w:val="18"/>
        </w:rPr>
        <w:t xml:space="preserve"> anniversary, commemorating a notable achievement of tracking progress in broadband and digital inclusion. After fifteen years of advancing broadband connectivity through multistakeholder partnerships and advocacy, the</w:t>
      </w:r>
      <w:r w:rsidR="00D435EB">
        <w:rPr>
          <w:rFonts w:eastAsia="MS Mincho"/>
          <w:sz w:val="22"/>
          <w:szCs w:val="18"/>
        </w:rPr>
        <w:t xml:space="preserve"> </w:t>
      </w:r>
      <w:r w:rsidRPr="0062595A">
        <w:rPr>
          <w:rFonts w:eastAsia="MS Mincho"/>
          <w:sz w:val="22"/>
          <w:szCs w:val="18"/>
        </w:rPr>
        <w:t>Broadband Commission</w:t>
      </w:r>
      <w:r w:rsidR="00D435EB">
        <w:rPr>
          <w:rFonts w:eastAsia="MS Mincho"/>
          <w:sz w:val="22"/>
          <w:szCs w:val="18"/>
        </w:rPr>
        <w:t xml:space="preserve"> </w:t>
      </w:r>
      <w:r w:rsidRPr="0062595A">
        <w:rPr>
          <w:rFonts w:eastAsia="MS Mincho"/>
          <w:sz w:val="22"/>
          <w:szCs w:val="18"/>
        </w:rPr>
        <w:t>for Sustainable Development’s</w:t>
      </w:r>
      <w:r w:rsidR="00D435EB">
        <w:rPr>
          <w:rFonts w:eastAsia="MS Mincho"/>
          <w:sz w:val="22"/>
          <w:szCs w:val="18"/>
        </w:rPr>
        <w:t xml:space="preserve"> </w:t>
      </w:r>
      <w:r w:rsidRPr="0062595A">
        <w:rPr>
          <w:rFonts w:eastAsia="MS Mincho"/>
          <w:sz w:val="22"/>
          <w:szCs w:val="18"/>
        </w:rPr>
        <w:t>strategic framework, the </w:t>
      </w:r>
      <w:hyperlink r:id="rId509" w:history="1">
        <w:r w:rsidRPr="0062595A">
          <w:rPr>
            <w:rFonts w:eastAsia="MS Mincho"/>
            <w:color w:val="0563C1"/>
            <w:sz w:val="22"/>
            <w:szCs w:val="18"/>
            <w:u w:val="single"/>
          </w:rPr>
          <w:t>Broadband Advocacy Targets</w:t>
        </w:r>
      </w:hyperlink>
      <w:r w:rsidRPr="0062595A">
        <w:rPr>
          <w:rFonts w:eastAsia="MS Mincho"/>
          <w:sz w:val="22"/>
          <w:szCs w:val="18"/>
        </w:rPr>
        <w:t>,</w:t>
      </w:r>
      <w:r w:rsidR="00D435EB">
        <w:rPr>
          <w:rFonts w:eastAsia="MS Mincho"/>
          <w:sz w:val="22"/>
          <w:szCs w:val="18"/>
        </w:rPr>
        <w:t xml:space="preserve"> </w:t>
      </w:r>
      <w:r w:rsidRPr="0062595A">
        <w:rPr>
          <w:rFonts w:eastAsia="MS Mincho"/>
          <w:sz w:val="22"/>
          <w:szCs w:val="18"/>
        </w:rPr>
        <w:t>reached its</w:t>
      </w:r>
      <w:r w:rsidR="00D435EB">
        <w:rPr>
          <w:rFonts w:eastAsia="MS Mincho"/>
          <w:sz w:val="22"/>
          <w:szCs w:val="18"/>
        </w:rPr>
        <w:t xml:space="preserve"> </w:t>
      </w:r>
      <w:r w:rsidRPr="0062595A">
        <w:rPr>
          <w:rFonts w:eastAsia="MS Mincho"/>
          <w:sz w:val="22"/>
          <w:szCs w:val="18"/>
        </w:rPr>
        <w:t>expiration</w:t>
      </w:r>
      <w:r w:rsidR="00D435EB">
        <w:rPr>
          <w:rFonts w:eastAsia="MS Mincho"/>
          <w:sz w:val="22"/>
          <w:szCs w:val="18"/>
        </w:rPr>
        <w:t xml:space="preserve"> </w:t>
      </w:r>
      <w:r w:rsidRPr="0062595A">
        <w:rPr>
          <w:rFonts w:eastAsia="MS Mincho"/>
          <w:sz w:val="22"/>
          <w:szCs w:val="18"/>
        </w:rPr>
        <w:t>at the end of 2025.</w:t>
      </w:r>
      <w:r w:rsidR="00D435EB">
        <w:rPr>
          <w:rFonts w:eastAsia="MS Mincho"/>
          <w:sz w:val="22"/>
          <w:szCs w:val="18"/>
        </w:rPr>
        <w:t xml:space="preserve"> </w:t>
      </w:r>
      <w:r w:rsidRPr="0062595A">
        <w:rPr>
          <w:rFonts w:eastAsia="MS Mincho"/>
          <w:sz w:val="22"/>
          <w:szCs w:val="18"/>
        </w:rPr>
        <w:t>Over its lifetime, the Commission has published</w:t>
      </w:r>
      <w:r w:rsidR="00D435EB">
        <w:rPr>
          <w:rFonts w:eastAsia="MS Mincho"/>
          <w:sz w:val="22"/>
          <w:szCs w:val="18"/>
        </w:rPr>
        <w:t xml:space="preserve"> </w:t>
      </w:r>
      <w:r w:rsidRPr="0062595A">
        <w:rPr>
          <w:rFonts w:eastAsia="MS Mincho"/>
          <w:sz w:val="22"/>
          <w:szCs w:val="18"/>
        </w:rPr>
        <w:t>over 100 knowledge products, including 15 flagship annual</w:t>
      </w:r>
      <w:r w:rsidR="00D435EB">
        <w:rPr>
          <w:rFonts w:eastAsia="MS Mincho"/>
          <w:sz w:val="22"/>
          <w:szCs w:val="18"/>
        </w:rPr>
        <w:t xml:space="preserve"> </w:t>
      </w:r>
      <w:hyperlink r:id="rId510" w:history="1">
        <w:r w:rsidRPr="0062595A">
          <w:rPr>
            <w:rFonts w:eastAsia="MS Mincho"/>
            <w:color w:val="0563C1"/>
            <w:sz w:val="22"/>
            <w:szCs w:val="18"/>
            <w:u w:val="single"/>
          </w:rPr>
          <w:t>State of Broadband</w:t>
        </w:r>
      </w:hyperlink>
      <w:r w:rsidR="00D435EB">
        <w:rPr>
          <w:rFonts w:eastAsia="MS Mincho"/>
          <w:sz w:val="22"/>
          <w:szCs w:val="18"/>
        </w:rPr>
        <w:t xml:space="preserve"> </w:t>
      </w:r>
      <w:r w:rsidRPr="0062595A">
        <w:rPr>
          <w:rFonts w:eastAsia="MS Mincho"/>
          <w:sz w:val="22"/>
          <w:szCs w:val="18"/>
        </w:rPr>
        <w:t>reports, offering data, insight, and regional impact analysis, and proposing solutions to close connectivity gaps. Its 35+ </w:t>
      </w:r>
      <w:hyperlink r:id="rId511" w:history="1">
        <w:r w:rsidRPr="0062595A">
          <w:rPr>
            <w:rFonts w:eastAsia="MS Mincho"/>
            <w:color w:val="0563C1"/>
            <w:sz w:val="22"/>
            <w:szCs w:val="18"/>
            <w:u w:val="single"/>
          </w:rPr>
          <w:t>Working Groups</w:t>
        </w:r>
      </w:hyperlink>
      <w:r w:rsidRPr="0062595A">
        <w:rPr>
          <w:rFonts w:eastAsia="MS Mincho"/>
          <w:sz w:val="22"/>
          <w:szCs w:val="18"/>
        </w:rPr>
        <w:t>, supported by a community of over 500 international experts, have delivered pioneering research and actionable recommendations across priority areas such as digital health, education, gender, digital inclusion, financing, and more.</w:t>
      </w:r>
      <w:r w:rsidR="00D435EB">
        <w:rPr>
          <w:rFonts w:eastAsia="MS Mincho"/>
          <w:sz w:val="22"/>
          <w:szCs w:val="18"/>
        </w:rPr>
        <w:t xml:space="preserve"> </w:t>
      </w:r>
      <w:r w:rsidRPr="0062595A">
        <w:rPr>
          <w:rFonts w:eastAsia="MS Mincho"/>
          <w:sz w:val="22"/>
          <w:szCs w:val="18"/>
        </w:rPr>
        <w:t>In 2025, the working group</w:t>
      </w:r>
      <w:hyperlink r:id="rId512" w:history="1">
        <w:r w:rsidRPr="0062595A">
          <w:rPr>
            <w:rFonts w:eastAsia="MS Mincho"/>
            <w:color w:val="0563C1"/>
            <w:sz w:val="22"/>
            <w:szCs w:val="18"/>
            <w:u w:val="single"/>
          </w:rPr>
          <w:t xml:space="preserve"> on Data Governance</w:t>
        </w:r>
      </w:hyperlink>
      <w:r w:rsidRPr="0062595A">
        <w:rPr>
          <w:rFonts w:eastAsia="MS Mincho"/>
          <w:sz w:val="22"/>
          <w:szCs w:val="18"/>
        </w:rPr>
        <w:t xml:space="preserve">, co-chaired by ITU, UNESCO, UNDP and the African Union completed key deliverables and presented the final report. </w:t>
      </w:r>
    </w:p>
    <w:p w14:paraId="788CDB7B" w14:textId="7197A443" w:rsidR="0062595A" w:rsidRPr="0062595A" w:rsidRDefault="0062595A" w:rsidP="00C5530E">
      <w:pPr>
        <w:suppressAutoHyphens/>
        <w:adjustRightInd/>
        <w:spacing w:after="120"/>
        <w:jc w:val="both"/>
        <w:rPr>
          <w:rFonts w:eastAsia="MS Mincho"/>
          <w:sz w:val="22"/>
          <w:szCs w:val="18"/>
        </w:rPr>
      </w:pPr>
      <w:r w:rsidRPr="0062595A">
        <w:rPr>
          <w:rFonts w:eastAsia="MS Mincho"/>
          <w:sz w:val="22"/>
          <w:szCs w:val="18"/>
        </w:rPr>
        <w:t>More than 70 concrete policy recommendations have been issued, spanning critical areas such as broadband infrastructure sharing, investment, and spectrum policy, to name a few. The Commission also</w:t>
      </w:r>
      <w:r w:rsidR="00D435EB">
        <w:rPr>
          <w:rFonts w:eastAsia="MS Mincho"/>
          <w:sz w:val="22"/>
          <w:szCs w:val="18"/>
        </w:rPr>
        <w:t xml:space="preserve"> </w:t>
      </w:r>
      <w:r w:rsidRPr="0062595A">
        <w:rPr>
          <w:rFonts w:eastAsia="MS Mincho"/>
          <w:sz w:val="22"/>
          <w:szCs w:val="18"/>
        </w:rPr>
        <w:t>established</w:t>
      </w:r>
      <w:r w:rsidR="00D435EB">
        <w:rPr>
          <w:rFonts w:eastAsia="MS Mincho"/>
          <w:sz w:val="22"/>
          <w:szCs w:val="18"/>
        </w:rPr>
        <w:t xml:space="preserve"> </w:t>
      </w:r>
      <w:r w:rsidRPr="0062595A">
        <w:rPr>
          <w:rFonts w:eastAsia="MS Mincho"/>
          <w:sz w:val="22"/>
          <w:szCs w:val="18"/>
        </w:rPr>
        <w:t>seven globally recognized Broadband Advocacy Targets, which served</w:t>
      </w:r>
      <w:r w:rsidR="00D435EB">
        <w:rPr>
          <w:rFonts w:eastAsia="MS Mincho"/>
          <w:sz w:val="22"/>
          <w:szCs w:val="18"/>
        </w:rPr>
        <w:t xml:space="preserve"> </w:t>
      </w:r>
      <w:r w:rsidRPr="0062595A">
        <w:rPr>
          <w:rFonts w:eastAsia="MS Mincho"/>
          <w:sz w:val="22"/>
          <w:szCs w:val="18"/>
        </w:rPr>
        <w:t>as a programmatic guide for regional and international action in broadband development and for achieving universal connectivity. Among these, the affordability target, first set at 5 per cent of monthly income and later revised to 2 per cent, has been adopted as a benchmark by governments and industry globally and is measured annually by ITU. </w:t>
      </w:r>
    </w:p>
    <w:p w14:paraId="4ECCE4B6" w14:textId="5E1A4C80" w:rsidR="0062595A" w:rsidRPr="0062595A" w:rsidRDefault="0062595A" w:rsidP="00C5530E">
      <w:pPr>
        <w:suppressAutoHyphens/>
        <w:adjustRightInd/>
        <w:spacing w:after="120"/>
        <w:jc w:val="both"/>
        <w:rPr>
          <w:rFonts w:eastAsia="MS Mincho"/>
          <w:sz w:val="22"/>
        </w:rPr>
      </w:pPr>
      <w:r w:rsidRPr="0062595A">
        <w:rPr>
          <w:rFonts w:eastAsia="MS Mincho"/>
          <w:sz w:val="22"/>
          <w:szCs w:val="18"/>
        </w:rPr>
        <w:t>In its 15</w:t>
      </w:r>
      <w:r w:rsidRPr="00D435EB">
        <w:rPr>
          <w:rFonts w:eastAsia="MS Mincho"/>
          <w:sz w:val="22"/>
          <w:szCs w:val="18"/>
          <w:vertAlign w:val="superscript"/>
        </w:rPr>
        <w:t>th</w:t>
      </w:r>
      <w:r w:rsidRPr="0062595A">
        <w:rPr>
          <w:rFonts w:eastAsia="MS Mincho"/>
          <w:sz w:val="22"/>
          <w:szCs w:val="18"/>
        </w:rPr>
        <w:t xml:space="preserve"> anniversary year, the Commission issued a new four-part series of reports under the State of Broadband 2025. This expanded approach reflected the growing complexity of the broadband and digital ecosystem, offering focused insights into specific areas: progress toward achieving the Commission’s seven</w:t>
      </w:r>
      <w:r w:rsidR="00D435EB">
        <w:rPr>
          <w:rFonts w:eastAsia="MS Mincho"/>
          <w:sz w:val="22"/>
          <w:szCs w:val="18"/>
        </w:rPr>
        <w:t xml:space="preserve"> </w:t>
      </w:r>
      <w:hyperlink r:id="rId513" w:history="1">
        <w:r w:rsidRPr="0062595A">
          <w:rPr>
            <w:rFonts w:eastAsia="MS Mincho"/>
            <w:color w:val="0563C1"/>
            <w:sz w:val="22"/>
            <w:szCs w:val="18"/>
            <w:u w:val="single"/>
          </w:rPr>
          <w:t>Advocacy Targets</w:t>
        </w:r>
      </w:hyperlink>
      <w:r w:rsidRPr="0062595A">
        <w:rPr>
          <w:rFonts w:eastAsia="MS Mincho"/>
          <w:sz w:val="22"/>
          <w:szCs w:val="18"/>
        </w:rPr>
        <w:t xml:space="preserve">; regional developments with a spotlight on Africa; emerging satellite and non-terrestrial technologies; and the broader transformation of digital societies, including AI, data governance, and digital infrastructure. This special edition was also supported by the </w:t>
      </w:r>
      <w:hyperlink r:id="rId514" w:history="1">
        <w:r w:rsidRPr="0062595A">
          <w:rPr>
            <w:rFonts w:eastAsia="MS Mincho"/>
            <w:color w:val="0563C1"/>
            <w:sz w:val="22"/>
            <w:szCs w:val="18"/>
            <w:u w:val="single"/>
          </w:rPr>
          <w:t>series of podcasts</w:t>
        </w:r>
      </w:hyperlink>
      <w:r w:rsidRPr="0062595A">
        <w:rPr>
          <w:rFonts w:eastAsia="MS Mincho"/>
          <w:sz w:val="22"/>
          <w:szCs w:val="18"/>
        </w:rPr>
        <w:t xml:space="preserve">. </w:t>
      </w:r>
    </w:p>
    <w:p w14:paraId="256EEAAB" w14:textId="066F6FF2" w:rsidR="0062595A" w:rsidRPr="0062595A" w:rsidRDefault="0062595A" w:rsidP="00C5530E">
      <w:pPr>
        <w:suppressAutoHyphens/>
        <w:adjustRightInd/>
        <w:spacing w:after="120"/>
        <w:jc w:val="both"/>
        <w:rPr>
          <w:rFonts w:eastAsia="MS Mincho"/>
          <w:sz w:val="22"/>
        </w:rPr>
      </w:pPr>
      <w:r w:rsidRPr="0062595A">
        <w:rPr>
          <w:rFonts w:eastAsia="MS Mincho"/>
          <w:sz w:val="22"/>
          <w:szCs w:val="18"/>
        </w:rPr>
        <w:t>The Commission has helped</w:t>
      </w:r>
      <w:r w:rsidR="00D435EB">
        <w:rPr>
          <w:rFonts w:eastAsia="MS Mincho"/>
          <w:sz w:val="22"/>
          <w:szCs w:val="18"/>
        </w:rPr>
        <w:t xml:space="preserve"> </w:t>
      </w:r>
      <w:r w:rsidRPr="0062595A">
        <w:rPr>
          <w:rFonts w:eastAsia="MS Mincho"/>
          <w:sz w:val="22"/>
          <w:szCs w:val="18"/>
        </w:rPr>
        <w:t>catalyse</w:t>
      </w:r>
      <w:r w:rsidR="00D435EB">
        <w:rPr>
          <w:rFonts w:eastAsia="MS Mincho"/>
          <w:sz w:val="22"/>
          <w:szCs w:val="18"/>
        </w:rPr>
        <w:t xml:space="preserve"> </w:t>
      </w:r>
      <w:r w:rsidRPr="0062595A">
        <w:rPr>
          <w:rFonts w:eastAsia="MS Mincho"/>
          <w:sz w:val="22"/>
          <w:szCs w:val="18"/>
        </w:rPr>
        <w:t>global initiatives such as EQUALS, to bridge the gender digital divide; Giga, to connect every school to the Internet; and UNESCO’s e-Schools Initiative. It informed the launch of the Child Online Safety Universal Declaration and published an</w:t>
      </w:r>
      <w:r w:rsidR="00D435EB">
        <w:rPr>
          <w:rFonts w:eastAsia="MS Mincho"/>
          <w:sz w:val="22"/>
          <w:szCs w:val="18"/>
        </w:rPr>
        <w:t xml:space="preserve"> </w:t>
      </w:r>
      <w:r w:rsidRPr="0062595A">
        <w:rPr>
          <w:rFonts w:eastAsia="MS Mincho"/>
          <w:i/>
          <w:iCs/>
          <w:sz w:val="22"/>
          <w:szCs w:val="18"/>
        </w:rPr>
        <w:t>Agenda for Action</w:t>
      </w:r>
      <w:r w:rsidR="00D435EB">
        <w:rPr>
          <w:rFonts w:eastAsia="MS Mincho"/>
          <w:sz w:val="22"/>
          <w:szCs w:val="18"/>
        </w:rPr>
        <w:t xml:space="preserve"> </w:t>
      </w:r>
      <w:r w:rsidRPr="0062595A">
        <w:rPr>
          <w:rFonts w:eastAsia="MS Mincho"/>
          <w:sz w:val="22"/>
          <w:szCs w:val="18"/>
        </w:rPr>
        <w:t>to support digital response strategies during COVID-19</w:t>
      </w:r>
      <w:r w:rsidR="00D435EB">
        <w:rPr>
          <w:rFonts w:eastAsia="MS Mincho"/>
          <w:sz w:val="22"/>
          <w:szCs w:val="18"/>
        </w:rPr>
        <w:t xml:space="preserve"> </w:t>
      </w:r>
      <w:r w:rsidRPr="0062595A">
        <w:rPr>
          <w:rFonts w:eastAsia="MS Mincho"/>
          <w:sz w:val="22"/>
          <w:szCs w:val="18"/>
        </w:rPr>
        <w:t>pandemic.</w:t>
      </w:r>
      <w:r w:rsidR="00D435EB">
        <w:rPr>
          <w:rFonts w:eastAsia="MS Mincho"/>
          <w:sz w:val="22"/>
          <w:szCs w:val="18"/>
        </w:rPr>
        <w:t xml:space="preserve"> </w:t>
      </w:r>
      <w:r w:rsidRPr="0062595A">
        <w:rPr>
          <w:rFonts w:eastAsia="MS Mincho"/>
          <w:sz w:val="22"/>
          <w:szCs w:val="18"/>
        </w:rPr>
        <w:t>The Commission set a valuable precedent for the importance of collaborative work to connect the unconnected and helped lay the foundations for the digital future.</w:t>
      </w:r>
      <w:r w:rsidR="00D435EB">
        <w:rPr>
          <w:rFonts w:eastAsia="MS Mincho"/>
          <w:sz w:val="22"/>
          <w:szCs w:val="18"/>
        </w:rPr>
        <w:t xml:space="preserve"> </w:t>
      </w:r>
      <w:r w:rsidRPr="0062595A">
        <w:rPr>
          <w:rFonts w:eastAsia="MS Mincho"/>
          <w:sz w:val="22"/>
          <w:szCs w:val="18"/>
        </w:rPr>
        <w:t>Several of the workstreams of the Commission continue to inform</w:t>
      </w:r>
      <w:r w:rsidR="00D435EB">
        <w:rPr>
          <w:rFonts w:eastAsia="MS Mincho"/>
          <w:sz w:val="22"/>
          <w:szCs w:val="18"/>
        </w:rPr>
        <w:t xml:space="preserve"> </w:t>
      </w:r>
      <w:r w:rsidRPr="0062595A">
        <w:rPr>
          <w:rFonts w:eastAsia="MS Mincho"/>
          <w:sz w:val="22"/>
          <w:szCs w:val="18"/>
        </w:rPr>
        <w:t>its</w:t>
      </w:r>
      <w:r w:rsidR="00D435EB">
        <w:rPr>
          <w:rFonts w:eastAsia="MS Mincho"/>
          <w:sz w:val="22"/>
          <w:szCs w:val="18"/>
        </w:rPr>
        <w:t xml:space="preserve"> </w:t>
      </w:r>
      <w:r w:rsidRPr="0062595A">
        <w:rPr>
          <w:rFonts w:eastAsia="MS Mincho"/>
          <w:sz w:val="22"/>
          <w:szCs w:val="18"/>
        </w:rPr>
        <w:t>joint work through other strategic initiatives, including the </w:t>
      </w:r>
      <w:hyperlink r:id="rId515" w:history="1">
        <w:r w:rsidRPr="0062595A">
          <w:rPr>
            <w:rFonts w:eastAsia="MS Mincho"/>
            <w:color w:val="0563C1"/>
            <w:sz w:val="22"/>
            <w:szCs w:val="18"/>
            <w:u w:val="single"/>
          </w:rPr>
          <w:t>EQUALS Global Partnership</w:t>
        </w:r>
      </w:hyperlink>
      <w:r w:rsidRPr="0062595A">
        <w:rPr>
          <w:rFonts w:eastAsia="MS Mincho"/>
          <w:sz w:val="22"/>
          <w:szCs w:val="18"/>
        </w:rPr>
        <w:t>, </w:t>
      </w:r>
      <w:hyperlink r:id="rId516" w:history="1">
        <w:r w:rsidRPr="0062595A">
          <w:rPr>
            <w:rFonts w:eastAsia="MS Mincho"/>
            <w:color w:val="0563C1"/>
            <w:sz w:val="22"/>
            <w:szCs w:val="18"/>
            <w:u w:val="single"/>
          </w:rPr>
          <w:t>UNICEF-ITU Giga </w:t>
        </w:r>
      </w:hyperlink>
      <w:r w:rsidRPr="0062595A">
        <w:rPr>
          <w:rFonts w:eastAsia="MS Mincho"/>
          <w:sz w:val="22"/>
          <w:szCs w:val="18"/>
        </w:rPr>
        <w:t>, </w:t>
      </w:r>
      <w:hyperlink r:id="rId517" w:history="1">
        <w:r w:rsidRPr="0062595A">
          <w:rPr>
            <w:rFonts w:eastAsia="MS Mincho"/>
            <w:color w:val="0563C1"/>
            <w:sz w:val="22"/>
            <w:szCs w:val="18"/>
            <w:u w:val="single"/>
          </w:rPr>
          <w:t>Data Governance Toolkit</w:t>
        </w:r>
      </w:hyperlink>
      <w:r w:rsidRPr="0062595A">
        <w:rPr>
          <w:rFonts w:eastAsia="MS Mincho"/>
          <w:sz w:val="22"/>
          <w:szCs w:val="18"/>
        </w:rPr>
        <w:t> and the </w:t>
      </w:r>
      <w:hyperlink r:id="rId518" w:history="1">
        <w:r w:rsidRPr="0062595A">
          <w:rPr>
            <w:rFonts w:eastAsia="MS Mincho"/>
            <w:color w:val="0563C1"/>
            <w:sz w:val="22"/>
            <w:szCs w:val="18"/>
            <w:u w:val="single"/>
          </w:rPr>
          <w:t>ITU Partner2Connect Digital Coalition</w:t>
        </w:r>
      </w:hyperlink>
      <w:r w:rsidRPr="0062595A">
        <w:rPr>
          <w:rFonts w:eastAsia="MS Mincho"/>
          <w:sz w:val="22"/>
          <w:szCs w:val="18"/>
        </w:rPr>
        <w:t>. </w:t>
      </w:r>
    </w:p>
    <w:p w14:paraId="2B2D5FB7" w14:textId="0C59D59D" w:rsidR="0062595A" w:rsidRPr="0062595A" w:rsidRDefault="0062595A" w:rsidP="00C5530E">
      <w:pPr>
        <w:suppressAutoHyphens/>
        <w:adjustRightInd/>
        <w:spacing w:after="120"/>
        <w:jc w:val="both"/>
        <w:rPr>
          <w:rFonts w:eastAsia="MS Mincho"/>
          <w:sz w:val="22"/>
          <w:szCs w:val="18"/>
        </w:rPr>
      </w:pPr>
      <w:r w:rsidRPr="0062595A">
        <w:rPr>
          <w:rFonts w:eastAsia="MS Mincho"/>
          <w:sz w:val="22"/>
          <w:szCs w:val="18"/>
        </w:rPr>
        <w:t>The Broadband Commission will now transition to a new chapter that will extend its experience and expertise</w:t>
      </w:r>
      <w:r w:rsidR="00D435EB">
        <w:rPr>
          <w:rFonts w:eastAsia="MS Mincho"/>
          <w:sz w:val="22"/>
          <w:szCs w:val="18"/>
        </w:rPr>
        <w:t xml:space="preserve"> </w:t>
      </w:r>
      <w:r w:rsidRPr="0062595A">
        <w:rPr>
          <w:rFonts w:eastAsia="MS Mincho"/>
          <w:sz w:val="22"/>
          <w:szCs w:val="18"/>
        </w:rPr>
        <w:t>into the AI and data-driven era.</w:t>
      </w:r>
      <w:r w:rsidR="00D435EB">
        <w:rPr>
          <w:rFonts w:eastAsia="MS Mincho"/>
          <w:sz w:val="22"/>
          <w:szCs w:val="18"/>
        </w:rPr>
        <w:t xml:space="preserve"> </w:t>
      </w:r>
      <w:r w:rsidRPr="0062595A">
        <w:rPr>
          <w:rFonts w:eastAsia="MS Mincho"/>
          <w:sz w:val="22"/>
          <w:szCs w:val="18"/>
        </w:rPr>
        <w:t>Its legacy of purposeful and sustained multistakeholder cooperation offers a strong platform for addressing the next generation of digital challenges.</w:t>
      </w:r>
    </w:p>
    <w:p w14:paraId="06BDAECC" w14:textId="77777777" w:rsidR="0062595A" w:rsidRPr="0062595A" w:rsidRDefault="0062595A" w:rsidP="00C5530E">
      <w:pPr>
        <w:suppressAutoHyphens/>
        <w:adjustRightInd/>
        <w:spacing w:before="240" w:after="120"/>
        <w:jc w:val="both"/>
        <w:rPr>
          <w:rFonts w:eastAsia="MS Mincho"/>
          <w:b/>
          <w:sz w:val="22"/>
          <w:szCs w:val="22"/>
        </w:rPr>
      </w:pPr>
      <w:r w:rsidRPr="0062595A">
        <w:rPr>
          <w:rFonts w:eastAsia="MS Mincho"/>
          <w:b/>
          <w:sz w:val="22"/>
          <w:szCs w:val="22"/>
        </w:rPr>
        <w:t>EQUALS – promoting access, skills, and ICT leadership for women and girls.</w:t>
      </w:r>
    </w:p>
    <w:p w14:paraId="35E78E3E"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18"/>
        </w:rPr>
        <w:t xml:space="preserve">As host and co-founding partner of the </w:t>
      </w:r>
      <w:hyperlink r:id="rId519" w:history="1">
        <w:r w:rsidRPr="0062595A">
          <w:rPr>
            <w:rFonts w:eastAsia="MS Mincho"/>
            <w:color w:val="0563C1"/>
            <w:sz w:val="22"/>
            <w:szCs w:val="18"/>
            <w:u w:val="single"/>
          </w:rPr>
          <w:t>EQUALS Global Partnership for Gender Equality in the Digital Age</w:t>
        </w:r>
      </w:hyperlink>
      <w:r w:rsidRPr="0062595A">
        <w:rPr>
          <w:rFonts w:eastAsia="MS Mincho"/>
          <w:sz w:val="22"/>
          <w:szCs w:val="18"/>
        </w:rPr>
        <w:t xml:space="preserve">, ITU has worked with more than 100 partners, from all sectors, to reduce the gender digital divide, </w:t>
      </w:r>
      <w:r w:rsidRPr="0062595A">
        <w:rPr>
          <w:rFonts w:eastAsia="MS Mincho"/>
          <w:sz w:val="22"/>
        </w:rPr>
        <w:t>supporting efforts in the Access, Skills, Leadership and Research Coalitions</w:t>
      </w:r>
      <w:r w:rsidRPr="0062595A">
        <w:rPr>
          <w:rFonts w:eastAsia="MS Mincho"/>
          <w:sz w:val="22"/>
          <w:szCs w:val="18"/>
        </w:rPr>
        <w:t xml:space="preserve">. </w:t>
      </w:r>
      <w:r w:rsidRPr="0062595A">
        <w:rPr>
          <w:rFonts w:eastAsia="MS Mincho"/>
          <w:sz w:val="22"/>
        </w:rPr>
        <w:t xml:space="preserve">The </w:t>
      </w:r>
      <w:hyperlink r:id="rId520" w:history="1">
        <w:r w:rsidRPr="0062595A">
          <w:rPr>
            <w:rFonts w:eastAsia="MS Mincho"/>
            <w:color w:val="0563C1"/>
            <w:sz w:val="22"/>
            <w:u w:val="single"/>
          </w:rPr>
          <w:t>EQUALS</w:t>
        </w:r>
      </w:hyperlink>
      <w:r w:rsidRPr="0062595A">
        <w:rPr>
          <w:rFonts w:eastAsia="MS Mincho"/>
          <w:sz w:val="22"/>
        </w:rPr>
        <w:t xml:space="preserve"> Global Partnership for Gender Equality in the Digital Age is a committed group of corporate leaders, governments, businesses, not-for-profit organizations, academic institutions, NGOs and community </w:t>
      </w:r>
      <w:r w:rsidRPr="0062595A">
        <w:rPr>
          <w:rFonts w:eastAsia="MS Mincho"/>
          <w:sz w:val="22"/>
        </w:rPr>
        <w:lastRenderedPageBreak/>
        <w:t>groups around the world dedicated to promoting gender balance in the technology sector by championing equality of access, skills development and career opportunities for women and men alike</w:t>
      </w:r>
    </w:p>
    <w:p w14:paraId="0F48BAF7"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18"/>
        </w:rPr>
        <w:t xml:space="preserve">EQUALS supports collaboration and scaling of successful initiatives across its </w:t>
      </w:r>
      <w:hyperlink r:id="rId521" w:history="1">
        <w:r w:rsidRPr="0062595A">
          <w:rPr>
            <w:rFonts w:eastAsia="MS Mincho"/>
            <w:color w:val="0563C1"/>
            <w:sz w:val="22"/>
            <w:szCs w:val="18"/>
            <w:u w:val="single"/>
          </w:rPr>
          <w:t>Access</w:t>
        </w:r>
      </w:hyperlink>
      <w:r w:rsidRPr="0062595A">
        <w:rPr>
          <w:rFonts w:eastAsia="MS Mincho"/>
          <w:sz w:val="22"/>
          <w:szCs w:val="18"/>
        </w:rPr>
        <w:t xml:space="preserve">, </w:t>
      </w:r>
      <w:hyperlink r:id="rId522" w:history="1">
        <w:r w:rsidRPr="0062595A">
          <w:rPr>
            <w:rFonts w:eastAsia="MS Mincho"/>
            <w:color w:val="0563C1"/>
            <w:sz w:val="22"/>
            <w:szCs w:val="18"/>
            <w:u w:val="single"/>
          </w:rPr>
          <w:t>Skills</w:t>
        </w:r>
      </w:hyperlink>
      <w:r w:rsidRPr="0062595A">
        <w:rPr>
          <w:rFonts w:eastAsia="MS Mincho"/>
          <w:sz w:val="22"/>
          <w:szCs w:val="18"/>
        </w:rPr>
        <w:t xml:space="preserve">, </w:t>
      </w:r>
      <w:hyperlink r:id="rId523" w:history="1">
        <w:r w:rsidRPr="0062595A">
          <w:rPr>
            <w:rFonts w:eastAsia="MS Mincho"/>
            <w:color w:val="0563C1"/>
            <w:sz w:val="22"/>
            <w:szCs w:val="18"/>
            <w:u w:val="single"/>
          </w:rPr>
          <w:t>Leadership</w:t>
        </w:r>
      </w:hyperlink>
      <w:r w:rsidRPr="0062595A">
        <w:rPr>
          <w:rFonts w:eastAsia="MS Mincho"/>
          <w:sz w:val="22"/>
          <w:szCs w:val="18"/>
        </w:rPr>
        <w:t xml:space="preserve"> and </w:t>
      </w:r>
      <w:hyperlink r:id="rId524" w:history="1">
        <w:r w:rsidRPr="0062595A">
          <w:rPr>
            <w:rFonts w:eastAsia="MS Mincho"/>
            <w:color w:val="0563C1"/>
            <w:sz w:val="22"/>
            <w:szCs w:val="18"/>
            <w:u w:val="single"/>
          </w:rPr>
          <w:t>Research</w:t>
        </w:r>
      </w:hyperlink>
      <w:r w:rsidRPr="0062595A">
        <w:rPr>
          <w:rFonts w:eastAsia="MS Mincho"/>
          <w:sz w:val="22"/>
          <w:szCs w:val="18"/>
        </w:rPr>
        <w:t xml:space="preserve"> coalitions</w:t>
      </w:r>
      <w:r w:rsidRPr="0062595A">
        <w:rPr>
          <w:rFonts w:eastAsia="MS Mincho"/>
          <w:sz w:val="22"/>
        </w:rPr>
        <w:t xml:space="preserve"> </w:t>
      </w:r>
      <w:r w:rsidRPr="0062595A">
        <w:rPr>
          <w:rFonts w:eastAsia="MS Mincho"/>
          <w:sz w:val="22"/>
          <w:szCs w:val="18"/>
        </w:rPr>
        <w:t xml:space="preserve">to reverse the growing gender digital divide and accelerate progress toward Sustainable Development Goal 5, especially Target 5.B on enhancing women’s access to ICTs through </w:t>
      </w:r>
      <w:hyperlink r:id="rId525" w:history="1">
        <w:r w:rsidRPr="0062595A">
          <w:rPr>
            <w:rFonts w:eastAsia="MS Mincho"/>
            <w:color w:val="0563C1"/>
            <w:sz w:val="22"/>
            <w:szCs w:val="18"/>
            <w:u w:val="single"/>
          </w:rPr>
          <w:t>workshops</w:t>
        </w:r>
      </w:hyperlink>
      <w:r w:rsidRPr="0062595A">
        <w:rPr>
          <w:rFonts w:eastAsia="MS Mincho"/>
          <w:sz w:val="22"/>
          <w:szCs w:val="18"/>
        </w:rPr>
        <w:t xml:space="preserve">, </w:t>
      </w:r>
      <w:hyperlink r:id="rId526" w:history="1">
        <w:r w:rsidRPr="0062595A">
          <w:rPr>
            <w:rFonts w:eastAsia="MS Mincho"/>
            <w:color w:val="0563C1"/>
            <w:sz w:val="22"/>
            <w:szCs w:val="18"/>
            <w:u w:val="single"/>
          </w:rPr>
          <w:t>e-mentoring</w:t>
        </w:r>
      </w:hyperlink>
      <w:r w:rsidRPr="0062595A">
        <w:rPr>
          <w:rFonts w:eastAsia="MS Mincho"/>
          <w:sz w:val="22"/>
          <w:szCs w:val="18"/>
        </w:rPr>
        <w:t xml:space="preserve"> with established tech professionals and a certification </w:t>
      </w:r>
      <w:hyperlink r:id="rId527" w:history="1">
        <w:r w:rsidRPr="0062595A">
          <w:rPr>
            <w:rFonts w:eastAsia="MS Mincho"/>
            <w:color w:val="0563C1"/>
            <w:sz w:val="22"/>
            <w:szCs w:val="18"/>
            <w:u w:val="single"/>
          </w:rPr>
          <w:t>badge programme</w:t>
        </w:r>
      </w:hyperlink>
      <w:r w:rsidRPr="0062595A">
        <w:rPr>
          <w:rFonts w:eastAsia="MS Mincho"/>
          <w:sz w:val="22"/>
          <w:szCs w:val="18"/>
        </w:rPr>
        <w:t>.</w:t>
      </w:r>
    </w:p>
    <w:p w14:paraId="7439526B"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18"/>
        </w:rPr>
        <w:t xml:space="preserve">With partners, ITU promoted programmes such as EQUALS </w:t>
      </w:r>
      <w:hyperlink r:id="rId528" w:history="1">
        <w:r w:rsidRPr="0062595A">
          <w:rPr>
            <w:rFonts w:eastAsia="MS Mincho"/>
            <w:color w:val="0563C1"/>
            <w:sz w:val="22"/>
            <w:szCs w:val="18"/>
            <w:u w:val="single"/>
          </w:rPr>
          <w:t>Her Digital Skills</w:t>
        </w:r>
      </w:hyperlink>
      <w:r w:rsidRPr="0062595A">
        <w:rPr>
          <w:rFonts w:eastAsia="MS Mincho"/>
          <w:sz w:val="22"/>
          <w:szCs w:val="18"/>
        </w:rPr>
        <w:t xml:space="preserve"> and the ITU-EIF EQUALS Joint Initiative “</w:t>
      </w:r>
      <w:hyperlink r:id="rId529" w:history="1">
        <w:r w:rsidRPr="0062595A">
          <w:rPr>
            <w:rFonts w:eastAsia="MS Mincho"/>
            <w:color w:val="0563C1"/>
            <w:sz w:val="22"/>
            <w:szCs w:val="18"/>
            <w:u w:val="single"/>
          </w:rPr>
          <w:t>Tech as a Driver of Women’s Economic Opportunity</w:t>
        </w:r>
      </w:hyperlink>
      <w:r w:rsidRPr="0062595A">
        <w:rPr>
          <w:rFonts w:eastAsia="MS Mincho"/>
          <w:sz w:val="22"/>
          <w:szCs w:val="18"/>
        </w:rPr>
        <w:t xml:space="preserve">” initiative have delivered workshops, mentoring and entrepreneurship support to women and girls across multiple countries and sectors. The </w:t>
      </w:r>
      <w:hyperlink r:id="rId530" w:history="1">
        <w:r w:rsidRPr="0062595A">
          <w:rPr>
            <w:rFonts w:eastAsia="MS Mincho"/>
            <w:color w:val="0563C1"/>
            <w:sz w:val="22"/>
            <w:szCs w:val="18"/>
            <w:u w:val="single"/>
          </w:rPr>
          <w:t>EQUALS in Tech Awards</w:t>
        </w:r>
      </w:hyperlink>
      <w:r w:rsidRPr="0062595A">
        <w:rPr>
          <w:rFonts w:eastAsia="MS Mincho"/>
          <w:sz w:val="22"/>
          <w:szCs w:val="18"/>
        </w:rPr>
        <w:t>, which reached its 10</w:t>
      </w:r>
      <w:r w:rsidRPr="00D435EB">
        <w:rPr>
          <w:rFonts w:eastAsia="MS Mincho"/>
          <w:sz w:val="22"/>
          <w:szCs w:val="18"/>
          <w:vertAlign w:val="superscript"/>
        </w:rPr>
        <w:t>th</w:t>
      </w:r>
      <w:r w:rsidRPr="0062595A">
        <w:rPr>
          <w:rFonts w:eastAsia="MS Mincho"/>
          <w:sz w:val="22"/>
          <w:szCs w:val="18"/>
        </w:rPr>
        <w:t xml:space="preserve"> anniversary, continues to recognize outstanding initiatives from around the world promoting women’s participation and leadership in the digital economy.</w:t>
      </w:r>
    </w:p>
    <w:p w14:paraId="561BD805" w14:textId="77777777" w:rsidR="0062595A" w:rsidRPr="0062595A" w:rsidRDefault="0062595A" w:rsidP="00C5530E">
      <w:pPr>
        <w:keepNext/>
        <w:keepLines/>
        <w:suppressAutoHyphens/>
        <w:adjustRightInd/>
        <w:spacing w:before="240" w:after="120"/>
        <w:ind w:left="567" w:hanging="567"/>
        <w:jc w:val="both"/>
        <w:outlineLvl w:val="4"/>
        <w:rPr>
          <w:rFonts w:eastAsia="MS Mincho"/>
          <w:b/>
          <w:sz w:val="22"/>
          <w:szCs w:val="22"/>
        </w:rPr>
      </w:pPr>
      <w:r w:rsidRPr="0062595A">
        <w:rPr>
          <w:rFonts w:eastAsia="MS Mincho"/>
          <w:b/>
          <w:sz w:val="22"/>
          <w:szCs w:val="22"/>
        </w:rPr>
        <w:t>Giga – working to connect every school to the Internet.</w:t>
      </w:r>
    </w:p>
    <w:p w14:paraId="053B091E"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The joint ITU–UNICEF </w:t>
      </w:r>
      <w:hyperlink r:id="rId531" w:history="1">
        <w:r w:rsidRPr="0062595A">
          <w:rPr>
            <w:rFonts w:eastAsia="MS Mincho"/>
            <w:color w:val="0563C1"/>
            <w:sz w:val="22"/>
            <w:u w:val="single"/>
          </w:rPr>
          <w:t>Giga initiative</w:t>
        </w:r>
      </w:hyperlink>
      <w:r w:rsidRPr="0062595A">
        <w:rPr>
          <w:rFonts w:eastAsia="MS Mincho"/>
          <w:sz w:val="22"/>
        </w:rPr>
        <w:t>, established in 2019, supports governments and other stakeholders towards connecting every school to the Internet and every learner to information, opportunity and choice by 2030. Since 2019, Giga has mapped more than 2.2 million schools in across 218 countries and Infrastructure modelling in the context of connecting schools has been done for 9 countries with engagements underway to advance that work in 21 other countries.</w:t>
      </w:r>
    </w:p>
    <w:p w14:paraId="44D97A72" w14:textId="4FBE8723" w:rsidR="0062595A" w:rsidRPr="0062595A" w:rsidRDefault="0062595A" w:rsidP="00C5530E">
      <w:pPr>
        <w:suppressAutoHyphens/>
        <w:adjustRightInd/>
        <w:spacing w:after="120"/>
        <w:jc w:val="both"/>
        <w:rPr>
          <w:rFonts w:eastAsia="MS Mincho"/>
          <w:sz w:val="22"/>
          <w:szCs w:val="22"/>
        </w:rPr>
      </w:pPr>
      <w:r w:rsidRPr="6F546B6A">
        <w:rPr>
          <w:rFonts w:eastAsia="MS Mincho"/>
          <w:sz w:val="22"/>
          <w:szCs w:val="22"/>
        </w:rPr>
        <w:t xml:space="preserve">Giga continued to support governments with tools, advisory services and capacity building to realise to connectivity in thousands of schools, reaching millions of students across Africa, Central Asia, Latin America, the Caribbean and other regions. Its work is structured around four pillars school geolocation mapping, </w:t>
      </w:r>
      <w:r w:rsidRPr="6F546B6A">
        <w:rPr>
          <w:rFonts w:eastAsia="MS Mincho"/>
          <w:sz w:val="22"/>
          <w:szCs w:val="22"/>
        </w:rPr>
        <w:t xml:space="preserve">infrastructure mapping + modelling infrastructure, finance mobilization and procurement + contracting for connectivity. This is anchored on the provision of capacity development with governments via platforms including the Giga Learning Hub that delivers trainings through the ITU Academy. </w:t>
      </w:r>
      <w:r w:rsidR="551BD6C4" w:rsidRPr="6F546B6A">
        <w:rPr>
          <w:rFonts w:eastAsia="MS Mincho"/>
          <w:sz w:val="22"/>
          <w:szCs w:val="22"/>
        </w:rPr>
        <w:t>Five</w:t>
      </w:r>
      <w:r w:rsidRPr="6F546B6A">
        <w:rPr>
          <w:rFonts w:eastAsia="MS Mincho"/>
          <w:sz w:val="22"/>
          <w:szCs w:val="22"/>
        </w:rPr>
        <w:t> training</w:t>
      </w:r>
      <w:r w:rsidR="74FA838C" w:rsidRPr="6F546B6A">
        <w:rPr>
          <w:rFonts w:eastAsia="MS Mincho"/>
          <w:sz w:val="22"/>
          <w:szCs w:val="22"/>
        </w:rPr>
        <w:t xml:space="preserve"> session</w:t>
      </w:r>
      <w:r w:rsidRPr="6F546B6A">
        <w:rPr>
          <w:rFonts w:eastAsia="MS Mincho"/>
          <w:sz w:val="22"/>
          <w:szCs w:val="22"/>
        </w:rPr>
        <w:t>s</w:t>
      </w:r>
      <w:r w:rsidR="00D435EB" w:rsidRPr="6F546B6A">
        <w:rPr>
          <w:rFonts w:eastAsia="MS Mincho"/>
          <w:sz w:val="22"/>
          <w:szCs w:val="22"/>
        </w:rPr>
        <w:t xml:space="preserve"> </w:t>
      </w:r>
      <w:r w:rsidRPr="6F546B6A">
        <w:rPr>
          <w:rFonts w:eastAsia="MS Mincho"/>
          <w:sz w:val="22"/>
          <w:szCs w:val="22"/>
        </w:rPr>
        <w:t>(in person and online)</w:t>
      </w:r>
      <w:r w:rsidR="00D435EB" w:rsidRPr="6F546B6A">
        <w:rPr>
          <w:rFonts w:eastAsia="MS Mincho"/>
          <w:sz w:val="22"/>
          <w:szCs w:val="22"/>
        </w:rPr>
        <w:t xml:space="preserve"> </w:t>
      </w:r>
      <w:r w:rsidRPr="6F546B6A">
        <w:rPr>
          <w:rFonts w:eastAsia="MS Mincho"/>
          <w:sz w:val="22"/>
          <w:szCs w:val="22"/>
        </w:rPr>
        <w:t>were held in 2025,</w:t>
      </w:r>
      <w:r w:rsidR="00D435EB" w:rsidRPr="6F546B6A">
        <w:rPr>
          <w:rFonts w:eastAsia="MS Mincho"/>
          <w:sz w:val="22"/>
          <w:szCs w:val="22"/>
        </w:rPr>
        <w:t xml:space="preserve"> </w:t>
      </w:r>
      <w:r w:rsidRPr="6F546B6A">
        <w:rPr>
          <w:rFonts w:eastAsia="MS Mincho"/>
          <w:sz w:val="22"/>
          <w:szCs w:val="22"/>
        </w:rPr>
        <w:t>enabling</w:t>
      </w:r>
      <w:r w:rsidR="00D435EB" w:rsidRPr="6F546B6A">
        <w:rPr>
          <w:rFonts w:eastAsia="MS Mincho"/>
          <w:sz w:val="22"/>
          <w:szCs w:val="22"/>
        </w:rPr>
        <w:t xml:space="preserve"> </w:t>
      </w:r>
      <w:r w:rsidRPr="6F546B6A">
        <w:rPr>
          <w:rFonts w:eastAsia="MS Mincho"/>
          <w:sz w:val="22"/>
          <w:szCs w:val="22"/>
        </w:rPr>
        <w:t>128 participants from</w:t>
      </w:r>
      <w:r w:rsidR="00D435EB" w:rsidRPr="6F546B6A">
        <w:rPr>
          <w:rFonts w:eastAsia="MS Mincho"/>
          <w:sz w:val="22"/>
          <w:szCs w:val="22"/>
        </w:rPr>
        <w:t xml:space="preserve"> </w:t>
      </w:r>
      <w:r w:rsidRPr="6F546B6A">
        <w:rPr>
          <w:rFonts w:eastAsia="MS Mincho"/>
          <w:sz w:val="22"/>
          <w:szCs w:val="22"/>
        </w:rPr>
        <w:t>52 countries</w:t>
      </w:r>
      <w:r w:rsidR="00D435EB" w:rsidRPr="6F546B6A">
        <w:rPr>
          <w:rFonts w:eastAsia="MS Mincho"/>
          <w:sz w:val="22"/>
          <w:szCs w:val="22"/>
        </w:rPr>
        <w:t xml:space="preserve"> </w:t>
      </w:r>
      <w:r w:rsidRPr="6F546B6A">
        <w:rPr>
          <w:rFonts w:eastAsia="MS Mincho"/>
          <w:sz w:val="22"/>
          <w:szCs w:val="22"/>
        </w:rPr>
        <w:t>to</w:t>
      </w:r>
      <w:r w:rsidR="00D435EB" w:rsidRPr="6F546B6A">
        <w:rPr>
          <w:rFonts w:eastAsia="MS Mincho"/>
          <w:sz w:val="22"/>
          <w:szCs w:val="22"/>
        </w:rPr>
        <w:t xml:space="preserve"> </w:t>
      </w:r>
      <w:r w:rsidRPr="6F546B6A">
        <w:rPr>
          <w:rFonts w:eastAsia="MS Mincho"/>
          <w:sz w:val="22"/>
          <w:szCs w:val="22"/>
        </w:rPr>
        <w:t>strengthen capacity in</w:t>
      </w:r>
      <w:r w:rsidR="00D435EB" w:rsidRPr="6F546B6A">
        <w:rPr>
          <w:rFonts w:eastAsia="MS Mincho"/>
          <w:sz w:val="22"/>
          <w:szCs w:val="22"/>
        </w:rPr>
        <w:t xml:space="preserve"> </w:t>
      </w:r>
      <w:r w:rsidRPr="6F546B6A">
        <w:rPr>
          <w:rFonts w:eastAsia="MS Mincho"/>
          <w:sz w:val="22"/>
          <w:szCs w:val="22"/>
        </w:rPr>
        <w:t>various aspects of delivering</w:t>
      </w:r>
      <w:r w:rsidR="00D435EB" w:rsidRPr="6F546B6A">
        <w:rPr>
          <w:rFonts w:eastAsia="MS Mincho"/>
          <w:sz w:val="22"/>
          <w:szCs w:val="22"/>
        </w:rPr>
        <w:t xml:space="preserve"> </w:t>
      </w:r>
      <w:r w:rsidRPr="6F546B6A">
        <w:rPr>
          <w:rFonts w:eastAsia="MS Mincho"/>
          <w:sz w:val="22"/>
          <w:szCs w:val="22"/>
        </w:rPr>
        <w:t xml:space="preserve">school connectivity. Giga also established an Acceleration Programme, which is a business development initiative designed to support early-stage companies with skills development, mentorship, and grant financing to accelerate </w:t>
      </w:r>
      <w:r w:rsidRPr="6F546B6A">
        <w:rPr>
          <w:rFonts w:eastAsia="MS Mincho"/>
          <w:sz w:val="22"/>
          <w:szCs w:val="22"/>
        </w:rPr>
        <w:t>the development of solutions that foster global school connectivity. 9 teams from across the world were selected under the first cohort that started in November 2025 and will end in March 2026.</w:t>
      </w:r>
    </w:p>
    <w:p w14:paraId="663B4A3E"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Leveraging the Giga and AI For Good platform, ITU has partnered with Google, and musician, tech founder and philanthropist will.i.am to bring artificial intelligence and robotics training to students across Africa, starting with 5 countries: Ghana, Ivory Coast, Kenya, Nigeria, and South Africa. This will include supporting the countries to establish AI school clubs in the schools connected.</w:t>
      </w:r>
    </w:p>
    <w:p w14:paraId="0B9C1CC5"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Giga was recognized by the Global Digital Compact as a key initiative to connect schools and hospitals. This is also in alignment with the on ITU Strategic Plan Goal 1.5 and WSIS Action Line C2 “Information and Communication infrastructure”.</w:t>
      </w:r>
    </w:p>
    <w:p w14:paraId="7F0868C9" w14:textId="77777777" w:rsidR="0062595A" w:rsidRPr="0062595A" w:rsidRDefault="0062595A" w:rsidP="00CB4EBA">
      <w:pPr>
        <w:suppressAutoHyphens/>
        <w:adjustRightInd/>
        <w:spacing w:before="240" w:after="120"/>
        <w:jc w:val="both"/>
        <w:rPr>
          <w:rFonts w:eastAsia="MS Mincho"/>
          <w:b/>
          <w:sz w:val="22"/>
          <w:szCs w:val="22"/>
        </w:rPr>
      </w:pPr>
      <w:bookmarkStart w:id="120" w:name="_Hlk120017847"/>
      <w:r w:rsidRPr="0062595A">
        <w:rPr>
          <w:rFonts w:eastAsia="MS Mincho"/>
          <w:b/>
          <w:sz w:val="22"/>
          <w:szCs w:val="22"/>
        </w:rPr>
        <w:t>Virtual Worlds and AI initiative</w:t>
      </w:r>
    </w:p>
    <w:p w14:paraId="00A8E235" w14:textId="485FF7F5" w:rsidR="0062595A" w:rsidRPr="0062595A" w:rsidRDefault="0062595A" w:rsidP="00CB4EBA">
      <w:pPr>
        <w:suppressAutoHyphens/>
        <w:adjustRightInd/>
        <w:spacing w:after="120"/>
        <w:jc w:val="both"/>
        <w:rPr>
          <w:rFonts w:eastAsia="MS Mincho"/>
          <w:sz w:val="22"/>
        </w:rPr>
      </w:pPr>
      <w:r w:rsidRPr="0062595A">
        <w:rPr>
          <w:rFonts w:eastAsia="MS Mincho"/>
          <w:sz w:val="22"/>
        </w:rPr>
        <w:t xml:space="preserve">In June 2024, ITU together with UNICC and Digital Dubai, has launched the </w:t>
      </w:r>
      <w:hyperlink r:id="rId532" w:history="1">
        <w:r w:rsidRPr="0062595A">
          <w:rPr>
            <w:rFonts w:eastAsia="MS Mincho"/>
            <w:color w:val="0563C1"/>
            <w:sz w:val="22"/>
            <w:u w:val="single"/>
          </w:rPr>
          <w:t xml:space="preserve">Global Initiative on Virtual Worlds and AI “Discovering the </w:t>
        </w:r>
        <w:proofErr w:type="spellStart"/>
        <w:r w:rsidRPr="0062595A">
          <w:rPr>
            <w:rFonts w:eastAsia="MS Mincho"/>
            <w:color w:val="0563C1"/>
            <w:sz w:val="22"/>
            <w:u w:val="single"/>
          </w:rPr>
          <w:t>Citiverse</w:t>
        </w:r>
        <w:proofErr w:type="spellEnd"/>
        <w:r w:rsidRPr="0062595A">
          <w:rPr>
            <w:rFonts w:eastAsia="MS Mincho"/>
            <w:color w:val="0563C1"/>
            <w:sz w:val="22"/>
            <w:u w:val="single"/>
          </w:rPr>
          <w:t>”</w:t>
        </w:r>
      </w:hyperlink>
      <w:r w:rsidRPr="0062595A">
        <w:rPr>
          <w:rFonts w:eastAsia="MS Mincho"/>
          <w:sz w:val="22"/>
        </w:rPr>
        <w:t xml:space="preserve">, aim to harness the potential of immersive technologies and AI for development. Supported by more than 70 partners, this initiative serves as a global platform to foster open, interoperable and trusted AI-powered virtual worlds for people, businesses and public services. The </w:t>
      </w:r>
      <w:hyperlink r:id="rId533" w:history="1">
        <w:r w:rsidRPr="0062595A">
          <w:rPr>
            <w:rFonts w:eastAsia="MS Mincho"/>
            <w:color w:val="0563C1"/>
            <w:sz w:val="22"/>
            <w:u w:val="single"/>
          </w:rPr>
          <w:t>UN Virtual Worlds Day</w:t>
        </w:r>
      </w:hyperlink>
      <w:r w:rsidRPr="0062595A">
        <w:rPr>
          <w:rFonts w:eastAsia="MS Mincho"/>
          <w:sz w:val="22"/>
        </w:rPr>
        <w:t xml:space="preserve">, organized with 17 UN entities, explores how AI, spatial intelligence, and </w:t>
      </w:r>
      <w:proofErr w:type="spellStart"/>
      <w:r w:rsidRPr="0062595A">
        <w:rPr>
          <w:rFonts w:eastAsia="MS Mincho"/>
          <w:sz w:val="22"/>
        </w:rPr>
        <w:t>citiverse</w:t>
      </w:r>
      <w:proofErr w:type="spellEnd"/>
      <w:r w:rsidRPr="0062595A">
        <w:rPr>
          <w:rFonts w:eastAsia="MS Mincho"/>
          <w:sz w:val="22"/>
        </w:rPr>
        <w:t xml:space="preserve"> can support global priorities under the Pact for the Future and the Global Digital Compact. The inaugural edition in </w:t>
      </w:r>
      <w:hyperlink r:id="rId534" w:history="1">
        <w:r w:rsidRPr="0062595A">
          <w:rPr>
            <w:rFonts w:eastAsia="MS Mincho"/>
            <w:color w:val="0563C1"/>
            <w:sz w:val="22"/>
            <w:u w:val="single"/>
          </w:rPr>
          <w:t>Geneva in 2024</w:t>
        </w:r>
      </w:hyperlink>
      <w:r w:rsidRPr="0062595A">
        <w:rPr>
          <w:rFonts w:eastAsia="MS Mincho"/>
          <w:sz w:val="22"/>
        </w:rPr>
        <w:t xml:space="preserve"> and the event in </w:t>
      </w:r>
      <w:hyperlink r:id="rId535" w:history="1">
        <w:r w:rsidRPr="0062595A">
          <w:rPr>
            <w:rFonts w:eastAsia="MS Mincho"/>
            <w:color w:val="0563C1"/>
            <w:sz w:val="22"/>
            <w:u w:val="single"/>
          </w:rPr>
          <w:t>Turin in 2025</w:t>
        </w:r>
      </w:hyperlink>
      <w:r w:rsidRPr="0062595A">
        <w:rPr>
          <w:rFonts w:eastAsia="MS Mincho"/>
          <w:sz w:val="22"/>
        </w:rPr>
        <w:t xml:space="preserve"> highlight how virtual worlds can contribute to digital public infrastructure and inclusive development. The next UN Virtual Worlds Day will take place on 11 May 2026 in Geneva.</w:t>
      </w:r>
    </w:p>
    <w:p w14:paraId="69FAB00B" w14:textId="77777777" w:rsidR="0062595A" w:rsidRPr="0062595A" w:rsidRDefault="0062595A" w:rsidP="00CB4EBA">
      <w:pPr>
        <w:keepNext/>
        <w:keepLines/>
        <w:suppressAutoHyphens/>
        <w:adjustRightInd/>
        <w:spacing w:before="240" w:after="120"/>
        <w:jc w:val="both"/>
        <w:rPr>
          <w:rFonts w:eastAsia="MS Mincho"/>
          <w:b/>
          <w:sz w:val="22"/>
          <w:szCs w:val="22"/>
        </w:rPr>
      </w:pPr>
      <w:bookmarkStart w:id="121" w:name="_Toc156392417"/>
      <w:r w:rsidRPr="0062595A">
        <w:rPr>
          <w:rFonts w:eastAsia="MS Mincho"/>
          <w:b/>
          <w:sz w:val="22"/>
          <w:szCs w:val="22"/>
        </w:rPr>
        <w:lastRenderedPageBreak/>
        <w:t>Digital transformation for smart cities and communities</w:t>
      </w:r>
      <w:bookmarkEnd w:id="121"/>
    </w:p>
    <w:bookmarkEnd w:id="120"/>
    <w:p w14:paraId="514076F4" w14:textId="5DEECB0F" w:rsidR="0062595A" w:rsidRPr="0062595A" w:rsidRDefault="0062595A" w:rsidP="00CB4EBA">
      <w:pPr>
        <w:keepNext/>
        <w:keepLines/>
        <w:suppressAutoHyphens/>
        <w:adjustRightInd/>
        <w:spacing w:after="120"/>
        <w:jc w:val="both"/>
        <w:rPr>
          <w:rFonts w:eastAsia="MS Mincho"/>
          <w:sz w:val="22"/>
        </w:rPr>
      </w:pPr>
      <w:r w:rsidRPr="0062595A">
        <w:rPr>
          <w:rFonts w:eastAsia="MS Mincho"/>
          <w:bCs/>
          <w:sz w:val="22"/>
          <w:szCs w:val="18"/>
          <w:lang w:eastAsia="en-GB"/>
        </w:rPr>
        <w:t xml:space="preserve">ITU-T Study Group 20 continues to advance digital transformation for smart cities and communities through the </w:t>
      </w:r>
      <w:hyperlink r:id="rId536" w:history="1">
        <w:r w:rsidRPr="00FC50D2">
          <w:rPr>
            <w:rStyle w:val="Hyperlink"/>
            <w:rFonts w:eastAsia="MS Mincho"/>
            <w:color w:val="0563C1"/>
            <w:sz w:val="22"/>
            <w:szCs w:val="22"/>
          </w:rPr>
          <w:t>United for Smart Sustainable Cities (U4SSC)</w:t>
        </w:r>
        <w:r w:rsidRPr="00FC50D2">
          <w:rPr>
            <w:rStyle w:val="Hyperlink"/>
            <w:rFonts w:eastAsia="MS Mincho"/>
            <w:color w:val="0563C1"/>
            <w:sz w:val="22"/>
          </w:rPr>
          <w:t xml:space="preserve"> </w:t>
        </w:r>
        <w:r w:rsidRPr="00FC50D2">
          <w:rPr>
            <w:rStyle w:val="Hyperlink"/>
            <w:rFonts w:eastAsia="MS Mincho"/>
            <w:bCs/>
            <w:color w:val="0563C1"/>
            <w:sz w:val="22"/>
            <w:szCs w:val="18"/>
            <w:lang w:eastAsia="en-GB"/>
          </w:rPr>
          <w:t>initiative</w:t>
        </w:r>
      </w:hyperlink>
      <w:r w:rsidRPr="0062595A">
        <w:rPr>
          <w:rFonts w:eastAsia="MS Mincho"/>
          <w:bCs/>
          <w:sz w:val="22"/>
          <w:szCs w:val="18"/>
          <w:lang w:eastAsia="en-GB"/>
        </w:rPr>
        <w:t>, supporting cities in adopting ITU standards–based approaches to sustainable urban development. With a strong focus on city governance, data integration, and people-centred digital strategies, this work helps cities plan, implement, and scale up smart and sustainable solutions.</w:t>
      </w:r>
    </w:p>
    <w:p w14:paraId="31205598" w14:textId="77777777" w:rsidR="0062595A" w:rsidRPr="0062595A" w:rsidRDefault="0062595A" w:rsidP="00C5530E">
      <w:pPr>
        <w:suppressAutoHyphens/>
        <w:adjustRightInd/>
        <w:spacing w:after="120"/>
        <w:jc w:val="both"/>
        <w:rPr>
          <w:rFonts w:eastAsia="MS Mincho"/>
          <w:sz w:val="22"/>
        </w:rPr>
      </w:pPr>
      <w:r w:rsidRPr="0062595A">
        <w:rPr>
          <w:rFonts w:eastAsia="MS Mincho"/>
          <w:bCs/>
          <w:sz w:val="22"/>
          <w:szCs w:val="18"/>
          <w:lang w:eastAsia="en-GB"/>
        </w:rPr>
        <w:t xml:space="preserve">Supported by 20 UN entities, U4SSC contributes directly to Sustainable Development Goal 11 (“Make cities and human settlements inclusive, safe, resilient and sustainable”) and the Pact for the Future. The initiative has expanded to more than 250 cities worldwide, applying </w:t>
      </w:r>
      <w:hyperlink r:id="rId537" w:history="1">
        <w:r w:rsidRPr="0062595A">
          <w:rPr>
            <w:rFonts w:eastAsia="MS Mincho"/>
            <w:bCs/>
            <w:color w:val="0563C1"/>
            <w:sz w:val="22"/>
            <w:szCs w:val="18"/>
            <w:u w:val="single"/>
            <w:lang w:eastAsia="en-GB"/>
          </w:rPr>
          <w:t>U4SSC Key Performance Indicators</w:t>
        </w:r>
      </w:hyperlink>
      <w:r w:rsidRPr="0062595A">
        <w:rPr>
          <w:rFonts w:eastAsia="MS Mincho"/>
          <w:bCs/>
          <w:sz w:val="22"/>
          <w:szCs w:val="18"/>
          <w:lang w:eastAsia="en-GB"/>
        </w:rPr>
        <w:t xml:space="preserve"> based on ITU standards. Results are shared through </w:t>
      </w:r>
      <w:hyperlink r:id="rId538" w:history="1">
        <w:r w:rsidRPr="0062595A">
          <w:rPr>
            <w:rFonts w:eastAsia="MS Mincho"/>
            <w:bCs/>
            <w:color w:val="0563C1"/>
            <w:sz w:val="22"/>
            <w:szCs w:val="18"/>
            <w:u w:val="single"/>
            <w:lang w:eastAsia="en-GB"/>
          </w:rPr>
          <w:t>city snapshots, reports and case studies</w:t>
        </w:r>
      </w:hyperlink>
      <w:r w:rsidRPr="0062595A">
        <w:rPr>
          <w:rFonts w:eastAsia="MS Mincho"/>
          <w:bCs/>
          <w:sz w:val="22"/>
          <w:szCs w:val="18"/>
          <w:lang w:eastAsia="en-GB"/>
        </w:rPr>
        <w:t>, providing evidence-based guidance for urban digital transformation.</w:t>
      </w:r>
    </w:p>
    <w:p w14:paraId="408071B9" w14:textId="77777777" w:rsidR="0062595A" w:rsidRPr="0062595A" w:rsidRDefault="0062595A" w:rsidP="00C5530E">
      <w:pPr>
        <w:suppressAutoHyphens/>
        <w:adjustRightInd/>
        <w:spacing w:after="120"/>
        <w:jc w:val="both"/>
        <w:rPr>
          <w:rFonts w:eastAsia="MS Mincho"/>
          <w:sz w:val="22"/>
        </w:rPr>
      </w:pPr>
      <w:r w:rsidRPr="0062595A">
        <w:rPr>
          <w:rFonts w:eastAsia="MS Mincho"/>
          <w:sz w:val="22"/>
          <w:szCs w:val="22"/>
        </w:rPr>
        <w:t xml:space="preserve">U4SSC has broadened its thematic scope through seven areas of expert guidance, delivered via </w:t>
      </w:r>
      <w:hyperlink r:id="rId539" w:history="1">
        <w:r w:rsidRPr="0062595A">
          <w:rPr>
            <w:rFonts w:eastAsia="MS Mincho"/>
            <w:color w:val="0563C1"/>
            <w:sz w:val="22"/>
            <w:szCs w:val="22"/>
            <w:u w:val="single"/>
          </w:rPr>
          <w:t>U4SSC Reports</w:t>
        </w:r>
      </w:hyperlink>
      <w:r w:rsidRPr="0062595A">
        <w:rPr>
          <w:rFonts w:eastAsia="MS Mincho"/>
          <w:sz w:val="22"/>
          <w:szCs w:val="22"/>
        </w:rPr>
        <w:t xml:space="preserve">, covering city platforms and data spaces; AI in cities; digital transformation for people-centred cities; digital public infrastructure; urban energy and buildings; socio-cultural sustainability; and future foresight. Regular </w:t>
      </w:r>
      <w:hyperlink r:id="rId540" w:history="1">
        <w:r w:rsidRPr="0062595A">
          <w:rPr>
            <w:rFonts w:eastAsia="MS Mincho"/>
            <w:color w:val="0563C1"/>
            <w:sz w:val="22"/>
            <w:szCs w:val="22"/>
            <w:u w:val="single"/>
          </w:rPr>
          <w:t>U4SSC meetings</w:t>
        </w:r>
      </w:hyperlink>
      <w:r w:rsidRPr="0062595A">
        <w:rPr>
          <w:rFonts w:eastAsia="MS Mincho"/>
          <w:sz w:val="22"/>
          <w:szCs w:val="22"/>
        </w:rPr>
        <w:t xml:space="preserve"> have strengthened governance structures, with new thematic groups supporting cities in designing sustainable, resilient, and inclusive digital strategies.</w:t>
      </w:r>
    </w:p>
    <w:p w14:paraId="1A97A751"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Complementing this work, </w:t>
      </w:r>
      <w:hyperlink r:id="rId541" w:history="1">
        <w:r w:rsidRPr="0062595A">
          <w:rPr>
            <w:rFonts w:eastAsia="MS Mincho"/>
            <w:color w:val="0563C1"/>
            <w:sz w:val="22"/>
            <w:u w:val="single"/>
          </w:rPr>
          <w:t>ITU Digital Transformation Dialogues</w:t>
        </w:r>
      </w:hyperlink>
      <w:r w:rsidRPr="0062595A">
        <w:rPr>
          <w:rFonts w:eastAsia="MS Mincho"/>
          <w:sz w:val="22"/>
        </w:rPr>
        <w:t xml:space="preserve"> provided a dynamic platform for sharing knowledge and deepening the understanding of emerging technologies and technical standardization across various fields. Through engaging sessions, the DTD series fosters discussions on the rapidly evolving digital landscape and its impact on industries and society.</w:t>
      </w:r>
    </w:p>
    <w:p w14:paraId="46FA917D"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The </w:t>
      </w:r>
      <w:hyperlink r:id="rId542" w:history="1">
        <w:r w:rsidRPr="0062595A">
          <w:rPr>
            <w:rFonts w:eastAsia="MS Mincho"/>
            <w:color w:val="0563C1"/>
            <w:sz w:val="22"/>
            <w:u w:val="single"/>
          </w:rPr>
          <w:t>ITU Digital Transformation and Cities Digest</w:t>
        </w:r>
      </w:hyperlink>
      <w:r w:rsidRPr="0062595A">
        <w:rPr>
          <w:rFonts w:eastAsia="MS Mincho"/>
          <w:sz w:val="22"/>
        </w:rPr>
        <w:t xml:space="preserve"> provides the latest updates on ITU’s activities on digital transformation, smart cities, virtual worlds and the metaverse. It also features information on upcoming events and new publications.</w:t>
      </w:r>
    </w:p>
    <w:p w14:paraId="15AC31B1"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In addition, ITU continues to curate a wealth of knowledge through the </w:t>
      </w:r>
      <w:hyperlink r:id="rId543" w:history="1">
        <w:r w:rsidRPr="0062595A">
          <w:rPr>
            <w:rFonts w:eastAsia="MS Mincho"/>
            <w:color w:val="0563C1"/>
            <w:sz w:val="22"/>
            <w:u w:val="single"/>
          </w:rPr>
          <w:t>Digital Transformation Resource Hub</w:t>
        </w:r>
      </w:hyperlink>
      <w:r w:rsidRPr="0062595A">
        <w:rPr>
          <w:rFonts w:eastAsia="MS Mincho"/>
          <w:sz w:val="22"/>
        </w:rPr>
        <w:t>, offering high-quality publications on key digital transformation topics. These include, digital public infrastructure, AI, the Internet of Things, blockchain, digital twins, the metaverse and virtual worlds, and emerging digital transformation trends.</w:t>
      </w:r>
    </w:p>
    <w:p w14:paraId="09FB1F82" w14:textId="77777777" w:rsidR="0062595A" w:rsidRPr="0062595A" w:rsidRDefault="0062595A" w:rsidP="00C5530E">
      <w:pPr>
        <w:keepNext/>
        <w:keepLines/>
        <w:suppressAutoHyphens/>
        <w:adjustRightInd/>
        <w:spacing w:before="240" w:after="120"/>
        <w:jc w:val="both"/>
        <w:rPr>
          <w:rFonts w:eastAsia="MS Mincho"/>
          <w:b/>
          <w:sz w:val="22"/>
          <w:szCs w:val="22"/>
        </w:rPr>
      </w:pPr>
      <w:bookmarkStart w:id="122" w:name="_Toc156392418"/>
      <w:r w:rsidRPr="0062595A">
        <w:rPr>
          <w:rFonts w:eastAsia="MS Mincho"/>
          <w:b/>
          <w:sz w:val="22"/>
          <w:szCs w:val="22"/>
        </w:rPr>
        <w:t>Intelligent transport systems</w:t>
      </w:r>
      <w:bookmarkEnd w:id="122"/>
      <w:r w:rsidRPr="0062595A">
        <w:rPr>
          <w:rFonts w:eastAsia="MS Mincho"/>
          <w:b/>
          <w:sz w:val="22"/>
          <w:szCs w:val="22"/>
        </w:rPr>
        <w:t xml:space="preserve"> </w:t>
      </w:r>
      <w:bookmarkStart w:id="123" w:name="_Hlk92287189"/>
    </w:p>
    <w:p w14:paraId="01F4674B" w14:textId="77777777" w:rsidR="0062595A" w:rsidRPr="0062595A" w:rsidRDefault="0062595A" w:rsidP="00C5530E">
      <w:pPr>
        <w:keepNext/>
        <w:keepLines/>
        <w:suppressAutoHyphens/>
        <w:adjustRightInd/>
        <w:spacing w:after="120"/>
        <w:jc w:val="both"/>
        <w:textAlignment w:val="auto"/>
        <w:rPr>
          <w:rFonts w:eastAsia="MS Mincho"/>
          <w:sz w:val="22"/>
        </w:rPr>
      </w:pPr>
      <w:r w:rsidRPr="0062595A">
        <w:rPr>
          <w:rFonts w:eastAsia="MS Mincho"/>
          <w:sz w:val="22"/>
        </w:rPr>
        <w:t xml:space="preserve">During WTSA-24, a new </w:t>
      </w:r>
      <w:hyperlink r:id="rId544" w:history="1">
        <w:r w:rsidRPr="0062595A">
          <w:rPr>
            <w:rFonts w:eastAsia="MS Mincho"/>
            <w:color w:val="0563C1"/>
            <w:sz w:val="22"/>
            <w:u w:val="single"/>
          </w:rPr>
          <w:t>Resolution 104</w:t>
        </w:r>
      </w:hyperlink>
      <w:r w:rsidRPr="0062595A">
        <w:rPr>
          <w:rFonts w:eastAsia="MS Mincho"/>
          <w:sz w:val="22"/>
        </w:rPr>
        <w:t xml:space="preserve"> was adopted on Promoting and Strengthening Standardization Activities for Vehicular Communications. In the framework of the new Resolution 104, ITU signed a </w:t>
      </w:r>
      <w:hyperlink r:id="rId545" w:history="1">
        <w:r w:rsidRPr="0062595A">
          <w:rPr>
            <w:rFonts w:eastAsia="MS Mincho"/>
            <w:color w:val="0563C1"/>
            <w:sz w:val="22"/>
            <w:u w:val="single"/>
          </w:rPr>
          <w:t>memorandum of understanding with SAE International</w:t>
        </w:r>
      </w:hyperlink>
      <w:r w:rsidRPr="0062595A">
        <w:rPr>
          <w:rFonts w:eastAsia="MS Mincho"/>
          <w:sz w:val="22"/>
        </w:rPr>
        <w:t xml:space="preserve"> on 11 July 2025 to expand collaboration on vehicular communications and intelligent transport systems activities, which will facilitate global efforts to enhance road safety, support automated driving, and contribute to related sustainable development goals.</w:t>
      </w:r>
    </w:p>
    <w:p w14:paraId="182B4A0B" w14:textId="77777777" w:rsidR="0062595A" w:rsidRPr="0062595A" w:rsidRDefault="0062595A" w:rsidP="00C5530E">
      <w:pPr>
        <w:suppressAutoHyphens/>
        <w:adjustRightInd/>
        <w:spacing w:after="120"/>
        <w:jc w:val="both"/>
        <w:textAlignment w:val="auto"/>
        <w:rPr>
          <w:rFonts w:eastAsia="MS Mincho"/>
          <w:sz w:val="22"/>
        </w:rPr>
      </w:pPr>
      <w:r w:rsidRPr="0062595A">
        <w:rPr>
          <w:rFonts w:eastAsia="MS Mincho"/>
          <w:sz w:val="22"/>
        </w:rPr>
        <w:t>The Collaboration on ITS Communication Standards (</w:t>
      </w:r>
      <w:hyperlink r:id="rId546" w:history="1">
        <w:r w:rsidRPr="0062595A">
          <w:rPr>
            <w:rFonts w:eastAsia="MS Mincho"/>
            <w:color w:val="0563C1"/>
            <w:sz w:val="22"/>
            <w:u w:val="single"/>
          </w:rPr>
          <w:t>CITS</w:t>
        </w:r>
      </w:hyperlink>
      <w:r w:rsidRPr="0062595A">
        <w:rPr>
          <w:rFonts w:eastAsia="MS Mincho"/>
          <w:sz w:val="22"/>
        </w:rPr>
        <w:t xml:space="preserve">) established itself as a recognized global platform bringing together experts from standards bodies, industry and government to share information and examine worldwide </w:t>
      </w:r>
      <w:hyperlink r:id="rId547" w:history="1">
        <w:r w:rsidRPr="0062595A">
          <w:rPr>
            <w:rFonts w:eastAsia="MS Mincho"/>
            <w:color w:val="0563C1"/>
            <w:sz w:val="22"/>
            <w:u w:val="single"/>
          </w:rPr>
          <w:t>standards on Intelligent Transportation Systems (ITS)</w:t>
        </w:r>
      </w:hyperlink>
      <w:r w:rsidRPr="0062595A">
        <w:rPr>
          <w:rFonts w:eastAsia="MS Mincho"/>
          <w:sz w:val="22"/>
        </w:rPr>
        <w:t xml:space="preserve">. In the framework of the CITS, the </w:t>
      </w:r>
      <w:hyperlink r:id="rId548" w:history="1">
        <w:r w:rsidRPr="0062595A">
          <w:rPr>
            <w:rFonts w:eastAsia="MS Mincho"/>
            <w:color w:val="0563C1"/>
            <w:sz w:val="22"/>
            <w:u w:val="single"/>
          </w:rPr>
          <w:t>Expert Group on Communications Technology for Automated Driving</w:t>
        </w:r>
      </w:hyperlink>
      <w:r w:rsidRPr="0062595A">
        <w:rPr>
          <w:rFonts w:eastAsia="MS Mincho"/>
          <w:sz w:val="22"/>
        </w:rPr>
        <w:t xml:space="preserve"> (EG-ComAD) has been established. The activities of EG-ComAD are conducted through three Working Groups: (WG1) </w:t>
      </w:r>
      <w:hyperlink r:id="rId549" w:history="1">
        <w:r w:rsidRPr="0062595A">
          <w:rPr>
            <w:rFonts w:eastAsia="MS Mincho"/>
            <w:i/>
            <w:iCs/>
            <w:color w:val="0563C1"/>
            <w:sz w:val="22"/>
            <w:u w:val="single"/>
          </w:rPr>
          <w:t>“Vehicular communications for merging automatically into congested lanes”</w:t>
        </w:r>
      </w:hyperlink>
      <w:r w:rsidRPr="0062595A">
        <w:rPr>
          <w:rFonts w:eastAsia="MS Mincho"/>
          <w:sz w:val="22"/>
        </w:rPr>
        <w:t xml:space="preserve">, (WG2) </w:t>
      </w:r>
      <w:hyperlink r:id="rId550" w:history="1">
        <w:r w:rsidRPr="0062595A">
          <w:rPr>
            <w:rFonts w:eastAsia="MS Mincho"/>
            <w:i/>
            <w:iCs/>
            <w:color w:val="0563C1"/>
            <w:sz w:val="22"/>
            <w:u w:val="single"/>
          </w:rPr>
          <w:t>“Vehicular communications for advanced emergency braking, including to protect vulnerable road users (VRUs)”</w:t>
        </w:r>
      </w:hyperlink>
      <w:r w:rsidRPr="0062595A">
        <w:rPr>
          <w:rFonts w:eastAsia="MS Mincho"/>
          <w:sz w:val="22"/>
        </w:rPr>
        <w:t xml:space="preserve"> and (WG3) </w:t>
      </w:r>
      <w:hyperlink r:id="rId551" w:history="1">
        <w:r w:rsidRPr="0062595A">
          <w:rPr>
            <w:rFonts w:eastAsia="MS Mincho"/>
            <w:i/>
            <w:iCs/>
            <w:color w:val="0563C1"/>
            <w:sz w:val="22"/>
            <w:u w:val="single"/>
          </w:rPr>
          <w:t>“Technical and Economic Sustainability for Vehicular Communications”</w:t>
        </w:r>
      </w:hyperlink>
      <w:r w:rsidRPr="0062595A">
        <w:rPr>
          <w:rFonts w:eastAsia="MS Mincho"/>
          <w:sz w:val="22"/>
        </w:rPr>
        <w:t>.</w:t>
      </w:r>
    </w:p>
    <w:p w14:paraId="4FC43867" w14:textId="77777777" w:rsidR="0062595A" w:rsidRPr="0062595A" w:rsidRDefault="0062595A" w:rsidP="00C5530E">
      <w:pPr>
        <w:suppressAutoHyphens/>
        <w:adjustRightInd/>
        <w:spacing w:after="120"/>
        <w:jc w:val="both"/>
        <w:rPr>
          <w:rFonts w:eastAsia="MS Mincho"/>
          <w:sz w:val="22"/>
        </w:rPr>
      </w:pPr>
      <w:r w:rsidRPr="0062595A">
        <w:rPr>
          <w:rFonts w:eastAsia="MS Mincho" w:cs="Calibri"/>
          <w:sz w:val="22"/>
          <w:szCs w:val="24"/>
        </w:rPr>
        <w:t xml:space="preserve">ITU also continues to advance intelligent transport systems (ITS) through its collaboration with the UN Economic Commission for Europe (UNECE) and the automotive ecosystem. The </w:t>
      </w:r>
      <w:hyperlink r:id="rId552" w:history="1">
        <w:r w:rsidRPr="0062595A">
          <w:rPr>
            <w:rFonts w:eastAsia="MS Mincho" w:cs="Calibri"/>
            <w:color w:val="0563C1"/>
            <w:sz w:val="22"/>
            <w:szCs w:val="24"/>
            <w:u w:val="single"/>
          </w:rPr>
          <w:t>ITU–UNECE Future Networked Car Symposium</w:t>
        </w:r>
      </w:hyperlink>
      <w:r w:rsidRPr="0062595A">
        <w:rPr>
          <w:rFonts w:eastAsia="MS Mincho"/>
          <w:sz w:val="22"/>
        </w:rPr>
        <w:t xml:space="preserve"> (FNC)</w:t>
      </w:r>
      <w:r w:rsidRPr="0062595A">
        <w:rPr>
          <w:rFonts w:eastAsia="MS Mincho" w:cs="Calibri"/>
          <w:sz w:val="22"/>
          <w:szCs w:val="24"/>
        </w:rPr>
        <w:t xml:space="preserve"> brings together industry, regulators and experts to examine the latest developments in vehicle automation, connectivity and regulation. ITU and UNECE have organized various editions of the FNC Symposium, one in 2022, two in 2023 (with a spin off in Qatar), </w:t>
      </w:r>
      <w:r w:rsidRPr="0062595A">
        <w:rPr>
          <w:rFonts w:eastAsia="MS Mincho" w:cs="Calibri"/>
          <w:sz w:val="22"/>
          <w:szCs w:val="24"/>
        </w:rPr>
        <w:lastRenderedPageBreak/>
        <w:t xml:space="preserve">one in 2024, two in 2025 when met under the framework of </w:t>
      </w:r>
      <w:hyperlink r:id="rId553" w:history="1">
        <w:r w:rsidRPr="0062595A">
          <w:rPr>
            <w:rFonts w:eastAsia="MS Mincho" w:cs="Calibri"/>
            <w:color w:val="0563C1"/>
            <w:sz w:val="22"/>
            <w:szCs w:val="24"/>
            <w:u w:val="single"/>
          </w:rPr>
          <w:t>AI for Good Summit</w:t>
        </w:r>
      </w:hyperlink>
      <w:r w:rsidRPr="0062595A">
        <w:rPr>
          <w:rFonts w:eastAsia="MS Mincho" w:cs="Calibri"/>
          <w:sz w:val="22"/>
          <w:szCs w:val="24"/>
        </w:rPr>
        <w:t xml:space="preserve">. See </w:t>
      </w:r>
      <w:hyperlink r:id="rId554" w:history="1">
        <w:r w:rsidRPr="0062595A">
          <w:rPr>
            <w:rFonts w:eastAsia="MS Mincho" w:cs="Calibri"/>
            <w:color w:val="0563C1"/>
            <w:sz w:val="22"/>
            <w:szCs w:val="24"/>
            <w:u w:val="single"/>
          </w:rPr>
          <w:t>here</w:t>
        </w:r>
      </w:hyperlink>
      <w:r w:rsidRPr="0062595A">
        <w:rPr>
          <w:rFonts w:eastAsia="MS Mincho" w:cs="Calibri"/>
          <w:sz w:val="22"/>
          <w:szCs w:val="24"/>
        </w:rPr>
        <w:t xml:space="preserve"> for the various </w:t>
      </w:r>
      <w:hyperlink r:id="rId555" w:history="1">
        <w:r w:rsidRPr="0062595A">
          <w:rPr>
            <w:rFonts w:eastAsia="MS Mincho" w:cs="Calibri"/>
            <w:color w:val="0563C1"/>
            <w:sz w:val="22"/>
            <w:szCs w:val="24"/>
            <w:u w:val="single"/>
          </w:rPr>
          <w:t>ITS-related events</w:t>
        </w:r>
      </w:hyperlink>
      <w:r w:rsidRPr="0062595A">
        <w:rPr>
          <w:rFonts w:eastAsia="MS Mincho" w:cs="Calibri"/>
          <w:sz w:val="22"/>
          <w:szCs w:val="24"/>
        </w:rPr>
        <w:t>.</w:t>
      </w:r>
    </w:p>
    <w:p w14:paraId="35B49EEF" w14:textId="77777777" w:rsidR="0062595A" w:rsidRPr="0062595A" w:rsidRDefault="0062595A" w:rsidP="00C5530E">
      <w:pPr>
        <w:suppressAutoHyphens/>
        <w:adjustRightInd/>
        <w:spacing w:before="240" w:after="120"/>
        <w:jc w:val="both"/>
        <w:rPr>
          <w:rFonts w:eastAsia="MS Mincho"/>
          <w:b/>
          <w:sz w:val="22"/>
          <w:szCs w:val="22"/>
        </w:rPr>
      </w:pPr>
      <w:bookmarkStart w:id="124" w:name="_5.6_CTO_and"/>
      <w:bookmarkStart w:id="125" w:name="_Toc156392419"/>
      <w:bookmarkEnd w:id="124"/>
      <w:r w:rsidRPr="0062595A">
        <w:rPr>
          <w:rFonts w:eastAsia="MS Mincho"/>
          <w:b/>
          <w:sz w:val="22"/>
          <w:szCs w:val="22"/>
        </w:rPr>
        <w:t>CTO and CxO meetings</w:t>
      </w:r>
      <w:bookmarkEnd w:id="125"/>
    </w:p>
    <w:bookmarkEnd w:id="123"/>
    <w:p w14:paraId="6D4216A8" w14:textId="77777777" w:rsidR="0062595A" w:rsidRPr="0062595A" w:rsidRDefault="0062595A" w:rsidP="00C5530E">
      <w:pPr>
        <w:suppressAutoHyphens/>
        <w:adjustRightInd/>
        <w:spacing w:after="120"/>
        <w:jc w:val="both"/>
        <w:textAlignment w:val="auto"/>
        <w:rPr>
          <w:rFonts w:eastAsia="MS Mincho"/>
          <w:sz w:val="22"/>
        </w:rPr>
      </w:pPr>
      <w:r w:rsidRPr="0062595A">
        <w:rPr>
          <w:rFonts w:eastAsia="MS Mincho"/>
          <w:sz w:val="22"/>
        </w:rPr>
        <w:t>The ITU's annual CxO roundtables from December 2023 to November 2025 served as crucial high-level forums for industry executives to discuss priorities and standardization activities across rapidly evolving telecommunications and emerging technologies. These events consistently highlighted the need for ITU leadership in shaping the future digital landscape.</w:t>
      </w:r>
    </w:p>
    <w:p w14:paraId="1B6C1116" w14:textId="77777777" w:rsidR="0062595A" w:rsidRPr="0062595A" w:rsidRDefault="0062595A" w:rsidP="00C5530E">
      <w:pPr>
        <w:suppressAutoHyphens/>
        <w:adjustRightInd/>
        <w:spacing w:after="120"/>
        <w:jc w:val="both"/>
        <w:textAlignment w:val="auto"/>
        <w:rPr>
          <w:rFonts w:eastAsia="MS Mincho"/>
          <w:sz w:val="22"/>
        </w:rPr>
      </w:pPr>
      <w:r w:rsidRPr="0062595A">
        <w:rPr>
          <w:rFonts w:eastAsia="MS Mincho"/>
          <w:sz w:val="22"/>
        </w:rPr>
        <w:t>The December 2023 roundtable in Dubai underscored ITU's role in developing standards for 6G transport networks, focusing on cost-effective optical solutions. Discussions emphasized AI and machine learning for network optimization, the potential of Non-Terrestrial Networks (NTN) for remote connectivity, and the importance of standardizing vehicle connectivity for smart mobility and disaster response. Emerging security concerns like voice traffic fraud and biometric SIM registration prompted calls for ITU guidance, alongside support for quantum information technologies standardization.</w:t>
      </w:r>
    </w:p>
    <w:p w14:paraId="1BD83BC1" w14:textId="77777777" w:rsidR="0062595A" w:rsidRPr="0062595A" w:rsidRDefault="0062595A" w:rsidP="00C5530E">
      <w:pPr>
        <w:suppressAutoHyphens/>
        <w:adjustRightInd/>
        <w:spacing w:after="120"/>
        <w:jc w:val="both"/>
        <w:textAlignment w:val="auto"/>
        <w:rPr>
          <w:rFonts w:eastAsia="MS Mincho"/>
          <w:sz w:val="22"/>
        </w:rPr>
      </w:pPr>
      <w:r w:rsidRPr="0062595A">
        <w:rPr>
          <w:rFonts w:eastAsia="MS Mincho"/>
          <w:sz w:val="22"/>
        </w:rPr>
        <w:t>A year later, the December 2024 roundtable, also in Dubai, continued these themes by advocating for an ITU standardization roadmap towards 2030 for optical networks supporting IMT-2030 (also known as 6G). Various C-level executives (</w:t>
      </w:r>
      <w:proofErr w:type="spellStart"/>
      <w:r w:rsidRPr="0062595A">
        <w:rPr>
          <w:rFonts w:eastAsia="MS Mincho"/>
          <w:sz w:val="22"/>
        </w:rPr>
        <w:t>CxOs</w:t>
      </w:r>
      <w:proofErr w:type="spellEnd"/>
      <w:r w:rsidRPr="0062595A">
        <w:rPr>
          <w:rFonts w:eastAsia="MS Mincho"/>
          <w:sz w:val="22"/>
        </w:rPr>
        <w:t>) highlighted network intelligence, environmental sustainability through Large Language Models (LLMs), and the development of open-source, multilingual AI. Key discussions included harmonizing standards for cross-border data flow, implementing global countermeasures against voice fraud (such as "do not originate" lists), and providing ITU guidance for NTN adoption to enhance connectivity and public safety. Reliable broadband networks for emergency services were also prioritized.</w:t>
      </w:r>
    </w:p>
    <w:p w14:paraId="51792EE2" w14:textId="77777777" w:rsidR="0062595A" w:rsidRPr="0062595A" w:rsidRDefault="0062595A" w:rsidP="00C5530E">
      <w:pPr>
        <w:suppressAutoHyphens/>
        <w:adjustRightInd/>
        <w:spacing w:after="120"/>
        <w:jc w:val="both"/>
        <w:textAlignment w:val="auto"/>
        <w:rPr>
          <w:rFonts w:eastAsia="MS Mincho"/>
          <w:sz w:val="22"/>
        </w:rPr>
      </w:pPr>
      <w:r w:rsidRPr="0062595A">
        <w:rPr>
          <w:rFonts w:eastAsia="MS Mincho"/>
          <w:sz w:val="22"/>
        </w:rPr>
        <w:t>The November 2025 CxO roundtable in Munich further evolved these discussions, centring on key industry priorities where AI plays a pivotal role: performance, resilience, environmental sustainability, and security. It emphasized the need for responsible and trusted AI, calling for standards on ethics, data integrity, and zero trust architectures. Data centre innovations, driven by AI workloads and collaboration with power industries for renewable energy, were prominent topics. Non-terrestrial networks remained a focus for enhancing connectivity in rural and emergency areas, with a call for new performance indicators. Emerging technologies like distributed optical fibre sensing, quantum information technologies, and ultra-high-definition media were also identified for standardization efforts.</w:t>
      </w:r>
    </w:p>
    <w:p w14:paraId="310870CA" w14:textId="77777777" w:rsidR="0062595A" w:rsidRPr="0062595A" w:rsidRDefault="0062595A" w:rsidP="00C5530E">
      <w:pPr>
        <w:suppressAutoHyphens/>
        <w:adjustRightInd/>
        <w:spacing w:after="120"/>
        <w:jc w:val="both"/>
        <w:textAlignment w:val="auto"/>
        <w:rPr>
          <w:rFonts w:eastAsia="MS Mincho"/>
          <w:sz w:val="22"/>
        </w:rPr>
      </w:pPr>
      <w:r w:rsidRPr="0062595A">
        <w:rPr>
          <w:rFonts w:eastAsia="MS Mincho"/>
          <w:sz w:val="22"/>
        </w:rPr>
        <w:t>Collectively, these meetings showcased a consistent and evolving mandate for ITU's leadership in developing global standards for transformative technologies such as AI, 6G, NTN, and quantum computing, while simultaneously addressing cybersecurity threats and promoting environmental sustainability within the digital ecosystem.</w:t>
      </w:r>
    </w:p>
    <w:p w14:paraId="28E083F2" w14:textId="77777777" w:rsidR="0062595A" w:rsidRPr="0062595A" w:rsidRDefault="0062595A" w:rsidP="00C5530E">
      <w:pPr>
        <w:keepNext/>
        <w:keepLines/>
        <w:suppressAutoHyphens/>
        <w:adjustRightInd/>
        <w:spacing w:before="240" w:after="120"/>
        <w:jc w:val="both"/>
        <w:rPr>
          <w:rFonts w:eastAsia="SimSun" w:cs="Arial"/>
          <w:b/>
          <w:sz w:val="22"/>
          <w:szCs w:val="22"/>
        </w:rPr>
      </w:pPr>
      <w:r w:rsidRPr="0062595A">
        <w:rPr>
          <w:rFonts w:eastAsia="SimSun" w:cs="Arial"/>
          <w:b/>
          <w:sz w:val="22"/>
          <w:szCs w:val="22"/>
        </w:rPr>
        <w:t>World Standards Cooperation</w:t>
      </w:r>
    </w:p>
    <w:p w14:paraId="56F1FF79" w14:textId="77777777" w:rsidR="0062595A" w:rsidRPr="0062595A" w:rsidRDefault="0062595A" w:rsidP="00C5530E">
      <w:pPr>
        <w:keepNext/>
        <w:keepLines/>
        <w:suppressAutoHyphens/>
        <w:adjustRightInd/>
        <w:spacing w:after="120"/>
        <w:jc w:val="both"/>
        <w:textAlignment w:val="auto"/>
        <w:rPr>
          <w:rFonts w:eastAsia="MS Mincho"/>
          <w:sz w:val="22"/>
        </w:rPr>
      </w:pPr>
      <w:r w:rsidRPr="0062595A">
        <w:rPr>
          <w:rFonts w:eastAsia="MS Mincho"/>
          <w:sz w:val="22"/>
        </w:rPr>
        <w:t xml:space="preserve">The </w:t>
      </w:r>
      <w:hyperlink r:id="rId556" w:history="1">
        <w:r w:rsidRPr="0062595A">
          <w:rPr>
            <w:rFonts w:eastAsia="MS Mincho"/>
            <w:color w:val="0563C1"/>
            <w:sz w:val="22"/>
            <w:u w:val="single"/>
          </w:rPr>
          <w:t>World Standards Cooperation</w:t>
        </w:r>
      </w:hyperlink>
      <w:r w:rsidRPr="0062595A">
        <w:rPr>
          <w:rFonts w:eastAsia="MS Mincho"/>
          <w:sz w:val="22"/>
        </w:rPr>
        <w:t>, is a partnership of ITU, the International Electrotechnical Commission (IEC), and the International Organization for Standardization (ISO) to advance the voluntary consensus-based international standardization system.</w:t>
      </w:r>
      <w:r w:rsidRPr="0062595A">
        <w:rPr>
          <w:rFonts w:ascii="Arial" w:eastAsia="MS Mincho" w:hAnsi="Arial" w:cs="Arial"/>
          <w:sz w:val="22"/>
        </w:rPr>
        <w:t> </w:t>
      </w:r>
    </w:p>
    <w:p w14:paraId="1CE2A791" w14:textId="5988E59D" w:rsidR="0062595A" w:rsidRPr="0062595A" w:rsidRDefault="0062595A" w:rsidP="00C5530E">
      <w:pPr>
        <w:suppressAutoHyphens/>
        <w:adjustRightInd/>
        <w:spacing w:after="120"/>
        <w:jc w:val="both"/>
        <w:textAlignment w:val="auto"/>
        <w:rPr>
          <w:rFonts w:eastAsia="MS Mincho"/>
          <w:sz w:val="22"/>
        </w:rPr>
      </w:pPr>
      <w:r w:rsidRPr="0062595A">
        <w:rPr>
          <w:rFonts w:eastAsia="MS Mincho"/>
          <w:sz w:val="22"/>
        </w:rPr>
        <w:t xml:space="preserve">Joint activities include leading </w:t>
      </w:r>
      <w:hyperlink r:id="rId557" w:history="1">
        <w:r w:rsidRPr="0062595A">
          <w:rPr>
            <w:rFonts w:eastAsia="MS Mincho"/>
            <w:color w:val="0563C1"/>
            <w:sz w:val="22"/>
            <w:u w:val="single"/>
          </w:rPr>
          <w:t>World Standards Day</w:t>
        </w:r>
      </w:hyperlink>
      <w:r w:rsidRPr="0062595A">
        <w:rPr>
          <w:rFonts w:eastAsia="MS Mincho"/>
          <w:sz w:val="22"/>
        </w:rPr>
        <w:t xml:space="preserve"> under the theme of how</w:t>
      </w:r>
      <w:r w:rsidR="00D435EB">
        <w:rPr>
          <w:rFonts w:eastAsia="MS Mincho"/>
          <w:sz w:val="22"/>
        </w:rPr>
        <w:t xml:space="preserve"> </w:t>
      </w:r>
      <w:r w:rsidRPr="0062595A">
        <w:rPr>
          <w:rFonts w:eastAsia="MS Mincho"/>
          <w:sz w:val="22"/>
        </w:rPr>
        <w:t xml:space="preserve">standards provide a shared framework that enables meaningful collaboration across industries, governments, and organizations to achieve common objectives of sustainable development (See </w:t>
      </w:r>
      <w:hyperlink r:id="rId558" w:history="1">
        <w:r w:rsidRPr="0062595A">
          <w:rPr>
            <w:rFonts w:eastAsia="MS Mincho"/>
            <w:color w:val="0563C1"/>
            <w:sz w:val="22"/>
            <w:u w:val="single"/>
          </w:rPr>
          <w:t>past editions of World Standards Day</w:t>
        </w:r>
      </w:hyperlink>
      <w:r w:rsidRPr="0062595A">
        <w:rPr>
          <w:rFonts w:eastAsia="MS Mincho"/>
          <w:sz w:val="22"/>
        </w:rPr>
        <w:t>).</w:t>
      </w:r>
    </w:p>
    <w:p w14:paraId="3E431AA7" w14:textId="77777777" w:rsidR="0062595A" w:rsidRPr="0062595A" w:rsidRDefault="0062595A" w:rsidP="00C5530E">
      <w:pPr>
        <w:suppressAutoHyphens/>
        <w:adjustRightInd/>
        <w:spacing w:after="120"/>
        <w:jc w:val="both"/>
        <w:textAlignment w:val="auto"/>
        <w:rPr>
          <w:rFonts w:eastAsia="MS Mincho"/>
          <w:sz w:val="22"/>
        </w:rPr>
      </w:pPr>
      <w:r w:rsidRPr="0062595A">
        <w:rPr>
          <w:rFonts w:eastAsia="MS Mincho"/>
          <w:sz w:val="22"/>
        </w:rPr>
        <w:t xml:space="preserve">The partners have also deepened collaboration on sustainability and AI, including joint statements at </w:t>
      </w:r>
      <w:hyperlink r:id="rId559" w:history="1">
        <w:r w:rsidRPr="0062595A">
          <w:rPr>
            <w:rFonts w:eastAsia="MS Mincho"/>
            <w:color w:val="0563C1"/>
            <w:sz w:val="22"/>
            <w:u w:val="single"/>
          </w:rPr>
          <w:t>COP28</w:t>
        </w:r>
      </w:hyperlink>
      <w:r w:rsidRPr="0062595A">
        <w:rPr>
          <w:rFonts w:eastAsia="MS Mincho"/>
          <w:sz w:val="22"/>
        </w:rPr>
        <w:t xml:space="preserve"> and </w:t>
      </w:r>
      <w:hyperlink r:id="rId560" w:history="1">
        <w:r w:rsidRPr="0062595A">
          <w:rPr>
            <w:rFonts w:eastAsia="MS Mincho"/>
            <w:color w:val="0563C1"/>
            <w:sz w:val="22"/>
            <w:u w:val="single"/>
          </w:rPr>
          <w:t>COP29</w:t>
        </w:r>
      </w:hyperlink>
      <w:r w:rsidRPr="0062595A">
        <w:rPr>
          <w:rFonts w:eastAsia="MS Mincho"/>
          <w:sz w:val="22"/>
        </w:rPr>
        <w:t xml:space="preserve"> on embedding sustainability into technical standards by design, aimed at achieving net-zero emissions and a resource-efficient, circular, and low-carbon economy in cooperation under </w:t>
      </w:r>
      <w:r w:rsidRPr="0062595A">
        <w:rPr>
          <w:rFonts w:eastAsia="MS Mincho"/>
          <w:sz w:val="22"/>
        </w:rPr>
        <w:lastRenderedPageBreak/>
        <w:t>the Green Digital Action track. The partnership also maintained a joint presence in the Standards Pavillion at COP29 and COP30, displaying a unified approach in advocating the role of international standards in climate action.</w:t>
      </w:r>
    </w:p>
    <w:p w14:paraId="2F623C41" w14:textId="2E9DC0F2" w:rsidR="0062595A" w:rsidRPr="0062595A" w:rsidRDefault="0062595A" w:rsidP="00C5530E">
      <w:pPr>
        <w:suppressAutoHyphens/>
        <w:adjustRightInd/>
        <w:spacing w:after="120"/>
        <w:jc w:val="both"/>
        <w:textAlignment w:val="auto"/>
        <w:rPr>
          <w:rFonts w:eastAsia="MS Mincho"/>
          <w:sz w:val="22"/>
        </w:rPr>
      </w:pPr>
      <w:r w:rsidRPr="0062595A">
        <w:rPr>
          <w:rFonts w:eastAsia="MS Mincho"/>
          <w:sz w:val="22"/>
        </w:rPr>
        <w:t xml:space="preserve">Other recent joint collaborative initiatives include the </w:t>
      </w:r>
      <w:hyperlink r:id="rId561" w:history="1">
        <w:r w:rsidRPr="0062595A">
          <w:rPr>
            <w:rFonts w:eastAsia="MS Mincho"/>
            <w:color w:val="0563C1"/>
            <w:sz w:val="22"/>
            <w:u w:val="single"/>
          </w:rPr>
          <w:t>AI and Multimedia Authenticity Standards Collaboration (AMAS)</w:t>
        </w:r>
      </w:hyperlink>
      <w:r w:rsidRPr="0062595A">
        <w:rPr>
          <w:rFonts w:cs="Calibri"/>
          <w:sz w:val="22"/>
          <w:szCs w:val="22"/>
          <w:lang w:eastAsia="en-GB"/>
        </w:rPr>
        <w:t xml:space="preserve"> to combat deepfakes, misinformation and disinformation. The AI and multimedia authenticity standards collaboration bring together standards development bodies, technology leaders, academic experts, policymakers, and civil society</w:t>
      </w:r>
      <w:r w:rsidRPr="0062595A">
        <w:rPr>
          <w:rFonts w:eastAsia="MS Mincho" w:cs="Calibri"/>
          <w:color w:val="000000"/>
          <w:sz w:val="22"/>
          <w:szCs w:val="22"/>
          <w:shd w:val="clear" w:color="auto" w:fill="FFFFFF"/>
        </w:rPr>
        <w:t xml:space="preserve"> </w:t>
      </w:r>
      <w:r w:rsidRPr="0062595A">
        <w:rPr>
          <w:rFonts w:cs="Calibri"/>
          <w:sz w:val="22"/>
          <w:szCs w:val="22"/>
          <w:lang w:eastAsia="en-GB"/>
        </w:rPr>
        <w:t>to build a future where we can trust digital content.</w:t>
      </w:r>
      <w:r w:rsidRPr="0062595A">
        <w:rPr>
          <w:rFonts w:ascii="Segoe UI" w:hAnsi="Segoe UI" w:cs="Segoe UI"/>
          <w:sz w:val="22"/>
          <w:szCs w:val="22"/>
          <w:lang w:eastAsia="en-GB"/>
        </w:rPr>
        <w:t xml:space="preserve"> </w:t>
      </w:r>
      <w:r w:rsidRPr="0062595A">
        <w:rPr>
          <w:rFonts w:eastAsia="MS Mincho"/>
          <w:sz w:val="22"/>
        </w:rPr>
        <w:t>The work of AMAS is focused on developing a mapping of the standards landscape for multimedia authenticity and an assessment of the legal and policies adopted by various governments, industry and civil society to address the challenges of deepfakes, misinformation and disinformation. On 11 July 2025, at the </w:t>
      </w:r>
      <w:r w:rsidRPr="0062595A">
        <w:rPr>
          <w:rFonts w:eastAsia="MS Mincho"/>
          <w:i/>
          <w:iCs/>
          <w:sz w:val="22"/>
        </w:rPr>
        <w:t>AI for Good Global Summit</w:t>
      </w:r>
      <w:r w:rsidRPr="0062595A">
        <w:rPr>
          <w:rFonts w:eastAsia="MS Mincho"/>
          <w:sz w:val="22"/>
        </w:rPr>
        <w:t xml:space="preserve">, the AMAS launched group released </w:t>
      </w:r>
      <w:hyperlink r:id="rId562" w:anchor="reports" w:history="1">
        <w:r w:rsidRPr="0062595A">
          <w:rPr>
            <w:rFonts w:eastAsia="MS Mincho"/>
            <w:color w:val="0563C1"/>
            <w:sz w:val="22"/>
            <w:u w:val="single"/>
          </w:rPr>
          <w:t>two reports</w:t>
        </w:r>
      </w:hyperlink>
      <w:r w:rsidRPr="0062595A">
        <w:rPr>
          <w:rFonts w:eastAsia="MS Mincho"/>
          <w:sz w:val="22"/>
        </w:rPr>
        <w:t xml:space="preserve"> – a technical paper on the standards mapping landscape for multimedia authenticity and a policy paper offering recommendations to guide the governance of AI globally and combat deepfakes, mis-and-disinformation</w:t>
      </w:r>
      <w:r w:rsidRPr="0062595A">
        <w:rPr>
          <w:rFonts w:eastAsia="MS Mincho"/>
          <w:sz w:val="22"/>
          <w:szCs w:val="22"/>
        </w:rPr>
        <w:t>. In</w:t>
      </w:r>
      <w:r w:rsidRPr="0062595A">
        <w:rPr>
          <w:rFonts w:eastAsia="MS Mincho"/>
          <w:sz w:val="22"/>
        </w:rPr>
        <w:t xml:space="preserve"> addition, the partners convened the International AI Standards Summit, with key editions in </w:t>
      </w:r>
      <w:hyperlink r:id="rId563" w:history="1">
        <w:r w:rsidRPr="0062595A">
          <w:rPr>
            <w:rFonts w:eastAsia="MS Mincho"/>
            <w:color w:val="0563C1"/>
            <w:sz w:val="22"/>
            <w:u w:val="single"/>
          </w:rPr>
          <w:t>New Delhi (2024</w:t>
        </w:r>
      </w:hyperlink>
      <w:r w:rsidRPr="0062595A">
        <w:rPr>
          <w:rFonts w:eastAsia="MS Mincho"/>
          <w:sz w:val="22"/>
        </w:rPr>
        <w:t xml:space="preserve">) and </w:t>
      </w:r>
      <w:hyperlink r:id="rId564" w:history="1">
        <w:r w:rsidRPr="0062595A">
          <w:rPr>
            <w:rFonts w:eastAsia="MS Mincho"/>
            <w:color w:val="0563C1"/>
            <w:sz w:val="22"/>
            <w:u w:val="single"/>
          </w:rPr>
          <w:t>Seoul (2025)</w:t>
        </w:r>
      </w:hyperlink>
      <w:r w:rsidRPr="0062595A">
        <w:rPr>
          <w:rFonts w:eastAsia="MS Mincho"/>
          <w:sz w:val="22"/>
        </w:rPr>
        <w:t xml:space="preserve">, and a dedicated AI Standards Day during AI for Good Global Summit (July 2025). These efforts were reinforced by the launch the </w:t>
      </w:r>
      <w:hyperlink r:id="rId565" w:history="1">
        <w:r w:rsidRPr="0062595A">
          <w:rPr>
            <w:rFonts w:eastAsia="MS Mincho"/>
            <w:color w:val="0563C1"/>
            <w:sz w:val="22"/>
            <w:u w:val="single"/>
          </w:rPr>
          <w:t>AI Standards Exchange Database</w:t>
        </w:r>
      </w:hyperlink>
      <w:r w:rsidRPr="0062595A">
        <w:rPr>
          <w:rFonts w:eastAsia="MS Mincho"/>
          <w:sz w:val="22"/>
        </w:rPr>
        <w:t xml:space="preserve"> in 2025, which provides a one stop access with a search facility to over 800 AI-related standards and technical reports from the three partners and other participating standards development bodies such as IEEE and IETF which support coordinated standards development and the practical application of standards for trustworthy AI.</w:t>
      </w:r>
    </w:p>
    <w:p w14:paraId="66AE5D4E"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before="240" w:after="120"/>
        <w:jc w:val="both"/>
        <w:textAlignment w:val="auto"/>
        <w:rPr>
          <w:rFonts w:eastAsia="MS Mincho"/>
          <w:b/>
          <w:sz w:val="22"/>
          <w:szCs w:val="22"/>
        </w:rPr>
      </w:pPr>
      <w:r w:rsidRPr="0062595A">
        <w:rPr>
          <w:rFonts w:eastAsia="MS Mincho"/>
          <w:b/>
          <w:sz w:val="22"/>
          <w:szCs w:val="22"/>
        </w:rPr>
        <w:t xml:space="preserve">Leveraging AI as part of Early Warnings for All </w:t>
      </w:r>
    </w:p>
    <w:p w14:paraId="4A3E756B" w14:textId="54E49E7F" w:rsidR="0062595A" w:rsidRPr="0062595A" w:rsidRDefault="0062595A" w:rsidP="00C5530E">
      <w:pPr>
        <w:suppressAutoHyphens/>
        <w:adjustRightInd/>
        <w:spacing w:after="120"/>
        <w:jc w:val="both"/>
        <w:rPr>
          <w:rFonts w:eastAsia="MS Mincho"/>
          <w:sz w:val="22"/>
        </w:rPr>
      </w:pPr>
      <w:r w:rsidRPr="0062595A">
        <w:rPr>
          <w:rFonts w:eastAsia="Aptos" w:cs="Calibri"/>
          <w:sz w:val="22"/>
          <w:szCs w:val="22"/>
        </w:rPr>
        <w:t xml:space="preserve">ITU, together with World Meteorological Organization (WMO), </w:t>
      </w:r>
      <w:r w:rsidRPr="0062595A">
        <w:rPr>
          <w:rFonts w:eastAsia="Calibri" w:cs="Calibri"/>
          <w:sz w:val="22"/>
        </w:rPr>
        <w:t xml:space="preserve">the United Nations Office for Disaster Risk Reduction (UNDRR) and the International Federation of Red Cross and Red Crescent Societies (IFRC), </w:t>
      </w:r>
      <w:r w:rsidRPr="0062595A">
        <w:rPr>
          <w:rFonts w:eastAsia="Aptos" w:cs="Calibri"/>
          <w:sz w:val="22"/>
          <w:szCs w:val="22"/>
        </w:rPr>
        <w:t xml:space="preserve">formed the </w:t>
      </w:r>
      <w:hyperlink r:id="rId566" w:history="1">
        <w:r w:rsidRPr="0062595A">
          <w:rPr>
            <w:rFonts w:eastAsia="Aptos" w:cs="Calibri"/>
            <w:color w:val="0563C1"/>
            <w:sz w:val="22"/>
            <w:szCs w:val="22"/>
            <w:u w:val="single"/>
          </w:rPr>
          <w:t>AI Sub-group of the Early Warnings for all Initiative</w:t>
        </w:r>
      </w:hyperlink>
      <w:r w:rsidRPr="0062595A">
        <w:rPr>
          <w:rFonts w:eastAsia="Aptos" w:cs="Calibri"/>
          <w:sz w:val="22"/>
          <w:szCs w:val="22"/>
        </w:rPr>
        <w:t xml:space="preserve"> to leverage AI to enhance early warning systems by uniting experts in AI, data science, and disaster risk management. The group bridges the gap between AI research and the practical needs of early warning practitioners and communities worldwide, where work is ongoing to facilitate pilot initiatives in countries. One such pilot is the work done using the </w:t>
      </w:r>
      <w:hyperlink r:id="rId567" w:history="1">
        <w:r w:rsidRPr="0062595A">
          <w:rPr>
            <w:rFonts w:eastAsia="Aptos" w:cs="Calibri"/>
            <w:color w:val="0563C1"/>
            <w:sz w:val="22"/>
            <w:szCs w:val="22"/>
            <w:u w:val="single"/>
          </w:rPr>
          <w:t>Disaster Connectivity Map</w:t>
        </w:r>
      </w:hyperlink>
      <w:r w:rsidRPr="0062595A">
        <w:rPr>
          <w:rFonts w:eastAsia="Aptos" w:cs="Calibri"/>
          <w:sz w:val="22"/>
          <w:szCs w:val="22"/>
        </w:rPr>
        <w:t xml:space="preserve">, where ITU has partnered with Microsoft AI for Good Lab, Planet and Institute of Health Metrics Evaluation to use AI to analyse satellite imagery and create high-resolution population density maps. This Early Warning Connectivity Map (EWCM) is used to highlight digital </w:t>
      </w:r>
      <w:r w:rsidR="00D435EB">
        <w:rPr>
          <w:rFonts w:eastAsia="Aptos" w:cs="Calibri"/>
          <w:sz w:val="22"/>
          <w:szCs w:val="22"/>
        </w:rPr>
        <w:t>“</w:t>
      </w:r>
      <w:proofErr w:type="spellStart"/>
      <w:r w:rsidRPr="0062595A">
        <w:rPr>
          <w:rFonts w:eastAsia="Aptos" w:cs="Calibri"/>
          <w:sz w:val="22"/>
          <w:szCs w:val="22"/>
        </w:rPr>
        <w:t>coldspots</w:t>
      </w:r>
      <w:proofErr w:type="spellEnd"/>
      <w:r w:rsidR="00D435EB">
        <w:rPr>
          <w:rFonts w:eastAsia="Aptos" w:cs="Calibri"/>
          <w:sz w:val="22"/>
          <w:szCs w:val="22"/>
        </w:rPr>
        <w:t>”</w:t>
      </w:r>
      <w:r w:rsidRPr="0062595A">
        <w:rPr>
          <w:rFonts w:eastAsia="Aptos" w:cs="Calibri"/>
          <w:sz w:val="22"/>
          <w:szCs w:val="22"/>
        </w:rPr>
        <w:t xml:space="preserve">: areas where people do not have connectivity and cannot be reached or warned via digital networks. The EWCM has </w:t>
      </w:r>
      <w:hyperlink r:id="rId568" w:history="1">
        <w:r w:rsidRPr="0062595A">
          <w:rPr>
            <w:rFonts w:eastAsia="Aptos" w:cs="Calibri"/>
            <w:color w:val="0563C1"/>
            <w:sz w:val="22"/>
            <w:szCs w:val="22"/>
            <w:u w:val="single"/>
          </w:rPr>
          <w:t>been showcased</w:t>
        </w:r>
      </w:hyperlink>
      <w:r w:rsidRPr="0062595A">
        <w:rPr>
          <w:rFonts w:eastAsia="Aptos" w:cs="Calibri"/>
          <w:sz w:val="22"/>
          <w:szCs w:val="22"/>
        </w:rPr>
        <w:t xml:space="preserve"> to demonstrate how identifying areas without connectivity can help protect people through early warning systems. Initially piloted in Fiji, Tonga, and Vanuatu, work has been expanded to 30+ countries under the Early Warnings for All initiative.</w:t>
      </w:r>
    </w:p>
    <w:p w14:paraId="592B5BEB" w14:textId="77777777" w:rsidR="0062595A" w:rsidRPr="0062595A" w:rsidRDefault="0062595A" w:rsidP="00C5530E">
      <w:pPr>
        <w:keepNext/>
        <w:keepLines/>
        <w:suppressAutoHyphens/>
        <w:adjustRightInd/>
        <w:spacing w:before="240" w:after="120"/>
        <w:jc w:val="both"/>
        <w:rPr>
          <w:rFonts w:eastAsia="Calibri" w:cs="Calibri"/>
          <w:b/>
          <w:sz w:val="22"/>
          <w:szCs w:val="22"/>
        </w:rPr>
      </w:pPr>
      <w:r w:rsidRPr="0062595A">
        <w:rPr>
          <w:rFonts w:eastAsia="Calibri" w:cs="Calibri"/>
          <w:b/>
          <w:sz w:val="22"/>
          <w:szCs w:val="22"/>
        </w:rPr>
        <w:t>Advancing AI-driven disaster resilience</w:t>
      </w:r>
    </w:p>
    <w:p w14:paraId="6F721C3D" w14:textId="6D6220A8"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ITU works with WMO, UNEP and other partners to advance AI-driven disaster resilience and lay foundations for standards. </w:t>
      </w:r>
      <w:hyperlink r:id="rId569" w:history="1">
        <w:r w:rsidRPr="0062595A">
          <w:rPr>
            <w:rFonts w:eastAsia="MS Mincho"/>
            <w:color w:val="0563C1"/>
            <w:sz w:val="22"/>
            <w:u w:val="single"/>
          </w:rPr>
          <w:t>The ITU/WMO/UNEP Focus Group on AI for Natural Disaster Management (FG-AI4NDM)</w:t>
        </w:r>
      </w:hyperlink>
      <w:r w:rsidRPr="0062595A">
        <w:rPr>
          <w:rFonts w:eastAsia="MS Mincho"/>
          <w:sz w:val="22"/>
        </w:rPr>
        <w:t xml:space="preserve"> developed technical reports, </w:t>
      </w:r>
      <w:hyperlink r:id="rId570" w:history="1">
        <w:r w:rsidRPr="0062595A">
          <w:rPr>
            <w:rFonts w:eastAsia="MS Mincho"/>
            <w:color w:val="0563C1"/>
            <w:sz w:val="22"/>
            <w:u w:val="single"/>
          </w:rPr>
          <w:t>glossaries</w:t>
        </w:r>
      </w:hyperlink>
      <w:hyperlink r:id="rId571" w:history="1">
        <w:r w:rsidRPr="0062595A">
          <w:rPr>
            <w:rFonts w:eastAsia="MS Mincho"/>
            <w:color w:val="0563C1"/>
            <w:sz w:val="22"/>
            <w:u w:val="single"/>
          </w:rPr>
          <w:t>, roadmap on trends and standards</w:t>
        </w:r>
      </w:hyperlink>
      <w:r w:rsidRPr="0062595A">
        <w:rPr>
          <w:rFonts w:eastAsia="MS Mincho"/>
          <w:sz w:val="22"/>
        </w:rPr>
        <w:t xml:space="preserve"> and best practices on applying AI to </w:t>
      </w:r>
      <w:hyperlink r:id="rId572" w:history="1">
        <w:r w:rsidRPr="0062595A">
          <w:rPr>
            <w:rFonts w:eastAsia="MS Mincho"/>
            <w:color w:val="0563C1"/>
            <w:sz w:val="22"/>
            <w:u w:val="single"/>
          </w:rPr>
          <w:t>data collection</w:t>
        </w:r>
      </w:hyperlink>
      <w:r w:rsidRPr="0062595A">
        <w:rPr>
          <w:rFonts w:eastAsia="MS Mincho"/>
          <w:sz w:val="22"/>
        </w:rPr>
        <w:t xml:space="preserve">, </w:t>
      </w:r>
      <w:hyperlink r:id="rId573" w:history="1">
        <w:r w:rsidRPr="005C1378">
          <w:rPr>
            <w:rFonts w:eastAsia="MS Mincho"/>
            <w:color w:val="0563C1"/>
            <w:sz w:val="22"/>
            <w:u w:val="single"/>
          </w:rPr>
          <w:t>modelling</w:t>
        </w:r>
      </w:hyperlink>
      <w:r w:rsidRPr="005C1378">
        <w:rPr>
          <w:rFonts w:eastAsia="MS Mincho"/>
          <w:sz w:val="22"/>
        </w:rPr>
        <w:t xml:space="preserve"> and </w:t>
      </w:r>
      <w:hyperlink r:id="rId574" w:history="1">
        <w:r w:rsidRPr="005C1378">
          <w:rPr>
            <w:rFonts w:eastAsia="MS Mincho"/>
            <w:color w:val="0563C1"/>
            <w:sz w:val="22"/>
            <w:u w:val="single"/>
          </w:rPr>
          <w:t>communication</w:t>
        </w:r>
      </w:hyperlink>
      <w:r w:rsidRPr="005C1378">
        <w:rPr>
          <w:rFonts w:eastAsia="MS Mincho"/>
          <w:sz w:val="22"/>
        </w:rPr>
        <w:t xml:space="preserve"> across</w:t>
      </w:r>
      <w:r w:rsidRPr="0062595A">
        <w:rPr>
          <w:rFonts w:eastAsia="MS Mincho"/>
          <w:sz w:val="22"/>
        </w:rPr>
        <w:t xml:space="preserve"> the disaster management cycle. F-AI4NDM organized 12 meetings and </w:t>
      </w:r>
      <w:hyperlink r:id="rId575" w:history="1">
        <w:r w:rsidRPr="0062595A">
          <w:rPr>
            <w:rFonts w:eastAsia="MS Mincho"/>
            <w:color w:val="0563C1"/>
            <w:sz w:val="22"/>
            <w:u w:val="single"/>
          </w:rPr>
          <w:t>10 Workshops and Webinars</w:t>
        </w:r>
      </w:hyperlink>
      <w:r w:rsidRPr="0062595A">
        <w:rPr>
          <w:rFonts w:eastAsia="MS Mincho"/>
          <w:sz w:val="22"/>
        </w:rPr>
        <w:t xml:space="preserve"> in the last </w:t>
      </w:r>
      <w:r w:rsidR="00D435EB">
        <w:rPr>
          <w:rFonts w:eastAsia="MS Mincho"/>
          <w:sz w:val="22"/>
        </w:rPr>
        <w:t xml:space="preserve">four </w:t>
      </w:r>
      <w:r w:rsidRPr="0062595A">
        <w:rPr>
          <w:rFonts w:eastAsia="MS Mincho"/>
          <w:sz w:val="22"/>
        </w:rPr>
        <w:t xml:space="preserve">years. Its outputs are already supporting initiatives such as the European Union-funded </w:t>
      </w:r>
      <w:hyperlink r:id="rId576" w:history="1">
        <w:proofErr w:type="spellStart"/>
        <w:r w:rsidRPr="0062595A">
          <w:rPr>
            <w:rFonts w:eastAsia="MS Mincho"/>
            <w:color w:val="0563C1"/>
            <w:sz w:val="22"/>
            <w:u w:val="single"/>
          </w:rPr>
          <w:t>MedEWSa</w:t>
        </w:r>
        <w:proofErr w:type="spellEnd"/>
      </w:hyperlink>
      <w:r w:rsidRPr="0062595A">
        <w:rPr>
          <w:rFonts w:eastAsia="MS Mincho"/>
          <w:sz w:val="22"/>
        </w:rPr>
        <w:t xml:space="preserve"> project. Building on this work, the </w:t>
      </w:r>
      <w:hyperlink r:id="rId577" w:history="1">
        <w:r w:rsidRPr="0062595A">
          <w:rPr>
            <w:rFonts w:eastAsia="MS Mincho"/>
            <w:color w:val="0563C1"/>
            <w:sz w:val="22"/>
            <w:u w:val="single"/>
          </w:rPr>
          <w:t>Global Initiative on Resilience to Natural Hazards through AI Solutions</w:t>
        </w:r>
      </w:hyperlink>
      <w:r w:rsidRPr="0062595A">
        <w:rPr>
          <w:rFonts w:eastAsia="MS Mincho"/>
          <w:sz w:val="22"/>
        </w:rPr>
        <w:t xml:space="preserve">, launched in 2024, brings together ITU, WMO, UNEP, UNESCO, UNFCCC and UPU to guide research, innovation and future standards that enhance resilience to natural hazards worldwide. Since 2022, nearly </w:t>
      </w:r>
      <w:r w:rsidR="00D435EB">
        <w:rPr>
          <w:rFonts w:eastAsia="MS Mincho"/>
          <w:sz w:val="22"/>
        </w:rPr>
        <w:t xml:space="preserve">USD </w:t>
      </w:r>
      <w:r w:rsidRPr="0062595A">
        <w:rPr>
          <w:rFonts w:eastAsia="MS Mincho"/>
          <w:sz w:val="22"/>
        </w:rPr>
        <w:t>20</w:t>
      </w:r>
      <w:r w:rsidR="00D435EB">
        <w:rPr>
          <w:rFonts w:eastAsia="MS Mincho"/>
          <w:sz w:val="22"/>
        </w:rPr>
        <w:t> </w:t>
      </w:r>
      <w:r w:rsidRPr="0062595A">
        <w:rPr>
          <w:rFonts w:eastAsia="MS Mincho"/>
          <w:sz w:val="22"/>
        </w:rPr>
        <w:t xml:space="preserve">000 in funding received from the International Union of Geodesy and Geophysics (IUGG) has supported experts’ participation in the FG-AI4NDM and Global Initiative meetings and workshops, enabling them to contribute their expertise to advancing standards and best practices in </w:t>
      </w:r>
      <w:r w:rsidRPr="0062595A">
        <w:rPr>
          <w:rFonts w:eastAsia="MS Mincho"/>
          <w:sz w:val="22"/>
        </w:rPr>
        <w:lastRenderedPageBreak/>
        <w:t xml:space="preserve">the field. Since its launch, the Global Initiative has already held three meetings, hosted respectively by the Barcelona Supercomputing Centre in Spain, the European Space Agency in Italy and the European Commission in Brussels. These focussed on reviewing the contributions, delivering sessions on leveraging AI tools for disaster management and advancing on refining the best practices and developing other deliverables. </w:t>
      </w:r>
    </w:p>
    <w:p w14:paraId="07B23026" w14:textId="77777777" w:rsidR="0062595A" w:rsidRPr="0062595A" w:rsidRDefault="0062595A" w:rsidP="00C5530E">
      <w:pPr>
        <w:keepNext/>
        <w:keepLines/>
        <w:suppressAutoHyphens/>
        <w:adjustRightInd/>
        <w:spacing w:before="240" w:after="120"/>
        <w:jc w:val="both"/>
        <w:outlineLvl w:val="4"/>
        <w:rPr>
          <w:rFonts w:eastAsia="MS Mincho"/>
          <w:b/>
          <w:sz w:val="22"/>
          <w:szCs w:val="22"/>
        </w:rPr>
      </w:pPr>
      <w:r w:rsidRPr="0062595A">
        <w:rPr>
          <w:rFonts w:eastAsia="MS Mincho"/>
          <w:b/>
          <w:sz w:val="22"/>
          <w:szCs w:val="22"/>
        </w:rPr>
        <w:t>AI and IoT for digital agriculture</w:t>
      </w:r>
    </w:p>
    <w:p w14:paraId="59EDC924"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In the agricultural domain, the </w:t>
      </w:r>
      <w:hyperlink r:id="rId578" w:history="1">
        <w:r w:rsidRPr="0062595A">
          <w:rPr>
            <w:rFonts w:eastAsia="MS Mincho"/>
            <w:color w:val="0563C1"/>
            <w:sz w:val="22"/>
            <w:u w:val="single"/>
          </w:rPr>
          <w:t>ITU–FAO Focus Group on AI for Agriculture (FG-AI4A)</w:t>
        </w:r>
      </w:hyperlink>
      <w:r w:rsidRPr="0062595A">
        <w:rPr>
          <w:rFonts w:eastAsia="MS Mincho"/>
          <w:sz w:val="22"/>
        </w:rPr>
        <w:t xml:space="preserve"> explored how AI, IoT and emerging technologies can improve productivity, resilience and sustainability in food systems. Through a series of meetings</w:t>
      </w:r>
      <w:hyperlink r:id="rId579" w:history="1">
        <w:r w:rsidRPr="0062595A">
          <w:rPr>
            <w:rFonts w:eastAsia="MS Mincho"/>
            <w:color w:val="0563C1"/>
            <w:sz w:val="22"/>
            <w:u w:val="single"/>
          </w:rPr>
          <w:t>, and more than 11 workshops and webinars,</w:t>
        </w:r>
      </w:hyperlink>
      <w:r w:rsidRPr="0062595A">
        <w:rPr>
          <w:rFonts w:eastAsia="MS Mincho"/>
          <w:sz w:val="22"/>
        </w:rPr>
        <w:t xml:space="preserve"> the group gathered experts from governments, industry, academia and international organizations to identify standardization gaps and best practices on precision farming, climate-resilient agriculture and resource optimization. Its findings, reflected in snapshot and technical reports, contribute to shaping future standards and guidance for digitally enabled agriculture that supports food security and sustainable rural development (outlined in the </w:t>
      </w:r>
      <w:hyperlink r:id="rId580" w:anchor="p=1" w:history="1">
        <w:r w:rsidRPr="0062595A">
          <w:rPr>
            <w:rFonts w:eastAsia="MS Mincho"/>
            <w:color w:val="0563C1"/>
            <w:sz w:val="22"/>
            <w:u w:val="single"/>
          </w:rPr>
          <w:t>FG-AI4A snapshot report</w:t>
        </w:r>
      </w:hyperlink>
      <w:r w:rsidRPr="0062595A">
        <w:rPr>
          <w:rFonts w:eastAsia="MS Mincho"/>
          <w:sz w:val="22"/>
        </w:rPr>
        <w:t xml:space="preserve">). </w:t>
      </w:r>
    </w:p>
    <w:p w14:paraId="124A51C8"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The deliverables have been transferred to ITU-T Study Group 20, which is now developing international standards on use cases, deployment, frameworks and architectural models for digital agriculture.</w:t>
      </w:r>
    </w:p>
    <w:p w14:paraId="4830281E"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Building on the activities of the FG-AI4A, the </w:t>
      </w:r>
      <w:hyperlink r:id="rId581" w:history="1">
        <w:r w:rsidRPr="0062595A">
          <w:rPr>
            <w:rFonts w:eastAsia="MS Mincho"/>
            <w:color w:val="0563C1"/>
            <w:sz w:val="22"/>
            <w:u w:val="single"/>
          </w:rPr>
          <w:t>Global Initiative on AI for Food Systems</w:t>
        </w:r>
      </w:hyperlink>
      <w:r w:rsidRPr="0062595A">
        <w:rPr>
          <w:rFonts w:eastAsia="MS Mincho"/>
          <w:sz w:val="22"/>
        </w:rPr>
        <w:t xml:space="preserve"> was launched during the AI for Good in July 2025, together with the World Food Programme (WFP), the UN Food and Agricultural Organization (FAO) and the </w:t>
      </w:r>
      <w:r w:rsidRPr="0062595A">
        <w:rPr>
          <w:rFonts w:eastAsia="MS Mincho" w:cs="Calibri"/>
          <w:sz w:val="22"/>
          <w:szCs w:val="22"/>
        </w:rPr>
        <w:t>International Fund for Agricultural Development</w:t>
      </w:r>
      <w:r w:rsidRPr="0062595A">
        <w:rPr>
          <w:rFonts w:eastAsia="MS Mincho"/>
          <w:sz w:val="22"/>
        </w:rPr>
        <w:t xml:space="preserve"> (IFAD). This Initiative focusses on digital solutions integration, knowledge-sharing, synergistic partnerships, and proof-of-concept. On the occasion of World Food Day on 16 October 2025, the Session on AI for Food was organized as a part of the AI Discovery Series, with representatives of WFP, IFAD, ITU-T Study Group 20 and Rockefeller Foundation on the panel, elaborating on how AI standards can ethically, transparently, and </w:t>
      </w:r>
      <w:proofErr w:type="spellStart"/>
      <w:r w:rsidRPr="0062595A">
        <w:rPr>
          <w:rFonts w:eastAsia="MS Mincho"/>
          <w:sz w:val="22"/>
        </w:rPr>
        <w:t>interoperably</w:t>
      </w:r>
      <w:proofErr w:type="spellEnd"/>
      <w:r w:rsidRPr="0062595A">
        <w:rPr>
          <w:rFonts w:eastAsia="MS Mincho"/>
          <w:sz w:val="22"/>
        </w:rPr>
        <w:t xml:space="preserve"> enhance agricultural and food systems, address adoption challenges, and bring solutions to scale globally.</w:t>
      </w:r>
    </w:p>
    <w:p w14:paraId="7A7FE528" w14:textId="77777777" w:rsidR="0062595A" w:rsidRPr="0062595A" w:rsidRDefault="0062595A" w:rsidP="00C5530E">
      <w:pPr>
        <w:suppressAutoHyphens/>
        <w:adjustRightInd/>
        <w:spacing w:before="240" w:after="120"/>
        <w:jc w:val="both"/>
        <w:textAlignment w:val="auto"/>
        <w:rPr>
          <w:rFonts w:eastAsia="MS Mincho"/>
          <w:b/>
          <w:bCs/>
          <w:sz w:val="22"/>
        </w:rPr>
      </w:pPr>
      <w:r w:rsidRPr="0062595A">
        <w:rPr>
          <w:rFonts w:eastAsia="MS Mincho"/>
          <w:b/>
          <w:bCs/>
          <w:sz w:val="22"/>
        </w:rPr>
        <w:t>AI for Health</w:t>
      </w:r>
    </w:p>
    <w:p w14:paraId="17871CB4" w14:textId="77777777" w:rsidR="0062595A" w:rsidRPr="00AE7FA7" w:rsidRDefault="0062595A" w:rsidP="00C5530E">
      <w:pPr>
        <w:suppressAutoHyphens/>
        <w:adjustRightInd/>
        <w:spacing w:after="120"/>
        <w:jc w:val="both"/>
        <w:rPr>
          <w:rFonts w:eastAsia="MS Mincho"/>
          <w:sz w:val="22"/>
          <w:szCs w:val="22"/>
        </w:rPr>
      </w:pPr>
      <w:r w:rsidRPr="00AE7FA7">
        <w:rPr>
          <w:rFonts w:eastAsia="MS Mincho"/>
          <w:sz w:val="22"/>
          <w:szCs w:val="22"/>
        </w:rPr>
        <w:t xml:space="preserve">The </w:t>
      </w:r>
      <w:hyperlink r:id="rId582" w:history="1">
        <w:r w:rsidRPr="00AE7FA7">
          <w:rPr>
            <w:rFonts w:eastAsia="MS Mincho"/>
            <w:color w:val="0563C1"/>
            <w:sz w:val="22"/>
            <w:szCs w:val="22"/>
            <w:u w:val="single"/>
          </w:rPr>
          <w:t>Global Initiative on AI for Health</w:t>
        </w:r>
      </w:hyperlink>
      <w:r w:rsidRPr="00AE7FA7">
        <w:rPr>
          <w:rFonts w:eastAsia="MS Mincho"/>
          <w:sz w:val="22"/>
          <w:szCs w:val="22"/>
        </w:rPr>
        <w:t xml:space="preserve"> (GI-AI4H), led jointly by ITU, the World Health Organization (WHO) and the World Intellectual Property Organization (WIPO), seeks to accelerate the safe and equitable integration of artificial intelligence into health systems worldwide. Building on the momentum of </w:t>
      </w:r>
      <w:hyperlink r:id="rId583" w:history="1">
        <w:r w:rsidRPr="00AE7FA7">
          <w:rPr>
            <w:rFonts w:eastAsia="MS Mincho"/>
            <w:color w:val="0563C1"/>
            <w:sz w:val="22"/>
            <w:szCs w:val="22"/>
            <w:u w:val="single"/>
          </w:rPr>
          <w:t>the ITU/WHO Focus Group on AI for Health (FG-AI4H)</w:t>
        </w:r>
      </w:hyperlink>
      <w:r w:rsidRPr="00AE7FA7">
        <w:rPr>
          <w:rFonts w:eastAsia="MS Mincho"/>
          <w:sz w:val="22"/>
          <w:szCs w:val="22"/>
        </w:rPr>
        <w:t>, the initiative aims to develop technical standards, policy guidance, and mechanisms that enable responsible AI adoption. A core objective is to support evidence-based decision-making on the introduction of AI solutions while fostering global knowledge and data sharing to ensure that technological progress benefits all populations.</w:t>
      </w:r>
    </w:p>
    <w:p w14:paraId="4C075FFD" w14:textId="002F4949" w:rsidR="0062595A" w:rsidRPr="00AE7FA7" w:rsidRDefault="0062595A" w:rsidP="00C5530E">
      <w:pPr>
        <w:suppressAutoHyphens/>
        <w:adjustRightInd/>
        <w:spacing w:after="120"/>
        <w:jc w:val="both"/>
        <w:rPr>
          <w:rFonts w:ascii="Arial" w:eastAsia="MS Mincho" w:hAnsi="Arial" w:cs="Arial"/>
          <w:sz w:val="22"/>
          <w:szCs w:val="22"/>
        </w:rPr>
      </w:pPr>
      <w:r w:rsidRPr="00AE7FA7">
        <w:rPr>
          <w:rFonts w:eastAsia="MS Mincho"/>
          <w:sz w:val="22"/>
          <w:szCs w:val="22"/>
        </w:rPr>
        <w:t xml:space="preserve">The </w:t>
      </w:r>
      <w:hyperlink r:id="rId584">
        <w:r w:rsidR="0ACD1BB0" w:rsidRPr="00AE7FA7">
          <w:rPr>
            <w:rFonts w:eastAsia="MS Mincho"/>
            <w:color w:val="0563C1"/>
            <w:sz w:val="22"/>
            <w:szCs w:val="22"/>
            <w:u w:val="single"/>
          </w:rPr>
          <w:t>FG-AI4H</w:t>
        </w:r>
      </w:hyperlink>
      <w:r w:rsidRPr="00AE7FA7">
        <w:rPr>
          <w:rFonts w:eastAsia="MS Mincho"/>
          <w:sz w:val="22"/>
          <w:szCs w:val="22"/>
        </w:rPr>
        <w:t xml:space="preserve"> worked</w:t>
      </w:r>
      <w:r w:rsidRPr="00AE7FA7">
        <w:rPr>
          <w:rFonts w:eastAsia="MS Mincho"/>
          <w:sz w:val="22"/>
          <w:szCs w:val="22"/>
          <w:u w:val="single"/>
        </w:rPr>
        <w:t xml:space="preserve"> </w:t>
      </w:r>
      <w:r w:rsidRPr="00AE7FA7">
        <w:rPr>
          <w:rFonts w:eastAsia="MS Mincho"/>
          <w:sz w:val="22"/>
          <w:szCs w:val="22"/>
        </w:rPr>
        <w:t xml:space="preserve">in partnership with WHO to establish a scalable benchmarking framework that evaluates AI-based methods for health, diagnosis, triage or treatment decisions. By 2025, the group finalized 36 </w:t>
      </w:r>
      <w:hyperlink r:id="rId585">
        <w:r w:rsidR="0ACD1BB0" w:rsidRPr="00AE7FA7">
          <w:rPr>
            <w:rFonts w:eastAsia="MS Mincho"/>
            <w:color w:val="0563C1"/>
            <w:sz w:val="22"/>
            <w:szCs w:val="22"/>
            <w:u w:val="single"/>
          </w:rPr>
          <w:t>deliverables</w:t>
        </w:r>
      </w:hyperlink>
      <w:r w:rsidRPr="00AE7FA7">
        <w:rPr>
          <w:rFonts w:eastAsia="MS Mincho"/>
          <w:sz w:val="22"/>
          <w:szCs w:val="22"/>
        </w:rPr>
        <w:t>.</w:t>
      </w:r>
      <w:r w:rsidR="0ACD1BB0" w:rsidRPr="00AE7FA7">
        <w:rPr>
          <w:rFonts w:ascii="Arial" w:eastAsia="MS Mincho" w:hAnsi="Arial" w:cs="Arial"/>
          <w:sz w:val="22"/>
          <w:szCs w:val="22"/>
        </w:rPr>
        <w:t> </w:t>
      </w:r>
      <w:r w:rsidR="00D435EB" w:rsidRPr="00AE7FA7">
        <w:rPr>
          <w:rFonts w:eastAsia="MS Mincho"/>
          <w:sz w:val="22"/>
          <w:szCs w:val="22"/>
        </w:rPr>
        <w:t xml:space="preserve"> </w:t>
      </w:r>
      <w:r w:rsidRPr="00AE7FA7">
        <w:rPr>
          <w:rFonts w:eastAsia="MS Mincho"/>
          <w:sz w:val="22"/>
          <w:szCs w:val="22"/>
        </w:rPr>
        <w:t xml:space="preserve">In addition to the standards that the Focus Group has produced, it has been using grants (approximately CHF 600K) from Fondation </w:t>
      </w:r>
      <w:proofErr w:type="spellStart"/>
      <w:r w:rsidRPr="00AE7FA7">
        <w:rPr>
          <w:rFonts w:eastAsia="MS Mincho"/>
          <w:sz w:val="22"/>
          <w:szCs w:val="22"/>
        </w:rPr>
        <w:t>Botnar</w:t>
      </w:r>
      <w:proofErr w:type="spellEnd"/>
      <w:r w:rsidRPr="00AE7FA7">
        <w:rPr>
          <w:rFonts w:eastAsia="MS Mincho"/>
          <w:sz w:val="22"/>
          <w:szCs w:val="22"/>
        </w:rPr>
        <w:t xml:space="preserve"> to build a modular (</w:t>
      </w:r>
      <w:proofErr w:type="spellStart"/>
      <w:r w:rsidRPr="00AE7FA7">
        <w:rPr>
          <w:rFonts w:eastAsia="MS Mincho"/>
          <w:sz w:val="22"/>
          <w:szCs w:val="22"/>
        </w:rPr>
        <w:t>DevSecOps</w:t>
      </w:r>
      <w:proofErr w:type="spellEnd"/>
      <w:r w:rsidRPr="00AE7FA7">
        <w:rPr>
          <w:rFonts w:eastAsia="MS Mincho"/>
          <w:sz w:val="22"/>
          <w:szCs w:val="22"/>
        </w:rPr>
        <w:t xml:space="preserve">) open code reference implementation of the </w:t>
      </w:r>
      <w:r w:rsidRPr="00AE7FA7">
        <w:rPr>
          <w:rFonts w:eastAsia="MS Mincho"/>
          <w:sz w:val="22"/>
          <w:szCs w:val="22"/>
        </w:rPr>
        <w:t>benchmarking framework, with a license permitting national health regulators and other to adapt according to their needs. Additionally, the grants were used to fund low- or middle-income country (LMIC</w:t>
      </w:r>
      <w:r w:rsidRPr="00AE7FA7">
        <w:rPr>
          <w:rFonts w:eastAsia="MS Mincho"/>
          <w:sz w:val="22"/>
          <w:szCs w:val="22"/>
          <w:u w:val="single"/>
        </w:rPr>
        <w:t>)</w:t>
      </w:r>
      <w:r w:rsidRPr="00AE7FA7">
        <w:rPr>
          <w:rFonts w:eastAsia="MS Mincho"/>
          <w:sz w:val="22"/>
          <w:szCs w:val="22"/>
        </w:rPr>
        <w:t xml:space="preserve"> experts travel.</w:t>
      </w:r>
    </w:p>
    <w:p w14:paraId="000A2895" w14:textId="3557200D" w:rsidR="2172A170" w:rsidRPr="00AE7FA7" w:rsidRDefault="2172A170" w:rsidP="00AE7FA7">
      <w:pPr>
        <w:spacing w:before="240" w:after="120"/>
        <w:jc w:val="both"/>
        <w:rPr>
          <w:rFonts w:asciiTheme="minorHAnsi" w:eastAsiaTheme="minorEastAsia" w:hAnsiTheme="minorHAnsi" w:cstheme="minorBidi"/>
          <w:b/>
          <w:bCs/>
          <w:sz w:val="22"/>
          <w:szCs w:val="22"/>
        </w:rPr>
      </w:pPr>
      <w:r w:rsidRPr="00AE7FA7">
        <w:rPr>
          <w:rFonts w:asciiTheme="minorHAnsi" w:eastAsiaTheme="minorEastAsia" w:hAnsiTheme="minorHAnsi" w:cstheme="minorBidi"/>
          <w:b/>
          <w:bCs/>
          <w:sz w:val="22"/>
          <w:szCs w:val="22"/>
        </w:rPr>
        <w:t>Digital Infrastructure Investment Initiative</w:t>
      </w:r>
    </w:p>
    <w:p w14:paraId="30481D60" w14:textId="5DD568EE" w:rsidR="2172A170" w:rsidRPr="00AE7FA7" w:rsidRDefault="65F0946F" w:rsidP="6F546B6A">
      <w:pPr>
        <w:spacing w:after="120"/>
        <w:jc w:val="both"/>
        <w:rPr>
          <w:rFonts w:asciiTheme="minorHAnsi" w:eastAsiaTheme="minorEastAsia" w:hAnsiTheme="minorHAnsi" w:cstheme="minorBidi"/>
          <w:sz w:val="22"/>
          <w:szCs w:val="22"/>
        </w:rPr>
      </w:pPr>
      <w:r w:rsidRPr="00AE7FA7">
        <w:rPr>
          <w:rFonts w:asciiTheme="minorHAnsi" w:eastAsiaTheme="minorEastAsia" w:hAnsiTheme="minorHAnsi" w:cstheme="minorBidi"/>
          <w:sz w:val="22"/>
          <w:szCs w:val="22"/>
        </w:rPr>
        <w:t>Launched in 2024 as part of Brazil’s Presidency of the G20, the Digital Infrastructure Investment Initiative</w:t>
      </w:r>
      <w:r w:rsidR="104B6BCC" w:rsidRPr="00AE7FA7">
        <w:rPr>
          <w:rFonts w:asciiTheme="minorHAnsi" w:eastAsiaTheme="minorEastAsia" w:hAnsiTheme="minorHAnsi" w:cstheme="minorBidi"/>
          <w:sz w:val="22"/>
          <w:szCs w:val="22"/>
        </w:rPr>
        <w:t xml:space="preserve"> (DIII)</w:t>
      </w:r>
      <w:r w:rsidRPr="00AE7FA7">
        <w:rPr>
          <w:rFonts w:asciiTheme="minorHAnsi" w:eastAsiaTheme="minorEastAsia" w:hAnsiTheme="minorHAnsi" w:cstheme="minorBidi"/>
          <w:sz w:val="22"/>
          <w:szCs w:val="22"/>
        </w:rPr>
        <w:t xml:space="preserve"> </w:t>
      </w:r>
      <w:r w:rsidR="67EB2101" w:rsidRPr="00AE7FA7">
        <w:rPr>
          <w:rFonts w:asciiTheme="minorHAnsi" w:eastAsiaTheme="minorEastAsia" w:hAnsiTheme="minorHAnsi" w:cstheme="minorBidi"/>
          <w:sz w:val="22"/>
          <w:szCs w:val="22"/>
        </w:rPr>
        <w:t xml:space="preserve">was established to examine the full extent </w:t>
      </w:r>
      <w:r w:rsidR="4587EF87" w:rsidRPr="00AE7FA7">
        <w:rPr>
          <w:rFonts w:asciiTheme="minorHAnsi" w:eastAsiaTheme="minorEastAsia" w:hAnsiTheme="minorHAnsi" w:cstheme="minorBidi"/>
          <w:sz w:val="22"/>
          <w:szCs w:val="22"/>
        </w:rPr>
        <w:t xml:space="preserve">of the digital infrastructure investment gap, key barriers to investment, and the innovative financing approaches required to address them. </w:t>
      </w:r>
      <w:r w:rsidR="30311949" w:rsidRPr="00AE7FA7">
        <w:rPr>
          <w:rFonts w:asciiTheme="minorHAnsi" w:eastAsiaTheme="minorEastAsia" w:hAnsiTheme="minorHAnsi" w:cstheme="minorBidi"/>
          <w:sz w:val="22"/>
          <w:szCs w:val="22"/>
        </w:rPr>
        <w:t xml:space="preserve">Led by ITU and </w:t>
      </w:r>
      <w:r w:rsidR="0F9F66CB" w:rsidRPr="00AE7FA7">
        <w:rPr>
          <w:rFonts w:asciiTheme="minorHAnsi" w:eastAsiaTheme="minorEastAsia" w:hAnsiTheme="minorHAnsi" w:cstheme="minorBidi"/>
          <w:sz w:val="22"/>
          <w:szCs w:val="22"/>
        </w:rPr>
        <w:t>multilateral development banks</w:t>
      </w:r>
      <w:r w:rsidR="30311949" w:rsidRPr="00AE7FA7">
        <w:rPr>
          <w:rFonts w:asciiTheme="minorHAnsi" w:eastAsiaTheme="minorEastAsia" w:hAnsiTheme="minorHAnsi" w:cstheme="minorBidi"/>
          <w:sz w:val="22"/>
          <w:szCs w:val="22"/>
        </w:rPr>
        <w:t xml:space="preserve"> – ADB, AIIB, AfDB, </w:t>
      </w:r>
      <w:r w:rsidR="7D9D6D76" w:rsidRPr="00AE7FA7">
        <w:rPr>
          <w:rFonts w:asciiTheme="minorHAnsi" w:eastAsiaTheme="minorEastAsia" w:hAnsiTheme="minorHAnsi" w:cstheme="minorBidi"/>
          <w:sz w:val="22"/>
          <w:szCs w:val="22"/>
        </w:rPr>
        <w:t xml:space="preserve">EIB, </w:t>
      </w:r>
      <w:r w:rsidR="30311949" w:rsidRPr="00AE7FA7">
        <w:rPr>
          <w:rFonts w:asciiTheme="minorHAnsi" w:eastAsiaTheme="minorEastAsia" w:hAnsiTheme="minorHAnsi" w:cstheme="minorBidi"/>
          <w:sz w:val="22"/>
          <w:szCs w:val="22"/>
        </w:rPr>
        <w:t xml:space="preserve">EBRD, IDB, </w:t>
      </w:r>
      <w:proofErr w:type="spellStart"/>
      <w:r w:rsidR="30311949" w:rsidRPr="00AE7FA7">
        <w:rPr>
          <w:rFonts w:asciiTheme="minorHAnsi" w:eastAsiaTheme="minorEastAsia" w:hAnsiTheme="minorHAnsi" w:cstheme="minorBidi"/>
          <w:sz w:val="22"/>
          <w:szCs w:val="22"/>
        </w:rPr>
        <w:t>IsDB</w:t>
      </w:r>
      <w:proofErr w:type="spellEnd"/>
      <w:r w:rsidR="30311949" w:rsidRPr="00AE7FA7">
        <w:rPr>
          <w:rFonts w:asciiTheme="minorHAnsi" w:eastAsiaTheme="minorEastAsia" w:hAnsiTheme="minorHAnsi" w:cstheme="minorBidi"/>
          <w:sz w:val="22"/>
          <w:szCs w:val="22"/>
        </w:rPr>
        <w:t>, and IFC – and supported by BCG as a knowledge partner, th</w:t>
      </w:r>
      <w:r w:rsidR="05CAB157" w:rsidRPr="00AE7FA7">
        <w:rPr>
          <w:rFonts w:asciiTheme="minorHAnsi" w:eastAsiaTheme="minorEastAsia" w:hAnsiTheme="minorHAnsi" w:cstheme="minorBidi"/>
          <w:sz w:val="22"/>
          <w:szCs w:val="22"/>
        </w:rPr>
        <w:t xml:space="preserve">e </w:t>
      </w:r>
      <w:r w:rsidR="4587EF87" w:rsidRPr="00AE7FA7">
        <w:rPr>
          <w:rFonts w:asciiTheme="minorHAnsi" w:eastAsiaTheme="minorEastAsia" w:hAnsiTheme="minorHAnsi" w:cstheme="minorBidi"/>
          <w:sz w:val="22"/>
          <w:szCs w:val="22"/>
        </w:rPr>
        <w:t xml:space="preserve">DIII estimated that USD 1.6 trillion is needed to address </w:t>
      </w:r>
      <w:r w:rsidR="4587EF87" w:rsidRPr="00AE7FA7">
        <w:rPr>
          <w:rFonts w:asciiTheme="minorHAnsi" w:eastAsiaTheme="minorEastAsia" w:hAnsiTheme="minorHAnsi" w:cstheme="minorBidi"/>
          <w:sz w:val="22"/>
          <w:szCs w:val="22"/>
        </w:rPr>
        <w:lastRenderedPageBreak/>
        <w:t>the digital infrastructure investment gap and ensure universal, meaningful connectivity through 2030.</w:t>
      </w:r>
      <w:r w:rsidR="31C87852" w:rsidRPr="00AE7FA7">
        <w:rPr>
          <w:rFonts w:asciiTheme="minorHAnsi" w:eastAsiaTheme="minorEastAsia" w:hAnsiTheme="minorHAnsi" w:cstheme="minorBidi"/>
          <w:sz w:val="22"/>
          <w:szCs w:val="22"/>
        </w:rPr>
        <w:t xml:space="preserve"> </w:t>
      </w:r>
      <w:r w:rsidR="67F161D2" w:rsidRPr="00AE7FA7">
        <w:rPr>
          <w:rFonts w:asciiTheme="minorHAnsi" w:eastAsiaTheme="minorEastAsia" w:hAnsiTheme="minorHAnsi" w:cstheme="minorBidi"/>
          <w:sz w:val="22"/>
          <w:szCs w:val="22"/>
        </w:rPr>
        <w:t xml:space="preserve">Building on the DIII white paper published in January 2025 – which focused exclusively on infrastructure – ITU published </w:t>
      </w:r>
      <w:hyperlink r:id="rId586" w:history="1">
        <w:r w:rsidR="67F161D2" w:rsidRPr="00AE7FA7">
          <w:rPr>
            <w:rStyle w:val="Hyperlink"/>
            <w:rFonts w:asciiTheme="minorHAnsi" w:eastAsiaTheme="minorEastAsia" w:hAnsiTheme="minorHAnsi" w:cstheme="minorBidi"/>
            <w:sz w:val="22"/>
            <w:szCs w:val="22"/>
          </w:rPr>
          <w:t>Connec</w:t>
        </w:r>
        <w:r w:rsidR="467324E1" w:rsidRPr="00AE7FA7">
          <w:rPr>
            <w:rStyle w:val="Hyperlink"/>
            <w:rFonts w:asciiTheme="minorHAnsi" w:eastAsiaTheme="minorEastAsia" w:hAnsiTheme="minorHAnsi" w:cstheme="minorBidi"/>
            <w:sz w:val="22"/>
            <w:szCs w:val="22"/>
          </w:rPr>
          <w:t>ting Humanity Action Blueprint: Advancing sustainable, affordable and innovative solutions</w:t>
        </w:r>
      </w:hyperlink>
      <w:r w:rsidR="467324E1" w:rsidRPr="00AE7FA7">
        <w:rPr>
          <w:rFonts w:asciiTheme="minorHAnsi" w:eastAsiaTheme="minorEastAsia" w:hAnsiTheme="minorHAnsi" w:cstheme="minorBidi"/>
          <w:sz w:val="22"/>
          <w:szCs w:val="22"/>
        </w:rPr>
        <w:t xml:space="preserve"> </w:t>
      </w:r>
      <w:r w:rsidR="253C29D5" w:rsidRPr="00AE7FA7">
        <w:rPr>
          <w:rFonts w:asciiTheme="minorHAnsi" w:eastAsiaTheme="minorEastAsia" w:hAnsiTheme="minorHAnsi" w:cstheme="minorBidi"/>
          <w:sz w:val="22"/>
          <w:szCs w:val="22"/>
        </w:rPr>
        <w:t>with the support of the Kingdom of Saudi Arabi</w:t>
      </w:r>
      <w:r w:rsidR="1C6C17FF" w:rsidRPr="00AE7FA7">
        <w:rPr>
          <w:rFonts w:asciiTheme="minorHAnsi" w:eastAsiaTheme="minorEastAsia" w:hAnsiTheme="minorHAnsi" w:cstheme="minorBidi"/>
          <w:sz w:val="22"/>
          <w:szCs w:val="22"/>
        </w:rPr>
        <w:t>a</w:t>
      </w:r>
      <w:r w:rsidR="253C29D5" w:rsidRPr="00AE7FA7">
        <w:rPr>
          <w:rFonts w:asciiTheme="minorHAnsi" w:eastAsiaTheme="minorEastAsia" w:hAnsiTheme="minorHAnsi" w:cstheme="minorBidi"/>
          <w:sz w:val="22"/>
          <w:szCs w:val="22"/>
        </w:rPr>
        <w:t xml:space="preserve"> </w:t>
      </w:r>
      <w:r w:rsidR="467324E1" w:rsidRPr="00AE7FA7">
        <w:rPr>
          <w:rFonts w:asciiTheme="minorHAnsi" w:eastAsiaTheme="minorEastAsia" w:hAnsiTheme="minorHAnsi" w:cstheme="minorBidi"/>
          <w:sz w:val="22"/>
          <w:szCs w:val="22"/>
        </w:rPr>
        <w:t xml:space="preserve">to estimate the </w:t>
      </w:r>
      <w:r w:rsidR="6AA965A8" w:rsidRPr="00AE7FA7">
        <w:rPr>
          <w:rFonts w:asciiTheme="minorHAnsi" w:eastAsiaTheme="minorEastAsia" w:hAnsiTheme="minorHAnsi" w:cstheme="minorBidi"/>
          <w:sz w:val="22"/>
          <w:szCs w:val="22"/>
        </w:rPr>
        <w:t xml:space="preserve">total </w:t>
      </w:r>
      <w:r w:rsidR="467324E1" w:rsidRPr="00AE7FA7">
        <w:rPr>
          <w:rFonts w:asciiTheme="minorHAnsi" w:eastAsiaTheme="minorEastAsia" w:hAnsiTheme="minorHAnsi" w:cstheme="minorBidi"/>
          <w:sz w:val="22"/>
          <w:szCs w:val="22"/>
        </w:rPr>
        <w:t xml:space="preserve">funding required to </w:t>
      </w:r>
      <w:r w:rsidR="38A972CB" w:rsidRPr="00AE7FA7">
        <w:rPr>
          <w:rFonts w:asciiTheme="minorHAnsi" w:eastAsiaTheme="minorEastAsia" w:hAnsiTheme="minorHAnsi" w:cstheme="minorBidi"/>
          <w:sz w:val="22"/>
          <w:szCs w:val="22"/>
        </w:rPr>
        <w:t>close the global digital divide when demand side factors are</w:t>
      </w:r>
      <w:r w:rsidR="3C022D51" w:rsidRPr="00AE7FA7">
        <w:rPr>
          <w:rFonts w:asciiTheme="minorHAnsi" w:eastAsiaTheme="minorEastAsia" w:hAnsiTheme="minorHAnsi" w:cstheme="minorBidi"/>
          <w:sz w:val="22"/>
          <w:szCs w:val="22"/>
        </w:rPr>
        <w:t xml:space="preserve"> also</w:t>
      </w:r>
      <w:r w:rsidR="38A972CB" w:rsidRPr="00AE7FA7">
        <w:rPr>
          <w:rFonts w:asciiTheme="minorHAnsi" w:eastAsiaTheme="minorEastAsia" w:hAnsiTheme="minorHAnsi" w:cstheme="minorBidi"/>
          <w:sz w:val="22"/>
          <w:szCs w:val="22"/>
        </w:rPr>
        <w:t xml:space="preserve"> included. Connecting Humanity estimates that </w:t>
      </w:r>
      <w:r w:rsidR="18DF6351" w:rsidRPr="00AE7FA7">
        <w:rPr>
          <w:rFonts w:asciiTheme="minorHAnsi" w:eastAsiaTheme="minorEastAsia" w:hAnsiTheme="minorHAnsi" w:cstheme="minorBidi"/>
          <w:sz w:val="22"/>
          <w:szCs w:val="22"/>
        </w:rPr>
        <w:t xml:space="preserve">USD 2.6-2.8 trillion is needed </w:t>
      </w:r>
      <w:r w:rsidR="56C8464C" w:rsidRPr="00AE7FA7">
        <w:rPr>
          <w:rFonts w:asciiTheme="minorHAnsi" w:eastAsiaTheme="minorEastAsia" w:hAnsiTheme="minorHAnsi" w:cstheme="minorBidi"/>
          <w:sz w:val="22"/>
          <w:szCs w:val="22"/>
        </w:rPr>
        <w:t xml:space="preserve">to address </w:t>
      </w:r>
      <w:r w:rsidR="035C2677" w:rsidRPr="00AE7FA7">
        <w:rPr>
          <w:rFonts w:asciiTheme="minorHAnsi" w:eastAsiaTheme="minorEastAsia" w:hAnsiTheme="minorHAnsi" w:cstheme="minorBidi"/>
          <w:sz w:val="22"/>
          <w:szCs w:val="22"/>
        </w:rPr>
        <w:t xml:space="preserve">gaps across not only </w:t>
      </w:r>
      <w:r w:rsidR="56C8464C" w:rsidRPr="00AE7FA7">
        <w:rPr>
          <w:rFonts w:asciiTheme="minorHAnsi" w:eastAsiaTheme="minorEastAsia" w:hAnsiTheme="minorHAnsi" w:cstheme="minorBidi"/>
          <w:sz w:val="22"/>
          <w:szCs w:val="22"/>
        </w:rPr>
        <w:t>digital infrastructure,</w:t>
      </w:r>
      <w:r w:rsidR="70ABA4D3" w:rsidRPr="00AE7FA7">
        <w:rPr>
          <w:rFonts w:asciiTheme="minorHAnsi" w:eastAsiaTheme="minorEastAsia" w:hAnsiTheme="minorHAnsi" w:cstheme="minorBidi"/>
          <w:sz w:val="22"/>
          <w:szCs w:val="22"/>
        </w:rPr>
        <w:t xml:space="preserve"> but also</w:t>
      </w:r>
      <w:r w:rsidR="56C8464C" w:rsidRPr="00AE7FA7">
        <w:rPr>
          <w:rFonts w:asciiTheme="minorHAnsi" w:eastAsiaTheme="minorEastAsia" w:hAnsiTheme="minorHAnsi" w:cstheme="minorBidi"/>
          <w:sz w:val="22"/>
          <w:szCs w:val="22"/>
        </w:rPr>
        <w:t xml:space="preserve"> affordability, digital skills, and policy and regulation.</w:t>
      </w:r>
      <w:r w:rsidR="18DF6351" w:rsidRPr="00AE7FA7">
        <w:rPr>
          <w:rFonts w:asciiTheme="minorHAnsi" w:eastAsiaTheme="minorEastAsia" w:hAnsiTheme="minorHAnsi" w:cstheme="minorBidi"/>
          <w:sz w:val="22"/>
          <w:szCs w:val="22"/>
        </w:rPr>
        <w:t xml:space="preserve"> </w:t>
      </w:r>
    </w:p>
    <w:p w14:paraId="182A7F81" w14:textId="51977AE0" w:rsidR="12103623" w:rsidRPr="00AE7FA7" w:rsidRDefault="4C9A587E" w:rsidP="6F546B6A">
      <w:pPr>
        <w:spacing w:after="120"/>
        <w:jc w:val="both"/>
        <w:rPr>
          <w:rFonts w:asciiTheme="minorHAnsi" w:eastAsiaTheme="minorEastAsia" w:hAnsiTheme="minorHAnsi" w:cstheme="minorBidi"/>
          <w:sz w:val="22"/>
          <w:szCs w:val="22"/>
        </w:rPr>
      </w:pPr>
      <w:r w:rsidRPr="00AE7FA7">
        <w:rPr>
          <w:rFonts w:asciiTheme="minorHAnsi" w:eastAsiaTheme="minorEastAsia" w:hAnsiTheme="minorHAnsi" w:cstheme="minorBidi"/>
          <w:sz w:val="22"/>
          <w:szCs w:val="22"/>
        </w:rPr>
        <w:t xml:space="preserve">As a follow-up to DIII, in July 2025 ITU together with UNCTAD launched the new Digital Infrastructure Investment </w:t>
      </w:r>
      <w:r w:rsidR="2BA25396" w:rsidRPr="00AE7FA7">
        <w:rPr>
          <w:rFonts w:asciiTheme="minorHAnsi" w:eastAsiaTheme="minorEastAsia" w:hAnsiTheme="minorHAnsi" w:cstheme="minorBidi"/>
          <w:sz w:val="22"/>
          <w:szCs w:val="22"/>
        </w:rPr>
        <w:t xml:space="preserve">(DII) </w:t>
      </w:r>
      <w:r w:rsidRPr="00AE7FA7">
        <w:rPr>
          <w:rFonts w:asciiTheme="minorHAnsi" w:eastAsiaTheme="minorEastAsia" w:hAnsiTheme="minorHAnsi" w:cstheme="minorBidi"/>
          <w:sz w:val="22"/>
          <w:szCs w:val="22"/>
        </w:rPr>
        <w:t xml:space="preserve">Catalyser during the </w:t>
      </w:r>
      <w:r w:rsidR="1F8EEFED" w:rsidRPr="00AE7FA7">
        <w:rPr>
          <w:rFonts w:asciiTheme="minorHAnsi" w:eastAsiaTheme="minorEastAsia" w:hAnsiTheme="minorHAnsi" w:cstheme="minorBidi"/>
          <w:sz w:val="22"/>
          <w:szCs w:val="22"/>
        </w:rPr>
        <w:t>4</w:t>
      </w:r>
      <w:r w:rsidRPr="00AE7FA7">
        <w:rPr>
          <w:rFonts w:asciiTheme="minorHAnsi" w:eastAsiaTheme="minorEastAsia" w:hAnsiTheme="minorHAnsi" w:cstheme="minorBidi"/>
          <w:sz w:val="22"/>
          <w:szCs w:val="22"/>
        </w:rPr>
        <w:t>th International Conference on Financing for Development (FfD4) in Sevill</w:t>
      </w:r>
      <w:r w:rsidR="79E7B889" w:rsidRPr="00AE7FA7">
        <w:rPr>
          <w:rFonts w:asciiTheme="minorHAnsi" w:eastAsiaTheme="minorEastAsia" w:hAnsiTheme="minorHAnsi" w:cstheme="minorBidi"/>
          <w:sz w:val="22"/>
          <w:szCs w:val="22"/>
        </w:rPr>
        <w:t>e</w:t>
      </w:r>
      <w:r w:rsidRPr="00AE7FA7">
        <w:rPr>
          <w:rFonts w:asciiTheme="minorHAnsi" w:eastAsiaTheme="minorEastAsia" w:hAnsiTheme="minorHAnsi" w:cstheme="minorBidi"/>
          <w:sz w:val="22"/>
          <w:szCs w:val="22"/>
        </w:rPr>
        <w:t>, Spain</w:t>
      </w:r>
      <w:r w:rsidR="6757D0F9" w:rsidRPr="00AE7FA7">
        <w:rPr>
          <w:rFonts w:asciiTheme="minorHAnsi" w:eastAsiaTheme="minorEastAsia" w:hAnsiTheme="minorHAnsi" w:cstheme="minorBidi"/>
          <w:sz w:val="22"/>
          <w:szCs w:val="22"/>
        </w:rPr>
        <w:t xml:space="preserve"> with the support of the governments of Brazil, Spain, and South Africa. The DII </w:t>
      </w:r>
      <w:r w:rsidR="67DDA3BE" w:rsidRPr="00AE7FA7">
        <w:rPr>
          <w:rFonts w:asciiTheme="minorHAnsi" w:eastAsiaTheme="minorEastAsia" w:hAnsiTheme="minorHAnsi" w:cstheme="minorBidi"/>
          <w:sz w:val="22"/>
          <w:szCs w:val="22"/>
        </w:rPr>
        <w:t>Catalyser was formally endorsed as part of the Sevill</w:t>
      </w:r>
      <w:r w:rsidR="65DDC1B9" w:rsidRPr="00AE7FA7">
        <w:rPr>
          <w:rFonts w:asciiTheme="minorHAnsi" w:eastAsiaTheme="minorEastAsia" w:hAnsiTheme="minorHAnsi" w:cstheme="minorBidi"/>
          <w:sz w:val="22"/>
          <w:szCs w:val="22"/>
        </w:rPr>
        <w:t>e</w:t>
      </w:r>
      <w:r w:rsidR="67DDA3BE" w:rsidRPr="00AE7FA7">
        <w:rPr>
          <w:rFonts w:asciiTheme="minorHAnsi" w:eastAsiaTheme="minorEastAsia" w:hAnsiTheme="minorHAnsi" w:cstheme="minorBidi"/>
          <w:sz w:val="22"/>
          <w:szCs w:val="22"/>
        </w:rPr>
        <w:t xml:space="preserve"> Platform for Action to support implementation of the outcome</w:t>
      </w:r>
      <w:r w:rsidR="3577F4D5" w:rsidRPr="00AE7FA7">
        <w:rPr>
          <w:rFonts w:asciiTheme="minorHAnsi" w:eastAsiaTheme="minorEastAsia" w:hAnsiTheme="minorHAnsi" w:cstheme="minorBidi"/>
          <w:sz w:val="22"/>
          <w:szCs w:val="22"/>
        </w:rPr>
        <w:t xml:space="preserve"> document of FfD4 – </w:t>
      </w:r>
      <w:proofErr w:type="spellStart"/>
      <w:r w:rsidR="3577F4D5" w:rsidRPr="00AE7FA7">
        <w:rPr>
          <w:rFonts w:asciiTheme="minorHAnsi" w:eastAsiaTheme="minorEastAsia" w:hAnsiTheme="minorHAnsi" w:cstheme="minorBidi"/>
          <w:i/>
          <w:iCs/>
          <w:sz w:val="22"/>
          <w:szCs w:val="22"/>
        </w:rPr>
        <w:t>Compromiso</w:t>
      </w:r>
      <w:proofErr w:type="spellEnd"/>
      <w:r w:rsidR="3577F4D5" w:rsidRPr="00AE7FA7">
        <w:rPr>
          <w:rFonts w:asciiTheme="minorHAnsi" w:eastAsiaTheme="minorEastAsia" w:hAnsiTheme="minorHAnsi" w:cstheme="minorBidi"/>
          <w:i/>
          <w:iCs/>
          <w:sz w:val="22"/>
          <w:szCs w:val="22"/>
        </w:rPr>
        <w:t xml:space="preserve"> de Sevilla</w:t>
      </w:r>
      <w:r w:rsidR="3577F4D5" w:rsidRPr="00AE7FA7">
        <w:rPr>
          <w:rFonts w:asciiTheme="minorHAnsi" w:eastAsiaTheme="minorEastAsia" w:hAnsiTheme="minorHAnsi" w:cstheme="minorBidi"/>
          <w:sz w:val="22"/>
          <w:szCs w:val="22"/>
        </w:rPr>
        <w:t>.</w:t>
      </w:r>
      <w:r w:rsidR="5B54FFCA" w:rsidRPr="00AE7FA7">
        <w:rPr>
          <w:rFonts w:asciiTheme="minorHAnsi" w:eastAsiaTheme="minorEastAsia" w:hAnsiTheme="minorHAnsi" w:cstheme="minorBidi"/>
          <w:sz w:val="22"/>
          <w:szCs w:val="22"/>
        </w:rPr>
        <w:t xml:space="preserve"> The Catalyser is a multistakeholder platform that brings together the UN system and the MBDs </w:t>
      </w:r>
      <w:r w:rsidR="6630DAAB" w:rsidRPr="00AE7FA7">
        <w:rPr>
          <w:rFonts w:asciiTheme="minorHAnsi" w:eastAsiaTheme="minorEastAsia" w:hAnsiTheme="minorHAnsi" w:cstheme="minorBidi"/>
          <w:sz w:val="22"/>
          <w:szCs w:val="22"/>
        </w:rPr>
        <w:t>–</w:t>
      </w:r>
      <w:r w:rsidR="5B54FFCA" w:rsidRPr="00AE7FA7">
        <w:rPr>
          <w:rFonts w:asciiTheme="minorHAnsi" w:eastAsiaTheme="minorEastAsia" w:hAnsiTheme="minorHAnsi" w:cstheme="minorBidi"/>
          <w:sz w:val="22"/>
          <w:szCs w:val="22"/>
        </w:rPr>
        <w:t xml:space="preserve"> along with investors, private sector companies, governments, and civil society </w:t>
      </w:r>
      <w:r w:rsidR="1AC8DB74" w:rsidRPr="00AE7FA7">
        <w:rPr>
          <w:rFonts w:asciiTheme="minorHAnsi" w:eastAsiaTheme="minorEastAsia" w:hAnsiTheme="minorHAnsi" w:cstheme="minorBidi"/>
          <w:sz w:val="22"/>
          <w:szCs w:val="22"/>
        </w:rPr>
        <w:t>–</w:t>
      </w:r>
      <w:r w:rsidR="5B54FFCA" w:rsidRPr="00AE7FA7">
        <w:rPr>
          <w:rFonts w:asciiTheme="minorHAnsi" w:eastAsiaTheme="minorEastAsia" w:hAnsiTheme="minorHAnsi" w:cstheme="minorBidi"/>
          <w:sz w:val="22"/>
          <w:szCs w:val="22"/>
        </w:rPr>
        <w:t xml:space="preserve"> to exchange knowledge and promote collaboration </w:t>
      </w:r>
      <w:r w:rsidR="085A6D5F" w:rsidRPr="00AE7FA7">
        <w:rPr>
          <w:rFonts w:asciiTheme="minorHAnsi" w:eastAsiaTheme="minorEastAsia" w:hAnsiTheme="minorHAnsi" w:cstheme="minorBidi"/>
          <w:sz w:val="22"/>
          <w:szCs w:val="22"/>
        </w:rPr>
        <w:t>to</w:t>
      </w:r>
      <w:r w:rsidR="20850EFD" w:rsidRPr="00AE7FA7">
        <w:rPr>
          <w:rFonts w:asciiTheme="minorHAnsi" w:eastAsiaTheme="minorEastAsia" w:hAnsiTheme="minorHAnsi" w:cstheme="minorBidi"/>
          <w:sz w:val="22"/>
          <w:szCs w:val="22"/>
        </w:rPr>
        <w:t xml:space="preserve"> accelerate investment in viable, bankable digital infrastructure models</w:t>
      </w:r>
      <w:r w:rsidR="5B54FFCA" w:rsidRPr="00AE7FA7">
        <w:rPr>
          <w:rFonts w:asciiTheme="minorHAnsi" w:eastAsiaTheme="minorEastAsia" w:hAnsiTheme="minorHAnsi" w:cstheme="minorBidi"/>
          <w:sz w:val="22"/>
          <w:szCs w:val="22"/>
        </w:rPr>
        <w:t xml:space="preserve">. It </w:t>
      </w:r>
      <w:r w:rsidR="2C72D802" w:rsidRPr="00AE7FA7">
        <w:rPr>
          <w:rFonts w:asciiTheme="minorHAnsi" w:eastAsiaTheme="minorEastAsia" w:hAnsiTheme="minorHAnsi" w:cstheme="minorBidi"/>
          <w:sz w:val="22"/>
          <w:szCs w:val="22"/>
        </w:rPr>
        <w:t>is focused on three pillars of work: 1) data, tools, and template</w:t>
      </w:r>
      <w:r w:rsidR="6931C890" w:rsidRPr="00AE7FA7">
        <w:rPr>
          <w:rFonts w:asciiTheme="minorHAnsi" w:eastAsiaTheme="minorEastAsia" w:hAnsiTheme="minorHAnsi" w:cstheme="minorBidi"/>
          <w:sz w:val="22"/>
          <w:szCs w:val="22"/>
        </w:rPr>
        <w:t>s</w:t>
      </w:r>
      <w:r w:rsidR="2C72D802" w:rsidRPr="00AE7FA7">
        <w:rPr>
          <w:rFonts w:asciiTheme="minorHAnsi" w:eastAsiaTheme="minorEastAsia" w:hAnsiTheme="minorHAnsi" w:cstheme="minorBidi"/>
          <w:sz w:val="22"/>
          <w:szCs w:val="22"/>
        </w:rPr>
        <w:t xml:space="preserve">; 2) </w:t>
      </w:r>
      <w:r w:rsidR="5B54FFCA" w:rsidRPr="00AE7FA7">
        <w:rPr>
          <w:rFonts w:asciiTheme="minorHAnsi" w:eastAsiaTheme="minorEastAsia" w:hAnsiTheme="minorHAnsi" w:cstheme="minorBidi"/>
          <w:sz w:val="22"/>
          <w:szCs w:val="22"/>
        </w:rPr>
        <w:t>capacity building</w:t>
      </w:r>
      <w:r w:rsidR="378D3A24" w:rsidRPr="00AE7FA7">
        <w:rPr>
          <w:rFonts w:asciiTheme="minorHAnsi" w:eastAsiaTheme="minorEastAsia" w:hAnsiTheme="minorHAnsi" w:cstheme="minorBidi"/>
          <w:sz w:val="22"/>
          <w:szCs w:val="22"/>
        </w:rPr>
        <w:t xml:space="preserve"> on investment policies and innovative finance; and 3) partnerships, </w:t>
      </w:r>
      <w:r w:rsidR="1F03DE18" w:rsidRPr="00AE7FA7">
        <w:rPr>
          <w:rFonts w:asciiTheme="minorHAnsi" w:eastAsiaTheme="minorEastAsia" w:hAnsiTheme="minorHAnsi" w:cstheme="minorBidi"/>
          <w:sz w:val="22"/>
          <w:szCs w:val="22"/>
        </w:rPr>
        <w:t>investment</w:t>
      </w:r>
      <w:r w:rsidR="378D3A24" w:rsidRPr="00AE7FA7">
        <w:rPr>
          <w:rFonts w:asciiTheme="minorHAnsi" w:eastAsiaTheme="minorEastAsia" w:hAnsiTheme="minorHAnsi" w:cstheme="minorBidi"/>
          <w:sz w:val="22"/>
          <w:szCs w:val="22"/>
        </w:rPr>
        <w:t xml:space="preserve">, and </w:t>
      </w:r>
      <w:r w:rsidR="4BF0F541" w:rsidRPr="00AE7FA7">
        <w:rPr>
          <w:rFonts w:asciiTheme="minorHAnsi" w:eastAsiaTheme="minorEastAsia" w:hAnsiTheme="minorHAnsi" w:cstheme="minorBidi"/>
          <w:sz w:val="22"/>
          <w:szCs w:val="22"/>
        </w:rPr>
        <w:t xml:space="preserve">funding </w:t>
      </w:r>
      <w:r w:rsidR="378D3A24" w:rsidRPr="00AE7FA7">
        <w:rPr>
          <w:rFonts w:asciiTheme="minorHAnsi" w:eastAsiaTheme="minorEastAsia" w:hAnsiTheme="minorHAnsi" w:cstheme="minorBidi"/>
          <w:sz w:val="22"/>
          <w:szCs w:val="22"/>
        </w:rPr>
        <w:t xml:space="preserve">opportunities. </w:t>
      </w:r>
    </w:p>
    <w:p w14:paraId="36D3E7CE" w14:textId="6651C8F2" w:rsidR="12103623" w:rsidRPr="00AE7FA7" w:rsidRDefault="59F187DF" w:rsidP="6F546B6A">
      <w:pPr>
        <w:spacing w:after="120"/>
        <w:jc w:val="both"/>
        <w:rPr>
          <w:rFonts w:asciiTheme="minorHAnsi" w:eastAsiaTheme="minorEastAsia" w:hAnsiTheme="minorHAnsi" w:cstheme="minorBidi"/>
          <w:sz w:val="22"/>
          <w:szCs w:val="22"/>
        </w:rPr>
      </w:pPr>
      <w:r w:rsidRPr="00AE7FA7">
        <w:rPr>
          <w:rFonts w:asciiTheme="minorHAnsi" w:eastAsiaTheme="minorEastAsia" w:hAnsiTheme="minorHAnsi" w:cstheme="minorBidi"/>
          <w:sz w:val="22"/>
          <w:szCs w:val="22"/>
        </w:rPr>
        <w:t xml:space="preserve">The Catalyser was operational by September 2025 and </w:t>
      </w:r>
      <w:r w:rsidR="24E254D6" w:rsidRPr="00AE7FA7">
        <w:rPr>
          <w:rFonts w:asciiTheme="minorHAnsi" w:eastAsiaTheme="minorEastAsia" w:hAnsiTheme="minorHAnsi" w:cstheme="minorBidi"/>
          <w:sz w:val="22"/>
          <w:szCs w:val="22"/>
        </w:rPr>
        <w:t xml:space="preserve">is co-led by ITU, UNCTAD, and </w:t>
      </w:r>
      <w:r w:rsidR="302A0254" w:rsidRPr="00AE7FA7">
        <w:rPr>
          <w:rFonts w:asciiTheme="minorHAnsi" w:eastAsiaTheme="minorEastAsia" w:hAnsiTheme="minorHAnsi" w:cstheme="minorBidi"/>
          <w:sz w:val="22"/>
          <w:szCs w:val="22"/>
        </w:rPr>
        <w:t>eight</w:t>
      </w:r>
      <w:r w:rsidR="24E254D6" w:rsidRPr="00AE7FA7">
        <w:rPr>
          <w:rFonts w:asciiTheme="minorHAnsi" w:eastAsiaTheme="minorEastAsia" w:hAnsiTheme="minorHAnsi" w:cstheme="minorBidi"/>
          <w:sz w:val="22"/>
          <w:szCs w:val="22"/>
        </w:rPr>
        <w:t xml:space="preserve"> MDBs – ADB, AfDB, AIIB, EBRD, EIB, IDB, </w:t>
      </w:r>
      <w:proofErr w:type="spellStart"/>
      <w:r w:rsidR="24E254D6" w:rsidRPr="00AE7FA7">
        <w:rPr>
          <w:rFonts w:asciiTheme="minorHAnsi" w:eastAsiaTheme="minorEastAsia" w:hAnsiTheme="minorHAnsi" w:cstheme="minorBidi"/>
          <w:sz w:val="22"/>
          <w:szCs w:val="22"/>
        </w:rPr>
        <w:t>IsDB</w:t>
      </w:r>
      <w:proofErr w:type="spellEnd"/>
      <w:r w:rsidR="24E254D6" w:rsidRPr="00AE7FA7">
        <w:rPr>
          <w:rFonts w:asciiTheme="minorHAnsi" w:eastAsiaTheme="minorEastAsia" w:hAnsiTheme="minorHAnsi" w:cstheme="minorBidi"/>
          <w:sz w:val="22"/>
          <w:szCs w:val="22"/>
        </w:rPr>
        <w:t>, and the World Bank Group – with a working group of over 50 organizations</w:t>
      </w:r>
      <w:r w:rsidR="1B4F8AA2" w:rsidRPr="00AE7FA7">
        <w:rPr>
          <w:rFonts w:asciiTheme="minorHAnsi" w:eastAsiaTheme="minorEastAsia" w:hAnsiTheme="minorHAnsi" w:cstheme="minorBidi"/>
          <w:sz w:val="22"/>
          <w:szCs w:val="22"/>
        </w:rPr>
        <w:t xml:space="preserve"> from </w:t>
      </w:r>
      <w:r w:rsidR="04114D3D" w:rsidRPr="00AE7FA7">
        <w:rPr>
          <w:rFonts w:asciiTheme="minorHAnsi" w:eastAsiaTheme="minorEastAsia" w:hAnsiTheme="minorHAnsi" w:cstheme="minorBidi"/>
          <w:sz w:val="22"/>
          <w:szCs w:val="22"/>
        </w:rPr>
        <w:t>across</w:t>
      </w:r>
      <w:r w:rsidR="1B4F8AA2" w:rsidRPr="00AE7FA7">
        <w:rPr>
          <w:rFonts w:asciiTheme="minorHAnsi" w:eastAsiaTheme="minorEastAsia" w:hAnsiTheme="minorHAnsi" w:cstheme="minorBidi"/>
          <w:sz w:val="22"/>
          <w:szCs w:val="22"/>
        </w:rPr>
        <w:t xml:space="preserve"> sectors</w:t>
      </w:r>
      <w:r w:rsidR="24E254D6" w:rsidRPr="00AE7FA7">
        <w:rPr>
          <w:rFonts w:asciiTheme="minorHAnsi" w:eastAsiaTheme="minorEastAsia" w:hAnsiTheme="minorHAnsi" w:cstheme="minorBidi"/>
          <w:sz w:val="22"/>
          <w:szCs w:val="22"/>
        </w:rPr>
        <w:t>. Th</w:t>
      </w:r>
      <w:r w:rsidR="7C4BCA21" w:rsidRPr="00AE7FA7">
        <w:rPr>
          <w:rFonts w:asciiTheme="minorHAnsi" w:eastAsiaTheme="minorEastAsia" w:hAnsiTheme="minorHAnsi" w:cstheme="minorBidi"/>
          <w:sz w:val="22"/>
          <w:szCs w:val="22"/>
        </w:rPr>
        <w:t>e DII Catalyser</w:t>
      </w:r>
      <w:r w:rsidR="24E254D6" w:rsidRPr="00AE7FA7">
        <w:rPr>
          <w:rFonts w:asciiTheme="minorHAnsi" w:eastAsiaTheme="minorEastAsia" w:hAnsiTheme="minorHAnsi" w:cstheme="minorBidi"/>
          <w:sz w:val="22"/>
          <w:szCs w:val="22"/>
        </w:rPr>
        <w:t xml:space="preserve"> </w:t>
      </w:r>
      <w:r w:rsidRPr="00AE7FA7">
        <w:rPr>
          <w:rFonts w:asciiTheme="minorHAnsi" w:eastAsiaTheme="minorEastAsia" w:hAnsiTheme="minorHAnsi" w:cstheme="minorBidi"/>
          <w:sz w:val="22"/>
          <w:szCs w:val="22"/>
        </w:rPr>
        <w:t xml:space="preserve">has </w:t>
      </w:r>
      <w:r w:rsidR="6D80BA89" w:rsidRPr="00AE7FA7">
        <w:rPr>
          <w:rFonts w:asciiTheme="minorHAnsi" w:eastAsiaTheme="minorEastAsia" w:hAnsiTheme="minorHAnsi" w:cstheme="minorBidi"/>
          <w:sz w:val="22"/>
          <w:szCs w:val="22"/>
        </w:rPr>
        <w:t>thus far</w:t>
      </w:r>
      <w:r w:rsidRPr="00AE7FA7">
        <w:rPr>
          <w:rFonts w:asciiTheme="minorHAnsi" w:eastAsiaTheme="minorEastAsia" w:hAnsiTheme="minorHAnsi" w:cstheme="minorBidi"/>
          <w:sz w:val="22"/>
          <w:szCs w:val="22"/>
        </w:rPr>
        <w:t xml:space="preserve"> convened sta</w:t>
      </w:r>
      <w:r w:rsidR="452F749F" w:rsidRPr="00AE7FA7">
        <w:rPr>
          <w:rFonts w:asciiTheme="minorHAnsi" w:eastAsiaTheme="minorEastAsia" w:hAnsiTheme="minorHAnsi" w:cstheme="minorBidi"/>
          <w:sz w:val="22"/>
          <w:szCs w:val="22"/>
        </w:rPr>
        <w:t xml:space="preserve">keholders alongside </w:t>
      </w:r>
      <w:r w:rsidR="66AED3DC" w:rsidRPr="00AE7FA7">
        <w:rPr>
          <w:rFonts w:asciiTheme="minorHAnsi" w:eastAsiaTheme="minorEastAsia" w:hAnsiTheme="minorHAnsi" w:cstheme="minorBidi"/>
          <w:sz w:val="22"/>
          <w:szCs w:val="22"/>
        </w:rPr>
        <w:t xml:space="preserve">the </w:t>
      </w:r>
      <w:r w:rsidR="452F749F" w:rsidRPr="00AE7FA7">
        <w:rPr>
          <w:rFonts w:asciiTheme="minorHAnsi" w:eastAsiaTheme="minorEastAsia" w:hAnsiTheme="minorHAnsi" w:cstheme="minorBidi"/>
          <w:sz w:val="22"/>
          <w:szCs w:val="22"/>
        </w:rPr>
        <w:t xml:space="preserve">United Nations General Assembly (UNGA, September 2025), the International Submarine Cable Resilience Summit (February 2026), and </w:t>
      </w:r>
      <w:r w:rsidR="77711E1C" w:rsidRPr="00AE7FA7">
        <w:rPr>
          <w:rFonts w:asciiTheme="minorHAnsi" w:eastAsiaTheme="minorEastAsia" w:hAnsiTheme="minorHAnsi" w:cstheme="minorBidi"/>
          <w:sz w:val="22"/>
          <w:szCs w:val="22"/>
        </w:rPr>
        <w:t>via</w:t>
      </w:r>
      <w:r w:rsidR="452F749F" w:rsidRPr="00AE7FA7">
        <w:rPr>
          <w:rFonts w:asciiTheme="minorHAnsi" w:eastAsiaTheme="minorEastAsia" w:hAnsiTheme="minorHAnsi" w:cstheme="minorBidi"/>
          <w:sz w:val="22"/>
          <w:szCs w:val="22"/>
        </w:rPr>
        <w:t xml:space="preserve"> </w:t>
      </w:r>
      <w:r w:rsidR="3E9460F2" w:rsidRPr="00AE7FA7">
        <w:rPr>
          <w:rFonts w:asciiTheme="minorHAnsi" w:eastAsiaTheme="minorEastAsia" w:hAnsiTheme="minorHAnsi" w:cstheme="minorBidi"/>
          <w:sz w:val="22"/>
          <w:szCs w:val="22"/>
        </w:rPr>
        <w:t>two</w:t>
      </w:r>
      <w:r w:rsidR="452F749F" w:rsidRPr="00AE7FA7">
        <w:rPr>
          <w:rFonts w:asciiTheme="minorHAnsi" w:eastAsiaTheme="minorEastAsia" w:hAnsiTheme="minorHAnsi" w:cstheme="minorBidi"/>
          <w:sz w:val="22"/>
          <w:szCs w:val="22"/>
        </w:rPr>
        <w:t xml:space="preserve"> working group calls (November 2025 and February 2026).</w:t>
      </w:r>
      <w:r w:rsidR="13CB878B" w:rsidRPr="00AE7FA7">
        <w:rPr>
          <w:rFonts w:asciiTheme="minorHAnsi" w:eastAsiaTheme="minorEastAsia" w:hAnsiTheme="minorHAnsi" w:cstheme="minorBidi"/>
          <w:sz w:val="22"/>
          <w:szCs w:val="22"/>
        </w:rPr>
        <w:t xml:space="preserve"> Looking ahead, the DII Catalyser will be developing a resource repository on existing tools and capacity building resources that can support investment planning for digital infrastructure, hosting investment matchmaking events, and</w:t>
      </w:r>
      <w:r w:rsidR="0850A794" w:rsidRPr="00AE7FA7">
        <w:rPr>
          <w:rFonts w:asciiTheme="minorHAnsi" w:eastAsiaTheme="minorEastAsia" w:hAnsiTheme="minorHAnsi" w:cstheme="minorBidi"/>
          <w:sz w:val="22"/>
          <w:szCs w:val="22"/>
        </w:rPr>
        <w:t xml:space="preserve"> producing a playbook on digital and AI infrastructure investments.</w:t>
      </w:r>
    </w:p>
    <w:p w14:paraId="7CA0A31F" w14:textId="77777777" w:rsidR="0062595A" w:rsidRPr="0062595A" w:rsidRDefault="0062595A" w:rsidP="00FC50D2">
      <w:pPr>
        <w:keepNext/>
        <w:keepLines/>
        <w:tabs>
          <w:tab w:val="clear" w:pos="567"/>
        </w:tabs>
        <w:suppressAutoHyphens/>
        <w:adjustRightInd/>
        <w:spacing w:before="240" w:after="120"/>
        <w:ind w:left="567" w:hanging="567"/>
        <w:jc w:val="both"/>
        <w:outlineLvl w:val="1"/>
        <w:rPr>
          <w:rFonts w:eastAsia="MS Mincho"/>
          <w:b/>
        </w:rPr>
      </w:pPr>
      <w:bookmarkStart w:id="126" w:name="_Toc224288836"/>
      <w:r w:rsidRPr="00997AB0">
        <w:rPr>
          <w:rFonts w:eastAsia="MS Mincho"/>
          <w:b/>
        </w:rPr>
        <w:t>5.5.1</w:t>
      </w:r>
      <w:r w:rsidRPr="00997AB0">
        <w:rPr>
          <w:rFonts w:eastAsia="MS Mincho"/>
          <w:b/>
        </w:rPr>
        <w:tab/>
        <w:t>Collaboration with the UN system and other international intergovernmental processes</w:t>
      </w:r>
      <w:bookmarkEnd w:id="126"/>
    </w:p>
    <w:p w14:paraId="399EE0A9" w14:textId="0A023FEE" w:rsidR="0062595A" w:rsidRPr="00C5530E" w:rsidRDefault="0062595A" w:rsidP="00FC50D2">
      <w:pPr>
        <w:keepNext/>
        <w:keepLines/>
        <w:suppressAutoHyphens/>
        <w:adjustRightInd/>
        <w:spacing w:after="120"/>
        <w:jc w:val="both"/>
        <w:rPr>
          <w:rFonts w:eastAsia="MS Mincho"/>
          <w:sz w:val="22"/>
        </w:rPr>
      </w:pPr>
      <w:r w:rsidRPr="00C5530E">
        <w:rPr>
          <w:rFonts w:eastAsia="MS Mincho"/>
          <w:sz w:val="22"/>
        </w:rPr>
        <w:t xml:space="preserve">ITU, as the UN’s specialized agency for ICTs, drives global efforts to align digital technologies with the 2030 Agenda for Sustainable Development within and beyond the UN system. Following the UN Secretary-General’s </w:t>
      </w:r>
      <w:r w:rsidRPr="00C5530E">
        <w:rPr>
          <w:rFonts w:eastAsia="MS Mincho"/>
          <w:i/>
          <w:iCs/>
          <w:sz w:val="22"/>
        </w:rPr>
        <w:t xml:space="preserve">Our Common Agenda, </w:t>
      </w:r>
      <w:r w:rsidRPr="00C5530E">
        <w:rPr>
          <w:rFonts w:eastAsia="MS Mincho"/>
          <w:sz w:val="22"/>
        </w:rPr>
        <w:t xml:space="preserve">launched in September 2021, ITU has played a key </w:t>
      </w:r>
      <w:r w:rsidRPr="00C5530E">
        <w:rPr>
          <w:rFonts w:eastAsia="MS Mincho"/>
          <w:sz w:val="22"/>
        </w:rPr>
        <w:t xml:space="preserve">leadership role in developing and implementing the </w:t>
      </w:r>
      <w:hyperlink r:id="rId587" w:history="1">
        <w:r w:rsidRPr="00FC50D2">
          <w:rPr>
            <w:rStyle w:val="Hyperlink"/>
            <w:rFonts w:eastAsia="MS Mincho"/>
            <w:color w:val="0563C1"/>
            <w:sz w:val="22"/>
          </w:rPr>
          <w:t>Pact for the Future</w:t>
        </w:r>
      </w:hyperlink>
      <w:r w:rsidRPr="00C5530E">
        <w:rPr>
          <w:rFonts w:eastAsia="MS Mincho"/>
          <w:sz w:val="22"/>
        </w:rPr>
        <w:t xml:space="preserve"> (A/RES/79/1), adopted at the Summit of the Future</w:t>
      </w:r>
      <w:r w:rsidRPr="00C5530E">
        <w:rPr>
          <w:rFonts w:eastAsia="MS Mincho"/>
          <w:i/>
          <w:iCs/>
          <w:sz w:val="22"/>
        </w:rPr>
        <w:t xml:space="preserve"> </w:t>
      </w:r>
      <w:r w:rsidRPr="00C5530E">
        <w:rPr>
          <w:rFonts w:eastAsia="MS Mincho"/>
          <w:sz w:val="22"/>
        </w:rPr>
        <w:t xml:space="preserve">in September 2024, including its annexed Global Digital Compact (GDC). Through flagship initiatives and strengthened cooperation across UN processes and forums, ITU supports coherence on digital strategy and implementation across the UN system. </w:t>
      </w:r>
    </w:p>
    <w:p w14:paraId="1F1D8BBD" w14:textId="779C84B5" w:rsidR="0062595A" w:rsidRPr="00C5530E" w:rsidRDefault="7E7CD8D7" w:rsidP="00C5530E">
      <w:pPr>
        <w:suppressAutoHyphens/>
        <w:adjustRightInd/>
        <w:spacing w:before="240" w:after="120"/>
        <w:jc w:val="both"/>
        <w:rPr>
          <w:rFonts w:eastAsia="MS Mincho"/>
          <w:b/>
          <w:sz w:val="22"/>
          <w:szCs w:val="22"/>
        </w:rPr>
      </w:pPr>
      <w:r w:rsidRPr="3CCC77D2">
        <w:rPr>
          <w:rFonts w:eastAsia="MS Mincho"/>
          <w:b/>
          <w:bCs/>
          <w:sz w:val="22"/>
          <w:szCs w:val="22"/>
        </w:rPr>
        <w:t xml:space="preserve">Implementing the </w:t>
      </w:r>
      <w:r w:rsidR="0062595A" w:rsidRPr="3CCC77D2">
        <w:rPr>
          <w:rFonts w:eastAsia="MS Mincho"/>
          <w:b/>
          <w:bCs/>
          <w:sz w:val="22"/>
          <w:szCs w:val="22"/>
        </w:rPr>
        <w:t>Pact</w:t>
      </w:r>
      <w:r w:rsidR="0062595A" w:rsidRPr="4AC9AE35">
        <w:rPr>
          <w:rFonts w:eastAsia="MS Mincho"/>
          <w:b/>
          <w:sz w:val="22"/>
          <w:szCs w:val="22"/>
        </w:rPr>
        <w:t xml:space="preserve"> for the Future </w:t>
      </w:r>
    </w:p>
    <w:p w14:paraId="4B868B0E" w14:textId="2E5F660A" w:rsidR="0062595A" w:rsidRPr="00C5530E" w:rsidRDefault="0062595A" w:rsidP="00C5530E">
      <w:pPr>
        <w:suppressAutoHyphens/>
        <w:adjustRightInd/>
        <w:spacing w:after="120"/>
        <w:jc w:val="both"/>
        <w:rPr>
          <w:rFonts w:eastAsia="MS Mincho"/>
          <w:sz w:val="22"/>
        </w:rPr>
      </w:pPr>
      <w:r w:rsidRPr="00C5530E">
        <w:rPr>
          <w:rFonts w:eastAsia="MS Mincho"/>
          <w:sz w:val="22"/>
        </w:rPr>
        <w:t xml:space="preserve">As outlined in its </w:t>
      </w:r>
      <w:hyperlink r:id="rId588" w:history="1">
        <w:r w:rsidRPr="00FC50D2">
          <w:rPr>
            <w:rStyle w:val="Hyperlink"/>
            <w:rFonts w:eastAsia="MS Mincho"/>
            <w:color w:val="0563C1"/>
            <w:sz w:val="22"/>
          </w:rPr>
          <w:t>Action Plan for implementing the Global Digital Compact</w:t>
        </w:r>
      </w:hyperlink>
      <w:r w:rsidRPr="00C5530E">
        <w:rPr>
          <w:rFonts w:eastAsia="MS Mincho"/>
          <w:sz w:val="22"/>
        </w:rPr>
        <w:t xml:space="preserve">, ITU has supported Member States and other stakeholders in advancing connectivity and sustainable digital transformation by aligning GDC objectives with existing or new initiatives. Under the UN Secretary-General’s Steering Committee for Pact Implementation, ITU co-leads the UN Working Group on Digital Technologies with the Office for Digital and Emerging Technologies (ODET), coordinating system-wide commitments and having developed </w:t>
      </w:r>
      <w:r w:rsidRPr="00D435EB">
        <w:rPr>
          <w:rFonts w:eastAsia="MS Mincho"/>
          <w:sz w:val="22"/>
        </w:rPr>
        <w:t xml:space="preserve">the </w:t>
      </w:r>
      <w:hyperlink r:id="rId589" w:history="1">
        <w:r w:rsidRPr="00FC50D2">
          <w:rPr>
            <w:rStyle w:val="Hyperlink"/>
            <w:rFonts w:eastAsia="MS Mincho"/>
            <w:color w:val="0563C1"/>
            <w:sz w:val="22"/>
          </w:rPr>
          <w:t>GDC Implementation Map</w:t>
        </w:r>
      </w:hyperlink>
      <w:r w:rsidRPr="00C5530E">
        <w:rPr>
          <w:rFonts w:eastAsia="MS Mincho"/>
          <w:sz w:val="22"/>
        </w:rPr>
        <w:t xml:space="preserve">. </w:t>
      </w:r>
    </w:p>
    <w:p w14:paraId="0391772D" w14:textId="09AC0948" w:rsidR="0062595A" w:rsidRPr="00C5530E" w:rsidRDefault="0062595A" w:rsidP="00C5530E">
      <w:pPr>
        <w:suppressAutoHyphens/>
        <w:adjustRightInd/>
        <w:spacing w:after="120"/>
        <w:jc w:val="both"/>
        <w:rPr>
          <w:rFonts w:eastAsia="MS Mincho"/>
          <w:sz w:val="22"/>
          <w:szCs w:val="22"/>
        </w:rPr>
      </w:pPr>
      <w:r w:rsidRPr="181B6A0C">
        <w:rPr>
          <w:rFonts w:eastAsia="MS Mincho"/>
          <w:sz w:val="22"/>
          <w:szCs w:val="22"/>
        </w:rPr>
        <w:t xml:space="preserve">Aligning with the GDC implementation, ITU’s core initiatives – Giga, Partner2Connect, Facts and Figures, EQUALS, Green Digital Action, and AI for Good (to name a few) – demonstrate leadership in bridging the digital divide, promoting digital skills, accelerating green-digital transitions, and embedding human-centric approaches in technology development. ITU launched the Digital Infrastructure Investment Initiative (DIII) </w:t>
      </w:r>
      <w:r w:rsidR="73284F2F" w:rsidRPr="29D5B235">
        <w:rPr>
          <w:rFonts w:eastAsia="MS Mincho"/>
          <w:sz w:val="22"/>
          <w:szCs w:val="22"/>
        </w:rPr>
        <w:t xml:space="preserve">with MDBs </w:t>
      </w:r>
      <w:r w:rsidRPr="181B6A0C">
        <w:rPr>
          <w:rFonts w:eastAsia="MS Mincho"/>
          <w:sz w:val="22"/>
          <w:szCs w:val="22"/>
        </w:rPr>
        <w:t>2024</w:t>
      </w:r>
      <w:r w:rsidR="1367AD1C" w:rsidRPr="5AF8DDDD">
        <w:rPr>
          <w:rFonts w:eastAsia="MS Mincho"/>
          <w:sz w:val="22"/>
          <w:szCs w:val="22"/>
        </w:rPr>
        <w:t xml:space="preserve"> </w:t>
      </w:r>
      <w:r w:rsidR="3587188A" w:rsidRPr="06953AFF">
        <w:rPr>
          <w:rFonts w:eastAsia="MS Mincho"/>
          <w:sz w:val="22"/>
          <w:szCs w:val="22"/>
        </w:rPr>
        <w:t xml:space="preserve">to </w:t>
      </w:r>
      <w:r w:rsidR="6F0463CC" w:rsidRPr="06953AFF">
        <w:rPr>
          <w:rFonts w:eastAsia="MS Mincho"/>
          <w:sz w:val="22"/>
          <w:szCs w:val="22"/>
        </w:rPr>
        <w:t>tackl</w:t>
      </w:r>
      <w:r w:rsidR="62798BD7" w:rsidRPr="06953AFF">
        <w:rPr>
          <w:rFonts w:eastAsia="MS Mincho"/>
          <w:sz w:val="22"/>
          <w:szCs w:val="22"/>
        </w:rPr>
        <w:t>e</w:t>
      </w:r>
      <w:r w:rsidRPr="181B6A0C">
        <w:rPr>
          <w:rFonts w:eastAsia="MS Mincho"/>
          <w:sz w:val="22"/>
          <w:szCs w:val="22"/>
        </w:rPr>
        <w:t xml:space="preserve"> the USD 1.6 trillion infrastructure </w:t>
      </w:r>
      <w:r w:rsidRPr="181B6A0C">
        <w:rPr>
          <w:rFonts w:eastAsia="MS Mincho"/>
          <w:sz w:val="22"/>
          <w:szCs w:val="22"/>
        </w:rPr>
        <w:lastRenderedPageBreak/>
        <w:t>shortfall</w:t>
      </w:r>
      <w:r w:rsidR="6F0463CC" w:rsidRPr="0AA65927">
        <w:rPr>
          <w:rFonts w:eastAsia="MS Mincho"/>
          <w:sz w:val="22"/>
          <w:szCs w:val="22"/>
        </w:rPr>
        <w:t>.</w:t>
      </w:r>
      <w:r w:rsidRPr="181B6A0C">
        <w:rPr>
          <w:rFonts w:eastAsia="MS Mincho"/>
          <w:sz w:val="22"/>
          <w:szCs w:val="22"/>
        </w:rPr>
        <w:t xml:space="preserve"> ITU also coordinates the High-Impact Initiative on Digital Public Infrastructure (DPI), co-organizing the annual Global DPI summit (Cairo 2024; Cape Town </w:t>
      </w:r>
      <w:r w:rsidRPr="181B6A0C">
        <w:rPr>
          <w:rFonts w:eastAsia="MS Mincho"/>
          <w:sz w:val="22"/>
          <w:szCs w:val="22"/>
        </w:rPr>
        <w:t xml:space="preserve">2025) and the Citizen Stack Conference (India 2025) to strengthen global safeguards and interoperability. </w:t>
      </w:r>
    </w:p>
    <w:p w14:paraId="7E9599B7" w14:textId="77777777" w:rsidR="0062595A" w:rsidRPr="00C5530E" w:rsidRDefault="0062595A" w:rsidP="00C5530E">
      <w:pPr>
        <w:suppressAutoHyphens/>
        <w:adjustRightInd/>
        <w:spacing w:after="120"/>
        <w:jc w:val="both"/>
        <w:rPr>
          <w:rFonts w:eastAsia="MS Mincho"/>
          <w:sz w:val="22"/>
        </w:rPr>
      </w:pPr>
      <w:r w:rsidRPr="00C5530E">
        <w:rPr>
          <w:rFonts w:eastAsia="MS Mincho"/>
          <w:sz w:val="22"/>
        </w:rPr>
        <w:t xml:space="preserve">Beyond the Global Digital Compact, ITU contributes to the implementation of the </w:t>
      </w:r>
      <w:r w:rsidRPr="00C5530E">
        <w:rPr>
          <w:rFonts w:eastAsia="MS Mincho"/>
          <w:i/>
          <w:iCs/>
          <w:sz w:val="22"/>
        </w:rPr>
        <w:t>Pact for the Future</w:t>
      </w:r>
      <w:r w:rsidRPr="00C5530E">
        <w:rPr>
          <w:rFonts w:eastAsia="MS Mincho"/>
          <w:sz w:val="22"/>
        </w:rPr>
        <w:t xml:space="preserve"> through the UN Secretary-General’s Steering Committee Working Groups on Sustainable Development Goals, Peace and Security, International Financial Architecture Reform, UN Governance Reform, and Youth. ITU co-leads the Pact’s Action 27(c) on bridging digital divides under the Peace and Security track and supports Action 24 (b) on combating transnational organized crime by promoting the use of secure and resilient digital networks. In UN governance Reform, ITU advances space cooperation with and the United Nations Office for Outer Space Affairs (UNOOSA) and the Committee on the Peaceful Uses of Outer Space (COPUOS) through capacity-building on space law.</w:t>
      </w:r>
    </w:p>
    <w:p w14:paraId="4C36ED4D" w14:textId="77777777" w:rsidR="0062595A" w:rsidRPr="00C5530E" w:rsidRDefault="0062595A" w:rsidP="00C5530E">
      <w:pPr>
        <w:keepNext/>
        <w:keepLines/>
        <w:suppressAutoHyphens/>
        <w:adjustRightInd/>
        <w:spacing w:before="240" w:after="120"/>
        <w:jc w:val="both"/>
        <w:rPr>
          <w:rFonts w:eastAsia="MS Mincho"/>
          <w:sz w:val="22"/>
        </w:rPr>
      </w:pPr>
      <w:r w:rsidRPr="00C5530E">
        <w:rPr>
          <w:rFonts w:eastAsia="MS Mincho"/>
          <w:b/>
          <w:bCs/>
          <w:sz w:val="22"/>
        </w:rPr>
        <w:t>UN System-Wide Digital Cooperation</w:t>
      </w:r>
    </w:p>
    <w:p w14:paraId="723A8B7F" w14:textId="77777777" w:rsidR="0062595A" w:rsidRPr="00C5530E" w:rsidRDefault="0062595A" w:rsidP="00C5530E">
      <w:pPr>
        <w:keepNext/>
        <w:keepLines/>
        <w:suppressAutoHyphens/>
        <w:adjustRightInd/>
        <w:spacing w:after="120"/>
        <w:jc w:val="both"/>
        <w:rPr>
          <w:rFonts w:eastAsia="MS Mincho"/>
          <w:sz w:val="22"/>
        </w:rPr>
      </w:pPr>
      <w:r w:rsidRPr="00C5530E">
        <w:rPr>
          <w:rFonts w:eastAsia="MS Mincho"/>
          <w:sz w:val="22"/>
        </w:rPr>
        <w:t xml:space="preserve">ITU maintains a strong presence across the UN system, fostering coherence in digital strategy and implementation. Within the Chief Executives Board and its High-Level Committees on Programmes (HLCP) and Management (HLCM), as well as the UN Sustainable Development Group, ITU provides leadership on advancing universal connectivity and guiding digital transformation, including the development of Artificial Intelligence. </w:t>
      </w:r>
    </w:p>
    <w:p w14:paraId="4B066FE3" w14:textId="7B5CA4CC" w:rsidR="0062595A" w:rsidRPr="00C5530E" w:rsidRDefault="0062595A" w:rsidP="00C5530E">
      <w:pPr>
        <w:suppressAutoHyphens/>
        <w:adjustRightInd/>
        <w:spacing w:after="120"/>
        <w:jc w:val="both"/>
        <w:rPr>
          <w:rFonts w:eastAsia="MS Mincho"/>
          <w:sz w:val="22"/>
        </w:rPr>
      </w:pPr>
      <w:r w:rsidRPr="00C5530E">
        <w:rPr>
          <w:rFonts w:eastAsia="MS Mincho"/>
          <w:sz w:val="22"/>
        </w:rPr>
        <w:t xml:space="preserve">Through its active engagement with Member States and other stakeholders at major UN conferences and forums, ITU strategically promotes the critical role of digital technologies for sustainable development. These platforms included, but were not limited to, ECOSOC and its functional commissions – </w:t>
      </w:r>
      <w:r w:rsidRPr="00C5530E">
        <w:rPr>
          <w:rFonts w:eastAsia="MS Mincho"/>
          <w:sz w:val="22"/>
        </w:rPr>
        <w:t>such as the Commission for Social Development (</w:t>
      </w:r>
      <w:proofErr w:type="spellStart"/>
      <w:r w:rsidRPr="00C5530E">
        <w:rPr>
          <w:rFonts w:eastAsia="MS Mincho"/>
          <w:sz w:val="22"/>
        </w:rPr>
        <w:t>CSocD</w:t>
      </w:r>
      <w:proofErr w:type="spellEnd"/>
      <w:r w:rsidRPr="00C5530E">
        <w:rPr>
          <w:rFonts w:eastAsia="MS Mincho"/>
          <w:sz w:val="22"/>
        </w:rPr>
        <w:t>) and the Commission on the Status of Women (CSW), the</w:t>
      </w:r>
      <w:r w:rsidRPr="00C5530E">
        <w:rPr>
          <w:rFonts w:ascii="Georgia" w:eastAsia="MS Mincho" w:hAnsi="Georgia"/>
          <w:spacing w:val="2"/>
          <w:sz w:val="22"/>
        </w:rPr>
        <w:t xml:space="preserve"> </w:t>
      </w:r>
      <w:r w:rsidRPr="00C5530E">
        <w:rPr>
          <w:rFonts w:eastAsia="MS Mincho"/>
          <w:sz w:val="22"/>
        </w:rPr>
        <w:t>Multi</w:t>
      </w:r>
      <w:r w:rsidRPr="00C5530E">
        <w:rPr>
          <w:rFonts w:eastAsia="MS Mincho"/>
          <w:sz w:val="22"/>
        </w:rPr>
        <w:noBreakHyphen/>
        <w:t>stakeholder Forum on Science, Technology and Innovation (STI Forum), the High</w:t>
      </w:r>
      <w:r w:rsidRPr="00C5530E">
        <w:rPr>
          <w:rFonts w:eastAsia="MS Mincho"/>
          <w:sz w:val="22"/>
        </w:rPr>
        <w:noBreakHyphen/>
        <w:t xml:space="preserve">Level Political Forum (HLPF), UN General Assembly sessions (with </w:t>
      </w:r>
      <w:proofErr w:type="spellStart"/>
      <w:r w:rsidRPr="00C5530E">
        <w:rPr>
          <w:rFonts w:eastAsia="MS Mincho"/>
          <w:sz w:val="22"/>
        </w:rPr>
        <w:t>Digital@UNGA</w:t>
      </w:r>
      <w:proofErr w:type="spellEnd"/>
      <w:r w:rsidRPr="00C5530E">
        <w:rPr>
          <w:rFonts w:eastAsia="MS Mincho"/>
          <w:sz w:val="22"/>
        </w:rPr>
        <w:t>), and other UN conferences, such as the Conferences of the Parties (COP) and the Conferences on Small Island Developing States (SIDS), Least Developed Countries (LDCs) and Landlocked Developing Countries (LLDCs) in New York and beyond. In particular, at the 2</w:t>
      </w:r>
      <w:r w:rsidRPr="00C5530E">
        <w:rPr>
          <w:rFonts w:eastAsia="MS Mincho"/>
          <w:sz w:val="22"/>
          <w:vertAlign w:val="superscript"/>
        </w:rPr>
        <w:t>nd</w:t>
      </w:r>
      <w:r w:rsidRPr="00C5530E">
        <w:rPr>
          <w:rFonts w:eastAsia="MS Mincho"/>
          <w:sz w:val="22"/>
        </w:rPr>
        <w:t xml:space="preserve"> World Summit for Social Development (WSSD2) in Doha in November 2025, ITU contributed to the </w:t>
      </w:r>
      <w:hyperlink r:id="rId590" w:history="1">
        <w:r w:rsidRPr="00FC50D2">
          <w:rPr>
            <w:rStyle w:val="Hyperlink"/>
            <w:rFonts w:eastAsia="MS Mincho"/>
            <w:i/>
            <w:iCs/>
            <w:color w:val="0563C1"/>
            <w:sz w:val="22"/>
          </w:rPr>
          <w:t>Doha Political Declaration</w:t>
        </w:r>
      </w:hyperlink>
      <w:r w:rsidRPr="00C5530E">
        <w:rPr>
          <w:rFonts w:eastAsia="MS Mincho"/>
          <w:sz w:val="22"/>
        </w:rPr>
        <w:t xml:space="preserve"> (A/RES/80/5), emphasizing digital tools and AI for poverty eradication, decent work, social protection, and equitable access. </w:t>
      </w:r>
    </w:p>
    <w:p w14:paraId="63F6B867" w14:textId="582468BF" w:rsidR="74092D81" w:rsidRDefault="0062595A" w:rsidP="181B6A0C">
      <w:pPr>
        <w:spacing w:after="120"/>
        <w:jc w:val="both"/>
        <w:rPr>
          <w:rFonts w:eastAsia="MS Mincho"/>
          <w:sz w:val="22"/>
          <w:szCs w:val="22"/>
        </w:rPr>
      </w:pPr>
      <w:r w:rsidRPr="181B6A0C">
        <w:rPr>
          <w:rFonts w:eastAsia="MS Mincho"/>
          <w:sz w:val="22"/>
          <w:szCs w:val="22"/>
        </w:rPr>
        <w:t xml:space="preserve">A 2022 UN survey identified over 500 digital initiatives across the UN system – with numbers likely growing – as digital themes increasingly feature in major conferences, reports, resolutions and outcome documents. ITU collaborates with sister UN agencies and other entities on digital ecosystems, data, AI, and public infrastructure, while strengthening system-wide resilience through standardization partnerships with IEC/ISO and coordination with the UN civil aviation and maritime agencies (ICAO and IMO). ITU also supports the UN Joint SDG Fund’s digital initiatives; serves as </w:t>
      </w:r>
      <w:r w:rsidR="01E6C792" w:rsidRPr="06953AFF">
        <w:rPr>
          <w:rFonts w:eastAsia="MS Mincho"/>
          <w:sz w:val="22"/>
          <w:szCs w:val="22"/>
        </w:rPr>
        <w:t>a</w:t>
      </w:r>
      <w:r w:rsidRPr="181B6A0C">
        <w:rPr>
          <w:rFonts w:eastAsia="MS Mincho"/>
          <w:sz w:val="22"/>
          <w:szCs w:val="22"/>
        </w:rPr>
        <w:t xml:space="preserve"> leading agency for the UN AI </w:t>
      </w:r>
      <w:r w:rsidR="063BA307" w:rsidRPr="06953AFF">
        <w:rPr>
          <w:rFonts w:eastAsia="MS Mincho"/>
          <w:sz w:val="22"/>
          <w:szCs w:val="22"/>
        </w:rPr>
        <w:t>R</w:t>
      </w:r>
      <w:r w:rsidR="6F0463CC" w:rsidRPr="06953AFF">
        <w:rPr>
          <w:rFonts w:eastAsia="MS Mincho"/>
          <w:sz w:val="22"/>
          <w:szCs w:val="22"/>
        </w:rPr>
        <w:t xml:space="preserve">esource </w:t>
      </w:r>
      <w:r w:rsidR="343D73DA" w:rsidRPr="06953AFF">
        <w:rPr>
          <w:rFonts w:eastAsia="MS Mincho"/>
          <w:sz w:val="22"/>
          <w:szCs w:val="22"/>
        </w:rPr>
        <w:t>H</w:t>
      </w:r>
      <w:r w:rsidRPr="181B6A0C">
        <w:rPr>
          <w:rFonts w:eastAsia="MS Mincho"/>
          <w:sz w:val="22"/>
          <w:szCs w:val="22"/>
        </w:rPr>
        <w:t>ub, Inter-</w:t>
      </w:r>
      <w:r w:rsidR="7EDBF319" w:rsidRPr="06953AFF">
        <w:rPr>
          <w:rFonts w:eastAsia="MS Mincho"/>
          <w:sz w:val="22"/>
          <w:szCs w:val="22"/>
        </w:rPr>
        <w:t>A</w:t>
      </w:r>
      <w:r w:rsidR="6F0463CC" w:rsidRPr="06953AFF">
        <w:rPr>
          <w:rFonts w:eastAsia="MS Mincho"/>
          <w:sz w:val="22"/>
          <w:szCs w:val="22"/>
        </w:rPr>
        <w:t xml:space="preserve">gency </w:t>
      </w:r>
      <w:r w:rsidR="44C43FBA" w:rsidRPr="06953AFF">
        <w:rPr>
          <w:rFonts w:eastAsia="MS Mincho"/>
          <w:sz w:val="22"/>
          <w:szCs w:val="22"/>
        </w:rPr>
        <w:t>W</w:t>
      </w:r>
      <w:r w:rsidR="6F0463CC" w:rsidRPr="06953AFF">
        <w:rPr>
          <w:rFonts w:eastAsia="MS Mincho"/>
          <w:sz w:val="22"/>
          <w:szCs w:val="22"/>
        </w:rPr>
        <w:t xml:space="preserve">orking </w:t>
      </w:r>
      <w:r w:rsidR="6E54A86E" w:rsidRPr="06953AFF">
        <w:rPr>
          <w:rFonts w:eastAsia="MS Mincho"/>
          <w:sz w:val="22"/>
          <w:szCs w:val="22"/>
        </w:rPr>
        <w:t>G</w:t>
      </w:r>
      <w:r w:rsidRPr="181B6A0C">
        <w:rPr>
          <w:rFonts w:eastAsia="MS Mincho"/>
          <w:sz w:val="22"/>
          <w:szCs w:val="22"/>
        </w:rPr>
        <w:t xml:space="preserve">roup on AI, UNGIS and the WSIS+20 Review; and raises awareness through International Girls in ICT Day, International Day of Women and Girls in Science, and International Day of Education, as well as other multistakeholder </w:t>
      </w:r>
      <w:r w:rsidRPr="181B6A0C">
        <w:rPr>
          <w:rFonts w:eastAsia="MS Mincho"/>
          <w:sz w:val="22"/>
          <w:szCs w:val="22"/>
        </w:rPr>
        <w:t xml:space="preserve">dialogues and regional briefings. </w:t>
      </w:r>
    </w:p>
    <w:p w14:paraId="68B75325" w14:textId="77777777" w:rsidR="0062595A" w:rsidRPr="00C5530E" w:rsidRDefault="0062595A" w:rsidP="00C5530E">
      <w:pPr>
        <w:suppressAutoHyphens/>
        <w:adjustRightInd/>
        <w:spacing w:before="240" w:after="120"/>
        <w:jc w:val="both"/>
        <w:rPr>
          <w:rFonts w:eastAsia="MS Mincho"/>
          <w:b/>
          <w:bCs/>
          <w:sz w:val="22"/>
        </w:rPr>
      </w:pPr>
      <w:r w:rsidRPr="00C5530E">
        <w:rPr>
          <w:rFonts w:eastAsia="MS Mincho"/>
          <w:b/>
          <w:bCs/>
          <w:sz w:val="22"/>
        </w:rPr>
        <w:t xml:space="preserve">ITU’s leadership in the UN80 Initiatives </w:t>
      </w:r>
    </w:p>
    <w:p w14:paraId="5BFD9C9D" w14:textId="5CC95034" w:rsidR="0062595A" w:rsidRPr="00C5530E" w:rsidRDefault="0062595A" w:rsidP="00C5530E">
      <w:pPr>
        <w:suppressAutoHyphens/>
        <w:adjustRightInd/>
        <w:spacing w:after="120"/>
        <w:jc w:val="both"/>
        <w:rPr>
          <w:rFonts w:eastAsia="MS Mincho"/>
          <w:sz w:val="22"/>
        </w:rPr>
      </w:pPr>
      <w:r w:rsidRPr="00C5530E">
        <w:rPr>
          <w:rFonts w:eastAsia="MS Mincho"/>
          <w:sz w:val="22"/>
        </w:rPr>
        <w:t xml:space="preserve">Under the UN80 Initiatives, ITU’s Secretary-General co-led the Specialized Agencies Cluster with the International Labour Organization (ILO), aligning digital transformation with UN reform proprieties. Following the UN Secretary-General’s September 2025 report </w:t>
      </w:r>
      <w:hyperlink r:id="rId591" w:history="1">
        <w:r w:rsidRPr="00FC50D2">
          <w:rPr>
            <w:rStyle w:val="Hyperlink"/>
            <w:rFonts w:eastAsia="MS Mincho"/>
            <w:i/>
            <w:iCs/>
            <w:color w:val="0563C1"/>
            <w:sz w:val="22"/>
          </w:rPr>
          <w:t>Shifting Paradigms: United to Deliver</w:t>
        </w:r>
      </w:hyperlink>
      <w:r w:rsidRPr="00C5530E">
        <w:rPr>
          <w:rFonts w:eastAsia="MS Mincho"/>
          <w:sz w:val="22"/>
        </w:rPr>
        <w:t xml:space="preserve"> and the subsequent </w:t>
      </w:r>
      <w:hyperlink r:id="rId592" w:history="1">
        <w:r w:rsidRPr="00FC50D2">
          <w:rPr>
            <w:rStyle w:val="Hyperlink"/>
            <w:rFonts w:eastAsia="MS Mincho"/>
            <w:i/>
            <w:iCs/>
            <w:color w:val="0563C1"/>
            <w:sz w:val="22"/>
          </w:rPr>
          <w:t>UN80 Action Plan</w:t>
        </w:r>
      </w:hyperlink>
      <w:r w:rsidRPr="00C5530E">
        <w:rPr>
          <w:rFonts w:eastAsia="MS Mincho"/>
          <w:sz w:val="22"/>
        </w:rPr>
        <w:t xml:space="preserve">, the initiative has entered full implementation in 2026. ITU leads Work Package #8 (Expertise-on-Demand) with UNDP – connecting UN County Teams to specialized expertise – and co-lead #15 (Technology) with the Under-Secretary-General for Policy and the Chair of the UN Digital &amp; Technology Network to consolidate digital infrastructure and launch the Technology Accelerator Platform (TAP). ITU also contributes to several other Work Packages, including #5 (UN Country Team Reconfiguration), #6 (Regional Reset), #7 (Joint Knowledge Hubs), #12 (Regional </w:t>
      </w:r>
      <w:r w:rsidRPr="00C5530E">
        <w:rPr>
          <w:rFonts w:eastAsia="MS Mincho"/>
          <w:sz w:val="22"/>
        </w:rPr>
        <w:lastRenderedPageBreak/>
        <w:t xml:space="preserve">Integrated Platforms), #14 (United Services Roadmap), #16 (Data), #17 (Training and Research), #21 (System-Wide Results Management), and #29 (Mandate Registries &amp; Tools). </w:t>
      </w:r>
    </w:p>
    <w:p w14:paraId="2B6E1BA3" w14:textId="77777777" w:rsidR="0062595A" w:rsidRPr="00C5530E" w:rsidRDefault="0062595A" w:rsidP="00C5530E">
      <w:pPr>
        <w:suppressAutoHyphens/>
        <w:adjustRightInd/>
        <w:spacing w:after="120"/>
        <w:jc w:val="both"/>
        <w:rPr>
          <w:rFonts w:eastAsia="MS Mincho"/>
          <w:sz w:val="22"/>
        </w:rPr>
      </w:pPr>
      <w:r w:rsidRPr="00C5530E">
        <w:rPr>
          <w:rFonts w:eastAsia="MS Mincho"/>
          <w:sz w:val="22"/>
        </w:rPr>
        <w:t xml:space="preserve">ITU continues to collaborate with the UN system to enhance digital cooperation, linking policy, investment, and innovation to ensure that digital transformation accelerate global progress toward the 2030 Agenda while safeguarding human rights and trust in technological advancement. </w:t>
      </w:r>
    </w:p>
    <w:p w14:paraId="060D8537" w14:textId="77777777" w:rsidR="0062595A" w:rsidRPr="0062595A" w:rsidRDefault="0062595A" w:rsidP="004F28FD">
      <w:pPr>
        <w:keepNext/>
        <w:keepLines/>
        <w:tabs>
          <w:tab w:val="clear" w:pos="567"/>
        </w:tabs>
        <w:suppressAutoHyphens/>
        <w:adjustRightInd/>
        <w:spacing w:before="360" w:after="120"/>
        <w:ind w:left="567" w:hanging="567"/>
        <w:jc w:val="both"/>
        <w:outlineLvl w:val="1"/>
        <w:rPr>
          <w:rFonts w:eastAsia="MS Mincho"/>
          <w:b/>
        </w:rPr>
      </w:pPr>
      <w:bookmarkStart w:id="127" w:name="_Toc224288837"/>
      <w:r w:rsidRPr="0062595A">
        <w:rPr>
          <w:rFonts w:eastAsia="MS Mincho"/>
          <w:b/>
        </w:rPr>
        <w:t>5.6</w:t>
      </w:r>
      <w:r w:rsidRPr="0062595A">
        <w:rPr>
          <w:rFonts w:eastAsia="MS Mincho"/>
          <w:b/>
        </w:rPr>
        <w:tab/>
        <w:t>Resource mobilization</w:t>
      </w:r>
      <w:bookmarkEnd w:id="127"/>
    </w:p>
    <w:p w14:paraId="4FBC33EB"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The ITU Council, following instructions from the 2022 Plenipotentiary Conference (PP-22), adopted a </w:t>
      </w:r>
      <w:hyperlink r:id="rId593" w:history="1">
        <w:r w:rsidRPr="0062595A">
          <w:rPr>
            <w:rFonts w:eastAsia="MS Mincho"/>
            <w:color w:val="0563C1"/>
            <w:sz w:val="22"/>
            <w:u w:val="single"/>
          </w:rPr>
          <w:t>resource mobilization strategy</w:t>
        </w:r>
      </w:hyperlink>
      <w:r w:rsidRPr="0062595A">
        <w:rPr>
          <w:rFonts w:eastAsia="MS Mincho"/>
          <w:sz w:val="22"/>
        </w:rPr>
        <w:t xml:space="preserve"> proposed by the Secretary-General at the Council’s 2024 session. The strategy has three main pillars, including strengthening member engagement and revenues, leveraging events, products, and services, and increasing voluntary contributions.</w:t>
      </w:r>
    </w:p>
    <w:p w14:paraId="0220AD45"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Member State unit contributions account for about 70 per cent of regular budget revenues. In the preparation of the strategy through the Council Working Group on Financial and Human Resources (CWG-FHR), delegates asked the ITU Secretariat for assistance in making the case for ITU within their own administrations for maintaining or increasing their unit contributions. The secretariat has developed an investment case for ITU, along with executive briefing materials and updated related web resources that can be used by delegations for internal consultations.</w:t>
      </w:r>
    </w:p>
    <w:p w14:paraId="3AA3DCF3"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The secretariat is also undertaking a significant effort to modernize its operations, generating new efficiencies, and preparing more detailed, transparent reporting for Member States. Lastly, under the guidance of the Council Working Group for Strategic and Financial Plans (CWG-SFP), an ITU-wide effort is underway to improve the presentation of the ITU budget and make clearer links between the budget and operational and strategic plans, identifying funding gaps. </w:t>
      </w:r>
    </w:p>
    <w:p w14:paraId="3B60288D" w14:textId="1B647311"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To strengthen Sector Member engagement and revenues, which account for about 10 per cent of regular budget revenues, the strategy calls for a review of Sector </w:t>
      </w:r>
      <w:r w:rsidR="00A53F39">
        <w:rPr>
          <w:rFonts w:eastAsia="MS Mincho"/>
          <w:sz w:val="22"/>
        </w:rPr>
        <w:t>m</w:t>
      </w:r>
      <w:r w:rsidRPr="0062595A">
        <w:rPr>
          <w:rFonts w:eastAsia="MS Mincho"/>
          <w:sz w:val="22"/>
        </w:rPr>
        <w:t>embership in consultation with the Sector Advisory Groups. This includes considering benefits that would encourage existing Sector Members to have memberships across multiple Sectors, and Associates to upgrade to full Sector membership. It also includes reviewing and modernizing key member services like study groups. Under-represented parts of the digital ecosystem and Member States having no Sector Member representation have been identified for targeted campaigns to ensure maximum diversity in ITU’s membership.</w:t>
      </w:r>
    </w:p>
    <w:p w14:paraId="730084A2"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 xml:space="preserve">The resource mobilization strategy also calls for reviews of various events, products and services. Products and services account for about 20 per cent of the regular budget through cost recovery. About half of this comes from satellite filings. A working group in ITU-R is examining ways of modernizing satellite filings to reflect the changing market. Investments in new systems have been made to modernize delivery of maritime products, which account for the other half of cost recovery revenues, and further investments are planned to support the sale of digital products and modernization of ITU’s event experience, which would open the door to potential new revenue streams. </w:t>
      </w:r>
    </w:p>
    <w:p w14:paraId="75ED2BC4" w14:textId="77777777" w:rsidR="0062595A" w:rsidRPr="0062595A" w:rsidRDefault="0062595A" w:rsidP="00C5530E">
      <w:pPr>
        <w:suppressAutoHyphens/>
        <w:adjustRightInd/>
        <w:spacing w:after="120"/>
        <w:jc w:val="both"/>
        <w:rPr>
          <w:rFonts w:eastAsia="MS Mincho"/>
          <w:sz w:val="22"/>
        </w:rPr>
      </w:pPr>
      <w:r w:rsidRPr="0062595A">
        <w:rPr>
          <w:rFonts w:eastAsia="MS Mincho"/>
          <w:sz w:val="22"/>
        </w:rPr>
        <w:t>Regarding voluntary contributions, which are used to supplement the regular budget, Baku Action Plan adopted by the World Telecommunication Development Conference in 2025 provides a global framework, along with a set of regional initiatives, to guide the secretariat’s efforts towards raising funds for projects and initiatives. In addition, initiatives like Giga confirm the potential to boost funding and maximize impact by partnering with other UN agencies. The secretariat is also working to address key enablers of project implementation, including streamlined hiring and procurement processes, new information technology (IT) systems to support efficient ITU-wide coordination of outreach to members and partners, and a new partnership strategy to leverage partnerships for impact and provide greater transparency, while protecting the reputation of ITU.</w:t>
      </w:r>
    </w:p>
    <w:p w14:paraId="26B4F438" w14:textId="77777777" w:rsidR="0062595A" w:rsidRPr="0062595A" w:rsidRDefault="0062595A" w:rsidP="004F28FD">
      <w:pPr>
        <w:keepNext/>
        <w:keepLines/>
        <w:tabs>
          <w:tab w:val="clear" w:pos="567"/>
        </w:tabs>
        <w:suppressAutoHyphens/>
        <w:adjustRightInd/>
        <w:spacing w:before="360" w:after="120"/>
        <w:ind w:left="567" w:hanging="567"/>
        <w:jc w:val="both"/>
        <w:outlineLvl w:val="1"/>
        <w:rPr>
          <w:rFonts w:eastAsia="MS Mincho"/>
          <w:b/>
        </w:rPr>
      </w:pPr>
      <w:bookmarkStart w:id="128" w:name="_Toc224288838"/>
      <w:r w:rsidRPr="0062595A">
        <w:rPr>
          <w:rFonts w:eastAsia="MS Mincho"/>
          <w:b/>
        </w:rPr>
        <w:lastRenderedPageBreak/>
        <w:t>5.7</w:t>
      </w:r>
      <w:r w:rsidRPr="0062595A">
        <w:rPr>
          <w:rFonts w:eastAsia="MS Mincho"/>
          <w:b/>
        </w:rPr>
        <w:tab/>
        <w:t>Transformation Process: Achieving Organizational Excellence</w:t>
      </w:r>
      <w:bookmarkEnd w:id="128"/>
    </w:p>
    <w:p w14:paraId="1BF5B346" w14:textId="0CDFCE3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ITU’s launched</w:t>
      </w:r>
      <w:r w:rsidR="00393AA5">
        <w:rPr>
          <w:rFonts w:eastAsia="SimSun" w:cs="Arial"/>
          <w:kern w:val="3"/>
          <w:sz w:val="22"/>
          <w:szCs w:val="22"/>
          <w:lang w:eastAsia="zh-CN"/>
        </w:rPr>
        <w:t xml:space="preserve"> </w:t>
      </w:r>
      <w:r w:rsidRPr="0062595A">
        <w:rPr>
          <w:rFonts w:eastAsia="SimSun" w:cs="Arial"/>
          <w:kern w:val="3"/>
          <w:sz w:val="22"/>
          <w:szCs w:val="22"/>
          <w:lang w:eastAsia="zh-CN"/>
        </w:rPr>
        <w:t>its</w:t>
      </w:r>
      <w:r w:rsidR="00393AA5">
        <w:rPr>
          <w:rFonts w:eastAsia="SimSun" w:cs="Arial"/>
          <w:kern w:val="3"/>
          <w:sz w:val="22"/>
          <w:szCs w:val="22"/>
          <w:lang w:eastAsia="zh-CN"/>
        </w:rPr>
        <w:t xml:space="preserve"> </w:t>
      </w:r>
      <w:r w:rsidRPr="0062595A">
        <w:rPr>
          <w:rFonts w:eastAsia="SimSun" w:cs="Arial"/>
          <w:kern w:val="3"/>
          <w:sz w:val="22"/>
          <w:szCs w:val="22"/>
          <w:lang w:eastAsia="zh-CN"/>
        </w:rPr>
        <w:t>transformation initiative</w:t>
      </w:r>
      <w:r w:rsidR="00393AA5">
        <w:rPr>
          <w:rFonts w:eastAsia="SimSun" w:cs="Arial"/>
          <w:kern w:val="3"/>
          <w:sz w:val="22"/>
          <w:szCs w:val="22"/>
          <w:lang w:eastAsia="zh-CN"/>
        </w:rPr>
        <w:t xml:space="preserve"> </w:t>
      </w:r>
      <w:r w:rsidRPr="0062595A">
        <w:rPr>
          <w:rFonts w:eastAsia="SimSun" w:cs="Arial"/>
          <w:kern w:val="3"/>
          <w:sz w:val="22"/>
          <w:szCs w:val="22"/>
          <w:lang w:eastAsia="zh-CN"/>
        </w:rPr>
        <w:t>in 2023</w:t>
      </w:r>
      <w:r w:rsidR="00393AA5">
        <w:rPr>
          <w:rFonts w:eastAsia="SimSun" w:cs="Arial"/>
          <w:kern w:val="3"/>
          <w:sz w:val="22"/>
          <w:szCs w:val="22"/>
          <w:lang w:eastAsia="zh-CN"/>
        </w:rPr>
        <w:t xml:space="preserve"> </w:t>
      </w:r>
      <w:r w:rsidRPr="0062595A">
        <w:rPr>
          <w:rFonts w:eastAsia="SimSun" w:cs="Arial"/>
          <w:kern w:val="3"/>
          <w:sz w:val="22"/>
          <w:szCs w:val="22"/>
          <w:lang w:eastAsia="zh-CN"/>
        </w:rPr>
        <w:t>based on a comprehensive visioning process</w:t>
      </w:r>
      <w:r w:rsidR="00393AA5">
        <w:rPr>
          <w:rFonts w:eastAsia="SimSun" w:cs="Arial"/>
          <w:kern w:val="3"/>
          <w:sz w:val="22"/>
          <w:szCs w:val="22"/>
          <w:lang w:eastAsia="zh-CN"/>
        </w:rPr>
        <w:t xml:space="preserve"> </w:t>
      </w:r>
      <w:r w:rsidRPr="0062595A">
        <w:rPr>
          <w:rFonts w:eastAsia="SimSun" w:cs="Arial"/>
          <w:kern w:val="3"/>
          <w:sz w:val="22"/>
          <w:szCs w:val="22"/>
          <w:lang w:eastAsia="zh-CN"/>
        </w:rPr>
        <w:t>and changemakers programme</w:t>
      </w:r>
      <w:r w:rsidR="00393AA5">
        <w:rPr>
          <w:rFonts w:eastAsia="SimSun" w:cs="Arial"/>
          <w:kern w:val="3"/>
          <w:sz w:val="22"/>
          <w:szCs w:val="22"/>
          <w:lang w:eastAsia="zh-CN"/>
        </w:rPr>
        <w:t xml:space="preserve"> </w:t>
      </w:r>
      <w:r w:rsidRPr="0062595A">
        <w:rPr>
          <w:rFonts w:eastAsia="SimSun" w:cs="Arial"/>
          <w:kern w:val="3"/>
          <w:sz w:val="22"/>
          <w:szCs w:val="22"/>
          <w:lang w:eastAsia="zh-CN"/>
        </w:rPr>
        <w:t>involving</w:t>
      </w:r>
      <w:r w:rsidR="00393AA5">
        <w:rPr>
          <w:rFonts w:eastAsia="SimSun" w:cs="Arial"/>
          <w:kern w:val="3"/>
          <w:sz w:val="22"/>
          <w:szCs w:val="22"/>
          <w:lang w:eastAsia="zh-CN"/>
        </w:rPr>
        <w:t xml:space="preserve"> </w:t>
      </w:r>
      <w:r w:rsidRPr="0062595A">
        <w:rPr>
          <w:rFonts w:eastAsia="SimSun" w:cs="Arial"/>
          <w:kern w:val="3"/>
          <w:sz w:val="22"/>
          <w:szCs w:val="22"/>
          <w:lang w:eastAsia="zh-CN"/>
        </w:rPr>
        <w:t>staff</w:t>
      </w:r>
      <w:r w:rsidR="00393AA5">
        <w:rPr>
          <w:rFonts w:eastAsia="SimSun" w:cs="Arial"/>
          <w:kern w:val="3"/>
          <w:sz w:val="22"/>
          <w:szCs w:val="22"/>
          <w:lang w:eastAsia="zh-CN"/>
        </w:rPr>
        <w:t xml:space="preserve"> </w:t>
      </w:r>
      <w:r w:rsidRPr="0062595A">
        <w:rPr>
          <w:rFonts w:eastAsia="SimSun" w:cs="Arial"/>
          <w:kern w:val="3"/>
          <w:sz w:val="22"/>
          <w:szCs w:val="22"/>
          <w:lang w:eastAsia="zh-CN"/>
        </w:rPr>
        <w:t>from</w:t>
      </w:r>
      <w:r w:rsidR="00393AA5">
        <w:rPr>
          <w:rFonts w:eastAsia="SimSun" w:cs="Arial"/>
          <w:kern w:val="3"/>
          <w:sz w:val="22"/>
          <w:szCs w:val="22"/>
          <w:lang w:eastAsia="zh-CN"/>
        </w:rPr>
        <w:t xml:space="preserve"> </w:t>
      </w:r>
      <w:r w:rsidRPr="0062595A">
        <w:rPr>
          <w:rFonts w:eastAsia="SimSun" w:cs="Arial"/>
          <w:kern w:val="3"/>
          <w:sz w:val="22"/>
          <w:szCs w:val="22"/>
          <w:lang w:eastAsia="zh-CN"/>
        </w:rPr>
        <w:t>across</w:t>
      </w:r>
      <w:r w:rsidR="00393AA5">
        <w:rPr>
          <w:rFonts w:eastAsia="SimSun" w:cs="Arial"/>
          <w:kern w:val="3"/>
          <w:sz w:val="22"/>
          <w:szCs w:val="22"/>
          <w:lang w:eastAsia="zh-CN"/>
        </w:rPr>
        <w:t xml:space="preserve"> </w:t>
      </w:r>
      <w:r w:rsidRPr="0062595A">
        <w:rPr>
          <w:rFonts w:eastAsia="SimSun" w:cs="Arial"/>
          <w:kern w:val="3"/>
          <w:sz w:val="22"/>
          <w:szCs w:val="22"/>
          <w:lang w:eastAsia="zh-CN"/>
        </w:rPr>
        <w:t>the organization. This provided a foundation for change and engaged staff in a collective effort to prepare ITU for the future. While transformation is occurring across the General Secretariat and Bureaux, the focus of the transformation initiative</w:t>
      </w:r>
      <w:r w:rsidR="00393AA5">
        <w:rPr>
          <w:rFonts w:eastAsia="SimSun" w:cs="Arial"/>
          <w:kern w:val="3"/>
          <w:sz w:val="22"/>
          <w:szCs w:val="22"/>
          <w:lang w:eastAsia="zh-CN"/>
        </w:rPr>
        <w:t xml:space="preserve"> </w:t>
      </w:r>
      <w:r w:rsidRPr="0062595A">
        <w:rPr>
          <w:rFonts w:eastAsia="SimSun" w:cs="Arial"/>
          <w:kern w:val="3"/>
          <w:sz w:val="22"/>
          <w:szCs w:val="22"/>
          <w:lang w:eastAsia="zh-CN"/>
        </w:rPr>
        <w:t>has been on achieving operational excellence in the General Secretariat, as a service provider to the Bureaux and members.</w:t>
      </w:r>
    </w:p>
    <w:p w14:paraId="4B4DBFA0" w14:textId="2A8EEE3E"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As ITU’s transformation effort</w:t>
      </w:r>
      <w:r w:rsidR="00393AA5">
        <w:rPr>
          <w:rFonts w:eastAsia="SimSun" w:cs="Arial"/>
          <w:kern w:val="3"/>
          <w:sz w:val="22"/>
          <w:szCs w:val="22"/>
          <w:lang w:eastAsia="zh-CN"/>
        </w:rPr>
        <w:t xml:space="preserve"> </w:t>
      </w:r>
      <w:r w:rsidRPr="0062595A">
        <w:rPr>
          <w:rFonts w:eastAsia="SimSun" w:cs="Arial"/>
          <w:kern w:val="3"/>
          <w:sz w:val="22"/>
          <w:szCs w:val="22"/>
          <w:lang w:eastAsia="zh-CN"/>
        </w:rPr>
        <w:t>has</w:t>
      </w:r>
      <w:r w:rsidR="00393AA5">
        <w:rPr>
          <w:rFonts w:eastAsia="SimSun" w:cs="Arial"/>
          <w:kern w:val="3"/>
          <w:sz w:val="22"/>
          <w:szCs w:val="22"/>
          <w:lang w:eastAsia="zh-CN"/>
        </w:rPr>
        <w:t xml:space="preserve"> </w:t>
      </w:r>
      <w:r w:rsidRPr="0062595A">
        <w:rPr>
          <w:rFonts w:eastAsia="SimSun" w:cs="Arial"/>
          <w:kern w:val="3"/>
          <w:sz w:val="22"/>
          <w:szCs w:val="22"/>
          <w:lang w:eastAsia="zh-CN"/>
        </w:rPr>
        <w:t>matured, the secretariat</w:t>
      </w:r>
      <w:r w:rsidR="00393AA5">
        <w:rPr>
          <w:rFonts w:eastAsia="SimSun" w:cs="Arial"/>
          <w:kern w:val="3"/>
          <w:sz w:val="22"/>
          <w:szCs w:val="22"/>
          <w:lang w:eastAsia="zh-CN"/>
        </w:rPr>
        <w:t xml:space="preserve"> </w:t>
      </w:r>
      <w:r w:rsidRPr="0062595A">
        <w:rPr>
          <w:rFonts w:eastAsia="SimSun" w:cs="Arial"/>
          <w:kern w:val="3"/>
          <w:sz w:val="22"/>
          <w:szCs w:val="22"/>
          <w:lang w:eastAsia="zh-CN"/>
        </w:rPr>
        <w:t>has been</w:t>
      </w:r>
      <w:r w:rsidR="00393AA5">
        <w:rPr>
          <w:rFonts w:eastAsia="SimSun" w:cs="Arial"/>
          <w:kern w:val="3"/>
          <w:sz w:val="22"/>
          <w:szCs w:val="22"/>
          <w:lang w:eastAsia="zh-CN"/>
        </w:rPr>
        <w:t xml:space="preserve"> </w:t>
      </w:r>
      <w:r w:rsidRPr="0062595A">
        <w:rPr>
          <w:rFonts w:eastAsia="SimSun" w:cs="Arial"/>
          <w:kern w:val="3"/>
          <w:sz w:val="22"/>
          <w:szCs w:val="22"/>
          <w:lang w:eastAsia="zh-CN"/>
        </w:rPr>
        <w:t>transitioning from ideas</w:t>
      </w:r>
      <w:r w:rsidR="00393AA5">
        <w:rPr>
          <w:rFonts w:eastAsia="SimSun" w:cs="Arial"/>
          <w:kern w:val="3"/>
          <w:sz w:val="22"/>
          <w:szCs w:val="22"/>
          <w:lang w:eastAsia="zh-CN"/>
        </w:rPr>
        <w:t xml:space="preserve"> </w:t>
      </w:r>
      <w:r w:rsidRPr="0062595A">
        <w:rPr>
          <w:rFonts w:eastAsia="SimSun" w:cs="Arial"/>
          <w:kern w:val="3"/>
          <w:sz w:val="22"/>
          <w:szCs w:val="22"/>
          <w:lang w:eastAsia="zh-CN"/>
        </w:rPr>
        <w:t>to implementation.</w:t>
      </w:r>
      <w:r w:rsidR="00393AA5">
        <w:rPr>
          <w:rFonts w:eastAsia="SimSun" w:cs="Arial"/>
          <w:kern w:val="3"/>
          <w:sz w:val="22"/>
          <w:szCs w:val="22"/>
          <w:lang w:eastAsia="zh-CN"/>
        </w:rPr>
        <w:t xml:space="preserve"> </w:t>
      </w:r>
      <w:r w:rsidRPr="0062595A">
        <w:rPr>
          <w:rFonts w:eastAsia="SimSun" w:cs="Arial"/>
          <w:kern w:val="3"/>
          <w:sz w:val="22"/>
          <w:szCs w:val="22"/>
          <w:lang w:eastAsia="zh-CN"/>
        </w:rPr>
        <w:t>Business owners have been integrating recommendations where possible into their operational plans</w:t>
      </w:r>
      <w:r w:rsidR="00393AA5">
        <w:rPr>
          <w:rFonts w:eastAsia="SimSun" w:cs="Arial"/>
          <w:kern w:val="3"/>
          <w:sz w:val="22"/>
          <w:szCs w:val="22"/>
          <w:lang w:eastAsia="zh-CN"/>
        </w:rPr>
        <w:t xml:space="preserve"> </w:t>
      </w:r>
      <w:r w:rsidRPr="0062595A">
        <w:rPr>
          <w:rFonts w:eastAsia="SimSun" w:cs="Arial"/>
          <w:kern w:val="3"/>
          <w:sz w:val="22"/>
          <w:szCs w:val="22"/>
          <w:lang w:eastAsia="zh-CN"/>
        </w:rPr>
        <w:t>and</w:t>
      </w:r>
      <w:r w:rsidR="00393AA5">
        <w:rPr>
          <w:rFonts w:eastAsia="SimSun" w:cs="Arial"/>
          <w:kern w:val="3"/>
          <w:sz w:val="22"/>
          <w:szCs w:val="22"/>
          <w:lang w:eastAsia="zh-CN"/>
        </w:rPr>
        <w:t xml:space="preserve"> </w:t>
      </w:r>
      <w:r w:rsidRPr="0062595A">
        <w:rPr>
          <w:rFonts w:eastAsia="SimSun" w:cs="Arial"/>
          <w:kern w:val="3"/>
          <w:sz w:val="22"/>
          <w:szCs w:val="22"/>
          <w:lang w:eastAsia="zh-CN"/>
        </w:rPr>
        <w:t>budgets,</w:t>
      </w:r>
      <w:r w:rsidR="00393AA5">
        <w:rPr>
          <w:rFonts w:eastAsia="SimSun" w:cs="Arial"/>
          <w:kern w:val="3"/>
          <w:sz w:val="22"/>
          <w:szCs w:val="22"/>
          <w:lang w:eastAsia="zh-CN"/>
        </w:rPr>
        <w:t xml:space="preserve"> </w:t>
      </w:r>
      <w:r w:rsidRPr="0062595A">
        <w:rPr>
          <w:rFonts w:eastAsia="SimSun" w:cs="Arial"/>
          <w:kern w:val="3"/>
          <w:sz w:val="22"/>
          <w:szCs w:val="22"/>
          <w:lang w:eastAsia="zh-CN"/>
        </w:rPr>
        <w:t>prioritizing key initiatives.</w:t>
      </w:r>
      <w:r w:rsidR="00393AA5">
        <w:rPr>
          <w:rFonts w:eastAsia="SimSun" w:cs="Arial"/>
          <w:kern w:val="3"/>
          <w:sz w:val="22"/>
          <w:szCs w:val="22"/>
          <w:lang w:eastAsia="zh-CN"/>
        </w:rPr>
        <w:t xml:space="preserve"> </w:t>
      </w:r>
      <w:r w:rsidRPr="0062595A">
        <w:rPr>
          <w:rFonts w:eastAsia="SimSun" w:cs="Arial"/>
          <w:kern w:val="3"/>
          <w:sz w:val="22"/>
          <w:szCs w:val="22"/>
          <w:lang w:eastAsia="zh-CN"/>
        </w:rPr>
        <w:t>Transformation is</w:t>
      </w:r>
      <w:r w:rsidR="00393AA5">
        <w:rPr>
          <w:rFonts w:eastAsia="SimSun" w:cs="Arial"/>
          <w:kern w:val="3"/>
          <w:sz w:val="22"/>
          <w:szCs w:val="22"/>
          <w:lang w:eastAsia="zh-CN"/>
        </w:rPr>
        <w:t xml:space="preserve"> </w:t>
      </w:r>
      <w:r w:rsidRPr="0062595A">
        <w:rPr>
          <w:rFonts w:eastAsia="SimSun" w:cs="Arial"/>
          <w:kern w:val="3"/>
          <w:sz w:val="22"/>
          <w:szCs w:val="22"/>
          <w:lang w:eastAsia="zh-CN"/>
        </w:rPr>
        <w:t>being</w:t>
      </w:r>
      <w:r w:rsidR="00393AA5">
        <w:rPr>
          <w:rFonts w:eastAsia="SimSun" w:cs="Arial"/>
          <w:kern w:val="3"/>
          <w:sz w:val="22"/>
          <w:szCs w:val="22"/>
          <w:lang w:eastAsia="zh-CN"/>
        </w:rPr>
        <w:t xml:space="preserve"> </w:t>
      </w:r>
      <w:r w:rsidRPr="0062595A">
        <w:rPr>
          <w:rFonts w:eastAsia="SimSun" w:cs="Arial"/>
          <w:kern w:val="3"/>
          <w:sz w:val="22"/>
          <w:szCs w:val="22"/>
          <w:lang w:eastAsia="zh-CN"/>
        </w:rPr>
        <w:t>incorporated</w:t>
      </w:r>
      <w:r w:rsidR="00393AA5">
        <w:rPr>
          <w:rFonts w:eastAsia="SimSun" w:cs="Arial"/>
          <w:kern w:val="3"/>
          <w:sz w:val="22"/>
          <w:szCs w:val="22"/>
          <w:lang w:eastAsia="zh-CN"/>
        </w:rPr>
        <w:t xml:space="preserve"> </w:t>
      </w:r>
      <w:r w:rsidRPr="0062595A">
        <w:rPr>
          <w:rFonts w:eastAsia="SimSun" w:cs="Arial"/>
          <w:kern w:val="3"/>
          <w:sz w:val="22"/>
          <w:szCs w:val="22"/>
          <w:lang w:eastAsia="zh-CN"/>
        </w:rPr>
        <w:t>into strategic and financial planning</w:t>
      </w:r>
      <w:r w:rsidR="00393AA5">
        <w:rPr>
          <w:rFonts w:eastAsia="SimSun" w:cs="Arial"/>
          <w:kern w:val="3"/>
          <w:sz w:val="22"/>
          <w:szCs w:val="22"/>
          <w:lang w:eastAsia="zh-CN"/>
        </w:rPr>
        <w:t xml:space="preserve"> </w:t>
      </w:r>
      <w:r w:rsidRPr="0062595A">
        <w:rPr>
          <w:rFonts w:eastAsia="SimSun" w:cs="Arial"/>
          <w:kern w:val="3"/>
          <w:sz w:val="22"/>
          <w:szCs w:val="22"/>
          <w:lang w:eastAsia="zh-CN"/>
        </w:rPr>
        <w:t>as a performance enabler rather than as a separate undertaking,</w:t>
      </w:r>
      <w:r w:rsidR="00393AA5">
        <w:rPr>
          <w:rFonts w:eastAsia="SimSun" w:cs="Arial"/>
          <w:kern w:val="3"/>
          <w:sz w:val="22"/>
          <w:szCs w:val="22"/>
          <w:lang w:eastAsia="zh-CN"/>
        </w:rPr>
        <w:t xml:space="preserve"> </w:t>
      </w:r>
      <w:r w:rsidRPr="0062595A">
        <w:rPr>
          <w:rFonts w:eastAsia="SimSun" w:cs="Arial"/>
          <w:kern w:val="3"/>
          <w:sz w:val="22"/>
          <w:szCs w:val="22"/>
          <w:lang w:eastAsia="zh-CN"/>
        </w:rPr>
        <w:t>aligned</w:t>
      </w:r>
      <w:r w:rsidR="00393AA5">
        <w:rPr>
          <w:rFonts w:eastAsia="SimSun" w:cs="Arial"/>
          <w:kern w:val="3"/>
          <w:sz w:val="22"/>
          <w:szCs w:val="22"/>
          <w:lang w:eastAsia="zh-CN"/>
        </w:rPr>
        <w:t xml:space="preserve"> </w:t>
      </w:r>
      <w:r w:rsidRPr="0062595A">
        <w:rPr>
          <w:rFonts w:eastAsia="SimSun" w:cs="Arial"/>
          <w:kern w:val="3"/>
          <w:sz w:val="22"/>
          <w:szCs w:val="22"/>
          <w:lang w:eastAsia="zh-CN"/>
        </w:rPr>
        <w:t>with</w:t>
      </w:r>
      <w:r w:rsidR="00393AA5">
        <w:rPr>
          <w:rFonts w:eastAsia="SimSun" w:cs="Arial"/>
          <w:kern w:val="3"/>
          <w:sz w:val="22"/>
          <w:szCs w:val="22"/>
          <w:lang w:eastAsia="zh-CN"/>
        </w:rPr>
        <w:t xml:space="preserve"> </w:t>
      </w:r>
      <w:r w:rsidRPr="0062595A">
        <w:rPr>
          <w:rFonts w:eastAsia="SimSun" w:cs="Arial"/>
          <w:kern w:val="3"/>
          <w:sz w:val="22"/>
          <w:szCs w:val="22"/>
          <w:lang w:eastAsia="zh-CN"/>
        </w:rPr>
        <w:t>agreed strategic outcomes and KPIs.</w:t>
      </w:r>
      <w:r w:rsidR="00393AA5">
        <w:rPr>
          <w:rFonts w:eastAsia="SimSun" w:cs="Arial"/>
          <w:kern w:val="3"/>
          <w:sz w:val="22"/>
          <w:szCs w:val="22"/>
          <w:lang w:eastAsia="zh-CN"/>
        </w:rPr>
        <w:t xml:space="preserve"> </w:t>
      </w:r>
      <w:r w:rsidRPr="0062595A">
        <w:rPr>
          <w:rFonts w:eastAsia="SimSun" w:cs="Arial"/>
          <w:kern w:val="3"/>
          <w:sz w:val="22"/>
          <w:szCs w:val="22"/>
          <w:lang w:eastAsia="zh-CN"/>
        </w:rPr>
        <w:t xml:space="preserve">The evolution of this process has been covered in regular reporting to Council, including </w:t>
      </w:r>
      <w:hyperlink r:id="rId594" w:history="1">
        <w:r w:rsidRPr="0062595A">
          <w:rPr>
            <w:rFonts w:eastAsia="SimSun" w:cs="Arial"/>
            <w:color w:val="0563C1"/>
            <w:kern w:val="3"/>
            <w:sz w:val="22"/>
            <w:szCs w:val="22"/>
            <w:u w:val="single"/>
            <w:lang w:eastAsia="zh-CN"/>
          </w:rPr>
          <w:t>C24/52</w:t>
        </w:r>
      </w:hyperlink>
      <w:r w:rsidRPr="0062595A">
        <w:rPr>
          <w:rFonts w:eastAsia="SimSun" w:cs="Arial"/>
          <w:kern w:val="3"/>
          <w:sz w:val="22"/>
          <w:szCs w:val="22"/>
          <w:lang w:eastAsia="zh-CN"/>
        </w:rPr>
        <w:t xml:space="preserve">, </w:t>
      </w:r>
      <w:hyperlink r:id="rId595" w:history="1">
        <w:r w:rsidRPr="0062595A">
          <w:rPr>
            <w:rFonts w:eastAsia="SimSun" w:cs="Arial"/>
            <w:color w:val="0563C1"/>
            <w:kern w:val="3"/>
            <w:sz w:val="22"/>
            <w:szCs w:val="22"/>
            <w:u w:val="single"/>
            <w:lang w:eastAsia="zh-CN"/>
          </w:rPr>
          <w:t>C25/55</w:t>
        </w:r>
      </w:hyperlink>
      <w:r w:rsidRPr="0062595A">
        <w:rPr>
          <w:rFonts w:eastAsia="SimSun" w:cs="Arial"/>
          <w:kern w:val="3"/>
          <w:sz w:val="22"/>
          <w:szCs w:val="22"/>
          <w:lang w:eastAsia="zh-CN"/>
        </w:rPr>
        <w:t xml:space="preserve">, as well as reports to CWG-FHR, the most recent being </w:t>
      </w:r>
      <w:hyperlink r:id="rId596" w:history="1">
        <w:r w:rsidRPr="0062595A">
          <w:rPr>
            <w:rFonts w:eastAsia="SimSun" w:cs="Arial"/>
            <w:color w:val="0563C1"/>
            <w:kern w:val="3"/>
            <w:sz w:val="22"/>
            <w:szCs w:val="22"/>
            <w:u w:val="single"/>
            <w:lang w:eastAsia="zh-CN"/>
          </w:rPr>
          <w:t>CWG-FHR-22/15</w:t>
        </w:r>
      </w:hyperlink>
      <w:r w:rsidRPr="0062595A">
        <w:rPr>
          <w:rFonts w:eastAsia="SimSun" w:cs="Arial"/>
          <w:kern w:val="3"/>
          <w:sz w:val="22"/>
          <w:szCs w:val="22"/>
          <w:lang w:eastAsia="zh-CN"/>
        </w:rPr>
        <w:t>.</w:t>
      </w:r>
    </w:p>
    <w:p w14:paraId="739C8E4D" w14:textId="11D2917C" w:rsidR="0062595A" w:rsidRPr="0062595A" w:rsidRDefault="0062595A" w:rsidP="00C5530E">
      <w:pPr>
        <w:suppressAutoHyphens/>
        <w:adjustRightInd/>
        <w:spacing w:before="240" w:after="120"/>
        <w:jc w:val="both"/>
        <w:rPr>
          <w:rFonts w:eastAsia="MS Mincho"/>
          <w:b/>
          <w:bCs/>
          <w:sz w:val="22"/>
        </w:rPr>
      </w:pPr>
      <w:r w:rsidRPr="0062595A">
        <w:rPr>
          <w:rFonts w:eastAsia="MS Mincho"/>
          <w:b/>
          <w:bCs/>
          <w:sz w:val="22"/>
        </w:rPr>
        <w:t>Key</w:t>
      </w:r>
      <w:r w:rsidR="00393AA5">
        <w:rPr>
          <w:rFonts w:eastAsia="MS Mincho"/>
          <w:b/>
          <w:bCs/>
          <w:sz w:val="22"/>
        </w:rPr>
        <w:t xml:space="preserve"> </w:t>
      </w:r>
      <w:r w:rsidRPr="0062595A">
        <w:rPr>
          <w:rFonts w:eastAsia="MS Mincho"/>
          <w:b/>
          <w:bCs/>
          <w:sz w:val="22"/>
        </w:rPr>
        <w:t>achievements</w:t>
      </w:r>
    </w:p>
    <w:p w14:paraId="606427DC" w14:textId="3A7015DC"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By</w:t>
      </w:r>
      <w:r w:rsidR="00393AA5">
        <w:rPr>
          <w:rFonts w:eastAsia="SimSun" w:cs="Arial"/>
          <w:kern w:val="3"/>
          <w:sz w:val="22"/>
          <w:szCs w:val="22"/>
          <w:lang w:eastAsia="zh-CN"/>
        </w:rPr>
        <w:t xml:space="preserve"> </w:t>
      </w:r>
      <w:r w:rsidRPr="0062595A">
        <w:rPr>
          <w:rFonts w:eastAsia="SimSun" w:cs="Arial"/>
          <w:kern w:val="3"/>
          <w:sz w:val="22"/>
          <w:szCs w:val="22"/>
          <w:lang w:eastAsia="zh-CN"/>
        </w:rPr>
        <w:t>2025, ITU had delivered several foundational transformation outcomes that strengthened governance, accountability, and operational effectiveness.</w:t>
      </w:r>
    </w:p>
    <w:p w14:paraId="0552FC31" w14:textId="77777777"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 xml:space="preserve">Key achievements include the establishment of an Oversight Unit incorporating an evaluation function, alongside the delivery of </w:t>
      </w:r>
      <w:r w:rsidRPr="0062595A">
        <w:rPr>
          <w:rFonts w:eastAsia="SimSun" w:cs="Arial"/>
          <w:kern w:val="3"/>
          <w:sz w:val="22"/>
          <w:szCs w:val="22"/>
          <w:lang w:eastAsia="zh-CN"/>
        </w:rPr>
        <w:t>evaluation training for staff, and the formal establishment of the Ombudsman function. The operational planning process was redesigned to better align strategic priorities with operational plans and financial frameworks, improving coherence and execution discipline across the organization.</w:t>
      </w:r>
    </w:p>
    <w:p w14:paraId="5E48588A" w14:textId="2CBCC769"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Significant progress</w:t>
      </w:r>
      <w:r w:rsidR="00393AA5">
        <w:rPr>
          <w:rFonts w:eastAsia="SimSun" w:cs="Arial"/>
          <w:kern w:val="3"/>
          <w:sz w:val="22"/>
          <w:szCs w:val="22"/>
          <w:lang w:eastAsia="zh-CN"/>
        </w:rPr>
        <w:t xml:space="preserve"> </w:t>
      </w:r>
      <w:r w:rsidRPr="0062595A">
        <w:rPr>
          <w:rFonts w:eastAsia="SimSun" w:cs="Arial"/>
          <w:kern w:val="3"/>
          <w:sz w:val="22"/>
          <w:szCs w:val="22"/>
          <w:lang w:eastAsia="zh-CN"/>
        </w:rPr>
        <w:t>was achieved in</w:t>
      </w:r>
      <w:r w:rsidR="00393AA5">
        <w:rPr>
          <w:rFonts w:eastAsia="SimSun" w:cs="Arial"/>
          <w:kern w:val="3"/>
          <w:sz w:val="22"/>
          <w:szCs w:val="22"/>
          <w:lang w:eastAsia="zh-CN"/>
        </w:rPr>
        <w:t xml:space="preserve"> </w:t>
      </w:r>
      <w:r w:rsidRPr="0062595A">
        <w:rPr>
          <w:rFonts w:eastAsia="SimSun" w:cs="Arial"/>
          <w:kern w:val="3"/>
          <w:sz w:val="22"/>
          <w:szCs w:val="22"/>
          <w:lang w:eastAsia="zh-CN"/>
        </w:rPr>
        <w:t>financial management</w:t>
      </w:r>
      <w:r w:rsidR="00393AA5">
        <w:rPr>
          <w:rFonts w:eastAsia="SimSun" w:cs="Arial"/>
          <w:kern w:val="3"/>
          <w:sz w:val="22"/>
          <w:szCs w:val="22"/>
          <w:lang w:eastAsia="zh-CN"/>
        </w:rPr>
        <w:t xml:space="preserve"> </w:t>
      </w:r>
      <w:r w:rsidRPr="0062595A">
        <w:rPr>
          <w:rFonts w:eastAsia="SimSun" w:cs="Arial"/>
          <w:kern w:val="3"/>
          <w:sz w:val="22"/>
          <w:szCs w:val="22"/>
          <w:lang w:eastAsia="zh-CN"/>
        </w:rPr>
        <w:t xml:space="preserve">and control, </w:t>
      </w:r>
      <w:r w:rsidR="00CA12C3">
        <w:rPr>
          <w:rFonts w:eastAsia="SimSun" w:cs="Arial"/>
          <w:kern w:val="3"/>
          <w:sz w:val="22"/>
          <w:szCs w:val="22"/>
          <w:lang w:eastAsia="zh-CN"/>
        </w:rPr>
        <w:t xml:space="preserve">which </w:t>
      </w:r>
      <w:r w:rsidRPr="0062595A">
        <w:rPr>
          <w:rFonts w:eastAsia="SimSun" w:cs="Arial"/>
          <w:kern w:val="3"/>
          <w:sz w:val="22"/>
          <w:szCs w:val="22"/>
          <w:lang w:eastAsia="zh-CN"/>
        </w:rPr>
        <w:t>includ</w:t>
      </w:r>
      <w:r w:rsidR="00CA12C3">
        <w:rPr>
          <w:rFonts w:eastAsia="SimSun" w:cs="Arial"/>
          <w:kern w:val="3"/>
          <w:sz w:val="22"/>
          <w:szCs w:val="22"/>
          <w:lang w:eastAsia="zh-CN"/>
        </w:rPr>
        <w:t>ed</w:t>
      </w:r>
      <w:r w:rsidR="0079199D">
        <w:rPr>
          <w:rFonts w:eastAsia="SimSun" w:cs="Arial"/>
          <w:kern w:val="3"/>
          <w:sz w:val="22"/>
          <w:szCs w:val="22"/>
          <w:lang w:eastAsia="zh-CN"/>
        </w:rPr>
        <w:t xml:space="preserve"> </w:t>
      </w:r>
      <w:r w:rsidR="00DE67E5">
        <w:rPr>
          <w:rFonts w:eastAsia="SimSun" w:cs="Arial"/>
          <w:kern w:val="3"/>
          <w:sz w:val="22"/>
          <w:szCs w:val="22"/>
          <w:lang w:eastAsia="zh-CN"/>
        </w:rPr>
        <w:t xml:space="preserve">transforming </w:t>
      </w:r>
      <w:r w:rsidR="002A479E">
        <w:rPr>
          <w:rFonts w:eastAsia="SimSun" w:cs="Arial"/>
          <w:kern w:val="3"/>
          <w:sz w:val="22"/>
          <w:szCs w:val="22"/>
          <w:lang w:eastAsia="zh-CN"/>
        </w:rPr>
        <w:t>budgetary deficits into consistent sur</w:t>
      </w:r>
      <w:r w:rsidR="00282256">
        <w:rPr>
          <w:rFonts w:eastAsia="SimSun" w:cs="Arial"/>
          <w:kern w:val="3"/>
          <w:sz w:val="22"/>
          <w:szCs w:val="22"/>
          <w:lang w:eastAsia="zh-CN"/>
        </w:rPr>
        <w:t>pluses</w:t>
      </w:r>
      <w:r w:rsidR="00E31E39">
        <w:rPr>
          <w:rFonts w:eastAsia="SimSun" w:cs="Arial"/>
          <w:kern w:val="3"/>
          <w:sz w:val="22"/>
          <w:szCs w:val="22"/>
          <w:lang w:eastAsia="zh-CN"/>
        </w:rPr>
        <w:t xml:space="preserve">, bringing back on track the external audit process </w:t>
      </w:r>
      <w:r w:rsidR="00290E87">
        <w:rPr>
          <w:rFonts w:eastAsia="SimSun" w:cs="Arial"/>
          <w:kern w:val="3"/>
          <w:sz w:val="22"/>
          <w:szCs w:val="22"/>
          <w:lang w:eastAsia="zh-CN"/>
        </w:rPr>
        <w:t xml:space="preserve">and </w:t>
      </w:r>
      <w:r w:rsidRPr="0062595A">
        <w:rPr>
          <w:rFonts w:eastAsia="SimSun" w:cs="Arial"/>
          <w:kern w:val="3"/>
          <w:sz w:val="22"/>
          <w:szCs w:val="22"/>
          <w:lang w:eastAsia="zh-CN"/>
        </w:rPr>
        <w:t xml:space="preserve">full compliance with </w:t>
      </w:r>
      <w:r w:rsidRPr="0062595A">
        <w:rPr>
          <w:rFonts w:eastAsia="SimSun" w:cs="Calibri"/>
          <w:kern w:val="3"/>
          <w:sz w:val="22"/>
          <w:szCs w:val="22"/>
          <w:lang w:eastAsia="zh-CN"/>
        </w:rPr>
        <w:t>International Public Sector Accounting Standards</w:t>
      </w:r>
      <w:r w:rsidRPr="0062595A">
        <w:rPr>
          <w:rFonts w:eastAsia="SimSun" w:cs="Arial"/>
          <w:kern w:val="3"/>
          <w:sz w:val="22"/>
          <w:szCs w:val="22"/>
          <w:lang w:eastAsia="zh-CN"/>
        </w:rPr>
        <w:t xml:space="preserve"> (IPSAS), and improvements to treasury operations, extrabudgetary fund management, and post management.</w:t>
      </w:r>
      <w:r w:rsidR="00E31E39">
        <w:rPr>
          <w:rFonts w:eastAsia="SimSun" w:cs="Arial"/>
          <w:kern w:val="3"/>
          <w:sz w:val="22"/>
          <w:szCs w:val="22"/>
          <w:lang w:eastAsia="zh-CN"/>
        </w:rPr>
        <w:t xml:space="preserve"> As well as redesigning the new </w:t>
      </w:r>
      <w:r w:rsidR="00B934B9">
        <w:rPr>
          <w:rFonts w:eastAsia="SimSun" w:cs="Arial"/>
          <w:kern w:val="3"/>
          <w:sz w:val="22"/>
          <w:szCs w:val="22"/>
          <w:lang w:eastAsia="zh-CN"/>
        </w:rPr>
        <w:t xml:space="preserve">headquarters building project to ensure that fits into the </w:t>
      </w:r>
      <w:r w:rsidR="00C57E90">
        <w:rPr>
          <w:rFonts w:eastAsia="SimSun" w:cs="Arial"/>
          <w:kern w:val="3"/>
          <w:sz w:val="22"/>
          <w:szCs w:val="22"/>
          <w:lang w:eastAsia="zh-CN"/>
        </w:rPr>
        <w:t xml:space="preserve">budget while </w:t>
      </w:r>
      <w:r w:rsidR="00D03797">
        <w:rPr>
          <w:rFonts w:eastAsia="SimSun" w:cs="Arial"/>
          <w:kern w:val="3"/>
          <w:sz w:val="22"/>
          <w:szCs w:val="22"/>
          <w:lang w:eastAsia="zh-CN"/>
        </w:rPr>
        <w:t>meeting future needs.</w:t>
      </w:r>
      <w:r w:rsidRPr="0062595A">
        <w:rPr>
          <w:rFonts w:eastAsia="SimSun" w:cs="Arial"/>
          <w:kern w:val="3"/>
          <w:sz w:val="22"/>
          <w:szCs w:val="22"/>
          <w:lang w:eastAsia="zh-CN"/>
        </w:rPr>
        <w:t xml:space="preserve"> Human resources reforms advanced through a simplified </w:t>
      </w:r>
      <w:proofErr w:type="spellStart"/>
      <w:r w:rsidRPr="0062595A">
        <w:rPr>
          <w:rFonts w:eastAsia="SimSun" w:cs="Arial"/>
          <w:kern w:val="3"/>
          <w:sz w:val="22"/>
          <w:szCs w:val="22"/>
          <w:lang w:eastAsia="zh-CN"/>
        </w:rPr>
        <w:t>ePMDS</w:t>
      </w:r>
      <w:proofErr w:type="spellEnd"/>
      <w:r w:rsidRPr="0062595A">
        <w:rPr>
          <w:rFonts w:eastAsia="SimSun" w:cs="Arial"/>
          <w:kern w:val="3"/>
          <w:sz w:val="22"/>
          <w:szCs w:val="22"/>
          <w:lang w:eastAsia="zh-CN"/>
        </w:rPr>
        <w:t xml:space="preserve"> (electronic Performance Management and Development System) tool and targeted training, strengthen approaches to addressing underperformance, and the development of new policies to streamline recruitment.</w:t>
      </w:r>
      <w:r w:rsidR="00997AB0">
        <w:rPr>
          <w:rFonts w:eastAsia="SimSun" w:cs="Arial"/>
          <w:kern w:val="3"/>
          <w:sz w:val="22"/>
          <w:szCs w:val="22"/>
          <w:lang w:eastAsia="zh-CN"/>
        </w:rPr>
        <w:t xml:space="preserve"> </w:t>
      </w:r>
      <w:r w:rsidRPr="0062595A">
        <w:rPr>
          <w:rFonts w:eastAsia="SimSun" w:cs="Arial"/>
          <w:kern w:val="3"/>
          <w:sz w:val="22"/>
          <w:szCs w:val="22"/>
          <w:lang w:eastAsia="zh-CN"/>
        </w:rPr>
        <w:t>In</w:t>
      </w:r>
      <w:r w:rsidR="00997AB0">
        <w:rPr>
          <w:rFonts w:eastAsia="SimSun" w:cs="Arial"/>
          <w:kern w:val="3"/>
          <w:sz w:val="22"/>
          <w:szCs w:val="22"/>
          <w:lang w:eastAsia="zh-CN"/>
        </w:rPr>
        <w:t> </w:t>
      </w:r>
      <w:r w:rsidRPr="0062595A">
        <w:rPr>
          <w:rFonts w:eastAsia="SimSun" w:cs="Arial"/>
          <w:kern w:val="3"/>
          <w:sz w:val="22"/>
          <w:szCs w:val="22"/>
          <w:lang w:eastAsia="zh-CN"/>
        </w:rPr>
        <w:t xml:space="preserve">support of culture and leadership development, a comprehensive Leadership Programme was delivered to staff and management. Responding to the Employee Engagement Survey results, the Secretary-General announced the introduction of a Rewards and Recognition Framework, as well as dedicated time for learning and innovation-related activities. In </w:t>
      </w:r>
      <w:r w:rsidRPr="0062595A">
        <w:rPr>
          <w:rFonts w:eastAsia="SimSun" w:cs="Arial"/>
          <w:kern w:val="3"/>
          <w:sz w:val="22"/>
          <w:szCs w:val="22"/>
          <w:lang w:eastAsia="zh-CN"/>
        </w:rPr>
        <w:t>parallel, ITU developed its first organizational guidelines on the responsible use of generative AI, marking</w:t>
      </w:r>
      <w:r w:rsidR="00393AA5">
        <w:rPr>
          <w:rFonts w:eastAsia="SimSun" w:cs="Arial"/>
          <w:kern w:val="3"/>
          <w:sz w:val="22"/>
          <w:szCs w:val="22"/>
          <w:lang w:eastAsia="zh-CN"/>
        </w:rPr>
        <w:t xml:space="preserve"> </w:t>
      </w:r>
      <w:r w:rsidRPr="0062595A">
        <w:rPr>
          <w:rFonts w:eastAsia="SimSun" w:cs="Arial"/>
          <w:kern w:val="3"/>
          <w:sz w:val="22"/>
          <w:szCs w:val="22"/>
          <w:lang w:eastAsia="zh-CN"/>
        </w:rPr>
        <w:t>an important step</w:t>
      </w:r>
      <w:r w:rsidR="00393AA5">
        <w:rPr>
          <w:rFonts w:eastAsia="SimSun" w:cs="Arial"/>
          <w:kern w:val="3"/>
          <w:sz w:val="22"/>
          <w:szCs w:val="22"/>
          <w:lang w:eastAsia="zh-CN"/>
        </w:rPr>
        <w:t xml:space="preserve"> </w:t>
      </w:r>
      <w:r w:rsidRPr="0062595A">
        <w:rPr>
          <w:rFonts w:eastAsia="SimSun" w:cs="Arial"/>
          <w:kern w:val="3"/>
          <w:sz w:val="22"/>
          <w:szCs w:val="22"/>
          <w:lang w:eastAsia="zh-CN"/>
        </w:rPr>
        <w:t>toward structured adoption of emerging technologies.</w:t>
      </w:r>
    </w:p>
    <w:p w14:paraId="08D5FDA2" w14:textId="29E85A2A"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In 2025, ITU also welcomed a new Chief Information Officer (CIO), who assumed a leading role in enabling and accelerating transformation. The CIO is spearheading ITU’s internal digital transformation and modernization agenda, focusing on updating systems, tools, and processes, while</w:t>
      </w:r>
      <w:r w:rsidR="00393AA5">
        <w:rPr>
          <w:rFonts w:eastAsia="SimSun" w:cs="Arial"/>
          <w:kern w:val="3"/>
          <w:sz w:val="22"/>
          <w:szCs w:val="22"/>
          <w:lang w:eastAsia="zh-CN"/>
        </w:rPr>
        <w:t xml:space="preserve"> </w:t>
      </w:r>
      <w:r w:rsidRPr="0062595A">
        <w:rPr>
          <w:rFonts w:eastAsia="SimSun" w:cs="Arial"/>
          <w:kern w:val="3"/>
          <w:sz w:val="22"/>
          <w:szCs w:val="22"/>
          <w:lang w:eastAsia="zh-CN"/>
        </w:rPr>
        <w:t>establishing</w:t>
      </w:r>
      <w:r w:rsidR="00393AA5">
        <w:rPr>
          <w:rFonts w:eastAsia="SimSun" w:cs="Arial"/>
          <w:kern w:val="3"/>
          <w:sz w:val="22"/>
          <w:szCs w:val="22"/>
          <w:lang w:eastAsia="zh-CN"/>
        </w:rPr>
        <w:t xml:space="preserve"> </w:t>
      </w:r>
      <w:r w:rsidRPr="0062595A">
        <w:rPr>
          <w:rFonts w:eastAsia="SimSun" w:cs="Arial"/>
          <w:kern w:val="3"/>
          <w:sz w:val="22"/>
          <w:szCs w:val="22"/>
          <w:lang w:eastAsia="zh-CN"/>
        </w:rPr>
        <w:t>a strong institutional foundation for data and AI as critical enablers of operational excellence, innovation, and impact.</w:t>
      </w:r>
    </w:p>
    <w:p w14:paraId="146FDA0A" w14:textId="77777777" w:rsidR="0062595A" w:rsidRPr="0062595A" w:rsidRDefault="0062595A" w:rsidP="004F28FD">
      <w:pPr>
        <w:keepNext/>
        <w:keepLines/>
        <w:tabs>
          <w:tab w:val="clear" w:pos="567"/>
        </w:tabs>
        <w:suppressAutoHyphens/>
        <w:adjustRightInd/>
        <w:spacing w:before="360" w:after="120"/>
        <w:ind w:left="567" w:hanging="567"/>
        <w:jc w:val="both"/>
        <w:outlineLvl w:val="1"/>
        <w:rPr>
          <w:rFonts w:eastAsia="MS Mincho"/>
          <w:b/>
        </w:rPr>
      </w:pPr>
      <w:bookmarkStart w:id="129" w:name="_Toc224288839"/>
      <w:r w:rsidRPr="0062595A">
        <w:rPr>
          <w:rFonts w:eastAsia="MS Mincho"/>
          <w:b/>
          <w:bCs/>
        </w:rPr>
        <w:t>5.8</w:t>
      </w:r>
      <w:r w:rsidRPr="0062595A">
        <w:rPr>
          <w:rFonts w:eastAsia="MS Mincho"/>
          <w:b/>
          <w:bCs/>
        </w:rPr>
        <w:tab/>
      </w:r>
      <w:r w:rsidRPr="0062595A">
        <w:rPr>
          <w:rFonts w:eastAsia="MS Mincho"/>
          <w:b/>
        </w:rPr>
        <w:t>Human Resources</w:t>
      </w:r>
      <w:bookmarkEnd w:id="129"/>
    </w:p>
    <w:p w14:paraId="5213C362" w14:textId="39CFFA55" w:rsidR="0062595A" w:rsidRPr="0062595A" w:rsidRDefault="0062595A" w:rsidP="00C5530E">
      <w:pPr>
        <w:tabs>
          <w:tab w:val="clear" w:pos="567"/>
          <w:tab w:val="clear" w:pos="1134"/>
          <w:tab w:val="clear" w:pos="1701"/>
          <w:tab w:val="clear" w:pos="2268"/>
          <w:tab w:val="clear" w:pos="2835"/>
        </w:tabs>
        <w:suppressAutoHyphens/>
        <w:overflowPunct/>
        <w:autoSpaceDE/>
        <w:adjustRightInd/>
        <w:spacing w:after="120"/>
        <w:jc w:val="both"/>
        <w:rPr>
          <w:rFonts w:eastAsia="SimSun" w:cs="Arial"/>
          <w:kern w:val="3"/>
          <w:sz w:val="22"/>
          <w:szCs w:val="22"/>
          <w:lang w:eastAsia="zh-CN"/>
        </w:rPr>
      </w:pPr>
      <w:r w:rsidRPr="0062595A">
        <w:rPr>
          <w:rFonts w:eastAsia="SimSun" w:cs="Arial"/>
          <w:kern w:val="3"/>
          <w:sz w:val="22"/>
          <w:szCs w:val="22"/>
          <w:lang w:eastAsia="zh-CN"/>
        </w:rPr>
        <w:t>A central component of ITU</w:t>
      </w:r>
      <w:r w:rsidR="00393AA5">
        <w:rPr>
          <w:rFonts w:eastAsia="SimSun" w:cs="Arial"/>
          <w:kern w:val="3"/>
          <w:sz w:val="22"/>
          <w:szCs w:val="22"/>
          <w:lang w:eastAsia="zh-CN"/>
        </w:rPr>
        <w:t>’</w:t>
      </w:r>
      <w:r w:rsidRPr="0062595A">
        <w:rPr>
          <w:rFonts w:eastAsia="SimSun" w:cs="Arial"/>
          <w:kern w:val="3"/>
          <w:sz w:val="22"/>
          <w:szCs w:val="22"/>
          <w:lang w:eastAsia="zh-CN"/>
        </w:rPr>
        <w:t xml:space="preserve">s wider institutional transformation has been the evolution of its Human Resources. </w:t>
      </w:r>
      <w:r w:rsidRPr="0062595A">
        <w:rPr>
          <w:rFonts w:eastAsia="Calibri" w:cs="Calibri"/>
          <w:kern w:val="3"/>
          <w:sz w:val="22"/>
          <w:szCs w:val="22"/>
          <w:lang w:eastAsia="zh-CN"/>
        </w:rPr>
        <w:t xml:space="preserve">This progress accelerated throughout </w:t>
      </w:r>
      <w:r w:rsidRPr="0062595A">
        <w:rPr>
          <w:rFonts w:eastAsia="SimSun" w:cs="Arial"/>
          <w:kern w:val="3"/>
          <w:sz w:val="22"/>
          <w:szCs w:val="22"/>
          <w:lang w:eastAsia="zh-CN"/>
        </w:rPr>
        <w:t>2024 and 2025, aimed at building an agile, capable, and people-centred workforce to respond to evolving priorities and deliver on ITU’s mandate.</w:t>
      </w:r>
    </w:p>
    <w:p w14:paraId="12BB6086" w14:textId="77777777" w:rsidR="0062595A" w:rsidRPr="0062595A" w:rsidRDefault="0062595A" w:rsidP="004F28FD">
      <w:pPr>
        <w:numPr>
          <w:ilvl w:val="1"/>
          <w:numId w:val="32"/>
        </w:numPr>
        <w:tabs>
          <w:tab w:val="clear" w:pos="567"/>
          <w:tab w:val="clear" w:pos="1134"/>
          <w:tab w:val="clear" w:pos="1701"/>
          <w:tab w:val="clear" w:pos="2268"/>
          <w:tab w:val="clear" w:pos="2835"/>
        </w:tabs>
        <w:suppressAutoHyphens/>
        <w:overflowPunct/>
        <w:autoSpaceDE/>
        <w:adjustRightInd/>
        <w:spacing w:before="240" w:after="120"/>
        <w:ind w:left="284" w:hanging="284"/>
        <w:jc w:val="both"/>
        <w:rPr>
          <w:rFonts w:eastAsia="SimSun" w:cs="Arial"/>
          <w:kern w:val="3"/>
          <w:sz w:val="22"/>
          <w:szCs w:val="22"/>
          <w:lang w:eastAsia="zh-CN"/>
        </w:rPr>
      </w:pPr>
      <w:r w:rsidRPr="0062595A">
        <w:rPr>
          <w:rFonts w:eastAsia="SimSun" w:cs="Arial"/>
          <w:b/>
          <w:bCs/>
          <w:kern w:val="3"/>
          <w:sz w:val="22"/>
          <w:szCs w:val="22"/>
          <w:lang w:eastAsia="zh-CN"/>
        </w:rPr>
        <w:lastRenderedPageBreak/>
        <w:t>People:</w:t>
      </w:r>
      <w:r w:rsidRPr="0062595A">
        <w:rPr>
          <w:rFonts w:eastAsia="SimSun" w:cs="Arial"/>
          <w:kern w:val="3"/>
          <w:sz w:val="22"/>
          <w:szCs w:val="22"/>
          <w:lang w:eastAsia="zh-CN"/>
        </w:rPr>
        <w:t xml:space="preserve"> </w:t>
      </w:r>
    </w:p>
    <w:p w14:paraId="3972B15F" w14:textId="77777777" w:rsidR="0062595A" w:rsidRPr="0062595A" w:rsidRDefault="0062595A" w:rsidP="004F28FD">
      <w:pPr>
        <w:numPr>
          <w:ilvl w:val="0"/>
          <w:numId w:val="33"/>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Learning and development were strengthened through a comprehensive and cost-effective Learning Plan; visibility was enhanced through the “Let’s Learn” newsletter and a centralized SharePoint site, with the plan monitored and updated regularly in line with emerging needs.</w:t>
      </w:r>
    </w:p>
    <w:p w14:paraId="000B684D" w14:textId="77777777" w:rsidR="0062595A" w:rsidRPr="0062595A" w:rsidRDefault="0062595A" w:rsidP="004F28FD">
      <w:pPr>
        <w:numPr>
          <w:ilvl w:val="0"/>
          <w:numId w:val="33"/>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A new Mandatory Learning Policy was introduced in August 2024 to reinforce ITU’s organizational culture and promote a shared understanding of expected standards of conduct. Compliance has been strengthened through a closer partnership with HR focal points, with completion rates increasing from 5 per cent to 45.7 per cent as of January 2026, and HRMD has developed systematic monitoring mechanism to help managers achieve progress in completion rates.</w:t>
      </w:r>
    </w:p>
    <w:p w14:paraId="50ACFCD5" w14:textId="77777777" w:rsidR="0062595A" w:rsidRPr="0062595A" w:rsidRDefault="0062595A" w:rsidP="004F28FD">
      <w:pPr>
        <w:numPr>
          <w:ilvl w:val="0"/>
          <w:numId w:val="33"/>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 xml:space="preserve">Performance management was advanced through process streamlining and the introduction of the simplified </w:t>
      </w:r>
      <w:proofErr w:type="spellStart"/>
      <w:r w:rsidRPr="0062595A">
        <w:rPr>
          <w:rFonts w:eastAsia="Calibri" w:cs="Calibri"/>
          <w:kern w:val="3"/>
          <w:sz w:val="22"/>
          <w:szCs w:val="22"/>
          <w:lang w:eastAsia="zh-CN"/>
        </w:rPr>
        <w:t>ePMDS</w:t>
      </w:r>
      <w:proofErr w:type="spellEnd"/>
      <w:r w:rsidRPr="0062595A">
        <w:rPr>
          <w:rFonts w:eastAsia="Calibri" w:cs="Calibri"/>
          <w:kern w:val="3"/>
          <w:sz w:val="22"/>
          <w:szCs w:val="22"/>
          <w:lang w:eastAsia="zh-CN"/>
        </w:rPr>
        <w:t xml:space="preserve"> tool, allowing for more efficient performance discussions and feedback while reducing the time supervisors spend on performance evaluations by at least 50 per cent, complemented by targeted performance management training for staff and supervisors. </w:t>
      </w:r>
    </w:p>
    <w:p w14:paraId="176C4D53" w14:textId="77777777" w:rsidR="0062595A" w:rsidRPr="0062595A" w:rsidRDefault="0062595A" w:rsidP="004F28FD">
      <w:pPr>
        <w:numPr>
          <w:ilvl w:val="0"/>
          <w:numId w:val="33"/>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 xml:space="preserve">A thorough recruitment review was initiated in early 2025, </w:t>
      </w:r>
      <w:r w:rsidRPr="0062595A">
        <w:rPr>
          <w:rFonts w:eastAsia="Calibri" w:cs="Calibri"/>
          <w:color w:val="000000"/>
          <w:kern w:val="3"/>
          <w:sz w:val="22"/>
          <w:szCs w:val="22"/>
          <w:lang w:eastAsia="zh-CN"/>
        </w:rPr>
        <w:t>covering policy development, process evaluation, KPIs, accountability measures</w:t>
      </w:r>
      <w:r w:rsidRPr="0062595A">
        <w:rPr>
          <w:rFonts w:eastAsia="Calibri" w:cs="Calibri"/>
          <w:kern w:val="3"/>
          <w:sz w:val="22"/>
          <w:szCs w:val="22"/>
          <w:lang w:eastAsia="zh-CN"/>
        </w:rPr>
        <w:t xml:space="preserve">, informed by UN system benchmarking, to ensure an efficient, fair and transparent selection process. </w:t>
      </w:r>
    </w:p>
    <w:p w14:paraId="30DF3761" w14:textId="77777777" w:rsidR="0062595A" w:rsidRPr="0062595A" w:rsidRDefault="0062595A" w:rsidP="004F28FD">
      <w:pPr>
        <w:numPr>
          <w:ilvl w:val="0"/>
          <w:numId w:val="33"/>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 xml:space="preserve">Talent development and workforce agility were further strengthened through the </w:t>
      </w:r>
      <w:hyperlink r:id="rId597" w:history="1">
        <w:r w:rsidRPr="0062595A">
          <w:rPr>
            <w:rFonts w:eastAsia="Calibri" w:cs="Calibri"/>
            <w:color w:val="0563C1"/>
            <w:kern w:val="3"/>
            <w:sz w:val="22"/>
            <w:szCs w:val="22"/>
            <w:u w:val="single"/>
            <w:lang w:eastAsia="zh-CN"/>
          </w:rPr>
          <w:t>Young Professionals Programme</w:t>
        </w:r>
      </w:hyperlink>
      <w:r w:rsidRPr="0062595A">
        <w:rPr>
          <w:rFonts w:eastAsia="Calibri" w:cs="Calibri"/>
          <w:kern w:val="3"/>
          <w:sz w:val="22"/>
          <w:szCs w:val="22"/>
          <w:lang w:eastAsia="zh-CN"/>
        </w:rPr>
        <w:t xml:space="preserve">, the expansion of the Junior Professional Officer scheme, and the agreement with United Nations Volunteers (UNV). Young Professionals were recruited from least-developed countries (LDCs), thereby contributing to ITU’s geographic diversity, and six young professionals have been onboarded in 2025. </w:t>
      </w:r>
    </w:p>
    <w:p w14:paraId="7E5C4FFD" w14:textId="77777777" w:rsidR="0062595A" w:rsidRPr="0062595A" w:rsidRDefault="0062595A" w:rsidP="004F28FD">
      <w:pPr>
        <w:numPr>
          <w:ilvl w:val="0"/>
          <w:numId w:val="33"/>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ITU continued its efforts to promote gender parity and geographic diversity across the workforce, and these metrics are tracked throughout the recruitment process. A Gender Parity Implementation Plan was developed to support UN gender parity goals and outline effective steps for promoting equality.</w:t>
      </w:r>
    </w:p>
    <w:p w14:paraId="36758F40" w14:textId="77777777" w:rsidR="0062595A" w:rsidRPr="0062595A" w:rsidRDefault="0062595A" w:rsidP="004F28FD">
      <w:pPr>
        <w:numPr>
          <w:ilvl w:val="0"/>
          <w:numId w:val="33"/>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 xml:space="preserve">The Voluntary Separation Programme (VSP) was launched in March 2023, and a second tranche in November 2024, providing flexibility to support structural realignment, equip ITU with additional skills and competencies and optimize resource allocation. </w:t>
      </w:r>
    </w:p>
    <w:p w14:paraId="57056B48" w14:textId="72E4A2BF" w:rsidR="0062595A" w:rsidRPr="0062595A" w:rsidRDefault="0062595A" w:rsidP="004F28FD">
      <w:pPr>
        <w:numPr>
          <w:ilvl w:val="0"/>
          <w:numId w:val="33"/>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 xml:space="preserve">Transparency and evidence-based decision-making were reinforced through HR analytics, including the </w:t>
      </w:r>
      <w:hyperlink r:id="rId598" w:history="1">
        <w:r w:rsidRPr="00564442">
          <w:rPr>
            <w:rFonts w:eastAsia="Calibri" w:cs="Calibri"/>
            <w:color w:val="0563C1"/>
            <w:kern w:val="3"/>
            <w:sz w:val="22"/>
            <w:szCs w:val="22"/>
            <w:u w:val="single"/>
            <w:lang w:eastAsia="zh-CN"/>
          </w:rPr>
          <w:t>Workforce Analytics Dashboard</w:t>
        </w:r>
      </w:hyperlink>
      <w:r w:rsidRPr="0062595A">
        <w:rPr>
          <w:rFonts w:eastAsia="Calibri" w:cs="Calibri"/>
          <w:kern w:val="3"/>
          <w:sz w:val="22"/>
          <w:szCs w:val="22"/>
          <w:lang w:eastAsia="zh-CN"/>
        </w:rPr>
        <w:t>, made available to Member States through the Council portal and continuously improved based on feedback.</w:t>
      </w:r>
    </w:p>
    <w:p w14:paraId="05F18B9E" w14:textId="77777777" w:rsidR="0062595A" w:rsidRPr="0062595A" w:rsidRDefault="0062595A" w:rsidP="0062595A">
      <w:pPr>
        <w:suppressAutoHyphens/>
        <w:adjustRightInd/>
        <w:spacing w:before="0"/>
        <w:jc w:val="center"/>
        <w:rPr>
          <w:rFonts w:eastAsia="MS Mincho"/>
          <w:sz w:val="22"/>
        </w:rPr>
      </w:pPr>
    </w:p>
    <w:p w14:paraId="1E85D370" w14:textId="77777777" w:rsidR="0062595A" w:rsidRPr="0062595A" w:rsidRDefault="0062595A" w:rsidP="0062595A">
      <w:pPr>
        <w:tabs>
          <w:tab w:val="clear" w:pos="567"/>
          <w:tab w:val="clear" w:pos="1134"/>
          <w:tab w:val="clear" w:pos="1701"/>
          <w:tab w:val="clear" w:pos="2268"/>
          <w:tab w:val="clear" w:pos="2835"/>
        </w:tabs>
        <w:suppressAutoHyphens/>
        <w:overflowPunct/>
        <w:autoSpaceDE/>
        <w:adjustRightInd/>
        <w:spacing w:before="0"/>
        <w:jc w:val="center"/>
        <w:rPr>
          <w:rFonts w:eastAsia="SimSun" w:cs="Arial"/>
          <w:kern w:val="3"/>
          <w:sz w:val="22"/>
          <w:szCs w:val="22"/>
          <w:lang w:eastAsia="zh-CN"/>
        </w:rPr>
      </w:pPr>
      <w:r w:rsidRPr="0062595A">
        <w:rPr>
          <w:rFonts w:eastAsia="SimSun" w:cs="Arial"/>
          <w:noProof/>
          <w:kern w:val="3"/>
          <w:sz w:val="22"/>
          <w:szCs w:val="22"/>
          <w:lang w:eastAsia="zh-CN"/>
        </w:rPr>
        <w:drawing>
          <wp:inline distT="0" distB="0" distL="0" distR="0" wp14:anchorId="6E6CC68A" wp14:editId="5E098CAC">
            <wp:extent cx="3813806" cy="2174242"/>
            <wp:effectExtent l="0" t="0" r="0" b="0"/>
            <wp:docPr id="438162130" name="Picture 2"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9"/>
                    <a:srcRect/>
                    <a:stretch>
                      <a:fillRect/>
                    </a:stretch>
                  </pic:blipFill>
                  <pic:spPr>
                    <a:xfrm>
                      <a:off x="0" y="0"/>
                      <a:ext cx="3813806" cy="2174242"/>
                    </a:xfrm>
                    <a:prstGeom prst="rect">
                      <a:avLst/>
                    </a:prstGeom>
                    <a:noFill/>
                    <a:ln>
                      <a:noFill/>
                      <a:prstDash/>
                    </a:ln>
                  </pic:spPr>
                </pic:pic>
              </a:graphicData>
            </a:graphic>
          </wp:inline>
        </w:drawing>
      </w:r>
    </w:p>
    <w:p w14:paraId="09B109E7" w14:textId="77777777" w:rsidR="0062595A" w:rsidRPr="0062595A" w:rsidRDefault="0062595A" w:rsidP="00997AB0">
      <w:pPr>
        <w:keepNext/>
        <w:keepLines/>
        <w:numPr>
          <w:ilvl w:val="1"/>
          <w:numId w:val="32"/>
        </w:numPr>
        <w:tabs>
          <w:tab w:val="clear" w:pos="567"/>
          <w:tab w:val="clear" w:pos="1134"/>
          <w:tab w:val="clear" w:pos="1701"/>
          <w:tab w:val="clear" w:pos="2268"/>
          <w:tab w:val="clear" w:pos="2835"/>
        </w:tabs>
        <w:suppressAutoHyphens/>
        <w:overflowPunct/>
        <w:autoSpaceDE/>
        <w:adjustRightInd/>
        <w:spacing w:before="480"/>
        <w:ind w:left="284" w:hanging="284"/>
        <w:jc w:val="both"/>
        <w:rPr>
          <w:rFonts w:eastAsia="SimSun" w:cs="Arial"/>
          <w:kern w:val="3"/>
          <w:sz w:val="22"/>
          <w:szCs w:val="22"/>
          <w:lang w:eastAsia="zh-CN"/>
        </w:rPr>
      </w:pPr>
      <w:r w:rsidRPr="0062595A">
        <w:rPr>
          <w:rFonts w:eastAsia="SimSun" w:cs="Arial"/>
          <w:b/>
          <w:bCs/>
          <w:kern w:val="3"/>
          <w:sz w:val="22"/>
          <w:szCs w:val="22"/>
          <w:lang w:eastAsia="zh-CN"/>
        </w:rPr>
        <w:lastRenderedPageBreak/>
        <w:t>Culture:</w:t>
      </w:r>
      <w:r w:rsidRPr="0062595A">
        <w:rPr>
          <w:rFonts w:eastAsia="SimSun" w:cs="Arial"/>
          <w:kern w:val="3"/>
          <w:sz w:val="22"/>
          <w:szCs w:val="22"/>
          <w:lang w:eastAsia="zh-CN"/>
        </w:rPr>
        <w:t xml:space="preserve"> </w:t>
      </w:r>
    </w:p>
    <w:p w14:paraId="08678D53" w14:textId="77777777" w:rsidR="0062595A" w:rsidRPr="0062595A" w:rsidRDefault="0062595A" w:rsidP="00997AB0">
      <w:pPr>
        <w:keepNext/>
        <w:keepLines/>
        <w:numPr>
          <w:ilvl w:val="0"/>
          <w:numId w:val="32"/>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A comprehensive Leadership Development programme was launched in November 2024. It focused on inclusive Leadership (P5 and above) with a dedicated gender module, as well as senior leadership training. Leadership capability building was further reinforced through Adaptive Leadership team workshops for P4 and above, and through the Future ITU Leaders programme for ChangeMakers, which strengthened change leadership and team effectiveness.</w:t>
      </w:r>
    </w:p>
    <w:p w14:paraId="07A554EA" w14:textId="77777777" w:rsidR="0062595A" w:rsidRPr="0062595A" w:rsidRDefault="0062595A" w:rsidP="004F28FD">
      <w:pPr>
        <w:numPr>
          <w:ilvl w:val="0"/>
          <w:numId w:val="32"/>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The first-ever Mental Health and Wellbeing Action Plan was developed in response to the outcomes of the 2023 UN-wide health survey and is a cornerstone of the People and Culture agenda. The plan takes a holistic approach to well</w:t>
      </w:r>
      <w:r w:rsidRPr="0062595A">
        <w:rPr>
          <w:rFonts w:eastAsia="Calibri" w:cs="Calibri"/>
          <w:kern w:val="3"/>
          <w:sz w:val="22"/>
          <w:szCs w:val="22"/>
          <w:lang w:eastAsia="zh-CN"/>
        </w:rPr>
        <w:noBreakHyphen/>
        <w:t>being – encompassing physical, psychological, and social dimensions – with a strong focus on prevention, early intervention, and sustained support.</w:t>
      </w:r>
    </w:p>
    <w:p w14:paraId="6CB74B7A" w14:textId="77777777" w:rsidR="0062595A" w:rsidRPr="0062595A" w:rsidRDefault="0062595A" w:rsidP="004F28FD">
      <w:pPr>
        <w:numPr>
          <w:ilvl w:val="0"/>
          <w:numId w:val="32"/>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color w:val="000000"/>
          <w:kern w:val="3"/>
          <w:sz w:val="22"/>
          <w:szCs w:val="22"/>
          <w:lang w:eastAsia="zh-CN"/>
        </w:rPr>
        <w:t xml:space="preserve">ITU conducted its first Employee Engagement Survey in January 2025, achieving a 72 per cent participation rate. The organization held </w:t>
      </w:r>
      <w:r w:rsidRPr="0062595A">
        <w:rPr>
          <w:rFonts w:eastAsia="Calibri" w:cs="Calibri"/>
          <w:kern w:val="3"/>
          <w:sz w:val="22"/>
          <w:szCs w:val="22"/>
          <w:lang w:eastAsia="zh-CN"/>
        </w:rPr>
        <w:t>an all-staff</w:t>
      </w:r>
      <w:r w:rsidRPr="0062595A">
        <w:rPr>
          <w:rFonts w:eastAsia="Calibri" w:cs="Calibri"/>
          <w:color w:val="000000"/>
          <w:kern w:val="3"/>
          <w:sz w:val="22"/>
          <w:szCs w:val="22"/>
          <w:lang w:eastAsia="zh-CN"/>
        </w:rPr>
        <w:t xml:space="preserve"> townhall and workshop to </w:t>
      </w:r>
      <w:r w:rsidRPr="0062595A">
        <w:rPr>
          <w:rFonts w:eastAsia="Calibri" w:cs="Calibri"/>
          <w:kern w:val="3"/>
          <w:sz w:val="22"/>
          <w:szCs w:val="22"/>
          <w:lang w:eastAsia="zh-CN"/>
        </w:rPr>
        <w:t xml:space="preserve">discuss the findings </w:t>
      </w:r>
      <w:r w:rsidRPr="0062595A">
        <w:rPr>
          <w:rFonts w:eastAsia="Calibri" w:cs="Calibri"/>
          <w:color w:val="000000"/>
          <w:kern w:val="3"/>
          <w:sz w:val="22"/>
          <w:szCs w:val="22"/>
          <w:lang w:eastAsia="zh-CN"/>
        </w:rPr>
        <w:t xml:space="preserve">and jointly develop solutions for identified challenges. The </w:t>
      </w:r>
      <w:r w:rsidRPr="0062595A">
        <w:rPr>
          <w:rFonts w:eastAsia="Calibri" w:cs="Calibri"/>
          <w:kern w:val="3"/>
          <w:sz w:val="22"/>
          <w:szCs w:val="22"/>
          <w:lang w:eastAsia="zh-CN"/>
        </w:rPr>
        <w:t>follow-up</w:t>
      </w:r>
      <w:r w:rsidRPr="0062595A">
        <w:rPr>
          <w:rFonts w:eastAsia="Calibri" w:cs="Calibri"/>
          <w:color w:val="000000"/>
          <w:kern w:val="3"/>
          <w:sz w:val="22"/>
          <w:szCs w:val="22"/>
          <w:lang w:eastAsia="zh-CN"/>
        </w:rPr>
        <w:t xml:space="preserve"> action plan includes organization-wide initiatives—Open-Door Sessions </w:t>
      </w:r>
      <w:r w:rsidRPr="0062595A">
        <w:rPr>
          <w:rFonts w:eastAsia="Calibri" w:cs="Calibri"/>
          <w:kern w:val="3"/>
          <w:sz w:val="22"/>
          <w:szCs w:val="22"/>
          <w:lang w:eastAsia="zh-CN"/>
        </w:rPr>
        <w:t>with Elected Officials</w:t>
      </w:r>
      <w:r w:rsidRPr="0062595A">
        <w:rPr>
          <w:rFonts w:eastAsia="Calibri" w:cs="Calibri"/>
          <w:color w:val="000000"/>
          <w:kern w:val="3"/>
          <w:sz w:val="22"/>
          <w:szCs w:val="22"/>
          <w:lang w:eastAsia="zh-CN"/>
        </w:rPr>
        <w:t xml:space="preserve">, Innovation Days, Brown Bag Lunches Series, and an </w:t>
      </w:r>
      <w:r w:rsidRPr="0062595A">
        <w:rPr>
          <w:rFonts w:eastAsia="Calibri" w:cs="Calibri"/>
          <w:kern w:val="3"/>
          <w:sz w:val="22"/>
          <w:szCs w:val="22"/>
          <w:lang w:eastAsia="zh-CN"/>
        </w:rPr>
        <w:t xml:space="preserve">ITU-wide </w:t>
      </w:r>
      <w:r w:rsidRPr="0062595A">
        <w:rPr>
          <w:rFonts w:eastAsia="Calibri" w:cs="Calibri"/>
          <w:color w:val="000000"/>
          <w:kern w:val="3"/>
          <w:sz w:val="22"/>
          <w:szCs w:val="22"/>
          <w:lang w:eastAsia="zh-CN"/>
        </w:rPr>
        <w:t xml:space="preserve">Mentorship Programme—as well as </w:t>
      </w:r>
      <w:r w:rsidRPr="0062595A">
        <w:rPr>
          <w:rFonts w:eastAsia="SimSun" w:cs="Arial"/>
          <w:kern w:val="3"/>
          <w:sz w:val="22"/>
          <w:szCs w:val="22"/>
          <w:lang w:eastAsia="zh-CN"/>
        </w:rPr>
        <w:t>departmental and bureau-level actions co-created at the grassroots level.</w:t>
      </w:r>
    </w:p>
    <w:p w14:paraId="4ED7898C" w14:textId="77777777" w:rsidR="0062595A" w:rsidRPr="0062595A" w:rsidRDefault="0062595A" w:rsidP="004F28FD">
      <w:pPr>
        <w:numPr>
          <w:ilvl w:val="0"/>
          <w:numId w:val="32"/>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SimSun" w:cs="Arial"/>
          <w:kern w:val="3"/>
          <w:sz w:val="22"/>
          <w:szCs w:val="22"/>
          <w:lang w:eastAsia="zh-CN"/>
        </w:rPr>
        <w:t>Rewards and recognition are being strengthened through a comprehensive framework to celebrate service and performance. The Long-Standing Service Recognition Ceremony, held on 8 December 2025, celebrating and honouring 210 colleagues who have dedicated more than 20 years of service to ITU. Building on this momentum, the framework will be further</w:t>
      </w:r>
      <w:r w:rsidRPr="0062595A">
        <w:rPr>
          <w:rFonts w:eastAsia="Calibri" w:cs="Calibri"/>
          <w:color w:val="000000"/>
          <w:kern w:val="3"/>
          <w:sz w:val="22"/>
          <w:szCs w:val="22"/>
          <w:lang w:eastAsia="zh-CN"/>
        </w:rPr>
        <w:t xml:space="preserve"> operationalized in 2026 with the launch of the second pillar, Team Awards, recognizing collective achievements and reinforcing engagement, collaboration and a strong sense of purpose and belonging across ITU, complemented by informal shout-outs and manager-led appreciation to ensure people feel valued.</w:t>
      </w:r>
    </w:p>
    <w:p w14:paraId="3DC48E03" w14:textId="77777777" w:rsidR="0062595A" w:rsidRPr="0062595A" w:rsidRDefault="0062595A" w:rsidP="004F28FD">
      <w:pPr>
        <w:numPr>
          <w:ilvl w:val="0"/>
          <w:numId w:val="32"/>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 xml:space="preserve">Under the memoranda of understanding (MOUs) signed by ITU, in partnership with the World Intellectual Property Organization (WIPO), and the United Nations Ombudsman and Mediation Services (UNOMS), </w:t>
      </w:r>
      <w:r w:rsidRPr="0062595A">
        <w:rPr>
          <w:rFonts w:eastAsia="Calibri" w:cs="Calibri"/>
          <w:color w:val="000000"/>
          <w:kern w:val="3"/>
          <w:sz w:val="22"/>
          <w:szCs w:val="22"/>
          <w:lang w:eastAsia="zh-CN"/>
        </w:rPr>
        <w:t>the new Ombudsman began her role at ITU on 5 January 2026.</w:t>
      </w:r>
    </w:p>
    <w:p w14:paraId="734EDA78" w14:textId="77777777" w:rsidR="0062595A" w:rsidRPr="0062595A" w:rsidRDefault="0062595A" w:rsidP="004F28FD">
      <w:pPr>
        <w:numPr>
          <w:ilvl w:val="0"/>
          <w:numId w:val="34"/>
        </w:numPr>
        <w:tabs>
          <w:tab w:val="clear" w:pos="567"/>
          <w:tab w:val="clear" w:pos="1134"/>
          <w:tab w:val="clear" w:pos="1701"/>
          <w:tab w:val="clear" w:pos="2268"/>
          <w:tab w:val="clear" w:pos="2835"/>
        </w:tabs>
        <w:suppressAutoHyphens/>
        <w:overflowPunct/>
        <w:autoSpaceDE/>
        <w:adjustRightInd/>
        <w:spacing w:before="240"/>
        <w:ind w:left="284" w:hanging="284"/>
        <w:jc w:val="both"/>
        <w:rPr>
          <w:rFonts w:eastAsia="SimSun" w:cs="Arial"/>
          <w:kern w:val="3"/>
          <w:sz w:val="22"/>
          <w:szCs w:val="22"/>
          <w:lang w:eastAsia="zh-CN"/>
        </w:rPr>
      </w:pPr>
      <w:r w:rsidRPr="0062595A">
        <w:rPr>
          <w:rFonts w:eastAsia="SimSun" w:cs="Arial"/>
          <w:b/>
          <w:kern w:val="3"/>
          <w:sz w:val="22"/>
          <w:szCs w:val="22"/>
          <w:lang w:eastAsia="zh-CN"/>
        </w:rPr>
        <w:t>Services</w:t>
      </w:r>
      <w:r w:rsidRPr="0062595A">
        <w:rPr>
          <w:rFonts w:eastAsia="SimSun" w:cs="Arial"/>
          <w:b/>
          <w:bCs/>
          <w:kern w:val="3"/>
          <w:sz w:val="22"/>
          <w:szCs w:val="22"/>
          <w:lang w:eastAsia="zh-CN"/>
        </w:rPr>
        <w:t>:</w:t>
      </w:r>
      <w:r w:rsidRPr="0062595A">
        <w:rPr>
          <w:rFonts w:eastAsia="SimSun" w:cs="Arial"/>
          <w:b/>
          <w:kern w:val="3"/>
          <w:sz w:val="22"/>
          <w:szCs w:val="22"/>
          <w:lang w:eastAsia="zh-CN"/>
        </w:rPr>
        <w:t xml:space="preserve"> </w:t>
      </w:r>
    </w:p>
    <w:p w14:paraId="33203477" w14:textId="77777777" w:rsidR="0062595A" w:rsidRPr="0062595A" w:rsidRDefault="0062595A" w:rsidP="004F28FD">
      <w:pPr>
        <w:numPr>
          <w:ilvl w:val="0"/>
          <w:numId w:val="35"/>
        </w:numPr>
        <w:tabs>
          <w:tab w:val="clear" w:pos="567"/>
          <w:tab w:val="clear" w:pos="1134"/>
          <w:tab w:val="clear" w:pos="1701"/>
          <w:tab w:val="clear" w:pos="2268"/>
          <w:tab w:val="clear" w:pos="2835"/>
        </w:tabs>
        <w:suppressAutoHyphens/>
        <w:overflowPunct/>
        <w:autoSpaceDE/>
        <w:adjustRightInd/>
        <w:spacing w:before="60" w:after="60" w:line="256" w:lineRule="auto"/>
        <w:ind w:left="567" w:hanging="283"/>
        <w:jc w:val="both"/>
        <w:rPr>
          <w:rFonts w:eastAsia="SimSun" w:cs="Arial"/>
          <w:kern w:val="3"/>
          <w:sz w:val="22"/>
          <w:szCs w:val="22"/>
          <w:lang w:eastAsia="zh-CN"/>
        </w:rPr>
      </w:pPr>
      <w:r w:rsidRPr="0062595A">
        <w:rPr>
          <w:rFonts w:eastAsia="Calibri" w:cs="Calibri"/>
          <w:kern w:val="3"/>
          <w:sz w:val="22"/>
          <w:szCs w:val="22"/>
          <w:lang w:eastAsia="zh-CN"/>
        </w:rPr>
        <w:t>HRMD continued modernizing ITU’s regulatory framework by updating and introducing policies to better support its evolving workforce. Ongoing reviews have covered key areas, including fixed-term recruitment, consultant contracts, short-term recruitment, as well as entitlements and benefits such as rental subsidy, education grant and dependency benefits.</w:t>
      </w:r>
    </w:p>
    <w:p w14:paraId="75899145" w14:textId="77777777" w:rsidR="0062595A" w:rsidRPr="0062595A" w:rsidRDefault="0062595A" w:rsidP="004F28FD">
      <w:pPr>
        <w:numPr>
          <w:ilvl w:val="0"/>
          <w:numId w:val="35"/>
        </w:numPr>
        <w:tabs>
          <w:tab w:val="clear" w:pos="567"/>
          <w:tab w:val="clear" w:pos="1134"/>
          <w:tab w:val="clear" w:pos="1701"/>
          <w:tab w:val="clear" w:pos="2268"/>
          <w:tab w:val="clear" w:pos="2835"/>
        </w:tabs>
        <w:suppressAutoHyphens/>
        <w:overflowPunct/>
        <w:autoSpaceDE/>
        <w:adjustRightInd/>
        <w:spacing w:before="60" w:after="60" w:line="256" w:lineRule="auto"/>
        <w:ind w:left="567" w:hanging="283"/>
        <w:jc w:val="both"/>
        <w:rPr>
          <w:rFonts w:eastAsia="SimSun" w:cs="Arial"/>
          <w:kern w:val="3"/>
          <w:sz w:val="22"/>
          <w:szCs w:val="22"/>
          <w:lang w:eastAsia="zh-CN"/>
        </w:rPr>
      </w:pPr>
      <w:r w:rsidRPr="0062595A">
        <w:rPr>
          <w:rFonts w:eastAsia="Calibri" w:cs="Calibri"/>
          <w:kern w:val="3"/>
          <w:sz w:val="22"/>
          <w:szCs w:val="22"/>
          <w:lang w:eastAsia="zh-CN"/>
        </w:rPr>
        <w:t>The first phase of the HR Delegation of Authority (</w:t>
      </w:r>
      <w:proofErr w:type="spellStart"/>
      <w:r w:rsidRPr="0062595A">
        <w:rPr>
          <w:rFonts w:eastAsia="Calibri" w:cs="Calibri"/>
          <w:kern w:val="3"/>
          <w:sz w:val="22"/>
          <w:szCs w:val="22"/>
          <w:lang w:eastAsia="zh-CN"/>
        </w:rPr>
        <w:t>DoA</w:t>
      </w:r>
      <w:proofErr w:type="spellEnd"/>
      <w:r w:rsidRPr="0062595A">
        <w:rPr>
          <w:rFonts w:eastAsia="Calibri" w:cs="Calibri"/>
          <w:kern w:val="3"/>
          <w:sz w:val="22"/>
          <w:szCs w:val="22"/>
          <w:lang w:eastAsia="zh-CN"/>
        </w:rPr>
        <w:t xml:space="preserve">) Framework was introduced to streamline HR approval processes, enabling faster decision-making on key HR matters. Furthermore, HRMD is currently leading a Union-wide initiative to develop a holistic </w:t>
      </w:r>
      <w:proofErr w:type="spellStart"/>
      <w:r w:rsidRPr="0062595A">
        <w:rPr>
          <w:rFonts w:eastAsia="Calibri" w:cs="Calibri"/>
          <w:kern w:val="3"/>
          <w:sz w:val="22"/>
          <w:szCs w:val="22"/>
          <w:lang w:eastAsia="zh-CN"/>
        </w:rPr>
        <w:t>DoA</w:t>
      </w:r>
      <w:proofErr w:type="spellEnd"/>
      <w:r w:rsidRPr="0062595A">
        <w:rPr>
          <w:rFonts w:eastAsia="Calibri" w:cs="Calibri"/>
          <w:kern w:val="3"/>
          <w:sz w:val="22"/>
          <w:szCs w:val="22"/>
          <w:lang w:eastAsia="zh-CN"/>
        </w:rPr>
        <w:t xml:space="preserve"> framework for ITU. </w:t>
      </w:r>
    </w:p>
    <w:p w14:paraId="3996EE51" w14:textId="77777777" w:rsidR="0062595A" w:rsidRPr="0062595A" w:rsidRDefault="0062595A" w:rsidP="004F28FD">
      <w:pPr>
        <w:numPr>
          <w:ilvl w:val="0"/>
          <w:numId w:val="35"/>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 xml:space="preserve">A standard operating procedure (SOP) was developed for </w:t>
      </w:r>
      <w:r w:rsidRPr="0062595A">
        <w:rPr>
          <w:rFonts w:eastAsia="SimSun" w:cs="Calibri"/>
          <w:kern w:val="3"/>
          <w:sz w:val="22"/>
          <w:szCs w:val="22"/>
          <w:lang w:eastAsia="zh-CN"/>
        </w:rPr>
        <w:t>Special Service Agreement (</w:t>
      </w:r>
      <w:r w:rsidRPr="0062595A">
        <w:rPr>
          <w:rFonts w:eastAsia="Calibri" w:cs="Calibri"/>
          <w:kern w:val="3"/>
          <w:sz w:val="22"/>
          <w:szCs w:val="22"/>
          <w:lang w:eastAsia="zh-CN"/>
        </w:rPr>
        <w:t>SSA) payments to ensure the timely closure of contracts and includes a certification by managers that outputs have been successfully achieved. Additionally, a guideline on conflicts of interest for SSAs was introduced to facilitate the declaration and monitoring of actual or potential conflicts, ensuring compliance with ethical standards.</w:t>
      </w:r>
    </w:p>
    <w:p w14:paraId="6E4162C7" w14:textId="77777777" w:rsidR="0062595A" w:rsidRPr="0062595A" w:rsidRDefault="0062595A" w:rsidP="004F28FD">
      <w:pPr>
        <w:numPr>
          <w:ilvl w:val="0"/>
          <w:numId w:val="35"/>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HRMD reinforced its commitment to accountability by systematically monitoring and addressing outstanding audit recommendations, using a structured approach aligned with ITU’s risk management priorities.</w:t>
      </w:r>
    </w:p>
    <w:p w14:paraId="5D7765D3" w14:textId="77777777" w:rsidR="0062595A" w:rsidRPr="0062595A" w:rsidRDefault="0062595A" w:rsidP="004F28FD">
      <w:pPr>
        <w:numPr>
          <w:ilvl w:val="0"/>
          <w:numId w:val="35"/>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t xml:space="preserve">Work </w:t>
      </w:r>
      <w:proofErr w:type="gramStart"/>
      <w:r w:rsidRPr="0062595A">
        <w:rPr>
          <w:rFonts w:eastAsia="Calibri" w:cs="Calibri"/>
          <w:kern w:val="3"/>
          <w:sz w:val="22"/>
          <w:szCs w:val="22"/>
          <w:lang w:eastAsia="zh-CN"/>
        </w:rPr>
        <w:t>continues on</w:t>
      </w:r>
      <w:proofErr w:type="gramEnd"/>
      <w:r w:rsidRPr="0062595A">
        <w:rPr>
          <w:rFonts w:eastAsia="Calibri" w:cs="Calibri"/>
          <w:kern w:val="3"/>
          <w:sz w:val="22"/>
          <w:szCs w:val="22"/>
          <w:lang w:eastAsia="zh-CN"/>
        </w:rPr>
        <w:t xml:space="preserve"> the teleworking and flexible working arrangements policy. The related Service Order has been prepared, with communication and training planned to ensure a smooth transition.</w:t>
      </w:r>
    </w:p>
    <w:p w14:paraId="488A4178" w14:textId="77777777" w:rsidR="0062595A" w:rsidRPr="0062595A" w:rsidRDefault="0062595A" w:rsidP="004F28FD">
      <w:pPr>
        <w:numPr>
          <w:ilvl w:val="0"/>
          <w:numId w:val="35"/>
        </w:numPr>
        <w:tabs>
          <w:tab w:val="clear" w:pos="567"/>
          <w:tab w:val="clear" w:pos="1134"/>
          <w:tab w:val="clear" w:pos="1701"/>
          <w:tab w:val="clear" w:pos="2268"/>
          <w:tab w:val="clear" w:pos="2835"/>
        </w:tabs>
        <w:suppressAutoHyphens/>
        <w:overflowPunct/>
        <w:autoSpaceDE/>
        <w:adjustRightInd/>
        <w:spacing w:before="60" w:after="60"/>
        <w:ind w:left="567" w:hanging="283"/>
        <w:jc w:val="both"/>
        <w:rPr>
          <w:rFonts w:eastAsia="SimSun" w:cs="Arial"/>
          <w:kern w:val="3"/>
          <w:sz w:val="22"/>
          <w:szCs w:val="22"/>
          <w:lang w:eastAsia="zh-CN"/>
        </w:rPr>
      </w:pPr>
      <w:r w:rsidRPr="0062595A">
        <w:rPr>
          <w:rFonts w:eastAsia="Calibri" w:cs="Calibri"/>
          <w:kern w:val="3"/>
          <w:sz w:val="22"/>
          <w:szCs w:val="22"/>
          <w:lang w:eastAsia="zh-CN"/>
        </w:rPr>
        <w:lastRenderedPageBreak/>
        <w:t>SOPs for emergency situations for staff in Field Offices and on mission were established in close collaboration with the Staff Council to enhance ITU’s emergency preparedness and staff security protocols.</w:t>
      </w:r>
    </w:p>
    <w:p w14:paraId="7AFE6F0F" w14:textId="77777777" w:rsidR="0062595A" w:rsidRPr="0062595A" w:rsidRDefault="0062595A" w:rsidP="004F28FD">
      <w:pPr>
        <w:numPr>
          <w:ilvl w:val="0"/>
          <w:numId w:val="35"/>
        </w:numPr>
        <w:tabs>
          <w:tab w:val="clear" w:pos="567"/>
          <w:tab w:val="clear" w:pos="1134"/>
          <w:tab w:val="clear" w:pos="1701"/>
          <w:tab w:val="clear" w:pos="2268"/>
          <w:tab w:val="clear" w:pos="2835"/>
        </w:tabs>
        <w:suppressAutoHyphens/>
        <w:overflowPunct/>
        <w:autoSpaceDE/>
        <w:adjustRightInd/>
        <w:spacing w:before="60" w:after="60" w:line="256" w:lineRule="auto"/>
        <w:ind w:left="567" w:hanging="283"/>
        <w:jc w:val="both"/>
        <w:rPr>
          <w:rFonts w:eastAsia="SimSun" w:cs="Arial"/>
          <w:kern w:val="3"/>
          <w:sz w:val="22"/>
          <w:szCs w:val="22"/>
          <w:lang w:eastAsia="zh-CN"/>
        </w:rPr>
      </w:pPr>
      <w:r w:rsidRPr="0062595A">
        <w:rPr>
          <w:rFonts w:eastAsia="Calibri" w:cs="Calibri"/>
          <w:kern w:val="3"/>
          <w:sz w:val="22"/>
          <w:szCs w:val="22"/>
          <w:lang w:eastAsia="zh-CN"/>
        </w:rPr>
        <w:t>ITU actively engaged in the UN system’s first inter-agency project on generative AI, leading the development of an AI chatbot for HR policy analysis and staff queries. It is currently being scaled up to cover all ITU personnel, with project evaluation scheduled throughout 2026.</w:t>
      </w:r>
      <w:bookmarkEnd w:id="64"/>
      <w:bookmarkEnd w:id="65"/>
      <w:bookmarkEnd w:id="66"/>
    </w:p>
    <w:p w14:paraId="0DF783D2" w14:textId="03557406" w:rsidR="0062595A" w:rsidRPr="0062595A" w:rsidRDefault="0062595A" w:rsidP="004F28FD">
      <w:pPr>
        <w:keepNext/>
        <w:keepLines/>
        <w:tabs>
          <w:tab w:val="clear" w:pos="567"/>
        </w:tabs>
        <w:suppressAutoHyphens/>
        <w:adjustRightInd/>
        <w:spacing w:before="360" w:after="120"/>
        <w:ind w:left="567" w:hanging="567"/>
        <w:jc w:val="both"/>
        <w:outlineLvl w:val="1"/>
        <w:rPr>
          <w:rFonts w:eastAsia="MS Mincho"/>
          <w:b/>
        </w:rPr>
      </w:pPr>
      <w:bookmarkStart w:id="130" w:name="_Toc224288840"/>
      <w:r w:rsidRPr="0062595A">
        <w:rPr>
          <w:rFonts w:eastAsia="MS Mincho"/>
          <w:b/>
        </w:rPr>
        <w:t>5.9</w:t>
      </w:r>
      <w:r w:rsidRPr="0062595A">
        <w:rPr>
          <w:rFonts w:eastAsia="MS Mincho"/>
          <w:b/>
        </w:rPr>
        <w:tab/>
        <w:t>Status of Implementation of PP Resolutions</w:t>
      </w:r>
      <w:bookmarkEnd w:id="130"/>
    </w:p>
    <w:p w14:paraId="6B88BC05" w14:textId="77777777" w:rsidR="0062595A" w:rsidRPr="0062595A" w:rsidRDefault="0062595A" w:rsidP="0062595A">
      <w:pPr>
        <w:suppressAutoHyphens/>
        <w:adjustRightInd/>
        <w:jc w:val="both"/>
        <w:rPr>
          <w:rFonts w:eastAsia="MS Mincho"/>
          <w:sz w:val="22"/>
        </w:rPr>
      </w:pPr>
      <w:r w:rsidRPr="0062595A">
        <w:rPr>
          <w:rFonts w:eastAsia="MS Mincho"/>
          <w:sz w:val="22"/>
        </w:rPr>
        <w:t xml:space="preserve">The status of implementation of PP Resolutions can be found in the dedicated web-platform </w:t>
      </w:r>
      <w:hyperlink r:id="rId600" w:history="1">
        <w:r w:rsidRPr="00453EF5">
          <w:rPr>
            <w:rFonts w:eastAsia="MS Mincho"/>
            <w:b/>
            <w:bCs/>
            <w:color w:val="0563C1"/>
            <w:sz w:val="22"/>
            <w:u w:val="single"/>
          </w:rPr>
          <w:t>here</w:t>
        </w:r>
      </w:hyperlink>
      <w:r w:rsidRPr="0062595A">
        <w:rPr>
          <w:rFonts w:eastAsia="MS Mincho"/>
          <w:sz w:val="22"/>
        </w:rPr>
        <w:t>.</w:t>
      </w:r>
    </w:p>
    <w:p w14:paraId="217A20CD" w14:textId="73207D72" w:rsidR="007A3FCD" w:rsidRPr="00C0458D" w:rsidRDefault="0056065E" w:rsidP="0056065E">
      <w:pPr>
        <w:suppressAutoHyphens/>
        <w:adjustRightInd/>
        <w:spacing w:before="840"/>
        <w:jc w:val="center"/>
      </w:pPr>
      <w:r>
        <w:rPr>
          <w:rFonts w:eastAsia="MS Mincho"/>
          <w:sz w:val="22"/>
        </w:rPr>
        <w:t>__________________________</w:t>
      </w:r>
    </w:p>
    <w:sectPr w:rsidR="007A3FCD" w:rsidRPr="00C0458D" w:rsidSect="00AD3606">
      <w:footerReference w:type="default" r:id="rId601"/>
      <w:headerReference w:type="first" r:id="rId602"/>
      <w:footerReference w:type="first" r:id="rId603"/>
      <w:pgSz w:w="11907" w:h="16834"/>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DB1FD" w14:textId="77777777" w:rsidR="00B81795" w:rsidRDefault="00B81795">
      <w:r>
        <w:separator/>
      </w:r>
    </w:p>
  </w:endnote>
  <w:endnote w:type="continuationSeparator" w:id="0">
    <w:p w14:paraId="13DD656A" w14:textId="77777777" w:rsidR="00B81795" w:rsidRDefault="00B81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venir Nxt2 W1G">
    <w:panose1 w:val="00000000000000000000"/>
    <w:charset w:val="00"/>
    <w:family w:val="swiss"/>
    <w:notTrueType/>
    <w:pitch w:val="variable"/>
    <w:sig w:usb0="A00002EF" w:usb1="00000003" w:usb2="00000000" w:usb3="00000000" w:csb0="0000019F" w:csb1="00000000"/>
  </w:font>
  <w:font w:name="AvenirNext LT Pro Light">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56065E" w:rsidRPr="00784011" w14:paraId="45698652" w14:textId="77777777" w:rsidTr="00443B52">
      <w:trPr>
        <w:jc w:val="center"/>
      </w:trPr>
      <w:tc>
        <w:tcPr>
          <w:tcW w:w="1803" w:type="dxa"/>
          <w:vAlign w:val="center"/>
        </w:tcPr>
        <w:p w14:paraId="39398A19" w14:textId="14B5E027" w:rsidR="0056065E" w:rsidRDefault="0056065E" w:rsidP="0056065E">
          <w:pPr>
            <w:pStyle w:val="Header"/>
            <w:jc w:val="left"/>
            <w:rPr>
              <w:noProof/>
            </w:rPr>
          </w:pPr>
          <w:r w:rsidRPr="005C1378">
            <w:rPr>
              <w:noProof/>
              <w:color w:val="A6A6A6" w:themeColor="background1" w:themeShade="A6"/>
            </w:rPr>
            <w:t xml:space="preserve">gDoc </w:t>
          </w:r>
          <w:r w:rsidR="005C1378" w:rsidRPr="005C1378">
            <w:rPr>
              <w:noProof/>
              <w:color w:val="A6A6A6" w:themeColor="background1" w:themeShade="A6"/>
            </w:rPr>
            <w:t>R2600624</w:t>
          </w:r>
        </w:p>
      </w:tc>
      <w:tc>
        <w:tcPr>
          <w:tcW w:w="8261" w:type="dxa"/>
        </w:tcPr>
        <w:p w14:paraId="6F73B812" w14:textId="6C840DB1" w:rsidR="0056065E" w:rsidRPr="00E06FD5" w:rsidRDefault="0056065E" w:rsidP="0056065E">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26</w:t>
          </w:r>
          <w:r w:rsidRPr="00623AE3">
            <w:rPr>
              <w:bCs/>
            </w:rPr>
            <w:t>/</w:t>
          </w:r>
          <w:r>
            <w:rPr>
              <w:bCs/>
            </w:rPr>
            <w:t>35</w:t>
          </w:r>
          <w:r w:rsidRPr="00623AE3">
            <w:rPr>
              <w:bCs/>
            </w:rPr>
            <w:t>-E</w:t>
          </w:r>
          <w:r>
            <w:rPr>
              <w:bCs/>
            </w:rPr>
            <w:tab/>
          </w:r>
          <w:r>
            <w:fldChar w:fldCharType="begin"/>
          </w:r>
          <w:r>
            <w:instrText>PAGE</w:instrText>
          </w:r>
          <w:r>
            <w:fldChar w:fldCharType="separate"/>
          </w:r>
          <w:r>
            <w:t>1</w:t>
          </w:r>
          <w:r>
            <w:rPr>
              <w:noProof/>
            </w:rPr>
            <w:fldChar w:fldCharType="end"/>
          </w:r>
        </w:p>
      </w:tc>
    </w:tr>
  </w:tbl>
  <w:p w14:paraId="739FD8E1" w14:textId="77777777" w:rsidR="0062595A" w:rsidRDefault="006259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8261"/>
    </w:tblGrid>
    <w:tr w:rsidR="00F708CB" w:rsidRPr="00F708CB" w14:paraId="53DBA061" w14:textId="77777777" w:rsidTr="00443B52">
      <w:trPr>
        <w:jc w:val="center"/>
      </w:trPr>
      <w:tc>
        <w:tcPr>
          <w:tcW w:w="1803" w:type="dxa"/>
          <w:vAlign w:val="center"/>
        </w:tcPr>
        <w:p w14:paraId="1725BDC6" w14:textId="77777777" w:rsidR="00F708CB" w:rsidRPr="00F708CB" w:rsidRDefault="00F708CB" w:rsidP="00F708CB">
          <w:pPr>
            <w:pStyle w:val="Footer"/>
            <w:jc w:val="right"/>
            <w:rPr>
              <w:rFonts w:eastAsia="Times New Roman" w:cs="Times New Roman"/>
              <w:szCs w:val="20"/>
            </w:rPr>
          </w:pPr>
          <w:hyperlink r:id="rId1" w:history="1">
            <w:r w:rsidRPr="00F708CB">
              <w:rPr>
                <w:rStyle w:val="Hyperlink"/>
              </w:rPr>
              <w:t>council.itu.int/2026</w:t>
            </w:r>
          </w:hyperlink>
        </w:p>
      </w:tc>
      <w:tc>
        <w:tcPr>
          <w:tcW w:w="8261" w:type="dxa"/>
        </w:tcPr>
        <w:p w14:paraId="1DEE23AF" w14:textId="7CA0CC16" w:rsidR="00F708CB" w:rsidRPr="00F708CB" w:rsidRDefault="00F708CB" w:rsidP="00400284">
          <w:pPr>
            <w:pStyle w:val="Footer"/>
            <w:tabs>
              <w:tab w:val="clear" w:pos="5954"/>
              <w:tab w:val="left" w:pos="6310"/>
            </w:tabs>
            <w:jc w:val="right"/>
            <w:rPr>
              <w:rFonts w:eastAsia="Times New Roman" w:cs="Times New Roman"/>
              <w:b/>
              <w:bCs/>
              <w:szCs w:val="20"/>
            </w:rPr>
          </w:pPr>
          <w:r w:rsidRPr="00F708CB">
            <w:rPr>
              <w:rFonts w:eastAsia="Times New Roman" w:cs="Times New Roman"/>
              <w:bCs/>
              <w:szCs w:val="20"/>
            </w:rPr>
            <w:tab/>
            <w:t>C26/</w:t>
          </w:r>
          <w:r w:rsidR="0056065E">
            <w:rPr>
              <w:rFonts w:eastAsia="Times New Roman" w:cs="Times New Roman"/>
              <w:bCs/>
              <w:szCs w:val="20"/>
            </w:rPr>
            <w:t>35</w:t>
          </w:r>
          <w:r w:rsidRPr="00F708CB">
            <w:rPr>
              <w:rFonts w:eastAsia="Times New Roman" w:cs="Times New Roman"/>
              <w:bCs/>
              <w:szCs w:val="20"/>
            </w:rPr>
            <w:t>-E</w:t>
          </w:r>
          <w:r w:rsidRPr="00F708CB">
            <w:rPr>
              <w:rFonts w:eastAsia="Times New Roman" w:cs="Times New Roman"/>
              <w:bCs/>
              <w:szCs w:val="20"/>
            </w:rPr>
            <w:tab/>
          </w:r>
          <w:r w:rsidRPr="00F708CB">
            <w:fldChar w:fldCharType="begin"/>
          </w:r>
          <w:r w:rsidRPr="00F708CB">
            <w:rPr>
              <w:rFonts w:eastAsia="Times New Roman" w:cs="Times New Roman"/>
              <w:szCs w:val="20"/>
            </w:rPr>
            <w:instrText>PAGE</w:instrText>
          </w:r>
          <w:r w:rsidRPr="00F708CB">
            <w:fldChar w:fldCharType="separate"/>
          </w:r>
          <w:r w:rsidRPr="00F708CB">
            <w:rPr>
              <w:rFonts w:eastAsia="Times New Roman" w:cs="Times New Roman"/>
              <w:szCs w:val="20"/>
            </w:rPr>
            <w:t>1</w:t>
          </w:r>
          <w:r w:rsidRPr="00F708CB">
            <w:fldChar w:fldCharType="end"/>
          </w:r>
        </w:p>
      </w:tc>
    </w:tr>
  </w:tbl>
  <w:p w14:paraId="02D912B1" w14:textId="77777777" w:rsidR="0062595A" w:rsidRDefault="0062595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400284" w:rsidRPr="00784011" w14:paraId="21FE117B" w14:textId="77777777" w:rsidTr="00443B52">
      <w:trPr>
        <w:jc w:val="center"/>
      </w:trPr>
      <w:tc>
        <w:tcPr>
          <w:tcW w:w="1803" w:type="dxa"/>
          <w:vAlign w:val="center"/>
        </w:tcPr>
        <w:p w14:paraId="78D77BCA" w14:textId="58D83AAC" w:rsidR="00400284" w:rsidRDefault="00400284" w:rsidP="00400284">
          <w:pPr>
            <w:pStyle w:val="Header"/>
            <w:jc w:val="left"/>
            <w:rPr>
              <w:noProof/>
            </w:rPr>
          </w:pPr>
        </w:p>
      </w:tc>
      <w:tc>
        <w:tcPr>
          <w:tcW w:w="8261" w:type="dxa"/>
        </w:tcPr>
        <w:p w14:paraId="7DB4F3E8" w14:textId="77777777" w:rsidR="00400284" w:rsidRPr="00E06FD5" w:rsidRDefault="00400284" w:rsidP="00400284">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26</w:t>
          </w:r>
          <w:r w:rsidRPr="00623AE3">
            <w:rPr>
              <w:bCs/>
            </w:rPr>
            <w:t>/</w:t>
          </w:r>
          <w:r>
            <w:rPr>
              <w:bCs/>
            </w:rPr>
            <w:t>35</w:t>
          </w:r>
          <w:r w:rsidRPr="00623AE3">
            <w:rPr>
              <w:bCs/>
            </w:rPr>
            <w:t>-E</w:t>
          </w:r>
          <w:r>
            <w:rPr>
              <w:bCs/>
            </w:rPr>
            <w:tab/>
          </w:r>
          <w:r>
            <w:fldChar w:fldCharType="begin"/>
          </w:r>
          <w:r>
            <w:instrText>PAGE</w:instrText>
          </w:r>
          <w:r>
            <w:fldChar w:fldCharType="separate"/>
          </w:r>
          <w:r>
            <w:t>1</w:t>
          </w:r>
          <w:r>
            <w:rPr>
              <w:noProof/>
            </w:rPr>
            <w:fldChar w:fldCharType="end"/>
          </w:r>
        </w:p>
      </w:tc>
    </w:tr>
  </w:tbl>
  <w:p w14:paraId="19851C7D" w14:textId="77777777" w:rsidR="00EE49E8" w:rsidRPr="00DB1936" w:rsidRDefault="00EE49E8" w:rsidP="00EE49E8">
    <w:pPr>
      <w:pStyle w:val="Header"/>
      <w:tabs>
        <w:tab w:val="left" w:pos="8080"/>
        <w:tab w:val="right" w:pos="9072"/>
      </w:tabs>
      <w:jc w:val="left"/>
      <w:rPr>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400284" w:rsidRPr="00784011" w14:paraId="6092BFDD" w14:textId="77777777" w:rsidTr="00443B52">
      <w:trPr>
        <w:jc w:val="center"/>
      </w:trPr>
      <w:tc>
        <w:tcPr>
          <w:tcW w:w="1803" w:type="dxa"/>
          <w:vAlign w:val="center"/>
        </w:tcPr>
        <w:p w14:paraId="79095C13" w14:textId="21A2672A" w:rsidR="00400284" w:rsidRDefault="00400284" w:rsidP="00400284">
          <w:pPr>
            <w:pStyle w:val="Header"/>
            <w:jc w:val="left"/>
            <w:rPr>
              <w:noProof/>
            </w:rPr>
          </w:pPr>
        </w:p>
      </w:tc>
      <w:tc>
        <w:tcPr>
          <w:tcW w:w="8261" w:type="dxa"/>
        </w:tcPr>
        <w:p w14:paraId="771E4D92" w14:textId="77777777" w:rsidR="00400284" w:rsidRPr="00E06FD5" w:rsidRDefault="00400284" w:rsidP="00400284">
          <w:pPr>
            <w:pStyle w:val="Header"/>
            <w:tabs>
              <w:tab w:val="left" w:pos="6731"/>
              <w:tab w:val="right" w:pos="8505"/>
              <w:tab w:val="right" w:pos="9639"/>
            </w:tabs>
            <w:jc w:val="left"/>
            <w:rPr>
              <w:rFonts w:ascii="Arial" w:hAnsi="Arial" w:cs="Arial"/>
              <w:b/>
              <w:bCs/>
              <w:szCs w:val="18"/>
            </w:rPr>
          </w:pPr>
          <w:r>
            <w:rPr>
              <w:bCs/>
            </w:rPr>
            <w:tab/>
          </w:r>
          <w:r w:rsidRPr="00623AE3">
            <w:rPr>
              <w:bCs/>
            </w:rPr>
            <w:t>C</w:t>
          </w:r>
          <w:r>
            <w:rPr>
              <w:bCs/>
            </w:rPr>
            <w:t>26</w:t>
          </w:r>
          <w:r w:rsidRPr="00623AE3">
            <w:rPr>
              <w:bCs/>
            </w:rPr>
            <w:t>/</w:t>
          </w:r>
          <w:r>
            <w:rPr>
              <w:bCs/>
            </w:rPr>
            <w:t>35</w:t>
          </w:r>
          <w:r w:rsidRPr="00623AE3">
            <w:rPr>
              <w:bCs/>
            </w:rPr>
            <w:t>-E</w:t>
          </w:r>
          <w:r>
            <w:rPr>
              <w:bCs/>
            </w:rPr>
            <w:tab/>
          </w:r>
          <w:r>
            <w:fldChar w:fldCharType="begin"/>
          </w:r>
          <w:r>
            <w:instrText>PAGE</w:instrText>
          </w:r>
          <w:r>
            <w:fldChar w:fldCharType="separate"/>
          </w:r>
          <w:r>
            <w:t>1</w:t>
          </w:r>
          <w:r>
            <w:rPr>
              <w:noProof/>
            </w:rPr>
            <w:fldChar w:fldCharType="end"/>
          </w:r>
        </w:p>
      </w:tc>
    </w:tr>
  </w:tbl>
  <w:p w14:paraId="31740342" w14:textId="77777777" w:rsidR="00A514A4" w:rsidRPr="00623AE3" w:rsidRDefault="00A514A4" w:rsidP="00EE49E8">
    <w:pPr>
      <w:pStyle w:val="Header"/>
      <w:tabs>
        <w:tab w:val="left" w:pos="8080"/>
        <w:tab w:val="right" w:pos="9072"/>
      </w:tabs>
      <w:jc w:val="right"/>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75234" w14:textId="77777777" w:rsidR="00B81795" w:rsidRDefault="00B81795">
      <w:r>
        <w:t>____________________</w:t>
      </w:r>
    </w:p>
  </w:footnote>
  <w:footnote w:type="continuationSeparator" w:id="0">
    <w:p w14:paraId="28A841C4" w14:textId="77777777" w:rsidR="00B81795" w:rsidRDefault="00B817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A2156" w14:textId="08C75029" w:rsidR="0062595A" w:rsidRDefault="00F708CB">
    <w:pPr>
      <w:pStyle w:val="Header"/>
      <w:jc w:val="left"/>
    </w:pPr>
    <w:bookmarkStart w:id="13" w:name="_Hlk68810887"/>
    <w:r>
      <w:rPr>
        <w:noProof/>
      </w:rPr>
      <w:drawing>
        <wp:inline distT="0" distB="0" distL="0" distR="0" wp14:anchorId="615AFA47" wp14:editId="1043C685">
          <wp:extent cx="5759450" cy="840647"/>
          <wp:effectExtent l="0" t="0" r="0" b="0"/>
          <wp:docPr id="108553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91133" name="Picture 998791133"/>
                  <pic:cNvPicPr/>
                </pic:nvPicPr>
                <pic:blipFill>
                  <a:blip r:embed="rId1">
                    <a:extLst>
                      <a:ext uri="{28A0092B-C50C-407E-A947-70E740481C1C}">
                        <a14:useLocalDpi xmlns:a14="http://schemas.microsoft.com/office/drawing/2010/main" val="0"/>
                      </a:ext>
                    </a:extLst>
                  </a:blip>
                  <a:stretch>
                    <a:fillRect/>
                  </a:stretch>
                </pic:blipFill>
                <pic:spPr>
                  <a:xfrm>
                    <a:off x="0" y="0"/>
                    <a:ext cx="5759450" cy="840647"/>
                  </a:xfrm>
                  <a:prstGeom prst="rect">
                    <a:avLst/>
                  </a:prstGeom>
                </pic:spPr>
              </pic:pic>
            </a:graphicData>
          </a:graphic>
        </wp:inline>
      </w:drawing>
    </w:r>
  </w:p>
  <w:bookmarkEnd w:id="13"/>
  <w:p w14:paraId="65FDB835" w14:textId="77777777" w:rsidR="0062595A" w:rsidRDefault="0062595A">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68EF" w14:textId="7A0F200C" w:rsidR="00AD3606" w:rsidRPr="00512087" w:rsidRDefault="00AD3606" w:rsidP="004936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635E9A"/>
    <w:multiLevelType w:val="multilevel"/>
    <w:tmpl w:val="1C7AFD2C"/>
    <w:lvl w:ilvl="0">
      <w:numFmt w:val="bullet"/>
      <w:lvlText w:val="-"/>
      <w:lvlJc w:val="left"/>
      <w:pPr>
        <w:ind w:left="1080" w:hanging="360"/>
      </w:pPr>
      <w:rPr>
        <w:rFonts w:ascii="Calibri" w:eastAsia="MS Mincho"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 w15:restartNumberingAfterBreak="0">
    <w:nsid w:val="06CD254F"/>
    <w:multiLevelType w:val="multilevel"/>
    <w:tmpl w:val="07CA1244"/>
    <w:lvl w:ilvl="0">
      <w:start w:val="1"/>
      <w:numFmt w:val="decimal"/>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0797670E"/>
    <w:multiLevelType w:val="multilevel"/>
    <w:tmpl w:val="BBB486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0FA26BC0"/>
    <w:multiLevelType w:val="multilevel"/>
    <w:tmpl w:val="E87ECB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0484645"/>
    <w:multiLevelType w:val="multilevel"/>
    <w:tmpl w:val="3474A0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1110352C"/>
    <w:multiLevelType w:val="multilevel"/>
    <w:tmpl w:val="2E68D3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1CAF24CE"/>
    <w:multiLevelType w:val="multilevel"/>
    <w:tmpl w:val="49FEEA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1D445D8B"/>
    <w:multiLevelType w:val="multilevel"/>
    <w:tmpl w:val="B7A4A7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20940A14"/>
    <w:multiLevelType w:val="multilevel"/>
    <w:tmpl w:val="BB22A838"/>
    <w:lvl w:ilvl="0">
      <w:start w:val="4"/>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6D74A0D"/>
    <w:multiLevelType w:val="multilevel"/>
    <w:tmpl w:val="50FC4C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28BA3325"/>
    <w:multiLevelType w:val="multilevel"/>
    <w:tmpl w:val="AEF8E5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B7B3882"/>
    <w:multiLevelType w:val="multilevel"/>
    <w:tmpl w:val="281AF7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2C23660D"/>
    <w:multiLevelType w:val="multilevel"/>
    <w:tmpl w:val="9232F9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351F29C2"/>
    <w:multiLevelType w:val="multilevel"/>
    <w:tmpl w:val="7902B2CC"/>
    <w:lvl w:ilvl="0">
      <w:numFmt w:val="bullet"/>
      <w:lvlText w:val="·"/>
      <w:lvlJc w:val="left"/>
      <w:pPr>
        <w:ind w:left="720" w:hanging="360"/>
      </w:pPr>
      <w:rPr>
        <w:rFonts w:ascii="Symbol" w:hAnsi="Symbol"/>
        <w:sz w:val="20"/>
      </w:rPr>
    </w:lvl>
    <w:lvl w:ilvl="1">
      <w:start w:val="1"/>
      <w:numFmt w:val="lowerLetter"/>
      <w:lvlText w:val="%2."/>
      <w:lvlJc w:val="left"/>
      <w:pPr>
        <w:ind w:left="1440" w:hanging="360"/>
      </w:p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35345464"/>
    <w:multiLevelType w:val="multilevel"/>
    <w:tmpl w:val="734461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9F119F7"/>
    <w:multiLevelType w:val="multilevel"/>
    <w:tmpl w:val="1F54595C"/>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3DB80066"/>
    <w:multiLevelType w:val="hybridMultilevel"/>
    <w:tmpl w:val="ED7433A4"/>
    <w:lvl w:ilvl="0" w:tplc="7F7426F4">
      <w:start w:val="1"/>
      <w:numFmt w:val="lowerRoman"/>
      <w:lvlText w:val="%1."/>
      <w:lvlJc w:val="right"/>
      <w:pPr>
        <w:ind w:left="720" w:hanging="360"/>
      </w:pPr>
    </w:lvl>
    <w:lvl w:ilvl="1" w:tplc="A0B25CA2">
      <w:start w:val="1"/>
      <w:numFmt w:val="lowerRoman"/>
      <w:lvlText w:val="%2."/>
      <w:lvlJc w:val="right"/>
      <w:pPr>
        <w:ind w:left="720" w:hanging="360"/>
      </w:pPr>
    </w:lvl>
    <w:lvl w:ilvl="2" w:tplc="3AEA80FE">
      <w:start w:val="1"/>
      <w:numFmt w:val="lowerRoman"/>
      <w:lvlText w:val="%3."/>
      <w:lvlJc w:val="right"/>
      <w:pPr>
        <w:ind w:left="720" w:hanging="360"/>
      </w:pPr>
    </w:lvl>
    <w:lvl w:ilvl="3" w:tplc="2A020178">
      <w:start w:val="1"/>
      <w:numFmt w:val="lowerRoman"/>
      <w:lvlText w:val="%4."/>
      <w:lvlJc w:val="right"/>
      <w:pPr>
        <w:ind w:left="720" w:hanging="360"/>
      </w:pPr>
    </w:lvl>
    <w:lvl w:ilvl="4" w:tplc="ABE03F24">
      <w:start w:val="1"/>
      <w:numFmt w:val="lowerRoman"/>
      <w:lvlText w:val="%5."/>
      <w:lvlJc w:val="right"/>
      <w:pPr>
        <w:ind w:left="720" w:hanging="360"/>
      </w:pPr>
    </w:lvl>
    <w:lvl w:ilvl="5" w:tplc="A6827696">
      <w:start w:val="1"/>
      <w:numFmt w:val="lowerRoman"/>
      <w:lvlText w:val="%6."/>
      <w:lvlJc w:val="right"/>
      <w:pPr>
        <w:ind w:left="720" w:hanging="360"/>
      </w:pPr>
    </w:lvl>
    <w:lvl w:ilvl="6" w:tplc="B270E166">
      <w:start w:val="1"/>
      <w:numFmt w:val="lowerRoman"/>
      <w:lvlText w:val="%7."/>
      <w:lvlJc w:val="right"/>
      <w:pPr>
        <w:ind w:left="720" w:hanging="360"/>
      </w:pPr>
    </w:lvl>
    <w:lvl w:ilvl="7" w:tplc="A38EEC48">
      <w:start w:val="1"/>
      <w:numFmt w:val="lowerRoman"/>
      <w:lvlText w:val="%8."/>
      <w:lvlJc w:val="right"/>
      <w:pPr>
        <w:ind w:left="720" w:hanging="360"/>
      </w:pPr>
    </w:lvl>
    <w:lvl w:ilvl="8" w:tplc="2AB6E062">
      <w:start w:val="1"/>
      <w:numFmt w:val="lowerRoman"/>
      <w:lvlText w:val="%9."/>
      <w:lvlJc w:val="right"/>
      <w:pPr>
        <w:ind w:left="720" w:hanging="360"/>
      </w:pPr>
    </w:lvl>
  </w:abstractNum>
  <w:abstractNum w:abstractNumId="18" w15:restartNumberingAfterBreak="0">
    <w:nsid w:val="3F542F9B"/>
    <w:multiLevelType w:val="multilevel"/>
    <w:tmpl w:val="FCE202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46C52B06"/>
    <w:multiLevelType w:val="multilevel"/>
    <w:tmpl w:val="96EED012"/>
    <w:lvl w:ilvl="0">
      <w:numFmt w:val="bullet"/>
      <w:lvlText w:val=""/>
      <w:lvlJc w:val="left"/>
      <w:pPr>
        <w:ind w:left="768" w:hanging="360"/>
      </w:pPr>
      <w:rPr>
        <w:rFonts w:ascii="Symbol" w:hAnsi="Symbol"/>
      </w:r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20" w15:restartNumberingAfterBreak="0">
    <w:nsid w:val="496F6328"/>
    <w:multiLevelType w:val="multilevel"/>
    <w:tmpl w:val="69E86F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E652C5B"/>
    <w:multiLevelType w:val="multilevel"/>
    <w:tmpl w:val="A6F0CF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FB46BD2"/>
    <w:multiLevelType w:val="multilevel"/>
    <w:tmpl w:val="43A22C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10B6459"/>
    <w:multiLevelType w:val="multilevel"/>
    <w:tmpl w:val="CFC08528"/>
    <w:lvl w:ilvl="0">
      <w:numFmt w:val="bullet"/>
      <w:lvlText w:val=""/>
      <w:lvlJc w:val="left"/>
      <w:pPr>
        <w:ind w:left="360" w:hanging="360"/>
      </w:pPr>
      <w:rPr>
        <w:rFonts w:ascii="Symbol" w:hAnsi="Symbol"/>
      </w:r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5671743F"/>
    <w:multiLevelType w:val="multilevel"/>
    <w:tmpl w:val="E3B66A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9531E81"/>
    <w:multiLevelType w:val="multilevel"/>
    <w:tmpl w:val="04929B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15:restartNumberingAfterBreak="0">
    <w:nsid w:val="5D6F2930"/>
    <w:multiLevelType w:val="multilevel"/>
    <w:tmpl w:val="98AC7E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5EDD0224"/>
    <w:multiLevelType w:val="multilevel"/>
    <w:tmpl w:val="92C889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15:restartNumberingAfterBreak="0">
    <w:nsid w:val="63E043CE"/>
    <w:multiLevelType w:val="multilevel"/>
    <w:tmpl w:val="DC7AB8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29" w15:restartNumberingAfterBreak="0">
    <w:nsid w:val="6D6A386E"/>
    <w:multiLevelType w:val="multilevel"/>
    <w:tmpl w:val="0C0433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6F3E684C"/>
    <w:multiLevelType w:val="multilevel"/>
    <w:tmpl w:val="D3B2ED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1" w15:restartNumberingAfterBreak="0">
    <w:nsid w:val="7244701F"/>
    <w:multiLevelType w:val="multilevel"/>
    <w:tmpl w:val="6C2096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73E85C3C"/>
    <w:multiLevelType w:val="multilevel"/>
    <w:tmpl w:val="84A6676C"/>
    <w:lvl w:ilvl="0">
      <w:start w:val="1"/>
      <w:numFmt w:val="lowerRoman"/>
      <w:lvlText w:val="%1."/>
      <w:lvlJc w:val="left"/>
      <w:pPr>
        <w:ind w:left="1290" w:hanging="720"/>
      </w:pPr>
      <w:rPr>
        <w:rFonts w:ascii="Calibri" w:eastAsia="Times New Roman" w:hAnsi="Calibri" w:cs="Times New Roman"/>
        <w:b/>
        <w:bCs w:val="0"/>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33" w15:restartNumberingAfterBreak="0">
    <w:nsid w:val="76D05636"/>
    <w:multiLevelType w:val="multilevel"/>
    <w:tmpl w:val="5B181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15:restartNumberingAfterBreak="0">
    <w:nsid w:val="79976B1E"/>
    <w:multiLevelType w:val="multilevel"/>
    <w:tmpl w:val="38CC4F10"/>
    <w:lvl w:ilvl="0">
      <w:start w:val="3"/>
      <w:numFmt w:val="lowerLetter"/>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35" w15:restartNumberingAfterBreak="0">
    <w:nsid w:val="7B9316BD"/>
    <w:multiLevelType w:val="multilevel"/>
    <w:tmpl w:val="EE3059F8"/>
    <w:styleLink w:val="LFO4"/>
    <w:lvl w:ilvl="0">
      <w:numFmt w:val="bullet"/>
      <w:pStyle w:val="Boxbullet2"/>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36" w15:restartNumberingAfterBreak="0">
    <w:nsid w:val="7CFA696A"/>
    <w:multiLevelType w:val="multilevel"/>
    <w:tmpl w:val="B1FEEADC"/>
    <w:styleLink w:val="LFO3"/>
    <w:lvl w:ilvl="0">
      <w:start w:val="1"/>
      <w:numFmt w:val="decimal"/>
      <w:pStyle w:val="normalWSIS"/>
      <w:lvlText w:val="%1."/>
      <w:lvlJc w:val="left"/>
      <w:pPr>
        <w:ind w:left="3195" w:hanging="360"/>
      </w:pPr>
      <w:rPr>
        <w:b w:val="0"/>
        <w:bCs w:val="0"/>
        <w:color w:val="auto"/>
        <w:sz w:val="20"/>
        <w:szCs w:val="20"/>
      </w:rPr>
    </w:lvl>
    <w:lvl w:ilvl="1">
      <w:start w:val="1"/>
      <w:numFmt w:val="lowerLetter"/>
      <w:lvlText w:val="%2."/>
      <w:lvlJc w:val="left"/>
      <w:pPr>
        <w:ind w:left="3566" w:hanging="360"/>
      </w:pPr>
    </w:lvl>
    <w:lvl w:ilvl="2">
      <w:start w:val="1"/>
      <w:numFmt w:val="lowerRoman"/>
      <w:lvlText w:val="%3."/>
      <w:lvlJc w:val="right"/>
      <w:pPr>
        <w:ind w:left="4286" w:hanging="180"/>
      </w:pPr>
    </w:lvl>
    <w:lvl w:ilvl="3">
      <w:start w:val="1"/>
      <w:numFmt w:val="decimal"/>
      <w:lvlText w:val="%4."/>
      <w:lvlJc w:val="left"/>
      <w:pPr>
        <w:ind w:left="5006" w:hanging="360"/>
      </w:pPr>
    </w:lvl>
    <w:lvl w:ilvl="4">
      <w:start w:val="1"/>
      <w:numFmt w:val="lowerLetter"/>
      <w:lvlText w:val="%5."/>
      <w:lvlJc w:val="left"/>
      <w:pPr>
        <w:ind w:left="5726" w:hanging="360"/>
      </w:pPr>
    </w:lvl>
    <w:lvl w:ilvl="5">
      <w:start w:val="1"/>
      <w:numFmt w:val="lowerRoman"/>
      <w:lvlText w:val="%6."/>
      <w:lvlJc w:val="right"/>
      <w:pPr>
        <w:ind w:left="6446" w:hanging="180"/>
      </w:pPr>
    </w:lvl>
    <w:lvl w:ilvl="6">
      <w:start w:val="1"/>
      <w:numFmt w:val="decimal"/>
      <w:lvlText w:val="%7."/>
      <w:lvlJc w:val="left"/>
      <w:pPr>
        <w:ind w:left="7166" w:hanging="360"/>
      </w:pPr>
    </w:lvl>
    <w:lvl w:ilvl="7">
      <w:start w:val="1"/>
      <w:numFmt w:val="lowerLetter"/>
      <w:lvlText w:val="%8."/>
      <w:lvlJc w:val="left"/>
      <w:pPr>
        <w:ind w:left="7886" w:hanging="360"/>
      </w:pPr>
    </w:lvl>
    <w:lvl w:ilvl="8">
      <w:start w:val="1"/>
      <w:numFmt w:val="lowerRoman"/>
      <w:lvlText w:val="%9."/>
      <w:lvlJc w:val="right"/>
      <w:pPr>
        <w:ind w:left="8606" w:hanging="180"/>
      </w:pPr>
    </w:lvl>
  </w:abstractNum>
  <w:num w:numId="1" w16cid:durableId="1374816267">
    <w:abstractNumId w:val="0"/>
  </w:num>
  <w:num w:numId="2" w16cid:durableId="1480149503">
    <w:abstractNumId w:val="36"/>
  </w:num>
  <w:num w:numId="3" w16cid:durableId="185556611">
    <w:abstractNumId w:val="35"/>
  </w:num>
  <w:num w:numId="4" w16cid:durableId="440687567">
    <w:abstractNumId w:val="32"/>
  </w:num>
  <w:num w:numId="5" w16cid:durableId="2012564920">
    <w:abstractNumId w:val="29"/>
  </w:num>
  <w:num w:numId="6" w16cid:durableId="127357644">
    <w:abstractNumId w:val="26"/>
  </w:num>
  <w:num w:numId="7" w16cid:durableId="21590733">
    <w:abstractNumId w:val="13"/>
  </w:num>
  <w:num w:numId="8" w16cid:durableId="778837674">
    <w:abstractNumId w:val="30"/>
  </w:num>
  <w:num w:numId="9" w16cid:durableId="600798846">
    <w:abstractNumId w:val="10"/>
  </w:num>
  <w:num w:numId="10" w16cid:durableId="1192953740">
    <w:abstractNumId w:val="3"/>
  </w:num>
  <w:num w:numId="11" w16cid:durableId="87888342">
    <w:abstractNumId w:val="12"/>
  </w:num>
  <w:num w:numId="12" w16cid:durableId="489174970">
    <w:abstractNumId w:val="33"/>
  </w:num>
  <w:num w:numId="13" w16cid:durableId="585461783">
    <w:abstractNumId w:val="6"/>
  </w:num>
  <w:num w:numId="14" w16cid:durableId="1443377359">
    <w:abstractNumId w:val="31"/>
  </w:num>
  <w:num w:numId="15" w16cid:durableId="1325352724">
    <w:abstractNumId w:val="18"/>
  </w:num>
  <w:num w:numId="16" w16cid:durableId="2081905877">
    <w:abstractNumId w:val="7"/>
  </w:num>
  <w:num w:numId="17" w16cid:durableId="1330789246">
    <w:abstractNumId w:val="11"/>
  </w:num>
  <w:num w:numId="18" w16cid:durableId="2093427393">
    <w:abstractNumId w:val="8"/>
  </w:num>
  <w:num w:numId="19" w16cid:durableId="1927835905">
    <w:abstractNumId w:val="24"/>
  </w:num>
  <w:num w:numId="20" w16cid:durableId="553539001">
    <w:abstractNumId w:val="4"/>
  </w:num>
  <w:num w:numId="21" w16cid:durableId="1994486045">
    <w:abstractNumId w:val="22"/>
  </w:num>
  <w:num w:numId="22" w16cid:durableId="2053310817">
    <w:abstractNumId w:val="19"/>
  </w:num>
  <w:num w:numId="23" w16cid:durableId="42144540">
    <w:abstractNumId w:val="1"/>
  </w:num>
  <w:num w:numId="24" w16cid:durableId="1820535320">
    <w:abstractNumId w:val="20"/>
  </w:num>
  <w:num w:numId="25" w16cid:durableId="642462309">
    <w:abstractNumId w:val="5"/>
  </w:num>
  <w:num w:numId="26" w16cid:durableId="51127080">
    <w:abstractNumId w:val="2"/>
  </w:num>
  <w:num w:numId="27" w16cid:durableId="551112092">
    <w:abstractNumId w:val="27"/>
  </w:num>
  <w:num w:numId="28" w16cid:durableId="1870339318">
    <w:abstractNumId w:val="9"/>
  </w:num>
  <w:num w:numId="29" w16cid:durableId="2010785999">
    <w:abstractNumId w:val="23"/>
  </w:num>
  <w:num w:numId="30" w16cid:durableId="1342506658">
    <w:abstractNumId w:val="21"/>
  </w:num>
  <w:num w:numId="31" w16cid:durableId="1878813419">
    <w:abstractNumId w:val="15"/>
  </w:num>
  <w:num w:numId="32" w16cid:durableId="1836873441">
    <w:abstractNumId w:val="14"/>
  </w:num>
  <w:num w:numId="33" w16cid:durableId="1341660458">
    <w:abstractNumId w:val="25"/>
  </w:num>
  <w:num w:numId="34" w16cid:durableId="1081366482">
    <w:abstractNumId w:val="34"/>
  </w:num>
  <w:num w:numId="35" w16cid:durableId="847405521">
    <w:abstractNumId w:val="28"/>
  </w:num>
  <w:num w:numId="36" w16cid:durableId="942030706">
    <w:abstractNumId w:val="16"/>
  </w:num>
  <w:num w:numId="37" w16cid:durableId="17739395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228"/>
    <w:rsid w:val="00000ABF"/>
    <w:rsid w:val="0000299A"/>
    <w:rsid w:val="000034AF"/>
    <w:rsid w:val="00003CE0"/>
    <w:rsid w:val="0000520F"/>
    <w:rsid w:val="00006BC4"/>
    <w:rsid w:val="00006F49"/>
    <w:rsid w:val="00007595"/>
    <w:rsid w:val="00007A7E"/>
    <w:rsid w:val="000113EE"/>
    <w:rsid w:val="00011535"/>
    <w:rsid w:val="00016B2A"/>
    <w:rsid w:val="0001726B"/>
    <w:rsid w:val="0002031C"/>
    <w:rsid w:val="00020729"/>
    <w:rsid w:val="000210D4"/>
    <w:rsid w:val="000215DF"/>
    <w:rsid w:val="000244E0"/>
    <w:rsid w:val="000260FA"/>
    <w:rsid w:val="00031837"/>
    <w:rsid w:val="000324DB"/>
    <w:rsid w:val="000334A0"/>
    <w:rsid w:val="00036741"/>
    <w:rsid w:val="0004178B"/>
    <w:rsid w:val="00047755"/>
    <w:rsid w:val="00051981"/>
    <w:rsid w:val="0005305C"/>
    <w:rsid w:val="000537D4"/>
    <w:rsid w:val="00054CB2"/>
    <w:rsid w:val="00054DCA"/>
    <w:rsid w:val="00055F59"/>
    <w:rsid w:val="000561DC"/>
    <w:rsid w:val="00056FB8"/>
    <w:rsid w:val="00057B11"/>
    <w:rsid w:val="0006007D"/>
    <w:rsid w:val="0006121C"/>
    <w:rsid w:val="00063016"/>
    <w:rsid w:val="00065269"/>
    <w:rsid w:val="00066795"/>
    <w:rsid w:val="00066F0F"/>
    <w:rsid w:val="000676C4"/>
    <w:rsid w:val="0007039D"/>
    <w:rsid w:val="00076804"/>
    <w:rsid w:val="00076AF6"/>
    <w:rsid w:val="00081110"/>
    <w:rsid w:val="00081DC8"/>
    <w:rsid w:val="00085BB0"/>
    <w:rsid w:val="00085BDB"/>
    <w:rsid w:val="00085CF2"/>
    <w:rsid w:val="00085DAC"/>
    <w:rsid w:val="00086091"/>
    <w:rsid w:val="00086DA8"/>
    <w:rsid w:val="00093EEB"/>
    <w:rsid w:val="000967EC"/>
    <w:rsid w:val="00097731"/>
    <w:rsid w:val="00097C08"/>
    <w:rsid w:val="000A12B4"/>
    <w:rsid w:val="000A1F51"/>
    <w:rsid w:val="000A36C9"/>
    <w:rsid w:val="000A51A4"/>
    <w:rsid w:val="000B1705"/>
    <w:rsid w:val="000B5835"/>
    <w:rsid w:val="000C1C8A"/>
    <w:rsid w:val="000C4731"/>
    <w:rsid w:val="000C48FB"/>
    <w:rsid w:val="000C5080"/>
    <w:rsid w:val="000C68EA"/>
    <w:rsid w:val="000C6C9F"/>
    <w:rsid w:val="000D089A"/>
    <w:rsid w:val="000D30A4"/>
    <w:rsid w:val="000D3AAD"/>
    <w:rsid w:val="000D661B"/>
    <w:rsid w:val="000D75B2"/>
    <w:rsid w:val="000E0DB7"/>
    <w:rsid w:val="000E24DC"/>
    <w:rsid w:val="000E2C58"/>
    <w:rsid w:val="000E372C"/>
    <w:rsid w:val="000E7D00"/>
    <w:rsid w:val="000F0F9A"/>
    <w:rsid w:val="000F14E9"/>
    <w:rsid w:val="000F250C"/>
    <w:rsid w:val="000F565D"/>
    <w:rsid w:val="000F5DDB"/>
    <w:rsid w:val="001052B1"/>
    <w:rsid w:val="001121F5"/>
    <w:rsid w:val="00115625"/>
    <w:rsid w:val="00121349"/>
    <w:rsid w:val="00121E21"/>
    <w:rsid w:val="0013415E"/>
    <w:rsid w:val="001400DC"/>
    <w:rsid w:val="0014036B"/>
    <w:rsid w:val="00140CE1"/>
    <w:rsid w:val="00140D94"/>
    <w:rsid w:val="00140DA5"/>
    <w:rsid w:val="00140EFB"/>
    <w:rsid w:val="00142D97"/>
    <w:rsid w:val="00146F36"/>
    <w:rsid w:val="001478A4"/>
    <w:rsid w:val="00151642"/>
    <w:rsid w:val="0015189A"/>
    <w:rsid w:val="001556EC"/>
    <w:rsid w:val="0015584D"/>
    <w:rsid w:val="00162F16"/>
    <w:rsid w:val="001643CE"/>
    <w:rsid w:val="00174860"/>
    <w:rsid w:val="0017539C"/>
    <w:rsid w:val="0017587D"/>
    <w:rsid w:val="00175AC2"/>
    <w:rsid w:val="0017609F"/>
    <w:rsid w:val="00176F47"/>
    <w:rsid w:val="00180568"/>
    <w:rsid w:val="00183658"/>
    <w:rsid w:val="00184B9F"/>
    <w:rsid w:val="00185A91"/>
    <w:rsid w:val="00185CF0"/>
    <w:rsid w:val="00197EDB"/>
    <w:rsid w:val="001A3154"/>
    <w:rsid w:val="001A383E"/>
    <w:rsid w:val="001A632C"/>
    <w:rsid w:val="001A6F58"/>
    <w:rsid w:val="001A7D1D"/>
    <w:rsid w:val="001B211E"/>
    <w:rsid w:val="001B260F"/>
    <w:rsid w:val="001B31C9"/>
    <w:rsid w:val="001B50F3"/>
    <w:rsid w:val="001B51DD"/>
    <w:rsid w:val="001C0DE9"/>
    <w:rsid w:val="001C1959"/>
    <w:rsid w:val="001C311B"/>
    <w:rsid w:val="001C593C"/>
    <w:rsid w:val="001C628E"/>
    <w:rsid w:val="001C7E7F"/>
    <w:rsid w:val="001D024B"/>
    <w:rsid w:val="001D0FB9"/>
    <w:rsid w:val="001D3293"/>
    <w:rsid w:val="001D5EEE"/>
    <w:rsid w:val="001D640F"/>
    <w:rsid w:val="001D72F3"/>
    <w:rsid w:val="001E0F7B"/>
    <w:rsid w:val="001E252E"/>
    <w:rsid w:val="001E5872"/>
    <w:rsid w:val="001E66C8"/>
    <w:rsid w:val="001E7652"/>
    <w:rsid w:val="001E79AB"/>
    <w:rsid w:val="001F0058"/>
    <w:rsid w:val="001F2940"/>
    <w:rsid w:val="001F5569"/>
    <w:rsid w:val="001F7CF0"/>
    <w:rsid w:val="00202203"/>
    <w:rsid w:val="00202A46"/>
    <w:rsid w:val="00203021"/>
    <w:rsid w:val="0020487B"/>
    <w:rsid w:val="0020711E"/>
    <w:rsid w:val="002119FD"/>
    <w:rsid w:val="002130E0"/>
    <w:rsid w:val="002133C8"/>
    <w:rsid w:val="00215EAC"/>
    <w:rsid w:val="00216DA2"/>
    <w:rsid w:val="002178A9"/>
    <w:rsid w:val="00220D2F"/>
    <w:rsid w:val="00221F46"/>
    <w:rsid w:val="002246F2"/>
    <w:rsid w:val="00224E8B"/>
    <w:rsid w:val="0022645F"/>
    <w:rsid w:val="00226A7D"/>
    <w:rsid w:val="00227C7A"/>
    <w:rsid w:val="002304BF"/>
    <w:rsid w:val="002306F8"/>
    <w:rsid w:val="0023077F"/>
    <w:rsid w:val="0023A5FC"/>
    <w:rsid w:val="00240F46"/>
    <w:rsid w:val="00241256"/>
    <w:rsid w:val="00245267"/>
    <w:rsid w:val="002453C6"/>
    <w:rsid w:val="00250598"/>
    <w:rsid w:val="00251D06"/>
    <w:rsid w:val="00253770"/>
    <w:rsid w:val="002546CA"/>
    <w:rsid w:val="002566B2"/>
    <w:rsid w:val="00257A16"/>
    <w:rsid w:val="00262049"/>
    <w:rsid w:val="00264425"/>
    <w:rsid w:val="00265875"/>
    <w:rsid w:val="002668F3"/>
    <w:rsid w:val="00270FB8"/>
    <w:rsid w:val="002720BB"/>
    <w:rsid w:val="0027239A"/>
    <w:rsid w:val="0027303B"/>
    <w:rsid w:val="00275303"/>
    <w:rsid w:val="00277318"/>
    <w:rsid w:val="00277DEA"/>
    <w:rsid w:val="0028109B"/>
    <w:rsid w:val="00282256"/>
    <w:rsid w:val="00283FD6"/>
    <w:rsid w:val="002853D7"/>
    <w:rsid w:val="00285FF9"/>
    <w:rsid w:val="00286F0E"/>
    <w:rsid w:val="002901F6"/>
    <w:rsid w:val="00290E87"/>
    <w:rsid w:val="00291337"/>
    <w:rsid w:val="002916B4"/>
    <w:rsid w:val="00293402"/>
    <w:rsid w:val="002959E8"/>
    <w:rsid w:val="0029666E"/>
    <w:rsid w:val="002A0615"/>
    <w:rsid w:val="002A133E"/>
    <w:rsid w:val="002A2188"/>
    <w:rsid w:val="002A2937"/>
    <w:rsid w:val="002A479E"/>
    <w:rsid w:val="002A798E"/>
    <w:rsid w:val="002B08A8"/>
    <w:rsid w:val="002B0A4D"/>
    <w:rsid w:val="002B0CFD"/>
    <w:rsid w:val="002B1F58"/>
    <w:rsid w:val="002B4666"/>
    <w:rsid w:val="002B6CA3"/>
    <w:rsid w:val="002C1C7A"/>
    <w:rsid w:val="002C2856"/>
    <w:rsid w:val="002C2C8F"/>
    <w:rsid w:val="002C3A06"/>
    <w:rsid w:val="002C3F32"/>
    <w:rsid w:val="002C54E2"/>
    <w:rsid w:val="002D589D"/>
    <w:rsid w:val="002D6414"/>
    <w:rsid w:val="002E0B36"/>
    <w:rsid w:val="002E0EF1"/>
    <w:rsid w:val="002E4859"/>
    <w:rsid w:val="002E6D78"/>
    <w:rsid w:val="002F01F0"/>
    <w:rsid w:val="002F06BD"/>
    <w:rsid w:val="002F2270"/>
    <w:rsid w:val="002F4A14"/>
    <w:rsid w:val="003010DB"/>
    <w:rsid w:val="0030160F"/>
    <w:rsid w:val="00314CE2"/>
    <w:rsid w:val="00320223"/>
    <w:rsid w:val="00320F39"/>
    <w:rsid w:val="00322D0D"/>
    <w:rsid w:val="003240C5"/>
    <w:rsid w:val="00327427"/>
    <w:rsid w:val="00333597"/>
    <w:rsid w:val="00336AE4"/>
    <w:rsid w:val="003419AE"/>
    <w:rsid w:val="00341EF8"/>
    <w:rsid w:val="003422BB"/>
    <w:rsid w:val="003425D4"/>
    <w:rsid w:val="00344278"/>
    <w:rsid w:val="00345AE0"/>
    <w:rsid w:val="00346339"/>
    <w:rsid w:val="0035194C"/>
    <w:rsid w:val="00353168"/>
    <w:rsid w:val="003576E5"/>
    <w:rsid w:val="00361465"/>
    <w:rsid w:val="00361A2F"/>
    <w:rsid w:val="0036425D"/>
    <w:rsid w:val="00366459"/>
    <w:rsid w:val="00370675"/>
    <w:rsid w:val="0037241D"/>
    <w:rsid w:val="003877F5"/>
    <w:rsid w:val="00387977"/>
    <w:rsid w:val="003936D3"/>
    <w:rsid w:val="00393AA5"/>
    <w:rsid w:val="003942D4"/>
    <w:rsid w:val="00394348"/>
    <w:rsid w:val="003958A8"/>
    <w:rsid w:val="00396BFC"/>
    <w:rsid w:val="003A551D"/>
    <w:rsid w:val="003A57E5"/>
    <w:rsid w:val="003A7501"/>
    <w:rsid w:val="003A7B02"/>
    <w:rsid w:val="003B04D6"/>
    <w:rsid w:val="003B2928"/>
    <w:rsid w:val="003B29C2"/>
    <w:rsid w:val="003B3B7D"/>
    <w:rsid w:val="003B4FAF"/>
    <w:rsid w:val="003C0A76"/>
    <w:rsid w:val="003C2533"/>
    <w:rsid w:val="003C3B13"/>
    <w:rsid w:val="003C3D2D"/>
    <w:rsid w:val="003C53D9"/>
    <w:rsid w:val="003D1632"/>
    <w:rsid w:val="003D3671"/>
    <w:rsid w:val="003D5A7F"/>
    <w:rsid w:val="003D7259"/>
    <w:rsid w:val="003D75F9"/>
    <w:rsid w:val="003E2155"/>
    <w:rsid w:val="003F0228"/>
    <w:rsid w:val="003F0485"/>
    <w:rsid w:val="003F0A57"/>
    <w:rsid w:val="003F11BD"/>
    <w:rsid w:val="003F19A8"/>
    <w:rsid w:val="003F2B75"/>
    <w:rsid w:val="003F7CE9"/>
    <w:rsid w:val="00400284"/>
    <w:rsid w:val="004020F8"/>
    <w:rsid w:val="00402E2E"/>
    <w:rsid w:val="0040435A"/>
    <w:rsid w:val="004052F7"/>
    <w:rsid w:val="004126B6"/>
    <w:rsid w:val="00414767"/>
    <w:rsid w:val="00415854"/>
    <w:rsid w:val="00416A24"/>
    <w:rsid w:val="00420EA7"/>
    <w:rsid w:val="00424607"/>
    <w:rsid w:val="00427931"/>
    <w:rsid w:val="00431D9E"/>
    <w:rsid w:val="00433142"/>
    <w:rsid w:val="00433CE8"/>
    <w:rsid w:val="00434A5C"/>
    <w:rsid w:val="004365BC"/>
    <w:rsid w:val="00441CC2"/>
    <w:rsid w:val="0044262A"/>
    <w:rsid w:val="00443B52"/>
    <w:rsid w:val="004502E8"/>
    <w:rsid w:val="00450D78"/>
    <w:rsid w:val="00452E03"/>
    <w:rsid w:val="00453079"/>
    <w:rsid w:val="0045323A"/>
    <w:rsid w:val="00453EF5"/>
    <w:rsid w:val="004544D9"/>
    <w:rsid w:val="004556FA"/>
    <w:rsid w:val="00460288"/>
    <w:rsid w:val="004630E8"/>
    <w:rsid w:val="004704DB"/>
    <w:rsid w:val="00471161"/>
    <w:rsid w:val="00472BAD"/>
    <w:rsid w:val="00474805"/>
    <w:rsid w:val="0047520B"/>
    <w:rsid w:val="00475B13"/>
    <w:rsid w:val="00476218"/>
    <w:rsid w:val="00477409"/>
    <w:rsid w:val="0048321B"/>
    <w:rsid w:val="004836B4"/>
    <w:rsid w:val="00483B83"/>
    <w:rsid w:val="00484009"/>
    <w:rsid w:val="004867EA"/>
    <w:rsid w:val="00487241"/>
    <w:rsid w:val="00490E72"/>
    <w:rsid w:val="00491157"/>
    <w:rsid w:val="004918F2"/>
    <w:rsid w:val="00491BA9"/>
    <w:rsid w:val="004921C8"/>
    <w:rsid w:val="0049225D"/>
    <w:rsid w:val="0049369C"/>
    <w:rsid w:val="004947D6"/>
    <w:rsid w:val="00494A31"/>
    <w:rsid w:val="00495615"/>
    <w:rsid w:val="00495B0B"/>
    <w:rsid w:val="00496C9C"/>
    <w:rsid w:val="004A1B8B"/>
    <w:rsid w:val="004A5F6A"/>
    <w:rsid w:val="004B3B5D"/>
    <w:rsid w:val="004B41C4"/>
    <w:rsid w:val="004B79AA"/>
    <w:rsid w:val="004C0204"/>
    <w:rsid w:val="004C2D40"/>
    <w:rsid w:val="004C3CE5"/>
    <w:rsid w:val="004D1158"/>
    <w:rsid w:val="004D1851"/>
    <w:rsid w:val="004D565F"/>
    <w:rsid w:val="004D599D"/>
    <w:rsid w:val="004E0EDC"/>
    <w:rsid w:val="004E2EA5"/>
    <w:rsid w:val="004E3A12"/>
    <w:rsid w:val="004E3AEB"/>
    <w:rsid w:val="004F2701"/>
    <w:rsid w:val="004F28FD"/>
    <w:rsid w:val="004F73E1"/>
    <w:rsid w:val="0050223C"/>
    <w:rsid w:val="00504A74"/>
    <w:rsid w:val="00512087"/>
    <w:rsid w:val="00522150"/>
    <w:rsid w:val="005243FF"/>
    <w:rsid w:val="00525F8D"/>
    <w:rsid w:val="00526D5C"/>
    <w:rsid w:val="00530A43"/>
    <w:rsid w:val="00534655"/>
    <w:rsid w:val="00535B30"/>
    <w:rsid w:val="00535EE0"/>
    <w:rsid w:val="0053733B"/>
    <w:rsid w:val="00540502"/>
    <w:rsid w:val="00551B68"/>
    <w:rsid w:val="0055334B"/>
    <w:rsid w:val="00553C3C"/>
    <w:rsid w:val="0055509D"/>
    <w:rsid w:val="0055634E"/>
    <w:rsid w:val="0056065E"/>
    <w:rsid w:val="0056121C"/>
    <w:rsid w:val="00564442"/>
    <w:rsid w:val="00564FBC"/>
    <w:rsid w:val="00566820"/>
    <w:rsid w:val="005706D9"/>
    <w:rsid w:val="00571105"/>
    <w:rsid w:val="00576069"/>
    <w:rsid w:val="0057728D"/>
    <w:rsid w:val="005800BC"/>
    <w:rsid w:val="00582442"/>
    <w:rsid w:val="00586115"/>
    <w:rsid w:val="005875C4"/>
    <w:rsid w:val="00594E41"/>
    <w:rsid w:val="00595466"/>
    <w:rsid w:val="00596B24"/>
    <w:rsid w:val="005A183A"/>
    <w:rsid w:val="005A231D"/>
    <w:rsid w:val="005A3951"/>
    <w:rsid w:val="005A3D11"/>
    <w:rsid w:val="005A44CE"/>
    <w:rsid w:val="005B7F8D"/>
    <w:rsid w:val="005C0608"/>
    <w:rsid w:val="005C1378"/>
    <w:rsid w:val="005D0DF4"/>
    <w:rsid w:val="005D123C"/>
    <w:rsid w:val="005D1AB1"/>
    <w:rsid w:val="005D1F28"/>
    <w:rsid w:val="005E4741"/>
    <w:rsid w:val="005E4D13"/>
    <w:rsid w:val="005E6AA4"/>
    <w:rsid w:val="005E7A07"/>
    <w:rsid w:val="005E7C26"/>
    <w:rsid w:val="005F3269"/>
    <w:rsid w:val="005F3B61"/>
    <w:rsid w:val="005F4E21"/>
    <w:rsid w:val="005F5D65"/>
    <w:rsid w:val="006002C4"/>
    <w:rsid w:val="006005C0"/>
    <w:rsid w:val="00601E3C"/>
    <w:rsid w:val="00602280"/>
    <w:rsid w:val="00602687"/>
    <w:rsid w:val="006079CD"/>
    <w:rsid w:val="0061071E"/>
    <w:rsid w:val="00610FE6"/>
    <w:rsid w:val="006176F4"/>
    <w:rsid w:val="006179C3"/>
    <w:rsid w:val="00620D15"/>
    <w:rsid w:val="00621DA0"/>
    <w:rsid w:val="00621E1D"/>
    <w:rsid w:val="00623AE3"/>
    <w:rsid w:val="0062595A"/>
    <w:rsid w:val="00627D4E"/>
    <w:rsid w:val="00631020"/>
    <w:rsid w:val="006331A9"/>
    <w:rsid w:val="00633767"/>
    <w:rsid w:val="00640DCC"/>
    <w:rsid w:val="00642D61"/>
    <w:rsid w:val="00645EA3"/>
    <w:rsid w:val="0064737F"/>
    <w:rsid w:val="00647746"/>
    <w:rsid w:val="00647CA8"/>
    <w:rsid w:val="00650022"/>
    <w:rsid w:val="00652744"/>
    <w:rsid w:val="00652D16"/>
    <w:rsid w:val="00652D29"/>
    <w:rsid w:val="006535F1"/>
    <w:rsid w:val="0065430A"/>
    <w:rsid w:val="0065557D"/>
    <w:rsid w:val="00660174"/>
    <w:rsid w:val="00660D50"/>
    <w:rsid w:val="00662984"/>
    <w:rsid w:val="00664BA0"/>
    <w:rsid w:val="00665865"/>
    <w:rsid w:val="00667710"/>
    <w:rsid w:val="006678A0"/>
    <w:rsid w:val="00667DA9"/>
    <w:rsid w:val="00667F38"/>
    <w:rsid w:val="006716BB"/>
    <w:rsid w:val="00680951"/>
    <w:rsid w:val="006826C3"/>
    <w:rsid w:val="006974C0"/>
    <w:rsid w:val="00697D5A"/>
    <w:rsid w:val="006A1717"/>
    <w:rsid w:val="006A18BE"/>
    <w:rsid w:val="006A208A"/>
    <w:rsid w:val="006A2F4B"/>
    <w:rsid w:val="006A5E42"/>
    <w:rsid w:val="006B066B"/>
    <w:rsid w:val="006B0B62"/>
    <w:rsid w:val="006B1859"/>
    <w:rsid w:val="006B55CC"/>
    <w:rsid w:val="006B6680"/>
    <w:rsid w:val="006B6DCC"/>
    <w:rsid w:val="006B77F1"/>
    <w:rsid w:val="006C3F4B"/>
    <w:rsid w:val="006C70B9"/>
    <w:rsid w:val="006C724D"/>
    <w:rsid w:val="006D3F63"/>
    <w:rsid w:val="006D6267"/>
    <w:rsid w:val="006D7215"/>
    <w:rsid w:val="006E015C"/>
    <w:rsid w:val="006E04EE"/>
    <w:rsid w:val="006E05FC"/>
    <w:rsid w:val="006E1C06"/>
    <w:rsid w:val="006E63D5"/>
    <w:rsid w:val="006F2634"/>
    <w:rsid w:val="006F2A87"/>
    <w:rsid w:val="006F34D8"/>
    <w:rsid w:val="006F66AA"/>
    <w:rsid w:val="00700944"/>
    <w:rsid w:val="007009D3"/>
    <w:rsid w:val="00702C4D"/>
    <w:rsid w:val="00702DEF"/>
    <w:rsid w:val="00706861"/>
    <w:rsid w:val="00710013"/>
    <w:rsid w:val="0071071D"/>
    <w:rsid w:val="007145BD"/>
    <w:rsid w:val="007211FE"/>
    <w:rsid w:val="0072195B"/>
    <w:rsid w:val="00722551"/>
    <w:rsid w:val="00723EA1"/>
    <w:rsid w:val="007248A2"/>
    <w:rsid w:val="0072541A"/>
    <w:rsid w:val="007336D5"/>
    <w:rsid w:val="0073672D"/>
    <w:rsid w:val="00737B73"/>
    <w:rsid w:val="00740EBA"/>
    <w:rsid w:val="00742746"/>
    <w:rsid w:val="00742B29"/>
    <w:rsid w:val="0075051B"/>
    <w:rsid w:val="00760850"/>
    <w:rsid w:val="00764705"/>
    <w:rsid w:val="00765C89"/>
    <w:rsid w:val="007709FC"/>
    <w:rsid w:val="0077110E"/>
    <w:rsid w:val="0077167A"/>
    <w:rsid w:val="007718DE"/>
    <w:rsid w:val="00772BCE"/>
    <w:rsid w:val="00773771"/>
    <w:rsid w:val="0077622B"/>
    <w:rsid w:val="00780133"/>
    <w:rsid w:val="0078070C"/>
    <w:rsid w:val="00781438"/>
    <w:rsid w:val="00782DD1"/>
    <w:rsid w:val="0079199D"/>
    <w:rsid w:val="00792E23"/>
    <w:rsid w:val="00793188"/>
    <w:rsid w:val="00794D34"/>
    <w:rsid w:val="007956E5"/>
    <w:rsid w:val="0079698B"/>
    <w:rsid w:val="007A3F67"/>
    <w:rsid w:val="007A3FCD"/>
    <w:rsid w:val="007A795E"/>
    <w:rsid w:val="007B0123"/>
    <w:rsid w:val="007B19CF"/>
    <w:rsid w:val="007B2164"/>
    <w:rsid w:val="007B272E"/>
    <w:rsid w:val="007B2734"/>
    <w:rsid w:val="007B316F"/>
    <w:rsid w:val="007B51C2"/>
    <w:rsid w:val="007B61FC"/>
    <w:rsid w:val="007B6269"/>
    <w:rsid w:val="007B6DB9"/>
    <w:rsid w:val="007C331D"/>
    <w:rsid w:val="007D01AF"/>
    <w:rsid w:val="007D182D"/>
    <w:rsid w:val="007D4363"/>
    <w:rsid w:val="007D4B8C"/>
    <w:rsid w:val="007D5F39"/>
    <w:rsid w:val="007E02A5"/>
    <w:rsid w:val="007E0947"/>
    <w:rsid w:val="007E0E82"/>
    <w:rsid w:val="007E1FB6"/>
    <w:rsid w:val="007E3BA7"/>
    <w:rsid w:val="007E3DF9"/>
    <w:rsid w:val="007E6FFF"/>
    <w:rsid w:val="007E79DF"/>
    <w:rsid w:val="007F477C"/>
    <w:rsid w:val="007F7370"/>
    <w:rsid w:val="007F7DDF"/>
    <w:rsid w:val="00802131"/>
    <w:rsid w:val="00804504"/>
    <w:rsid w:val="00810C0D"/>
    <w:rsid w:val="00811AF3"/>
    <w:rsid w:val="008138EF"/>
    <w:rsid w:val="00813E5E"/>
    <w:rsid w:val="0081575E"/>
    <w:rsid w:val="0081674F"/>
    <w:rsid w:val="00817B99"/>
    <w:rsid w:val="008203F9"/>
    <w:rsid w:val="008353F1"/>
    <w:rsid w:val="0083581B"/>
    <w:rsid w:val="00836745"/>
    <w:rsid w:val="008430D7"/>
    <w:rsid w:val="00844FE7"/>
    <w:rsid w:val="0084546D"/>
    <w:rsid w:val="00847EFE"/>
    <w:rsid w:val="00852453"/>
    <w:rsid w:val="00854245"/>
    <w:rsid w:val="008609C9"/>
    <w:rsid w:val="00861D0F"/>
    <w:rsid w:val="00863874"/>
    <w:rsid w:val="00863BBA"/>
    <w:rsid w:val="00864AFF"/>
    <w:rsid w:val="00865925"/>
    <w:rsid w:val="00866CBF"/>
    <w:rsid w:val="00870240"/>
    <w:rsid w:val="00871750"/>
    <w:rsid w:val="00872837"/>
    <w:rsid w:val="00873EFC"/>
    <w:rsid w:val="00881620"/>
    <w:rsid w:val="00882EB9"/>
    <w:rsid w:val="00887D66"/>
    <w:rsid w:val="0089059A"/>
    <w:rsid w:val="00894A8C"/>
    <w:rsid w:val="008A25CD"/>
    <w:rsid w:val="008B4A6A"/>
    <w:rsid w:val="008B52C6"/>
    <w:rsid w:val="008B7B7D"/>
    <w:rsid w:val="008B7FD1"/>
    <w:rsid w:val="008C0003"/>
    <w:rsid w:val="008C098C"/>
    <w:rsid w:val="008C2BC7"/>
    <w:rsid w:val="008C36C3"/>
    <w:rsid w:val="008C395E"/>
    <w:rsid w:val="008C3E4E"/>
    <w:rsid w:val="008C4AC0"/>
    <w:rsid w:val="008C7E27"/>
    <w:rsid w:val="008CF432"/>
    <w:rsid w:val="008D14D8"/>
    <w:rsid w:val="008D197D"/>
    <w:rsid w:val="008D3966"/>
    <w:rsid w:val="008D6D77"/>
    <w:rsid w:val="008D6E6E"/>
    <w:rsid w:val="008E3EF0"/>
    <w:rsid w:val="008E4FD2"/>
    <w:rsid w:val="008E6A45"/>
    <w:rsid w:val="008F36E4"/>
    <w:rsid w:val="008F7448"/>
    <w:rsid w:val="0090147A"/>
    <w:rsid w:val="00902A51"/>
    <w:rsid w:val="009036D9"/>
    <w:rsid w:val="00903D3B"/>
    <w:rsid w:val="0090702E"/>
    <w:rsid w:val="00907D9F"/>
    <w:rsid w:val="00907FEC"/>
    <w:rsid w:val="00910260"/>
    <w:rsid w:val="0091201A"/>
    <w:rsid w:val="009173EF"/>
    <w:rsid w:val="00917425"/>
    <w:rsid w:val="00924948"/>
    <w:rsid w:val="00927180"/>
    <w:rsid w:val="00927C09"/>
    <w:rsid w:val="00931F43"/>
    <w:rsid w:val="00932906"/>
    <w:rsid w:val="0093364C"/>
    <w:rsid w:val="00936545"/>
    <w:rsid w:val="00940A9B"/>
    <w:rsid w:val="009436AF"/>
    <w:rsid w:val="00945BD4"/>
    <w:rsid w:val="00945D33"/>
    <w:rsid w:val="00946068"/>
    <w:rsid w:val="00946303"/>
    <w:rsid w:val="00950436"/>
    <w:rsid w:val="00952887"/>
    <w:rsid w:val="00954012"/>
    <w:rsid w:val="00954C49"/>
    <w:rsid w:val="00957A53"/>
    <w:rsid w:val="0096028F"/>
    <w:rsid w:val="00960520"/>
    <w:rsid w:val="00961632"/>
    <w:rsid w:val="00961B0B"/>
    <w:rsid w:val="00962D33"/>
    <w:rsid w:val="00963474"/>
    <w:rsid w:val="009656A0"/>
    <w:rsid w:val="00965AA3"/>
    <w:rsid w:val="009705DD"/>
    <w:rsid w:val="009719B3"/>
    <w:rsid w:val="00972BA5"/>
    <w:rsid w:val="00973091"/>
    <w:rsid w:val="00975170"/>
    <w:rsid w:val="00977ECC"/>
    <w:rsid w:val="009812B8"/>
    <w:rsid w:val="00983563"/>
    <w:rsid w:val="009842A1"/>
    <w:rsid w:val="00990BC6"/>
    <w:rsid w:val="00991654"/>
    <w:rsid w:val="00991A93"/>
    <w:rsid w:val="00991BA9"/>
    <w:rsid w:val="00995ED1"/>
    <w:rsid w:val="009969FE"/>
    <w:rsid w:val="00997AB0"/>
    <w:rsid w:val="009A0D9F"/>
    <w:rsid w:val="009A1064"/>
    <w:rsid w:val="009A1082"/>
    <w:rsid w:val="009A450B"/>
    <w:rsid w:val="009A76A8"/>
    <w:rsid w:val="009B38C3"/>
    <w:rsid w:val="009B6B09"/>
    <w:rsid w:val="009C082D"/>
    <w:rsid w:val="009C2811"/>
    <w:rsid w:val="009C33C2"/>
    <w:rsid w:val="009C5A15"/>
    <w:rsid w:val="009D092E"/>
    <w:rsid w:val="009D0DBF"/>
    <w:rsid w:val="009D3F2E"/>
    <w:rsid w:val="009D430C"/>
    <w:rsid w:val="009D495D"/>
    <w:rsid w:val="009D593A"/>
    <w:rsid w:val="009D6316"/>
    <w:rsid w:val="009E0666"/>
    <w:rsid w:val="009E17BD"/>
    <w:rsid w:val="009E3030"/>
    <w:rsid w:val="009E42AE"/>
    <w:rsid w:val="009E485A"/>
    <w:rsid w:val="009E68C3"/>
    <w:rsid w:val="009F2950"/>
    <w:rsid w:val="009F29BC"/>
    <w:rsid w:val="009F3FB2"/>
    <w:rsid w:val="009F76B7"/>
    <w:rsid w:val="00A046A2"/>
    <w:rsid w:val="00A04CEC"/>
    <w:rsid w:val="00A100FC"/>
    <w:rsid w:val="00A109AF"/>
    <w:rsid w:val="00A13D62"/>
    <w:rsid w:val="00A14CA7"/>
    <w:rsid w:val="00A16A9A"/>
    <w:rsid w:val="00A2469C"/>
    <w:rsid w:val="00A27F45"/>
    <w:rsid w:val="00A27F92"/>
    <w:rsid w:val="00A27FD7"/>
    <w:rsid w:val="00A31F0D"/>
    <w:rsid w:val="00A32257"/>
    <w:rsid w:val="00A322AA"/>
    <w:rsid w:val="00A32F9A"/>
    <w:rsid w:val="00A35183"/>
    <w:rsid w:val="00A36D20"/>
    <w:rsid w:val="00A4101A"/>
    <w:rsid w:val="00A42A4B"/>
    <w:rsid w:val="00A43CAD"/>
    <w:rsid w:val="00A43DF4"/>
    <w:rsid w:val="00A47F65"/>
    <w:rsid w:val="00A514A4"/>
    <w:rsid w:val="00A5235F"/>
    <w:rsid w:val="00A52516"/>
    <w:rsid w:val="00A53F39"/>
    <w:rsid w:val="00A55622"/>
    <w:rsid w:val="00A56AB3"/>
    <w:rsid w:val="00A56C5B"/>
    <w:rsid w:val="00A57A45"/>
    <w:rsid w:val="00A61E48"/>
    <w:rsid w:val="00A67237"/>
    <w:rsid w:val="00A67663"/>
    <w:rsid w:val="00A709BA"/>
    <w:rsid w:val="00A732DF"/>
    <w:rsid w:val="00A808F0"/>
    <w:rsid w:val="00A80E64"/>
    <w:rsid w:val="00A81B47"/>
    <w:rsid w:val="00A81DB5"/>
    <w:rsid w:val="00A83502"/>
    <w:rsid w:val="00A83753"/>
    <w:rsid w:val="00A85055"/>
    <w:rsid w:val="00A850AF"/>
    <w:rsid w:val="00A86103"/>
    <w:rsid w:val="00A86576"/>
    <w:rsid w:val="00A86A19"/>
    <w:rsid w:val="00A9184F"/>
    <w:rsid w:val="00A93EF3"/>
    <w:rsid w:val="00A94BAB"/>
    <w:rsid w:val="00AA0174"/>
    <w:rsid w:val="00AB07A9"/>
    <w:rsid w:val="00AB734F"/>
    <w:rsid w:val="00AB7C67"/>
    <w:rsid w:val="00AC0778"/>
    <w:rsid w:val="00AC17A6"/>
    <w:rsid w:val="00AC3D2C"/>
    <w:rsid w:val="00AD15B3"/>
    <w:rsid w:val="00AD3606"/>
    <w:rsid w:val="00AD4665"/>
    <w:rsid w:val="00AD4A3D"/>
    <w:rsid w:val="00AD5DD0"/>
    <w:rsid w:val="00AD79B8"/>
    <w:rsid w:val="00AE27A3"/>
    <w:rsid w:val="00AE3D9D"/>
    <w:rsid w:val="00AE4000"/>
    <w:rsid w:val="00AE7FA7"/>
    <w:rsid w:val="00AF0B5D"/>
    <w:rsid w:val="00AF1F00"/>
    <w:rsid w:val="00AF2B03"/>
    <w:rsid w:val="00AF2BA7"/>
    <w:rsid w:val="00AF6010"/>
    <w:rsid w:val="00AF6E49"/>
    <w:rsid w:val="00AF725E"/>
    <w:rsid w:val="00AF7BD2"/>
    <w:rsid w:val="00B00500"/>
    <w:rsid w:val="00B04A67"/>
    <w:rsid w:val="00B0583C"/>
    <w:rsid w:val="00B12D5C"/>
    <w:rsid w:val="00B13226"/>
    <w:rsid w:val="00B224E7"/>
    <w:rsid w:val="00B233ED"/>
    <w:rsid w:val="00B24034"/>
    <w:rsid w:val="00B26793"/>
    <w:rsid w:val="00B2753D"/>
    <w:rsid w:val="00B32692"/>
    <w:rsid w:val="00B331A2"/>
    <w:rsid w:val="00B35599"/>
    <w:rsid w:val="00B3684E"/>
    <w:rsid w:val="00B40A81"/>
    <w:rsid w:val="00B44910"/>
    <w:rsid w:val="00B5040D"/>
    <w:rsid w:val="00B51954"/>
    <w:rsid w:val="00B53287"/>
    <w:rsid w:val="00B55065"/>
    <w:rsid w:val="00B554F4"/>
    <w:rsid w:val="00B57BD6"/>
    <w:rsid w:val="00B614E3"/>
    <w:rsid w:val="00B6262E"/>
    <w:rsid w:val="00B62A81"/>
    <w:rsid w:val="00B6527F"/>
    <w:rsid w:val="00B703DC"/>
    <w:rsid w:val="00B72267"/>
    <w:rsid w:val="00B751A9"/>
    <w:rsid w:val="00B75972"/>
    <w:rsid w:val="00B76EB6"/>
    <w:rsid w:val="00B7737B"/>
    <w:rsid w:val="00B8114B"/>
    <w:rsid w:val="00B81795"/>
    <w:rsid w:val="00B824C8"/>
    <w:rsid w:val="00B84B6C"/>
    <w:rsid w:val="00B84B9D"/>
    <w:rsid w:val="00B9131F"/>
    <w:rsid w:val="00B934B9"/>
    <w:rsid w:val="00B95DE8"/>
    <w:rsid w:val="00B96119"/>
    <w:rsid w:val="00B96568"/>
    <w:rsid w:val="00BA0AB0"/>
    <w:rsid w:val="00BA7931"/>
    <w:rsid w:val="00BB0646"/>
    <w:rsid w:val="00BB4D26"/>
    <w:rsid w:val="00BB668D"/>
    <w:rsid w:val="00BC1400"/>
    <w:rsid w:val="00BC251A"/>
    <w:rsid w:val="00BC3CB4"/>
    <w:rsid w:val="00BC4A20"/>
    <w:rsid w:val="00BD00EE"/>
    <w:rsid w:val="00BD032B"/>
    <w:rsid w:val="00BD0BD1"/>
    <w:rsid w:val="00BD1F89"/>
    <w:rsid w:val="00BD2292"/>
    <w:rsid w:val="00BD2A4B"/>
    <w:rsid w:val="00BD5239"/>
    <w:rsid w:val="00BD571F"/>
    <w:rsid w:val="00BD78E7"/>
    <w:rsid w:val="00BE01C6"/>
    <w:rsid w:val="00BE077A"/>
    <w:rsid w:val="00BE150F"/>
    <w:rsid w:val="00BE2640"/>
    <w:rsid w:val="00BE2F11"/>
    <w:rsid w:val="00BE7857"/>
    <w:rsid w:val="00BF1FDE"/>
    <w:rsid w:val="00BF4B86"/>
    <w:rsid w:val="00C01189"/>
    <w:rsid w:val="00C02068"/>
    <w:rsid w:val="00C03FA0"/>
    <w:rsid w:val="00C0458D"/>
    <w:rsid w:val="00C06467"/>
    <w:rsid w:val="00C06BE9"/>
    <w:rsid w:val="00C07F41"/>
    <w:rsid w:val="00C14DF7"/>
    <w:rsid w:val="00C25CD1"/>
    <w:rsid w:val="00C312F8"/>
    <w:rsid w:val="00C32219"/>
    <w:rsid w:val="00C374DE"/>
    <w:rsid w:val="00C40056"/>
    <w:rsid w:val="00C43F7E"/>
    <w:rsid w:val="00C45EDB"/>
    <w:rsid w:val="00C47AD4"/>
    <w:rsid w:val="00C47B8D"/>
    <w:rsid w:val="00C51DE6"/>
    <w:rsid w:val="00C52BD8"/>
    <w:rsid w:val="00C52D81"/>
    <w:rsid w:val="00C55198"/>
    <w:rsid w:val="00C5530E"/>
    <w:rsid w:val="00C55CC9"/>
    <w:rsid w:val="00C5799A"/>
    <w:rsid w:val="00C57BC5"/>
    <w:rsid w:val="00C57E90"/>
    <w:rsid w:val="00C6147D"/>
    <w:rsid w:val="00C62EC1"/>
    <w:rsid w:val="00C633FC"/>
    <w:rsid w:val="00C646F7"/>
    <w:rsid w:val="00C6520B"/>
    <w:rsid w:val="00C7025D"/>
    <w:rsid w:val="00C7155F"/>
    <w:rsid w:val="00C71E83"/>
    <w:rsid w:val="00C73B0D"/>
    <w:rsid w:val="00C7445C"/>
    <w:rsid w:val="00C80AAE"/>
    <w:rsid w:val="00C81AF0"/>
    <w:rsid w:val="00C837D0"/>
    <w:rsid w:val="00C83A7E"/>
    <w:rsid w:val="00C8410D"/>
    <w:rsid w:val="00C9226F"/>
    <w:rsid w:val="00C931C2"/>
    <w:rsid w:val="00C93A80"/>
    <w:rsid w:val="00C94CBB"/>
    <w:rsid w:val="00CA12C3"/>
    <w:rsid w:val="00CA60D9"/>
    <w:rsid w:val="00CA6393"/>
    <w:rsid w:val="00CA788F"/>
    <w:rsid w:val="00CA7995"/>
    <w:rsid w:val="00CB18FF"/>
    <w:rsid w:val="00CB2AB3"/>
    <w:rsid w:val="00CB4996"/>
    <w:rsid w:val="00CB4C04"/>
    <w:rsid w:val="00CB4D7E"/>
    <w:rsid w:val="00CB4EBA"/>
    <w:rsid w:val="00CC1530"/>
    <w:rsid w:val="00CC192E"/>
    <w:rsid w:val="00CC1F6E"/>
    <w:rsid w:val="00CC5791"/>
    <w:rsid w:val="00CC6B42"/>
    <w:rsid w:val="00CD0C08"/>
    <w:rsid w:val="00CD3007"/>
    <w:rsid w:val="00CD4649"/>
    <w:rsid w:val="00CD485E"/>
    <w:rsid w:val="00CD5285"/>
    <w:rsid w:val="00CE02FA"/>
    <w:rsid w:val="00CE03FB"/>
    <w:rsid w:val="00CE3801"/>
    <w:rsid w:val="00CE3E22"/>
    <w:rsid w:val="00CE433C"/>
    <w:rsid w:val="00CF0161"/>
    <w:rsid w:val="00CF33F3"/>
    <w:rsid w:val="00CF4A2B"/>
    <w:rsid w:val="00CF5E38"/>
    <w:rsid w:val="00CF710C"/>
    <w:rsid w:val="00D024CA"/>
    <w:rsid w:val="00D034DA"/>
    <w:rsid w:val="00D03797"/>
    <w:rsid w:val="00D05321"/>
    <w:rsid w:val="00D06183"/>
    <w:rsid w:val="00D0635C"/>
    <w:rsid w:val="00D0721F"/>
    <w:rsid w:val="00D11765"/>
    <w:rsid w:val="00D1197C"/>
    <w:rsid w:val="00D15C0D"/>
    <w:rsid w:val="00D173C6"/>
    <w:rsid w:val="00D2050E"/>
    <w:rsid w:val="00D22C42"/>
    <w:rsid w:val="00D24F90"/>
    <w:rsid w:val="00D278F2"/>
    <w:rsid w:val="00D435EB"/>
    <w:rsid w:val="00D452E6"/>
    <w:rsid w:val="00D469F3"/>
    <w:rsid w:val="00D50ECB"/>
    <w:rsid w:val="00D50F2E"/>
    <w:rsid w:val="00D54257"/>
    <w:rsid w:val="00D54E6A"/>
    <w:rsid w:val="00D56777"/>
    <w:rsid w:val="00D57817"/>
    <w:rsid w:val="00D6098B"/>
    <w:rsid w:val="00D64050"/>
    <w:rsid w:val="00D64703"/>
    <w:rsid w:val="00D65041"/>
    <w:rsid w:val="00D6795E"/>
    <w:rsid w:val="00D72ED9"/>
    <w:rsid w:val="00D73119"/>
    <w:rsid w:val="00D74589"/>
    <w:rsid w:val="00D756BD"/>
    <w:rsid w:val="00D764E8"/>
    <w:rsid w:val="00D809A9"/>
    <w:rsid w:val="00D8136D"/>
    <w:rsid w:val="00D81D75"/>
    <w:rsid w:val="00D850F1"/>
    <w:rsid w:val="00D85C36"/>
    <w:rsid w:val="00D86877"/>
    <w:rsid w:val="00D929D5"/>
    <w:rsid w:val="00D94867"/>
    <w:rsid w:val="00D9533F"/>
    <w:rsid w:val="00DA235E"/>
    <w:rsid w:val="00DB17FC"/>
    <w:rsid w:val="00DB1936"/>
    <w:rsid w:val="00DB384B"/>
    <w:rsid w:val="00DB5716"/>
    <w:rsid w:val="00DB5C30"/>
    <w:rsid w:val="00DB6AA9"/>
    <w:rsid w:val="00DB7505"/>
    <w:rsid w:val="00DB7C30"/>
    <w:rsid w:val="00DC3D43"/>
    <w:rsid w:val="00DC6003"/>
    <w:rsid w:val="00DC643B"/>
    <w:rsid w:val="00DC7655"/>
    <w:rsid w:val="00DD38DF"/>
    <w:rsid w:val="00DE2984"/>
    <w:rsid w:val="00DE430E"/>
    <w:rsid w:val="00DE532B"/>
    <w:rsid w:val="00DE67E5"/>
    <w:rsid w:val="00DE74F7"/>
    <w:rsid w:val="00DF0189"/>
    <w:rsid w:val="00DF10A1"/>
    <w:rsid w:val="00DF3A7A"/>
    <w:rsid w:val="00DF4CC2"/>
    <w:rsid w:val="00E01F21"/>
    <w:rsid w:val="00E06FD5"/>
    <w:rsid w:val="00E072D9"/>
    <w:rsid w:val="00E10E80"/>
    <w:rsid w:val="00E10F69"/>
    <w:rsid w:val="00E11394"/>
    <w:rsid w:val="00E124F0"/>
    <w:rsid w:val="00E1272B"/>
    <w:rsid w:val="00E138D6"/>
    <w:rsid w:val="00E16C6A"/>
    <w:rsid w:val="00E17E53"/>
    <w:rsid w:val="00E2036B"/>
    <w:rsid w:val="00E206AF"/>
    <w:rsid w:val="00E20BBD"/>
    <w:rsid w:val="00E2119A"/>
    <w:rsid w:val="00E21530"/>
    <w:rsid w:val="00E227F3"/>
    <w:rsid w:val="00E25A21"/>
    <w:rsid w:val="00E25B62"/>
    <w:rsid w:val="00E25E83"/>
    <w:rsid w:val="00E27270"/>
    <w:rsid w:val="00E31E39"/>
    <w:rsid w:val="00E34F5B"/>
    <w:rsid w:val="00E42273"/>
    <w:rsid w:val="00E455A5"/>
    <w:rsid w:val="00E457CA"/>
    <w:rsid w:val="00E46C68"/>
    <w:rsid w:val="00E47F33"/>
    <w:rsid w:val="00E5397A"/>
    <w:rsid w:val="00E53F1B"/>
    <w:rsid w:val="00E54186"/>
    <w:rsid w:val="00E545C6"/>
    <w:rsid w:val="00E57572"/>
    <w:rsid w:val="00E60F04"/>
    <w:rsid w:val="00E611A7"/>
    <w:rsid w:val="00E64338"/>
    <w:rsid w:val="00E65B24"/>
    <w:rsid w:val="00E67021"/>
    <w:rsid w:val="00E67C5A"/>
    <w:rsid w:val="00E67F72"/>
    <w:rsid w:val="00E726CD"/>
    <w:rsid w:val="00E734F2"/>
    <w:rsid w:val="00E73998"/>
    <w:rsid w:val="00E77C7B"/>
    <w:rsid w:val="00E8160D"/>
    <w:rsid w:val="00E83134"/>
    <w:rsid w:val="00E835F1"/>
    <w:rsid w:val="00E84BD3"/>
    <w:rsid w:val="00E84EA0"/>
    <w:rsid w:val="00E854E4"/>
    <w:rsid w:val="00E85604"/>
    <w:rsid w:val="00E86CF6"/>
    <w:rsid w:val="00E86DBF"/>
    <w:rsid w:val="00E93880"/>
    <w:rsid w:val="00E93F27"/>
    <w:rsid w:val="00E969AF"/>
    <w:rsid w:val="00EA14E8"/>
    <w:rsid w:val="00EA1708"/>
    <w:rsid w:val="00EA2152"/>
    <w:rsid w:val="00EA283C"/>
    <w:rsid w:val="00EA42A8"/>
    <w:rsid w:val="00EA7F15"/>
    <w:rsid w:val="00EB0095"/>
    <w:rsid w:val="00EB0A26"/>
    <w:rsid w:val="00EB0D6F"/>
    <w:rsid w:val="00EB189D"/>
    <w:rsid w:val="00EB2232"/>
    <w:rsid w:val="00EB2ADF"/>
    <w:rsid w:val="00EB532C"/>
    <w:rsid w:val="00EB612B"/>
    <w:rsid w:val="00EC1117"/>
    <w:rsid w:val="00EC1494"/>
    <w:rsid w:val="00EC1925"/>
    <w:rsid w:val="00EC5337"/>
    <w:rsid w:val="00ED3D2E"/>
    <w:rsid w:val="00ED431F"/>
    <w:rsid w:val="00ED5D15"/>
    <w:rsid w:val="00EE2E05"/>
    <w:rsid w:val="00EE3FE0"/>
    <w:rsid w:val="00EE4937"/>
    <w:rsid w:val="00EE49E8"/>
    <w:rsid w:val="00EF0CA6"/>
    <w:rsid w:val="00EF44B8"/>
    <w:rsid w:val="00EF6A66"/>
    <w:rsid w:val="00F0085B"/>
    <w:rsid w:val="00F01559"/>
    <w:rsid w:val="00F0475E"/>
    <w:rsid w:val="00F05C0F"/>
    <w:rsid w:val="00F13A12"/>
    <w:rsid w:val="00F15A98"/>
    <w:rsid w:val="00F16BAB"/>
    <w:rsid w:val="00F2150A"/>
    <w:rsid w:val="00F231D8"/>
    <w:rsid w:val="00F2322D"/>
    <w:rsid w:val="00F24AE4"/>
    <w:rsid w:val="00F26F27"/>
    <w:rsid w:val="00F2748F"/>
    <w:rsid w:val="00F27FB0"/>
    <w:rsid w:val="00F34B3A"/>
    <w:rsid w:val="00F35197"/>
    <w:rsid w:val="00F447B4"/>
    <w:rsid w:val="00F44C00"/>
    <w:rsid w:val="00F44F75"/>
    <w:rsid w:val="00F45D2C"/>
    <w:rsid w:val="00F46C5F"/>
    <w:rsid w:val="00F50424"/>
    <w:rsid w:val="00F536F0"/>
    <w:rsid w:val="00F56E38"/>
    <w:rsid w:val="00F632C0"/>
    <w:rsid w:val="00F641E1"/>
    <w:rsid w:val="00F708CB"/>
    <w:rsid w:val="00F71C3C"/>
    <w:rsid w:val="00F71EFA"/>
    <w:rsid w:val="00F73045"/>
    <w:rsid w:val="00F85B50"/>
    <w:rsid w:val="00F87CE9"/>
    <w:rsid w:val="00F94894"/>
    <w:rsid w:val="00F94A63"/>
    <w:rsid w:val="00FA1C28"/>
    <w:rsid w:val="00FA1E0B"/>
    <w:rsid w:val="00FA66B2"/>
    <w:rsid w:val="00FA77A0"/>
    <w:rsid w:val="00FB1279"/>
    <w:rsid w:val="00FB6B76"/>
    <w:rsid w:val="00FB7596"/>
    <w:rsid w:val="00FC0E1D"/>
    <w:rsid w:val="00FC14E9"/>
    <w:rsid w:val="00FC1BA3"/>
    <w:rsid w:val="00FC2B3E"/>
    <w:rsid w:val="00FC50D2"/>
    <w:rsid w:val="00FC5DCC"/>
    <w:rsid w:val="00FD2133"/>
    <w:rsid w:val="00FD36E3"/>
    <w:rsid w:val="00FD4DA2"/>
    <w:rsid w:val="00FD50B4"/>
    <w:rsid w:val="00FE077B"/>
    <w:rsid w:val="00FE1AD0"/>
    <w:rsid w:val="00FE1E25"/>
    <w:rsid w:val="00FE313A"/>
    <w:rsid w:val="00FE4077"/>
    <w:rsid w:val="00FE500D"/>
    <w:rsid w:val="00FE57D3"/>
    <w:rsid w:val="00FE77D2"/>
    <w:rsid w:val="00FF067B"/>
    <w:rsid w:val="00FF2161"/>
    <w:rsid w:val="00FF2CB3"/>
    <w:rsid w:val="00FF39B1"/>
    <w:rsid w:val="01275EEE"/>
    <w:rsid w:val="0163D921"/>
    <w:rsid w:val="0182DD53"/>
    <w:rsid w:val="01E6C792"/>
    <w:rsid w:val="01F877ED"/>
    <w:rsid w:val="02199050"/>
    <w:rsid w:val="02C23BD2"/>
    <w:rsid w:val="02CF55F9"/>
    <w:rsid w:val="02F107EE"/>
    <w:rsid w:val="0351831A"/>
    <w:rsid w:val="035C2677"/>
    <w:rsid w:val="040482F8"/>
    <w:rsid w:val="04114D3D"/>
    <w:rsid w:val="041596BF"/>
    <w:rsid w:val="04EB7ED3"/>
    <w:rsid w:val="050F7945"/>
    <w:rsid w:val="053DC5B2"/>
    <w:rsid w:val="05C7817B"/>
    <w:rsid w:val="05CAB157"/>
    <w:rsid w:val="05E5904E"/>
    <w:rsid w:val="06013454"/>
    <w:rsid w:val="063BA307"/>
    <w:rsid w:val="0648ADE4"/>
    <w:rsid w:val="065081A1"/>
    <w:rsid w:val="06953AFF"/>
    <w:rsid w:val="06EDD729"/>
    <w:rsid w:val="0718E0FE"/>
    <w:rsid w:val="0789E650"/>
    <w:rsid w:val="0850A794"/>
    <w:rsid w:val="085A6D5F"/>
    <w:rsid w:val="0870522C"/>
    <w:rsid w:val="091FFD30"/>
    <w:rsid w:val="0971EAEB"/>
    <w:rsid w:val="09EFA3EF"/>
    <w:rsid w:val="0A215FCB"/>
    <w:rsid w:val="0A28BB34"/>
    <w:rsid w:val="0A2D1AB9"/>
    <w:rsid w:val="0AA65927"/>
    <w:rsid w:val="0ACD1BB0"/>
    <w:rsid w:val="0B5FE961"/>
    <w:rsid w:val="0B869C08"/>
    <w:rsid w:val="0BC5D46E"/>
    <w:rsid w:val="0BC6D0DB"/>
    <w:rsid w:val="0BD4F576"/>
    <w:rsid w:val="0BF8FDCB"/>
    <w:rsid w:val="0C0513E9"/>
    <w:rsid w:val="0C63A985"/>
    <w:rsid w:val="0C8E589C"/>
    <w:rsid w:val="0CF986BF"/>
    <w:rsid w:val="0D0E5C0B"/>
    <w:rsid w:val="0D3CF8DC"/>
    <w:rsid w:val="0D5B844C"/>
    <w:rsid w:val="0DA6882F"/>
    <w:rsid w:val="0DFDEBB9"/>
    <w:rsid w:val="0E1BC3AF"/>
    <w:rsid w:val="0E884B9F"/>
    <w:rsid w:val="0E8B68F0"/>
    <w:rsid w:val="0E9C8964"/>
    <w:rsid w:val="0EB652E3"/>
    <w:rsid w:val="0ECB998B"/>
    <w:rsid w:val="0F2B2430"/>
    <w:rsid w:val="0F69BFB2"/>
    <w:rsid w:val="0F9F66CB"/>
    <w:rsid w:val="10372776"/>
    <w:rsid w:val="104B6BCC"/>
    <w:rsid w:val="108A52D9"/>
    <w:rsid w:val="1090C57E"/>
    <w:rsid w:val="10CAB15D"/>
    <w:rsid w:val="114F2E1A"/>
    <w:rsid w:val="1171DE44"/>
    <w:rsid w:val="11912DDF"/>
    <w:rsid w:val="11BCBABE"/>
    <w:rsid w:val="11BF02BB"/>
    <w:rsid w:val="12103623"/>
    <w:rsid w:val="1257528D"/>
    <w:rsid w:val="12DFFB8C"/>
    <w:rsid w:val="12FA6C09"/>
    <w:rsid w:val="12FF048B"/>
    <w:rsid w:val="13213D78"/>
    <w:rsid w:val="1334C800"/>
    <w:rsid w:val="1345BCF9"/>
    <w:rsid w:val="1367AD1C"/>
    <w:rsid w:val="13CB878B"/>
    <w:rsid w:val="13F90163"/>
    <w:rsid w:val="14030423"/>
    <w:rsid w:val="14C3EA6C"/>
    <w:rsid w:val="15679D5C"/>
    <w:rsid w:val="15B034AC"/>
    <w:rsid w:val="15F46B24"/>
    <w:rsid w:val="16747287"/>
    <w:rsid w:val="1680AA31"/>
    <w:rsid w:val="1702E8CB"/>
    <w:rsid w:val="170D1B83"/>
    <w:rsid w:val="178649F6"/>
    <w:rsid w:val="1805ED66"/>
    <w:rsid w:val="181B6A0C"/>
    <w:rsid w:val="185E83C7"/>
    <w:rsid w:val="18A9E59F"/>
    <w:rsid w:val="18DF6351"/>
    <w:rsid w:val="19DD3C7D"/>
    <w:rsid w:val="19E3ABF5"/>
    <w:rsid w:val="1AABB26C"/>
    <w:rsid w:val="1AB60A6E"/>
    <w:rsid w:val="1AC8DB74"/>
    <w:rsid w:val="1AE28D24"/>
    <w:rsid w:val="1AFE3112"/>
    <w:rsid w:val="1B4F8AA2"/>
    <w:rsid w:val="1B8054BA"/>
    <w:rsid w:val="1BA13F2D"/>
    <w:rsid w:val="1BF8D3D1"/>
    <w:rsid w:val="1C6C17FF"/>
    <w:rsid w:val="1CDDE5FA"/>
    <w:rsid w:val="1D616F4F"/>
    <w:rsid w:val="1E66C993"/>
    <w:rsid w:val="1E7FA56A"/>
    <w:rsid w:val="1EC82A1D"/>
    <w:rsid w:val="1EF03A6D"/>
    <w:rsid w:val="1F03DE18"/>
    <w:rsid w:val="1F0B02DE"/>
    <w:rsid w:val="1F8EEFED"/>
    <w:rsid w:val="1FA8E2B6"/>
    <w:rsid w:val="1FEA5E54"/>
    <w:rsid w:val="203D8CDE"/>
    <w:rsid w:val="20850EFD"/>
    <w:rsid w:val="20BE89FA"/>
    <w:rsid w:val="20C4D720"/>
    <w:rsid w:val="2172A170"/>
    <w:rsid w:val="21BCEAED"/>
    <w:rsid w:val="21EEF22C"/>
    <w:rsid w:val="225E08C4"/>
    <w:rsid w:val="22663B56"/>
    <w:rsid w:val="22AC30FF"/>
    <w:rsid w:val="2319308C"/>
    <w:rsid w:val="235D3C3A"/>
    <w:rsid w:val="23777AAA"/>
    <w:rsid w:val="23FAA44D"/>
    <w:rsid w:val="2450BB24"/>
    <w:rsid w:val="246EE41A"/>
    <w:rsid w:val="24B03463"/>
    <w:rsid w:val="24D33C8F"/>
    <w:rsid w:val="24E254D6"/>
    <w:rsid w:val="2505BF45"/>
    <w:rsid w:val="253C29D5"/>
    <w:rsid w:val="2562C4FA"/>
    <w:rsid w:val="25F28C3B"/>
    <w:rsid w:val="262EC67E"/>
    <w:rsid w:val="26783A4A"/>
    <w:rsid w:val="270732D1"/>
    <w:rsid w:val="27AC9181"/>
    <w:rsid w:val="27B14137"/>
    <w:rsid w:val="27D9C95B"/>
    <w:rsid w:val="27FF7061"/>
    <w:rsid w:val="28D08C58"/>
    <w:rsid w:val="28D4182F"/>
    <w:rsid w:val="28FC893D"/>
    <w:rsid w:val="291EB414"/>
    <w:rsid w:val="29399210"/>
    <w:rsid w:val="29D5B235"/>
    <w:rsid w:val="2A2D806E"/>
    <w:rsid w:val="2A5E20D5"/>
    <w:rsid w:val="2A86A8E4"/>
    <w:rsid w:val="2AADD4FD"/>
    <w:rsid w:val="2AD28219"/>
    <w:rsid w:val="2B4D900F"/>
    <w:rsid w:val="2B86347E"/>
    <w:rsid w:val="2BA25396"/>
    <w:rsid w:val="2C545A51"/>
    <w:rsid w:val="2C72D802"/>
    <w:rsid w:val="2CA99470"/>
    <w:rsid w:val="2CE36E7C"/>
    <w:rsid w:val="2D3371EA"/>
    <w:rsid w:val="2D89AAF0"/>
    <w:rsid w:val="2DE8EBFA"/>
    <w:rsid w:val="2DEF0792"/>
    <w:rsid w:val="2DFB7C6F"/>
    <w:rsid w:val="2ED6C014"/>
    <w:rsid w:val="2F3992A4"/>
    <w:rsid w:val="2FCC5D11"/>
    <w:rsid w:val="2FEDCFE0"/>
    <w:rsid w:val="2FF52F25"/>
    <w:rsid w:val="2FF73635"/>
    <w:rsid w:val="30171FB0"/>
    <w:rsid w:val="302A0254"/>
    <w:rsid w:val="302DDA3B"/>
    <w:rsid w:val="30311949"/>
    <w:rsid w:val="308D1A47"/>
    <w:rsid w:val="3163B4A6"/>
    <w:rsid w:val="31728B16"/>
    <w:rsid w:val="31C87852"/>
    <w:rsid w:val="31EB668F"/>
    <w:rsid w:val="3208E221"/>
    <w:rsid w:val="320D7EB2"/>
    <w:rsid w:val="326DB0A6"/>
    <w:rsid w:val="32C7A210"/>
    <w:rsid w:val="331885E1"/>
    <w:rsid w:val="33479D69"/>
    <w:rsid w:val="336E3F78"/>
    <w:rsid w:val="343D73DA"/>
    <w:rsid w:val="348FA0ED"/>
    <w:rsid w:val="34C0585F"/>
    <w:rsid w:val="350EE138"/>
    <w:rsid w:val="3512DA2F"/>
    <w:rsid w:val="35360627"/>
    <w:rsid w:val="3562E127"/>
    <w:rsid w:val="3568EF1B"/>
    <w:rsid w:val="3577F4D5"/>
    <w:rsid w:val="3587188A"/>
    <w:rsid w:val="3697400E"/>
    <w:rsid w:val="36A37506"/>
    <w:rsid w:val="36BABA8B"/>
    <w:rsid w:val="373BB25D"/>
    <w:rsid w:val="3749C1A6"/>
    <w:rsid w:val="378D3A24"/>
    <w:rsid w:val="37B4E8A0"/>
    <w:rsid w:val="3856A657"/>
    <w:rsid w:val="38A972CB"/>
    <w:rsid w:val="38D1F808"/>
    <w:rsid w:val="38DF2DB9"/>
    <w:rsid w:val="392F965C"/>
    <w:rsid w:val="39306D11"/>
    <w:rsid w:val="3932212F"/>
    <w:rsid w:val="396C6D8F"/>
    <w:rsid w:val="39F9F952"/>
    <w:rsid w:val="3A1AD099"/>
    <w:rsid w:val="3AB95954"/>
    <w:rsid w:val="3B752216"/>
    <w:rsid w:val="3B9E2B81"/>
    <w:rsid w:val="3C022D51"/>
    <w:rsid w:val="3C47C05E"/>
    <w:rsid w:val="3CCA5AD8"/>
    <w:rsid w:val="3CCC77D2"/>
    <w:rsid w:val="3DB8C71C"/>
    <w:rsid w:val="3DCD3C50"/>
    <w:rsid w:val="3E0F4ECF"/>
    <w:rsid w:val="3E156368"/>
    <w:rsid w:val="3E207C79"/>
    <w:rsid w:val="3E38C868"/>
    <w:rsid w:val="3E39B627"/>
    <w:rsid w:val="3E4853E0"/>
    <w:rsid w:val="3E9460F2"/>
    <w:rsid w:val="3ED00E9A"/>
    <w:rsid w:val="3F0465BD"/>
    <w:rsid w:val="3FB9C5BD"/>
    <w:rsid w:val="3FC20CAC"/>
    <w:rsid w:val="40030166"/>
    <w:rsid w:val="4092C14F"/>
    <w:rsid w:val="40AD2B1E"/>
    <w:rsid w:val="40E7411E"/>
    <w:rsid w:val="41031C64"/>
    <w:rsid w:val="413280DC"/>
    <w:rsid w:val="41406EB7"/>
    <w:rsid w:val="41C20379"/>
    <w:rsid w:val="41EE3CEA"/>
    <w:rsid w:val="41FCC34E"/>
    <w:rsid w:val="421B8E9F"/>
    <w:rsid w:val="42F5E44E"/>
    <w:rsid w:val="4303853F"/>
    <w:rsid w:val="431F014A"/>
    <w:rsid w:val="43936DDF"/>
    <w:rsid w:val="43F7FCD1"/>
    <w:rsid w:val="440EF77C"/>
    <w:rsid w:val="4416E6C5"/>
    <w:rsid w:val="4492327A"/>
    <w:rsid w:val="44BFECFB"/>
    <w:rsid w:val="44C43FBA"/>
    <w:rsid w:val="450619DC"/>
    <w:rsid w:val="452F749F"/>
    <w:rsid w:val="4587EF87"/>
    <w:rsid w:val="45B9F1F4"/>
    <w:rsid w:val="45FDA535"/>
    <w:rsid w:val="465E7C50"/>
    <w:rsid w:val="467324E1"/>
    <w:rsid w:val="469C1D76"/>
    <w:rsid w:val="46AF21B8"/>
    <w:rsid w:val="470EC408"/>
    <w:rsid w:val="4781D689"/>
    <w:rsid w:val="4797C3CF"/>
    <w:rsid w:val="47E68395"/>
    <w:rsid w:val="4830D3D5"/>
    <w:rsid w:val="4845981A"/>
    <w:rsid w:val="489AB0C1"/>
    <w:rsid w:val="48B82A90"/>
    <w:rsid w:val="49A07A74"/>
    <w:rsid w:val="49B6D4D5"/>
    <w:rsid w:val="49E3CF5F"/>
    <w:rsid w:val="4A3125E3"/>
    <w:rsid w:val="4A52C976"/>
    <w:rsid w:val="4AC4FA9A"/>
    <w:rsid w:val="4AC9AE35"/>
    <w:rsid w:val="4B27FFD0"/>
    <w:rsid w:val="4B30B228"/>
    <w:rsid w:val="4B65A59D"/>
    <w:rsid w:val="4B9AEC4D"/>
    <w:rsid w:val="4BF0F541"/>
    <w:rsid w:val="4C778A81"/>
    <w:rsid w:val="4C9A587E"/>
    <w:rsid w:val="4CE9AC06"/>
    <w:rsid w:val="4D1BC2E3"/>
    <w:rsid w:val="4DC92CFE"/>
    <w:rsid w:val="4DE47A2B"/>
    <w:rsid w:val="4E2A3512"/>
    <w:rsid w:val="4E56384D"/>
    <w:rsid w:val="4E7389F8"/>
    <w:rsid w:val="4EA67EF1"/>
    <w:rsid w:val="4EEFD878"/>
    <w:rsid w:val="4FC1843A"/>
    <w:rsid w:val="4FFEE8F1"/>
    <w:rsid w:val="503CE404"/>
    <w:rsid w:val="50CBBD6B"/>
    <w:rsid w:val="5165FBC5"/>
    <w:rsid w:val="51A95922"/>
    <w:rsid w:val="52022597"/>
    <w:rsid w:val="5245B420"/>
    <w:rsid w:val="526AABBF"/>
    <w:rsid w:val="52A6C1DD"/>
    <w:rsid w:val="530CCF1C"/>
    <w:rsid w:val="53108450"/>
    <w:rsid w:val="5321AC80"/>
    <w:rsid w:val="5359F139"/>
    <w:rsid w:val="53C59A93"/>
    <w:rsid w:val="5436E182"/>
    <w:rsid w:val="547D8C3F"/>
    <w:rsid w:val="548DC655"/>
    <w:rsid w:val="54AC2C92"/>
    <w:rsid w:val="54E67612"/>
    <w:rsid w:val="5502BB75"/>
    <w:rsid w:val="551BD6C4"/>
    <w:rsid w:val="557284B7"/>
    <w:rsid w:val="55794096"/>
    <w:rsid w:val="55904CA0"/>
    <w:rsid w:val="559DB7DB"/>
    <w:rsid w:val="55A4697F"/>
    <w:rsid w:val="55CD987E"/>
    <w:rsid w:val="55D02015"/>
    <w:rsid w:val="55F6D981"/>
    <w:rsid w:val="55FBAC64"/>
    <w:rsid w:val="56C8464C"/>
    <w:rsid w:val="56E0E947"/>
    <w:rsid w:val="57117ABD"/>
    <w:rsid w:val="575AE1EE"/>
    <w:rsid w:val="57624C02"/>
    <w:rsid w:val="584674BC"/>
    <w:rsid w:val="58484F14"/>
    <w:rsid w:val="58F7D821"/>
    <w:rsid w:val="591D8578"/>
    <w:rsid w:val="59F022AC"/>
    <w:rsid w:val="59F187DF"/>
    <w:rsid w:val="5A774181"/>
    <w:rsid w:val="5AA2F3E1"/>
    <w:rsid w:val="5AF8DDDD"/>
    <w:rsid w:val="5B54FFCA"/>
    <w:rsid w:val="5B69901B"/>
    <w:rsid w:val="5B6F96F2"/>
    <w:rsid w:val="5BA3F26D"/>
    <w:rsid w:val="5BBFB959"/>
    <w:rsid w:val="5BCECC28"/>
    <w:rsid w:val="5C114C12"/>
    <w:rsid w:val="5CAA0A78"/>
    <w:rsid w:val="5D2490BA"/>
    <w:rsid w:val="5EC5ED41"/>
    <w:rsid w:val="5EDF95F4"/>
    <w:rsid w:val="5F306A5A"/>
    <w:rsid w:val="5F5FCC2B"/>
    <w:rsid w:val="5F618FFA"/>
    <w:rsid w:val="5F709DC7"/>
    <w:rsid w:val="603D9A0D"/>
    <w:rsid w:val="609AC77D"/>
    <w:rsid w:val="61320721"/>
    <w:rsid w:val="618343F6"/>
    <w:rsid w:val="625F615C"/>
    <w:rsid w:val="627506E7"/>
    <w:rsid w:val="62798BD7"/>
    <w:rsid w:val="627D9AD9"/>
    <w:rsid w:val="62889051"/>
    <w:rsid w:val="62D09B72"/>
    <w:rsid w:val="62FE51CB"/>
    <w:rsid w:val="630580F5"/>
    <w:rsid w:val="63886444"/>
    <w:rsid w:val="64270686"/>
    <w:rsid w:val="643B7DE7"/>
    <w:rsid w:val="647A4758"/>
    <w:rsid w:val="648AA64C"/>
    <w:rsid w:val="648C10A3"/>
    <w:rsid w:val="6494D85E"/>
    <w:rsid w:val="649BA6A5"/>
    <w:rsid w:val="64A2D996"/>
    <w:rsid w:val="652AA5EE"/>
    <w:rsid w:val="65325F14"/>
    <w:rsid w:val="6537CB56"/>
    <w:rsid w:val="653DF9F4"/>
    <w:rsid w:val="6555DAFF"/>
    <w:rsid w:val="656BDDE4"/>
    <w:rsid w:val="65D9013F"/>
    <w:rsid w:val="65DDC1B9"/>
    <w:rsid w:val="65E2C03E"/>
    <w:rsid w:val="65F0946F"/>
    <w:rsid w:val="65FC5E2C"/>
    <w:rsid w:val="6630DAAB"/>
    <w:rsid w:val="66613092"/>
    <w:rsid w:val="6673B736"/>
    <w:rsid w:val="66837743"/>
    <w:rsid w:val="6697FC4A"/>
    <w:rsid w:val="66AED3DC"/>
    <w:rsid w:val="6700FC61"/>
    <w:rsid w:val="6757D0F9"/>
    <w:rsid w:val="67791966"/>
    <w:rsid w:val="67A26C5E"/>
    <w:rsid w:val="67BFC848"/>
    <w:rsid w:val="67D6C8BE"/>
    <w:rsid w:val="67DDA3BE"/>
    <w:rsid w:val="67EB2101"/>
    <w:rsid w:val="67F161D2"/>
    <w:rsid w:val="6801E835"/>
    <w:rsid w:val="683239F3"/>
    <w:rsid w:val="6837F0C9"/>
    <w:rsid w:val="684A24F7"/>
    <w:rsid w:val="68B4D70A"/>
    <w:rsid w:val="68E7D77E"/>
    <w:rsid w:val="68FED673"/>
    <w:rsid w:val="690208EA"/>
    <w:rsid w:val="69079C76"/>
    <w:rsid w:val="692E430A"/>
    <w:rsid w:val="6931C890"/>
    <w:rsid w:val="6997E516"/>
    <w:rsid w:val="69A243AB"/>
    <w:rsid w:val="69D3337E"/>
    <w:rsid w:val="6A07319F"/>
    <w:rsid w:val="6A0B46C5"/>
    <w:rsid w:val="6A2801F1"/>
    <w:rsid w:val="6A371E62"/>
    <w:rsid w:val="6A487F94"/>
    <w:rsid w:val="6A6EADD6"/>
    <w:rsid w:val="6A8D7E78"/>
    <w:rsid w:val="6AA965A8"/>
    <w:rsid w:val="6ADC9D4D"/>
    <w:rsid w:val="6B1F0955"/>
    <w:rsid w:val="6B3988DA"/>
    <w:rsid w:val="6B5D54D3"/>
    <w:rsid w:val="6BDE16A6"/>
    <w:rsid w:val="6C346DF4"/>
    <w:rsid w:val="6C4E62E6"/>
    <w:rsid w:val="6C834A61"/>
    <w:rsid w:val="6C8F5F7A"/>
    <w:rsid w:val="6C9D3ED0"/>
    <w:rsid w:val="6D30247E"/>
    <w:rsid w:val="6D57E1D3"/>
    <w:rsid w:val="6D68F4BC"/>
    <w:rsid w:val="6D80BA89"/>
    <w:rsid w:val="6DAE93FA"/>
    <w:rsid w:val="6E0C082D"/>
    <w:rsid w:val="6E47D7C0"/>
    <w:rsid w:val="6E54A86E"/>
    <w:rsid w:val="6EF709D6"/>
    <w:rsid w:val="6F0463CC"/>
    <w:rsid w:val="6F546B6A"/>
    <w:rsid w:val="6FFE9D66"/>
    <w:rsid w:val="7032B95C"/>
    <w:rsid w:val="7051B6B6"/>
    <w:rsid w:val="707173C1"/>
    <w:rsid w:val="708C020F"/>
    <w:rsid w:val="70ABA4D3"/>
    <w:rsid w:val="70B98B24"/>
    <w:rsid w:val="70C8BDB7"/>
    <w:rsid w:val="71469C8E"/>
    <w:rsid w:val="718DA02E"/>
    <w:rsid w:val="71A30972"/>
    <w:rsid w:val="729035AB"/>
    <w:rsid w:val="7295C68F"/>
    <w:rsid w:val="729D5985"/>
    <w:rsid w:val="73284F2F"/>
    <w:rsid w:val="735FAB04"/>
    <w:rsid w:val="73C9E9B2"/>
    <w:rsid w:val="73EFB7B1"/>
    <w:rsid w:val="7406B5BF"/>
    <w:rsid w:val="74092D81"/>
    <w:rsid w:val="74345751"/>
    <w:rsid w:val="743C4D5D"/>
    <w:rsid w:val="74BFDE7B"/>
    <w:rsid w:val="74E97687"/>
    <w:rsid w:val="74FA838C"/>
    <w:rsid w:val="7513E7DC"/>
    <w:rsid w:val="75604536"/>
    <w:rsid w:val="7699BF7D"/>
    <w:rsid w:val="769C10F9"/>
    <w:rsid w:val="77384C8F"/>
    <w:rsid w:val="77711E1C"/>
    <w:rsid w:val="77B0056E"/>
    <w:rsid w:val="77DEC2BF"/>
    <w:rsid w:val="77F1D24A"/>
    <w:rsid w:val="787E3555"/>
    <w:rsid w:val="78F9FCEF"/>
    <w:rsid w:val="790FB854"/>
    <w:rsid w:val="79D5F747"/>
    <w:rsid w:val="79E7B889"/>
    <w:rsid w:val="7AE5DB5B"/>
    <w:rsid w:val="7B9006C1"/>
    <w:rsid w:val="7BABD3B7"/>
    <w:rsid w:val="7C4BCA21"/>
    <w:rsid w:val="7D398011"/>
    <w:rsid w:val="7D9555B7"/>
    <w:rsid w:val="7D9D6D76"/>
    <w:rsid w:val="7E7CD8D7"/>
    <w:rsid w:val="7E9117C9"/>
    <w:rsid w:val="7EAE93F5"/>
    <w:rsid w:val="7EDBF319"/>
    <w:rsid w:val="7F5C6328"/>
    <w:rsid w:val="7F8E349C"/>
    <w:rsid w:val="7FC4EDCB"/>
    <w:rsid w:val="7FF2AD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9DA2C7"/>
  <w15:docId w15:val="{07240937-B97B-42DE-A2B6-D1777DF2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uiPriority w:val="9"/>
    <w:qFormat/>
    <w:rsid w:val="00B9131F"/>
    <w:pPr>
      <w:keepNext/>
      <w:keepLines/>
      <w:spacing w:before="360"/>
      <w:ind w:left="567" w:hanging="567"/>
      <w:outlineLvl w:val="0"/>
    </w:pPr>
    <w:rPr>
      <w:b/>
      <w:sz w:val="28"/>
    </w:rPr>
  </w:style>
  <w:style w:type="paragraph" w:styleId="Heading2">
    <w:name w:val="heading 2"/>
    <w:basedOn w:val="Heading1"/>
    <w:next w:val="Normal"/>
    <w:uiPriority w:val="9"/>
    <w:qFormat/>
    <w:rsid w:val="00B9131F"/>
    <w:pPr>
      <w:spacing w:before="240"/>
      <w:outlineLvl w:val="1"/>
    </w:pPr>
    <w:rPr>
      <w:sz w:val="24"/>
    </w:rPr>
  </w:style>
  <w:style w:type="paragraph" w:styleId="Heading3">
    <w:name w:val="heading 3"/>
    <w:basedOn w:val="Heading1"/>
    <w:next w:val="Normal"/>
    <w:uiPriority w:val="9"/>
    <w:qFormat/>
    <w:rsid w:val="00B9131F"/>
    <w:pPr>
      <w:spacing w:before="200"/>
      <w:outlineLvl w:val="2"/>
    </w:pPr>
    <w:rPr>
      <w:sz w:val="24"/>
    </w:rPr>
  </w:style>
  <w:style w:type="paragraph" w:styleId="Heading4">
    <w:name w:val="heading 4"/>
    <w:basedOn w:val="Heading3"/>
    <w:next w:val="Normal"/>
    <w:uiPriority w:val="9"/>
    <w:qFormat/>
    <w:rsid w:val="00B9131F"/>
    <w:pPr>
      <w:ind w:left="1134" w:hanging="1134"/>
      <w:outlineLvl w:val="3"/>
    </w:pPr>
  </w:style>
  <w:style w:type="paragraph" w:styleId="Heading5">
    <w:name w:val="heading 5"/>
    <w:basedOn w:val="Heading4"/>
    <w:next w:val="Normal"/>
    <w:uiPriority w:val="9"/>
    <w:qFormat/>
    <w:rsid w:val="00B9131F"/>
    <w:pPr>
      <w:outlineLvl w:val="4"/>
    </w:pPr>
  </w:style>
  <w:style w:type="paragraph" w:styleId="Heading6">
    <w:name w:val="heading 6"/>
    <w:basedOn w:val="Heading4"/>
    <w:next w:val="Normal"/>
    <w:uiPriority w:val="9"/>
    <w:qFormat/>
    <w:rsid w:val="00B9131F"/>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B9131F"/>
    <w:pPr>
      <w:ind w:left="1701" w:hanging="1701"/>
      <w:outlineLvl w:val="7"/>
    </w:pPr>
  </w:style>
  <w:style w:type="paragraph" w:styleId="Heading9">
    <w:name w:val="heading 9"/>
    <w:basedOn w:val="Heading4"/>
    <w:next w:val="Normal"/>
    <w:qFormat/>
    <w:rsid w:val="00B9131F"/>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B9131F"/>
    <w:rPr>
      <w:rFonts w:asciiTheme="minorHAnsi" w:hAnsiTheme="minorHAnsi"/>
      <w:sz w:val="24"/>
    </w:rPr>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D024CA"/>
    <w:pPr>
      <w:keepLines/>
      <w:tabs>
        <w:tab w:val="left" w:pos="284"/>
      </w:tabs>
      <w:ind w:left="284" w:hanging="284"/>
    </w:pPr>
    <w:rPr>
      <w:sz w:val="22"/>
    </w:rPr>
  </w:style>
  <w:style w:type="paragraph" w:styleId="NormalIndent">
    <w:name w:val="Normal Indent"/>
    <w:basedOn w:val="Normal"/>
    <w:rsid w:val="00813E5E"/>
    <w:pPr>
      <w:ind w:left="567"/>
    </w:pPr>
  </w:style>
  <w:style w:type="paragraph" w:customStyle="1" w:styleId="enumlev1">
    <w:name w:val="enumlev1"/>
    <w:basedOn w:val="Normal"/>
    <w:qFormat/>
    <w:rsid w:val="001A3154"/>
    <w:pPr>
      <w:spacing w:before="80"/>
      <w:ind w:left="567" w:hanging="567"/>
    </w:pPr>
  </w:style>
  <w:style w:type="paragraph" w:customStyle="1" w:styleId="enumlev2">
    <w:name w:val="enumlev2"/>
    <w:basedOn w:val="enumlev1"/>
    <w:qFormat/>
    <w:rsid w:val="001A3154"/>
    <w:pPr>
      <w:ind w:left="1134"/>
    </w:pPr>
  </w:style>
  <w:style w:type="paragraph" w:customStyle="1" w:styleId="enumlev3">
    <w:name w:val="enumlev3"/>
    <w:basedOn w:val="enumlev2"/>
    <w:qFormat/>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5F3B61"/>
    <w:pPr>
      <w:framePr w:hSpace="181" w:wrap="around" w:vAnchor="page" w:hAnchor="page" w:x="1589" w:y="2314"/>
      <w:spacing w:before="480"/>
    </w:pPr>
    <w:rPr>
      <w:b/>
      <w:sz w:val="34"/>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9131F"/>
    <w:rPr>
      <w:color w:val="4F81BD" w:themeColor="accent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B9131F"/>
    <w:pPr>
      <w:spacing w:before="160"/>
      <w:ind w:left="0" w:firstLine="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qFormat/>
    <w:rsid w:val="00221F46"/>
    <w:pPr>
      <w:keepNext/>
      <w:keepLines/>
      <w:spacing w:before="720"/>
      <w:jc w:val="center"/>
    </w:pPr>
    <w:rPr>
      <w:caps/>
      <w:sz w:val="28"/>
    </w:rPr>
  </w:style>
  <w:style w:type="paragraph" w:customStyle="1" w:styleId="Annextitle">
    <w:name w:val="Annex_title"/>
    <w:basedOn w:val="Normal"/>
    <w:next w:val="Normal"/>
    <w:qFormat/>
    <w:rsid w:val="00221F46"/>
    <w:pPr>
      <w:keepNext/>
      <w:keepLines/>
      <w:spacing w:after="240"/>
      <w:jc w:val="center"/>
    </w:pPr>
    <w:rPr>
      <w:b/>
      <w:sz w:val="28"/>
    </w:rPr>
  </w:style>
  <w:style w:type="paragraph" w:customStyle="1" w:styleId="Annexref">
    <w:name w:val="Annex_ref"/>
    <w:basedOn w:val="Normal"/>
    <w:next w:val="Annextitle"/>
    <w:qFormat/>
    <w:rsid w:val="00221F46"/>
    <w:pPr>
      <w:keepNext/>
      <w:keepLines/>
      <w:jc w:val="center"/>
    </w:pPr>
  </w:style>
  <w:style w:type="paragraph" w:customStyle="1" w:styleId="Call">
    <w:name w:val="Call"/>
    <w:basedOn w:val="Normal"/>
    <w:next w:val="Normal"/>
    <w:qFormat/>
    <w:rsid w:val="00F641E1"/>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176F47"/>
    <w:pPr>
      <w:framePr w:wrap="around" w:vAnchor="margin" w:hAnchor="text" w:x="1821" w:y="2317"/>
      <w:spacing w:before="120" w:after="120"/>
    </w:pPr>
    <w:rPr>
      <w:sz w:val="32"/>
      <w:szCs w:val="32"/>
    </w:rPr>
  </w:style>
  <w:style w:type="paragraph" w:customStyle="1" w:styleId="Figure">
    <w:name w:val="Figure"/>
    <w:basedOn w:val="Normal"/>
    <w:next w:val="Figuretitle"/>
    <w:qFormat/>
    <w:rsid w:val="001A3154"/>
    <w:pPr>
      <w:spacing w:after="240"/>
      <w:jc w:val="center"/>
    </w:pPr>
  </w:style>
  <w:style w:type="paragraph" w:customStyle="1" w:styleId="Figuretitle">
    <w:name w:val="Figure_title"/>
    <w:basedOn w:val="Tabletitle"/>
    <w:next w:val="Normalaftertitle"/>
    <w:qFormat/>
    <w:rsid w:val="001A3154"/>
    <w:pPr>
      <w:spacing w:before="120" w:after="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qFormat/>
    <w:rsid w:val="00B9131F"/>
    <w:pPr>
      <w:spacing w:before="20" w:after="240"/>
    </w:pPr>
    <w:rPr>
      <w:sz w:val="20"/>
    </w:rPr>
  </w:style>
  <w:style w:type="paragraph" w:customStyle="1" w:styleId="FigureNo">
    <w:name w:val="Figure_No"/>
    <w:basedOn w:val="Normal"/>
    <w:next w:val="Figuretitle"/>
    <w:qFormat/>
    <w:rsid w:val="001A3154"/>
    <w:pPr>
      <w:keepNext/>
      <w:keepLines/>
      <w:spacing w:before="480"/>
      <w:jc w:val="center"/>
    </w:pPr>
    <w:rPr>
      <w:caps/>
    </w:rPr>
  </w:style>
  <w:style w:type="paragraph" w:customStyle="1" w:styleId="Figurewithouttitle">
    <w:name w:val="Figure_without_title"/>
    <w:basedOn w:val="Figure"/>
    <w:next w:val="Normalaftertitle"/>
    <w:rsid w:val="001A3154"/>
  </w:style>
  <w:style w:type="paragraph" w:customStyle="1" w:styleId="Headingi">
    <w:name w:val="Heading_i"/>
    <w:basedOn w:val="Heading3"/>
    <w:next w:val="Normal"/>
    <w:rsid w:val="00B9131F"/>
    <w:pPr>
      <w:spacing w:before="160"/>
      <w:ind w:left="0" w:firstLine="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qFormat/>
    <w:rsid w:val="00F641E1"/>
    <w:pPr>
      <w:keepNext/>
      <w:keepLines/>
      <w:tabs>
        <w:tab w:val="clear" w:pos="567"/>
        <w:tab w:val="clear" w:pos="1134"/>
        <w:tab w:val="clear" w:pos="1701"/>
        <w:tab w:val="clear" w:pos="2268"/>
        <w:tab w:val="clear" w:pos="2835"/>
      </w:tabs>
      <w:spacing w:before="360"/>
      <w:jc w:val="center"/>
    </w:pPr>
    <w:rPr>
      <w:b/>
    </w:rPr>
  </w:style>
  <w:style w:type="paragraph" w:customStyle="1" w:styleId="ArtNo">
    <w:name w:val="Art_No"/>
    <w:basedOn w:val="Normal"/>
    <w:next w:val="Arttitle"/>
    <w:qFormat/>
    <w:rsid w:val="00F641E1"/>
    <w:pPr>
      <w:keepNext/>
      <w:keepLines/>
      <w:tabs>
        <w:tab w:val="clear" w:pos="567"/>
        <w:tab w:val="clear" w:pos="1134"/>
        <w:tab w:val="clear" w:pos="1701"/>
        <w:tab w:val="clear" w:pos="2268"/>
        <w:tab w:val="clear" w:pos="2835"/>
      </w:tabs>
      <w:spacing w:before="480"/>
      <w:jc w:val="center"/>
    </w:pPr>
    <w:rPr>
      <w:caps/>
      <w:sz w:val="28"/>
    </w:rPr>
  </w:style>
  <w:style w:type="paragraph" w:customStyle="1" w:styleId="Arttitle">
    <w:name w:val="Art_title"/>
    <w:basedOn w:val="Normal"/>
    <w:next w:val="Normal"/>
    <w:qFormat/>
    <w:rsid w:val="00F641E1"/>
    <w:pPr>
      <w:keepNext/>
      <w:keepLines/>
      <w:tabs>
        <w:tab w:val="clear" w:pos="567"/>
        <w:tab w:val="clear" w:pos="1134"/>
        <w:tab w:val="clear" w:pos="1701"/>
        <w:tab w:val="clear" w:pos="2268"/>
        <w:tab w:val="clear" w:pos="2835"/>
      </w:tabs>
      <w:spacing w:after="240"/>
      <w:jc w:val="center"/>
    </w:pPr>
    <w:rPr>
      <w:b/>
      <w:sz w:val="28"/>
    </w:rPr>
  </w:style>
  <w:style w:type="paragraph" w:customStyle="1" w:styleId="ChapNo">
    <w:name w:val="Chap_No"/>
    <w:basedOn w:val="ArtNo"/>
    <w:next w:val="Chaptitle"/>
    <w:qFormat/>
    <w:rsid w:val="00813E5E"/>
  </w:style>
  <w:style w:type="paragraph" w:customStyle="1" w:styleId="Chaptitle">
    <w:name w:val="Chap_title"/>
    <w:basedOn w:val="Arttitle"/>
    <w:next w:val="Normal"/>
    <w:qFormat/>
    <w:rsid w:val="001A3154"/>
  </w:style>
  <w:style w:type="character" w:styleId="UnresolvedMention">
    <w:name w:val="Unresolved Mention"/>
    <w:basedOn w:val="DefaultParagraphFont"/>
    <w:unhideWhenUsed/>
    <w:rsid w:val="00BF1FDE"/>
    <w:rPr>
      <w:color w:val="605E5C"/>
      <w:shd w:val="clear" w:color="auto" w:fill="E1DFDD"/>
    </w:rPr>
  </w:style>
  <w:style w:type="character" w:styleId="PlaceholderText">
    <w:name w:val="Placeholder Text"/>
    <w:basedOn w:val="DefaultParagraphFont"/>
    <w:uiPriority w:val="99"/>
    <w:semiHidden/>
    <w:rsid w:val="00CA7995"/>
    <w:rPr>
      <w:color w:val="666666"/>
    </w:rPr>
  </w:style>
  <w:style w:type="paragraph" w:customStyle="1" w:styleId="Reasons">
    <w:name w:val="Reasons"/>
    <w:basedOn w:val="Normal"/>
    <w:qFormat/>
    <w:rsid w:val="007A3FCD"/>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lang w:val="en-US"/>
    </w:rPr>
  </w:style>
  <w:style w:type="paragraph" w:styleId="TOCHeading">
    <w:name w:val="TOC Heading"/>
    <w:basedOn w:val="Heading1"/>
    <w:next w:val="Normal"/>
    <w:unhideWhenUsed/>
    <w:qFormat/>
    <w:rsid w:val="0062595A"/>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numbering" w:customStyle="1" w:styleId="NoList1">
    <w:name w:val="No List1"/>
    <w:next w:val="NoList"/>
    <w:uiPriority w:val="99"/>
    <w:semiHidden/>
    <w:unhideWhenUsed/>
    <w:rsid w:val="0062595A"/>
  </w:style>
  <w:style w:type="paragraph" w:customStyle="1" w:styleId="AppendixNo">
    <w:name w:val="Appendix_No"/>
    <w:basedOn w:val="AnnexNo"/>
    <w:next w:val="Appendixref"/>
    <w:rsid w:val="0062595A"/>
    <w:pPr>
      <w:keepNext w:val="0"/>
      <w:keepLines w:val="0"/>
      <w:suppressAutoHyphens/>
      <w:adjustRightInd/>
    </w:pPr>
    <w:rPr>
      <w:rFonts w:eastAsia="MS Mincho"/>
    </w:rPr>
  </w:style>
  <w:style w:type="paragraph" w:customStyle="1" w:styleId="Appendixtitle">
    <w:name w:val="Appendix_title"/>
    <w:basedOn w:val="Annextitle"/>
    <w:next w:val="Normal"/>
    <w:rsid w:val="0062595A"/>
    <w:pPr>
      <w:keepNext w:val="0"/>
      <w:keepLines w:val="0"/>
      <w:suppressAutoHyphens/>
      <w:adjustRightInd/>
      <w:spacing w:before="240"/>
    </w:pPr>
    <w:rPr>
      <w:rFonts w:eastAsia="MS Mincho"/>
    </w:rPr>
  </w:style>
  <w:style w:type="paragraph" w:customStyle="1" w:styleId="Appendixref">
    <w:name w:val="Appendix_ref"/>
    <w:basedOn w:val="Annexref"/>
    <w:next w:val="Appendixtitle"/>
    <w:rsid w:val="0062595A"/>
    <w:pPr>
      <w:keepNext w:val="0"/>
      <w:keepLines w:val="0"/>
      <w:suppressAutoHyphens/>
      <w:adjustRightInd/>
    </w:pPr>
    <w:rPr>
      <w:rFonts w:eastAsia="MS Mincho"/>
      <w:sz w:val="22"/>
    </w:rPr>
  </w:style>
  <w:style w:type="character" w:customStyle="1" w:styleId="findhit">
    <w:name w:val="findhit"/>
    <w:basedOn w:val="DefaultParagraphFont"/>
    <w:rsid w:val="0062595A"/>
  </w:style>
  <w:style w:type="character" w:customStyle="1" w:styleId="Heading1Char">
    <w:name w:val="Heading 1 Char"/>
    <w:basedOn w:val="DefaultParagraphFont"/>
    <w:rsid w:val="0062595A"/>
    <w:rPr>
      <w:rFonts w:ascii="Calibri" w:hAnsi="Calibri"/>
      <w:b/>
      <w:color w:val="1F497D"/>
      <w:sz w:val="28"/>
      <w:lang w:val="en-GB" w:eastAsia="en-US"/>
    </w:rPr>
  </w:style>
  <w:style w:type="character" w:customStyle="1" w:styleId="Heading2Char">
    <w:name w:val="Heading 2 Char"/>
    <w:basedOn w:val="DefaultParagraphFont"/>
    <w:rsid w:val="0062595A"/>
    <w:rPr>
      <w:rFonts w:ascii="Calibri" w:hAnsi="Calibri"/>
      <w:b/>
      <w:sz w:val="24"/>
      <w:lang w:val="en-GB" w:eastAsia="en-US"/>
    </w:rPr>
  </w:style>
  <w:style w:type="paragraph" w:customStyle="1" w:styleId="msonormal0">
    <w:name w:val="msonormal"/>
    <w:basedOn w:val="Normal"/>
    <w:rsid w:val="0062595A"/>
    <w:pPr>
      <w:tabs>
        <w:tab w:val="clear" w:pos="567"/>
        <w:tab w:val="clear" w:pos="1134"/>
        <w:tab w:val="clear" w:pos="1701"/>
        <w:tab w:val="clear" w:pos="2268"/>
        <w:tab w:val="clear" w:pos="2835"/>
      </w:tabs>
      <w:suppressAutoHyphens/>
      <w:overflowPunct/>
      <w:autoSpaceDE/>
      <w:adjustRightInd/>
      <w:spacing w:before="100" w:after="100"/>
      <w:jc w:val="both"/>
      <w:textAlignment w:val="auto"/>
    </w:pPr>
    <w:rPr>
      <w:rFonts w:ascii="Times New Roman" w:eastAsia="MS Mincho" w:hAnsi="Times New Roman"/>
      <w:sz w:val="22"/>
      <w:szCs w:val="24"/>
      <w:lang w:eastAsia="en-GB"/>
    </w:rPr>
  </w:style>
  <w:style w:type="paragraph" w:customStyle="1" w:styleId="paragraph">
    <w:name w:val="paragraph"/>
    <w:basedOn w:val="Normal"/>
    <w:rsid w:val="0062595A"/>
    <w:pPr>
      <w:tabs>
        <w:tab w:val="clear" w:pos="567"/>
        <w:tab w:val="clear" w:pos="1134"/>
        <w:tab w:val="clear" w:pos="1701"/>
        <w:tab w:val="clear" w:pos="2268"/>
        <w:tab w:val="clear" w:pos="2835"/>
      </w:tabs>
      <w:suppressAutoHyphens/>
      <w:overflowPunct/>
      <w:autoSpaceDE/>
      <w:adjustRightInd/>
      <w:spacing w:before="100" w:after="100"/>
      <w:jc w:val="both"/>
      <w:textAlignment w:val="auto"/>
    </w:pPr>
    <w:rPr>
      <w:rFonts w:ascii="Times New Roman" w:eastAsia="MS Mincho" w:hAnsi="Times New Roman"/>
      <w:sz w:val="22"/>
      <w:szCs w:val="24"/>
      <w:lang w:eastAsia="en-GB"/>
    </w:rPr>
  </w:style>
  <w:style w:type="character" w:customStyle="1" w:styleId="eop">
    <w:name w:val="eop"/>
    <w:basedOn w:val="DefaultParagraphFont"/>
    <w:rsid w:val="0062595A"/>
  </w:style>
  <w:style w:type="character" w:customStyle="1" w:styleId="textrun">
    <w:name w:val="textrun"/>
    <w:basedOn w:val="DefaultParagraphFont"/>
    <w:rsid w:val="0062595A"/>
  </w:style>
  <w:style w:type="character" w:customStyle="1" w:styleId="normaltextrun">
    <w:name w:val="normaltextrun"/>
    <w:basedOn w:val="DefaultParagraphFont"/>
    <w:rsid w:val="0062595A"/>
  </w:style>
  <w:style w:type="paragraph" w:customStyle="1" w:styleId="outlineelement">
    <w:name w:val="outlineelement"/>
    <w:basedOn w:val="Normal"/>
    <w:rsid w:val="0062595A"/>
    <w:pPr>
      <w:tabs>
        <w:tab w:val="clear" w:pos="567"/>
        <w:tab w:val="clear" w:pos="1134"/>
        <w:tab w:val="clear" w:pos="1701"/>
        <w:tab w:val="clear" w:pos="2268"/>
        <w:tab w:val="clear" w:pos="2835"/>
      </w:tabs>
      <w:suppressAutoHyphens/>
      <w:overflowPunct/>
      <w:autoSpaceDE/>
      <w:adjustRightInd/>
      <w:spacing w:before="100" w:after="100"/>
      <w:jc w:val="both"/>
      <w:textAlignment w:val="auto"/>
    </w:pPr>
    <w:rPr>
      <w:rFonts w:ascii="Times New Roman" w:eastAsia="MS Mincho" w:hAnsi="Times New Roman"/>
      <w:sz w:val="22"/>
      <w:szCs w:val="24"/>
      <w:lang w:eastAsia="en-GB"/>
    </w:rPr>
  </w:style>
  <w:style w:type="character" w:customStyle="1" w:styleId="trackchangetextdeletion">
    <w:name w:val="trackchangetextdeletion"/>
    <w:basedOn w:val="DefaultParagraphFont"/>
    <w:rsid w:val="0062595A"/>
  </w:style>
  <w:style w:type="character" w:customStyle="1" w:styleId="trackchangetextinsertion">
    <w:name w:val="trackchangetextinsertion"/>
    <w:basedOn w:val="DefaultParagraphFont"/>
    <w:rsid w:val="0062595A"/>
  </w:style>
  <w:style w:type="character" w:customStyle="1" w:styleId="fieldrange">
    <w:name w:val="fieldrange"/>
    <w:basedOn w:val="DefaultParagraphFont"/>
    <w:rsid w:val="0062595A"/>
  </w:style>
  <w:style w:type="character" w:customStyle="1" w:styleId="pagebreakblob">
    <w:name w:val="pagebreakblob"/>
    <w:basedOn w:val="DefaultParagraphFont"/>
    <w:rsid w:val="0062595A"/>
  </w:style>
  <w:style w:type="character" w:customStyle="1" w:styleId="pagebreakborderspan">
    <w:name w:val="pagebreakborderspan"/>
    <w:basedOn w:val="DefaultParagraphFont"/>
    <w:rsid w:val="0062595A"/>
  </w:style>
  <w:style w:type="character" w:customStyle="1" w:styleId="pagebreaktextspan">
    <w:name w:val="pagebreaktextspan"/>
    <w:basedOn w:val="DefaultParagraphFont"/>
    <w:rsid w:val="0062595A"/>
  </w:style>
  <w:style w:type="character" w:customStyle="1" w:styleId="superscript">
    <w:name w:val="superscript"/>
    <w:basedOn w:val="DefaultParagraphFont"/>
    <w:rsid w:val="0062595A"/>
  </w:style>
  <w:style w:type="character" w:customStyle="1" w:styleId="linebreakblob">
    <w:name w:val="linebreakblob"/>
    <w:basedOn w:val="DefaultParagraphFont"/>
    <w:rsid w:val="0062595A"/>
  </w:style>
  <w:style w:type="character" w:customStyle="1" w:styleId="bcx7">
    <w:name w:val="bcx7"/>
    <w:basedOn w:val="DefaultParagraphFont"/>
    <w:rsid w:val="0062595A"/>
  </w:style>
  <w:style w:type="character" w:customStyle="1" w:styleId="UnresolvedMention1">
    <w:name w:val="Unresolved Mention1"/>
    <w:basedOn w:val="DefaultParagraphFont"/>
    <w:rsid w:val="0062595A"/>
    <w:rPr>
      <w:color w:val="605E5C"/>
      <w:shd w:val="clear" w:color="auto" w:fill="E1DFDD"/>
    </w:rPr>
  </w:style>
  <w:style w:type="paragraph" w:styleId="Title">
    <w:name w:val="Title"/>
    <w:basedOn w:val="Normal"/>
    <w:next w:val="Normal"/>
    <w:link w:val="TitleChar"/>
    <w:uiPriority w:val="10"/>
    <w:qFormat/>
    <w:rsid w:val="0062595A"/>
    <w:pPr>
      <w:tabs>
        <w:tab w:val="clear" w:pos="567"/>
        <w:tab w:val="clear" w:pos="1134"/>
        <w:tab w:val="clear" w:pos="1701"/>
        <w:tab w:val="clear" w:pos="2268"/>
        <w:tab w:val="clear" w:pos="2835"/>
      </w:tabs>
      <w:suppressAutoHyphens/>
      <w:overflowPunct/>
      <w:autoSpaceDE/>
      <w:adjustRightInd/>
      <w:spacing w:before="0"/>
      <w:jc w:val="both"/>
      <w:textAlignment w:val="auto"/>
    </w:pPr>
    <w:rPr>
      <w:rFonts w:ascii="Cambria" w:eastAsia="SimSun" w:hAnsi="Cambria"/>
      <w:spacing w:val="-10"/>
      <w:kern w:val="3"/>
      <w:sz w:val="56"/>
      <w:szCs w:val="56"/>
    </w:rPr>
  </w:style>
  <w:style w:type="character" w:customStyle="1" w:styleId="TitleChar">
    <w:name w:val="Title Char"/>
    <w:basedOn w:val="DefaultParagraphFont"/>
    <w:link w:val="Title"/>
    <w:uiPriority w:val="10"/>
    <w:rsid w:val="0062595A"/>
    <w:rPr>
      <w:rFonts w:ascii="Cambria" w:eastAsia="SimSun" w:hAnsi="Cambria"/>
      <w:spacing w:val="-10"/>
      <w:kern w:val="3"/>
      <w:sz w:val="56"/>
      <w:szCs w:val="56"/>
      <w:lang w:val="en-GB" w:eastAsia="en-US"/>
    </w:rPr>
  </w:style>
  <w:style w:type="character" w:customStyle="1" w:styleId="scxw33153122">
    <w:name w:val="scxw33153122"/>
    <w:basedOn w:val="DefaultParagraphFont"/>
    <w:rsid w:val="0062595A"/>
  </w:style>
  <w:style w:type="character" w:customStyle="1" w:styleId="FooterChar">
    <w:name w:val="Footer Char"/>
    <w:basedOn w:val="DefaultParagraphFont"/>
    <w:rsid w:val="0062595A"/>
    <w:rPr>
      <w:rFonts w:ascii="Calibri" w:hAnsi="Calibri"/>
      <w:caps/>
      <w:sz w:val="16"/>
      <w:lang w:val="en-GB" w:eastAsia="en-US"/>
    </w:rPr>
  </w:style>
  <w:style w:type="paragraph" w:styleId="BalloonText">
    <w:name w:val="Balloon Text"/>
    <w:basedOn w:val="Normal"/>
    <w:link w:val="BalloonTextChar"/>
    <w:rsid w:val="0062595A"/>
    <w:pPr>
      <w:tabs>
        <w:tab w:val="clear" w:pos="567"/>
        <w:tab w:val="clear" w:pos="1134"/>
        <w:tab w:val="clear" w:pos="1701"/>
        <w:tab w:val="clear" w:pos="2268"/>
        <w:tab w:val="clear" w:pos="2835"/>
      </w:tabs>
      <w:suppressAutoHyphens/>
      <w:overflowPunct/>
      <w:autoSpaceDE/>
      <w:adjustRightInd/>
      <w:spacing w:before="0"/>
      <w:jc w:val="both"/>
      <w:textAlignment w:val="auto"/>
    </w:pPr>
    <w:rPr>
      <w:rFonts w:ascii="Segoe UI" w:eastAsia="Calibri" w:hAnsi="Segoe UI" w:cs="Segoe UI"/>
      <w:sz w:val="18"/>
      <w:szCs w:val="18"/>
    </w:rPr>
  </w:style>
  <w:style w:type="character" w:customStyle="1" w:styleId="BalloonTextChar">
    <w:name w:val="Balloon Text Char"/>
    <w:basedOn w:val="DefaultParagraphFont"/>
    <w:link w:val="BalloonText"/>
    <w:rsid w:val="0062595A"/>
    <w:rPr>
      <w:rFonts w:ascii="Segoe UI" w:eastAsia="Calibri" w:hAnsi="Segoe UI" w:cs="Segoe UI"/>
      <w:sz w:val="18"/>
      <w:szCs w:val="18"/>
      <w:lang w:val="en-GB" w:eastAsia="en-US"/>
    </w:rPr>
  </w:style>
  <w:style w:type="character" w:styleId="CommentReference">
    <w:name w:val="annotation reference"/>
    <w:rsid w:val="0062595A"/>
    <w:rPr>
      <w:sz w:val="16"/>
      <w:szCs w:val="16"/>
    </w:rPr>
  </w:style>
  <w:style w:type="paragraph" w:styleId="CommentText">
    <w:name w:val="annotation text"/>
    <w:basedOn w:val="Normal"/>
    <w:link w:val="CommentTextChar"/>
    <w:rsid w:val="0062595A"/>
    <w:pPr>
      <w:tabs>
        <w:tab w:val="clear" w:pos="567"/>
        <w:tab w:val="clear" w:pos="1134"/>
        <w:tab w:val="clear" w:pos="1701"/>
        <w:tab w:val="clear" w:pos="2268"/>
        <w:tab w:val="clear" w:pos="2835"/>
      </w:tabs>
      <w:suppressAutoHyphens/>
      <w:overflowPunct/>
      <w:autoSpaceDE/>
      <w:adjustRightInd/>
      <w:jc w:val="both"/>
      <w:textAlignment w:val="auto"/>
    </w:pPr>
    <w:rPr>
      <w:rFonts w:eastAsia="SimSun"/>
      <w:sz w:val="20"/>
      <w:szCs w:val="22"/>
      <w:lang w:val="en-US" w:eastAsia="fr-FR"/>
    </w:rPr>
  </w:style>
  <w:style w:type="character" w:customStyle="1" w:styleId="CommentTextChar">
    <w:name w:val="Comment Text Char"/>
    <w:basedOn w:val="DefaultParagraphFont"/>
    <w:link w:val="CommentText"/>
    <w:rsid w:val="0062595A"/>
    <w:rPr>
      <w:rFonts w:ascii="Calibri" w:eastAsia="SimSun" w:hAnsi="Calibri"/>
      <w:szCs w:val="22"/>
      <w:lang w:eastAsia="fr-FR"/>
    </w:rPr>
  </w:style>
  <w:style w:type="paragraph" w:styleId="ListParagraph">
    <w:name w:val="List Paragraph"/>
    <w:basedOn w:val="Normal"/>
    <w:rsid w:val="0062595A"/>
    <w:pPr>
      <w:tabs>
        <w:tab w:val="clear" w:pos="567"/>
        <w:tab w:val="clear" w:pos="1134"/>
        <w:tab w:val="clear" w:pos="1701"/>
        <w:tab w:val="clear" w:pos="2268"/>
        <w:tab w:val="clear" w:pos="2835"/>
      </w:tabs>
      <w:suppressAutoHyphens/>
      <w:overflowPunct/>
      <w:autoSpaceDE/>
      <w:adjustRightInd/>
      <w:ind w:left="510"/>
      <w:jc w:val="both"/>
      <w:textAlignment w:val="auto"/>
    </w:pPr>
    <w:rPr>
      <w:rFonts w:eastAsia="PMingLiU"/>
      <w:sz w:val="22"/>
      <w:szCs w:val="22"/>
      <w:lang w:val="en-US" w:eastAsia="zh-TW"/>
    </w:rPr>
  </w:style>
  <w:style w:type="character" w:customStyle="1" w:styleId="ListParagraphChar">
    <w:name w:val="List Paragraph Char"/>
    <w:basedOn w:val="DefaultParagraphFont"/>
    <w:rsid w:val="0062595A"/>
    <w:rPr>
      <w:rFonts w:ascii="Calibri" w:eastAsia="PMingLiU" w:hAnsi="Calibri"/>
      <w:sz w:val="22"/>
      <w:szCs w:val="22"/>
      <w:lang w:eastAsia="zh-TW"/>
    </w:rPr>
  </w:style>
  <w:style w:type="paragraph" w:customStyle="1" w:styleId="Tableheadwhitecentred">
    <w:name w:val="Table head white centred"/>
    <w:basedOn w:val="Normal"/>
    <w:rsid w:val="0062595A"/>
    <w:pPr>
      <w:tabs>
        <w:tab w:val="clear" w:pos="567"/>
        <w:tab w:val="clear" w:pos="1134"/>
        <w:tab w:val="clear" w:pos="1701"/>
        <w:tab w:val="clear" w:pos="2268"/>
        <w:tab w:val="clear" w:pos="2835"/>
      </w:tabs>
      <w:suppressAutoHyphens/>
      <w:overflowPunct/>
      <w:autoSpaceDE/>
      <w:adjustRightInd/>
      <w:jc w:val="both"/>
      <w:textAlignment w:val="auto"/>
    </w:pPr>
    <w:rPr>
      <w:rFonts w:eastAsia="SimSun"/>
      <w:sz w:val="21"/>
      <w:szCs w:val="22"/>
      <w:lang w:val="en-US" w:eastAsia="fr-FR"/>
    </w:rPr>
  </w:style>
  <w:style w:type="paragraph" w:customStyle="1" w:styleId="boxtext">
    <w:name w:val="box_text"/>
    <w:basedOn w:val="Normal"/>
    <w:rsid w:val="0062595A"/>
    <w:pPr>
      <w:tabs>
        <w:tab w:val="clear" w:pos="567"/>
        <w:tab w:val="clear" w:pos="1134"/>
        <w:tab w:val="clear" w:pos="1701"/>
        <w:tab w:val="clear" w:pos="2268"/>
        <w:tab w:val="clear" w:pos="2835"/>
      </w:tabs>
      <w:suppressAutoHyphens/>
      <w:overflowPunct/>
      <w:autoSpaceDE/>
      <w:adjustRightInd/>
      <w:spacing w:before="60" w:after="60"/>
      <w:jc w:val="both"/>
      <w:textAlignment w:val="auto"/>
    </w:pPr>
    <w:rPr>
      <w:rFonts w:eastAsia="SimSun" w:cs="Calibri"/>
      <w:sz w:val="22"/>
      <w:szCs w:val="22"/>
      <w:lang w:val="en-US" w:eastAsia="fr-FR"/>
    </w:rPr>
  </w:style>
  <w:style w:type="character" w:customStyle="1" w:styleId="boxtextChar">
    <w:name w:val="box_text Char"/>
    <w:basedOn w:val="DefaultParagraphFont"/>
    <w:rsid w:val="0062595A"/>
    <w:rPr>
      <w:rFonts w:ascii="Calibri" w:eastAsia="SimSun" w:hAnsi="Calibri" w:cs="Calibri"/>
      <w:sz w:val="22"/>
      <w:szCs w:val="22"/>
      <w:lang w:eastAsia="fr-FR"/>
    </w:rPr>
  </w:style>
  <w:style w:type="paragraph" w:customStyle="1" w:styleId="Tabletextcentred">
    <w:name w:val="Table text centred"/>
    <w:basedOn w:val="Normal"/>
    <w:rsid w:val="0062595A"/>
    <w:pPr>
      <w:tabs>
        <w:tab w:val="clear" w:pos="567"/>
        <w:tab w:val="clear" w:pos="1134"/>
        <w:tab w:val="clear" w:pos="1701"/>
        <w:tab w:val="clear" w:pos="2268"/>
        <w:tab w:val="clear" w:pos="2835"/>
      </w:tabs>
      <w:suppressAutoHyphens/>
      <w:overflowPunct/>
      <w:autoSpaceDE/>
      <w:adjustRightInd/>
      <w:jc w:val="both"/>
      <w:textAlignment w:val="auto"/>
    </w:pPr>
    <w:rPr>
      <w:rFonts w:eastAsia="SimSun"/>
      <w:sz w:val="21"/>
      <w:szCs w:val="22"/>
      <w:lang w:eastAsia="fr-FR"/>
    </w:rPr>
  </w:style>
  <w:style w:type="paragraph" w:customStyle="1" w:styleId="Tabletextrightaligned">
    <w:name w:val="Table text right aligned"/>
    <w:basedOn w:val="Normal"/>
    <w:rsid w:val="0062595A"/>
    <w:pPr>
      <w:tabs>
        <w:tab w:val="clear" w:pos="567"/>
        <w:tab w:val="clear" w:pos="1134"/>
        <w:tab w:val="clear" w:pos="1701"/>
        <w:tab w:val="clear" w:pos="2268"/>
        <w:tab w:val="clear" w:pos="2835"/>
      </w:tabs>
      <w:suppressAutoHyphens/>
      <w:overflowPunct/>
      <w:autoSpaceDE/>
      <w:adjustRightInd/>
      <w:jc w:val="both"/>
      <w:textAlignment w:val="auto"/>
    </w:pPr>
    <w:rPr>
      <w:rFonts w:eastAsia="SimSun"/>
      <w:sz w:val="21"/>
      <w:szCs w:val="22"/>
      <w:lang w:eastAsia="fr-FR"/>
    </w:rPr>
  </w:style>
  <w:style w:type="paragraph" w:styleId="NormalWeb">
    <w:name w:val="Normal (Web)"/>
    <w:basedOn w:val="Normal"/>
    <w:rsid w:val="0062595A"/>
    <w:pPr>
      <w:tabs>
        <w:tab w:val="clear" w:pos="567"/>
        <w:tab w:val="clear" w:pos="1134"/>
        <w:tab w:val="clear" w:pos="1701"/>
        <w:tab w:val="clear" w:pos="2268"/>
        <w:tab w:val="clear" w:pos="2835"/>
      </w:tabs>
      <w:suppressAutoHyphens/>
      <w:overflowPunct/>
      <w:autoSpaceDE/>
      <w:adjustRightInd/>
      <w:spacing w:before="100" w:after="100"/>
      <w:jc w:val="both"/>
      <w:textAlignment w:val="auto"/>
    </w:pPr>
    <w:rPr>
      <w:rFonts w:eastAsia="SimSun"/>
      <w:sz w:val="21"/>
      <w:szCs w:val="24"/>
      <w:lang w:val="en-US" w:eastAsia="zh-CN"/>
    </w:rPr>
  </w:style>
  <w:style w:type="character" w:customStyle="1" w:styleId="NormalWebChar">
    <w:name w:val="Normal (Web) Char"/>
    <w:rsid w:val="0062595A"/>
    <w:rPr>
      <w:rFonts w:ascii="Calibri" w:eastAsia="SimSun" w:hAnsi="Calibri"/>
      <w:sz w:val="21"/>
      <w:szCs w:val="24"/>
    </w:rPr>
  </w:style>
  <w:style w:type="paragraph" w:styleId="PlainText">
    <w:name w:val="Plain Text"/>
    <w:basedOn w:val="Normal"/>
    <w:link w:val="PlainTextChar"/>
    <w:rsid w:val="0062595A"/>
    <w:pPr>
      <w:tabs>
        <w:tab w:val="clear" w:pos="567"/>
        <w:tab w:val="clear" w:pos="1134"/>
        <w:tab w:val="clear" w:pos="1701"/>
        <w:tab w:val="clear" w:pos="2268"/>
        <w:tab w:val="clear" w:pos="2835"/>
      </w:tabs>
      <w:suppressAutoHyphens/>
      <w:overflowPunct/>
      <w:autoSpaceDE/>
      <w:adjustRightInd/>
      <w:spacing w:before="0"/>
      <w:jc w:val="both"/>
      <w:textAlignment w:val="auto"/>
    </w:pPr>
    <w:rPr>
      <w:rFonts w:ascii="Courier New" w:eastAsia="SimSun" w:hAnsi="Courier New" w:cs="Courier New"/>
      <w:sz w:val="20"/>
      <w:szCs w:val="22"/>
      <w:lang w:val="en-US" w:eastAsia="zh-CN"/>
    </w:rPr>
  </w:style>
  <w:style w:type="character" w:customStyle="1" w:styleId="PlainTextChar">
    <w:name w:val="Plain Text Char"/>
    <w:basedOn w:val="DefaultParagraphFont"/>
    <w:link w:val="PlainText"/>
    <w:rsid w:val="0062595A"/>
    <w:rPr>
      <w:rFonts w:ascii="Courier New" w:eastAsia="SimSun" w:hAnsi="Courier New" w:cs="Courier New"/>
      <w:szCs w:val="22"/>
    </w:rPr>
  </w:style>
  <w:style w:type="character" w:styleId="Emphasis">
    <w:name w:val="Emphasis"/>
    <w:basedOn w:val="DefaultParagraphFont"/>
    <w:rsid w:val="0062595A"/>
    <w:rPr>
      <w:i/>
      <w:iCs/>
    </w:rPr>
  </w:style>
  <w:style w:type="character" w:customStyle="1" w:styleId="FootnoteTextChar">
    <w:name w:val="Footnote Text Char"/>
    <w:basedOn w:val="DefaultParagraphFont"/>
    <w:rsid w:val="0062595A"/>
    <w:rPr>
      <w:rFonts w:ascii="Calibri" w:hAnsi="Calibri"/>
      <w:sz w:val="24"/>
      <w:lang w:val="en-GB" w:eastAsia="en-US"/>
    </w:rPr>
  </w:style>
  <w:style w:type="character" w:customStyle="1" w:styleId="normalWSISChar">
    <w:name w:val="normal WSIS Char"/>
    <w:basedOn w:val="DefaultParagraphFont"/>
    <w:rsid w:val="0062595A"/>
    <w:rPr>
      <w:rFonts w:ascii="Calibri" w:eastAsia="SimSun" w:hAnsi="Calibri" w:cs="Arial"/>
    </w:rPr>
  </w:style>
  <w:style w:type="paragraph" w:customStyle="1" w:styleId="normalWSIS">
    <w:name w:val="normal WSIS"/>
    <w:basedOn w:val="ListParagraph"/>
    <w:rsid w:val="0062595A"/>
    <w:pPr>
      <w:numPr>
        <w:numId w:val="2"/>
      </w:numPr>
      <w:tabs>
        <w:tab w:val="left" w:pos="-2259"/>
      </w:tabs>
      <w:spacing w:after="200"/>
    </w:pPr>
    <w:rPr>
      <w:rFonts w:eastAsia="SimSun" w:cs="Arial"/>
      <w:sz w:val="20"/>
      <w:szCs w:val="20"/>
      <w:lang w:eastAsia="zh-CN"/>
    </w:rPr>
  </w:style>
  <w:style w:type="paragraph" w:styleId="Revision">
    <w:name w:val="Revision"/>
    <w:rsid w:val="0062595A"/>
    <w:pPr>
      <w:suppressAutoHyphens/>
      <w:autoSpaceDN w:val="0"/>
      <w:textAlignment w:val="baseline"/>
    </w:pPr>
    <w:rPr>
      <w:rFonts w:ascii="Calibri" w:eastAsia="Calibri" w:hAnsi="Calibri" w:cs="Arial"/>
      <w:sz w:val="22"/>
      <w:szCs w:val="22"/>
      <w:lang w:val="en-GB" w:eastAsia="en-US"/>
    </w:rPr>
  </w:style>
  <w:style w:type="paragraph" w:styleId="CommentSubject">
    <w:name w:val="annotation subject"/>
    <w:basedOn w:val="CommentText"/>
    <w:next w:val="CommentText"/>
    <w:link w:val="CommentSubjectChar"/>
    <w:rsid w:val="0062595A"/>
    <w:pPr>
      <w:spacing w:before="0"/>
    </w:pPr>
    <w:rPr>
      <w:rFonts w:eastAsia="Calibri" w:cs="Arial"/>
      <w:b/>
      <w:bCs/>
      <w:szCs w:val="20"/>
      <w:lang w:val="en-GB" w:eastAsia="en-US"/>
    </w:rPr>
  </w:style>
  <w:style w:type="character" w:customStyle="1" w:styleId="CommentSubjectChar">
    <w:name w:val="Comment Subject Char"/>
    <w:basedOn w:val="CommentTextChar"/>
    <w:link w:val="CommentSubject"/>
    <w:rsid w:val="0062595A"/>
    <w:rPr>
      <w:rFonts w:ascii="Calibri" w:eastAsia="Calibri" w:hAnsi="Calibri" w:cs="Arial"/>
      <w:b/>
      <w:bCs/>
      <w:szCs w:val="22"/>
      <w:lang w:val="en-GB" w:eastAsia="en-US"/>
    </w:rPr>
  </w:style>
  <w:style w:type="character" w:customStyle="1" w:styleId="Mention1">
    <w:name w:val="Mention1"/>
    <w:basedOn w:val="DefaultParagraphFont"/>
    <w:rsid w:val="0062595A"/>
    <w:rPr>
      <w:color w:val="2B579A"/>
      <w:shd w:val="clear" w:color="auto" w:fill="E1DFDD"/>
    </w:rPr>
  </w:style>
  <w:style w:type="character" w:customStyle="1" w:styleId="Heading5Char">
    <w:name w:val="Heading 5 Char"/>
    <w:basedOn w:val="DefaultParagraphFont"/>
    <w:rsid w:val="0062595A"/>
    <w:rPr>
      <w:rFonts w:ascii="Calibri" w:hAnsi="Calibri"/>
      <w:b/>
      <w:sz w:val="24"/>
      <w:lang w:val="en-GB" w:eastAsia="en-US"/>
    </w:rPr>
  </w:style>
  <w:style w:type="character" w:customStyle="1" w:styleId="Heading3Char">
    <w:name w:val="Heading 3 Char"/>
    <w:basedOn w:val="DefaultParagraphFont"/>
    <w:rsid w:val="0062595A"/>
    <w:rPr>
      <w:rFonts w:ascii="Calibri" w:hAnsi="Calibri"/>
      <w:b/>
      <w:color w:val="0D0D0D"/>
      <w:sz w:val="24"/>
      <w:lang w:val="en-GB" w:eastAsia="en-US"/>
    </w:rPr>
  </w:style>
  <w:style w:type="character" w:styleId="Strong">
    <w:name w:val="Strong"/>
    <w:basedOn w:val="DefaultParagraphFont"/>
    <w:uiPriority w:val="22"/>
    <w:qFormat/>
    <w:rsid w:val="0062595A"/>
    <w:rPr>
      <w:b/>
      <w:bCs/>
    </w:rPr>
  </w:style>
  <w:style w:type="paragraph" w:customStyle="1" w:styleId="xmsolistparagraph">
    <w:name w:val="x_msolistparagraph"/>
    <w:basedOn w:val="Normal"/>
    <w:rsid w:val="0062595A"/>
    <w:pPr>
      <w:tabs>
        <w:tab w:val="clear" w:pos="567"/>
        <w:tab w:val="clear" w:pos="1134"/>
        <w:tab w:val="clear" w:pos="1701"/>
        <w:tab w:val="clear" w:pos="2268"/>
        <w:tab w:val="clear" w:pos="2835"/>
      </w:tabs>
      <w:suppressAutoHyphens/>
      <w:overflowPunct/>
      <w:autoSpaceDE/>
      <w:adjustRightInd/>
      <w:spacing w:before="0"/>
      <w:ind w:left="720"/>
      <w:jc w:val="both"/>
      <w:textAlignment w:val="auto"/>
    </w:pPr>
    <w:rPr>
      <w:rFonts w:eastAsia="Calibri" w:cs="Calibri"/>
      <w:sz w:val="22"/>
      <w:szCs w:val="22"/>
      <w:lang w:eastAsia="en-GB"/>
    </w:rPr>
  </w:style>
  <w:style w:type="paragraph" w:customStyle="1" w:styleId="Table">
    <w:name w:val="Table_#"/>
    <w:basedOn w:val="Normal"/>
    <w:next w:val="Normal"/>
    <w:rsid w:val="0062595A"/>
    <w:pPr>
      <w:keepNext/>
      <w:tabs>
        <w:tab w:val="clear" w:pos="567"/>
        <w:tab w:val="clear" w:pos="1134"/>
        <w:tab w:val="clear" w:pos="1701"/>
        <w:tab w:val="clear" w:pos="2268"/>
        <w:tab w:val="clear" w:pos="2835"/>
        <w:tab w:val="left" w:pos="794"/>
        <w:tab w:val="left" w:pos="1191"/>
        <w:tab w:val="left" w:pos="1588"/>
        <w:tab w:val="left" w:pos="1985"/>
      </w:tabs>
      <w:suppressAutoHyphens/>
      <w:overflowPunct/>
      <w:autoSpaceDE/>
      <w:adjustRightInd/>
      <w:spacing w:before="560" w:after="120"/>
      <w:jc w:val="center"/>
      <w:textAlignment w:val="auto"/>
    </w:pPr>
    <w:rPr>
      <w:rFonts w:ascii="Times New Roman" w:eastAsia="MS Mincho" w:hAnsi="Times New Roman"/>
      <w:caps/>
      <w:sz w:val="22"/>
    </w:rPr>
  </w:style>
  <w:style w:type="character" w:customStyle="1" w:styleId="apple-style-span">
    <w:name w:val="apple-style-span"/>
    <w:basedOn w:val="DefaultParagraphFont"/>
    <w:rsid w:val="0062595A"/>
  </w:style>
  <w:style w:type="character" w:styleId="SubtleEmphasis">
    <w:name w:val="Subtle Emphasis"/>
    <w:basedOn w:val="DefaultParagraphFont"/>
    <w:rsid w:val="0062595A"/>
    <w:rPr>
      <w:i/>
      <w:iCs/>
      <w:color w:val="404040"/>
    </w:rPr>
  </w:style>
  <w:style w:type="paragraph" w:customStyle="1" w:styleId="tabletitle0">
    <w:name w:val="table_title"/>
    <w:basedOn w:val="Normal"/>
    <w:rsid w:val="0062595A"/>
    <w:pPr>
      <w:keepNext/>
      <w:tabs>
        <w:tab w:val="clear" w:pos="567"/>
        <w:tab w:val="clear" w:pos="1134"/>
        <w:tab w:val="clear" w:pos="1701"/>
        <w:tab w:val="clear" w:pos="2268"/>
        <w:tab w:val="clear" w:pos="2835"/>
      </w:tabs>
      <w:suppressAutoHyphens/>
      <w:overflowPunct/>
      <w:autoSpaceDE/>
      <w:adjustRightInd/>
      <w:spacing w:before="0" w:after="120"/>
      <w:jc w:val="both"/>
      <w:textAlignment w:val="auto"/>
    </w:pPr>
    <w:rPr>
      <w:rFonts w:eastAsia="Calibri" w:cs="Calibri"/>
      <w:b/>
      <w:bCs/>
      <w:color w:val="4472C4"/>
      <w:sz w:val="22"/>
      <w:szCs w:val="22"/>
    </w:rPr>
  </w:style>
  <w:style w:type="paragraph" w:customStyle="1" w:styleId="boxhead">
    <w:name w:val="box_head"/>
    <w:basedOn w:val="Normal"/>
    <w:rsid w:val="0062595A"/>
    <w:pPr>
      <w:tabs>
        <w:tab w:val="clear" w:pos="567"/>
        <w:tab w:val="clear" w:pos="1134"/>
        <w:tab w:val="clear" w:pos="1701"/>
        <w:tab w:val="clear" w:pos="2268"/>
        <w:tab w:val="clear" w:pos="2835"/>
      </w:tabs>
      <w:suppressAutoHyphens/>
      <w:overflowPunct/>
      <w:autoSpaceDE/>
      <w:adjustRightInd/>
      <w:spacing w:after="60"/>
      <w:jc w:val="both"/>
      <w:textAlignment w:val="auto"/>
    </w:pPr>
    <w:rPr>
      <w:rFonts w:eastAsia="Calibri" w:cs="Calibri"/>
      <w:b/>
      <w:sz w:val="22"/>
      <w:szCs w:val="22"/>
      <w:u w:val="single"/>
      <w:lang w:eastAsia="zh-CN"/>
    </w:rPr>
  </w:style>
  <w:style w:type="paragraph" w:customStyle="1" w:styleId="boxbullet">
    <w:name w:val="box_bullet"/>
    <w:basedOn w:val="Normal"/>
    <w:rsid w:val="0062595A"/>
    <w:pPr>
      <w:tabs>
        <w:tab w:val="clear" w:pos="567"/>
        <w:tab w:val="clear" w:pos="1134"/>
        <w:tab w:val="clear" w:pos="1701"/>
        <w:tab w:val="clear" w:pos="2268"/>
        <w:tab w:val="clear" w:pos="2835"/>
        <w:tab w:val="left" w:pos="720"/>
      </w:tabs>
      <w:suppressAutoHyphens/>
      <w:overflowPunct/>
      <w:autoSpaceDE/>
      <w:adjustRightInd/>
      <w:spacing w:before="60" w:after="60"/>
      <w:ind w:left="714" w:hanging="357"/>
      <w:jc w:val="both"/>
      <w:textAlignment w:val="auto"/>
    </w:pPr>
    <w:rPr>
      <w:rFonts w:eastAsia="SimSun" w:cs="Calibri"/>
      <w:sz w:val="22"/>
      <w:szCs w:val="22"/>
      <w:lang w:eastAsia="zh-CN"/>
    </w:rPr>
  </w:style>
  <w:style w:type="paragraph" w:customStyle="1" w:styleId="Boxbullet2">
    <w:name w:val="Box_bullet2"/>
    <w:basedOn w:val="Normal"/>
    <w:rsid w:val="0062595A"/>
    <w:pPr>
      <w:numPr>
        <w:numId w:val="3"/>
      </w:numPr>
      <w:tabs>
        <w:tab w:val="clear" w:pos="567"/>
        <w:tab w:val="clear" w:pos="1134"/>
        <w:tab w:val="clear" w:pos="1701"/>
        <w:tab w:val="clear" w:pos="2268"/>
        <w:tab w:val="clear" w:pos="2835"/>
        <w:tab w:val="left" w:pos="1440"/>
      </w:tabs>
      <w:suppressAutoHyphens/>
      <w:overflowPunct/>
      <w:autoSpaceDE/>
      <w:adjustRightInd/>
      <w:spacing w:before="60" w:after="60"/>
      <w:jc w:val="both"/>
      <w:textAlignment w:val="auto"/>
    </w:pPr>
    <w:rPr>
      <w:rFonts w:eastAsia="SimSun"/>
      <w:sz w:val="22"/>
      <w:szCs w:val="22"/>
      <w:lang w:eastAsia="zh-CN"/>
    </w:rPr>
  </w:style>
  <w:style w:type="paragraph" w:customStyle="1" w:styleId="tabletext0">
    <w:name w:val="table_text"/>
    <w:basedOn w:val="Normal"/>
    <w:rsid w:val="0062595A"/>
    <w:pPr>
      <w:tabs>
        <w:tab w:val="clear" w:pos="567"/>
        <w:tab w:val="clear" w:pos="1134"/>
        <w:tab w:val="clear" w:pos="1701"/>
        <w:tab w:val="clear" w:pos="2268"/>
        <w:tab w:val="clear" w:pos="2835"/>
      </w:tabs>
      <w:suppressAutoHyphens/>
      <w:overflowPunct/>
      <w:autoSpaceDE/>
      <w:adjustRightInd/>
      <w:spacing w:before="80" w:after="80"/>
      <w:jc w:val="both"/>
      <w:textAlignment w:val="auto"/>
    </w:pPr>
    <w:rPr>
      <w:rFonts w:eastAsia="SimSun" w:cs="Calibri"/>
      <w:sz w:val="22"/>
      <w:szCs w:val="22"/>
      <w:lang w:eastAsia="zh-CN"/>
    </w:rPr>
  </w:style>
  <w:style w:type="character" w:customStyle="1" w:styleId="Heading9Char">
    <w:name w:val="Heading 9 Char"/>
    <w:basedOn w:val="DefaultParagraphFont"/>
    <w:rsid w:val="0062595A"/>
    <w:rPr>
      <w:rFonts w:ascii="Calibri" w:hAnsi="Calibri"/>
      <w:b/>
      <w:sz w:val="24"/>
      <w:lang w:val="en-GB" w:eastAsia="en-US"/>
    </w:rPr>
  </w:style>
  <w:style w:type="character" w:customStyle="1" w:styleId="A0">
    <w:name w:val="A0"/>
    <w:rsid w:val="0062595A"/>
    <w:rPr>
      <w:color w:val="404041"/>
      <w:sz w:val="21"/>
      <w:szCs w:val="21"/>
    </w:rPr>
  </w:style>
  <w:style w:type="paragraph" w:customStyle="1" w:styleId="Bulletlist1">
    <w:name w:val="Bullet list 1"/>
    <w:basedOn w:val="Normal"/>
    <w:rsid w:val="0062595A"/>
    <w:pPr>
      <w:tabs>
        <w:tab w:val="clear" w:pos="567"/>
        <w:tab w:val="clear" w:pos="1134"/>
        <w:tab w:val="clear" w:pos="1701"/>
        <w:tab w:val="clear" w:pos="2268"/>
        <w:tab w:val="clear" w:pos="2835"/>
      </w:tabs>
      <w:suppressAutoHyphens/>
      <w:overflowPunct/>
      <w:autoSpaceDE/>
      <w:adjustRightInd/>
      <w:ind w:left="425" w:hanging="425"/>
      <w:jc w:val="both"/>
      <w:textAlignment w:val="auto"/>
    </w:pPr>
    <w:rPr>
      <w:rFonts w:eastAsia="SimSun"/>
      <w:sz w:val="21"/>
      <w:szCs w:val="22"/>
      <w:lang w:val="en-US" w:eastAsia="fr-FR"/>
    </w:rPr>
  </w:style>
  <w:style w:type="paragraph" w:customStyle="1" w:styleId="xxxmsonormal">
    <w:name w:val="x_xxmsonormal"/>
    <w:basedOn w:val="Normal"/>
    <w:rsid w:val="0062595A"/>
    <w:pPr>
      <w:tabs>
        <w:tab w:val="clear" w:pos="567"/>
        <w:tab w:val="clear" w:pos="1134"/>
        <w:tab w:val="clear" w:pos="1701"/>
        <w:tab w:val="clear" w:pos="2268"/>
        <w:tab w:val="clear" w:pos="2835"/>
      </w:tabs>
      <w:suppressAutoHyphens/>
      <w:overflowPunct/>
      <w:autoSpaceDE/>
      <w:adjustRightInd/>
      <w:spacing w:before="0"/>
      <w:jc w:val="both"/>
      <w:textAlignment w:val="auto"/>
    </w:pPr>
    <w:rPr>
      <w:rFonts w:eastAsia="Calibri" w:cs="Calibri"/>
      <w:sz w:val="22"/>
      <w:szCs w:val="22"/>
      <w:lang w:eastAsia="en-GB"/>
    </w:rPr>
  </w:style>
  <w:style w:type="character" w:customStyle="1" w:styleId="SmartLink1">
    <w:name w:val="SmartLink1"/>
    <w:basedOn w:val="DefaultParagraphFont"/>
    <w:rsid w:val="0062595A"/>
    <w:rPr>
      <w:color w:val="0000FF"/>
      <w:u w:val="single"/>
      <w:shd w:val="clear" w:color="auto" w:fill="F3F2F1"/>
    </w:rPr>
  </w:style>
  <w:style w:type="character" w:customStyle="1" w:styleId="apple-converted-space">
    <w:name w:val="apple-converted-space"/>
    <w:basedOn w:val="DefaultParagraphFont"/>
    <w:rsid w:val="0062595A"/>
  </w:style>
  <w:style w:type="character" w:customStyle="1" w:styleId="ms-rtethemeforecolor-2-0">
    <w:name w:val="ms-rtethemeforecolor-2-0"/>
    <w:basedOn w:val="DefaultParagraphFont"/>
    <w:rsid w:val="0062595A"/>
  </w:style>
  <w:style w:type="character" w:customStyle="1" w:styleId="Heading4Char">
    <w:name w:val="Heading 4 Char"/>
    <w:basedOn w:val="DefaultParagraphFont"/>
    <w:rsid w:val="0062595A"/>
    <w:rPr>
      <w:rFonts w:ascii="Calibri" w:hAnsi="Calibri"/>
      <w:b/>
      <w:color w:val="0D0D0D"/>
      <w:sz w:val="22"/>
      <w:lang w:val="en-GB" w:eastAsia="en-US"/>
    </w:rPr>
  </w:style>
  <w:style w:type="character" w:customStyle="1" w:styleId="UnresolvedMention10">
    <w:name w:val="Unresolved Mention10"/>
    <w:basedOn w:val="DefaultParagraphFont"/>
    <w:rsid w:val="0062595A"/>
    <w:rPr>
      <w:color w:val="605E5C"/>
      <w:shd w:val="clear" w:color="auto" w:fill="E1DFDD"/>
    </w:rPr>
  </w:style>
  <w:style w:type="character" w:customStyle="1" w:styleId="Mention10">
    <w:name w:val="Mention10"/>
    <w:basedOn w:val="DefaultParagraphFont"/>
    <w:rsid w:val="0062595A"/>
    <w:rPr>
      <w:color w:val="2B579A"/>
      <w:shd w:val="clear" w:color="auto" w:fill="E1DFDD"/>
    </w:rPr>
  </w:style>
  <w:style w:type="character" w:customStyle="1" w:styleId="UnresolvedMention2">
    <w:name w:val="Unresolved Mention2"/>
    <w:basedOn w:val="DefaultParagraphFont"/>
    <w:rsid w:val="0062595A"/>
    <w:rPr>
      <w:color w:val="605E5C"/>
      <w:shd w:val="clear" w:color="auto" w:fill="E1DFDD"/>
    </w:rPr>
  </w:style>
  <w:style w:type="character" w:customStyle="1" w:styleId="Mention2">
    <w:name w:val="Mention2"/>
    <w:basedOn w:val="DefaultParagraphFont"/>
    <w:rsid w:val="0062595A"/>
    <w:rPr>
      <w:color w:val="2B579A"/>
      <w:shd w:val="clear" w:color="auto" w:fill="E1DFDD"/>
    </w:rPr>
  </w:style>
  <w:style w:type="paragraph" w:styleId="EndnoteText">
    <w:name w:val="endnote text"/>
    <w:basedOn w:val="Normal"/>
    <w:link w:val="EndnoteTextChar"/>
    <w:rsid w:val="0062595A"/>
    <w:pPr>
      <w:tabs>
        <w:tab w:val="clear" w:pos="567"/>
        <w:tab w:val="clear" w:pos="1134"/>
        <w:tab w:val="clear" w:pos="1701"/>
        <w:tab w:val="clear" w:pos="2268"/>
        <w:tab w:val="clear" w:pos="2835"/>
      </w:tabs>
      <w:suppressAutoHyphens/>
      <w:overflowPunct/>
      <w:autoSpaceDE/>
      <w:adjustRightInd/>
      <w:spacing w:before="0"/>
      <w:jc w:val="both"/>
      <w:textAlignment w:val="auto"/>
    </w:pPr>
    <w:rPr>
      <w:rFonts w:eastAsia="Calibri" w:cs="Arial"/>
      <w:sz w:val="20"/>
    </w:rPr>
  </w:style>
  <w:style w:type="character" w:customStyle="1" w:styleId="EndnoteTextChar">
    <w:name w:val="Endnote Text Char"/>
    <w:basedOn w:val="DefaultParagraphFont"/>
    <w:link w:val="EndnoteText"/>
    <w:rsid w:val="0062595A"/>
    <w:rPr>
      <w:rFonts w:ascii="Calibri" w:eastAsia="Calibri" w:hAnsi="Calibri" w:cs="Arial"/>
      <w:lang w:val="en-GB" w:eastAsia="en-US"/>
    </w:rPr>
  </w:style>
  <w:style w:type="character" w:styleId="EndnoteReference">
    <w:name w:val="endnote reference"/>
    <w:basedOn w:val="DefaultParagraphFont"/>
    <w:rsid w:val="0062595A"/>
    <w:rPr>
      <w:position w:val="0"/>
      <w:vertAlign w:val="superscript"/>
    </w:rPr>
  </w:style>
  <w:style w:type="paragraph" w:customStyle="1" w:styleId="yiv3170009829msonormal">
    <w:name w:val="yiv3170009829msonormal"/>
    <w:basedOn w:val="Normal"/>
    <w:rsid w:val="0062595A"/>
    <w:pPr>
      <w:tabs>
        <w:tab w:val="clear" w:pos="567"/>
        <w:tab w:val="clear" w:pos="1134"/>
        <w:tab w:val="clear" w:pos="1701"/>
        <w:tab w:val="clear" w:pos="2268"/>
        <w:tab w:val="clear" w:pos="2835"/>
      </w:tabs>
      <w:suppressAutoHyphens/>
      <w:overflowPunct/>
      <w:autoSpaceDE/>
      <w:adjustRightInd/>
      <w:spacing w:before="100" w:after="100"/>
      <w:jc w:val="both"/>
    </w:pPr>
    <w:rPr>
      <w:rFonts w:ascii="Times New Roman" w:eastAsia="MS Mincho" w:hAnsi="Times New Roman"/>
      <w:sz w:val="22"/>
      <w:szCs w:val="24"/>
      <w:lang w:val="fr-CH" w:eastAsia="fr-CH"/>
    </w:rPr>
  </w:style>
  <w:style w:type="character" w:customStyle="1" w:styleId="yiv3170009829msohyperlink">
    <w:name w:val="yiv3170009829msohyperlink"/>
    <w:basedOn w:val="DefaultParagraphFont"/>
    <w:rsid w:val="0062595A"/>
  </w:style>
  <w:style w:type="character" w:customStyle="1" w:styleId="enumlev1Char">
    <w:name w:val="enumlev1 Char"/>
    <w:basedOn w:val="DefaultParagraphFont"/>
    <w:rsid w:val="0062595A"/>
    <w:rPr>
      <w:rFonts w:ascii="Calibri" w:hAnsi="Calibri"/>
      <w:sz w:val="24"/>
      <w:lang w:val="en-GB" w:eastAsia="en-US"/>
    </w:rPr>
  </w:style>
  <w:style w:type="character" w:customStyle="1" w:styleId="tabchar">
    <w:name w:val="tabchar"/>
    <w:basedOn w:val="DefaultParagraphFont"/>
    <w:rsid w:val="0062595A"/>
  </w:style>
  <w:style w:type="character" w:customStyle="1" w:styleId="ui-provider">
    <w:name w:val="ui-provider"/>
    <w:basedOn w:val="DefaultParagraphFont"/>
    <w:rsid w:val="0062595A"/>
  </w:style>
  <w:style w:type="paragraph" w:customStyle="1" w:styleId="Subtitle1">
    <w:name w:val="Subtitle1"/>
    <w:basedOn w:val="Title1"/>
    <w:rsid w:val="0062595A"/>
    <w:pPr>
      <w:framePr w:hSpace="0" w:wrap="auto" w:vAnchor="margin" w:hAnchor="text" w:yAlign="inline"/>
      <w:suppressAutoHyphens/>
      <w:adjustRightInd/>
      <w:spacing w:before="120" w:after="160"/>
      <w:jc w:val="both"/>
    </w:pPr>
    <w:rPr>
      <w:rFonts w:eastAsia="MS Mincho"/>
    </w:rPr>
  </w:style>
  <w:style w:type="paragraph" w:customStyle="1" w:styleId="xmsonormal">
    <w:name w:val="x_msonormal"/>
    <w:basedOn w:val="Normal"/>
    <w:rsid w:val="0062595A"/>
    <w:pPr>
      <w:tabs>
        <w:tab w:val="clear" w:pos="567"/>
        <w:tab w:val="clear" w:pos="1134"/>
        <w:tab w:val="clear" w:pos="1701"/>
        <w:tab w:val="clear" w:pos="2268"/>
        <w:tab w:val="clear" w:pos="2835"/>
      </w:tabs>
      <w:suppressAutoHyphens/>
      <w:overflowPunct/>
      <w:autoSpaceDE/>
      <w:adjustRightInd/>
      <w:spacing w:before="0"/>
      <w:jc w:val="both"/>
      <w:textAlignment w:val="auto"/>
    </w:pPr>
    <w:rPr>
      <w:rFonts w:eastAsia="Calibri" w:cs="Calibri"/>
      <w:sz w:val="22"/>
      <w:szCs w:val="22"/>
      <w:lang w:eastAsia="en-GB"/>
    </w:rPr>
  </w:style>
  <w:style w:type="paragraph" w:styleId="NoSpacing">
    <w:name w:val="No Spacing"/>
    <w:rsid w:val="0062595A"/>
    <w:pPr>
      <w:suppressAutoHyphens/>
      <w:autoSpaceDN w:val="0"/>
      <w:textAlignment w:val="baseline"/>
    </w:pPr>
    <w:rPr>
      <w:rFonts w:ascii="Calibri" w:eastAsia="SimSun" w:hAnsi="Calibri" w:cs="Arial"/>
      <w:kern w:val="3"/>
      <w:sz w:val="22"/>
      <w:szCs w:val="22"/>
      <w:lang w:val="en-GB"/>
    </w:rPr>
  </w:style>
  <w:style w:type="paragraph" w:customStyle="1" w:styleId="pf0">
    <w:name w:val="pf0"/>
    <w:basedOn w:val="Normal"/>
    <w:rsid w:val="0062595A"/>
    <w:pPr>
      <w:tabs>
        <w:tab w:val="clear" w:pos="567"/>
        <w:tab w:val="clear" w:pos="1134"/>
        <w:tab w:val="clear" w:pos="1701"/>
        <w:tab w:val="clear" w:pos="2268"/>
        <w:tab w:val="clear" w:pos="2835"/>
      </w:tabs>
      <w:suppressAutoHyphens/>
      <w:overflowPunct/>
      <w:autoSpaceDE/>
      <w:adjustRightInd/>
      <w:spacing w:before="100" w:after="100"/>
      <w:jc w:val="both"/>
      <w:textAlignment w:val="auto"/>
    </w:pPr>
    <w:rPr>
      <w:rFonts w:ascii="Times New Roman" w:eastAsia="MS Mincho" w:hAnsi="Times New Roman"/>
      <w:sz w:val="22"/>
      <w:szCs w:val="24"/>
      <w:lang w:eastAsia="en-GB"/>
    </w:rPr>
  </w:style>
  <w:style w:type="character" w:customStyle="1" w:styleId="cf01">
    <w:name w:val="cf01"/>
    <w:basedOn w:val="DefaultParagraphFont"/>
    <w:rsid w:val="0062595A"/>
    <w:rPr>
      <w:rFonts w:ascii="Segoe UI" w:hAnsi="Segoe UI" w:cs="Segoe UI"/>
      <w:b/>
      <w:bCs/>
      <w:sz w:val="24"/>
      <w:szCs w:val="24"/>
    </w:rPr>
  </w:style>
  <w:style w:type="character" w:styleId="Mention">
    <w:name w:val="Mention"/>
    <w:basedOn w:val="DefaultParagraphFont"/>
    <w:rsid w:val="0062595A"/>
    <w:rPr>
      <w:color w:val="2B579A"/>
      <w:shd w:val="clear" w:color="auto" w:fill="E1DFDD"/>
    </w:rPr>
  </w:style>
  <w:style w:type="paragraph" w:styleId="Subtitle0">
    <w:name w:val="Subtitle"/>
    <w:basedOn w:val="Normal"/>
    <w:next w:val="Normal"/>
    <w:link w:val="SubtitleChar"/>
    <w:uiPriority w:val="11"/>
    <w:qFormat/>
    <w:rsid w:val="0062595A"/>
    <w:pPr>
      <w:suppressAutoHyphens/>
      <w:adjustRightInd/>
      <w:spacing w:after="160"/>
      <w:jc w:val="both"/>
    </w:pPr>
    <w:rPr>
      <w:rFonts w:eastAsia="SimSun" w:cs="Arial"/>
      <w:color w:val="5A5A5A"/>
      <w:spacing w:val="15"/>
      <w:sz w:val="22"/>
      <w:szCs w:val="22"/>
    </w:rPr>
  </w:style>
  <w:style w:type="character" w:customStyle="1" w:styleId="SubtitleChar">
    <w:name w:val="Subtitle Char"/>
    <w:basedOn w:val="DefaultParagraphFont"/>
    <w:link w:val="Subtitle0"/>
    <w:uiPriority w:val="11"/>
    <w:rsid w:val="0062595A"/>
    <w:rPr>
      <w:rFonts w:ascii="Calibri" w:eastAsia="SimSun" w:hAnsi="Calibri" w:cs="Arial"/>
      <w:color w:val="5A5A5A"/>
      <w:spacing w:val="15"/>
      <w:sz w:val="22"/>
      <w:szCs w:val="22"/>
      <w:lang w:val="en-GB" w:eastAsia="en-US"/>
    </w:rPr>
  </w:style>
  <w:style w:type="character" w:customStyle="1" w:styleId="wacimagecontainer">
    <w:name w:val="wacimagecontainer"/>
    <w:basedOn w:val="DefaultParagraphFont"/>
    <w:rsid w:val="0062595A"/>
  </w:style>
  <w:style w:type="paragraph" w:styleId="BodyText">
    <w:name w:val="Body Text"/>
    <w:basedOn w:val="Normal"/>
    <w:link w:val="BodyTextChar"/>
    <w:rsid w:val="0062595A"/>
    <w:pPr>
      <w:widowControl w:val="0"/>
      <w:tabs>
        <w:tab w:val="clear" w:pos="567"/>
        <w:tab w:val="clear" w:pos="1134"/>
        <w:tab w:val="clear" w:pos="1701"/>
        <w:tab w:val="clear" w:pos="2268"/>
        <w:tab w:val="clear" w:pos="2835"/>
      </w:tabs>
      <w:suppressAutoHyphens/>
      <w:overflowPunct/>
      <w:adjustRightInd/>
      <w:spacing w:before="0"/>
      <w:ind w:left="426"/>
      <w:textAlignment w:val="auto"/>
    </w:pPr>
    <w:rPr>
      <w:rFonts w:eastAsia="Calibri" w:cs="Calibri"/>
      <w:sz w:val="22"/>
      <w:szCs w:val="22"/>
      <w:lang w:val="en-US"/>
    </w:rPr>
  </w:style>
  <w:style w:type="character" w:customStyle="1" w:styleId="BodyTextChar">
    <w:name w:val="Body Text Char"/>
    <w:basedOn w:val="DefaultParagraphFont"/>
    <w:link w:val="BodyText"/>
    <w:rsid w:val="0062595A"/>
    <w:rPr>
      <w:rFonts w:ascii="Calibri" w:eastAsia="Calibri" w:hAnsi="Calibri" w:cs="Calibri"/>
      <w:sz w:val="22"/>
      <w:szCs w:val="22"/>
      <w:lang w:eastAsia="en-US"/>
    </w:rPr>
  </w:style>
  <w:style w:type="paragraph" w:customStyle="1" w:styleId="Sourcetext">
    <w:name w:val="Source text"/>
    <w:basedOn w:val="Normal"/>
    <w:rsid w:val="0062595A"/>
    <w:pPr>
      <w:widowControl w:val="0"/>
      <w:tabs>
        <w:tab w:val="left" w:pos="3402"/>
        <w:tab w:val="left" w:pos="3969"/>
      </w:tabs>
      <w:suppressAutoHyphens/>
      <w:overflowPunct/>
      <w:adjustRightInd/>
      <w:spacing w:before="0" w:after="120"/>
      <w:textAlignment w:val="center"/>
    </w:pPr>
    <w:rPr>
      <w:rFonts w:ascii="Avenir Nxt2 W1G" w:eastAsia="SimSun" w:hAnsi="Avenir Nxt2 W1G" w:cs="AvenirNext LT Pro Light"/>
      <w:color w:val="000000"/>
      <w:sz w:val="16"/>
      <w:szCs w:val="28"/>
      <w:lang w:val="fr-CH"/>
    </w:rPr>
  </w:style>
  <w:style w:type="paragraph" w:styleId="Caption">
    <w:name w:val="caption"/>
    <w:basedOn w:val="Normal"/>
    <w:next w:val="Normal"/>
    <w:rsid w:val="0062595A"/>
    <w:pPr>
      <w:suppressAutoHyphens/>
      <w:adjustRightInd/>
      <w:spacing w:before="0" w:after="200"/>
      <w:jc w:val="both"/>
    </w:pPr>
    <w:rPr>
      <w:rFonts w:eastAsia="MS Mincho"/>
      <w:i/>
      <w:iCs/>
      <w:color w:val="1F497D"/>
      <w:sz w:val="18"/>
      <w:szCs w:val="18"/>
    </w:rPr>
  </w:style>
  <w:style w:type="numbering" w:customStyle="1" w:styleId="LFO3">
    <w:name w:val="LFO3"/>
    <w:basedOn w:val="NoList"/>
    <w:rsid w:val="0062595A"/>
    <w:pPr>
      <w:numPr>
        <w:numId w:val="2"/>
      </w:numPr>
    </w:pPr>
  </w:style>
  <w:style w:type="numbering" w:customStyle="1" w:styleId="LFO4">
    <w:name w:val="LFO4"/>
    <w:basedOn w:val="NoList"/>
    <w:rsid w:val="0062595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itu-d/reports/statistics/facts-figures-for-lldc/" TargetMode="External"/><Relationship Id="rId21" Type="http://schemas.openxmlformats.org/officeDocument/2006/relationships/hyperlink" Target="https://www.itu.int/wrc-23/" TargetMode="External"/><Relationship Id="rId324" Type="http://schemas.openxmlformats.org/officeDocument/2006/relationships/hyperlink" Target="https://www.itu.int/en/journal/j-fet/Pages/default.aspx" TargetMode="External"/><Relationship Id="rId531" Type="http://schemas.openxmlformats.org/officeDocument/2006/relationships/hyperlink" Target="https://giga.global/" TargetMode="External"/><Relationship Id="rId170" Type="http://schemas.openxmlformats.org/officeDocument/2006/relationships/hyperlink" Target="https://www.itu.int/en/ITU-D/Cybersecurity/Pages/Cyber4Good/Cyber4Good.aspx" TargetMode="External"/><Relationship Id="rId268" Type="http://schemas.openxmlformats.org/officeDocument/2006/relationships/hyperlink" Target="https://www.itu.int/en/ITU-T/info/Pages/resources.aspx" TargetMode="External"/><Relationship Id="rId475" Type="http://schemas.openxmlformats.org/officeDocument/2006/relationships/hyperlink" Target="https://www.itu.int/pub/D-PHCB-DIG_AGE-2021" TargetMode="External"/><Relationship Id="rId32" Type="http://schemas.openxmlformats.org/officeDocument/2006/relationships/hyperlink" Target="https://academy.itu.int/digital-skills-communities/digital-transformation-centres-initiative" TargetMode="External"/><Relationship Id="rId128" Type="http://schemas.openxmlformats.org/officeDocument/2006/relationships/hyperlink" Target="https://www.itu.int/epublications/brific-space/en/home/index" TargetMode="External"/><Relationship Id="rId335" Type="http://schemas.openxmlformats.org/officeDocument/2006/relationships/hyperlink" Target="https://www.itu.int/en/ITU-R/seminars/rrs/rrs-22-ee/Pages/default.aspx" TargetMode="External"/><Relationship Id="rId542" Type="http://schemas.openxmlformats.org/officeDocument/2006/relationships/hyperlink" Target="https://www.itu.int/cities/dt-digest/" TargetMode="External"/><Relationship Id="rId181" Type="http://schemas.openxmlformats.org/officeDocument/2006/relationships/hyperlink" Target="https://www.itu.int/itu-t/workprog/wp_search.aspx?sg=17" TargetMode="External"/><Relationship Id="rId402" Type="http://schemas.openxmlformats.org/officeDocument/2006/relationships/hyperlink" Target="https://www.unwomen.org/en/how-we-work/un-system-coordination/promoting-un-accountability" TargetMode="External"/><Relationship Id="rId279" Type="http://schemas.openxmlformats.org/officeDocument/2006/relationships/hyperlink" Target="https://www.itu.int/pub/T-RES-T.75-2022" TargetMode="External"/><Relationship Id="rId486" Type="http://schemas.openxmlformats.org/officeDocument/2006/relationships/hyperlink" Target="https://www.itu.int/en/ITU-D/Environment/Documents/Publications/2025/ITU-World%20Bank%20Green%20data%20centers_2023.pdf" TargetMode="External"/><Relationship Id="rId43" Type="http://schemas.openxmlformats.org/officeDocument/2006/relationships/hyperlink" Target="https://www.itu.int/digital-resilience/submarine-cables/events/about-nigeria-summit/" TargetMode="External"/><Relationship Id="rId139" Type="http://schemas.openxmlformats.org/officeDocument/2006/relationships/hyperlink" Target="https://www.itu.int/en/ITU-T/studygroups/2025-2028/" TargetMode="External"/><Relationship Id="rId346" Type="http://schemas.openxmlformats.org/officeDocument/2006/relationships/hyperlink" Target="https://www.itu.int/en/ITU-R/seminars/Fixed-Wireless-Service/Pages/default.aspx" TargetMode="External"/><Relationship Id="rId553" Type="http://schemas.openxmlformats.org/officeDocument/2006/relationships/hyperlink" Target="https://aiforgood.itu.int/" TargetMode="External"/><Relationship Id="rId192" Type="http://schemas.openxmlformats.org/officeDocument/2006/relationships/hyperlink" Target="https://www.itu.int/en/ITU-T/focusgroups/ai4h/Pages/default.aspx" TargetMode="External"/><Relationship Id="rId206" Type="http://schemas.openxmlformats.org/officeDocument/2006/relationships/hyperlink" Target="https://www.itu.int/en/ITU-D/Emergency-Telecommunications/Pages/AI-Sub-Group-EW4All-.aspx" TargetMode="External"/><Relationship Id="rId413" Type="http://schemas.openxmlformats.org/officeDocument/2006/relationships/hyperlink" Target="https://youngaglobal.com/" TargetMode="External"/><Relationship Id="rId497" Type="http://schemas.openxmlformats.org/officeDocument/2006/relationships/hyperlink" Target="https://www.itu.int/en/mediacentre/Pages/PR-2025-11-10-Green-Digital-Action-COP30-announcement.aspx" TargetMode="External"/><Relationship Id="rId357" Type="http://schemas.openxmlformats.org/officeDocument/2006/relationships/hyperlink" Target="https://aiforgood.itu.int/ai-events-calendar/" TargetMode="External"/><Relationship Id="rId54" Type="http://schemas.openxmlformats.org/officeDocument/2006/relationships/hyperlink" Target="https://www.itu.int/dms_pub/itu-s/opb/conf/S-CONF-ACTF-2022-PDF-E.pdf" TargetMode="External"/><Relationship Id="rId217" Type="http://schemas.openxmlformats.org/officeDocument/2006/relationships/hyperlink" Target="https://aiforgood.itu.int/" TargetMode="External"/><Relationship Id="rId564" Type="http://schemas.openxmlformats.org/officeDocument/2006/relationships/hyperlink" Target="https://aiforgood.itu.int/event/international-ai-standards-summit-2/" TargetMode="External"/><Relationship Id="rId424" Type="http://schemas.openxmlformats.org/officeDocument/2006/relationships/hyperlink" Target="https://www.itu.int/en/action/youth/Pages/itu-secretary-generals-youth-advisory-board.aspx" TargetMode="External"/><Relationship Id="rId270" Type="http://schemas.openxmlformats.org/officeDocument/2006/relationships/chart" Target="charts/chart1.xml"/><Relationship Id="rId65" Type="http://schemas.openxmlformats.org/officeDocument/2006/relationships/hyperlink" Target="https://www.itu.int/pub/R-RES-R.73" TargetMode="External"/><Relationship Id="rId130" Type="http://schemas.openxmlformats.org/officeDocument/2006/relationships/hyperlink" Target="https://www.itu.int/ITU-R/BR-GeoCatalogue" TargetMode="External"/><Relationship Id="rId368" Type="http://schemas.openxmlformats.org/officeDocument/2006/relationships/hyperlink" Target="https://www.itu.int/md/S26-CL-INF-0010/en" TargetMode="External"/><Relationship Id="rId575" Type="http://schemas.openxmlformats.org/officeDocument/2006/relationships/hyperlink" Target="https://www.itu.int/en/ITU-T/focusgroups/ai4ndm/Pages/events.aspx" TargetMode="External"/><Relationship Id="rId228" Type="http://schemas.openxmlformats.org/officeDocument/2006/relationships/hyperlink" Target="https://www.itu.int/en/ITU-T/jca/qkdn/Pages/default.aspx" TargetMode="External"/><Relationship Id="rId435" Type="http://schemas.openxmlformats.org/officeDocument/2006/relationships/hyperlink" Target="https://www.itu.int/md/S21-CL-C-0072/en" TargetMode="External"/><Relationship Id="rId281" Type="http://schemas.openxmlformats.org/officeDocument/2006/relationships/hyperlink" Target="http://www.wsis.org/forum" TargetMode="External"/><Relationship Id="rId502" Type="http://schemas.openxmlformats.org/officeDocument/2006/relationships/hyperlink" Target="https://www.itu.int/initiatives/green-digital-action/events/all/green-digital-action-summit-2025/" TargetMode="External"/><Relationship Id="rId76" Type="http://schemas.openxmlformats.org/officeDocument/2006/relationships/hyperlink" Target="https://www.itu.int/rec/dologin_pub.asp?lang=e&amp;id=T-REC-A.25-202410-I!!PDF-E&amp;type=items" TargetMode="External"/><Relationship Id="rId141" Type="http://schemas.openxmlformats.org/officeDocument/2006/relationships/hyperlink" Target="https://itu.int/tdata/pubs/" TargetMode="External"/><Relationship Id="rId379" Type="http://schemas.openxmlformats.org/officeDocument/2006/relationships/hyperlink" Target="https://www.itu.int/en/ITU-D/Cybersecurity/Pages/Skills-Development/Her-CyberTracks.aspx" TargetMode="External"/><Relationship Id="rId586" Type="http://schemas.openxmlformats.org/officeDocument/2006/relationships/hyperlink" Target="https://www.itu.int/hub/publication/s-gen-invest-con-2025/" TargetMode="External"/><Relationship Id="rId7" Type="http://schemas.openxmlformats.org/officeDocument/2006/relationships/settings" Target="settings.xml"/><Relationship Id="rId239" Type="http://schemas.openxmlformats.org/officeDocument/2006/relationships/hyperlink" Target="https://www.itu.int/metaverse/un-virtual-worlds-day/thinkathon/" TargetMode="External"/><Relationship Id="rId446" Type="http://schemas.openxmlformats.org/officeDocument/2006/relationships/hyperlink" Target="https://www.itu.int/en/ITU-D/Digital-Inclusion/Documents/Formato%20de%20evaluaci&#243;n%20UIT%20para%20la%20Accesibilidad%20TIC%20-%20FINAL_1.xlsm" TargetMode="External"/><Relationship Id="rId292" Type="http://schemas.openxmlformats.org/officeDocument/2006/relationships/hyperlink" Target="https://www.itu.int/en/itu-wsis/Documents/WSIS20/WSIS+20Report.pdf" TargetMode="External"/><Relationship Id="rId306" Type="http://schemas.openxmlformats.org/officeDocument/2006/relationships/hyperlink" Target="https://aiforgood.itu.int/" TargetMode="External"/><Relationship Id="rId87" Type="http://schemas.openxmlformats.org/officeDocument/2006/relationships/image" Target="media/image3.png"/><Relationship Id="rId513"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6119294|Unknown|TWFpbGZsb3d8eyJFbXB0eU1hcGkiOnRydWUsIlYiOiIwLjAuMDAwMCIsIlAiOiJXaW4zMiIsIkFOIjoiTWFpbCIsIldUIjoyfQ%3D%3D|0|||&amp;sdata=ZySl%2FncpRrEwmJw1ekS6rEjXuZNK22c8lgWdGz%2Bkj2A%3D&amp;reserved=0" TargetMode="External"/><Relationship Id="rId597" Type="http://schemas.openxmlformats.org/officeDocument/2006/relationships/hyperlink" Target="https://www.itu.int/en/action/youth/Pages/YPP.aspx" TargetMode="External"/><Relationship Id="rId152" Type="http://schemas.openxmlformats.org/officeDocument/2006/relationships/hyperlink" Target="https://www.itu.int/en/ITU-T/regionalgroups/sg15-afr/Pages/default.aspx" TargetMode="External"/><Relationship Id="rId457" Type="http://schemas.openxmlformats.org/officeDocument/2006/relationships/hyperlink" Target="https://www.itu.int/pub/T-TUT-EHT-2024-3" TargetMode="External"/><Relationship Id="rId14" Type="http://schemas.openxmlformats.org/officeDocument/2006/relationships/hyperlink" Target="https://www.itu.int/en/council/Documents/basic-texts/Convention-E.pdf" TargetMode="External"/><Relationship Id="rId317" Type="http://schemas.openxmlformats.org/officeDocument/2006/relationships/hyperlink" Target="https://www.itu.int/itu-d/meetings/gsr-24/wp-content/uploads/sites/24/2024/08/GSR-2024_BestPracticeGuidelines.pdf" TargetMode="External"/><Relationship Id="rId524" Type="http://schemas.openxmlformats.org/officeDocument/2006/relationships/hyperlink" Target="https://www.equalsintech.org/research" TargetMode="External"/><Relationship Id="rId98" Type="http://schemas.openxmlformats.org/officeDocument/2006/relationships/hyperlink" Target="https://www.itu.int/en/ITU-D/Statistics/Pages/ICTprices/default.aspx" TargetMode="External"/><Relationship Id="rId121" Type="http://schemas.openxmlformats.org/officeDocument/2006/relationships/hyperlink" Target="https://www.itu.int/wrc-23/" TargetMode="External"/><Relationship Id="rId163" Type="http://schemas.openxmlformats.org/officeDocument/2006/relationships/hyperlink" Target="https://u4ssc.itu.int/" TargetMode="External"/><Relationship Id="rId219" Type="http://schemas.openxmlformats.org/officeDocument/2006/relationships/hyperlink" Target="https://aiforgood.itu.int/summit26/" TargetMode="External"/><Relationship Id="rId370" Type="http://schemas.openxmlformats.org/officeDocument/2006/relationships/hyperlink" Target="https://www.itu.int/en/ITU-D/Pages/regional-initiatives-2026-2029.aspx" TargetMode="External"/><Relationship Id="rId426" Type="http://schemas.openxmlformats.org/officeDocument/2006/relationships/hyperlink" Target="https://www.itu.int/en/action/youth/Pages/YPP.aspx" TargetMode="External"/><Relationship Id="rId230" Type="http://schemas.openxmlformats.org/officeDocument/2006/relationships/hyperlink" Target="https://docs.un.org/en/A/RES/78/287" TargetMode="External"/><Relationship Id="rId468" Type="http://schemas.openxmlformats.org/officeDocument/2006/relationships/hyperlink" Target="http://www.itu.int/pub/R-HDB-63" TargetMode="External"/><Relationship Id="rId25" Type="http://schemas.openxmlformats.org/officeDocument/2006/relationships/hyperlink" Target="https://aiforgood.itu.int/quantum-for-good/" TargetMode="External"/><Relationship Id="rId67" Type="http://schemas.openxmlformats.org/officeDocument/2006/relationships/hyperlink" Target="https://www.itu.int/pub/R-RES-R.75" TargetMode="External"/><Relationship Id="rId272" Type="http://schemas.openxmlformats.org/officeDocument/2006/relationships/hyperlink" Target="https://www.itu.int/itu-d/sites/projects/home/projects/" TargetMode="External"/><Relationship Id="rId328" Type="http://schemas.openxmlformats.org/officeDocument/2006/relationships/hyperlink" Target="https://www.itu.int/en/ITU-T/academia/kaleidoscope/2022/Pages/default.aspx" TargetMode="External"/><Relationship Id="rId535" Type="http://schemas.openxmlformats.org/officeDocument/2006/relationships/hyperlink" Target="https://www.itu.int/un-virtual-worlds-day/2025/" TargetMode="External"/><Relationship Id="rId577" Type="http://schemas.openxmlformats.org/officeDocument/2006/relationships/hyperlink" Target="https://www.itu.int/en/ITU-T/extcoop/ai4resilience/Pages/default.aspx" TargetMode="External"/><Relationship Id="rId132" Type="http://schemas.openxmlformats.org/officeDocument/2006/relationships/hyperlink" Target="https://www.itu.int/rec/T-REC-E.1121-202406-I" TargetMode="External"/><Relationship Id="rId174" Type="http://schemas.openxmlformats.org/officeDocument/2006/relationships/hyperlink" Target="https://www.itu.int/digital-resilience/submarine-cables/events/about-nigeria-summit/" TargetMode="External"/><Relationship Id="rId381" Type="http://schemas.openxmlformats.org/officeDocument/2006/relationships/hyperlink" Target="https://www.itu.int/hub/2020/12/americas-girls-can-code-leveling-the-tech-playing-field-for-girls-and-women/" TargetMode="External"/><Relationship Id="rId602" Type="http://schemas.openxmlformats.org/officeDocument/2006/relationships/header" Target="header2.xml"/><Relationship Id="rId241" Type="http://schemas.openxmlformats.org/officeDocument/2006/relationships/hyperlink" Target="https://www.itu.int/metaverse/virtual-worlds/1st-un-citiverse-challenge/" TargetMode="External"/><Relationship Id="rId437" Type="http://schemas.openxmlformats.org/officeDocument/2006/relationships/hyperlink" Target="https://www.itu.int/en/ITU-D/Regional-Presence/AsiaPacific/Pages/v2/regional-events.aspx" TargetMode="External"/><Relationship Id="rId479" Type="http://schemas.openxmlformats.org/officeDocument/2006/relationships/hyperlink" Target="https://www.itu.int/en/ITU-D/Environment/Pages/Publications/WEEE-Saudi-Arabia-Toolkit.aspx" TargetMode="External"/><Relationship Id="rId36" Type="http://schemas.openxmlformats.org/officeDocument/2006/relationships/hyperlink" Target="https://aiforgood.itu.int/" TargetMode="External"/><Relationship Id="rId283" Type="http://schemas.openxmlformats.org/officeDocument/2006/relationships/hyperlink" Target="http://www.wsis.org/prizes" TargetMode="External"/><Relationship Id="rId339" Type="http://schemas.openxmlformats.org/officeDocument/2006/relationships/hyperlink" Target="https://www.itu.int/en/ITU-R/seminars/rrs/rrs-24-cis/Pages/default.aspx" TargetMode="External"/><Relationship Id="rId490" Type="http://schemas.openxmlformats.org/officeDocument/2006/relationships/hyperlink" Target="https://www.itu.int/partner2connect/" TargetMode="External"/><Relationship Id="rId504" Type="http://schemas.openxmlformats.org/officeDocument/2006/relationships/hyperlink" Target="https://www.itu.int/initiatives/sdgdigital/" TargetMode="External"/><Relationship Id="rId546" Type="http://schemas.openxmlformats.org/officeDocument/2006/relationships/hyperlink" Target="https://www.itu.int/en/ITU-T/extcoop/cits/Pages/default.aspx" TargetMode="External"/><Relationship Id="rId78" Type="http://schemas.openxmlformats.org/officeDocument/2006/relationships/hyperlink" Target="https://www.itu.int/itu-d/meetings/wtdc25/wp-content/uploads/sites/29/2025/11/WTDC-25-Declaration.pdf" TargetMode="External"/><Relationship Id="rId101" Type="http://schemas.openxmlformats.org/officeDocument/2006/relationships/hyperlink" Target="https://www.unesco.org/en/sdg4scorecard-dashboard" TargetMode="External"/><Relationship Id="rId143" Type="http://schemas.openxmlformats.org/officeDocument/2006/relationships/hyperlink" Target="https://www.itu.int/en/gmpcs/Pages/default.aspx" TargetMode="External"/><Relationship Id="rId185" Type="http://schemas.openxmlformats.org/officeDocument/2006/relationships/hyperlink" Target="https://www.itu.int/metaverse/virtual-worlds/" TargetMode="External"/><Relationship Id="rId350" Type="http://schemas.openxmlformats.org/officeDocument/2006/relationships/hyperlink" Target="https://www.itu.int/en/ITU-R/study-groups/rsg7/rwp7d/Pages/seminar-radio-astronomy-2024.aspx" TargetMode="External"/><Relationship Id="rId406" Type="http://schemas.openxmlformats.org/officeDocument/2006/relationships/hyperlink" Target="https://www.itu.int/md/S24-CL-C-0006/en" TargetMode="External"/><Relationship Id="rId588" Type="http://schemas.openxmlformats.org/officeDocument/2006/relationships/hyperlink" Target="https://www.itu.int/md/S25-CWGWSIS42-C-0010/en" TargetMode="External"/><Relationship Id="rId9" Type="http://schemas.openxmlformats.org/officeDocument/2006/relationships/footnotes" Target="footnotes.xml"/><Relationship Id="rId210" Type="http://schemas.openxmlformats.org/officeDocument/2006/relationships/hyperlink" Target="https://www.itu.int/en/action/ai/Pages/UN-inter-agency-working-group-on-AI.aspx" TargetMode="External"/><Relationship Id="rId392" Type="http://schemas.openxmlformats.org/officeDocument/2006/relationships/hyperlink" Target="https://academy.itu.int/training-courses/full-catalogue/super-women-series-enhance-your-presence-influence-and-impact" TargetMode="External"/><Relationship Id="rId448" Type="http://schemas.openxmlformats.org/officeDocument/2006/relationships/hyperlink" Target="https://youtu.be/QHgdiGdzb6E" TargetMode="External"/><Relationship Id="rId252" Type="http://schemas.openxmlformats.org/officeDocument/2006/relationships/hyperlink" Target="https://www.itu.int/cities/dt-digest/" TargetMode="External"/><Relationship Id="rId294" Type="http://schemas.openxmlformats.org/officeDocument/2006/relationships/hyperlink" Target="https://www.itu.int/md/meetingdoc.asp?lang=en&amp;parent=S26-CWGWSIS44-C-0005" TargetMode="External"/><Relationship Id="rId308" Type="http://schemas.openxmlformats.org/officeDocument/2006/relationships/hyperlink" Target="https://aiforgood.itu.int/summit24/" TargetMode="External"/><Relationship Id="rId515" Type="http://schemas.openxmlformats.org/officeDocument/2006/relationships/hyperlink" Target="https://eur03.safelinks.protection.outlook.com/?url=https%3A%2F%2Fwww.equalsintech.org%2F&amp;data=05|02|fernando.rivera%40itu.int|25850ebcdcaa42ef3ee508de787057c6|23e464d704e64b87913c24bd89219fd3|0|0|639080621056155187|Unknown|TWFpbGZsb3d8eyJFbXB0eU1hcGkiOnRydWUsIlYiOiIwLjAuMDAwMCIsIlAiOiJXaW4zMiIsIkFOIjoiTWFpbCIsIldUIjoyfQ%3D%3D|0|||&amp;sdata=NOL9h1C6LtYF1ELJBO6tSrHKhasuKmx15clz77i8sk4%3D&amp;reserved=0" TargetMode="External"/><Relationship Id="rId47" Type="http://schemas.openxmlformats.org/officeDocument/2006/relationships/hyperlink" Target="https://www.itu.int/en/council/planning/Documents/ITU_Strategic_plan_2020-2023.pdf" TargetMode="External"/><Relationship Id="rId89" Type="http://schemas.openxmlformats.org/officeDocument/2006/relationships/hyperlink" Target="https://www.itu.int/en/ITU-D/Statistics/pages/facts/default.aspx" TargetMode="External"/><Relationship Id="rId112" Type="http://schemas.openxmlformats.org/officeDocument/2006/relationships/image" Target="media/image14.png"/><Relationship Id="rId154" Type="http://schemas.openxmlformats.org/officeDocument/2006/relationships/hyperlink" Target="https://www.itu.int/pub/T-RES-T.55-2024" TargetMode="External"/><Relationship Id="rId361" Type="http://schemas.openxmlformats.org/officeDocument/2006/relationships/hyperlink" Target="https://www.itu.int/women-and-girls/girls-in-ict/" TargetMode="External"/><Relationship Id="rId557" Type="http://schemas.openxmlformats.org/officeDocument/2006/relationships/hyperlink" Target="https://www.worldstandardsday.org/home.html" TargetMode="External"/><Relationship Id="rId599" Type="http://schemas.openxmlformats.org/officeDocument/2006/relationships/image" Target="media/image24.png"/><Relationship Id="rId196" Type="http://schemas.openxmlformats.org/officeDocument/2006/relationships/hyperlink" Target="https://www.itu.int/en/ITU-T/extcoop/ai-data-commons/Pages/default.aspx" TargetMode="External"/><Relationship Id="rId417" Type="http://schemas.openxmlformats.org/officeDocument/2006/relationships/hyperlink" Target="https://www.itu.int/itu-d/meetings/global-youth-summit-25/" TargetMode="External"/><Relationship Id="rId459" Type="http://schemas.openxmlformats.org/officeDocument/2006/relationships/hyperlink" Target="https://www.itu.int/en/ITU-T/focusgroups/ai4h/Pages/default.aspx" TargetMode="External"/><Relationship Id="rId16" Type="http://schemas.openxmlformats.org/officeDocument/2006/relationships/header" Target="header1.xml"/><Relationship Id="rId221" Type="http://schemas.openxmlformats.org/officeDocument/2006/relationships/hyperlink" Target="https://www.itu.int/en/ITU-T/studygroups/2025-2028/11/Pages/default.aspx" TargetMode="External"/><Relationship Id="rId263" Type="http://schemas.openxmlformats.org/officeDocument/2006/relationships/hyperlink" Target="https://academy.itu.int/itu-d/projects-activities/itu-academy-training-centres" TargetMode="External"/><Relationship Id="rId319" Type="http://schemas.openxmlformats.org/officeDocument/2006/relationships/hyperlink" Target="https://www.itu.int/hub/membership/" TargetMode="External"/><Relationship Id="rId470" Type="http://schemas.openxmlformats.org/officeDocument/2006/relationships/hyperlink" Target="https://academy.itu.int/training-courses/full-catalogue/formacion-en-herramientas-innovadoras-de-comunicacion-para-el-fortalecimiento-de-las-capacidades-de-2" TargetMode="External"/><Relationship Id="rId526" Type="http://schemas.openxmlformats.org/officeDocument/2006/relationships/hyperlink" Target="https://www.equalsintech.org/e-mentoring" TargetMode="External"/><Relationship Id="rId58" Type="http://schemas.openxmlformats.org/officeDocument/2006/relationships/hyperlink" Target="https://www.itu.int/pub/R-REG-RR-2024" TargetMode="External"/><Relationship Id="rId123" Type="http://schemas.openxmlformats.org/officeDocument/2006/relationships/hyperlink" Target="https://www.itu.int/pub/R-REG-RR-2024" TargetMode="External"/><Relationship Id="rId330" Type="http://schemas.openxmlformats.org/officeDocument/2006/relationships/hyperlink" Target="https://www.itu.int/en/ITU-T/academia/kaleidoscope/2026/Pages/default.aspx" TargetMode="External"/><Relationship Id="rId568" Type="http://schemas.openxmlformats.org/officeDocument/2006/relationships/hyperlink" Target="https://eur03.safelinks.protection.outlook.com/?url=https%3A%2F%2Fwww.youtube.com%2Fwatch%3Fv%3DxjKjamBKHAw%26feature%3Dyoutu.be&amp;data=05|02|vanessa.gray%40itu.int|6d58bd5fc83240215f7f08de51d9734a|23e464d704e64b87913c24bd89219fd3|0|0|639038191533613038|Unknown|TWFpbGZsb3d8eyJFbXB0eU1hcGkiOnRydWUsIlYiOiIwLjAuMDAwMCIsIlAiOiJXaW4zMiIsIkFOIjoiTWFpbCIsIldUIjoyfQ%3D%3D|0|||&amp;sdata=pqQRDmH%2BPPboHWpgzscemcT244Uv%2FEWC%2FM1GW0wKen8%3D&amp;reserved=0" TargetMode="External"/><Relationship Id="rId165" Type="http://schemas.openxmlformats.org/officeDocument/2006/relationships/hyperlink" Target="https://www.itu.int/en/ITU-T/studygroups/2022-2024/16/Pages/sl.aspx" TargetMode="External"/><Relationship Id="rId372" Type="http://schemas.openxmlformats.org/officeDocument/2006/relationships/hyperlink" Target="https://www.itu.int/hub/publication/d-phcb-equal-02-2023" TargetMode="External"/><Relationship Id="rId428" Type="http://schemas.openxmlformats.org/officeDocument/2006/relationships/hyperlink" Target="https://www.itu.int/md/S24-CL-C-0031/en" TargetMode="External"/><Relationship Id="rId232" Type="http://schemas.openxmlformats.org/officeDocument/2006/relationships/hyperlink" Target="https://aiforgood.itu.int/search-result-programme/?keyword=&amp;category=802&amp;event-venue=&amp;enddate=&amp;startdate=" TargetMode="External"/><Relationship Id="rId274" Type="http://schemas.openxmlformats.org/officeDocument/2006/relationships/hyperlink" Target="http://www.wsis.org" TargetMode="External"/><Relationship Id="rId481" Type="http://schemas.openxmlformats.org/officeDocument/2006/relationships/hyperlink" Target="https://www.itu.int/rec/T-REC-L.1061/en" TargetMode="External"/><Relationship Id="rId27" Type="http://schemas.openxmlformats.org/officeDocument/2006/relationships/hyperlink" Target="https://www.itu.int/cities/year-in-review-2023/fg-ai4a/" TargetMode="External"/><Relationship Id="rId69" Type="http://schemas.openxmlformats.org/officeDocument/2006/relationships/hyperlink" Target="https://www.itu.int/wtsa/2024/" TargetMode="External"/><Relationship Id="rId134" Type="http://schemas.openxmlformats.org/officeDocument/2006/relationships/hyperlink" Target="https://www.itu.int/epublications/publication/itu-t-tr-mmwf-2025-02-methodologies-to-mitigate-wangiri-fraud" TargetMode="External"/><Relationship Id="rId537" Type="http://schemas.openxmlformats.org/officeDocument/2006/relationships/hyperlink" Target="https://u4ssc.itu.int/u4ssc-kpi/" TargetMode="External"/><Relationship Id="rId579" Type="http://schemas.openxmlformats.org/officeDocument/2006/relationships/hyperlink" Target="https://www.itu.int/en/ITU-T/focusgroups/ai4a/Pages/events.aspx" TargetMode="External"/><Relationship Id="rId80" Type="http://schemas.openxmlformats.org/officeDocument/2006/relationships/hyperlink" Target="https://www.itu.int/en/ITU-D/Pages/regional-initiatives-2026-2029.aspx" TargetMode="External"/><Relationship Id="rId176" Type="http://schemas.openxmlformats.org/officeDocument/2006/relationships/hyperlink" Target="https://www.itu.int/digital-resilience/submarine-cables/wp-content/uploads/sites/2/2026/02/Porto-Summit-Declaration.pdf" TargetMode="External"/><Relationship Id="rId341" Type="http://schemas.openxmlformats.org/officeDocument/2006/relationships/hyperlink" Target="https://www.itu.int/en/ITU-R/conferences/wrc/2023/irwsp/Pages/2023.aspx" TargetMode="External"/><Relationship Id="rId383" Type="http://schemas.openxmlformats.org/officeDocument/2006/relationships/hyperlink" Target="https://academy.itu.int/training-courses/full-catalogue/gender-analysis-and-digital-inclusion-how-achieve-gender-equality-digital-sector" TargetMode="External"/><Relationship Id="rId439" Type="http://schemas.openxmlformats.org/officeDocument/2006/relationships/hyperlink" Target="https://www.itu.int/en/ITU-D/Regional-Presence/Europe/Pages/Events/2022/Accessible%20Europe%20ICT%204%20All%20Forum%20-%206%20Dec%202022/Accessible-Europe-ICT-4-All-Forum--Celebration-of-the-International-Day-of-Persons-with-Disabilities-.aspx" TargetMode="External"/><Relationship Id="rId590" Type="http://schemas.openxmlformats.org/officeDocument/2006/relationships/hyperlink" Target="https://social.desa.un.org/world-summit-2025/documents/doha-political-declaration-of-the-world-social-summit-under-the-title" TargetMode="External"/><Relationship Id="rId604" Type="http://schemas.openxmlformats.org/officeDocument/2006/relationships/fontTable" Target="fontTable.xml"/><Relationship Id="rId201" Type="http://schemas.openxmlformats.org/officeDocument/2006/relationships/hyperlink" Target="https://aiforgood.itu.int/young-ai-leaders-community/" TargetMode="External"/><Relationship Id="rId243" Type="http://schemas.openxmlformats.org/officeDocument/2006/relationships/image" Target="media/image17.jpeg"/><Relationship Id="rId285" Type="http://schemas.openxmlformats.org/officeDocument/2006/relationships/hyperlink" Target="https://www.itu.int/en/itu-wsis/Pages/Contribution.aspx" TargetMode="External"/><Relationship Id="rId450" Type="http://schemas.openxmlformats.org/officeDocument/2006/relationships/hyperlink" Target="https://youtu.be/wJmsFRl5x-k" TargetMode="External"/><Relationship Id="rId506" Type="http://schemas.openxmlformats.org/officeDocument/2006/relationships/hyperlink" Target="https://www.itu.int/initiatives/digital-unga2025/" TargetMode="External"/><Relationship Id="rId38" Type="http://schemas.openxmlformats.org/officeDocument/2006/relationships/hyperlink" Target="https://www.itu.int/partner2connect/" TargetMode="External"/><Relationship Id="rId103" Type="http://schemas.openxmlformats.org/officeDocument/2006/relationships/hyperlink" Target="https://databrowser.uis.unesco.org/" TargetMode="External"/><Relationship Id="rId310" Type="http://schemas.openxmlformats.org/officeDocument/2006/relationships/hyperlink" Target="https://aiforgood.itu.int/impact-initiative/" TargetMode="External"/><Relationship Id="rId492" Type="http://schemas.openxmlformats.org/officeDocument/2006/relationships/hyperlink" Target="https://www.itu.int/initiatives/green-digital-action/events/all/cop28/" TargetMode="External"/><Relationship Id="rId548" Type="http://schemas.openxmlformats.org/officeDocument/2006/relationships/hyperlink" Target="https://www.itu.int/en/ITU-T/extcoop/cits/Pages/egcomad.aspx" TargetMode="External"/><Relationship Id="rId91" Type="http://schemas.openxmlformats.org/officeDocument/2006/relationships/hyperlink" Target="https://www.itu.int/itu-d/reports/statistics/2025/10/15/ff25-mobile-network-coverage/" TargetMode="External"/><Relationship Id="rId145" Type="http://schemas.openxmlformats.org/officeDocument/2006/relationships/hyperlink" Target="https://aiforgood.itu.int/ai-standards-exchange/" TargetMode="External"/><Relationship Id="rId187" Type="http://schemas.openxmlformats.org/officeDocument/2006/relationships/hyperlink" Target="https://www.itu.int/en/action/ai/Pages/default.aspx" TargetMode="External"/><Relationship Id="rId352" Type="http://schemas.openxmlformats.org/officeDocument/2006/relationships/hyperlink" Target="https://www.itu.int/en/ITU-T/Workshops-and-Seminars/2022/0125/Pages/default.aspx" TargetMode="External"/><Relationship Id="rId394" Type="http://schemas.openxmlformats.org/officeDocument/2006/relationships/hyperlink" Target="https://www.itu.int/now4wrc23/" TargetMode="External"/><Relationship Id="rId408" Type="http://schemas.openxmlformats.org/officeDocument/2006/relationships/hyperlink" Target="https://www.itu.int/generationconnect/wp-content/uploads/2020/11/ITU_Youth_Strategy.pdf" TargetMode="External"/><Relationship Id="rId212" Type="http://schemas.openxmlformats.org/officeDocument/2006/relationships/hyperlink" Target="https://unsceb.org/sites/default/files/2024-04/United%20Nations%20System%20White%20Paper%20on%20AI%20Governance.pdf" TargetMode="External"/><Relationship Id="rId254" Type="http://schemas.openxmlformats.org/officeDocument/2006/relationships/hyperlink" Target="https://www.itu.int/en/ITU-D/Statistics/Pages/definitions/default.aspx" TargetMode="External"/><Relationship Id="rId49" Type="http://schemas.openxmlformats.org/officeDocument/2006/relationships/image" Target="media/image2.png"/><Relationship Id="rId114" Type="http://schemas.openxmlformats.org/officeDocument/2006/relationships/hyperlink" Target="https://www.itu.int/en/ITU-D/Statistics/Documents/publications/manual/ITU_HHManual_ICTskills_rev2025.pdf" TargetMode="External"/><Relationship Id="rId296" Type="http://schemas.openxmlformats.org/officeDocument/2006/relationships/hyperlink" Target="https://www.itu.int/net4/wsis/ungis/Articles/View/2239" TargetMode="External"/><Relationship Id="rId461" Type="http://schemas.openxmlformats.org/officeDocument/2006/relationships/hyperlink" Target="https://www.itu.int/en/ITU-T/studygroups/2025-2028/20/Pages/default.aspx" TargetMode="External"/><Relationship Id="rId517" Type="http://schemas.openxmlformats.org/officeDocument/2006/relationships/hyperlink" Target="https://eur03.safelinks.protection.outlook.com/?url=https%3A%2F%2Fwww.broadbandcommission.org%2Fworking-groups%2Fdata-governance%2F&amp;data=05|02|fernando.rivera%40itu.int|25850ebcdcaa42ef3ee508de787057c6|23e464d704e64b87913c24bd89219fd3|0|0|639080621056189478|Unknown|TWFpbGZsb3d8eyJFbXB0eU1hcGkiOnRydWUsIlYiOiIwLjAuMDAwMCIsIlAiOiJXaW4zMiIsIkFOIjoiTWFpbCIsIldUIjoyfQ%3D%3D|0|||&amp;sdata=3y4UEJMAfevInE%2FLd8QEoDl1nwRHmyFMTZJLmU%2BY3VE%3D&amp;reserved=0" TargetMode="External"/><Relationship Id="rId559" Type="http://schemas.openxmlformats.org/officeDocument/2006/relationships/hyperlink" Target="https://www.worldstandardscooperation.org/" TargetMode="External"/><Relationship Id="rId60" Type="http://schemas.openxmlformats.org/officeDocument/2006/relationships/hyperlink" Target="https://www.itu.int/pub/R-RES-R.1" TargetMode="External"/><Relationship Id="rId156" Type="http://schemas.openxmlformats.org/officeDocument/2006/relationships/hyperlink" Target="https://www.itu.int/myworkspace" TargetMode="External"/><Relationship Id="rId198" Type="http://schemas.openxmlformats.org/officeDocument/2006/relationships/hyperlink" Target="https://www.worldstandardscooperation.org/" TargetMode="External"/><Relationship Id="rId321" Type="http://schemas.openxmlformats.org/officeDocument/2006/relationships/hyperlink" Target="https://www.itu.int/en/ITU-T/academia/kaleidoscope/Pages/default.aspx" TargetMode="External"/><Relationship Id="rId363" Type="http://schemas.openxmlformats.org/officeDocument/2006/relationships/hyperlink" Target="https://www.itu.int/itu-d/sites/digital-impact-unlocked/building-digital-capacity-for-the-future-atc-programme-update/" TargetMode="External"/><Relationship Id="rId419" Type="http://schemas.openxmlformats.org/officeDocument/2006/relationships/hyperlink" Target="https://www.itu.int/generationconnect/generation-connect-podcast/" TargetMode="External"/><Relationship Id="rId570" Type="http://schemas.openxmlformats.org/officeDocument/2006/relationships/hyperlink" Target="https://ituint.sharepoint.com/sites/DocsC2635andPP2620/Shared%20Documents/General/itu.int/pub/publications.aspx?lang=en&amp;parent=T-FG-AI4NDM-2022-1" TargetMode="External"/><Relationship Id="rId223" Type="http://schemas.openxmlformats.org/officeDocument/2006/relationships/hyperlink" Target="https://www.itu.int/en/ITU-T/studygroups/2025-2028/17/Pages/default.aspx" TargetMode="External"/><Relationship Id="rId430" Type="http://schemas.openxmlformats.org/officeDocument/2006/relationships/hyperlink" Target="https://www.itu.int/md/S25-CL-C-0032/en" TargetMode="External"/><Relationship Id="rId18" Type="http://schemas.openxmlformats.org/officeDocument/2006/relationships/hyperlink" Target="https://www.itu.int/en/council/Documents/basic-texts/RES-071-E.pdf" TargetMode="External"/><Relationship Id="rId265" Type="http://schemas.openxmlformats.org/officeDocument/2006/relationships/hyperlink" Target="https://academy.itu.int/index.php/main-activities/digital-transformation-centres-initiative" TargetMode="External"/><Relationship Id="rId472" Type="http://schemas.openxmlformats.org/officeDocument/2006/relationships/hyperlink" Target="https://www.itu.int/net4/wsis/forum/2023/Agenda/Session/383" TargetMode="External"/><Relationship Id="rId528" Type="http://schemas.openxmlformats.org/officeDocument/2006/relationships/hyperlink" Target="https://www.equalsintech.org/her-digital-skills" TargetMode="External"/><Relationship Id="rId125" Type="http://schemas.openxmlformats.org/officeDocument/2006/relationships/hyperlink" Target="https://www.itu.int/hub/publication/r-reg-rrx-2025/" TargetMode="External"/><Relationship Id="rId167" Type="http://schemas.openxmlformats.org/officeDocument/2006/relationships/hyperlink" Target="https://www.itu.int/en/ITU-D/Cybersecurity/Pages/national-CIRT.aspx" TargetMode="External"/><Relationship Id="rId332" Type="http://schemas.openxmlformats.org/officeDocument/2006/relationships/hyperlink" Target="https://www.itu.int/wrs-22/" TargetMode="External"/><Relationship Id="rId374" Type="http://schemas.openxmlformats.org/officeDocument/2006/relationships/hyperlink" Target="https://www.itu.int/women-and-girls/girls-in-ict/" TargetMode="External"/><Relationship Id="rId581" Type="http://schemas.openxmlformats.org/officeDocument/2006/relationships/hyperlink" Target="https://aiforgood.itu.int/ai-for-food-systems/" TargetMode="External"/><Relationship Id="rId71" Type="http://schemas.openxmlformats.org/officeDocument/2006/relationships/hyperlink" Target="https://www.itu.int/en/ITU-T/studygroups/2022-2024/09/Pages/default.aspx" TargetMode="External"/><Relationship Id="rId234" Type="http://schemas.openxmlformats.org/officeDocument/2006/relationships/hyperlink" Target="https://aiforgood.itu.int/the-future-leaders-in-quantum-hackathon/" TargetMode="External"/><Relationship Id="rId2" Type="http://schemas.openxmlformats.org/officeDocument/2006/relationships/customXml" Target="../customXml/item2.xml"/><Relationship Id="rId29" Type="http://schemas.openxmlformats.org/officeDocument/2006/relationships/hyperlink" Target="https://www.itu.int/itu-d/reports/statistics/facts-figures-2025/" TargetMode="External"/><Relationship Id="rId276" Type="http://schemas.openxmlformats.org/officeDocument/2006/relationships/hyperlink" Target="https://www.itu.int/md/S24-CL-C-0141/en" TargetMode="External"/><Relationship Id="rId441" Type="http://schemas.openxmlformats.org/officeDocument/2006/relationships/hyperlink" Target="https://academy.itu.int/" TargetMode="External"/><Relationship Id="rId483" Type="http://schemas.openxmlformats.org/officeDocument/2006/relationships/hyperlink" Target="https://www.itu.int/en/ITU-T/Workshops-and-Seminars/2025/1125/Documents/Louise%20Aubet.pdf" TargetMode="External"/><Relationship Id="rId539" Type="http://schemas.openxmlformats.org/officeDocument/2006/relationships/hyperlink" Target="https://u4ssc.itu.int/publications/" TargetMode="External"/><Relationship Id="rId40" Type="http://schemas.openxmlformats.org/officeDocument/2006/relationships/hyperlink" Target="https://www.broadbandcommission.org/" TargetMode="External"/><Relationship Id="rId136" Type="http://schemas.openxmlformats.org/officeDocument/2006/relationships/hyperlink" Target="https://www.itu.int/dms_pub/itu-t/opb/res/T-RES-T.91-2024-PDF-E.pdf" TargetMode="External"/><Relationship Id="rId178" Type="http://schemas.openxmlformats.org/officeDocument/2006/relationships/hyperlink" Target="https://www.itu.int/en/ITU-D/Cybersecurity/Pages/COP/COP%20Industry%20Connect/COP-Industry-Connect.aspx" TargetMode="External"/><Relationship Id="rId301" Type="http://schemas.openxmlformats.org/officeDocument/2006/relationships/hyperlink" Target="https://www.itu.int/en/ITU-D/Statistics/Pages/intlcoop/partnership/default.aspx" TargetMode="External"/><Relationship Id="rId343" Type="http://schemas.openxmlformats.org/officeDocument/2006/relationships/hyperlink" Target="https://www.itu.int/en/ITU-R/study-groups/workshops/sg6-itu-ebu-btc-2023/Pages/default.aspx" TargetMode="External"/><Relationship Id="rId550" Type="http://schemas.openxmlformats.org/officeDocument/2006/relationships/hyperlink" Target="https://www.itu.int/en/ITU-T/extcoop/cits/egcomad/wg02/Pages/default.aspx" TargetMode="External"/><Relationship Id="rId82" Type="http://schemas.openxmlformats.org/officeDocument/2006/relationships/hyperlink" Target="https://www.itu.int/itu-d/meetings/wtdc25/wp-content/uploads/sites/29/2025/12/Study-Group-Questions-2026-2029.pdf" TargetMode="External"/><Relationship Id="rId203" Type="http://schemas.openxmlformats.org/officeDocument/2006/relationships/hyperlink" Target="https://aiforgood.itu.int/about-ai-for-good/innovation-factory/" TargetMode="External"/><Relationship Id="rId385" Type="http://schemas.openxmlformats.org/officeDocument/2006/relationships/hyperlink" Target="https://www.equalsintech.org/_files/ugd/04bfff_cc8e6f166c2e41beabc88cbb3226f66f.pdf" TargetMode="External"/><Relationship Id="rId592" Type="http://schemas.openxmlformats.org/officeDocument/2006/relationships/hyperlink" Target="https://www.un.org/un80-initiative/sites/default/files/2025-11/UN80_Initiative_Action_Plan.pdf" TargetMode="External"/><Relationship Id="rId606" Type="http://schemas.openxmlformats.org/officeDocument/2006/relationships/theme" Target="theme/theme1.xml"/><Relationship Id="rId245" Type="http://schemas.openxmlformats.org/officeDocument/2006/relationships/hyperlink" Target="https://www.itu.int/en/ITU-T/studygroups/2025-2028/20/Pages/default.aspx" TargetMode="External"/><Relationship Id="rId287" Type="http://schemas.openxmlformats.org/officeDocument/2006/relationships/hyperlink" Target="https://www.itu.int/net4/wsis/forum/2023/en" TargetMode="External"/><Relationship Id="rId410" Type="http://schemas.openxmlformats.org/officeDocument/2006/relationships/hyperlink" Target="https://www.itu.int/generationconnect/youthsummit/youth-summit-resources/" TargetMode="External"/><Relationship Id="rId452" Type="http://schemas.openxmlformats.org/officeDocument/2006/relationships/hyperlink" Target="https://youtu.be/FsFOxfCois0" TargetMode="External"/><Relationship Id="rId494" Type="http://schemas.openxmlformats.org/officeDocument/2006/relationships/hyperlink" Target="https://www.itu.int/initiatives/green-digital-action/events/cop30/" TargetMode="External"/><Relationship Id="rId508"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5817585|Unknown|TWFpbGZsb3d8eyJFbXB0eU1hcGkiOnRydWUsIlYiOiIwLjAuMDAwMCIsIlAiOiJXaW4zMiIsIkFOIjoiTWFpbCIsIldUIjoyfQ%3D%3D|0|||&amp;sdata=J8lDblSbqY2Xrn%2B5MyEFSqfWmw1%2F6GX1YMEfzfleFJU%3D&amp;reserved=0" TargetMode="External"/><Relationship Id="rId105" Type="http://schemas.openxmlformats.org/officeDocument/2006/relationships/hyperlink" Target="https://www.itu.int/itu-d/reports/statistics/2025/10/15/ff25-internet-use/" TargetMode="External"/><Relationship Id="rId147" Type="http://schemas.openxmlformats.org/officeDocument/2006/relationships/hyperlink" Target="https://www.itu.int/pub/T-RES-T.44-2024" TargetMode="External"/><Relationship Id="rId312" Type="http://schemas.openxmlformats.org/officeDocument/2006/relationships/hyperlink" Target="http://gss.itu.int/" TargetMode="External"/><Relationship Id="rId354" Type="http://schemas.openxmlformats.org/officeDocument/2006/relationships/hyperlink" Target="https://www.itu.int/en/ITU-T/Workshops-and-Seminars/2023/Pages/default.aspx" TargetMode="External"/><Relationship Id="rId51" Type="http://schemas.openxmlformats.org/officeDocument/2006/relationships/hyperlink" Target="https://www.itu.int/en/council/Documents/basic-texts-2023/RES-071-E.pdf" TargetMode="External"/><Relationship Id="rId93" Type="http://schemas.openxmlformats.org/officeDocument/2006/relationships/hyperlink" Target="https://www.itu.int/itu-d/reports/statistics/2025/10/15/ff25-mobile-network-coverage/" TargetMode="External"/><Relationship Id="rId189" Type="http://schemas.openxmlformats.org/officeDocument/2006/relationships/hyperlink" Target="https://www.itu.int/en/ITU-T/focusgroups/ainn/Pages/default.aspx" TargetMode="External"/><Relationship Id="rId396" Type="http://schemas.openxmlformats.org/officeDocument/2006/relationships/hyperlink" Target="https://www.itu.int/hub/publication/d-hdb-gender-2023-01/" TargetMode="External"/><Relationship Id="rId561" Type="http://schemas.openxmlformats.org/officeDocument/2006/relationships/hyperlink" Target="https://aiforgood.itu.int/multimedia-authenticity/" TargetMode="External"/><Relationship Id="rId214" Type="http://schemas.openxmlformats.org/officeDocument/2006/relationships/hyperlink" Target="https://www.itu.int/pub/S-GEN-UNACT-2024" TargetMode="External"/><Relationship Id="rId256" Type="http://schemas.openxmlformats.org/officeDocument/2006/relationships/hyperlink" Target="https://www.itu.int/en/ITU-D/Statistics/Pages/publications/default.aspx" TargetMode="External"/><Relationship Id="rId298" Type="http://schemas.openxmlformats.org/officeDocument/2006/relationships/hyperlink" Target="https://docs.un.org/en/E/RES/2025/18" TargetMode="External"/><Relationship Id="rId421" Type="http://schemas.openxmlformats.org/officeDocument/2006/relationships/hyperlink" Target="https://www.youtube.com/watch?v=uB2eLaPDdDc" TargetMode="External"/><Relationship Id="rId463" Type="http://schemas.openxmlformats.org/officeDocument/2006/relationships/hyperlink" Target="https://www.itu.int/en/ITU-R/information/Pages/disabilities-divide.aspx" TargetMode="External"/><Relationship Id="rId519" Type="http://schemas.openxmlformats.org/officeDocument/2006/relationships/hyperlink" Target="https://www.equalsintech.org/" TargetMode="External"/><Relationship Id="rId116" Type="http://schemas.openxmlformats.org/officeDocument/2006/relationships/hyperlink" Target="https://www.itu.int/en/ITU-D/Statistics/Pages/facts/default.aspx" TargetMode="External"/><Relationship Id="rId158" Type="http://schemas.openxmlformats.org/officeDocument/2006/relationships/hyperlink" Target="https://www.itu.int/pub/T-RES-T.67-2024" TargetMode="External"/><Relationship Id="rId323" Type="http://schemas.openxmlformats.org/officeDocument/2006/relationships/hyperlink" Target="https://www.itu.int/hub/2025/09/new-itu-academic-collaboration-on-technology-trends/" TargetMode="External"/><Relationship Id="rId530" Type="http://schemas.openxmlformats.org/officeDocument/2006/relationships/hyperlink" Target="https://www.equalsintech.org/awards" TargetMode="External"/><Relationship Id="rId20" Type="http://schemas.openxmlformats.org/officeDocument/2006/relationships/hyperlink" Target="https://pp.itu.int/2022/en/" TargetMode="External"/><Relationship Id="rId62" Type="http://schemas.openxmlformats.org/officeDocument/2006/relationships/hyperlink" Target="https://www.itu.int/pub/R-RES-R.56" TargetMode="External"/><Relationship Id="rId365" Type="http://schemas.openxmlformats.org/officeDocument/2006/relationships/hyperlink" Target="https://www.itu.int/itu-d/sites/priorities/enablers-of-itu-d-priorities/regional-presence/" TargetMode="External"/><Relationship Id="rId572" Type="http://schemas.openxmlformats.org/officeDocument/2006/relationships/hyperlink" Target="https://www.itu.int/pub/T-FG-AI4NDM-2023-3" TargetMode="External"/><Relationship Id="rId225" Type="http://schemas.openxmlformats.org/officeDocument/2006/relationships/hyperlink" Target="https://www.itu.int/rec/T-REC-Y.3809/en" TargetMode="External"/><Relationship Id="rId267" Type="http://schemas.openxmlformats.org/officeDocument/2006/relationships/hyperlink" Target="https://academy.itu.int/itu-d/projects-activities/research-publications/digital-skills-toolkit" TargetMode="External"/><Relationship Id="rId432" Type="http://schemas.openxmlformats.org/officeDocument/2006/relationships/hyperlink" Target="https://aiforgood.itu.int/robotics-for-good-youth-challenge/" TargetMode="External"/><Relationship Id="rId474" Type="http://schemas.openxmlformats.org/officeDocument/2006/relationships/hyperlink" Target="https://www.silvereconomyforum.com/" TargetMode="External"/><Relationship Id="rId127" Type="http://schemas.openxmlformats.org/officeDocument/2006/relationships/hyperlink" Target="https://www.itu.int/sales/digital-publications/pub/r-sp-lm.mm" TargetMode="External"/><Relationship Id="rId31" Type="http://schemas.openxmlformats.org/officeDocument/2006/relationships/hyperlink" Target="https://academy.itu.int/" TargetMode="External"/><Relationship Id="rId73" Type="http://schemas.openxmlformats.org/officeDocument/2006/relationships/hyperlink" Target="https://www.itu.int/en/ITU-T/studygroups/2025-2028/21/Pages/default.aspx" TargetMode="External"/><Relationship Id="rId169" Type="http://schemas.openxmlformats.org/officeDocument/2006/relationships/hyperlink" Target="https://www.itu.int/en/ITU-D/Cybersecurity/Pages/global-cybersecurity-index.aspx" TargetMode="External"/><Relationship Id="rId334" Type="http://schemas.openxmlformats.org/officeDocument/2006/relationships/hyperlink" Target="https://www.itu.int/en/ITU-R/seminars/rrs/2022-Arab/Pages/default.aspx" TargetMode="External"/><Relationship Id="rId376" Type="http://schemas.openxmlformats.org/officeDocument/2006/relationships/hyperlink" Target="https://www.itu.int/en/ITU-D/Cybersecurity/Pages/Women-in-Cyber/Women-in-Cyber-Mentorship-Programme.aspx" TargetMode="External"/><Relationship Id="rId541" Type="http://schemas.openxmlformats.org/officeDocument/2006/relationships/hyperlink" Target="https://www.itu.int/cities/digitaltransformationdialogues/" TargetMode="External"/><Relationship Id="rId583" Type="http://schemas.openxmlformats.org/officeDocument/2006/relationships/hyperlink" Target="https://www.itu.int/en/ITU-T/focusgroups/ai4h/Pages/default.aspx" TargetMode="External"/><Relationship Id="rId4" Type="http://schemas.openxmlformats.org/officeDocument/2006/relationships/customXml" Target="../customXml/item4.xml"/><Relationship Id="rId180" Type="http://schemas.openxmlformats.org/officeDocument/2006/relationships/hyperlink" Target="https://www.itu.int/en/ITU-T/publications/Pages/recs.aspx" TargetMode="External"/><Relationship Id="rId236" Type="http://schemas.openxmlformats.org/officeDocument/2006/relationships/hyperlink" Target="https://www.itu.int/en/ITU-T/focusgroups/mv/Pages/default.aspx" TargetMode="External"/><Relationship Id="rId278" Type="http://schemas.openxmlformats.org/officeDocument/2006/relationships/hyperlink" Target="https://www.itu.int/itu-d/meetings/wtdc25/wp-content/uploads/sites/29/2025/11/090-E.pdf" TargetMode="External"/><Relationship Id="rId401" Type="http://schemas.openxmlformats.org/officeDocument/2006/relationships/hyperlink" Target="https://www.itu.int/hub/2025/11/lets-end-digital-violence-against-women-and-girls/" TargetMode="External"/><Relationship Id="rId443" Type="http://schemas.openxmlformats.org/officeDocument/2006/relationships/hyperlink" Target="https://www.itu.int/en/ITU-D/Digital-Inclusion/Pages/ICT-digital-accessibility/toolkits/towards-building-inclusive-digital-communities/2023/default.aspx" TargetMode="External"/><Relationship Id="rId303" Type="http://schemas.openxmlformats.org/officeDocument/2006/relationships/hyperlink" Target="https://aiforgood.itu.int/" TargetMode="External"/><Relationship Id="rId485" Type="http://schemas.openxmlformats.org/officeDocument/2006/relationships/hyperlink" Target="https://www.itu.int/en/action/environment-and-climate-change/Documents/publications/2023/Scope-3-Guidance-2023.pdf" TargetMode="External"/><Relationship Id="rId42" Type="http://schemas.openxmlformats.org/officeDocument/2006/relationships/hyperlink" Target="https://www.itu.int/initiatives/green-digital-action/" TargetMode="External"/><Relationship Id="rId84" Type="http://schemas.openxmlformats.org/officeDocument/2006/relationships/hyperlink" Target="https://www.itu.int/md/meetingdoc.asp?lang=en&amp;parent=D22-WTDC25-INF-0008" TargetMode="External"/><Relationship Id="rId138" Type="http://schemas.openxmlformats.org/officeDocument/2006/relationships/hyperlink" Target="https://www.itu.int/pub/R-REC" TargetMode="External"/><Relationship Id="rId345" Type="http://schemas.openxmlformats.org/officeDocument/2006/relationships/hyperlink" Target="https://www.itu.int/en/ITU-R/seminars/Future-of-tv-europe/Documents/Demos%20on%20Future%20of%20Broadcasting.pdf" TargetMode="External"/><Relationship Id="rId387" Type="http://schemas.openxmlformats.org/officeDocument/2006/relationships/hyperlink" Target="https://www.itu.int/women-and-girls/girls-in-ict/" TargetMode="External"/><Relationship Id="rId510" Type="http://schemas.openxmlformats.org/officeDocument/2006/relationships/hyperlink" Target="https://eur03.safelinks.protection.outlook.com/?url=https%3A%2F%2Fbroadbandcommission.org%2Fstate-of-broadband-archive%2F&amp;data=05|02|fernando.rivera%40itu.int|25850ebcdcaa42ef3ee508de787057c6|23e464d704e64b87913c24bd89219fd3|0|0|639080621055853452|Unknown|TWFpbGZsb3d8eyJFbXB0eU1hcGkiOnRydWUsIlYiOiIwLjAuMDAwMCIsIlAiOiJXaW4zMiIsIkFOIjoiTWFpbCIsIldUIjoyfQ%3D%3D|0|||&amp;sdata=UyIYANuTJEqw2Dvx2tBLtNjokDOK5uGxDM%2Bh%2BEcZTJI%3D&amp;reserved=0" TargetMode="External"/><Relationship Id="rId552" Type="http://schemas.openxmlformats.org/officeDocument/2006/relationships/hyperlink" Target="https://fnc.itu.int/" TargetMode="External"/><Relationship Id="rId594" Type="http://schemas.openxmlformats.org/officeDocument/2006/relationships/hyperlink" Target="https://www.itu.int/md/S24-CL-C-0052/en" TargetMode="External"/><Relationship Id="rId191" Type="http://schemas.openxmlformats.org/officeDocument/2006/relationships/hyperlink" Target="https://www.itu.int/en/ITU-T/focusgroups/ai4ndm/Pages/default.aspx" TargetMode="External"/><Relationship Id="rId205" Type="http://schemas.openxmlformats.org/officeDocument/2006/relationships/hyperlink" Target="https://www.itu.int/md/S25-SG-CIR-0052/en" TargetMode="External"/><Relationship Id="rId247" Type="http://schemas.openxmlformats.org/officeDocument/2006/relationships/hyperlink" Target="https://www.itu.int/ITU-T/recommendations/index_sg.aspx?sg=20" TargetMode="External"/><Relationship Id="rId412" Type="http://schemas.openxmlformats.org/officeDocument/2006/relationships/hyperlink" Target="https://www.youtube.com/watch?v=j1o2mY676TA" TargetMode="External"/><Relationship Id="rId107" Type="http://schemas.openxmlformats.org/officeDocument/2006/relationships/hyperlink" Target="https://www.itu.int/itu-d/reports/statistics/2025/10/15/ff25-internet-use/" TargetMode="External"/><Relationship Id="rId289" Type="http://schemas.openxmlformats.org/officeDocument/2006/relationships/hyperlink" Target="http://www.wsis.org/forum" TargetMode="External"/><Relationship Id="rId454" Type="http://schemas.openxmlformats.org/officeDocument/2006/relationships/hyperlink" Target="https://www.itu.int/rec/T-REC-F.780.2" TargetMode="External"/><Relationship Id="rId496" Type="http://schemas.openxmlformats.org/officeDocument/2006/relationships/hyperlink" Target="https://www.itu.int/initiatives/green-digital-action/events/all/cop29/declaration/" TargetMode="External"/><Relationship Id="rId11" Type="http://schemas.openxmlformats.org/officeDocument/2006/relationships/hyperlink" Target="https://www.itu.int/md/S26-PP-C-0020/en" TargetMode="External"/><Relationship Id="rId53" Type="http://schemas.openxmlformats.org/officeDocument/2006/relationships/hyperlink" Target="https://www.itu.int/en/council/Documents/basic-texts-2023/DEC-005-E.pdf" TargetMode="External"/><Relationship Id="rId149" Type="http://schemas.openxmlformats.org/officeDocument/2006/relationships/image" Target="media/image16.png"/><Relationship Id="rId314" Type="http://schemas.openxmlformats.org/officeDocument/2006/relationships/hyperlink" Target="https://www.itu.int/en/ITU-D/Conferences/GSR/Pages/GSR.aspx" TargetMode="External"/><Relationship Id="rId356" Type="http://schemas.openxmlformats.org/officeDocument/2006/relationships/hyperlink" Target="https://www.itu.int/en/ITU-T/Workshops-and-Seminars/2025/Pages/default.aspx" TargetMode="External"/><Relationship Id="rId398" Type="http://schemas.openxmlformats.org/officeDocument/2006/relationships/hyperlink" Target="https://wtisd.itu.int/2025/about/2025-theme/" TargetMode="External"/><Relationship Id="rId521" Type="http://schemas.openxmlformats.org/officeDocument/2006/relationships/hyperlink" Target="https://www.equalsintech.org/access" TargetMode="External"/><Relationship Id="rId563" Type="http://schemas.openxmlformats.org/officeDocument/2006/relationships/hyperlink" Target="https://aiforgood.itu.int/ai-standards/" TargetMode="External"/><Relationship Id="rId95" Type="http://schemas.openxmlformats.org/officeDocument/2006/relationships/hyperlink" Target="https://datahub.itu.int/data/?e=KAZ&amp;i=36056" TargetMode="External"/><Relationship Id="rId160" Type="http://schemas.openxmlformats.org/officeDocument/2006/relationships/hyperlink" Target="https://www.itu.int/en/ITU-T/gap/Documents/nss-rep-may.pdf" TargetMode="External"/><Relationship Id="rId216" Type="http://schemas.openxmlformats.org/officeDocument/2006/relationships/hyperlink" Target="https://docs.un.org/en/A/RES/80/173" TargetMode="External"/><Relationship Id="rId423" Type="http://schemas.openxmlformats.org/officeDocument/2006/relationships/hyperlink" Target="https://www.itu.int/net4/wsis/forum/2023/Home/ICTsYouthPrize" TargetMode="External"/><Relationship Id="rId258" Type="http://schemas.openxmlformats.org/officeDocument/2006/relationships/hyperlink" Target="https://www.itu.int/en/ITU-D/Statistics/Pages/capacitydev/default.aspx" TargetMode="External"/><Relationship Id="rId465" Type="http://schemas.openxmlformats.org/officeDocument/2006/relationships/hyperlink" Target="https://www.itu.int/pub/R-REP-BT.2207" TargetMode="External"/><Relationship Id="rId22" Type="http://schemas.openxmlformats.org/officeDocument/2006/relationships/hyperlink" Target="https://www.itu.int/ra-23/" TargetMode="External"/><Relationship Id="rId64" Type="http://schemas.openxmlformats.org/officeDocument/2006/relationships/hyperlink" Target="https://www.itu.int/pub/R-RES-R.72" TargetMode="External"/><Relationship Id="rId118" Type="http://schemas.openxmlformats.org/officeDocument/2006/relationships/hyperlink" Target="https://www.itu.int/itu-d/reports/statistics/global-connectivity-report-2025/" TargetMode="External"/><Relationship Id="rId325" Type="http://schemas.openxmlformats.org/officeDocument/2006/relationships/hyperlink" Target="https://www.itu.int/en/journal/j-fet/webinars/Pages/default.aspx" TargetMode="External"/><Relationship Id="rId367" Type="http://schemas.openxmlformats.org/officeDocument/2006/relationships/hyperlink" Target="https://www.itu.int/md/S26-CL-C-0024/en" TargetMode="External"/><Relationship Id="rId532" Type="http://schemas.openxmlformats.org/officeDocument/2006/relationships/hyperlink" Target="https://www.itu.int/metaverse/virtual-worlds/about/" TargetMode="External"/><Relationship Id="rId574" Type="http://schemas.openxmlformats.org/officeDocument/2006/relationships/hyperlink" Target="https://www.itu.int/pub/T-FG-AI4NDM-2023-2" TargetMode="External"/><Relationship Id="rId171" Type="http://schemas.openxmlformats.org/officeDocument/2006/relationships/hyperlink" Target="https://academy.itu.int/training-courses/full-catalogue/her-cybertracks" TargetMode="External"/><Relationship Id="rId227" Type="http://schemas.openxmlformats.org/officeDocument/2006/relationships/hyperlink" Target="https://www.itu.int/en/ITU-T/jca/qkdn/Pages/default.aspx" TargetMode="External"/><Relationship Id="rId269" Type="http://schemas.openxmlformats.org/officeDocument/2006/relationships/hyperlink" Target="https://aiforgood.itu.int/ai-skills-coalition/" TargetMode="External"/><Relationship Id="rId434" Type="http://schemas.openxmlformats.org/officeDocument/2006/relationships/hyperlink" Target="https://www.itu.int/metaverse/virtual-worlds/1st-un-citiverse-challenge/" TargetMode="External"/><Relationship Id="rId476" Type="http://schemas.openxmlformats.org/officeDocument/2006/relationships/hyperlink" Target="https://academy.itu.int/training-courses/full-catalogue/icts-better-ageing-and-livelihood-digital-landscape-1" TargetMode="External"/><Relationship Id="rId33" Type="http://schemas.openxmlformats.org/officeDocument/2006/relationships/hyperlink" Target="https://www.itu.int/itu-d/meetings/digital-skills-forum/" TargetMode="External"/><Relationship Id="rId129" Type="http://schemas.openxmlformats.org/officeDocument/2006/relationships/hyperlink" Target="https://www.itu.int/ITU-R/terrasys" TargetMode="External"/><Relationship Id="rId280" Type="http://schemas.openxmlformats.org/officeDocument/2006/relationships/hyperlink" Target="https://www.itu.int/pub/R-RES-R.61" TargetMode="External"/><Relationship Id="rId336" Type="http://schemas.openxmlformats.org/officeDocument/2006/relationships/hyperlink" Target="https://www.itu.int/en/ITU-R/seminars/rrs/RRS-22-Asia-Pacific/Pages/default.aspx" TargetMode="External"/><Relationship Id="rId501" Type="http://schemas.openxmlformats.org/officeDocument/2006/relationships/hyperlink" Target="https://www.itu.int/initiatives/green-digital-action/impact/all/" TargetMode="External"/><Relationship Id="rId543" Type="http://schemas.openxmlformats.org/officeDocument/2006/relationships/hyperlink" Target="https://www.itu.int/cities/dt-resource-hub/" TargetMode="External"/><Relationship Id="rId75" Type="http://schemas.openxmlformats.org/officeDocument/2006/relationships/hyperlink" Target="https://www.itu.int/dms_pub/itu-t/opb/res/T-RES-T.2-2024-PDF-E.pdf" TargetMode="External"/><Relationship Id="rId140" Type="http://schemas.openxmlformats.org/officeDocument/2006/relationships/hyperlink" Target="https://www.itu.int/en/ITU-T/focusgroups/Pages/default.aspx" TargetMode="External"/><Relationship Id="rId182" Type="http://schemas.openxmlformats.org/officeDocument/2006/relationships/hyperlink" Target="https://itu.int/go/SIG-SECURITY" TargetMode="External"/><Relationship Id="rId378" Type="http://schemas.openxmlformats.org/officeDocument/2006/relationships/hyperlink" Target="https://www.equalsintech.org/her-digital-skills/" TargetMode="External"/><Relationship Id="rId403" Type="http://schemas.openxmlformats.org/officeDocument/2006/relationships/hyperlink" Target="https://www.itu.int/initiatives/gender-equality/network-of-women/network-of-women-ministers-and-leaders-in-ict/" TargetMode="External"/><Relationship Id="rId585" Type="http://schemas.openxmlformats.org/officeDocument/2006/relationships/hyperlink" Target="https://www.itu.int/en/ITU-T/focusgroups/ai4h/Pages/deliverables.aspx" TargetMode="External"/><Relationship Id="rId6" Type="http://schemas.openxmlformats.org/officeDocument/2006/relationships/styles" Target="styles.xml"/><Relationship Id="rId238" Type="http://schemas.openxmlformats.org/officeDocument/2006/relationships/hyperlink" Target="https://www.itu.int/en/ITU-T/focusgroups/mv/Pages/FG-MV-structure-and-workplan.aspx" TargetMode="External"/><Relationship Id="rId445" Type="http://schemas.openxmlformats.org/officeDocument/2006/relationships/hyperlink" Target="https://www.itu.int/en/ITU-D/Digital-Inclusion/Documents/Auto-evaluation%20UIT%20pour%20la%20mise%20en%20oeuvre%20de%20TIC%20accessibles%20-%20FINAL_1.xlsm" TargetMode="External"/><Relationship Id="rId487" Type="http://schemas.openxmlformats.org/officeDocument/2006/relationships/hyperlink" Target="https://academy.itu.int/training-courses/full-catalogue/green-data-centres-policy-makers" TargetMode="External"/><Relationship Id="rId291" Type="http://schemas.openxmlformats.org/officeDocument/2006/relationships/hyperlink" Target="https://www.itu.int/md/S22-CL-C-0059/en" TargetMode="External"/><Relationship Id="rId305" Type="http://schemas.openxmlformats.org/officeDocument/2006/relationships/hyperlink" Target="https://aiforgood.itu.int/neural-network/" TargetMode="External"/><Relationship Id="rId347" Type="http://schemas.openxmlformats.org/officeDocument/2006/relationships/hyperlink" Target="https://www.itu.int/en/ITU-R/seminars/ntfa/Pages/default.aspx" TargetMode="External"/><Relationship Id="rId512" Type="http://schemas.openxmlformats.org/officeDocument/2006/relationships/hyperlink" Target="https://eur03.safelinks.protection.outlook.com/?url=https%3A%2F%2Fwww.broadbandcommission.org%2Fworking-groups%2Fdata-governance%2F&amp;data=05|02|fernando.rivera%40itu.int|25850ebcdcaa42ef3ee508de787057c6|23e464d704e64b87913c24bd89219fd3|0|0|639080621056101043|Unknown|TWFpbGZsb3d8eyJFbXB0eU1hcGkiOnRydWUsIlYiOiIwLjAuMDAwMCIsIlAiOiJXaW4zMiIsIkFOIjoiTWFpbCIsIldUIjoyfQ%3D%3D|0|||&amp;sdata=GAN1gBpXIDcfVxFX%2FTj49L4aDTzWNI7VfYHi3MWtRjg%3D&amp;reserved=0" TargetMode="External"/><Relationship Id="rId44" Type="http://schemas.openxmlformats.org/officeDocument/2006/relationships/hyperlink" Target="https://www.itu.int/digital-resilience/submarine-cables/events/about-porto-summit/" TargetMode="External"/><Relationship Id="rId86" Type="http://schemas.openxmlformats.org/officeDocument/2006/relationships/hyperlink" Target="https://www.itu.int/highlights-report-activities/connect2030-agenda/" TargetMode="External"/><Relationship Id="rId151" Type="http://schemas.openxmlformats.org/officeDocument/2006/relationships/hyperlink" Target="https://www.itu.int/en/ITU-T/regionalgroups/Pages/default.aspx" TargetMode="External"/><Relationship Id="rId389" Type="http://schemas.openxmlformats.org/officeDocument/2006/relationships/hyperlink" Target="https://www.itu.int/now4wrc/" TargetMode="External"/><Relationship Id="rId554" Type="http://schemas.openxmlformats.org/officeDocument/2006/relationships/hyperlink" Target="https://www.itu.int/en/ITU-T/extcoop/cits/Pages/related-events.aspx" TargetMode="External"/><Relationship Id="rId596" Type="http://schemas.openxmlformats.org/officeDocument/2006/relationships/hyperlink" Target="https://www.itu.int/md/S26-CWGFHR22-C-0015/en" TargetMode="External"/><Relationship Id="rId193" Type="http://schemas.openxmlformats.org/officeDocument/2006/relationships/hyperlink" Target="https://www.itu.int/en/ITU-T/extcoop/ai4resilience/Pages/default.aspx" TargetMode="External"/><Relationship Id="rId207" Type="http://schemas.openxmlformats.org/officeDocument/2006/relationships/hyperlink" Target="https://academy.itu.int/" TargetMode="External"/><Relationship Id="rId249" Type="http://schemas.openxmlformats.org/officeDocument/2006/relationships/image" Target="media/image18.png"/><Relationship Id="rId414" Type="http://schemas.openxmlformats.org/officeDocument/2006/relationships/hyperlink" Target="https://www.itu.int/generationconnect/generation-connect-at-ldc5/" TargetMode="External"/><Relationship Id="rId456" Type="http://schemas.openxmlformats.org/officeDocument/2006/relationships/hyperlink" Target="https://www.itu.int/rec/T-REC-H.871" TargetMode="External"/><Relationship Id="rId498" Type="http://schemas.openxmlformats.org/officeDocument/2006/relationships/hyperlink" Target="https://www.itu.int/initiatives/green-digital-action/ai-climate-institute/" TargetMode="External"/><Relationship Id="rId13" Type="http://schemas.openxmlformats.org/officeDocument/2006/relationships/hyperlink" Target="https://www.itu.int/en/council/Documents/basic-texts-2023/RES-200-E.pdf" TargetMode="External"/><Relationship Id="rId109" Type="http://schemas.openxmlformats.org/officeDocument/2006/relationships/hyperlink" Target="https://www.itu.int/itu-d/reports/statistics/2025/10/15/ff25-the-gender-digital-divide/" TargetMode="External"/><Relationship Id="rId260" Type="http://schemas.openxmlformats.org/officeDocument/2006/relationships/hyperlink" Target="https://www.itu.int/en/ITU-D/Statistics/Pages/intlcoop/default.aspx" TargetMode="External"/><Relationship Id="rId316" Type="http://schemas.openxmlformats.org/officeDocument/2006/relationships/hyperlink" Target="https://www.itu.int/en/ITU-D/Regulatory-Market/Documents/GSR23/GSR-23_Best%20Practice%20Guidelines-E.pdf" TargetMode="External"/><Relationship Id="rId523" Type="http://schemas.openxmlformats.org/officeDocument/2006/relationships/hyperlink" Target="https://www.equalsintech.org/leadership" TargetMode="External"/><Relationship Id="rId55" Type="http://schemas.openxmlformats.org/officeDocument/2006/relationships/hyperlink" Target="https://pp.itu.int/2022/en/elections/elections-results/" TargetMode="External"/><Relationship Id="rId97" Type="http://schemas.openxmlformats.org/officeDocument/2006/relationships/hyperlink" Target="https://datahub.itu.int/data/?e=KAZ&amp;i=36056" TargetMode="External"/><Relationship Id="rId120" Type="http://schemas.openxmlformats.org/officeDocument/2006/relationships/hyperlink" Target="https://www.itu.int/en/ITU-D/Environment/Documents/Publications/2025/d-gen-e_waste.01-2024-pdf-e.pdf" TargetMode="External"/><Relationship Id="rId358" Type="http://schemas.openxmlformats.org/officeDocument/2006/relationships/hyperlink" Target="https://www.itu.int/net4/ITU-D/CDS/sg/doc/rgq/2018/D18-SG01-RGQ05.1-en.pdf" TargetMode="External"/><Relationship Id="rId565" Type="http://schemas.openxmlformats.org/officeDocument/2006/relationships/hyperlink" Target="https://aiforgood.itu.int/ai-standards-exchange/" TargetMode="External"/><Relationship Id="rId162" Type="http://schemas.openxmlformats.org/officeDocument/2006/relationships/hyperlink" Target="https://www.itu.int/en/ITU-T/dfs/seclab/Pages/default.aspx" TargetMode="External"/><Relationship Id="rId218" Type="http://schemas.openxmlformats.org/officeDocument/2006/relationships/hyperlink" Target="https://www.itu.int/epublications/publication/the-annual-ai-governance-report-2025-steering-the-future-of-ai" TargetMode="External"/><Relationship Id="rId425" Type="http://schemas.openxmlformats.org/officeDocument/2006/relationships/hyperlink" Target="https://www.itu.int/generationconnect/empower/generation-connect-young-leadership-programme-in-partnership-with-huawei/" TargetMode="External"/><Relationship Id="rId467" Type="http://schemas.openxmlformats.org/officeDocument/2006/relationships/hyperlink" Target="http://www.itu.int/rec/R-REC-BT.1702" TargetMode="External"/><Relationship Id="rId271" Type="http://schemas.openxmlformats.org/officeDocument/2006/relationships/chart" Target="charts/chart2.xml"/><Relationship Id="rId24" Type="http://schemas.openxmlformats.org/officeDocument/2006/relationships/hyperlink" Target="https://www.itu.int/itu-d/meetings/wtdc25/" TargetMode="External"/><Relationship Id="rId66" Type="http://schemas.openxmlformats.org/officeDocument/2006/relationships/hyperlink" Target="https://www.itu.int/pub/R-RES-R.74" TargetMode="External"/><Relationship Id="rId131" Type="http://schemas.openxmlformats.org/officeDocument/2006/relationships/hyperlink" Target="https://www.itu.int/rec/T-REC-E.1120-202502-I" TargetMode="External"/><Relationship Id="rId327" Type="http://schemas.openxmlformats.org/officeDocument/2006/relationships/hyperlink" Target="https://www.itu.int/en/ITU-T/academia/kaleidoscope/Pages/default.aspx" TargetMode="External"/><Relationship Id="rId369" Type="http://schemas.openxmlformats.org/officeDocument/2006/relationships/hyperlink" Target="https://www.itu.int/itu-d/meetings/wtdc25/" TargetMode="External"/><Relationship Id="rId534" Type="http://schemas.openxmlformats.org/officeDocument/2006/relationships/hyperlink" Target="https://www.itu.int/un-virtual-worlds-day/2024/" TargetMode="External"/><Relationship Id="rId576" Type="http://schemas.openxmlformats.org/officeDocument/2006/relationships/hyperlink" Target="https://www.medewsa.eu/" TargetMode="External"/><Relationship Id="rId173" Type="http://schemas.openxmlformats.org/officeDocument/2006/relationships/hyperlink" Target="https://meetings.unoda.org/meeting/57871" TargetMode="External"/><Relationship Id="rId229" Type="http://schemas.openxmlformats.org/officeDocument/2006/relationships/hyperlink" Target="https://www.itu.int/itu-t/landscape/?topic=tx467&amp;group=g&amp;search_text=" TargetMode="External"/><Relationship Id="rId380" Type="http://schemas.openxmlformats.org/officeDocument/2006/relationships/hyperlink" Target="https://www.itu.int/en/ITU-D/Regional-Presence/Africa/Pages/African-Girls-Can-Code-Initiative-(AGCCI)-II.aspx" TargetMode="External"/><Relationship Id="rId436" Type="http://schemas.openxmlformats.org/officeDocument/2006/relationships/hyperlink" Target="https://www.itu.int/en/ITU-D/Digital-Inclusion/Pages/ICT-digital-accessibility/default.aspx" TargetMode="External"/><Relationship Id="rId601" Type="http://schemas.openxmlformats.org/officeDocument/2006/relationships/footer" Target="footer3.xml"/><Relationship Id="rId240" Type="http://schemas.openxmlformats.org/officeDocument/2006/relationships/hyperlink" Target="https://www.itu.int/un-virtual-worlds-day/2025/" TargetMode="External"/><Relationship Id="rId478" Type="http://schemas.openxmlformats.org/officeDocument/2006/relationships/hyperlink" Target="https://www.itu.int/dms_pub/itu-t/opb/env/T-ENV-ENV-2025-3-PDF-E.pdf" TargetMode="External"/><Relationship Id="rId35" Type="http://schemas.openxmlformats.org/officeDocument/2006/relationships/hyperlink" Target="https://www.itu.int/net4/wsis/forum/2026/" TargetMode="External"/><Relationship Id="rId77" Type="http://schemas.openxmlformats.org/officeDocument/2006/relationships/hyperlink" Target="https://www.itu.int/itu-d/meetings/wtdc25/" TargetMode="External"/><Relationship Id="rId100" Type="http://schemas.openxmlformats.org/officeDocument/2006/relationships/hyperlink" Target="https://www.itu.int/itu-d/reports/statistics/2025/10/15/ff25-mobile-phone-ownership/" TargetMode="External"/><Relationship Id="rId282" Type="http://schemas.openxmlformats.org/officeDocument/2006/relationships/hyperlink" Target="http://www.wsis.org/stocktaking" TargetMode="External"/><Relationship Id="rId338" Type="http://schemas.openxmlformats.org/officeDocument/2006/relationships/hyperlink" Target="https://www.itu.int/en/ITU-R/seminars/rrs/RRS-23-Africa/Pages/default.aspx" TargetMode="External"/><Relationship Id="rId503" Type="http://schemas.openxmlformats.org/officeDocument/2006/relationships/hyperlink" Target="https://www.itu.int/initiatives/digital-unga2025/" TargetMode="External"/><Relationship Id="rId545" Type="http://schemas.openxmlformats.org/officeDocument/2006/relationships/hyperlink" Target="https://www.itu.int/en/ITU-T/extcoop/Documents/mou/ITU-SAE_International-20250711.pdf" TargetMode="External"/><Relationship Id="rId587" Type="http://schemas.openxmlformats.org/officeDocument/2006/relationships/hyperlink" Target="https://www.un.org/sites/un2.un.org/files/sotf-pact_for_the_future_adopted.pdf" TargetMode="External"/><Relationship Id="rId8" Type="http://schemas.openxmlformats.org/officeDocument/2006/relationships/webSettings" Target="webSettings.xml"/><Relationship Id="rId142" Type="http://schemas.openxmlformats.org/officeDocument/2006/relationships/hyperlink" Target="https://www.itu.int/md/meetingdoc.asp?lang=en&amp;parent=T25-SG11-260303-TD-GEN-0909" TargetMode="External"/><Relationship Id="rId184" Type="http://schemas.openxmlformats.org/officeDocument/2006/relationships/hyperlink" Target="https://u4ssc.itu.int/" TargetMode="External"/><Relationship Id="rId391" Type="http://schemas.openxmlformats.org/officeDocument/2006/relationships/hyperlink" Target="https://www.itu.int/en/ITU-D/Digital-Inclusion/Women-and-Girls/NoW/Pages/default.aspx" TargetMode="External"/><Relationship Id="rId405" Type="http://schemas.openxmlformats.org/officeDocument/2006/relationships/hyperlink" Target="https://www.itu.int/md/S25-CL-C-0006/en" TargetMode="External"/><Relationship Id="rId447" Type="http://schemas.openxmlformats.org/officeDocument/2006/relationships/hyperlink" Target="https://youtu.be/IJmo71yujBY" TargetMode="External"/><Relationship Id="rId251" Type="http://schemas.openxmlformats.org/officeDocument/2006/relationships/hyperlink" Target="https://www.itu.int/cities/digitaltransformationdialogues/" TargetMode="External"/><Relationship Id="rId489" Type="http://schemas.openxmlformats.org/officeDocument/2006/relationships/hyperlink" Target="https://www.itu.int/hub/2025/10/open-access-repository-for-sustainable-software-options/" TargetMode="External"/><Relationship Id="rId46" Type="http://schemas.openxmlformats.org/officeDocument/2006/relationships/hyperlink" Target="https://www.itu.int/md/S26-PP-C-0020/en" TargetMode="External"/><Relationship Id="rId293" Type="http://schemas.openxmlformats.org/officeDocument/2006/relationships/hyperlink" Target="https://www.itu.int/en/itu-wsis/Pages/CWG-WSIS%26SDG_Call_for_Inputs_2025.aspx" TargetMode="External"/><Relationship Id="rId307" Type="http://schemas.openxmlformats.org/officeDocument/2006/relationships/hyperlink" Target="https://aiforgood.itu.int/summit23/" TargetMode="External"/><Relationship Id="rId349" Type="http://schemas.openxmlformats.org/officeDocument/2006/relationships/hyperlink" Target="https://www.itu.int/Global-ITU-WMO/" TargetMode="External"/><Relationship Id="rId514" Type="http://schemas.openxmlformats.org/officeDocument/2006/relationships/hyperlink" Target="https://eur03.safelinks.protection.outlook.com/?url=https%3A%2F%2Fbroadbandcommission.org%2Fstate-of-broadband-2025-podcast%2F&amp;data=05|02|fernando.rivera%40itu.int|25850ebcdcaa42ef3ee508de787057c6|23e464d704e64b87913c24bd89219fd3|0|0|639080621056137338|Unknown|TWFpbGZsb3d8eyJFbXB0eU1hcGkiOnRydWUsIlYiOiIwLjAuMDAwMCIsIlAiOiJXaW4zMiIsIkFOIjoiTWFpbCIsIldUIjoyfQ%3D%3D|0|||&amp;sdata=STYv%2BQQk0dQHhLXOxFJqtX3LkVsMebGazJSl408zVp8%3D&amp;reserved=0" TargetMode="External"/><Relationship Id="rId556" Type="http://schemas.openxmlformats.org/officeDocument/2006/relationships/hyperlink" Target="https://www.itu.int/en/ITU-T/extcoop/Pages/wsc.aspx" TargetMode="External"/><Relationship Id="rId88" Type="http://schemas.openxmlformats.org/officeDocument/2006/relationships/hyperlink" Target="https://www.itu.int/highlights-report-activities/connect2030-agenda/" TargetMode="External"/><Relationship Id="rId111" Type="http://schemas.openxmlformats.org/officeDocument/2006/relationships/hyperlink" Target="https://www.itu.int/itu-d/reports/statistics/2025/10/15/ff25-youth-internet-use/" TargetMode="External"/><Relationship Id="rId153" Type="http://schemas.openxmlformats.org/officeDocument/2006/relationships/hyperlink" Target="https://www.itu.int/bsg/training-modules/" TargetMode="External"/><Relationship Id="rId195" Type="http://schemas.openxmlformats.org/officeDocument/2006/relationships/hyperlink" Target="https://www.itu.int/hub/2023/07/new-un-initiative-aims-to-step-up-ais-contribution-to-health/" TargetMode="External"/><Relationship Id="rId209" Type="http://schemas.openxmlformats.org/officeDocument/2006/relationships/hyperlink" Target="https://www.itu.int/itu-d/meetings/wtdc25/wp-content/uploads/sites/29/2025/11/090-E.pdf" TargetMode="External"/><Relationship Id="rId360" Type="http://schemas.openxmlformats.org/officeDocument/2006/relationships/hyperlink" Target="https://www.itu.int/en/ITU-D/Cybersecurity/pages/cyberdrills.aspx" TargetMode="External"/><Relationship Id="rId416" Type="http://schemas.openxmlformats.org/officeDocument/2006/relationships/hyperlink" Target="https://indico.un.org/event/1002946/" TargetMode="External"/><Relationship Id="rId598" Type="http://schemas.openxmlformats.org/officeDocument/2006/relationships/hyperlink" Target="https://www.itu.int/en/council/dashboard/Pages/HumanResourcesReport.aspx" TargetMode="External"/><Relationship Id="rId220" Type="http://schemas.openxmlformats.org/officeDocument/2006/relationships/hyperlink" Target="https://www.itu.int/net4/wsis/forum/2026/en" TargetMode="External"/><Relationship Id="rId458" Type="http://schemas.openxmlformats.org/officeDocument/2006/relationships/hyperlink" Target="https://www.itu.int/rec/T-REC-H.872" TargetMode="External"/><Relationship Id="rId15" Type="http://schemas.openxmlformats.org/officeDocument/2006/relationships/footer" Target="footer1.xml"/><Relationship Id="rId57" Type="http://schemas.openxmlformats.org/officeDocument/2006/relationships/hyperlink" Target="https://www.itu.int/en/publications/ITU-R/pages/publications.aspx?parent=R-ACT-WRC.16-2024&amp;media=electronic" TargetMode="External"/><Relationship Id="rId262" Type="http://schemas.openxmlformats.org/officeDocument/2006/relationships/image" Target="media/image19.png"/><Relationship Id="rId318" Type="http://schemas.openxmlformats.org/officeDocument/2006/relationships/hyperlink" Target="https://www.itu.int/net/epub/BDT/2025-GSR-25-Best-Practice-Guidelines/index.html" TargetMode="External"/><Relationship Id="rId525" Type="http://schemas.openxmlformats.org/officeDocument/2006/relationships/hyperlink" Target="https://www.equalsintech.org/tech4girls" TargetMode="External"/><Relationship Id="rId567" Type="http://schemas.openxmlformats.org/officeDocument/2006/relationships/hyperlink" Target="https://dcm.itu.int/" TargetMode="External"/><Relationship Id="rId99" Type="http://schemas.openxmlformats.org/officeDocument/2006/relationships/image" Target="media/image8.png"/><Relationship Id="rId122" Type="http://schemas.openxmlformats.org/officeDocument/2006/relationships/hyperlink" Target="https://www.itu.int/wrc-27/" TargetMode="External"/><Relationship Id="rId164" Type="http://schemas.openxmlformats.org/officeDocument/2006/relationships/hyperlink" Target="https://www.itu.int/en/ITU-T/C-I/Pages/default.aspx" TargetMode="External"/><Relationship Id="rId371" Type="http://schemas.openxmlformats.org/officeDocument/2006/relationships/image" Target="media/image22.png"/><Relationship Id="rId427" Type="http://schemas.openxmlformats.org/officeDocument/2006/relationships/hyperlink" Target="https://www.itu.int/generationconnect/empower/generation-connect-young-leadership-programme-in-partnership-with-huawei/" TargetMode="External"/><Relationship Id="rId469" Type="http://schemas.openxmlformats.org/officeDocument/2006/relationships/image" Target="media/image23.png"/><Relationship Id="rId26" Type="http://schemas.openxmlformats.org/officeDocument/2006/relationships/hyperlink" Target="https://www.itu.int/en/ITU-T/jca/mv/Pages/default.aspx" TargetMode="External"/><Relationship Id="rId231" Type="http://schemas.openxmlformats.org/officeDocument/2006/relationships/hyperlink" Target="https://aiforgood.itu.int/quantum-for-good/" TargetMode="External"/><Relationship Id="rId273" Type="http://schemas.openxmlformats.org/officeDocument/2006/relationships/hyperlink" Target="https://www.itu.int/en/ITU-D/Projects/Pages/reports/default.aspx" TargetMode="External"/><Relationship Id="rId329" Type="http://schemas.openxmlformats.org/officeDocument/2006/relationships/hyperlink" Target="https://www.itu.int/en/ITU-T/academia/kaleidoscope/2024/Pages/default.aspx" TargetMode="External"/><Relationship Id="rId480" Type="http://schemas.openxmlformats.org/officeDocument/2006/relationships/hyperlink" Target="https://www.itu.int/hub/publication/d-hdb-guidelines-04-2023/" TargetMode="External"/><Relationship Id="rId536" Type="http://schemas.openxmlformats.org/officeDocument/2006/relationships/hyperlink" Target="https://u4ssc.itu.int/" TargetMode="External"/><Relationship Id="rId68" Type="http://schemas.openxmlformats.org/officeDocument/2006/relationships/hyperlink" Target="https://www.itu.int/md/R23-WRC23-C-0217/en" TargetMode="External"/><Relationship Id="rId133" Type="http://schemas.openxmlformats.org/officeDocument/2006/relationships/hyperlink" Target="https://www.itu.int/dms_pub/itu-t/opb/res/T-RES-T.61-2024-PDF-E.pdf" TargetMode="External"/><Relationship Id="rId175" Type="http://schemas.openxmlformats.org/officeDocument/2006/relationships/hyperlink" Target="https://www.itu.int/digital-resilience/submarine-cables/events/about-porto-summit/" TargetMode="External"/><Relationship Id="rId340" Type="http://schemas.openxmlformats.org/officeDocument/2006/relationships/hyperlink" Target="https://www.itu.int/wrs-24/" TargetMode="External"/><Relationship Id="rId578" Type="http://schemas.openxmlformats.org/officeDocument/2006/relationships/hyperlink" Target="https://www.itu.int/en/ITU-T/focusgroups/ai4a/Pages/default.aspx" TargetMode="External"/><Relationship Id="rId200" Type="http://schemas.openxmlformats.org/officeDocument/2006/relationships/hyperlink" Target="https://aiforgood.itu.int/ai-skills-coalition/" TargetMode="External"/><Relationship Id="rId382" Type="http://schemas.openxmlformats.org/officeDocument/2006/relationships/hyperlink" Target="https://www.equalsintech.org/post/evidence-to-impact-advancing-gender-empowerment-in-the-digital-age" TargetMode="External"/><Relationship Id="rId438" Type="http://schemas.openxmlformats.org/officeDocument/2006/relationships/hyperlink" Target="https://www.itu.int/en/ITU-D/Regional-Presence/Americas/Pages/EVENTS/2022/AA-2022.aspx" TargetMode="External"/><Relationship Id="rId603" Type="http://schemas.openxmlformats.org/officeDocument/2006/relationships/footer" Target="footer4.xml"/><Relationship Id="rId242" Type="http://schemas.openxmlformats.org/officeDocument/2006/relationships/hyperlink" Target="https://www.itu.int/net/epub/TSB/2024-UN-Executive-Briefing-on-unlocking-potential/index.html" TargetMode="External"/><Relationship Id="rId284" Type="http://schemas.openxmlformats.org/officeDocument/2006/relationships/hyperlink" Target="https://www.itu.int/md/S26-CWGWSIS44-C-0002/en" TargetMode="External"/><Relationship Id="rId491" Type="http://schemas.openxmlformats.org/officeDocument/2006/relationships/hyperlink" Target="http://itu.int/partner2connect/events/past-events/" TargetMode="External"/><Relationship Id="rId505" Type="http://schemas.openxmlformats.org/officeDocument/2006/relationships/hyperlink" Target="https://www.itu.int/initiatives/sdgdigital2024/" TargetMode="External"/><Relationship Id="rId37" Type="http://schemas.openxmlformats.org/officeDocument/2006/relationships/hyperlink" Target="https://www.itu.int/en/ITU-T/extcoop/Pages/wsc.aspx" TargetMode="External"/><Relationship Id="rId79" Type="http://schemas.openxmlformats.org/officeDocument/2006/relationships/hyperlink" Target="https://www.itu.int/itu-d/meetings/wtdc25/wp-content/uploads/sites/29/2025/11/090-E.pdf" TargetMode="External"/><Relationship Id="rId102" Type="http://schemas.openxmlformats.org/officeDocument/2006/relationships/image" Target="media/image9.png"/><Relationship Id="rId144" Type="http://schemas.openxmlformats.org/officeDocument/2006/relationships/hyperlink" Target="https://www.itu.int/md/meetingdoc.asp?lang=en&amp;parent=T25-SG11-260303-TD-GEN-0939" TargetMode="External"/><Relationship Id="rId547" Type="http://schemas.openxmlformats.org/officeDocument/2006/relationships/hyperlink" Target="https://www.itu.int/itu-t/landscape/?topic=tx21&amp;group=g&amp;search_text=" TargetMode="External"/><Relationship Id="rId589" Type="http://schemas.openxmlformats.org/officeDocument/2006/relationships/hyperlink" Target="https://unctad.org/system/files/information-document/gdc_implementation_map_en.pdf" TargetMode="External"/><Relationship Id="rId90" Type="http://schemas.openxmlformats.org/officeDocument/2006/relationships/image" Target="media/image4.png"/><Relationship Id="rId186" Type="http://schemas.openxmlformats.org/officeDocument/2006/relationships/hyperlink" Target="https://www.itu.int/en/action/cybersecurity/Pages/default.aspx" TargetMode="External"/><Relationship Id="rId351" Type="http://schemas.openxmlformats.org/officeDocument/2006/relationships/hyperlink" Target="https://www.itu.int/en/ITU-T/Workshops-and-Seminars/pages/default.aspx" TargetMode="External"/><Relationship Id="rId393" Type="http://schemas.openxmlformats.org/officeDocument/2006/relationships/hyperlink" Target="https://www.itu.int/wtsa/2024/now/about/" TargetMode="External"/><Relationship Id="rId407" Type="http://schemas.openxmlformats.org/officeDocument/2006/relationships/hyperlink" Target="https://www.itu.int/md/S23-CL-C-0006/en" TargetMode="External"/><Relationship Id="rId449" Type="http://schemas.openxmlformats.org/officeDocument/2006/relationships/hyperlink" Target="https://youtu.be/KDDTwsxAaqs" TargetMode="External"/><Relationship Id="rId211" Type="http://schemas.openxmlformats.org/officeDocument/2006/relationships/hyperlink" Target="https://unsceb.org/sites/default/files/2022-09/Principles%20for%20the%20Ethical%20Use%20of%20AI%20in%20the%20UN%20System_1.pdf" TargetMode="External"/><Relationship Id="rId253" Type="http://schemas.openxmlformats.org/officeDocument/2006/relationships/hyperlink" Target="http://www.itu.int/en/ITU-D/Statistics" TargetMode="External"/><Relationship Id="rId295" Type="http://schemas.openxmlformats.org/officeDocument/2006/relationships/hyperlink" Target="http://www.ungis.org" TargetMode="External"/><Relationship Id="rId309" Type="http://schemas.openxmlformats.org/officeDocument/2006/relationships/hyperlink" Target="https://aiforgood.itu.int/ai-skills-coalition/" TargetMode="External"/><Relationship Id="rId460" Type="http://schemas.openxmlformats.org/officeDocument/2006/relationships/hyperlink" Target="https://itu.int/go/tsg21" TargetMode="External"/><Relationship Id="rId516" Type="http://schemas.openxmlformats.org/officeDocument/2006/relationships/hyperlink" Target="https://eur03.safelinks.protection.outlook.com/?url=https%3A%2F%2Fgiga.global%2F&amp;data=05|02|fernando.rivera%40itu.int|25850ebcdcaa42ef3ee508de787057c6|23e464d704e64b87913c24bd89219fd3|0|0|639080621056172495|Unknown|TWFpbGZsb3d8eyJFbXB0eU1hcGkiOnRydWUsIlYiOiIwLjAuMDAwMCIsIlAiOiJXaW4zMiIsIkFOIjoiTWFpbCIsIldUIjoyfQ%3D%3D|0|||&amp;sdata=tl3GCQkO8KZAPu%2Byf%2FsaAnkMY%2FSkG1y66JtrIhcLX5A%3D&amp;reserved=0" TargetMode="External"/><Relationship Id="rId48" Type="http://schemas.openxmlformats.org/officeDocument/2006/relationships/hyperlink" Target="https://www.itu.int/en/council/Documents/basic-texts-2023/RES-071-E.pdf" TargetMode="External"/><Relationship Id="rId113" Type="http://schemas.openxmlformats.org/officeDocument/2006/relationships/hyperlink" Target="https://www.itu.int/itu-d/reports/statistics/2025/10/15/ff25-internet-use-in-urban-and-rural-areas/" TargetMode="External"/><Relationship Id="rId320" Type="http://schemas.openxmlformats.org/officeDocument/2006/relationships/hyperlink" Target="https://www.itu.int/en/journal/j-fet/Pages/default.aspx" TargetMode="External"/><Relationship Id="rId558" Type="http://schemas.openxmlformats.org/officeDocument/2006/relationships/hyperlink" Target="https://www.worldstandardscooperation.org/what-we-do/world-standards-day/" TargetMode="External"/><Relationship Id="rId155" Type="http://schemas.openxmlformats.org/officeDocument/2006/relationships/hyperlink" Target="https://www.itu.int/pub/T-RES-T.107-2024" TargetMode="External"/><Relationship Id="rId197" Type="http://schemas.openxmlformats.org/officeDocument/2006/relationships/hyperlink" Target="https://www.itu.int/metaverse/virtual-worlds/" TargetMode="External"/><Relationship Id="rId362" Type="http://schemas.openxmlformats.org/officeDocument/2006/relationships/hyperlink" Target="https://www.itu.int/en/ITU-D/ICT-Applications/Pages/digital-government.aspx" TargetMode="External"/><Relationship Id="rId418" Type="http://schemas.openxmlformats.org/officeDocument/2006/relationships/hyperlink" Target="https://academy.itu.int/training-courses/full-catalogue/generation-connect-digital-learning" TargetMode="External"/><Relationship Id="rId222" Type="http://schemas.openxmlformats.org/officeDocument/2006/relationships/hyperlink" Target="https://www.itu.int/en/ITU-T/studygroups/2025-2028/13/Pages/default.aspx" TargetMode="External"/><Relationship Id="rId264" Type="http://schemas.openxmlformats.org/officeDocument/2006/relationships/image" Target="media/image20.png"/><Relationship Id="rId471" Type="http://schemas.openxmlformats.org/officeDocument/2006/relationships/hyperlink" Target="https://academy.itu.int/training-courses/full-catalogue/formacion-de-promotoras-y-promotores-tecnicos-en-comunidades-indigenas-en-telecomunicaciones-y-0" TargetMode="External"/><Relationship Id="rId17" Type="http://schemas.openxmlformats.org/officeDocument/2006/relationships/footer" Target="footer2.xml"/><Relationship Id="rId59" Type="http://schemas.openxmlformats.org/officeDocument/2006/relationships/hyperlink" Target="https://www.itu.int/ra-23/" TargetMode="External"/><Relationship Id="rId124" Type="http://schemas.openxmlformats.org/officeDocument/2006/relationships/hyperlink" Target="https://www.itu.int/hub/publication/r-reg-rr5-2020/" TargetMode="External"/><Relationship Id="rId527" Type="http://schemas.openxmlformats.org/officeDocument/2006/relationships/hyperlink" Target="https://www.equalsintech.org/equals-badge" TargetMode="External"/><Relationship Id="rId569" Type="http://schemas.openxmlformats.org/officeDocument/2006/relationships/hyperlink" Target="https://www.itu.int/en/ITU-T/focusgroups/ai4ndm/Pages/default.aspx" TargetMode="External"/><Relationship Id="rId70" Type="http://schemas.openxmlformats.org/officeDocument/2006/relationships/hyperlink" Target="https://gss.itu.int/" TargetMode="External"/><Relationship Id="rId166" Type="http://schemas.openxmlformats.org/officeDocument/2006/relationships/hyperlink" Target="https://www.itu.int/en/ITU-D/Cybersecurity/Pages/cybersecurity-national-strategies.aspx" TargetMode="External"/><Relationship Id="rId331" Type="http://schemas.openxmlformats.org/officeDocument/2006/relationships/hyperlink" Target="https://aiforgood.itu.int/summit26/" TargetMode="External"/><Relationship Id="rId373" Type="http://schemas.openxmlformats.org/officeDocument/2006/relationships/hyperlink" Target="https://www.itu.int/hub/publication/d-phcb-equal-03-2023" TargetMode="External"/><Relationship Id="rId429" Type="http://schemas.openxmlformats.org/officeDocument/2006/relationships/hyperlink" Target="https://www.itu.int/md/S24-CL-C-0032/en" TargetMode="External"/><Relationship Id="rId580" Type="http://schemas.openxmlformats.org/officeDocument/2006/relationships/hyperlink" Target="https://www.itu.int/net/epub/TSB/2025-Digital-Agriculture-A-Standards-Snapshot/index.html" TargetMode="External"/><Relationship Id="rId1" Type="http://schemas.openxmlformats.org/officeDocument/2006/relationships/customXml" Target="../customXml/item1.xml"/><Relationship Id="rId233" Type="http://schemas.openxmlformats.org/officeDocument/2006/relationships/hyperlink" Target="https://www.quantum-course.com/" TargetMode="External"/><Relationship Id="rId440" Type="http://schemas.openxmlformats.org/officeDocument/2006/relationships/hyperlink" Target="https://www.itu.int/net/events/eventdetails.asp?lang=en&amp;eventid=23284" TargetMode="External"/><Relationship Id="rId28" Type="http://schemas.openxmlformats.org/officeDocument/2006/relationships/hyperlink" Target="https://aiforgood.itu.int/ai-for-health/" TargetMode="External"/><Relationship Id="rId275" Type="http://schemas.openxmlformats.org/officeDocument/2006/relationships/hyperlink" Target="https://www.itu.int/en/council/Documents/basic-texts-2023/RES-140-E.pdf" TargetMode="External"/><Relationship Id="rId300" Type="http://schemas.openxmlformats.org/officeDocument/2006/relationships/hyperlink" Target="https://www.itu.int/en/itu-wsis/Pages/WSIS-Fund-in-Trust.aspx" TargetMode="External"/><Relationship Id="rId482" Type="http://schemas.openxmlformats.org/officeDocument/2006/relationships/hyperlink" Target="https://www.itu.int/pub/D-IND-CLIM-2025" TargetMode="External"/><Relationship Id="rId538" Type="http://schemas.openxmlformats.org/officeDocument/2006/relationships/hyperlink" Target="https://u4ssc.itu.int/u4ssc-kpis-report/" TargetMode="External"/><Relationship Id="rId81" Type="http://schemas.openxmlformats.org/officeDocument/2006/relationships/hyperlink" Target="https://www.itu.int/itu-d/meetings/wtdc25/wp-content/uploads/sites/29/2025/11/090-E.pdf" TargetMode="External"/><Relationship Id="rId135" Type="http://schemas.openxmlformats.org/officeDocument/2006/relationships/hyperlink" Target="https://www.itu.int/pub/T-SP/e" TargetMode="External"/><Relationship Id="rId177" Type="http://schemas.openxmlformats.org/officeDocument/2006/relationships/hyperlink" Target="https://www.itu.int/en/ITU-D/Cybersecurity/Pages/COP/POP.aspx" TargetMode="External"/><Relationship Id="rId342" Type="http://schemas.openxmlformats.org/officeDocument/2006/relationships/hyperlink" Target="https://www.itu.int/en/ITU-R/study-groups/rsg4/Pages/Workshop-ITU-in-Service-of-Space.aspx" TargetMode="External"/><Relationship Id="rId384" Type="http://schemas.openxmlformats.org/officeDocument/2006/relationships/hyperlink" Target="https://www.itu.int/hub/publication/d-hdb-gender-2023-01/" TargetMode="External"/><Relationship Id="rId591" Type="http://schemas.openxmlformats.org/officeDocument/2006/relationships/hyperlink" Target="https://www.un.org/un80-initiative/sites/default/files/2025-09/UN80_WS3-1_250921_1238.pdf" TargetMode="External"/><Relationship Id="rId605" Type="http://schemas.openxmlformats.org/officeDocument/2006/relationships/glossaryDocument" Target="glossary/document.xml"/><Relationship Id="rId202" Type="http://schemas.openxmlformats.org/officeDocument/2006/relationships/hyperlink" Target="https://aiforgood.itu.int/robotics-for-good-youth-challenge/" TargetMode="External"/><Relationship Id="rId244" Type="http://schemas.openxmlformats.org/officeDocument/2006/relationships/hyperlink" Target="https://www.itu.int/en/ITU-T/techwatch/Pages/internetofthings.aspx" TargetMode="External"/><Relationship Id="rId39" Type="http://schemas.openxmlformats.org/officeDocument/2006/relationships/hyperlink" Target="https://giga.global/" TargetMode="External"/><Relationship Id="rId286" Type="http://schemas.openxmlformats.org/officeDocument/2006/relationships/hyperlink" Target="http://www.wsis.org/forum" TargetMode="External"/><Relationship Id="rId451" Type="http://schemas.openxmlformats.org/officeDocument/2006/relationships/hyperlink" Target="https://youtu.be/SpCcmMSrCz8" TargetMode="External"/><Relationship Id="rId493" Type="http://schemas.openxmlformats.org/officeDocument/2006/relationships/hyperlink" Target="https://www.itu.int/initiatives/green-digital-action/events/all/cop29/declaration/" TargetMode="External"/><Relationship Id="rId507" Type="http://schemas.openxmlformats.org/officeDocument/2006/relationships/hyperlink" Target="https://eur03.safelinks.protection.outlook.com/?url=https%3A%2F%2Fwww.broadbandcommission.org%2F&amp;data=05|02|fernando.rivera%40itu.int|25850ebcdcaa42ef3ee508de787057c6|23e464d704e64b87913c24bd89219fd3|0|0|639080621055789927|Unknown|TWFpbGZsb3d8eyJFbXB0eU1hcGkiOnRydWUsIlYiOiIwLjAuMDAwMCIsIlAiOiJXaW4zMiIsIkFOIjoiTWFpbCIsIldUIjoyfQ%3D%3D|0|||&amp;sdata=y81PkW0WoIAEOVlgiySwVwj7XKoF7E5dABbKz%2BAA0Gk%3D&amp;reserved=0" TargetMode="External"/><Relationship Id="rId549" Type="http://schemas.openxmlformats.org/officeDocument/2006/relationships/hyperlink" Target="https://www.itu.int/en/ITU-T/extcoop/cits/egcomad/wg01/Pages/default.aspx" TargetMode="External"/><Relationship Id="rId50" Type="http://schemas.openxmlformats.org/officeDocument/2006/relationships/hyperlink" Target="https://pp.itu.int/2022/en/" TargetMode="External"/><Relationship Id="rId104" Type="http://schemas.openxmlformats.org/officeDocument/2006/relationships/image" Target="media/image10.png"/><Relationship Id="rId146" Type="http://schemas.openxmlformats.org/officeDocument/2006/relationships/hyperlink" Target="https://www.itu.int/pub/R-REC" TargetMode="External"/><Relationship Id="rId188" Type="http://schemas.openxmlformats.org/officeDocument/2006/relationships/hyperlink" Target="https://www.itu.int/en/council/Documents/basic-texts-2023/RES-214-E.pdf" TargetMode="External"/><Relationship Id="rId311" Type="http://schemas.openxmlformats.org/officeDocument/2006/relationships/hyperlink" Target="https://aiforgood.itu.int/event/impact-africa/" TargetMode="External"/><Relationship Id="rId353" Type="http://schemas.openxmlformats.org/officeDocument/2006/relationships/hyperlink" Target="https://www.itu.int/en/ITU-T/Workshops-and-Seminars/2022/Pages/default.aspx" TargetMode="External"/><Relationship Id="rId395" Type="http://schemas.openxmlformats.org/officeDocument/2006/relationships/hyperlink" Target="https://www.itu.int/initiatives/gender-equality/network-of-women/network-of-women-ministers-and-leaders-in-ict/" TargetMode="External"/><Relationship Id="rId409" Type="http://schemas.openxmlformats.org/officeDocument/2006/relationships/hyperlink" Target="https://www.itu.int/generationconnect/wp-content/uploads/2020/11/ITU_Youth_Strategy.pdf" TargetMode="External"/><Relationship Id="rId560" Type="http://schemas.openxmlformats.org/officeDocument/2006/relationships/hyperlink" Target="https://www.itu.int/initiatives/green-digital-action/events/all/cop29/world-standards-cooperation-paving-the-path-for-sustainability-by-design/" TargetMode="External"/><Relationship Id="rId92" Type="http://schemas.openxmlformats.org/officeDocument/2006/relationships/image" Target="media/image5.png"/><Relationship Id="rId213" Type="http://schemas.openxmlformats.org/officeDocument/2006/relationships/hyperlink" Target="https://unaihub.aiforgood.itu.int/" TargetMode="External"/><Relationship Id="rId420" Type="http://schemas.openxmlformats.org/officeDocument/2006/relationships/hyperlink" Target="https://www.kofiannanfoundation.org/our-work/kofi-annan-changemakers/" TargetMode="External"/><Relationship Id="rId255" Type="http://schemas.openxmlformats.org/officeDocument/2006/relationships/hyperlink" Target="https://datahub.itu.int/" TargetMode="External"/><Relationship Id="rId297" Type="http://schemas.openxmlformats.org/officeDocument/2006/relationships/hyperlink" Target="http://www.wsis.org/stocktaking" TargetMode="External"/><Relationship Id="rId462" Type="http://schemas.openxmlformats.org/officeDocument/2006/relationships/hyperlink" Target="https://www.itu.int/metaverse/virtual-worlds/" TargetMode="External"/><Relationship Id="rId518" Type="http://schemas.openxmlformats.org/officeDocument/2006/relationships/hyperlink" Target="https://www.itu.int/partner2connect/" TargetMode="External"/><Relationship Id="rId115" Type="http://schemas.openxmlformats.org/officeDocument/2006/relationships/hyperlink" Target="https://www.itu.int/hub/publication/d-gdc-clim-2025/" TargetMode="External"/><Relationship Id="rId157" Type="http://schemas.openxmlformats.org/officeDocument/2006/relationships/hyperlink" Target="https://www.itu.int/pub/T-RES-T.32-2024" TargetMode="External"/><Relationship Id="rId322" Type="http://schemas.openxmlformats.org/officeDocument/2006/relationships/hyperlink" Target="https://www.itu.int/hub/2025/09/new-itu-academic-collaboration-on-technology-trends/" TargetMode="External"/><Relationship Id="rId364" Type="http://schemas.openxmlformats.org/officeDocument/2006/relationships/image" Target="media/image21.png"/><Relationship Id="rId61" Type="http://schemas.openxmlformats.org/officeDocument/2006/relationships/hyperlink" Target="https://www.itu.int/pub/R-RES-R.5" TargetMode="External"/><Relationship Id="rId199" Type="http://schemas.openxmlformats.org/officeDocument/2006/relationships/hyperlink" Target="https://www.itu.int/dms_pub/itu-t/opb/res/T-RES-T.101-2024-PDF-E.pdf" TargetMode="External"/><Relationship Id="rId571" Type="http://schemas.openxmlformats.org/officeDocument/2006/relationships/hyperlink" Target="https://www.itu.int/pub/publications.aspx?lang=en&amp;parent=T-FG-AI4NDM-2022" TargetMode="External"/><Relationship Id="rId19" Type="http://schemas.openxmlformats.org/officeDocument/2006/relationships/hyperlink" Target="https://www.itu.int/en/council/Documents/basic-texts-2023/RES-071-E.pdf" TargetMode="External"/><Relationship Id="rId224" Type="http://schemas.openxmlformats.org/officeDocument/2006/relationships/hyperlink" Target="https://www.itu.int/rec/T-REC-X.1715/es" TargetMode="External"/><Relationship Id="rId266" Type="http://schemas.openxmlformats.org/officeDocument/2006/relationships/hyperlink" Target="https://www.itu.int/itu-d/meetings/digital-skills-forum/" TargetMode="External"/><Relationship Id="rId431" Type="http://schemas.openxmlformats.org/officeDocument/2006/relationships/hyperlink" Target="https://aiforgood.itu.int/the-5th-edition-of-the-itu-ai-ml-in-5g-challenge-a-year-of-competitions-in-review/" TargetMode="External"/><Relationship Id="rId473" Type="http://schemas.openxmlformats.org/officeDocument/2006/relationships/hyperlink" Target="https://desapublications.un.org/policy-dialogues/leaving-no-one-behind-ageing-world-un-desa-global-policy-dialogue" TargetMode="External"/><Relationship Id="rId529" Type="http://schemas.openxmlformats.org/officeDocument/2006/relationships/hyperlink" Target="https://www.itu.int/en/ITU-D/Digital-Inclusion/Pages/EIF-Regional-Project-.aspx" TargetMode="External"/><Relationship Id="rId30" Type="http://schemas.openxmlformats.org/officeDocument/2006/relationships/hyperlink" Target="https://www.itu.int/itu-d/reports/statistics/global-connectivity-report-2025/" TargetMode="External"/><Relationship Id="rId126" Type="http://schemas.openxmlformats.org/officeDocument/2006/relationships/hyperlink" Target="https://www.itu.int/ITU-R/BR-GeoCatalogue" TargetMode="External"/><Relationship Id="rId168" Type="http://schemas.openxmlformats.org/officeDocument/2006/relationships/hyperlink" Target="https://www.itu.int/en/ITU-D/Cybersecurity/Pages/cyberdrills.aspx" TargetMode="External"/><Relationship Id="rId333" Type="http://schemas.openxmlformats.org/officeDocument/2006/relationships/hyperlink" Target="https://www.itu.int/en/ITU-R/seminars/Pages/default.aspx" TargetMode="External"/><Relationship Id="rId540" Type="http://schemas.openxmlformats.org/officeDocument/2006/relationships/hyperlink" Target="https://u4ssc.itu.int/latest-meetings/" TargetMode="External"/><Relationship Id="rId72" Type="http://schemas.openxmlformats.org/officeDocument/2006/relationships/hyperlink" Target="https://en.wikipedia.org/wiki/ITU-T_Study_Group_16" TargetMode="External"/><Relationship Id="rId375" Type="http://schemas.openxmlformats.org/officeDocument/2006/relationships/hyperlink" Target="https://www.equalsintech.org/" TargetMode="External"/><Relationship Id="rId582" Type="http://schemas.openxmlformats.org/officeDocument/2006/relationships/hyperlink" Target="https://www.itu.int/hub/2023/07/new-un-initiative-aims-to-step-up-ais-contribution-to-health/" TargetMode="External"/><Relationship Id="rId3" Type="http://schemas.openxmlformats.org/officeDocument/2006/relationships/customXml" Target="../customXml/item3.xml"/><Relationship Id="rId235" Type="http://schemas.openxmlformats.org/officeDocument/2006/relationships/hyperlink" Target="https://www.itu.int/metaverse/5th-forum-metaverse/" TargetMode="External"/><Relationship Id="rId277" Type="http://schemas.openxmlformats.org/officeDocument/2006/relationships/hyperlink" Target="https://www.itu.int/md/S23-CL-C-0120/en" TargetMode="External"/><Relationship Id="rId400" Type="http://schemas.openxmlformats.org/officeDocument/2006/relationships/hyperlink" Target="https://publicadministration.desa.un.org/wsis20" TargetMode="External"/><Relationship Id="rId442" Type="http://schemas.openxmlformats.org/officeDocument/2006/relationships/hyperlink" Target="https://www.itu.int/en/ITU-D/Digital-Inclusion/Pages/itu-ilo/default.aspx" TargetMode="External"/><Relationship Id="rId484" Type="http://schemas.openxmlformats.org/officeDocument/2006/relationships/hyperlink" Target="https://www.itu.int/en/ITU-D/Environment/Pages/Publications/Measuring-Emissions-and-Energy-Footprint-ICT-Sector.aspx" TargetMode="External"/><Relationship Id="rId137" Type="http://schemas.openxmlformats.org/officeDocument/2006/relationships/hyperlink" Target="https://www.itu.int/en/ITU-T/publications/Pages/recs.aspx" TargetMode="External"/><Relationship Id="rId302" Type="http://schemas.openxmlformats.org/officeDocument/2006/relationships/hyperlink" Target="https://datahub.itu.int/" TargetMode="External"/><Relationship Id="rId344" Type="http://schemas.openxmlformats.org/officeDocument/2006/relationships/hyperlink" Target="https://www.itu.int/en/ITU-R/seminars/Future-of-tv-europe/Pages/default.aspx" TargetMode="External"/><Relationship Id="rId41" Type="http://schemas.openxmlformats.org/officeDocument/2006/relationships/hyperlink" Target="https://www.equalsintech.org/" TargetMode="External"/><Relationship Id="rId83" Type="http://schemas.openxmlformats.org/officeDocument/2006/relationships/hyperlink" Target="https://www.itu.int/md/meetingdoc.asp?lang=en&amp;parent=D22-WTDC25-C-0002" TargetMode="External"/><Relationship Id="rId179" Type="http://schemas.openxmlformats.org/officeDocument/2006/relationships/hyperlink" Target="https://www.itu.int/hub/publication/d-str-cyb_joint-2025/" TargetMode="External"/><Relationship Id="rId386" Type="http://schemas.openxmlformats.org/officeDocument/2006/relationships/hyperlink" Target="https://www.itu.int/women-and-girls/women-in-ict/ai-skills-accelerator-for-girls/" TargetMode="External"/><Relationship Id="rId551" Type="http://schemas.openxmlformats.org/officeDocument/2006/relationships/hyperlink" Target="https://www.itu.int/en/ITU-T/extcoop/cits/egcomad/wg03/Pages/default.aspx" TargetMode="External"/><Relationship Id="rId593" Type="http://schemas.openxmlformats.org/officeDocument/2006/relationships/hyperlink" Target="https://www.itu.int/md/S24-CL-C-0070/en" TargetMode="External"/><Relationship Id="rId607" Type="http://schemas.microsoft.com/office/2019/05/relationships/documenttasks" Target="documenttasks/documenttasks1.xml"/><Relationship Id="rId190" Type="http://schemas.openxmlformats.org/officeDocument/2006/relationships/hyperlink" Target="https://www.itu.int/en/ITU-T/focusgroups/ai4a/Pages/default.aspx" TargetMode="External"/><Relationship Id="rId204" Type="http://schemas.openxmlformats.org/officeDocument/2006/relationships/hyperlink" Target="https://aiforgood.itu.int/event/impact-africa/" TargetMode="External"/><Relationship Id="rId246" Type="http://schemas.openxmlformats.org/officeDocument/2006/relationships/hyperlink" Target="https://www.itu.int/go/tsg20" TargetMode="External"/><Relationship Id="rId288" Type="http://schemas.openxmlformats.org/officeDocument/2006/relationships/hyperlink" Target="https://www.itu.int/net4/wsis/forum/2024/en" TargetMode="External"/><Relationship Id="rId411" Type="http://schemas.openxmlformats.org/officeDocument/2006/relationships/hyperlink" Target="https://www.youtube.com/watch?v=zZFNByEQ15k" TargetMode="External"/><Relationship Id="rId453" Type="http://schemas.openxmlformats.org/officeDocument/2006/relationships/hyperlink" Target="https://www.itu.int/en/ITU-T/accessibility/Pages/default.aspx" TargetMode="External"/><Relationship Id="rId509"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5836163|Unknown|TWFpbGZsb3d8eyJFbXB0eU1hcGkiOnRydWUsIlYiOiIwLjAuMDAwMCIsIlAiOiJXaW4zMiIsIkFOIjoiTWFpbCIsIldUIjoyfQ%3D%3D|0|||&amp;sdata=qS8dAdJ1cDPPPgJ1oz64M7zuDrd7O8OfLzRSXDAENuQ%3D&amp;reserved=0" TargetMode="External"/><Relationship Id="rId106" Type="http://schemas.openxmlformats.org/officeDocument/2006/relationships/image" Target="media/image11.png"/><Relationship Id="rId313" Type="http://schemas.openxmlformats.org/officeDocument/2006/relationships/hyperlink" Target="https://www.itu.int/net/epub/TSB/2024-GSS-Conclusions/index.html" TargetMode="External"/><Relationship Id="rId495" Type="http://schemas.openxmlformats.org/officeDocument/2006/relationships/hyperlink" Target="https://www.itu.int/initiatives/green-digital-action/events/cop30/" TargetMode="External"/><Relationship Id="rId10" Type="http://schemas.openxmlformats.org/officeDocument/2006/relationships/endnotes" Target="endnotes.xml"/><Relationship Id="rId52" Type="http://schemas.openxmlformats.org/officeDocument/2006/relationships/hyperlink" Target="https://www.itu.int/en/council/Documents/basic-texts-2023/RES-071-E.pdf" TargetMode="External"/><Relationship Id="rId94" Type="http://schemas.openxmlformats.org/officeDocument/2006/relationships/image" Target="media/image6.png"/><Relationship Id="rId148" Type="http://schemas.openxmlformats.org/officeDocument/2006/relationships/hyperlink" Target="https://www.itu.int/en/council/Documents/basic-texts-2023/RES-123-E.pdf" TargetMode="External"/><Relationship Id="rId355" Type="http://schemas.openxmlformats.org/officeDocument/2006/relationships/hyperlink" Target="https://www.itu.int/en/ITU-T/Workshops-and-Seminars/2024/Pages/default.aspx" TargetMode="External"/><Relationship Id="rId397" Type="http://schemas.openxmlformats.org/officeDocument/2006/relationships/hyperlink" Target="https://www.itu.int/160/" TargetMode="External"/><Relationship Id="rId520" Type="http://schemas.openxmlformats.org/officeDocument/2006/relationships/hyperlink" Target="https://www.equalsintech.org/" TargetMode="External"/><Relationship Id="rId562" Type="http://schemas.openxmlformats.org/officeDocument/2006/relationships/hyperlink" Target="https://aiforgood.itu.int/multimedia-authenticity/" TargetMode="External"/><Relationship Id="rId215" Type="http://schemas.openxmlformats.org/officeDocument/2006/relationships/hyperlink" Target="https://docs.un.org/en/A/RES/79/325" TargetMode="External"/><Relationship Id="rId257" Type="http://schemas.openxmlformats.org/officeDocument/2006/relationships/hyperlink" Target="https://www.itu.int/en/ITU-D/Statistics/Pages/bigdata/default.aspx" TargetMode="External"/><Relationship Id="rId422" Type="http://schemas.openxmlformats.org/officeDocument/2006/relationships/hyperlink" Target="https://www.huawei.com/en/news/2022/8/seeds-for-future-camp" TargetMode="External"/><Relationship Id="rId464" Type="http://schemas.openxmlformats.org/officeDocument/2006/relationships/hyperlink" Target="https://www.itu.int/pub/R-RES-R.67" TargetMode="External"/><Relationship Id="rId299" Type="http://schemas.openxmlformats.org/officeDocument/2006/relationships/hyperlink" Target="http://www.wsis.org/prizes" TargetMode="External"/><Relationship Id="rId63" Type="http://schemas.openxmlformats.org/officeDocument/2006/relationships/hyperlink" Target="https://www.itu.int/pub/R-RES-R.65" TargetMode="External"/><Relationship Id="rId159"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366" Type="http://schemas.openxmlformats.org/officeDocument/2006/relationships/hyperlink" Target="https://www.itu.int/md/S25-CL-C-0105/en" TargetMode="External"/><Relationship Id="rId573" Type="http://schemas.openxmlformats.org/officeDocument/2006/relationships/hyperlink" Target="https://www.itu.int/en/ITU-T/focusgroups/ai4ndm/Documents/Deliverables/FG-AI4NDM%20WG-MODELING%20-%20AI%20for%20Modeling.pdf" TargetMode="External"/><Relationship Id="rId226" Type="http://schemas.openxmlformats.org/officeDocument/2006/relationships/hyperlink" Target="https://www.itu.int/rec/T-REC-Y.3814/en" TargetMode="External"/><Relationship Id="rId433" Type="http://schemas.openxmlformats.org/officeDocument/2006/relationships/hyperlink" Target="https://www.itu.int/metaverse/un-virtual-worlds-day/thinkathon/" TargetMode="External"/><Relationship Id="rId74" Type="http://schemas.openxmlformats.org/officeDocument/2006/relationships/hyperlink" Target="https://www.itu.int/wtsa/2024/candidates/" TargetMode="External"/><Relationship Id="rId377" Type="http://schemas.openxmlformats.org/officeDocument/2006/relationships/hyperlink" Target="https://www.youtube.com/playlist?list=PLdCp2BJdjaQAJmm_GD2T15HgepUAuENQ-" TargetMode="External"/><Relationship Id="rId500" Type="http://schemas.openxmlformats.org/officeDocument/2006/relationships/hyperlink" Target="https://www.itu.int/initiatives/green-digital-action/about-us/partners/" TargetMode="External"/><Relationship Id="rId584" Type="http://schemas.openxmlformats.org/officeDocument/2006/relationships/hyperlink" Target="https://www.itu.int/en/ITU-T/focusgroups/ai4h/Pages/default.aspx" TargetMode="External"/><Relationship Id="rId5" Type="http://schemas.openxmlformats.org/officeDocument/2006/relationships/numbering" Target="numbering.xml"/><Relationship Id="rId237" Type="http://schemas.openxmlformats.org/officeDocument/2006/relationships/hyperlink" Target="https://www.itu.int/metaverse/5th-forum-metaverse/" TargetMode="External"/><Relationship Id="rId444" Type="http://schemas.openxmlformats.org/officeDocument/2006/relationships/hyperlink" Target="https://www.itu.int/en/ITU-D/Digital-Inclusion/Persons-with-Disabilities/Documents/Toolkit_Interactive_Self-Assessment_in_ICT_Accessibility.xlsm" TargetMode="External"/><Relationship Id="rId290" Type="http://schemas.openxmlformats.org/officeDocument/2006/relationships/hyperlink" Target="https://publicadministration.desa.un.org/wsis20" TargetMode="External"/><Relationship Id="rId304" Type="http://schemas.openxmlformats.org/officeDocument/2006/relationships/hyperlink" Target="https://aiforgood.itu.int/ai-events-calendar/" TargetMode="External"/><Relationship Id="rId388" Type="http://schemas.openxmlformats.org/officeDocument/2006/relationships/hyperlink" Target="https://www.itu.int/initiatives/gender-equality/network-of-women/" TargetMode="External"/><Relationship Id="rId511" Type="http://schemas.openxmlformats.org/officeDocument/2006/relationships/hyperlink" Target="https://eur03.safelinks.protection.outlook.com/?url=https%3A%2F%2Fbroadbandcommission.org%2Fworking-groups%2F&amp;data=05|02|fernando.rivera%40itu.int|25850ebcdcaa42ef3ee508de787057c6|23e464d704e64b87913c24bd89219fd3|0|0|639080621056073225|Unknown|TWFpbGZsb3d8eyJFbXB0eU1hcGkiOnRydWUsIlYiOiIwLjAuMDAwMCIsIlAiOiJXaW4zMiIsIkFOIjoiTWFpbCIsIldUIjoyfQ%3D%3D|0|||&amp;sdata=v3zmw5nMd5didUxUL7wp%2FuXMCFlJ1mb8sUSSPJZV21U%3D&amp;reserved=0" TargetMode="External"/><Relationship Id="rId85" Type="http://schemas.openxmlformats.org/officeDocument/2006/relationships/hyperlink" Target="https://www.itu.int/md/D22-WTDC25-251117/sum/en" TargetMode="External"/><Relationship Id="rId150" Type="http://schemas.openxmlformats.org/officeDocument/2006/relationships/hyperlink" Target="https://www.itu.int/en/ITU-T/gap/Pages/default.aspx" TargetMode="External"/><Relationship Id="rId595" Type="http://schemas.openxmlformats.org/officeDocument/2006/relationships/hyperlink" Target="https://www.itu.int/md/S25-CL-C-0055/en" TargetMode="External"/><Relationship Id="rId248" Type="http://schemas.openxmlformats.org/officeDocument/2006/relationships/hyperlink" Target="https://u4ssc.itu.int/" TargetMode="External"/><Relationship Id="rId455" Type="http://schemas.openxmlformats.org/officeDocument/2006/relationships/hyperlink" Target="https://www.itu.int/rec/T-REC-H.870" TargetMode="External"/><Relationship Id="rId12" Type="http://schemas.openxmlformats.org/officeDocument/2006/relationships/hyperlink" Target="https://www.itu.int/en/council/Documents/basic-texts-2023/RES-071-E.pdf" TargetMode="External"/><Relationship Id="rId108" Type="http://schemas.openxmlformats.org/officeDocument/2006/relationships/image" Target="media/image12.png"/><Relationship Id="rId315" Type="http://schemas.openxmlformats.org/officeDocument/2006/relationships/hyperlink" Target="https://www.itu.int/en/ITU-D/Regulatory-Market/Pages/bestpractices.aspx" TargetMode="External"/><Relationship Id="rId522" Type="http://schemas.openxmlformats.org/officeDocument/2006/relationships/hyperlink" Target="https://www.equalsintech.org/skills" TargetMode="External"/><Relationship Id="rId96" Type="http://schemas.openxmlformats.org/officeDocument/2006/relationships/image" Target="media/image7.png"/><Relationship Id="rId161" Type="http://schemas.openxmlformats.org/officeDocument/2006/relationships/hyperlink" Target="https://www.itu.int/en/action/environment-and-climate-change/Pages/ewaste.aspx" TargetMode="External"/><Relationship Id="rId399" Type="http://schemas.openxmlformats.org/officeDocument/2006/relationships/hyperlink" Target="https://wtisd.itu.int/2025/itu160-gender-champions/" TargetMode="External"/><Relationship Id="rId259" Type="http://schemas.openxmlformats.org/officeDocument/2006/relationships/hyperlink" Target="https://www.itu.int/itu-d/meetings/wtis25/" TargetMode="External"/><Relationship Id="rId466" Type="http://schemas.openxmlformats.org/officeDocument/2006/relationships/hyperlink" Target="https://www.itu.int/pub/R-REP-SM.2153" TargetMode="External"/><Relationship Id="rId23" Type="http://schemas.openxmlformats.org/officeDocument/2006/relationships/hyperlink" Target="https://www.itu.int/wtsa/2024/" TargetMode="External"/><Relationship Id="rId119" Type="http://schemas.openxmlformats.org/officeDocument/2006/relationships/image" Target="media/image15.png"/><Relationship Id="rId326" Type="http://schemas.openxmlformats.org/officeDocument/2006/relationships/hyperlink" Target="https://www.itu.int/en/journal/j-fet/webinars/Pages/default.aspx" TargetMode="External"/><Relationship Id="rId533" Type="http://schemas.openxmlformats.org/officeDocument/2006/relationships/hyperlink" Target="https://www.itu.int/un-virtual-worlds-day/" TargetMode="External"/><Relationship Id="rId172" Type="http://schemas.openxmlformats.org/officeDocument/2006/relationships/hyperlink" Target="https://academy.itu.int/" TargetMode="External"/><Relationship Id="rId477" Type="http://schemas.openxmlformats.org/officeDocument/2006/relationships/hyperlink" Target="https://www.itu.int/cities/wp-content/uploads/2023/04/The-role-of-Digital-Technologies-in-Aging-and-Health.pdf" TargetMode="External"/><Relationship Id="rId600" Type="http://schemas.openxmlformats.org/officeDocument/2006/relationships/hyperlink" Target="https://www.itu.int/net4/Search/CL26" TargetMode="External"/><Relationship Id="rId337" Type="http://schemas.openxmlformats.org/officeDocument/2006/relationships/hyperlink" Target="https://www.itu.int/en/ITU-R/seminars/rrs/RRS-23-Americas/Pages/default.aspx" TargetMode="External"/><Relationship Id="rId34" Type="http://schemas.openxmlformats.org/officeDocument/2006/relationships/hyperlink" Target="https://academy.itu.int/research-advocacy-and-convening-platforms/research-publications/digital-skills-toolkit" TargetMode="External"/><Relationship Id="rId544" Type="http://schemas.openxmlformats.org/officeDocument/2006/relationships/hyperlink" Target="https://www.itu.int/en/ITU-T/ITS/Pages/WTSA-Resolution-104.aspx" TargetMode="External"/><Relationship Id="rId183" Type="http://schemas.openxmlformats.org/officeDocument/2006/relationships/hyperlink" Target="https://www.itu.int/en/ITU-T/studygroups/2025-2028/20/Pages/default.aspx" TargetMode="External"/><Relationship Id="rId390" Type="http://schemas.openxmlformats.org/officeDocument/2006/relationships/hyperlink" Target="https://www.itu.int/en/ITU-T/NoW/Pages/default.aspx" TargetMode="External"/><Relationship Id="rId404" Type="http://schemas.openxmlformats.org/officeDocument/2006/relationships/hyperlink" Target="http://www.itu.int/gender" TargetMode="External"/><Relationship Id="rId250" Type="http://schemas.openxmlformats.org/officeDocument/2006/relationships/hyperlink" Target="https://toolkit-dt4c.itu.int/" TargetMode="External"/><Relationship Id="rId488" Type="http://schemas.openxmlformats.org/officeDocument/2006/relationships/hyperlink" Target="https://www.itu.int/hub/publication/s-gen-gda-001-2025/" TargetMode="External"/><Relationship Id="rId45" Type="http://schemas.openxmlformats.org/officeDocument/2006/relationships/hyperlink" Target="https://pp.itu.int/2026/en/" TargetMode="External"/><Relationship Id="rId110" Type="http://schemas.openxmlformats.org/officeDocument/2006/relationships/image" Target="media/image13.png"/><Relationship Id="rId348" Type="http://schemas.openxmlformats.org/officeDocument/2006/relationships/hyperlink" Target="https://www.itu.int/en/ITU-D/Regional-Presence/Africa/Pages/EVENTS/2024/SADC-NETP-EW4All-Workshop.aspx" TargetMode="External"/><Relationship Id="rId555" Type="http://schemas.openxmlformats.org/officeDocument/2006/relationships/hyperlink" Target="https://www.itu.int/en/ITU-T/extcoop/cits/Pages/related-events.aspx" TargetMode="External"/><Relationship Id="rId194" Type="http://schemas.openxmlformats.org/officeDocument/2006/relationships/hyperlink" Target="https://aiforgood.itu.int/ai-for-food-systems/" TargetMode="External"/><Relationship Id="rId208"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415" Type="http://schemas.openxmlformats.org/officeDocument/2006/relationships/hyperlink" Target="https://www.mwcbarcelona.com/" TargetMode="External"/><Relationship Id="rId261" Type="http://schemas.openxmlformats.org/officeDocument/2006/relationships/hyperlink" Target="https://academy.itu.int/" TargetMode="External"/><Relationship Id="rId499" Type="http://schemas.openxmlformats.org/officeDocument/2006/relationships/hyperlink" Target="https://www.itu.int/initiatives/green-digital-action/events/all/green-digital-action-summit-2025/" TargetMode="External"/><Relationship Id="rId56" Type="http://schemas.openxmlformats.org/officeDocument/2006/relationships/hyperlink" Target="https://www.itu.int/wrc-23/" TargetMode="External"/><Relationship Id="rId359" Type="http://schemas.openxmlformats.org/officeDocument/2006/relationships/hyperlink" Target="https://www.itu.int/md/S22-PP-C-0094" TargetMode="External"/><Relationship Id="rId566" Type="http://schemas.openxmlformats.org/officeDocument/2006/relationships/hyperlink" Target="https://www.itu.int/en/ITU-D/Emergency-Telecommunications/Pages/AI-Sub-Group-EW4All-.asp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6/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 Total funds signed (CHF) </c:v>
          </c:tx>
          <c:spPr>
            <a:solidFill>
              <a:srgbClr val="4F81BD"/>
            </a:solidFill>
            <a:ln>
              <a:noFill/>
            </a:ln>
          </c:spPr>
          <c:invertIfNegative val="0"/>
          <c:dLbls>
            <c:dLbl>
              <c:idx val="3"/>
              <c:layout>
                <c:manualLayout>
                  <c:x val="2.3750148438426871E-3"/>
                  <c:y val="-1.754001315500986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BFA3-4262-8534-5522AC4E8B0E}"/>
                </c:ext>
              </c:extLst>
            </c:dLbl>
            <c:numFmt formatCode="#,##0.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800" b="1" i="0" u="none" strike="noStrike" kern="1200" baseline="0">
                    <a:solidFill>
                      <a:srgbClr val="404040"/>
                    </a:solidFill>
                    <a:latin typeface="Calibri"/>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Lit>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Lit>
          </c:cat>
          <c:val>
            <c:numLit>
              <c:formatCode>General</c:formatCode>
              <c:ptCount val="11"/>
              <c:pt idx="0">
                <c:v>4944540</c:v>
              </c:pt>
              <c:pt idx="1">
                <c:v>2931852</c:v>
              </c:pt>
              <c:pt idx="2">
                <c:v>9842259</c:v>
              </c:pt>
              <c:pt idx="3">
                <c:v>10761271</c:v>
              </c:pt>
              <c:pt idx="4">
                <c:v>14700791</c:v>
              </c:pt>
              <c:pt idx="5">
                <c:v>9965564</c:v>
              </c:pt>
              <c:pt idx="6">
                <c:v>21258706</c:v>
              </c:pt>
              <c:pt idx="7">
                <c:v>2791841</c:v>
              </c:pt>
              <c:pt idx="8">
                <c:v>19509697</c:v>
              </c:pt>
              <c:pt idx="9">
                <c:v>28072827</c:v>
              </c:pt>
              <c:pt idx="10">
                <c:v>4256381</c:v>
              </c:pt>
            </c:numLit>
          </c:val>
          <c:extLst>
            <c:ext xmlns:c16="http://schemas.microsoft.com/office/drawing/2014/chart" uri="{C3380CC4-5D6E-409C-BE32-E72D297353CC}">
              <c16:uniqueId val="{00000001-BFA3-4262-8534-5522AC4E8B0E}"/>
            </c:ext>
          </c:extLst>
        </c:ser>
        <c:dLbls>
          <c:showLegendKey val="0"/>
          <c:showVal val="0"/>
          <c:showCatName val="0"/>
          <c:showSerName val="0"/>
          <c:showPercent val="0"/>
          <c:showBubbleSize val="0"/>
        </c:dLbls>
        <c:gapWidth val="219"/>
        <c:overlap val="-27"/>
        <c:axId val="1542771280"/>
        <c:axId val="1542769840"/>
      </c:barChart>
      <c:valAx>
        <c:axId val="1542769840"/>
        <c:scaling>
          <c:orientation val="minMax"/>
        </c:scaling>
        <c:delete val="1"/>
        <c:axPos val="l"/>
        <c:numFmt formatCode="#,##0" sourceLinked="0"/>
        <c:majorTickMark val="none"/>
        <c:minorTickMark val="none"/>
        <c:tickLblPos val="nextTo"/>
        <c:crossAx val="1542771280"/>
        <c:crosses val="autoZero"/>
        <c:crossBetween val="between"/>
      </c:valAx>
      <c:catAx>
        <c:axId val="1542771280"/>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rgbClr val="595959"/>
                </a:solidFill>
                <a:latin typeface="Calibri"/>
              </a:defRPr>
            </a:pPr>
            <a:endParaRPr lang="en-US"/>
          </a:p>
        </c:txPr>
        <c:crossAx val="1542769840"/>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External Funds (CHF)</c:v>
          </c:tx>
          <c:spPr>
            <a:solidFill>
              <a:srgbClr val="4F81BD"/>
            </a:solidFill>
            <a:ln>
              <a:noFill/>
            </a:ln>
          </c:spPr>
          <c:invertIfNegative val="0"/>
          <c:dLbls>
            <c:numFmt formatCode="#,##0.0" sourceLinked="0"/>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800" b="1" i="0" u="none" strike="noStrike" kern="1200" baseline="0">
                    <a:solidFill>
                      <a:srgbClr val="404040"/>
                    </a:solidFill>
                    <a:latin typeface="Calibri"/>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3"/>
            </c:strLit>
          </c:cat>
          <c:val>
            <c:numLit>
              <c:formatCode>General</c:formatCode>
              <c:ptCount val="3"/>
              <c:pt idx="0">
                <c:v>15309827.810000001</c:v>
              </c:pt>
              <c:pt idx="1">
                <c:v>49682025.890000001</c:v>
              </c:pt>
              <c:pt idx="2">
                <c:v>46871131.890000001</c:v>
              </c:pt>
            </c:numLit>
          </c:val>
          <c:extLst>
            <c:ext xmlns:c16="http://schemas.microsoft.com/office/drawing/2014/chart" uri="{C3380CC4-5D6E-409C-BE32-E72D297353CC}">
              <c16:uniqueId val="{00000000-1C74-4E51-8595-B251126D2357}"/>
            </c:ext>
          </c:extLst>
        </c:ser>
        <c:dLbls>
          <c:showLegendKey val="0"/>
          <c:showVal val="0"/>
          <c:showCatName val="0"/>
          <c:showSerName val="0"/>
          <c:showPercent val="0"/>
          <c:showBubbleSize val="0"/>
        </c:dLbls>
        <c:gapWidth val="219"/>
        <c:overlap val="-27"/>
        <c:axId val="1543832384"/>
        <c:axId val="1543831424"/>
      </c:barChart>
      <c:valAx>
        <c:axId val="1543831424"/>
        <c:scaling>
          <c:orientation val="minMax"/>
        </c:scaling>
        <c:delete val="1"/>
        <c:axPos val="l"/>
        <c:numFmt formatCode="&quot; &quot;#,##0&quot; &quot;;&quot; (&quot;#,##0&quot;)&quot;;&quot; -&quot;00&quot; &quot;;&quot; &quot;" sourceLinked="0"/>
        <c:majorTickMark val="none"/>
        <c:minorTickMark val="none"/>
        <c:tickLblPos val="nextTo"/>
        <c:crossAx val="1543832384"/>
        <c:crosses val="autoZero"/>
        <c:crossBetween val="between"/>
      </c:valAx>
      <c:catAx>
        <c:axId val="1543832384"/>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43831424"/>
        <c:crosses val="autoZero"/>
        <c:auto val="1"/>
        <c:lblAlgn val="ctr"/>
        <c:lblOffset val="100"/>
        <c:noMultiLvlLbl val="0"/>
      </c:catAx>
      <c:spPr>
        <a:noFill/>
        <a:ln>
          <a:noFill/>
        </a:ln>
      </c:spPr>
    </c:plotArea>
    <c:plotVisOnly val="1"/>
    <c:dispBlanksAs val="gap"/>
    <c:showDLblsOverMax val="0"/>
  </c:chart>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2">
    <c:autoUpdate val="0"/>
  </c:externalData>
</c:chartSpace>
</file>

<file path=word/documenttasks/documenttasks1.xml><?xml version="1.0" encoding="utf-8"?>
<t:Tasks xmlns:t="http://schemas.microsoft.com/office/tasks/2019/documenttasks" xmlns:oel="http://schemas.microsoft.com/office/2019/extlst">
  <t:Task id="{8B20C974-B365-4B42-A24A-32F72D9E0EEC}">
    <t:Anchor>
      <t:Comment id="1509145966"/>
    </t:Anchor>
    <t:History>
      <t:Event id="{A634383D-B2BB-4318-8FEA-A3174859A350}" time="2026-03-30T13:46:27.726Z">
        <t:Attribution userId="S::catalin.marinescu@itu.int::b3b8a51a-f111-4950-b512-eaa339d64c8c" userProvider="AD" userName="Marinescu, Catalin"/>
        <t:Anchor>
          <t:Comment id="68736518"/>
        </t:Anchor>
        <t:Create/>
      </t:Event>
      <t:Event id="{234310FD-D172-473B-847F-2D4E5028A3C8}" time="2026-03-30T13:46:27.726Z">
        <t:Attribution userId="S::catalin.marinescu@itu.int::b3b8a51a-f111-4950-b512-eaa339d64c8c" userProvider="AD" userName="Marinescu, Catalin"/>
        <t:Anchor>
          <t:Comment id="68736518"/>
        </t:Anchor>
        <t:Assign userId="S::fernando.rivera@itu.int::e8c8f2c2-1e15-42ce-923a-e32bff38eff0" userProvider="AD" userName="Rivera, Fernando"/>
      </t:Event>
      <t:Event id="{64F62DFE-F7B1-496F-A038-0AF2EBA80B29}" time="2026-03-30T13:46:27.726Z">
        <t:Attribution userId="S::catalin.marinescu@itu.int::b3b8a51a-f111-4950-b512-eaa339d64c8c" userProvider="AD" userName="Marinescu, Catalin"/>
        <t:Anchor>
          <t:Comment id="68736518"/>
        </t:Anchor>
        <t:SetTitle title="@Rivera, Fernando to ask Neil"/>
      </t:Event>
      <t:Event id="{C7A9D4D2-38FC-4589-AA6B-6F33EEAF0063}" time="2026-03-30T14:22:39.259Z">
        <t:Attribution userId="S::fernando.rivera@itu.int::e8c8f2c2-1e15-42ce-923a-e32bff38eff0" userProvider="AD" userName="Rivera, Fernando"/>
        <t:Anchor>
          <t:Comment id="1042922752"/>
        </t:Anchor>
        <t:UnassignAll/>
      </t:Event>
      <t:Event id="{56DFA3A0-4CCC-4294-9A83-1C6EC355E4C2}" time="2026-03-30T14:22:39.259Z">
        <t:Attribution userId="S::fernando.rivera@itu.int::e8c8f2c2-1e15-42ce-923a-e32bff38eff0" userProvider="AD" userName="Rivera, Fernando"/>
        <t:Anchor>
          <t:Comment id="1042922752"/>
        </t:Anchor>
        <t:Assign userId="S::neil.macdonald@itu.int::56835a05-0e0d-4c54-8500-276c99f9177c" userProvider="AD" userName="MacDonald, Neil"/>
      </t:Event>
      <t:Event id="{11F06E49-9B02-45B3-BA94-5D4D5D2A6F17}" time="2026-03-30T14:23:48.702Z">
        <t:Attribution userId="S::fernando.rivera@itu.int::e8c8f2c2-1e15-42ce-923a-e32bff38eff0" userProvider="AD" userName="Rivera, Fernando"/>
        <t:Progress percentComplete="100"/>
      </t:Event>
      <t:Event id="{9587775A-3C17-4244-9E61-61091D09068E}" time="2026-03-30T14:23:52.736Z">
        <t:Attribution userId="S::fernando.rivera@itu.int::e8c8f2c2-1e15-42ce-923a-e32bff38eff0" userProvider="AD" userName="Rivera, Fernando"/>
        <t:Progress percentComplete="0"/>
      </t:Event>
      <t:Event id="{8F4B8E3C-0AD0-48F5-8A76-A2952E85E2C2}" time="2026-03-30T18:36:20.594Z">
        <t:Attribution userId="S::catalin.marinescu@itu.int::b3b8a51a-f111-4950-b512-eaa339d64c8c" userProvider="AD" userName="Marinescu, Catalin"/>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287738E5CD48E59F88DF0A8FF8A393"/>
        <w:category>
          <w:name w:val="General"/>
          <w:gallery w:val="placeholder"/>
        </w:category>
        <w:types>
          <w:type w:val="bbPlcHdr"/>
        </w:types>
        <w:behaviors>
          <w:behavior w:val="content"/>
        </w:behaviors>
        <w:guid w:val="{D0E05FF3-9DEE-4495-BECF-BF2BE8817AD8}"/>
      </w:docPartPr>
      <w:docPartBody>
        <w:p w:rsidR="00A046A2" w:rsidRDefault="00A046A2" w:rsidP="00A046A2">
          <w:pPr>
            <w:pStyle w:val="2D287738E5CD48E59F88DF0A8FF8A393"/>
          </w:pPr>
          <w:r>
            <w:rPr>
              <w:rStyle w:val="PlaceholderText"/>
            </w:rPr>
            <w:t>[Insert the full name and abbreviation of CG]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venir Nxt2 W1G">
    <w:panose1 w:val="00000000000000000000"/>
    <w:charset w:val="00"/>
    <w:family w:val="swiss"/>
    <w:notTrueType/>
    <w:pitch w:val="variable"/>
    <w:sig w:usb0="A00002EF" w:usb1="00000003" w:usb2="00000000" w:usb3="00000000" w:csb0="0000019F" w:csb1="00000000"/>
  </w:font>
  <w:font w:name="AvenirNext LT Pro Light">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6A2"/>
    <w:rsid w:val="000215DF"/>
    <w:rsid w:val="0028207F"/>
    <w:rsid w:val="004052F7"/>
    <w:rsid w:val="00494A31"/>
    <w:rsid w:val="005B2B06"/>
    <w:rsid w:val="00A046A2"/>
    <w:rsid w:val="00CF23BC"/>
    <w:rsid w:val="00DE2984"/>
    <w:rsid w:val="00DF3A7A"/>
    <w:rsid w:val="00FE077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46A2"/>
  </w:style>
  <w:style w:type="paragraph" w:customStyle="1" w:styleId="2D287738E5CD48E59F88DF0A8FF8A393">
    <w:name w:val="2D287738E5CD48E59F88DF0A8FF8A393"/>
    <w:rsid w:val="00A046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bereviewedatCoCo xmlns="a4c22657-7647-457b-a399-8471255bb16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14E447ED7B9DA4C9F10BB2808D9DCA9" ma:contentTypeVersion="4" ma:contentTypeDescription="Create a new document." ma:contentTypeScope="" ma:versionID="9be68409d3c2ab4dff34705b6aa0e722">
  <xsd:schema xmlns:xsd="http://www.w3.org/2001/XMLSchema" xmlns:xs="http://www.w3.org/2001/XMLSchema" xmlns:p="http://schemas.microsoft.com/office/2006/metadata/properties" xmlns:ns2="a4c22657-7647-457b-a399-8471255bb166" targetNamespace="http://schemas.microsoft.com/office/2006/metadata/properties" ma:root="true" ma:fieldsID="985c4305570bd1295e0dfd082e17e564" ns2:_="">
    <xsd:import namespace="a4c22657-7647-457b-a399-8471255bb1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TobereviewedatCoC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22657-7647-457b-a399-8471255bb1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TobereviewedatCoCo" ma:index="11" nillable="true" ma:displayName="CoCo" ma:format="Dropdown" ma:internalName="TobereviewedatCoCo">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2FAB7C-0A13-41E0-9CE5-87CC7972FBEC}">
  <ds:schemaRefs>
    <ds:schemaRef ds:uri="http://purl.org/dc/elements/1.1/"/>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a4c22657-7647-457b-a399-8471255bb166"/>
  </ds:schemaRefs>
</ds:datastoreItem>
</file>

<file path=customXml/itemProps2.xml><?xml version="1.0" encoding="utf-8"?>
<ds:datastoreItem xmlns:ds="http://schemas.openxmlformats.org/officeDocument/2006/customXml" ds:itemID="{5D84AF9C-C022-454F-BAA7-6F90D5B61D1A}">
  <ds:schemaRefs>
    <ds:schemaRef ds:uri="http://schemas.microsoft.com/sharepoint/v3/contenttype/forms"/>
  </ds:schemaRefs>
</ds:datastoreItem>
</file>

<file path=customXml/itemProps3.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4.xml><?xml version="1.0" encoding="utf-8"?>
<ds:datastoreItem xmlns:ds="http://schemas.openxmlformats.org/officeDocument/2006/customXml" ds:itemID="{1D72F8EB-2A72-42FC-BEE9-1628B5CAE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22657-7647-457b-a399-8471255bb1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84</Pages>
  <Words>36846</Words>
  <Characters>275738</Characters>
  <Application>Microsoft Office Word</Application>
  <DocSecurity>0</DocSecurity>
  <Lines>4177</Lines>
  <Paragraphs>1474</Paragraphs>
  <ScaleCrop>false</ScaleCrop>
  <HeadingPairs>
    <vt:vector size="2" baseType="variant">
      <vt:variant>
        <vt:lpstr>Title</vt:lpstr>
      </vt:variant>
      <vt:variant>
        <vt:i4>1</vt:i4>
      </vt:variant>
    </vt:vector>
  </HeadingPairs>
  <TitlesOfParts>
    <vt:vector size="1" baseType="lpstr">
      <vt:lpstr/>
    </vt:vector>
  </TitlesOfParts>
  <Manager>General Secretariat</Manager>
  <Company>International Telecommunication Union (ITU)</Company>
  <LinksUpToDate>false</LinksUpToDate>
  <CharactersWithSpaces>311110</CharactersWithSpaces>
  <SharedDoc>false</SharedDoc>
  <HLinks>
    <vt:vector size="4158" baseType="variant">
      <vt:variant>
        <vt:i4>393306</vt:i4>
      </vt:variant>
      <vt:variant>
        <vt:i4>2109</vt:i4>
      </vt:variant>
      <vt:variant>
        <vt:i4>0</vt:i4>
      </vt:variant>
      <vt:variant>
        <vt:i4>5</vt:i4>
      </vt:variant>
      <vt:variant>
        <vt:lpwstr>https://www.itu.int/net4/Search/CL26</vt:lpwstr>
      </vt:variant>
      <vt:variant>
        <vt:lpwstr/>
      </vt:variant>
      <vt:variant>
        <vt:i4>1245251</vt:i4>
      </vt:variant>
      <vt:variant>
        <vt:i4>2106</vt:i4>
      </vt:variant>
      <vt:variant>
        <vt:i4>0</vt:i4>
      </vt:variant>
      <vt:variant>
        <vt:i4>5</vt:i4>
      </vt:variant>
      <vt:variant>
        <vt:lpwstr>https://www.itu.int/en/council/dashboard/Pages/HumanResourcesReport.aspx</vt:lpwstr>
      </vt:variant>
      <vt:variant>
        <vt:lpwstr/>
      </vt:variant>
      <vt:variant>
        <vt:i4>2228343</vt:i4>
      </vt:variant>
      <vt:variant>
        <vt:i4>2103</vt:i4>
      </vt:variant>
      <vt:variant>
        <vt:i4>0</vt:i4>
      </vt:variant>
      <vt:variant>
        <vt:i4>5</vt:i4>
      </vt:variant>
      <vt:variant>
        <vt:lpwstr>https://www.itu.int/en/action/youth/Pages/YPP.aspx</vt:lpwstr>
      </vt:variant>
      <vt:variant>
        <vt:lpwstr/>
      </vt:variant>
      <vt:variant>
        <vt:i4>4980736</vt:i4>
      </vt:variant>
      <vt:variant>
        <vt:i4>2100</vt:i4>
      </vt:variant>
      <vt:variant>
        <vt:i4>0</vt:i4>
      </vt:variant>
      <vt:variant>
        <vt:i4>5</vt:i4>
      </vt:variant>
      <vt:variant>
        <vt:lpwstr>https://www.itu.int/md/S26-CWGFHR22-C-0015/en</vt:lpwstr>
      </vt:variant>
      <vt:variant>
        <vt:lpwstr/>
      </vt:variant>
      <vt:variant>
        <vt:i4>7471161</vt:i4>
      </vt:variant>
      <vt:variant>
        <vt:i4>2097</vt:i4>
      </vt:variant>
      <vt:variant>
        <vt:i4>0</vt:i4>
      </vt:variant>
      <vt:variant>
        <vt:i4>5</vt:i4>
      </vt:variant>
      <vt:variant>
        <vt:lpwstr>https://www.itu.int/md/S25-CL-C-0055/en</vt:lpwstr>
      </vt:variant>
      <vt:variant>
        <vt:lpwstr/>
      </vt:variant>
      <vt:variant>
        <vt:i4>7602233</vt:i4>
      </vt:variant>
      <vt:variant>
        <vt:i4>2094</vt:i4>
      </vt:variant>
      <vt:variant>
        <vt:i4>0</vt:i4>
      </vt:variant>
      <vt:variant>
        <vt:i4>5</vt:i4>
      </vt:variant>
      <vt:variant>
        <vt:lpwstr>https://www.itu.int/md/S24-CL-C-0052/en</vt:lpwstr>
      </vt:variant>
      <vt:variant>
        <vt:lpwstr/>
      </vt:variant>
      <vt:variant>
        <vt:i4>7733307</vt:i4>
      </vt:variant>
      <vt:variant>
        <vt:i4>2091</vt:i4>
      </vt:variant>
      <vt:variant>
        <vt:i4>0</vt:i4>
      </vt:variant>
      <vt:variant>
        <vt:i4>5</vt:i4>
      </vt:variant>
      <vt:variant>
        <vt:lpwstr>https://www.itu.int/md/S24-CL-C-0070/en</vt:lpwstr>
      </vt:variant>
      <vt:variant>
        <vt:lpwstr/>
      </vt:variant>
      <vt:variant>
        <vt:i4>8323157</vt:i4>
      </vt:variant>
      <vt:variant>
        <vt:i4>2088</vt:i4>
      </vt:variant>
      <vt:variant>
        <vt:i4>0</vt:i4>
      </vt:variant>
      <vt:variant>
        <vt:i4>5</vt:i4>
      </vt:variant>
      <vt:variant>
        <vt:lpwstr>https://www.un.org/un80-initiative/sites/default/files/2025-11/UN80_Initiative_Action_Plan.pdf</vt:lpwstr>
      </vt:variant>
      <vt:variant>
        <vt:lpwstr/>
      </vt:variant>
      <vt:variant>
        <vt:i4>4522047</vt:i4>
      </vt:variant>
      <vt:variant>
        <vt:i4>2085</vt:i4>
      </vt:variant>
      <vt:variant>
        <vt:i4>0</vt:i4>
      </vt:variant>
      <vt:variant>
        <vt:i4>5</vt:i4>
      </vt:variant>
      <vt:variant>
        <vt:lpwstr>https://www.un.org/un80-initiative/sites/default/files/2025-09/UN80_WS3-1_250921_1238.pdf</vt:lpwstr>
      </vt:variant>
      <vt:variant>
        <vt:lpwstr/>
      </vt:variant>
      <vt:variant>
        <vt:i4>1245250</vt:i4>
      </vt:variant>
      <vt:variant>
        <vt:i4>2082</vt:i4>
      </vt:variant>
      <vt:variant>
        <vt:i4>0</vt:i4>
      </vt:variant>
      <vt:variant>
        <vt:i4>5</vt:i4>
      </vt:variant>
      <vt:variant>
        <vt:lpwstr>https://social.desa.un.org/world-summit-2025/documents/doha-political-declaration-of-the-world-social-summit-under-the-title</vt:lpwstr>
      </vt:variant>
      <vt:variant>
        <vt:lpwstr/>
      </vt:variant>
      <vt:variant>
        <vt:i4>3407872</vt:i4>
      </vt:variant>
      <vt:variant>
        <vt:i4>2079</vt:i4>
      </vt:variant>
      <vt:variant>
        <vt:i4>0</vt:i4>
      </vt:variant>
      <vt:variant>
        <vt:i4>5</vt:i4>
      </vt:variant>
      <vt:variant>
        <vt:lpwstr>https://unctad.org/system/files/information-document/gdc_implementation_map_en.pdf</vt:lpwstr>
      </vt:variant>
      <vt:variant>
        <vt:lpwstr/>
      </vt:variant>
      <vt:variant>
        <vt:i4>6553636</vt:i4>
      </vt:variant>
      <vt:variant>
        <vt:i4>2076</vt:i4>
      </vt:variant>
      <vt:variant>
        <vt:i4>0</vt:i4>
      </vt:variant>
      <vt:variant>
        <vt:i4>5</vt:i4>
      </vt:variant>
      <vt:variant>
        <vt:lpwstr>https://www.itu.int/md/S25-CWGWSIS42-C-0010/en</vt:lpwstr>
      </vt:variant>
      <vt:variant>
        <vt:lpwstr/>
      </vt:variant>
      <vt:variant>
        <vt:i4>1507332</vt:i4>
      </vt:variant>
      <vt:variant>
        <vt:i4>2073</vt:i4>
      </vt:variant>
      <vt:variant>
        <vt:i4>0</vt:i4>
      </vt:variant>
      <vt:variant>
        <vt:i4>5</vt:i4>
      </vt:variant>
      <vt:variant>
        <vt:lpwstr>https://www.un.org/sites/un2.un.org/files/sotf-pact_for_the_future_adopted.pdf</vt:lpwstr>
      </vt:variant>
      <vt:variant>
        <vt:lpwstr/>
      </vt:variant>
      <vt:variant>
        <vt:i4>3</vt:i4>
      </vt:variant>
      <vt:variant>
        <vt:i4>2070</vt:i4>
      </vt:variant>
      <vt:variant>
        <vt:i4>0</vt:i4>
      </vt:variant>
      <vt:variant>
        <vt:i4>5</vt:i4>
      </vt:variant>
      <vt:variant>
        <vt:lpwstr>https://www.itu.int/en/ITU-T/focusgroups/ai4h/Pages/deliverables.aspx</vt:lpwstr>
      </vt:variant>
      <vt:variant>
        <vt:lpwstr/>
      </vt:variant>
      <vt:variant>
        <vt:i4>4915271</vt:i4>
      </vt:variant>
      <vt:variant>
        <vt:i4>2067</vt:i4>
      </vt:variant>
      <vt:variant>
        <vt:i4>0</vt:i4>
      </vt:variant>
      <vt:variant>
        <vt:i4>5</vt:i4>
      </vt:variant>
      <vt:variant>
        <vt:lpwstr>https://www.itu.int/en/ITU-T/focusgroups/ai4h/Pages/default.aspx</vt:lpwstr>
      </vt:variant>
      <vt:variant>
        <vt:lpwstr/>
      </vt:variant>
      <vt:variant>
        <vt:i4>4915271</vt:i4>
      </vt:variant>
      <vt:variant>
        <vt:i4>2064</vt:i4>
      </vt:variant>
      <vt:variant>
        <vt:i4>0</vt:i4>
      </vt:variant>
      <vt:variant>
        <vt:i4>5</vt:i4>
      </vt:variant>
      <vt:variant>
        <vt:lpwstr>https://www.itu.int/en/ITU-T/focusgroups/ai4h/Pages/default.aspx</vt:lpwstr>
      </vt:variant>
      <vt:variant>
        <vt:lpwstr/>
      </vt:variant>
      <vt:variant>
        <vt:i4>1441867</vt:i4>
      </vt:variant>
      <vt:variant>
        <vt:i4>2061</vt:i4>
      </vt:variant>
      <vt:variant>
        <vt:i4>0</vt:i4>
      </vt:variant>
      <vt:variant>
        <vt:i4>5</vt:i4>
      </vt:variant>
      <vt:variant>
        <vt:lpwstr>https://www.itu.int/hub/2023/07/new-un-initiative-aims-to-step-up-ais-contribution-to-health/</vt:lpwstr>
      </vt:variant>
      <vt:variant>
        <vt:lpwstr/>
      </vt:variant>
      <vt:variant>
        <vt:i4>3932204</vt:i4>
      </vt:variant>
      <vt:variant>
        <vt:i4>2058</vt:i4>
      </vt:variant>
      <vt:variant>
        <vt:i4>0</vt:i4>
      </vt:variant>
      <vt:variant>
        <vt:i4>5</vt:i4>
      </vt:variant>
      <vt:variant>
        <vt:lpwstr>https://aiforgood.itu.int/ai-for-food-systems/</vt:lpwstr>
      </vt:variant>
      <vt:variant>
        <vt:lpwstr/>
      </vt:variant>
      <vt:variant>
        <vt:i4>8126524</vt:i4>
      </vt:variant>
      <vt:variant>
        <vt:i4>2055</vt:i4>
      </vt:variant>
      <vt:variant>
        <vt:i4>0</vt:i4>
      </vt:variant>
      <vt:variant>
        <vt:i4>5</vt:i4>
      </vt:variant>
      <vt:variant>
        <vt:lpwstr>https://www.itu.int/net/epub/TSB/2025-Digital-Agriculture-A-Standards-Snapshot/index.html</vt:lpwstr>
      </vt:variant>
      <vt:variant>
        <vt:lpwstr>p=1</vt:lpwstr>
      </vt:variant>
      <vt:variant>
        <vt:i4>8126581</vt:i4>
      </vt:variant>
      <vt:variant>
        <vt:i4>2052</vt:i4>
      </vt:variant>
      <vt:variant>
        <vt:i4>0</vt:i4>
      </vt:variant>
      <vt:variant>
        <vt:i4>5</vt:i4>
      </vt:variant>
      <vt:variant>
        <vt:lpwstr>https://www.itu.int/en/ITU-T/focusgroups/ai4a/Pages/events.aspx</vt:lpwstr>
      </vt:variant>
      <vt:variant>
        <vt:lpwstr/>
      </vt:variant>
      <vt:variant>
        <vt:i4>4915278</vt:i4>
      </vt:variant>
      <vt:variant>
        <vt:i4>2049</vt:i4>
      </vt:variant>
      <vt:variant>
        <vt:i4>0</vt:i4>
      </vt:variant>
      <vt:variant>
        <vt:i4>5</vt:i4>
      </vt:variant>
      <vt:variant>
        <vt:lpwstr>https://www.itu.int/en/ITU-T/focusgroups/ai4a/Pages/default.aspx</vt:lpwstr>
      </vt:variant>
      <vt:variant>
        <vt:lpwstr/>
      </vt:variant>
      <vt:variant>
        <vt:i4>1441813</vt:i4>
      </vt:variant>
      <vt:variant>
        <vt:i4>2046</vt:i4>
      </vt:variant>
      <vt:variant>
        <vt:i4>0</vt:i4>
      </vt:variant>
      <vt:variant>
        <vt:i4>5</vt:i4>
      </vt:variant>
      <vt:variant>
        <vt:lpwstr>https://www.itu.int/en/ITU-T/extcoop/ai4resilience/Pages/default.aspx</vt:lpwstr>
      </vt:variant>
      <vt:variant>
        <vt:lpwstr/>
      </vt:variant>
      <vt:variant>
        <vt:i4>6291514</vt:i4>
      </vt:variant>
      <vt:variant>
        <vt:i4>2043</vt:i4>
      </vt:variant>
      <vt:variant>
        <vt:i4>0</vt:i4>
      </vt:variant>
      <vt:variant>
        <vt:i4>5</vt:i4>
      </vt:variant>
      <vt:variant>
        <vt:lpwstr>https://www.medewsa.eu/</vt:lpwstr>
      </vt:variant>
      <vt:variant>
        <vt:lpwstr/>
      </vt:variant>
      <vt:variant>
        <vt:i4>1572887</vt:i4>
      </vt:variant>
      <vt:variant>
        <vt:i4>2040</vt:i4>
      </vt:variant>
      <vt:variant>
        <vt:i4>0</vt:i4>
      </vt:variant>
      <vt:variant>
        <vt:i4>5</vt:i4>
      </vt:variant>
      <vt:variant>
        <vt:lpwstr>https://www.itu.int/en/ITU-T/focusgroups/ai4ndm/Pages/events.aspx</vt:lpwstr>
      </vt:variant>
      <vt:variant>
        <vt:lpwstr/>
      </vt:variant>
      <vt:variant>
        <vt:i4>7209003</vt:i4>
      </vt:variant>
      <vt:variant>
        <vt:i4>2037</vt:i4>
      </vt:variant>
      <vt:variant>
        <vt:i4>0</vt:i4>
      </vt:variant>
      <vt:variant>
        <vt:i4>5</vt:i4>
      </vt:variant>
      <vt:variant>
        <vt:lpwstr>https://www.itu.int/pub/T-FG-AI4NDM-2023-2</vt:lpwstr>
      </vt:variant>
      <vt:variant>
        <vt:lpwstr/>
      </vt:variant>
      <vt:variant>
        <vt:i4>3407919</vt:i4>
      </vt:variant>
      <vt:variant>
        <vt:i4>2034</vt:i4>
      </vt:variant>
      <vt:variant>
        <vt:i4>0</vt:i4>
      </vt:variant>
      <vt:variant>
        <vt:i4>5</vt:i4>
      </vt:variant>
      <vt:variant>
        <vt:lpwstr>https://www.itu.int/en/ITU-T/focusgroups/ai4ndm/Documents/Deliverables/FG-AI4NDM WG-MODELING - AI for Modeling.pdf</vt:lpwstr>
      </vt:variant>
      <vt:variant>
        <vt:lpwstr/>
      </vt:variant>
      <vt:variant>
        <vt:i4>7274539</vt:i4>
      </vt:variant>
      <vt:variant>
        <vt:i4>2031</vt:i4>
      </vt:variant>
      <vt:variant>
        <vt:i4>0</vt:i4>
      </vt:variant>
      <vt:variant>
        <vt:i4>5</vt:i4>
      </vt:variant>
      <vt:variant>
        <vt:lpwstr>https://www.itu.int/pub/T-FG-AI4NDM-2023-3</vt:lpwstr>
      </vt:variant>
      <vt:variant>
        <vt:lpwstr/>
      </vt:variant>
      <vt:variant>
        <vt:i4>5570573</vt:i4>
      </vt:variant>
      <vt:variant>
        <vt:i4>2028</vt:i4>
      </vt:variant>
      <vt:variant>
        <vt:i4>0</vt:i4>
      </vt:variant>
      <vt:variant>
        <vt:i4>5</vt:i4>
      </vt:variant>
      <vt:variant>
        <vt:lpwstr>https://www.itu.int/pub/publications.aspx?lang=en&amp;parent=T-FG-AI4NDM-2022</vt:lpwstr>
      </vt:variant>
      <vt:variant>
        <vt:lpwstr/>
      </vt:variant>
      <vt:variant>
        <vt:i4>2097190</vt:i4>
      </vt:variant>
      <vt:variant>
        <vt:i4>2025</vt:i4>
      </vt:variant>
      <vt:variant>
        <vt:i4>0</vt:i4>
      </vt:variant>
      <vt:variant>
        <vt:i4>5</vt:i4>
      </vt:variant>
      <vt:variant>
        <vt:lpwstr>https://ituint.sharepoint.com/sites/DocsC2635andPP2620/Shared Documents/General/itu.int/pub/publications.aspx?lang=en&amp;parent=T-FG-AI4NDM-2022-1</vt:lpwstr>
      </vt:variant>
      <vt:variant>
        <vt:lpwstr/>
      </vt:variant>
      <vt:variant>
        <vt:i4>3080236</vt:i4>
      </vt:variant>
      <vt:variant>
        <vt:i4>2022</vt:i4>
      </vt:variant>
      <vt:variant>
        <vt:i4>0</vt:i4>
      </vt:variant>
      <vt:variant>
        <vt:i4>5</vt:i4>
      </vt:variant>
      <vt:variant>
        <vt:lpwstr>https://www.itu.int/en/ITU-T/focusgroups/ai4ndm/Pages/default.aspx</vt:lpwstr>
      </vt:variant>
      <vt:variant>
        <vt:lpwstr/>
      </vt:variant>
      <vt:variant>
        <vt:i4>2752610</vt:i4>
      </vt:variant>
      <vt:variant>
        <vt:i4>2019</vt:i4>
      </vt:variant>
      <vt:variant>
        <vt:i4>0</vt:i4>
      </vt:variant>
      <vt:variant>
        <vt:i4>5</vt:i4>
      </vt:variant>
      <vt:variant>
        <vt:lpwstr>https://eur03.safelinks.protection.outlook.com/?url=https%3A%2F%2Fwww.youtube.com%2Fwatch%3Fv%3DxjKjamBKHAw%26feature%3Dyoutu.be&amp;data=05|02|vanessa.gray%40itu.int|6d58bd5fc83240215f7f08de51d9734a|23e464d704e64b87913c24bd89219fd3|0|0|639038191533613038|Unknown|TWFpbGZsb3d8eyJFbXB0eU1hcGkiOnRydWUsIlYiOiIwLjAuMDAwMCIsIlAiOiJXaW4zMiIsIkFOIjoiTWFpbCIsIldUIjoyfQ%3D%3D|0|||&amp;sdata=pqQRDmH%2BPPboHWpgzscemcT244Uv%2FEWC%2FM1GW0wKen8%3D&amp;reserved=0</vt:lpwstr>
      </vt:variant>
      <vt:variant>
        <vt:lpwstr/>
      </vt:variant>
      <vt:variant>
        <vt:i4>4653128</vt:i4>
      </vt:variant>
      <vt:variant>
        <vt:i4>2016</vt:i4>
      </vt:variant>
      <vt:variant>
        <vt:i4>0</vt:i4>
      </vt:variant>
      <vt:variant>
        <vt:i4>5</vt:i4>
      </vt:variant>
      <vt:variant>
        <vt:lpwstr>https://dcm.itu.int/</vt:lpwstr>
      </vt:variant>
      <vt:variant>
        <vt:lpwstr/>
      </vt:variant>
      <vt:variant>
        <vt:i4>6029395</vt:i4>
      </vt:variant>
      <vt:variant>
        <vt:i4>2013</vt:i4>
      </vt:variant>
      <vt:variant>
        <vt:i4>0</vt:i4>
      </vt:variant>
      <vt:variant>
        <vt:i4>5</vt:i4>
      </vt:variant>
      <vt:variant>
        <vt:lpwstr>https://www.itu.int/en/ITU-D/Emergency-Telecommunications/Pages/AI-Sub-Group-EW4All-.aspx</vt:lpwstr>
      </vt:variant>
      <vt:variant>
        <vt:lpwstr/>
      </vt:variant>
      <vt:variant>
        <vt:i4>1769562</vt:i4>
      </vt:variant>
      <vt:variant>
        <vt:i4>2010</vt:i4>
      </vt:variant>
      <vt:variant>
        <vt:i4>0</vt:i4>
      </vt:variant>
      <vt:variant>
        <vt:i4>5</vt:i4>
      </vt:variant>
      <vt:variant>
        <vt:lpwstr>https://aiforgood.itu.int/ai-standards-exchange/</vt:lpwstr>
      </vt:variant>
      <vt:variant>
        <vt:lpwstr/>
      </vt:variant>
      <vt:variant>
        <vt:i4>4456462</vt:i4>
      </vt:variant>
      <vt:variant>
        <vt:i4>2007</vt:i4>
      </vt:variant>
      <vt:variant>
        <vt:i4>0</vt:i4>
      </vt:variant>
      <vt:variant>
        <vt:i4>5</vt:i4>
      </vt:variant>
      <vt:variant>
        <vt:lpwstr>https://aiforgood.itu.int/event/international-ai-standards-summit-2/</vt:lpwstr>
      </vt:variant>
      <vt:variant>
        <vt:lpwstr/>
      </vt:variant>
      <vt:variant>
        <vt:i4>3407980</vt:i4>
      </vt:variant>
      <vt:variant>
        <vt:i4>2004</vt:i4>
      </vt:variant>
      <vt:variant>
        <vt:i4>0</vt:i4>
      </vt:variant>
      <vt:variant>
        <vt:i4>5</vt:i4>
      </vt:variant>
      <vt:variant>
        <vt:lpwstr>https://aiforgood.itu.int/ai-standards/</vt:lpwstr>
      </vt:variant>
      <vt:variant>
        <vt:lpwstr/>
      </vt:variant>
      <vt:variant>
        <vt:i4>65548</vt:i4>
      </vt:variant>
      <vt:variant>
        <vt:i4>2001</vt:i4>
      </vt:variant>
      <vt:variant>
        <vt:i4>0</vt:i4>
      </vt:variant>
      <vt:variant>
        <vt:i4>5</vt:i4>
      </vt:variant>
      <vt:variant>
        <vt:lpwstr>https://aiforgood.itu.int/multimedia-authenticity/</vt:lpwstr>
      </vt:variant>
      <vt:variant>
        <vt:lpwstr>reports</vt:lpwstr>
      </vt:variant>
      <vt:variant>
        <vt:i4>8323196</vt:i4>
      </vt:variant>
      <vt:variant>
        <vt:i4>1998</vt:i4>
      </vt:variant>
      <vt:variant>
        <vt:i4>0</vt:i4>
      </vt:variant>
      <vt:variant>
        <vt:i4>5</vt:i4>
      </vt:variant>
      <vt:variant>
        <vt:lpwstr>https://aiforgood.itu.int/multimedia-authenticity/</vt:lpwstr>
      </vt:variant>
      <vt:variant>
        <vt:lpwstr/>
      </vt:variant>
      <vt:variant>
        <vt:i4>8126562</vt:i4>
      </vt:variant>
      <vt:variant>
        <vt:i4>1995</vt:i4>
      </vt:variant>
      <vt:variant>
        <vt:i4>0</vt:i4>
      </vt:variant>
      <vt:variant>
        <vt:i4>5</vt:i4>
      </vt:variant>
      <vt:variant>
        <vt:lpwstr>https://www.itu.int/initiatives/green-digital-action/events/all/cop29/world-standards-cooperation-paving-the-path-for-sustainability-by-design/</vt:lpwstr>
      </vt:variant>
      <vt:variant>
        <vt:lpwstr/>
      </vt:variant>
      <vt:variant>
        <vt:i4>3735609</vt:i4>
      </vt:variant>
      <vt:variant>
        <vt:i4>1992</vt:i4>
      </vt:variant>
      <vt:variant>
        <vt:i4>0</vt:i4>
      </vt:variant>
      <vt:variant>
        <vt:i4>5</vt:i4>
      </vt:variant>
      <vt:variant>
        <vt:lpwstr>https://www.worldstandardscooperation.org/</vt:lpwstr>
      </vt:variant>
      <vt:variant>
        <vt:lpwstr/>
      </vt:variant>
      <vt:variant>
        <vt:i4>1769553</vt:i4>
      </vt:variant>
      <vt:variant>
        <vt:i4>1989</vt:i4>
      </vt:variant>
      <vt:variant>
        <vt:i4>0</vt:i4>
      </vt:variant>
      <vt:variant>
        <vt:i4>5</vt:i4>
      </vt:variant>
      <vt:variant>
        <vt:lpwstr>https://www.worldstandardscooperation.org/what-we-do/world-standards-day/</vt:lpwstr>
      </vt:variant>
      <vt:variant>
        <vt:lpwstr/>
      </vt:variant>
      <vt:variant>
        <vt:i4>2162804</vt:i4>
      </vt:variant>
      <vt:variant>
        <vt:i4>1986</vt:i4>
      </vt:variant>
      <vt:variant>
        <vt:i4>0</vt:i4>
      </vt:variant>
      <vt:variant>
        <vt:i4>5</vt:i4>
      </vt:variant>
      <vt:variant>
        <vt:lpwstr>https://www.worldstandardsday.org/home.html</vt:lpwstr>
      </vt:variant>
      <vt:variant>
        <vt:lpwstr/>
      </vt:variant>
      <vt:variant>
        <vt:i4>3801123</vt:i4>
      </vt:variant>
      <vt:variant>
        <vt:i4>1983</vt:i4>
      </vt:variant>
      <vt:variant>
        <vt:i4>0</vt:i4>
      </vt:variant>
      <vt:variant>
        <vt:i4>5</vt:i4>
      </vt:variant>
      <vt:variant>
        <vt:lpwstr>https://www.itu.int/en/ITU-T/extcoop/Pages/wsc.aspx</vt:lpwstr>
      </vt:variant>
      <vt:variant>
        <vt:lpwstr/>
      </vt:variant>
      <vt:variant>
        <vt:i4>8257663</vt:i4>
      </vt:variant>
      <vt:variant>
        <vt:i4>1980</vt:i4>
      </vt:variant>
      <vt:variant>
        <vt:i4>0</vt:i4>
      </vt:variant>
      <vt:variant>
        <vt:i4>5</vt:i4>
      </vt:variant>
      <vt:variant>
        <vt:lpwstr>https://www.itu.int/en/ITU-T/extcoop/cits/Pages/related-events.aspx</vt:lpwstr>
      </vt:variant>
      <vt:variant>
        <vt:lpwstr/>
      </vt:variant>
      <vt:variant>
        <vt:i4>8257663</vt:i4>
      </vt:variant>
      <vt:variant>
        <vt:i4>1977</vt:i4>
      </vt:variant>
      <vt:variant>
        <vt:i4>0</vt:i4>
      </vt:variant>
      <vt:variant>
        <vt:i4>5</vt:i4>
      </vt:variant>
      <vt:variant>
        <vt:lpwstr>https://www.itu.int/en/ITU-T/extcoop/cits/Pages/related-events.aspx</vt:lpwstr>
      </vt:variant>
      <vt:variant>
        <vt:lpwstr/>
      </vt:variant>
      <vt:variant>
        <vt:i4>2752575</vt:i4>
      </vt:variant>
      <vt:variant>
        <vt:i4>1974</vt:i4>
      </vt:variant>
      <vt:variant>
        <vt:i4>0</vt:i4>
      </vt:variant>
      <vt:variant>
        <vt:i4>5</vt:i4>
      </vt:variant>
      <vt:variant>
        <vt:lpwstr>https://aiforgood.itu.int/</vt:lpwstr>
      </vt:variant>
      <vt:variant>
        <vt:lpwstr/>
      </vt:variant>
      <vt:variant>
        <vt:i4>4849732</vt:i4>
      </vt:variant>
      <vt:variant>
        <vt:i4>1971</vt:i4>
      </vt:variant>
      <vt:variant>
        <vt:i4>0</vt:i4>
      </vt:variant>
      <vt:variant>
        <vt:i4>5</vt:i4>
      </vt:variant>
      <vt:variant>
        <vt:lpwstr>https://fnc.itu.int/</vt:lpwstr>
      </vt:variant>
      <vt:variant>
        <vt:lpwstr/>
      </vt:variant>
      <vt:variant>
        <vt:i4>458821</vt:i4>
      </vt:variant>
      <vt:variant>
        <vt:i4>1968</vt:i4>
      </vt:variant>
      <vt:variant>
        <vt:i4>0</vt:i4>
      </vt:variant>
      <vt:variant>
        <vt:i4>5</vt:i4>
      </vt:variant>
      <vt:variant>
        <vt:lpwstr>https://www.itu.int/en/ITU-T/extcoop/cits/egcomad/wg03/Pages/default.aspx</vt:lpwstr>
      </vt:variant>
      <vt:variant>
        <vt:lpwstr/>
      </vt:variant>
      <vt:variant>
        <vt:i4>393285</vt:i4>
      </vt:variant>
      <vt:variant>
        <vt:i4>1965</vt:i4>
      </vt:variant>
      <vt:variant>
        <vt:i4>0</vt:i4>
      </vt:variant>
      <vt:variant>
        <vt:i4>5</vt:i4>
      </vt:variant>
      <vt:variant>
        <vt:lpwstr>https://www.itu.int/en/ITU-T/extcoop/cits/egcomad/wg02/Pages/default.aspx</vt:lpwstr>
      </vt:variant>
      <vt:variant>
        <vt:lpwstr/>
      </vt:variant>
      <vt:variant>
        <vt:i4>327749</vt:i4>
      </vt:variant>
      <vt:variant>
        <vt:i4>1962</vt:i4>
      </vt:variant>
      <vt:variant>
        <vt:i4>0</vt:i4>
      </vt:variant>
      <vt:variant>
        <vt:i4>5</vt:i4>
      </vt:variant>
      <vt:variant>
        <vt:lpwstr>https://www.itu.int/en/ITU-T/extcoop/cits/egcomad/wg01/Pages/default.aspx</vt:lpwstr>
      </vt:variant>
      <vt:variant>
        <vt:lpwstr/>
      </vt:variant>
      <vt:variant>
        <vt:i4>262214</vt:i4>
      </vt:variant>
      <vt:variant>
        <vt:i4>1959</vt:i4>
      </vt:variant>
      <vt:variant>
        <vt:i4>0</vt:i4>
      </vt:variant>
      <vt:variant>
        <vt:i4>5</vt:i4>
      </vt:variant>
      <vt:variant>
        <vt:lpwstr>https://www.itu.int/en/ITU-T/extcoop/cits/Pages/egcomad.aspx</vt:lpwstr>
      </vt:variant>
      <vt:variant>
        <vt:lpwstr/>
      </vt:variant>
      <vt:variant>
        <vt:i4>4784177</vt:i4>
      </vt:variant>
      <vt:variant>
        <vt:i4>1956</vt:i4>
      </vt:variant>
      <vt:variant>
        <vt:i4>0</vt:i4>
      </vt:variant>
      <vt:variant>
        <vt:i4>5</vt:i4>
      </vt:variant>
      <vt:variant>
        <vt:lpwstr>https://www.itu.int/itu-t/landscape/?topic=tx21&amp;group=g&amp;search_text=</vt:lpwstr>
      </vt:variant>
      <vt:variant>
        <vt:lpwstr/>
      </vt:variant>
      <vt:variant>
        <vt:i4>327754</vt:i4>
      </vt:variant>
      <vt:variant>
        <vt:i4>1953</vt:i4>
      </vt:variant>
      <vt:variant>
        <vt:i4>0</vt:i4>
      </vt:variant>
      <vt:variant>
        <vt:i4>5</vt:i4>
      </vt:variant>
      <vt:variant>
        <vt:lpwstr>https://www.itu.int/en/ITU-T/extcoop/cits/Pages/default.aspx</vt:lpwstr>
      </vt:variant>
      <vt:variant>
        <vt:lpwstr/>
      </vt:variant>
      <vt:variant>
        <vt:i4>1048676</vt:i4>
      </vt:variant>
      <vt:variant>
        <vt:i4>1950</vt:i4>
      </vt:variant>
      <vt:variant>
        <vt:i4>0</vt:i4>
      </vt:variant>
      <vt:variant>
        <vt:i4>5</vt:i4>
      </vt:variant>
      <vt:variant>
        <vt:lpwstr>https://www.itu.int/en/ITU-T/extcoop/Documents/mou/ITU-SAE_International-20250711.pdf</vt:lpwstr>
      </vt:variant>
      <vt:variant>
        <vt:lpwstr/>
      </vt:variant>
      <vt:variant>
        <vt:i4>7209006</vt:i4>
      </vt:variant>
      <vt:variant>
        <vt:i4>1947</vt:i4>
      </vt:variant>
      <vt:variant>
        <vt:i4>0</vt:i4>
      </vt:variant>
      <vt:variant>
        <vt:i4>5</vt:i4>
      </vt:variant>
      <vt:variant>
        <vt:lpwstr>https://www.itu.int/en/ITU-T/ITS/Pages/WTSA-Resolution-104.aspx</vt:lpwstr>
      </vt:variant>
      <vt:variant>
        <vt:lpwstr/>
      </vt:variant>
      <vt:variant>
        <vt:i4>8257575</vt:i4>
      </vt:variant>
      <vt:variant>
        <vt:i4>1944</vt:i4>
      </vt:variant>
      <vt:variant>
        <vt:i4>0</vt:i4>
      </vt:variant>
      <vt:variant>
        <vt:i4>5</vt:i4>
      </vt:variant>
      <vt:variant>
        <vt:lpwstr>https://www.itu.int/cities/dt-resource-hub/</vt:lpwstr>
      </vt:variant>
      <vt:variant>
        <vt:lpwstr/>
      </vt:variant>
      <vt:variant>
        <vt:i4>1114136</vt:i4>
      </vt:variant>
      <vt:variant>
        <vt:i4>1941</vt:i4>
      </vt:variant>
      <vt:variant>
        <vt:i4>0</vt:i4>
      </vt:variant>
      <vt:variant>
        <vt:i4>5</vt:i4>
      </vt:variant>
      <vt:variant>
        <vt:lpwstr>https://www.itu.int/cities/dt-digest/</vt:lpwstr>
      </vt:variant>
      <vt:variant>
        <vt:lpwstr/>
      </vt:variant>
      <vt:variant>
        <vt:i4>8192110</vt:i4>
      </vt:variant>
      <vt:variant>
        <vt:i4>1938</vt:i4>
      </vt:variant>
      <vt:variant>
        <vt:i4>0</vt:i4>
      </vt:variant>
      <vt:variant>
        <vt:i4>5</vt:i4>
      </vt:variant>
      <vt:variant>
        <vt:lpwstr>https://www.itu.int/cities/digitaltransformationdialogues/</vt:lpwstr>
      </vt:variant>
      <vt:variant>
        <vt:lpwstr/>
      </vt:variant>
      <vt:variant>
        <vt:i4>3801198</vt:i4>
      </vt:variant>
      <vt:variant>
        <vt:i4>1935</vt:i4>
      </vt:variant>
      <vt:variant>
        <vt:i4>0</vt:i4>
      </vt:variant>
      <vt:variant>
        <vt:i4>5</vt:i4>
      </vt:variant>
      <vt:variant>
        <vt:lpwstr>https://u4ssc.itu.int/latest-meetings/</vt:lpwstr>
      </vt:variant>
      <vt:variant>
        <vt:lpwstr/>
      </vt:variant>
      <vt:variant>
        <vt:i4>7405625</vt:i4>
      </vt:variant>
      <vt:variant>
        <vt:i4>1932</vt:i4>
      </vt:variant>
      <vt:variant>
        <vt:i4>0</vt:i4>
      </vt:variant>
      <vt:variant>
        <vt:i4>5</vt:i4>
      </vt:variant>
      <vt:variant>
        <vt:lpwstr>https://u4ssc.itu.int/publications/</vt:lpwstr>
      </vt:variant>
      <vt:variant>
        <vt:lpwstr/>
      </vt:variant>
      <vt:variant>
        <vt:i4>5570576</vt:i4>
      </vt:variant>
      <vt:variant>
        <vt:i4>1929</vt:i4>
      </vt:variant>
      <vt:variant>
        <vt:i4>0</vt:i4>
      </vt:variant>
      <vt:variant>
        <vt:i4>5</vt:i4>
      </vt:variant>
      <vt:variant>
        <vt:lpwstr>https://u4ssc.itu.int/u4ssc-kpis-report/</vt:lpwstr>
      </vt:variant>
      <vt:variant>
        <vt:lpwstr/>
      </vt:variant>
      <vt:variant>
        <vt:i4>5636163</vt:i4>
      </vt:variant>
      <vt:variant>
        <vt:i4>1926</vt:i4>
      </vt:variant>
      <vt:variant>
        <vt:i4>0</vt:i4>
      </vt:variant>
      <vt:variant>
        <vt:i4>5</vt:i4>
      </vt:variant>
      <vt:variant>
        <vt:lpwstr>https://u4ssc.itu.int/u4ssc-kpi/</vt:lpwstr>
      </vt:variant>
      <vt:variant>
        <vt:lpwstr/>
      </vt:variant>
      <vt:variant>
        <vt:i4>6488100</vt:i4>
      </vt:variant>
      <vt:variant>
        <vt:i4>1923</vt:i4>
      </vt:variant>
      <vt:variant>
        <vt:i4>0</vt:i4>
      </vt:variant>
      <vt:variant>
        <vt:i4>5</vt:i4>
      </vt:variant>
      <vt:variant>
        <vt:lpwstr>https://u4ssc.itu.int/</vt:lpwstr>
      </vt:variant>
      <vt:variant>
        <vt:lpwstr/>
      </vt:variant>
      <vt:variant>
        <vt:i4>2555941</vt:i4>
      </vt:variant>
      <vt:variant>
        <vt:i4>1920</vt:i4>
      </vt:variant>
      <vt:variant>
        <vt:i4>0</vt:i4>
      </vt:variant>
      <vt:variant>
        <vt:i4>5</vt:i4>
      </vt:variant>
      <vt:variant>
        <vt:lpwstr>https://www.itu.int/un-virtual-worlds-day/2025/</vt:lpwstr>
      </vt:variant>
      <vt:variant>
        <vt:lpwstr/>
      </vt:variant>
      <vt:variant>
        <vt:i4>2490405</vt:i4>
      </vt:variant>
      <vt:variant>
        <vt:i4>1917</vt:i4>
      </vt:variant>
      <vt:variant>
        <vt:i4>0</vt:i4>
      </vt:variant>
      <vt:variant>
        <vt:i4>5</vt:i4>
      </vt:variant>
      <vt:variant>
        <vt:lpwstr>https://www.itu.int/un-virtual-worlds-day/2024/</vt:lpwstr>
      </vt:variant>
      <vt:variant>
        <vt:lpwstr/>
      </vt:variant>
      <vt:variant>
        <vt:i4>2228261</vt:i4>
      </vt:variant>
      <vt:variant>
        <vt:i4>1914</vt:i4>
      </vt:variant>
      <vt:variant>
        <vt:i4>0</vt:i4>
      </vt:variant>
      <vt:variant>
        <vt:i4>5</vt:i4>
      </vt:variant>
      <vt:variant>
        <vt:lpwstr>https://www.itu.int/un-virtual-worlds-day/</vt:lpwstr>
      </vt:variant>
      <vt:variant>
        <vt:lpwstr/>
      </vt:variant>
      <vt:variant>
        <vt:i4>3473533</vt:i4>
      </vt:variant>
      <vt:variant>
        <vt:i4>1911</vt:i4>
      </vt:variant>
      <vt:variant>
        <vt:i4>0</vt:i4>
      </vt:variant>
      <vt:variant>
        <vt:i4>5</vt:i4>
      </vt:variant>
      <vt:variant>
        <vt:lpwstr>https://www.itu.int/metaverse/virtual-worlds/about/</vt:lpwstr>
      </vt:variant>
      <vt:variant>
        <vt:lpwstr/>
      </vt:variant>
      <vt:variant>
        <vt:i4>6225932</vt:i4>
      </vt:variant>
      <vt:variant>
        <vt:i4>1908</vt:i4>
      </vt:variant>
      <vt:variant>
        <vt:i4>0</vt:i4>
      </vt:variant>
      <vt:variant>
        <vt:i4>5</vt:i4>
      </vt:variant>
      <vt:variant>
        <vt:lpwstr>https://giga.global/</vt:lpwstr>
      </vt:variant>
      <vt:variant>
        <vt:lpwstr/>
      </vt:variant>
      <vt:variant>
        <vt:i4>2359348</vt:i4>
      </vt:variant>
      <vt:variant>
        <vt:i4>1905</vt:i4>
      </vt:variant>
      <vt:variant>
        <vt:i4>0</vt:i4>
      </vt:variant>
      <vt:variant>
        <vt:i4>5</vt:i4>
      </vt:variant>
      <vt:variant>
        <vt:lpwstr>https://www.equalsintech.org/awards</vt:lpwstr>
      </vt:variant>
      <vt:variant>
        <vt:lpwstr/>
      </vt:variant>
      <vt:variant>
        <vt:i4>3145778</vt:i4>
      </vt:variant>
      <vt:variant>
        <vt:i4>1902</vt:i4>
      </vt:variant>
      <vt:variant>
        <vt:i4>0</vt:i4>
      </vt:variant>
      <vt:variant>
        <vt:i4>5</vt:i4>
      </vt:variant>
      <vt:variant>
        <vt:lpwstr>https://www.itu.int/en/ITU-D/Digital-Inclusion/Pages/EIF-Regional-Project-.aspx</vt:lpwstr>
      </vt:variant>
      <vt:variant>
        <vt:lpwstr/>
      </vt:variant>
      <vt:variant>
        <vt:i4>3604530</vt:i4>
      </vt:variant>
      <vt:variant>
        <vt:i4>1899</vt:i4>
      </vt:variant>
      <vt:variant>
        <vt:i4>0</vt:i4>
      </vt:variant>
      <vt:variant>
        <vt:i4>5</vt:i4>
      </vt:variant>
      <vt:variant>
        <vt:lpwstr>https://www.equalsintech.org/her-digital-skills</vt:lpwstr>
      </vt:variant>
      <vt:variant>
        <vt:lpwstr/>
      </vt:variant>
      <vt:variant>
        <vt:i4>1507412</vt:i4>
      </vt:variant>
      <vt:variant>
        <vt:i4>1896</vt:i4>
      </vt:variant>
      <vt:variant>
        <vt:i4>0</vt:i4>
      </vt:variant>
      <vt:variant>
        <vt:i4>5</vt:i4>
      </vt:variant>
      <vt:variant>
        <vt:lpwstr>https://www.equalsintech.org/equals-badge</vt:lpwstr>
      </vt:variant>
      <vt:variant>
        <vt:lpwstr/>
      </vt:variant>
      <vt:variant>
        <vt:i4>4653073</vt:i4>
      </vt:variant>
      <vt:variant>
        <vt:i4>1893</vt:i4>
      </vt:variant>
      <vt:variant>
        <vt:i4>0</vt:i4>
      </vt:variant>
      <vt:variant>
        <vt:i4>5</vt:i4>
      </vt:variant>
      <vt:variant>
        <vt:lpwstr>https://www.equalsintech.org/e-mentoring</vt:lpwstr>
      </vt:variant>
      <vt:variant>
        <vt:lpwstr/>
      </vt:variant>
      <vt:variant>
        <vt:i4>6684713</vt:i4>
      </vt:variant>
      <vt:variant>
        <vt:i4>1890</vt:i4>
      </vt:variant>
      <vt:variant>
        <vt:i4>0</vt:i4>
      </vt:variant>
      <vt:variant>
        <vt:i4>5</vt:i4>
      </vt:variant>
      <vt:variant>
        <vt:lpwstr>https://www.equalsintech.org/tech4girls</vt:lpwstr>
      </vt:variant>
      <vt:variant>
        <vt:lpwstr/>
      </vt:variant>
      <vt:variant>
        <vt:i4>4390979</vt:i4>
      </vt:variant>
      <vt:variant>
        <vt:i4>1887</vt:i4>
      </vt:variant>
      <vt:variant>
        <vt:i4>0</vt:i4>
      </vt:variant>
      <vt:variant>
        <vt:i4>5</vt:i4>
      </vt:variant>
      <vt:variant>
        <vt:lpwstr>https://www.equalsintech.org/research</vt:lpwstr>
      </vt:variant>
      <vt:variant>
        <vt:lpwstr/>
      </vt:variant>
      <vt:variant>
        <vt:i4>3276842</vt:i4>
      </vt:variant>
      <vt:variant>
        <vt:i4>1884</vt:i4>
      </vt:variant>
      <vt:variant>
        <vt:i4>0</vt:i4>
      </vt:variant>
      <vt:variant>
        <vt:i4>5</vt:i4>
      </vt:variant>
      <vt:variant>
        <vt:lpwstr>https://www.equalsintech.org/leadership</vt:lpwstr>
      </vt:variant>
      <vt:variant>
        <vt:lpwstr/>
      </vt:variant>
      <vt:variant>
        <vt:i4>3538998</vt:i4>
      </vt:variant>
      <vt:variant>
        <vt:i4>1881</vt:i4>
      </vt:variant>
      <vt:variant>
        <vt:i4>0</vt:i4>
      </vt:variant>
      <vt:variant>
        <vt:i4>5</vt:i4>
      </vt:variant>
      <vt:variant>
        <vt:lpwstr>https://www.equalsintech.org/skills</vt:lpwstr>
      </vt:variant>
      <vt:variant>
        <vt:lpwstr/>
      </vt:variant>
      <vt:variant>
        <vt:i4>3211319</vt:i4>
      </vt:variant>
      <vt:variant>
        <vt:i4>1878</vt:i4>
      </vt:variant>
      <vt:variant>
        <vt:i4>0</vt:i4>
      </vt:variant>
      <vt:variant>
        <vt:i4>5</vt:i4>
      </vt:variant>
      <vt:variant>
        <vt:lpwstr>https://www.equalsintech.org/access</vt:lpwstr>
      </vt:variant>
      <vt:variant>
        <vt:lpwstr/>
      </vt:variant>
      <vt:variant>
        <vt:i4>4194334</vt:i4>
      </vt:variant>
      <vt:variant>
        <vt:i4>1875</vt:i4>
      </vt:variant>
      <vt:variant>
        <vt:i4>0</vt:i4>
      </vt:variant>
      <vt:variant>
        <vt:i4>5</vt:i4>
      </vt:variant>
      <vt:variant>
        <vt:lpwstr>https://www.equalsintech.org/</vt:lpwstr>
      </vt:variant>
      <vt:variant>
        <vt:lpwstr/>
      </vt:variant>
      <vt:variant>
        <vt:i4>4194334</vt:i4>
      </vt:variant>
      <vt:variant>
        <vt:i4>1872</vt:i4>
      </vt:variant>
      <vt:variant>
        <vt:i4>0</vt:i4>
      </vt:variant>
      <vt:variant>
        <vt:i4>5</vt:i4>
      </vt:variant>
      <vt:variant>
        <vt:lpwstr>https://www.equalsintech.org/</vt:lpwstr>
      </vt:variant>
      <vt:variant>
        <vt:lpwstr/>
      </vt:variant>
      <vt:variant>
        <vt:i4>6029379</vt:i4>
      </vt:variant>
      <vt:variant>
        <vt:i4>1869</vt:i4>
      </vt:variant>
      <vt:variant>
        <vt:i4>0</vt:i4>
      </vt:variant>
      <vt:variant>
        <vt:i4>5</vt:i4>
      </vt:variant>
      <vt:variant>
        <vt:lpwstr>https://www.itu.int/partner2connect/</vt:lpwstr>
      </vt:variant>
      <vt:variant>
        <vt:lpwstr/>
      </vt:variant>
      <vt:variant>
        <vt:i4>3735650</vt:i4>
      </vt:variant>
      <vt:variant>
        <vt:i4>1866</vt:i4>
      </vt:variant>
      <vt:variant>
        <vt:i4>0</vt:i4>
      </vt:variant>
      <vt:variant>
        <vt:i4>5</vt:i4>
      </vt:variant>
      <vt:variant>
        <vt:lpwstr>https://eur03.safelinks.protection.outlook.com/?url=https%3A%2F%2Fwww.broadbandcommission.org%2Fworking-groups%2Fdata-governance%2F&amp;data=05|02|fernando.rivera%40itu.int|25850ebcdcaa42ef3ee508de787057c6|23e464d704e64b87913c24bd89219fd3|0|0|639080621056189478|Unknown|TWFpbGZsb3d8eyJFbXB0eU1hcGkiOnRydWUsIlYiOiIwLjAuMDAwMCIsIlAiOiJXaW4zMiIsIkFOIjoiTWFpbCIsIldUIjoyfQ%3D%3D|0|||&amp;sdata=3y4UEJMAfevInE%2FLd8QEoDl1nwRHmyFMTZJLmU%2BY3VE%3D&amp;reserved=0</vt:lpwstr>
      </vt:variant>
      <vt:variant>
        <vt:lpwstr/>
      </vt:variant>
      <vt:variant>
        <vt:i4>2293857</vt:i4>
      </vt:variant>
      <vt:variant>
        <vt:i4>1863</vt:i4>
      </vt:variant>
      <vt:variant>
        <vt:i4>0</vt:i4>
      </vt:variant>
      <vt:variant>
        <vt:i4>5</vt:i4>
      </vt:variant>
      <vt:variant>
        <vt:lpwstr>https://eur03.safelinks.protection.outlook.com/?url=https%3A%2F%2Fgiga.global%2F&amp;data=05|02|fernando.rivera%40itu.int|25850ebcdcaa42ef3ee508de787057c6|23e464d704e64b87913c24bd89219fd3|0|0|639080621056172495|Unknown|TWFpbGZsb3d8eyJFbXB0eU1hcGkiOnRydWUsIlYiOiIwLjAuMDAwMCIsIlAiOiJXaW4zMiIsIkFOIjoiTWFpbCIsIldUIjoyfQ%3D%3D|0|||&amp;sdata=tl3GCQkO8KZAPu%2Byf%2FsaAnkMY%2FSkG1y66JtrIhcLX5A%3D&amp;reserved=0</vt:lpwstr>
      </vt:variant>
      <vt:variant>
        <vt:lpwstr/>
      </vt:variant>
      <vt:variant>
        <vt:i4>6815849</vt:i4>
      </vt:variant>
      <vt:variant>
        <vt:i4>1860</vt:i4>
      </vt:variant>
      <vt:variant>
        <vt:i4>0</vt:i4>
      </vt:variant>
      <vt:variant>
        <vt:i4>5</vt:i4>
      </vt:variant>
      <vt:variant>
        <vt:lpwstr>https://eur03.safelinks.protection.outlook.com/?url=https%3A%2F%2Fwww.equalsintech.org%2F&amp;data=05|02|fernando.rivera%40itu.int|25850ebcdcaa42ef3ee508de787057c6|23e464d704e64b87913c24bd89219fd3|0|0|639080621056155187|Unknown|TWFpbGZsb3d8eyJFbXB0eU1hcGkiOnRydWUsIlYiOiIwLjAuMDAwMCIsIlAiOiJXaW4zMiIsIkFOIjoiTWFpbCIsIldUIjoyfQ%3D%3D|0|||&amp;sdata=NOL9h1C6LtYF1ELJBO6tSrHKhasuKmx15clz77i8sk4%3D&amp;reserved=0</vt:lpwstr>
      </vt:variant>
      <vt:variant>
        <vt:lpwstr/>
      </vt:variant>
      <vt:variant>
        <vt:i4>7012393</vt:i4>
      </vt:variant>
      <vt:variant>
        <vt:i4>1857</vt:i4>
      </vt:variant>
      <vt:variant>
        <vt:i4>0</vt:i4>
      </vt:variant>
      <vt:variant>
        <vt:i4>5</vt:i4>
      </vt:variant>
      <vt:variant>
        <vt:lpwstr>https://eur03.safelinks.protection.outlook.com/?url=https%3A%2F%2Fbroadbandcommission.org%2Fstate-of-broadband-2025-podcast%2F&amp;data=05|02|fernando.rivera%40itu.int|25850ebcdcaa42ef3ee508de787057c6|23e464d704e64b87913c24bd89219fd3|0|0|639080621056137338|Unknown|TWFpbGZsb3d8eyJFbXB0eU1hcGkiOnRydWUsIlYiOiIwLjAuMDAwMCIsIlAiOiJXaW4zMiIsIkFOIjoiTWFpbCIsIldUIjoyfQ%3D%3D|0|||&amp;sdata=STYv%2BQQk0dQHhLXOxFJqtX3LkVsMebGazJSl408zVp8%3D&amp;reserved=0</vt:lpwstr>
      </vt:variant>
      <vt:variant>
        <vt:lpwstr/>
      </vt:variant>
      <vt:variant>
        <vt:i4>2097273</vt:i4>
      </vt:variant>
      <vt:variant>
        <vt:i4>1854</vt:i4>
      </vt:variant>
      <vt:variant>
        <vt:i4>0</vt:i4>
      </vt:variant>
      <vt:variant>
        <vt:i4>5</vt:i4>
      </vt:variant>
      <vt:variant>
        <vt:lpwstr>https://eur03.safelinks.protection.outlook.com/?url=https%3A%2F%2Fwww.broadbandcommission.org%2Fadvocacy-targets%2F&amp;data=05|02|fernando.rivera%40itu.int|25850ebcdcaa42ef3ee508de787057c6|23e464d704e64b87913c24bd89219fd3|0|0|639080621056119294|Unknown|TWFpbGZsb3d8eyJFbXB0eU1hcGkiOnRydWUsIlYiOiIwLjAuMDAwMCIsIlAiOiJXaW4zMiIsIkFOIjoiTWFpbCIsIldUIjoyfQ%3D%3D|0|||&amp;sdata=ZySl%2FncpRrEwmJw1ekS6rEjXuZNK22c8lgWdGz%2Bkj2A%3D&amp;reserved=0</vt:lpwstr>
      </vt:variant>
      <vt:variant>
        <vt:lpwstr/>
      </vt:variant>
      <vt:variant>
        <vt:i4>3211370</vt:i4>
      </vt:variant>
      <vt:variant>
        <vt:i4>1851</vt:i4>
      </vt:variant>
      <vt:variant>
        <vt:i4>0</vt:i4>
      </vt:variant>
      <vt:variant>
        <vt:i4>5</vt:i4>
      </vt:variant>
      <vt:variant>
        <vt:lpwstr>https://eur03.safelinks.protection.outlook.com/?url=https%3A%2F%2Fwww.broadbandcommission.org%2Fworking-groups%2Fdata-governance%2F&amp;data=05|02|fernando.rivera%40itu.int|25850ebcdcaa42ef3ee508de787057c6|23e464d704e64b87913c24bd89219fd3|0|0|639080621056101043|Unknown|TWFpbGZsb3d8eyJFbXB0eU1hcGkiOnRydWUsIlYiOiIwLjAuMDAwMCIsIlAiOiJXaW4zMiIsIkFOIjoiTWFpbCIsIldUIjoyfQ%3D%3D|0|||&amp;sdata=GAN1gBpXIDcfVxFX%2FTj49L4aDTzWNI7VfYHi3MWtRjg%3D&amp;reserved=0</vt:lpwstr>
      </vt:variant>
      <vt:variant>
        <vt:lpwstr/>
      </vt:variant>
      <vt:variant>
        <vt:i4>7209023</vt:i4>
      </vt:variant>
      <vt:variant>
        <vt:i4>1848</vt:i4>
      </vt:variant>
      <vt:variant>
        <vt:i4>0</vt:i4>
      </vt:variant>
      <vt:variant>
        <vt:i4>5</vt:i4>
      </vt:variant>
      <vt:variant>
        <vt:lpwstr>https://eur03.safelinks.protection.outlook.com/?url=https%3A%2F%2Fbroadbandcommission.org%2Fworking-groups%2F&amp;data=05|02|fernando.rivera%40itu.int|25850ebcdcaa42ef3ee508de787057c6|23e464d704e64b87913c24bd89219fd3|0|0|639080621056073225|Unknown|TWFpbGZsb3d8eyJFbXB0eU1hcGkiOnRydWUsIlYiOiIwLjAuMDAwMCIsIlAiOiJXaW4zMiIsIkFOIjoiTWFpbCIsIldUIjoyfQ%3D%3D|0|||&amp;sdata=v3zmw5nMd5didUxUL7wp%2FuXMCFlJ1mb8sUSSPJZV21U%3D&amp;reserved=0</vt:lpwstr>
      </vt:variant>
      <vt:variant>
        <vt:lpwstr/>
      </vt:variant>
      <vt:variant>
        <vt:i4>2555937</vt:i4>
      </vt:variant>
      <vt:variant>
        <vt:i4>1845</vt:i4>
      </vt:variant>
      <vt:variant>
        <vt:i4>0</vt:i4>
      </vt:variant>
      <vt:variant>
        <vt:i4>5</vt:i4>
      </vt:variant>
      <vt:variant>
        <vt:lpwstr>https://eur03.safelinks.protection.outlook.com/?url=https%3A%2F%2Fbroadbandcommission.org%2Fstate-of-broadband-archive%2F&amp;data=05|02|fernando.rivera%40itu.int|25850ebcdcaa42ef3ee508de787057c6|23e464d704e64b87913c24bd89219fd3|0|0|639080621055853452|Unknown|TWFpbGZsb3d8eyJFbXB0eU1hcGkiOnRydWUsIlYiOiIwLjAuMDAwMCIsIlAiOiJXaW4zMiIsIkFOIjoiTWFpbCIsIldUIjoyfQ%3D%3D|0|||&amp;sdata=UyIYANuTJEqw2Dvx2tBLtNjokDOK5uGxDM%2Bh%2BEcZTJI%3D&amp;reserved=0</vt:lpwstr>
      </vt:variant>
      <vt:variant>
        <vt:lpwstr/>
      </vt:variant>
      <vt:variant>
        <vt:i4>2687100</vt:i4>
      </vt:variant>
      <vt:variant>
        <vt:i4>1842</vt:i4>
      </vt:variant>
      <vt:variant>
        <vt:i4>0</vt:i4>
      </vt:variant>
      <vt:variant>
        <vt:i4>5</vt:i4>
      </vt:variant>
      <vt:variant>
        <vt:lpwstr>https://eur03.safelinks.protection.outlook.com/?url=https%3A%2F%2Fwww.broadbandcommission.org%2Fadvocacy-targets%2F&amp;data=05|02|fernando.rivera%40itu.int|25850ebcdcaa42ef3ee508de787057c6|23e464d704e64b87913c24bd89219fd3|0|0|639080621055836163|Unknown|TWFpbGZsb3d8eyJFbXB0eU1hcGkiOnRydWUsIlYiOiIwLjAuMDAwMCIsIlAiOiJXaW4zMiIsIkFOIjoiTWFpbCIsIldUIjoyfQ%3D%3D|0|||&amp;sdata=qS8dAdJ1cDPPPgJ1oz64M7zuDrd7O8OfLzRSXDAENuQ%3D&amp;reserved=0</vt:lpwstr>
      </vt:variant>
      <vt:variant>
        <vt:lpwstr/>
      </vt:variant>
      <vt:variant>
        <vt:i4>2490492</vt:i4>
      </vt:variant>
      <vt:variant>
        <vt:i4>1839</vt:i4>
      </vt:variant>
      <vt:variant>
        <vt:i4>0</vt:i4>
      </vt:variant>
      <vt:variant>
        <vt:i4>5</vt:i4>
      </vt:variant>
      <vt:variant>
        <vt:lpwstr>https://eur03.safelinks.protection.outlook.com/?url=https%3A%2F%2Fwww.broadbandcommission.org%2Fadvocacy-targets%2F&amp;data=05|02|fernando.rivera%40itu.int|25850ebcdcaa42ef3ee508de787057c6|23e464d704e64b87913c24bd89219fd3|0|0|639080621055817585|Unknown|TWFpbGZsb3d8eyJFbXB0eU1hcGkiOnRydWUsIlYiOiIwLjAuMDAwMCIsIlAiOiJXaW4zMiIsIkFOIjoiTWFpbCIsIldUIjoyfQ%3D%3D|0|||&amp;sdata=J8lDblSbqY2Xrn%2B5MyEFSqfWmw1%2F6GX1YMEfzfleFJU%3D&amp;reserved=0</vt:lpwstr>
      </vt:variant>
      <vt:variant>
        <vt:lpwstr/>
      </vt:variant>
      <vt:variant>
        <vt:i4>3407904</vt:i4>
      </vt:variant>
      <vt:variant>
        <vt:i4>1836</vt:i4>
      </vt:variant>
      <vt:variant>
        <vt:i4>0</vt:i4>
      </vt:variant>
      <vt:variant>
        <vt:i4>5</vt:i4>
      </vt:variant>
      <vt:variant>
        <vt:lpwstr>https://eur03.safelinks.protection.outlook.com/?url=https%3A%2F%2Fwww.broadbandcommission.org%2F&amp;data=05|02|fernando.rivera%40itu.int|25850ebcdcaa42ef3ee508de787057c6|23e464d704e64b87913c24bd89219fd3|0|0|639080621055789927|Unknown|TWFpbGZsb3d8eyJFbXB0eU1hcGkiOnRydWUsIlYiOiIwLjAuMDAwMCIsIlAiOiJXaW4zMiIsIkFOIjoiTWFpbCIsIldUIjoyfQ%3D%3D|0|||&amp;sdata=y81PkW0WoIAEOVlgiySwVwj7XKoF7E5dABbKz%2BAA0Gk%3D&amp;reserved=0</vt:lpwstr>
      </vt:variant>
      <vt:variant>
        <vt:lpwstr/>
      </vt:variant>
      <vt:variant>
        <vt:i4>5046352</vt:i4>
      </vt:variant>
      <vt:variant>
        <vt:i4>1833</vt:i4>
      </vt:variant>
      <vt:variant>
        <vt:i4>0</vt:i4>
      </vt:variant>
      <vt:variant>
        <vt:i4>5</vt:i4>
      </vt:variant>
      <vt:variant>
        <vt:lpwstr>https://www.itu.int/initiatives/digital-unga2025/</vt:lpwstr>
      </vt:variant>
      <vt:variant>
        <vt:lpwstr/>
      </vt:variant>
      <vt:variant>
        <vt:i4>7340076</vt:i4>
      </vt:variant>
      <vt:variant>
        <vt:i4>1830</vt:i4>
      </vt:variant>
      <vt:variant>
        <vt:i4>0</vt:i4>
      </vt:variant>
      <vt:variant>
        <vt:i4>5</vt:i4>
      </vt:variant>
      <vt:variant>
        <vt:lpwstr>https://www.itu.int/initiatives/sdgdigital2024/</vt:lpwstr>
      </vt:variant>
      <vt:variant>
        <vt:lpwstr/>
      </vt:variant>
      <vt:variant>
        <vt:i4>7602220</vt:i4>
      </vt:variant>
      <vt:variant>
        <vt:i4>1827</vt:i4>
      </vt:variant>
      <vt:variant>
        <vt:i4>0</vt:i4>
      </vt:variant>
      <vt:variant>
        <vt:i4>5</vt:i4>
      </vt:variant>
      <vt:variant>
        <vt:lpwstr>https://www.itu.int/initiatives/sdgdigital/</vt:lpwstr>
      </vt:variant>
      <vt:variant>
        <vt:lpwstr/>
      </vt:variant>
      <vt:variant>
        <vt:i4>5046352</vt:i4>
      </vt:variant>
      <vt:variant>
        <vt:i4>1824</vt:i4>
      </vt:variant>
      <vt:variant>
        <vt:i4>0</vt:i4>
      </vt:variant>
      <vt:variant>
        <vt:i4>5</vt:i4>
      </vt:variant>
      <vt:variant>
        <vt:lpwstr>https://www.itu.int/initiatives/digital-unga2025/</vt:lpwstr>
      </vt:variant>
      <vt:variant>
        <vt:lpwstr/>
      </vt:variant>
      <vt:variant>
        <vt:i4>8257570</vt:i4>
      </vt:variant>
      <vt:variant>
        <vt:i4>1821</vt:i4>
      </vt:variant>
      <vt:variant>
        <vt:i4>0</vt:i4>
      </vt:variant>
      <vt:variant>
        <vt:i4>5</vt:i4>
      </vt:variant>
      <vt:variant>
        <vt:lpwstr/>
      </vt:variant>
      <vt:variant>
        <vt:lpwstr>Section_5_4</vt:lpwstr>
      </vt:variant>
      <vt:variant>
        <vt:i4>4980817</vt:i4>
      </vt:variant>
      <vt:variant>
        <vt:i4>1818</vt:i4>
      </vt:variant>
      <vt:variant>
        <vt:i4>0</vt:i4>
      </vt:variant>
      <vt:variant>
        <vt:i4>5</vt:i4>
      </vt:variant>
      <vt:variant>
        <vt:lpwstr>https://www.itu.int/initiatives/green-digital-action/events/all/green-digital-action-summit-2025/</vt:lpwstr>
      </vt:variant>
      <vt:variant>
        <vt:lpwstr/>
      </vt:variant>
      <vt:variant>
        <vt:i4>983054</vt:i4>
      </vt:variant>
      <vt:variant>
        <vt:i4>1815</vt:i4>
      </vt:variant>
      <vt:variant>
        <vt:i4>0</vt:i4>
      </vt:variant>
      <vt:variant>
        <vt:i4>5</vt:i4>
      </vt:variant>
      <vt:variant>
        <vt:lpwstr>https://www.itu.int/initiatives/green-digital-action/impact/all/</vt:lpwstr>
      </vt:variant>
      <vt:variant>
        <vt:lpwstr/>
      </vt:variant>
      <vt:variant>
        <vt:i4>3801132</vt:i4>
      </vt:variant>
      <vt:variant>
        <vt:i4>1812</vt:i4>
      </vt:variant>
      <vt:variant>
        <vt:i4>0</vt:i4>
      </vt:variant>
      <vt:variant>
        <vt:i4>5</vt:i4>
      </vt:variant>
      <vt:variant>
        <vt:lpwstr>https://www.itu.int/initiatives/green-digital-action/about-us/partners/</vt:lpwstr>
      </vt:variant>
      <vt:variant>
        <vt:lpwstr/>
      </vt:variant>
      <vt:variant>
        <vt:i4>4980817</vt:i4>
      </vt:variant>
      <vt:variant>
        <vt:i4>1809</vt:i4>
      </vt:variant>
      <vt:variant>
        <vt:i4>0</vt:i4>
      </vt:variant>
      <vt:variant>
        <vt:i4>5</vt:i4>
      </vt:variant>
      <vt:variant>
        <vt:lpwstr>https://www.itu.int/initiatives/green-digital-action/events/all/green-digital-action-summit-2025/</vt:lpwstr>
      </vt:variant>
      <vt:variant>
        <vt:lpwstr/>
      </vt:variant>
      <vt:variant>
        <vt:i4>3670143</vt:i4>
      </vt:variant>
      <vt:variant>
        <vt:i4>1806</vt:i4>
      </vt:variant>
      <vt:variant>
        <vt:i4>0</vt:i4>
      </vt:variant>
      <vt:variant>
        <vt:i4>5</vt:i4>
      </vt:variant>
      <vt:variant>
        <vt:lpwstr>https://www.itu.int/initiatives/green-digital-action/ai-climate-institute/</vt:lpwstr>
      </vt:variant>
      <vt:variant>
        <vt:lpwstr/>
      </vt:variant>
      <vt:variant>
        <vt:i4>6946936</vt:i4>
      </vt:variant>
      <vt:variant>
        <vt:i4>1803</vt:i4>
      </vt:variant>
      <vt:variant>
        <vt:i4>0</vt:i4>
      </vt:variant>
      <vt:variant>
        <vt:i4>5</vt:i4>
      </vt:variant>
      <vt:variant>
        <vt:lpwstr>https://www.itu.int/en/mediacentre/Pages/PR-2025-11-10-Green-Digital-Action-COP30-announcement.aspx</vt:lpwstr>
      </vt:variant>
      <vt:variant>
        <vt:lpwstr/>
      </vt:variant>
      <vt:variant>
        <vt:i4>3932215</vt:i4>
      </vt:variant>
      <vt:variant>
        <vt:i4>1800</vt:i4>
      </vt:variant>
      <vt:variant>
        <vt:i4>0</vt:i4>
      </vt:variant>
      <vt:variant>
        <vt:i4>5</vt:i4>
      </vt:variant>
      <vt:variant>
        <vt:lpwstr>https://www.itu.int/initiatives/green-digital-action/events/all/cop29/declaration/</vt:lpwstr>
      </vt:variant>
      <vt:variant>
        <vt:lpwstr/>
      </vt:variant>
      <vt:variant>
        <vt:i4>3211315</vt:i4>
      </vt:variant>
      <vt:variant>
        <vt:i4>1797</vt:i4>
      </vt:variant>
      <vt:variant>
        <vt:i4>0</vt:i4>
      </vt:variant>
      <vt:variant>
        <vt:i4>5</vt:i4>
      </vt:variant>
      <vt:variant>
        <vt:lpwstr>https://www.itu.int/initiatives/green-digital-action/events/cop30/</vt:lpwstr>
      </vt:variant>
      <vt:variant>
        <vt:lpwstr/>
      </vt:variant>
      <vt:variant>
        <vt:i4>3211315</vt:i4>
      </vt:variant>
      <vt:variant>
        <vt:i4>1794</vt:i4>
      </vt:variant>
      <vt:variant>
        <vt:i4>0</vt:i4>
      </vt:variant>
      <vt:variant>
        <vt:i4>5</vt:i4>
      </vt:variant>
      <vt:variant>
        <vt:lpwstr>https://www.itu.int/initiatives/green-digital-action/events/cop30/</vt:lpwstr>
      </vt:variant>
      <vt:variant>
        <vt:lpwstr/>
      </vt:variant>
      <vt:variant>
        <vt:i4>3932215</vt:i4>
      </vt:variant>
      <vt:variant>
        <vt:i4>1791</vt:i4>
      </vt:variant>
      <vt:variant>
        <vt:i4>0</vt:i4>
      </vt:variant>
      <vt:variant>
        <vt:i4>5</vt:i4>
      </vt:variant>
      <vt:variant>
        <vt:lpwstr>https://www.itu.int/initiatives/green-digital-action/events/all/cop29/declaration/</vt:lpwstr>
      </vt:variant>
      <vt:variant>
        <vt:lpwstr/>
      </vt:variant>
      <vt:variant>
        <vt:i4>7536694</vt:i4>
      </vt:variant>
      <vt:variant>
        <vt:i4>1788</vt:i4>
      </vt:variant>
      <vt:variant>
        <vt:i4>0</vt:i4>
      </vt:variant>
      <vt:variant>
        <vt:i4>5</vt:i4>
      </vt:variant>
      <vt:variant>
        <vt:lpwstr>https://www.itu.int/initiatives/green-digital-action/events/all/cop28/</vt:lpwstr>
      </vt:variant>
      <vt:variant>
        <vt:lpwstr/>
      </vt:variant>
      <vt:variant>
        <vt:i4>7340076</vt:i4>
      </vt:variant>
      <vt:variant>
        <vt:i4>1785</vt:i4>
      </vt:variant>
      <vt:variant>
        <vt:i4>0</vt:i4>
      </vt:variant>
      <vt:variant>
        <vt:i4>5</vt:i4>
      </vt:variant>
      <vt:variant>
        <vt:lpwstr>https://www.itu.int/initiatives/sdgdigital2024/</vt:lpwstr>
      </vt:variant>
      <vt:variant>
        <vt:lpwstr/>
      </vt:variant>
      <vt:variant>
        <vt:i4>7995441</vt:i4>
      </vt:variant>
      <vt:variant>
        <vt:i4>1782</vt:i4>
      </vt:variant>
      <vt:variant>
        <vt:i4>0</vt:i4>
      </vt:variant>
      <vt:variant>
        <vt:i4>5</vt:i4>
      </vt:variant>
      <vt:variant>
        <vt:lpwstr>https://www.itu.int/net4/wsis/stocktaking/Flash/Newsletter/Newsletter/16935890256799584</vt:lpwstr>
      </vt:variant>
      <vt:variant>
        <vt:lpwstr/>
      </vt:variant>
      <vt:variant>
        <vt:i4>1245255</vt:i4>
      </vt:variant>
      <vt:variant>
        <vt:i4>1779</vt:i4>
      </vt:variant>
      <vt:variant>
        <vt:i4>0</vt:i4>
      </vt:variant>
      <vt:variant>
        <vt:i4>5</vt:i4>
      </vt:variant>
      <vt:variant>
        <vt:lpwstr>https://www.sdg-digital.org/</vt:lpwstr>
      </vt:variant>
      <vt:variant>
        <vt:lpwstr/>
      </vt:variant>
      <vt:variant>
        <vt:i4>3997747</vt:i4>
      </vt:variant>
      <vt:variant>
        <vt:i4>1776</vt:i4>
      </vt:variant>
      <vt:variant>
        <vt:i4>0</vt:i4>
      </vt:variant>
      <vt:variant>
        <vt:i4>5</vt:i4>
      </vt:variant>
      <vt:variant>
        <vt:lpwstr>http://itu.int/partner2connect/events/past-events/</vt:lpwstr>
      </vt:variant>
      <vt:variant>
        <vt:lpwstr/>
      </vt:variant>
      <vt:variant>
        <vt:i4>6029379</vt:i4>
      </vt:variant>
      <vt:variant>
        <vt:i4>1773</vt:i4>
      </vt:variant>
      <vt:variant>
        <vt:i4>0</vt:i4>
      </vt:variant>
      <vt:variant>
        <vt:i4>5</vt:i4>
      </vt:variant>
      <vt:variant>
        <vt:lpwstr>https://www.itu.int/partner2connect/</vt:lpwstr>
      </vt:variant>
      <vt:variant>
        <vt:lpwstr/>
      </vt:variant>
      <vt:variant>
        <vt:i4>6029390</vt:i4>
      </vt:variant>
      <vt:variant>
        <vt:i4>1770</vt:i4>
      </vt:variant>
      <vt:variant>
        <vt:i4>0</vt:i4>
      </vt:variant>
      <vt:variant>
        <vt:i4>5</vt:i4>
      </vt:variant>
      <vt:variant>
        <vt:lpwstr>https://www.itu.int/hub/2025/10/open-access-repository-for-sustainable-software-options/</vt:lpwstr>
      </vt:variant>
      <vt:variant>
        <vt:lpwstr/>
      </vt:variant>
      <vt:variant>
        <vt:i4>7536683</vt:i4>
      </vt:variant>
      <vt:variant>
        <vt:i4>1767</vt:i4>
      </vt:variant>
      <vt:variant>
        <vt:i4>0</vt:i4>
      </vt:variant>
      <vt:variant>
        <vt:i4>5</vt:i4>
      </vt:variant>
      <vt:variant>
        <vt:lpwstr>https://www.itu.int/hub/publication/s-gen-gda-001-2025/</vt:lpwstr>
      </vt:variant>
      <vt:variant>
        <vt:lpwstr/>
      </vt:variant>
      <vt:variant>
        <vt:i4>8257570</vt:i4>
      </vt:variant>
      <vt:variant>
        <vt:i4>1764</vt:i4>
      </vt:variant>
      <vt:variant>
        <vt:i4>0</vt:i4>
      </vt:variant>
      <vt:variant>
        <vt:i4>5</vt:i4>
      </vt:variant>
      <vt:variant>
        <vt:lpwstr/>
      </vt:variant>
      <vt:variant>
        <vt:lpwstr>Section_5_5</vt:lpwstr>
      </vt:variant>
      <vt:variant>
        <vt:i4>4980817</vt:i4>
      </vt:variant>
      <vt:variant>
        <vt:i4>1761</vt:i4>
      </vt:variant>
      <vt:variant>
        <vt:i4>0</vt:i4>
      </vt:variant>
      <vt:variant>
        <vt:i4>5</vt:i4>
      </vt:variant>
      <vt:variant>
        <vt:lpwstr>https://academy.itu.int/training-courses/full-catalogue/green-data-centres-policy-makers</vt:lpwstr>
      </vt:variant>
      <vt:variant>
        <vt:lpwstr/>
      </vt:variant>
      <vt:variant>
        <vt:i4>2883651</vt:i4>
      </vt:variant>
      <vt:variant>
        <vt:i4>1758</vt:i4>
      </vt:variant>
      <vt:variant>
        <vt:i4>0</vt:i4>
      </vt:variant>
      <vt:variant>
        <vt:i4>5</vt:i4>
      </vt:variant>
      <vt:variant>
        <vt:lpwstr>https://www.itu.int/en/ITU-D/Environment/Documents/Publications/2025/ITU-World Bank Green data centers_2023.pdf</vt:lpwstr>
      </vt:variant>
      <vt:variant>
        <vt:lpwstr/>
      </vt:variant>
      <vt:variant>
        <vt:i4>7209066</vt:i4>
      </vt:variant>
      <vt:variant>
        <vt:i4>1755</vt:i4>
      </vt:variant>
      <vt:variant>
        <vt:i4>0</vt:i4>
      </vt:variant>
      <vt:variant>
        <vt:i4>5</vt:i4>
      </vt:variant>
      <vt:variant>
        <vt:lpwstr>https://www.itu.int/en/action/environment-and-climate-change/Documents/publications/2023/Scope-3-Guidance-2023.pdf</vt:lpwstr>
      </vt:variant>
      <vt:variant>
        <vt:lpwstr/>
      </vt:variant>
      <vt:variant>
        <vt:i4>1769549</vt:i4>
      </vt:variant>
      <vt:variant>
        <vt:i4>1752</vt:i4>
      </vt:variant>
      <vt:variant>
        <vt:i4>0</vt:i4>
      </vt:variant>
      <vt:variant>
        <vt:i4>5</vt:i4>
      </vt:variant>
      <vt:variant>
        <vt:lpwstr>https://www.itu.int/en/ITU-D/Environment/Pages/Publications/Measuring-Emissions-and-Energy-Footprint-ICT-Sector.aspx</vt:lpwstr>
      </vt:variant>
      <vt:variant>
        <vt:lpwstr/>
      </vt:variant>
      <vt:variant>
        <vt:i4>1572957</vt:i4>
      </vt:variant>
      <vt:variant>
        <vt:i4>1749</vt:i4>
      </vt:variant>
      <vt:variant>
        <vt:i4>0</vt:i4>
      </vt:variant>
      <vt:variant>
        <vt:i4>5</vt:i4>
      </vt:variant>
      <vt:variant>
        <vt:lpwstr>https://www.itu.int/en/ITU-T/Workshops-and-Seminars/2025/1125/Documents/Louise Aubet.pdf</vt:lpwstr>
      </vt:variant>
      <vt:variant>
        <vt:lpwstr/>
      </vt:variant>
      <vt:variant>
        <vt:i4>6684717</vt:i4>
      </vt:variant>
      <vt:variant>
        <vt:i4>1746</vt:i4>
      </vt:variant>
      <vt:variant>
        <vt:i4>0</vt:i4>
      </vt:variant>
      <vt:variant>
        <vt:i4>5</vt:i4>
      </vt:variant>
      <vt:variant>
        <vt:lpwstr>https://www.itu.int/pub/D-IND-CLIM-2025</vt:lpwstr>
      </vt:variant>
      <vt:variant>
        <vt:lpwstr/>
      </vt:variant>
      <vt:variant>
        <vt:i4>3539057</vt:i4>
      </vt:variant>
      <vt:variant>
        <vt:i4>1743</vt:i4>
      </vt:variant>
      <vt:variant>
        <vt:i4>0</vt:i4>
      </vt:variant>
      <vt:variant>
        <vt:i4>5</vt:i4>
      </vt:variant>
      <vt:variant>
        <vt:lpwstr>https://www.itu.int/rec/T-REC-L.1061/en</vt:lpwstr>
      </vt:variant>
      <vt:variant>
        <vt:lpwstr/>
      </vt:variant>
      <vt:variant>
        <vt:i4>6094918</vt:i4>
      </vt:variant>
      <vt:variant>
        <vt:i4>1740</vt:i4>
      </vt:variant>
      <vt:variant>
        <vt:i4>0</vt:i4>
      </vt:variant>
      <vt:variant>
        <vt:i4>5</vt:i4>
      </vt:variant>
      <vt:variant>
        <vt:lpwstr>https://www.itu.int/hub/publication/d-hdb-guidelines-04-2023/</vt:lpwstr>
      </vt:variant>
      <vt:variant>
        <vt:lpwstr/>
      </vt:variant>
      <vt:variant>
        <vt:i4>6881395</vt:i4>
      </vt:variant>
      <vt:variant>
        <vt:i4>1737</vt:i4>
      </vt:variant>
      <vt:variant>
        <vt:i4>0</vt:i4>
      </vt:variant>
      <vt:variant>
        <vt:i4>5</vt:i4>
      </vt:variant>
      <vt:variant>
        <vt:lpwstr>https://www.itu.int/en/ITU-D/Environment/Pages/Publications/WEEE-Saudi-Arabia-Toolkit.aspx</vt:lpwstr>
      </vt:variant>
      <vt:variant>
        <vt:lpwstr/>
      </vt:variant>
      <vt:variant>
        <vt:i4>2949189</vt:i4>
      </vt:variant>
      <vt:variant>
        <vt:i4>1734</vt:i4>
      </vt:variant>
      <vt:variant>
        <vt:i4>0</vt:i4>
      </vt:variant>
      <vt:variant>
        <vt:i4>5</vt:i4>
      </vt:variant>
      <vt:variant>
        <vt:lpwstr>https://www.itu.int/dms_pub/itu-t/opb/env/T-ENV-ENV-2025-3-PDF-E.pdf</vt:lpwstr>
      </vt:variant>
      <vt:variant>
        <vt:lpwstr/>
      </vt:variant>
      <vt:variant>
        <vt:i4>6946870</vt:i4>
      </vt:variant>
      <vt:variant>
        <vt:i4>1731</vt:i4>
      </vt:variant>
      <vt:variant>
        <vt:i4>0</vt:i4>
      </vt:variant>
      <vt:variant>
        <vt:i4>5</vt:i4>
      </vt:variant>
      <vt:variant>
        <vt:lpwstr>https://www.itu.int/cities/wp-content/uploads/2023/04/The-role-of-Digital-Technologies-in-Aging-and-Health.pdf</vt:lpwstr>
      </vt:variant>
      <vt:variant>
        <vt:lpwstr/>
      </vt:variant>
      <vt:variant>
        <vt:i4>5636101</vt:i4>
      </vt:variant>
      <vt:variant>
        <vt:i4>1728</vt:i4>
      </vt:variant>
      <vt:variant>
        <vt:i4>0</vt:i4>
      </vt:variant>
      <vt:variant>
        <vt:i4>5</vt:i4>
      </vt:variant>
      <vt:variant>
        <vt:lpwstr>https://academy.itu.int/training-courses/full-catalogue/icts-better-ageing-and-livelihood-digital-landscape-1</vt:lpwstr>
      </vt:variant>
      <vt:variant>
        <vt:lpwstr/>
      </vt:variant>
      <vt:variant>
        <vt:i4>2687045</vt:i4>
      </vt:variant>
      <vt:variant>
        <vt:i4>1725</vt:i4>
      </vt:variant>
      <vt:variant>
        <vt:i4>0</vt:i4>
      </vt:variant>
      <vt:variant>
        <vt:i4>5</vt:i4>
      </vt:variant>
      <vt:variant>
        <vt:lpwstr>https://www.itu.int/pub/D-PHCB-DIG_AGE-2021</vt:lpwstr>
      </vt:variant>
      <vt:variant>
        <vt:lpwstr/>
      </vt:variant>
      <vt:variant>
        <vt:i4>3276925</vt:i4>
      </vt:variant>
      <vt:variant>
        <vt:i4>1722</vt:i4>
      </vt:variant>
      <vt:variant>
        <vt:i4>0</vt:i4>
      </vt:variant>
      <vt:variant>
        <vt:i4>5</vt:i4>
      </vt:variant>
      <vt:variant>
        <vt:lpwstr>https://www.silvereconomyforum.com/</vt:lpwstr>
      </vt:variant>
      <vt:variant>
        <vt:lpwstr/>
      </vt:variant>
      <vt:variant>
        <vt:i4>7536756</vt:i4>
      </vt:variant>
      <vt:variant>
        <vt:i4>1719</vt:i4>
      </vt:variant>
      <vt:variant>
        <vt:i4>0</vt:i4>
      </vt:variant>
      <vt:variant>
        <vt:i4>5</vt:i4>
      </vt:variant>
      <vt:variant>
        <vt:lpwstr>https://desapublications.un.org/policy-dialogues/leaving-no-one-behind-ageing-world-un-desa-global-policy-dialogue</vt:lpwstr>
      </vt:variant>
      <vt:variant>
        <vt:lpwstr/>
      </vt:variant>
      <vt:variant>
        <vt:i4>2359422</vt:i4>
      </vt:variant>
      <vt:variant>
        <vt:i4>1716</vt:i4>
      </vt:variant>
      <vt:variant>
        <vt:i4>0</vt:i4>
      </vt:variant>
      <vt:variant>
        <vt:i4>5</vt:i4>
      </vt:variant>
      <vt:variant>
        <vt:lpwstr>https://www.itu.int/net4/wsis/forum/2023/Agenda/Session/383</vt:lpwstr>
      </vt:variant>
      <vt:variant>
        <vt:lpwstr/>
      </vt:variant>
      <vt:variant>
        <vt:i4>6029334</vt:i4>
      </vt:variant>
      <vt:variant>
        <vt:i4>1713</vt:i4>
      </vt:variant>
      <vt:variant>
        <vt:i4>0</vt:i4>
      </vt:variant>
      <vt:variant>
        <vt:i4>5</vt:i4>
      </vt:variant>
      <vt:variant>
        <vt:lpwstr>https://academy.itu.int/training-courses/full-catalogue/formacion-de-promotoras-y-promotores-tecnicos-en-comunidades-indigenas-en-telecomunicaciones-y-0</vt:lpwstr>
      </vt:variant>
      <vt:variant>
        <vt:lpwstr/>
      </vt:variant>
      <vt:variant>
        <vt:i4>1769546</vt:i4>
      </vt:variant>
      <vt:variant>
        <vt:i4>1710</vt:i4>
      </vt:variant>
      <vt:variant>
        <vt:i4>0</vt:i4>
      </vt:variant>
      <vt:variant>
        <vt:i4>5</vt:i4>
      </vt:variant>
      <vt:variant>
        <vt:lpwstr>https://academy.itu.int/training-courses/full-catalogue/formacion-en-herramientas-innovadoras-de-comunicacion-para-el-fortalecimiento-de-las-capacidades-de-2</vt:lpwstr>
      </vt:variant>
      <vt:variant>
        <vt:lpwstr/>
      </vt:variant>
      <vt:variant>
        <vt:i4>7733365</vt:i4>
      </vt:variant>
      <vt:variant>
        <vt:i4>1707</vt:i4>
      </vt:variant>
      <vt:variant>
        <vt:i4>0</vt:i4>
      </vt:variant>
      <vt:variant>
        <vt:i4>5</vt:i4>
      </vt:variant>
      <vt:variant>
        <vt:lpwstr>http://www.itu.int/pub/R-HDB-63</vt:lpwstr>
      </vt:variant>
      <vt:variant>
        <vt:lpwstr/>
      </vt:variant>
      <vt:variant>
        <vt:i4>1114129</vt:i4>
      </vt:variant>
      <vt:variant>
        <vt:i4>1704</vt:i4>
      </vt:variant>
      <vt:variant>
        <vt:i4>0</vt:i4>
      </vt:variant>
      <vt:variant>
        <vt:i4>5</vt:i4>
      </vt:variant>
      <vt:variant>
        <vt:lpwstr>http://www.itu.int/rec/R-REC-BT.1702</vt:lpwstr>
      </vt:variant>
      <vt:variant>
        <vt:lpwstr/>
      </vt:variant>
      <vt:variant>
        <vt:i4>393295</vt:i4>
      </vt:variant>
      <vt:variant>
        <vt:i4>1701</vt:i4>
      </vt:variant>
      <vt:variant>
        <vt:i4>0</vt:i4>
      </vt:variant>
      <vt:variant>
        <vt:i4>5</vt:i4>
      </vt:variant>
      <vt:variant>
        <vt:lpwstr>https://www.itu.int/pub/R-REP-SM.2153</vt:lpwstr>
      </vt:variant>
      <vt:variant>
        <vt:lpwstr/>
      </vt:variant>
      <vt:variant>
        <vt:i4>1704029</vt:i4>
      </vt:variant>
      <vt:variant>
        <vt:i4>1698</vt:i4>
      </vt:variant>
      <vt:variant>
        <vt:i4>0</vt:i4>
      </vt:variant>
      <vt:variant>
        <vt:i4>5</vt:i4>
      </vt:variant>
      <vt:variant>
        <vt:lpwstr>https://www.itu.int/pub/R-REP-BT.2207</vt:lpwstr>
      </vt:variant>
      <vt:variant>
        <vt:lpwstr/>
      </vt:variant>
      <vt:variant>
        <vt:i4>7667812</vt:i4>
      </vt:variant>
      <vt:variant>
        <vt:i4>1695</vt:i4>
      </vt:variant>
      <vt:variant>
        <vt:i4>0</vt:i4>
      </vt:variant>
      <vt:variant>
        <vt:i4>5</vt:i4>
      </vt:variant>
      <vt:variant>
        <vt:lpwstr>https://www.itu.int/pub/R-RES-R.67</vt:lpwstr>
      </vt:variant>
      <vt:variant>
        <vt:lpwstr/>
      </vt:variant>
      <vt:variant>
        <vt:i4>8192055</vt:i4>
      </vt:variant>
      <vt:variant>
        <vt:i4>1692</vt:i4>
      </vt:variant>
      <vt:variant>
        <vt:i4>0</vt:i4>
      </vt:variant>
      <vt:variant>
        <vt:i4>5</vt:i4>
      </vt:variant>
      <vt:variant>
        <vt:lpwstr>https://www.itu.int/en/ITU-R/information/Pages/disabilities-divide.aspx</vt:lpwstr>
      </vt:variant>
      <vt:variant>
        <vt:lpwstr/>
      </vt:variant>
      <vt:variant>
        <vt:i4>5177413</vt:i4>
      </vt:variant>
      <vt:variant>
        <vt:i4>1689</vt:i4>
      </vt:variant>
      <vt:variant>
        <vt:i4>0</vt:i4>
      </vt:variant>
      <vt:variant>
        <vt:i4>5</vt:i4>
      </vt:variant>
      <vt:variant>
        <vt:lpwstr>https://www.itu.int/metaverse/virtual-worlds/</vt:lpwstr>
      </vt:variant>
      <vt:variant>
        <vt:lpwstr/>
      </vt:variant>
      <vt:variant>
        <vt:i4>86</vt:i4>
      </vt:variant>
      <vt:variant>
        <vt:i4>1686</vt:i4>
      </vt:variant>
      <vt:variant>
        <vt:i4>0</vt:i4>
      </vt:variant>
      <vt:variant>
        <vt:i4>5</vt:i4>
      </vt:variant>
      <vt:variant>
        <vt:lpwstr>https://www.itu.int/en/ITU-T/studygroups/2025-2028/20/Pages/default.aspx</vt:lpwstr>
      </vt:variant>
      <vt:variant>
        <vt:lpwstr/>
      </vt:variant>
      <vt:variant>
        <vt:i4>4653128</vt:i4>
      </vt:variant>
      <vt:variant>
        <vt:i4>1683</vt:i4>
      </vt:variant>
      <vt:variant>
        <vt:i4>0</vt:i4>
      </vt:variant>
      <vt:variant>
        <vt:i4>5</vt:i4>
      </vt:variant>
      <vt:variant>
        <vt:lpwstr>https://itu.int/go/tsg21</vt:lpwstr>
      </vt:variant>
      <vt:variant>
        <vt:lpwstr/>
      </vt:variant>
      <vt:variant>
        <vt:i4>4915271</vt:i4>
      </vt:variant>
      <vt:variant>
        <vt:i4>1680</vt:i4>
      </vt:variant>
      <vt:variant>
        <vt:i4>0</vt:i4>
      </vt:variant>
      <vt:variant>
        <vt:i4>5</vt:i4>
      </vt:variant>
      <vt:variant>
        <vt:lpwstr>https://www.itu.int/en/ITU-T/focusgroups/ai4h/Pages/default.aspx</vt:lpwstr>
      </vt:variant>
      <vt:variant>
        <vt:lpwstr/>
      </vt:variant>
      <vt:variant>
        <vt:i4>6619237</vt:i4>
      </vt:variant>
      <vt:variant>
        <vt:i4>1677</vt:i4>
      </vt:variant>
      <vt:variant>
        <vt:i4>0</vt:i4>
      </vt:variant>
      <vt:variant>
        <vt:i4>5</vt:i4>
      </vt:variant>
      <vt:variant>
        <vt:lpwstr>https://www.itu.int/rec/T-REC-H.872</vt:lpwstr>
      </vt:variant>
      <vt:variant>
        <vt:lpwstr/>
      </vt:variant>
      <vt:variant>
        <vt:i4>917531</vt:i4>
      </vt:variant>
      <vt:variant>
        <vt:i4>1674</vt:i4>
      </vt:variant>
      <vt:variant>
        <vt:i4>0</vt:i4>
      </vt:variant>
      <vt:variant>
        <vt:i4>5</vt:i4>
      </vt:variant>
      <vt:variant>
        <vt:lpwstr>https://www.itu.int/pub/T-TUT-EHT-2024-3</vt:lpwstr>
      </vt:variant>
      <vt:variant>
        <vt:lpwstr/>
      </vt:variant>
      <vt:variant>
        <vt:i4>6619237</vt:i4>
      </vt:variant>
      <vt:variant>
        <vt:i4>1671</vt:i4>
      </vt:variant>
      <vt:variant>
        <vt:i4>0</vt:i4>
      </vt:variant>
      <vt:variant>
        <vt:i4>5</vt:i4>
      </vt:variant>
      <vt:variant>
        <vt:lpwstr>https://www.itu.int/rec/T-REC-H.871</vt:lpwstr>
      </vt:variant>
      <vt:variant>
        <vt:lpwstr/>
      </vt:variant>
      <vt:variant>
        <vt:i4>6619237</vt:i4>
      </vt:variant>
      <vt:variant>
        <vt:i4>1668</vt:i4>
      </vt:variant>
      <vt:variant>
        <vt:i4>0</vt:i4>
      </vt:variant>
      <vt:variant>
        <vt:i4>5</vt:i4>
      </vt:variant>
      <vt:variant>
        <vt:lpwstr>https://www.itu.int/rec/T-REC-H.870</vt:lpwstr>
      </vt:variant>
      <vt:variant>
        <vt:lpwstr/>
      </vt:variant>
      <vt:variant>
        <vt:i4>4456532</vt:i4>
      </vt:variant>
      <vt:variant>
        <vt:i4>1665</vt:i4>
      </vt:variant>
      <vt:variant>
        <vt:i4>0</vt:i4>
      </vt:variant>
      <vt:variant>
        <vt:i4>5</vt:i4>
      </vt:variant>
      <vt:variant>
        <vt:lpwstr>https://www.itu.int/rec/T-REC-F.780.2</vt:lpwstr>
      </vt:variant>
      <vt:variant>
        <vt:lpwstr/>
      </vt:variant>
      <vt:variant>
        <vt:i4>1769493</vt:i4>
      </vt:variant>
      <vt:variant>
        <vt:i4>1662</vt:i4>
      </vt:variant>
      <vt:variant>
        <vt:i4>0</vt:i4>
      </vt:variant>
      <vt:variant>
        <vt:i4>5</vt:i4>
      </vt:variant>
      <vt:variant>
        <vt:lpwstr>https://www.itu.int/net4/itu-t/search</vt:lpwstr>
      </vt:variant>
      <vt:variant>
        <vt:lpwstr/>
      </vt:variant>
      <vt:variant>
        <vt:i4>4325443</vt:i4>
      </vt:variant>
      <vt:variant>
        <vt:i4>1659</vt:i4>
      </vt:variant>
      <vt:variant>
        <vt:i4>0</vt:i4>
      </vt:variant>
      <vt:variant>
        <vt:i4>5</vt:i4>
      </vt:variant>
      <vt:variant>
        <vt:lpwstr>https://www.itu.int/en/ITU-T/accessibility/Pages/default.aspx</vt:lpwstr>
      </vt:variant>
      <vt:variant>
        <vt:lpwstr/>
      </vt:variant>
      <vt:variant>
        <vt:i4>196626</vt:i4>
      </vt:variant>
      <vt:variant>
        <vt:i4>1656</vt:i4>
      </vt:variant>
      <vt:variant>
        <vt:i4>0</vt:i4>
      </vt:variant>
      <vt:variant>
        <vt:i4>5</vt:i4>
      </vt:variant>
      <vt:variant>
        <vt:lpwstr>https://youtu.be/FsFOxfCois0</vt:lpwstr>
      </vt:variant>
      <vt:variant>
        <vt:lpwstr/>
      </vt:variant>
      <vt:variant>
        <vt:i4>1310722</vt:i4>
      </vt:variant>
      <vt:variant>
        <vt:i4>1653</vt:i4>
      </vt:variant>
      <vt:variant>
        <vt:i4>0</vt:i4>
      </vt:variant>
      <vt:variant>
        <vt:i4>5</vt:i4>
      </vt:variant>
      <vt:variant>
        <vt:lpwstr>https://youtu.be/SpCcmMSrCz8</vt:lpwstr>
      </vt:variant>
      <vt:variant>
        <vt:lpwstr/>
      </vt:variant>
      <vt:variant>
        <vt:i4>4325383</vt:i4>
      </vt:variant>
      <vt:variant>
        <vt:i4>1650</vt:i4>
      </vt:variant>
      <vt:variant>
        <vt:i4>0</vt:i4>
      </vt:variant>
      <vt:variant>
        <vt:i4>5</vt:i4>
      </vt:variant>
      <vt:variant>
        <vt:lpwstr>https://youtu.be/wJmsFRl5x-k</vt:lpwstr>
      </vt:variant>
      <vt:variant>
        <vt:lpwstr/>
      </vt:variant>
      <vt:variant>
        <vt:i4>5439495</vt:i4>
      </vt:variant>
      <vt:variant>
        <vt:i4>1647</vt:i4>
      </vt:variant>
      <vt:variant>
        <vt:i4>0</vt:i4>
      </vt:variant>
      <vt:variant>
        <vt:i4>5</vt:i4>
      </vt:variant>
      <vt:variant>
        <vt:lpwstr>https://youtu.be/KDDTwsxAaqs</vt:lpwstr>
      </vt:variant>
      <vt:variant>
        <vt:lpwstr/>
      </vt:variant>
      <vt:variant>
        <vt:i4>6094931</vt:i4>
      </vt:variant>
      <vt:variant>
        <vt:i4>1644</vt:i4>
      </vt:variant>
      <vt:variant>
        <vt:i4>0</vt:i4>
      </vt:variant>
      <vt:variant>
        <vt:i4>5</vt:i4>
      </vt:variant>
      <vt:variant>
        <vt:lpwstr>https://youtu.be/QHgdiGdzb6E</vt:lpwstr>
      </vt:variant>
      <vt:variant>
        <vt:lpwstr/>
      </vt:variant>
      <vt:variant>
        <vt:i4>1572951</vt:i4>
      </vt:variant>
      <vt:variant>
        <vt:i4>1641</vt:i4>
      </vt:variant>
      <vt:variant>
        <vt:i4>0</vt:i4>
      </vt:variant>
      <vt:variant>
        <vt:i4>5</vt:i4>
      </vt:variant>
      <vt:variant>
        <vt:lpwstr>https://youtu.be/IJmo71yujBY</vt:lpwstr>
      </vt:variant>
      <vt:variant>
        <vt:lpwstr/>
      </vt:variant>
      <vt:variant>
        <vt:i4>2752641</vt:i4>
      </vt:variant>
      <vt:variant>
        <vt:i4>1638</vt:i4>
      </vt:variant>
      <vt:variant>
        <vt:i4>0</vt:i4>
      </vt:variant>
      <vt:variant>
        <vt:i4>5</vt:i4>
      </vt:variant>
      <vt:variant>
        <vt:lpwstr>https://www.itu.int/en/ITU-D/Digital-Inclusion/Documents/Formato de evaluación UIT para la Accesibilidad TIC - FINAL_1.xlsm</vt:lpwstr>
      </vt:variant>
      <vt:variant>
        <vt:lpwstr/>
      </vt:variant>
      <vt:variant>
        <vt:i4>5111865</vt:i4>
      </vt:variant>
      <vt:variant>
        <vt:i4>1635</vt:i4>
      </vt:variant>
      <vt:variant>
        <vt:i4>0</vt:i4>
      </vt:variant>
      <vt:variant>
        <vt:i4>5</vt:i4>
      </vt:variant>
      <vt:variant>
        <vt:lpwstr>https://www.itu.int/en/ITU-D/Digital-Inclusion/Documents/Auto-evaluation UIT pour la mise en oeuvre de TIC accessibles - FINAL_1.xlsm</vt:lpwstr>
      </vt:variant>
      <vt:variant>
        <vt:lpwstr/>
      </vt:variant>
      <vt:variant>
        <vt:i4>1769586</vt:i4>
      </vt:variant>
      <vt:variant>
        <vt:i4>1632</vt:i4>
      </vt:variant>
      <vt:variant>
        <vt:i4>0</vt:i4>
      </vt:variant>
      <vt:variant>
        <vt:i4>5</vt:i4>
      </vt:variant>
      <vt:variant>
        <vt:lpwstr>https://www.itu.int/en/ITU-D/Digital-Inclusion/Persons-with-Disabilities/Documents/Toolkit_Interactive_Self-Assessment_in_ICT_Accessibility.xlsm</vt:lpwstr>
      </vt:variant>
      <vt:variant>
        <vt:lpwstr/>
      </vt:variant>
      <vt:variant>
        <vt:i4>6029339</vt:i4>
      </vt:variant>
      <vt:variant>
        <vt:i4>1629</vt:i4>
      </vt:variant>
      <vt:variant>
        <vt:i4>0</vt:i4>
      </vt:variant>
      <vt:variant>
        <vt:i4>5</vt:i4>
      </vt:variant>
      <vt:variant>
        <vt:lpwstr>https://www.itu.int/en/ITU-D/Digital-Inclusion/Pages/ICT-digital-accessibility/toolkits/towards-building-inclusive-digital-communities/2023/default.aspx</vt:lpwstr>
      </vt:variant>
      <vt:variant>
        <vt:lpwstr/>
      </vt:variant>
      <vt:variant>
        <vt:i4>4849668</vt:i4>
      </vt:variant>
      <vt:variant>
        <vt:i4>1626</vt:i4>
      </vt:variant>
      <vt:variant>
        <vt:i4>0</vt:i4>
      </vt:variant>
      <vt:variant>
        <vt:i4>5</vt:i4>
      </vt:variant>
      <vt:variant>
        <vt:lpwstr>https://www.itu.int/en/ITU-D/Digital-Inclusion/Pages/itu-ilo/default.aspx</vt:lpwstr>
      </vt:variant>
      <vt:variant>
        <vt:lpwstr/>
      </vt:variant>
      <vt:variant>
        <vt:i4>5111901</vt:i4>
      </vt:variant>
      <vt:variant>
        <vt:i4>1623</vt:i4>
      </vt:variant>
      <vt:variant>
        <vt:i4>0</vt:i4>
      </vt:variant>
      <vt:variant>
        <vt:i4>5</vt:i4>
      </vt:variant>
      <vt:variant>
        <vt:lpwstr>https://academy.itu.int/</vt:lpwstr>
      </vt:variant>
      <vt:variant>
        <vt:lpwstr/>
      </vt:variant>
      <vt:variant>
        <vt:i4>917570</vt:i4>
      </vt:variant>
      <vt:variant>
        <vt:i4>1620</vt:i4>
      </vt:variant>
      <vt:variant>
        <vt:i4>0</vt:i4>
      </vt:variant>
      <vt:variant>
        <vt:i4>5</vt:i4>
      </vt:variant>
      <vt:variant>
        <vt:lpwstr>https://www.itu.int/net/events/eventdetails.asp?lang=en&amp;eventid=23284</vt:lpwstr>
      </vt:variant>
      <vt:variant>
        <vt:lpwstr/>
      </vt:variant>
      <vt:variant>
        <vt:i4>7209075</vt:i4>
      </vt:variant>
      <vt:variant>
        <vt:i4>1617</vt:i4>
      </vt:variant>
      <vt:variant>
        <vt:i4>0</vt:i4>
      </vt:variant>
      <vt:variant>
        <vt:i4>5</vt:i4>
      </vt:variant>
      <vt:variant>
        <vt:lpwstr>https://www.itu.int/en/ITU-D/Regional-Presence/Europe/Pages/Events/2022/Accessible Europe ICT 4 All Forum - 6 Dec 2022/Accessible-Europe-ICT-4-All-Forum--Celebration-of-the-International-Day-of-Persons-with-Disabilities-.aspx</vt:lpwstr>
      </vt:variant>
      <vt:variant>
        <vt:lpwstr>:~:text=The%20special%20event%20for%20Europe,virtually%20on%206%20December%202022.</vt:lpwstr>
      </vt:variant>
      <vt:variant>
        <vt:i4>1245214</vt:i4>
      </vt:variant>
      <vt:variant>
        <vt:i4>1614</vt:i4>
      </vt:variant>
      <vt:variant>
        <vt:i4>0</vt:i4>
      </vt:variant>
      <vt:variant>
        <vt:i4>5</vt:i4>
      </vt:variant>
      <vt:variant>
        <vt:lpwstr>https://www.itu.int/en/ITU-D/Regional-Presence/Americas/Pages/EVENTS/2022/AA-2022.aspx</vt:lpwstr>
      </vt:variant>
      <vt:variant>
        <vt:lpwstr>:~:text=The%209th%20edition%20of%20Accessible,)%2C%20the%20Brazilian%20regulatory%20authority.</vt:lpwstr>
      </vt:variant>
      <vt:variant>
        <vt:i4>327750</vt:i4>
      </vt:variant>
      <vt:variant>
        <vt:i4>1611</vt:i4>
      </vt:variant>
      <vt:variant>
        <vt:i4>0</vt:i4>
      </vt:variant>
      <vt:variant>
        <vt:i4>5</vt:i4>
      </vt:variant>
      <vt:variant>
        <vt:lpwstr>https://www.itu.int/en/ITU-D/Regional-Presence/AsiaPacific/Pages/v2/regional-events.aspx</vt:lpwstr>
      </vt:variant>
      <vt:variant>
        <vt:lpwstr/>
      </vt:variant>
      <vt:variant>
        <vt:i4>3604540</vt:i4>
      </vt:variant>
      <vt:variant>
        <vt:i4>1608</vt:i4>
      </vt:variant>
      <vt:variant>
        <vt:i4>0</vt:i4>
      </vt:variant>
      <vt:variant>
        <vt:i4>5</vt:i4>
      </vt:variant>
      <vt:variant>
        <vt:lpwstr>https://www.itu.int/en/ITU-D/Digital-Inclusion/Pages/ICT-digital-accessibility/default.aspx</vt:lpwstr>
      </vt:variant>
      <vt:variant>
        <vt:lpwstr/>
      </vt:variant>
      <vt:variant>
        <vt:i4>7405627</vt:i4>
      </vt:variant>
      <vt:variant>
        <vt:i4>1605</vt:i4>
      </vt:variant>
      <vt:variant>
        <vt:i4>0</vt:i4>
      </vt:variant>
      <vt:variant>
        <vt:i4>5</vt:i4>
      </vt:variant>
      <vt:variant>
        <vt:lpwstr>https://www.itu.int/md/S21-CL-C-0072/en</vt:lpwstr>
      </vt:variant>
      <vt:variant>
        <vt:lpwstr/>
      </vt:variant>
      <vt:variant>
        <vt:i4>4194377</vt:i4>
      </vt:variant>
      <vt:variant>
        <vt:i4>1602</vt:i4>
      </vt:variant>
      <vt:variant>
        <vt:i4>0</vt:i4>
      </vt:variant>
      <vt:variant>
        <vt:i4>5</vt:i4>
      </vt:variant>
      <vt:variant>
        <vt:lpwstr>https://www.itu.int/metaverse/virtual-worlds/1st-un-citiverse-challenge/</vt:lpwstr>
      </vt:variant>
      <vt:variant>
        <vt:lpwstr/>
      </vt:variant>
      <vt:variant>
        <vt:i4>8257584</vt:i4>
      </vt:variant>
      <vt:variant>
        <vt:i4>1599</vt:i4>
      </vt:variant>
      <vt:variant>
        <vt:i4>0</vt:i4>
      </vt:variant>
      <vt:variant>
        <vt:i4>5</vt:i4>
      </vt:variant>
      <vt:variant>
        <vt:lpwstr>https://www.itu.int/metaverse/un-virtual-worlds-day/thinkathon/</vt:lpwstr>
      </vt:variant>
      <vt:variant>
        <vt:lpwstr/>
      </vt:variant>
      <vt:variant>
        <vt:i4>1966173</vt:i4>
      </vt:variant>
      <vt:variant>
        <vt:i4>1596</vt:i4>
      </vt:variant>
      <vt:variant>
        <vt:i4>0</vt:i4>
      </vt:variant>
      <vt:variant>
        <vt:i4>5</vt:i4>
      </vt:variant>
      <vt:variant>
        <vt:lpwstr>https://aiforgood.itu.int/robotics-for-good-youth-challenge/</vt:lpwstr>
      </vt:variant>
      <vt:variant>
        <vt:lpwstr/>
      </vt:variant>
      <vt:variant>
        <vt:i4>5439510</vt:i4>
      </vt:variant>
      <vt:variant>
        <vt:i4>1593</vt:i4>
      </vt:variant>
      <vt:variant>
        <vt:i4>0</vt:i4>
      </vt:variant>
      <vt:variant>
        <vt:i4>5</vt:i4>
      </vt:variant>
      <vt:variant>
        <vt:lpwstr>https://aiforgood.itu.int/the-5th-edition-of-the-itu-ai-ml-in-5g-challenge-a-year-of-competitions-in-review/</vt:lpwstr>
      </vt:variant>
      <vt:variant>
        <vt:lpwstr/>
      </vt:variant>
      <vt:variant>
        <vt:i4>7667775</vt:i4>
      </vt:variant>
      <vt:variant>
        <vt:i4>1590</vt:i4>
      </vt:variant>
      <vt:variant>
        <vt:i4>0</vt:i4>
      </vt:variant>
      <vt:variant>
        <vt:i4>5</vt:i4>
      </vt:variant>
      <vt:variant>
        <vt:lpwstr>https://www.itu.int/md/S25-CL-C-0032/en</vt:lpwstr>
      </vt:variant>
      <vt:variant>
        <vt:lpwstr/>
      </vt:variant>
      <vt:variant>
        <vt:i4>7602239</vt:i4>
      </vt:variant>
      <vt:variant>
        <vt:i4>1587</vt:i4>
      </vt:variant>
      <vt:variant>
        <vt:i4>0</vt:i4>
      </vt:variant>
      <vt:variant>
        <vt:i4>5</vt:i4>
      </vt:variant>
      <vt:variant>
        <vt:lpwstr>https://www.itu.int/md/S24-CL-C-0032/en</vt:lpwstr>
      </vt:variant>
      <vt:variant>
        <vt:lpwstr/>
      </vt:variant>
      <vt:variant>
        <vt:i4>7798847</vt:i4>
      </vt:variant>
      <vt:variant>
        <vt:i4>1584</vt:i4>
      </vt:variant>
      <vt:variant>
        <vt:i4>0</vt:i4>
      </vt:variant>
      <vt:variant>
        <vt:i4>5</vt:i4>
      </vt:variant>
      <vt:variant>
        <vt:lpwstr>https://www.itu.int/md/S24-CL-C-0031/en</vt:lpwstr>
      </vt:variant>
      <vt:variant>
        <vt:lpwstr/>
      </vt:variant>
      <vt:variant>
        <vt:i4>6750307</vt:i4>
      </vt:variant>
      <vt:variant>
        <vt:i4>1581</vt:i4>
      </vt:variant>
      <vt:variant>
        <vt:i4>0</vt:i4>
      </vt:variant>
      <vt:variant>
        <vt:i4>5</vt:i4>
      </vt:variant>
      <vt:variant>
        <vt:lpwstr>https://www.itu.int/generationconnect/empower/generation-connect-young-leadership-programme-in-partnership-with-huawei/</vt:lpwstr>
      </vt:variant>
      <vt:variant>
        <vt:lpwstr/>
      </vt:variant>
      <vt:variant>
        <vt:i4>2228343</vt:i4>
      </vt:variant>
      <vt:variant>
        <vt:i4>1578</vt:i4>
      </vt:variant>
      <vt:variant>
        <vt:i4>0</vt:i4>
      </vt:variant>
      <vt:variant>
        <vt:i4>5</vt:i4>
      </vt:variant>
      <vt:variant>
        <vt:lpwstr>https://www.itu.int/en/action/youth/Pages/YPP.aspx</vt:lpwstr>
      </vt:variant>
      <vt:variant>
        <vt:lpwstr/>
      </vt:variant>
      <vt:variant>
        <vt:i4>6750307</vt:i4>
      </vt:variant>
      <vt:variant>
        <vt:i4>1575</vt:i4>
      </vt:variant>
      <vt:variant>
        <vt:i4>0</vt:i4>
      </vt:variant>
      <vt:variant>
        <vt:i4>5</vt:i4>
      </vt:variant>
      <vt:variant>
        <vt:lpwstr>https://www.itu.int/generationconnect/empower/generation-connect-young-leadership-programme-in-partnership-with-huawei/</vt:lpwstr>
      </vt:variant>
      <vt:variant>
        <vt:lpwstr/>
      </vt:variant>
      <vt:variant>
        <vt:i4>6750335</vt:i4>
      </vt:variant>
      <vt:variant>
        <vt:i4>1572</vt:i4>
      </vt:variant>
      <vt:variant>
        <vt:i4>0</vt:i4>
      </vt:variant>
      <vt:variant>
        <vt:i4>5</vt:i4>
      </vt:variant>
      <vt:variant>
        <vt:lpwstr>https://www.itu.int/en/action/youth/Pages/itu-secretary-generals-youth-advisory-board.aspx</vt:lpwstr>
      </vt:variant>
      <vt:variant>
        <vt:lpwstr/>
      </vt:variant>
      <vt:variant>
        <vt:i4>5767257</vt:i4>
      </vt:variant>
      <vt:variant>
        <vt:i4>1569</vt:i4>
      </vt:variant>
      <vt:variant>
        <vt:i4>0</vt:i4>
      </vt:variant>
      <vt:variant>
        <vt:i4>5</vt:i4>
      </vt:variant>
      <vt:variant>
        <vt:lpwstr>https://www.itu.int/net4/wsis/forum/2023/Home/ICTsYouthPrize</vt:lpwstr>
      </vt:variant>
      <vt:variant>
        <vt:lpwstr/>
      </vt:variant>
      <vt:variant>
        <vt:i4>7602301</vt:i4>
      </vt:variant>
      <vt:variant>
        <vt:i4>1566</vt:i4>
      </vt:variant>
      <vt:variant>
        <vt:i4>0</vt:i4>
      </vt:variant>
      <vt:variant>
        <vt:i4>5</vt:i4>
      </vt:variant>
      <vt:variant>
        <vt:lpwstr>https://www.huawei.com/en/news/2022/8/seeds-for-future-camp</vt:lpwstr>
      </vt:variant>
      <vt:variant>
        <vt:lpwstr/>
      </vt:variant>
      <vt:variant>
        <vt:i4>3735664</vt:i4>
      </vt:variant>
      <vt:variant>
        <vt:i4>1563</vt:i4>
      </vt:variant>
      <vt:variant>
        <vt:i4>0</vt:i4>
      </vt:variant>
      <vt:variant>
        <vt:i4>5</vt:i4>
      </vt:variant>
      <vt:variant>
        <vt:lpwstr>https://www.youtube.com/watch?v=uB2eLaPDdDc</vt:lpwstr>
      </vt:variant>
      <vt:variant>
        <vt:lpwstr/>
      </vt:variant>
      <vt:variant>
        <vt:i4>1310722</vt:i4>
      </vt:variant>
      <vt:variant>
        <vt:i4>1560</vt:i4>
      </vt:variant>
      <vt:variant>
        <vt:i4>0</vt:i4>
      </vt:variant>
      <vt:variant>
        <vt:i4>5</vt:i4>
      </vt:variant>
      <vt:variant>
        <vt:lpwstr>https://www.kofiannanfoundation.org/our-work/kofi-annan-changemakers/</vt:lpwstr>
      </vt:variant>
      <vt:variant>
        <vt:lpwstr/>
      </vt:variant>
      <vt:variant>
        <vt:i4>196672</vt:i4>
      </vt:variant>
      <vt:variant>
        <vt:i4>1557</vt:i4>
      </vt:variant>
      <vt:variant>
        <vt:i4>0</vt:i4>
      </vt:variant>
      <vt:variant>
        <vt:i4>5</vt:i4>
      </vt:variant>
      <vt:variant>
        <vt:lpwstr>https://www.itu.int/generationconnect/generation-connect-podcast/</vt:lpwstr>
      </vt:variant>
      <vt:variant>
        <vt:lpwstr/>
      </vt:variant>
      <vt:variant>
        <vt:i4>3342434</vt:i4>
      </vt:variant>
      <vt:variant>
        <vt:i4>1554</vt:i4>
      </vt:variant>
      <vt:variant>
        <vt:i4>0</vt:i4>
      </vt:variant>
      <vt:variant>
        <vt:i4>5</vt:i4>
      </vt:variant>
      <vt:variant>
        <vt:lpwstr>https://academy.itu.int/training-courses/full-catalogue/generation-connect-digital-learning</vt:lpwstr>
      </vt:variant>
      <vt:variant>
        <vt:lpwstr/>
      </vt:variant>
      <vt:variant>
        <vt:i4>2752633</vt:i4>
      </vt:variant>
      <vt:variant>
        <vt:i4>1551</vt:i4>
      </vt:variant>
      <vt:variant>
        <vt:i4>0</vt:i4>
      </vt:variant>
      <vt:variant>
        <vt:i4>5</vt:i4>
      </vt:variant>
      <vt:variant>
        <vt:lpwstr>https://www.itu.int/itu-d/meetings/global-youth-summit-25/</vt:lpwstr>
      </vt:variant>
      <vt:variant>
        <vt:lpwstr/>
      </vt:variant>
      <vt:variant>
        <vt:i4>5308444</vt:i4>
      </vt:variant>
      <vt:variant>
        <vt:i4>1548</vt:i4>
      </vt:variant>
      <vt:variant>
        <vt:i4>0</vt:i4>
      </vt:variant>
      <vt:variant>
        <vt:i4>5</vt:i4>
      </vt:variant>
      <vt:variant>
        <vt:lpwstr>https://indico.un.org/event/1002946/</vt:lpwstr>
      </vt:variant>
      <vt:variant>
        <vt:lpwstr/>
      </vt:variant>
      <vt:variant>
        <vt:i4>4849679</vt:i4>
      </vt:variant>
      <vt:variant>
        <vt:i4>1545</vt:i4>
      </vt:variant>
      <vt:variant>
        <vt:i4>0</vt:i4>
      </vt:variant>
      <vt:variant>
        <vt:i4>5</vt:i4>
      </vt:variant>
      <vt:variant>
        <vt:lpwstr>https://www.mwcbarcelona.com/</vt:lpwstr>
      </vt:variant>
      <vt:variant>
        <vt:lpwstr/>
      </vt:variant>
      <vt:variant>
        <vt:i4>2031684</vt:i4>
      </vt:variant>
      <vt:variant>
        <vt:i4>1542</vt:i4>
      </vt:variant>
      <vt:variant>
        <vt:i4>0</vt:i4>
      </vt:variant>
      <vt:variant>
        <vt:i4>5</vt:i4>
      </vt:variant>
      <vt:variant>
        <vt:lpwstr>https://www.itu.int/generationconnect/generation-connect-at-ldc5/</vt:lpwstr>
      </vt:variant>
      <vt:variant>
        <vt:lpwstr/>
      </vt:variant>
      <vt:variant>
        <vt:i4>1900547</vt:i4>
      </vt:variant>
      <vt:variant>
        <vt:i4>1539</vt:i4>
      </vt:variant>
      <vt:variant>
        <vt:i4>0</vt:i4>
      </vt:variant>
      <vt:variant>
        <vt:i4>5</vt:i4>
      </vt:variant>
      <vt:variant>
        <vt:lpwstr>https://youngaglobal.com/</vt:lpwstr>
      </vt:variant>
      <vt:variant>
        <vt:lpwstr/>
      </vt:variant>
      <vt:variant>
        <vt:i4>6684711</vt:i4>
      </vt:variant>
      <vt:variant>
        <vt:i4>1536</vt:i4>
      </vt:variant>
      <vt:variant>
        <vt:i4>0</vt:i4>
      </vt:variant>
      <vt:variant>
        <vt:i4>5</vt:i4>
      </vt:variant>
      <vt:variant>
        <vt:lpwstr>https://www.youtube.com/watch?v=j1o2mY676TA</vt:lpwstr>
      </vt:variant>
      <vt:variant>
        <vt:lpwstr/>
      </vt:variant>
      <vt:variant>
        <vt:i4>7733349</vt:i4>
      </vt:variant>
      <vt:variant>
        <vt:i4>1533</vt:i4>
      </vt:variant>
      <vt:variant>
        <vt:i4>0</vt:i4>
      </vt:variant>
      <vt:variant>
        <vt:i4>5</vt:i4>
      </vt:variant>
      <vt:variant>
        <vt:lpwstr>https://www.youtube.com/watch?v=zZFNByEQ15k</vt:lpwstr>
      </vt:variant>
      <vt:variant>
        <vt:lpwstr/>
      </vt:variant>
      <vt:variant>
        <vt:i4>327702</vt:i4>
      </vt:variant>
      <vt:variant>
        <vt:i4>1530</vt:i4>
      </vt:variant>
      <vt:variant>
        <vt:i4>0</vt:i4>
      </vt:variant>
      <vt:variant>
        <vt:i4>5</vt:i4>
      </vt:variant>
      <vt:variant>
        <vt:lpwstr>https://www.itu.int/generationconnect/youthsummit/youth-summit-resources/</vt:lpwstr>
      </vt:variant>
      <vt:variant>
        <vt:lpwstr/>
      </vt:variant>
      <vt:variant>
        <vt:i4>2162785</vt:i4>
      </vt:variant>
      <vt:variant>
        <vt:i4>1527</vt:i4>
      </vt:variant>
      <vt:variant>
        <vt:i4>0</vt:i4>
      </vt:variant>
      <vt:variant>
        <vt:i4>5</vt:i4>
      </vt:variant>
      <vt:variant>
        <vt:lpwstr>https://www.itu.int/generationconnect/wp-content/uploads/2020/11/ITU_Youth_Strategy.pdf</vt:lpwstr>
      </vt:variant>
      <vt:variant>
        <vt:lpwstr/>
      </vt:variant>
      <vt:variant>
        <vt:i4>2162785</vt:i4>
      </vt:variant>
      <vt:variant>
        <vt:i4>1524</vt:i4>
      </vt:variant>
      <vt:variant>
        <vt:i4>0</vt:i4>
      </vt:variant>
      <vt:variant>
        <vt:i4>5</vt:i4>
      </vt:variant>
      <vt:variant>
        <vt:lpwstr>https://www.itu.int/generationconnect/wp-content/uploads/2020/11/ITU_Youth_Strategy.pdf</vt:lpwstr>
      </vt:variant>
      <vt:variant>
        <vt:lpwstr/>
      </vt:variant>
      <vt:variant>
        <vt:i4>7798844</vt:i4>
      </vt:variant>
      <vt:variant>
        <vt:i4>1521</vt:i4>
      </vt:variant>
      <vt:variant>
        <vt:i4>0</vt:i4>
      </vt:variant>
      <vt:variant>
        <vt:i4>5</vt:i4>
      </vt:variant>
      <vt:variant>
        <vt:lpwstr>https://www.itu.int/md/S23-CL-C-0006/en</vt:lpwstr>
      </vt:variant>
      <vt:variant>
        <vt:lpwstr/>
      </vt:variant>
      <vt:variant>
        <vt:i4>7340092</vt:i4>
      </vt:variant>
      <vt:variant>
        <vt:i4>1518</vt:i4>
      </vt:variant>
      <vt:variant>
        <vt:i4>0</vt:i4>
      </vt:variant>
      <vt:variant>
        <vt:i4>5</vt:i4>
      </vt:variant>
      <vt:variant>
        <vt:lpwstr>https://www.itu.int/md/S24-CL-C-0006/en</vt:lpwstr>
      </vt:variant>
      <vt:variant>
        <vt:lpwstr/>
      </vt:variant>
      <vt:variant>
        <vt:i4>7405628</vt:i4>
      </vt:variant>
      <vt:variant>
        <vt:i4>1515</vt:i4>
      </vt:variant>
      <vt:variant>
        <vt:i4>0</vt:i4>
      </vt:variant>
      <vt:variant>
        <vt:i4>5</vt:i4>
      </vt:variant>
      <vt:variant>
        <vt:lpwstr>https://www.itu.int/md/S25-CL-C-0006/en</vt:lpwstr>
      </vt:variant>
      <vt:variant>
        <vt:lpwstr/>
      </vt:variant>
      <vt:variant>
        <vt:i4>4587594</vt:i4>
      </vt:variant>
      <vt:variant>
        <vt:i4>1512</vt:i4>
      </vt:variant>
      <vt:variant>
        <vt:i4>0</vt:i4>
      </vt:variant>
      <vt:variant>
        <vt:i4>5</vt:i4>
      </vt:variant>
      <vt:variant>
        <vt:lpwstr>http://www.itu.int/gender</vt:lpwstr>
      </vt:variant>
      <vt:variant>
        <vt:lpwstr/>
      </vt:variant>
      <vt:variant>
        <vt:i4>4063329</vt:i4>
      </vt:variant>
      <vt:variant>
        <vt:i4>1509</vt:i4>
      </vt:variant>
      <vt:variant>
        <vt:i4>0</vt:i4>
      </vt:variant>
      <vt:variant>
        <vt:i4>5</vt:i4>
      </vt:variant>
      <vt:variant>
        <vt:lpwstr>https://www.itu.int/initiatives/gender-equality/network-of-women/network-of-women-ministers-and-leaders-in-ict/</vt:lpwstr>
      </vt:variant>
      <vt:variant>
        <vt:lpwstr/>
      </vt:variant>
      <vt:variant>
        <vt:i4>4522015</vt:i4>
      </vt:variant>
      <vt:variant>
        <vt:i4>1506</vt:i4>
      </vt:variant>
      <vt:variant>
        <vt:i4>0</vt:i4>
      </vt:variant>
      <vt:variant>
        <vt:i4>5</vt:i4>
      </vt:variant>
      <vt:variant>
        <vt:lpwstr>https://www.unwomen.org/en/how-we-work/un-system-coordination/promoting-un-accountability</vt:lpwstr>
      </vt:variant>
      <vt:variant>
        <vt:lpwstr/>
      </vt:variant>
      <vt:variant>
        <vt:i4>3276908</vt:i4>
      </vt:variant>
      <vt:variant>
        <vt:i4>1503</vt:i4>
      </vt:variant>
      <vt:variant>
        <vt:i4>0</vt:i4>
      </vt:variant>
      <vt:variant>
        <vt:i4>5</vt:i4>
      </vt:variant>
      <vt:variant>
        <vt:lpwstr>https://www.itu.int/hub/2025/11/lets-end-digital-violence-against-women-and-girls/</vt:lpwstr>
      </vt:variant>
      <vt:variant>
        <vt:lpwstr/>
      </vt:variant>
      <vt:variant>
        <vt:i4>7209071</vt:i4>
      </vt:variant>
      <vt:variant>
        <vt:i4>1500</vt:i4>
      </vt:variant>
      <vt:variant>
        <vt:i4>0</vt:i4>
      </vt:variant>
      <vt:variant>
        <vt:i4>5</vt:i4>
      </vt:variant>
      <vt:variant>
        <vt:lpwstr>https://publicadministration.desa.un.org/wsis20</vt:lpwstr>
      </vt:variant>
      <vt:variant>
        <vt:lpwstr/>
      </vt:variant>
      <vt:variant>
        <vt:i4>3932194</vt:i4>
      </vt:variant>
      <vt:variant>
        <vt:i4>1497</vt:i4>
      </vt:variant>
      <vt:variant>
        <vt:i4>0</vt:i4>
      </vt:variant>
      <vt:variant>
        <vt:i4>5</vt:i4>
      </vt:variant>
      <vt:variant>
        <vt:lpwstr>https://wtisd.itu.int/2025/itu160-gender-champions/</vt:lpwstr>
      </vt:variant>
      <vt:variant>
        <vt:lpwstr/>
      </vt:variant>
      <vt:variant>
        <vt:i4>5963869</vt:i4>
      </vt:variant>
      <vt:variant>
        <vt:i4>1494</vt:i4>
      </vt:variant>
      <vt:variant>
        <vt:i4>0</vt:i4>
      </vt:variant>
      <vt:variant>
        <vt:i4>5</vt:i4>
      </vt:variant>
      <vt:variant>
        <vt:lpwstr>https://wtisd.itu.int/2025/about/2025-theme/</vt:lpwstr>
      </vt:variant>
      <vt:variant>
        <vt:lpwstr/>
      </vt:variant>
      <vt:variant>
        <vt:i4>4849728</vt:i4>
      </vt:variant>
      <vt:variant>
        <vt:i4>1491</vt:i4>
      </vt:variant>
      <vt:variant>
        <vt:i4>0</vt:i4>
      </vt:variant>
      <vt:variant>
        <vt:i4>5</vt:i4>
      </vt:variant>
      <vt:variant>
        <vt:lpwstr>https://www.itu.int/160/</vt:lpwstr>
      </vt:variant>
      <vt:variant>
        <vt:lpwstr/>
      </vt:variant>
      <vt:variant>
        <vt:i4>4980810</vt:i4>
      </vt:variant>
      <vt:variant>
        <vt:i4>1488</vt:i4>
      </vt:variant>
      <vt:variant>
        <vt:i4>0</vt:i4>
      </vt:variant>
      <vt:variant>
        <vt:i4>5</vt:i4>
      </vt:variant>
      <vt:variant>
        <vt:lpwstr>https://www.itu.int/hub/publication/d-hdb-gender-2023-01/</vt:lpwstr>
      </vt:variant>
      <vt:variant>
        <vt:lpwstr/>
      </vt:variant>
      <vt:variant>
        <vt:i4>4063329</vt:i4>
      </vt:variant>
      <vt:variant>
        <vt:i4>1485</vt:i4>
      </vt:variant>
      <vt:variant>
        <vt:i4>0</vt:i4>
      </vt:variant>
      <vt:variant>
        <vt:i4>5</vt:i4>
      </vt:variant>
      <vt:variant>
        <vt:lpwstr>https://www.itu.int/initiatives/gender-equality/network-of-women/network-of-women-ministers-and-leaders-in-ict/</vt:lpwstr>
      </vt:variant>
      <vt:variant>
        <vt:lpwstr/>
      </vt:variant>
      <vt:variant>
        <vt:i4>6750335</vt:i4>
      </vt:variant>
      <vt:variant>
        <vt:i4>1482</vt:i4>
      </vt:variant>
      <vt:variant>
        <vt:i4>0</vt:i4>
      </vt:variant>
      <vt:variant>
        <vt:i4>5</vt:i4>
      </vt:variant>
      <vt:variant>
        <vt:lpwstr>https://www.itu.int/now4wrc23/</vt:lpwstr>
      </vt:variant>
      <vt:variant>
        <vt:lpwstr/>
      </vt:variant>
      <vt:variant>
        <vt:i4>1114125</vt:i4>
      </vt:variant>
      <vt:variant>
        <vt:i4>1479</vt:i4>
      </vt:variant>
      <vt:variant>
        <vt:i4>0</vt:i4>
      </vt:variant>
      <vt:variant>
        <vt:i4>5</vt:i4>
      </vt:variant>
      <vt:variant>
        <vt:lpwstr>https://www.itu.int/wtsa/2024/now/about/</vt:lpwstr>
      </vt:variant>
      <vt:variant>
        <vt:lpwstr/>
      </vt:variant>
      <vt:variant>
        <vt:i4>1638426</vt:i4>
      </vt:variant>
      <vt:variant>
        <vt:i4>1476</vt:i4>
      </vt:variant>
      <vt:variant>
        <vt:i4>0</vt:i4>
      </vt:variant>
      <vt:variant>
        <vt:i4>5</vt:i4>
      </vt:variant>
      <vt:variant>
        <vt:lpwstr>https://academy.itu.int/training-courses/full-catalogue/super-women-series-enhance-your-presence-influence-and-impact</vt:lpwstr>
      </vt:variant>
      <vt:variant>
        <vt:lpwstr/>
      </vt:variant>
      <vt:variant>
        <vt:i4>6160400</vt:i4>
      </vt:variant>
      <vt:variant>
        <vt:i4>1473</vt:i4>
      </vt:variant>
      <vt:variant>
        <vt:i4>0</vt:i4>
      </vt:variant>
      <vt:variant>
        <vt:i4>5</vt:i4>
      </vt:variant>
      <vt:variant>
        <vt:lpwstr>https://www.itu.int/en/ITU-D/Digital-Inclusion/Women-and-Girls/NoW/Pages/default.aspx</vt:lpwstr>
      </vt:variant>
      <vt:variant>
        <vt:lpwstr/>
      </vt:variant>
      <vt:variant>
        <vt:i4>3801123</vt:i4>
      </vt:variant>
      <vt:variant>
        <vt:i4>1470</vt:i4>
      </vt:variant>
      <vt:variant>
        <vt:i4>0</vt:i4>
      </vt:variant>
      <vt:variant>
        <vt:i4>5</vt:i4>
      </vt:variant>
      <vt:variant>
        <vt:lpwstr>https://www.itu.int/en/ITU-T/NoW/Pages/default.aspx</vt:lpwstr>
      </vt:variant>
      <vt:variant>
        <vt:lpwstr/>
      </vt:variant>
      <vt:variant>
        <vt:i4>5570636</vt:i4>
      </vt:variant>
      <vt:variant>
        <vt:i4>1467</vt:i4>
      </vt:variant>
      <vt:variant>
        <vt:i4>0</vt:i4>
      </vt:variant>
      <vt:variant>
        <vt:i4>5</vt:i4>
      </vt:variant>
      <vt:variant>
        <vt:lpwstr>https://www.itu.int/now4wrc/</vt:lpwstr>
      </vt:variant>
      <vt:variant>
        <vt:lpwstr/>
      </vt:variant>
      <vt:variant>
        <vt:i4>78</vt:i4>
      </vt:variant>
      <vt:variant>
        <vt:i4>1464</vt:i4>
      </vt:variant>
      <vt:variant>
        <vt:i4>0</vt:i4>
      </vt:variant>
      <vt:variant>
        <vt:i4>5</vt:i4>
      </vt:variant>
      <vt:variant>
        <vt:lpwstr>https://www.itu.int/initiatives/gender-equality/network-of-women/</vt:lpwstr>
      </vt:variant>
      <vt:variant>
        <vt:lpwstr/>
      </vt:variant>
      <vt:variant>
        <vt:i4>4587543</vt:i4>
      </vt:variant>
      <vt:variant>
        <vt:i4>1461</vt:i4>
      </vt:variant>
      <vt:variant>
        <vt:i4>0</vt:i4>
      </vt:variant>
      <vt:variant>
        <vt:i4>5</vt:i4>
      </vt:variant>
      <vt:variant>
        <vt:lpwstr>https://www.itu.int/women-and-girls/girls-in-ict/</vt:lpwstr>
      </vt:variant>
      <vt:variant>
        <vt:lpwstr/>
      </vt:variant>
      <vt:variant>
        <vt:i4>1638431</vt:i4>
      </vt:variant>
      <vt:variant>
        <vt:i4>1458</vt:i4>
      </vt:variant>
      <vt:variant>
        <vt:i4>0</vt:i4>
      </vt:variant>
      <vt:variant>
        <vt:i4>5</vt:i4>
      </vt:variant>
      <vt:variant>
        <vt:lpwstr>https://www.itu.int/women-and-girls/women-in-ict/ai-skills-accelerator-for-girls/</vt:lpwstr>
      </vt:variant>
      <vt:variant>
        <vt:lpwstr/>
      </vt:variant>
      <vt:variant>
        <vt:i4>852041</vt:i4>
      </vt:variant>
      <vt:variant>
        <vt:i4>1455</vt:i4>
      </vt:variant>
      <vt:variant>
        <vt:i4>0</vt:i4>
      </vt:variant>
      <vt:variant>
        <vt:i4>5</vt:i4>
      </vt:variant>
      <vt:variant>
        <vt:lpwstr>https://www.equalsintech.org/_files/ugd/04bfff_cc8e6f166c2e41beabc88cbb3226f66f.pdf</vt:lpwstr>
      </vt:variant>
      <vt:variant>
        <vt:lpwstr/>
      </vt:variant>
      <vt:variant>
        <vt:i4>4980810</vt:i4>
      </vt:variant>
      <vt:variant>
        <vt:i4>1452</vt:i4>
      </vt:variant>
      <vt:variant>
        <vt:i4>0</vt:i4>
      </vt:variant>
      <vt:variant>
        <vt:i4>5</vt:i4>
      </vt:variant>
      <vt:variant>
        <vt:lpwstr>https://www.itu.int/hub/publication/d-hdb-gender-2023-01/</vt:lpwstr>
      </vt:variant>
      <vt:variant>
        <vt:lpwstr/>
      </vt:variant>
      <vt:variant>
        <vt:i4>4653124</vt:i4>
      </vt:variant>
      <vt:variant>
        <vt:i4>1449</vt:i4>
      </vt:variant>
      <vt:variant>
        <vt:i4>0</vt:i4>
      </vt:variant>
      <vt:variant>
        <vt:i4>5</vt:i4>
      </vt:variant>
      <vt:variant>
        <vt:lpwstr>https://academy.itu.int/training-courses/full-catalogue/gender-analysis-and-digital-inclusion-how-achieve-gender-equality-digital-sector</vt:lpwstr>
      </vt:variant>
      <vt:variant>
        <vt:lpwstr/>
      </vt:variant>
      <vt:variant>
        <vt:i4>4915272</vt:i4>
      </vt:variant>
      <vt:variant>
        <vt:i4>1446</vt:i4>
      </vt:variant>
      <vt:variant>
        <vt:i4>0</vt:i4>
      </vt:variant>
      <vt:variant>
        <vt:i4>5</vt:i4>
      </vt:variant>
      <vt:variant>
        <vt:lpwstr>https://www.equalsintech.org/post/evidence-to-impact-advancing-gender-empowerment-in-the-digital-age</vt:lpwstr>
      </vt:variant>
      <vt:variant>
        <vt:lpwstr/>
      </vt:variant>
      <vt:variant>
        <vt:i4>917535</vt:i4>
      </vt:variant>
      <vt:variant>
        <vt:i4>1443</vt:i4>
      </vt:variant>
      <vt:variant>
        <vt:i4>0</vt:i4>
      </vt:variant>
      <vt:variant>
        <vt:i4>5</vt:i4>
      </vt:variant>
      <vt:variant>
        <vt:lpwstr>https://www.itu.int/hub/2020/12/americas-girls-can-code-leveling-the-tech-playing-field-for-girls-and-women/</vt:lpwstr>
      </vt:variant>
      <vt:variant>
        <vt:lpwstr/>
      </vt:variant>
      <vt:variant>
        <vt:i4>5767260</vt:i4>
      </vt:variant>
      <vt:variant>
        <vt:i4>1440</vt:i4>
      </vt:variant>
      <vt:variant>
        <vt:i4>0</vt:i4>
      </vt:variant>
      <vt:variant>
        <vt:i4>5</vt:i4>
      </vt:variant>
      <vt:variant>
        <vt:lpwstr>https://www.itu.int/en/ITU-D/Regional-Presence/Africa/Pages/African-Girls-Can-Code-Initiative-(AGCCI)-II.aspx</vt:lpwstr>
      </vt:variant>
      <vt:variant>
        <vt:lpwstr/>
      </vt:variant>
      <vt:variant>
        <vt:i4>4521986</vt:i4>
      </vt:variant>
      <vt:variant>
        <vt:i4>1437</vt:i4>
      </vt:variant>
      <vt:variant>
        <vt:i4>0</vt:i4>
      </vt:variant>
      <vt:variant>
        <vt:i4>5</vt:i4>
      </vt:variant>
      <vt:variant>
        <vt:lpwstr>https://www.itu.int/en/ITU-D/Cybersecurity/Pages/Skills-Development/Her-CyberTracks.aspx</vt:lpwstr>
      </vt:variant>
      <vt:variant>
        <vt:lpwstr/>
      </vt:variant>
      <vt:variant>
        <vt:i4>1572929</vt:i4>
      </vt:variant>
      <vt:variant>
        <vt:i4>1434</vt:i4>
      </vt:variant>
      <vt:variant>
        <vt:i4>0</vt:i4>
      </vt:variant>
      <vt:variant>
        <vt:i4>5</vt:i4>
      </vt:variant>
      <vt:variant>
        <vt:lpwstr>https://www.equalsintech.org/her-digital-skills/</vt:lpwstr>
      </vt:variant>
      <vt:variant>
        <vt:lpwstr/>
      </vt:variant>
      <vt:variant>
        <vt:i4>1310825</vt:i4>
      </vt:variant>
      <vt:variant>
        <vt:i4>1431</vt:i4>
      </vt:variant>
      <vt:variant>
        <vt:i4>0</vt:i4>
      </vt:variant>
      <vt:variant>
        <vt:i4>5</vt:i4>
      </vt:variant>
      <vt:variant>
        <vt:lpwstr>https://www.youtube.com/playlist?list=PLdCp2BJdjaQAJmm_GD2T15HgepUAuENQ-</vt:lpwstr>
      </vt:variant>
      <vt:variant>
        <vt:lpwstr/>
      </vt:variant>
      <vt:variant>
        <vt:i4>786503</vt:i4>
      </vt:variant>
      <vt:variant>
        <vt:i4>1428</vt:i4>
      </vt:variant>
      <vt:variant>
        <vt:i4>0</vt:i4>
      </vt:variant>
      <vt:variant>
        <vt:i4>5</vt:i4>
      </vt:variant>
      <vt:variant>
        <vt:lpwstr>https://www.itu.int/en/ITU-D/Cybersecurity/Pages/Women-in-Cyber/Women-in-Cyber-Mentorship-Programme.aspx</vt:lpwstr>
      </vt:variant>
      <vt:variant>
        <vt:lpwstr/>
      </vt:variant>
      <vt:variant>
        <vt:i4>4194334</vt:i4>
      </vt:variant>
      <vt:variant>
        <vt:i4>1425</vt:i4>
      </vt:variant>
      <vt:variant>
        <vt:i4>0</vt:i4>
      </vt:variant>
      <vt:variant>
        <vt:i4>5</vt:i4>
      </vt:variant>
      <vt:variant>
        <vt:lpwstr>https://www.equalsintech.org/</vt:lpwstr>
      </vt:variant>
      <vt:variant>
        <vt:lpwstr/>
      </vt:variant>
      <vt:variant>
        <vt:i4>4587543</vt:i4>
      </vt:variant>
      <vt:variant>
        <vt:i4>1422</vt:i4>
      </vt:variant>
      <vt:variant>
        <vt:i4>0</vt:i4>
      </vt:variant>
      <vt:variant>
        <vt:i4>5</vt:i4>
      </vt:variant>
      <vt:variant>
        <vt:lpwstr>https://www.itu.int/women-and-girls/girls-in-ict/</vt:lpwstr>
      </vt:variant>
      <vt:variant>
        <vt:lpwstr/>
      </vt:variant>
      <vt:variant>
        <vt:i4>2162710</vt:i4>
      </vt:variant>
      <vt:variant>
        <vt:i4>1419</vt:i4>
      </vt:variant>
      <vt:variant>
        <vt:i4>0</vt:i4>
      </vt:variant>
      <vt:variant>
        <vt:i4>5</vt:i4>
      </vt:variant>
      <vt:variant>
        <vt:lpwstr/>
      </vt:variant>
      <vt:variant>
        <vt:lpwstr>Section_3_2_2</vt:lpwstr>
      </vt:variant>
      <vt:variant>
        <vt:i4>131074</vt:i4>
      </vt:variant>
      <vt:variant>
        <vt:i4>1416</vt:i4>
      </vt:variant>
      <vt:variant>
        <vt:i4>0</vt:i4>
      </vt:variant>
      <vt:variant>
        <vt:i4>5</vt:i4>
      </vt:variant>
      <vt:variant>
        <vt:lpwstr>https://www.itu.int/hub/publication/d-phcb-equal-03-2023</vt:lpwstr>
      </vt:variant>
      <vt:variant>
        <vt:lpwstr/>
      </vt:variant>
      <vt:variant>
        <vt:i4>131075</vt:i4>
      </vt:variant>
      <vt:variant>
        <vt:i4>1413</vt:i4>
      </vt:variant>
      <vt:variant>
        <vt:i4>0</vt:i4>
      </vt:variant>
      <vt:variant>
        <vt:i4>5</vt:i4>
      </vt:variant>
      <vt:variant>
        <vt:lpwstr>https://www.itu.int/hub/publication/d-phcb-equal-02-2023</vt:lpwstr>
      </vt:variant>
      <vt:variant>
        <vt:lpwstr/>
      </vt:variant>
      <vt:variant>
        <vt:i4>7209077</vt:i4>
      </vt:variant>
      <vt:variant>
        <vt:i4>1410</vt:i4>
      </vt:variant>
      <vt:variant>
        <vt:i4>0</vt:i4>
      </vt:variant>
      <vt:variant>
        <vt:i4>5</vt:i4>
      </vt:variant>
      <vt:variant>
        <vt:lpwstr>https://www.itu.int/en/ITU-D/Pages/regional-initiatives-2026-2029.aspx</vt:lpwstr>
      </vt:variant>
      <vt:variant>
        <vt:lpwstr/>
      </vt:variant>
      <vt:variant>
        <vt:i4>2555954</vt:i4>
      </vt:variant>
      <vt:variant>
        <vt:i4>1407</vt:i4>
      </vt:variant>
      <vt:variant>
        <vt:i4>0</vt:i4>
      </vt:variant>
      <vt:variant>
        <vt:i4>5</vt:i4>
      </vt:variant>
      <vt:variant>
        <vt:lpwstr>https://www.itu.int/itu-d/meetings/wtdc25/</vt:lpwstr>
      </vt:variant>
      <vt:variant>
        <vt:lpwstr/>
      </vt:variant>
      <vt:variant>
        <vt:i4>1704017</vt:i4>
      </vt:variant>
      <vt:variant>
        <vt:i4>1404</vt:i4>
      </vt:variant>
      <vt:variant>
        <vt:i4>0</vt:i4>
      </vt:variant>
      <vt:variant>
        <vt:i4>5</vt:i4>
      </vt:variant>
      <vt:variant>
        <vt:lpwstr>https://www.itu.int/md/S26-CL-INF-0010/en</vt:lpwstr>
      </vt:variant>
      <vt:variant>
        <vt:lpwstr/>
      </vt:variant>
      <vt:variant>
        <vt:i4>7536700</vt:i4>
      </vt:variant>
      <vt:variant>
        <vt:i4>1401</vt:i4>
      </vt:variant>
      <vt:variant>
        <vt:i4>0</vt:i4>
      </vt:variant>
      <vt:variant>
        <vt:i4>5</vt:i4>
      </vt:variant>
      <vt:variant>
        <vt:lpwstr>https://www.itu.int/md/S25-CL-C-0105/en</vt:lpwstr>
      </vt:variant>
      <vt:variant>
        <vt:lpwstr/>
      </vt:variant>
      <vt:variant>
        <vt:i4>2490470</vt:i4>
      </vt:variant>
      <vt:variant>
        <vt:i4>1398</vt:i4>
      </vt:variant>
      <vt:variant>
        <vt:i4>0</vt:i4>
      </vt:variant>
      <vt:variant>
        <vt:i4>5</vt:i4>
      </vt:variant>
      <vt:variant>
        <vt:lpwstr>https://www.itu.int/itu-d/sites/priorities/enablers-of-itu-d-priorities/regional-presence/</vt:lpwstr>
      </vt:variant>
      <vt:variant>
        <vt:lpwstr/>
      </vt:variant>
      <vt:variant>
        <vt:i4>6815790</vt:i4>
      </vt:variant>
      <vt:variant>
        <vt:i4>1395</vt:i4>
      </vt:variant>
      <vt:variant>
        <vt:i4>0</vt:i4>
      </vt:variant>
      <vt:variant>
        <vt:i4>5</vt:i4>
      </vt:variant>
      <vt:variant>
        <vt:lpwstr>https://www.itu.int/itu-d/sites/digital-impact-unlocked/building-digital-capacity-for-the-future-atc-programme-update/</vt:lpwstr>
      </vt:variant>
      <vt:variant>
        <vt:lpwstr/>
      </vt:variant>
      <vt:variant>
        <vt:i4>6946918</vt:i4>
      </vt:variant>
      <vt:variant>
        <vt:i4>1392</vt:i4>
      </vt:variant>
      <vt:variant>
        <vt:i4>0</vt:i4>
      </vt:variant>
      <vt:variant>
        <vt:i4>5</vt:i4>
      </vt:variant>
      <vt:variant>
        <vt:lpwstr>https://www.itu.int/en/ITU-D/ICT-Applications/Pages/digital-government.aspx</vt:lpwstr>
      </vt:variant>
      <vt:variant>
        <vt:lpwstr/>
      </vt:variant>
      <vt:variant>
        <vt:i4>4587543</vt:i4>
      </vt:variant>
      <vt:variant>
        <vt:i4>1389</vt:i4>
      </vt:variant>
      <vt:variant>
        <vt:i4>0</vt:i4>
      </vt:variant>
      <vt:variant>
        <vt:i4>5</vt:i4>
      </vt:variant>
      <vt:variant>
        <vt:lpwstr>https://www.itu.int/women-and-girls/girls-in-ict/</vt:lpwstr>
      </vt:variant>
      <vt:variant>
        <vt:lpwstr/>
      </vt:variant>
      <vt:variant>
        <vt:i4>6094931</vt:i4>
      </vt:variant>
      <vt:variant>
        <vt:i4>1386</vt:i4>
      </vt:variant>
      <vt:variant>
        <vt:i4>0</vt:i4>
      </vt:variant>
      <vt:variant>
        <vt:i4>5</vt:i4>
      </vt:variant>
      <vt:variant>
        <vt:lpwstr>https://www.itu.int/en/ITU-D/Cybersecurity/pages/cyberdrills.aspx</vt:lpwstr>
      </vt:variant>
      <vt:variant>
        <vt:lpwstr/>
      </vt:variant>
      <vt:variant>
        <vt:i4>131078</vt:i4>
      </vt:variant>
      <vt:variant>
        <vt:i4>1383</vt:i4>
      </vt:variant>
      <vt:variant>
        <vt:i4>0</vt:i4>
      </vt:variant>
      <vt:variant>
        <vt:i4>5</vt:i4>
      </vt:variant>
      <vt:variant>
        <vt:lpwstr>https://www.itu.int/md/S22-PP-C-0094</vt:lpwstr>
      </vt:variant>
      <vt:variant>
        <vt:lpwstr/>
      </vt:variant>
      <vt:variant>
        <vt:i4>2621540</vt:i4>
      </vt:variant>
      <vt:variant>
        <vt:i4>1380</vt:i4>
      </vt:variant>
      <vt:variant>
        <vt:i4>0</vt:i4>
      </vt:variant>
      <vt:variant>
        <vt:i4>5</vt:i4>
      </vt:variant>
      <vt:variant>
        <vt:lpwstr>https://www.itu.int/net4/ITU-D/CDS/sg/doc/rgq/2018/D18-SG01-RGQ05.1-en.pdf</vt:lpwstr>
      </vt:variant>
      <vt:variant>
        <vt:lpwstr/>
      </vt:variant>
      <vt:variant>
        <vt:i4>5439554</vt:i4>
      </vt:variant>
      <vt:variant>
        <vt:i4>1377</vt:i4>
      </vt:variant>
      <vt:variant>
        <vt:i4>0</vt:i4>
      </vt:variant>
      <vt:variant>
        <vt:i4>5</vt:i4>
      </vt:variant>
      <vt:variant>
        <vt:lpwstr>https://www.itu.int/en/events/Pages/Calendar-Events.aspx?sector=ITU-D%5c</vt:lpwstr>
      </vt:variant>
      <vt:variant>
        <vt:lpwstr/>
      </vt:variant>
      <vt:variant>
        <vt:i4>524312</vt:i4>
      </vt:variant>
      <vt:variant>
        <vt:i4>1374</vt:i4>
      </vt:variant>
      <vt:variant>
        <vt:i4>0</vt:i4>
      </vt:variant>
      <vt:variant>
        <vt:i4>5</vt:i4>
      </vt:variant>
      <vt:variant>
        <vt:lpwstr>https://aiforgood.itu.int/ai-events-calendar/</vt:lpwstr>
      </vt:variant>
      <vt:variant>
        <vt:lpwstr/>
      </vt:variant>
      <vt:variant>
        <vt:i4>6553632</vt:i4>
      </vt:variant>
      <vt:variant>
        <vt:i4>1371</vt:i4>
      </vt:variant>
      <vt:variant>
        <vt:i4>0</vt:i4>
      </vt:variant>
      <vt:variant>
        <vt:i4>5</vt:i4>
      </vt:variant>
      <vt:variant>
        <vt:lpwstr>https://www.itu.int/en/ITU-T/Workshops-and-Seminars/2025/Pages/default.aspx</vt:lpwstr>
      </vt:variant>
      <vt:variant>
        <vt:lpwstr/>
      </vt:variant>
      <vt:variant>
        <vt:i4>6619168</vt:i4>
      </vt:variant>
      <vt:variant>
        <vt:i4>1368</vt:i4>
      </vt:variant>
      <vt:variant>
        <vt:i4>0</vt:i4>
      </vt:variant>
      <vt:variant>
        <vt:i4>5</vt:i4>
      </vt:variant>
      <vt:variant>
        <vt:lpwstr>https://www.itu.int/en/ITU-T/Workshops-and-Seminars/2024/Pages/default.aspx</vt:lpwstr>
      </vt:variant>
      <vt:variant>
        <vt:lpwstr/>
      </vt:variant>
      <vt:variant>
        <vt:i4>6422560</vt:i4>
      </vt:variant>
      <vt:variant>
        <vt:i4>1365</vt:i4>
      </vt:variant>
      <vt:variant>
        <vt:i4>0</vt:i4>
      </vt:variant>
      <vt:variant>
        <vt:i4>5</vt:i4>
      </vt:variant>
      <vt:variant>
        <vt:lpwstr>https://www.itu.int/en/ITU-T/Workshops-and-Seminars/2023/Pages/default.aspx</vt:lpwstr>
      </vt:variant>
      <vt:variant>
        <vt:lpwstr/>
      </vt:variant>
      <vt:variant>
        <vt:i4>6488096</vt:i4>
      </vt:variant>
      <vt:variant>
        <vt:i4>1362</vt:i4>
      </vt:variant>
      <vt:variant>
        <vt:i4>0</vt:i4>
      </vt:variant>
      <vt:variant>
        <vt:i4>5</vt:i4>
      </vt:variant>
      <vt:variant>
        <vt:lpwstr>https://www.itu.int/en/ITU-T/Workshops-and-Seminars/2022/Pages/default.aspx</vt:lpwstr>
      </vt:variant>
      <vt:variant>
        <vt:lpwstr/>
      </vt:variant>
      <vt:variant>
        <vt:i4>6160460</vt:i4>
      </vt:variant>
      <vt:variant>
        <vt:i4>1359</vt:i4>
      </vt:variant>
      <vt:variant>
        <vt:i4>0</vt:i4>
      </vt:variant>
      <vt:variant>
        <vt:i4>5</vt:i4>
      </vt:variant>
      <vt:variant>
        <vt:lpwstr>https://www.itu.int/en/ITU-T/Workshops-and-Seminars/2022/0125/Pages/default.aspx</vt:lpwstr>
      </vt:variant>
      <vt:variant>
        <vt:lpwstr/>
      </vt:variant>
      <vt:variant>
        <vt:i4>7405671</vt:i4>
      </vt:variant>
      <vt:variant>
        <vt:i4>1356</vt:i4>
      </vt:variant>
      <vt:variant>
        <vt:i4>0</vt:i4>
      </vt:variant>
      <vt:variant>
        <vt:i4>5</vt:i4>
      </vt:variant>
      <vt:variant>
        <vt:lpwstr>https://www.itu.int/en/ITU-T/Workshops-and-Seminars/pages/default.aspx</vt:lpwstr>
      </vt:variant>
      <vt:variant>
        <vt:lpwstr/>
      </vt:variant>
      <vt:variant>
        <vt:i4>983061</vt:i4>
      </vt:variant>
      <vt:variant>
        <vt:i4>1353</vt:i4>
      </vt:variant>
      <vt:variant>
        <vt:i4>0</vt:i4>
      </vt:variant>
      <vt:variant>
        <vt:i4>5</vt:i4>
      </vt:variant>
      <vt:variant>
        <vt:lpwstr>https://www.itu.int/en/ITU-R/study-groups/rsg7/rwp7d/Pages/seminar-radio-astronomy-2024.aspx</vt:lpwstr>
      </vt:variant>
      <vt:variant>
        <vt:lpwstr/>
      </vt:variant>
      <vt:variant>
        <vt:i4>3473457</vt:i4>
      </vt:variant>
      <vt:variant>
        <vt:i4>1350</vt:i4>
      </vt:variant>
      <vt:variant>
        <vt:i4>0</vt:i4>
      </vt:variant>
      <vt:variant>
        <vt:i4>5</vt:i4>
      </vt:variant>
      <vt:variant>
        <vt:lpwstr>https://www.itu.int/Global-ITU-WMO/</vt:lpwstr>
      </vt:variant>
      <vt:variant>
        <vt:lpwstr/>
      </vt:variant>
      <vt:variant>
        <vt:i4>3801128</vt:i4>
      </vt:variant>
      <vt:variant>
        <vt:i4>1347</vt:i4>
      </vt:variant>
      <vt:variant>
        <vt:i4>0</vt:i4>
      </vt:variant>
      <vt:variant>
        <vt:i4>5</vt:i4>
      </vt:variant>
      <vt:variant>
        <vt:lpwstr>https://www.itu.int/en/ITU-D/Regional-Presence/Africa/Pages/EVENTS/2024/SADC-NETP-EW4All-Workshop.aspx</vt:lpwstr>
      </vt:variant>
      <vt:variant>
        <vt:lpwstr/>
      </vt:variant>
      <vt:variant>
        <vt:i4>1900634</vt:i4>
      </vt:variant>
      <vt:variant>
        <vt:i4>1344</vt:i4>
      </vt:variant>
      <vt:variant>
        <vt:i4>0</vt:i4>
      </vt:variant>
      <vt:variant>
        <vt:i4>5</vt:i4>
      </vt:variant>
      <vt:variant>
        <vt:lpwstr>https://www.itu.int/en/ITU-R/seminars/ntfa/Pages/default.aspx</vt:lpwstr>
      </vt:variant>
      <vt:variant>
        <vt:lpwstr/>
      </vt:variant>
      <vt:variant>
        <vt:i4>4063343</vt:i4>
      </vt:variant>
      <vt:variant>
        <vt:i4>1341</vt:i4>
      </vt:variant>
      <vt:variant>
        <vt:i4>0</vt:i4>
      </vt:variant>
      <vt:variant>
        <vt:i4>5</vt:i4>
      </vt:variant>
      <vt:variant>
        <vt:lpwstr>https://www.itu.int/en/ITU-R/seminars/Fixed-Wireless-Service/Pages/default.aspx</vt:lpwstr>
      </vt:variant>
      <vt:variant>
        <vt:lpwstr/>
      </vt:variant>
      <vt:variant>
        <vt:i4>7929979</vt:i4>
      </vt:variant>
      <vt:variant>
        <vt:i4>1338</vt:i4>
      </vt:variant>
      <vt:variant>
        <vt:i4>0</vt:i4>
      </vt:variant>
      <vt:variant>
        <vt:i4>5</vt:i4>
      </vt:variant>
      <vt:variant>
        <vt:lpwstr>https://www.itu.int/en/ITU-R/seminars/Future-of-tv-europe/Documents/Demos on Future of Broadcasting.pdf</vt:lpwstr>
      </vt:variant>
      <vt:variant>
        <vt:lpwstr/>
      </vt:variant>
      <vt:variant>
        <vt:i4>65560</vt:i4>
      </vt:variant>
      <vt:variant>
        <vt:i4>1335</vt:i4>
      </vt:variant>
      <vt:variant>
        <vt:i4>0</vt:i4>
      </vt:variant>
      <vt:variant>
        <vt:i4>5</vt:i4>
      </vt:variant>
      <vt:variant>
        <vt:lpwstr>https://www.itu.int/en/ITU-R/seminars/Future-of-tv-europe/Pages/default.aspx</vt:lpwstr>
      </vt:variant>
      <vt:variant>
        <vt:lpwstr/>
      </vt:variant>
      <vt:variant>
        <vt:i4>3670055</vt:i4>
      </vt:variant>
      <vt:variant>
        <vt:i4>1332</vt:i4>
      </vt:variant>
      <vt:variant>
        <vt:i4>0</vt:i4>
      </vt:variant>
      <vt:variant>
        <vt:i4>5</vt:i4>
      </vt:variant>
      <vt:variant>
        <vt:lpwstr>https://www.itu.int/en/ITU-R/study-groups/workshops/sg6-itu-ebu-btc-2023/Pages/default.aspx</vt:lpwstr>
      </vt:variant>
      <vt:variant>
        <vt:lpwstr/>
      </vt:variant>
      <vt:variant>
        <vt:i4>2228284</vt:i4>
      </vt:variant>
      <vt:variant>
        <vt:i4>1329</vt:i4>
      </vt:variant>
      <vt:variant>
        <vt:i4>0</vt:i4>
      </vt:variant>
      <vt:variant>
        <vt:i4>5</vt:i4>
      </vt:variant>
      <vt:variant>
        <vt:lpwstr>https://www.itu.int/en/ITU-R/study-groups/rsg4/Pages/Workshop-ITU-in-Service-of-Space.aspx</vt:lpwstr>
      </vt:variant>
      <vt:variant>
        <vt:lpwstr/>
      </vt:variant>
      <vt:variant>
        <vt:i4>6422571</vt:i4>
      </vt:variant>
      <vt:variant>
        <vt:i4>1326</vt:i4>
      </vt:variant>
      <vt:variant>
        <vt:i4>0</vt:i4>
      </vt:variant>
      <vt:variant>
        <vt:i4>5</vt:i4>
      </vt:variant>
      <vt:variant>
        <vt:lpwstr>https://www.itu.int/en/ITU-R/conferences/wrc/2023/irwsp/Pages/2023.aspx</vt:lpwstr>
      </vt:variant>
      <vt:variant>
        <vt:lpwstr/>
      </vt:variant>
      <vt:variant>
        <vt:i4>3670135</vt:i4>
      </vt:variant>
      <vt:variant>
        <vt:i4>1323</vt:i4>
      </vt:variant>
      <vt:variant>
        <vt:i4>0</vt:i4>
      </vt:variant>
      <vt:variant>
        <vt:i4>5</vt:i4>
      </vt:variant>
      <vt:variant>
        <vt:lpwstr>https://www.itu.int/wrs-24/</vt:lpwstr>
      </vt:variant>
      <vt:variant>
        <vt:lpwstr/>
      </vt:variant>
      <vt:variant>
        <vt:i4>3014692</vt:i4>
      </vt:variant>
      <vt:variant>
        <vt:i4>1320</vt:i4>
      </vt:variant>
      <vt:variant>
        <vt:i4>0</vt:i4>
      </vt:variant>
      <vt:variant>
        <vt:i4>5</vt:i4>
      </vt:variant>
      <vt:variant>
        <vt:lpwstr>https://www.itu.int/en/ITU-R/seminars/rrs/rrs-24-cis/Pages/default.aspx</vt:lpwstr>
      </vt:variant>
      <vt:variant>
        <vt:lpwstr/>
      </vt:variant>
      <vt:variant>
        <vt:i4>7733348</vt:i4>
      </vt:variant>
      <vt:variant>
        <vt:i4>1317</vt:i4>
      </vt:variant>
      <vt:variant>
        <vt:i4>0</vt:i4>
      </vt:variant>
      <vt:variant>
        <vt:i4>5</vt:i4>
      </vt:variant>
      <vt:variant>
        <vt:lpwstr>https://www.itu.int/en/ITU-R/seminars/rrs/RRS-23-Africa/Pages/default.aspx</vt:lpwstr>
      </vt:variant>
      <vt:variant>
        <vt:lpwstr/>
      </vt:variant>
      <vt:variant>
        <vt:i4>655365</vt:i4>
      </vt:variant>
      <vt:variant>
        <vt:i4>1314</vt:i4>
      </vt:variant>
      <vt:variant>
        <vt:i4>0</vt:i4>
      </vt:variant>
      <vt:variant>
        <vt:i4>5</vt:i4>
      </vt:variant>
      <vt:variant>
        <vt:lpwstr>https://www.itu.int/en/ITU-R/seminars/rrs/RRS-23-Americas/Pages/default.aspx</vt:lpwstr>
      </vt:variant>
      <vt:variant>
        <vt:lpwstr/>
      </vt:variant>
      <vt:variant>
        <vt:i4>4390926</vt:i4>
      </vt:variant>
      <vt:variant>
        <vt:i4>1311</vt:i4>
      </vt:variant>
      <vt:variant>
        <vt:i4>0</vt:i4>
      </vt:variant>
      <vt:variant>
        <vt:i4>5</vt:i4>
      </vt:variant>
      <vt:variant>
        <vt:lpwstr>https://www.itu.int/en/ITU-R/seminars/rrs/RRS-22-Asia-Pacific/Pages/default.aspx</vt:lpwstr>
      </vt:variant>
      <vt:variant>
        <vt:lpwstr/>
      </vt:variant>
      <vt:variant>
        <vt:i4>6422639</vt:i4>
      </vt:variant>
      <vt:variant>
        <vt:i4>1308</vt:i4>
      </vt:variant>
      <vt:variant>
        <vt:i4>0</vt:i4>
      </vt:variant>
      <vt:variant>
        <vt:i4>5</vt:i4>
      </vt:variant>
      <vt:variant>
        <vt:lpwstr>https://www.itu.int/en/ITU-R/seminars/rrs/rrs-22-ee/Pages/default.aspx</vt:lpwstr>
      </vt:variant>
      <vt:variant>
        <vt:lpwstr/>
      </vt:variant>
      <vt:variant>
        <vt:i4>6815785</vt:i4>
      </vt:variant>
      <vt:variant>
        <vt:i4>1305</vt:i4>
      </vt:variant>
      <vt:variant>
        <vt:i4>0</vt:i4>
      </vt:variant>
      <vt:variant>
        <vt:i4>5</vt:i4>
      </vt:variant>
      <vt:variant>
        <vt:lpwstr>https://www.itu.int/en/ITU-R/seminars/rrs/2022-Arab/Pages/default.aspx</vt:lpwstr>
      </vt:variant>
      <vt:variant>
        <vt:lpwstr/>
      </vt:variant>
      <vt:variant>
        <vt:i4>1572885</vt:i4>
      </vt:variant>
      <vt:variant>
        <vt:i4>1302</vt:i4>
      </vt:variant>
      <vt:variant>
        <vt:i4>0</vt:i4>
      </vt:variant>
      <vt:variant>
        <vt:i4>5</vt:i4>
      </vt:variant>
      <vt:variant>
        <vt:lpwstr>https://www.itu.int/en/ITU-R/seminars/Pages/default.aspx</vt:lpwstr>
      </vt:variant>
      <vt:variant>
        <vt:lpwstr/>
      </vt:variant>
      <vt:variant>
        <vt:i4>4063351</vt:i4>
      </vt:variant>
      <vt:variant>
        <vt:i4>1299</vt:i4>
      </vt:variant>
      <vt:variant>
        <vt:i4>0</vt:i4>
      </vt:variant>
      <vt:variant>
        <vt:i4>5</vt:i4>
      </vt:variant>
      <vt:variant>
        <vt:lpwstr>https://www.itu.int/wrs-22/</vt:lpwstr>
      </vt:variant>
      <vt:variant>
        <vt:lpwstr/>
      </vt:variant>
      <vt:variant>
        <vt:i4>7340154</vt:i4>
      </vt:variant>
      <vt:variant>
        <vt:i4>1296</vt:i4>
      </vt:variant>
      <vt:variant>
        <vt:i4>0</vt:i4>
      </vt:variant>
      <vt:variant>
        <vt:i4>5</vt:i4>
      </vt:variant>
      <vt:variant>
        <vt:lpwstr>https://aiforgood.itu.int/summit26/</vt:lpwstr>
      </vt:variant>
      <vt:variant>
        <vt:lpwstr/>
      </vt:variant>
      <vt:variant>
        <vt:i4>2490427</vt:i4>
      </vt:variant>
      <vt:variant>
        <vt:i4>1293</vt:i4>
      </vt:variant>
      <vt:variant>
        <vt:i4>0</vt:i4>
      </vt:variant>
      <vt:variant>
        <vt:i4>5</vt:i4>
      </vt:variant>
      <vt:variant>
        <vt:lpwstr>https://www.itu.int/en/ITU-T/academia/kaleidoscope/2026/Pages/default.aspx</vt:lpwstr>
      </vt:variant>
      <vt:variant>
        <vt:lpwstr/>
      </vt:variant>
      <vt:variant>
        <vt:i4>2490425</vt:i4>
      </vt:variant>
      <vt:variant>
        <vt:i4>1290</vt:i4>
      </vt:variant>
      <vt:variant>
        <vt:i4>0</vt:i4>
      </vt:variant>
      <vt:variant>
        <vt:i4>5</vt:i4>
      </vt:variant>
      <vt:variant>
        <vt:lpwstr>https://www.itu.int/en/ITU-T/academia/kaleidoscope/2024/Pages/default.aspx</vt:lpwstr>
      </vt:variant>
      <vt:variant>
        <vt:lpwstr/>
      </vt:variant>
      <vt:variant>
        <vt:i4>2490431</vt:i4>
      </vt:variant>
      <vt:variant>
        <vt:i4>1287</vt:i4>
      </vt:variant>
      <vt:variant>
        <vt:i4>0</vt:i4>
      </vt:variant>
      <vt:variant>
        <vt:i4>5</vt:i4>
      </vt:variant>
      <vt:variant>
        <vt:lpwstr>https://www.itu.int/en/ITU-T/academia/kaleidoscope/2022/Pages/default.aspx</vt:lpwstr>
      </vt:variant>
      <vt:variant>
        <vt:lpwstr/>
      </vt:variant>
      <vt:variant>
        <vt:i4>1638485</vt:i4>
      </vt:variant>
      <vt:variant>
        <vt:i4>1284</vt:i4>
      </vt:variant>
      <vt:variant>
        <vt:i4>0</vt:i4>
      </vt:variant>
      <vt:variant>
        <vt:i4>5</vt:i4>
      </vt:variant>
      <vt:variant>
        <vt:lpwstr>https://www.itu.int/en/ITU-T/academia/kaleidoscope/Pages/default.aspx</vt:lpwstr>
      </vt:variant>
      <vt:variant>
        <vt:lpwstr/>
      </vt:variant>
      <vt:variant>
        <vt:i4>1572951</vt:i4>
      </vt:variant>
      <vt:variant>
        <vt:i4>1281</vt:i4>
      </vt:variant>
      <vt:variant>
        <vt:i4>0</vt:i4>
      </vt:variant>
      <vt:variant>
        <vt:i4>5</vt:i4>
      </vt:variant>
      <vt:variant>
        <vt:lpwstr>https://www.itu.int/en/journal/j-fet/webinars/Pages/default.aspx</vt:lpwstr>
      </vt:variant>
      <vt:variant>
        <vt:lpwstr/>
      </vt:variant>
      <vt:variant>
        <vt:i4>1572951</vt:i4>
      </vt:variant>
      <vt:variant>
        <vt:i4>1278</vt:i4>
      </vt:variant>
      <vt:variant>
        <vt:i4>0</vt:i4>
      </vt:variant>
      <vt:variant>
        <vt:i4>5</vt:i4>
      </vt:variant>
      <vt:variant>
        <vt:lpwstr>https://www.itu.int/en/journal/j-fet/webinars/Pages/default.aspx</vt:lpwstr>
      </vt:variant>
      <vt:variant>
        <vt:lpwstr/>
      </vt:variant>
      <vt:variant>
        <vt:i4>3014689</vt:i4>
      </vt:variant>
      <vt:variant>
        <vt:i4>1275</vt:i4>
      </vt:variant>
      <vt:variant>
        <vt:i4>0</vt:i4>
      </vt:variant>
      <vt:variant>
        <vt:i4>5</vt:i4>
      </vt:variant>
      <vt:variant>
        <vt:lpwstr>https://www.itu.int/en/journal/j-fet/Pages/default.aspx</vt:lpwstr>
      </vt:variant>
      <vt:variant>
        <vt:lpwstr/>
      </vt:variant>
      <vt:variant>
        <vt:i4>2</vt:i4>
      </vt:variant>
      <vt:variant>
        <vt:i4>1272</vt:i4>
      </vt:variant>
      <vt:variant>
        <vt:i4>0</vt:i4>
      </vt:variant>
      <vt:variant>
        <vt:i4>5</vt:i4>
      </vt:variant>
      <vt:variant>
        <vt:lpwstr>https://www.itu.int/hub/2025/09/new-itu-academic-collaboration-on-technology-trends/</vt:lpwstr>
      </vt:variant>
      <vt:variant>
        <vt:lpwstr/>
      </vt:variant>
      <vt:variant>
        <vt:i4>2</vt:i4>
      </vt:variant>
      <vt:variant>
        <vt:i4>1269</vt:i4>
      </vt:variant>
      <vt:variant>
        <vt:i4>0</vt:i4>
      </vt:variant>
      <vt:variant>
        <vt:i4>5</vt:i4>
      </vt:variant>
      <vt:variant>
        <vt:lpwstr>https://www.itu.int/hub/2025/09/new-itu-academic-collaboration-on-technology-trends/</vt:lpwstr>
      </vt:variant>
      <vt:variant>
        <vt:lpwstr/>
      </vt:variant>
      <vt:variant>
        <vt:i4>1638485</vt:i4>
      </vt:variant>
      <vt:variant>
        <vt:i4>1266</vt:i4>
      </vt:variant>
      <vt:variant>
        <vt:i4>0</vt:i4>
      </vt:variant>
      <vt:variant>
        <vt:i4>5</vt:i4>
      </vt:variant>
      <vt:variant>
        <vt:lpwstr>https://www.itu.int/en/ITU-T/academia/kaleidoscope/Pages/default.aspx</vt:lpwstr>
      </vt:variant>
      <vt:variant>
        <vt:lpwstr/>
      </vt:variant>
      <vt:variant>
        <vt:i4>3014689</vt:i4>
      </vt:variant>
      <vt:variant>
        <vt:i4>1263</vt:i4>
      </vt:variant>
      <vt:variant>
        <vt:i4>0</vt:i4>
      </vt:variant>
      <vt:variant>
        <vt:i4>5</vt:i4>
      </vt:variant>
      <vt:variant>
        <vt:lpwstr>https://www.itu.int/en/journal/j-fet/Pages/default.aspx</vt:lpwstr>
      </vt:variant>
      <vt:variant>
        <vt:lpwstr/>
      </vt:variant>
      <vt:variant>
        <vt:i4>6553652</vt:i4>
      </vt:variant>
      <vt:variant>
        <vt:i4>1260</vt:i4>
      </vt:variant>
      <vt:variant>
        <vt:i4>0</vt:i4>
      </vt:variant>
      <vt:variant>
        <vt:i4>5</vt:i4>
      </vt:variant>
      <vt:variant>
        <vt:lpwstr>https://www.itu.int/hub/membership/</vt:lpwstr>
      </vt:variant>
      <vt:variant>
        <vt:lpwstr/>
      </vt:variant>
      <vt:variant>
        <vt:i4>3276922</vt:i4>
      </vt:variant>
      <vt:variant>
        <vt:i4>1257</vt:i4>
      </vt:variant>
      <vt:variant>
        <vt:i4>0</vt:i4>
      </vt:variant>
      <vt:variant>
        <vt:i4>5</vt:i4>
      </vt:variant>
      <vt:variant>
        <vt:lpwstr>https://www.itu.int/net/epub/BDT/2025-GSR-25-Best-Practice-Guidelines/index.html</vt:lpwstr>
      </vt:variant>
      <vt:variant>
        <vt:lpwstr>p=1</vt:lpwstr>
      </vt:variant>
      <vt:variant>
        <vt:i4>5505144</vt:i4>
      </vt:variant>
      <vt:variant>
        <vt:i4>1254</vt:i4>
      </vt:variant>
      <vt:variant>
        <vt:i4>0</vt:i4>
      </vt:variant>
      <vt:variant>
        <vt:i4>5</vt:i4>
      </vt:variant>
      <vt:variant>
        <vt:lpwstr>https://www.itu.int/itu-d/meetings/gsr-24/wp-content/uploads/sites/24/2024/08/GSR-2024_BestPracticeGuidelines.pdf</vt:lpwstr>
      </vt:variant>
      <vt:variant>
        <vt:lpwstr/>
      </vt:variant>
      <vt:variant>
        <vt:i4>6553668</vt:i4>
      </vt:variant>
      <vt:variant>
        <vt:i4>1251</vt:i4>
      </vt:variant>
      <vt:variant>
        <vt:i4>0</vt:i4>
      </vt:variant>
      <vt:variant>
        <vt:i4>5</vt:i4>
      </vt:variant>
      <vt:variant>
        <vt:lpwstr>https://www.itu.int/en/ITU-D/Regulatory-Market/Documents/GSR23/GSR-23_Best Practice Guidelines-E.pdf</vt:lpwstr>
      </vt:variant>
      <vt:variant>
        <vt:lpwstr/>
      </vt:variant>
      <vt:variant>
        <vt:i4>7864373</vt:i4>
      </vt:variant>
      <vt:variant>
        <vt:i4>1248</vt:i4>
      </vt:variant>
      <vt:variant>
        <vt:i4>0</vt:i4>
      </vt:variant>
      <vt:variant>
        <vt:i4>5</vt:i4>
      </vt:variant>
      <vt:variant>
        <vt:lpwstr>https://www.itu.int/en/ITU-D/Regulatory-Market/Pages/bestpractices.aspx</vt:lpwstr>
      </vt:variant>
      <vt:variant>
        <vt:lpwstr/>
      </vt:variant>
      <vt:variant>
        <vt:i4>2949243</vt:i4>
      </vt:variant>
      <vt:variant>
        <vt:i4>1245</vt:i4>
      </vt:variant>
      <vt:variant>
        <vt:i4>0</vt:i4>
      </vt:variant>
      <vt:variant>
        <vt:i4>5</vt:i4>
      </vt:variant>
      <vt:variant>
        <vt:lpwstr>https://www.itu.int/en/ITU-D/Conferences/GSR/Pages/GSR.aspx</vt:lpwstr>
      </vt:variant>
      <vt:variant>
        <vt:lpwstr/>
      </vt:variant>
      <vt:variant>
        <vt:i4>4128806</vt:i4>
      </vt:variant>
      <vt:variant>
        <vt:i4>1242</vt:i4>
      </vt:variant>
      <vt:variant>
        <vt:i4>0</vt:i4>
      </vt:variant>
      <vt:variant>
        <vt:i4>5</vt:i4>
      </vt:variant>
      <vt:variant>
        <vt:lpwstr>https://www.itu.int/net/epub/TSB/2024-GSS-Conclusions/index.html</vt:lpwstr>
      </vt:variant>
      <vt:variant>
        <vt:lpwstr>p=1</vt:lpwstr>
      </vt:variant>
      <vt:variant>
        <vt:i4>4063328</vt:i4>
      </vt:variant>
      <vt:variant>
        <vt:i4>1239</vt:i4>
      </vt:variant>
      <vt:variant>
        <vt:i4>0</vt:i4>
      </vt:variant>
      <vt:variant>
        <vt:i4>5</vt:i4>
      </vt:variant>
      <vt:variant>
        <vt:lpwstr>http://gss.itu.int/</vt:lpwstr>
      </vt:variant>
      <vt:variant>
        <vt:lpwstr/>
      </vt:variant>
      <vt:variant>
        <vt:i4>3801202</vt:i4>
      </vt:variant>
      <vt:variant>
        <vt:i4>1236</vt:i4>
      </vt:variant>
      <vt:variant>
        <vt:i4>0</vt:i4>
      </vt:variant>
      <vt:variant>
        <vt:i4>5</vt:i4>
      </vt:variant>
      <vt:variant>
        <vt:lpwstr>https://aiforgood.itu.int/event/impact-africa/</vt:lpwstr>
      </vt:variant>
      <vt:variant>
        <vt:lpwstr/>
      </vt:variant>
      <vt:variant>
        <vt:i4>1441823</vt:i4>
      </vt:variant>
      <vt:variant>
        <vt:i4>1233</vt:i4>
      </vt:variant>
      <vt:variant>
        <vt:i4>0</vt:i4>
      </vt:variant>
      <vt:variant>
        <vt:i4>5</vt:i4>
      </vt:variant>
      <vt:variant>
        <vt:lpwstr>https://aiforgood.itu.int/impact-initiative/</vt:lpwstr>
      </vt:variant>
      <vt:variant>
        <vt:lpwstr/>
      </vt:variant>
      <vt:variant>
        <vt:i4>3080299</vt:i4>
      </vt:variant>
      <vt:variant>
        <vt:i4>1230</vt:i4>
      </vt:variant>
      <vt:variant>
        <vt:i4>0</vt:i4>
      </vt:variant>
      <vt:variant>
        <vt:i4>5</vt:i4>
      </vt:variant>
      <vt:variant>
        <vt:lpwstr>https://aiforgood.itu.int/ai-skills-coalition/</vt:lpwstr>
      </vt:variant>
      <vt:variant>
        <vt:lpwstr/>
      </vt:variant>
      <vt:variant>
        <vt:i4>7471226</vt:i4>
      </vt:variant>
      <vt:variant>
        <vt:i4>1227</vt:i4>
      </vt:variant>
      <vt:variant>
        <vt:i4>0</vt:i4>
      </vt:variant>
      <vt:variant>
        <vt:i4>5</vt:i4>
      </vt:variant>
      <vt:variant>
        <vt:lpwstr>https://aiforgood.itu.int/summit24/</vt:lpwstr>
      </vt:variant>
      <vt:variant>
        <vt:lpwstr/>
      </vt:variant>
      <vt:variant>
        <vt:i4>7667834</vt:i4>
      </vt:variant>
      <vt:variant>
        <vt:i4>1224</vt:i4>
      </vt:variant>
      <vt:variant>
        <vt:i4>0</vt:i4>
      </vt:variant>
      <vt:variant>
        <vt:i4>5</vt:i4>
      </vt:variant>
      <vt:variant>
        <vt:lpwstr>https://aiforgood.itu.int/summit23/</vt:lpwstr>
      </vt:variant>
      <vt:variant>
        <vt:lpwstr/>
      </vt:variant>
      <vt:variant>
        <vt:i4>2752575</vt:i4>
      </vt:variant>
      <vt:variant>
        <vt:i4>1221</vt:i4>
      </vt:variant>
      <vt:variant>
        <vt:i4>0</vt:i4>
      </vt:variant>
      <vt:variant>
        <vt:i4>5</vt:i4>
      </vt:variant>
      <vt:variant>
        <vt:lpwstr>https://aiforgood.itu.int/</vt:lpwstr>
      </vt:variant>
      <vt:variant>
        <vt:lpwstr/>
      </vt:variant>
      <vt:variant>
        <vt:i4>5177352</vt:i4>
      </vt:variant>
      <vt:variant>
        <vt:i4>1218</vt:i4>
      </vt:variant>
      <vt:variant>
        <vt:i4>0</vt:i4>
      </vt:variant>
      <vt:variant>
        <vt:i4>5</vt:i4>
      </vt:variant>
      <vt:variant>
        <vt:lpwstr>https://aiforgood.itu.int/neural-network/</vt:lpwstr>
      </vt:variant>
      <vt:variant>
        <vt:lpwstr/>
      </vt:variant>
      <vt:variant>
        <vt:i4>524312</vt:i4>
      </vt:variant>
      <vt:variant>
        <vt:i4>1215</vt:i4>
      </vt:variant>
      <vt:variant>
        <vt:i4>0</vt:i4>
      </vt:variant>
      <vt:variant>
        <vt:i4>5</vt:i4>
      </vt:variant>
      <vt:variant>
        <vt:lpwstr>https://aiforgood.itu.int/ai-events-calendar/</vt:lpwstr>
      </vt:variant>
      <vt:variant>
        <vt:lpwstr/>
      </vt:variant>
      <vt:variant>
        <vt:i4>2752575</vt:i4>
      </vt:variant>
      <vt:variant>
        <vt:i4>1212</vt:i4>
      </vt:variant>
      <vt:variant>
        <vt:i4>0</vt:i4>
      </vt:variant>
      <vt:variant>
        <vt:i4>5</vt:i4>
      </vt:variant>
      <vt:variant>
        <vt:lpwstr>https://aiforgood.itu.int/</vt:lpwstr>
      </vt:variant>
      <vt:variant>
        <vt:lpwstr/>
      </vt:variant>
      <vt:variant>
        <vt:i4>5308507</vt:i4>
      </vt:variant>
      <vt:variant>
        <vt:i4>1209</vt:i4>
      </vt:variant>
      <vt:variant>
        <vt:i4>0</vt:i4>
      </vt:variant>
      <vt:variant>
        <vt:i4>5</vt:i4>
      </vt:variant>
      <vt:variant>
        <vt:lpwstr>https://datahub.itu.int/</vt:lpwstr>
      </vt:variant>
      <vt:variant>
        <vt:lpwstr/>
      </vt:variant>
      <vt:variant>
        <vt:i4>2359358</vt:i4>
      </vt:variant>
      <vt:variant>
        <vt:i4>1206</vt:i4>
      </vt:variant>
      <vt:variant>
        <vt:i4>0</vt:i4>
      </vt:variant>
      <vt:variant>
        <vt:i4>5</vt:i4>
      </vt:variant>
      <vt:variant>
        <vt:lpwstr>https://www.itu.int/en/ITU-D/Statistics/Pages/intlcoop/partnership/default.aspx</vt:lpwstr>
      </vt:variant>
      <vt:variant>
        <vt:lpwstr/>
      </vt:variant>
      <vt:variant>
        <vt:i4>1310732</vt:i4>
      </vt:variant>
      <vt:variant>
        <vt:i4>1203</vt:i4>
      </vt:variant>
      <vt:variant>
        <vt:i4>0</vt:i4>
      </vt:variant>
      <vt:variant>
        <vt:i4>5</vt:i4>
      </vt:variant>
      <vt:variant>
        <vt:lpwstr>https://www.itu.int/en/itu-wsis/Pages/WSIS-Fund-in-Trust.aspx</vt:lpwstr>
      </vt:variant>
      <vt:variant>
        <vt:lpwstr/>
      </vt:variant>
      <vt:variant>
        <vt:i4>3997732</vt:i4>
      </vt:variant>
      <vt:variant>
        <vt:i4>1200</vt:i4>
      </vt:variant>
      <vt:variant>
        <vt:i4>0</vt:i4>
      </vt:variant>
      <vt:variant>
        <vt:i4>5</vt:i4>
      </vt:variant>
      <vt:variant>
        <vt:lpwstr>http://www.wsis.org/prizes</vt:lpwstr>
      </vt:variant>
      <vt:variant>
        <vt:lpwstr/>
      </vt:variant>
      <vt:variant>
        <vt:i4>1441812</vt:i4>
      </vt:variant>
      <vt:variant>
        <vt:i4>1197</vt:i4>
      </vt:variant>
      <vt:variant>
        <vt:i4>0</vt:i4>
      </vt:variant>
      <vt:variant>
        <vt:i4>5</vt:i4>
      </vt:variant>
      <vt:variant>
        <vt:lpwstr>https://docs.un.org/en/E/RES/2025/18</vt:lpwstr>
      </vt:variant>
      <vt:variant>
        <vt:lpwstr/>
      </vt:variant>
      <vt:variant>
        <vt:i4>2097191</vt:i4>
      </vt:variant>
      <vt:variant>
        <vt:i4>1194</vt:i4>
      </vt:variant>
      <vt:variant>
        <vt:i4>0</vt:i4>
      </vt:variant>
      <vt:variant>
        <vt:i4>5</vt:i4>
      </vt:variant>
      <vt:variant>
        <vt:lpwstr>http://www.wsis.org/stocktaking</vt:lpwstr>
      </vt:variant>
      <vt:variant>
        <vt:lpwstr/>
      </vt:variant>
      <vt:variant>
        <vt:i4>2621494</vt:i4>
      </vt:variant>
      <vt:variant>
        <vt:i4>1191</vt:i4>
      </vt:variant>
      <vt:variant>
        <vt:i4>0</vt:i4>
      </vt:variant>
      <vt:variant>
        <vt:i4>5</vt:i4>
      </vt:variant>
      <vt:variant>
        <vt:lpwstr>https://www.itu.int/net4/wsis/ungis/Articles/View/2239</vt:lpwstr>
      </vt:variant>
      <vt:variant>
        <vt:lpwstr/>
      </vt:variant>
      <vt:variant>
        <vt:i4>4325387</vt:i4>
      </vt:variant>
      <vt:variant>
        <vt:i4>1188</vt:i4>
      </vt:variant>
      <vt:variant>
        <vt:i4>0</vt:i4>
      </vt:variant>
      <vt:variant>
        <vt:i4>5</vt:i4>
      </vt:variant>
      <vt:variant>
        <vt:lpwstr>http://www.ungis.org/</vt:lpwstr>
      </vt:variant>
      <vt:variant>
        <vt:lpwstr/>
      </vt:variant>
      <vt:variant>
        <vt:i4>2031640</vt:i4>
      </vt:variant>
      <vt:variant>
        <vt:i4>1185</vt:i4>
      </vt:variant>
      <vt:variant>
        <vt:i4>0</vt:i4>
      </vt:variant>
      <vt:variant>
        <vt:i4>5</vt:i4>
      </vt:variant>
      <vt:variant>
        <vt:lpwstr>https://www.itu.int/md/meetingdoc.asp?lang=en&amp;parent=S26-CWGWSIS44-C-0005</vt:lpwstr>
      </vt:variant>
      <vt:variant>
        <vt:lpwstr/>
      </vt:variant>
      <vt:variant>
        <vt:i4>6946875</vt:i4>
      </vt:variant>
      <vt:variant>
        <vt:i4>1182</vt:i4>
      </vt:variant>
      <vt:variant>
        <vt:i4>0</vt:i4>
      </vt:variant>
      <vt:variant>
        <vt:i4>5</vt:i4>
      </vt:variant>
      <vt:variant>
        <vt:lpwstr>https://www.itu.int/en/itu-wsis/Pages/CWG-WSIS%26SDG_Call_for_Inputs_2025.aspx</vt:lpwstr>
      </vt:variant>
      <vt:variant>
        <vt:lpwstr/>
      </vt:variant>
      <vt:variant>
        <vt:i4>6881326</vt:i4>
      </vt:variant>
      <vt:variant>
        <vt:i4>1179</vt:i4>
      </vt:variant>
      <vt:variant>
        <vt:i4>0</vt:i4>
      </vt:variant>
      <vt:variant>
        <vt:i4>5</vt:i4>
      </vt:variant>
      <vt:variant>
        <vt:lpwstr>https://www.itu.int/en/itu-wsis/Documents/WSIS20/WSIS+20Report.pdf</vt:lpwstr>
      </vt:variant>
      <vt:variant>
        <vt:lpwstr/>
      </vt:variant>
      <vt:variant>
        <vt:i4>7929913</vt:i4>
      </vt:variant>
      <vt:variant>
        <vt:i4>1176</vt:i4>
      </vt:variant>
      <vt:variant>
        <vt:i4>0</vt:i4>
      </vt:variant>
      <vt:variant>
        <vt:i4>5</vt:i4>
      </vt:variant>
      <vt:variant>
        <vt:lpwstr>https://www.itu.int/md/S22-CL-C-0059/en</vt:lpwstr>
      </vt:variant>
      <vt:variant>
        <vt:lpwstr/>
      </vt:variant>
      <vt:variant>
        <vt:i4>7209071</vt:i4>
      </vt:variant>
      <vt:variant>
        <vt:i4>1173</vt:i4>
      </vt:variant>
      <vt:variant>
        <vt:i4>0</vt:i4>
      </vt:variant>
      <vt:variant>
        <vt:i4>5</vt:i4>
      </vt:variant>
      <vt:variant>
        <vt:lpwstr>https://publicadministration.desa.un.org/wsis20</vt:lpwstr>
      </vt:variant>
      <vt:variant>
        <vt:lpwstr/>
      </vt:variant>
      <vt:variant>
        <vt:i4>6029388</vt:i4>
      </vt:variant>
      <vt:variant>
        <vt:i4>1170</vt:i4>
      </vt:variant>
      <vt:variant>
        <vt:i4>0</vt:i4>
      </vt:variant>
      <vt:variant>
        <vt:i4>5</vt:i4>
      </vt:variant>
      <vt:variant>
        <vt:lpwstr>http://www.wsis.org/forum</vt:lpwstr>
      </vt:variant>
      <vt:variant>
        <vt:lpwstr/>
      </vt:variant>
      <vt:variant>
        <vt:i4>6750242</vt:i4>
      </vt:variant>
      <vt:variant>
        <vt:i4>1167</vt:i4>
      </vt:variant>
      <vt:variant>
        <vt:i4>0</vt:i4>
      </vt:variant>
      <vt:variant>
        <vt:i4>5</vt:i4>
      </vt:variant>
      <vt:variant>
        <vt:lpwstr>https://www.itu.int/net4/wsis/forum/2024/en</vt:lpwstr>
      </vt:variant>
      <vt:variant>
        <vt:lpwstr/>
      </vt:variant>
      <vt:variant>
        <vt:i4>6291490</vt:i4>
      </vt:variant>
      <vt:variant>
        <vt:i4>1164</vt:i4>
      </vt:variant>
      <vt:variant>
        <vt:i4>0</vt:i4>
      </vt:variant>
      <vt:variant>
        <vt:i4>5</vt:i4>
      </vt:variant>
      <vt:variant>
        <vt:lpwstr>https://www.itu.int/net4/wsis/forum/2023/en</vt:lpwstr>
      </vt:variant>
      <vt:variant>
        <vt:lpwstr/>
      </vt:variant>
      <vt:variant>
        <vt:i4>6029388</vt:i4>
      </vt:variant>
      <vt:variant>
        <vt:i4>1161</vt:i4>
      </vt:variant>
      <vt:variant>
        <vt:i4>0</vt:i4>
      </vt:variant>
      <vt:variant>
        <vt:i4>5</vt:i4>
      </vt:variant>
      <vt:variant>
        <vt:lpwstr>http://www.wsis.org/forum</vt:lpwstr>
      </vt:variant>
      <vt:variant>
        <vt:lpwstr/>
      </vt:variant>
      <vt:variant>
        <vt:i4>2752621</vt:i4>
      </vt:variant>
      <vt:variant>
        <vt:i4>1158</vt:i4>
      </vt:variant>
      <vt:variant>
        <vt:i4>0</vt:i4>
      </vt:variant>
      <vt:variant>
        <vt:i4>5</vt:i4>
      </vt:variant>
      <vt:variant>
        <vt:lpwstr>https://www.itu.int/en/itu-wsis/Pages/Contribution.aspx</vt:lpwstr>
      </vt:variant>
      <vt:variant>
        <vt:lpwstr/>
      </vt:variant>
      <vt:variant>
        <vt:i4>6291494</vt:i4>
      </vt:variant>
      <vt:variant>
        <vt:i4>1155</vt:i4>
      </vt:variant>
      <vt:variant>
        <vt:i4>0</vt:i4>
      </vt:variant>
      <vt:variant>
        <vt:i4>5</vt:i4>
      </vt:variant>
      <vt:variant>
        <vt:lpwstr>https://www.itu.int/md/S26-CWGWSIS44-C-0002/en</vt:lpwstr>
      </vt:variant>
      <vt:variant>
        <vt:lpwstr/>
      </vt:variant>
      <vt:variant>
        <vt:i4>3997732</vt:i4>
      </vt:variant>
      <vt:variant>
        <vt:i4>1152</vt:i4>
      </vt:variant>
      <vt:variant>
        <vt:i4>0</vt:i4>
      </vt:variant>
      <vt:variant>
        <vt:i4>5</vt:i4>
      </vt:variant>
      <vt:variant>
        <vt:lpwstr>http://www.wsis.org/prizes</vt:lpwstr>
      </vt:variant>
      <vt:variant>
        <vt:lpwstr/>
      </vt:variant>
      <vt:variant>
        <vt:i4>2097191</vt:i4>
      </vt:variant>
      <vt:variant>
        <vt:i4>1149</vt:i4>
      </vt:variant>
      <vt:variant>
        <vt:i4>0</vt:i4>
      </vt:variant>
      <vt:variant>
        <vt:i4>5</vt:i4>
      </vt:variant>
      <vt:variant>
        <vt:lpwstr>http://www.wsis.org/stocktaking</vt:lpwstr>
      </vt:variant>
      <vt:variant>
        <vt:lpwstr/>
      </vt:variant>
      <vt:variant>
        <vt:i4>6029388</vt:i4>
      </vt:variant>
      <vt:variant>
        <vt:i4>1146</vt:i4>
      </vt:variant>
      <vt:variant>
        <vt:i4>0</vt:i4>
      </vt:variant>
      <vt:variant>
        <vt:i4>5</vt:i4>
      </vt:variant>
      <vt:variant>
        <vt:lpwstr>http://www.wsis.org/forum</vt:lpwstr>
      </vt:variant>
      <vt:variant>
        <vt:lpwstr/>
      </vt:variant>
      <vt:variant>
        <vt:i4>7536740</vt:i4>
      </vt:variant>
      <vt:variant>
        <vt:i4>1143</vt:i4>
      </vt:variant>
      <vt:variant>
        <vt:i4>0</vt:i4>
      </vt:variant>
      <vt:variant>
        <vt:i4>5</vt:i4>
      </vt:variant>
      <vt:variant>
        <vt:lpwstr>https://www.itu.int/pub/R-RES-R.61</vt:lpwstr>
      </vt:variant>
      <vt:variant>
        <vt:lpwstr/>
      </vt:variant>
      <vt:variant>
        <vt:i4>7798904</vt:i4>
      </vt:variant>
      <vt:variant>
        <vt:i4>1140</vt:i4>
      </vt:variant>
      <vt:variant>
        <vt:i4>0</vt:i4>
      </vt:variant>
      <vt:variant>
        <vt:i4>5</vt:i4>
      </vt:variant>
      <vt:variant>
        <vt:lpwstr>https://www.itu.int/pub/T-RES-T.75-2022</vt:lpwstr>
      </vt:variant>
      <vt:variant>
        <vt:lpwstr/>
      </vt:variant>
      <vt:variant>
        <vt:i4>7078007</vt:i4>
      </vt:variant>
      <vt:variant>
        <vt:i4>1137</vt:i4>
      </vt:variant>
      <vt:variant>
        <vt:i4>0</vt:i4>
      </vt:variant>
      <vt:variant>
        <vt:i4>5</vt:i4>
      </vt:variant>
      <vt:variant>
        <vt:lpwstr>https://www.itu.int/itu-d/meetings/wtdc25/wp-content/uploads/sites/29/2025/11/090-E.pdf</vt:lpwstr>
      </vt:variant>
      <vt:variant>
        <vt:lpwstr/>
      </vt:variant>
      <vt:variant>
        <vt:i4>7340094</vt:i4>
      </vt:variant>
      <vt:variant>
        <vt:i4>1134</vt:i4>
      </vt:variant>
      <vt:variant>
        <vt:i4>0</vt:i4>
      </vt:variant>
      <vt:variant>
        <vt:i4>5</vt:i4>
      </vt:variant>
      <vt:variant>
        <vt:lpwstr>https://www.itu.int/md/S23-CL-C-0120/en</vt:lpwstr>
      </vt:variant>
      <vt:variant>
        <vt:lpwstr/>
      </vt:variant>
      <vt:variant>
        <vt:i4>7733304</vt:i4>
      </vt:variant>
      <vt:variant>
        <vt:i4>1131</vt:i4>
      </vt:variant>
      <vt:variant>
        <vt:i4>0</vt:i4>
      </vt:variant>
      <vt:variant>
        <vt:i4>5</vt:i4>
      </vt:variant>
      <vt:variant>
        <vt:lpwstr>https://www.itu.int/md/S24-CL-C-0141/en</vt:lpwstr>
      </vt:variant>
      <vt:variant>
        <vt:lpwstr/>
      </vt:variant>
      <vt:variant>
        <vt:i4>6946919</vt:i4>
      </vt:variant>
      <vt:variant>
        <vt:i4>1128</vt:i4>
      </vt:variant>
      <vt:variant>
        <vt:i4>0</vt:i4>
      </vt:variant>
      <vt:variant>
        <vt:i4>5</vt:i4>
      </vt:variant>
      <vt:variant>
        <vt:lpwstr>https://www.itu.int/en/council/Documents/basic-texts-2023/RES-140-E.pdf</vt:lpwstr>
      </vt:variant>
      <vt:variant>
        <vt:lpwstr/>
      </vt:variant>
      <vt:variant>
        <vt:i4>4587608</vt:i4>
      </vt:variant>
      <vt:variant>
        <vt:i4>1125</vt:i4>
      </vt:variant>
      <vt:variant>
        <vt:i4>0</vt:i4>
      </vt:variant>
      <vt:variant>
        <vt:i4>5</vt:i4>
      </vt:variant>
      <vt:variant>
        <vt:lpwstr>http://www.wsis.org/</vt:lpwstr>
      </vt:variant>
      <vt:variant>
        <vt:lpwstr/>
      </vt:variant>
      <vt:variant>
        <vt:i4>5439488</vt:i4>
      </vt:variant>
      <vt:variant>
        <vt:i4>1122</vt:i4>
      </vt:variant>
      <vt:variant>
        <vt:i4>0</vt:i4>
      </vt:variant>
      <vt:variant>
        <vt:i4>5</vt:i4>
      </vt:variant>
      <vt:variant>
        <vt:lpwstr>https://www.itu.int/en/ITU-D/Projects/Pages/reports/default.aspx</vt:lpwstr>
      </vt:variant>
      <vt:variant>
        <vt:lpwstr/>
      </vt:variant>
      <vt:variant>
        <vt:i4>2883688</vt:i4>
      </vt:variant>
      <vt:variant>
        <vt:i4>1119</vt:i4>
      </vt:variant>
      <vt:variant>
        <vt:i4>0</vt:i4>
      </vt:variant>
      <vt:variant>
        <vt:i4>5</vt:i4>
      </vt:variant>
      <vt:variant>
        <vt:lpwstr>https://www.itu.int/itu-d/sites/projects/home/projects/</vt:lpwstr>
      </vt:variant>
      <vt:variant>
        <vt:lpwstr/>
      </vt:variant>
      <vt:variant>
        <vt:i4>4718636</vt:i4>
      </vt:variant>
      <vt:variant>
        <vt:i4>1116</vt:i4>
      </vt:variant>
      <vt:variant>
        <vt:i4>0</vt:i4>
      </vt:variant>
      <vt:variant>
        <vt:i4>5</vt:i4>
      </vt:variant>
      <vt:variant>
        <vt:lpwstr/>
      </vt:variant>
      <vt:variant>
        <vt:lpwstr>figure_19</vt:lpwstr>
      </vt:variant>
      <vt:variant>
        <vt:i4>4718636</vt:i4>
      </vt:variant>
      <vt:variant>
        <vt:i4>1113</vt:i4>
      </vt:variant>
      <vt:variant>
        <vt:i4>0</vt:i4>
      </vt:variant>
      <vt:variant>
        <vt:i4>5</vt:i4>
      </vt:variant>
      <vt:variant>
        <vt:lpwstr/>
      </vt:variant>
      <vt:variant>
        <vt:lpwstr>figure_18</vt:lpwstr>
      </vt:variant>
      <vt:variant>
        <vt:i4>3538959</vt:i4>
      </vt:variant>
      <vt:variant>
        <vt:i4>1110</vt:i4>
      </vt:variant>
      <vt:variant>
        <vt:i4>0</vt:i4>
      </vt:variant>
      <vt:variant>
        <vt:i4>5</vt:i4>
      </vt:variant>
      <vt:variant>
        <vt:lpwstr/>
      </vt:variant>
      <vt:variant>
        <vt:lpwstr>Table_below_overviewITU_D</vt:lpwstr>
      </vt:variant>
      <vt:variant>
        <vt:i4>8257570</vt:i4>
      </vt:variant>
      <vt:variant>
        <vt:i4>1107</vt:i4>
      </vt:variant>
      <vt:variant>
        <vt:i4>0</vt:i4>
      </vt:variant>
      <vt:variant>
        <vt:i4>5</vt:i4>
      </vt:variant>
      <vt:variant>
        <vt:lpwstr/>
      </vt:variant>
      <vt:variant>
        <vt:lpwstr>Section_5_5</vt:lpwstr>
      </vt:variant>
      <vt:variant>
        <vt:i4>3080299</vt:i4>
      </vt:variant>
      <vt:variant>
        <vt:i4>1104</vt:i4>
      </vt:variant>
      <vt:variant>
        <vt:i4>0</vt:i4>
      </vt:variant>
      <vt:variant>
        <vt:i4>5</vt:i4>
      </vt:variant>
      <vt:variant>
        <vt:lpwstr>https://aiforgood.itu.int/ai-skills-coalition/</vt:lpwstr>
      </vt:variant>
      <vt:variant>
        <vt:lpwstr/>
      </vt:variant>
      <vt:variant>
        <vt:i4>2162715</vt:i4>
      </vt:variant>
      <vt:variant>
        <vt:i4>1101</vt:i4>
      </vt:variant>
      <vt:variant>
        <vt:i4>0</vt:i4>
      </vt:variant>
      <vt:variant>
        <vt:i4>5</vt:i4>
      </vt:variant>
      <vt:variant>
        <vt:lpwstr/>
      </vt:variant>
      <vt:variant>
        <vt:lpwstr>Section_4_8_2</vt:lpwstr>
      </vt:variant>
      <vt:variant>
        <vt:i4>6684781</vt:i4>
      </vt:variant>
      <vt:variant>
        <vt:i4>1098</vt:i4>
      </vt:variant>
      <vt:variant>
        <vt:i4>0</vt:i4>
      </vt:variant>
      <vt:variant>
        <vt:i4>5</vt:i4>
      </vt:variant>
      <vt:variant>
        <vt:lpwstr>https://www.itu.int/en/ITU-T/info/Pages/resources.aspx</vt:lpwstr>
      </vt:variant>
      <vt:variant>
        <vt:lpwstr/>
      </vt:variant>
      <vt:variant>
        <vt:i4>7929961</vt:i4>
      </vt:variant>
      <vt:variant>
        <vt:i4>1095</vt:i4>
      </vt:variant>
      <vt:variant>
        <vt:i4>0</vt:i4>
      </vt:variant>
      <vt:variant>
        <vt:i4>5</vt:i4>
      </vt:variant>
      <vt:variant>
        <vt:lpwstr>https://academy.itu.int/itu-d/projects-activities/research-publications/digital-skills-toolkit</vt:lpwstr>
      </vt:variant>
      <vt:variant>
        <vt:lpwstr/>
      </vt:variant>
      <vt:variant>
        <vt:i4>6029393</vt:i4>
      </vt:variant>
      <vt:variant>
        <vt:i4>1092</vt:i4>
      </vt:variant>
      <vt:variant>
        <vt:i4>0</vt:i4>
      </vt:variant>
      <vt:variant>
        <vt:i4>5</vt:i4>
      </vt:variant>
      <vt:variant>
        <vt:lpwstr>https://www.itu.int/itu-d/meetings/digital-skills-forum/</vt:lpwstr>
      </vt:variant>
      <vt:variant>
        <vt:lpwstr/>
      </vt:variant>
      <vt:variant>
        <vt:i4>3866746</vt:i4>
      </vt:variant>
      <vt:variant>
        <vt:i4>1089</vt:i4>
      </vt:variant>
      <vt:variant>
        <vt:i4>0</vt:i4>
      </vt:variant>
      <vt:variant>
        <vt:i4>5</vt:i4>
      </vt:variant>
      <vt:variant>
        <vt:lpwstr>https://academy.itu.int/index.php/main-activities/digital-transformation-centres-initiative</vt:lpwstr>
      </vt:variant>
      <vt:variant>
        <vt:lpwstr/>
      </vt:variant>
      <vt:variant>
        <vt:i4>4718636</vt:i4>
      </vt:variant>
      <vt:variant>
        <vt:i4>1086</vt:i4>
      </vt:variant>
      <vt:variant>
        <vt:i4>0</vt:i4>
      </vt:variant>
      <vt:variant>
        <vt:i4>5</vt:i4>
      </vt:variant>
      <vt:variant>
        <vt:lpwstr/>
      </vt:variant>
      <vt:variant>
        <vt:lpwstr>figure_17</vt:lpwstr>
      </vt:variant>
      <vt:variant>
        <vt:i4>6946867</vt:i4>
      </vt:variant>
      <vt:variant>
        <vt:i4>1083</vt:i4>
      </vt:variant>
      <vt:variant>
        <vt:i4>0</vt:i4>
      </vt:variant>
      <vt:variant>
        <vt:i4>5</vt:i4>
      </vt:variant>
      <vt:variant>
        <vt:lpwstr>https://academy.itu.int/itu-d/projects-activities/itu-academy-training-centres</vt:lpwstr>
      </vt:variant>
      <vt:variant>
        <vt:lpwstr/>
      </vt:variant>
      <vt:variant>
        <vt:i4>5111901</vt:i4>
      </vt:variant>
      <vt:variant>
        <vt:i4>1080</vt:i4>
      </vt:variant>
      <vt:variant>
        <vt:i4>0</vt:i4>
      </vt:variant>
      <vt:variant>
        <vt:i4>5</vt:i4>
      </vt:variant>
      <vt:variant>
        <vt:lpwstr>https://academy.itu.int/</vt:lpwstr>
      </vt:variant>
      <vt:variant>
        <vt:lpwstr/>
      </vt:variant>
      <vt:variant>
        <vt:i4>2228347</vt:i4>
      </vt:variant>
      <vt:variant>
        <vt:i4>1077</vt:i4>
      </vt:variant>
      <vt:variant>
        <vt:i4>0</vt:i4>
      </vt:variant>
      <vt:variant>
        <vt:i4>5</vt:i4>
      </vt:variant>
      <vt:variant>
        <vt:lpwstr>https://www.itu.int/en/ITU-D/Statistics/Pages/intlcoop/default.aspx</vt:lpwstr>
      </vt:variant>
      <vt:variant>
        <vt:lpwstr/>
      </vt:variant>
      <vt:variant>
        <vt:i4>2752546</vt:i4>
      </vt:variant>
      <vt:variant>
        <vt:i4>1074</vt:i4>
      </vt:variant>
      <vt:variant>
        <vt:i4>0</vt:i4>
      </vt:variant>
      <vt:variant>
        <vt:i4>5</vt:i4>
      </vt:variant>
      <vt:variant>
        <vt:lpwstr>https://www.itu.int/itu-d/meetings/wtis25/</vt:lpwstr>
      </vt:variant>
      <vt:variant>
        <vt:lpwstr/>
      </vt:variant>
      <vt:variant>
        <vt:i4>3801204</vt:i4>
      </vt:variant>
      <vt:variant>
        <vt:i4>1071</vt:i4>
      </vt:variant>
      <vt:variant>
        <vt:i4>0</vt:i4>
      </vt:variant>
      <vt:variant>
        <vt:i4>5</vt:i4>
      </vt:variant>
      <vt:variant>
        <vt:lpwstr>https://www.itu.int/en/ITU-D/Statistics/Pages/capacitydev/default.aspx</vt:lpwstr>
      </vt:variant>
      <vt:variant>
        <vt:lpwstr/>
      </vt:variant>
      <vt:variant>
        <vt:i4>3539047</vt:i4>
      </vt:variant>
      <vt:variant>
        <vt:i4>1068</vt:i4>
      </vt:variant>
      <vt:variant>
        <vt:i4>0</vt:i4>
      </vt:variant>
      <vt:variant>
        <vt:i4>5</vt:i4>
      </vt:variant>
      <vt:variant>
        <vt:lpwstr>https://www.itu.int/en/ITU-D/Statistics/Pages/bigdata/default.aspx</vt:lpwstr>
      </vt:variant>
      <vt:variant>
        <vt:lpwstr/>
      </vt:variant>
      <vt:variant>
        <vt:i4>2949239</vt:i4>
      </vt:variant>
      <vt:variant>
        <vt:i4>1065</vt:i4>
      </vt:variant>
      <vt:variant>
        <vt:i4>0</vt:i4>
      </vt:variant>
      <vt:variant>
        <vt:i4>5</vt:i4>
      </vt:variant>
      <vt:variant>
        <vt:lpwstr>https://www.itu.int/en/ITU-D/Statistics/Pages/publications/default.aspx</vt:lpwstr>
      </vt:variant>
      <vt:variant>
        <vt:lpwstr/>
      </vt:variant>
      <vt:variant>
        <vt:i4>5308507</vt:i4>
      </vt:variant>
      <vt:variant>
        <vt:i4>1062</vt:i4>
      </vt:variant>
      <vt:variant>
        <vt:i4>0</vt:i4>
      </vt:variant>
      <vt:variant>
        <vt:i4>5</vt:i4>
      </vt:variant>
      <vt:variant>
        <vt:lpwstr>https://datahub.itu.int/</vt:lpwstr>
      </vt:variant>
      <vt:variant>
        <vt:lpwstr/>
      </vt:variant>
      <vt:variant>
        <vt:i4>2949222</vt:i4>
      </vt:variant>
      <vt:variant>
        <vt:i4>1059</vt:i4>
      </vt:variant>
      <vt:variant>
        <vt:i4>0</vt:i4>
      </vt:variant>
      <vt:variant>
        <vt:i4>5</vt:i4>
      </vt:variant>
      <vt:variant>
        <vt:lpwstr>https://www.itu.int/en/ITU-D/Statistics/Pages/definitions/default.aspx</vt:lpwstr>
      </vt:variant>
      <vt:variant>
        <vt:lpwstr/>
      </vt:variant>
      <vt:variant>
        <vt:i4>8323121</vt:i4>
      </vt:variant>
      <vt:variant>
        <vt:i4>1056</vt:i4>
      </vt:variant>
      <vt:variant>
        <vt:i4>0</vt:i4>
      </vt:variant>
      <vt:variant>
        <vt:i4>5</vt:i4>
      </vt:variant>
      <vt:variant>
        <vt:lpwstr>http://www.itu.int/en/ITU-D/Statistics</vt:lpwstr>
      </vt:variant>
      <vt:variant>
        <vt:lpwstr/>
      </vt:variant>
      <vt:variant>
        <vt:i4>1114136</vt:i4>
      </vt:variant>
      <vt:variant>
        <vt:i4>1053</vt:i4>
      </vt:variant>
      <vt:variant>
        <vt:i4>0</vt:i4>
      </vt:variant>
      <vt:variant>
        <vt:i4>5</vt:i4>
      </vt:variant>
      <vt:variant>
        <vt:lpwstr>https://www.itu.int/cities/dt-digest/</vt:lpwstr>
      </vt:variant>
      <vt:variant>
        <vt:lpwstr/>
      </vt:variant>
      <vt:variant>
        <vt:i4>8192110</vt:i4>
      </vt:variant>
      <vt:variant>
        <vt:i4>1050</vt:i4>
      </vt:variant>
      <vt:variant>
        <vt:i4>0</vt:i4>
      </vt:variant>
      <vt:variant>
        <vt:i4>5</vt:i4>
      </vt:variant>
      <vt:variant>
        <vt:lpwstr>https://www.itu.int/cities/digitaltransformationdialogues/</vt:lpwstr>
      </vt:variant>
      <vt:variant>
        <vt:lpwstr/>
      </vt:variant>
      <vt:variant>
        <vt:i4>4194318</vt:i4>
      </vt:variant>
      <vt:variant>
        <vt:i4>1047</vt:i4>
      </vt:variant>
      <vt:variant>
        <vt:i4>0</vt:i4>
      </vt:variant>
      <vt:variant>
        <vt:i4>5</vt:i4>
      </vt:variant>
      <vt:variant>
        <vt:lpwstr>https://toolkit-dt4c.itu.int/</vt:lpwstr>
      </vt:variant>
      <vt:variant>
        <vt:lpwstr/>
      </vt:variant>
      <vt:variant>
        <vt:i4>6488100</vt:i4>
      </vt:variant>
      <vt:variant>
        <vt:i4>1044</vt:i4>
      </vt:variant>
      <vt:variant>
        <vt:i4>0</vt:i4>
      </vt:variant>
      <vt:variant>
        <vt:i4>5</vt:i4>
      </vt:variant>
      <vt:variant>
        <vt:lpwstr>https://u4ssc.itu.int/</vt:lpwstr>
      </vt:variant>
      <vt:variant>
        <vt:lpwstr/>
      </vt:variant>
      <vt:variant>
        <vt:i4>2949201</vt:i4>
      </vt:variant>
      <vt:variant>
        <vt:i4>1041</vt:i4>
      </vt:variant>
      <vt:variant>
        <vt:i4>0</vt:i4>
      </vt:variant>
      <vt:variant>
        <vt:i4>5</vt:i4>
      </vt:variant>
      <vt:variant>
        <vt:lpwstr>https://www.itu.int/ITU-T/recommendations/index_sg.aspx?sg=20</vt:lpwstr>
      </vt:variant>
      <vt:variant>
        <vt:lpwstr/>
      </vt:variant>
      <vt:variant>
        <vt:i4>2031688</vt:i4>
      </vt:variant>
      <vt:variant>
        <vt:i4>1038</vt:i4>
      </vt:variant>
      <vt:variant>
        <vt:i4>0</vt:i4>
      </vt:variant>
      <vt:variant>
        <vt:i4>5</vt:i4>
      </vt:variant>
      <vt:variant>
        <vt:lpwstr>https://www.itu.int/go/tsg20</vt:lpwstr>
      </vt:variant>
      <vt:variant>
        <vt:lpwstr/>
      </vt:variant>
      <vt:variant>
        <vt:i4>86</vt:i4>
      </vt:variant>
      <vt:variant>
        <vt:i4>1035</vt:i4>
      </vt:variant>
      <vt:variant>
        <vt:i4>0</vt:i4>
      </vt:variant>
      <vt:variant>
        <vt:i4>5</vt:i4>
      </vt:variant>
      <vt:variant>
        <vt:lpwstr>https://www.itu.int/en/ITU-T/studygroups/2025-2028/20/Pages/default.aspx</vt:lpwstr>
      </vt:variant>
      <vt:variant>
        <vt:lpwstr/>
      </vt:variant>
      <vt:variant>
        <vt:i4>7798885</vt:i4>
      </vt:variant>
      <vt:variant>
        <vt:i4>1032</vt:i4>
      </vt:variant>
      <vt:variant>
        <vt:i4>0</vt:i4>
      </vt:variant>
      <vt:variant>
        <vt:i4>5</vt:i4>
      </vt:variant>
      <vt:variant>
        <vt:lpwstr>https://www.itu.int/en/ITU-T/techwatch/Pages/internetofthings.aspx</vt:lpwstr>
      </vt:variant>
      <vt:variant>
        <vt:lpwstr/>
      </vt:variant>
      <vt:variant>
        <vt:i4>3211315</vt:i4>
      </vt:variant>
      <vt:variant>
        <vt:i4>1029</vt:i4>
      </vt:variant>
      <vt:variant>
        <vt:i4>0</vt:i4>
      </vt:variant>
      <vt:variant>
        <vt:i4>5</vt:i4>
      </vt:variant>
      <vt:variant>
        <vt:lpwstr>https://www.itu.int/net/epub/TSB/2024-UN-Executive-Briefing-on-unlocking-potential/index.html</vt:lpwstr>
      </vt:variant>
      <vt:variant>
        <vt:lpwstr>p=1</vt:lpwstr>
      </vt:variant>
      <vt:variant>
        <vt:i4>4194377</vt:i4>
      </vt:variant>
      <vt:variant>
        <vt:i4>1026</vt:i4>
      </vt:variant>
      <vt:variant>
        <vt:i4>0</vt:i4>
      </vt:variant>
      <vt:variant>
        <vt:i4>5</vt:i4>
      </vt:variant>
      <vt:variant>
        <vt:lpwstr>https://www.itu.int/metaverse/virtual-worlds/1st-un-citiverse-challenge/</vt:lpwstr>
      </vt:variant>
      <vt:variant>
        <vt:lpwstr/>
      </vt:variant>
      <vt:variant>
        <vt:i4>2555941</vt:i4>
      </vt:variant>
      <vt:variant>
        <vt:i4>1023</vt:i4>
      </vt:variant>
      <vt:variant>
        <vt:i4>0</vt:i4>
      </vt:variant>
      <vt:variant>
        <vt:i4>5</vt:i4>
      </vt:variant>
      <vt:variant>
        <vt:lpwstr>https://www.itu.int/un-virtual-worlds-day/2025/</vt:lpwstr>
      </vt:variant>
      <vt:variant>
        <vt:lpwstr/>
      </vt:variant>
      <vt:variant>
        <vt:i4>8257584</vt:i4>
      </vt:variant>
      <vt:variant>
        <vt:i4>1020</vt:i4>
      </vt:variant>
      <vt:variant>
        <vt:i4>0</vt:i4>
      </vt:variant>
      <vt:variant>
        <vt:i4>5</vt:i4>
      </vt:variant>
      <vt:variant>
        <vt:lpwstr>https://www.itu.int/metaverse/un-virtual-worlds-day/thinkathon/</vt:lpwstr>
      </vt:variant>
      <vt:variant>
        <vt:lpwstr/>
      </vt:variant>
      <vt:variant>
        <vt:i4>6750241</vt:i4>
      </vt:variant>
      <vt:variant>
        <vt:i4>1017</vt:i4>
      </vt:variant>
      <vt:variant>
        <vt:i4>0</vt:i4>
      </vt:variant>
      <vt:variant>
        <vt:i4>5</vt:i4>
      </vt:variant>
      <vt:variant>
        <vt:lpwstr>https://www.itu.int/en/ITU-T/focusgroups/mv/Pages/FG-MV-structure-and-workplan.aspx</vt:lpwstr>
      </vt:variant>
      <vt:variant>
        <vt:lpwstr/>
      </vt:variant>
      <vt:variant>
        <vt:i4>3997797</vt:i4>
      </vt:variant>
      <vt:variant>
        <vt:i4>1014</vt:i4>
      </vt:variant>
      <vt:variant>
        <vt:i4>0</vt:i4>
      </vt:variant>
      <vt:variant>
        <vt:i4>5</vt:i4>
      </vt:variant>
      <vt:variant>
        <vt:lpwstr>https://www.itu.int/metaverse/5th-forum-metaverse/</vt:lpwstr>
      </vt:variant>
      <vt:variant>
        <vt:lpwstr/>
      </vt:variant>
      <vt:variant>
        <vt:i4>7536688</vt:i4>
      </vt:variant>
      <vt:variant>
        <vt:i4>1011</vt:i4>
      </vt:variant>
      <vt:variant>
        <vt:i4>0</vt:i4>
      </vt:variant>
      <vt:variant>
        <vt:i4>5</vt:i4>
      </vt:variant>
      <vt:variant>
        <vt:lpwstr>https://www.itu.int/en/ITU-T/focusgroups/mv/Pages/default.aspx</vt:lpwstr>
      </vt:variant>
      <vt:variant>
        <vt:lpwstr/>
      </vt:variant>
      <vt:variant>
        <vt:i4>3997797</vt:i4>
      </vt:variant>
      <vt:variant>
        <vt:i4>1008</vt:i4>
      </vt:variant>
      <vt:variant>
        <vt:i4>0</vt:i4>
      </vt:variant>
      <vt:variant>
        <vt:i4>5</vt:i4>
      </vt:variant>
      <vt:variant>
        <vt:lpwstr>https://www.itu.int/metaverse/5th-forum-metaverse/</vt:lpwstr>
      </vt:variant>
      <vt:variant>
        <vt:lpwstr/>
      </vt:variant>
      <vt:variant>
        <vt:i4>2621494</vt:i4>
      </vt:variant>
      <vt:variant>
        <vt:i4>1005</vt:i4>
      </vt:variant>
      <vt:variant>
        <vt:i4>0</vt:i4>
      </vt:variant>
      <vt:variant>
        <vt:i4>5</vt:i4>
      </vt:variant>
      <vt:variant>
        <vt:lpwstr>https://aiforgood.itu.int/the-future-leaders-in-quantum-hackathon/</vt:lpwstr>
      </vt:variant>
      <vt:variant>
        <vt:lpwstr/>
      </vt:variant>
      <vt:variant>
        <vt:i4>8192109</vt:i4>
      </vt:variant>
      <vt:variant>
        <vt:i4>1002</vt:i4>
      </vt:variant>
      <vt:variant>
        <vt:i4>0</vt:i4>
      </vt:variant>
      <vt:variant>
        <vt:i4>5</vt:i4>
      </vt:variant>
      <vt:variant>
        <vt:lpwstr>https://www.quantum-course.com/</vt:lpwstr>
      </vt:variant>
      <vt:variant>
        <vt:lpwstr/>
      </vt:variant>
      <vt:variant>
        <vt:i4>655364</vt:i4>
      </vt:variant>
      <vt:variant>
        <vt:i4>999</vt:i4>
      </vt:variant>
      <vt:variant>
        <vt:i4>0</vt:i4>
      </vt:variant>
      <vt:variant>
        <vt:i4>5</vt:i4>
      </vt:variant>
      <vt:variant>
        <vt:lpwstr>https://aiforgood.itu.int/search-result-programme/?keyword=&amp;category=802&amp;event-venue=&amp;enddate=&amp;startdate=</vt:lpwstr>
      </vt:variant>
      <vt:variant>
        <vt:lpwstr/>
      </vt:variant>
      <vt:variant>
        <vt:i4>2097194</vt:i4>
      </vt:variant>
      <vt:variant>
        <vt:i4>996</vt:i4>
      </vt:variant>
      <vt:variant>
        <vt:i4>0</vt:i4>
      </vt:variant>
      <vt:variant>
        <vt:i4>5</vt:i4>
      </vt:variant>
      <vt:variant>
        <vt:lpwstr>https://aiforgood.itu.int/quantum-for-good/</vt:lpwstr>
      </vt:variant>
      <vt:variant>
        <vt:lpwstr/>
      </vt:variant>
      <vt:variant>
        <vt:i4>2424874</vt:i4>
      </vt:variant>
      <vt:variant>
        <vt:i4>993</vt:i4>
      </vt:variant>
      <vt:variant>
        <vt:i4>0</vt:i4>
      </vt:variant>
      <vt:variant>
        <vt:i4>5</vt:i4>
      </vt:variant>
      <vt:variant>
        <vt:lpwstr>https://docs.un.org/en/A/RES/78/287</vt:lpwstr>
      </vt:variant>
      <vt:variant>
        <vt:lpwstr/>
      </vt:variant>
      <vt:variant>
        <vt:i4>2883679</vt:i4>
      </vt:variant>
      <vt:variant>
        <vt:i4>990</vt:i4>
      </vt:variant>
      <vt:variant>
        <vt:i4>0</vt:i4>
      </vt:variant>
      <vt:variant>
        <vt:i4>5</vt:i4>
      </vt:variant>
      <vt:variant>
        <vt:lpwstr>https://www.itu.int/itu-t/landscape/?topic=tx467&amp;group=g&amp;search_text=</vt:lpwstr>
      </vt:variant>
      <vt:variant>
        <vt:lpwstr/>
      </vt:variant>
      <vt:variant>
        <vt:i4>131138</vt:i4>
      </vt:variant>
      <vt:variant>
        <vt:i4>987</vt:i4>
      </vt:variant>
      <vt:variant>
        <vt:i4>0</vt:i4>
      </vt:variant>
      <vt:variant>
        <vt:i4>5</vt:i4>
      </vt:variant>
      <vt:variant>
        <vt:lpwstr>https://www.itu.int/en/ITU-T/jca/qkdn/Pages/default.aspx</vt:lpwstr>
      </vt:variant>
      <vt:variant>
        <vt:lpwstr/>
      </vt:variant>
      <vt:variant>
        <vt:i4>131138</vt:i4>
      </vt:variant>
      <vt:variant>
        <vt:i4>984</vt:i4>
      </vt:variant>
      <vt:variant>
        <vt:i4>0</vt:i4>
      </vt:variant>
      <vt:variant>
        <vt:i4>5</vt:i4>
      </vt:variant>
      <vt:variant>
        <vt:lpwstr>https://www.itu.int/en/ITU-T/jca/qkdn/Pages/default.aspx</vt:lpwstr>
      </vt:variant>
      <vt:variant>
        <vt:lpwstr/>
      </vt:variant>
      <vt:variant>
        <vt:i4>3866721</vt:i4>
      </vt:variant>
      <vt:variant>
        <vt:i4>981</vt:i4>
      </vt:variant>
      <vt:variant>
        <vt:i4>0</vt:i4>
      </vt:variant>
      <vt:variant>
        <vt:i4>5</vt:i4>
      </vt:variant>
      <vt:variant>
        <vt:lpwstr>https://www.itu.int/rec/T-REC-Y.3814/en</vt:lpwstr>
      </vt:variant>
      <vt:variant>
        <vt:lpwstr/>
      </vt:variant>
      <vt:variant>
        <vt:i4>3539040</vt:i4>
      </vt:variant>
      <vt:variant>
        <vt:i4>978</vt:i4>
      </vt:variant>
      <vt:variant>
        <vt:i4>0</vt:i4>
      </vt:variant>
      <vt:variant>
        <vt:i4>5</vt:i4>
      </vt:variant>
      <vt:variant>
        <vt:lpwstr>https://www.itu.int/rec/T-REC-Y.3809/en</vt:lpwstr>
      </vt:variant>
      <vt:variant>
        <vt:lpwstr/>
      </vt:variant>
      <vt:variant>
        <vt:i4>3473506</vt:i4>
      </vt:variant>
      <vt:variant>
        <vt:i4>975</vt:i4>
      </vt:variant>
      <vt:variant>
        <vt:i4>0</vt:i4>
      </vt:variant>
      <vt:variant>
        <vt:i4>5</vt:i4>
      </vt:variant>
      <vt:variant>
        <vt:lpwstr>https://www.itu.int/rec/T-REC-X.1715/es</vt:lpwstr>
      </vt:variant>
      <vt:variant>
        <vt:lpwstr/>
      </vt:variant>
      <vt:variant>
        <vt:i4>196689</vt:i4>
      </vt:variant>
      <vt:variant>
        <vt:i4>972</vt:i4>
      </vt:variant>
      <vt:variant>
        <vt:i4>0</vt:i4>
      </vt:variant>
      <vt:variant>
        <vt:i4>5</vt:i4>
      </vt:variant>
      <vt:variant>
        <vt:lpwstr>https://www.itu.int/en/ITU-T/studygroups/2025-2028/17/Pages/default.aspx</vt:lpwstr>
      </vt:variant>
      <vt:variant>
        <vt:lpwstr/>
      </vt:variant>
      <vt:variant>
        <vt:i4>196693</vt:i4>
      </vt:variant>
      <vt:variant>
        <vt:i4>969</vt:i4>
      </vt:variant>
      <vt:variant>
        <vt:i4>0</vt:i4>
      </vt:variant>
      <vt:variant>
        <vt:i4>5</vt:i4>
      </vt:variant>
      <vt:variant>
        <vt:lpwstr>https://www.itu.int/en/ITU-T/studygroups/2025-2028/13/Pages/default.aspx</vt:lpwstr>
      </vt:variant>
      <vt:variant>
        <vt:lpwstr/>
      </vt:variant>
      <vt:variant>
        <vt:i4>196695</vt:i4>
      </vt:variant>
      <vt:variant>
        <vt:i4>966</vt:i4>
      </vt:variant>
      <vt:variant>
        <vt:i4>0</vt:i4>
      </vt:variant>
      <vt:variant>
        <vt:i4>5</vt:i4>
      </vt:variant>
      <vt:variant>
        <vt:lpwstr>https://www.itu.int/en/ITU-T/studygroups/2025-2028/11/Pages/default.aspx</vt:lpwstr>
      </vt:variant>
      <vt:variant>
        <vt:lpwstr/>
      </vt:variant>
      <vt:variant>
        <vt:i4>2621387</vt:i4>
      </vt:variant>
      <vt:variant>
        <vt:i4>963</vt:i4>
      </vt:variant>
      <vt:variant>
        <vt:i4>0</vt:i4>
      </vt:variant>
      <vt:variant>
        <vt:i4>5</vt:i4>
      </vt:variant>
      <vt:variant>
        <vt:lpwstr/>
      </vt:variant>
      <vt:variant>
        <vt:lpwstr>_5.4￼Commitment_to_environmental</vt:lpwstr>
      </vt:variant>
      <vt:variant>
        <vt:i4>6619170</vt:i4>
      </vt:variant>
      <vt:variant>
        <vt:i4>960</vt:i4>
      </vt:variant>
      <vt:variant>
        <vt:i4>0</vt:i4>
      </vt:variant>
      <vt:variant>
        <vt:i4>5</vt:i4>
      </vt:variant>
      <vt:variant>
        <vt:lpwstr>https://www.itu.int/net4/wsis/forum/2026/en</vt:lpwstr>
      </vt:variant>
      <vt:variant>
        <vt:lpwstr/>
      </vt:variant>
      <vt:variant>
        <vt:i4>7340154</vt:i4>
      </vt:variant>
      <vt:variant>
        <vt:i4>957</vt:i4>
      </vt:variant>
      <vt:variant>
        <vt:i4>0</vt:i4>
      </vt:variant>
      <vt:variant>
        <vt:i4>5</vt:i4>
      </vt:variant>
      <vt:variant>
        <vt:lpwstr>https://aiforgood.itu.int/summit26/</vt:lpwstr>
      </vt:variant>
      <vt:variant>
        <vt:lpwstr/>
      </vt:variant>
      <vt:variant>
        <vt:i4>4849739</vt:i4>
      </vt:variant>
      <vt:variant>
        <vt:i4>954</vt:i4>
      </vt:variant>
      <vt:variant>
        <vt:i4>0</vt:i4>
      </vt:variant>
      <vt:variant>
        <vt:i4>5</vt:i4>
      </vt:variant>
      <vt:variant>
        <vt:lpwstr>https://www.itu.int/epublications/publication/the-annual-ai-governance-report-2025-steering-the-future-of-ai</vt:lpwstr>
      </vt:variant>
      <vt:variant>
        <vt:lpwstr/>
      </vt:variant>
      <vt:variant>
        <vt:i4>2752575</vt:i4>
      </vt:variant>
      <vt:variant>
        <vt:i4>951</vt:i4>
      </vt:variant>
      <vt:variant>
        <vt:i4>0</vt:i4>
      </vt:variant>
      <vt:variant>
        <vt:i4>5</vt:i4>
      </vt:variant>
      <vt:variant>
        <vt:lpwstr>https://aiforgood.itu.int/</vt:lpwstr>
      </vt:variant>
      <vt:variant>
        <vt:lpwstr/>
      </vt:variant>
      <vt:variant>
        <vt:i4>2424865</vt:i4>
      </vt:variant>
      <vt:variant>
        <vt:i4>948</vt:i4>
      </vt:variant>
      <vt:variant>
        <vt:i4>0</vt:i4>
      </vt:variant>
      <vt:variant>
        <vt:i4>5</vt:i4>
      </vt:variant>
      <vt:variant>
        <vt:lpwstr>https://docs.un.org/en/A/RES/80/173</vt:lpwstr>
      </vt:variant>
      <vt:variant>
        <vt:lpwstr/>
      </vt:variant>
      <vt:variant>
        <vt:i4>3080234</vt:i4>
      </vt:variant>
      <vt:variant>
        <vt:i4>945</vt:i4>
      </vt:variant>
      <vt:variant>
        <vt:i4>0</vt:i4>
      </vt:variant>
      <vt:variant>
        <vt:i4>5</vt:i4>
      </vt:variant>
      <vt:variant>
        <vt:lpwstr>https://docs.un.org/en/A/RES/79/325</vt:lpwstr>
      </vt:variant>
      <vt:variant>
        <vt:lpwstr/>
      </vt:variant>
      <vt:variant>
        <vt:i4>4718665</vt:i4>
      </vt:variant>
      <vt:variant>
        <vt:i4>942</vt:i4>
      </vt:variant>
      <vt:variant>
        <vt:i4>0</vt:i4>
      </vt:variant>
      <vt:variant>
        <vt:i4>5</vt:i4>
      </vt:variant>
      <vt:variant>
        <vt:lpwstr>https://www.itu.int/pub/S-GEN-UNACT-2024</vt:lpwstr>
      </vt:variant>
      <vt:variant>
        <vt:lpwstr/>
      </vt:variant>
      <vt:variant>
        <vt:i4>7733281</vt:i4>
      </vt:variant>
      <vt:variant>
        <vt:i4>939</vt:i4>
      </vt:variant>
      <vt:variant>
        <vt:i4>0</vt:i4>
      </vt:variant>
      <vt:variant>
        <vt:i4>5</vt:i4>
      </vt:variant>
      <vt:variant>
        <vt:lpwstr>https://unaihub.aiforgood.itu.int/</vt:lpwstr>
      </vt:variant>
      <vt:variant>
        <vt:lpwstr/>
      </vt:variant>
      <vt:variant>
        <vt:i4>1703961</vt:i4>
      </vt:variant>
      <vt:variant>
        <vt:i4>936</vt:i4>
      </vt:variant>
      <vt:variant>
        <vt:i4>0</vt:i4>
      </vt:variant>
      <vt:variant>
        <vt:i4>5</vt:i4>
      </vt:variant>
      <vt:variant>
        <vt:lpwstr>https://unsceb.org/sites/default/files/2024-04/United Nations System White Paper on AI Governance.pdf</vt:lpwstr>
      </vt:variant>
      <vt:variant>
        <vt:lpwstr/>
      </vt:variant>
      <vt:variant>
        <vt:i4>6357070</vt:i4>
      </vt:variant>
      <vt:variant>
        <vt:i4>933</vt:i4>
      </vt:variant>
      <vt:variant>
        <vt:i4>0</vt:i4>
      </vt:variant>
      <vt:variant>
        <vt:i4>5</vt:i4>
      </vt:variant>
      <vt:variant>
        <vt:lpwstr>https://unsceb.org/sites/default/files/2022-09/Principles for the Ethical Use of AI in the UN System_1.pdf</vt:lpwstr>
      </vt:variant>
      <vt:variant>
        <vt:lpwstr/>
      </vt:variant>
      <vt:variant>
        <vt:i4>2228350</vt:i4>
      </vt:variant>
      <vt:variant>
        <vt:i4>930</vt:i4>
      </vt:variant>
      <vt:variant>
        <vt:i4>0</vt:i4>
      </vt:variant>
      <vt:variant>
        <vt:i4>5</vt:i4>
      </vt:variant>
      <vt:variant>
        <vt:lpwstr>https://www.itu.int/en/action/ai/Pages/UN-inter-agency-working-group-on-AI.aspx</vt:lpwstr>
      </vt:variant>
      <vt:variant>
        <vt:lpwstr/>
      </vt:variant>
      <vt:variant>
        <vt:i4>7078007</vt:i4>
      </vt:variant>
      <vt:variant>
        <vt:i4>927</vt:i4>
      </vt:variant>
      <vt:variant>
        <vt:i4>0</vt:i4>
      </vt:variant>
      <vt:variant>
        <vt:i4>5</vt:i4>
      </vt:variant>
      <vt:variant>
        <vt:lpwstr>https://www.itu.int/itu-d/meetings/wtdc25/wp-content/uploads/sites/29/2025/11/090-E.pdf</vt:lpwstr>
      </vt:variant>
      <vt:variant>
        <vt:lpwstr/>
      </vt:variant>
      <vt:variant>
        <vt:i4>4718682</vt:i4>
      </vt:variant>
      <vt:variant>
        <vt:i4>924</vt:i4>
      </vt:variant>
      <vt:variant>
        <vt:i4>0</vt:i4>
      </vt:variant>
      <vt:variant>
        <vt:i4>5</vt:i4>
      </vt:variant>
      <vt:variant>
        <vt:lpwstr>https://www.itu.int/en/ITU-D/Regional-Presence/AsiaPacific/Pages/Projects/AI Technology and Standards Capacity Building in Asia Pacific/Artificial-Intelligence-Technology-and-Standards-Capacity-Building-in-Asia-Pacific-.aspx</vt:lpwstr>
      </vt:variant>
      <vt:variant>
        <vt:lpwstr/>
      </vt:variant>
      <vt:variant>
        <vt:i4>5111901</vt:i4>
      </vt:variant>
      <vt:variant>
        <vt:i4>921</vt:i4>
      </vt:variant>
      <vt:variant>
        <vt:i4>0</vt:i4>
      </vt:variant>
      <vt:variant>
        <vt:i4>5</vt:i4>
      </vt:variant>
      <vt:variant>
        <vt:lpwstr>https://academy.itu.int/</vt:lpwstr>
      </vt:variant>
      <vt:variant>
        <vt:lpwstr/>
      </vt:variant>
      <vt:variant>
        <vt:i4>6029395</vt:i4>
      </vt:variant>
      <vt:variant>
        <vt:i4>918</vt:i4>
      </vt:variant>
      <vt:variant>
        <vt:i4>0</vt:i4>
      </vt:variant>
      <vt:variant>
        <vt:i4>5</vt:i4>
      </vt:variant>
      <vt:variant>
        <vt:lpwstr>https://www.itu.int/en/ITU-D/Emergency-Telecommunications/Pages/AI-Sub-Group-EW4All-.aspx</vt:lpwstr>
      </vt:variant>
      <vt:variant>
        <vt:lpwstr/>
      </vt:variant>
      <vt:variant>
        <vt:i4>786496</vt:i4>
      </vt:variant>
      <vt:variant>
        <vt:i4>915</vt:i4>
      </vt:variant>
      <vt:variant>
        <vt:i4>0</vt:i4>
      </vt:variant>
      <vt:variant>
        <vt:i4>5</vt:i4>
      </vt:variant>
      <vt:variant>
        <vt:lpwstr>https://www.itu.int/md/S25-SG-CIR-0052/en</vt:lpwstr>
      </vt:variant>
      <vt:variant>
        <vt:lpwstr/>
      </vt:variant>
      <vt:variant>
        <vt:i4>3801202</vt:i4>
      </vt:variant>
      <vt:variant>
        <vt:i4>912</vt:i4>
      </vt:variant>
      <vt:variant>
        <vt:i4>0</vt:i4>
      </vt:variant>
      <vt:variant>
        <vt:i4>5</vt:i4>
      </vt:variant>
      <vt:variant>
        <vt:lpwstr>https://aiforgood.itu.int/event/impact-africa/</vt:lpwstr>
      </vt:variant>
      <vt:variant>
        <vt:lpwstr/>
      </vt:variant>
      <vt:variant>
        <vt:i4>4063328</vt:i4>
      </vt:variant>
      <vt:variant>
        <vt:i4>909</vt:i4>
      </vt:variant>
      <vt:variant>
        <vt:i4>0</vt:i4>
      </vt:variant>
      <vt:variant>
        <vt:i4>5</vt:i4>
      </vt:variant>
      <vt:variant>
        <vt:lpwstr>https://aiforgood.itu.int/about-ai-for-good/innovation-factory/</vt:lpwstr>
      </vt:variant>
      <vt:variant>
        <vt:lpwstr/>
      </vt:variant>
      <vt:variant>
        <vt:i4>1966173</vt:i4>
      </vt:variant>
      <vt:variant>
        <vt:i4>906</vt:i4>
      </vt:variant>
      <vt:variant>
        <vt:i4>0</vt:i4>
      </vt:variant>
      <vt:variant>
        <vt:i4>5</vt:i4>
      </vt:variant>
      <vt:variant>
        <vt:lpwstr>https://aiforgood.itu.int/robotics-for-good-youth-challenge/</vt:lpwstr>
      </vt:variant>
      <vt:variant>
        <vt:lpwstr/>
      </vt:variant>
      <vt:variant>
        <vt:i4>2031710</vt:i4>
      </vt:variant>
      <vt:variant>
        <vt:i4>903</vt:i4>
      </vt:variant>
      <vt:variant>
        <vt:i4>0</vt:i4>
      </vt:variant>
      <vt:variant>
        <vt:i4>5</vt:i4>
      </vt:variant>
      <vt:variant>
        <vt:lpwstr>https://aiforgood.itu.int/young-ai-leaders-community/</vt:lpwstr>
      </vt:variant>
      <vt:variant>
        <vt:lpwstr/>
      </vt:variant>
      <vt:variant>
        <vt:i4>3080299</vt:i4>
      </vt:variant>
      <vt:variant>
        <vt:i4>900</vt:i4>
      </vt:variant>
      <vt:variant>
        <vt:i4>0</vt:i4>
      </vt:variant>
      <vt:variant>
        <vt:i4>5</vt:i4>
      </vt:variant>
      <vt:variant>
        <vt:lpwstr>https://aiforgood.itu.int/ai-skills-coalition/</vt:lpwstr>
      </vt:variant>
      <vt:variant>
        <vt:lpwstr/>
      </vt:variant>
      <vt:variant>
        <vt:i4>7274511</vt:i4>
      </vt:variant>
      <vt:variant>
        <vt:i4>897</vt:i4>
      </vt:variant>
      <vt:variant>
        <vt:i4>0</vt:i4>
      </vt:variant>
      <vt:variant>
        <vt:i4>5</vt:i4>
      </vt:variant>
      <vt:variant>
        <vt:lpwstr>https://www.itu.int/dms_pub/itu-t/opb/res/T-RES-T.101-2024-PDF-E.pdf</vt:lpwstr>
      </vt:variant>
      <vt:variant>
        <vt:lpwstr/>
      </vt:variant>
      <vt:variant>
        <vt:i4>3735609</vt:i4>
      </vt:variant>
      <vt:variant>
        <vt:i4>894</vt:i4>
      </vt:variant>
      <vt:variant>
        <vt:i4>0</vt:i4>
      </vt:variant>
      <vt:variant>
        <vt:i4>5</vt:i4>
      </vt:variant>
      <vt:variant>
        <vt:lpwstr>https://www.worldstandardscooperation.org/</vt:lpwstr>
      </vt:variant>
      <vt:variant>
        <vt:lpwstr/>
      </vt:variant>
      <vt:variant>
        <vt:i4>5177413</vt:i4>
      </vt:variant>
      <vt:variant>
        <vt:i4>891</vt:i4>
      </vt:variant>
      <vt:variant>
        <vt:i4>0</vt:i4>
      </vt:variant>
      <vt:variant>
        <vt:i4>5</vt:i4>
      </vt:variant>
      <vt:variant>
        <vt:lpwstr>https://www.itu.int/metaverse/virtual-worlds/</vt:lpwstr>
      </vt:variant>
      <vt:variant>
        <vt:lpwstr/>
      </vt:variant>
      <vt:variant>
        <vt:i4>7536687</vt:i4>
      </vt:variant>
      <vt:variant>
        <vt:i4>888</vt:i4>
      </vt:variant>
      <vt:variant>
        <vt:i4>0</vt:i4>
      </vt:variant>
      <vt:variant>
        <vt:i4>5</vt:i4>
      </vt:variant>
      <vt:variant>
        <vt:lpwstr>https://www.itu.int/en/ITU-T/extcoop/ai-data-commons/Pages/default.aspx</vt:lpwstr>
      </vt:variant>
      <vt:variant>
        <vt:lpwstr/>
      </vt:variant>
      <vt:variant>
        <vt:i4>1441867</vt:i4>
      </vt:variant>
      <vt:variant>
        <vt:i4>885</vt:i4>
      </vt:variant>
      <vt:variant>
        <vt:i4>0</vt:i4>
      </vt:variant>
      <vt:variant>
        <vt:i4>5</vt:i4>
      </vt:variant>
      <vt:variant>
        <vt:lpwstr>https://www.itu.int/hub/2023/07/new-un-initiative-aims-to-step-up-ais-contribution-to-health/</vt:lpwstr>
      </vt:variant>
      <vt:variant>
        <vt:lpwstr/>
      </vt:variant>
      <vt:variant>
        <vt:i4>3932204</vt:i4>
      </vt:variant>
      <vt:variant>
        <vt:i4>882</vt:i4>
      </vt:variant>
      <vt:variant>
        <vt:i4>0</vt:i4>
      </vt:variant>
      <vt:variant>
        <vt:i4>5</vt:i4>
      </vt:variant>
      <vt:variant>
        <vt:lpwstr>https://aiforgood.itu.int/ai-for-food-systems/</vt:lpwstr>
      </vt:variant>
      <vt:variant>
        <vt:lpwstr/>
      </vt:variant>
      <vt:variant>
        <vt:i4>1441813</vt:i4>
      </vt:variant>
      <vt:variant>
        <vt:i4>879</vt:i4>
      </vt:variant>
      <vt:variant>
        <vt:i4>0</vt:i4>
      </vt:variant>
      <vt:variant>
        <vt:i4>5</vt:i4>
      </vt:variant>
      <vt:variant>
        <vt:lpwstr>https://www.itu.int/en/ITU-T/extcoop/ai4resilience/Pages/default.aspx</vt:lpwstr>
      </vt:variant>
      <vt:variant>
        <vt:lpwstr/>
      </vt:variant>
      <vt:variant>
        <vt:i4>4915271</vt:i4>
      </vt:variant>
      <vt:variant>
        <vt:i4>876</vt:i4>
      </vt:variant>
      <vt:variant>
        <vt:i4>0</vt:i4>
      </vt:variant>
      <vt:variant>
        <vt:i4>5</vt:i4>
      </vt:variant>
      <vt:variant>
        <vt:lpwstr>https://www.itu.int/en/ITU-T/focusgroups/ai4h/Pages/default.aspx</vt:lpwstr>
      </vt:variant>
      <vt:variant>
        <vt:lpwstr/>
      </vt:variant>
      <vt:variant>
        <vt:i4>3080236</vt:i4>
      </vt:variant>
      <vt:variant>
        <vt:i4>873</vt:i4>
      </vt:variant>
      <vt:variant>
        <vt:i4>0</vt:i4>
      </vt:variant>
      <vt:variant>
        <vt:i4>5</vt:i4>
      </vt:variant>
      <vt:variant>
        <vt:lpwstr>https://www.itu.int/en/ITU-T/focusgroups/ai4ndm/Pages/default.aspx</vt:lpwstr>
      </vt:variant>
      <vt:variant>
        <vt:lpwstr/>
      </vt:variant>
      <vt:variant>
        <vt:i4>4915278</vt:i4>
      </vt:variant>
      <vt:variant>
        <vt:i4>870</vt:i4>
      </vt:variant>
      <vt:variant>
        <vt:i4>0</vt:i4>
      </vt:variant>
      <vt:variant>
        <vt:i4>5</vt:i4>
      </vt:variant>
      <vt:variant>
        <vt:lpwstr>https://www.itu.int/en/ITU-T/focusgroups/ai4a/Pages/default.aspx</vt:lpwstr>
      </vt:variant>
      <vt:variant>
        <vt:lpwstr/>
      </vt:variant>
      <vt:variant>
        <vt:i4>1114177</vt:i4>
      </vt:variant>
      <vt:variant>
        <vt:i4>867</vt:i4>
      </vt:variant>
      <vt:variant>
        <vt:i4>0</vt:i4>
      </vt:variant>
      <vt:variant>
        <vt:i4>5</vt:i4>
      </vt:variant>
      <vt:variant>
        <vt:lpwstr>https://www.itu.int/en/ITU-T/focusgroups/ainn/Pages/default.aspx</vt:lpwstr>
      </vt:variant>
      <vt:variant>
        <vt:lpwstr/>
      </vt:variant>
      <vt:variant>
        <vt:i4>7274592</vt:i4>
      </vt:variant>
      <vt:variant>
        <vt:i4>864</vt:i4>
      </vt:variant>
      <vt:variant>
        <vt:i4>0</vt:i4>
      </vt:variant>
      <vt:variant>
        <vt:i4>5</vt:i4>
      </vt:variant>
      <vt:variant>
        <vt:lpwstr>https://www.itu.int/en/council/Documents/basic-texts-2023/RES-214-E.pdf</vt:lpwstr>
      </vt:variant>
      <vt:variant>
        <vt:lpwstr/>
      </vt:variant>
      <vt:variant>
        <vt:i4>7798847</vt:i4>
      </vt:variant>
      <vt:variant>
        <vt:i4>861</vt:i4>
      </vt:variant>
      <vt:variant>
        <vt:i4>0</vt:i4>
      </vt:variant>
      <vt:variant>
        <vt:i4>5</vt:i4>
      </vt:variant>
      <vt:variant>
        <vt:lpwstr>https://www.itu.int/en/action/ai/Pages/default.aspx</vt:lpwstr>
      </vt:variant>
      <vt:variant>
        <vt:lpwstr/>
      </vt:variant>
      <vt:variant>
        <vt:i4>2818154</vt:i4>
      </vt:variant>
      <vt:variant>
        <vt:i4>858</vt:i4>
      </vt:variant>
      <vt:variant>
        <vt:i4>0</vt:i4>
      </vt:variant>
      <vt:variant>
        <vt:i4>5</vt:i4>
      </vt:variant>
      <vt:variant>
        <vt:lpwstr>https://www.itu.int/en/action/cybersecurity/Pages/default.aspx</vt:lpwstr>
      </vt:variant>
      <vt:variant>
        <vt:lpwstr/>
      </vt:variant>
      <vt:variant>
        <vt:i4>5177413</vt:i4>
      </vt:variant>
      <vt:variant>
        <vt:i4>855</vt:i4>
      </vt:variant>
      <vt:variant>
        <vt:i4>0</vt:i4>
      </vt:variant>
      <vt:variant>
        <vt:i4>5</vt:i4>
      </vt:variant>
      <vt:variant>
        <vt:lpwstr>https://www.itu.int/metaverse/virtual-worlds/</vt:lpwstr>
      </vt:variant>
      <vt:variant>
        <vt:lpwstr/>
      </vt:variant>
      <vt:variant>
        <vt:i4>6488100</vt:i4>
      </vt:variant>
      <vt:variant>
        <vt:i4>852</vt:i4>
      </vt:variant>
      <vt:variant>
        <vt:i4>0</vt:i4>
      </vt:variant>
      <vt:variant>
        <vt:i4>5</vt:i4>
      </vt:variant>
      <vt:variant>
        <vt:lpwstr>https://u4ssc.itu.int/</vt:lpwstr>
      </vt:variant>
      <vt:variant>
        <vt:lpwstr/>
      </vt:variant>
      <vt:variant>
        <vt:i4>86</vt:i4>
      </vt:variant>
      <vt:variant>
        <vt:i4>849</vt:i4>
      </vt:variant>
      <vt:variant>
        <vt:i4>0</vt:i4>
      </vt:variant>
      <vt:variant>
        <vt:i4>5</vt:i4>
      </vt:variant>
      <vt:variant>
        <vt:lpwstr>https://www.itu.int/en/ITU-T/studygroups/2025-2028/20/Pages/default.aspx</vt:lpwstr>
      </vt:variant>
      <vt:variant>
        <vt:lpwstr/>
      </vt:variant>
      <vt:variant>
        <vt:i4>6750260</vt:i4>
      </vt:variant>
      <vt:variant>
        <vt:i4>846</vt:i4>
      </vt:variant>
      <vt:variant>
        <vt:i4>0</vt:i4>
      </vt:variant>
      <vt:variant>
        <vt:i4>5</vt:i4>
      </vt:variant>
      <vt:variant>
        <vt:lpwstr>https://itu.int/go/SIG-SECURITY</vt:lpwstr>
      </vt:variant>
      <vt:variant>
        <vt:lpwstr/>
      </vt:variant>
      <vt:variant>
        <vt:i4>1769590</vt:i4>
      </vt:variant>
      <vt:variant>
        <vt:i4>843</vt:i4>
      </vt:variant>
      <vt:variant>
        <vt:i4>0</vt:i4>
      </vt:variant>
      <vt:variant>
        <vt:i4>5</vt:i4>
      </vt:variant>
      <vt:variant>
        <vt:lpwstr>https://www.itu.int/itu-t/workprog/wp_search.aspx?sg=17</vt:lpwstr>
      </vt:variant>
      <vt:variant>
        <vt:lpwstr/>
      </vt:variant>
      <vt:variant>
        <vt:i4>4915271</vt:i4>
      </vt:variant>
      <vt:variant>
        <vt:i4>840</vt:i4>
      </vt:variant>
      <vt:variant>
        <vt:i4>0</vt:i4>
      </vt:variant>
      <vt:variant>
        <vt:i4>5</vt:i4>
      </vt:variant>
      <vt:variant>
        <vt:lpwstr>https://www.itu.int/en/ITU-T/publications/Pages/recs.aspx</vt:lpwstr>
      </vt:variant>
      <vt:variant>
        <vt:lpwstr/>
      </vt:variant>
      <vt:variant>
        <vt:i4>3932229</vt:i4>
      </vt:variant>
      <vt:variant>
        <vt:i4>837</vt:i4>
      </vt:variant>
      <vt:variant>
        <vt:i4>0</vt:i4>
      </vt:variant>
      <vt:variant>
        <vt:i4>5</vt:i4>
      </vt:variant>
      <vt:variant>
        <vt:lpwstr>https://www.itu.int/hub/publication/d-str-cyb_joint-2025/</vt:lpwstr>
      </vt:variant>
      <vt:variant>
        <vt:lpwstr/>
      </vt:variant>
      <vt:variant>
        <vt:i4>6946939</vt:i4>
      </vt:variant>
      <vt:variant>
        <vt:i4>834</vt:i4>
      </vt:variant>
      <vt:variant>
        <vt:i4>0</vt:i4>
      </vt:variant>
      <vt:variant>
        <vt:i4>5</vt:i4>
      </vt:variant>
      <vt:variant>
        <vt:lpwstr>https://www.itu.int/en/ITU-D/Cybersecurity/Pages/COP/COP Industry Connect/COP-Industry-Connect.aspx</vt:lpwstr>
      </vt:variant>
      <vt:variant>
        <vt:lpwstr/>
      </vt:variant>
      <vt:variant>
        <vt:i4>5242881</vt:i4>
      </vt:variant>
      <vt:variant>
        <vt:i4>831</vt:i4>
      </vt:variant>
      <vt:variant>
        <vt:i4>0</vt:i4>
      </vt:variant>
      <vt:variant>
        <vt:i4>5</vt:i4>
      </vt:variant>
      <vt:variant>
        <vt:lpwstr>https://www.itu.int/en/ITU-D/Cybersecurity/Pages/COP/POP.aspx</vt:lpwstr>
      </vt:variant>
      <vt:variant>
        <vt:lpwstr/>
      </vt:variant>
      <vt:variant>
        <vt:i4>6750242</vt:i4>
      </vt:variant>
      <vt:variant>
        <vt:i4>828</vt:i4>
      </vt:variant>
      <vt:variant>
        <vt:i4>0</vt:i4>
      </vt:variant>
      <vt:variant>
        <vt:i4>5</vt:i4>
      </vt:variant>
      <vt:variant>
        <vt:lpwstr>https://www.itu.int/digital-resilience/submarine-cables/wp-content/uploads/sites/2/2026/02/Porto-Summit-Declaration.pdf</vt:lpwstr>
      </vt:variant>
      <vt:variant>
        <vt:lpwstr/>
      </vt:variant>
      <vt:variant>
        <vt:i4>6422642</vt:i4>
      </vt:variant>
      <vt:variant>
        <vt:i4>825</vt:i4>
      </vt:variant>
      <vt:variant>
        <vt:i4>0</vt:i4>
      </vt:variant>
      <vt:variant>
        <vt:i4>5</vt:i4>
      </vt:variant>
      <vt:variant>
        <vt:lpwstr>https://www.itu.int/digital-resilience/submarine-cables/events/about-porto-summit/</vt:lpwstr>
      </vt:variant>
      <vt:variant>
        <vt:lpwstr/>
      </vt:variant>
      <vt:variant>
        <vt:i4>1376268</vt:i4>
      </vt:variant>
      <vt:variant>
        <vt:i4>822</vt:i4>
      </vt:variant>
      <vt:variant>
        <vt:i4>0</vt:i4>
      </vt:variant>
      <vt:variant>
        <vt:i4>5</vt:i4>
      </vt:variant>
      <vt:variant>
        <vt:lpwstr>https://www.itu.int/digital-resilience/submarine-cables/events/about-nigeria-summit/</vt:lpwstr>
      </vt:variant>
      <vt:variant>
        <vt:lpwstr/>
      </vt:variant>
      <vt:variant>
        <vt:i4>5505089</vt:i4>
      </vt:variant>
      <vt:variant>
        <vt:i4>819</vt:i4>
      </vt:variant>
      <vt:variant>
        <vt:i4>0</vt:i4>
      </vt:variant>
      <vt:variant>
        <vt:i4>5</vt:i4>
      </vt:variant>
      <vt:variant>
        <vt:lpwstr>https://meetings.unoda.org/meeting/57871</vt:lpwstr>
      </vt:variant>
      <vt:variant>
        <vt:lpwstr/>
      </vt:variant>
      <vt:variant>
        <vt:i4>5111901</vt:i4>
      </vt:variant>
      <vt:variant>
        <vt:i4>816</vt:i4>
      </vt:variant>
      <vt:variant>
        <vt:i4>0</vt:i4>
      </vt:variant>
      <vt:variant>
        <vt:i4>5</vt:i4>
      </vt:variant>
      <vt:variant>
        <vt:lpwstr>https://academy.itu.int/</vt:lpwstr>
      </vt:variant>
      <vt:variant>
        <vt:lpwstr/>
      </vt:variant>
      <vt:variant>
        <vt:i4>7667754</vt:i4>
      </vt:variant>
      <vt:variant>
        <vt:i4>813</vt:i4>
      </vt:variant>
      <vt:variant>
        <vt:i4>0</vt:i4>
      </vt:variant>
      <vt:variant>
        <vt:i4>5</vt:i4>
      </vt:variant>
      <vt:variant>
        <vt:lpwstr>https://academy.itu.int/training-courses/full-catalogue/her-cybertracks</vt:lpwstr>
      </vt:variant>
      <vt:variant>
        <vt:lpwstr/>
      </vt:variant>
      <vt:variant>
        <vt:i4>3407990</vt:i4>
      </vt:variant>
      <vt:variant>
        <vt:i4>810</vt:i4>
      </vt:variant>
      <vt:variant>
        <vt:i4>0</vt:i4>
      </vt:variant>
      <vt:variant>
        <vt:i4>5</vt:i4>
      </vt:variant>
      <vt:variant>
        <vt:lpwstr>https://www.itu.int/en/ITU-D/Cybersecurity/Pages/Cyber4Good/Cyber4Good.aspx</vt:lpwstr>
      </vt:variant>
      <vt:variant>
        <vt:lpwstr/>
      </vt:variant>
      <vt:variant>
        <vt:i4>2031622</vt:i4>
      </vt:variant>
      <vt:variant>
        <vt:i4>807</vt:i4>
      </vt:variant>
      <vt:variant>
        <vt:i4>0</vt:i4>
      </vt:variant>
      <vt:variant>
        <vt:i4>5</vt:i4>
      </vt:variant>
      <vt:variant>
        <vt:lpwstr>https://www.itu.int/en/ITU-D/Cybersecurity/Pages/global-cybersecurity-index.aspx</vt:lpwstr>
      </vt:variant>
      <vt:variant>
        <vt:lpwstr/>
      </vt:variant>
      <vt:variant>
        <vt:i4>6094931</vt:i4>
      </vt:variant>
      <vt:variant>
        <vt:i4>804</vt:i4>
      </vt:variant>
      <vt:variant>
        <vt:i4>0</vt:i4>
      </vt:variant>
      <vt:variant>
        <vt:i4>5</vt:i4>
      </vt:variant>
      <vt:variant>
        <vt:lpwstr>https://www.itu.int/en/ITU-D/Cybersecurity/Pages/cyberdrills.aspx</vt:lpwstr>
      </vt:variant>
      <vt:variant>
        <vt:lpwstr/>
      </vt:variant>
      <vt:variant>
        <vt:i4>6750261</vt:i4>
      </vt:variant>
      <vt:variant>
        <vt:i4>801</vt:i4>
      </vt:variant>
      <vt:variant>
        <vt:i4>0</vt:i4>
      </vt:variant>
      <vt:variant>
        <vt:i4>5</vt:i4>
      </vt:variant>
      <vt:variant>
        <vt:lpwstr>https://www.itu.int/en/ITU-D/Cybersecurity/Pages/national-CIRT.aspx</vt:lpwstr>
      </vt:variant>
      <vt:variant>
        <vt:lpwstr/>
      </vt:variant>
      <vt:variant>
        <vt:i4>6488180</vt:i4>
      </vt:variant>
      <vt:variant>
        <vt:i4>798</vt:i4>
      </vt:variant>
      <vt:variant>
        <vt:i4>0</vt:i4>
      </vt:variant>
      <vt:variant>
        <vt:i4>5</vt:i4>
      </vt:variant>
      <vt:variant>
        <vt:lpwstr>https://www.itu.int/en/ITU-D/Cybersecurity/Pages/cybersecurity-national-strategies.aspx</vt:lpwstr>
      </vt:variant>
      <vt:variant>
        <vt:lpwstr/>
      </vt:variant>
      <vt:variant>
        <vt:i4>8257571</vt:i4>
      </vt:variant>
      <vt:variant>
        <vt:i4>795</vt:i4>
      </vt:variant>
      <vt:variant>
        <vt:i4>0</vt:i4>
      </vt:variant>
      <vt:variant>
        <vt:i4>5</vt:i4>
      </vt:variant>
      <vt:variant>
        <vt:lpwstr/>
      </vt:variant>
      <vt:variant>
        <vt:lpwstr>Section_4_3</vt:lpwstr>
      </vt:variant>
      <vt:variant>
        <vt:i4>4128875</vt:i4>
      </vt:variant>
      <vt:variant>
        <vt:i4>792</vt:i4>
      </vt:variant>
      <vt:variant>
        <vt:i4>0</vt:i4>
      </vt:variant>
      <vt:variant>
        <vt:i4>5</vt:i4>
      </vt:variant>
      <vt:variant>
        <vt:lpwstr>https://www.itu.int/en/ITU-T/studygroups/2022-2024/16/Pages/sl.aspx</vt:lpwstr>
      </vt:variant>
      <vt:variant>
        <vt:lpwstr/>
      </vt:variant>
      <vt:variant>
        <vt:i4>2687073</vt:i4>
      </vt:variant>
      <vt:variant>
        <vt:i4>789</vt:i4>
      </vt:variant>
      <vt:variant>
        <vt:i4>0</vt:i4>
      </vt:variant>
      <vt:variant>
        <vt:i4>5</vt:i4>
      </vt:variant>
      <vt:variant>
        <vt:lpwstr>https://www.itu.int/en/ITU-T/C-I/Pages/default.aspx</vt:lpwstr>
      </vt:variant>
      <vt:variant>
        <vt:lpwstr/>
      </vt:variant>
      <vt:variant>
        <vt:i4>6488100</vt:i4>
      </vt:variant>
      <vt:variant>
        <vt:i4>786</vt:i4>
      </vt:variant>
      <vt:variant>
        <vt:i4>0</vt:i4>
      </vt:variant>
      <vt:variant>
        <vt:i4>5</vt:i4>
      </vt:variant>
      <vt:variant>
        <vt:lpwstr>https://u4ssc.itu.int/</vt:lpwstr>
      </vt:variant>
      <vt:variant>
        <vt:lpwstr/>
      </vt:variant>
      <vt:variant>
        <vt:i4>7995433</vt:i4>
      </vt:variant>
      <vt:variant>
        <vt:i4>783</vt:i4>
      </vt:variant>
      <vt:variant>
        <vt:i4>0</vt:i4>
      </vt:variant>
      <vt:variant>
        <vt:i4>5</vt:i4>
      </vt:variant>
      <vt:variant>
        <vt:lpwstr>https://www.itu.int/en/ITU-T/dfs/seclab/Pages/default.aspx</vt:lpwstr>
      </vt:variant>
      <vt:variant>
        <vt:lpwstr/>
      </vt:variant>
      <vt:variant>
        <vt:i4>6750315</vt:i4>
      </vt:variant>
      <vt:variant>
        <vt:i4>780</vt:i4>
      </vt:variant>
      <vt:variant>
        <vt:i4>0</vt:i4>
      </vt:variant>
      <vt:variant>
        <vt:i4>5</vt:i4>
      </vt:variant>
      <vt:variant>
        <vt:lpwstr>https://www.itu.int/en/action/environment-and-climate-change/Pages/ewaste.aspx</vt:lpwstr>
      </vt:variant>
      <vt:variant>
        <vt:lpwstr/>
      </vt:variant>
      <vt:variant>
        <vt:i4>2621482</vt:i4>
      </vt:variant>
      <vt:variant>
        <vt:i4>777</vt:i4>
      </vt:variant>
      <vt:variant>
        <vt:i4>0</vt:i4>
      </vt:variant>
      <vt:variant>
        <vt:i4>5</vt:i4>
      </vt:variant>
      <vt:variant>
        <vt:lpwstr>https://www.itu.int/en/ITU-T/gap/Documents/nss-rep-may.pdf</vt:lpwstr>
      </vt:variant>
      <vt:variant>
        <vt:lpwstr/>
      </vt:variant>
      <vt:variant>
        <vt:i4>4718682</vt:i4>
      </vt:variant>
      <vt:variant>
        <vt:i4>774</vt:i4>
      </vt:variant>
      <vt:variant>
        <vt:i4>0</vt:i4>
      </vt:variant>
      <vt:variant>
        <vt:i4>5</vt:i4>
      </vt:variant>
      <vt:variant>
        <vt:lpwstr>https://www.itu.int/en/ITU-D/Regional-Presence/AsiaPacific/Pages/Projects/AI Technology and Standards Capacity Building in Asia Pacific/Artificial-Intelligence-Technology-and-Standards-Capacity-Building-in-Asia-Pacific-.aspx</vt:lpwstr>
      </vt:variant>
      <vt:variant>
        <vt:lpwstr/>
      </vt:variant>
      <vt:variant>
        <vt:i4>7667833</vt:i4>
      </vt:variant>
      <vt:variant>
        <vt:i4>771</vt:i4>
      </vt:variant>
      <vt:variant>
        <vt:i4>0</vt:i4>
      </vt:variant>
      <vt:variant>
        <vt:i4>5</vt:i4>
      </vt:variant>
      <vt:variant>
        <vt:lpwstr>https://www.itu.int/pub/T-RES-T.67-2024</vt:lpwstr>
      </vt:variant>
      <vt:variant>
        <vt:lpwstr/>
      </vt:variant>
      <vt:variant>
        <vt:i4>7340156</vt:i4>
      </vt:variant>
      <vt:variant>
        <vt:i4>768</vt:i4>
      </vt:variant>
      <vt:variant>
        <vt:i4>0</vt:i4>
      </vt:variant>
      <vt:variant>
        <vt:i4>5</vt:i4>
      </vt:variant>
      <vt:variant>
        <vt:lpwstr>https://www.itu.int/pub/T-RES-T.32-2024</vt:lpwstr>
      </vt:variant>
      <vt:variant>
        <vt:lpwstr/>
      </vt:variant>
      <vt:variant>
        <vt:i4>3997755</vt:i4>
      </vt:variant>
      <vt:variant>
        <vt:i4>765</vt:i4>
      </vt:variant>
      <vt:variant>
        <vt:i4>0</vt:i4>
      </vt:variant>
      <vt:variant>
        <vt:i4>5</vt:i4>
      </vt:variant>
      <vt:variant>
        <vt:lpwstr>https://www.itu.int/myworkspace</vt:lpwstr>
      </vt:variant>
      <vt:variant>
        <vt:lpwstr/>
      </vt:variant>
      <vt:variant>
        <vt:i4>8257582</vt:i4>
      </vt:variant>
      <vt:variant>
        <vt:i4>762</vt:i4>
      </vt:variant>
      <vt:variant>
        <vt:i4>0</vt:i4>
      </vt:variant>
      <vt:variant>
        <vt:i4>5</vt:i4>
      </vt:variant>
      <vt:variant>
        <vt:lpwstr/>
      </vt:variant>
      <vt:variant>
        <vt:lpwstr>Section_4_8_5_3</vt:lpwstr>
      </vt:variant>
      <vt:variant>
        <vt:i4>5963860</vt:i4>
      </vt:variant>
      <vt:variant>
        <vt:i4>759</vt:i4>
      </vt:variant>
      <vt:variant>
        <vt:i4>0</vt:i4>
      </vt:variant>
      <vt:variant>
        <vt:i4>5</vt:i4>
      </vt:variant>
      <vt:variant>
        <vt:lpwstr>https://www.itu.int/pub/T-RES-T.107-2024</vt:lpwstr>
      </vt:variant>
      <vt:variant>
        <vt:lpwstr/>
      </vt:variant>
      <vt:variant>
        <vt:i4>7798906</vt:i4>
      </vt:variant>
      <vt:variant>
        <vt:i4>756</vt:i4>
      </vt:variant>
      <vt:variant>
        <vt:i4>0</vt:i4>
      </vt:variant>
      <vt:variant>
        <vt:i4>5</vt:i4>
      </vt:variant>
      <vt:variant>
        <vt:lpwstr>https://www.itu.int/pub/T-RES-T.55-2024</vt:lpwstr>
      </vt:variant>
      <vt:variant>
        <vt:lpwstr/>
      </vt:variant>
      <vt:variant>
        <vt:i4>786435</vt:i4>
      </vt:variant>
      <vt:variant>
        <vt:i4>753</vt:i4>
      </vt:variant>
      <vt:variant>
        <vt:i4>0</vt:i4>
      </vt:variant>
      <vt:variant>
        <vt:i4>5</vt:i4>
      </vt:variant>
      <vt:variant>
        <vt:lpwstr>https://www.itu.int/bsg/training-modules/</vt:lpwstr>
      </vt:variant>
      <vt:variant>
        <vt:lpwstr/>
      </vt:variant>
      <vt:variant>
        <vt:i4>3014719</vt:i4>
      </vt:variant>
      <vt:variant>
        <vt:i4>750</vt:i4>
      </vt:variant>
      <vt:variant>
        <vt:i4>0</vt:i4>
      </vt:variant>
      <vt:variant>
        <vt:i4>5</vt:i4>
      </vt:variant>
      <vt:variant>
        <vt:lpwstr>https://www.itu.int/en/ITU-T/regionalgroups/sg15-afr/Pages/default.aspx</vt:lpwstr>
      </vt:variant>
      <vt:variant>
        <vt:lpwstr/>
      </vt:variant>
      <vt:variant>
        <vt:i4>8323185</vt:i4>
      </vt:variant>
      <vt:variant>
        <vt:i4>747</vt:i4>
      </vt:variant>
      <vt:variant>
        <vt:i4>0</vt:i4>
      </vt:variant>
      <vt:variant>
        <vt:i4>5</vt:i4>
      </vt:variant>
      <vt:variant>
        <vt:lpwstr>https://www.itu.int/en/ITU-T/regionalgroups/Pages/default.aspx</vt:lpwstr>
      </vt:variant>
      <vt:variant>
        <vt:lpwstr/>
      </vt:variant>
      <vt:variant>
        <vt:i4>3407917</vt:i4>
      </vt:variant>
      <vt:variant>
        <vt:i4>744</vt:i4>
      </vt:variant>
      <vt:variant>
        <vt:i4>0</vt:i4>
      </vt:variant>
      <vt:variant>
        <vt:i4>5</vt:i4>
      </vt:variant>
      <vt:variant>
        <vt:lpwstr>https://www.itu.int/en/ITU-T/gap/Pages/default.aspx</vt:lpwstr>
      </vt:variant>
      <vt:variant>
        <vt:lpwstr/>
      </vt:variant>
      <vt:variant>
        <vt:i4>4718636</vt:i4>
      </vt:variant>
      <vt:variant>
        <vt:i4>741</vt:i4>
      </vt:variant>
      <vt:variant>
        <vt:i4>0</vt:i4>
      </vt:variant>
      <vt:variant>
        <vt:i4>5</vt:i4>
      </vt:variant>
      <vt:variant>
        <vt:lpwstr/>
      </vt:variant>
      <vt:variant>
        <vt:lpwstr>figure_15</vt:lpwstr>
      </vt:variant>
      <vt:variant>
        <vt:i4>7077988</vt:i4>
      </vt:variant>
      <vt:variant>
        <vt:i4>738</vt:i4>
      </vt:variant>
      <vt:variant>
        <vt:i4>0</vt:i4>
      </vt:variant>
      <vt:variant>
        <vt:i4>5</vt:i4>
      </vt:variant>
      <vt:variant>
        <vt:lpwstr>https://www.itu.int/en/council/Documents/basic-texts-2023/RES-123-E.pdf</vt:lpwstr>
      </vt:variant>
      <vt:variant>
        <vt:lpwstr/>
      </vt:variant>
      <vt:variant>
        <vt:i4>7733371</vt:i4>
      </vt:variant>
      <vt:variant>
        <vt:i4>735</vt:i4>
      </vt:variant>
      <vt:variant>
        <vt:i4>0</vt:i4>
      </vt:variant>
      <vt:variant>
        <vt:i4>5</vt:i4>
      </vt:variant>
      <vt:variant>
        <vt:lpwstr>https://www.itu.int/pub/T-RES-T.44-2024</vt:lpwstr>
      </vt:variant>
      <vt:variant>
        <vt:lpwstr/>
      </vt:variant>
      <vt:variant>
        <vt:i4>4259923</vt:i4>
      </vt:variant>
      <vt:variant>
        <vt:i4>732</vt:i4>
      </vt:variant>
      <vt:variant>
        <vt:i4>0</vt:i4>
      </vt:variant>
      <vt:variant>
        <vt:i4>5</vt:i4>
      </vt:variant>
      <vt:variant>
        <vt:lpwstr>https://www.itu.int/pub/R-REC</vt:lpwstr>
      </vt:variant>
      <vt:variant>
        <vt:lpwstr/>
      </vt:variant>
      <vt:variant>
        <vt:i4>1769562</vt:i4>
      </vt:variant>
      <vt:variant>
        <vt:i4>729</vt:i4>
      </vt:variant>
      <vt:variant>
        <vt:i4>0</vt:i4>
      </vt:variant>
      <vt:variant>
        <vt:i4>5</vt:i4>
      </vt:variant>
      <vt:variant>
        <vt:lpwstr>https://aiforgood.itu.int/ai-standards-exchange/</vt:lpwstr>
      </vt:variant>
      <vt:variant>
        <vt:lpwstr/>
      </vt:variant>
      <vt:variant>
        <vt:i4>82</vt:i4>
      </vt:variant>
      <vt:variant>
        <vt:i4>726</vt:i4>
      </vt:variant>
      <vt:variant>
        <vt:i4>0</vt:i4>
      </vt:variant>
      <vt:variant>
        <vt:i4>5</vt:i4>
      </vt:variant>
      <vt:variant>
        <vt:lpwstr>https://www.itu.int/md/meetingdoc.asp?lang=en&amp;parent=T25-SG11-260303-TD-GEN-0939</vt:lpwstr>
      </vt:variant>
      <vt:variant>
        <vt:lpwstr/>
      </vt:variant>
      <vt:variant>
        <vt:i4>3080244</vt:i4>
      </vt:variant>
      <vt:variant>
        <vt:i4>723</vt:i4>
      </vt:variant>
      <vt:variant>
        <vt:i4>0</vt:i4>
      </vt:variant>
      <vt:variant>
        <vt:i4>5</vt:i4>
      </vt:variant>
      <vt:variant>
        <vt:lpwstr>https://www.itu.int/en/gmpcs/Pages/default.aspx</vt:lpwstr>
      </vt:variant>
      <vt:variant>
        <vt:lpwstr/>
      </vt:variant>
      <vt:variant>
        <vt:i4>81</vt:i4>
      </vt:variant>
      <vt:variant>
        <vt:i4>720</vt:i4>
      </vt:variant>
      <vt:variant>
        <vt:i4>0</vt:i4>
      </vt:variant>
      <vt:variant>
        <vt:i4>5</vt:i4>
      </vt:variant>
      <vt:variant>
        <vt:lpwstr>https://www.itu.int/md/meetingdoc.asp?lang=en&amp;parent=T25-SG11-260303-TD-GEN-0909</vt:lpwstr>
      </vt:variant>
      <vt:variant>
        <vt:lpwstr/>
      </vt:variant>
      <vt:variant>
        <vt:i4>3342375</vt:i4>
      </vt:variant>
      <vt:variant>
        <vt:i4>717</vt:i4>
      </vt:variant>
      <vt:variant>
        <vt:i4>0</vt:i4>
      </vt:variant>
      <vt:variant>
        <vt:i4>5</vt:i4>
      </vt:variant>
      <vt:variant>
        <vt:lpwstr>https://itu.int/tdata/pubs/</vt:lpwstr>
      </vt:variant>
      <vt:variant>
        <vt:lpwstr/>
      </vt:variant>
      <vt:variant>
        <vt:i4>2162734</vt:i4>
      </vt:variant>
      <vt:variant>
        <vt:i4>714</vt:i4>
      </vt:variant>
      <vt:variant>
        <vt:i4>0</vt:i4>
      </vt:variant>
      <vt:variant>
        <vt:i4>5</vt:i4>
      </vt:variant>
      <vt:variant>
        <vt:lpwstr>https://www.itu.int/en/ITU-T/focusgroups/Pages/default.aspx</vt:lpwstr>
      </vt:variant>
      <vt:variant>
        <vt:lpwstr/>
      </vt:variant>
      <vt:variant>
        <vt:i4>8060991</vt:i4>
      </vt:variant>
      <vt:variant>
        <vt:i4>711</vt:i4>
      </vt:variant>
      <vt:variant>
        <vt:i4>0</vt:i4>
      </vt:variant>
      <vt:variant>
        <vt:i4>5</vt:i4>
      </vt:variant>
      <vt:variant>
        <vt:lpwstr>https://www.itu.int/en/ITU-T/studygroups/2025-2028/</vt:lpwstr>
      </vt:variant>
      <vt:variant>
        <vt:lpwstr/>
      </vt:variant>
      <vt:variant>
        <vt:i4>4259923</vt:i4>
      </vt:variant>
      <vt:variant>
        <vt:i4>708</vt:i4>
      </vt:variant>
      <vt:variant>
        <vt:i4>0</vt:i4>
      </vt:variant>
      <vt:variant>
        <vt:i4>5</vt:i4>
      </vt:variant>
      <vt:variant>
        <vt:lpwstr>https://www.itu.int/pub/R-REC</vt:lpwstr>
      </vt:variant>
      <vt:variant>
        <vt:lpwstr/>
      </vt:variant>
      <vt:variant>
        <vt:i4>4915271</vt:i4>
      </vt:variant>
      <vt:variant>
        <vt:i4>705</vt:i4>
      </vt:variant>
      <vt:variant>
        <vt:i4>0</vt:i4>
      </vt:variant>
      <vt:variant>
        <vt:i4>5</vt:i4>
      </vt:variant>
      <vt:variant>
        <vt:lpwstr>https://www.itu.int/en/ITU-T/publications/Pages/recs.aspx</vt:lpwstr>
      </vt:variant>
      <vt:variant>
        <vt:lpwstr/>
      </vt:variant>
      <vt:variant>
        <vt:i4>786482</vt:i4>
      </vt:variant>
      <vt:variant>
        <vt:i4>702</vt:i4>
      </vt:variant>
      <vt:variant>
        <vt:i4>0</vt:i4>
      </vt:variant>
      <vt:variant>
        <vt:i4>5</vt:i4>
      </vt:variant>
      <vt:variant>
        <vt:lpwstr>https://www.itu.int/dms_pub/itu-t/opb/res/T-RES-T.91-2024-PDF-E.pdf</vt:lpwstr>
      </vt:variant>
      <vt:variant>
        <vt:lpwstr/>
      </vt:variant>
      <vt:variant>
        <vt:i4>3211387</vt:i4>
      </vt:variant>
      <vt:variant>
        <vt:i4>699</vt:i4>
      </vt:variant>
      <vt:variant>
        <vt:i4>0</vt:i4>
      </vt:variant>
      <vt:variant>
        <vt:i4>5</vt:i4>
      </vt:variant>
      <vt:variant>
        <vt:lpwstr>https://www.itu.int/pub/T-SP/e</vt:lpwstr>
      </vt:variant>
      <vt:variant>
        <vt:lpwstr/>
      </vt:variant>
      <vt:variant>
        <vt:i4>3801121</vt:i4>
      </vt:variant>
      <vt:variant>
        <vt:i4>696</vt:i4>
      </vt:variant>
      <vt:variant>
        <vt:i4>0</vt:i4>
      </vt:variant>
      <vt:variant>
        <vt:i4>5</vt:i4>
      </vt:variant>
      <vt:variant>
        <vt:lpwstr>https://www.itu.int/epublications/publication/itu-t-tr-mmwf-2025-02-methodologies-to-mitigate-wangiri-fraud</vt:lpwstr>
      </vt:variant>
      <vt:variant>
        <vt:lpwstr/>
      </vt:variant>
      <vt:variant>
        <vt:i4>786493</vt:i4>
      </vt:variant>
      <vt:variant>
        <vt:i4>693</vt:i4>
      </vt:variant>
      <vt:variant>
        <vt:i4>0</vt:i4>
      </vt:variant>
      <vt:variant>
        <vt:i4>5</vt:i4>
      </vt:variant>
      <vt:variant>
        <vt:lpwstr>https://www.itu.int/dms_pub/itu-t/opb/res/T-RES-T.61-2024-PDF-E.pdf</vt:lpwstr>
      </vt:variant>
      <vt:variant>
        <vt:lpwstr/>
      </vt:variant>
      <vt:variant>
        <vt:i4>5177420</vt:i4>
      </vt:variant>
      <vt:variant>
        <vt:i4>690</vt:i4>
      </vt:variant>
      <vt:variant>
        <vt:i4>0</vt:i4>
      </vt:variant>
      <vt:variant>
        <vt:i4>5</vt:i4>
      </vt:variant>
      <vt:variant>
        <vt:lpwstr>https://www.itu.int/rec/T-REC-E.1121-202406-I</vt:lpwstr>
      </vt:variant>
      <vt:variant>
        <vt:lpwstr/>
      </vt:variant>
      <vt:variant>
        <vt:i4>5111881</vt:i4>
      </vt:variant>
      <vt:variant>
        <vt:i4>687</vt:i4>
      </vt:variant>
      <vt:variant>
        <vt:i4>0</vt:i4>
      </vt:variant>
      <vt:variant>
        <vt:i4>5</vt:i4>
      </vt:variant>
      <vt:variant>
        <vt:lpwstr>https://www.itu.int/rec/T-REC-E.1120-202502-I</vt:lpwstr>
      </vt:variant>
      <vt:variant>
        <vt:lpwstr/>
      </vt:variant>
      <vt:variant>
        <vt:i4>4522009</vt:i4>
      </vt:variant>
      <vt:variant>
        <vt:i4>684</vt:i4>
      </vt:variant>
      <vt:variant>
        <vt:i4>0</vt:i4>
      </vt:variant>
      <vt:variant>
        <vt:i4>5</vt:i4>
      </vt:variant>
      <vt:variant>
        <vt:lpwstr>https://www.itu.int/ITU-R/BR-GeoCatalogue</vt:lpwstr>
      </vt:variant>
      <vt:variant>
        <vt:lpwstr/>
      </vt:variant>
      <vt:variant>
        <vt:i4>3276849</vt:i4>
      </vt:variant>
      <vt:variant>
        <vt:i4>681</vt:i4>
      </vt:variant>
      <vt:variant>
        <vt:i4>0</vt:i4>
      </vt:variant>
      <vt:variant>
        <vt:i4>5</vt:i4>
      </vt:variant>
      <vt:variant>
        <vt:lpwstr>https://www.itu.int/ITU-R/terrasys</vt:lpwstr>
      </vt:variant>
      <vt:variant>
        <vt:lpwstr/>
      </vt:variant>
      <vt:variant>
        <vt:i4>5505034</vt:i4>
      </vt:variant>
      <vt:variant>
        <vt:i4>678</vt:i4>
      </vt:variant>
      <vt:variant>
        <vt:i4>0</vt:i4>
      </vt:variant>
      <vt:variant>
        <vt:i4>5</vt:i4>
      </vt:variant>
      <vt:variant>
        <vt:lpwstr>https://www.itu.int/epublications/brific-space/en/home/index</vt:lpwstr>
      </vt:variant>
      <vt:variant>
        <vt:lpwstr/>
      </vt:variant>
      <vt:variant>
        <vt:i4>2162705</vt:i4>
      </vt:variant>
      <vt:variant>
        <vt:i4>675</vt:i4>
      </vt:variant>
      <vt:variant>
        <vt:i4>0</vt:i4>
      </vt:variant>
      <vt:variant>
        <vt:i4>5</vt:i4>
      </vt:variant>
      <vt:variant>
        <vt:lpwstr/>
      </vt:variant>
      <vt:variant>
        <vt:lpwstr>Section_4_2_1</vt:lpwstr>
      </vt:variant>
      <vt:variant>
        <vt:i4>1572929</vt:i4>
      </vt:variant>
      <vt:variant>
        <vt:i4>672</vt:i4>
      </vt:variant>
      <vt:variant>
        <vt:i4>0</vt:i4>
      </vt:variant>
      <vt:variant>
        <vt:i4>5</vt:i4>
      </vt:variant>
      <vt:variant>
        <vt:lpwstr>https://www.itu.int/sales/digital-publications/pub/r-sp-lm.mm</vt:lpwstr>
      </vt:variant>
      <vt:variant>
        <vt:lpwstr/>
      </vt:variant>
      <vt:variant>
        <vt:i4>4522009</vt:i4>
      </vt:variant>
      <vt:variant>
        <vt:i4>669</vt:i4>
      </vt:variant>
      <vt:variant>
        <vt:i4>0</vt:i4>
      </vt:variant>
      <vt:variant>
        <vt:i4>5</vt:i4>
      </vt:variant>
      <vt:variant>
        <vt:lpwstr>https://www.itu.int/ITU-R/BR-GeoCatalogue</vt:lpwstr>
      </vt:variant>
      <vt:variant>
        <vt:lpwstr/>
      </vt:variant>
      <vt:variant>
        <vt:i4>7864379</vt:i4>
      </vt:variant>
      <vt:variant>
        <vt:i4>666</vt:i4>
      </vt:variant>
      <vt:variant>
        <vt:i4>0</vt:i4>
      </vt:variant>
      <vt:variant>
        <vt:i4>5</vt:i4>
      </vt:variant>
      <vt:variant>
        <vt:lpwstr>https://www.itu.int/hub/publication/r-reg-rrx-2025/</vt:lpwstr>
      </vt:variant>
      <vt:variant>
        <vt:lpwstr/>
      </vt:variant>
      <vt:variant>
        <vt:i4>8192118</vt:i4>
      </vt:variant>
      <vt:variant>
        <vt:i4>663</vt:i4>
      </vt:variant>
      <vt:variant>
        <vt:i4>0</vt:i4>
      </vt:variant>
      <vt:variant>
        <vt:i4>5</vt:i4>
      </vt:variant>
      <vt:variant>
        <vt:lpwstr>https://www.itu.int/hub/publication/r-reg-rr5-2020/</vt:lpwstr>
      </vt:variant>
      <vt:variant>
        <vt:lpwstr/>
      </vt:variant>
      <vt:variant>
        <vt:i4>1966171</vt:i4>
      </vt:variant>
      <vt:variant>
        <vt:i4>660</vt:i4>
      </vt:variant>
      <vt:variant>
        <vt:i4>0</vt:i4>
      </vt:variant>
      <vt:variant>
        <vt:i4>5</vt:i4>
      </vt:variant>
      <vt:variant>
        <vt:lpwstr>https://www.itu.int/pub/R-REG-RR-2024</vt:lpwstr>
      </vt:variant>
      <vt:variant>
        <vt:lpwstr/>
      </vt:variant>
      <vt:variant>
        <vt:i4>3866727</vt:i4>
      </vt:variant>
      <vt:variant>
        <vt:i4>657</vt:i4>
      </vt:variant>
      <vt:variant>
        <vt:i4>0</vt:i4>
      </vt:variant>
      <vt:variant>
        <vt:i4>5</vt:i4>
      </vt:variant>
      <vt:variant>
        <vt:lpwstr>https://www.itu.int/wrc-27/</vt:lpwstr>
      </vt:variant>
      <vt:variant>
        <vt:lpwstr/>
      </vt:variant>
      <vt:variant>
        <vt:i4>4128871</vt:i4>
      </vt:variant>
      <vt:variant>
        <vt:i4>654</vt:i4>
      </vt:variant>
      <vt:variant>
        <vt:i4>0</vt:i4>
      </vt:variant>
      <vt:variant>
        <vt:i4>5</vt:i4>
      </vt:variant>
      <vt:variant>
        <vt:lpwstr>https://www.itu.int/wrc-23/</vt:lpwstr>
      </vt:variant>
      <vt:variant>
        <vt:lpwstr/>
      </vt:variant>
      <vt:variant>
        <vt:i4>917566</vt:i4>
      </vt:variant>
      <vt:variant>
        <vt:i4>651</vt:i4>
      </vt:variant>
      <vt:variant>
        <vt:i4>0</vt:i4>
      </vt:variant>
      <vt:variant>
        <vt:i4>5</vt:i4>
      </vt:variant>
      <vt:variant>
        <vt:lpwstr>https://www.itu.int/en/ITU-D/Environment/Documents/Publications/2025/d-gen-e_waste.01-2024-pdf-e.pdf</vt:lpwstr>
      </vt:variant>
      <vt:variant>
        <vt:lpwstr/>
      </vt:variant>
      <vt:variant>
        <vt:i4>1704022</vt:i4>
      </vt:variant>
      <vt:variant>
        <vt:i4>648</vt:i4>
      </vt:variant>
      <vt:variant>
        <vt:i4>0</vt:i4>
      </vt:variant>
      <vt:variant>
        <vt:i4>5</vt:i4>
      </vt:variant>
      <vt:variant>
        <vt:lpwstr>https://www.itu.int/itu-d/reports/statistics/global-connectivity-report-2025/</vt:lpwstr>
      </vt:variant>
      <vt:variant>
        <vt:lpwstr/>
      </vt:variant>
      <vt:variant>
        <vt:i4>5767256</vt:i4>
      </vt:variant>
      <vt:variant>
        <vt:i4>645</vt:i4>
      </vt:variant>
      <vt:variant>
        <vt:i4>0</vt:i4>
      </vt:variant>
      <vt:variant>
        <vt:i4>5</vt:i4>
      </vt:variant>
      <vt:variant>
        <vt:lpwstr>https://www.itu.int/itu-d/reports/statistics/facts-figures-for-lldc/</vt:lpwstr>
      </vt:variant>
      <vt:variant>
        <vt:lpwstr/>
      </vt:variant>
      <vt:variant>
        <vt:i4>5898260</vt:i4>
      </vt:variant>
      <vt:variant>
        <vt:i4>642</vt:i4>
      </vt:variant>
      <vt:variant>
        <vt:i4>0</vt:i4>
      </vt:variant>
      <vt:variant>
        <vt:i4>5</vt:i4>
      </vt:variant>
      <vt:variant>
        <vt:lpwstr>https://www.itu.int/en/ITU-D/Statistics/Pages/facts/default.aspx</vt:lpwstr>
      </vt:variant>
      <vt:variant>
        <vt:lpwstr/>
      </vt:variant>
      <vt:variant>
        <vt:i4>8257570</vt:i4>
      </vt:variant>
      <vt:variant>
        <vt:i4>639</vt:i4>
      </vt:variant>
      <vt:variant>
        <vt:i4>0</vt:i4>
      </vt:variant>
      <vt:variant>
        <vt:i4>5</vt:i4>
      </vt:variant>
      <vt:variant>
        <vt:lpwstr/>
      </vt:variant>
      <vt:variant>
        <vt:lpwstr>Section_5_4</vt:lpwstr>
      </vt:variant>
      <vt:variant>
        <vt:i4>851988</vt:i4>
      </vt:variant>
      <vt:variant>
        <vt:i4>636</vt:i4>
      </vt:variant>
      <vt:variant>
        <vt:i4>0</vt:i4>
      </vt:variant>
      <vt:variant>
        <vt:i4>5</vt:i4>
      </vt:variant>
      <vt:variant>
        <vt:lpwstr>https://www.itu.int/hub/publication/d-gdc-clim-2025/</vt:lpwstr>
      </vt:variant>
      <vt:variant>
        <vt:lpwstr/>
      </vt:variant>
      <vt:variant>
        <vt:i4>3670021</vt:i4>
      </vt:variant>
      <vt:variant>
        <vt:i4>633</vt:i4>
      </vt:variant>
      <vt:variant>
        <vt:i4>0</vt:i4>
      </vt:variant>
      <vt:variant>
        <vt:i4>5</vt:i4>
      </vt:variant>
      <vt:variant>
        <vt:lpwstr>https://www.itu.int/en/ITU-D/Statistics/Documents/publications/manual/ITU_HHManual_ICTskills_rev2025.pdf</vt:lpwstr>
      </vt:variant>
      <vt:variant>
        <vt:lpwstr/>
      </vt:variant>
      <vt:variant>
        <vt:i4>4718636</vt:i4>
      </vt:variant>
      <vt:variant>
        <vt:i4>630</vt:i4>
      </vt:variant>
      <vt:variant>
        <vt:i4>0</vt:i4>
      </vt:variant>
      <vt:variant>
        <vt:i4>5</vt:i4>
      </vt:variant>
      <vt:variant>
        <vt:lpwstr/>
      </vt:variant>
      <vt:variant>
        <vt:lpwstr>figure_13</vt:lpwstr>
      </vt:variant>
      <vt:variant>
        <vt:i4>524362</vt:i4>
      </vt:variant>
      <vt:variant>
        <vt:i4>627</vt:i4>
      </vt:variant>
      <vt:variant>
        <vt:i4>0</vt:i4>
      </vt:variant>
      <vt:variant>
        <vt:i4>5</vt:i4>
      </vt:variant>
      <vt:variant>
        <vt:lpwstr>https://www.itu.int/itu-d/reports/statistics/2025/10/15/ff25-internet-use-in-urban-and-rural-areas/</vt:lpwstr>
      </vt:variant>
      <vt:variant>
        <vt:lpwstr>chart-1</vt:lpwstr>
      </vt:variant>
      <vt:variant>
        <vt:i4>4718636</vt:i4>
      </vt:variant>
      <vt:variant>
        <vt:i4>624</vt:i4>
      </vt:variant>
      <vt:variant>
        <vt:i4>0</vt:i4>
      </vt:variant>
      <vt:variant>
        <vt:i4>5</vt:i4>
      </vt:variant>
      <vt:variant>
        <vt:lpwstr/>
      </vt:variant>
      <vt:variant>
        <vt:lpwstr>figure_12</vt:lpwstr>
      </vt:variant>
      <vt:variant>
        <vt:i4>6750319</vt:i4>
      </vt:variant>
      <vt:variant>
        <vt:i4>621</vt:i4>
      </vt:variant>
      <vt:variant>
        <vt:i4>0</vt:i4>
      </vt:variant>
      <vt:variant>
        <vt:i4>5</vt:i4>
      </vt:variant>
      <vt:variant>
        <vt:lpwstr>https://www.itu.int/itu-d/reports/statistics/2025/10/15/ff25-youth-internet-use/</vt:lpwstr>
      </vt:variant>
      <vt:variant>
        <vt:lpwstr>chart-1</vt:lpwstr>
      </vt:variant>
      <vt:variant>
        <vt:i4>4718636</vt:i4>
      </vt:variant>
      <vt:variant>
        <vt:i4>618</vt:i4>
      </vt:variant>
      <vt:variant>
        <vt:i4>0</vt:i4>
      </vt:variant>
      <vt:variant>
        <vt:i4>5</vt:i4>
      </vt:variant>
      <vt:variant>
        <vt:lpwstr/>
      </vt:variant>
      <vt:variant>
        <vt:lpwstr>figure_11</vt:lpwstr>
      </vt:variant>
      <vt:variant>
        <vt:i4>65539</vt:i4>
      </vt:variant>
      <vt:variant>
        <vt:i4>615</vt:i4>
      </vt:variant>
      <vt:variant>
        <vt:i4>0</vt:i4>
      </vt:variant>
      <vt:variant>
        <vt:i4>5</vt:i4>
      </vt:variant>
      <vt:variant>
        <vt:lpwstr>https://www.itu.int/itu-d/reports/statistics/2025/10/15/ff25-the-gender-digital-divide/</vt:lpwstr>
      </vt:variant>
      <vt:variant>
        <vt:lpwstr>chart-1</vt:lpwstr>
      </vt:variant>
      <vt:variant>
        <vt:i4>196697</vt:i4>
      </vt:variant>
      <vt:variant>
        <vt:i4>612</vt:i4>
      </vt:variant>
      <vt:variant>
        <vt:i4>0</vt:i4>
      </vt:variant>
      <vt:variant>
        <vt:i4>5</vt:i4>
      </vt:variant>
      <vt:variant>
        <vt:lpwstr>https://www.itu.int/itu-d/reports/statistics/2025/10/15/ff25-internet-use/</vt:lpwstr>
      </vt:variant>
      <vt:variant>
        <vt:lpwstr>chart-2</vt:lpwstr>
      </vt:variant>
      <vt:variant>
        <vt:i4>4718636</vt:i4>
      </vt:variant>
      <vt:variant>
        <vt:i4>609</vt:i4>
      </vt:variant>
      <vt:variant>
        <vt:i4>0</vt:i4>
      </vt:variant>
      <vt:variant>
        <vt:i4>5</vt:i4>
      </vt:variant>
      <vt:variant>
        <vt:lpwstr/>
      </vt:variant>
      <vt:variant>
        <vt:lpwstr>figure_10</vt:lpwstr>
      </vt:variant>
      <vt:variant>
        <vt:i4>196697</vt:i4>
      </vt:variant>
      <vt:variant>
        <vt:i4>606</vt:i4>
      </vt:variant>
      <vt:variant>
        <vt:i4>0</vt:i4>
      </vt:variant>
      <vt:variant>
        <vt:i4>5</vt:i4>
      </vt:variant>
      <vt:variant>
        <vt:lpwstr>https://www.itu.int/itu-d/reports/statistics/2025/10/15/ff25-internet-use/</vt:lpwstr>
      </vt:variant>
      <vt:variant>
        <vt:lpwstr>chart-1</vt:lpwstr>
      </vt:variant>
      <vt:variant>
        <vt:i4>4194348</vt:i4>
      </vt:variant>
      <vt:variant>
        <vt:i4>603</vt:i4>
      </vt:variant>
      <vt:variant>
        <vt:i4>0</vt:i4>
      </vt:variant>
      <vt:variant>
        <vt:i4>5</vt:i4>
      </vt:variant>
      <vt:variant>
        <vt:lpwstr/>
      </vt:variant>
      <vt:variant>
        <vt:lpwstr>figure_9</vt:lpwstr>
      </vt:variant>
      <vt:variant>
        <vt:i4>4259884</vt:i4>
      </vt:variant>
      <vt:variant>
        <vt:i4>600</vt:i4>
      </vt:variant>
      <vt:variant>
        <vt:i4>0</vt:i4>
      </vt:variant>
      <vt:variant>
        <vt:i4>5</vt:i4>
      </vt:variant>
      <vt:variant>
        <vt:lpwstr/>
      </vt:variant>
      <vt:variant>
        <vt:lpwstr>figure_8</vt:lpwstr>
      </vt:variant>
      <vt:variant>
        <vt:i4>6422645</vt:i4>
      </vt:variant>
      <vt:variant>
        <vt:i4>597</vt:i4>
      </vt:variant>
      <vt:variant>
        <vt:i4>0</vt:i4>
      </vt:variant>
      <vt:variant>
        <vt:i4>5</vt:i4>
      </vt:variant>
      <vt:variant>
        <vt:lpwstr>https://databrowser.uis.unesco.org/</vt:lpwstr>
      </vt:variant>
      <vt:variant>
        <vt:lpwstr/>
      </vt:variant>
      <vt:variant>
        <vt:i4>1114194</vt:i4>
      </vt:variant>
      <vt:variant>
        <vt:i4>594</vt:i4>
      </vt:variant>
      <vt:variant>
        <vt:i4>0</vt:i4>
      </vt:variant>
      <vt:variant>
        <vt:i4>5</vt:i4>
      </vt:variant>
      <vt:variant>
        <vt:lpwstr>https://www.unesco.org/en/sdg4scorecard-dashboard</vt:lpwstr>
      </vt:variant>
      <vt:variant>
        <vt:lpwstr/>
      </vt:variant>
      <vt:variant>
        <vt:i4>3801130</vt:i4>
      </vt:variant>
      <vt:variant>
        <vt:i4>591</vt:i4>
      </vt:variant>
      <vt:variant>
        <vt:i4>0</vt:i4>
      </vt:variant>
      <vt:variant>
        <vt:i4>5</vt:i4>
      </vt:variant>
      <vt:variant>
        <vt:lpwstr>https://www.itu.int/itu-d/reports/statistics/2025/10/15/ff25-mobile-phone-ownership/</vt:lpwstr>
      </vt:variant>
      <vt:variant>
        <vt:lpwstr>chart-2</vt:lpwstr>
      </vt:variant>
      <vt:variant>
        <vt:i4>5111852</vt:i4>
      </vt:variant>
      <vt:variant>
        <vt:i4>588</vt:i4>
      </vt:variant>
      <vt:variant>
        <vt:i4>0</vt:i4>
      </vt:variant>
      <vt:variant>
        <vt:i4>5</vt:i4>
      </vt:variant>
      <vt:variant>
        <vt:lpwstr/>
      </vt:variant>
      <vt:variant>
        <vt:lpwstr>figure_7</vt:lpwstr>
      </vt:variant>
      <vt:variant>
        <vt:i4>5242909</vt:i4>
      </vt:variant>
      <vt:variant>
        <vt:i4>585</vt:i4>
      </vt:variant>
      <vt:variant>
        <vt:i4>0</vt:i4>
      </vt:variant>
      <vt:variant>
        <vt:i4>5</vt:i4>
      </vt:variant>
      <vt:variant>
        <vt:lpwstr>https://www.itu.int/en/ITU-D/Statistics/Pages/ICTprices/default.aspx</vt:lpwstr>
      </vt:variant>
      <vt:variant>
        <vt:lpwstr/>
      </vt:variant>
      <vt:variant>
        <vt:i4>2752634</vt:i4>
      </vt:variant>
      <vt:variant>
        <vt:i4>582</vt:i4>
      </vt:variant>
      <vt:variant>
        <vt:i4>0</vt:i4>
      </vt:variant>
      <vt:variant>
        <vt:i4>5</vt:i4>
      </vt:variant>
      <vt:variant>
        <vt:lpwstr>https://datahub.itu.int/data/?e=KAZ&amp;i=36056</vt:lpwstr>
      </vt:variant>
      <vt:variant>
        <vt:lpwstr/>
      </vt:variant>
      <vt:variant>
        <vt:i4>2752634</vt:i4>
      </vt:variant>
      <vt:variant>
        <vt:i4>579</vt:i4>
      </vt:variant>
      <vt:variant>
        <vt:i4>0</vt:i4>
      </vt:variant>
      <vt:variant>
        <vt:i4>5</vt:i4>
      </vt:variant>
      <vt:variant>
        <vt:lpwstr>https://datahub.itu.int/data/?e=KAZ&amp;i=36056</vt:lpwstr>
      </vt:variant>
      <vt:variant>
        <vt:lpwstr/>
      </vt:variant>
      <vt:variant>
        <vt:i4>5177388</vt:i4>
      </vt:variant>
      <vt:variant>
        <vt:i4>576</vt:i4>
      </vt:variant>
      <vt:variant>
        <vt:i4>0</vt:i4>
      </vt:variant>
      <vt:variant>
        <vt:i4>5</vt:i4>
      </vt:variant>
      <vt:variant>
        <vt:lpwstr/>
      </vt:variant>
      <vt:variant>
        <vt:lpwstr>figure_6</vt:lpwstr>
      </vt:variant>
      <vt:variant>
        <vt:i4>4980780</vt:i4>
      </vt:variant>
      <vt:variant>
        <vt:i4>573</vt:i4>
      </vt:variant>
      <vt:variant>
        <vt:i4>0</vt:i4>
      </vt:variant>
      <vt:variant>
        <vt:i4>5</vt:i4>
      </vt:variant>
      <vt:variant>
        <vt:lpwstr/>
      </vt:variant>
      <vt:variant>
        <vt:lpwstr>figure_5</vt:lpwstr>
      </vt:variant>
      <vt:variant>
        <vt:i4>7667749</vt:i4>
      </vt:variant>
      <vt:variant>
        <vt:i4>570</vt:i4>
      </vt:variant>
      <vt:variant>
        <vt:i4>0</vt:i4>
      </vt:variant>
      <vt:variant>
        <vt:i4>5</vt:i4>
      </vt:variant>
      <vt:variant>
        <vt:lpwstr>https://www.itu.int/itu-d/reports/statistics/2025/10/15/ff25-mobile-network-coverage/</vt:lpwstr>
      </vt:variant>
      <vt:variant>
        <vt:lpwstr>chart-2</vt:lpwstr>
      </vt:variant>
      <vt:variant>
        <vt:i4>7667749</vt:i4>
      </vt:variant>
      <vt:variant>
        <vt:i4>567</vt:i4>
      </vt:variant>
      <vt:variant>
        <vt:i4>0</vt:i4>
      </vt:variant>
      <vt:variant>
        <vt:i4>5</vt:i4>
      </vt:variant>
      <vt:variant>
        <vt:lpwstr>https://www.itu.int/itu-d/reports/statistics/2025/10/15/ff25-mobile-network-coverage/</vt:lpwstr>
      </vt:variant>
      <vt:variant>
        <vt:lpwstr>chart-1</vt:lpwstr>
      </vt:variant>
      <vt:variant>
        <vt:i4>5046316</vt:i4>
      </vt:variant>
      <vt:variant>
        <vt:i4>564</vt:i4>
      </vt:variant>
      <vt:variant>
        <vt:i4>0</vt:i4>
      </vt:variant>
      <vt:variant>
        <vt:i4>5</vt:i4>
      </vt:variant>
      <vt:variant>
        <vt:lpwstr/>
      </vt:variant>
      <vt:variant>
        <vt:lpwstr>figure_4</vt:lpwstr>
      </vt:variant>
      <vt:variant>
        <vt:i4>4849708</vt:i4>
      </vt:variant>
      <vt:variant>
        <vt:i4>561</vt:i4>
      </vt:variant>
      <vt:variant>
        <vt:i4>0</vt:i4>
      </vt:variant>
      <vt:variant>
        <vt:i4>5</vt:i4>
      </vt:variant>
      <vt:variant>
        <vt:lpwstr/>
      </vt:variant>
      <vt:variant>
        <vt:lpwstr>figure_3</vt:lpwstr>
      </vt:variant>
      <vt:variant>
        <vt:i4>5898260</vt:i4>
      </vt:variant>
      <vt:variant>
        <vt:i4>558</vt:i4>
      </vt:variant>
      <vt:variant>
        <vt:i4>0</vt:i4>
      </vt:variant>
      <vt:variant>
        <vt:i4>5</vt:i4>
      </vt:variant>
      <vt:variant>
        <vt:lpwstr>https://www.itu.int/en/ITU-D/Statistics/pages/facts/default.aspx</vt:lpwstr>
      </vt:variant>
      <vt:variant>
        <vt:lpwstr/>
      </vt:variant>
      <vt:variant>
        <vt:i4>2162710</vt:i4>
      </vt:variant>
      <vt:variant>
        <vt:i4>555</vt:i4>
      </vt:variant>
      <vt:variant>
        <vt:i4>0</vt:i4>
      </vt:variant>
      <vt:variant>
        <vt:i4>5</vt:i4>
      </vt:variant>
      <vt:variant>
        <vt:lpwstr/>
      </vt:variant>
      <vt:variant>
        <vt:lpwstr>Section_3_2_2</vt:lpwstr>
      </vt:variant>
      <vt:variant>
        <vt:i4>2162710</vt:i4>
      </vt:variant>
      <vt:variant>
        <vt:i4>552</vt:i4>
      </vt:variant>
      <vt:variant>
        <vt:i4>0</vt:i4>
      </vt:variant>
      <vt:variant>
        <vt:i4>5</vt:i4>
      </vt:variant>
      <vt:variant>
        <vt:lpwstr/>
      </vt:variant>
      <vt:variant>
        <vt:lpwstr>Section_3_2_1</vt:lpwstr>
      </vt:variant>
      <vt:variant>
        <vt:i4>4915244</vt:i4>
      </vt:variant>
      <vt:variant>
        <vt:i4>549</vt:i4>
      </vt:variant>
      <vt:variant>
        <vt:i4>0</vt:i4>
      </vt:variant>
      <vt:variant>
        <vt:i4>5</vt:i4>
      </vt:variant>
      <vt:variant>
        <vt:lpwstr/>
      </vt:variant>
      <vt:variant>
        <vt:lpwstr>figure_2</vt:lpwstr>
      </vt:variant>
      <vt:variant>
        <vt:i4>5701657</vt:i4>
      </vt:variant>
      <vt:variant>
        <vt:i4>546</vt:i4>
      </vt:variant>
      <vt:variant>
        <vt:i4>0</vt:i4>
      </vt:variant>
      <vt:variant>
        <vt:i4>5</vt:i4>
      </vt:variant>
      <vt:variant>
        <vt:lpwstr>https://www.itu.int/highlights-report-activities/connect2030-agenda/</vt:lpwstr>
      </vt:variant>
      <vt:variant>
        <vt:lpwstr/>
      </vt:variant>
      <vt:variant>
        <vt:i4>5701657</vt:i4>
      </vt:variant>
      <vt:variant>
        <vt:i4>540</vt:i4>
      </vt:variant>
      <vt:variant>
        <vt:i4>0</vt:i4>
      </vt:variant>
      <vt:variant>
        <vt:i4>5</vt:i4>
      </vt:variant>
      <vt:variant>
        <vt:lpwstr>https://www.itu.int/highlights-report-activities/connect2030-agenda/</vt:lpwstr>
      </vt:variant>
      <vt:variant>
        <vt:lpwstr/>
      </vt:variant>
      <vt:variant>
        <vt:i4>2424953</vt:i4>
      </vt:variant>
      <vt:variant>
        <vt:i4>537</vt:i4>
      </vt:variant>
      <vt:variant>
        <vt:i4>0</vt:i4>
      </vt:variant>
      <vt:variant>
        <vt:i4>5</vt:i4>
      </vt:variant>
      <vt:variant>
        <vt:lpwstr>https://www.itu.int/md/D22-WTDC25-251117/sum/en</vt:lpwstr>
      </vt:variant>
      <vt:variant>
        <vt:lpwstr/>
      </vt:variant>
      <vt:variant>
        <vt:i4>1572952</vt:i4>
      </vt:variant>
      <vt:variant>
        <vt:i4>534</vt:i4>
      </vt:variant>
      <vt:variant>
        <vt:i4>0</vt:i4>
      </vt:variant>
      <vt:variant>
        <vt:i4>5</vt:i4>
      </vt:variant>
      <vt:variant>
        <vt:lpwstr>https://www.itu.int/md/meetingdoc.asp?lang=en&amp;parent=D22-WTDC25-INF-0008</vt:lpwstr>
      </vt:variant>
      <vt:variant>
        <vt:lpwstr/>
      </vt:variant>
      <vt:variant>
        <vt:i4>8126516</vt:i4>
      </vt:variant>
      <vt:variant>
        <vt:i4>531</vt:i4>
      </vt:variant>
      <vt:variant>
        <vt:i4>0</vt:i4>
      </vt:variant>
      <vt:variant>
        <vt:i4>5</vt:i4>
      </vt:variant>
      <vt:variant>
        <vt:lpwstr>https://www.itu.int/md/meetingdoc.asp?lang=en&amp;parent=D22-WTDC25-C-0002</vt:lpwstr>
      </vt:variant>
      <vt:variant>
        <vt:lpwstr/>
      </vt:variant>
      <vt:variant>
        <vt:i4>4522062</vt:i4>
      </vt:variant>
      <vt:variant>
        <vt:i4>528</vt:i4>
      </vt:variant>
      <vt:variant>
        <vt:i4>0</vt:i4>
      </vt:variant>
      <vt:variant>
        <vt:i4>5</vt:i4>
      </vt:variant>
      <vt:variant>
        <vt:lpwstr>https://www.itu.int/itu-d/meetings/wtdc25/wp-content/uploads/sites/29/2025/12/Study-Group-Questions-2026-2029.pdf</vt:lpwstr>
      </vt:variant>
      <vt:variant>
        <vt:lpwstr/>
      </vt:variant>
      <vt:variant>
        <vt:i4>7078007</vt:i4>
      </vt:variant>
      <vt:variant>
        <vt:i4>525</vt:i4>
      </vt:variant>
      <vt:variant>
        <vt:i4>0</vt:i4>
      </vt:variant>
      <vt:variant>
        <vt:i4>5</vt:i4>
      </vt:variant>
      <vt:variant>
        <vt:lpwstr>https://www.itu.int/itu-d/meetings/wtdc25/wp-content/uploads/sites/29/2025/11/090-E.pdf</vt:lpwstr>
      </vt:variant>
      <vt:variant>
        <vt:lpwstr/>
      </vt:variant>
      <vt:variant>
        <vt:i4>7209077</vt:i4>
      </vt:variant>
      <vt:variant>
        <vt:i4>522</vt:i4>
      </vt:variant>
      <vt:variant>
        <vt:i4>0</vt:i4>
      </vt:variant>
      <vt:variant>
        <vt:i4>5</vt:i4>
      </vt:variant>
      <vt:variant>
        <vt:lpwstr>https://www.itu.int/en/ITU-D/Pages/regional-initiatives-2026-2029.aspx</vt:lpwstr>
      </vt:variant>
      <vt:variant>
        <vt:lpwstr/>
      </vt:variant>
      <vt:variant>
        <vt:i4>7078007</vt:i4>
      </vt:variant>
      <vt:variant>
        <vt:i4>519</vt:i4>
      </vt:variant>
      <vt:variant>
        <vt:i4>0</vt:i4>
      </vt:variant>
      <vt:variant>
        <vt:i4>5</vt:i4>
      </vt:variant>
      <vt:variant>
        <vt:lpwstr>https://www.itu.int/itu-d/meetings/wtdc25/wp-content/uploads/sites/29/2025/11/090-E.pdf</vt:lpwstr>
      </vt:variant>
      <vt:variant>
        <vt:lpwstr/>
      </vt:variant>
      <vt:variant>
        <vt:i4>1048601</vt:i4>
      </vt:variant>
      <vt:variant>
        <vt:i4>516</vt:i4>
      </vt:variant>
      <vt:variant>
        <vt:i4>0</vt:i4>
      </vt:variant>
      <vt:variant>
        <vt:i4>5</vt:i4>
      </vt:variant>
      <vt:variant>
        <vt:lpwstr>https://www.itu.int/itu-d/meetings/wtdc25/wp-content/uploads/sites/29/2025/11/WTDC-25-Declaration.pdf</vt:lpwstr>
      </vt:variant>
      <vt:variant>
        <vt:lpwstr/>
      </vt:variant>
      <vt:variant>
        <vt:i4>2555954</vt:i4>
      </vt:variant>
      <vt:variant>
        <vt:i4>513</vt:i4>
      </vt:variant>
      <vt:variant>
        <vt:i4>0</vt:i4>
      </vt:variant>
      <vt:variant>
        <vt:i4>5</vt:i4>
      </vt:variant>
      <vt:variant>
        <vt:lpwstr>https://www.itu.int/itu-d/meetings/wtdc25/</vt:lpwstr>
      </vt:variant>
      <vt:variant>
        <vt:lpwstr/>
      </vt:variant>
      <vt:variant>
        <vt:i4>2031671</vt:i4>
      </vt:variant>
      <vt:variant>
        <vt:i4>510</vt:i4>
      </vt:variant>
      <vt:variant>
        <vt:i4>0</vt:i4>
      </vt:variant>
      <vt:variant>
        <vt:i4>5</vt:i4>
      </vt:variant>
      <vt:variant>
        <vt:lpwstr>https://www.itu.int/rec/dologin_pub.asp?lang=e&amp;id=T-REC-A.25-202410-I!!PDF-E&amp;type=items</vt:lpwstr>
      </vt:variant>
      <vt:variant>
        <vt:lpwstr/>
      </vt:variant>
      <vt:variant>
        <vt:i4>6225981</vt:i4>
      </vt:variant>
      <vt:variant>
        <vt:i4>507</vt:i4>
      </vt:variant>
      <vt:variant>
        <vt:i4>0</vt:i4>
      </vt:variant>
      <vt:variant>
        <vt:i4>5</vt:i4>
      </vt:variant>
      <vt:variant>
        <vt:lpwstr>https://www.itu.int/dms_pub/itu-t/opb/res/T-RES-T.2-2024-PDF-E.pdf</vt:lpwstr>
      </vt:variant>
      <vt:variant>
        <vt:lpwstr/>
      </vt:variant>
      <vt:variant>
        <vt:i4>983054</vt:i4>
      </vt:variant>
      <vt:variant>
        <vt:i4>504</vt:i4>
      </vt:variant>
      <vt:variant>
        <vt:i4>0</vt:i4>
      </vt:variant>
      <vt:variant>
        <vt:i4>5</vt:i4>
      </vt:variant>
      <vt:variant>
        <vt:lpwstr>https://www.itu.int/wtsa/2024/candidates/</vt:lpwstr>
      </vt:variant>
      <vt:variant>
        <vt:lpwstr/>
      </vt:variant>
      <vt:variant>
        <vt:i4>87</vt:i4>
      </vt:variant>
      <vt:variant>
        <vt:i4>501</vt:i4>
      </vt:variant>
      <vt:variant>
        <vt:i4>0</vt:i4>
      </vt:variant>
      <vt:variant>
        <vt:i4>5</vt:i4>
      </vt:variant>
      <vt:variant>
        <vt:lpwstr>https://www.itu.int/en/ITU-T/studygroups/2025-2028/21/Pages/default.aspx</vt:lpwstr>
      </vt:variant>
      <vt:variant>
        <vt:lpwstr/>
      </vt:variant>
      <vt:variant>
        <vt:i4>655402</vt:i4>
      </vt:variant>
      <vt:variant>
        <vt:i4>498</vt:i4>
      </vt:variant>
      <vt:variant>
        <vt:i4>0</vt:i4>
      </vt:variant>
      <vt:variant>
        <vt:i4>5</vt:i4>
      </vt:variant>
      <vt:variant>
        <vt:lpwstr>https://en.wikipedia.org/wiki/ITU-T_Study_Group_16</vt:lpwstr>
      </vt:variant>
      <vt:variant>
        <vt:lpwstr/>
      </vt:variant>
      <vt:variant>
        <vt:i4>917592</vt:i4>
      </vt:variant>
      <vt:variant>
        <vt:i4>495</vt:i4>
      </vt:variant>
      <vt:variant>
        <vt:i4>0</vt:i4>
      </vt:variant>
      <vt:variant>
        <vt:i4>5</vt:i4>
      </vt:variant>
      <vt:variant>
        <vt:lpwstr>https://www.itu.int/en/ITU-T/studygroups/2022-2024/09/Pages/default.aspx</vt:lpwstr>
      </vt:variant>
      <vt:variant>
        <vt:lpwstr/>
      </vt:variant>
      <vt:variant>
        <vt:i4>5701717</vt:i4>
      </vt:variant>
      <vt:variant>
        <vt:i4>492</vt:i4>
      </vt:variant>
      <vt:variant>
        <vt:i4>0</vt:i4>
      </vt:variant>
      <vt:variant>
        <vt:i4>5</vt:i4>
      </vt:variant>
      <vt:variant>
        <vt:lpwstr>https://gss.itu.int/</vt:lpwstr>
      </vt:variant>
      <vt:variant>
        <vt:lpwstr/>
      </vt:variant>
      <vt:variant>
        <vt:i4>6881390</vt:i4>
      </vt:variant>
      <vt:variant>
        <vt:i4>489</vt:i4>
      </vt:variant>
      <vt:variant>
        <vt:i4>0</vt:i4>
      </vt:variant>
      <vt:variant>
        <vt:i4>5</vt:i4>
      </vt:variant>
      <vt:variant>
        <vt:lpwstr>https://www.itu.int/wtsa/2024/</vt:lpwstr>
      </vt:variant>
      <vt:variant>
        <vt:lpwstr/>
      </vt:variant>
      <vt:variant>
        <vt:i4>7471164</vt:i4>
      </vt:variant>
      <vt:variant>
        <vt:i4>486</vt:i4>
      </vt:variant>
      <vt:variant>
        <vt:i4>0</vt:i4>
      </vt:variant>
      <vt:variant>
        <vt:i4>5</vt:i4>
      </vt:variant>
      <vt:variant>
        <vt:lpwstr>https://www.itu.int/md/R23-WRC23-C-0217/en</vt:lpwstr>
      </vt:variant>
      <vt:variant>
        <vt:lpwstr/>
      </vt:variant>
      <vt:variant>
        <vt:i4>7798885</vt:i4>
      </vt:variant>
      <vt:variant>
        <vt:i4>483</vt:i4>
      </vt:variant>
      <vt:variant>
        <vt:i4>0</vt:i4>
      </vt:variant>
      <vt:variant>
        <vt:i4>5</vt:i4>
      </vt:variant>
      <vt:variant>
        <vt:lpwstr>https://www.itu.int/pub/R-RES-R.75</vt:lpwstr>
      </vt:variant>
      <vt:variant>
        <vt:lpwstr/>
      </vt:variant>
      <vt:variant>
        <vt:i4>7733349</vt:i4>
      </vt:variant>
      <vt:variant>
        <vt:i4>480</vt:i4>
      </vt:variant>
      <vt:variant>
        <vt:i4>0</vt:i4>
      </vt:variant>
      <vt:variant>
        <vt:i4>5</vt:i4>
      </vt:variant>
      <vt:variant>
        <vt:lpwstr>https://www.itu.int/pub/R-RES-R.74</vt:lpwstr>
      </vt:variant>
      <vt:variant>
        <vt:lpwstr/>
      </vt:variant>
      <vt:variant>
        <vt:i4>7405669</vt:i4>
      </vt:variant>
      <vt:variant>
        <vt:i4>477</vt:i4>
      </vt:variant>
      <vt:variant>
        <vt:i4>0</vt:i4>
      </vt:variant>
      <vt:variant>
        <vt:i4>5</vt:i4>
      </vt:variant>
      <vt:variant>
        <vt:lpwstr>https://www.itu.int/pub/R-RES-R.73</vt:lpwstr>
      </vt:variant>
      <vt:variant>
        <vt:lpwstr/>
      </vt:variant>
      <vt:variant>
        <vt:i4>7340133</vt:i4>
      </vt:variant>
      <vt:variant>
        <vt:i4>474</vt:i4>
      </vt:variant>
      <vt:variant>
        <vt:i4>0</vt:i4>
      </vt:variant>
      <vt:variant>
        <vt:i4>5</vt:i4>
      </vt:variant>
      <vt:variant>
        <vt:lpwstr>https://www.itu.int/pub/R-RES-R.72</vt:lpwstr>
      </vt:variant>
      <vt:variant>
        <vt:lpwstr/>
      </vt:variant>
      <vt:variant>
        <vt:i4>7798884</vt:i4>
      </vt:variant>
      <vt:variant>
        <vt:i4>471</vt:i4>
      </vt:variant>
      <vt:variant>
        <vt:i4>0</vt:i4>
      </vt:variant>
      <vt:variant>
        <vt:i4>5</vt:i4>
      </vt:variant>
      <vt:variant>
        <vt:lpwstr>https://www.itu.int/pub/R-RES-R.65</vt:lpwstr>
      </vt:variant>
      <vt:variant>
        <vt:lpwstr/>
      </vt:variant>
      <vt:variant>
        <vt:i4>7602279</vt:i4>
      </vt:variant>
      <vt:variant>
        <vt:i4>468</vt:i4>
      </vt:variant>
      <vt:variant>
        <vt:i4>0</vt:i4>
      </vt:variant>
      <vt:variant>
        <vt:i4>5</vt:i4>
      </vt:variant>
      <vt:variant>
        <vt:lpwstr>https://www.itu.int/pub/R-RES-R.56</vt:lpwstr>
      </vt:variant>
      <vt:variant>
        <vt:lpwstr/>
      </vt:variant>
      <vt:variant>
        <vt:i4>4325458</vt:i4>
      </vt:variant>
      <vt:variant>
        <vt:i4>465</vt:i4>
      </vt:variant>
      <vt:variant>
        <vt:i4>0</vt:i4>
      </vt:variant>
      <vt:variant>
        <vt:i4>5</vt:i4>
      </vt:variant>
      <vt:variant>
        <vt:lpwstr>https://www.itu.int/pub/R-RES-R.5</vt:lpwstr>
      </vt:variant>
      <vt:variant>
        <vt:lpwstr/>
      </vt:variant>
      <vt:variant>
        <vt:i4>4325458</vt:i4>
      </vt:variant>
      <vt:variant>
        <vt:i4>462</vt:i4>
      </vt:variant>
      <vt:variant>
        <vt:i4>0</vt:i4>
      </vt:variant>
      <vt:variant>
        <vt:i4>5</vt:i4>
      </vt:variant>
      <vt:variant>
        <vt:lpwstr>https://www.itu.int/pub/R-RES-R.1</vt:lpwstr>
      </vt:variant>
      <vt:variant>
        <vt:lpwstr/>
      </vt:variant>
      <vt:variant>
        <vt:i4>3080237</vt:i4>
      </vt:variant>
      <vt:variant>
        <vt:i4>459</vt:i4>
      </vt:variant>
      <vt:variant>
        <vt:i4>0</vt:i4>
      </vt:variant>
      <vt:variant>
        <vt:i4>5</vt:i4>
      </vt:variant>
      <vt:variant>
        <vt:lpwstr>https://www.itu.int/ra-23/</vt:lpwstr>
      </vt:variant>
      <vt:variant>
        <vt:lpwstr/>
      </vt:variant>
      <vt:variant>
        <vt:i4>1966171</vt:i4>
      </vt:variant>
      <vt:variant>
        <vt:i4>456</vt:i4>
      </vt:variant>
      <vt:variant>
        <vt:i4>0</vt:i4>
      </vt:variant>
      <vt:variant>
        <vt:i4>5</vt:i4>
      </vt:variant>
      <vt:variant>
        <vt:lpwstr>https://www.itu.int/pub/R-REG-RR-2024</vt:lpwstr>
      </vt:variant>
      <vt:variant>
        <vt:lpwstr/>
      </vt:variant>
      <vt:variant>
        <vt:i4>7274615</vt:i4>
      </vt:variant>
      <vt:variant>
        <vt:i4>453</vt:i4>
      </vt:variant>
      <vt:variant>
        <vt:i4>0</vt:i4>
      </vt:variant>
      <vt:variant>
        <vt:i4>5</vt:i4>
      </vt:variant>
      <vt:variant>
        <vt:lpwstr>https://www.itu.int/en/publications/ITU-R/pages/publications.aspx?parent=R-ACT-WRC.16-2024&amp;media=electronic</vt:lpwstr>
      </vt:variant>
      <vt:variant>
        <vt:lpwstr/>
      </vt:variant>
      <vt:variant>
        <vt:i4>4128871</vt:i4>
      </vt:variant>
      <vt:variant>
        <vt:i4>450</vt:i4>
      </vt:variant>
      <vt:variant>
        <vt:i4>0</vt:i4>
      </vt:variant>
      <vt:variant>
        <vt:i4>5</vt:i4>
      </vt:variant>
      <vt:variant>
        <vt:lpwstr>https://www.itu.int/wrc-23/</vt:lpwstr>
      </vt:variant>
      <vt:variant>
        <vt:lpwstr/>
      </vt:variant>
      <vt:variant>
        <vt:i4>4128811</vt:i4>
      </vt:variant>
      <vt:variant>
        <vt:i4>447</vt:i4>
      </vt:variant>
      <vt:variant>
        <vt:i4>0</vt:i4>
      </vt:variant>
      <vt:variant>
        <vt:i4>5</vt:i4>
      </vt:variant>
      <vt:variant>
        <vt:lpwstr>https://pp.itu.int/2022/en/elections/elections-results/</vt:lpwstr>
      </vt:variant>
      <vt:variant>
        <vt:lpwstr/>
      </vt:variant>
      <vt:variant>
        <vt:i4>6488089</vt:i4>
      </vt:variant>
      <vt:variant>
        <vt:i4>444</vt:i4>
      </vt:variant>
      <vt:variant>
        <vt:i4>0</vt:i4>
      </vt:variant>
      <vt:variant>
        <vt:i4>5</vt:i4>
      </vt:variant>
      <vt:variant>
        <vt:lpwstr>https://www.itu.int/dms_pub/itu-s/opb/conf/S-CONF-ACTF-2022-PDF-E.pdf</vt:lpwstr>
      </vt:variant>
      <vt:variant>
        <vt:lpwstr/>
      </vt:variant>
      <vt:variant>
        <vt:i4>7209061</vt:i4>
      </vt:variant>
      <vt:variant>
        <vt:i4>441</vt:i4>
      </vt:variant>
      <vt:variant>
        <vt:i4>0</vt:i4>
      </vt:variant>
      <vt:variant>
        <vt:i4>5</vt:i4>
      </vt:variant>
      <vt:variant>
        <vt:lpwstr>https://www.itu.int/en/council/Documents/basic-texts-2023/DEC-005-E.pdf</vt:lpwstr>
      </vt:variant>
      <vt:variant>
        <vt:lpwstr/>
      </vt:variant>
      <vt:variant>
        <vt:i4>6881383</vt:i4>
      </vt:variant>
      <vt:variant>
        <vt:i4>438</vt:i4>
      </vt:variant>
      <vt:variant>
        <vt:i4>0</vt:i4>
      </vt:variant>
      <vt:variant>
        <vt:i4>5</vt:i4>
      </vt:variant>
      <vt:variant>
        <vt:lpwstr>https://www.itu.int/en/council/Documents/basic-texts-2023/RES-071-E.pdf</vt:lpwstr>
      </vt:variant>
      <vt:variant>
        <vt:lpwstr/>
      </vt:variant>
      <vt:variant>
        <vt:i4>6881383</vt:i4>
      </vt:variant>
      <vt:variant>
        <vt:i4>435</vt:i4>
      </vt:variant>
      <vt:variant>
        <vt:i4>0</vt:i4>
      </vt:variant>
      <vt:variant>
        <vt:i4>5</vt:i4>
      </vt:variant>
      <vt:variant>
        <vt:lpwstr>https://www.itu.int/en/council/Documents/basic-texts-2023/RES-071-E.pdf</vt:lpwstr>
      </vt:variant>
      <vt:variant>
        <vt:lpwstr/>
      </vt:variant>
      <vt:variant>
        <vt:i4>2162786</vt:i4>
      </vt:variant>
      <vt:variant>
        <vt:i4>432</vt:i4>
      </vt:variant>
      <vt:variant>
        <vt:i4>0</vt:i4>
      </vt:variant>
      <vt:variant>
        <vt:i4>5</vt:i4>
      </vt:variant>
      <vt:variant>
        <vt:lpwstr>https://pp.itu.int/2022/en/</vt:lpwstr>
      </vt:variant>
      <vt:variant>
        <vt:lpwstr/>
      </vt:variant>
      <vt:variant>
        <vt:i4>6881383</vt:i4>
      </vt:variant>
      <vt:variant>
        <vt:i4>429</vt:i4>
      </vt:variant>
      <vt:variant>
        <vt:i4>0</vt:i4>
      </vt:variant>
      <vt:variant>
        <vt:i4>5</vt:i4>
      </vt:variant>
      <vt:variant>
        <vt:lpwstr>https://www.itu.int/en/council/Documents/basic-texts-2023/RES-071-E.pdf</vt:lpwstr>
      </vt:variant>
      <vt:variant>
        <vt:lpwstr/>
      </vt:variant>
      <vt:variant>
        <vt:i4>6881374</vt:i4>
      </vt:variant>
      <vt:variant>
        <vt:i4>426</vt:i4>
      </vt:variant>
      <vt:variant>
        <vt:i4>0</vt:i4>
      </vt:variant>
      <vt:variant>
        <vt:i4>5</vt:i4>
      </vt:variant>
      <vt:variant>
        <vt:lpwstr>https://www.itu.int/en/council/planning/Documents/ITU_Strategic_plan_2020-2023.pdf</vt:lpwstr>
      </vt:variant>
      <vt:variant>
        <vt:lpwstr/>
      </vt:variant>
      <vt:variant>
        <vt:i4>6750242</vt:i4>
      </vt:variant>
      <vt:variant>
        <vt:i4>423</vt:i4>
      </vt:variant>
      <vt:variant>
        <vt:i4>0</vt:i4>
      </vt:variant>
      <vt:variant>
        <vt:i4>5</vt:i4>
      </vt:variant>
      <vt:variant>
        <vt:lpwstr>https://www.itu.int/md/S26-PP-C-0020/en</vt:lpwstr>
      </vt:variant>
      <vt:variant>
        <vt:lpwstr/>
      </vt:variant>
      <vt:variant>
        <vt:i4>2162790</vt:i4>
      </vt:variant>
      <vt:variant>
        <vt:i4>420</vt:i4>
      </vt:variant>
      <vt:variant>
        <vt:i4>0</vt:i4>
      </vt:variant>
      <vt:variant>
        <vt:i4>5</vt:i4>
      </vt:variant>
      <vt:variant>
        <vt:lpwstr>https://pp.itu.int/2026/en/</vt:lpwstr>
      </vt:variant>
      <vt:variant>
        <vt:lpwstr/>
      </vt:variant>
      <vt:variant>
        <vt:i4>8257570</vt:i4>
      </vt:variant>
      <vt:variant>
        <vt:i4>417</vt:i4>
      </vt:variant>
      <vt:variant>
        <vt:i4>0</vt:i4>
      </vt:variant>
      <vt:variant>
        <vt:i4>5</vt:i4>
      </vt:variant>
      <vt:variant>
        <vt:lpwstr/>
      </vt:variant>
      <vt:variant>
        <vt:lpwstr>Section_5_5</vt:lpwstr>
      </vt:variant>
      <vt:variant>
        <vt:i4>1638484</vt:i4>
      </vt:variant>
      <vt:variant>
        <vt:i4>414</vt:i4>
      </vt:variant>
      <vt:variant>
        <vt:i4>0</vt:i4>
      </vt:variant>
      <vt:variant>
        <vt:i4>5</vt:i4>
      </vt:variant>
      <vt:variant>
        <vt:lpwstr>https://www.itu.int/initiatives/green-digital-action/</vt:lpwstr>
      </vt:variant>
      <vt:variant>
        <vt:lpwstr/>
      </vt:variant>
      <vt:variant>
        <vt:i4>4194334</vt:i4>
      </vt:variant>
      <vt:variant>
        <vt:i4>411</vt:i4>
      </vt:variant>
      <vt:variant>
        <vt:i4>0</vt:i4>
      </vt:variant>
      <vt:variant>
        <vt:i4>5</vt:i4>
      </vt:variant>
      <vt:variant>
        <vt:lpwstr>https://www.equalsintech.org/</vt:lpwstr>
      </vt:variant>
      <vt:variant>
        <vt:lpwstr/>
      </vt:variant>
      <vt:variant>
        <vt:i4>6226002</vt:i4>
      </vt:variant>
      <vt:variant>
        <vt:i4>408</vt:i4>
      </vt:variant>
      <vt:variant>
        <vt:i4>0</vt:i4>
      </vt:variant>
      <vt:variant>
        <vt:i4>5</vt:i4>
      </vt:variant>
      <vt:variant>
        <vt:lpwstr>https://www.broadbandcommission.org/</vt:lpwstr>
      </vt:variant>
      <vt:variant>
        <vt:lpwstr/>
      </vt:variant>
      <vt:variant>
        <vt:i4>6225932</vt:i4>
      </vt:variant>
      <vt:variant>
        <vt:i4>405</vt:i4>
      </vt:variant>
      <vt:variant>
        <vt:i4>0</vt:i4>
      </vt:variant>
      <vt:variant>
        <vt:i4>5</vt:i4>
      </vt:variant>
      <vt:variant>
        <vt:lpwstr>https://giga.global/</vt:lpwstr>
      </vt:variant>
      <vt:variant>
        <vt:lpwstr/>
      </vt:variant>
      <vt:variant>
        <vt:i4>6029379</vt:i4>
      </vt:variant>
      <vt:variant>
        <vt:i4>402</vt:i4>
      </vt:variant>
      <vt:variant>
        <vt:i4>0</vt:i4>
      </vt:variant>
      <vt:variant>
        <vt:i4>5</vt:i4>
      </vt:variant>
      <vt:variant>
        <vt:lpwstr>https://www.itu.int/partner2connect/</vt:lpwstr>
      </vt:variant>
      <vt:variant>
        <vt:lpwstr/>
      </vt:variant>
      <vt:variant>
        <vt:i4>3801123</vt:i4>
      </vt:variant>
      <vt:variant>
        <vt:i4>399</vt:i4>
      </vt:variant>
      <vt:variant>
        <vt:i4>0</vt:i4>
      </vt:variant>
      <vt:variant>
        <vt:i4>5</vt:i4>
      </vt:variant>
      <vt:variant>
        <vt:lpwstr>https://www.itu.int/en/ITU-T/extcoop/Pages/wsc.aspx</vt:lpwstr>
      </vt:variant>
      <vt:variant>
        <vt:lpwstr/>
      </vt:variant>
      <vt:variant>
        <vt:i4>2752575</vt:i4>
      </vt:variant>
      <vt:variant>
        <vt:i4>396</vt:i4>
      </vt:variant>
      <vt:variant>
        <vt:i4>0</vt:i4>
      </vt:variant>
      <vt:variant>
        <vt:i4>5</vt:i4>
      </vt:variant>
      <vt:variant>
        <vt:lpwstr>https://aiforgood.itu.int/</vt:lpwstr>
      </vt:variant>
      <vt:variant>
        <vt:lpwstr/>
      </vt:variant>
      <vt:variant>
        <vt:i4>13</vt:i4>
      </vt:variant>
      <vt:variant>
        <vt:i4>393</vt:i4>
      </vt:variant>
      <vt:variant>
        <vt:i4>0</vt:i4>
      </vt:variant>
      <vt:variant>
        <vt:i4>5</vt:i4>
      </vt:variant>
      <vt:variant>
        <vt:lpwstr>https://www.itu.int/net4/wsis/forum/2026/</vt:lpwstr>
      </vt:variant>
      <vt:variant>
        <vt:lpwstr/>
      </vt:variant>
      <vt:variant>
        <vt:i4>3670115</vt:i4>
      </vt:variant>
      <vt:variant>
        <vt:i4>390</vt:i4>
      </vt:variant>
      <vt:variant>
        <vt:i4>0</vt:i4>
      </vt:variant>
      <vt:variant>
        <vt:i4>5</vt:i4>
      </vt:variant>
      <vt:variant>
        <vt:lpwstr>https://academy.itu.int/research-advocacy-and-convening-platforms/research-publications/digital-skills-toolkit</vt:lpwstr>
      </vt:variant>
      <vt:variant>
        <vt:lpwstr/>
      </vt:variant>
      <vt:variant>
        <vt:i4>6029393</vt:i4>
      </vt:variant>
      <vt:variant>
        <vt:i4>387</vt:i4>
      </vt:variant>
      <vt:variant>
        <vt:i4>0</vt:i4>
      </vt:variant>
      <vt:variant>
        <vt:i4>5</vt:i4>
      </vt:variant>
      <vt:variant>
        <vt:lpwstr>https://www.itu.int/itu-d/meetings/digital-skills-forum/</vt:lpwstr>
      </vt:variant>
      <vt:variant>
        <vt:lpwstr/>
      </vt:variant>
      <vt:variant>
        <vt:i4>1638410</vt:i4>
      </vt:variant>
      <vt:variant>
        <vt:i4>384</vt:i4>
      </vt:variant>
      <vt:variant>
        <vt:i4>0</vt:i4>
      </vt:variant>
      <vt:variant>
        <vt:i4>5</vt:i4>
      </vt:variant>
      <vt:variant>
        <vt:lpwstr>https://academy.itu.int/digital-skills-communities/digital-transformation-centres-initiative</vt:lpwstr>
      </vt:variant>
      <vt:variant>
        <vt:lpwstr/>
      </vt:variant>
      <vt:variant>
        <vt:i4>5111901</vt:i4>
      </vt:variant>
      <vt:variant>
        <vt:i4>381</vt:i4>
      </vt:variant>
      <vt:variant>
        <vt:i4>0</vt:i4>
      </vt:variant>
      <vt:variant>
        <vt:i4>5</vt:i4>
      </vt:variant>
      <vt:variant>
        <vt:lpwstr>https://academy.itu.int/</vt:lpwstr>
      </vt:variant>
      <vt:variant>
        <vt:lpwstr/>
      </vt:variant>
      <vt:variant>
        <vt:i4>1704022</vt:i4>
      </vt:variant>
      <vt:variant>
        <vt:i4>378</vt:i4>
      </vt:variant>
      <vt:variant>
        <vt:i4>0</vt:i4>
      </vt:variant>
      <vt:variant>
        <vt:i4>5</vt:i4>
      </vt:variant>
      <vt:variant>
        <vt:lpwstr>https://www.itu.int/itu-d/reports/statistics/global-connectivity-report-2025/</vt:lpwstr>
      </vt:variant>
      <vt:variant>
        <vt:lpwstr/>
      </vt:variant>
      <vt:variant>
        <vt:i4>4456464</vt:i4>
      </vt:variant>
      <vt:variant>
        <vt:i4>375</vt:i4>
      </vt:variant>
      <vt:variant>
        <vt:i4>0</vt:i4>
      </vt:variant>
      <vt:variant>
        <vt:i4>5</vt:i4>
      </vt:variant>
      <vt:variant>
        <vt:lpwstr>https://www.itu.int/itu-d/reports/statistics/facts-figures-2025/</vt:lpwstr>
      </vt:variant>
      <vt:variant>
        <vt:lpwstr/>
      </vt:variant>
      <vt:variant>
        <vt:i4>327760</vt:i4>
      </vt:variant>
      <vt:variant>
        <vt:i4>372</vt:i4>
      </vt:variant>
      <vt:variant>
        <vt:i4>0</vt:i4>
      </vt:variant>
      <vt:variant>
        <vt:i4>5</vt:i4>
      </vt:variant>
      <vt:variant>
        <vt:lpwstr>https://aiforgood.itu.int/ai-for-health/</vt:lpwstr>
      </vt:variant>
      <vt:variant>
        <vt:lpwstr/>
      </vt:variant>
      <vt:variant>
        <vt:i4>7798825</vt:i4>
      </vt:variant>
      <vt:variant>
        <vt:i4>369</vt:i4>
      </vt:variant>
      <vt:variant>
        <vt:i4>0</vt:i4>
      </vt:variant>
      <vt:variant>
        <vt:i4>5</vt:i4>
      </vt:variant>
      <vt:variant>
        <vt:lpwstr>https://www.itu.int/cities/year-in-review-2023/fg-ai4a/</vt:lpwstr>
      </vt:variant>
      <vt:variant>
        <vt:lpwstr/>
      </vt:variant>
      <vt:variant>
        <vt:i4>7995441</vt:i4>
      </vt:variant>
      <vt:variant>
        <vt:i4>366</vt:i4>
      </vt:variant>
      <vt:variant>
        <vt:i4>0</vt:i4>
      </vt:variant>
      <vt:variant>
        <vt:i4>5</vt:i4>
      </vt:variant>
      <vt:variant>
        <vt:lpwstr>https://www.itu.int/en/ITU-T/jca/mv/Pages/default.aspx</vt:lpwstr>
      </vt:variant>
      <vt:variant>
        <vt:lpwstr/>
      </vt:variant>
      <vt:variant>
        <vt:i4>2097194</vt:i4>
      </vt:variant>
      <vt:variant>
        <vt:i4>363</vt:i4>
      </vt:variant>
      <vt:variant>
        <vt:i4>0</vt:i4>
      </vt:variant>
      <vt:variant>
        <vt:i4>5</vt:i4>
      </vt:variant>
      <vt:variant>
        <vt:lpwstr>https://aiforgood.itu.int/quantum-for-good/</vt:lpwstr>
      </vt:variant>
      <vt:variant>
        <vt:lpwstr/>
      </vt:variant>
      <vt:variant>
        <vt:i4>8257570</vt:i4>
      </vt:variant>
      <vt:variant>
        <vt:i4>360</vt:i4>
      </vt:variant>
      <vt:variant>
        <vt:i4>0</vt:i4>
      </vt:variant>
      <vt:variant>
        <vt:i4>5</vt:i4>
      </vt:variant>
      <vt:variant>
        <vt:lpwstr/>
      </vt:variant>
      <vt:variant>
        <vt:lpwstr>Section_5_5</vt:lpwstr>
      </vt:variant>
      <vt:variant>
        <vt:i4>2555954</vt:i4>
      </vt:variant>
      <vt:variant>
        <vt:i4>357</vt:i4>
      </vt:variant>
      <vt:variant>
        <vt:i4>0</vt:i4>
      </vt:variant>
      <vt:variant>
        <vt:i4>5</vt:i4>
      </vt:variant>
      <vt:variant>
        <vt:lpwstr>https://www.itu.int/itu-d/meetings/wtdc25/</vt:lpwstr>
      </vt:variant>
      <vt:variant>
        <vt:lpwstr/>
      </vt:variant>
      <vt:variant>
        <vt:i4>6881390</vt:i4>
      </vt:variant>
      <vt:variant>
        <vt:i4>354</vt:i4>
      </vt:variant>
      <vt:variant>
        <vt:i4>0</vt:i4>
      </vt:variant>
      <vt:variant>
        <vt:i4>5</vt:i4>
      </vt:variant>
      <vt:variant>
        <vt:lpwstr>https://www.itu.int/wtsa/2024/</vt:lpwstr>
      </vt:variant>
      <vt:variant>
        <vt:lpwstr/>
      </vt:variant>
      <vt:variant>
        <vt:i4>3080237</vt:i4>
      </vt:variant>
      <vt:variant>
        <vt:i4>351</vt:i4>
      </vt:variant>
      <vt:variant>
        <vt:i4>0</vt:i4>
      </vt:variant>
      <vt:variant>
        <vt:i4>5</vt:i4>
      </vt:variant>
      <vt:variant>
        <vt:lpwstr>https://www.itu.int/ra-23/</vt:lpwstr>
      </vt:variant>
      <vt:variant>
        <vt:lpwstr/>
      </vt:variant>
      <vt:variant>
        <vt:i4>4128871</vt:i4>
      </vt:variant>
      <vt:variant>
        <vt:i4>348</vt:i4>
      </vt:variant>
      <vt:variant>
        <vt:i4>0</vt:i4>
      </vt:variant>
      <vt:variant>
        <vt:i4>5</vt:i4>
      </vt:variant>
      <vt:variant>
        <vt:lpwstr>https://www.itu.int/wrc-23/</vt:lpwstr>
      </vt:variant>
      <vt:variant>
        <vt:lpwstr/>
      </vt:variant>
      <vt:variant>
        <vt:i4>2162786</vt:i4>
      </vt:variant>
      <vt:variant>
        <vt:i4>345</vt:i4>
      </vt:variant>
      <vt:variant>
        <vt:i4>0</vt:i4>
      </vt:variant>
      <vt:variant>
        <vt:i4>5</vt:i4>
      </vt:variant>
      <vt:variant>
        <vt:lpwstr>https://pp.itu.int/2022/en/</vt:lpwstr>
      </vt:variant>
      <vt:variant>
        <vt:lpwstr/>
      </vt:variant>
      <vt:variant>
        <vt:i4>6881383</vt:i4>
      </vt:variant>
      <vt:variant>
        <vt:i4>342</vt:i4>
      </vt:variant>
      <vt:variant>
        <vt:i4>0</vt:i4>
      </vt:variant>
      <vt:variant>
        <vt:i4>5</vt:i4>
      </vt:variant>
      <vt:variant>
        <vt:lpwstr>https://www.itu.int/en/council/Documents/basic-texts-2023/RES-071-E.pdf</vt:lpwstr>
      </vt:variant>
      <vt:variant>
        <vt:lpwstr/>
      </vt:variant>
      <vt:variant>
        <vt:i4>2949227</vt:i4>
      </vt:variant>
      <vt:variant>
        <vt:i4>339</vt:i4>
      </vt:variant>
      <vt:variant>
        <vt:i4>0</vt:i4>
      </vt:variant>
      <vt:variant>
        <vt:i4>5</vt:i4>
      </vt:variant>
      <vt:variant>
        <vt:lpwstr>https://www.itu.int/en/council/Documents/basic-texts/RES-071-E.pdf</vt:lpwstr>
      </vt:variant>
      <vt:variant>
        <vt:lpwstr/>
      </vt:variant>
      <vt:variant>
        <vt:i4>1769526</vt:i4>
      </vt:variant>
      <vt:variant>
        <vt:i4>332</vt:i4>
      </vt:variant>
      <vt:variant>
        <vt:i4>0</vt:i4>
      </vt:variant>
      <vt:variant>
        <vt:i4>5</vt:i4>
      </vt:variant>
      <vt:variant>
        <vt:lpwstr/>
      </vt:variant>
      <vt:variant>
        <vt:lpwstr>_Toc224288840</vt:lpwstr>
      </vt:variant>
      <vt:variant>
        <vt:i4>1835062</vt:i4>
      </vt:variant>
      <vt:variant>
        <vt:i4>326</vt:i4>
      </vt:variant>
      <vt:variant>
        <vt:i4>0</vt:i4>
      </vt:variant>
      <vt:variant>
        <vt:i4>5</vt:i4>
      </vt:variant>
      <vt:variant>
        <vt:lpwstr/>
      </vt:variant>
      <vt:variant>
        <vt:lpwstr>_Toc224288839</vt:lpwstr>
      </vt:variant>
      <vt:variant>
        <vt:i4>1835062</vt:i4>
      </vt:variant>
      <vt:variant>
        <vt:i4>320</vt:i4>
      </vt:variant>
      <vt:variant>
        <vt:i4>0</vt:i4>
      </vt:variant>
      <vt:variant>
        <vt:i4>5</vt:i4>
      </vt:variant>
      <vt:variant>
        <vt:lpwstr/>
      </vt:variant>
      <vt:variant>
        <vt:lpwstr>_Toc224288838</vt:lpwstr>
      </vt:variant>
      <vt:variant>
        <vt:i4>1835062</vt:i4>
      </vt:variant>
      <vt:variant>
        <vt:i4>314</vt:i4>
      </vt:variant>
      <vt:variant>
        <vt:i4>0</vt:i4>
      </vt:variant>
      <vt:variant>
        <vt:i4>5</vt:i4>
      </vt:variant>
      <vt:variant>
        <vt:lpwstr/>
      </vt:variant>
      <vt:variant>
        <vt:lpwstr>_Toc224288837</vt:lpwstr>
      </vt:variant>
      <vt:variant>
        <vt:i4>1835062</vt:i4>
      </vt:variant>
      <vt:variant>
        <vt:i4>308</vt:i4>
      </vt:variant>
      <vt:variant>
        <vt:i4>0</vt:i4>
      </vt:variant>
      <vt:variant>
        <vt:i4>5</vt:i4>
      </vt:variant>
      <vt:variant>
        <vt:lpwstr/>
      </vt:variant>
      <vt:variant>
        <vt:lpwstr>_Toc224288836</vt:lpwstr>
      </vt:variant>
      <vt:variant>
        <vt:i4>1835062</vt:i4>
      </vt:variant>
      <vt:variant>
        <vt:i4>302</vt:i4>
      </vt:variant>
      <vt:variant>
        <vt:i4>0</vt:i4>
      </vt:variant>
      <vt:variant>
        <vt:i4>5</vt:i4>
      </vt:variant>
      <vt:variant>
        <vt:lpwstr/>
      </vt:variant>
      <vt:variant>
        <vt:lpwstr>_Toc224288835</vt:lpwstr>
      </vt:variant>
      <vt:variant>
        <vt:i4>1835062</vt:i4>
      </vt:variant>
      <vt:variant>
        <vt:i4>296</vt:i4>
      </vt:variant>
      <vt:variant>
        <vt:i4>0</vt:i4>
      </vt:variant>
      <vt:variant>
        <vt:i4>5</vt:i4>
      </vt:variant>
      <vt:variant>
        <vt:lpwstr/>
      </vt:variant>
      <vt:variant>
        <vt:lpwstr>_Toc224288834</vt:lpwstr>
      </vt:variant>
      <vt:variant>
        <vt:i4>1835062</vt:i4>
      </vt:variant>
      <vt:variant>
        <vt:i4>290</vt:i4>
      </vt:variant>
      <vt:variant>
        <vt:i4>0</vt:i4>
      </vt:variant>
      <vt:variant>
        <vt:i4>5</vt:i4>
      </vt:variant>
      <vt:variant>
        <vt:lpwstr/>
      </vt:variant>
      <vt:variant>
        <vt:lpwstr>_Toc224288833</vt:lpwstr>
      </vt:variant>
      <vt:variant>
        <vt:i4>1835062</vt:i4>
      </vt:variant>
      <vt:variant>
        <vt:i4>284</vt:i4>
      </vt:variant>
      <vt:variant>
        <vt:i4>0</vt:i4>
      </vt:variant>
      <vt:variant>
        <vt:i4>5</vt:i4>
      </vt:variant>
      <vt:variant>
        <vt:lpwstr/>
      </vt:variant>
      <vt:variant>
        <vt:lpwstr>_Toc224288832</vt:lpwstr>
      </vt:variant>
      <vt:variant>
        <vt:i4>1835062</vt:i4>
      </vt:variant>
      <vt:variant>
        <vt:i4>278</vt:i4>
      </vt:variant>
      <vt:variant>
        <vt:i4>0</vt:i4>
      </vt:variant>
      <vt:variant>
        <vt:i4>5</vt:i4>
      </vt:variant>
      <vt:variant>
        <vt:lpwstr/>
      </vt:variant>
      <vt:variant>
        <vt:lpwstr>_Toc224288831</vt:lpwstr>
      </vt:variant>
      <vt:variant>
        <vt:i4>1835062</vt:i4>
      </vt:variant>
      <vt:variant>
        <vt:i4>272</vt:i4>
      </vt:variant>
      <vt:variant>
        <vt:i4>0</vt:i4>
      </vt:variant>
      <vt:variant>
        <vt:i4>5</vt:i4>
      </vt:variant>
      <vt:variant>
        <vt:lpwstr/>
      </vt:variant>
      <vt:variant>
        <vt:lpwstr>_Toc224288830</vt:lpwstr>
      </vt:variant>
      <vt:variant>
        <vt:i4>1900598</vt:i4>
      </vt:variant>
      <vt:variant>
        <vt:i4>266</vt:i4>
      </vt:variant>
      <vt:variant>
        <vt:i4>0</vt:i4>
      </vt:variant>
      <vt:variant>
        <vt:i4>5</vt:i4>
      </vt:variant>
      <vt:variant>
        <vt:lpwstr/>
      </vt:variant>
      <vt:variant>
        <vt:lpwstr>_Toc224288829</vt:lpwstr>
      </vt:variant>
      <vt:variant>
        <vt:i4>1900598</vt:i4>
      </vt:variant>
      <vt:variant>
        <vt:i4>260</vt:i4>
      </vt:variant>
      <vt:variant>
        <vt:i4>0</vt:i4>
      </vt:variant>
      <vt:variant>
        <vt:i4>5</vt:i4>
      </vt:variant>
      <vt:variant>
        <vt:lpwstr/>
      </vt:variant>
      <vt:variant>
        <vt:lpwstr>_Toc224288828</vt:lpwstr>
      </vt:variant>
      <vt:variant>
        <vt:i4>1900598</vt:i4>
      </vt:variant>
      <vt:variant>
        <vt:i4>254</vt:i4>
      </vt:variant>
      <vt:variant>
        <vt:i4>0</vt:i4>
      </vt:variant>
      <vt:variant>
        <vt:i4>5</vt:i4>
      </vt:variant>
      <vt:variant>
        <vt:lpwstr/>
      </vt:variant>
      <vt:variant>
        <vt:lpwstr>_Toc224288827</vt:lpwstr>
      </vt:variant>
      <vt:variant>
        <vt:i4>1900598</vt:i4>
      </vt:variant>
      <vt:variant>
        <vt:i4>248</vt:i4>
      </vt:variant>
      <vt:variant>
        <vt:i4>0</vt:i4>
      </vt:variant>
      <vt:variant>
        <vt:i4>5</vt:i4>
      </vt:variant>
      <vt:variant>
        <vt:lpwstr/>
      </vt:variant>
      <vt:variant>
        <vt:lpwstr>_Toc224288826</vt:lpwstr>
      </vt:variant>
      <vt:variant>
        <vt:i4>1900598</vt:i4>
      </vt:variant>
      <vt:variant>
        <vt:i4>242</vt:i4>
      </vt:variant>
      <vt:variant>
        <vt:i4>0</vt:i4>
      </vt:variant>
      <vt:variant>
        <vt:i4>5</vt:i4>
      </vt:variant>
      <vt:variant>
        <vt:lpwstr/>
      </vt:variant>
      <vt:variant>
        <vt:lpwstr>_Toc224288825</vt:lpwstr>
      </vt:variant>
      <vt:variant>
        <vt:i4>1900598</vt:i4>
      </vt:variant>
      <vt:variant>
        <vt:i4>236</vt:i4>
      </vt:variant>
      <vt:variant>
        <vt:i4>0</vt:i4>
      </vt:variant>
      <vt:variant>
        <vt:i4>5</vt:i4>
      </vt:variant>
      <vt:variant>
        <vt:lpwstr/>
      </vt:variant>
      <vt:variant>
        <vt:lpwstr>_Toc224288824</vt:lpwstr>
      </vt:variant>
      <vt:variant>
        <vt:i4>1900598</vt:i4>
      </vt:variant>
      <vt:variant>
        <vt:i4>230</vt:i4>
      </vt:variant>
      <vt:variant>
        <vt:i4>0</vt:i4>
      </vt:variant>
      <vt:variant>
        <vt:i4>5</vt:i4>
      </vt:variant>
      <vt:variant>
        <vt:lpwstr/>
      </vt:variant>
      <vt:variant>
        <vt:lpwstr>_Toc224288823</vt:lpwstr>
      </vt:variant>
      <vt:variant>
        <vt:i4>1900598</vt:i4>
      </vt:variant>
      <vt:variant>
        <vt:i4>224</vt:i4>
      </vt:variant>
      <vt:variant>
        <vt:i4>0</vt:i4>
      </vt:variant>
      <vt:variant>
        <vt:i4>5</vt:i4>
      </vt:variant>
      <vt:variant>
        <vt:lpwstr/>
      </vt:variant>
      <vt:variant>
        <vt:lpwstr>_Toc224288822</vt:lpwstr>
      </vt:variant>
      <vt:variant>
        <vt:i4>1900598</vt:i4>
      </vt:variant>
      <vt:variant>
        <vt:i4>218</vt:i4>
      </vt:variant>
      <vt:variant>
        <vt:i4>0</vt:i4>
      </vt:variant>
      <vt:variant>
        <vt:i4>5</vt:i4>
      </vt:variant>
      <vt:variant>
        <vt:lpwstr/>
      </vt:variant>
      <vt:variant>
        <vt:lpwstr>_Toc224288821</vt:lpwstr>
      </vt:variant>
      <vt:variant>
        <vt:i4>1900598</vt:i4>
      </vt:variant>
      <vt:variant>
        <vt:i4>212</vt:i4>
      </vt:variant>
      <vt:variant>
        <vt:i4>0</vt:i4>
      </vt:variant>
      <vt:variant>
        <vt:i4>5</vt:i4>
      </vt:variant>
      <vt:variant>
        <vt:lpwstr/>
      </vt:variant>
      <vt:variant>
        <vt:lpwstr>_Toc224288820</vt:lpwstr>
      </vt:variant>
      <vt:variant>
        <vt:i4>1966134</vt:i4>
      </vt:variant>
      <vt:variant>
        <vt:i4>206</vt:i4>
      </vt:variant>
      <vt:variant>
        <vt:i4>0</vt:i4>
      </vt:variant>
      <vt:variant>
        <vt:i4>5</vt:i4>
      </vt:variant>
      <vt:variant>
        <vt:lpwstr/>
      </vt:variant>
      <vt:variant>
        <vt:lpwstr>_Toc224288819</vt:lpwstr>
      </vt:variant>
      <vt:variant>
        <vt:i4>1966134</vt:i4>
      </vt:variant>
      <vt:variant>
        <vt:i4>200</vt:i4>
      </vt:variant>
      <vt:variant>
        <vt:i4>0</vt:i4>
      </vt:variant>
      <vt:variant>
        <vt:i4>5</vt:i4>
      </vt:variant>
      <vt:variant>
        <vt:lpwstr/>
      </vt:variant>
      <vt:variant>
        <vt:lpwstr>_Toc224288818</vt:lpwstr>
      </vt:variant>
      <vt:variant>
        <vt:i4>1966134</vt:i4>
      </vt:variant>
      <vt:variant>
        <vt:i4>194</vt:i4>
      </vt:variant>
      <vt:variant>
        <vt:i4>0</vt:i4>
      </vt:variant>
      <vt:variant>
        <vt:i4>5</vt:i4>
      </vt:variant>
      <vt:variant>
        <vt:lpwstr/>
      </vt:variant>
      <vt:variant>
        <vt:lpwstr>_Toc224288817</vt:lpwstr>
      </vt:variant>
      <vt:variant>
        <vt:i4>1966134</vt:i4>
      </vt:variant>
      <vt:variant>
        <vt:i4>188</vt:i4>
      </vt:variant>
      <vt:variant>
        <vt:i4>0</vt:i4>
      </vt:variant>
      <vt:variant>
        <vt:i4>5</vt:i4>
      </vt:variant>
      <vt:variant>
        <vt:lpwstr/>
      </vt:variant>
      <vt:variant>
        <vt:lpwstr>_Toc224288816</vt:lpwstr>
      </vt:variant>
      <vt:variant>
        <vt:i4>1966134</vt:i4>
      </vt:variant>
      <vt:variant>
        <vt:i4>182</vt:i4>
      </vt:variant>
      <vt:variant>
        <vt:i4>0</vt:i4>
      </vt:variant>
      <vt:variant>
        <vt:i4>5</vt:i4>
      </vt:variant>
      <vt:variant>
        <vt:lpwstr/>
      </vt:variant>
      <vt:variant>
        <vt:lpwstr>_Toc224288815</vt:lpwstr>
      </vt:variant>
      <vt:variant>
        <vt:i4>1966134</vt:i4>
      </vt:variant>
      <vt:variant>
        <vt:i4>176</vt:i4>
      </vt:variant>
      <vt:variant>
        <vt:i4>0</vt:i4>
      </vt:variant>
      <vt:variant>
        <vt:i4>5</vt:i4>
      </vt:variant>
      <vt:variant>
        <vt:lpwstr/>
      </vt:variant>
      <vt:variant>
        <vt:lpwstr>_Toc224288814</vt:lpwstr>
      </vt:variant>
      <vt:variant>
        <vt:i4>1966134</vt:i4>
      </vt:variant>
      <vt:variant>
        <vt:i4>170</vt:i4>
      </vt:variant>
      <vt:variant>
        <vt:i4>0</vt:i4>
      </vt:variant>
      <vt:variant>
        <vt:i4>5</vt:i4>
      </vt:variant>
      <vt:variant>
        <vt:lpwstr/>
      </vt:variant>
      <vt:variant>
        <vt:lpwstr>_Toc224288813</vt:lpwstr>
      </vt:variant>
      <vt:variant>
        <vt:i4>1966134</vt:i4>
      </vt:variant>
      <vt:variant>
        <vt:i4>164</vt:i4>
      </vt:variant>
      <vt:variant>
        <vt:i4>0</vt:i4>
      </vt:variant>
      <vt:variant>
        <vt:i4>5</vt:i4>
      </vt:variant>
      <vt:variant>
        <vt:lpwstr/>
      </vt:variant>
      <vt:variant>
        <vt:lpwstr>_Toc224288812</vt:lpwstr>
      </vt:variant>
      <vt:variant>
        <vt:i4>1966134</vt:i4>
      </vt:variant>
      <vt:variant>
        <vt:i4>158</vt:i4>
      </vt:variant>
      <vt:variant>
        <vt:i4>0</vt:i4>
      </vt:variant>
      <vt:variant>
        <vt:i4>5</vt:i4>
      </vt:variant>
      <vt:variant>
        <vt:lpwstr/>
      </vt:variant>
      <vt:variant>
        <vt:lpwstr>_Toc224288811</vt:lpwstr>
      </vt:variant>
      <vt:variant>
        <vt:i4>1966134</vt:i4>
      </vt:variant>
      <vt:variant>
        <vt:i4>152</vt:i4>
      </vt:variant>
      <vt:variant>
        <vt:i4>0</vt:i4>
      </vt:variant>
      <vt:variant>
        <vt:i4>5</vt:i4>
      </vt:variant>
      <vt:variant>
        <vt:lpwstr/>
      </vt:variant>
      <vt:variant>
        <vt:lpwstr>_Toc224288810</vt:lpwstr>
      </vt:variant>
      <vt:variant>
        <vt:i4>2031670</vt:i4>
      </vt:variant>
      <vt:variant>
        <vt:i4>146</vt:i4>
      </vt:variant>
      <vt:variant>
        <vt:i4>0</vt:i4>
      </vt:variant>
      <vt:variant>
        <vt:i4>5</vt:i4>
      </vt:variant>
      <vt:variant>
        <vt:lpwstr/>
      </vt:variant>
      <vt:variant>
        <vt:lpwstr>_Toc224288809</vt:lpwstr>
      </vt:variant>
      <vt:variant>
        <vt:i4>2031670</vt:i4>
      </vt:variant>
      <vt:variant>
        <vt:i4>140</vt:i4>
      </vt:variant>
      <vt:variant>
        <vt:i4>0</vt:i4>
      </vt:variant>
      <vt:variant>
        <vt:i4>5</vt:i4>
      </vt:variant>
      <vt:variant>
        <vt:lpwstr/>
      </vt:variant>
      <vt:variant>
        <vt:lpwstr>_Toc224288808</vt:lpwstr>
      </vt:variant>
      <vt:variant>
        <vt:i4>2031670</vt:i4>
      </vt:variant>
      <vt:variant>
        <vt:i4>134</vt:i4>
      </vt:variant>
      <vt:variant>
        <vt:i4>0</vt:i4>
      </vt:variant>
      <vt:variant>
        <vt:i4>5</vt:i4>
      </vt:variant>
      <vt:variant>
        <vt:lpwstr/>
      </vt:variant>
      <vt:variant>
        <vt:lpwstr>_Toc224288807</vt:lpwstr>
      </vt:variant>
      <vt:variant>
        <vt:i4>2031670</vt:i4>
      </vt:variant>
      <vt:variant>
        <vt:i4>128</vt:i4>
      </vt:variant>
      <vt:variant>
        <vt:i4>0</vt:i4>
      </vt:variant>
      <vt:variant>
        <vt:i4>5</vt:i4>
      </vt:variant>
      <vt:variant>
        <vt:lpwstr/>
      </vt:variant>
      <vt:variant>
        <vt:lpwstr>_Toc224288806</vt:lpwstr>
      </vt:variant>
      <vt:variant>
        <vt:i4>2031670</vt:i4>
      </vt:variant>
      <vt:variant>
        <vt:i4>122</vt:i4>
      </vt:variant>
      <vt:variant>
        <vt:i4>0</vt:i4>
      </vt:variant>
      <vt:variant>
        <vt:i4>5</vt:i4>
      </vt:variant>
      <vt:variant>
        <vt:lpwstr/>
      </vt:variant>
      <vt:variant>
        <vt:lpwstr>_Toc224288805</vt:lpwstr>
      </vt:variant>
      <vt:variant>
        <vt:i4>2031670</vt:i4>
      </vt:variant>
      <vt:variant>
        <vt:i4>116</vt:i4>
      </vt:variant>
      <vt:variant>
        <vt:i4>0</vt:i4>
      </vt:variant>
      <vt:variant>
        <vt:i4>5</vt:i4>
      </vt:variant>
      <vt:variant>
        <vt:lpwstr/>
      </vt:variant>
      <vt:variant>
        <vt:lpwstr>_Toc224288804</vt:lpwstr>
      </vt:variant>
      <vt:variant>
        <vt:i4>2031670</vt:i4>
      </vt:variant>
      <vt:variant>
        <vt:i4>110</vt:i4>
      </vt:variant>
      <vt:variant>
        <vt:i4>0</vt:i4>
      </vt:variant>
      <vt:variant>
        <vt:i4>5</vt:i4>
      </vt:variant>
      <vt:variant>
        <vt:lpwstr/>
      </vt:variant>
      <vt:variant>
        <vt:lpwstr>_Toc224288803</vt:lpwstr>
      </vt:variant>
      <vt:variant>
        <vt:i4>2031670</vt:i4>
      </vt:variant>
      <vt:variant>
        <vt:i4>104</vt:i4>
      </vt:variant>
      <vt:variant>
        <vt:i4>0</vt:i4>
      </vt:variant>
      <vt:variant>
        <vt:i4>5</vt:i4>
      </vt:variant>
      <vt:variant>
        <vt:lpwstr/>
      </vt:variant>
      <vt:variant>
        <vt:lpwstr>_Toc224288802</vt:lpwstr>
      </vt:variant>
      <vt:variant>
        <vt:i4>2031670</vt:i4>
      </vt:variant>
      <vt:variant>
        <vt:i4>98</vt:i4>
      </vt:variant>
      <vt:variant>
        <vt:i4>0</vt:i4>
      </vt:variant>
      <vt:variant>
        <vt:i4>5</vt:i4>
      </vt:variant>
      <vt:variant>
        <vt:lpwstr/>
      </vt:variant>
      <vt:variant>
        <vt:lpwstr>_Toc224288801</vt:lpwstr>
      </vt:variant>
      <vt:variant>
        <vt:i4>2031670</vt:i4>
      </vt:variant>
      <vt:variant>
        <vt:i4>92</vt:i4>
      </vt:variant>
      <vt:variant>
        <vt:i4>0</vt:i4>
      </vt:variant>
      <vt:variant>
        <vt:i4>5</vt:i4>
      </vt:variant>
      <vt:variant>
        <vt:lpwstr/>
      </vt:variant>
      <vt:variant>
        <vt:lpwstr>_Toc224288800</vt:lpwstr>
      </vt:variant>
      <vt:variant>
        <vt:i4>1441849</vt:i4>
      </vt:variant>
      <vt:variant>
        <vt:i4>86</vt:i4>
      </vt:variant>
      <vt:variant>
        <vt:i4>0</vt:i4>
      </vt:variant>
      <vt:variant>
        <vt:i4>5</vt:i4>
      </vt:variant>
      <vt:variant>
        <vt:lpwstr/>
      </vt:variant>
      <vt:variant>
        <vt:lpwstr>_Toc224288799</vt:lpwstr>
      </vt:variant>
      <vt:variant>
        <vt:i4>1441849</vt:i4>
      </vt:variant>
      <vt:variant>
        <vt:i4>80</vt:i4>
      </vt:variant>
      <vt:variant>
        <vt:i4>0</vt:i4>
      </vt:variant>
      <vt:variant>
        <vt:i4>5</vt:i4>
      </vt:variant>
      <vt:variant>
        <vt:lpwstr/>
      </vt:variant>
      <vt:variant>
        <vt:lpwstr>_Toc224288798</vt:lpwstr>
      </vt:variant>
      <vt:variant>
        <vt:i4>1441849</vt:i4>
      </vt:variant>
      <vt:variant>
        <vt:i4>74</vt:i4>
      </vt:variant>
      <vt:variant>
        <vt:i4>0</vt:i4>
      </vt:variant>
      <vt:variant>
        <vt:i4>5</vt:i4>
      </vt:variant>
      <vt:variant>
        <vt:lpwstr/>
      </vt:variant>
      <vt:variant>
        <vt:lpwstr>_Toc224288797</vt:lpwstr>
      </vt:variant>
      <vt:variant>
        <vt:i4>1441849</vt:i4>
      </vt:variant>
      <vt:variant>
        <vt:i4>68</vt:i4>
      </vt:variant>
      <vt:variant>
        <vt:i4>0</vt:i4>
      </vt:variant>
      <vt:variant>
        <vt:i4>5</vt:i4>
      </vt:variant>
      <vt:variant>
        <vt:lpwstr/>
      </vt:variant>
      <vt:variant>
        <vt:lpwstr>_Toc224288796</vt:lpwstr>
      </vt:variant>
      <vt:variant>
        <vt:i4>1441849</vt:i4>
      </vt:variant>
      <vt:variant>
        <vt:i4>62</vt:i4>
      </vt:variant>
      <vt:variant>
        <vt:i4>0</vt:i4>
      </vt:variant>
      <vt:variant>
        <vt:i4>5</vt:i4>
      </vt:variant>
      <vt:variant>
        <vt:lpwstr/>
      </vt:variant>
      <vt:variant>
        <vt:lpwstr>_Toc224288795</vt:lpwstr>
      </vt:variant>
      <vt:variant>
        <vt:i4>1441849</vt:i4>
      </vt:variant>
      <vt:variant>
        <vt:i4>56</vt:i4>
      </vt:variant>
      <vt:variant>
        <vt:i4>0</vt:i4>
      </vt:variant>
      <vt:variant>
        <vt:i4>5</vt:i4>
      </vt:variant>
      <vt:variant>
        <vt:lpwstr/>
      </vt:variant>
      <vt:variant>
        <vt:lpwstr>_Toc224288794</vt:lpwstr>
      </vt:variant>
      <vt:variant>
        <vt:i4>1441849</vt:i4>
      </vt:variant>
      <vt:variant>
        <vt:i4>50</vt:i4>
      </vt:variant>
      <vt:variant>
        <vt:i4>0</vt:i4>
      </vt:variant>
      <vt:variant>
        <vt:i4>5</vt:i4>
      </vt:variant>
      <vt:variant>
        <vt:lpwstr/>
      </vt:variant>
      <vt:variant>
        <vt:lpwstr>_Toc224288793</vt:lpwstr>
      </vt:variant>
      <vt:variant>
        <vt:i4>1441849</vt:i4>
      </vt:variant>
      <vt:variant>
        <vt:i4>44</vt:i4>
      </vt:variant>
      <vt:variant>
        <vt:i4>0</vt:i4>
      </vt:variant>
      <vt:variant>
        <vt:i4>5</vt:i4>
      </vt:variant>
      <vt:variant>
        <vt:lpwstr/>
      </vt:variant>
      <vt:variant>
        <vt:lpwstr>_Toc224288792</vt:lpwstr>
      </vt:variant>
      <vt:variant>
        <vt:i4>1441849</vt:i4>
      </vt:variant>
      <vt:variant>
        <vt:i4>38</vt:i4>
      </vt:variant>
      <vt:variant>
        <vt:i4>0</vt:i4>
      </vt:variant>
      <vt:variant>
        <vt:i4>5</vt:i4>
      </vt:variant>
      <vt:variant>
        <vt:lpwstr/>
      </vt:variant>
      <vt:variant>
        <vt:lpwstr>_Toc224288791</vt:lpwstr>
      </vt:variant>
      <vt:variant>
        <vt:i4>1441849</vt:i4>
      </vt:variant>
      <vt:variant>
        <vt:i4>32</vt:i4>
      </vt:variant>
      <vt:variant>
        <vt:i4>0</vt:i4>
      </vt:variant>
      <vt:variant>
        <vt:i4>5</vt:i4>
      </vt:variant>
      <vt:variant>
        <vt:lpwstr/>
      </vt:variant>
      <vt:variant>
        <vt:lpwstr>_Toc224288790</vt:lpwstr>
      </vt:variant>
      <vt:variant>
        <vt:i4>1507385</vt:i4>
      </vt:variant>
      <vt:variant>
        <vt:i4>26</vt:i4>
      </vt:variant>
      <vt:variant>
        <vt:i4>0</vt:i4>
      </vt:variant>
      <vt:variant>
        <vt:i4>5</vt:i4>
      </vt:variant>
      <vt:variant>
        <vt:lpwstr/>
      </vt:variant>
      <vt:variant>
        <vt:lpwstr>_Toc224288789</vt:lpwstr>
      </vt:variant>
      <vt:variant>
        <vt:i4>1507385</vt:i4>
      </vt:variant>
      <vt:variant>
        <vt:i4>20</vt:i4>
      </vt:variant>
      <vt:variant>
        <vt:i4>0</vt:i4>
      </vt:variant>
      <vt:variant>
        <vt:i4>5</vt:i4>
      </vt:variant>
      <vt:variant>
        <vt:lpwstr/>
      </vt:variant>
      <vt:variant>
        <vt:lpwstr>_Toc224288788</vt:lpwstr>
      </vt:variant>
      <vt:variant>
        <vt:i4>1507385</vt:i4>
      </vt:variant>
      <vt:variant>
        <vt:i4>14</vt:i4>
      </vt:variant>
      <vt:variant>
        <vt:i4>0</vt:i4>
      </vt:variant>
      <vt:variant>
        <vt:i4>5</vt:i4>
      </vt:variant>
      <vt:variant>
        <vt:lpwstr/>
      </vt:variant>
      <vt:variant>
        <vt:lpwstr>_Toc224288787</vt:lpwstr>
      </vt:variant>
      <vt:variant>
        <vt:i4>4849686</vt:i4>
      </vt:variant>
      <vt:variant>
        <vt:i4>9</vt:i4>
      </vt:variant>
      <vt:variant>
        <vt:i4>0</vt:i4>
      </vt:variant>
      <vt:variant>
        <vt:i4>5</vt:i4>
      </vt:variant>
      <vt:variant>
        <vt:lpwstr>https://www.itu.int/en/council/Documents/basic-texts/Convention-E.pdf</vt:lpwstr>
      </vt:variant>
      <vt:variant>
        <vt:lpwstr/>
      </vt:variant>
      <vt:variant>
        <vt:i4>7209060</vt:i4>
      </vt:variant>
      <vt:variant>
        <vt:i4>6</vt:i4>
      </vt:variant>
      <vt:variant>
        <vt:i4>0</vt:i4>
      </vt:variant>
      <vt:variant>
        <vt:i4>5</vt:i4>
      </vt:variant>
      <vt:variant>
        <vt:lpwstr>https://www.itu.int/en/council/Documents/basic-texts-2023/RES-200-E.pdf</vt:lpwstr>
      </vt:variant>
      <vt:variant>
        <vt:lpwstr/>
      </vt:variant>
      <vt:variant>
        <vt:i4>6881383</vt:i4>
      </vt:variant>
      <vt:variant>
        <vt:i4>3</vt:i4>
      </vt:variant>
      <vt:variant>
        <vt:i4>0</vt:i4>
      </vt:variant>
      <vt:variant>
        <vt:i4>5</vt:i4>
      </vt:variant>
      <vt:variant>
        <vt:lpwstr>https://www.itu.int/en/council/Documents/basic-texts-2023/RES-071-E.pdf</vt:lpwstr>
      </vt:variant>
      <vt:variant>
        <vt:lpwstr/>
      </vt:variant>
      <vt:variant>
        <vt:i4>6750242</vt:i4>
      </vt:variant>
      <vt:variant>
        <vt:i4>0</vt:i4>
      </vt:variant>
      <vt:variant>
        <vt:i4>0</vt:i4>
      </vt:variant>
      <vt:variant>
        <vt:i4>5</vt:i4>
      </vt:variant>
      <vt:variant>
        <vt:lpwstr>https://www.itu.int/md/S26-PP-C-0020/en</vt:lpwstr>
      </vt:variant>
      <vt:variant>
        <vt:lpwstr/>
      </vt:variant>
      <vt:variant>
        <vt:i4>25</vt:i4>
      </vt:variant>
      <vt:variant>
        <vt:i4>3</vt:i4>
      </vt:variant>
      <vt:variant>
        <vt:i4>0</vt:i4>
      </vt:variant>
      <vt:variant>
        <vt:i4>5</vt:i4>
      </vt:variant>
      <vt:variant>
        <vt:lpwstr>https://council.itu.int/2026/en/</vt:lpwstr>
      </vt:variant>
      <vt:variant>
        <vt:lpwstr/>
      </vt:variant>
      <vt:variant>
        <vt:i4>6946844</vt:i4>
      </vt:variant>
      <vt:variant>
        <vt:i4>129</vt:i4>
      </vt:variant>
      <vt:variant>
        <vt:i4>0</vt:i4>
      </vt:variant>
      <vt:variant>
        <vt:i4>5</vt:i4>
      </vt:variant>
      <vt:variant>
        <vt:lpwstr>mailto:ana.garcia@itu.int</vt:lpwstr>
      </vt:variant>
      <vt:variant>
        <vt:lpwstr/>
      </vt:variant>
      <vt:variant>
        <vt:i4>3211330</vt:i4>
      </vt:variant>
      <vt:variant>
        <vt:i4>126</vt:i4>
      </vt:variant>
      <vt:variant>
        <vt:i4>0</vt:i4>
      </vt:variant>
      <vt:variant>
        <vt:i4>5</vt:i4>
      </vt:variant>
      <vt:variant>
        <vt:lpwstr>mailto:fernando.rivera@itu.int</vt:lpwstr>
      </vt:variant>
      <vt:variant>
        <vt:lpwstr/>
      </vt:variant>
      <vt:variant>
        <vt:i4>5832752</vt:i4>
      </vt:variant>
      <vt:variant>
        <vt:i4>123</vt:i4>
      </vt:variant>
      <vt:variant>
        <vt:i4>0</vt:i4>
      </vt:variant>
      <vt:variant>
        <vt:i4>5</vt:i4>
      </vt:variant>
      <vt:variant>
        <vt:lpwstr>mailto:sadhvi.saran@itu.int</vt:lpwstr>
      </vt:variant>
      <vt:variant>
        <vt:lpwstr/>
      </vt:variant>
      <vt:variant>
        <vt:i4>3211330</vt:i4>
      </vt:variant>
      <vt:variant>
        <vt:i4>120</vt:i4>
      </vt:variant>
      <vt:variant>
        <vt:i4>0</vt:i4>
      </vt:variant>
      <vt:variant>
        <vt:i4>5</vt:i4>
      </vt:variant>
      <vt:variant>
        <vt:lpwstr>mailto:fernando.rivera@itu.int</vt:lpwstr>
      </vt:variant>
      <vt:variant>
        <vt:lpwstr/>
      </vt:variant>
      <vt:variant>
        <vt:i4>6946844</vt:i4>
      </vt:variant>
      <vt:variant>
        <vt:i4>117</vt:i4>
      </vt:variant>
      <vt:variant>
        <vt:i4>0</vt:i4>
      </vt:variant>
      <vt:variant>
        <vt:i4>5</vt:i4>
      </vt:variant>
      <vt:variant>
        <vt:lpwstr>mailto:ana.garcia@itu.int</vt:lpwstr>
      </vt:variant>
      <vt:variant>
        <vt:lpwstr/>
      </vt:variant>
      <vt:variant>
        <vt:i4>3211330</vt:i4>
      </vt:variant>
      <vt:variant>
        <vt:i4>114</vt:i4>
      </vt:variant>
      <vt:variant>
        <vt:i4>0</vt:i4>
      </vt:variant>
      <vt:variant>
        <vt:i4>5</vt:i4>
      </vt:variant>
      <vt:variant>
        <vt:lpwstr>mailto:fernando.rivera@itu.int</vt:lpwstr>
      </vt:variant>
      <vt:variant>
        <vt:lpwstr/>
      </vt:variant>
      <vt:variant>
        <vt:i4>4259891</vt:i4>
      </vt:variant>
      <vt:variant>
        <vt:i4>111</vt:i4>
      </vt:variant>
      <vt:variant>
        <vt:i4>0</vt:i4>
      </vt:variant>
      <vt:variant>
        <vt:i4>5</vt:i4>
      </vt:variant>
      <vt:variant>
        <vt:lpwstr>mailto:alex.wong@itu.int</vt:lpwstr>
      </vt:variant>
      <vt:variant>
        <vt:lpwstr/>
      </vt:variant>
      <vt:variant>
        <vt:i4>3211330</vt:i4>
      </vt:variant>
      <vt:variant>
        <vt:i4>108</vt:i4>
      </vt:variant>
      <vt:variant>
        <vt:i4>0</vt:i4>
      </vt:variant>
      <vt:variant>
        <vt:i4>5</vt:i4>
      </vt:variant>
      <vt:variant>
        <vt:lpwstr>mailto:fernando.rivera@itu.int</vt:lpwstr>
      </vt:variant>
      <vt:variant>
        <vt:lpwstr/>
      </vt:variant>
      <vt:variant>
        <vt:i4>3211330</vt:i4>
      </vt:variant>
      <vt:variant>
        <vt:i4>105</vt:i4>
      </vt:variant>
      <vt:variant>
        <vt:i4>0</vt:i4>
      </vt:variant>
      <vt:variant>
        <vt:i4>5</vt:i4>
      </vt:variant>
      <vt:variant>
        <vt:lpwstr>mailto:fernando.rivera@itu.int</vt:lpwstr>
      </vt:variant>
      <vt:variant>
        <vt:lpwstr/>
      </vt:variant>
      <vt:variant>
        <vt:i4>6946844</vt:i4>
      </vt:variant>
      <vt:variant>
        <vt:i4>102</vt:i4>
      </vt:variant>
      <vt:variant>
        <vt:i4>0</vt:i4>
      </vt:variant>
      <vt:variant>
        <vt:i4>5</vt:i4>
      </vt:variant>
      <vt:variant>
        <vt:lpwstr>mailto:ana.garcia@itu.int</vt:lpwstr>
      </vt:variant>
      <vt:variant>
        <vt:lpwstr/>
      </vt:variant>
      <vt:variant>
        <vt:i4>3080283</vt:i4>
      </vt:variant>
      <vt:variant>
        <vt:i4>99</vt:i4>
      </vt:variant>
      <vt:variant>
        <vt:i4>0</vt:i4>
      </vt:variant>
      <vt:variant>
        <vt:i4>5</vt:i4>
      </vt:variant>
      <vt:variant>
        <vt:lpwstr>mailto:sulyna.abdullah@itu.int</vt:lpwstr>
      </vt:variant>
      <vt:variant>
        <vt:lpwstr/>
      </vt:variant>
      <vt:variant>
        <vt:i4>3211330</vt:i4>
      </vt:variant>
      <vt:variant>
        <vt:i4>96</vt:i4>
      </vt:variant>
      <vt:variant>
        <vt:i4>0</vt:i4>
      </vt:variant>
      <vt:variant>
        <vt:i4>5</vt:i4>
      </vt:variant>
      <vt:variant>
        <vt:lpwstr>mailto:fernando.rivera@itu.int</vt:lpwstr>
      </vt:variant>
      <vt:variant>
        <vt:lpwstr/>
      </vt:variant>
      <vt:variant>
        <vt:i4>7012376</vt:i4>
      </vt:variant>
      <vt:variant>
        <vt:i4>93</vt:i4>
      </vt:variant>
      <vt:variant>
        <vt:i4>0</vt:i4>
      </vt:variant>
      <vt:variant>
        <vt:i4>5</vt:i4>
      </vt:variant>
      <vt:variant>
        <vt:lpwstr>mailto:archana.gulati@itu.int</vt:lpwstr>
      </vt:variant>
      <vt:variant>
        <vt:lpwstr/>
      </vt:variant>
      <vt:variant>
        <vt:i4>3211330</vt:i4>
      </vt:variant>
      <vt:variant>
        <vt:i4>90</vt:i4>
      </vt:variant>
      <vt:variant>
        <vt:i4>0</vt:i4>
      </vt:variant>
      <vt:variant>
        <vt:i4>5</vt:i4>
      </vt:variant>
      <vt:variant>
        <vt:lpwstr>mailto:fernando.rivera@itu.int</vt:lpwstr>
      </vt:variant>
      <vt:variant>
        <vt:lpwstr/>
      </vt:variant>
      <vt:variant>
        <vt:i4>524414</vt:i4>
      </vt:variant>
      <vt:variant>
        <vt:i4>87</vt:i4>
      </vt:variant>
      <vt:variant>
        <vt:i4>0</vt:i4>
      </vt:variant>
      <vt:variant>
        <vt:i4>5</vt:i4>
      </vt:variant>
      <vt:variant>
        <vt:lpwstr>mailto:ana.fernandez@itu.int</vt:lpwstr>
      </vt:variant>
      <vt:variant>
        <vt:lpwstr/>
      </vt:variant>
      <vt:variant>
        <vt:i4>3211330</vt:i4>
      </vt:variant>
      <vt:variant>
        <vt:i4>84</vt:i4>
      </vt:variant>
      <vt:variant>
        <vt:i4>0</vt:i4>
      </vt:variant>
      <vt:variant>
        <vt:i4>5</vt:i4>
      </vt:variant>
      <vt:variant>
        <vt:lpwstr>mailto:fernando.rivera@itu.int</vt:lpwstr>
      </vt:variant>
      <vt:variant>
        <vt:lpwstr/>
      </vt:variant>
      <vt:variant>
        <vt:i4>6946844</vt:i4>
      </vt:variant>
      <vt:variant>
        <vt:i4>81</vt:i4>
      </vt:variant>
      <vt:variant>
        <vt:i4>0</vt:i4>
      </vt:variant>
      <vt:variant>
        <vt:i4>5</vt:i4>
      </vt:variant>
      <vt:variant>
        <vt:lpwstr>mailto:ana.garcia@itu.int</vt:lpwstr>
      </vt:variant>
      <vt:variant>
        <vt:lpwstr/>
      </vt:variant>
      <vt:variant>
        <vt:i4>3211330</vt:i4>
      </vt:variant>
      <vt:variant>
        <vt:i4>78</vt:i4>
      </vt:variant>
      <vt:variant>
        <vt:i4>0</vt:i4>
      </vt:variant>
      <vt:variant>
        <vt:i4>5</vt:i4>
      </vt:variant>
      <vt:variant>
        <vt:lpwstr>mailto:fernando.rivera@itu.int</vt:lpwstr>
      </vt:variant>
      <vt:variant>
        <vt:lpwstr/>
      </vt:variant>
      <vt:variant>
        <vt:i4>6946844</vt:i4>
      </vt:variant>
      <vt:variant>
        <vt:i4>75</vt:i4>
      </vt:variant>
      <vt:variant>
        <vt:i4>0</vt:i4>
      </vt:variant>
      <vt:variant>
        <vt:i4>5</vt:i4>
      </vt:variant>
      <vt:variant>
        <vt:lpwstr>mailto:ana.garcia@itu.int</vt:lpwstr>
      </vt:variant>
      <vt:variant>
        <vt:lpwstr/>
      </vt:variant>
      <vt:variant>
        <vt:i4>3211330</vt:i4>
      </vt:variant>
      <vt:variant>
        <vt:i4>72</vt:i4>
      </vt:variant>
      <vt:variant>
        <vt:i4>0</vt:i4>
      </vt:variant>
      <vt:variant>
        <vt:i4>5</vt:i4>
      </vt:variant>
      <vt:variant>
        <vt:lpwstr>mailto:fernando.rivera@itu.int</vt:lpwstr>
      </vt:variant>
      <vt:variant>
        <vt:lpwstr/>
      </vt:variant>
      <vt:variant>
        <vt:i4>3211330</vt:i4>
      </vt:variant>
      <vt:variant>
        <vt:i4>69</vt:i4>
      </vt:variant>
      <vt:variant>
        <vt:i4>0</vt:i4>
      </vt:variant>
      <vt:variant>
        <vt:i4>5</vt:i4>
      </vt:variant>
      <vt:variant>
        <vt:lpwstr>mailto:fernando.rivera@itu.int</vt:lpwstr>
      </vt:variant>
      <vt:variant>
        <vt:lpwstr/>
      </vt:variant>
      <vt:variant>
        <vt:i4>3670098</vt:i4>
      </vt:variant>
      <vt:variant>
        <vt:i4>66</vt:i4>
      </vt:variant>
      <vt:variant>
        <vt:i4>0</vt:i4>
      </vt:variant>
      <vt:variant>
        <vt:i4>5</vt:i4>
      </vt:variant>
      <vt:variant>
        <vt:lpwstr>mailto:neil.macdonald@itu.int</vt:lpwstr>
      </vt:variant>
      <vt:variant>
        <vt:lpwstr/>
      </vt:variant>
      <vt:variant>
        <vt:i4>3211330</vt:i4>
      </vt:variant>
      <vt:variant>
        <vt:i4>63</vt:i4>
      </vt:variant>
      <vt:variant>
        <vt:i4>0</vt:i4>
      </vt:variant>
      <vt:variant>
        <vt:i4>5</vt:i4>
      </vt:variant>
      <vt:variant>
        <vt:lpwstr>mailto:fernando.rivera@itu.int</vt:lpwstr>
      </vt:variant>
      <vt:variant>
        <vt:lpwstr/>
      </vt:variant>
      <vt:variant>
        <vt:i4>3670098</vt:i4>
      </vt:variant>
      <vt:variant>
        <vt:i4>60</vt:i4>
      </vt:variant>
      <vt:variant>
        <vt:i4>0</vt:i4>
      </vt:variant>
      <vt:variant>
        <vt:i4>5</vt:i4>
      </vt:variant>
      <vt:variant>
        <vt:lpwstr>mailto:neil.macdonald@itu.int</vt:lpwstr>
      </vt:variant>
      <vt:variant>
        <vt:lpwstr/>
      </vt:variant>
      <vt:variant>
        <vt:i4>6946844</vt:i4>
      </vt:variant>
      <vt:variant>
        <vt:i4>57</vt:i4>
      </vt:variant>
      <vt:variant>
        <vt:i4>0</vt:i4>
      </vt:variant>
      <vt:variant>
        <vt:i4>5</vt:i4>
      </vt:variant>
      <vt:variant>
        <vt:lpwstr>mailto:ana.garcia@itu.int</vt:lpwstr>
      </vt:variant>
      <vt:variant>
        <vt:lpwstr/>
      </vt:variant>
      <vt:variant>
        <vt:i4>852095</vt:i4>
      </vt:variant>
      <vt:variant>
        <vt:i4>54</vt:i4>
      </vt:variant>
      <vt:variant>
        <vt:i4>0</vt:i4>
      </vt:variant>
      <vt:variant>
        <vt:i4>5</vt:i4>
      </vt:variant>
      <vt:variant>
        <vt:lpwstr>mailto:gitanjali.sah@itu.int</vt:lpwstr>
      </vt:variant>
      <vt:variant>
        <vt:lpwstr/>
      </vt:variant>
      <vt:variant>
        <vt:i4>3670098</vt:i4>
      </vt:variant>
      <vt:variant>
        <vt:i4>51</vt:i4>
      </vt:variant>
      <vt:variant>
        <vt:i4>0</vt:i4>
      </vt:variant>
      <vt:variant>
        <vt:i4>5</vt:i4>
      </vt:variant>
      <vt:variant>
        <vt:lpwstr>mailto:neil.macdonald@itu.int</vt:lpwstr>
      </vt:variant>
      <vt:variant>
        <vt:lpwstr/>
      </vt:variant>
      <vt:variant>
        <vt:i4>6750242</vt:i4>
      </vt:variant>
      <vt:variant>
        <vt:i4>48</vt:i4>
      </vt:variant>
      <vt:variant>
        <vt:i4>0</vt:i4>
      </vt:variant>
      <vt:variant>
        <vt:i4>5</vt:i4>
      </vt:variant>
      <vt:variant>
        <vt:lpwstr>https://www.itu.int/digital-resilience/submarine-cables/wp-content/uploads/sites/2/2026/02/Porto-Summit-Declaration.pdf</vt:lpwstr>
      </vt:variant>
      <vt:variant>
        <vt:lpwstr/>
      </vt:variant>
      <vt:variant>
        <vt:i4>6422642</vt:i4>
      </vt:variant>
      <vt:variant>
        <vt:i4>45</vt:i4>
      </vt:variant>
      <vt:variant>
        <vt:i4>0</vt:i4>
      </vt:variant>
      <vt:variant>
        <vt:i4>5</vt:i4>
      </vt:variant>
      <vt:variant>
        <vt:lpwstr>https://www.itu.int/digital-resilience/submarine-cables/events/about-porto-summit/</vt:lpwstr>
      </vt:variant>
      <vt:variant>
        <vt:lpwstr/>
      </vt:variant>
      <vt:variant>
        <vt:i4>3211330</vt:i4>
      </vt:variant>
      <vt:variant>
        <vt:i4>42</vt:i4>
      </vt:variant>
      <vt:variant>
        <vt:i4>0</vt:i4>
      </vt:variant>
      <vt:variant>
        <vt:i4>5</vt:i4>
      </vt:variant>
      <vt:variant>
        <vt:lpwstr>mailto:fernando.rivera@itu.int</vt:lpwstr>
      </vt:variant>
      <vt:variant>
        <vt:lpwstr/>
      </vt:variant>
      <vt:variant>
        <vt:i4>852095</vt:i4>
      </vt:variant>
      <vt:variant>
        <vt:i4>39</vt:i4>
      </vt:variant>
      <vt:variant>
        <vt:i4>0</vt:i4>
      </vt:variant>
      <vt:variant>
        <vt:i4>5</vt:i4>
      </vt:variant>
      <vt:variant>
        <vt:lpwstr>mailto:gitanjali.sah@itu.int</vt:lpwstr>
      </vt:variant>
      <vt:variant>
        <vt:lpwstr/>
      </vt:variant>
      <vt:variant>
        <vt:i4>6946844</vt:i4>
      </vt:variant>
      <vt:variant>
        <vt:i4>36</vt:i4>
      </vt:variant>
      <vt:variant>
        <vt:i4>0</vt:i4>
      </vt:variant>
      <vt:variant>
        <vt:i4>5</vt:i4>
      </vt:variant>
      <vt:variant>
        <vt:lpwstr>mailto:ana.garcia@itu.int</vt:lpwstr>
      </vt:variant>
      <vt:variant>
        <vt:lpwstr/>
      </vt:variant>
      <vt:variant>
        <vt:i4>65655</vt:i4>
      </vt:variant>
      <vt:variant>
        <vt:i4>33</vt:i4>
      </vt:variant>
      <vt:variant>
        <vt:i4>0</vt:i4>
      </vt:variant>
      <vt:variant>
        <vt:i4>5</vt:i4>
      </vt:variant>
      <vt:variant>
        <vt:lpwstr>mailto:catalin.marinescu@itu.int</vt:lpwstr>
      </vt:variant>
      <vt:variant>
        <vt:lpwstr/>
      </vt:variant>
      <vt:variant>
        <vt:i4>3211330</vt:i4>
      </vt:variant>
      <vt:variant>
        <vt:i4>30</vt:i4>
      </vt:variant>
      <vt:variant>
        <vt:i4>0</vt:i4>
      </vt:variant>
      <vt:variant>
        <vt:i4>5</vt:i4>
      </vt:variant>
      <vt:variant>
        <vt:lpwstr>mailto:fernando.rivera@itu.int</vt:lpwstr>
      </vt:variant>
      <vt:variant>
        <vt:lpwstr/>
      </vt:variant>
      <vt:variant>
        <vt:i4>6946844</vt:i4>
      </vt:variant>
      <vt:variant>
        <vt:i4>27</vt:i4>
      </vt:variant>
      <vt:variant>
        <vt:i4>0</vt:i4>
      </vt:variant>
      <vt:variant>
        <vt:i4>5</vt:i4>
      </vt:variant>
      <vt:variant>
        <vt:lpwstr>mailto:ana.garcia@itu.int</vt:lpwstr>
      </vt:variant>
      <vt:variant>
        <vt:lpwstr/>
      </vt:variant>
      <vt:variant>
        <vt:i4>3670098</vt:i4>
      </vt:variant>
      <vt:variant>
        <vt:i4>24</vt:i4>
      </vt:variant>
      <vt:variant>
        <vt:i4>0</vt:i4>
      </vt:variant>
      <vt:variant>
        <vt:i4>5</vt:i4>
      </vt:variant>
      <vt:variant>
        <vt:lpwstr>mailto:neil.macdonald@itu.int</vt:lpwstr>
      </vt:variant>
      <vt:variant>
        <vt:lpwstr/>
      </vt:variant>
      <vt:variant>
        <vt:i4>6946844</vt:i4>
      </vt:variant>
      <vt:variant>
        <vt:i4>21</vt:i4>
      </vt:variant>
      <vt:variant>
        <vt:i4>0</vt:i4>
      </vt:variant>
      <vt:variant>
        <vt:i4>5</vt:i4>
      </vt:variant>
      <vt:variant>
        <vt:lpwstr>mailto:ana.garcia@itu.int</vt:lpwstr>
      </vt:variant>
      <vt:variant>
        <vt:lpwstr/>
      </vt:variant>
      <vt:variant>
        <vt:i4>65655</vt:i4>
      </vt:variant>
      <vt:variant>
        <vt:i4>18</vt:i4>
      </vt:variant>
      <vt:variant>
        <vt:i4>0</vt:i4>
      </vt:variant>
      <vt:variant>
        <vt:i4>5</vt:i4>
      </vt:variant>
      <vt:variant>
        <vt:lpwstr>mailto:catalin.marinescu@itu.int</vt:lpwstr>
      </vt:variant>
      <vt:variant>
        <vt:lpwstr/>
      </vt:variant>
      <vt:variant>
        <vt:i4>721005</vt:i4>
      </vt:variant>
      <vt:variant>
        <vt:i4>15</vt:i4>
      </vt:variant>
      <vt:variant>
        <vt:i4>0</vt:i4>
      </vt:variant>
      <vt:variant>
        <vt:i4>5</vt:i4>
      </vt:variant>
      <vt:variant>
        <vt:lpwstr>mailto:tomas.lamanauskas@itu.int</vt:lpwstr>
      </vt:variant>
      <vt:variant>
        <vt:lpwstr/>
      </vt:variant>
      <vt:variant>
        <vt:i4>3211330</vt:i4>
      </vt:variant>
      <vt:variant>
        <vt:i4>12</vt:i4>
      </vt:variant>
      <vt:variant>
        <vt:i4>0</vt:i4>
      </vt:variant>
      <vt:variant>
        <vt:i4>5</vt:i4>
      </vt:variant>
      <vt:variant>
        <vt:lpwstr>mailto:fernando.rivera@itu.int</vt:lpwstr>
      </vt:variant>
      <vt:variant>
        <vt:lpwstr/>
      </vt:variant>
      <vt:variant>
        <vt:i4>6946844</vt:i4>
      </vt:variant>
      <vt:variant>
        <vt:i4>9</vt:i4>
      </vt:variant>
      <vt:variant>
        <vt:i4>0</vt:i4>
      </vt:variant>
      <vt:variant>
        <vt:i4>5</vt:i4>
      </vt:variant>
      <vt:variant>
        <vt:lpwstr>mailto:ana.garcia@itu.int</vt:lpwstr>
      </vt:variant>
      <vt:variant>
        <vt:lpwstr/>
      </vt:variant>
      <vt:variant>
        <vt:i4>65655</vt:i4>
      </vt:variant>
      <vt:variant>
        <vt:i4>6</vt:i4>
      </vt:variant>
      <vt:variant>
        <vt:i4>0</vt:i4>
      </vt:variant>
      <vt:variant>
        <vt:i4>5</vt:i4>
      </vt:variant>
      <vt:variant>
        <vt:lpwstr>mailto:catalin.marinescu@itu.int</vt:lpwstr>
      </vt:variant>
      <vt:variant>
        <vt:lpwstr/>
      </vt:variant>
      <vt:variant>
        <vt:i4>6946844</vt:i4>
      </vt:variant>
      <vt:variant>
        <vt:i4>3</vt:i4>
      </vt:variant>
      <vt:variant>
        <vt:i4>0</vt:i4>
      </vt:variant>
      <vt:variant>
        <vt:i4>5</vt:i4>
      </vt:variant>
      <vt:variant>
        <vt:lpwstr>mailto:ana.garcia@itu.int</vt:lpwstr>
      </vt:variant>
      <vt:variant>
        <vt:lpwstr/>
      </vt:variant>
      <vt:variant>
        <vt:i4>3211330</vt:i4>
      </vt:variant>
      <vt:variant>
        <vt:i4>0</vt:i4>
      </vt:variant>
      <vt:variant>
        <vt:i4>0</vt:i4>
      </vt:variant>
      <vt:variant>
        <vt:i4>5</vt:i4>
      </vt:variant>
      <vt:variant>
        <vt:lpwstr>mailto:fernando.rivera@itu.int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Strategic plan and the activities of the Union, March 2022 – December 2025</dc:title>
  <dc:subject>ITU Council 2026</dc:subject>
  <dc:creator/>
  <cp:keywords>C26; C2026; Council 2026; PP26</cp:keywords>
  <dc:description/>
  <cp:lastModifiedBy>GBS</cp:lastModifiedBy>
  <cp:revision>4</cp:revision>
  <cp:lastPrinted>2026-03-23T17:08:00Z</cp:lastPrinted>
  <dcterms:created xsi:type="dcterms:W3CDTF">2026-03-30T20:22:00Z</dcterms:created>
  <dcterms:modified xsi:type="dcterms:W3CDTF">2026-03-30T20:47:00Z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GrammarlyDocumentId">
    <vt:lpwstr>caebc3b039d2086fae139bdca98a6c61c028c4ec16ce6ef236d196610d84ef77</vt:lpwstr>
  </property>
  <property fmtid="{D5CDD505-2E9C-101B-9397-08002B2CF9AE}" pid="9" name="ContentTypeId">
    <vt:lpwstr>0x010100814E447ED7B9DA4C9F10BB2808D9DCA9</vt:lpwstr>
  </property>
  <property fmtid="{D5CDD505-2E9C-101B-9397-08002B2CF9AE}" pid="10" name="docLang">
    <vt:lpwstr>en</vt:lpwstr>
  </property>
</Properties>
</file>