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5"/>
        <w:gridCol w:w="2966"/>
      </w:tblGrid>
      <w:tr w:rsidR="007B0AA0" w14:paraId="0E9A6543" w14:textId="77777777" w:rsidTr="00F363FE">
        <w:tc>
          <w:tcPr>
            <w:tcW w:w="6512" w:type="dxa"/>
          </w:tcPr>
          <w:p w14:paraId="720EB94E" w14:textId="3AA23BA6" w:rsidR="007B0AA0" w:rsidRPr="007B0AA0" w:rsidRDefault="007B0AA0" w:rsidP="00F363FE">
            <w:pPr>
              <w:spacing w:before="60" w:after="60" w:line="260" w:lineRule="exact"/>
              <w:rPr>
                <w:b/>
                <w:bCs/>
                <w:lang w:bidi="ar-EG"/>
              </w:rPr>
            </w:pPr>
            <w:r w:rsidRPr="007B0AA0">
              <w:rPr>
                <w:rFonts w:hint="cs"/>
                <w:b/>
                <w:bCs/>
                <w:rtl/>
                <w:lang w:bidi="ar-EG"/>
              </w:rPr>
              <w:t>بند جدول الأعمال:</w:t>
            </w:r>
            <w:r w:rsidR="00621959">
              <w:rPr>
                <w:rFonts w:hint="cs"/>
                <w:b/>
                <w:bCs/>
                <w:rtl/>
                <w:lang w:bidi="ar-EG"/>
              </w:rPr>
              <w:t xml:space="preserve"> </w:t>
            </w:r>
            <w:r w:rsidR="00621959">
              <w:rPr>
                <w:b/>
                <w:bCs/>
                <w:lang w:bidi="ar-EG"/>
              </w:rPr>
              <w:t>PL 3.1</w:t>
            </w:r>
          </w:p>
        </w:tc>
        <w:tc>
          <w:tcPr>
            <w:tcW w:w="3117" w:type="dxa"/>
          </w:tcPr>
          <w:p w14:paraId="39E7D9C6" w14:textId="7820E054" w:rsidR="007B0AA0" w:rsidRPr="007B0AA0" w:rsidRDefault="007B0AA0" w:rsidP="00F363FE">
            <w:pPr>
              <w:spacing w:before="60" w:after="60" w:line="260" w:lineRule="exact"/>
              <w:rPr>
                <w:b/>
                <w:bCs/>
                <w:lang w:bidi="ar-EG"/>
              </w:rPr>
            </w:pPr>
            <w:r w:rsidRPr="007B0AA0">
              <w:rPr>
                <w:rFonts w:hint="cs"/>
                <w:b/>
                <w:bCs/>
                <w:rtl/>
                <w:lang w:bidi="ar-EG"/>
              </w:rPr>
              <w:t xml:space="preserve">الوثيقة </w:t>
            </w:r>
            <w:r w:rsidRPr="007B0AA0">
              <w:rPr>
                <w:b/>
                <w:bCs/>
                <w:lang w:bidi="ar-EG"/>
              </w:rPr>
              <w:t>C2</w:t>
            </w:r>
            <w:r w:rsidR="000116AF">
              <w:rPr>
                <w:b/>
                <w:bCs/>
                <w:lang w:bidi="ar-EG"/>
              </w:rPr>
              <w:t>6</w:t>
            </w:r>
            <w:r w:rsidRPr="007B0AA0">
              <w:rPr>
                <w:b/>
                <w:bCs/>
                <w:lang w:bidi="ar-EG"/>
              </w:rPr>
              <w:t>/</w:t>
            </w:r>
            <w:r w:rsidR="00621959">
              <w:rPr>
                <w:b/>
                <w:bCs/>
                <w:lang w:bidi="ar-EG"/>
              </w:rPr>
              <w:t>35</w:t>
            </w:r>
            <w:r w:rsidRPr="007B0AA0">
              <w:rPr>
                <w:b/>
                <w:bCs/>
                <w:lang w:bidi="ar-EG"/>
              </w:rPr>
              <w:t>-A</w:t>
            </w:r>
          </w:p>
        </w:tc>
      </w:tr>
      <w:tr w:rsidR="007B0AA0" w14:paraId="1035C5D7" w14:textId="77777777" w:rsidTr="00F363FE">
        <w:tc>
          <w:tcPr>
            <w:tcW w:w="6512" w:type="dxa"/>
          </w:tcPr>
          <w:p w14:paraId="542B7722" w14:textId="77777777" w:rsidR="007B0AA0" w:rsidRPr="007B0AA0" w:rsidRDefault="007B0AA0" w:rsidP="00F363FE">
            <w:pPr>
              <w:spacing w:before="60" w:after="60" w:line="260" w:lineRule="exact"/>
              <w:rPr>
                <w:b/>
                <w:bCs/>
                <w:rtl/>
                <w:lang w:bidi="ar-EG"/>
              </w:rPr>
            </w:pPr>
          </w:p>
        </w:tc>
        <w:tc>
          <w:tcPr>
            <w:tcW w:w="3117" w:type="dxa"/>
          </w:tcPr>
          <w:p w14:paraId="22862B3F" w14:textId="7EBDEBF7" w:rsidR="007B0AA0" w:rsidRPr="007B0AA0" w:rsidRDefault="00621959" w:rsidP="00F363FE">
            <w:pPr>
              <w:spacing w:before="60" w:after="60" w:line="260" w:lineRule="exact"/>
              <w:rPr>
                <w:b/>
                <w:bCs/>
                <w:rtl/>
                <w:lang w:bidi="ar-EG"/>
              </w:rPr>
            </w:pPr>
            <w:r>
              <w:rPr>
                <w:rFonts w:hint="cs"/>
                <w:b/>
                <w:bCs/>
                <w:rtl/>
              </w:rPr>
              <w:t>‏23‏ مارس‏ 2026</w:t>
            </w:r>
          </w:p>
        </w:tc>
      </w:tr>
      <w:tr w:rsidR="007B0AA0" w14:paraId="76580B41" w14:textId="77777777" w:rsidTr="00F363FE">
        <w:tc>
          <w:tcPr>
            <w:tcW w:w="6512" w:type="dxa"/>
          </w:tcPr>
          <w:p w14:paraId="79F37430" w14:textId="77777777" w:rsidR="007B0AA0" w:rsidRPr="007B0AA0" w:rsidRDefault="007B0AA0" w:rsidP="00F363FE">
            <w:pPr>
              <w:spacing w:before="60" w:after="60" w:line="260" w:lineRule="exact"/>
              <w:rPr>
                <w:b/>
                <w:bCs/>
                <w:lang w:bidi="ar-EG"/>
              </w:rPr>
            </w:pPr>
          </w:p>
        </w:tc>
        <w:tc>
          <w:tcPr>
            <w:tcW w:w="3117" w:type="dxa"/>
          </w:tcPr>
          <w:p w14:paraId="0BBD404A" w14:textId="77777777" w:rsidR="007B0AA0" w:rsidRPr="007B0AA0" w:rsidRDefault="001D64C7" w:rsidP="00F363FE">
            <w:pPr>
              <w:spacing w:before="60" w:after="60" w:line="260" w:lineRule="exact"/>
              <w:rPr>
                <w:b/>
                <w:bCs/>
                <w:rtl/>
                <w:lang w:bidi="ar-EG"/>
              </w:rPr>
            </w:pPr>
            <w:r w:rsidRPr="007B0AA0">
              <w:rPr>
                <w:rFonts w:hint="cs"/>
                <w:b/>
                <w:bCs/>
                <w:rtl/>
                <w:lang w:bidi="ar-EG"/>
              </w:rPr>
              <w:t>الأصل: بالإنكليزية</w:t>
            </w:r>
          </w:p>
        </w:tc>
      </w:tr>
      <w:tr w:rsidR="007B0AA0" w14:paraId="6F6AD192" w14:textId="77777777" w:rsidTr="00F363FE">
        <w:tc>
          <w:tcPr>
            <w:tcW w:w="6512" w:type="dxa"/>
          </w:tcPr>
          <w:p w14:paraId="2AB4BB8B" w14:textId="77777777" w:rsidR="007B0AA0" w:rsidRDefault="007B0AA0" w:rsidP="00F363FE">
            <w:pPr>
              <w:spacing w:before="60" w:after="60" w:line="260" w:lineRule="exact"/>
              <w:rPr>
                <w:lang w:bidi="ar-EG"/>
              </w:rPr>
            </w:pPr>
          </w:p>
        </w:tc>
        <w:tc>
          <w:tcPr>
            <w:tcW w:w="3117" w:type="dxa"/>
          </w:tcPr>
          <w:p w14:paraId="728B91F1" w14:textId="77777777" w:rsidR="007B0AA0" w:rsidRDefault="007B0AA0" w:rsidP="00F363FE">
            <w:pPr>
              <w:spacing w:before="60" w:after="60" w:line="260" w:lineRule="exact"/>
              <w:rPr>
                <w:rtl/>
                <w:lang w:bidi="ar-EG"/>
              </w:rPr>
            </w:pPr>
          </w:p>
        </w:tc>
      </w:tr>
      <w:tr w:rsidR="007B0AA0" w14:paraId="666A9F46" w14:textId="77777777" w:rsidTr="00EE7446">
        <w:tc>
          <w:tcPr>
            <w:tcW w:w="9629" w:type="dxa"/>
            <w:gridSpan w:val="2"/>
          </w:tcPr>
          <w:p w14:paraId="6FF6B42A" w14:textId="77777777" w:rsidR="007B0AA0" w:rsidRDefault="001D64C7" w:rsidP="007B0AA0">
            <w:pPr>
              <w:pStyle w:val="Source"/>
              <w:jc w:val="left"/>
              <w:rPr>
                <w:lang w:bidi="ar-EG"/>
              </w:rPr>
            </w:pPr>
            <w:r>
              <w:rPr>
                <w:rFonts w:hint="cs"/>
                <w:rtl/>
                <w:lang w:bidi="ar-EG"/>
              </w:rPr>
              <w:t>تقرير من الأمينة العامة</w:t>
            </w:r>
          </w:p>
        </w:tc>
      </w:tr>
      <w:tr w:rsidR="007B0AA0" w14:paraId="2EC5F603" w14:textId="77777777" w:rsidTr="007B0AA0">
        <w:tc>
          <w:tcPr>
            <w:tcW w:w="9629" w:type="dxa"/>
            <w:gridSpan w:val="2"/>
            <w:tcBorders>
              <w:bottom w:val="single" w:sz="4" w:space="0" w:color="auto"/>
            </w:tcBorders>
          </w:tcPr>
          <w:p w14:paraId="236D2F8D" w14:textId="4D251718" w:rsidR="007B0AA0" w:rsidRPr="00621959" w:rsidRDefault="00621959" w:rsidP="00621959">
            <w:pPr>
              <w:pStyle w:val="Subtitle0"/>
            </w:pPr>
            <w:r w:rsidRPr="00621959">
              <w:rPr>
                <w:rtl/>
              </w:rPr>
              <w:t xml:space="preserve">تقرير عن تنفيذ الخطة الاستراتيجية للاتحاد وأنشطته، </w:t>
            </w:r>
            <w:r w:rsidR="00147DCC">
              <w:rPr>
                <w:rFonts w:hint="cs"/>
                <w:rtl/>
              </w:rPr>
              <w:t>أكتوبر</w:t>
            </w:r>
            <w:r w:rsidRPr="00621959">
              <w:rPr>
                <w:rtl/>
              </w:rPr>
              <w:t xml:space="preserve"> 2022 - </w:t>
            </w:r>
            <w:r w:rsidR="00147DCC">
              <w:rPr>
                <w:rFonts w:hint="cs"/>
                <w:rtl/>
              </w:rPr>
              <w:t>مارس</w:t>
            </w:r>
            <w:r w:rsidRPr="00621959">
              <w:rPr>
                <w:rtl/>
              </w:rPr>
              <w:t xml:space="preserve"> 202</w:t>
            </w:r>
            <w:r w:rsidR="00147DCC">
              <w:rPr>
                <w:rFonts w:hint="cs"/>
                <w:rtl/>
              </w:rPr>
              <w:t>6</w:t>
            </w:r>
          </w:p>
        </w:tc>
      </w:tr>
      <w:tr w:rsidR="007B0AA0" w14:paraId="3E19566B" w14:textId="77777777" w:rsidTr="007B0AA0">
        <w:tc>
          <w:tcPr>
            <w:tcW w:w="9629" w:type="dxa"/>
            <w:gridSpan w:val="2"/>
            <w:tcBorders>
              <w:top w:val="single" w:sz="4" w:space="0" w:color="auto"/>
              <w:bottom w:val="single" w:sz="4" w:space="0" w:color="auto"/>
            </w:tcBorders>
          </w:tcPr>
          <w:p w14:paraId="7B7B96FF" w14:textId="77777777" w:rsidR="007B0AA0" w:rsidRPr="007B0AA0" w:rsidRDefault="007B0AA0" w:rsidP="007B0AA0">
            <w:pPr>
              <w:rPr>
                <w:b/>
                <w:bCs/>
                <w:rtl/>
              </w:rPr>
            </w:pPr>
            <w:r w:rsidRPr="00494119">
              <w:rPr>
                <w:rFonts w:hint="cs"/>
                <w:b/>
                <w:bCs/>
                <w:rtl/>
              </w:rPr>
              <w:t>الغرض</w:t>
            </w:r>
          </w:p>
          <w:p w14:paraId="55BE4B8C" w14:textId="3A1BA1D2" w:rsidR="00621959" w:rsidRDefault="00621959" w:rsidP="00621959">
            <w:pPr>
              <w:rPr>
                <w:rtl/>
              </w:rPr>
            </w:pPr>
            <w:r>
              <w:rPr>
                <w:rtl/>
              </w:rPr>
              <w:t xml:space="preserve">يغطي هذا التقرير أنشطة الاتحاد الدولي للاتصالات من </w:t>
            </w:r>
            <w:r w:rsidR="003C4B57" w:rsidRPr="00147DCC">
              <w:rPr>
                <w:rFonts w:hint="cs"/>
                <w:rtl/>
              </w:rPr>
              <w:t>أكتوبر</w:t>
            </w:r>
            <w:r>
              <w:rPr>
                <w:rtl/>
              </w:rPr>
              <w:t xml:space="preserve"> 2022 إلى </w:t>
            </w:r>
            <w:r w:rsidR="00147DCC">
              <w:rPr>
                <w:rFonts w:hint="cs"/>
                <w:rtl/>
              </w:rPr>
              <w:t xml:space="preserve">مارس </w:t>
            </w:r>
            <w:r w:rsidR="00147DCC">
              <w:t>2026</w:t>
            </w:r>
            <w:r>
              <w:rPr>
                <w:rtl/>
              </w:rPr>
              <w:t>، وينبغي أن يكون أساساً للتقرير الذي يغطي أربع سنوات والذي سيُقدّم إلى مؤتمر المندوبين المفوضين للاتحاد الدولي للاتصالات لعام 2026 (</w:t>
            </w:r>
            <w:hyperlink r:id="rId8" w:history="1">
              <w:r w:rsidRPr="00621959">
                <w:rPr>
                  <w:rStyle w:val="Hyperlink"/>
                  <w:noProof w:val="0"/>
                  <w:rtl/>
                  <w:lang w:val="en-US" w:eastAsia="zh-CN"/>
                </w:rPr>
                <w:t>الوثيقة 20</w:t>
              </w:r>
            </w:hyperlink>
            <w:r>
              <w:rPr>
                <w:rtl/>
              </w:rPr>
              <w:t>). ويعرض معلومات عن تنفيذ "برنامج التوصيل في 2030 للاتصالات/تكنولوجيا المعلومات والاتصالات العالمية، بما في ذلك النطاق العريض، من أجل التنمية المستدامة"، الذي اعتمده مؤتمر المندوبين المفوضين لعام</w:t>
            </w:r>
            <w:r>
              <w:rPr>
                <w:rFonts w:hint="cs"/>
                <w:rtl/>
              </w:rPr>
              <w:t> </w:t>
            </w:r>
            <w:r>
              <w:rPr>
                <w:rtl/>
              </w:rPr>
              <w:t xml:space="preserve">2022 (القرار 200 (المراجَع في بوخارست، 2022)). ويغطي التقرير السنتين الأخيرتين من تنفيذ الخطة الاستراتيجية للفترة 2020-2023، والعامين الأولين من الخطة الاستراتيجية الحالية للفترة 2024-2027. وهو </w:t>
            </w:r>
            <w:proofErr w:type="spellStart"/>
            <w:r>
              <w:rPr>
                <w:rtl/>
              </w:rPr>
              <w:t>متواءم</w:t>
            </w:r>
            <w:proofErr w:type="spellEnd"/>
            <w:r>
              <w:rPr>
                <w:rtl/>
              </w:rPr>
              <w:t xml:space="preserve"> مع هيكل الخطة الاستراتيجية للفترة 2024-2027.</w:t>
            </w:r>
          </w:p>
          <w:p w14:paraId="00652AB5" w14:textId="77777777" w:rsidR="00621959" w:rsidRDefault="00621959" w:rsidP="00621959">
            <w:pPr>
              <w:rPr>
                <w:rtl/>
              </w:rPr>
            </w:pPr>
            <w:r>
              <w:rPr>
                <w:rtl/>
              </w:rPr>
              <w:t>ويجمع بين التقرير عن الأنشطة السنوية (على النحو المطلوب بموجب المادة 102 من الاتفاقية) والتقرير عن تنفيذ الخطة الاستراتيجية (على النحو المطلوب بموجب المادة 61 من الاتفاقية والقرار 71 (المراجَع في بوخارست، 2022) لمؤتمر المندوبين المفوضين).</w:t>
            </w:r>
          </w:p>
          <w:p w14:paraId="4F5CA088" w14:textId="60EA051D" w:rsidR="007B0AA0" w:rsidRPr="00621959" w:rsidRDefault="00621959" w:rsidP="00621959">
            <w:pPr>
              <w:rPr>
                <w:spacing w:val="-2"/>
                <w:rtl/>
              </w:rPr>
            </w:pPr>
            <w:r w:rsidRPr="00621959">
              <w:rPr>
                <w:spacing w:val="-2"/>
                <w:rtl/>
              </w:rPr>
              <w:t xml:space="preserve">وتهدف هذه الوثيقة إلى عرض جميع الأنشطة ذات الصلة بطريقة موجهة بالنتائج وقائمة على الأدلة وموجهة بالمواضيع، وتوفر روابط بالأرقام التحليلية التي توضح التقدم العام نحو تحقيق </w:t>
            </w:r>
            <w:r w:rsidR="00B458A7">
              <w:rPr>
                <w:rFonts w:hint="cs"/>
                <w:spacing w:val="-2"/>
                <w:rtl/>
              </w:rPr>
              <w:t>المقاصد</w:t>
            </w:r>
            <w:r w:rsidRPr="00621959">
              <w:rPr>
                <w:spacing w:val="-2"/>
                <w:rtl/>
              </w:rPr>
              <w:t xml:space="preserve"> الاستراتيجية للاتحاد الدولي للاتصالات.</w:t>
            </w:r>
          </w:p>
          <w:p w14:paraId="2F8770D3" w14:textId="77777777" w:rsidR="007B0AA0" w:rsidRPr="007B0AA0" w:rsidRDefault="007B0AA0" w:rsidP="007B0AA0">
            <w:pPr>
              <w:rPr>
                <w:b/>
                <w:bCs/>
                <w:rtl/>
              </w:rPr>
            </w:pPr>
            <w:r w:rsidRPr="007B0AA0">
              <w:rPr>
                <w:rFonts w:hint="cs"/>
                <w:b/>
                <w:bCs/>
                <w:rtl/>
              </w:rPr>
              <w:t>الإجراء المطلوب من المجلس</w:t>
            </w:r>
          </w:p>
          <w:p w14:paraId="6497B2BB" w14:textId="77777777" w:rsidR="00621959" w:rsidRPr="00621959" w:rsidRDefault="00621959" w:rsidP="00621959">
            <w:pPr>
              <w:rPr>
                <w:lang w:val="en-GB"/>
              </w:rPr>
            </w:pPr>
            <w:r w:rsidRPr="00621959">
              <w:rPr>
                <w:rtl/>
              </w:rPr>
              <w:t xml:space="preserve">المجلس مدعو </w:t>
            </w:r>
            <w:r w:rsidRPr="00621959">
              <w:rPr>
                <w:b/>
                <w:bCs/>
                <w:rtl/>
              </w:rPr>
              <w:t>للموافقة</w:t>
            </w:r>
            <w:r w:rsidRPr="00621959">
              <w:rPr>
                <w:rtl/>
              </w:rPr>
              <w:t xml:space="preserve"> على التقرير </w:t>
            </w:r>
            <w:r w:rsidRPr="008B1928">
              <w:rPr>
                <w:rtl/>
              </w:rPr>
              <w:t>و</w:t>
            </w:r>
            <w:r w:rsidRPr="00621959">
              <w:rPr>
                <w:b/>
                <w:bCs/>
                <w:rtl/>
              </w:rPr>
              <w:t>تقديمه</w:t>
            </w:r>
            <w:r w:rsidRPr="00621959">
              <w:rPr>
                <w:rtl/>
              </w:rPr>
              <w:t xml:space="preserve"> إلى مؤتمر المندوبين المفوضين لعام 2026 (</w:t>
            </w:r>
            <w:r w:rsidRPr="00621959">
              <w:rPr>
                <w:lang w:val="en-GB"/>
              </w:rPr>
              <w:t>PP-26</w:t>
            </w:r>
            <w:r w:rsidRPr="00621959">
              <w:rPr>
                <w:rtl/>
              </w:rPr>
              <w:t>).</w:t>
            </w:r>
          </w:p>
          <w:p w14:paraId="73B0D4D9" w14:textId="77777777" w:rsidR="007B0AA0" w:rsidRPr="007B0AA0" w:rsidRDefault="00494119" w:rsidP="007B0AA0">
            <w:pPr>
              <w:rPr>
                <w:b/>
                <w:bCs/>
                <w:rtl/>
              </w:rPr>
            </w:pPr>
            <w:r>
              <w:rPr>
                <w:rFonts w:hint="cs"/>
                <w:b/>
                <w:bCs/>
                <w:rtl/>
                <w:lang w:bidi="ar-EG"/>
              </w:rPr>
              <w:t>الصلة</w:t>
            </w:r>
            <w:r w:rsidR="007B0AA0" w:rsidRPr="007B0AA0">
              <w:rPr>
                <w:b/>
                <w:bCs/>
                <w:rtl/>
              </w:rPr>
              <w:t xml:space="preserve"> بالخطة ال</w:t>
            </w:r>
            <w:r w:rsidR="007B0AA0" w:rsidRPr="007B0AA0">
              <w:rPr>
                <w:rFonts w:hint="cs"/>
                <w:b/>
                <w:bCs/>
                <w:rtl/>
              </w:rPr>
              <w:t>ا</w:t>
            </w:r>
            <w:r w:rsidR="007B0AA0" w:rsidRPr="007B0AA0">
              <w:rPr>
                <w:b/>
                <w:bCs/>
                <w:rtl/>
              </w:rPr>
              <w:t>ستراتيجية</w:t>
            </w:r>
          </w:p>
          <w:p w14:paraId="61E2764D" w14:textId="61DCA6DF" w:rsidR="007B0AA0" w:rsidRDefault="00621959" w:rsidP="00621959">
            <w:pPr>
              <w:rPr>
                <w:spacing w:val="-2"/>
                <w:rtl/>
              </w:rPr>
            </w:pPr>
            <w:r w:rsidRPr="00621959">
              <w:rPr>
                <w:spacing w:val="-2"/>
                <w:rtl/>
              </w:rPr>
              <w:t>وفقاً للتكليف الوارد في القرار 71 (المراجَع في بوخارست، 2022) لمؤتمر المندوبين المفوضين، تتضمن هذه الوثيقة التقرير السنوي إلى المجلس بشأن تنفيذ الخطة الاستراتيجية للاتحاد وعن أنشطته (ويجمع ما بين متطلبات الرقم</w:t>
            </w:r>
            <w:r w:rsidRPr="00621959">
              <w:rPr>
                <w:rFonts w:hint="cs"/>
                <w:spacing w:val="-2"/>
                <w:rtl/>
              </w:rPr>
              <w:t> </w:t>
            </w:r>
            <w:r w:rsidRPr="00621959">
              <w:rPr>
                <w:spacing w:val="-2"/>
                <w:rtl/>
              </w:rPr>
              <w:t>102 من الاتفاقية، أي التقرير عن الأنشطة السنوية؛ والرقم 61 من الاتفاقية، أي التقرير عن تنفيذ الخطة الاستراتيجية).</w:t>
            </w:r>
          </w:p>
          <w:p w14:paraId="4ED407F9" w14:textId="77777777" w:rsidR="007B0AA0" w:rsidRPr="007B0AA0" w:rsidRDefault="007B0AA0" w:rsidP="007B0AA0">
            <w:pPr>
              <w:rPr>
                <w:rFonts w:ascii="Traditional Arabic" w:hAnsi="Traditional Arabic" w:cs="Traditional Arabic"/>
                <w:sz w:val="30"/>
                <w:szCs w:val="30"/>
                <w:rtl/>
              </w:rPr>
            </w:pPr>
            <w:r w:rsidRPr="007B0AA0">
              <w:rPr>
                <w:rFonts w:ascii="Traditional Arabic" w:hAnsi="Traditional Arabic" w:cs="Traditional Arabic"/>
                <w:sz w:val="30"/>
                <w:szCs w:val="30"/>
                <w:rtl/>
              </w:rPr>
              <w:t>___________</w:t>
            </w:r>
          </w:p>
          <w:p w14:paraId="3742CC00" w14:textId="77777777" w:rsidR="007B0AA0" w:rsidRPr="007B0AA0" w:rsidRDefault="007B0AA0" w:rsidP="007B0AA0">
            <w:pPr>
              <w:rPr>
                <w:b/>
                <w:bCs/>
                <w:rtl/>
              </w:rPr>
            </w:pPr>
            <w:r w:rsidRPr="007B0AA0">
              <w:rPr>
                <w:rFonts w:hint="cs"/>
                <w:b/>
                <w:bCs/>
                <w:rtl/>
              </w:rPr>
              <w:t>المراجع</w:t>
            </w:r>
          </w:p>
          <w:p w14:paraId="1898EF19" w14:textId="6FD0C9E9" w:rsidR="007B0AA0" w:rsidRPr="00621959" w:rsidRDefault="00621959" w:rsidP="00621959">
            <w:pPr>
              <w:rPr>
                <w:i/>
                <w:iCs/>
                <w:rtl/>
                <w:lang w:bidi="ar-EG"/>
              </w:rPr>
            </w:pPr>
            <w:r w:rsidRPr="00621959">
              <w:rPr>
                <w:i/>
                <w:iCs/>
                <w:rtl/>
              </w:rPr>
              <w:t xml:space="preserve">القراران </w:t>
            </w:r>
            <w:hyperlink r:id="rId9" w:history="1">
              <w:r w:rsidRPr="00621959">
                <w:rPr>
                  <w:rStyle w:val="Hyperlink"/>
                  <w:i/>
                  <w:iCs/>
                  <w:noProof w:val="0"/>
                  <w:u w:val="none"/>
                  <w:rtl/>
                  <w:lang w:val="en-US" w:eastAsia="zh-CN"/>
                </w:rPr>
                <w:t>71</w:t>
              </w:r>
            </w:hyperlink>
            <w:r w:rsidRPr="00621959">
              <w:rPr>
                <w:i/>
                <w:iCs/>
                <w:rtl/>
              </w:rPr>
              <w:t xml:space="preserve"> و</w:t>
            </w:r>
            <w:hyperlink r:id="rId10" w:history="1">
              <w:r w:rsidRPr="00621959">
                <w:rPr>
                  <w:rStyle w:val="Hyperlink"/>
                  <w:i/>
                  <w:iCs/>
                  <w:noProof w:val="0"/>
                  <w:u w:val="none"/>
                  <w:rtl/>
                  <w:lang w:val="en-US" w:eastAsia="zh-CN"/>
                </w:rPr>
                <w:t>200</w:t>
              </w:r>
            </w:hyperlink>
            <w:r w:rsidRPr="00621959">
              <w:rPr>
                <w:i/>
                <w:iCs/>
                <w:rtl/>
              </w:rPr>
              <w:t xml:space="preserve"> </w:t>
            </w:r>
            <w:r w:rsidR="008B1928">
              <w:rPr>
                <w:rFonts w:hint="cs"/>
                <w:i/>
                <w:iCs/>
                <w:rtl/>
                <w:lang w:bidi="ar-EG"/>
              </w:rPr>
              <w:t xml:space="preserve">(المراجَعان في بوخارست، 2022) </w:t>
            </w:r>
            <w:r w:rsidRPr="00621959">
              <w:rPr>
                <w:i/>
                <w:iCs/>
                <w:rtl/>
              </w:rPr>
              <w:t xml:space="preserve">الصادران عن مؤتمر المندوبين </w:t>
            </w:r>
            <w:r w:rsidRPr="009614D6">
              <w:rPr>
                <w:i/>
                <w:iCs/>
                <w:rtl/>
              </w:rPr>
              <w:t>المفوضين</w:t>
            </w:r>
            <w:r w:rsidRPr="009614D6">
              <w:rPr>
                <w:rFonts w:hint="cs"/>
                <w:i/>
                <w:iCs/>
                <w:rtl/>
                <w:lang w:bidi="ar-EG"/>
              </w:rPr>
              <w:t xml:space="preserve"> و</w:t>
            </w:r>
            <w:hyperlink r:id="rId11" w:history="1">
              <w:r w:rsidRPr="009614D6">
                <w:rPr>
                  <w:rStyle w:val="Hyperlink"/>
                  <w:i/>
                  <w:iCs/>
                  <w:noProof w:val="0"/>
                  <w:rtl/>
                  <w:lang w:val="en-US" w:eastAsia="zh-CN"/>
                </w:rPr>
                <w:t>الرقمان</w:t>
              </w:r>
              <w:r w:rsidRPr="009614D6">
                <w:rPr>
                  <w:rStyle w:val="Hyperlink"/>
                  <w:rFonts w:hint="cs"/>
                  <w:i/>
                  <w:iCs/>
                  <w:noProof w:val="0"/>
                  <w:rtl/>
                  <w:lang w:val="en-US" w:eastAsia="zh-CN"/>
                </w:rPr>
                <w:t xml:space="preserve"> 102 </w:t>
              </w:r>
              <w:r w:rsidRPr="009614D6">
                <w:rPr>
                  <w:rStyle w:val="Hyperlink"/>
                  <w:i/>
                  <w:iCs/>
                  <w:noProof w:val="0"/>
                  <w:rtl/>
                  <w:lang w:val="en-US" w:eastAsia="zh-CN"/>
                </w:rPr>
                <w:t>و61</w:t>
              </w:r>
            </w:hyperlink>
            <w:r w:rsidRPr="009614D6">
              <w:rPr>
                <w:i/>
                <w:iCs/>
                <w:rtl/>
              </w:rPr>
              <w:t xml:space="preserve"> من </w:t>
            </w:r>
            <w:r w:rsidR="009614D6" w:rsidRPr="009614D6">
              <w:rPr>
                <w:i/>
                <w:iCs/>
                <w:spacing w:val="-2"/>
                <w:rtl/>
              </w:rPr>
              <w:t>الاتفاقية</w:t>
            </w:r>
            <w:r w:rsidRPr="009614D6">
              <w:rPr>
                <w:rFonts w:hint="cs"/>
                <w:i/>
                <w:iCs/>
                <w:rtl/>
                <w:lang w:bidi="ar-EG"/>
              </w:rPr>
              <w:t>.</w:t>
            </w:r>
          </w:p>
        </w:tc>
      </w:tr>
    </w:tbl>
    <w:p w14:paraId="5C9ACE8D" w14:textId="77777777" w:rsidR="00F50E3F" w:rsidRDefault="00F50E3F" w:rsidP="0043260A">
      <w:pPr>
        <w:rPr>
          <w:rtl/>
          <w:lang w:bidi="ar-EG"/>
        </w:rPr>
      </w:pPr>
      <w:r>
        <w:rPr>
          <w:rtl/>
          <w:lang w:bidi="ar-EG"/>
        </w:rPr>
        <w:br w:type="page"/>
      </w:r>
    </w:p>
    <w:p w14:paraId="28F8AF14" w14:textId="77777777" w:rsidR="00621959" w:rsidRPr="00621959" w:rsidRDefault="00621959" w:rsidP="00621959">
      <w:pPr>
        <w:rPr>
          <w:b/>
          <w:bCs/>
          <w:lang w:val="en-GB" w:bidi="ar-EG"/>
        </w:rPr>
      </w:pPr>
      <w:r w:rsidRPr="00621959">
        <w:rPr>
          <w:b/>
          <w:bCs/>
          <w:rtl/>
        </w:rPr>
        <w:lastRenderedPageBreak/>
        <w:t>تمهيد</w:t>
      </w:r>
    </w:p>
    <w:p w14:paraId="67615613" w14:textId="2F501A89" w:rsidR="00621959" w:rsidRPr="00621959" w:rsidRDefault="00621959" w:rsidP="00621959">
      <w:pPr>
        <w:rPr>
          <w:lang w:val="en-GB" w:bidi="ar-EG"/>
        </w:rPr>
      </w:pPr>
      <w:r w:rsidRPr="00621959">
        <w:rPr>
          <w:rtl/>
        </w:rPr>
        <w:t>في كل ركن من أركان العالم، يعيد التحول الرقمي تشكيل حياة الناس وسبل عيشهم ومجتمعات بأكملها. ويقف الاتحاد الدولي للاتصالات</w:t>
      </w:r>
      <w:r>
        <w:rPr>
          <w:rFonts w:hint="cs"/>
          <w:rtl/>
          <w:lang w:bidi="ar-EG"/>
        </w:rPr>
        <w:t xml:space="preserve"> </w:t>
      </w:r>
      <w:r>
        <w:rPr>
          <w:lang w:bidi="ar-EG"/>
        </w:rPr>
        <w:t>(ITU)</w:t>
      </w:r>
      <w:r w:rsidRPr="00621959">
        <w:rPr>
          <w:rtl/>
        </w:rPr>
        <w:t xml:space="preserve"> في صدارة هذا التطور العالمي، إذ يعمل عبر المناطق والقطاعات لتوسيع نطاق الفرص وتعزيز القدرة على الصمود.</w:t>
      </w:r>
    </w:p>
    <w:p w14:paraId="1C2FFF81" w14:textId="6D9D4170" w:rsidR="00621959" w:rsidRPr="00621959" w:rsidRDefault="00621959" w:rsidP="00621959">
      <w:pPr>
        <w:rPr>
          <w:lang w:val="en-GB" w:bidi="ar-EG"/>
        </w:rPr>
      </w:pPr>
      <w:r w:rsidRPr="00621959">
        <w:rPr>
          <w:rtl/>
        </w:rPr>
        <w:t xml:space="preserve">وتتضمن الفترة من </w:t>
      </w:r>
      <w:r w:rsidR="003C4B57">
        <w:rPr>
          <w:rFonts w:hint="cs"/>
          <w:rtl/>
        </w:rPr>
        <w:t>أكتوبر</w:t>
      </w:r>
      <w:r w:rsidRPr="00621959">
        <w:rPr>
          <w:rtl/>
        </w:rPr>
        <w:t xml:space="preserve"> 2022 إلى </w:t>
      </w:r>
      <w:r w:rsidR="00147DCC">
        <w:rPr>
          <w:rFonts w:hint="cs"/>
          <w:rtl/>
        </w:rPr>
        <w:t xml:space="preserve">مارس </w:t>
      </w:r>
      <w:r w:rsidR="00147DCC">
        <w:t>2026</w:t>
      </w:r>
      <w:r w:rsidRPr="00621959">
        <w:rPr>
          <w:rtl/>
        </w:rPr>
        <w:t xml:space="preserve"> تحولات عالمية عميقة، إلى جانب تصميمنا المشترك على </w:t>
      </w:r>
      <w:r w:rsidRPr="00621959">
        <w:rPr>
          <w:rFonts w:hint="cs"/>
          <w:rtl/>
        </w:rPr>
        <w:t>النهوض ب</w:t>
      </w:r>
      <w:r w:rsidRPr="00621959">
        <w:rPr>
          <w:rtl/>
        </w:rPr>
        <w:t>التوصيلية الرقمية الهادفة للجميع في العالم.</w:t>
      </w:r>
    </w:p>
    <w:p w14:paraId="7869C137" w14:textId="0A3FAF6B" w:rsidR="00621959" w:rsidRPr="00621959" w:rsidRDefault="00621959" w:rsidP="00621959">
      <w:pPr>
        <w:rPr>
          <w:lang w:val="en-GB" w:bidi="ar-EG"/>
        </w:rPr>
      </w:pPr>
      <w:r w:rsidRPr="00621959">
        <w:rPr>
          <w:rtl/>
        </w:rPr>
        <w:t>ووراء كل إنجاز قصص إنسانية: طفل يحصل على فرصة التعلم عبر الإنترنت لأول مرة؛ ومجتمعات مدمرة تعيد التوصيل بعد الأعاصير والأعاصير الحلزونية؛ وشابات يطلقن مشاريع تجارية عبر الإنترنت.</w:t>
      </w:r>
    </w:p>
    <w:p w14:paraId="456DF93D" w14:textId="70730D88" w:rsidR="003C4B57" w:rsidRPr="003C4B57" w:rsidRDefault="003C4B57" w:rsidP="003C4B57">
      <w:pPr>
        <w:rPr>
          <w:lang w:val="en-GB"/>
        </w:rPr>
      </w:pPr>
      <w:r w:rsidRPr="003C4B57">
        <w:rPr>
          <w:rtl/>
        </w:rPr>
        <w:t xml:space="preserve">وبحلول نهاية عام </w:t>
      </w:r>
      <w:r w:rsidRPr="003C4B57">
        <w:rPr>
          <w:rFonts w:hint="cs"/>
          <w:rtl/>
        </w:rPr>
        <w:t>2025</w:t>
      </w:r>
      <w:r w:rsidRPr="003C4B57">
        <w:rPr>
          <w:rtl/>
        </w:rPr>
        <w:t xml:space="preserve">، بلغ استعمال الإنترنت عالمياً </w:t>
      </w:r>
      <w:r w:rsidRPr="003C4B57">
        <w:rPr>
          <w:rFonts w:hint="cs"/>
          <w:rtl/>
        </w:rPr>
        <w:t>74</w:t>
      </w:r>
      <w:r w:rsidR="008E4FF0">
        <w:rPr>
          <w:rtl/>
        </w:rPr>
        <w:t xml:space="preserve"> في </w:t>
      </w:r>
      <w:proofErr w:type="gramStart"/>
      <w:r w:rsidR="008E4FF0">
        <w:rPr>
          <w:rtl/>
        </w:rPr>
        <w:t>المائة</w:t>
      </w:r>
      <w:proofErr w:type="gramEnd"/>
      <w:r w:rsidRPr="003C4B57">
        <w:rPr>
          <w:rtl/>
        </w:rPr>
        <w:t xml:space="preserve">، أي </w:t>
      </w:r>
      <w:r w:rsidRPr="003C4B57">
        <w:rPr>
          <w:rFonts w:hint="cs"/>
          <w:rtl/>
        </w:rPr>
        <w:t>6</w:t>
      </w:r>
      <w:r w:rsidRPr="003C4B57">
        <w:rPr>
          <w:rtl/>
        </w:rPr>
        <w:t xml:space="preserve"> مليار</w:t>
      </w:r>
      <w:r w:rsidRPr="003C4B57">
        <w:rPr>
          <w:rFonts w:hint="cs"/>
          <w:rtl/>
        </w:rPr>
        <w:t>ات</w:t>
      </w:r>
      <w:r w:rsidRPr="003C4B57">
        <w:rPr>
          <w:rtl/>
        </w:rPr>
        <w:t xml:space="preserve"> شخص، مما قلل عدد غير الموصولين بالإنترنت إلى </w:t>
      </w:r>
      <w:r w:rsidRPr="003C4B57">
        <w:rPr>
          <w:rFonts w:hint="cs"/>
          <w:rtl/>
        </w:rPr>
        <w:t>2,2</w:t>
      </w:r>
      <w:r w:rsidRPr="003C4B57">
        <w:rPr>
          <w:rtl/>
        </w:rPr>
        <w:t xml:space="preserve"> مليار شخص. ومع ذلك، استمرت التفاوتات: 93</w:t>
      </w:r>
      <w:r w:rsidR="008E4FF0">
        <w:rPr>
          <w:rtl/>
        </w:rPr>
        <w:t xml:space="preserve"> في </w:t>
      </w:r>
      <w:proofErr w:type="gramStart"/>
      <w:r w:rsidR="008E4FF0">
        <w:rPr>
          <w:rtl/>
        </w:rPr>
        <w:t>المائة</w:t>
      </w:r>
      <w:proofErr w:type="gramEnd"/>
      <w:r w:rsidRPr="003C4B57">
        <w:rPr>
          <w:rtl/>
        </w:rPr>
        <w:t xml:space="preserve"> متصلون بالإنترنت في البلدان ذات الدخل المرتفع مقابل </w:t>
      </w:r>
      <w:r w:rsidRPr="003C4B57">
        <w:rPr>
          <w:rFonts w:hint="cs"/>
          <w:rtl/>
        </w:rPr>
        <w:t>23</w:t>
      </w:r>
      <w:r w:rsidR="008E4FF0">
        <w:rPr>
          <w:rtl/>
        </w:rPr>
        <w:t xml:space="preserve"> في </w:t>
      </w:r>
      <w:proofErr w:type="gramStart"/>
      <w:r w:rsidR="008E4FF0">
        <w:rPr>
          <w:rtl/>
        </w:rPr>
        <w:t>المائة</w:t>
      </w:r>
      <w:proofErr w:type="gramEnd"/>
      <w:r w:rsidRPr="003C4B57">
        <w:rPr>
          <w:rtl/>
        </w:rPr>
        <w:t xml:space="preserve"> في البلدان ذات الدخل المنخفض، وتنخفض احتمالية امتلاك النساء للهواتف المتنقلة بنسبة </w:t>
      </w:r>
      <w:r w:rsidRPr="003C4B57">
        <w:rPr>
          <w:rFonts w:hint="cs"/>
          <w:rtl/>
        </w:rPr>
        <w:t>10</w:t>
      </w:r>
      <w:r w:rsidR="008E4FF0">
        <w:rPr>
          <w:rtl/>
        </w:rPr>
        <w:t xml:space="preserve"> في </w:t>
      </w:r>
      <w:proofErr w:type="gramStart"/>
      <w:r w:rsidR="008E4FF0">
        <w:rPr>
          <w:rtl/>
        </w:rPr>
        <w:t>المائة</w:t>
      </w:r>
      <w:proofErr w:type="gramEnd"/>
      <w:r w:rsidRPr="003C4B57">
        <w:rPr>
          <w:rFonts w:hint="cs"/>
          <w:rtl/>
        </w:rPr>
        <w:t>.</w:t>
      </w:r>
      <w:r w:rsidRPr="003C4B57">
        <w:rPr>
          <w:rtl/>
        </w:rPr>
        <w:t xml:space="preserve"> </w:t>
      </w:r>
      <w:r w:rsidRPr="003C4B57">
        <w:rPr>
          <w:rFonts w:hint="cs"/>
          <w:rtl/>
        </w:rPr>
        <w:t xml:space="preserve">وزاد عدد البلدان التي لديها </w:t>
      </w:r>
      <w:r w:rsidRPr="003C4B57">
        <w:rPr>
          <w:rtl/>
        </w:rPr>
        <w:t xml:space="preserve">سياسات </w:t>
      </w:r>
      <w:r w:rsidRPr="003C4B57">
        <w:rPr>
          <w:rFonts w:hint="cs"/>
          <w:rtl/>
        </w:rPr>
        <w:t xml:space="preserve">بشأن </w:t>
      </w:r>
      <w:r w:rsidRPr="003C4B57">
        <w:rPr>
          <w:rtl/>
        </w:rPr>
        <w:t>إمكانية النفاذ</w:t>
      </w:r>
      <w:r w:rsidR="008B1928">
        <w:rPr>
          <w:rFonts w:hint="cs"/>
          <w:rtl/>
        </w:rPr>
        <w:t xml:space="preserve"> إلى تكنولوجيا المعلومات والاتصالات</w:t>
      </w:r>
      <w:r w:rsidRPr="003C4B57">
        <w:rPr>
          <w:rtl/>
        </w:rPr>
        <w:t xml:space="preserve"> من 117 بلداً</w:t>
      </w:r>
      <w:r w:rsidRPr="003C4B57">
        <w:rPr>
          <w:rFonts w:hint="cs"/>
          <w:rtl/>
        </w:rPr>
        <w:t xml:space="preserve"> (نهاية عام 2022) إلى 127 بلداً (نهاية عام 2024)</w:t>
      </w:r>
      <w:r w:rsidRPr="003C4B57">
        <w:rPr>
          <w:rtl/>
        </w:rPr>
        <w:t>.</w:t>
      </w:r>
    </w:p>
    <w:p w14:paraId="35851768" w14:textId="3A373B49" w:rsidR="00621959" w:rsidRPr="00621959" w:rsidRDefault="00621959" w:rsidP="00621959">
      <w:pPr>
        <w:rPr>
          <w:lang w:val="en-GB" w:bidi="ar-EG"/>
        </w:rPr>
      </w:pPr>
      <w:r w:rsidRPr="00621959">
        <w:rPr>
          <w:rtl/>
        </w:rPr>
        <w:t>وتعد التوصيلية أساسية لسلامة الناس وكرامتهم وإمكاناتهم.</w:t>
      </w:r>
    </w:p>
    <w:p w14:paraId="4DDFC73F" w14:textId="73EA4079" w:rsidR="00621959" w:rsidRPr="00621959" w:rsidRDefault="00621959" w:rsidP="00621959">
      <w:pPr>
        <w:rPr>
          <w:lang w:val="en-GB" w:bidi="ar-EG"/>
        </w:rPr>
      </w:pPr>
      <w:r w:rsidRPr="00621959">
        <w:rPr>
          <w:rtl/>
        </w:rPr>
        <w:t xml:space="preserve">وأبرم الاتحاد اتفاقات عالمية حاسمة لحماية الطيف المشترك والمدارات الساتلية حول العالم. ويوفر إنجازنا </w:t>
      </w:r>
      <w:r w:rsidRPr="00621959">
        <w:rPr>
          <w:rFonts w:hint="cs"/>
          <w:rtl/>
        </w:rPr>
        <w:t>الرائد</w:t>
      </w:r>
      <w:r w:rsidRPr="00621959">
        <w:rPr>
          <w:rtl/>
        </w:rPr>
        <w:t xml:space="preserve"> </w:t>
      </w:r>
      <w:r w:rsidRPr="00621959">
        <w:rPr>
          <w:b/>
          <w:bCs/>
          <w:rtl/>
        </w:rPr>
        <w:t>إطار الاتصالات المتنقلة الدولية لعام 2030 (</w:t>
      </w:r>
      <w:r w:rsidRPr="00621959">
        <w:rPr>
          <w:b/>
          <w:bCs/>
          <w:lang w:val="en-GB" w:bidi="ar-EG"/>
        </w:rPr>
        <w:t>IMT-2030</w:t>
      </w:r>
      <w:r w:rsidRPr="00621959">
        <w:rPr>
          <w:b/>
          <w:bCs/>
          <w:rtl/>
        </w:rPr>
        <w:t>) لاتصالات الجيل السادس</w:t>
      </w:r>
      <w:r w:rsidRPr="00621959">
        <w:rPr>
          <w:rtl/>
        </w:rPr>
        <w:t xml:space="preserve"> البنية التنظيمية والتقنية الأساسية للتوصيلية المتقدمة في العقد القادم.</w:t>
      </w:r>
    </w:p>
    <w:p w14:paraId="1CEBAD41" w14:textId="18DB1A6C" w:rsidR="00621959" w:rsidRPr="00621959" w:rsidRDefault="00621959" w:rsidP="00621959">
      <w:pPr>
        <w:rPr>
          <w:lang w:val="en-GB" w:bidi="ar-EG"/>
        </w:rPr>
      </w:pPr>
      <w:r w:rsidRPr="00621959">
        <w:rPr>
          <w:rtl/>
        </w:rPr>
        <w:t>وفي طليعة التكنولوجيا، وضع الاتحاد معايير أساسية للتكنولوجيات الكمومية، مما مهد الطريق لحلول قابلة للتشغيل البيني وتركز على الإنسان.</w:t>
      </w:r>
    </w:p>
    <w:p w14:paraId="186269A3" w14:textId="18B27604" w:rsidR="00621959" w:rsidRPr="00F54EBF" w:rsidRDefault="00621959" w:rsidP="00621959">
      <w:pPr>
        <w:rPr>
          <w:spacing w:val="-4"/>
          <w:lang w:val="en-GB" w:bidi="ar-EG"/>
        </w:rPr>
      </w:pPr>
      <w:r w:rsidRPr="00F54EBF">
        <w:rPr>
          <w:spacing w:val="-4"/>
          <w:rtl/>
        </w:rPr>
        <w:t xml:space="preserve">وزاد عدد المتعلمين في أكاديمية الاتحاد ليصل إلى </w:t>
      </w:r>
      <w:r w:rsidR="00C40C45" w:rsidRPr="00F54EBF">
        <w:rPr>
          <w:spacing w:val="-4"/>
        </w:rPr>
        <w:t>83 000</w:t>
      </w:r>
      <w:r w:rsidRPr="00F54EBF">
        <w:rPr>
          <w:spacing w:val="-4"/>
          <w:rtl/>
        </w:rPr>
        <w:t xml:space="preserve"> متعلم بحلول عام 2025، وكانت نسبة </w:t>
      </w:r>
      <w:r w:rsidR="00C40C45" w:rsidRPr="00F54EBF">
        <w:rPr>
          <w:spacing w:val="-4"/>
        </w:rPr>
        <w:t>40</w:t>
      </w:r>
      <w:r w:rsidRPr="00F54EBF">
        <w:rPr>
          <w:spacing w:val="-4"/>
          <w:rtl/>
        </w:rPr>
        <w:t xml:space="preserve"> </w:t>
      </w:r>
      <w:r w:rsidR="008E4FF0" w:rsidRPr="00F54EBF">
        <w:rPr>
          <w:rFonts w:hint="cs"/>
          <w:spacing w:val="-4"/>
          <w:rtl/>
        </w:rPr>
        <w:t xml:space="preserve">في </w:t>
      </w:r>
      <w:proofErr w:type="gramStart"/>
      <w:r w:rsidR="008E4FF0" w:rsidRPr="00F54EBF">
        <w:rPr>
          <w:rFonts w:hint="cs"/>
          <w:spacing w:val="-4"/>
          <w:rtl/>
        </w:rPr>
        <w:t>المائة</w:t>
      </w:r>
      <w:proofErr w:type="gramEnd"/>
      <w:r w:rsidR="008E4FF0" w:rsidRPr="00F54EBF">
        <w:rPr>
          <w:rFonts w:hint="cs"/>
          <w:spacing w:val="-4"/>
          <w:rtl/>
        </w:rPr>
        <w:t xml:space="preserve"> </w:t>
      </w:r>
      <w:r w:rsidRPr="00F54EBF">
        <w:rPr>
          <w:spacing w:val="-4"/>
          <w:rtl/>
        </w:rPr>
        <w:t>منهم من</w:t>
      </w:r>
      <w:r w:rsidR="00F54EBF">
        <w:rPr>
          <w:rFonts w:hint="eastAsia"/>
          <w:spacing w:val="-4"/>
          <w:rtl/>
          <w:lang w:bidi="ar-EG"/>
        </w:rPr>
        <w:t> </w:t>
      </w:r>
      <w:r w:rsidRPr="00F54EBF">
        <w:rPr>
          <w:spacing w:val="-4"/>
          <w:rtl/>
        </w:rPr>
        <w:t xml:space="preserve">النساء. ووصلت مبادرة مراكز التحول الرقمي التابعة للاتحاد إلى أكثر من </w:t>
      </w:r>
      <w:r w:rsidR="00C40C45" w:rsidRPr="00F54EBF">
        <w:rPr>
          <w:spacing w:val="-4"/>
        </w:rPr>
        <w:t>610 000</w:t>
      </w:r>
      <w:r w:rsidRPr="00F54EBF">
        <w:rPr>
          <w:spacing w:val="-4"/>
          <w:rtl/>
        </w:rPr>
        <w:t xml:space="preserve"> شخص خلال الفترة 2022-2025، وكان أكثر من نصفهم من النساء.</w:t>
      </w:r>
    </w:p>
    <w:p w14:paraId="127B4F96" w14:textId="77777777" w:rsidR="00621959" w:rsidRPr="00621959" w:rsidRDefault="00621959" w:rsidP="00621959">
      <w:pPr>
        <w:rPr>
          <w:lang w:val="en-GB" w:bidi="ar-EG"/>
        </w:rPr>
      </w:pPr>
      <w:r w:rsidRPr="00621959">
        <w:rPr>
          <w:rtl/>
        </w:rPr>
        <w:t xml:space="preserve">وقدمنا ​​الدعم للبلدان في مجال تنظيم المخلفات الإلكترونية، </w:t>
      </w:r>
      <w:r w:rsidRPr="00621959">
        <w:rPr>
          <w:rFonts w:hint="cs"/>
          <w:rtl/>
        </w:rPr>
        <w:t>وحشدنا</w:t>
      </w:r>
      <w:r w:rsidRPr="00621959">
        <w:rPr>
          <w:rtl/>
        </w:rPr>
        <w:t xml:space="preserve"> الشركات الرقمية لتبني ممارسات رقمية أكثر مراعاة للبيئة، بما في ذلك الإبلاغ الشفاف عن الانبعاثات والمعايير المستدامة.</w:t>
      </w:r>
    </w:p>
    <w:p w14:paraId="1FA8D7E7" w14:textId="6B812A20" w:rsidR="00621959" w:rsidRPr="00621959" w:rsidRDefault="00621959" w:rsidP="00621959">
      <w:pPr>
        <w:rPr>
          <w:spacing w:val="-2"/>
          <w:lang w:val="en-GB" w:bidi="ar-EG"/>
        </w:rPr>
      </w:pPr>
      <w:r w:rsidRPr="00621959">
        <w:rPr>
          <w:spacing w:val="-2"/>
          <w:rtl/>
        </w:rPr>
        <w:t>وعزز مؤتمر المندوبين المفوضين لعام 2022 (</w:t>
      </w:r>
      <w:r w:rsidRPr="00621959">
        <w:rPr>
          <w:spacing w:val="-2"/>
          <w:lang w:val="en-GB" w:bidi="ar-EG"/>
        </w:rPr>
        <w:t>PP-22</w:t>
      </w:r>
      <w:r w:rsidRPr="00621959">
        <w:rPr>
          <w:spacing w:val="-2"/>
          <w:rtl/>
        </w:rPr>
        <w:t>) في بوخارست تركيزنا على حوكمة الذكاء الاصطناعي واستدامة الفضاء. ووضع المؤتمر العالمي للاتصالات الراديوية لعام 2023 (</w:t>
      </w:r>
      <w:r w:rsidRPr="00621959">
        <w:rPr>
          <w:spacing w:val="-2"/>
          <w:lang w:val="en-GB" w:bidi="ar-EG"/>
        </w:rPr>
        <w:t>WRC-23</w:t>
      </w:r>
      <w:r w:rsidRPr="00621959">
        <w:rPr>
          <w:spacing w:val="-2"/>
          <w:rtl/>
        </w:rPr>
        <w:t xml:space="preserve">) في دبي أسس الطيف لعصر السواتل وشبكات الجيل السادس </w:t>
      </w:r>
      <w:r w:rsidR="00C40C45" w:rsidRPr="00C40C45">
        <w:rPr>
          <w:spacing w:val="-2"/>
        </w:rPr>
        <w:t>(6G)</w:t>
      </w:r>
      <w:r w:rsidRPr="00621959">
        <w:rPr>
          <w:spacing w:val="-2"/>
          <w:rtl/>
        </w:rPr>
        <w:t xml:space="preserve">. وساهمت الجمعية العالمية لتقييس الاتصالات </w:t>
      </w:r>
      <w:r w:rsidR="00F742FD" w:rsidRPr="00F742FD">
        <w:rPr>
          <w:spacing w:val="-2"/>
        </w:rPr>
        <w:t>(WTSA-24)</w:t>
      </w:r>
      <w:r w:rsidRPr="00621959">
        <w:rPr>
          <w:spacing w:val="-2"/>
          <w:rtl/>
        </w:rPr>
        <w:t xml:space="preserve"> في وضع المعايير التقنية لضمان </w:t>
      </w:r>
      <w:r w:rsidRPr="00621959">
        <w:rPr>
          <w:rFonts w:hint="cs"/>
          <w:spacing w:val="-2"/>
          <w:rtl/>
        </w:rPr>
        <w:t>أن تكون مناسبة ل</w:t>
      </w:r>
      <w:r w:rsidRPr="00621959">
        <w:rPr>
          <w:spacing w:val="-2"/>
          <w:rtl/>
        </w:rPr>
        <w:t>لجميع. وفي الآونة الأخيرة، ترجم المؤتمر العالمي لتنمية الاتصالات لعام 2025 (</w:t>
      </w:r>
      <w:r w:rsidRPr="00621959">
        <w:rPr>
          <w:spacing w:val="-2"/>
          <w:lang w:val="en-GB" w:bidi="ar-EG"/>
        </w:rPr>
        <w:t>WTDC-25</w:t>
      </w:r>
      <w:r w:rsidRPr="00621959">
        <w:rPr>
          <w:spacing w:val="-2"/>
          <w:rtl/>
        </w:rPr>
        <w:t>) الذي عقد في</w:t>
      </w:r>
      <w:r w:rsidR="00C40C45">
        <w:rPr>
          <w:rFonts w:hint="cs"/>
          <w:spacing w:val="-2"/>
          <w:rtl/>
        </w:rPr>
        <w:t> </w:t>
      </w:r>
      <w:r w:rsidRPr="00621959">
        <w:rPr>
          <w:spacing w:val="-2"/>
          <w:rtl/>
        </w:rPr>
        <w:t>باكو هذه الأطر العالمية إلى خطط عمل إقليمية لتحقيق فوائد رقمية للأفراد والمجتمعات في جميع أنحاء العالم.</w:t>
      </w:r>
    </w:p>
    <w:p w14:paraId="6BE2B828" w14:textId="2D61E4CB" w:rsidR="003C4B57" w:rsidRPr="00F54EBF" w:rsidRDefault="003C4B57" w:rsidP="003C4B57">
      <w:pPr>
        <w:rPr>
          <w:spacing w:val="-2"/>
          <w:lang w:val="en-GB"/>
        </w:rPr>
      </w:pPr>
      <w:r w:rsidRPr="00F54EBF">
        <w:rPr>
          <w:spacing w:val="-2"/>
          <w:rtl/>
        </w:rPr>
        <w:t xml:space="preserve">وتوجنا هذه النجاحات </w:t>
      </w:r>
      <w:r w:rsidRPr="00F54EBF">
        <w:rPr>
          <w:rFonts w:hint="cs"/>
          <w:spacing w:val="-2"/>
          <w:rtl/>
        </w:rPr>
        <w:t>بتأييد</w:t>
      </w:r>
      <w:r w:rsidRPr="00F54EBF">
        <w:rPr>
          <w:spacing w:val="-2"/>
          <w:rtl/>
        </w:rPr>
        <w:t xml:space="preserve"> الجمعية العامة للأمم المتحدة </w:t>
      </w:r>
      <w:r w:rsidR="00D23D15">
        <w:rPr>
          <w:rFonts w:hint="cs"/>
          <w:spacing w:val="-2"/>
          <w:rtl/>
          <w:lang w:bidi="ar-EG"/>
        </w:rPr>
        <w:t>لنواتج</w:t>
      </w:r>
      <w:r w:rsidRPr="00F54EBF">
        <w:rPr>
          <w:rFonts w:hint="cs"/>
          <w:spacing w:val="-2"/>
          <w:rtl/>
        </w:rPr>
        <w:t xml:space="preserve"> استعراض </w:t>
      </w:r>
      <w:r w:rsidRPr="00F54EBF">
        <w:rPr>
          <w:spacing w:val="-2"/>
          <w:rtl/>
        </w:rPr>
        <w:t>القمة العالمي</w:t>
      </w:r>
      <w:r w:rsidRPr="00F54EBF">
        <w:rPr>
          <w:rFonts w:hint="cs"/>
          <w:spacing w:val="-2"/>
          <w:rtl/>
        </w:rPr>
        <w:t>ة</w:t>
      </w:r>
      <w:r w:rsidRPr="00F54EBF">
        <w:rPr>
          <w:spacing w:val="-2"/>
          <w:rtl/>
        </w:rPr>
        <w:t xml:space="preserve"> لمجتمع المعلومات</w:t>
      </w:r>
      <w:r w:rsidR="00F54EBF" w:rsidRPr="00F54EBF">
        <w:rPr>
          <w:rFonts w:hint="eastAsia"/>
          <w:spacing w:val="-2"/>
          <w:rtl/>
          <w:lang w:bidi="ar-EG"/>
        </w:rPr>
        <w:t> </w:t>
      </w:r>
      <w:r w:rsidR="00F54EBF" w:rsidRPr="00F54EBF">
        <w:rPr>
          <w:spacing w:val="-2"/>
        </w:rPr>
        <w:t>(WSIS)</w:t>
      </w:r>
      <w:r w:rsidRPr="00F54EBF">
        <w:rPr>
          <w:spacing w:val="-2"/>
          <w:rtl/>
        </w:rPr>
        <w:t xml:space="preserve"> بعد مضي 20 عاماً على انعقادها كأساس لبناء </w:t>
      </w:r>
      <w:r w:rsidRPr="00F54EBF">
        <w:rPr>
          <w:rFonts w:hint="cs"/>
          <w:spacing w:val="-2"/>
          <w:rtl/>
        </w:rPr>
        <w:t>ال</w:t>
      </w:r>
      <w:r w:rsidRPr="00F54EBF">
        <w:rPr>
          <w:spacing w:val="-2"/>
          <w:rtl/>
        </w:rPr>
        <w:t xml:space="preserve">مستقبل </w:t>
      </w:r>
      <w:r w:rsidRPr="00F54EBF">
        <w:rPr>
          <w:rFonts w:hint="cs"/>
          <w:spacing w:val="-2"/>
          <w:rtl/>
        </w:rPr>
        <w:t>ال</w:t>
      </w:r>
      <w:r w:rsidRPr="00F54EBF">
        <w:rPr>
          <w:spacing w:val="-2"/>
          <w:rtl/>
        </w:rPr>
        <w:t>رقمي للجميع. ويؤكد قرار الأمم المتحدة كذلك على أن بيانات الاتحاد هي المعيار الذهبي لتتبع التقدم الرقمي العالمي.</w:t>
      </w:r>
    </w:p>
    <w:p w14:paraId="71443AD2" w14:textId="77777777" w:rsidR="00621959" w:rsidRPr="00621959" w:rsidRDefault="00621959" w:rsidP="00621959">
      <w:pPr>
        <w:rPr>
          <w:lang w:val="en-GB" w:bidi="ar-EG"/>
        </w:rPr>
      </w:pPr>
      <w:r w:rsidRPr="00621959">
        <w:rPr>
          <w:rtl/>
        </w:rPr>
        <w:t>وفي الوقت نفسه، بنينا مجتمعات أوسع وعززنا شراكات مبتكرة لتناول القضايا الحيوية التي تواجه العالم اليوم.</w:t>
      </w:r>
    </w:p>
    <w:p w14:paraId="24B1F598" w14:textId="47892151" w:rsidR="00621959" w:rsidRPr="00621959" w:rsidRDefault="00621959" w:rsidP="00621959">
      <w:pPr>
        <w:rPr>
          <w:lang w:val="en-GB" w:bidi="ar-EG"/>
        </w:rPr>
      </w:pPr>
      <w:r w:rsidRPr="00621959">
        <w:rPr>
          <w:rtl/>
        </w:rPr>
        <w:t xml:space="preserve">واستقطبت القمة العالمية للذكاء الاصطناعي من أجل المصلحة العامة، التي تُعقد منذ ثماني سنوات، إلى جانب حدثنا رفيع المستوى </w:t>
      </w:r>
      <w:r w:rsidRPr="00621959">
        <w:rPr>
          <w:lang w:val="en-GB" w:bidi="ar-EG"/>
        </w:rPr>
        <w:t>WSIS+20</w:t>
      </w:r>
      <w:r w:rsidRPr="00621959">
        <w:rPr>
          <w:rtl/>
        </w:rPr>
        <w:t xml:space="preserve">، </w:t>
      </w:r>
      <w:r w:rsidR="00C40C45">
        <w:t>11 000</w:t>
      </w:r>
      <w:r w:rsidRPr="00621959">
        <w:rPr>
          <w:rtl/>
        </w:rPr>
        <w:t xml:space="preserve"> زائر في جنيف </w:t>
      </w:r>
      <w:r w:rsidRPr="00621959">
        <w:rPr>
          <w:rFonts w:hint="cs"/>
          <w:rtl/>
        </w:rPr>
        <w:t xml:space="preserve">في </w:t>
      </w:r>
      <w:r w:rsidRPr="00621959">
        <w:rPr>
          <w:rtl/>
        </w:rPr>
        <w:t>عام 2025. ووصل عدد أعضاء مجتمع الذكاء الاصطناعي من أجل المصلحة العامة الافتراضي</w:t>
      </w:r>
      <w:r w:rsidR="00C40C45">
        <w:rPr>
          <w:rFonts w:hint="cs"/>
          <w:rtl/>
        </w:rPr>
        <w:t xml:space="preserve"> - </w:t>
      </w:r>
      <w:r w:rsidRPr="00621959">
        <w:rPr>
          <w:rtl/>
        </w:rPr>
        <w:t>الذي واصل الحوارات المؤثرة خلال فترة الجائحة</w:t>
      </w:r>
      <w:r w:rsidR="00C40C45">
        <w:rPr>
          <w:rFonts w:hint="cs"/>
          <w:rtl/>
        </w:rPr>
        <w:t xml:space="preserve"> - </w:t>
      </w:r>
      <w:r w:rsidRPr="00621959">
        <w:rPr>
          <w:rtl/>
        </w:rPr>
        <w:t xml:space="preserve">إلى </w:t>
      </w:r>
      <w:r w:rsidR="00C40C45">
        <w:t>35 000</w:t>
      </w:r>
      <w:r w:rsidRPr="00621959">
        <w:rPr>
          <w:rtl/>
        </w:rPr>
        <w:t xml:space="preserve"> عضو، ولا يزال ينمو، </w:t>
      </w:r>
      <w:r w:rsidRPr="00621959">
        <w:rPr>
          <w:rFonts w:hint="cs"/>
          <w:rtl/>
        </w:rPr>
        <w:t>حيث يربط</w:t>
      </w:r>
      <w:r w:rsidRPr="00621959">
        <w:rPr>
          <w:rtl/>
        </w:rPr>
        <w:t xml:space="preserve"> بين الأفراد والأفكار على مستوى العالم.</w:t>
      </w:r>
    </w:p>
    <w:p w14:paraId="44028CEA" w14:textId="1A2EA236" w:rsidR="003C4B57" w:rsidRPr="003C4B57" w:rsidRDefault="003C4B57" w:rsidP="003C4B57">
      <w:pPr>
        <w:rPr>
          <w:lang w:val="en-GB"/>
        </w:rPr>
      </w:pPr>
      <w:r w:rsidRPr="003C4B57">
        <w:rPr>
          <w:rtl/>
        </w:rPr>
        <w:t>وقد تطور الاتحاد مع التطورات التكنولوجية على مدى أكثر من 160 عاماً</w:t>
      </w:r>
      <w:r w:rsidRPr="003C4B57">
        <w:rPr>
          <w:rFonts w:hint="cs"/>
          <w:rtl/>
        </w:rPr>
        <w:t xml:space="preserve"> حتى الآن</w:t>
      </w:r>
      <w:r w:rsidRPr="003C4B57">
        <w:rPr>
          <w:rtl/>
        </w:rPr>
        <w:t>، بدءاً من التلغراف ووصولاً إلى الذكاء الاصطناعي والتكنولوجيا الكمومية. ومع احتف</w:t>
      </w:r>
      <w:r w:rsidR="00056A18">
        <w:rPr>
          <w:rFonts w:hint="cs"/>
          <w:rtl/>
        </w:rPr>
        <w:t>ا</w:t>
      </w:r>
      <w:r w:rsidRPr="003C4B57">
        <w:rPr>
          <w:rtl/>
        </w:rPr>
        <w:t xml:space="preserve">لنا بالذكرى السنوية </w:t>
      </w:r>
      <w:proofErr w:type="gramStart"/>
      <w:r w:rsidRPr="003C4B57">
        <w:rPr>
          <w:rtl/>
        </w:rPr>
        <w:t>المائة</w:t>
      </w:r>
      <w:proofErr w:type="gramEnd"/>
      <w:r w:rsidRPr="003C4B57">
        <w:rPr>
          <w:rtl/>
        </w:rPr>
        <w:t xml:space="preserve"> والستين على تأسيس الاتحاد، عززنا دورنا الحديث كوكالة الأمم المتحدة المعنية بالتكنولوجيات الرقمية، والمؤهلة لتيسير التعايش بين الإنسان والخدمات الرقمية </w:t>
      </w:r>
      <w:r w:rsidRPr="003C4B57">
        <w:rPr>
          <w:rtl/>
        </w:rPr>
        <w:lastRenderedPageBreak/>
        <w:t xml:space="preserve">في عصر الوصلات </w:t>
      </w:r>
      <w:r w:rsidR="00056A18">
        <w:rPr>
          <w:rFonts w:hint="cs"/>
          <w:rtl/>
        </w:rPr>
        <w:t>الساتلية</w:t>
      </w:r>
      <w:r w:rsidRPr="003C4B57">
        <w:rPr>
          <w:rtl/>
        </w:rPr>
        <w:t xml:space="preserve"> المباشرة فيما بين الأجهزة، وشبكات الجيل السادس، وتجربة المستعمل التي تتجاوز حدود تصوراتنا الحالية</w:t>
      </w:r>
      <w:r w:rsidRPr="003C4B57">
        <w:rPr>
          <w:rFonts w:hint="cs"/>
          <w:rtl/>
        </w:rPr>
        <w:t xml:space="preserve">، والاتصالات خارج الأرض، ولا سيما </w:t>
      </w:r>
      <w:r w:rsidRPr="003C4B57">
        <w:rPr>
          <w:rtl/>
        </w:rPr>
        <w:t>الاتصالات القمرية.</w:t>
      </w:r>
    </w:p>
    <w:p w14:paraId="3C6A17AB" w14:textId="648F5D84" w:rsidR="00621959" w:rsidRPr="00621959" w:rsidRDefault="00621959" w:rsidP="00621959">
      <w:pPr>
        <w:rPr>
          <w:lang w:val="en-GB" w:bidi="ar-EG"/>
        </w:rPr>
      </w:pPr>
      <w:r w:rsidRPr="00621959">
        <w:rPr>
          <w:rFonts w:hint="cs"/>
          <w:rtl/>
        </w:rPr>
        <w:t>وحشد</w:t>
      </w:r>
      <w:r w:rsidRPr="00621959">
        <w:rPr>
          <w:rtl/>
        </w:rPr>
        <w:t xml:space="preserve"> التحالف الرقمي للشراكة من أجل التوصيل (</w:t>
      </w:r>
      <w:r w:rsidRPr="00621959">
        <w:rPr>
          <w:lang w:val="en-CA" w:bidi="ar-EG"/>
        </w:rPr>
        <w:t>P2</w:t>
      </w:r>
      <w:r w:rsidR="00056A18">
        <w:rPr>
          <w:lang w:val="en-CA" w:bidi="ar-EG"/>
        </w:rPr>
        <w:t>C</w:t>
      </w:r>
      <w:r w:rsidRPr="00621959">
        <w:rPr>
          <w:rtl/>
        </w:rPr>
        <w:t xml:space="preserve">) </w:t>
      </w:r>
      <w:r w:rsidR="00C40C45">
        <w:t>1 060</w:t>
      </w:r>
      <w:r w:rsidRPr="00621959">
        <w:rPr>
          <w:rtl/>
        </w:rPr>
        <w:t xml:space="preserve"> تعهداً بقيمة تزيد عن 80 مليار دولار أمريكي في 149 بلداً، وذلك في إطار جهود الاتحاد للنفاذ إلى أكثر المناطق صعوبة في التوصيل. كما قامت مبادرة </w:t>
      </w:r>
      <w:r w:rsidRPr="00621959">
        <w:rPr>
          <w:lang w:val="en-GB" w:bidi="ar-EG"/>
        </w:rPr>
        <w:t>Giga</w:t>
      </w:r>
      <w:r w:rsidRPr="00621959">
        <w:rPr>
          <w:rtl/>
        </w:rPr>
        <w:t xml:space="preserve"> المشتركة بين الاتحاد واليونيسف برسم خرائط لأكثر من مليوني مدرسة في أكثر من 140 بلداً، </w:t>
      </w:r>
      <w:r w:rsidRPr="00621959">
        <w:rPr>
          <w:rFonts w:hint="cs"/>
          <w:rtl/>
        </w:rPr>
        <w:t>و</w:t>
      </w:r>
      <w:r w:rsidRPr="00621959">
        <w:rPr>
          <w:rtl/>
        </w:rPr>
        <w:t>أ</w:t>
      </w:r>
      <w:r w:rsidRPr="00621959">
        <w:rPr>
          <w:rFonts w:hint="cs"/>
          <w:rtl/>
        </w:rPr>
        <w:t>ظ</w:t>
      </w:r>
      <w:r w:rsidRPr="00621959">
        <w:rPr>
          <w:rtl/>
        </w:rPr>
        <w:t xml:space="preserve">هرت أكثر الفجوات </w:t>
      </w:r>
      <w:r w:rsidRPr="00621959">
        <w:rPr>
          <w:rFonts w:hint="cs"/>
          <w:rtl/>
        </w:rPr>
        <w:t>إ</w:t>
      </w:r>
      <w:r w:rsidRPr="00621959">
        <w:rPr>
          <w:rtl/>
        </w:rPr>
        <w:t>لحاحاً من حيث التوصيلية المدرسية.</w:t>
      </w:r>
    </w:p>
    <w:p w14:paraId="248B90DC" w14:textId="50E0F9BB" w:rsidR="003C4B57" w:rsidRPr="003C4B57" w:rsidRDefault="003C4B57" w:rsidP="003C4B57">
      <w:pPr>
        <w:rPr>
          <w:lang w:val="en-GB"/>
        </w:rPr>
      </w:pPr>
      <w:r w:rsidRPr="006C7D2D">
        <w:rPr>
          <w:rtl/>
        </w:rPr>
        <w:t xml:space="preserve">وفيما </w:t>
      </w:r>
      <w:r w:rsidRPr="006C7D2D">
        <w:rPr>
          <w:rFonts w:hint="cs"/>
          <w:rtl/>
        </w:rPr>
        <w:t>يتعلق ب</w:t>
      </w:r>
      <w:r w:rsidRPr="006C7D2D">
        <w:rPr>
          <w:rtl/>
        </w:rPr>
        <w:t xml:space="preserve">البنية التحتية، </w:t>
      </w:r>
      <w:r w:rsidRPr="006C7D2D">
        <w:rPr>
          <w:rFonts w:hint="cs"/>
          <w:rtl/>
        </w:rPr>
        <w:t>تعمل</w:t>
      </w:r>
      <w:r w:rsidRPr="006C7D2D">
        <w:rPr>
          <w:rtl/>
        </w:rPr>
        <w:t xml:space="preserve"> هيئ</w:t>
      </w:r>
      <w:r w:rsidRPr="006C7D2D">
        <w:rPr>
          <w:rFonts w:hint="cs"/>
          <w:rtl/>
        </w:rPr>
        <w:t>تنا</w:t>
      </w:r>
      <w:r w:rsidRPr="006C7D2D">
        <w:rPr>
          <w:rtl/>
        </w:rPr>
        <w:t xml:space="preserve"> </w:t>
      </w:r>
      <w:r w:rsidRPr="006C7D2D">
        <w:rPr>
          <w:rFonts w:hint="cs"/>
          <w:rtl/>
        </w:rPr>
        <w:t>ال</w:t>
      </w:r>
      <w:r w:rsidRPr="006C7D2D">
        <w:rPr>
          <w:rtl/>
        </w:rPr>
        <w:t xml:space="preserve">استشارية </w:t>
      </w:r>
      <w:r w:rsidR="006C7D2D" w:rsidRPr="006C7D2D">
        <w:rPr>
          <w:rFonts w:hint="cs"/>
          <w:rtl/>
        </w:rPr>
        <w:t xml:space="preserve">الجديدة </w:t>
      </w:r>
      <w:r w:rsidRPr="006C7D2D">
        <w:rPr>
          <w:rFonts w:hint="cs"/>
          <w:rtl/>
        </w:rPr>
        <w:t>ال</w:t>
      </w:r>
      <w:r w:rsidRPr="006C7D2D">
        <w:rPr>
          <w:rtl/>
        </w:rPr>
        <w:t xml:space="preserve">مكونة من 42 عضواً </w:t>
      </w:r>
      <w:r w:rsidRPr="006C7D2D">
        <w:rPr>
          <w:rFonts w:hint="cs"/>
          <w:rtl/>
        </w:rPr>
        <w:t>وال</w:t>
      </w:r>
      <w:r w:rsidRPr="006C7D2D">
        <w:rPr>
          <w:rtl/>
        </w:rPr>
        <w:t>معنية بقدرة الكبلات البحرية على الصمود</w:t>
      </w:r>
      <w:r w:rsidRPr="006C7D2D">
        <w:rPr>
          <w:rFonts w:hint="cs"/>
          <w:rtl/>
        </w:rPr>
        <w:t xml:space="preserve"> على المضي قدماً في مجال التعاون </w:t>
      </w:r>
      <w:r w:rsidRPr="006C7D2D">
        <w:rPr>
          <w:rtl/>
        </w:rPr>
        <w:t>للمساعدة في حماية الشبكة الأساسية المادية للاتصالات العالمية.</w:t>
      </w:r>
    </w:p>
    <w:p w14:paraId="1601BA3A" w14:textId="77777777" w:rsidR="00621959" w:rsidRPr="00621959" w:rsidRDefault="00621959" w:rsidP="00621959">
      <w:pPr>
        <w:rPr>
          <w:lang w:val="en-GB" w:bidi="ar-EG"/>
        </w:rPr>
      </w:pPr>
      <w:r w:rsidRPr="00621959">
        <w:rPr>
          <w:rtl/>
        </w:rPr>
        <w:t xml:space="preserve">وإجمالاً، تشير تقديراتنا إلى أن تكلفة توصيل كل </w:t>
      </w:r>
      <w:r w:rsidRPr="00621959">
        <w:rPr>
          <w:rFonts w:hint="cs"/>
          <w:rtl/>
        </w:rPr>
        <w:t>فرد</w:t>
      </w:r>
      <w:r w:rsidRPr="00621959">
        <w:rPr>
          <w:rtl/>
        </w:rPr>
        <w:t xml:space="preserve"> بشكل مفيد بحلول عام 2030 يتراوح ما بين 2</w:t>
      </w:r>
      <w:r w:rsidRPr="00621959">
        <w:rPr>
          <w:rFonts w:hint="cs"/>
          <w:rtl/>
        </w:rPr>
        <w:t>,</w:t>
      </w:r>
      <w:r w:rsidRPr="00621959">
        <w:rPr>
          <w:rtl/>
        </w:rPr>
        <w:t>6 و2</w:t>
      </w:r>
      <w:r w:rsidRPr="00621959">
        <w:rPr>
          <w:rFonts w:hint="cs"/>
          <w:rtl/>
        </w:rPr>
        <w:t>,</w:t>
      </w:r>
      <w:r w:rsidRPr="00621959">
        <w:rPr>
          <w:rtl/>
        </w:rPr>
        <w:t xml:space="preserve">8 تريليون دولار أمريكي، أولاً للبنية التحتية، ولكن في الوقت نفسه لبناء المهارات الرقمية، </w:t>
      </w:r>
      <w:r w:rsidRPr="00621959">
        <w:rPr>
          <w:rFonts w:hint="cs"/>
          <w:rtl/>
        </w:rPr>
        <w:t>وضمان</w:t>
      </w:r>
      <w:r w:rsidRPr="00621959">
        <w:rPr>
          <w:rtl/>
        </w:rPr>
        <w:t xml:space="preserve"> ميسورية التكلفة، وتزويد البلدان بخيارات </w:t>
      </w:r>
      <w:proofErr w:type="spellStart"/>
      <w:r w:rsidRPr="00621959">
        <w:rPr>
          <w:rtl/>
        </w:rPr>
        <w:t>سياساتية</w:t>
      </w:r>
      <w:proofErr w:type="spellEnd"/>
      <w:r w:rsidRPr="00621959">
        <w:rPr>
          <w:rtl/>
        </w:rPr>
        <w:t xml:space="preserve"> سليمة.</w:t>
      </w:r>
    </w:p>
    <w:p w14:paraId="5B520B26" w14:textId="77777777" w:rsidR="00621959" w:rsidRPr="00621959" w:rsidRDefault="00621959" w:rsidP="00621959">
      <w:pPr>
        <w:rPr>
          <w:lang w:val="en-GB" w:bidi="ar-EG"/>
        </w:rPr>
      </w:pPr>
      <w:r w:rsidRPr="00621959">
        <w:rPr>
          <w:rtl/>
        </w:rPr>
        <w:t xml:space="preserve">وتتطلب التوصيلية </w:t>
      </w:r>
      <w:proofErr w:type="gramStart"/>
      <w:r w:rsidRPr="00621959">
        <w:rPr>
          <w:rFonts w:hint="cs"/>
          <w:rtl/>
        </w:rPr>
        <w:t>الشاملة</w:t>
      </w:r>
      <w:proofErr w:type="gramEnd"/>
      <w:r w:rsidRPr="00621959">
        <w:rPr>
          <w:rFonts w:hint="cs"/>
          <w:rtl/>
        </w:rPr>
        <w:t xml:space="preserve"> و</w:t>
      </w:r>
      <w:r w:rsidRPr="00621959">
        <w:rPr>
          <w:rtl/>
        </w:rPr>
        <w:t>الهادفة التزاماً وثقة</w:t>
      </w:r>
      <w:r w:rsidRPr="00621959">
        <w:rPr>
          <w:rFonts w:hint="cs"/>
          <w:rtl/>
        </w:rPr>
        <w:t>ً</w:t>
      </w:r>
      <w:r w:rsidRPr="00621959">
        <w:rPr>
          <w:rtl/>
        </w:rPr>
        <w:t xml:space="preserve"> وتعاوناً.</w:t>
      </w:r>
    </w:p>
    <w:p w14:paraId="7582A6F7" w14:textId="77777777" w:rsidR="00621959" w:rsidRPr="00621959" w:rsidRDefault="00621959" w:rsidP="00621959">
      <w:pPr>
        <w:rPr>
          <w:lang w:val="en-GB" w:bidi="ar-EG"/>
        </w:rPr>
      </w:pPr>
      <w:r w:rsidRPr="00621959">
        <w:rPr>
          <w:rtl/>
        </w:rPr>
        <w:t xml:space="preserve">وتعكس الإنجازات الواردة في هذا التقرير تفاني أعضاء الاتحاد وشركائه وموظفيه، وتُظهر ما يمكن تحقيقه عندما يتحد المجتمع الدولي لتحقيق </w:t>
      </w:r>
      <w:r w:rsidRPr="00621959">
        <w:rPr>
          <w:rFonts w:hint="cs"/>
          <w:rtl/>
        </w:rPr>
        <w:t>غرض</w:t>
      </w:r>
      <w:r w:rsidRPr="00621959">
        <w:rPr>
          <w:rtl/>
        </w:rPr>
        <w:t xml:space="preserve"> واحد.</w:t>
      </w:r>
    </w:p>
    <w:p w14:paraId="304C3CBB" w14:textId="77777777" w:rsidR="00621959" w:rsidRPr="00621959" w:rsidRDefault="00621959" w:rsidP="00621959">
      <w:pPr>
        <w:rPr>
          <w:lang w:val="en-GB" w:bidi="ar-EG"/>
        </w:rPr>
      </w:pPr>
      <w:r w:rsidRPr="00621959">
        <w:rPr>
          <w:rtl/>
        </w:rPr>
        <w:t>ويعد الزخم المشترك أساسياً ونحن ننتقل إلى المرحلة التالية من خطتنا الاستراتيجية.</w:t>
      </w:r>
    </w:p>
    <w:p w14:paraId="77C29418" w14:textId="77777777" w:rsidR="00621959" w:rsidRPr="00621959" w:rsidRDefault="00621959" w:rsidP="00621959">
      <w:pPr>
        <w:rPr>
          <w:lang w:val="en-GB" w:bidi="ar-EG"/>
        </w:rPr>
      </w:pPr>
      <w:r w:rsidRPr="00621959">
        <w:rPr>
          <w:rtl/>
        </w:rPr>
        <w:t>ولنضمن معاً أن يتمكن كل فرد، أينما كان، من</w:t>
      </w:r>
      <w:r w:rsidRPr="00621959">
        <w:rPr>
          <w:rFonts w:hint="cs"/>
          <w:rtl/>
        </w:rPr>
        <w:t xml:space="preserve"> تحقيق</w:t>
      </w:r>
      <w:r w:rsidRPr="00621959">
        <w:rPr>
          <w:rtl/>
        </w:rPr>
        <w:t xml:space="preserve"> الاستفادة </w:t>
      </w:r>
      <w:r w:rsidRPr="00621959">
        <w:rPr>
          <w:rFonts w:hint="cs"/>
          <w:rtl/>
        </w:rPr>
        <w:t>ال</w:t>
      </w:r>
      <w:r w:rsidRPr="00621959">
        <w:rPr>
          <w:rtl/>
        </w:rPr>
        <w:t>كامل</w:t>
      </w:r>
      <w:r w:rsidRPr="00621959">
        <w:rPr>
          <w:rFonts w:hint="cs"/>
          <w:rtl/>
        </w:rPr>
        <w:t>ة</w:t>
      </w:r>
      <w:r w:rsidRPr="00621959">
        <w:rPr>
          <w:rtl/>
        </w:rPr>
        <w:t xml:space="preserve"> من التحول الرقمي.</w:t>
      </w:r>
    </w:p>
    <w:p w14:paraId="0D320636" w14:textId="42E99C36" w:rsidR="00621959" w:rsidRPr="00621959" w:rsidRDefault="00621959" w:rsidP="00C40C45">
      <w:pPr>
        <w:spacing w:before="720"/>
        <w:jc w:val="left"/>
        <w:rPr>
          <w:b/>
          <w:bCs/>
          <w:lang w:val="en-GB" w:bidi="ar-EG"/>
        </w:rPr>
      </w:pPr>
      <w:r w:rsidRPr="00621959">
        <w:rPr>
          <w:rtl/>
        </w:rPr>
        <w:t xml:space="preserve">دورين </w:t>
      </w:r>
      <w:proofErr w:type="spellStart"/>
      <w:r w:rsidRPr="00621959">
        <w:rPr>
          <w:rtl/>
        </w:rPr>
        <w:t>بوغدان</w:t>
      </w:r>
      <w:proofErr w:type="spellEnd"/>
      <w:r w:rsidRPr="00621959">
        <w:rPr>
          <w:rtl/>
        </w:rPr>
        <w:t>-مارتن</w:t>
      </w:r>
      <w:r w:rsidR="00C40C45">
        <w:br/>
      </w:r>
      <w:r w:rsidRPr="00621959">
        <w:rPr>
          <w:rtl/>
        </w:rPr>
        <w:t>الأمينة العامة للاتحاد</w:t>
      </w:r>
      <w:r w:rsidR="00C40C45">
        <w:rPr>
          <w:rFonts w:hint="cs"/>
          <w:rtl/>
          <w:lang w:bidi="ar-EG"/>
        </w:rPr>
        <w:t xml:space="preserve"> الدولي للاتصالات</w:t>
      </w:r>
    </w:p>
    <w:p w14:paraId="4E36A94B" w14:textId="77777777" w:rsidR="00C40C45" w:rsidRDefault="00C40C45" w:rsidP="00C40C45">
      <w:pPr>
        <w:rPr>
          <w:rtl/>
        </w:rPr>
      </w:pPr>
      <w:r>
        <w:rPr>
          <w:rtl/>
        </w:rPr>
        <w:br w:type="page"/>
      </w:r>
    </w:p>
    <w:p w14:paraId="207BE69B" w14:textId="2E0F2B91" w:rsidR="00621959" w:rsidRPr="005D6555" w:rsidRDefault="00621959" w:rsidP="00621959">
      <w:pPr>
        <w:rPr>
          <w:b/>
          <w:bCs/>
          <w:sz w:val="24"/>
          <w:szCs w:val="24"/>
          <w:rtl/>
        </w:rPr>
      </w:pPr>
      <w:r w:rsidRPr="00F00721">
        <w:rPr>
          <w:b/>
          <w:bCs/>
          <w:color w:val="1F497D"/>
          <w:sz w:val="24"/>
          <w:szCs w:val="24"/>
          <w:rtl/>
        </w:rPr>
        <w:t>المحتويات</w:t>
      </w:r>
    </w:p>
    <w:p w14:paraId="17071BD7" w14:textId="7F30989D" w:rsidR="005D6555" w:rsidRDefault="005D6555" w:rsidP="005D6555">
      <w:pPr>
        <w:jc w:val="right"/>
        <w:rPr>
          <w:b/>
          <w:bCs/>
          <w:rtl/>
        </w:rPr>
      </w:pPr>
      <w:r w:rsidRPr="005D6555">
        <w:rPr>
          <w:rFonts w:hint="cs"/>
          <w:b/>
          <w:bCs/>
          <w:rtl/>
        </w:rPr>
        <w:t>الصفحة</w:t>
      </w:r>
    </w:p>
    <w:p w14:paraId="4E2E7A10" w14:textId="1CEB15CA" w:rsidR="00481268" w:rsidRDefault="00F00721" w:rsidP="00481268">
      <w:pPr>
        <w:pStyle w:val="TOC1"/>
        <w:rPr>
          <w:rFonts w:asciiTheme="minorHAnsi" w:hAnsiTheme="minorHAnsi" w:cstheme="minorBidi"/>
          <w:noProof/>
          <w:lang w:val="en-GB" w:eastAsia="en-GB"/>
        </w:rPr>
      </w:pPr>
      <w:r>
        <w:rPr>
          <w:rtl/>
        </w:rPr>
        <w:fldChar w:fldCharType="begin"/>
      </w:r>
      <w:r>
        <w:rPr>
          <w:rtl/>
        </w:rPr>
        <w:instrText xml:space="preserve"> </w:instrText>
      </w:r>
      <w:r>
        <w:instrText>TOC</w:instrText>
      </w:r>
      <w:r>
        <w:rPr>
          <w:rtl/>
        </w:rPr>
        <w:instrText xml:space="preserve"> \</w:instrText>
      </w:r>
      <w:r>
        <w:instrText>h \z \t "Heading 1,1,Heading 2,2,Heading 3,3</w:instrText>
      </w:r>
      <w:r>
        <w:rPr>
          <w:rtl/>
        </w:rPr>
        <w:instrText xml:space="preserve">" </w:instrText>
      </w:r>
      <w:r>
        <w:rPr>
          <w:rtl/>
        </w:rPr>
        <w:fldChar w:fldCharType="separate"/>
      </w:r>
      <w:hyperlink w:anchor="_Toc227252561" w:history="1">
        <w:r w:rsidR="00481268" w:rsidRPr="00D33891">
          <w:rPr>
            <w:rStyle w:val="Hyperlink"/>
            <w:rtl/>
          </w:rPr>
          <w:t>أولاً</w:t>
        </w:r>
        <w:r w:rsidR="00481268">
          <w:rPr>
            <w:rFonts w:asciiTheme="minorHAnsi" w:hAnsiTheme="minorHAnsi" w:cstheme="minorBidi"/>
            <w:noProof/>
            <w:lang w:val="en-GB" w:eastAsia="en-GB"/>
          </w:rPr>
          <w:tab/>
        </w:r>
        <w:r w:rsidR="00481268" w:rsidRPr="00D33891">
          <w:rPr>
            <w:rStyle w:val="Hyperlink"/>
            <w:rtl/>
          </w:rPr>
          <w:t>ملخص تنفيذي</w:t>
        </w:r>
        <w:r w:rsidR="00481268">
          <w:rPr>
            <w:noProof/>
            <w:webHidden/>
          </w:rPr>
          <w:tab/>
        </w:r>
        <w:r w:rsidR="00481268">
          <w:rPr>
            <w:noProof/>
            <w:webHidden/>
            <w:rtl/>
          </w:rPr>
          <w:tab/>
        </w:r>
        <w:r w:rsidR="00481268">
          <w:rPr>
            <w:noProof/>
            <w:webHidden/>
          </w:rPr>
          <w:fldChar w:fldCharType="begin"/>
        </w:r>
        <w:r w:rsidR="00481268">
          <w:rPr>
            <w:noProof/>
            <w:webHidden/>
          </w:rPr>
          <w:instrText xml:space="preserve"> PAGEREF _Toc227252561 \h </w:instrText>
        </w:r>
        <w:r w:rsidR="00481268">
          <w:rPr>
            <w:noProof/>
            <w:webHidden/>
          </w:rPr>
        </w:r>
        <w:r w:rsidR="00481268">
          <w:rPr>
            <w:noProof/>
            <w:webHidden/>
          </w:rPr>
          <w:fldChar w:fldCharType="separate"/>
        </w:r>
        <w:r w:rsidR="00481268">
          <w:rPr>
            <w:noProof/>
            <w:webHidden/>
          </w:rPr>
          <w:t>6</w:t>
        </w:r>
        <w:r w:rsidR="00481268">
          <w:rPr>
            <w:noProof/>
            <w:webHidden/>
          </w:rPr>
          <w:fldChar w:fldCharType="end"/>
        </w:r>
      </w:hyperlink>
    </w:p>
    <w:p w14:paraId="680DA668" w14:textId="01AF9990" w:rsidR="00481268" w:rsidRDefault="00481268" w:rsidP="00481268">
      <w:pPr>
        <w:pStyle w:val="TOC1"/>
        <w:rPr>
          <w:rFonts w:asciiTheme="minorHAnsi" w:hAnsiTheme="minorHAnsi" w:cstheme="minorBidi"/>
          <w:noProof/>
          <w:lang w:val="en-GB" w:eastAsia="en-GB"/>
        </w:rPr>
      </w:pPr>
      <w:hyperlink w:anchor="_Toc227252562" w:history="1">
        <w:r w:rsidRPr="00D33891">
          <w:rPr>
            <w:rStyle w:val="Hyperlink"/>
            <w:rtl/>
            <w:lang w:bidi="ar-EG"/>
          </w:rPr>
          <w:t>ثانياً</w:t>
        </w:r>
        <w:r>
          <w:rPr>
            <w:rFonts w:asciiTheme="minorHAnsi" w:hAnsiTheme="minorHAnsi" w:cstheme="minorBidi"/>
            <w:noProof/>
            <w:lang w:val="en-GB" w:eastAsia="en-GB"/>
          </w:rPr>
          <w:tab/>
        </w:r>
        <w:r w:rsidRPr="00D33891">
          <w:rPr>
            <w:rStyle w:val="Hyperlink"/>
            <w:rtl/>
          </w:rPr>
          <w:t>رؤى وأهم الدروس المستفادة من الفترة 2022-2025</w:t>
        </w:r>
        <w:r>
          <w:rPr>
            <w:noProof/>
            <w:webHidden/>
          </w:rPr>
          <w:tab/>
        </w:r>
        <w:r>
          <w:rPr>
            <w:noProof/>
            <w:webHidden/>
            <w:rtl/>
          </w:rPr>
          <w:tab/>
        </w:r>
        <w:r>
          <w:rPr>
            <w:noProof/>
            <w:webHidden/>
          </w:rPr>
          <w:fldChar w:fldCharType="begin"/>
        </w:r>
        <w:r>
          <w:rPr>
            <w:noProof/>
            <w:webHidden/>
          </w:rPr>
          <w:instrText xml:space="preserve"> PAGEREF _Toc227252562 \h </w:instrText>
        </w:r>
        <w:r>
          <w:rPr>
            <w:noProof/>
            <w:webHidden/>
          </w:rPr>
        </w:r>
        <w:r>
          <w:rPr>
            <w:noProof/>
            <w:webHidden/>
          </w:rPr>
          <w:fldChar w:fldCharType="separate"/>
        </w:r>
        <w:r>
          <w:rPr>
            <w:noProof/>
            <w:webHidden/>
          </w:rPr>
          <w:t>11</w:t>
        </w:r>
        <w:r>
          <w:rPr>
            <w:noProof/>
            <w:webHidden/>
          </w:rPr>
          <w:fldChar w:fldCharType="end"/>
        </w:r>
      </w:hyperlink>
    </w:p>
    <w:p w14:paraId="6EB5C184" w14:textId="48A2DF1C" w:rsidR="00481268" w:rsidRDefault="00481268" w:rsidP="00481268">
      <w:pPr>
        <w:pStyle w:val="TOC1"/>
        <w:rPr>
          <w:rFonts w:asciiTheme="minorHAnsi" w:hAnsiTheme="minorHAnsi" w:cstheme="minorBidi"/>
          <w:noProof/>
          <w:lang w:val="en-GB" w:eastAsia="en-GB"/>
        </w:rPr>
      </w:pPr>
      <w:hyperlink w:anchor="_Toc227252563" w:history="1">
        <w:r w:rsidRPr="00D33891">
          <w:rPr>
            <w:rStyle w:val="Hyperlink"/>
          </w:rPr>
          <w:t>1</w:t>
        </w:r>
        <w:r>
          <w:rPr>
            <w:rFonts w:asciiTheme="minorHAnsi" w:hAnsiTheme="minorHAnsi" w:cstheme="minorBidi"/>
            <w:noProof/>
            <w:lang w:val="en-GB" w:eastAsia="en-GB"/>
          </w:rPr>
          <w:tab/>
        </w:r>
        <w:r w:rsidRPr="00D33891">
          <w:rPr>
            <w:rStyle w:val="Hyperlink"/>
            <w:rtl/>
          </w:rPr>
          <w:t>مقدمة</w:t>
        </w:r>
        <w:r>
          <w:rPr>
            <w:noProof/>
            <w:webHidden/>
          </w:rPr>
          <w:tab/>
        </w:r>
        <w:r>
          <w:rPr>
            <w:noProof/>
            <w:webHidden/>
            <w:rtl/>
          </w:rPr>
          <w:tab/>
        </w:r>
        <w:r>
          <w:rPr>
            <w:noProof/>
            <w:webHidden/>
          </w:rPr>
          <w:fldChar w:fldCharType="begin"/>
        </w:r>
        <w:r>
          <w:rPr>
            <w:noProof/>
            <w:webHidden/>
          </w:rPr>
          <w:instrText xml:space="preserve"> PAGEREF _Toc227252563 \h </w:instrText>
        </w:r>
        <w:r>
          <w:rPr>
            <w:noProof/>
            <w:webHidden/>
          </w:rPr>
        </w:r>
        <w:r>
          <w:rPr>
            <w:noProof/>
            <w:webHidden/>
          </w:rPr>
          <w:fldChar w:fldCharType="separate"/>
        </w:r>
        <w:r>
          <w:rPr>
            <w:noProof/>
            <w:webHidden/>
          </w:rPr>
          <w:t>15</w:t>
        </w:r>
        <w:r>
          <w:rPr>
            <w:noProof/>
            <w:webHidden/>
          </w:rPr>
          <w:fldChar w:fldCharType="end"/>
        </w:r>
      </w:hyperlink>
    </w:p>
    <w:p w14:paraId="4DCDC7B5" w14:textId="2B561F0D" w:rsidR="00481268" w:rsidRDefault="00481268" w:rsidP="00481268">
      <w:pPr>
        <w:pStyle w:val="TOC1"/>
        <w:rPr>
          <w:rFonts w:asciiTheme="minorHAnsi" w:hAnsiTheme="minorHAnsi" w:cstheme="minorBidi"/>
          <w:noProof/>
          <w:lang w:val="en-GB" w:eastAsia="en-GB"/>
        </w:rPr>
      </w:pPr>
      <w:hyperlink w:anchor="_Toc227252564" w:history="1">
        <w:r w:rsidRPr="00D33891">
          <w:rPr>
            <w:rStyle w:val="Hyperlink"/>
          </w:rPr>
          <w:t>2</w:t>
        </w:r>
        <w:r>
          <w:rPr>
            <w:rFonts w:asciiTheme="minorHAnsi" w:hAnsiTheme="minorHAnsi" w:cstheme="minorBidi"/>
            <w:noProof/>
            <w:lang w:val="en-GB" w:eastAsia="en-GB"/>
          </w:rPr>
          <w:tab/>
        </w:r>
        <w:r w:rsidRPr="00D33891">
          <w:rPr>
            <w:rStyle w:val="Hyperlink"/>
            <w:rtl/>
          </w:rPr>
          <w:t>المؤتمرات النظامية العالمية في الفترة 2022-2025</w:t>
        </w:r>
        <w:r>
          <w:rPr>
            <w:noProof/>
            <w:webHidden/>
          </w:rPr>
          <w:tab/>
        </w:r>
        <w:r>
          <w:rPr>
            <w:noProof/>
            <w:webHidden/>
            <w:rtl/>
          </w:rPr>
          <w:tab/>
        </w:r>
        <w:r>
          <w:rPr>
            <w:noProof/>
            <w:webHidden/>
          </w:rPr>
          <w:fldChar w:fldCharType="begin"/>
        </w:r>
        <w:r>
          <w:rPr>
            <w:noProof/>
            <w:webHidden/>
          </w:rPr>
          <w:instrText xml:space="preserve"> PAGEREF _Toc227252564 \h </w:instrText>
        </w:r>
        <w:r>
          <w:rPr>
            <w:noProof/>
            <w:webHidden/>
          </w:rPr>
        </w:r>
        <w:r>
          <w:rPr>
            <w:noProof/>
            <w:webHidden/>
          </w:rPr>
          <w:fldChar w:fldCharType="separate"/>
        </w:r>
        <w:r>
          <w:rPr>
            <w:noProof/>
            <w:webHidden/>
          </w:rPr>
          <w:t>16</w:t>
        </w:r>
        <w:r>
          <w:rPr>
            <w:noProof/>
            <w:webHidden/>
          </w:rPr>
          <w:fldChar w:fldCharType="end"/>
        </w:r>
      </w:hyperlink>
    </w:p>
    <w:p w14:paraId="6A73542D" w14:textId="21F1F317" w:rsidR="00481268" w:rsidRDefault="00481268" w:rsidP="00481268">
      <w:pPr>
        <w:pStyle w:val="TOC2"/>
        <w:rPr>
          <w:rFonts w:asciiTheme="minorHAnsi" w:hAnsiTheme="minorHAnsi" w:cstheme="minorBidi"/>
          <w:noProof/>
          <w:lang w:val="en-GB" w:eastAsia="en-GB"/>
        </w:rPr>
      </w:pPr>
      <w:hyperlink w:anchor="_Toc227252565" w:history="1">
        <w:r w:rsidRPr="00D33891">
          <w:rPr>
            <w:rStyle w:val="Hyperlink"/>
          </w:rPr>
          <w:t>1.2</w:t>
        </w:r>
        <w:r>
          <w:rPr>
            <w:rFonts w:asciiTheme="minorHAnsi" w:hAnsiTheme="minorHAnsi" w:cstheme="minorBidi"/>
            <w:noProof/>
            <w:lang w:val="en-GB" w:eastAsia="en-GB"/>
          </w:rPr>
          <w:tab/>
        </w:r>
        <w:r w:rsidRPr="00D33891">
          <w:rPr>
            <w:rStyle w:val="Hyperlink"/>
            <w:rtl/>
          </w:rPr>
          <w:t xml:space="preserve">مؤتمر المندوبين المفوضين للاتحاد لعام 2022 </w:t>
        </w:r>
        <w:r w:rsidRPr="00D33891">
          <w:rPr>
            <w:rStyle w:val="Hyperlink"/>
            <w:lang w:bidi="ar-EG"/>
          </w:rPr>
          <w:t>(PP-22)</w:t>
        </w:r>
        <w:r>
          <w:rPr>
            <w:noProof/>
            <w:webHidden/>
          </w:rPr>
          <w:tab/>
        </w:r>
        <w:r>
          <w:rPr>
            <w:noProof/>
            <w:webHidden/>
            <w:rtl/>
          </w:rPr>
          <w:tab/>
        </w:r>
        <w:r>
          <w:rPr>
            <w:noProof/>
            <w:webHidden/>
          </w:rPr>
          <w:fldChar w:fldCharType="begin"/>
        </w:r>
        <w:r>
          <w:rPr>
            <w:noProof/>
            <w:webHidden/>
          </w:rPr>
          <w:instrText xml:space="preserve"> PAGEREF _Toc227252565 \h </w:instrText>
        </w:r>
        <w:r>
          <w:rPr>
            <w:noProof/>
            <w:webHidden/>
          </w:rPr>
        </w:r>
        <w:r>
          <w:rPr>
            <w:noProof/>
            <w:webHidden/>
          </w:rPr>
          <w:fldChar w:fldCharType="separate"/>
        </w:r>
        <w:r>
          <w:rPr>
            <w:noProof/>
            <w:webHidden/>
          </w:rPr>
          <w:t>16</w:t>
        </w:r>
        <w:r>
          <w:rPr>
            <w:noProof/>
            <w:webHidden/>
          </w:rPr>
          <w:fldChar w:fldCharType="end"/>
        </w:r>
      </w:hyperlink>
    </w:p>
    <w:p w14:paraId="657131FD" w14:textId="5A078A20" w:rsidR="00481268" w:rsidRDefault="00481268" w:rsidP="00481268">
      <w:pPr>
        <w:pStyle w:val="TOC3"/>
        <w:rPr>
          <w:rFonts w:asciiTheme="minorHAnsi" w:hAnsiTheme="minorHAnsi" w:cstheme="minorBidi"/>
          <w:noProof/>
          <w:lang w:val="en-GB" w:eastAsia="en-GB"/>
        </w:rPr>
      </w:pPr>
      <w:hyperlink w:anchor="_Toc227252566" w:history="1">
        <w:r w:rsidRPr="00D33891">
          <w:rPr>
            <w:rStyle w:val="Hyperlink"/>
          </w:rPr>
          <w:t>1.1.2</w:t>
        </w:r>
        <w:r>
          <w:rPr>
            <w:rFonts w:asciiTheme="minorHAnsi" w:hAnsiTheme="minorHAnsi" w:cstheme="minorBidi"/>
            <w:noProof/>
            <w:lang w:val="en-GB" w:eastAsia="en-GB"/>
          </w:rPr>
          <w:tab/>
        </w:r>
        <w:r w:rsidRPr="00D33891">
          <w:rPr>
            <w:rStyle w:val="Hyperlink"/>
            <w:rtl/>
          </w:rPr>
          <w:t>انتخابات الاتحاد</w:t>
        </w:r>
        <w:r>
          <w:rPr>
            <w:noProof/>
            <w:webHidden/>
          </w:rPr>
          <w:tab/>
        </w:r>
        <w:r>
          <w:rPr>
            <w:noProof/>
            <w:webHidden/>
            <w:rtl/>
          </w:rPr>
          <w:tab/>
        </w:r>
        <w:r>
          <w:rPr>
            <w:noProof/>
            <w:webHidden/>
          </w:rPr>
          <w:fldChar w:fldCharType="begin"/>
        </w:r>
        <w:r>
          <w:rPr>
            <w:noProof/>
            <w:webHidden/>
          </w:rPr>
          <w:instrText xml:space="preserve"> PAGEREF _Toc227252566 \h </w:instrText>
        </w:r>
        <w:r>
          <w:rPr>
            <w:noProof/>
            <w:webHidden/>
          </w:rPr>
        </w:r>
        <w:r>
          <w:rPr>
            <w:noProof/>
            <w:webHidden/>
          </w:rPr>
          <w:fldChar w:fldCharType="separate"/>
        </w:r>
        <w:r>
          <w:rPr>
            <w:noProof/>
            <w:webHidden/>
          </w:rPr>
          <w:t>16</w:t>
        </w:r>
        <w:r>
          <w:rPr>
            <w:noProof/>
            <w:webHidden/>
          </w:rPr>
          <w:fldChar w:fldCharType="end"/>
        </w:r>
      </w:hyperlink>
    </w:p>
    <w:p w14:paraId="4297A97A" w14:textId="6E4AE67B" w:rsidR="00481268" w:rsidRDefault="00481268" w:rsidP="00481268">
      <w:pPr>
        <w:pStyle w:val="TOC2"/>
        <w:rPr>
          <w:rFonts w:asciiTheme="minorHAnsi" w:hAnsiTheme="minorHAnsi" w:cstheme="minorBidi"/>
          <w:noProof/>
          <w:lang w:val="en-GB" w:eastAsia="en-GB"/>
        </w:rPr>
      </w:pPr>
      <w:hyperlink w:anchor="_Toc227252567" w:history="1">
        <w:r w:rsidRPr="00D33891">
          <w:rPr>
            <w:rStyle w:val="Hyperlink"/>
          </w:rPr>
          <w:t>2.2</w:t>
        </w:r>
        <w:r>
          <w:rPr>
            <w:rFonts w:asciiTheme="minorHAnsi" w:hAnsiTheme="minorHAnsi" w:cstheme="minorBidi"/>
            <w:noProof/>
            <w:lang w:val="en-GB" w:eastAsia="en-GB"/>
          </w:rPr>
          <w:tab/>
        </w:r>
        <w:r w:rsidRPr="00D33891">
          <w:rPr>
            <w:rStyle w:val="Hyperlink"/>
            <w:rtl/>
          </w:rPr>
          <w:t>المؤتمر العالمي للاتصالات الراديوية لعام 2023 وجمعية الاتصالات الراديوية لعام 2023</w:t>
        </w:r>
        <w:r>
          <w:rPr>
            <w:noProof/>
            <w:webHidden/>
          </w:rPr>
          <w:tab/>
        </w:r>
        <w:r>
          <w:rPr>
            <w:noProof/>
            <w:webHidden/>
            <w:rtl/>
          </w:rPr>
          <w:tab/>
        </w:r>
        <w:r>
          <w:rPr>
            <w:noProof/>
            <w:webHidden/>
          </w:rPr>
          <w:fldChar w:fldCharType="begin"/>
        </w:r>
        <w:r>
          <w:rPr>
            <w:noProof/>
            <w:webHidden/>
          </w:rPr>
          <w:instrText xml:space="preserve"> PAGEREF _Toc227252567 \h </w:instrText>
        </w:r>
        <w:r>
          <w:rPr>
            <w:noProof/>
            <w:webHidden/>
          </w:rPr>
        </w:r>
        <w:r>
          <w:rPr>
            <w:noProof/>
            <w:webHidden/>
          </w:rPr>
          <w:fldChar w:fldCharType="separate"/>
        </w:r>
        <w:r>
          <w:rPr>
            <w:noProof/>
            <w:webHidden/>
          </w:rPr>
          <w:t>16</w:t>
        </w:r>
        <w:r>
          <w:rPr>
            <w:noProof/>
            <w:webHidden/>
          </w:rPr>
          <w:fldChar w:fldCharType="end"/>
        </w:r>
      </w:hyperlink>
    </w:p>
    <w:p w14:paraId="4F4D7CBE" w14:textId="4A78FC5C" w:rsidR="00481268" w:rsidRDefault="00481268" w:rsidP="00481268">
      <w:pPr>
        <w:pStyle w:val="TOC3"/>
        <w:rPr>
          <w:rFonts w:asciiTheme="minorHAnsi" w:hAnsiTheme="minorHAnsi" w:cstheme="minorBidi"/>
          <w:noProof/>
          <w:lang w:val="en-GB" w:eastAsia="en-GB"/>
        </w:rPr>
      </w:pPr>
      <w:hyperlink w:anchor="_Toc227252568" w:history="1">
        <w:r w:rsidRPr="00D33891">
          <w:rPr>
            <w:rStyle w:val="Hyperlink"/>
          </w:rPr>
          <w:t>1.2.2</w:t>
        </w:r>
        <w:r>
          <w:rPr>
            <w:rFonts w:asciiTheme="minorHAnsi" w:hAnsiTheme="minorHAnsi" w:cstheme="minorBidi"/>
            <w:noProof/>
            <w:lang w:val="en-GB" w:eastAsia="en-GB"/>
          </w:rPr>
          <w:tab/>
        </w:r>
        <w:r w:rsidRPr="00D33891">
          <w:rPr>
            <w:rStyle w:val="Hyperlink"/>
            <w:rtl/>
          </w:rPr>
          <w:t>المؤتمر العالمي للاتصالات الراديوية لعام 2023</w:t>
        </w:r>
        <w:r>
          <w:rPr>
            <w:noProof/>
            <w:webHidden/>
          </w:rPr>
          <w:tab/>
        </w:r>
        <w:r>
          <w:rPr>
            <w:noProof/>
            <w:webHidden/>
            <w:rtl/>
          </w:rPr>
          <w:tab/>
        </w:r>
        <w:r>
          <w:rPr>
            <w:noProof/>
            <w:webHidden/>
          </w:rPr>
          <w:fldChar w:fldCharType="begin"/>
        </w:r>
        <w:r>
          <w:rPr>
            <w:noProof/>
            <w:webHidden/>
          </w:rPr>
          <w:instrText xml:space="preserve"> PAGEREF _Toc227252568 \h </w:instrText>
        </w:r>
        <w:r>
          <w:rPr>
            <w:noProof/>
            <w:webHidden/>
          </w:rPr>
        </w:r>
        <w:r>
          <w:rPr>
            <w:noProof/>
            <w:webHidden/>
          </w:rPr>
          <w:fldChar w:fldCharType="separate"/>
        </w:r>
        <w:r>
          <w:rPr>
            <w:noProof/>
            <w:webHidden/>
          </w:rPr>
          <w:t>16</w:t>
        </w:r>
        <w:r>
          <w:rPr>
            <w:noProof/>
            <w:webHidden/>
          </w:rPr>
          <w:fldChar w:fldCharType="end"/>
        </w:r>
      </w:hyperlink>
    </w:p>
    <w:p w14:paraId="6AB7738A" w14:textId="1E76430B" w:rsidR="00481268" w:rsidRDefault="00481268" w:rsidP="00481268">
      <w:pPr>
        <w:pStyle w:val="TOC3"/>
        <w:rPr>
          <w:rFonts w:asciiTheme="minorHAnsi" w:hAnsiTheme="minorHAnsi" w:cstheme="minorBidi"/>
          <w:noProof/>
          <w:lang w:val="en-GB" w:eastAsia="en-GB"/>
        </w:rPr>
      </w:pPr>
      <w:hyperlink w:anchor="_Toc227252569" w:history="1">
        <w:r w:rsidRPr="00D33891">
          <w:rPr>
            <w:rStyle w:val="Hyperlink"/>
          </w:rPr>
          <w:t>2.2.2</w:t>
        </w:r>
        <w:r>
          <w:rPr>
            <w:rFonts w:asciiTheme="minorHAnsi" w:hAnsiTheme="minorHAnsi" w:cstheme="minorBidi"/>
            <w:noProof/>
            <w:lang w:val="en-GB" w:eastAsia="en-GB"/>
          </w:rPr>
          <w:tab/>
        </w:r>
        <w:r w:rsidRPr="00D33891">
          <w:rPr>
            <w:rStyle w:val="Hyperlink"/>
            <w:rtl/>
          </w:rPr>
          <w:t>جمعية الاتصالات الراديوية لعام 2023</w:t>
        </w:r>
        <w:r>
          <w:rPr>
            <w:noProof/>
            <w:webHidden/>
          </w:rPr>
          <w:tab/>
        </w:r>
        <w:r>
          <w:rPr>
            <w:noProof/>
            <w:webHidden/>
            <w:rtl/>
          </w:rPr>
          <w:tab/>
        </w:r>
        <w:r>
          <w:rPr>
            <w:noProof/>
            <w:webHidden/>
          </w:rPr>
          <w:fldChar w:fldCharType="begin"/>
        </w:r>
        <w:r>
          <w:rPr>
            <w:noProof/>
            <w:webHidden/>
          </w:rPr>
          <w:instrText xml:space="preserve"> PAGEREF _Toc227252569 \h </w:instrText>
        </w:r>
        <w:r>
          <w:rPr>
            <w:noProof/>
            <w:webHidden/>
          </w:rPr>
        </w:r>
        <w:r>
          <w:rPr>
            <w:noProof/>
            <w:webHidden/>
          </w:rPr>
          <w:fldChar w:fldCharType="separate"/>
        </w:r>
        <w:r>
          <w:rPr>
            <w:noProof/>
            <w:webHidden/>
          </w:rPr>
          <w:t>17</w:t>
        </w:r>
        <w:r>
          <w:rPr>
            <w:noProof/>
            <w:webHidden/>
          </w:rPr>
          <w:fldChar w:fldCharType="end"/>
        </w:r>
      </w:hyperlink>
    </w:p>
    <w:p w14:paraId="1AD87244" w14:textId="39F6CCDF" w:rsidR="00481268" w:rsidRDefault="00481268" w:rsidP="00481268">
      <w:pPr>
        <w:pStyle w:val="TOC2"/>
        <w:rPr>
          <w:rFonts w:asciiTheme="minorHAnsi" w:hAnsiTheme="minorHAnsi" w:cstheme="minorBidi"/>
          <w:noProof/>
          <w:lang w:val="en-GB" w:eastAsia="en-GB"/>
        </w:rPr>
      </w:pPr>
      <w:hyperlink w:anchor="_Toc227252570" w:history="1">
        <w:r w:rsidRPr="00D33891">
          <w:rPr>
            <w:rStyle w:val="Hyperlink"/>
          </w:rPr>
          <w:t>3.2</w:t>
        </w:r>
        <w:r>
          <w:rPr>
            <w:rFonts w:asciiTheme="minorHAnsi" w:hAnsiTheme="minorHAnsi" w:cstheme="minorBidi"/>
            <w:noProof/>
            <w:lang w:val="en-GB" w:eastAsia="en-GB"/>
          </w:rPr>
          <w:tab/>
        </w:r>
        <w:r w:rsidRPr="00D33891">
          <w:rPr>
            <w:rStyle w:val="Hyperlink"/>
            <w:rtl/>
          </w:rPr>
          <w:t>الجمعية العالمية لتقييس الاتصالات لعام 2024</w:t>
        </w:r>
        <w:r>
          <w:rPr>
            <w:noProof/>
            <w:webHidden/>
          </w:rPr>
          <w:tab/>
        </w:r>
        <w:r>
          <w:rPr>
            <w:noProof/>
            <w:webHidden/>
            <w:rtl/>
          </w:rPr>
          <w:tab/>
        </w:r>
        <w:r>
          <w:rPr>
            <w:noProof/>
            <w:webHidden/>
          </w:rPr>
          <w:fldChar w:fldCharType="begin"/>
        </w:r>
        <w:r>
          <w:rPr>
            <w:noProof/>
            <w:webHidden/>
          </w:rPr>
          <w:instrText xml:space="preserve"> PAGEREF _Toc227252570 \h </w:instrText>
        </w:r>
        <w:r>
          <w:rPr>
            <w:noProof/>
            <w:webHidden/>
          </w:rPr>
        </w:r>
        <w:r>
          <w:rPr>
            <w:noProof/>
            <w:webHidden/>
          </w:rPr>
          <w:fldChar w:fldCharType="separate"/>
        </w:r>
        <w:r>
          <w:rPr>
            <w:noProof/>
            <w:webHidden/>
          </w:rPr>
          <w:t>18</w:t>
        </w:r>
        <w:r>
          <w:rPr>
            <w:noProof/>
            <w:webHidden/>
          </w:rPr>
          <w:fldChar w:fldCharType="end"/>
        </w:r>
      </w:hyperlink>
    </w:p>
    <w:p w14:paraId="7CA45B37" w14:textId="4C1E529D" w:rsidR="00481268" w:rsidRDefault="00481268" w:rsidP="00481268">
      <w:pPr>
        <w:pStyle w:val="TOC2"/>
        <w:rPr>
          <w:rFonts w:asciiTheme="minorHAnsi" w:hAnsiTheme="minorHAnsi" w:cstheme="minorBidi"/>
          <w:noProof/>
          <w:lang w:val="en-GB" w:eastAsia="en-GB"/>
        </w:rPr>
      </w:pPr>
      <w:hyperlink w:anchor="_Toc227252571" w:history="1">
        <w:r w:rsidRPr="00D33891">
          <w:rPr>
            <w:rStyle w:val="Hyperlink"/>
            <w:rtl/>
          </w:rPr>
          <w:t>4.2</w:t>
        </w:r>
        <w:r>
          <w:rPr>
            <w:rFonts w:asciiTheme="minorHAnsi" w:hAnsiTheme="minorHAnsi" w:cstheme="minorBidi"/>
            <w:noProof/>
            <w:lang w:val="en-GB" w:eastAsia="en-GB"/>
          </w:rPr>
          <w:tab/>
        </w:r>
        <w:r w:rsidRPr="00D33891">
          <w:rPr>
            <w:rStyle w:val="Hyperlink"/>
            <w:rtl/>
          </w:rPr>
          <w:t>المؤتمر العالمي لتنمية الاتصالات لعام 2025</w:t>
        </w:r>
        <w:r>
          <w:rPr>
            <w:noProof/>
            <w:webHidden/>
          </w:rPr>
          <w:tab/>
        </w:r>
        <w:r>
          <w:rPr>
            <w:noProof/>
            <w:webHidden/>
            <w:rtl/>
          </w:rPr>
          <w:tab/>
        </w:r>
        <w:r>
          <w:rPr>
            <w:noProof/>
            <w:webHidden/>
          </w:rPr>
          <w:fldChar w:fldCharType="begin"/>
        </w:r>
        <w:r>
          <w:rPr>
            <w:noProof/>
            <w:webHidden/>
          </w:rPr>
          <w:instrText xml:space="preserve"> PAGEREF _Toc227252571 \h </w:instrText>
        </w:r>
        <w:r>
          <w:rPr>
            <w:noProof/>
            <w:webHidden/>
          </w:rPr>
        </w:r>
        <w:r>
          <w:rPr>
            <w:noProof/>
            <w:webHidden/>
          </w:rPr>
          <w:fldChar w:fldCharType="separate"/>
        </w:r>
        <w:r>
          <w:rPr>
            <w:noProof/>
            <w:webHidden/>
          </w:rPr>
          <w:t>18</w:t>
        </w:r>
        <w:r>
          <w:rPr>
            <w:noProof/>
            <w:webHidden/>
          </w:rPr>
          <w:fldChar w:fldCharType="end"/>
        </w:r>
      </w:hyperlink>
    </w:p>
    <w:p w14:paraId="484C35E1" w14:textId="42543570" w:rsidR="00481268" w:rsidRDefault="00481268" w:rsidP="00481268">
      <w:pPr>
        <w:pStyle w:val="TOC1"/>
        <w:rPr>
          <w:rFonts w:asciiTheme="minorHAnsi" w:hAnsiTheme="minorHAnsi" w:cstheme="minorBidi"/>
          <w:noProof/>
          <w:lang w:val="en-GB" w:eastAsia="en-GB"/>
        </w:rPr>
      </w:pPr>
      <w:hyperlink w:anchor="_Toc227252572" w:history="1">
        <w:r w:rsidRPr="00D33891">
          <w:rPr>
            <w:rStyle w:val="Hyperlink"/>
            <w:rtl/>
          </w:rPr>
          <w:t>3</w:t>
        </w:r>
        <w:r>
          <w:rPr>
            <w:rFonts w:asciiTheme="minorHAnsi" w:hAnsiTheme="minorHAnsi" w:cstheme="minorBidi"/>
            <w:noProof/>
            <w:lang w:val="en-GB" w:eastAsia="en-GB"/>
          </w:rPr>
          <w:tab/>
        </w:r>
        <w:r w:rsidRPr="00D33891">
          <w:rPr>
            <w:rStyle w:val="Hyperlink"/>
            <w:rtl/>
          </w:rPr>
          <w:t>تأثير عمل الاتحاد</w:t>
        </w:r>
        <w:r>
          <w:rPr>
            <w:noProof/>
            <w:webHidden/>
          </w:rPr>
          <w:tab/>
        </w:r>
        <w:r>
          <w:rPr>
            <w:noProof/>
            <w:webHidden/>
            <w:rtl/>
          </w:rPr>
          <w:tab/>
        </w:r>
        <w:r>
          <w:rPr>
            <w:noProof/>
            <w:webHidden/>
          </w:rPr>
          <w:fldChar w:fldCharType="begin"/>
        </w:r>
        <w:r>
          <w:rPr>
            <w:noProof/>
            <w:webHidden/>
          </w:rPr>
          <w:instrText xml:space="preserve"> PAGEREF _Toc227252572 \h </w:instrText>
        </w:r>
        <w:r>
          <w:rPr>
            <w:noProof/>
            <w:webHidden/>
          </w:rPr>
        </w:r>
        <w:r>
          <w:rPr>
            <w:noProof/>
            <w:webHidden/>
          </w:rPr>
          <w:fldChar w:fldCharType="separate"/>
        </w:r>
        <w:r>
          <w:rPr>
            <w:noProof/>
            <w:webHidden/>
          </w:rPr>
          <w:t>20</w:t>
        </w:r>
        <w:r>
          <w:rPr>
            <w:noProof/>
            <w:webHidden/>
          </w:rPr>
          <w:fldChar w:fldCharType="end"/>
        </w:r>
      </w:hyperlink>
    </w:p>
    <w:p w14:paraId="2EBBDDF8" w14:textId="3392F2D0" w:rsidR="00481268" w:rsidRDefault="00481268" w:rsidP="00481268">
      <w:pPr>
        <w:pStyle w:val="TOC2"/>
        <w:rPr>
          <w:rFonts w:asciiTheme="minorHAnsi" w:hAnsiTheme="minorHAnsi" w:cstheme="minorBidi"/>
          <w:noProof/>
          <w:lang w:val="en-GB" w:eastAsia="en-GB"/>
        </w:rPr>
      </w:pPr>
      <w:hyperlink w:anchor="_Toc227252573" w:history="1">
        <w:r w:rsidRPr="00D33891">
          <w:rPr>
            <w:rStyle w:val="Hyperlink"/>
            <w:rtl/>
          </w:rPr>
          <w:t>1.3</w:t>
        </w:r>
        <w:r>
          <w:rPr>
            <w:rFonts w:asciiTheme="minorHAnsi" w:hAnsiTheme="minorHAnsi" w:cstheme="minorBidi"/>
            <w:noProof/>
            <w:lang w:val="en-GB" w:eastAsia="en-GB"/>
          </w:rPr>
          <w:tab/>
        </w:r>
        <w:r w:rsidRPr="00D33891">
          <w:rPr>
            <w:rStyle w:val="Hyperlink"/>
            <w:rtl/>
          </w:rPr>
          <w:t>النتائج النهائية للخطة الاستراتيجية للفترة 2020-2023</w:t>
        </w:r>
        <w:r>
          <w:rPr>
            <w:noProof/>
            <w:webHidden/>
          </w:rPr>
          <w:tab/>
        </w:r>
        <w:r>
          <w:rPr>
            <w:noProof/>
            <w:webHidden/>
            <w:rtl/>
          </w:rPr>
          <w:tab/>
        </w:r>
        <w:r>
          <w:rPr>
            <w:noProof/>
            <w:webHidden/>
          </w:rPr>
          <w:fldChar w:fldCharType="begin"/>
        </w:r>
        <w:r>
          <w:rPr>
            <w:noProof/>
            <w:webHidden/>
          </w:rPr>
          <w:instrText xml:space="preserve"> PAGEREF _Toc227252573 \h </w:instrText>
        </w:r>
        <w:r>
          <w:rPr>
            <w:noProof/>
            <w:webHidden/>
          </w:rPr>
        </w:r>
        <w:r>
          <w:rPr>
            <w:noProof/>
            <w:webHidden/>
          </w:rPr>
          <w:fldChar w:fldCharType="separate"/>
        </w:r>
        <w:r>
          <w:rPr>
            <w:noProof/>
            <w:webHidden/>
          </w:rPr>
          <w:t>20</w:t>
        </w:r>
        <w:r>
          <w:rPr>
            <w:noProof/>
            <w:webHidden/>
          </w:rPr>
          <w:fldChar w:fldCharType="end"/>
        </w:r>
      </w:hyperlink>
    </w:p>
    <w:p w14:paraId="783F35C7" w14:textId="2779E956" w:rsidR="00481268" w:rsidRPr="00481268" w:rsidRDefault="00481268" w:rsidP="00481268">
      <w:pPr>
        <w:pStyle w:val="TOC2"/>
        <w:rPr>
          <w:rFonts w:asciiTheme="minorHAnsi" w:hAnsiTheme="minorHAnsi" w:cstheme="minorBidi"/>
          <w:noProof/>
          <w:lang w:val="en-GB" w:eastAsia="en-GB"/>
        </w:rPr>
      </w:pPr>
      <w:hyperlink w:anchor="_Toc227252574" w:history="1">
        <w:r w:rsidRPr="00481268">
          <w:rPr>
            <w:rStyle w:val="Hyperlink"/>
            <w:rtl/>
          </w:rPr>
          <w:t>2.3</w:t>
        </w:r>
        <w:r w:rsidRPr="00481268">
          <w:rPr>
            <w:rFonts w:asciiTheme="minorHAnsi" w:hAnsiTheme="minorHAnsi" w:cstheme="minorBidi"/>
            <w:noProof/>
            <w:lang w:val="en-GB" w:eastAsia="en-GB"/>
          </w:rPr>
          <w:tab/>
        </w:r>
        <w:r w:rsidRPr="00481268">
          <w:rPr>
            <w:rStyle w:val="Hyperlink"/>
            <w:rtl/>
          </w:rPr>
          <w:t>أثر عمل الاتحاد من عام 2024 إلى عام 2025 (أول عامين من الخطة الاستراتيجية للفترة 2024-2027)</w:t>
        </w:r>
        <w:r w:rsidRPr="00481268">
          <w:rPr>
            <w:noProof/>
            <w:webHidden/>
          </w:rPr>
          <w:tab/>
        </w:r>
        <w:r w:rsidRPr="00481268">
          <w:rPr>
            <w:noProof/>
            <w:webHidden/>
            <w:rtl/>
          </w:rPr>
          <w:tab/>
        </w:r>
        <w:r w:rsidRPr="00481268">
          <w:rPr>
            <w:noProof/>
            <w:webHidden/>
          </w:rPr>
          <w:fldChar w:fldCharType="begin"/>
        </w:r>
        <w:r w:rsidRPr="00481268">
          <w:rPr>
            <w:noProof/>
            <w:webHidden/>
          </w:rPr>
          <w:instrText xml:space="preserve"> PAGEREF _Toc227252574 \h </w:instrText>
        </w:r>
        <w:r w:rsidRPr="00481268">
          <w:rPr>
            <w:noProof/>
            <w:webHidden/>
          </w:rPr>
        </w:r>
        <w:r w:rsidRPr="00481268">
          <w:rPr>
            <w:noProof/>
            <w:webHidden/>
          </w:rPr>
          <w:fldChar w:fldCharType="separate"/>
        </w:r>
        <w:r w:rsidRPr="00481268">
          <w:rPr>
            <w:noProof/>
            <w:webHidden/>
          </w:rPr>
          <w:t>21</w:t>
        </w:r>
        <w:r w:rsidRPr="00481268">
          <w:rPr>
            <w:noProof/>
            <w:webHidden/>
          </w:rPr>
          <w:fldChar w:fldCharType="end"/>
        </w:r>
      </w:hyperlink>
    </w:p>
    <w:p w14:paraId="2BFF0676" w14:textId="0AF93E92" w:rsidR="00481268" w:rsidRDefault="00481268" w:rsidP="00481268">
      <w:pPr>
        <w:pStyle w:val="TOC3"/>
        <w:rPr>
          <w:rFonts w:asciiTheme="minorHAnsi" w:hAnsiTheme="minorHAnsi" w:cstheme="minorBidi"/>
          <w:noProof/>
          <w:lang w:val="en-GB" w:eastAsia="en-GB"/>
        </w:rPr>
      </w:pPr>
      <w:hyperlink w:anchor="_Toc227252575" w:history="1">
        <w:r w:rsidRPr="00D33891">
          <w:rPr>
            <w:rStyle w:val="Hyperlink"/>
            <w:rtl/>
          </w:rPr>
          <w:t>1.2.3</w:t>
        </w:r>
        <w:r>
          <w:rPr>
            <w:rFonts w:asciiTheme="minorHAnsi" w:hAnsiTheme="minorHAnsi" w:cstheme="minorBidi"/>
            <w:noProof/>
            <w:lang w:val="en-GB" w:eastAsia="en-GB"/>
          </w:rPr>
          <w:tab/>
        </w:r>
        <w:r w:rsidRPr="00D33891">
          <w:rPr>
            <w:rStyle w:val="Hyperlink"/>
            <w:rtl/>
          </w:rPr>
          <w:t>التوصيلية الشاملة</w:t>
        </w:r>
        <w:r>
          <w:rPr>
            <w:noProof/>
            <w:webHidden/>
          </w:rPr>
          <w:tab/>
        </w:r>
        <w:r>
          <w:rPr>
            <w:noProof/>
            <w:webHidden/>
            <w:rtl/>
          </w:rPr>
          <w:tab/>
        </w:r>
        <w:r>
          <w:rPr>
            <w:noProof/>
            <w:webHidden/>
          </w:rPr>
          <w:fldChar w:fldCharType="begin"/>
        </w:r>
        <w:r>
          <w:rPr>
            <w:noProof/>
            <w:webHidden/>
          </w:rPr>
          <w:instrText xml:space="preserve"> PAGEREF _Toc227252575 \h </w:instrText>
        </w:r>
        <w:r>
          <w:rPr>
            <w:noProof/>
            <w:webHidden/>
          </w:rPr>
        </w:r>
        <w:r>
          <w:rPr>
            <w:noProof/>
            <w:webHidden/>
          </w:rPr>
          <w:fldChar w:fldCharType="separate"/>
        </w:r>
        <w:r>
          <w:rPr>
            <w:noProof/>
            <w:webHidden/>
          </w:rPr>
          <w:t>21</w:t>
        </w:r>
        <w:r>
          <w:rPr>
            <w:noProof/>
            <w:webHidden/>
          </w:rPr>
          <w:fldChar w:fldCharType="end"/>
        </w:r>
      </w:hyperlink>
    </w:p>
    <w:p w14:paraId="71A79762" w14:textId="16E20E9B" w:rsidR="00481268" w:rsidRDefault="00481268" w:rsidP="00481268">
      <w:pPr>
        <w:pStyle w:val="TOC3"/>
        <w:rPr>
          <w:rFonts w:asciiTheme="minorHAnsi" w:hAnsiTheme="minorHAnsi" w:cstheme="minorBidi"/>
          <w:noProof/>
          <w:lang w:val="en-GB" w:eastAsia="en-GB"/>
        </w:rPr>
      </w:pPr>
      <w:hyperlink w:anchor="_Toc227252576" w:history="1">
        <w:r w:rsidRPr="00D33891">
          <w:rPr>
            <w:rStyle w:val="Hyperlink"/>
            <w:rtl/>
          </w:rPr>
          <w:t>2.2.3</w:t>
        </w:r>
        <w:r>
          <w:rPr>
            <w:rFonts w:asciiTheme="minorHAnsi" w:hAnsiTheme="minorHAnsi" w:cstheme="minorBidi"/>
            <w:noProof/>
            <w:lang w:val="en-GB" w:eastAsia="en-GB"/>
          </w:rPr>
          <w:tab/>
        </w:r>
        <w:r w:rsidRPr="00D33891">
          <w:rPr>
            <w:rStyle w:val="Hyperlink"/>
            <w:rtl/>
          </w:rPr>
          <w:t>التحول الرقمي المستدام</w:t>
        </w:r>
        <w:r>
          <w:rPr>
            <w:noProof/>
            <w:webHidden/>
          </w:rPr>
          <w:tab/>
        </w:r>
        <w:r>
          <w:rPr>
            <w:noProof/>
            <w:webHidden/>
            <w:rtl/>
          </w:rPr>
          <w:tab/>
        </w:r>
        <w:r>
          <w:rPr>
            <w:noProof/>
            <w:webHidden/>
          </w:rPr>
          <w:fldChar w:fldCharType="begin"/>
        </w:r>
        <w:r>
          <w:rPr>
            <w:noProof/>
            <w:webHidden/>
          </w:rPr>
          <w:instrText xml:space="preserve"> PAGEREF _Toc227252576 \h </w:instrText>
        </w:r>
        <w:r>
          <w:rPr>
            <w:noProof/>
            <w:webHidden/>
          </w:rPr>
        </w:r>
        <w:r>
          <w:rPr>
            <w:noProof/>
            <w:webHidden/>
          </w:rPr>
          <w:fldChar w:fldCharType="separate"/>
        </w:r>
        <w:r>
          <w:rPr>
            <w:noProof/>
            <w:webHidden/>
          </w:rPr>
          <w:t>28</w:t>
        </w:r>
        <w:r>
          <w:rPr>
            <w:noProof/>
            <w:webHidden/>
          </w:rPr>
          <w:fldChar w:fldCharType="end"/>
        </w:r>
      </w:hyperlink>
    </w:p>
    <w:p w14:paraId="4567857C" w14:textId="7957002F" w:rsidR="00481268" w:rsidRDefault="00481268" w:rsidP="00481268">
      <w:pPr>
        <w:pStyle w:val="TOC1"/>
        <w:rPr>
          <w:rFonts w:asciiTheme="minorHAnsi" w:hAnsiTheme="minorHAnsi" w:cstheme="minorBidi"/>
          <w:noProof/>
          <w:lang w:val="en-GB" w:eastAsia="en-GB"/>
        </w:rPr>
      </w:pPr>
      <w:hyperlink w:anchor="_Toc227252577" w:history="1">
        <w:r w:rsidRPr="00D33891">
          <w:rPr>
            <w:rStyle w:val="Hyperlink"/>
          </w:rPr>
          <w:t>4</w:t>
        </w:r>
        <w:r>
          <w:rPr>
            <w:rFonts w:asciiTheme="minorHAnsi" w:hAnsiTheme="minorHAnsi" w:cstheme="minorBidi"/>
            <w:noProof/>
            <w:lang w:val="en-GB" w:eastAsia="en-GB"/>
          </w:rPr>
          <w:tab/>
        </w:r>
        <w:r w:rsidRPr="00D33891">
          <w:rPr>
            <w:rStyle w:val="Hyperlink"/>
            <w:rtl/>
          </w:rPr>
          <w:t>المنتجات والخدمات</w:t>
        </w:r>
        <w:r>
          <w:rPr>
            <w:noProof/>
            <w:webHidden/>
          </w:rPr>
          <w:tab/>
        </w:r>
        <w:r>
          <w:rPr>
            <w:noProof/>
            <w:webHidden/>
            <w:rtl/>
          </w:rPr>
          <w:tab/>
        </w:r>
        <w:r>
          <w:rPr>
            <w:noProof/>
            <w:webHidden/>
          </w:rPr>
          <w:fldChar w:fldCharType="begin"/>
        </w:r>
        <w:r>
          <w:rPr>
            <w:noProof/>
            <w:webHidden/>
          </w:rPr>
          <w:instrText xml:space="preserve"> PAGEREF _Toc227252577 \h </w:instrText>
        </w:r>
        <w:r>
          <w:rPr>
            <w:noProof/>
            <w:webHidden/>
          </w:rPr>
        </w:r>
        <w:r>
          <w:rPr>
            <w:noProof/>
            <w:webHidden/>
          </w:rPr>
          <w:fldChar w:fldCharType="separate"/>
        </w:r>
        <w:r>
          <w:rPr>
            <w:noProof/>
            <w:webHidden/>
          </w:rPr>
          <w:t>32</w:t>
        </w:r>
        <w:r>
          <w:rPr>
            <w:noProof/>
            <w:webHidden/>
          </w:rPr>
          <w:fldChar w:fldCharType="end"/>
        </w:r>
      </w:hyperlink>
    </w:p>
    <w:p w14:paraId="2F78BBB1" w14:textId="19AF0DE7" w:rsidR="00481268" w:rsidRDefault="00481268" w:rsidP="00481268">
      <w:pPr>
        <w:pStyle w:val="TOC2"/>
        <w:rPr>
          <w:rFonts w:asciiTheme="minorHAnsi" w:hAnsiTheme="minorHAnsi" w:cstheme="minorBidi"/>
          <w:noProof/>
          <w:lang w:val="en-GB" w:eastAsia="en-GB"/>
        </w:rPr>
      </w:pPr>
      <w:hyperlink w:anchor="_Toc227252578" w:history="1">
        <w:r w:rsidRPr="00D33891">
          <w:rPr>
            <w:rStyle w:val="Hyperlink"/>
            <w:rtl/>
          </w:rPr>
          <w:t>1.4</w:t>
        </w:r>
        <w:r>
          <w:rPr>
            <w:rFonts w:asciiTheme="minorHAnsi" w:hAnsiTheme="minorHAnsi" w:cstheme="minorBidi"/>
            <w:noProof/>
            <w:lang w:val="en-GB" w:eastAsia="en-GB"/>
          </w:rPr>
          <w:tab/>
        </w:r>
        <w:r w:rsidRPr="00D33891">
          <w:rPr>
            <w:rStyle w:val="Hyperlink"/>
            <w:rtl/>
          </w:rPr>
          <w:t>وضع وتطبيق اللوائح الإدارية للاتحاد</w:t>
        </w:r>
        <w:r>
          <w:rPr>
            <w:noProof/>
            <w:webHidden/>
          </w:rPr>
          <w:tab/>
        </w:r>
        <w:r>
          <w:rPr>
            <w:noProof/>
            <w:webHidden/>
            <w:rtl/>
          </w:rPr>
          <w:tab/>
        </w:r>
        <w:r>
          <w:rPr>
            <w:noProof/>
            <w:webHidden/>
          </w:rPr>
          <w:fldChar w:fldCharType="begin"/>
        </w:r>
        <w:r>
          <w:rPr>
            <w:noProof/>
            <w:webHidden/>
          </w:rPr>
          <w:instrText xml:space="preserve"> PAGEREF _Toc227252578 \h </w:instrText>
        </w:r>
        <w:r>
          <w:rPr>
            <w:noProof/>
            <w:webHidden/>
          </w:rPr>
        </w:r>
        <w:r>
          <w:rPr>
            <w:noProof/>
            <w:webHidden/>
          </w:rPr>
          <w:fldChar w:fldCharType="separate"/>
        </w:r>
        <w:r>
          <w:rPr>
            <w:noProof/>
            <w:webHidden/>
          </w:rPr>
          <w:t>32</w:t>
        </w:r>
        <w:r>
          <w:rPr>
            <w:noProof/>
            <w:webHidden/>
          </w:rPr>
          <w:fldChar w:fldCharType="end"/>
        </w:r>
      </w:hyperlink>
    </w:p>
    <w:p w14:paraId="45C54061" w14:textId="6BB51016" w:rsidR="00481268" w:rsidRDefault="00481268" w:rsidP="00481268">
      <w:pPr>
        <w:pStyle w:val="TOC3"/>
        <w:rPr>
          <w:rFonts w:asciiTheme="minorHAnsi" w:hAnsiTheme="minorHAnsi" w:cstheme="minorBidi"/>
          <w:noProof/>
          <w:lang w:val="en-GB" w:eastAsia="en-GB"/>
        </w:rPr>
      </w:pPr>
      <w:hyperlink w:anchor="_Toc227252579" w:history="1">
        <w:r w:rsidRPr="00D33891">
          <w:rPr>
            <w:rStyle w:val="Hyperlink"/>
            <w:rtl/>
          </w:rPr>
          <w:t>1.1.4</w:t>
        </w:r>
        <w:r>
          <w:rPr>
            <w:rFonts w:asciiTheme="minorHAnsi" w:hAnsiTheme="minorHAnsi" w:cstheme="minorBidi"/>
            <w:noProof/>
            <w:lang w:val="en-GB" w:eastAsia="en-GB"/>
          </w:rPr>
          <w:tab/>
        </w:r>
        <w:r w:rsidRPr="00D33891">
          <w:rPr>
            <w:rStyle w:val="Hyperlink"/>
            <w:rtl/>
          </w:rPr>
          <w:t>لوائح الراديو</w:t>
        </w:r>
        <w:r>
          <w:rPr>
            <w:noProof/>
            <w:webHidden/>
          </w:rPr>
          <w:tab/>
        </w:r>
        <w:r>
          <w:rPr>
            <w:noProof/>
            <w:webHidden/>
            <w:rtl/>
          </w:rPr>
          <w:tab/>
        </w:r>
        <w:r>
          <w:rPr>
            <w:noProof/>
            <w:webHidden/>
          </w:rPr>
          <w:fldChar w:fldCharType="begin"/>
        </w:r>
        <w:r>
          <w:rPr>
            <w:noProof/>
            <w:webHidden/>
          </w:rPr>
          <w:instrText xml:space="preserve"> PAGEREF _Toc227252579 \h </w:instrText>
        </w:r>
        <w:r>
          <w:rPr>
            <w:noProof/>
            <w:webHidden/>
          </w:rPr>
        </w:r>
        <w:r>
          <w:rPr>
            <w:noProof/>
            <w:webHidden/>
          </w:rPr>
          <w:fldChar w:fldCharType="separate"/>
        </w:r>
        <w:r>
          <w:rPr>
            <w:noProof/>
            <w:webHidden/>
          </w:rPr>
          <w:t>32</w:t>
        </w:r>
        <w:r>
          <w:rPr>
            <w:noProof/>
            <w:webHidden/>
          </w:rPr>
          <w:fldChar w:fldCharType="end"/>
        </w:r>
      </w:hyperlink>
    </w:p>
    <w:p w14:paraId="3B43A33A" w14:textId="1C370C89" w:rsidR="00481268" w:rsidRDefault="00481268" w:rsidP="00481268">
      <w:pPr>
        <w:pStyle w:val="TOC2"/>
        <w:rPr>
          <w:rFonts w:asciiTheme="minorHAnsi" w:hAnsiTheme="minorHAnsi" w:cstheme="minorBidi"/>
          <w:noProof/>
          <w:lang w:val="en-GB" w:eastAsia="en-GB"/>
        </w:rPr>
      </w:pPr>
      <w:hyperlink w:anchor="_Toc227252580" w:history="1">
        <w:r w:rsidRPr="00D33891">
          <w:rPr>
            <w:rStyle w:val="Hyperlink"/>
            <w:rtl/>
          </w:rPr>
          <w:t>2.4</w:t>
        </w:r>
        <w:r>
          <w:rPr>
            <w:rFonts w:asciiTheme="minorHAnsi" w:hAnsiTheme="minorHAnsi" w:cstheme="minorBidi"/>
            <w:noProof/>
            <w:lang w:val="en-GB" w:eastAsia="en-GB"/>
          </w:rPr>
          <w:tab/>
        </w:r>
        <w:r w:rsidRPr="00D33891">
          <w:rPr>
            <w:rStyle w:val="Hyperlink"/>
            <w:rtl/>
          </w:rPr>
          <w:t>تخصيص وإدارة الموارد</w:t>
        </w:r>
        <w:r>
          <w:rPr>
            <w:noProof/>
            <w:webHidden/>
          </w:rPr>
          <w:tab/>
        </w:r>
        <w:r>
          <w:rPr>
            <w:noProof/>
            <w:webHidden/>
            <w:rtl/>
          </w:rPr>
          <w:tab/>
        </w:r>
        <w:r>
          <w:rPr>
            <w:noProof/>
            <w:webHidden/>
          </w:rPr>
          <w:fldChar w:fldCharType="begin"/>
        </w:r>
        <w:r>
          <w:rPr>
            <w:noProof/>
            <w:webHidden/>
          </w:rPr>
          <w:instrText xml:space="preserve"> PAGEREF _Toc227252580 \h </w:instrText>
        </w:r>
        <w:r>
          <w:rPr>
            <w:noProof/>
            <w:webHidden/>
          </w:rPr>
        </w:r>
        <w:r>
          <w:rPr>
            <w:noProof/>
            <w:webHidden/>
          </w:rPr>
          <w:fldChar w:fldCharType="separate"/>
        </w:r>
        <w:r>
          <w:rPr>
            <w:noProof/>
            <w:webHidden/>
          </w:rPr>
          <w:t>33</w:t>
        </w:r>
        <w:r>
          <w:rPr>
            <w:noProof/>
            <w:webHidden/>
          </w:rPr>
          <w:fldChar w:fldCharType="end"/>
        </w:r>
      </w:hyperlink>
    </w:p>
    <w:p w14:paraId="2CD9C7AE" w14:textId="06E8B705" w:rsidR="00481268" w:rsidRDefault="00481268" w:rsidP="00481268">
      <w:pPr>
        <w:pStyle w:val="TOC3"/>
        <w:rPr>
          <w:rFonts w:asciiTheme="minorHAnsi" w:hAnsiTheme="minorHAnsi" w:cstheme="minorBidi"/>
          <w:noProof/>
          <w:lang w:val="en-GB" w:eastAsia="en-GB"/>
        </w:rPr>
      </w:pPr>
      <w:hyperlink w:anchor="_Toc227252581" w:history="1">
        <w:r w:rsidRPr="00D33891">
          <w:rPr>
            <w:rStyle w:val="Hyperlink"/>
            <w:rtl/>
          </w:rPr>
          <w:t>1.2.4</w:t>
        </w:r>
        <w:r>
          <w:rPr>
            <w:rFonts w:asciiTheme="minorHAnsi" w:hAnsiTheme="minorHAnsi" w:cstheme="minorBidi"/>
            <w:noProof/>
            <w:lang w:val="en-GB" w:eastAsia="en-GB"/>
          </w:rPr>
          <w:tab/>
        </w:r>
        <w:r w:rsidRPr="00D33891">
          <w:rPr>
            <w:rStyle w:val="Hyperlink"/>
            <w:rtl/>
          </w:rPr>
          <w:t>استعمال الطيف للخدمات الفضائية وخدمات الأرض</w:t>
        </w:r>
        <w:r>
          <w:rPr>
            <w:noProof/>
            <w:webHidden/>
          </w:rPr>
          <w:tab/>
        </w:r>
        <w:r>
          <w:rPr>
            <w:noProof/>
            <w:webHidden/>
            <w:rtl/>
          </w:rPr>
          <w:tab/>
        </w:r>
        <w:r>
          <w:rPr>
            <w:noProof/>
            <w:webHidden/>
          </w:rPr>
          <w:fldChar w:fldCharType="begin"/>
        </w:r>
        <w:r>
          <w:rPr>
            <w:noProof/>
            <w:webHidden/>
          </w:rPr>
          <w:instrText xml:space="preserve"> PAGEREF _Toc227252581 \h </w:instrText>
        </w:r>
        <w:r>
          <w:rPr>
            <w:noProof/>
            <w:webHidden/>
          </w:rPr>
        </w:r>
        <w:r>
          <w:rPr>
            <w:noProof/>
            <w:webHidden/>
          </w:rPr>
          <w:fldChar w:fldCharType="separate"/>
        </w:r>
        <w:r>
          <w:rPr>
            <w:noProof/>
            <w:webHidden/>
          </w:rPr>
          <w:t>33</w:t>
        </w:r>
        <w:r>
          <w:rPr>
            <w:noProof/>
            <w:webHidden/>
          </w:rPr>
          <w:fldChar w:fldCharType="end"/>
        </w:r>
      </w:hyperlink>
    </w:p>
    <w:p w14:paraId="39CE2F5C" w14:textId="28C1E6BA" w:rsidR="00481268" w:rsidRDefault="00481268" w:rsidP="00481268">
      <w:pPr>
        <w:pStyle w:val="TOC3"/>
        <w:rPr>
          <w:rFonts w:asciiTheme="minorHAnsi" w:hAnsiTheme="minorHAnsi" w:cstheme="minorBidi"/>
          <w:noProof/>
          <w:lang w:val="en-GB" w:eastAsia="en-GB"/>
        </w:rPr>
      </w:pPr>
      <w:hyperlink w:anchor="_Toc227252582" w:history="1">
        <w:r w:rsidRPr="00D33891">
          <w:rPr>
            <w:rStyle w:val="Hyperlink"/>
            <w:rtl/>
          </w:rPr>
          <w:t>2.2.4</w:t>
        </w:r>
        <w:r>
          <w:rPr>
            <w:rFonts w:asciiTheme="minorHAnsi" w:hAnsiTheme="minorHAnsi" w:cstheme="minorBidi"/>
            <w:noProof/>
            <w:lang w:val="en-GB" w:eastAsia="en-GB"/>
          </w:rPr>
          <w:tab/>
        </w:r>
        <w:r w:rsidRPr="00D33891">
          <w:rPr>
            <w:rStyle w:val="Hyperlink"/>
            <w:rtl/>
          </w:rPr>
          <w:t>موارد الترقيم والتسمية والعنونة وتحديد الهوية</w:t>
        </w:r>
        <w:r>
          <w:rPr>
            <w:noProof/>
            <w:webHidden/>
          </w:rPr>
          <w:tab/>
        </w:r>
        <w:r>
          <w:rPr>
            <w:noProof/>
            <w:webHidden/>
            <w:rtl/>
          </w:rPr>
          <w:tab/>
        </w:r>
        <w:r>
          <w:rPr>
            <w:noProof/>
            <w:webHidden/>
          </w:rPr>
          <w:fldChar w:fldCharType="begin"/>
        </w:r>
        <w:r>
          <w:rPr>
            <w:noProof/>
            <w:webHidden/>
          </w:rPr>
          <w:instrText xml:space="preserve"> PAGEREF _Toc227252582 \h </w:instrText>
        </w:r>
        <w:r>
          <w:rPr>
            <w:noProof/>
            <w:webHidden/>
          </w:rPr>
        </w:r>
        <w:r>
          <w:rPr>
            <w:noProof/>
            <w:webHidden/>
          </w:rPr>
          <w:fldChar w:fldCharType="separate"/>
        </w:r>
        <w:r>
          <w:rPr>
            <w:noProof/>
            <w:webHidden/>
          </w:rPr>
          <w:t>35</w:t>
        </w:r>
        <w:r>
          <w:rPr>
            <w:noProof/>
            <w:webHidden/>
          </w:rPr>
          <w:fldChar w:fldCharType="end"/>
        </w:r>
      </w:hyperlink>
    </w:p>
    <w:p w14:paraId="35FBAB66" w14:textId="31BD31FB" w:rsidR="00481268" w:rsidRDefault="00481268" w:rsidP="00481268">
      <w:pPr>
        <w:pStyle w:val="TOC2"/>
        <w:rPr>
          <w:rFonts w:asciiTheme="minorHAnsi" w:hAnsiTheme="minorHAnsi" w:cstheme="minorBidi"/>
          <w:noProof/>
          <w:lang w:val="en-GB" w:eastAsia="en-GB"/>
        </w:rPr>
      </w:pPr>
      <w:hyperlink w:anchor="_Toc227252583" w:history="1">
        <w:r w:rsidRPr="00D33891">
          <w:rPr>
            <w:rStyle w:val="Hyperlink"/>
            <w:rtl/>
          </w:rPr>
          <w:t>3.4</w:t>
        </w:r>
        <w:r>
          <w:rPr>
            <w:rFonts w:asciiTheme="minorHAnsi" w:hAnsiTheme="minorHAnsi" w:cstheme="minorBidi"/>
            <w:noProof/>
            <w:lang w:val="en-GB" w:eastAsia="en-GB"/>
          </w:rPr>
          <w:tab/>
        </w:r>
        <w:r w:rsidRPr="00D33891">
          <w:rPr>
            <w:rStyle w:val="Hyperlink"/>
            <w:rtl/>
          </w:rPr>
          <w:t>وضع المعايير الدولية</w:t>
        </w:r>
        <w:r>
          <w:rPr>
            <w:noProof/>
            <w:webHidden/>
          </w:rPr>
          <w:tab/>
        </w:r>
        <w:r>
          <w:rPr>
            <w:noProof/>
            <w:webHidden/>
            <w:rtl/>
          </w:rPr>
          <w:tab/>
        </w:r>
        <w:r>
          <w:rPr>
            <w:noProof/>
            <w:webHidden/>
          </w:rPr>
          <w:fldChar w:fldCharType="begin"/>
        </w:r>
        <w:r>
          <w:rPr>
            <w:noProof/>
            <w:webHidden/>
          </w:rPr>
          <w:instrText xml:space="preserve"> PAGEREF _Toc227252583 \h </w:instrText>
        </w:r>
        <w:r>
          <w:rPr>
            <w:noProof/>
            <w:webHidden/>
          </w:rPr>
        </w:r>
        <w:r>
          <w:rPr>
            <w:noProof/>
            <w:webHidden/>
          </w:rPr>
          <w:fldChar w:fldCharType="separate"/>
        </w:r>
        <w:r>
          <w:rPr>
            <w:noProof/>
            <w:webHidden/>
          </w:rPr>
          <w:t>36</w:t>
        </w:r>
        <w:r>
          <w:rPr>
            <w:noProof/>
            <w:webHidden/>
          </w:rPr>
          <w:fldChar w:fldCharType="end"/>
        </w:r>
      </w:hyperlink>
    </w:p>
    <w:p w14:paraId="12EB2CC4" w14:textId="42333DCE" w:rsidR="00481268" w:rsidRDefault="00481268" w:rsidP="00481268">
      <w:pPr>
        <w:pStyle w:val="TOC3"/>
        <w:rPr>
          <w:rFonts w:asciiTheme="minorHAnsi" w:hAnsiTheme="minorHAnsi" w:cstheme="minorBidi"/>
          <w:noProof/>
          <w:lang w:val="en-GB" w:eastAsia="en-GB"/>
        </w:rPr>
      </w:pPr>
      <w:hyperlink w:anchor="_Toc227252584" w:history="1">
        <w:r w:rsidRPr="00D33891">
          <w:rPr>
            <w:rStyle w:val="Hyperlink"/>
            <w:rtl/>
          </w:rPr>
          <w:t>1.3.4</w:t>
        </w:r>
        <w:r>
          <w:rPr>
            <w:rFonts w:asciiTheme="minorHAnsi" w:hAnsiTheme="minorHAnsi" w:cstheme="minorBidi"/>
            <w:noProof/>
            <w:lang w:val="en-GB" w:eastAsia="en-GB"/>
          </w:rPr>
          <w:tab/>
        </w:r>
        <w:r w:rsidRPr="00D33891">
          <w:rPr>
            <w:rStyle w:val="Hyperlink"/>
            <w:rtl/>
          </w:rPr>
          <w:t>توصيات قطاع تقييس الاتصالات والمنشورات ذات الصلة</w:t>
        </w:r>
        <w:r>
          <w:rPr>
            <w:noProof/>
            <w:webHidden/>
          </w:rPr>
          <w:tab/>
        </w:r>
        <w:r>
          <w:rPr>
            <w:noProof/>
            <w:webHidden/>
            <w:rtl/>
          </w:rPr>
          <w:tab/>
        </w:r>
        <w:r>
          <w:rPr>
            <w:noProof/>
            <w:webHidden/>
          </w:rPr>
          <w:fldChar w:fldCharType="begin"/>
        </w:r>
        <w:r>
          <w:rPr>
            <w:noProof/>
            <w:webHidden/>
          </w:rPr>
          <w:instrText xml:space="preserve"> PAGEREF _Toc227252584 \h </w:instrText>
        </w:r>
        <w:r>
          <w:rPr>
            <w:noProof/>
            <w:webHidden/>
          </w:rPr>
        </w:r>
        <w:r>
          <w:rPr>
            <w:noProof/>
            <w:webHidden/>
          </w:rPr>
          <w:fldChar w:fldCharType="separate"/>
        </w:r>
        <w:r>
          <w:rPr>
            <w:noProof/>
            <w:webHidden/>
          </w:rPr>
          <w:t>36</w:t>
        </w:r>
        <w:r>
          <w:rPr>
            <w:noProof/>
            <w:webHidden/>
          </w:rPr>
          <w:fldChar w:fldCharType="end"/>
        </w:r>
      </w:hyperlink>
    </w:p>
    <w:p w14:paraId="63212455" w14:textId="42D6D696" w:rsidR="00481268" w:rsidRDefault="00481268" w:rsidP="00481268">
      <w:pPr>
        <w:pStyle w:val="TOC3"/>
        <w:rPr>
          <w:rFonts w:asciiTheme="minorHAnsi" w:hAnsiTheme="minorHAnsi" w:cstheme="minorBidi"/>
          <w:noProof/>
          <w:lang w:val="en-GB" w:eastAsia="en-GB"/>
        </w:rPr>
      </w:pPr>
      <w:hyperlink w:anchor="_Toc227252585" w:history="1">
        <w:r w:rsidRPr="00D33891">
          <w:rPr>
            <w:rStyle w:val="Hyperlink"/>
            <w:rtl/>
          </w:rPr>
          <w:t>2.3.4</w:t>
        </w:r>
        <w:r>
          <w:rPr>
            <w:rFonts w:asciiTheme="minorHAnsi" w:hAnsiTheme="minorHAnsi" w:cstheme="minorBidi"/>
            <w:noProof/>
            <w:lang w:val="en-GB" w:eastAsia="en-GB"/>
          </w:rPr>
          <w:tab/>
        </w:r>
        <w:r w:rsidRPr="00D33891">
          <w:rPr>
            <w:rStyle w:val="Hyperlink"/>
            <w:rtl/>
          </w:rPr>
          <w:t>توصيات قطاع الاتصالات الراديوية</w:t>
        </w:r>
        <w:r>
          <w:rPr>
            <w:noProof/>
            <w:webHidden/>
          </w:rPr>
          <w:tab/>
        </w:r>
        <w:r>
          <w:rPr>
            <w:noProof/>
            <w:webHidden/>
            <w:rtl/>
          </w:rPr>
          <w:tab/>
        </w:r>
        <w:r>
          <w:rPr>
            <w:noProof/>
            <w:webHidden/>
          </w:rPr>
          <w:fldChar w:fldCharType="begin"/>
        </w:r>
        <w:r>
          <w:rPr>
            <w:noProof/>
            <w:webHidden/>
          </w:rPr>
          <w:instrText xml:space="preserve"> PAGEREF _Toc227252585 \h </w:instrText>
        </w:r>
        <w:r>
          <w:rPr>
            <w:noProof/>
            <w:webHidden/>
          </w:rPr>
        </w:r>
        <w:r>
          <w:rPr>
            <w:noProof/>
            <w:webHidden/>
          </w:rPr>
          <w:fldChar w:fldCharType="separate"/>
        </w:r>
        <w:r>
          <w:rPr>
            <w:noProof/>
            <w:webHidden/>
          </w:rPr>
          <w:t>37</w:t>
        </w:r>
        <w:r>
          <w:rPr>
            <w:noProof/>
            <w:webHidden/>
          </w:rPr>
          <w:fldChar w:fldCharType="end"/>
        </w:r>
      </w:hyperlink>
    </w:p>
    <w:p w14:paraId="097BB583" w14:textId="46F30EA9" w:rsidR="00481268" w:rsidRDefault="00481268" w:rsidP="00481268">
      <w:pPr>
        <w:pStyle w:val="TOC3"/>
        <w:rPr>
          <w:rFonts w:asciiTheme="minorHAnsi" w:hAnsiTheme="minorHAnsi" w:cstheme="minorBidi"/>
          <w:noProof/>
          <w:lang w:val="en-GB" w:eastAsia="en-GB"/>
        </w:rPr>
      </w:pPr>
      <w:hyperlink w:anchor="_Toc227252586" w:history="1">
        <w:r w:rsidRPr="00D33891">
          <w:rPr>
            <w:rStyle w:val="Hyperlink"/>
            <w:rtl/>
          </w:rPr>
          <w:t>3.3.4</w:t>
        </w:r>
        <w:r>
          <w:rPr>
            <w:rFonts w:asciiTheme="minorHAnsi" w:hAnsiTheme="minorHAnsi" w:cstheme="minorBidi"/>
            <w:noProof/>
            <w:lang w:val="en-GB" w:eastAsia="en-GB"/>
          </w:rPr>
          <w:tab/>
        </w:r>
        <w:r w:rsidRPr="00D33891">
          <w:rPr>
            <w:rStyle w:val="Hyperlink"/>
            <w:rtl/>
          </w:rPr>
          <w:t>سد الفجوة التقييسية</w:t>
        </w:r>
        <w:r>
          <w:rPr>
            <w:noProof/>
            <w:webHidden/>
          </w:rPr>
          <w:tab/>
        </w:r>
        <w:r>
          <w:rPr>
            <w:noProof/>
            <w:webHidden/>
            <w:rtl/>
          </w:rPr>
          <w:tab/>
        </w:r>
        <w:r>
          <w:rPr>
            <w:noProof/>
            <w:webHidden/>
          </w:rPr>
          <w:fldChar w:fldCharType="begin"/>
        </w:r>
        <w:r>
          <w:rPr>
            <w:noProof/>
            <w:webHidden/>
          </w:rPr>
          <w:instrText xml:space="preserve"> PAGEREF _Toc227252586 \h </w:instrText>
        </w:r>
        <w:r>
          <w:rPr>
            <w:noProof/>
            <w:webHidden/>
          </w:rPr>
        </w:r>
        <w:r>
          <w:rPr>
            <w:noProof/>
            <w:webHidden/>
          </w:rPr>
          <w:fldChar w:fldCharType="separate"/>
        </w:r>
        <w:r>
          <w:rPr>
            <w:noProof/>
            <w:webHidden/>
          </w:rPr>
          <w:t>38</w:t>
        </w:r>
        <w:r>
          <w:rPr>
            <w:noProof/>
            <w:webHidden/>
          </w:rPr>
          <w:fldChar w:fldCharType="end"/>
        </w:r>
      </w:hyperlink>
    </w:p>
    <w:p w14:paraId="69EF13E4" w14:textId="75863EE3" w:rsidR="00481268" w:rsidRDefault="00481268" w:rsidP="00481268">
      <w:pPr>
        <w:pStyle w:val="TOC2"/>
        <w:rPr>
          <w:rFonts w:asciiTheme="minorHAnsi" w:hAnsiTheme="minorHAnsi" w:cstheme="minorBidi"/>
          <w:noProof/>
          <w:lang w:val="en-GB" w:eastAsia="en-GB"/>
        </w:rPr>
      </w:pPr>
      <w:hyperlink w:anchor="_Toc227252587" w:history="1">
        <w:r w:rsidRPr="00D33891">
          <w:rPr>
            <w:rStyle w:val="Hyperlink"/>
            <w:rtl/>
          </w:rPr>
          <w:t>4.4</w:t>
        </w:r>
        <w:r>
          <w:rPr>
            <w:rFonts w:asciiTheme="minorHAnsi" w:hAnsiTheme="minorHAnsi" w:cstheme="minorBidi"/>
            <w:noProof/>
            <w:lang w:val="en-GB" w:eastAsia="en-GB"/>
          </w:rPr>
          <w:tab/>
        </w:r>
        <w:r w:rsidRPr="00D33891">
          <w:rPr>
            <w:rStyle w:val="Hyperlink"/>
            <w:rtl/>
          </w:rPr>
          <w:t>وضع أطر السياسات ومنتجات المعرفة</w:t>
        </w:r>
        <w:r>
          <w:rPr>
            <w:noProof/>
            <w:webHidden/>
          </w:rPr>
          <w:tab/>
        </w:r>
        <w:r>
          <w:rPr>
            <w:noProof/>
            <w:webHidden/>
            <w:rtl/>
          </w:rPr>
          <w:tab/>
        </w:r>
        <w:r>
          <w:rPr>
            <w:noProof/>
            <w:webHidden/>
          </w:rPr>
          <w:fldChar w:fldCharType="begin"/>
        </w:r>
        <w:r>
          <w:rPr>
            <w:noProof/>
            <w:webHidden/>
          </w:rPr>
          <w:instrText xml:space="preserve"> PAGEREF _Toc227252587 \h </w:instrText>
        </w:r>
        <w:r>
          <w:rPr>
            <w:noProof/>
            <w:webHidden/>
          </w:rPr>
        </w:r>
        <w:r>
          <w:rPr>
            <w:noProof/>
            <w:webHidden/>
          </w:rPr>
          <w:fldChar w:fldCharType="separate"/>
        </w:r>
        <w:r>
          <w:rPr>
            <w:noProof/>
            <w:webHidden/>
          </w:rPr>
          <w:t>39</w:t>
        </w:r>
        <w:r>
          <w:rPr>
            <w:noProof/>
            <w:webHidden/>
          </w:rPr>
          <w:fldChar w:fldCharType="end"/>
        </w:r>
      </w:hyperlink>
    </w:p>
    <w:p w14:paraId="13DAFF9A" w14:textId="3A276DF8" w:rsidR="00481268" w:rsidRDefault="00481268" w:rsidP="00481268">
      <w:pPr>
        <w:pStyle w:val="TOC3"/>
        <w:rPr>
          <w:rFonts w:asciiTheme="minorHAnsi" w:hAnsiTheme="minorHAnsi" w:cstheme="minorBidi"/>
          <w:noProof/>
          <w:lang w:val="en-GB" w:eastAsia="en-GB"/>
        </w:rPr>
      </w:pPr>
      <w:hyperlink w:anchor="_Toc227252588" w:history="1">
        <w:r w:rsidRPr="00D33891">
          <w:rPr>
            <w:rStyle w:val="Hyperlink"/>
            <w:rtl/>
          </w:rPr>
          <w:t>1.4.4</w:t>
        </w:r>
        <w:r>
          <w:rPr>
            <w:rFonts w:asciiTheme="minorHAnsi" w:hAnsiTheme="minorHAnsi" w:cstheme="minorBidi"/>
            <w:noProof/>
            <w:lang w:val="en-GB" w:eastAsia="en-GB"/>
          </w:rPr>
          <w:tab/>
        </w:r>
        <w:r w:rsidRPr="00D33891">
          <w:rPr>
            <w:rStyle w:val="Hyperlink"/>
            <w:rtl/>
          </w:rPr>
          <w:t>الأمن السيبراني: بناء الثقة والأمن في تكنولوجيا المعلومات والاتصالات</w:t>
        </w:r>
        <w:r>
          <w:rPr>
            <w:noProof/>
            <w:webHidden/>
          </w:rPr>
          <w:tab/>
        </w:r>
        <w:r>
          <w:rPr>
            <w:noProof/>
            <w:webHidden/>
            <w:rtl/>
          </w:rPr>
          <w:tab/>
        </w:r>
        <w:r>
          <w:rPr>
            <w:noProof/>
            <w:webHidden/>
          </w:rPr>
          <w:fldChar w:fldCharType="begin"/>
        </w:r>
        <w:r>
          <w:rPr>
            <w:noProof/>
            <w:webHidden/>
          </w:rPr>
          <w:instrText xml:space="preserve"> PAGEREF _Toc227252588 \h </w:instrText>
        </w:r>
        <w:r>
          <w:rPr>
            <w:noProof/>
            <w:webHidden/>
          </w:rPr>
        </w:r>
        <w:r>
          <w:rPr>
            <w:noProof/>
            <w:webHidden/>
          </w:rPr>
          <w:fldChar w:fldCharType="separate"/>
        </w:r>
        <w:r>
          <w:rPr>
            <w:noProof/>
            <w:webHidden/>
          </w:rPr>
          <w:t>39</w:t>
        </w:r>
        <w:r>
          <w:rPr>
            <w:noProof/>
            <w:webHidden/>
          </w:rPr>
          <w:fldChar w:fldCharType="end"/>
        </w:r>
      </w:hyperlink>
    </w:p>
    <w:p w14:paraId="538C6E64" w14:textId="15B2A554" w:rsidR="00481268" w:rsidRDefault="00481268" w:rsidP="00481268">
      <w:pPr>
        <w:pStyle w:val="TOC3"/>
        <w:rPr>
          <w:rFonts w:asciiTheme="minorHAnsi" w:hAnsiTheme="minorHAnsi" w:cstheme="minorBidi"/>
          <w:noProof/>
          <w:lang w:val="en-GB" w:eastAsia="en-GB"/>
        </w:rPr>
      </w:pPr>
      <w:hyperlink w:anchor="_Toc227252589" w:history="1">
        <w:r w:rsidRPr="00D33891">
          <w:rPr>
            <w:rStyle w:val="Hyperlink"/>
            <w:rtl/>
          </w:rPr>
          <w:t>2.4.4</w:t>
        </w:r>
        <w:r>
          <w:rPr>
            <w:rFonts w:asciiTheme="minorHAnsi" w:hAnsiTheme="minorHAnsi" w:cstheme="minorBidi"/>
            <w:noProof/>
            <w:lang w:val="en-GB" w:eastAsia="en-GB"/>
          </w:rPr>
          <w:tab/>
        </w:r>
        <w:r w:rsidRPr="00D33891">
          <w:rPr>
            <w:rStyle w:val="Hyperlink"/>
            <w:rtl/>
          </w:rPr>
          <w:t>التكنولوجيات الناشئة: تشكيل الأطر من أجل التحول</w:t>
        </w:r>
        <w:r>
          <w:rPr>
            <w:noProof/>
            <w:webHidden/>
          </w:rPr>
          <w:tab/>
        </w:r>
        <w:r>
          <w:rPr>
            <w:noProof/>
            <w:webHidden/>
            <w:rtl/>
          </w:rPr>
          <w:tab/>
        </w:r>
        <w:r>
          <w:rPr>
            <w:noProof/>
            <w:webHidden/>
          </w:rPr>
          <w:fldChar w:fldCharType="begin"/>
        </w:r>
        <w:r>
          <w:rPr>
            <w:noProof/>
            <w:webHidden/>
          </w:rPr>
          <w:instrText xml:space="preserve"> PAGEREF _Toc227252589 \h </w:instrText>
        </w:r>
        <w:r>
          <w:rPr>
            <w:noProof/>
            <w:webHidden/>
          </w:rPr>
        </w:r>
        <w:r>
          <w:rPr>
            <w:noProof/>
            <w:webHidden/>
          </w:rPr>
          <w:fldChar w:fldCharType="separate"/>
        </w:r>
        <w:r>
          <w:rPr>
            <w:noProof/>
            <w:webHidden/>
          </w:rPr>
          <w:t>41</w:t>
        </w:r>
        <w:r>
          <w:rPr>
            <w:noProof/>
            <w:webHidden/>
          </w:rPr>
          <w:fldChar w:fldCharType="end"/>
        </w:r>
      </w:hyperlink>
    </w:p>
    <w:p w14:paraId="4D73DC0D" w14:textId="38B8A730" w:rsidR="00481268" w:rsidRDefault="00481268" w:rsidP="00481268">
      <w:pPr>
        <w:pStyle w:val="TOC2"/>
        <w:rPr>
          <w:rFonts w:asciiTheme="minorHAnsi" w:hAnsiTheme="minorHAnsi" w:cstheme="minorBidi"/>
          <w:noProof/>
          <w:lang w:val="en-GB" w:eastAsia="en-GB"/>
        </w:rPr>
      </w:pPr>
      <w:hyperlink w:anchor="_Toc227252590" w:history="1">
        <w:r w:rsidRPr="00D33891">
          <w:rPr>
            <w:rStyle w:val="Hyperlink"/>
            <w:rtl/>
          </w:rPr>
          <w:t>5.4</w:t>
        </w:r>
        <w:r>
          <w:rPr>
            <w:rFonts w:asciiTheme="minorHAnsi" w:hAnsiTheme="minorHAnsi" w:cstheme="minorBidi"/>
            <w:noProof/>
            <w:lang w:val="en-GB" w:eastAsia="en-GB"/>
          </w:rPr>
          <w:tab/>
        </w:r>
        <w:r w:rsidRPr="00D33891">
          <w:rPr>
            <w:rStyle w:val="Hyperlink"/>
            <w:rtl/>
          </w:rPr>
          <w:t>توفير البيانات والإحصاءات</w:t>
        </w:r>
        <w:r>
          <w:rPr>
            <w:noProof/>
            <w:webHidden/>
            <w:rtl/>
          </w:rPr>
          <w:tab/>
        </w:r>
        <w:r>
          <w:rPr>
            <w:noProof/>
            <w:webHidden/>
          </w:rPr>
          <w:tab/>
        </w:r>
        <w:r>
          <w:rPr>
            <w:noProof/>
            <w:webHidden/>
          </w:rPr>
          <w:fldChar w:fldCharType="begin"/>
        </w:r>
        <w:r>
          <w:rPr>
            <w:noProof/>
            <w:webHidden/>
          </w:rPr>
          <w:instrText xml:space="preserve"> PAGEREF _Toc227252590 \h </w:instrText>
        </w:r>
        <w:r>
          <w:rPr>
            <w:noProof/>
            <w:webHidden/>
          </w:rPr>
        </w:r>
        <w:r>
          <w:rPr>
            <w:noProof/>
            <w:webHidden/>
          </w:rPr>
          <w:fldChar w:fldCharType="separate"/>
        </w:r>
        <w:r>
          <w:rPr>
            <w:noProof/>
            <w:webHidden/>
          </w:rPr>
          <w:t>44</w:t>
        </w:r>
        <w:r>
          <w:rPr>
            <w:noProof/>
            <w:webHidden/>
          </w:rPr>
          <w:fldChar w:fldCharType="end"/>
        </w:r>
      </w:hyperlink>
    </w:p>
    <w:p w14:paraId="70CDC3E0" w14:textId="3D0D8B48" w:rsidR="00481268" w:rsidRDefault="00481268" w:rsidP="00481268">
      <w:pPr>
        <w:pStyle w:val="TOC2"/>
        <w:rPr>
          <w:rFonts w:asciiTheme="minorHAnsi" w:hAnsiTheme="minorHAnsi" w:cstheme="minorBidi"/>
          <w:noProof/>
          <w:lang w:val="en-GB" w:eastAsia="en-GB"/>
        </w:rPr>
      </w:pPr>
      <w:hyperlink w:anchor="_Toc227252591" w:history="1">
        <w:r w:rsidRPr="00D33891">
          <w:rPr>
            <w:rStyle w:val="Hyperlink"/>
            <w:rtl/>
          </w:rPr>
          <w:t>6.4</w:t>
        </w:r>
        <w:r>
          <w:rPr>
            <w:rFonts w:asciiTheme="minorHAnsi" w:hAnsiTheme="minorHAnsi" w:cstheme="minorBidi"/>
            <w:noProof/>
            <w:lang w:val="en-GB" w:eastAsia="en-GB"/>
          </w:rPr>
          <w:tab/>
        </w:r>
        <w:r w:rsidRPr="00D33891">
          <w:rPr>
            <w:rStyle w:val="Hyperlink"/>
            <w:rtl/>
          </w:rPr>
          <w:t>تنمية القدرات والمهارات الرقمية</w:t>
        </w:r>
        <w:r>
          <w:rPr>
            <w:noProof/>
            <w:webHidden/>
          </w:rPr>
          <w:tab/>
        </w:r>
        <w:r>
          <w:rPr>
            <w:noProof/>
            <w:webHidden/>
            <w:rtl/>
          </w:rPr>
          <w:tab/>
        </w:r>
        <w:r>
          <w:rPr>
            <w:noProof/>
            <w:webHidden/>
          </w:rPr>
          <w:fldChar w:fldCharType="begin"/>
        </w:r>
        <w:r>
          <w:rPr>
            <w:noProof/>
            <w:webHidden/>
          </w:rPr>
          <w:instrText xml:space="preserve"> PAGEREF _Toc227252591 \h </w:instrText>
        </w:r>
        <w:r>
          <w:rPr>
            <w:noProof/>
            <w:webHidden/>
          </w:rPr>
        </w:r>
        <w:r>
          <w:rPr>
            <w:noProof/>
            <w:webHidden/>
          </w:rPr>
          <w:fldChar w:fldCharType="separate"/>
        </w:r>
        <w:r>
          <w:rPr>
            <w:noProof/>
            <w:webHidden/>
          </w:rPr>
          <w:t>44</w:t>
        </w:r>
        <w:r>
          <w:rPr>
            <w:noProof/>
            <w:webHidden/>
          </w:rPr>
          <w:fldChar w:fldCharType="end"/>
        </w:r>
      </w:hyperlink>
    </w:p>
    <w:p w14:paraId="20E04A75" w14:textId="4BA51AFB" w:rsidR="00481268" w:rsidRDefault="00481268" w:rsidP="00481268">
      <w:pPr>
        <w:pStyle w:val="TOC2"/>
        <w:rPr>
          <w:rFonts w:asciiTheme="minorHAnsi" w:hAnsiTheme="minorHAnsi" w:cstheme="minorBidi"/>
          <w:noProof/>
          <w:lang w:val="en-GB" w:eastAsia="en-GB"/>
        </w:rPr>
      </w:pPr>
      <w:hyperlink w:anchor="_Toc227252592" w:history="1">
        <w:r w:rsidRPr="00D33891">
          <w:rPr>
            <w:rStyle w:val="Hyperlink"/>
            <w:rtl/>
          </w:rPr>
          <w:t>7.4</w:t>
        </w:r>
        <w:r>
          <w:rPr>
            <w:rFonts w:asciiTheme="minorHAnsi" w:hAnsiTheme="minorHAnsi" w:cstheme="minorBidi"/>
            <w:noProof/>
            <w:lang w:val="en-GB" w:eastAsia="en-GB"/>
          </w:rPr>
          <w:tab/>
        </w:r>
        <w:r w:rsidRPr="00D33891">
          <w:rPr>
            <w:rStyle w:val="Hyperlink"/>
            <w:rtl/>
          </w:rPr>
          <w:t>تقديم المساعدة التقنية</w:t>
        </w:r>
        <w:r>
          <w:rPr>
            <w:noProof/>
            <w:webHidden/>
          </w:rPr>
          <w:tab/>
        </w:r>
        <w:r>
          <w:rPr>
            <w:noProof/>
            <w:webHidden/>
            <w:rtl/>
          </w:rPr>
          <w:tab/>
        </w:r>
        <w:r>
          <w:rPr>
            <w:noProof/>
            <w:webHidden/>
          </w:rPr>
          <w:fldChar w:fldCharType="begin"/>
        </w:r>
        <w:r>
          <w:rPr>
            <w:noProof/>
            <w:webHidden/>
          </w:rPr>
          <w:instrText xml:space="preserve"> PAGEREF _Toc227252592 \h </w:instrText>
        </w:r>
        <w:r>
          <w:rPr>
            <w:noProof/>
            <w:webHidden/>
          </w:rPr>
        </w:r>
        <w:r>
          <w:rPr>
            <w:noProof/>
            <w:webHidden/>
          </w:rPr>
          <w:fldChar w:fldCharType="separate"/>
        </w:r>
        <w:r>
          <w:rPr>
            <w:noProof/>
            <w:webHidden/>
          </w:rPr>
          <w:t>47</w:t>
        </w:r>
        <w:r>
          <w:rPr>
            <w:noProof/>
            <w:webHidden/>
          </w:rPr>
          <w:fldChar w:fldCharType="end"/>
        </w:r>
      </w:hyperlink>
    </w:p>
    <w:p w14:paraId="57953B80" w14:textId="1808DB9D" w:rsidR="00481268" w:rsidRDefault="00481268" w:rsidP="00481268">
      <w:pPr>
        <w:pStyle w:val="TOC2"/>
        <w:rPr>
          <w:rFonts w:asciiTheme="minorHAnsi" w:hAnsiTheme="minorHAnsi" w:cstheme="minorBidi"/>
          <w:noProof/>
          <w:lang w:val="en-GB" w:eastAsia="en-GB"/>
        </w:rPr>
      </w:pPr>
      <w:hyperlink w:anchor="_Toc227252593" w:history="1">
        <w:r w:rsidRPr="00D33891">
          <w:rPr>
            <w:rStyle w:val="Hyperlink"/>
          </w:rPr>
          <w:t>8.4</w:t>
        </w:r>
        <w:r>
          <w:rPr>
            <w:rFonts w:asciiTheme="minorHAnsi" w:hAnsiTheme="minorHAnsi" w:cstheme="minorBidi"/>
            <w:noProof/>
            <w:lang w:val="en-GB" w:eastAsia="en-GB"/>
          </w:rPr>
          <w:tab/>
        </w:r>
        <w:r w:rsidRPr="00D33891">
          <w:rPr>
            <w:rStyle w:val="Hyperlink"/>
            <w:rtl/>
          </w:rPr>
          <w:t>منصات عقد الاجتماعات</w:t>
        </w:r>
        <w:r>
          <w:rPr>
            <w:noProof/>
            <w:webHidden/>
          </w:rPr>
          <w:tab/>
        </w:r>
        <w:r>
          <w:rPr>
            <w:noProof/>
            <w:webHidden/>
            <w:rtl/>
          </w:rPr>
          <w:tab/>
        </w:r>
        <w:r>
          <w:rPr>
            <w:noProof/>
            <w:webHidden/>
          </w:rPr>
          <w:fldChar w:fldCharType="begin"/>
        </w:r>
        <w:r>
          <w:rPr>
            <w:noProof/>
            <w:webHidden/>
          </w:rPr>
          <w:instrText xml:space="preserve"> PAGEREF _Toc227252593 \h </w:instrText>
        </w:r>
        <w:r>
          <w:rPr>
            <w:noProof/>
            <w:webHidden/>
          </w:rPr>
        </w:r>
        <w:r>
          <w:rPr>
            <w:noProof/>
            <w:webHidden/>
          </w:rPr>
          <w:fldChar w:fldCharType="separate"/>
        </w:r>
        <w:r>
          <w:rPr>
            <w:noProof/>
            <w:webHidden/>
          </w:rPr>
          <w:t>49</w:t>
        </w:r>
        <w:r>
          <w:rPr>
            <w:noProof/>
            <w:webHidden/>
          </w:rPr>
          <w:fldChar w:fldCharType="end"/>
        </w:r>
      </w:hyperlink>
    </w:p>
    <w:p w14:paraId="131884E7" w14:textId="26DDD401" w:rsidR="00481268" w:rsidRDefault="00481268" w:rsidP="00481268">
      <w:pPr>
        <w:pStyle w:val="TOC3"/>
        <w:rPr>
          <w:rFonts w:asciiTheme="minorHAnsi" w:hAnsiTheme="minorHAnsi" w:cstheme="minorBidi"/>
          <w:noProof/>
          <w:lang w:val="en-GB" w:eastAsia="en-GB"/>
        </w:rPr>
      </w:pPr>
      <w:hyperlink w:anchor="_Toc227252594" w:history="1">
        <w:r w:rsidRPr="00D33891">
          <w:rPr>
            <w:rStyle w:val="Hyperlink"/>
          </w:rPr>
          <w:t>1.8.4</w:t>
        </w:r>
        <w:r>
          <w:rPr>
            <w:rFonts w:asciiTheme="minorHAnsi" w:hAnsiTheme="minorHAnsi" w:cstheme="minorBidi"/>
            <w:noProof/>
            <w:lang w:val="en-GB" w:eastAsia="en-GB"/>
          </w:rPr>
          <w:tab/>
        </w:r>
        <w:r w:rsidRPr="00D33891">
          <w:rPr>
            <w:rStyle w:val="Hyperlink"/>
            <w:rtl/>
          </w:rPr>
          <w:t>عملية القمة العالمية لمجتمع المعلومات</w:t>
        </w:r>
        <w:r>
          <w:rPr>
            <w:noProof/>
            <w:webHidden/>
          </w:rPr>
          <w:tab/>
        </w:r>
        <w:r>
          <w:rPr>
            <w:noProof/>
            <w:webHidden/>
            <w:rtl/>
          </w:rPr>
          <w:tab/>
        </w:r>
        <w:r>
          <w:rPr>
            <w:noProof/>
            <w:webHidden/>
          </w:rPr>
          <w:fldChar w:fldCharType="begin"/>
        </w:r>
        <w:r>
          <w:rPr>
            <w:noProof/>
            <w:webHidden/>
          </w:rPr>
          <w:instrText xml:space="preserve"> PAGEREF _Toc227252594 \h </w:instrText>
        </w:r>
        <w:r>
          <w:rPr>
            <w:noProof/>
            <w:webHidden/>
          </w:rPr>
        </w:r>
        <w:r>
          <w:rPr>
            <w:noProof/>
            <w:webHidden/>
          </w:rPr>
          <w:fldChar w:fldCharType="separate"/>
        </w:r>
        <w:r>
          <w:rPr>
            <w:noProof/>
            <w:webHidden/>
          </w:rPr>
          <w:t>49</w:t>
        </w:r>
        <w:r>
          <w:rPr>
            <w:noProof/>
            <w:webHidden/>
          </w:rPr>
          <w:fldChar w:fldCharType="end"/>
        </w:r>
      </w:hyperlink>
    </w:p>
    <w:p w14:paraId="2EAF5EDF" w14:textId="271AE628" w:rsidR="00481268" w:rsidRDefault="00481268" w:rsidP="00481268">
      <w:pPr>
        <w:pStyle w:val="TOC3"/>
        <w:rPr>
          <w:rFonts w:asciiTheme="minorHAnsi" w:hAnsiTheme="minorHAnsi" w:cstheme="minorBidi"/>
          <w:noProof/>
          <w:lang w:val="en-GB" w:eastAsia="en-GB"/>
        </w:rPr>
      </w:pPr>
      <w:hyperlink w:anchor="_Toc227252595" w:history="1">
        <w:r w:rsidRPr="00D33891">
          <w:rPr>
            <w:rStyle w:val="Hyperlink"/>
          </w:rPr>
          <w:t>2.8.4</w:t>
        </w:r>
        <w:r>
          <w:rPr>
            <w:rFonts w:asciiTheme="minorHAnsi" w:hAnsiTheme="minorHAnsi" w:cstheme="minorBidi"/>
            <w:noProof/>
            <w:lang w:val="en-GB" w:eastAsia="en-GB"/>
          </w:rPr>
          <w:tab/>
        </w:r>
        <w:r w:rsidRPr="00D33891">
          <w:rPr>
            <w:rStyle w:val="Hyperlink"/>
            <w:rtl/>
          </w:rPr>
          <w:t>الذكاء الاصطناعي من أجل المصلحة العامة</w:t>
        </w:r>
        <w:r>
          <w:rPr>
            <w:noProof/>
            <w:webHidden/>
          </w:rPr>
          <w:tab/>
        </w:r>
        <w:r>
          <w:rPr>
            <w:noProof/>
            <w:webHidden/>
            <w:rtl/>
          </w:rPr>
          <w:tab/>
        </w:r>
        <w:r>
          <w:rPr>
            <w:noProof/>
            <w:webHidden/>
          </w:rPr>
          <w:fldChar w:fldCharType="begin"/>
        </w:r>
        <w:r>
          <w:rPr>
            <w:noProof/>
            <w:webHidden/>
          </w:rPr>
          <w:instrText xml:space="preserve"> PAGEREF _Toc227252595 \h </w:instrText>
        </w:r>
        <w:r>
          <w:rPr>
            <w:noProof/>
            <w:webHidden/>
          </w:rPr>
        </w:r>
        <w:r>
          <w:rPr>
            <w:noProof/>
            <w:webHidden/>
          </w:rPr>
          <w:fldChar w:fldCharType="separate"/>
        </w:r>
        <w:r>
          <w:rPr>
            <w:noProof/>
            <w:webHidden/>
          </w:rPr>
          <w:t>51</w:t>
        </w:r>
        <w:r>
          <w:rPr>
            <w:noProof/>
            <w:webHidden/>
          </w:rPr>
          <w:fldChar w:fldCharType="end"/>
        </w:r>
      </w:hyperlink>
    </w:p>
    <w:p w14:paraId="18D75965" w14:textId="4DFC646C" w:rsidR="00481268" w:rsidRDefault="00481268" w:rsidP="00481268">
      <w:pPr>
        <w:pStyle w:val="TOC3"/>
        <w:rPr>
          <w:rFonts w:asciiTheme="minorHAnsi" w:hAnsiTheme="minorHAnsi" w:cstheme="minorBidi"/>
          <w:noProof/>
          <w:lang w:val="en-GB" w:eastAsia="en-GB"/>
        </w:rPr>
      </w:pPr>
      <w:hyperlink w:anchor="_Toc227252596" w:history="1">
        <w:r w:rsidRPr="00D33891">
          <w:rPr>
            <w:rStyle w:val="Hyperlink"/>
          </w:rPr>
          <w:t>3.8.4</w:t>
        </w:r>
        <w:r>
          <w:rPr>
            <w:rFonts w:asciiTheme="minorHAnsi" w:hAnsiTheme="minorHAnsi" w:cstheme="minorBidi"/>
            <w:noProof/>
            <w:lang w:val="en-GB" w:eastAsia="en-GB"/>
          </w:rPr>
          <w:tab/>
        </w:r>
        <w:r w:rsidRPr="00D33891">
          <w:rPr>
            <w:rStyle w:val="Hyperlink"/>
            <w:rtl/>
          </w:rPr>
          <w:t>الندوة العالمية للمعايير</w:t>
        </w:r>
        <w:r>
          <w:rPr>
            <w:noProof/>
            <w:webHidden/>
          </w:rPr>
          <w:tab/>
        </w:r>
        <w:r>
          <w:rPr>
            <w:noProof/>
            <w:webHidden/>
            <w:rtl/>
          </w:rPr>
          <w:tab/>
        </w:r>
        <w:r>
          <w:rPr>
            <w:noProof/>
            <w:webHidden/>
          </w:rPr>
          <w:fldChar w:fldCharType="begin"/>
        </w:r>
        <w:r>
          <w:rPr>
            <w:noProof/>
            <w:webHidden/>
          </w:rPr>
          <w:instrText xml:space="preserve"> PAGEREF _Toc227252596 \h </w:instrText>
        </w:r>
        <w:r>
          <w:rPr>
            <w:noProof/>
            <w:webHidden/>
          </w:rPr>
        </w:r>
        <w:r>
          <w:rPr>
            <w:noProof/>
            <w:webHidden/>
          </w:rPr>
          <w:fldChar w:fldCharType="separate"/>
        </w:r>
        <w:r>
          <w:rPr>
            <w:noProof/>
            <w:webHidden/>
          </w:rPr>
          <w:t>51</w:t>
        </w:r>
        <w:r>
          <w:rPr>
            <w:noProof/>
            <w:webHidden/>
          </w:rPr>
          <w:fldChar w:fldCharType="end"/>
        </w:r>
      </w:hyperlink>
    </w:p>
    <w:p w14:paraId="188D3D01" w14:textId="66A55F8B" w:rsidR="00481268" w:rsidRDefault="00481268" w:rsidP="00481268">
      <w:pPr>
        <w:pStyle w:val="TOC3"/>
        <w:rPr>
          <w:rFonts w:asciiTheme="minorHAnsi" w:hAnsiTheme="minorHAnsi" w:cstheme="minorBidi"/>
          <w:noProof/>
          <w:lang w:val="en-GB" w:eastAsia="en-GB"/>
        </w:rPr>
      </w:pPr>
      <w:hyperlink w:anchor="_Toc227252597" w:history="1">
        <w:r w:rsidRPr="00D33891">
          <w:rPr>
            <w:rStyle w:val="Hyperlink"/>
          </w:rPr>
          <w:t>4.8.4</w:t>
        </w:r>
        <w:r>
          <w:rPr>
            <w:rFonts w:asciiTheme="minorHAnsi" w:hAnsiTheme="minorHAnsi" w:cstheme="minorBidi"/>
            <w:noProof/>
            <w:lang w:val="en-GB" w:eastAsia="en-GB"/>
          </w:rPr>
          <w:tab/>
        </w:r>
        <w:r w:rsidRPr="00D33891">
          <w:rPr>
            <w:rStyle w:val="Hyperlink"/>
            <w:rtl/>
          </w:rPr>
          <w:t>الندوة العالمية لمنظمي الاتصالات</w:t>
        </w:r>
        <w:r>
          <w:rPr>
            <w:noProof/>
            <w:webHidden/>
          </w:rPr>
          <w:tab/>
        </w:r>
        <w:r>
          <w:rPr>
            <w:noProof/>
            <w:webHidden/>
            <w:rtl/>
          </w:rPr>
          <w:tab/>
        </w:r>
        <w:r>
          <w:rPr>
            <w:noProof/>
            <w:webHidden/>
          </w:rPr>
          <w:fldChar w:fldCharType="begin"/>
        </w:r>
        <w:r>
          <w:rPr>
            <w:noProof/>
            <w:webHidden/>
          </w:rPr>
          <w:instrText xml:space="preserve"> PAGEREF _Toc227252597 \h </w:instrText>
        </w:r>
        <w:r>
          <w:rPr>
            <w:noProof/>
            <w:webHidden/>
          </w:rPr>
        </w:r>
        <w:r>
          <w:rPr>
            <w:noProof/>
            <w:webHidden/>
          </w:rPr>
          <w:fldChar w:fldCharType="separate"/>
        </w:r>
        <w:r>
          <w:rPr>
            <w:noProof/>
            <w:webHidden/>
          </w:rPr>
          <w:t>52</w:t>
        </w:r>
        <w:r>
          <w:rPr>
            <w:noProof/>
            <w:webHidden/>
          </w:rPr>
          <w:fldChar w:fldCharType="end"/>
        </w:r>
      </w:hyperlink>
    </w:p>
    <w:p w14:paraId="7D6A0383" w14:textId="714F4F4E" w:rsidR="00481268" w:rsidRDefault="00481268" w:rsidP="00481268">
      <w:pPr>
        <w:pStyle w:val="TOC3"/>
        <w:rPr>
          <w:rFonts w:asciiTheme="minorHAnsi" w:hAnsiTheme="minorHAnsi" w:cstheme="minorBidi"/>
          <w:noProof/>
          <w:lang w:val="en-GB" w:eastAsia="en-GB"/>
        </w:rPr>
      </w:pPr>
      <w:hyperlink w:anchor="_Toc227252598" w:history="1">
        <w:r w:rsidRPr="00D33891">
          <w:rPr>
            <w:rStyle w:val="Hyperlink"/>
          </w:rPr>
          <w:t>5.8.4</w:t>
        </w:r>
        <w:r>
          <w:rPr>
            <w:rFonts w:asciiTheme="minorHAnsi" w:hAnsiTheme="minorHAnsi" w:cstheme="minorBidi"/>
            <w:noProof/>
            <w:lang w:val="en-GB" w:eastAsia="en-GB"/>
          </w:rPr>
          <w:tab/>
        </w:r>
        <w:r w:rsidRPr="00D33891">
          <w:rPr>
            <w:rStyle w:val="Hyperlink"/>
            <w:rtl/>
          </w:rPr>
          <w:t>إشراك الهيئات الأكاديمية في عمل الاتحاد</w:t>
        </w:r>
        <w:r>
          <w:rPr>
            <w:noProof/>
            <w:webHidden/>
          </w:rPr>
          <w:tab/>
        </w:r>
        <w:r>
          <w:rPr>
            <w:noProof/>
            <w:webHidden/>
            <w:rtl/>
          </w:rPr>
          <w:tab/>
        </w:r>
        <w:r>
          <w:rPr>
            <w:noProof/>
            <w:webHidden/>
          </w:rPr>
          <w:fldChar w:fldCharType="begin"/>
        </w:r>
        <w:r>
          <w:rPr>
            <w:noProof/>
            <w:webHidden/>
          </w:rPr>
          <w:instrText xml:space="preserve"> PAGEREF _Toc227252598 \h </w:instrText>
        </w:r>
        <w:r>
          <w:rPr>
            <w:noProof/>
            <w:webHidden/>
          </w:rPr>
        </w:r>
        <w:r>
          <w:rPr>
            <w:noProof/>
            <w:webHidden/>
          </w:rPr>
          <w:fldChar w:fldCharType="separate"/>
        </w:r>
        <w:r>
          <w:rPr>
            <w:noProof/>
            <w:webHidden/>
          </w:rPr>
          <w:t>52</w:t>
        </w:r>
        <w:r>
          <w:rPr>
            <w:noProof/>
            <w:webHidden/>
          </w:rPr>
          <w:fldChar w:fldCharType="end"/>
        </w:r>
      </w:hyperlink>
    </w:p>
    <w:p w14:paraId="6715A29C" w14:textId="0AA24E30" w:rsidR="00481268" w:rsidRDefault="00481268" w:rsidP="00481268">
      <w:pPr>
        <w:pStyle w:val="TOC1"/>
        <w:rPr>
          <w:rFonts w:asciiTheme="minorHAnsi" w:hAnsiTheme="minorHAnsi" w:cstheme="minorBidi"/>
          <w:noProof/>
          <w:lang w:val="en-GB" w:eastAsia="en-GB"/>
        </w:rPr>
      </w:pPr>
      <w:hyperlink w:anchor="_Toc227252599" w:history="1">
        <w:r w:rsidRPr="00D33891">
          <w:rPr>
            <w:rStyle w:val="Hyperlink"/>
          </w:rPr>
          <w:t>5</w:t>
        </w:r>
        <w:r>
          <w:rPr>
            <w:rFonts w:asciiTheme="minorHAnsi" w:hAnsiTheme="minorHAnsi" w:cstheme="minorBidi"/>
            <w:noProof/>
            <w:lang w:val="en-GB" w:eastAsia="en-GB"/>
          </w:rPr>
          <w:tab/>
        </w:r>
        <w:r w:rsidRPr="00D33891">
          <w:rPr>
            <w:rStyle w:val="Hyperlink"/>
            <w:rtl/>
          </w:rPr>
          <w:t>العوامل التمكينية</w:t>
        </w:r>
        <w:r>
          <w:rPr>
            <w:noProof/>
            <w:webHidden/>
          </w:rPr>
          <w:tab/>
        </w:r>
        <w:r>
          <w:rPr>
            <w:noProof/>
            <w:webHidden/>
            <w:rtl/>
          </w:rPr>
          <w:tab/>
        </w:r>
        <w:r>
          <w:rPr>
            <w:noProof/>
            <w:webHidden/>
          </w:rPr>
          <w:fldChar w:fldCharType="begin"/>
        </w:r>
        <w:r>
          <w:rPr>
            <w:noProof/>
            <w:webHidden/>
          </w:rPr>
          <w:instrText xml:space="preserve"> PAGEREF _Toc227252599 \h </w:instrText>
        </w:r>
        <w:r>
          <w:rPr>
            <w:noProof/>
            <w:webHidden/>
          </w:rPr>
        </w:r>
        <w:r>
          <w:rPr>
            <w:noProof/>
            <w:webHidden/>
          </w:rPr>
          <w:fldChar w:fldCharType="separate"/>
        </w:r>
        <w:r>
          <w:rPr>
            <w:noProof/>
            <w:webHidden/>
          </w:rPr>
          <w:t>55</w:t>
        </w:r>
        <w:r>
          <w:rPr>
            <w:noProof/>
            <w:webHidden/>
          </w:rPr>
          <w:fldChar w:fldCharType="end"/>
        </w:r>
      </w:hyperlink>
    </w:p>
    <w:p w14:paraId="440C3BC6" w14:textId="0F9E3BD1" w:rsidR="00481268" w:rsidRDefault="00481268" w:rsidP="00481268">
      <w:pPr>
        <w:pStyle w:val="TOC2"/>
        <w:rPr>
          <w:rFonts w:asciiTheme="minorHAnsi" w:hAnsiTheme="minorHAnsi" w:cstheme="minorBidi"/>
          <w:noProof/>
          <w:lang w:val="en-GB" w:eastAsia="en-GB"/>
        </w:rPr>
      </w:pPr>
      <w:hyperlink w:anchor="_Toc227252600" w:history="1">
        <w:r w:rsidRPr="00D33891">
          <w:rPr>
            <w:rStyle w:val="Hyperlink"/>
          </w:rPr>
          <w:t>1.5</w:t>
        </w:r>
        <w:r>
          <w:rPr>
            <w:rFonts w:asciiTheme="minorHAnsi" w:hAnsiTheme="minorHAnsi" w:cstheme="minorBidi"/>
            <w:noProof/>
            <w:lang w:val="en-GB" w:eastAsia="en-GB"/>
          </w:rPr>
          <w:tab/>
        </w:r>
        <w:r w:rsidRPr="00D33891">
          <w:rPr>
            <w:rStyle w:val="Hyperlink"/>
            <w:rtl/>
          </w:rPr>
          <w:t>نهج محوره الأعضاء</w:t>
        </w:r>
        <w:r>
          <w:rPr>
            <w:noProof/>
            <w:webHidden/>
          </w:rPr>
          <w:tab/>
        </w:r>
        <w:r>
          <w:rPr>
            <w:noProof/>
            <w:webHidden/>
            <w:rtl/>
          </w:rPr>
          <w:tab/>
        </w:r>
        <w:r>
          <w:rPr>
            <w:noProof/>
            <w:webHidden/>
          </w:rPr>
          <w:fldChar w:fldCharType="begin"/>
        </w:r>
        <w:r>
          <w:rPr>
            <w:noProof/>
            <w:webHidden/>
          </w:rPr>
          <w:instrText xml:space="preserve"> PAGEREF _Toc227252600 \h </w:instrText>
        </w:r>
        <w:r>
          <w:rPr>
            <w:noProof/>
            <w:webHidden/>
          </w:rPr>
        </w:r>
        <w:r>
          <w:rPr>
            <w:noProof/>
            <w:webHidden/>
          </w:rPr>
          <w:fldChar w:fldCharType="separate"/>
        </w:r>
        <w:r>
          <w:rPr>
            <w:noProof/>
            <w:webHidden/>
          </w:rPr>
          <w:t>55</w:t>
        </w:r>
        <w:r>
          <w:rPr>
            <w:noProof/>
            <w:webHidden/>
          </w:rPr>
          <w:fldChar w:fldCharType="end"/>
        </w:r>
      </w:hyperlink>
    </w:p>
    <w:p w14:paraId="245DF37F" w14:textId="44697321" w:rsidR="00481268" w:rsidRDefault="00481268" w:rsidP="00481268">
      <w:pPr>
        <w:pStyle w:val="TOC2"/>
        <w:rPr>
          <w:rFonts w:asciiTheme="minorHAnsi" w:hAnsiTheme="minorHAnsi" w:cstheme="minorBidi"/>
          <w:noProof/>
          <w:lang w:val="en-GB" w:eastAsia="en-GB"/>
        </w:rPr>
      </w:pPr>
      <w:hyperlink w:anchor="_Toc227252601" w:history="1">
        <w:r w:rsidRPr="00D33891">
          <w:rPr>
            <w:rStyle w:val="Hyperlink"/>
          </w:rPr>
          <w:t>2.5</w:t>
        </w:r>
        <w:r>
          <w:rPr>
            <w:rFonts w:asciiTheme="minorHAnsi" w:hAnsiTheme="minorHAnsi" w:cstheme="minorBidi"/>
            <w:noProof/>
            <w:lang w:val="en-GB" w:eastAsia="en-GB"/>
          </w:rPr>
          <w:tab/>
        </w:r>
        <w:r w:rsidRPr="00D33891">
          <w:rPr>
            <w:rStyle w:val="Hyperlink"/>
            <w:rtl/>
          </w:rPr>
          <w:t>الحضور الإقليمي</w:t>
        </w:r>
        <w:r>
          <w:rPr>
            <w:noProof/>
            <w:webHidden/>
          </w:rPr>
          <w:tab/>
        </w:r>
        <w:r>
          <w:rPr>
            <w:noProof/>
            <w:webHidden/>
            <w:rtl/>
          </w:rPr>
          <w:tab/>
        </w:r>
        <w:r>
          <w:rPr>
            <w:noProof/>
            <w:webHidden/>
          </w:rPr>
          <w:fldChar w:fldCharType="begin"/>
        </w:r>
        <w:r>
          <w:rPr>
            <w:noProof/>
            <w:webHidden/>
          </w:rPr>
          <w:instrText xml:space="preserve"> PAGEREF _Toc227252601 \h </w:instrText>
        </w:r>
        <w:r>
          <w:rPr>
            <w:noProof/>
            <w:webHidden/>
          </w:rPr>
        </w:r>
        <w:r>
          <w:rPr>
            <w:noProof/>
            <w:webHidden/>
          </w:rPr>
          <w:fldChar w:fldCharType="separate"/>
        </w:r>
        <w:r>
          <w:rPr>
            <w:noProof/>
            <w:webHidden/>
          </w:rPr>
          <w:t>56</w:t>
        </w:r>
        <w:r>
          <w:rPr>
            <w:noProof/>
            <w:webHidden/>
          </w:rPr>
          <w:fldChar w:fldCharType="end"/>
        </w:r>
      </w:hyperlink>
    </w:p>
    <w:p w14:paraId="43531D70" w14:textId="1C72874A" w:rsidR="00481268" w:rsidRDefault="00481268" w:rsidP="00481268">
      <w:pPr>
        <w:pStyle w:val="TOC2"/>
        <w:rPr>
          <w:rFonts w:asciiTheme="minorHAnsi" w:hAnsiTheme="minorHAnsi" w:cstheme="minorBidi"/>
          <w:noProof/>
          <w:lang w:val="en-GB" w:eastAsia="en-GB"/>
        </w:rPr>
      </w:pPr>
      <w:hyperlink w:anchor="_Toc227252602" w:history="1">
        <w:r w:rsidRPr="00D33891">
          <w:rPr>
            <w:rStyle w:val="Hyperlink"/>
          </w:rPr>
          <w:t>3.5</w:t>
        </w:r>
        <w:r>
          <w:rPr>
            <w:rFonts w:asciiTheme="minorHAnsi" w:hAnsiTheme="minorHAnsi" w:cstheme="minorBidi"/>
            <w:noProof/>
            <w:lang w:val="en-GB" w:eastAsia="en-GB"/>
          </w:rPr>
          <w:tab/>
        </w:r>
        <w:r w:rsidRPr="00D33891">
          <w:rPr>
            <w:rStyle w:val="Hyperlink"/>
            <w:rtl/>
          </w:rPr>
          <w:t>إشراك الجميع في المناقشات</w:t>
        </w:r>
        <w:r>
          <w:rPr>
            <w:noProof/>
            <w:webHidden/>
          </w:rPr>
          <w:tab/>
        </w:r>
        <w:r>
          <w:rPr>
            <w:noProof/>
            <w:webHidden/>
            <w:rtl/>
          </w:rPr>
          <w:tab/>
        </w:r>
        <w:r>
          <w:rPr>
            <w:noProof/>
            <w:webHidden/>
          </w:rPr>
          <w:fldChar w:fldCharType="begin"/>
        </w:r>
        <w:r>
          <w:rPr>
            <w:noProof/>
            <w:webHidden/>
          </w:rPr>
          <w:instrText xml:space="preserve"> PAGEREF _Toc227252602 \h </w:instrText>
        </w:r>
        <w:r>
          <w:rPr>
            <w:noProof/>
            <w:webHidden/>
          </w:rPr>
        </w:r>
        <w:r>
          <w:rPr>
            <w:noProof/>
            <w:webHidden/>
          </w:rPr>
          <w:fldChar w:fldCharType="separate"/>
        </w:r>
        <w:r>
          <w:rPr>
            <w:noProof/>
            <w:webHidden/>
          </w:rPr>
          <w:t>57</w:t>
        </w:r>
        <w:r>
          <w:rPr>
            <w:noProof/>
            <w:webHidden/>
          </w:rPr>
          <w:fldChar w:fldCharType="end"/>
        </w:r>
      </w:hyperlink>
    </w:p>
    <w:p w14:paraId="669D2468" w14:textId="70BCF49A" w:rsidR="00481268" w:rsidRDefault="00481268" w:rsidP="00481268">
      <w:pPr>
        <w:pStyle w:val="TOC3"/>
        <w:rPr>
          <w:rFonts w:asciiTheme="minorHAnsi" w:hAnsiTheme="minorHAnsi" w:cstheme="minorBidi"/>
          <w:noProof/>
          <w:lang w:val="en-GB" w:eastAsia="en-GB"/>
        </w:rPr>
      </w:pPr>
      <w:hyperlink w:anchor="_Toc227252603" w:history="1">
        <w:r w:rsidRPr="00D33891">
          <w:rPr>
            <w:rStyle w:val="Hyperlink"/>
          </w:rPr>
          <w:t>1.3.5</w:t>
        </w:r>
        <w:r>
          <w:rPr>
            <w:rFonts w:asciiTheme="minorHAnsi" w:hAnsiTheme="minorHAnsi" w:cstheme="minorBidi"/>
            <w:noProof/>
            <w:lang w:val="en-GB" w:eastAsia="en-GB"/>
          </w:rPr>
          <w:tab/>
        </w:r>
        <w:r w:rsidRPr="00D33891">
          <w:rPr>
            <w:rStyle w:val="Hyperlink"/>
            <w:rtl/>
          </w:rPr>
          <w:t>المساواة بين الجنسين</w:t>
        </w:r>
        <w:r>
          <w:rPr>
            <w:noProof/>
            <w:webHidden/>
          </w:rPr>
          <w:tab/>
        </w:r>
        <w:r>
          <w:rPr>
            <w:noProof/>
            <w:webHidden/>
            <w:rtl/>
          </w:rPr>
          <w:tab/>
        </w:r>
        <w:r>
          <w:rPr>
            <w:noProof/>
            <w:webHidden/>
          </w:rPr>
          <w:fldChar w:fldCharType="begin"/>
        </w:r>
        <w:r>
          <w:rPr>
            <w:noProof/>
            <w:webHidden/>
          </w:rPr>
          <w:instrText xml:space="preserve"> PAGEREF _Toc227252603 \h </w:instrText>
        </w:r>
        <w:r>
          <w:rPr>
            <w:noProof/>
            <w:webHidden/>
          </w:rPr>
        </w:r>
        <w:r>
          <w:rPr>
            <w:noProof/>
            <w:webHidden/>
          </w:rPr>
          <w:fldChar w:fldCharType="separate"/>
        </w:r>
        <w:r>
          <w:rPr>
            <w:noProof/>
            <w:webHidden/>
          </w:rPr>
          <w:t>58</w:t>
        </w:r>
        <w:r>
          <w:rPr>
            <w:noProof/>
            <w:webHidden/>
          </w:rPr>
          <w:fldChar w:fldCharType="end"/>
        </w:r>
      </w:hyperlink>
    </w:p>
    <w:p w14:paraId="358A9800" w14:textId="1C00A62B" w:rsidR="00481268" w:rsidRDefault="00481268" w:rsidP="00481268">
      <w:pPr>
        <w:pStyle w:val="TOC3"/>
        <w:rPr>
          <w:rFonts w:asciiTheme="minorHAnsi" w:hAnsiTheme="minorHAnsi" w:cstheme="minorBidi"/>
          <w:noProof/>
          <w:lang w:val="en-GB" w:eastAsia="en-GB"/>
        </w:rPr>
      </w:pPr>
      <w:hyperlink w:anchor="_Toc227252604" w:history="1">
        <w:r w:rsidRPr="00D33891">
          <w:rPr>
            <w:rStyle w:val="Hyperlink"/>
          </w:rPr>
          <w:t>2.3.5</w:t>
        </w:r>
        <w:r>
          <w:rPr>
            <w:rFonts w:asciiTheme="minorHAnsi" w:hAnsiTheme="minorHAnsi" w:cstheme="minorBidi"/>
            <w:noProof/>
            <w:lang w:val="en-GB" w:eastAsia="en-GB"/>
          </w:rPr>
          <w:tab/>
        </w:r>
        <w:r w:rsidRPr="00D33891">
          <w:rPr>
            <w:rStyle w:val="Hyperlink"/>
            <w:rtl/>
          </w:rPr>
          <w:t>تمكين الشباب</w:t>
        </w:r>
        <w:r>
          <w:rPr>
            <w:noProof/>
            <w:webHidden/>
          </w:rPr>
          <w:tab/>
        </w:r>
        <w:r>
          <w:rPr>
            <w:noProof/>
            <w:webHidden/>
            <w:rtl/>
          </w:rPr>
          <w:tab/>
        </w:r>
        <w:r>
          <w:rPr>
            <w:noProof/>
            <w:webHidden/>
          </w:rPr>
          <w:fldChar w:fldCharType="begin"/>
        </w:r>
        <w:r>
          <w:rPr>
            <w:noProof/>
            <w:webHidden/>
          </w:rPr>
          <w:instrText xml:space="preserve"> PAGEREF _Toc227252604 \h </w:instrText>
        </w:r>
        <w:r>
          <w:rPr>
            <w:noProof/>
            <w:webHidden/>
          </w:rPr>
        </w:r>
        <w:r>
          <w:rPr>
            <w:noProof/>
            <w:webHidden/>
          </w:rPr>
          <w:fldChar w:fldCharType="separate"/>
        </w:r>
        <w:r>
          <w:rPr>
            <w:noProof/>
            <w:webHidden/>
          </w:rPr>
          <w:t>61</w:t>
        </w:r>
        <w:r>
          <w:rPr>
            <w:noProof/>
            <w:webHidden/>
          </w:rPr>
          <w:fldChar w:fldCharType="end"/>
        </w:r>
      </w:hyperlink>
    </w:p>
    <w:p w14:paraId="20F61942" w14:textId="5FF37A97" w:rsidR="00481268" w:rsidRDefault="00481268" w:rsidP="00481268">
      <w:pPr>
        <w:pStyle w:val="TOC3"/>
        <w:rPr>
          <w:rFonts w:asciiTheme="minorHAnsi" w:hAnsiTheme="minorHAnsi" w:cstheme="minorBidi"/>
          <w:noProof/>
          <w:lang w:val="en-GB" w:eastAsia="en-GB"/>
        </w:rPr>
      </w:pPr>
      <w:hyperlink w:anchor="_Toc227252605" w:history="1">
        <w:r w:rsidRPr="00D33891">
          <w:rPr>
            <w:rStyle w:val="Hyperlink"/>
          </w:rPr>
          <w:t>3.3.5</w:t>
        </w:r>
        <w:r>
          <w:rPr>
            <w:rFonts w:asciiTheme="minorHAnsi" w:hAnsiTheme="minorHAnsi" w:cstheme="minorBidi"/>
            <w:noProof/>
            <w:lang w:val="en-GB" w:eastAsia="en-GB"/>
          </w:rPr>
          <w:tab/>
        </w:r>
        <w:r w:rsidRPr="00D33891">
          <w:rPr>
            <w:rStyle w:val="Hyperlink"/>
            <w:rtl/>
          </w:rPr>
          <w:t>إمكانية النفاذ إلى تكنولوجيا المعلومات والاتصالات/إمكانية النفاذ الرقمي</w:t>
        </w:r>
        <w:r>
          <w:rPr>
            <w:noProof/>
            <w:webHidden/>
          </w:rPr>
          <w:tab/>
        </w:r>
        <w:r>
          <w:rPr>
            <w:noProof/>
            <w:webHidden/>
            <w:rtl/>
          </w:rPr>
          <w:tab/>
        </w:r>
        <w:r>
          <w:rPr>
            <w:noProof/>
            <w:webHidden/>
          </w:rPr>
          <w:fldChar w:fldCharType="begin"/>
        </w:r>
        <w:r>
          <w:rPr>
            <w:noProof/>
            <w:webHidden/>
          </w:rPr>
          <w:instrText xml:space="preserve"> PAGEREF _Toc227252605 \h </w:instrText>
        </w:r>
        <w:r>
          <w:rPr>
            <w:noProof/>
            <w:webHidden/>
          </w:rPr>
        </w:r>
        <w:r>
          <w:rPr>
            <w:noProof/>
            <w:webHidden/>
          </w:rPr>
          <w:fldChar w:fldCharType="separate"/>
        </w:r>
        <w:r>
          <w:rPr>
            <w:noProof/>
            <w:webHidden/>
          </w:rPr>
          <w:t>62</w:t>
        </w:r>
        <w:r>
          <w:rPr>
            <w:noProof/>
            <w:webHidden/>
          </w:rPr>
          <w:fldChar w:fldCharType="end"/>
        </w:r>
      </w:hyperlink>
    </w:p>
    <w:p w14:paraId="1C33C9FA" w14:textId="1AB2CAD3" w:rsidR="00481268" w:rsidRDefault="00481268" w:rsidP="00481268">
      <w:pPr>
        <w:pStyle w:val="TOC3"/>
        <w:rPr>
          <w:rFonts w:asciiTheme="minorHAnsi" w:hAnsiTheme="minorHAnsi" w:cstheme="minorBidi"/>
          <w:noProof/>
          <w:lang w:val="en-GB" w:eastAsia="en-GB"/>
        </w:rPr>
      </w:pPr>
      <w:hyperlink w:anchor="_Toc227252606" w:history="1">
        <w:r w:rsidRPr="00D33891">
          <w:rPr>
            <w:rStyle w:val="Hyperlink"/>
          </w:rPr>
          <w:t>4.3.5</w:t>
        </w:r>
        <w:r>
          <w:rPr>
            <w:rFonts w:asciiTheme="minorHAnsi" w:hAnsiTheme="minorHAnsi" w:cstheme="minorBidi"/>
            <w:noProof/>
            <w:lang w:val="en-GB" w:eastAsia="en-GB"/>
          </w:rPr>
          <w:tab/>
        </w:r>
        <w:r w:rsidRPr="00D33891">
          <w:rPr>
            <w:rStyle w:val="Hyperlink"/>
            <w:rtl/>
          </w:rPr>
          <w:t>حلول للمجتمعات الريفية والمجتمعات النائية ومجتمعات الشعوب الأصلية</w:t>
        </w:r>
        <w:r>
          <w:rPr>
            <w:noProof/>
            <w:webHidden/>
          </w:rPr>
          <w:tab/>
        </w:r>
        <w:r>
          <w:rPr>
            <w:noProof/>
            <w:webHidden/>
            <w:rtl/>
          </w:rPr>
          <w:tab/>
        </w:r>
        <w:r>
          <w:rPr>
            <w:noProof/>
            <w:webHidden/>
          </w:rPr>
          <w:fldChar w:fldCharType="begin"/>
        </w:r>
        <w:r>
          <w:rPr>
            <w:noProof/>
            <w:webHidden/>
          </w:rPr>
          <w:instrText xml:space="preserve"> PAGEREF _Toc227252606 \h </w:instrText>
        </w:r>
        <w:r>
          <w:rPr>
            <w:noProof/>
            <w:webHidden/>
          </w:rPr>
        </w:r>
        <w:r>
          <w:rPr>
            <w:noProof/>
            <w:webHidden/>
          </w:rPr>
          <w:fldChar w:fldCharType="separate"/>
        </w:r>
        <w:r>
          <w:rPr>
            <w:noProof/>
            <w:webHidden/>
          </w:rPr>
          <w:t>64</w:t>
        </w:r>
        <w:r>
          <w:rPr>
            <w:noProof/>
            <w:webHidden/>
          </w:rPr>
          <w:fldChar w:fldCharType="end"/>
        </w:r>
      </w:hyperlink>
    </w:p>
    <w:p w14:paraId="09D83CDD" w14:textId="581BBD91" w:rsidR="00481268" w:rsidRDefault="00481268" w:rsidP="00481268">
      <w:pPr>
        <w:pStyle w:val="TOC3"/>
        <w:rPr>
          <w:rFonts w:asciiTheme="minorHAnsi" w:hAnsiTheme="minorHAnsi" w:cstheme="minorBidi"/>
          <w:noProof/>
          <w:lang w:val="en-GB" w:eastAsia="en-GB"/>
        </w:rPr>
      </w:pPr>
      <w:hyperlink w:anchor="_Toc227252607" w:history="1">
        <w:r w:rsidRPr="00D33891">
          <w:rPr>
            <w:rStyle w:val="Hyperlink"/>
          </w:rPr>
          <w:t>5.3.5</w:t>
        </w:r>
        <w:r>
          <w:rPr>
            <w:rFonts w:asciiTheme="minorHAnsi" w:hAnsiTheme="minorHAnsi" w:cstheme="minorBidi"/>
            <w:noProof/>
            <w:lang w:val="en-GB" w:eastAsia="en-GB"/>
          </w:rPr>
          <w:tab/>
        </w:r>
        <w:r w:rsidRPr="00D33891">
          <w:rPr>
            <w:rStyle w:val="Hyperlink"/>
            <w:rtl/>
          </w:rPr>
          <w:t>دعم الفئات السكانية في مرحلة الشيخوخة</w:t>
        </w:r>
        <w:r>
          <w:rPr>
            <w:noProof/>
            <w:webHidden/>
          </w:rPr>
          <w:tab/>
        </w:r>
        <w:r>
          <w:rPr>
            <w:noProof/>
            <w:webHidden/>
            <w:rtl/>
          </w:rPr>
          <w:tab/>
        </w:r>
        <w:r>
          <w:rPr>
            <w:noProof/>
            <w:webHidden/>
          </w:rPr>
          <w:fldChar w:fldCharType="begin"/>
        </w:r>
        <w:r>
          <w:rPr>
            <w:noProof/>
            <w:webHidden/>
          </w:rPr>
          <w:instrText xml:space="preserve"> PAGEREF _Toc227252607 \h </w:instrText>
        </w:r>
        <w:r>
          <w:rPr>
            <w:noProof/>
            <w:webHidden/>
          </w:rPr>
        </w:r>
        <w:r>
          <w:rPr>
            <w:noProof/>
            <w:webHidden/>
          </w:rPr>
          <w:fldChar w:fldCharType="separate"/>
        </w:r>
        <w:r>
          <w:rPr>
            <w:noProof/>
            <w:webHidden/>
          </w:rPr>
          <w:t>65</w:t>
        </w:r>
        <w:r>
          <w:rPr>
            <w:noProof/>
            <w:webHidden/>
          </w:rPr>
          <w:fldChar w:fldCharType="end"/>
        </w:r>
      </w:hyperlink>
    </w:p>
    <w:p w14:paraId="47A390E0" w14:textId="3B44575E" w:rsidR="00481268" w:rsidRDefault="00481268" w:rsidP="00481268">
      <w:pPr>
        <w:pStyle w:val="TOC2"/>
        <w:rPr>
          <w:rFonts w:asciiTheme="minorHAnsi" w:hAnsiTheme="minorHAnsi" w:cstheme="minorBidi"/>
          <w:noProof/>
          <w:lang w:val="en-GB" w:eastAsia="en-GB"/>
        </w:rPr>
      </w:pPr>
      <w:hyperlink w:anchor="_Toc227252608" w:history="1">
        <w:r w:rsidRPr="00D33891">
          <w:rPr>
            <w:rStyle w:val="Hyperlink"/>
          </w:rPr>
          <w:t>4.5</w:t>
        </w:r>
        <w:r>
          <w:rPr>
            <w:rFonts w:asciiTheme="minorHAnsi" w:hAnsiTheme="minorHAnsi" w:cstheme="minorBidi"/>
            <w:noProof/>
            <w:lang w:val="en-GB" w:eastAsia="en-GB"/>
          </w:rPr>
          <w:tab/>
        </w:r>
        <w:r w:rsidRPr="00D33891">
          <w:rPr>
            <w:rStyle w:val="Hyperlink"/>
            <w:rtl/>
          </w:rPr>
          <w:t>الالتزام بالاستدامة البيئية</w:t>
        </w:r>
        <w:r>
          <w:rPr>
            <w:noProof/>
            <w:webHidden/>
          </w:rPr>
          <w:tab/>
        </w:r>
        <w:r>
          <w:rPr>
            <w:noProof/>
            <w:webHidden/>
            <w:rtl/>
          </w:rPr>
          <w:tab/>
        </w:r>
        <w:r>
          <w:rPr>
            <w:noProof/>
            <w:webHidden/>
          </w:rPr>
          <w:fldChar w:fldCharType="begin"/>
        </w:r>
        <w:r>
          <w:rPr>
            <w:noProof/>
            <w:webHidden/>
          </w:rPr>
          <w:instrText xml:space="preserve"> PAGEREF _Toc227252608 \h </w:instrText>
        </w:r>
        <w:r>
          <w:rPr>
            <w:noProof/>
            <w:webHidden/>
          </w:rPr>
        </w:r>
        <w:r>
          <w:rPr>
            <w:noProof/>
            <w:webHidden/>
          </w:rPr>
          <w:fldChar w:fldCharType="separate"/>
        </w:r>
        <w:r>
          <w:rPr>
            <w:noProof/>
            <w:webHidden/>
          </w:rPr>
          <w:t>65</w:t>
        </w:r>
        <w:r>
          <w:rPr>
            <w:noProof/>
            <w:webHidden/>
          </w:rPr>
          <w:fldChar w:fldCharType="end"/>
        </w:r>
      </w:hyperlink>
    </w:p>
    <w:p w14:paraId="68F9A9C1" w14:textId="47D87602" w:rsidR="00481268" w:rsidRDefault="00481268" w:rsidP="00481268">
      <w:pPr>
        <w:pStyle w:val="TOC2"/>
        <w:rPr>
          <w:rFonts w:asciiTheme="minorHAnsi" w:hAnsiTheme="minorHAnsi" w:cstheme="minorBidi"/>
          <w:noProof/>
          <w:lang w:val="en-GB" w:eastAsia="en-GB"/>
        </w:rPr>
      </w:pPr>
      <w:hyperlink w:anchor="_Toc227252609" w:history="1">
        <w:r w:rsidRPr="00D33891">
          <w:rPr>
            <w:rStyle w:val="Hyperlink"/>
          </w:rPr>
          <w:t>5.5</w:t>
        </w:r>
        <w:r>
          <w:rPr>
            <w:rFonts w:asciiTheme="minorHAnsi" w:hAnsiTheme="minorHAnsi" w:cstheme="minorBidi"/>
            <w:noProof/>
            <w:lang w:val="en-GB" w:eastAsia="en-GB"/>
          </w:rPr>
          <w:tab/>
        </w:r>
        <w:r w:rsidRPr="00D33891">
          <w:rPr>
            <w:rStyle w:val="Hyperlink"/>
            <w:rtl/>
          </w:rPr>
          <w:t>الشراكات والتعاون الدولي</w:t>
        </w:r>
        <w:r>
          <w:rPr>
            <w:noProof/>
            <w:webHidden/>
          </w:rPr>
          <w:tab/>
        </w:r>
        <w:r>
          <w:rPr>
            <w:noProof/>
            <w:webHidden/>
            <w:rtl/>
          </w:rPr>
          <w:tab/>
        </w:r>
        <w:r>
          <w:rPr>
            <w:noProof/>
            <w:webHidden/>
          </w:rPr>
          <w:fldChar w:fldCharType="begin"/>
        </w:r>
        <w:r>
          <w:rPr>
            <w:noProof/>
            <w:webHidden/>
          </w:rPr>
          <w:instrText xml:space="preserve"> PAGEREF _Toc227252609 \h </w:instrText>
        </w:r>
        <w:r>
          <w:rPr>
            <w:noProof/>
            <w:webHidden/>
          </w:rPr>
        </w:r>
        <w:r>
          <w:rPr>
            <w:noProof/>
            <w:webHidden/>
          </w:rPr>
          <w:fldChar w:fldCharType="separate"/>
        </w:r>
        <w:r>
          <w:rPr>
            <w:noProof/>
            <w:webHidden/>
          </w:rPr>
          <w:t>69</w:t>
        </w:r>
        <w:r>
          <w:rPr>
            <w:noProof/>
            <w:webHidden/>
          </w:rPr>
          <w:fldChar w:fldCharType="end"/>
        </w:r>
      </w:hyperlink>
    </w:p>
    <w:p w14:paraId="4CF23CC9" w14:textId="563401CB" w:rsidR="00481268" w:rsidRDefault="00481268" w:rsidP="00481268">
      <w:pPr>
        <w:pStyle w:val="TOC3"/>
        <w:rPr>
          <w:rFonts w:asciiTheme="minorHAnsi" w:hAnsiTheme="minorHAnsi" w:cstheme="minorBidi"/>
          <w:noProof/>
          <w:lang w:val="en-GB" w:eastAsia="en-GB"/>
        </w:rPr>
      </w:pPr>
      <w:hyperlink w:anchor="_Toc227252610" w:history="1">
        <w:r w:rsidRPr="00D33891">
          <w:rPr>
            <w:rStyle w:val="Hyperlink"/>
          </w:rPr>
          <w:t>1.5.5</w:t>
        </w:r>
        <w:r>
          <w:rPr>
            <w:rFonts w:asciiTheme="minorHAnsi" w:hAnsiTheme="minorHAnsi" w:cstheme="minorBidi"/>
            <w:noProof/>
            <w:lang w:val="en-GB" w:eastAsia="en-GB"/>
          </w:rPr>
          <w:tab/>
        </w:r>
        <w:r w:rsidRPr="00D33891">
          <w:rPr>
            <w:rStyle w:val="Hyperlink"/>
            <w:rtl/>
          </w:rPr>
          <w:t>التعاون مع منظومة الأمم المتحدة ومع عمليات حكومية دولية أخرى</w:t>
        </w:r>
        <w:r>
          <w:rPr>
            <w:noProof/>
            <w:webHidden/>
          </w:rPr>
          <w:tab/>
        </w:r>
        <w:r>
          <w:rPr>
            <w:noProof/>
            <w:webHidden/>
            <w:rtl/>
          </w:rPr>
          <w:tab/>
        </w:r>
        <w:r>
          <w:rPr>
            <w:noProof/>
            <w:webHidden/>
          </w:rPr>
          <w:fldChar w:fldCharType="begin"/>
        </w:r>
        <w:r>
          <w:rPr>
            <w:noProof/>
            <w:webHidden/>
          </w:rPr>
          <w:instrText xml:space="preserve"> PAGEREF _Toc227252610 \h </w:instrText>
        </w:r>
        <w:r>
          <w:rPr>
            <w:noProof/>
            <w:webHidden/>
          </w:rPr>
        </w:r>
        <w:r>
          <w:rPr>
            <w:noProof/>
            <w:webHidden/>
          </w:rPr>
          <w:fldChar w:fldCharType="separate"/>
        </w:r>
        <w:r>
          <w:rPr>
            <w:noProof/>
            <w:webHidden/>
          </w:rPr>
          <w:t>78</w:t>
        </w:r>
        <w:r>
          <w:rPr>
            <w:noProof/>
            <w:webHidden/>
          </w:rPr>
          <w:fldChar w:fldCharType="end"/>
        </w:r>
      </w:hyperlink>
    </w:p>
    <w:p w14:paraId="0412C589" w14:textId="2435A522" w:rsidR="00481268" w:rsidRDefault="00481268" w:rsidP="00481268">
      <w:pPr>
        <w:pStyle w:val="TOC2"/>
        <w:rPr>
          <w:rFonts w:asciiTheme="minorHAnsi" w:hAnsiTheme="minorHAnsi" w:cstheme="minorBidi"/>
          <w:noProof/>
          <w:lang w:val="en-GB" w:eastAsia="en-GB"/>
        </w:rPr>
      </w:pPr>
      <w:hyperlink w:anchor="_Toc227252611" w:history="1">
        <w:r w:rsidRPr="00D33891">
          <w:rPr>
            <w:rStyle w:val="Hyperlink"/>
          </w:rPr>
          <w:t>6.5</w:t>
        </w:r>
        <w:r>
          <w:rPr>
            <w:rFonts w:asciiTheme="minorHAnsi" w:hAnsiTheme="minorHAnsi" w:cstheme="minorBidi"/>
            <w:noProof/>
            <w:lang w:val="en-GB" w:eastAsia="en-GB"/>
          </w:rPr>
          <w:tab/>
        </w:r>
        <w:r w:rsidRPr="00D33891">
          <w:rPr>
            <w:rStyle w:val="Hyperlink"/>
            <w:rtl/>
          </w:rPr>
          <w:t>تعبئة الموارد</w:t>
        </w:r>
        <w:r>
          <w:rPr>
            <w:noProof/>
            <w:webHidden/>
          </w:rPr>
          <w:tab/>
        </w:r>
        <w:r>
          <w:rPr>
            <w:noProof/>
            <w:webHidden/>
            <w:rtl/>
          </w:rPr>
          <w:tab/>
        </w:r>
        <w:r>
          <w:rPr>
            <w:noProof/>
            <w:webHidden/>
          </w:rPr>
          <w:fldChar w:fldCharType="begin"/>
        </w:r>
        <w:r>
          <w:rPr>
            <w:noProof/>
            <w:webHidden/>
          </w:rPr>
          <w:instrText xml:space="preserve"> PAGEREF _Toc227252611 \h </w:instrText>
        </w:r>
        <w:r>
          <w:rPr>
            <w:noProof/>
            <w:webHidden/>
          </w:rPr>
        </w:r>
        <w:r>
          <w:rPr>
            <w:noProof/>
            <w:webHidden/>
          </w:rPr>
          <w:fldChar w:fldCharType="separate"/>
        </w:r>
        <w:r>
          <w:rPr>
            <w:noProof/>
            <w:webHidden/>
          </w:rPr>
          <w:t>79</w:t>
        </w:r>
        <w:r>
          <w:rPr>
            <w:noProof/>
            <w:webHidden/>
          </w:rPr>
          <w:fldChar w:fldCharType="end"/>
        </w:r>
      </w:hyperlink>
    </w:p>
    <w:p w14:paraId="5F30DC6E" w14:textId="390CE1C5" w:rsidR="00481268" w:rsidRDefault="00481268" w:rsidP="00481268">
      <w:pPr>
        <w:pStyle w:val="TOC2"/>
        <w:rPr>
          <w:rFonts w:asciiTheme="minorHAnsi" w:hAnsiTheme="minorHAnsi" w:cstheme="minorBidi"/>
          <w:noProof/>
          <w:lang w:val="en-GB" w:eastAsia="en-GB"/>
        </w:rPr>
      </w:pPr>
      <w:hyperlink w:anchor="_Toc227252612" w:history="1">
        <w:r w:rsidRPr="00D33891">
          <w:rPr>
            <w:rStyle w:val="Hyperlink"/>
          </w:rPr>
          <w:t>7.5</w:t>
        </w:r>
        <w:r>
          <w:rPr>
            <w:rFonts w:asciiTheme="minorHAnsi" w:hAnsiTheme="minorHAnsi" w:cstheme="minorBidi"/>
            <w:noProof/>
            <w:lang w:val="en-GB" w:eastAsia="en-GB"/>
          </w:rPr>
          <w:tab/>
        </w:r>
        <w:r w:rsidRPr="00D33891">
          <w:rPr>
            <w:rStyle w:val="Hyperlink"/>
            <w:rtl/>
          </w:rPr>
          <w:t>عملية التحول: تحقيق التميز المؤسسي</w:t>
        </w:r>
        <w:r>
          <w:rPr>
            <w:noProof/>
            <w:webHidden/>
          </w:rPr>
          <w:tab/>
        </w:r>
        <w:r>
          <w:rPr>
            <w:noProof/>
            <w:webHidden/>
            <w:rtl/>
          </w:rPr>
          <w:tab/>
        </w:r>
        <w:r>
          <w:rPr>
            <w:noProof/>
            <w:webHidden/>
          </w:rPr>
          <w:fldChar w:fldCharType="begin"/>
        </w:r>
        <w:r>
          <w:rPr>
            <w:noProof/>
            <w:webHidden/>
          </w:rPr>
          <w:instrText xml:space="preserve"> PAGEREF _Toc227252612 \h </w:instrText>
        </w:r>
        <w:r>
          <w:rPr>
            <w:noProof/>
            <w:webHidden/>
          </w:rPr>
        </w:r>
        <w:r>
          <w:rPr>
            <w:noProof/>
            <w:webHidden/>
          </w:rPr>
          <w:fldChar w:fldCharType="separate"/>
        </w:r>
        <w:r>
          <w:rPr>
            <w:noProof/>
            <w:webHidden/>
          </w:rPr>
          <w:t>80</w:t>
        </w:r>
        <w:r>
          <w:rPr>
            <w:noProof/>
            <w:webHidden/>
          </w:rPr>
          <w:fldChar w:fldCharType="end"/>
        </w:r>
      </w:hyperlink>
    </w:p>
    <w:p w14:paraId="7085429F" w14:textId="3E3E02EE" w:rsidR="00481268" w:rsidRDefault="00481268" w:rsidP="00481268">
      <w:pPr>
        <w:pStyle w:val="TOC2"/>
        <w:rPr>
          <w:rFonts w:asciiTheme="minorHAnsi" w:hAnsiTheme="minorHAnsi" w:cstheme="minorBidi"/>
          <w:noProof/>
          <w:lang w:val="en-GB" w:eastAsia="en-GB"/>
        </w:rPr>
      </w:pPr>
      <w:hyperlink w:anchor="_Toc227252613" w:history="1">
        <w:r w:rsidRPr="00D33891">
          <w:rPr>
            <w:rStyle w:val="Hyperlink"/>
          </w:rPr>
          <w:t>8.5</w:t>
        </w:r>
        <w:r>
          <w:rPr>
            <w:rFonts w:asciiTheme="minorHAnsi" w:hAnsiTheme="minorHAnsi" w:cstheme="minorBidi"/>
            <w:noProof/>
            <w:lang w:val="en-GB" w:eastAsia="en-GB"/>
          </w:rPr>
          <w:tab/>
        </w:r>
        <w:r w:rsidRPr="00D33891">
          <w:rPr>
            <w:rStyle w:val="Hyperlink"/>
            <w:rtl/>
          </w:rPr>
          <w:t>‏الموارد البشرية</w:t>
        </w:r>
        <w:r>
          <w:rPr>
            <w:noProof/>
            <w:webHidden/>
          </w:rPr>
          <w:tab/>
        </w:r>
        <w:r>
          <w:rPr>
            <w:noProof/>
            <w:webHidden/>
            <w:rtl/>
          </w:rPr>
          <w:tab/>
        </w:r>
        <w:r>
          <w:rPr>
            <w:noProof/>
            <w:webHidden/>
          </w:rPr>
          <w:fldChar w:fldCharType="begin"/>
        </w:r>
        <w:r>
          <w:rPr>
            <w:noProof/>
            <w:webHidden/>
          </w:rPr>
          <w:instrText xml:space="preserve"> PAGEREF _Toc227252613 \h </w:instrText>
        </w:r>
        <w:r>
          <w:rPr>
            <w:noProof/>
            <w:webHidden/>
          </w:rPr>
        </w:r>
        <w:r>
          <w:rPr>
            <w:noProof/>
            <w:webHidden/>
          </w:rPr>
          <w:fldChar w:fldCharType="separate"/>
        </w:r>
        <w:r>
          <w:rPr>
            <w:noProof/>
            <w:webHidden/>
          </w:rPr>
          <w:t>81</w:t>
        </w:r>
        <w:r>
          <w:rPr>
            <w:noProof/>
            <w:webHidden/>
          </w:rPr>
          <w:fldChar w:fldCharType="end"/>
        </w:r>
      </w:hyperlink>
    </w:p>
    <w:p w14:paraId="4359C5B9" w14:textId="6C033F6C" w:rsidR="00481268" w:rsidRDefault="00481268" w:rsidP="00481268">
      <w:pPr>
        <w:pStyle w:val="TOC2"/>
        <w:rPr>
          <w:rFonts w:asciiTheme="minorHAnsi" w:hAnsiTheme="minorHAnsi" w:cstheme="minorBidi"/>
          <w:noProof/>
          <w:lang w:val="en-GB" w:eastAsia="en-GB"/>
        </w:rPr>
      </w:pPr>
      <w:hyperlink w:anchor="_Toc227252614" w:history="1">
        <w:r w:rsidRPr="00D33891">
          <w:rPr>
            <w:rStyle w:val="Hyperlink"/>
          </w:rPr>
          <w:t>9.5</w:t>
        </w:r>
        <w:r>
          <w:rPr>
            <w:rFonts w:asciiTheme="minorHAnsi" w:hAnsiTheme="minorHAnsi" w:cstheme="minorBidi"/>
            <w:noProof/>
            <w:lang w:val="en-GB" w:eastAsia="en-GB"/>
          </w:rPr>
          <w:tab/>
        </w:r>
        <w:r w:rsidRPr="00D33891">
          <w:rPr>
            <w:rStyle w:val="Hyperlink"/>
            <w:rtl/>
          </w:rPr>
          <w:t>حالة تنفيذ قرارات مؤتمر المندوبين المفوضين</w:t>
        </w:r>
        <w:r>
          <w:rPr>
            <w:noProof/>
            <w:webHidden/>
          </w:rPr>
          <w:tab/>
        </w:r>
        <w:r>
          <w:rPr>
            <w:noProof/>
            <w:webHidden/>
            <w:rtl/>
          </w:rPr>
          <w:tab/>
        </w:r>
        <w:r>
          <w:rPr>
            <w:noProof/>
            <w:webHidden/>
          </w:rPr>
          <w:fldChar w:fldCharType="begin"/>
        </w:r>
        <w:r>
          <w:rPr>
            <w:noProof/>
            <w:webHidden/>
          </w:rPr>
          <w:instrText xml:space="preserve"> PAGEREF _Toc227252614 \h </w:instrText>
        </w:r>
        <w:r>
          <w:rPr>
            <w:noProof/>
            <w:webHidden/>
          </w:rPr>
        </w:r>
        <w:r>
          <w:rPr>
            <w:noProof/>
            <w:webHidden/>
          </w:rPr>
          <w:fldChar w:fldCharType="separate"/>
        </w:r>
        <w:r>
          <w:rPr>
            <w:noProof/>
            <w:webHidden/>
          </w:rPr>
          <w:t>83</w:t>
        </w:r>
        <w:r>
          <w:rPr>
            <w:noProof/>
            <w:webHidden/>
          </w:rPr>
          <w:fldChar w:fldCharType="end"/>
        </w:r>
      </w:hyperlink>
    </w:p>
    <w:p w14:paraId="0F773AF2" w14:textId="66031CB3" w:rsidR="005D6555" w:rsidRPr="005D6555" w:rsidRDefault="00F00721" w:rsidP="00F00721">
      <w:pPr>
        <w:rPr>
          <w:rtl/>
        </w:rPr>
      </w:pPr>
      <w:r>
        <w:rPr>
          <w:rtl/>
        </w:rPr>
        <w:fldChar w:fldCharType="end"/>
      </w:r>
      <w:r w:rsidR="005D6555">
        <w:rPr>
          <w:rtl/>
        </w:rPr>
        <w:br w:type="page"/>
      </w:r>
    </w:p>
    <w:p w14:paraId="4C4A9855" w14:textId="47DDC8D1" w:rsidR="00621959" w:rsidRPr="00621959" w:rsidRDefault="00E76879" w:rsidP="00600769">
      <w:pPr>
        <w:pStyle w:val="Heading1"/>
        <w:rPr>
          <w:lang w:val="en-GB" w:bidi="ar-EG"/>
        </w:rPr>
      </w:pPr>
      <w:bookmarkStart w:id="0" w:name="_Toc227252561"/>
      <w:r>
        <w:rPr>
          <w:rFonts w:hint="cs"/>
          <w:rtl/>
        </w:rPr>
        <w:t>أولاً</w:t>
      </w:r>
      <w:r w:rsidR="00600769">
        <w:tab/>
      </w:r>
      <w:r w:rsidR="00621959" w:rsidRPr="00621959">
        <w:rPr>
          <w:rtl/>
        </w:rPr>
        <w:t>ملخص تنفيذي</w:t>
      </w:r>
      <w:bookmarkEnd w:id="0"/>
    </w:p>
    <w:p w14:paraId="64C2CE6B" w14:textId="508131C3" w:rsidR="00621959" w:rsidRPr="00621959" w:rsidRDefault="00621959" w:rsidP="00621959">
      <w:pPr>
        <w:rPr>
          <w:spacing w:val="-4"/>
          <w:lang w:val="en-GB" w:bidi="ar-EG"/>
        </w:rPr>
      </w:pPr>
      <w:bookmarkStart w:id="1" w:name="_Toc148012655"/>
      <w:bookmarkStart w:id="2" w:name="_Toc37860454"/>
      <w:bookmarkStart w:id="3" w:name="_Toc37861215"/>
      <w:bookmarkStart w:id="4" w:name="_Toc37943334"/>
      <w:r w:rsidRPr="00621959">
        <w:rPr>
          <w:rFonts w:hint="cs"/>
          <w:spacing w:val="-4"/>
          <w:rtl/>
        </w:rPr>
        <w:t>يستعرض</w:t>
      </w:r>
      <w:r w:rsidRPr="00621959">
        <w:rPr>
          <w:spacing w:val="-4"/>
          <w:rtl/>
        </w:rPr>
        <w:t xml:space="preserve"> هذا التقرير تنفيذ الخطط الاستراتيجية للاتحاد الدولي للاتصالات وأنشطته خلال الفترة ما بين </w:t>
      </w:r>
      <w:r w:rsidR="003C4B57">
        <w:rPr>
          <w:rFonts w:hint="cs"/>
          <w:spacing w:val="-4"/>
          <w:rtl/>
        </w:rPr>
        <w:t>أكتوبر</w:t>
      </w:r>
      <w:r w:rsidRPr="00621959">
        <w:rPr>
          <w:spacing w:val="-4"/>
          <w:rtl/>
        </w:rPr>
        <w:t xml:space="preserve"> 2022 و</w:t>
      </w:r>
      <w:r w:rsidR="00147DCC">
        <w:rPr>
          <w:rFonts w:hint="cs"/>
          <w:spacing w:val="-4"/>
          <w:rtl/>
        </w:rPr>
        <w:t>مارس</w:t>
      </w:r>
      <w:r w:rsidR="00147DCC">
        <w:rPr>
          <w:rFonts w:hint="eastAsia"/>
          <w:spacing w:val="-4"/>
          <w:rtl/>
        </w:rPr>
        <w:t> </w:t>
      </w:r>
      <w:r w:rsidR="00147DCC">
        <w:rPr>
          <w:spacing w:val="-4"/>
        </w:rPr>
        <w:t>2026</w:t>
      </w:r>
      <w:r w:rsidRPr="00621959">
        <w:rPr>
          <w:spacing w:val="-4"/>
          <w:rtl/>
        </w:rPr>
        <w:t>. ويشمل إكمال الخطة الاستراتيجية للمنظمة الممتدة لأربع سنوات للفترة 2020-2023 (</w:t>
      </w:r>
      <w:hyperlink r:id="rId12" w:history="1">
        <w:r w:rsidRPr="00621959">
          <w:rPr>
            <w:rStyle w:val="Hyperlink"/>
            <w:noProof w:val="0"/>
            <w:spacing w:val="-4"/>
            <w:rtl/>
            <w:lang w:val="en-US" w:eastAsia="zh-CN"/>
          </w:rPr>
          <w:t>القرار 71</w:t>
        </w:r>
        <w:r w:rsidRPr="00621959">
          <w:rPr>
            <w:rStyle w:val="Hyperlink"/>
            <w:rFonts w:hint="cs"/>
            <w:noProof w:val="0"/>
            <w:spacing w:val="-4"/>
            <w:rtl/>
            <w:lang w:val="en-US" w:eastAsia="zh-CN" w:bidi="ar-EG"/>
          </w:rPr>
          <w:t>،</w:t>
        </w:r>
        <w:r w:rsidRPr="00621959">
          <w:rPr>
            <w:rStyle w:val="Hyperlink"/>
            <w:noProof w:val="0"/>
            <w:spacing w:val="-4"/>
            <w:rtl/>
            <w:lang w:val="en-US" w:eastAsia="zh-CN"/>
          </w:rPr>
          <w:t xml:space="preserve"> (المراجَع في</w:t>
        </w:r>
        <w:r w:rsidR="00600769">
          <w:rPr>
            <w:rStyle w:val="Hyperlink"/>
            <w:rFonts w:hint="cs"/>
            <w:noProof w:val="0"/>
            <w:spacing w:val="-4"/>
            <w:rtl/>
            <w:lang w:val="en-US" w:eastAsia="zh-CN"/>
          </w:rPr>
          <w:t> </w:t>
        </w:r>
        <w:r w:rsidRPr="00621959">
          <w:rPr>
            <w:rStyle w:val="Hyperlink"/>
            <w:noProof w:val="0"/>
            <w:spacing w:val="-4"/>
            <w:rtl/>
            <w:lang w:val="en-US" w:eastAsia="zh-CN"/>
          </w:rPr>
          <w:t>دبي،</w:t>
        </w:r>
        <w:r w:rsidR="00600769">
          <w:rPr>
            <w:rStyle w:val="Hyperlink"/>
            <w:rFonts w:hint="cs"/>
            <w:noProof w:val="0"/>
            <w:spacing w:val="-4"/>
            <w:rtl/>
            <w:lang w:val="en-US" w:eastAsia="zh-CN"/>
          </w:rPr>
          <w:t> </w:t>
        </w:r>
        <w:r w:rsidRPr="00621959">
          <w:rPr>
            <w:rStyle w:val="Hyperlink"/>
            <w:noProof w:val="0"/>
            <w:spacing w:val="-4"/>
            <w:rtl/>
            <w:lang w:val="en-US" w:eastAsia="zh-CN"/>
          </w:rPr>
          <w:t>2018</w:t>
        </w:r>
      </w:hyperlink>
      <w:r w:rsidRPr="00621959">
        <w:rPr>
          <w:spacing w:val="-4"/>
          <w:rtl/>
        </w:rPr>
        <w:t>) والتقدم المحرز خلال أول سنتين من خطة الفترة 2024-2027 (</w:t>
      </w:r>
      <w:hyperlink r:id="rId13" w:history="1">
        <w:r w:rsidRPr="00621959">
          <w:rPr>
            <w:rStyle w:val="Hyperlink"/>
            <w:noProof w:val="0"/>
            <w:spacing w:val="-4"/>
            <w:rtl/>
            <w:lang w:val="en-US" w:eastAsia="zh-CN"/>
          </w:rPr>
          <w:t>القرار 71</w:t>
        </w:r>
        <w:r w:rsidRPr="00621959">
          <w:rPr>
            <w:rStyle w:val="Hyperlink"/>
            <w:rFonts w:hint="cs"/>
            <w:noProof w:val="0"/>
            <w:spacing w:val="-4"/>
            <w:rtl/>
            <w:lang w:val="en-US" w:eastAsia="zh-CN"/>
          </w:rPr>
          <w:t>،</w:t>
        </w:r>
        <w:r w:rsidRPr="00621959">
          <w:rPr>
            <w:rStyle w:val="Hyperlink"/>
            <w:noProof w:val="0"/>
            <w:spacing w:val="-4"/>
            <w:rtl/>
            <w:lang w:val="en-US" w:eastAsia="zh-CN"/>
          </w:rPr>
          <w:t xml:space="preserve"> المراجَع في بوخارست، 2022</w:t>
        </w:r>
      </w:hyperlink>
      <w:r w:rsidRPr="00621959">
        <w:rPr>
          <w:spacing w:val="-4"/>
          <w:rtl/>
        </w:rPr>
        <w:t>)</w:t>
      </w:r>
      <w:r w:rsidR="00600769" w:rsidRPr="00600769">
        <w:rPr>
          <w:rFonts w:hint="cs"/>
          <w:spacing w:val="-4"/>
          <w:rtl/>
          <w:lang w:bidi="ar-EG"/>
        </w:rPr>
        <w:t>.</w:t>
      </w:r>
    </w:p>
    <w:p w14:paraId="2075BB09" w14:textId="77777777" w:rsidR="00621959" w:rsidRPr="00621959" w:rsidRDefault="00621959" w:rsidP="00621959">
      <w:pPr>
        <w:rPr>
          <w:lang w:val="en-GB" w:bidi="ar-EG"/>
        </w:rPr>
      </w:pPr>
      <w:r w:rsidRPr="00621959">
        <w:rPr>
          <w:rtl/>
        </w:rPr>
        <w:t xml:space="preserve">وخلال الفترة الأخيرة المشمولة بهذا التقرير، حقق الاتحاد تقدماً </w:t>
      </w:r>
      <w:r w:rsidRPr="00621959">
        <w:rPr>
          <w:rFonts w:hint="cs"/>
          <w:rtl/>
        </w:rPr>
        <w:t>كبير</w:t>
      </w:r>
      <w:r w:rsidRPr="00621959">
        <w:rPr>
          <w:rtl/>
        </w:rPr>
        <w:t xml:space="preserve">اً في </w:t>
      </w:r>
      <w:r w:rsidRPr="00621959">
        <w:rPr>
          <w:rFonts w:hint="cs"/>
          <w:rtl/>
        </w:rPr>
        <w:t>جدول أعمال</w:t>
      </w:r>
      <w:r w:rsidRPr="00621959">
        <w:rPr>
          <w:rtl/>
        </w:rPr>
        <w:t xml:space="preserve"> طموح لتوصيل جميع الناس حول العالم، وضمان تحقيق التكنولوجيات الرقمية فوائد مستدامة للجميع. وشهدت هذه الفترة، التي تمتد لقرابة أربع سنوات، تسارعاً في التطور التكنولوجي، وتوسعاً في الشراكات، وتعميقاً في التحول التنظيمي بهدف تعزيز فعالية الاتحاد وتأثيره على مدى السنوات القادمة.</w:t>
      </w:r>
    </w:p>
    <w:p w14:paraId="5F950BC7" w14:textId="5877A8E4" w:rsidR="00621959" w:rsidRPr="00621959" w:rsidRDefault="00621959" w:rsidP="00621959">
      <w:pPr>
        <w:rPr>
          <w:lang w:val="en-GB" w:bidi="ar-EG"/>
        </w:rPr>
      </w:pPr>
      <w:r w:rsidRPr="00621959">
        <w:rPr>
          <w:rtl/>
        </w:rPr>
        <w:t>وفي العالم المحيط بنا، استمر انتشار توصيلية</w:t>
      </w:r>
      <w:r w:rsidR="00056A18">
        <w:rPr>
          <w:rFonts w:hint="cs"/>
          <w:rtl/>
        </w:rPr>
        <w:t xml:space="preserve"> الإنترنت</w:t>
      </w:r>
      <w:r w:rsidRPr="00621959">
        <w:rPr>
          <w:rtl/>
        </w:rPr>
        <w:t>، حيث ارتفع معدل الاستعمال من حوالي 67</w:t>
      </w:r>
      <w:r w:rsidR="00E74524">
        <w:rPr>
          <w:rFonts w:hint="cs"/>
          <w:rtl/>
        </w:rPr>
        <w:t xml:space="preserve"> في </w:t>
      </w:r>
      <w:proofErr w:type="gramStart"/>
      <w:r w:rsidR="00E74524">
        <w:rPr>
          <w:rFonts w:hint="cs"/>
          <w:rtl/>
        </w:rPr>
        <w:t>المائة</w:t>
      </w:r>
      <w:proofErr w:type="gramEnd"/>
      <w:r w:rsidRPr="00621959">
        <w:rPr>
          <w:rtl/>
        </w:rPr>
        <w:t xml:space="preserve"> من سكان العالم في</w:t>
      </w:r>
      <w:r w:rsidR="00E74524">
        <w:rPr>
          <w:rFonts w:hint="cs"/>
          <w:rtl/>
        </w:rPr>
        <w:t> </w:t>
      </w:r>
      <w:r w:rsidRPr="00621959">
        <w:rPr>
          <w:rtl/>
        </w:rPr>
        <w:t>عام</w:t>
      </w:r>
      <w:r w:rsidR="00E74524">
        <w:rPr>
          <w:rFonts w:hint="cs"/>
          <w:rtl/>
        </w:rPr>
        <w:t> </w:t>
      </w:r>
      <w:r w:rsidRPr="00621959">
        <w:rPr>
          <w:rtl/>
        </w:rPr>
        <w:t>2022 إلى ما يقرب من 74</w:t>
      </w:r>
      <w:r w:rsidR="00E74524">
        <w:rPr>
          <w:rFonts w:hint="cs"/>
          <w:rtl/>
        </w:rPr>
        <w:t xml:space="preserve"> في </w:t>
      </w:r>
      <w:proofErr w:type="gramStart"/>
      <w:r w:rsidR="00E74524">
        <w:rPr>
          <w:rFonts w:hint="cs"/>
          <w:rtl/>
        </w:rPr>
        <w:t>المائة</w:t>
      </w:r>
      <w:proofErr w:type="gramEnd"/>
      <w:r w:rsidR="00E74524">
        <w:rPr>
          <w:rFonts w:hint="cs"/>
          <w:rtl/>
        </w:rPr>
        <w:t xml:space="preserve"> </w:t>
      </w:r>
      <w:r w:rsidRPr="00621959">
        <w:rPr>
          <w:rtl/>
        </w:rPr>
        <w:t>بحلول عام 2025. إلا أن هذا النمو يخفي أوجه عدم مساواة عميقة ومستمرة. وبحلول عام 2025، لم تتجاوز نسبة مستعملي الإنترنت في البلدان ذات الدخل المنخفض 23</w:t>
      </w:r>
      <w:r w:rsidR="00E74524">
        <w:rPr>
          <w:rFonts w:hint="cs"/>
          <w:rtl/>
        </w:rPr>
        <w:t xml:space="preserve"> في </w:t>
      </w:r>
      <w:proofErr w:type="gramStart"/>
      <w:r w:rsidR="00E74524">
        <w:rPr>
          <w:rFonts w:hint="cs"/>
          <w:rtl/>
        </w:rPr>
        <w:t>المائة</w:t>
      </w:r>
      <w:proofErr w:type="gramEnd"/>
      <w:r w:rsidRPr="00621959">
        <w:rPr>
          <w:rtl/>
        </w:rPr>
        <w:t>، بالمقارنة مع 94</w:t>
      </w:r>
      <w:r w:rsidR="00E74524">
        <w:rPr>
          <w:rFonts w:hint="cs"/>
          <w:rtl/>
        </w:rPr>
        <w:t xml:space="preserve"> في </w:t>
      </w:r>
      <w:proofErr w:type="gramStart"/>
      <w:r w:rsidR="00E74524">
        <w:rPr>
          <w:rFonts w:hint="cs"/>
          <w:rtl/>
        </w:rPr>
        <w:t>المائة</w:t>
      </w:r>
      <w:proofErr w:type="gramEnd"/>
      <w:r w:rsidRPr="00621959">
        <w:rPr>
          <w:rtl/>
        </w:rPr>
        <w:t xml:space="preserve"> في البلدان ذات الدخل المرتفع. كما لا تزال هناك تفاوتات كبيرة بين سكان المدن (85</w:t>
      </w:r>
      <w:r w:rsidR="00E74524">
        <w:rPr>
          <w:rFonts w:hint="cs"/>
          <w:rtl/>
        </w:rPr>
        <w:t xml:space="preserve">في </w:t>
      </w:r>
      <w:proofErr w:type="gramStart"/>
      <w:r w:rsidR="00E74524">
        <w:rPr>
          <w:rFonts w:hint="cs"/>
          <w:rtl/>
        </w:rPr>
        <w:t>المائة</w:t>
      </w:r>
      <w:proofErr w:type="gramEnd"/>
      <w:r w:rsidRPr="00621959">
        <w:rPr>
          <w:rtl/>
        </w:rPr>
        <w:t xml:space="preserve"> متصل</w:t>
      </w:r>
      <w:r w:rsidRPr="00621959">
        <w:rPr>
          <w:rFonts w:hint="cs"/>
          <w:rtl/>
        </w:rPr>
        <w:t>ي</w:t>
      </w:r>
      <w:r w:rsidRPr="00621959">
        <w:rPr>
          <w:rtl/>
        </w:rPr>
        <w:t>ن بالإنترنت) وسكان الريف (58</w:t>
      </w:r>
      <w:r w:rsidR="00E74524">
        <w:rPr>
          <w:rFonts w:hint="cs"/>
          <w:rtl/>
        </w:rPr>
        <w:t xml:space="preserve"> في </w:t>
      </w:r>
      <w:proofErr w:type="gramStart"/>
      <w:r w:rsidR="00E74524">
        <w:rPr>
          <w:rFonts w:hint="cs"/>
          <w:rtl/>
        </w:rPr>
        <w:t>المائة</w:t>
      </w:r>
      <w:proofErr w:type="gramEnd"/>
      <w:r w:rsidRPr="00621959">
        <w:rPr>
          <w:rtl/>
        </w:rPr>
        <w:t xml:space="preserve"> متصل</w:t>
      </w:r>
      <w:r w:rsidRPr="00621959">
        <w:rPr>
          <w:rFonts w:hint="cs"/>
          <w:rtl/>
        </w:rPr>
        <w:t>ي</w:t>
      </w:r>
      <w:r w:rsidRPr="00621959">
        <w:rPr>
          <w:rtl/>
        </w:rPr>
        <w:t>ن بالإنترنت).</w:t>
      </w:r>
    </w:p>
    <w:p w14:paraId="73F1C461" w14:textId="0A0D880C" w:rsidR="00621959" w:rsidRPr="00621959" w:rsidRDefault="00621959" w:rsidP="00621959">
      <w:pPr>
        <w:rPr>
          <w:lang w:val="en-GB" w:bidi="ar-EG"/>
        </w:rPr>
      </w:pPr>
      <w:r w:rsidRPr="00621959">
        <w:rPr>
          <w:rtl/>
        </w:rPr>
        <w:t>ولا تزال الفجوات بين الجنسين قائمة في النفاذ إلى الخدمات الرقمية واستعمالها، ولا سيما في أقل البلدان نمواً في العالم. وعلى الصعيد العالمي، استخدم 77</w:t>
      </w:r>
      <w:r w:rsidR="00E74524">
        <w:rPr>
          <w:rtl/>
        </w:rPr>
        <w:t xml:space="preserve"> في </w:t>
      </w:r>
      <w:proofErr w:type="gramStart"/>
      <w:r w:rsidR="00E74524">
        <w:rPr>
          <w:rtl/>
        </w:rPr>
        <w:t>المائة</w:t>
      </w:r>
      <w:proofErr w:type="gramEnd"/>
      <w:r w:rsidRPr="00621959">
        <w:rPr>
          <w:rtl/>
        </w:rPr>
        <w:t xml:space="preserve"> من الرجال الإنترنت مقابل 71</w:t>
      </w:r>
      <w:r w:rsidR="00E74524">
        <w:rPr>
          <w:rtl/>
        </w:rPr>
        <w:t xml:space="preserve"> في </w:t>
      </w:r>
      <w:proofErr w:type="gramStart"/>
      <w:r w:rsidR="00E74524">
        <w:rPr>
          <w:rtl/>
        </w:rPr>
        <w:t>المائة</w:t>
      </w:r>
      <w:proofErr w:type="gramEnd"/>
      <w:r w:rsidRPr="00621959">
        <w:rPr>
          <w:rtl/>
        </w:rPr>
        <w:t xml:space="preserve"> من النساء في عام 2025. وكان عدد الرجال الموصولين بالإنترنت في جميع أنحاء العالم يزيد بنحو 280 مليوناً عن عدد النساء في عام 2025، على الرغم من ارتفاع استعمال الإنترنت بنسبة 45</w:t>
      </w:r>
      <w:r w:rsidR="00E74524">
        <w:rPr>
          <w:rtl/>
        </w:rPr>
        <w:t xml:space="preserve"> في </w:t>
      </w:r>
      <w:proofErr w:type="gramStart"/>
      <w:r w:rsidR="00E74524">
        <w:rPr>
          <w:rtl/>
        </w:rPr>
        <w:t>المائة</w:t>
      </w:r>
      <w:proofErr w:type="gramEnd"/>
      <w:r w:rsidRPr="00621959">
        <w:rPr>
          <w:rtl/>
        </w:rPr>
        <w:t xml:space="preserve"> تقريباً بين كل من النساء والرجال منذ عام 2019. وفي الوقت نفسه، لا يزال المستعملون الشباب في طليعة تبني </w:t>
      </w:r>
      <w:r w:rsidRPr="00621959">
        <w:rPr>
          <w:rFonts w:hint="cs"/>
          <w:rtl/>
        </w:rPr>
        <w:t>الاتصالات</w:t>
      </w:r>
      <w:r w:rsidRPr="00621959">
        <w:rPr>
          <w:rtl/>
        </w:rPr>
        <w:t xml:space="preserve"> الرقمية، حيث بلغت نسبة الشباب الذين تتراوح أعمارهم بين 15 و24 عاماً والموصولين بالإنترنت 82</w:t>
      </w:r>
      <w:r w:rsidR="00E74524">
        <w:rPr>
          <w:rtl/>
        </w:rPr>
        <w:t xml:space="preserve"> في </w:t>
      </w:r>
      <w:proofErr w:type="gramStart"/>
      <w:r w:rsidR="00E74524">
        <w:rPr>
          <w:rtl/>
        </w:rPr>
        <w:t>المائة</w:t>
      </w:r>
      <w:proofErr w:type="gramEnd"/>
      <w:r w:rsidRPr="00621959">
        <w:rPr>
          <w:rtl/>
        </w:rPr>
        <w:t xml:space="preserve"> في عام 2025، مقارنة بنسبة 72</w:t>
      </w:r>
      <w:r w:rsidR="00E74524">
        <w:rPr>
          <w:rtl/>
        </w:rPr>
        <w:t xml:space="preserve"> في </w:t>
      </w:r>
      <w:proofErr w:type="gramStart"/>
      <w:r w:rsidR="00E74524">
        <w:rPr>
          <w:rtl/>
        </w:rPr>
        <w:t>المائة</w:t>
      </w:r>
      <w:proofErr w:type="gramEnd"/>
      <w:r w:rsidRPr="00621959">
        <w:rPr>
          <w:rtl/>
        </w:rPr>
        <w:t xml:space="preserve"> لبقية السكان.</w:t>
      </w:r>
    </w:p>
    <w:p w14:paraId="1D07BD71" w14:textId="34CC1E25" w:rsidR="00621959" w:rsidRPr="00621959" w:rsidRDefault="00621959" w:rsidP="00621959">
      <w:pPr>
        <w:rPr>
          <w:lang w:val="en-GB" w:bidi="ar-EG"/>
        </w:rPr>
      </w:pPr>
      <w:r w:rsidRPr="00621959">
        <w:rPr>
          <w:rtl/>
        </w:rPr>
        <w:t xml:space="preserve">وقد تحسنت القدرة على تحمل </w:t>
      </w:r>
      <w:r w:rsidRPr="00621959">
        <w:rPr>
          <w:rFonts w:hint="cs"/>
          <w:rtl/>
        </w:rPr>
        <w:t>تكلفة</w:t>
      </w:r>
      <w:r w:rsidRPr="00621959">
        <w:rPr>
          <w:rtl/>
        </w:rPr>
        <w:t xml:space="preserve"> الخدمات الرقمية في جميع أنحاء العالم، حيث انخفض متوسط ​​أسعار النطاق العريض عبر الهواتف المتنقلة من 2</w:t>
      </w:r>
      <w:r w:rsidR="00E74524">
        <w:rPr>
          <w:rtl/>
        </w:rPr>
        <w:t xml:space="preserve"> في </w:t>
      </w:r>
      <w:proofErr w:type="gramStart"/>
      <w:r w:rsidR="00E74524">
        <w:rPr>
          <w:rtl/>
        </w:rPr>
        <w:t>المائة</w:t>
      </w:r>
      <w:proofErr w:type="gramEnd"/>
      <w:r w:rsidRPr="00621959">
        <w:rPr>
          <w:rtl/>
        </w:rPr>
        <w:t xml:space="preserve"> إلى 1</w:t>
      </w:r>
      <w:r w:rsidRPr="00621959">
        <w:rPr>
          <w:rFonts w:hint="cs"/>
          <w:rtl/>
        </w:rPr>
        <w:t>,</w:t>
      </w:r>
      <w:r w:rsidRPr="00621959">
        <w:rPr>
          <w:rtl/>
        </w:rPr>
        <w:t>4</w:t>
      </w:r>
      <w:r w:rsidR="00E74524">
        <w:rPr>
          <w:rtl/>
        </w:rPr>
        <w:t xml:space="preserve"> في </w:t>
      </w:r>
      <w:proofErr w:type="gramStart"/>
      <w:r w:rsidR="00E74524">
        <w:rPr>
          <w:rtl/>
        </w:rPr>
        <w:t>المائة</w:t>
      </w:r>
      <w:proofErr w:type="gramEnd"/>
      <w:r w:rsidRPr="00621959">
        <w:rPr>
          <w:rtl/>
        </w:rPr>
        <w:t xml:space="preserve"> من </w:t>
      </w:r>
      <w:bookmarkStart w:id="5" w:name="_Hlk227168051"/>
      <w:r w:rsidR="00B458A7">
        <w:rPr>
          <w:rFonts w:hint="cs"/>
          <w:rtl/>
        </w:rPr>
        <w:t xml:space="preserve">نصيب الفرد من </w:t>
      </w:r>
      <w:r w:rsidR="00056A18">
        <w:rPr>
          <w:rFonts w:hint="cs"/>
          <w:rtl/>
        </w:rPr>
        <w:t>الدخل القومي</w:t>
      </w:r>
      <w:r w:rsidRPr="00621959">
        <w:rPr>
          <w:rtl/>
        </w:rPr>
        <w:t xml:space="preserve"> </w:t>
      </w:r>
      <w:r w:rsidR="00B458A7">
        <w:rPr>
          <w:rFonts w:hint="cs"/>
          <w:rtl/>
        </w:rPr>
        <w:t>الإجمالي</w:t>
      </w:r>
      <w:bookmarkEnd w:id="5"/>
      <w:r w:rsidRPr="00621959">
        <w:rPr>
          <w:rtl/>
        </w:rPr>
        <w:t>، وانخفضت أسعار النطاق العريض الثابت من 3</w:t>
      </w:r>
      <w:r w:rsidRPr="00621959">
        <w:rPr>
          <w:rFonts w:hint="cs"/>
          <w:rtl/>
        </w:rPr>
        <w:t>,</w:t>
      </w:r>
      <w:r w:rsidRPr="00621959">
        <w:rPr>
          <w:rtl/>
        </w:rPr>
        <w:t>1</w:t>
      </w:r>
      <w:r w:rsidR="00E74524">
        <w:rPr>
          <w:rtl/>
        </w:rPr>
        <w:t xml:space="preserve"> في </w:t>
      </w:r>
      <w:proofErr w:type="gramStart"/>
      <w:r w:rsidR="00E74524">
        <w:rPr>
          <w:rtl/>
        </w:rPr>
        <w:t>المائة</w:t>
      </w:r>
      <w:proofErr w:type="gramEnd"/>
      <w:r w:rsidRPr="00621959">
        <w:rPr>
          <w:rtl/>
        </w:rPr>
        <w:t xml:space="preserve"> إلى 2</w:t>
      </w:r>
      <w:r w:rsidRPr="00621959">
        <w:rPr>
          <w:rFonts w:hint="cs"/>
          <w:rtl/>
        </w:rPr>
        <w:t>,</w:t>
      </w:r>
      <w:r w:rsidRPr="00621959">
        <w:rPr>
          <w:rtl/>
        </w:rPr>
        <w:t>5</w:t>
      </w:r>
      <w:r w:rsidR="00E74524">
        <w:rPr>
          <w:rtl/>
        </w:rPr>
        <w:t xml:space="preserve"> في </w:t>
      </w:r>
      <w:proofErr w:type="gramStart"/>
      <w:r w:rsidR="00E74524">
        <w:rPr>
          <w:rtl/>
        </w:rPr>
        <w:t>المائة</w:t>
      </w:r>
      <w:proofErr w:type="gramEnd"/>
      <w:r w:rsidRPr="00621959">
        <w:rPr>
          <w:rtl/>
        </w:rPr>
        <w:t xml:space="preserve"> خلال الفترة من عام 2022 إلى عام 2025. وعلى الرغم من هذه المكاسب، لا يزال مليارات الأشخاص يفتقرون إلى الخدمات ميسورة التكلفة، والمهارات الرقمية الأساسية، وإمكانية النفاذ إلى الأجهزة، والثقة في السلامة على الإنترنت.</w:t>
      </w:r>
    </w:p>
    <w:p w14:paraId="4CFB69CC" w14:textId="77777777" w:rsidR="00621959" w:rsidRPr="00621959" w:rsidRDefault="00621959" w:rsidP="00E74524">
      <w:pPr>
        <w:pStyle w:val="Headingb"/>
        <w:rPr>
          <w:rtl/>
        </w:rPr>
      </w:pPr>
      <w:r w:rsidRPr="00621959">
        <w:rPr>
          <w:rtl/>
        </w:rPr>
        <w:t>المؤتمرات النظامية العالمية</w:t>
      </w:r>
    </w:p>
    <w:p w14:paraId="64169777" w14:textId="77777777" w:rsidR="00621959" w:rsidRPr="00621959" w:rsidRDefault="00621959" w:rsidP="00621959">
      <w:pPr>
        <w:rPr>
          <w:lang w:val="en-GB" w:bidi="ar-EG"/>
        </w:rPr>
      </w:pPr>
      <w:r w:rsidRPr="00621959">
        <w:rPr>
          <w:rtl/>
        </w:rPr>
        <w:t xml:space="preserve">ساهمت </w:t>
      </w:r>
      <w:proofErr w:type="gramStart"/>
      <w:r w:rsidRPr="00621959">
        <w:rPr>
          <w:rtl/>
        </w:rPr>
        <w:t>خمسة</w:t>
      </w:r>
      <w:proofErr w:type="gramEnd"/>
      <w:r w:rsidRPr="00621959">
        <w:rPr>
          <w:rtl/>
        </w:rPr>
        <w:t xml:space="preserve"> مؤتمرات نظامية للاتحاد في صياغة مناقشات السياسات والتكنولوجيا خلال تلك الفترة، وحققت المواءمة بين جهود الأعضاء والشركاء بشأن تنسيق الطيف المشترك، وتقييس التكنولوجيا، وأهداف التنمية الرقمية.</w:t>
      </w:r>
    </w:p>
    <w:p w14:paraId="51BDA0B2" w14:textId="3599450F" w:rsidR="00621959" w:rsidRPr="00621959" w:rsidRDefault="00621959" w:rsidP="00621959">
      <w:pPr>
        <w:rPr>
          <w:lang w:val="en-GB" w:bidi="ar-EG"/>
        </w:rPr>
      </w:pPr>
      <w:r w:rsidRPr="00621959">
        <w:rPr>
          <w:rtl/>
        </w:rPr>
        <w:t>وحدد مؤتمر المندوبين المفوضين (</w:t>
      </w:r>
      <w:hyperlink r:id="rId14" w:history="1">
        <w:r w:rsidRPr="00621959">
          <w:rPr>
            <w:rStyle w:val="Hyperlink"/>
            <w:noProof w:val="0"/>
            <w:lang w:eastAsia="zh-CN" w:bidi="ar-EG"/>
          </w:rPr>
          <w:t>PP-22</w:t>
        </w:r>
      </w:hyperlink>
      <w:r w:rsidRPr="00621959">
        <w:rPr>
          <w:rtl/>
        </w:rPr>
        <w:t xml:space="preserve">) الذي عقد في بوخارست، رومانيا، التوجه الاستراتيجي للاتحاد للفترة المقبلة من خلال الخطة الاستراتيجية للفترة 2024-2027. وعدّل المؤتمر 56 قراراً، واعتمد </w:t>
      </w:r>
      <w:proofErr w:type="gramStart"/>
      <w:r w:rsidRPr="00621959">
        <w:rPr>
          <w:rtl/>
        </w:rPr>
        <w:t>ستة</w:t>
      </w:r>
      <w:proofErr w:type="gramEnd"/>
      <w:r w:rsidRPr="00621959">
        <w:rPr>
          <w:rtl/>
        </w:rPr>
        <w:t xml:space="preserve"> قرارات جديدة، وأطلق مسارات عمل رئيسية في مجالات الذكاء الاصطناعي</w:t>
      </w:r>
      <w:r w:rsidR="00E74524">
        <w:rPr>
          <w:rFonts w:hint="cs"/>
          <w:rtl/>
          <w:lang w:bidi="ar-EG"/>
        </w:rPr>
        <w:t xml:space="preserve"> </w:t>
      </w:r>
      <w:r w:rsidR="00E74524">
        <w:rPr>
          <w:lang w:bidi="ar-EG"/>
        </w:rPr>
        <w:t>(AI)</w:t>
      </w:r>
      <w:r w:rsidRPr="00621959">
        <w:rPr>
          <w:rtl/>
        </w:rPr>
        <w:t>، واستدامة الفضاء الخارجي، والمساواة بين الجنسين، والعمل المناخي، والتأهب للجوائح، والمدن الذكية. كما حقق المؤتمر إنجازاً تاريخياً بانتخاب أول امرأة تشغل منصب الأمينة العامة للاتحاد.</w:t>
      </w:r>
    </w:p>
    <w:p w14:paraId="72CABF27" w14:textId="77777777" w:rsidR="00621959" w:rsidRPr="00621959" w:rsidRDefault="00621959" w:rsidP="00621959">
      <w:pPr>
        <w:rPr>
          <w:lang w:val="en-GB" w:bidi="ar-EG"/>
        </w:rPr>
      </w:pPr>
      <w:r w:rsidRPr="00621959">
        <w:rPr>
          <w:rtl/>
        </w:rPr>
        <w:t>وعززت المؤتمرات النظامية اللاحقة خلال الفترة حتى عام 2025 أنشطة قطاعية متنوعة وحدثتها.</w:t>
      </w:r>
    </w:p>
    <w:p w14:paraId="671429FC" w14:textId="0DA49773" w:rsidR="00621959" w:rsidRPr="00621959" w:rsidRDefault="00621959" w:rsidP="00621959">
      <w:pPr>
        <w:rPr>
          <w:lang w:val="en-GB" w:bidi="ar-EG"/>
        </w:rPr>
      </w:pPr>
      <w:r w:rsidRPr="00621959">
        <w:rPr>
          <w:rtl/>
        </w:rPr>
        <w:t>وتناول المؤتمر العالمي للاتصالات الراديوية لعام 2023 (</w:t>
      </w:r>
      <w:hyperlink r:id="rId15" w:anchor="/ar" w:history="1">
        <w:r w:rsidRPr="00621959">
          <w:rPr>
            <w:rStyle w:val="Hyperlink"/>
            <w:noProof w:val="0"/>
            <w:lang w:eastAsia="zh-CN" w:bidi="ar-EG"/>
          </w:rPr>
          <w:t>WRC-23</w:t>
        </w:r>
      </w:hyperlink>
      <w:r w:rsidRPr="00621959">
        <w:rPr>
          <w:rtl/>
        </w:rPr>
        <w:t xml:space="preserve">) الذي عُقد في دبي، الإمارات العربية المتحدة، أكثر من 30 بنداً </w:t>
      </w:r>
      <w:r w:rsidR="00056A18">
        <w:rPr>
          <w:rFonts w:hint="cs"/>
          <w:rtl/>
        </w:rPr>
        <w:t>من</w:t>
      </w:r>
      <w:r w:rsidRPr="00621959">
        <w:rPr>
          <w:rtl/>
        </w:rPr>
        <w:t xml:space="preserve"> بنود جدول الأعمال، شملت الاتصالات المتنقلة الدولية</w:t>
      </w:r>
      <w:r w:rsidR="00E74524">
        <w:rPr>
          <w:rFonts w:hint="cs"/>
          <w:rtl/>
          <w:lang w:bidi="ar-EG"/>
        </w:rPr>
        <w:t xml:space="preserve"> </w:t>
      </w:r>
      <w:r w:rsidR="00E74524">
        <w:rPr>
          <w:lang w:bidi="ar-EG"/>
        </w:rPr>
        <w:t>(IMT)</w:t>
      </w:r>
      <w:r w:rsidRPr="00621959">
        <w:rPr>
          <w:rtl/>
        </w:rPr>
        <w:t xml:space="preserve">، والخدمات الساتلية والبحرية والجوية. وقدمت جمعية الاتصالات الراديوية السابقة </w:t>
      </w:r>
      <w:r w:rsidRPr="00621959">
        <w:rPr>
          <w:rFonts w:hint="cs"/>
          <w:rtl/>
          <w:lang w:bidi="ar-EG"/>
        </w:rPr>
        <w:t xml:space="preserve">لعام 2023 </w:t>
      </w:r>
      <w:r w:rsidRPr="00621959">
        <w:rPr>
          <w:rtl/>
        </w:rPr>
        <w:t>(</w:t>
      </w:r>
      <w:hyperlink r:id="rId16" w:anchor="/ar" w:history="1">
        <w:r w:rsidRPr="00621959">
          <w:rPr>
            <w:rStyle w:val="Hyperlink"/>
            <w:noProof w:val="0"/>
            <w:lang w:eastAsia="zh-CN" w:bidi="ar-EG"/>
          </w:rPr>
          <w:t>RA-23</w:t>
        </w:r>
      </w:hyperlink>
      <w:r w:rsidRPr="00621959">
        <w:rPr>
          <w:rtl/>
        </w:rPr>
        <w:t>) إطار الاتصالات المتنقلة الدولية-2030 (الأساس لشبكات الجيل السادس المتوقعة)، واعتمدت قرارات جديدة بشأن المساواة بين الجنسين، والنطاق العريض، واستدامة الطيف. وقد عززت هذه المؤتمرات معاً عمل قطاع الاتصالات الراديوية بالاتحاد (</w:t>
      </w:r>
      <w:r w:rsidRPr="00621959">
        <w:rPr>
          <w:lang w:val="en-GB" w:bidi="ar-EG"/>
        </w:rPr>
        <w:t>ITU-R</w:t>
      </w:r>
      <w:r w:rsidRPr="00621959">
        <w:rPr>
          <w:rtl/>
        </w:rPr>
        <w:t xml:space="preserve">)، وحافظت على الخدمات القائمة، وضمنت تخصيصات الترددات لأنظمة الجيل التالي، وأكدت على الأهمية المتزايدة للفضاء </w:t>
      </w:r>
      <w:proofErr w:type="spellStart"/>
      <w:r w:rsidRPr="00621959">
        <w:rPr>
          <w:rtl/>
        </w:rPr>
        <w:t>والسواتل</w:t>
      </w:r>
      <w:proofErr w:type="spellEnd"/>
      <w:r w:rsidRPr="00621959">
        <w:rPr>
          <w:rtl/>
        </w:rPr>
        <w:t xml:space="preserve"> للاتصالات العالمية.</w:t>
      </w:r>
    </w:p>
    <w:p w14:paraId="0B9B9B44" w14:textId="7E995929" w:rsidR="00621959" w:rsidRPr="00621959" w:rsidRDefault="00621959" w:rsidP="009466C4">
      <w:pPr>
        <w:keepLines/>
        <w:rPr>
          <w:rtl/>
        </w:rPr>
      </w:pPr>
      <w:r w:rsidRPr="00621959">
        <w:rPr>
          <w:rtl/>
        </w:rPr>
        <w:t>وشددت الجمعية العالمية لتقييس الاتصالات لعام 2024 (</w:t>
      </w:r>
      <w:hyperlink r:id="rId17" w:anchor="/ar" w:history="1">
        <w:r w:rsidRPr="00621959">
          <w:rPr>
            <w:rStyle w:val="Hyperlink"/>
            <w:noProof w:val="0"/>
            <w:lang w:eastAsia="zh-CN" w:bidi="ar-EG"/>
          </w:rPr>
          <w:t>WTSA-24</w:t>
        </w:r>
      </w:hyperlink>
      <w:r w:rsidRPr="00621959">
        <w:rPr>
          <w:rtl/>
        </w:rPr>
        <w:t>) التي عُقدت في نيودلهي، الهند، على الذكاء الاصطناعي، والاتصالات في حالات الطوارئ، وغيرهما من الأولويات الرقمية سريعة التطور. وحدّث المؤتمر هيكل قطاع تقييس الاتصالات</w:t>
      </w:r>
      <w:r w:rsidR="009466C4">
        <w:rPr>
          <w:rFonts w:hint="cs"/>
          <w:rtl/>
          <w:lang w:bidi="ar-EG"/>
        </w:rPr>
        <w:t xml:space="preserve"> </w:t>
      </w:r>
      <w:r w:rsidR="009466C4">
        <w:rPr>
          <w:lang w:bidi="ar-EG"/>
        </w:rPr>
        <w:t>(ITU-T)</w:t>
      </w:r>
      <w:r w:rsidRPr="00621959">
        <w:rPr>
          <w:rtl/>
        </w:rPr>
        <w:t>، وشكل لجنة الدراسات 21 الجديدة لقطاع تقييس الاتصالات، والتي تركز على الوسائط المتعددة، وإيصال المحتوى، وتكنولوجيا الكبلات. وقام "مهرجان المعايير" المصاحب بعرض الابتكار والتعاون بين القطاعات بما يتماشى مع أهداف الأمم المتحدة للتعاون الرقمي.</w:t>
      </w:r>
    </w:p>
    <w:p w14:paraId="6BA036B3" w14:textId="586E0AC5" w:rsidR="00621959" w:rsidRPr="00621959" w:rsidRDefault="00621959" w:rsidP="00621959">
      <w:pPr>
        <w:rPr>
          <w:spacing w:val="-2"/>
          <w:lang w:val="en-GB" w:bidi="ar-EG"/>
        </w:rPr>
      </w:pPr>
      <w:r w:rsidRPr="00621959">
        <w:rPr>
          <w:spacing w:val="-2"/>
          <w:rtl/>
        </w:rPr>
        <w:t>واعتمد المؤتمر العالمي لتنمية الاتصالات لعام 2025 (</w:t>
      </w:r>
      <w:hyperlink r:id="rId18" w:anchor="/ar" w:history="1">
        <w:r w:rsidRPr="00621959">
          <w:rPr>
            <w:rStyle w:val="Hyperlink"/>
            <w:noProof w:val="0"/>
            <w:spacing w:val="-2"/>
            <w:lang w:eastAsia="zh-CN" w:bidi="ar-EG"/>
          </w:rPr>
          <w:t>WTDC</w:t>
        </w:r>
        <w:r w:rsidR="009466C4">
          <w:rPr>
            <w:rStyle w:val="Hyperlink"/>
            <w:noProof w:val="0"/>
            <w:spacing w:val="-2"/>
            <w:lang w:eastAsia="zh-CN" w:bidi="ar-EG"/>
          </w:rPr>
          <w:t>-</w:t>
        </w:r>
        <w:r w:rsidRPr="00621959">
          <w:rPr>
            <w:rStyle w:val="Hyperlink"/>
            <w:noProof w:val="0"/>
            <w:spacing w:val="-2"/>
            <w:lang w:eastAsia="zh-CN" w:bidi="ar-EG"/>
          </w:rPr>
          <w:t>25</w:t>
        </w:r>
      </w:hyperlink>
      <w:r w:rsidRPr="00621959">
        <w:rPr>
          <w:spacing w:val="-2"/>
          <w:rtl/>
        </w:rPr>
        <w:t>) إعلان باكو وخطة عمل باكو الاستشرافية التي حددت أولويات قطاع تنمية الاتصالات بالاتحاد (</w:t>
      </w:r>
      <w:r w:rsidRPr="00621959">
        <w:rPr>
          <w:spacing w:val="-2"/>
          <w:lang w:val="en-GB" w:bidi="ar-EG"/>
        </w:rPr>
        <w:t>ITU-D</w:t>
      </w:r>
      <w:r w:rsidRPr="00621959">
        <w:rPr>
          <w:spacing w:val="-2"/>
          <w:rtl/>
        </w:rPr>
        <w:t xml:space="preserve">) للفترة 2026-2029. ووافق المؤتمر أيضاً على مبادرات إقليمية جديدة لإفريقيا، </w:t>
      </w:r>
      <w:proofErr w:type="spellStart"/>
      <w:r w:rsidRPr="00621959">
        <w:rPr>
          <w:spacing w:val="-2"/>
          <w:rtl/>
        </w:rPr>
        <w:t>والأمريكتين</w:t>
      </w:r>
      <w:proofErr w:type="spellEnd"/>
      <w:r w:rsidRPr="00621959">
        <w:rPr>
          <w:spacing w:val="-2"/>
          <w:rtl/>
        </w:rPr>
        <w:t>، والدول العربية، وآسيا والمحيط الهادئ، وكومنولث الدول المستقلة</w:t>
      </w:r>
      <w:r w:rsidR="00E74524" w:rsidRPr="00E74524">
        <w:rPr>
          <w:rFonts w:hint="cs"/>
          <w:spacing w:val="-2"/>
          <w:rtl/>
          <w:lang w:bidi="ar-EG"/>
        </w:rPr>
        <w:t xml:space="preserve"> </w:t>
      </w:r>
      <w:r w:rsidR="00E74524" w:rsidRPr="00E74524">
        <w:rPr>
          <w:spacing w:val="-2"/>
          <w:lang w:bidi="ar-EG"/>
        </w:rPr>
        <w:t>(CIS)</w:t>
      </w:r>
      <w:r w:rsidRPr="00621959">
        <w:rPr>
          <w:spacing w:val="-2"/>
          <w:rtl/>
        </w:rPr>
        <w:t>، وأوروبا، تستهدف الاحتياجات الأكثر إلحاحاً للتنمية الرقمية في كل منطقة. ومن خلال هذه المبادرات، يكون الاتحاد في موقع يسمح له بتعبئة الموارد وبناء شراكات تسرّع التحول الرقمي، وتسد الفجوات المستمرة في التوصيلية، وتدعم المجتمعات الضعيفة - بما</w:t>
      </w:r>
      <w:r w:rsidR="00E74524">
        <w:rPr>
          <w:rFonts w:hint="cs"/>
          <w:spacing w:val="-2"/>
          <w:rtl/>
        </w:rPr>
        <w:t> </w:t>
      </w:r>
      <w:r w:rsidRPr="00621959">
        <w:rPr>
          <w:spacing w:val="-2"/>
          <w:rtl/>
        </w:rPr>
        <w:t>في</w:t>
      </w:r>
      <w:r w:rsidR="00E74524">
        <w:rPr>
          <w:rFonts w:hint="eastAsia"/>
          <w:spacing w:val="-2"/>
          <w:rtl/>
          <w:lang w:bidi="ar-EG"/>
        </w:rPr>
        <w:t> </w:t>
      </w:r>
      <w:r w:rsidRPr="00621959">
        <w:rPr>
          <w:spacing w:val="-2"/>
          <w:rtl/>
        </w:rPr>
        <w:t>ذلك أقل البلدان نمواً</w:t>
      </w:r>
      <w:r w:rsidR="00E74524" w:rsidRPr="00E74524">
        <w:rPr>
          <w:rFonts w:hint="cs"/>
          <w:spacing w:val="-2"/>
          <w:rtl/>
          <w:lang w:bidi="ar-EG"/>
        </w:rPr>
        <w:t xml:space="preserve"> </w:t>
      </w:r>
      <w:r w:rsidR="00E74524" w:rsidRPr="00E74524">
        <w:rPr>
          <w:spacing w:val="-2"/>
          <w:lang w:bidi="ar-EG"/>
        </w:rPr>
        <w:t>(LDC)</w:t>
      </w:r>
      <w:r w:rsidRPr="00621959">
        <w:rPr>
          <w:spacing w:val="-2"/>
          <w:rtl/>
        </w:rPr>
        <w:t>، والبلدان النامية غير الساحلية</w:t>
      </w:r>
      <w:r w:rsidR="00E74524" w:rsidRPr="00E74524">
        <w:rPr>
          <w:rFonts w:hint="cs"/>
          <w:spacing w:val="-2"/>
          <w:rtl/>
          <w:lang w:bidi="ar-EG"/>
        </w:rPr>
        <w:t xml:space="preserve"> </w:t>
      </w:r>
      <w:r w:rsidR="00E74524" w:rsidRPr="00E74524">
        <w:rPr>
          <w:spacing w:val="-2"/>
          <w:lang w:bidi="ar-EG"/>
        </w:rPr>
        <w:t>(LLDC)</w:t>
      </w:r>
      <w:r w:rsidRPr="00621959">
        <w:rPr>
          <w:spacing w:val="-2"/>
          <w:rtl/>
        </w:rPr>
        <w:t>، والدول الجزرية الصغيرة النامية</w:t>
      </w:r>
      <w:r w:rsidR="00E74524" w:rsidRPr="00E74524">
        <w:rPr>
          <w:rFonts w:hint="cs"/>
          <w:spacing w:val="-2"/>
          <w:rtl/>
          <w:lang w:bidi="ar-EG"/>
        </w:rPr>
        <w:t xml:space="preserve"> </w:t>
      </w:r>
      <w:r w:rsidR="00E74524" w:rsidRPr="00E74524">
        <w:rPr>
          <w:spacing w:val="-2"/>
          <w:lang w:bidi="ar-EG"/>
        </w:rPr>
        <w:t>(SIDS)</w:t>
      </w:r>
      <w:r w:rsidRPr="00621959">
        <w:rPr>
          <w:spacing w:val="-2"/>
          <w:rtl/>
        </w:rPr>
        <w:t xml:space="preserve"> - عبر</w:t>
      </w:r>
      <w:r w:rsidR="00E74524">
        <w:rPr>
          <w:rFonts w:hint="cs"/>
          <w:spacing w:val="-2"/>
          <w:rtl/>
        </w:rPr>
        <w:t> </w:t>
      </w:r>
      <w:r w:rsidRPr="00621959">
        <w:rPr>
          <w:spacing w:val="-2"/>
          <w:rtl/>
        </w:rPr>
        <w:t>مشاريع إنمائية ملموسة ومدفوعة بالتأثير.</w:t>
      </w:r>
    </w:p>
    <w:p w14:paraId="0CD4A97B" w14:textId="77777777" w:rsidR="0089560B" w:rsidRDefault="00621959" w:rsidP="00D11F3C">
      <w:pPr>
        <w:pStyle w:val="Headingb"/>
        <w:rPr>
          <w:rtl/>
        </w:rPr>
      </w:pPr>
      <w:r w:rsidRPr="00621959">
        <w:rPr>
          <w:rtl/>
        </w:rPr>
        <w:t>نتائج الخطة الاستراتيجية وتأثيرها</w:t>
      </w:r>
    </w:p>
    <w:p w14:paraId="70A522ED" w14:textId="5E12A870" w:rsidR="00621959" w:rsidRPr="00621959" w:rsidRDefault="00621959" w:rsidP="00621959">
      <w:pPr>
        <w:rPr>
          <w:spacing w:val="-2"/>
          <w:lang w:val="en-GB" w:bidi="ar-EG"/>
        </w:rPr>
      </w:pPr>
      <w:r w:rsidRPr="00621959">
        <w:rPr>
          <w:spacing w:val="-2"/>
          <w:rtl/>
        </w:rPr>
        <w:t xml:space="preserve">ساعدت الخطة الاستراتيجية للفترة 2020-2023 بلدان حول العالم على توسيع نطاق النفاذ إلى الإنترنت، وتحسين القدرة على تحمل التكلفة، وتعزيز الأمن السيبراني، وتشجيع سياسات الابتكار. وقد نظمت الخطة اللاحقة للفترة 2024-2027 أعمال الاتحاد واسعة النطاق ضمن هدفين رئيسيين: التوصيلية الشاملة والتحول الرقمي المستدام. وتهدف مسارات العمل المختلفة إلى مساعدة البلدان على تحسين جودة التوصيل وتوافره </w:t>
      </w:r>
      <w:proofErr w:type="spellStart"/>
      <w:r w:rsidRPr="00621959">
        <w:rPr>
          <w:spacing w:val="-2"/>
          <w:rtl/>
        </w:rPr>
        <w:t>وميسورية</w:t>
      </w:r>
      <w:proofErr w:type="spellEnd"/>
      <w:r w:rsidRPr="00621959">
        <w:rPr>
          <w:spacing w:val="-2"/>
          <w:rtl/>
        </w:rPr>
        <w:t xml:space="preserve"> تكلفته، فضلاً عن النفاذ إلى الأجهزة والمهارات وإمكانية النفاذ والأمان، وكلها عوامل تجتمع لجعل التوصيلية هادفة.</w:t>
      </w:r>
    </w:p>
    <w:p w14:paraId="0A39C4FA" w14:textId="3C8DAB3E" w:rsidR="00621959" w:rsidRPr="00621959" w:rsidRDefault="00621959" w:rsidP="00621959">
      <w:pPr>
        <w:rPr>
          <w:lang w:val="en-GB" w:bidi="ar-EG"/>
        </w:rPr>
      </w:pPr>
      <w:r w:rsidRPr="00621959">
        <w:rPr>
          <w:rtl/>
        </w:rPr>
        <w:t xml:space="preserve">وسجل الاتحاد تقدماً بشأن ميسورية التكلفة، وملكية الأجهزة، وأنظمة البيانات خلال الفترة المشمولة بهذا التقرير. وساهم التعاون مع منظمة الأمم المتحدة للتربية والعلم والثقافة (اليونسكو) في تحسين قياس التنمية الرقمية وتوصيلية المدارس في أكثر من 200 اقتصاد. كما يدعم الاتحاد </w:t>
      </w:r>
      <w:r w:rsidRPr="00621959">
        <w:rPr>
          <w:rFonts w:hint="cs"/>
          <w:rtl/>
        </w:rPr>
        <w:t>مبادرة</w:t>
      </w:r>
      <w:r w:rsidRPr="00621959">
        <w:rPr>
          <w:rtl/>
        </w:rPr>
        <w:t xml:space="preserve"> </w:t>
      </w:r>
      <w:r w:rsidRPr="00621959">
        <w:rPr>
          <w:lang w:val="en-GB" w:bidi="ar-EG"/>
        </w:rPr>
        <w:t>Giga</w:t>
      </w:r>
      <w:r w:rsidRPr="00621959">
        <w:rPr>
          <w:rtl/>
        </w:rPr>
        <w:t xml:space="preserve"> (انظر المزيد </w:t>
      </w:r>
      <w:r w:rsidRPr="00EA6D94">
        <w:rPr>
          <w:rtl/>
        </w:rPr>
        <w:t xml:space="preserve">في القسم </w:t>
      </w:r>
      <w:hyperlink w:anchor="_5.5_الشراكات_والتعاون" w:history="1">
        <w:r w:rsidRPr="00EA6D94">
          <w:rPr>
            <w:rStyle w:val="Hyperlink"/>
            <w:rFonts w:hint="cs"/>
            <w:noProof w:val="0"/>
            <w:rtl/>
            <w:lang w:val="en-US" w:eastAsia="zh-CN"/>
          </w:rPr>
          <w:t>5.5</w:t>
        </w:r>
      </w:hyperlink>
      <w:r w:rsidRPr="00EA6D94">
        <w:rPr>
          <w:rtl/>
        </w:rPr>
        <w:t>)، وهي مبادرة مشتركة</w:t>
      </w:r>
      <w:r w:rsidRPr="00621959">
        <w:rPr>
          <w:rtl/>
        </w:rPr>
        <w:t xml:space="preserve"> مع منظمة الأمم المتحدة للطفولة (اليونيسف) لتوصيل كل مدرسة في العالم بالإنترنت.</w:t>
      </w:r>
    </w:p>
    <w:p w14:paraId="65466D6E" w14:textId="212816DF" w:rsidR="00621959" w:rsidRPr="00621959" w:rsidRDefault="00621959" w:rsidP="00621959">
      <w:pPr>
        <w:rPr>
          <w:lang w:val="en-GB" w:bidi="ar-EG"/>
        </w:rPr>
      </w:pPr>
      <w:r w:rsidRPr="00621959">
        <w:rPr>
          <w:rtl/>
        </w:rPr>
        <w:t>واستمر التوسع في القدرات في مجال الأمن السيبراني، حيث ارتفع عدد البلدان التي أنشأت أفرقة وطنية للاستجابة للحوادث الحاسوبية</w:t>
      </w:r>
      <w:r w:rsidR="00D11F3C">
        <w:rPr>
          <w:rFonts w:hint="cs"/>
          <w:rtl/>
          <w:lang w:bidi="ar-EG"/>
        </w:rPr>
        <w:t xml:space="preserve"> </w:t>
      </w:r>
      <w:r w:rsidR="00D11F3C">
        <w:rPr>
          <w:lang w:bidi="ar-EG"/>
        </w:rPr>
        <w:t>(CIRT)</w:t>
      </w:r>
      <w:r w:rsidRPr="00621959">
        <w:rPr>
          <w:rtl/>
        </w:rPr>
        <w:t xml:space="preserve"> من 109 بلدان في عام 2020 إلى 132 بلداً بحلول عام 2024، كما زاد عدد البلدان التي اعتمدت استراتيجيات وطنية للأمن السيبراني من 107 بلدان إلى 127 بلداً خلال الفترة نفسها. وشهدت سياسات إمكانية النفاذ للأشخاص ذوي الإعاقة ارتفاعاً </w:t>
      </w:r>
      <w:r w:rsidRPr="00621959">
        <w:rPr>
          <w:rFonts w:hint="cs"/>
          <w:rtl/>
        </w:rPr>
        <w:t>كبير</w:t>
      </w:r>
      <w:r w:rsidRPr="00621959">
        <w:rPr>
          <w:rtl/>
        </w:rPr>
        <w:t>اً، إذ بلغ عدد البلدان التي طبقت أطراً وطنية لإمكانية النفاذ إلى تكنولوجيا المعلومات والاتصالات</w:t>
      </w:r>
      <w:r w:rsidR="00D11F3C">
        <w:rPr>
          <w:rFonts w:hint="cs"/>
          <w:rtl/>
          <w:lang w:bidi="ar-EG"/>
        </w:rPr>
        <w:t xml:space="preserve"> </w:t>
      </w:r>
      <w:r w:rsidR="00D11F3C">
        <w:rPr>
          <w:lang w:bidi="ar-EG"/>
        </w:rPr>
        <w:t>(ICT)</w:t>
      </w:r>
      <w:r w:rsidRPr="00621959">
        <w:rPr>
          <w:rtl/>
        </w:rPr>
        <w:t xml:space="preserve"> </w:t>
      </w:r>
      <w:r w:rsidR="00D11F3C">
        <w:t>127</w:t>
      </w:r>
      <w:r w:rsidRPr="00621959">
        <w:rPr>
          <w:rtl/>
        </w:rPr>
        <w:t xml:space="preserve"> بلد</w:t>
      </w:r>
      <w:r w:rsidR="003C4B57">
        <w:rPr>
          <w:rFonts w:hint="cs"/>
          <w:rtl/>
        </w:rPr>
        <w:t>اً</w:t>
      </w:r>
      <w:r w:rsidRPr="00621959">
        <w:rPr>
          <w:rtl/>
        </w:rPr>
        <w:t xml:space="preserve"> بحلول </w:t>
      </w:r>
      <w:r w:rsidR="003C4B57">
        <w:rPr>
          <w:rFonts w:hint="cs"/>
          <w:rtl/>
        </w:rPr>
        <w:t xml:space="preserve">نهاية </w:t>
      </w:r>
      <w:r w:rsidRPr="00621959">
        <w:rPr>
          <w:rtl/>
        </w:rPr>
        <w:t xml:space="preserve">عام </w:t>
      </w:r>
      <w:r w:rsidR="00D11F3C">
        <w:rPr>
          <w:rFonts w:hint="cs"/>
          <w:rtl/>
        </w:rPr>
        <w:t>2024.</w:t>
      </w:r>
    </w:p>
    <w:p w14:paraId="59E10128" w14:textId="77777777" w:rsidR="00621959" w:rsidRPr="00621959" w:rsidRDefault="00621959" w:rsidP="00621959">
      <w:pPr>
        <w:rPr>
          <w:lang w:val="en-GB" w:bidi="ar-EG"/>
        </w:rPr>
      </w:pPr>
      <w:r w:rsidRPr="00621959">
        <w:rPr>
          <w:rtl/>
        </w:rPr>
        <w:t>وقدم الاتحاد الدعم لست بلدان في شرق إفريقيا لوضع لوائح بشأن المخلفات الإلكترونية وأنظمة البيانات بين عامي 2022 و2025. وفي الوقت نفسه، ساهم في وضع معايير دولية جديدة بشأن مسؤولية المنتج الموسعة والمشتريات العامة المستدامة.</w:t>
      </w:r>
    </w:p>
    <w:p w14:paraId="27F64076" w14:textId="4E1AA2C4" w:rsidR="00621959" w:rsidRPr="00621959" w:rsidRDefault="00621959" w:rsidP="00621959">
      <w:pPr>
        <w:rPr>
          <w:lang w:val="en-GB" w:bidi="ar-EG"/>
        </w:rPr>
      </w:pPr>
      <w:r w:rsidRPr="00621959">
        <w:rPr>
          <w:rtl/>
        </w:rPr>
        <w:t xml:space="preserve">وخلال الفترة نفسها، استفاد 28 بلداً من دعم الاتحاد في وضع خطط وطنية للاتصالات في حالات الطوارئ لتعزيز التأهب </w:t>
      </w:r>
      <w:r w:rsidR="00056A18">
        <w:rPr>
          <w:rFonts w:hint="cs"/>
          <w:rtl/>
        </w:rPr>
        <w:t xml:space="preserve">العالمي </w:t>
      </w:r>
      <w:r w:rsidRPr="00621959">
        <w:rPr>
          <w:rtl/>
        </w:rPr>
        <w:t>للكوارث. كما قدم الاتحاد مساعدات الاتصالات في حالات الطوارئ أثناء الكوارث الكبرى، حيث وفر المعدات والدعم التقني للمجتمعات المتضررة استجابة لإعصار جوليا والإعصار الحلزوني فريدي.</w:t>
      </w:r>
    </w:p>
    <w:p w14:paraId="2D13BC0B" w14:textId="4AFD1860" w:rsidR="00621959" w:rsidRPr="00621959" w:rsidRDefault="00621959" w:rsidP="00621959">
      <w:pPr>
        <w:rPr>
          <w:lang w:val="en-GB" w:bidi="ar-EG"/>
        </w:rPr>
      </w:pPr>
      <w:r w:rsidRPr="00621959">
        <w:rPr>
          <w:rtl/>
        </w:rPr>
        <w:t>واضطلعت المنظمة بدور رئيسي في مبادرة الأمين العام للأمم المتحدة بشأن الإنذار المبكر للجميع (التي بدأت في الدورة السابعة والعشرين لمؤتمر الأطراف في عام 2022)، والتي تهدف إلى ضمان تغطية كل شخص في العالم بإنذارات الكوارث في الوقت المناسب بحلول عام 2027. وانضم الاتحاد إلى المنظمة العالمية للأرصاد الجوية</w:t>
      </w:r>
      <w:r w:rsidR="00D11F3C">
        <w:rPr>
          <w:rFonts w:hint="cs"/>
          <w:rtl/>
          <w:lang w:bidi="ar-EG"/>
        </w:rPr>
        <w:t xml:space="preserve"> </w:t>
      </w:r>
      <w:r w:rsidR="00D11F3C">
        <w:rPr>
          <w:lang w:bidi="ar-EG"/>
        </w:rPr>
        <w:t>(WMO)</w:t>
      </w:r>
      <w:r w:rsidRPr="00621959">
        <w:rPr>
          <w:rtl/>
        </w:rPr>
        <w:t xml:space="preserve"> ومكتب الأمم المتحدة للحد من </w:t>
      </w:r>
      <w:proofErr w:type="gramStart"/>
      <w:r w:rsidRPr="00621959">
        <w:rPr>
          <w:rtl/>
        </w:rPr>
        <w:t>مخاطر</w:t>
      </w:r>
      <w:proofErr w:type="gramEnd"/>
      <w:r w:rsidRPr="00621959">
        <w:rPr>
          <w:rtl/>
        </w:rPr>
        <w:t xml:space="preserve"> الكوارث</w:t>
      </w:r>
      <w:r w:rsidR="00D11F3C">
        <w:rPr>
          <w:rFonts w:hint="cs"/>
          <w:rtl/>
          <w:lang w:bidi="ar-EG"/>
        </w:rPr>
        <w:t xml:space="preserve"> </w:t>
      </w:r>
      <w:r w:rsidR="00D11F3C">
        <w:rPr>
          <w:lang w:bidi="ar-EG"/>
        </w:rPr>
        <w:t>(UNDRR)</w:t>
      </w:r>
      <w:r w:rsidRPr="00621959">
        <w:rPr>
          <w:rtl/>
        </w:rPr>
        <w:t xml:space="preserve"> والاتحاد الدولي لجمعيات الصليب الأحمر والهلال الأحمر</w:t>
      </w:r>
      <w:r w:rsidR="00D11F3C">
        <w:rPr>
          <w:rFonts w:hint="cs"/>
          <w:rtl/>
          <w:lang w:bidi="ar-EG"/>
        </w:rPr>
        <w:t xml:space="preserve"> </w:t>
      </w:r>
      <w:r w:rsidR="00D11F3C">
        <w:rPr>
          <w:lang w:bidi="ar-EG"/>
        </w:rPr>
        <w:t>(IFRC)</w:t>
      </w:r>
      <w:r w:rsidRPr="00621959">
        <w:rPr>
          <w:rtl/>
        </w:rPr>
        <w:t xml:space="preserve"> لتشكيل الفريق الفرعي الرئيسي المعني بالذكاء الاصطناعي التابع للمبادرة لتعزيز أنظمة الإنذار المبكر.</w:t>
      </w:r>
    </w:p>
    <w:p w14:paraId="40935167" w14:textId="77777777" w:rsidR="0089560B" w:rsidRDefault="00621959" w:rsidP="00D11F3C">
      <w:pPr>
        <w:pStyle w:val="Headingb"/>
        <w:rPr>
          <w:rtl/>
        </w:rPr>
      </w:pPr>
      <w:r w:rsidRPr="00621959">
        <w:rPr>
          <w:rtl/>
        </w:rPr>
        <w:t>الريادة في معايير التكنولوجيا</w:t>
      </w:r>
    </w:p>
    <w:p w14:paraId="0A2410C0" w14:textId="77777777" w:rsidR="0089560B" w:rsidRDefault="00621959" w:rsidP="00774B22">
      <w:pPr>
        <w:keepLines/>
        <w:rPr>
          <w:b/>
          <w:bCs/>
          <w:rtl/>
        </w:rPr>
      </w:pPr>
      <w:r w:rsidRPr="00621959">
        <w:rPr>
          <w:rtl/>
        </w:rPr>
        <w:t xml:space="preserve">عزز الاتحاد دوره كمنظمة رائدة في مجال وضع المعايير من خلال أعمال جديدة تركز على التحديات التي تفرضها التكنولوجيات الجديدة والناشئة والفرص التي تتيحها. وساهم في تشكيل تكنولوجيات المعلومات الكمومية من خلال مبادرات مثل قاعدة بيانات المعايير الكمومية، التي </w:t>
      </w:r>
      <w:r w:rsidRPr="00621959">
        <w:rPr>
          <w:rFonts w:hint="cs"/>
          <w:rtl/>
        </w:rPr>
        <w:t>أُنشئت</w:t>
      </w:r>
      <w:r w:rsidRPr="00621959">
        <w:rPr>
          <w:rtl/>
        </w:rPr>
        <w:t xml:space="preserve"> بين عامي 2023 و2024، واعتماد لجان الدراسات التابعة لقطاع تقييس الاتصالات لتوصيات جديدة بشأن الأمن الكمومي.</w:t>
      </w:r>
    </w:p>
    <w:p w14:paraId="682B9CDE" w14:textId="6EA6A565" w:rsidR="00621959" w:rsidRPr="00621959" w:rsidRDefault="00621959" w:rsidP="00621959">
      <w:pPr>
        <w:rPr>
          <w:lang w:val="en-GB" w:bidi="ar-EG"/>
        </w:rPr>
      </w:pPr>
      <w:r w:rsidRPr="00621959">
        <w:rPr>
          <w:rtl/>
        </w:rPr>
        <w:t xml:space="preserve">ومع إعلان الأمم المتحدة عام 2025 </w:t>
      </w:r>
      <w:r w:rsidRPr="00621959">
        <w:rPr>
          <w:rFonts w:hint="cs"/>
          <w:rtl/>
        </w:rPr>
        <w:t xml:space="preserve">بوصفه السنة الدولية </w:t>
      </w:r>
      <w:r w:rsidRPr="00621959">
        <w:rPr>
          <w:rtl/>
        </w:rPr>
        <w:t xml:space="preserve">للعلوم والتكنولوجيا الكمومية، دعم الاتحاد رفع مستوى الوعي العالمي وأطلق مبادرته الخاصة </w:t>
      </w:r>
      <w:hyperlink r:id="rId19" w:anchor="/ar" w:history="1">
        <w:r w:rsidRPr="00621959">
          <w:rPr>
            <w:rStyle w:val="Hyperlink"/>
            <w:noProof w:val="0"/>
            <w:rtl/>
            <w:lang w:val="en-US" w:eastAsia="zh-CN"/>
          </w:rPr>
          <w:t>التكنولوجيا الكمومية من أجل المصلحة العامة</w:t>
        </w:r>
      </w:hyperlink>
      <w:r w:rsidRPr="00621959">
        <w:rPr>
          <w:rtl/>
        </w:rPr>
        <w:t xml:space="preserve"> التي تسلط الضوء على الفوائد المحتملة والحاجة إلى التصدي للمخاطر.</w:t>
      </w:r>
    </w:p>
    <w:p w14:paraId="6C2DD01B" w14:textId="5E34C14F" w:rsidR="00621959" w:rsidRPr="00621959" w:rsidRDefault="00621959" w:rsidP="00621959">
      <w:pPr>
        <w:rPr>
          <w:spacing w:val="-2"/>
          <w:lang w:val="en-GB" w:bidi="ar-EG"/>
        </w:rPr>
      </w:pPr>
      <w:r w:rsidRPr="00621959">
        <w:rPr>
          <w:rFonts w:hint="cs"/>
          <w:spacing w:val="-2"/>
          <w:rtl/>
        </w:rPr>
        <w:t>وأشرك</w:t>
      </w:r>
      <w:r w:rsidRPr="00621959">
        <w:rPr>
          <w:spacing w:val="-2"/>
          <w:rtl/>
        </w:rPr>
        <w:t xml:space="preserve"> فريق متخصص بقيادة الاتحاد ومعني بالعوالم الافتراضية والميتافيرس استمر عمله حتى منتصف عام 2024، أكثر من </w:t>
      </w:r>
      <w:r w:rsidR="00D11F3C" w:rsidRPr="00D11F3C">
        <w:rPr>
          <w:spacing w:val="-2"/>
        </w:rPr>
        <w:t>17 000</w:t>
      </w:r>
      <w:r w:rsidRPr="00621959">
        <w:rPr>
          <w:spacing w:val="-2"/>
          <w:rtl/>
        </w:rPr>
        <w:t xml:space="preserve"> مشارك، وأصدر أكثر من 50 تقريراً تقنياً، مما مهد الطريق للمبادرة العالمية الجديدة بشأن العوالم الافتراضية والذكاء الاصطناعي. وبالإضافة إلى ذلك، يتولى نشاط التنسيق المشترك لتقييس الميتافيرس (</w:t>
      </w:r>
      <w:hyperlink r:id="rId20" w:history="1">
        <w:r w:rsidRPr="00621959">
          <w:rPr>
            <w:rStyle w:val="Hyperlink"/>
            <w:noProof w:val="0"/>
            <w:spacing w:val="-2"/>
            <w:lang w:eastAsia="zh-CN" w:bidi="ar-EG"/>
          </w:rPr>
          <w:t>JCA-MV</w:t>
        </w:r>
      </w:hyperlink>
      <w:r w:rsidRPr="00621959">
        <w:rPr>
          <w:spacing w:val="-2"/>
          <w:rtl/>
        </w:rPr>
        <w:t xml:space="preserve">)، الذي أنشئ وبدأ عمله في عام 2025، تنسيق أعمال الاتحاد في مجال تقييس الميتافيرس، وتعزيز التعاون مع </w:t>
      </w:r>
      <w:r w:rsidR="00056A18">
        <w:rPr>
          <w:rFonts w:hint="cs"/>
          <w:spacing w:val="-2"/>
          <w:rtl/>
        </w:rPr>
        <w:t>ال</w:t>
      </w:r>
      <w:r w:rsidRPr="00621959">
        <w:rPr>
          <w:spacing w:val="-2"/>
          <w:rtl/>
        </w:rPr>
        <w:t>منظمات الخارجية المعنية بوضع المعايير. وأسهمت جهود موازية في المضي قدماً بأطر إنترنت الأشياء والتوائم الرقمية والمدن الذكية.</w:t>
      </w:r>
    </w:p>
    <w:p w14:paraId="2828BD24" w14:textId="77777777" w:rsidR="0089560B" w:rsidRDefault="00621959" w:rsidP="00621959">
      <w:pPr>
        <w:rPr>
          <w:rtl/>
        </w:rPr>
      </w:pPr>
      <w:r w:rsidRPr="00621959">
        <w:rPr>
          <w:rtl/>
        </w:rPr>
        <w:t xml:space="preserve">كما عمل الاتحاد مع وكالات أخرى تابعة للأمم المتحدة لوضع الأسس اللازمة للذكاء الاصطناعي المسؤول عبر مجموعة واسعة من التطبيقات. وعلى سبيل المثال، قدم </w:t>
      </w:r>
      <w:hyperlink r:id="rId21" w:anchor="/ar" w:history="1">
        <w:r w:rsidRPr="00621959">
          <w:rPr>
            <w:rStyle w:val="Hyperlink"/>
            <w:noProof w:val="0"/>
            <w:rtl/>
            <w:lang w:val="en-US" w:eastAsia="zh-CN"/>
          </w:rPr>
          <w:t>الفريق المتخصص التابع للاتحاد ومنظمة الأغذية والزراعة والمعني بالذكاء الاصطناعي في الزراعة</w:t>
        </w:r>
      </w:hyperlink>
      <w:r w:rsidRPr="00621959">
        <w:rPr>
          <w:rtl/>
        </w:rPr>
        <w:t xml:space="preserve"> (بقيادة مشتركة مع منظمة الأغذية والزراعة للأمم المتحدة) إرشادات بشأن الزراعة الدقيقة وأنظمة الغذاء القادرة على الصمود في وجه تغير المناخ.</w:t>
      </w:r>
    </w:p>
    <w:p w14:paraId="672AD7E4" w14:textId="24A34F5F" w:rsidR="00621959" w:rsidRPr="00621959" w:rsidRDefault="00621959" w:rsidP="00621959">
      <w:pPr>
        <w:rPr>
          <w:rtl/>
        </w:rPr>
      </w:pPr>
      <w:r w:rsidRPr="00621959">
        <w:rPr>
          <w:rtl/>
        </w:rPr>
        <w:t xml:space="preserve">ووضعت </w:t>
      </w:r>
      <w:hyperlink r:id="rId22" w:anchor="/ar" w:history="1">
        <w:r w:rsidRPr="00621959">
          <w:rPr>
            <w:rStyle w:val="Hyperlink"/>
            <w:noProof w:val="0"/>
            <w:rtl/>
            <w:lang w:val="en-US" w:eastAsia="zh-CN"/>
          </w:rPr>
          <w:t>المبادرة العالمية المشتركة بين الاتحاد ومنظمة الصحة العالمية والمنظمة العالمية للملكية الفكرية بشأن الذكاء الاصطناعي في مجال الصحة</w:t>
        </w:r>
      </w:hyperlink>
      <w:r w:rsidRPr="00621959">
        <w:rPr>
          <w:rtl/>
        </w:rPr>
        <w:t xml:space="preserve"> أطر تقييم قوية لدعم الاعتماد الآمن والقائم على الأدلة للذكاء الاصطناعي في البيئات السريرية، وتم استكمالها بتطبيقات مرجعية تبين كيفية تطبيق هذه المعايير في الممارسة العملية وتكييفها من قبل الهيئات التنظيمية الوطنية للأدوية. وتم تعزيز هذه الجهود كذلك بدعم موجه يتيح مشاركة أكبر من البلدان ذات الدخل المنخفض والمتوسط.</w:t>
      </w:r>
    </w:p>
    <w:p w14:paraId="71A9371E" w14:textId="77777777" w:rsidR="00621959" w:rsidRPr="00621959" w:rsidRDefault="00621959" w:rsidP="00D11F3C">
      <w:pPr>
        <w:pStyle w:val="Headingb"/>
        <w:rPr>
          <w:lang w:val="en-GB" w:bidi="ar-EG"/>
        </w:rPr>
      </w:pPr>
      <w:r w:rsidRPr="00621959">
        <w:rPr>
          <w:rtl/>
        </w:rPr>
        <w:t>المنتجات والخدمات التي تدفع عجلة التنمية الرقمية</w:t>
      </w:r>
    </w:p>
    <w:p w14:paraId="03B46C51" w14:textId="4A75EB1C" w:rsidR="00621959" w:rsidRPr="00621959" w:rsidRDefault="00621959" w:rsidP="00621959">
      <w:pPr>
        <w:rPr>
          <w:lang w:val="en-GB" w:bidi="ar-EG"/>
        </w:rPr>
      </w:pPr>
      <w:r w:rsidRPr="00621959">
        <w:rPr>
          <w:rtl/>
        </w:rPr>
        <w:t>واصل الاتحاد دوره كمصدر عالمي موثوق لإحصاءات وتحليلات تكنولوجيا المعلومات والاتصالات، حيث أصدر منشورات رائدة مثل</w:t>
      </w:r>
      <w:r w:rsidRPr="00621959">
        <w:rPr>
          <w:rFonts w:hint="cs"/>
          <w:rtl/>
        </w:rPr>
        <w:t xml:space="preserve"> سلسلة</w:t>
      </w:r>
      <w:r w:rsidRPr="00621959">
        <w:rPr>
          <w:rtl/>
        </w:rPr>
        <w:t xml:space="preserve"> </w:t>
      </w:r>
      <w:hyperlink r:id="rId23" w:history="1">
        <w:r w:rsidRPr="00621959">
          <w:rPr>
            <w:rStyle w:val="Hyperlink"/>
            <w:noProof w:val="0"/>
            <w:rtl/>
            <w:lang w:val="en-US" w:eastAsia="zh-CN"/>
          </w:rPr>
          <w:t>حقائق وأرقام</w:t>
        </w:r>
      </w:hyperlink>
      <w:r w:rsidRPr="00621959">
        <w:rPr>
          <w:rtl/>
        </w:rPr>
        <w:t xml:space="preserve"> و</w:t>
      </w:r>
      <w:hyperlink r:id="rId24" w:history="1">
        <w:r w:rsidRPr="00621959">
          <w:rPr>
            <w:rStyle w:val="Hyperlink"/>
            <w:noProof w:val="0"/>
            <w:rtl/>
            <w:lang w:val="en-US" w:eastAsia="zh-CN"/>
          </w:rPr>
          <w:t>تقرير التوصيلية العالمية</w:t>
        </w:r>
      </w:hyperlink>
      <w:r w:rsidRPr="00621959">
        <w:rPr>
          <w:rtl/>
        </w:rPr>
        <w:t>. وعززت المنظمة المعايير الإحصائية، ووسعت نطاق منهجيات البيانات الضخمة، وعززت التعاون الدولي من خلال منصات مثل الشراكة المعنية بقياس تكنولوجيا المعلومات والاتصالات من أجل التنمية. وتدعم هذه الأنشطة عملية صنع السياسات القائمة على الأدلة، وتُمكّن البلدان من تتبع التقدم المحرز نحو تحقيق أهداف التوصيلية والشمول الرقمي.</w:t>
      </w:r>
    </w:p>
    <w:p w14:paraId="3FD2AA5C" w14:textId="77777777" w:rsidR="0089560B" w:rsidRDefault="00621959" w:rsidP="00621959">
      <w:pPr>
        <w:rPr>
          <w:rtl/>
        </w:rPr>
      </w:pPr>
      <w:r w:rsidRPr="00621959">
        <w:rPr>
          <w:rtl/>
        </w:rPr>
        <w:t>وشهدت تنمية القدرات نمواً كبيراً خلال الفترة المشمولة بالتقرير. فقد ارتفع عدد المشاركين في برامج</w:t>
      </w:r>
      <w:r w:rsidRPr="00621959">
        <w:rPr>
          <w:u w:val="single"/>
          <w:rtl/>
        </w:rPr>
        <w:t xml:space="preserve"> </w:t>
      </w:r>
      <w:hyperlink r:id="rId25" w:anchor="/ar" w:history="1">
        <w:r w:rsidRPr="00621959">
          <w:rPr>
            <w:rStyle w:val="Hyperlink"/>
            <w:noProof w:val="0"/>
            <w:rtl/>
            <w:lang w:val="en-US" w:eastAsia="zh-CN"/>
          </w:rPr>
          <w:t>أكاديمية الاتحاد</w:t>
        </w:r>
      </w:hyperlink>
      <w:r w:rsidRPr="00621959">
        <w:rPr>
          <w:rtl/>
        </w:rPr>
        <w:t xml:space="preserve"> من حوالي </w:t>
      </w:r>
      <w:r w:rsidR="00D11F3C">
        <w:t>26 000</w:t>
      </w:r>
      <w:r w:rsidRPr="00621959">
        <w:rPr>
          <w:rtl/>
        </w:rPr>
        <w:t xml:space="preserve"> متدرب في عام 2022 إلى أكثر من </w:t>
      </w:r>
      <w:r w:rsidR="00D11F3C">
        <w:t>83 000</w:t>
      </w:r>
      <w:r w:rsidRPr="00621959">
        <w:rPr>
          <w:rtl/>
        </w:rPr>
        <w:t xml:space="preserve"> متدرب في عام 2025، وشكلت النساء 40</w:t>
      </w:r>
      <w:r w:rsidR="00D11F3C">
        <w:rPr>
          <w:rFonts w:hint="cs"/>
          <w:rtl/>
        </w:rPr>
        <w:t xml:space="preserve"> في </w:t>
      </w:r>
      <w:proofErr w:type="gramStart"/>
      <w:r w:rsidR="00D11F3C">
        <w:rPr>
          <w:rFonts w:hint="cs"/>
          <w:rtl/>
        </w:rPr>
        <w:t>المائة</w:t>
      </w:r>
      <w:proofErr w:type="gramEnd"/>
      <w:r w:rsidR="00D11F3C">
        <w:rPr>
          <w:rFonts w:hint="cs"/>
          <w:rtl/>
        </w:rPr>
        <w:t xml:space="preserve"> </w:t>
      </w:r>
      <w:r w:rsidRPr="00621959">
        <w:rPr>
          <w:rtl/>
        </w:rPr>
        <w:t xml:space="preserve">منهم. وتم تقديم نحو 150 دورة تدريبية سنوياً، واستُكملت بمنح أكثر من </w:t>
      </w:r>
      <w:r w:rsidR="001F03AD">
        <w:t>17 500</w:t>
      </w:r>
      <w:r w:rsidRPr="00621959">
        <w:rPr>
          <w:rtl/>
        </w:rPr>
        <w:t xml:space="preserve"> شهادة منذ عام 2023.</w:t>
      </w:r>
    </w:p>
    <w:p w14:paraId="627AC607" w14:textId="77777777" w:rsidR="0089560B" w:rsidRDefault="00621959" w:rsidP="00621959">
      <w:pPr>
        <w:rPr>
          <w:rtl/>
        </w:rPr>
      </w:pPr>
      <w:r w:rsidRPr="00621959">
        <w:rPr>
          <w:rtl/>
        </w:rPr>
        <w:t xml:space="preserve">ووصلت </w:t>
      </w:r>
      <w:hyperlink r:id="rId26" w:anchor="/ar" w:history="1">
        <w:r w:rsidRPr="00621959">
          <w:rPr>
            <w:rStyle w:val="Hyperlink"/>
            <w:noProof w:val="0"/>
            <w:rtl/>
            <w:lang w:val="en-US" w:eastAsia="zh-CN"/>
          </w:rPr>
          <w:t>مراكز التحول الرقمي التابعة للاتحاد وشركة سيسكو</w:t>
        </w:r>
      </w:hyperlink>
      <w:r w:rsidRPr="00621959">
        <w:rPr>
          <w:rtl/>
        </w:rPr>
        <w:t xml:space="preserve"> إلى أكثر من </w:t>
      </w:r>
      <w:r w:rsidR="001F03AD">
        <w:t>610 000</w:t>
      </w:r>
      <w:r w:rsidRPr="00621959">
        <w:rPr>
          <w:rtl/>
        </w:rPr>
        <w:t xml:space="preserve"> مشارك على مستوى العالم، أكثر من نصفهم من النساء، في حين واصل </w:t>
      </w:r>
      <w:hyperlink r:id="rId27" w:history="1">
        <w:r w:rsidRPr="00621959">
          <w:rPr>
            <w:rStyle w:val="Hyperlink"/>
            <w:noProof w:val="0"/>
            <w:rtl/>
            <w:lang w:val="en-US" w:eastAsia="zh-CN"/>
          </w:rPr>
          <w:t>منتدى المهارات الرقمية التابع للاتحاد</w:t>
        </w:r>
      </w:hyperlink>
      <w:r w:rsidRPr="00621959">
        <w:rPr>
          <w:rtl/>
        </w:rPr>
        <w:t xml:space="preserve"> وإطلاق </w:t>
      </w:r>
      <w:hyperlink r:id="rId28" w:anchor="/ar" w:history="1">
        <w:r w:rsidRPr="00621959">
          <w:rPr>
            <w:rStyle w:val="Hyperlink"/>
            <w:noProof w:val="0"/>
            <w:rtl/>
            <w:lang w:val="en-US" w:eastAsia="zh-CN"/>
          </w:rPr>
          <w:t>مجموعة أدوات المهارات الرقمية</w:t>
        </w:r>
      </w:hyperlink>
      <w:r w:rsidRPr="00621959">
        <w:rPr>
          <w:rtl/>
        </w:rPr>
        <w:t xml:space="preserve"> تعزيز القدرات الوطنية. وأسهمت هذه المبادرات بشكل مباشر في جاهزية القوى العاملة والقدرات المؤسسية عبر الاقتصادات النامية.</w:t>
      </w:r>
    </w:p>
    <w:p w14:paraId="52F2B2B0" w14:textId="0FDE694F" w:rsidR="00621959" w:rsidRPr="00621959" w:rsidRDefault="00621959" w:rsidP="00621959">
      <w:pPr>
        <w:rPr>
          <w:spacing w:val="-4"/>
          <w:lang w:val="en-GB" w:bidi="ar-EG"/>
        </w:rPr>
      </w:pPr>
      <w:r w:rsidRPr="00621959">
        <w:rPr>
          <w:spacing w:val="-4"/>
          <w:rtl/>
        </w:rPr>
        <w:t>وفي عام 2025 وحده، نفذ الاتحاد أو ساهم في تنفيذ 106 مشاريع بقيمة 79</w:t>
      </w:r>
      <w:r w:rsidRPr="00621959">
        <w:rPr>
          <w:rFonts w:hint="cs"/>
          <w:spacing w:val="-4"/>
          <w:rtl/>
        </w:rPr>
        <w:t>,</w:t>
      </w:r>
      <w:r w:rsidRPr="00621959">
        <w:rPr>
          <w:spacing w:val="-4"/>
          <w:rtl/>
        </w:rPr>
        <w:t>7 مليون فرنك سويسري من خلال مكتب تنمية</w:t>
      </w:r>
      <w:r w:rsidR="001F03AD">
        <w:rPr>
          <w:rFonts w:hint="eastAsia"/>
          <w:spacing w:val="-4"/>
          <w:rtl/>
          <w:lang w:bidi="ar-EG"/>
        </w:rPr>
        <w:t> </w:t>
      </w:r>
      <w:r w:rsidRPr="00621959">
        <w:rPr>
          <w:spacing w:val="-4"/>
          <w:rtl/>
        </w:rPr>
        <w:t>الاتصالات</w:t>
      </w:r>
      <w:r w:rsidR="001F03AD" w:rsidRPr="001F03AD">
        <w:rPr>
          <w:rFonts w:hint="cs"/>
          <w:spacing w:val="-4"/>
          <w:rtl/>
          <w:lang w:bidi="ar-EG"/>
        </w:rPr>
        <w:t xml:space="preserve"> </w:t>
      </w:r>
      <w:r w:rsidR="001F03AD" w:rsidRPr="001F03AD">
        <w:rPr>
          <w:spacing w:val="-4"/>
          <w:lang w:bidi="ar-EG"/>
        </w:rPr>
        <w:t>(BDT)</w:t>
      </w:r>
      <w:r w:rsidRPr="00621959">
        <w:rPr>
          <w:spacing w:val="-4"/>
          <w:rtl/>
        </w:rPr>
        <w:t xml:space="preserve"> التابع له، بما في ذلك 26 مشروعاً جديداً. وجاء معظم التمويل الجديد من شركاء خارجيين، مما يعكس الثقة المتزايدة في قدرة الاتحاد على التنفيذ. وكانت جميع المشاريع متوائمة مع خطة عمل كيغالي للفترة 2023-2025، وتناولت الأولويات الوطنية والإقليمية المتعلقة بالتوصيلية، وأطر السياسات، والتحول الرقمي، ضمن غيرها.</w:t>
      </w:r>
    </w:p>
    <w:p w14:paraId="30F378DC" w14:textId="77777777" w:rsidR="0089560B" w:rsidRDefault="00621959" w:rsidP="00621959">
      <w:pPr>
        <w:rPr>
          <w:rtl/>
        </w:rPr>
      </w:pPr>
      <w:r w:rsidRPr="00621959">
        <w:rPr>
          <w:rtl/>
        </w:rPr>
        <w:t>وساعد الاتحاد ست بلدان في شرق إفريقيا على وضع لوائح لإدارة المخلفات الإلكترونية وأنظمة البيانات بين عامي 2022 و2025. كما روج للمعايير الدولية بشأن مسؤولية المنتج الموسعة والمشتريات العامة المستدامة.</w:t>
      </w:r>
    </w:p>
    <w:p w14:paraId="69E8D7A8" w14:textId="1B0BDB94" w:rsidR="00621959" w:rsidRPr="00621959" w:rsidRDefault="00621959" w:rsidP="00621959">
      <w:pPr>
        <w:rPr>
          <w:lang w:val="en-GB" w:bidi="ar-EG"/>
        </w:rPr>
      </w:pPr>
      <w:r w:rsidRPr="00621959">
        <w:rPr>
          <w:rtl/>
        </w:rPr>
        <w:t>وخلال الفترة نفسها، قدم الاتحاد مساعدات الاتصالات في حالات الطوارئ أثناء الكوارث الكبرى، وتحديداً عن طريق توفير المعدات والدعم استجابة لإعصار جوليا والإعصار الحلزوني فريدي.</w:t>
      </w:r>
    </w:p>
    <w:p w14:paraId="24A63B46" w14:textId="77777777" w:rsidR="00621959" w:rsidRPr="00621959" w:rsidRDefault="00621959" w:rsidP="001F03AD">
      <w:pPr>
        <w:pStyle w:val="Headingb"/>
        <w:rPr>
          <w:lang w:val="en-GB" w:bidi="ar-EG"/>
        </w:rPr>
      </w:pPr>
      <w:r w:rsidRPr="00621959">
        <w:rPr>
          <w:rtl/>
        </w:rPr>
        <w:t>المنصات والشراكات العالمية</w:t>
      </w:r>
    </w:p>
    <w:p w14:paraId="183CADD8" w14:textId="2AD38895" w:rsidR="00621959" w:rsidRPr="00621959" w:rsidRDefault="00621959" w:rsidP="00621959">
      <w:pPr>
        <w:rPr>
          <w:rtl/>
        </w:rPr>
      </w:pPr>
      <w:r w:rsidRPr="00621959">
        <w:rPr>
          <w:rtl/>
        </w:rPr>
        <w:t>كفل الاتحاد مشاركة أوسع وشراكات بين القطاعين العام والخاص من خلال منصات ومبادرات متعددة أصحاب المصلحة تركز على قضايا وتحديات وفرص محددة لبناء مستقبل رقمي عالمي أفضل.</w:t>
      </w:r>
    </w:p>
    <w:p w14:paraId="7CB904FA" w14:textId="1E8E503B" w:rsidR="0089560B" w:rsidRDefault="00621959" w:rsidP="00621959">
      <w:pPr>
        <w:rPr>
          <w:rtl/>
        </w:rPr>
      </w:pPr>
      <w:r w:rsidRPr="00621959">
        <w:rPr>
          <w:rtl/>
        </w:rPr>
        <w:t xml:space="preserve">ولا تزال </w:t>
      </w:r>
      <w:hyperlink r:id="rId29" w:history="1">
        <w:r w:rsidRPr="00621959">
          <w:rPr>
            <w:rStyle w:val="Hyperlink"/>
            <w:noProof w:val="0"/>
            <w:rtl/>
            <w:lang w:val="en-US" w:eastAsia="zh-CN"/>
          </w:rPr>
          <w:t>القمة العالمية لمجتمع المعلومات (</w:t>
        </w:r>
        <w:r w:rsidRPr="00621959">
          <w:rPr>
            <w:rStyle w:val="Hyperlink"/>
            <w:noProof w:val="0"/>
            <w:lang w:eastAsia="zh-CN" w:bidi="ar-EG"/>
          </w:rPr>
          <w:t>WSIS</w:t>
        </w:r>
        <w:r w:rsidRPr="00621959">
          <w:rPr>
            <w:rStyle w:val="Hyperlink"/>
            <w:noProof w:val="0"/>
            <w:rtl/>
            <w:lang w:val="en-US" w:eastAsia="zh-CN"/>
          </w:rPr>
          <w:t>)</w:t>
        </w:r>
      </w:hyperlink>
      <w:r w:rsidRPr="00621959">
        <w:rPr>
          <w:rtl/>
        </w:rPr>
        <w:t xml:space="preserve"> الآلية الرئيسية للتعاون الرقمي التي تقودها الأمم المتحدة، والتي ييسرها </w:t>
      </w:r>
      <w:r w:rsidRPr="00621959">
        <w:rPr>
          <w:rFonts w:hint="cs"/>
          <w:rtl/>
        </w:rPr>
        <w:t>ال</w:t>
      </w:r>
      <w:r w:rsidRPr="00621959">
        <w:rPr>
          <w:rtl/>
        </w:rPr>
        <w:t xml:space="preserve">منتدى السنوي </w:t>
      </w:r>
      <w:r w:rsidRPr="00621959">
        <w:rPr>
          <w:rFonts w:hint="cs"/>
          <w:rtl/>
        </w:rPr>
        <w:t>ل</w:t>
      </w:r>
      <w:r w:rsidRPr="00621959">
        <w:rPr>
          <w:rtl/>
        </w:rPr>
        <w:t xml:space="preserve">لقمة </w:t>
      </w:r>
      <w:r w:rsidRPr="00621959">
        <w:rPr>
          <w:rFonts w:hint="cs"/>
          <w:rtl/>
        </w:rPr>
        <w:t xml:space="preserve">العالمية </w:t>
      </w:r>
      <w:r w:rsidRPr="00621959">
        <w:rPr>
          <w:rtl/>
        </w:rPr>
        <w:t xml:space="preserve">لمجتمع المعلومات للاتحاد والأنشطة ذات الصلة. وتضم قاعدة بيانات تقييم القمة أكثر من </w:t>
      </w:r>
      <w:r w:rsidR="00774B22">
        <w:t>21 000</w:t>
      </w:r>
      <w:r w:rsidRPr="00621959">
        <w:rPr>
          <w:rtl/>
        </w:rPr>
        <w:t xml:space="preserve"> مبادرة تشمل أكثر من 2</w:t>
      </w:r>
      <w:r w:rsidRPr="00621959">
        <w:rPr>
          <w:rFonts w:hint="cs"/>
          <w:rtl/>
        </w:rPr>
        <w:t>,</w:t>
      </w:r>
      <w:r w:rsidRPr="00621959">
        <w:rPr>
          <w:rtl/>
        </w:rPr>
        <w:t>2 مليون من أصحاب المصلحة، مكرسة للتنمية الرقمية المسؤولة من أجل المصلحة العامة.</w:t>
      </w:r>
    </w:p>
    <w:p w14:paraId="14BD51B2" w14:textId="5CF822F4" w:rsidR="00621959" w:rsidRPr="00621959" w:rsidRDefault="00621959" w:rsidP="00621959">
      <w:pPr>
        <w:rPr>
          <w:lang w:val="en-GB" w:bidi="ar-EG"/>
        </w:rPr>
      </w:pPr>
      <w:r w:rsidRPr="00621959">
        <w:rPr>
          <w:rtl/>
        </w:rPr>
        <w:t xml:space="preserve">وواصل </w:t>
      </w:r>
      <w:hyperlink r:id="rId30" w:anchor="/ar" w:history="1">
        <w:r w:rsidR="003C4B57">
          <w:rPr>
            <w:rStyle w:val="Hyperlink"/>
            <w:rFonts w:hint="cs"/>
            <w:noProof w:val="0"/>
            <w:rtl/>
            <w:lang w:val="en-US" w:eastAsia="zh-CN"/>
          </w:rPr>
          <w:t xml:space="preserve">مشروع </w:t>
        </w:r>
        <w:r w:rsidRPr="00621959">
          <w:rPr>
            <w:rStyle w:val="Hyperlink"/>
            <w:noProof w:val="0"/>
            <w:rtl/>
            <w:lang w:val="en-US" w:eastAsia="zh-CN"/>
          </w:rPr>
          <w:t>الذكاء الاصطناعي من أجل المصلحة العامة</w:t>
        </w:r>
      </w:hyperlink>
      <w:r w:rsidRPr="00621959">
        <w:rPr>
          <w:rtl/>
        </w:rPr>
        <w:t xml:space="preserve"> نموه خلال الفترة 2022-2025، حيث تجاوز عدد أعضاء مجتمع الشبكات العصبية المدعومة بالذكاء الاصطناعي </w:t>
      </w:r>
      <w:r w:rsidR="00B84FE1">
        <w:t>35 000</w:t>
      </w:r>
      <w:r w:rsidRPr="00621959">
        <w:rPr>
          <w:rtl/>
        </w:rPr>
        <w:t xml:space="preserve"> عضو، ووصل عدد المشاركين عبر الإنترنت إلى أكثر من </w:t>
      </w:r>
      <w:r w:rsidR="00B84FE1">
        <w:t>137 000</w:t>
      </w:r>
      <w:r w:rsidRPr="00621959">
        <w:rPr>
          <w:rtl/>
        </w:rPr>
        <w:t xml:space="preserve"> مشارك. وعززت القمم العالمية الرائدة للاتحاد بشأن الذكاء الاصطناعي من أجل المصلحة العامة دورها بوصفها الساحة الأولية لمنظومة الأمم المتحدة لعرض أحدث حلول الذكاء الاصطناعي، </w:t>
      </w:r>
      <w:r w:rsidRPr="00621959">
        <w:rPr>
          <w:rFonts w:hint="cs"/>
          <w:rtl/>
        </w:rPr>
        <w:t>و</w:t>
      </w:r>
      <w:r w:rsidRPr="00621959">
        <w:rPr>
          <w:rtl/>
        </w:rPr>
        <w:t xml:space="preserve">جذبت نسخة عام 2025 (التي عقدت بالتزامن مع الحدث رفيع المستوى </w:t>
      </w:r>
      <w:r w:rsidRPr="00621959">
        <w:rPr>
          <w:lang w:val="en-GB" w:bidi="ar-EG"/>
        </w:rPr>
        <w:t>WSIS+20</w:t>
      </w:r>
      <w:r w:rsidRPr="00621959">
        <w:rPr>
          <w:rtl/>
        </w:rPr>
        <w:t xml:space="preserve">) حوالي </w:t>
      </w:r>
      <w:r w:rsidR="00B84FE1">
        <w:t>11 000</w:t>
      </w:r>
      <w:r w:rsidRPr="00621959">
        <w:rPr>
          <w:rtl/>
        </w:rPr>
        <w:t xml:space="preserve"> زائر في أكبر مركز مؤتمرات في جنيف.</w:t>
      </w:r>
    </w:p>
    <w:p w14:paraId="7A3CA2D2" w14:textId="77777777" w:rsidR="0089560B" w:rsidRDefault="00621959" w:rsidP="00621959">
      <w:pPr>
        <w:rPr>
          <w:rtl/>
        </w:rPr>
      </w:pPr>
      <w:r w:rsidRPr="00621959">
        <w:rPr>
          <w:rtl/>
        </w:rPr>
        <w:t>وبناءً على هذا الزخم، أطلق الاتحاد مبادرات جديدة للذكاء الاصطناعي من أجل المصلحة العامة، مثل تحالف مهارات الذكاء الاصطناعي ومسرعات التأثير الإقليمية للذكاء الاصطناعي من أجل المصلحة العامة. وشهدت نسختا القمة العالمية لعامي 2024 و2025 أياماً مخصصة لحوكمة الذكاء الاصطناعي، حيث تناولت جلسات رفيعة المستوى التحول من المبادئ إلى الممارسة العملية، في ظل سعي مختلف الأسواق والمجتمعات إلى توسيع نطاق استعمال الذكاء الاصطناعي الأخلاقي والمسؤول.</w:t>
      </w:r>
    </w:p>
    <w:p w14:paraId="50088D9B" w14:textId="5CF8BD92" w:rsidR="00621959" w:rsidRPr="00621959" w:rsidRDefault="00621959" w:rsidP="00621959">
      <w:pPr>
        <w:rPr>
          <w:lang w:val="en-GB" w:bidi="ar-EG"/>
        </w:rPr>
      </w:pPr>
      <w:r w:rsidRPr="00621959">
        <w:rPr>
          <w:rtl/>
        </w:rPr>
        <w:t xml:space="preserve">وأعلن شركاء </w:t>
      </w:r>
      <w:hyperlink r:id="rId31" w:anchor="/ar" w:history="1">
        <w:r w:rsidRPr="00621959">
          <w:rPr>
            <w:rStyle w:val="Hyperlink"/>
            <w:noProof w:val="0"/>
            <w:rtl/>
            <w:lang w:val="en-US" w:eastAsia="zh-CN"/>
          </w:rPr>
          <w:t>التعاون العالمي بشأن المعايير</w:t>
        </w:r>
      </w:hyperlink>
      <w:r w:rsidRPr="00621959">
        <w:rPr>
          <w:rtl/>
        </w:rPr>
        <w:t xml:space="preserve"> - الاتحاد بالتعاون مع المنظمة الدولية للتوحيد القياسي (</w:t>
      </w:r>
      <w:r w:rsidRPr="00621959">
        <w:rPr>
          <w:lang w:val="en-GB" w:bidi="ar-EG"/>
        </w:rPr>
        <w:t>ISO</w:t>
      </w:r>
      <w:r w:rsidRPr="00621959">
        <w:rPr>
          <w:rtl/>
        </w:rPr>
        <w:t>) واللجنة الكهرتقنية الدولية (</w:t>
      </w:r>
      <w:r w:rsidRPr="00621959">
        <w:rPr>
          <w:lang w:val="en-GB" w:bidi="ar-EG"/>
        </w:rPr>
        <w:t>IEC</w:t>
      </w:r>
      <w:r w:rsidRPr="00621959">
        <w:rPr>
          <w:rtl/>
        </w:rPr>
        <w:t>)</w:t>
      </w:r>
      <w:r w:rsidRPr="00621959">
        <w:rPr>
          <w:rFonts w:hint="cs"/>
          <w:rtl/>
        </w:rPr>
        <w:t xml:space="preserve"> </w:t>
      </w:r>
      <w:r w:rsidRPr="00621959">
        <w:rPr>
          <w:rtl/>
        </w:rPr>
        <w:t xml:space="preserve">- عن القمة الدولية الجديدة لمعايير الذكاء الاصطناعي خلال الجمعية </w:t>
      </w:r>
      <w:r w:rsidRPr="00621959">
        <w:rPr>
          <w:lang w:val="en-GB" w:bidi="ar-EG"/>
        </w:rPr>
        <w:t>WTSA-24</w:t>
      </w:r>
      <w:r w:rsidRPr="00621959">
        <w:rPr>
          <w:rtl/>
        </w:rPr>
        <w:t xml:space="preserve"> في نيودلهي، وكشفوا النقاب عن قاعدة بيانات شاملة لتبادل معايير الذكاء الاصطناعي في قمة الذكاء الاصطناعي من أجل المصلحة العامة في عام 2025، والتزموا التزاماً راسخاً بالتعاون بشأن الذكاء الاصطناعي المسؤول من خلال بيان سيول المشترك في ديسمبر 2025</w:t>
      </w:r>
      <w:r w:rsidR="003C4B57">
        <w:rPr>
          <w:rFonts w:hint="cs"/>
          <w:rtl/>
        </w:rPr>
        <w:t xml:space="preserve"> </w:t>
      </w:r>
      <w:r w:rsidR="003C4B57">
        <w:rPr>
          <w:rFonts w:eastAsia="Calibri" w:hint="cs"/>
          <w:rtl/>
        </w:rPr>
        <w:t xml:space="preserve">الصادر في </w:t>
      </w:r>
      <w:r w:rsidR="003C4B57" w:rsidRPr="001405A6">
        <w:rPr>
          <w:rFonts w:eastAsia="Calibri"/>
          <w:rtl/>
        </w:rPr>
        <w:t xml:space="preserve">القمة الدولية </w:t>
      </w:r>
      <w:r w:rsidR="003C4B57">
        <w:rPr>
          <w:rFonts w:eastAsia="Calibri" w:hint="cs"/>
          <w:rtl/>
        </w:rPr>
        <w:t>الثانية</w:t>
      </w:r>
      <w:r w:rsidR="003C4B57" w:rsidRPr="001405A6">
        <w:rPr>
          <w:rFonts w:eastAsia="Calibri"/>
          <w:rtl/>
        </w:rPr>
        <w:t xml:space="preserve"> لمعايير الذكاء الاصطناعي.</w:t>
      </w:r>
    </w:p>
    <w:p w14:paraId="732D6546" w14:textId="49497C3D" w:rsidR="00621959" w:rsidRPr="00621959" w:rsidRDefault="00621959" w:rsidP="00621959">
      <w:pPr>
        <w:rPr>
          <w:lang w:val="en-GB" w:bidi="ar-EG"/>
        </w:rPr>
      </w:pPr>
      <w:r w:rsidRPr="00621959">
        <w:rPr>
          <w:rtl/>
        </w:rPr>
        <w:t xml:space="preserve">وواصلت الشراكات الرائدة تعبئة الموارد والعمل. واستلمت </w:t>
      </w:r>
      <w:hyperlink r:id="rId32" w:anchor="/ar" w:history="1">
        <w:r w:rsidRPr="00621959">
          <w:rPr>
            <w:rStyle w:val="Hyperlink"/>
            <w:noProof w:val="0"/>
            <w:rtl/>
            <w:lang w:val="en-US" w:eastAsia="zh-CN"/>
          </w:rPr>
          <w:t xml:space="preserve">مبادرة </w:t>
        </w:r>
        <w:r w:rsidRPr="00621959">
          <w:rPr>
            <w:rStyle w:val="Hyperlink"/>
            <w:noProof w:val="0"/>
            <w:lang w:eastAsia="zh-CN" w:bidi="ar-EG"/>
          </w:rPr>
          <w:t>Partner2Connect</w:t>
        </w:r>
      </w:hyperlink>
      <w:r w:rsidRPr="00621959">
        <w:rPr>
          <w:rtl/>
        </w:rPr>
        <w:t xml:space="preserve"> أكثر من </w:t>
      </w:r>
      <w:r w:rsidR="005D51DE">
        <w:t>1 060</w:t>
      </w:r>
      <w:r w:rsidRPr="00621959">
        <w:rPr>
          <w:rtl/>
        </w:rPr>
        <w:t xml:space="preserve"> تعهداً بقيمة تتجاوز 80 مليار دولار أمريكي، من أصل </w:t>
      </w:r>
      <w:r w:rsidR="00B458A7">
        <w:rPr>
          <w:rFonts w:hint="cs"/>
          <w:rtl/>
        </w:rPr>
        <w:t>مقصدها</w:t>
      </w:r>
      <w:r w:rsidRPr="00621959">
        <w:rPr>
          <w:rtl/>
        </w:rPr>
        <w:t xml:space="preserve"> البالغ 100 مليار دولار أمريكي لعام 2026. وقامت مبادرة </w:t>
      </w:r>
      <w:hyperlink r:id="rId33" w:history="1">
        <w:r w:rsidRPr="00621959">
          <w:rPr>
            <w:rStyle w:val="Hyperlink"/>
            <w:noProof w:val="0"/>
            <w:lang w:eastAsia="zh-CN" w:bidi="ar-EG"/>
          </w:rPr>
          <w:t>Giga</w:t>
        </w:r>
      </w:hyperlink>
      <w:r w:rsidRPr="00621959">
        <w:rPr>
          <w:rtl/>
        </w:rPr>
        <w:t xml:space="preserve"> برسم خرائط لأكثر من مليوني مدرسة في 140 بلداً لدعم توفير التوصيلية الشاملة في المدارس. ووسعت </w:t>
      </w:r>
      <w:hyperlink r:id="rId34" w:history="1">
        <w:r w:rsidRPr="00621959">
          <w:rPr>
            <w:rStyle w:val="Hyperlink"/>
            <w:noProof w:val="0"/>
            <w:rtl/>
            <w:lang w:val="en-US" w:eastAsia="zh-CN"/>
          </w:rPr>
          <w:t>لجنة النطاق العريض</w:t>
        </w:r>
      </w:hyperlink>
      <w:r w:rsidRPr="00621959">
        <w:rPr>
          <w:rtl/>
        </w:rPr>
        <w:t xml:space="preserve"> مدى وصولها، بينما مضت </w:t>
      </w:r>
      <w:hyperlink r:id="rId35" w:history="1">
        <w:r w:rsidRPr="00621959">
          <w:rPr>
            <w:rStyle w:val="Hyperlink"/>
            <w:noProof w:val="0"/>
            <w:rtl/>
            <w:lang w:val="en-US" w:eastAsia="zh-CN"/>
          </w:rPr>
          <w:t xml:space="preserve">الشراكة العالمية </w:t>
        </w:r>
        <w:r w:rsidRPr="00621959">
          <w:rPr>
            <w:rStyle w:val="Hyperlink"/>
            <w:noProof w:val="0"/>
            <w:lang w:eastAsia="zh-CN" w:bidi="ar-EG"/>
          </w:rPr>
          <w:t>EQUALS</w:t>
        </w:r>
      </w:hyperlink>
      <w:r w:rsidRPr="00621959">
        <w:rPr>
          <w:rtl/>
        </w:rPr>
        <w:t xml:space="preserve"> قدماً بالمساواة بين الجنسين من خلال المهارات الرقمية ومبادرات التمكين.</w:t>
      </w:r>
    </w:p>
    <w:p w14:paraId="2F9312D6" w14:textId="72E3D393" w:rsidR="00621959" w:rsidRDefault="00621959" w:rsidP="00621959">
      <w:pPr>
        <w:rPr>
          <w:rtl/>
        </w:rPr>
      </w:pPr>
      <w:r w:rsidRPr="00621959">
        <w:rPr>
          <w:rFonts w:hint="cs"/>
          <w:rtl/>
        </w:rPr>
        <w:t>وحشد</w:t>
      </w:r>
      <w:r w:rsidRPr="00621959">
        <w:rPr>
          <w:rtl/>
        </w:rPr>
        <w:t xml:space="preserve"> الاتحاد </w:t>
      </w:r>
      <w:r w:rsidRPr="00621959">
        <w:rPr>
          <w:rFonts w:hint="cs"/>
          <w:rtl/>
        </w:rPr>
        <w:t>ال</w:t>
      </w:r>
      <w:r w:rsidRPr="00621959">
        <w:rPr>
          <w:rtl/>
        </w:rPr>
        <w:t>شركاء</w:t>
      </w:r>
      <w:r w:rsidRPr="00621959">
        <w:rPr>
          <w:rFonts w:hint="cs"/>
          <w:rtl/>
        </w:rPr>
        <w:t xml:space="preserve"> من أجل </w:t>
      </w:r>
      <w:r w:rsidRPr="00621959">
        <w:rPr>
          <w:rtl/>
        </w:rPr>
        <w:t xml:space="preserve">مسار </w:t>
      </w:r>
      <w:hyperlink r:id="rId36" w:history="1">
        <w:r w:rsidRPr="00621959">
          <w:rPr>
            <w:rStyle w:val="Hyperlink"/>
            <w:noProof w:val="0"/>
            <w:rtl/>
            <w:lang w:val="en-US" w:eastAsia="zh-CN"/>
          </w:rPr>
          <w:t>العمل الرقمي المراعي للبيئة</w:t>
        </w:r>
      </w:hyperlink>
      <w:r w:rsidRPr="00621959">
        <w:rPr>
          <w:rtl/>
        </w:rPr>
        <w:t xml:space="preserve"> (</w:t>
      </w:r>
      <w:r w:rsidRPr="00EA6D94">
        <w:rPr>
          <w:rtl/>
        </w:rPr>
        <w:t xml:space="preserve">انظر القسم </w:t>
      </w:r>
      <w:hyperlink w:anchor="_5.5_الشراكات_والتعاون" w:history="1">
        <w:r w:rsidRPr="00EA6D94">
          <w:rPr>
            <w:rStyle w:val="Hyperlink"/>
            <w:noProof w:val="0"/>
            <w:rtl/>
            <w:lang w:val="en-US" w:eastAsia="zh-CN"/>
          </w:rPr>
          <w:t>5.5</w:t>
        </w:r>
      </w:hyperlink>
      <w:r w:rsidRPr="00EA6D94">
        <w:rPr>
          <w:rtl/>
        </w:rPr>
        <w:t>) في مؤتمرات الأمم</w:t>
      </w:r>
      <w:r w:rsidRPr="00621959">
        <w:rPr>
          <w:rtl/>
        </w:rPr>
        <w:t xml:space="preserve"> المتحدة المتعاقبة بشأن تغير المناخ، بدءاً من </w:t>
      </w:r>
      <w:r w:rsidRPr="00621959">
        <w:rPr>
          <w:rFonts w:hint="cs"/>
          <w:rtl/>
        </w:rPr>
        <w:t xml:space="preserve">الدورة </w:t>
      </w:r>
      <w:r w:rsidRPr="00621959">
        <w:rPr>
          <w:rtl/>
        </w:rPr>
        <w:t>الثامن</w:t>
      </w:r>
      <w:r w:rsidRPr="00621959">
        <w:rPr>
          <w:rFonts w:hint="cs"/>
          <w:rtl/>
        </w:rPr>
        <w:t>ة</w:t>
      </w:r>
      <w:r w:rsidRPr="00621959">
        <w:rPr>
          <w:rtl/>
        </w:rPr>
        <w:t xml:space="preserve"> والعشرين </w:t>
      </w:r>
      <w:r w:rsidRPr="00621959">
        <w:rPr>
          <w:rFonts w:hint="cs"/>
          <w:rtl/>
        </w:rPr>
        <w:t>ل</w:t>
      </w:r>
      <w:r w:rsidRPr="00621959">
        <w:rPr>
          <w:rtl/>
        </w:rPr>
        <w:t xml:space="preserve">مؤتمر الأطراف </w:t>
      </w:r>
      <w:r w:rsidR="008935EB" w:rsidRPr="008935EB">
        <w:t>(COP28)</w:t>
      </w:r>
      <w:r w:rsidRPr="00621959">
        <w:rPr>
          <w:rtl/>
        </w:rPr>
        <w:t xml:space="preserve"> في دبي عام 2023. ويهدف مركز العمل الرقمي المراعي للبيئة الجديد، الذي تم إطلاقه في </w:t>
      </w:r>
      <w:r w:rsidRPr="00621959">
        <w:rPr>
          <w:rFonts w:hint="cs"/>
          <w:rtl/>
        </w:rPr>
        <w:t xml:space="preserve">الدورة </w:t>
      </w:r>
      <w:r w:rsidRPr="00621959">
        <w:rPr>
          <w:rtl/>
        </w:rPr>
        <w:t xml:space="preserve">الثلاثين </w:t>
      </w:r>
      <w:r w:rsidRPr="00621959">
        <w:rPr>
          <w:rFonts w:hint="cs"/>
          <w:rtl/>
        </w:rPr>
        <w:t>ل</w:t>
      </w:r>
      <w:r w:rsidRPr="00621959">
        <w:rPr>
          <w:rtl/>
        </w:rPr>
        <w:t>مؤتمر الأطراف (</w:t>
      </w:r>
      <w:r w:rsidRPr="00621959">
        <w:rPr>
          <w:lang w:val="en-GB" w:bidi="ar-EG"/>
        </w:rPr>
        <w:t>COP30</w:t>
      </w:r>
      <w:r w:rsidRPr="00621959">
        <w:rPr>
          <w:rtl/>
        </w:rPr>
        <w:t xml:space="preserve">) في البرازيل، إلى دعم التحليل المتعمق للتأثيرات البيئية ومساعدة البلدان النامية على الاستفادة من تكنولوجيات مثل الذكاء الاصطناعي في العمل المناخي. كما تسلط أعمال تحليلية أخرى أجراها الاتحاد وشركاؤه الضوء على اتجاهات انبعاثات غازات الاحتباس الحراري من قبل الشركات الرقمية الكبرى، مما يعزز قاعدة الأدلة اللازمة لإزالة الكربون بفعالية على نطاق </w:t>
      </w:r>
      <w:r w:rsidRPr="00621959">
        <w:rPr>
          <w:rFonts w:hint="cs"/>
          <w:rtl/>
        </w:rPr>
        <w:t>الصناعة</w:t>
      </w:r>
      <w:r w:rsidRPr="00621959">
        <w:rPr>
          <w:rtl/>
        </w:rPr>
        <w:t>.</w:t>
      </w:r>
    </w:p>
    <w:p w14:paraId="23C2CCB8" w14:textId="57B5473E" w:rsidR="003C4B57" w:rsidRPr="003C4B57" w:rsidRDefault="003C4B57" w:rsidP="003C4B57">
      <w:pPr>
        <w:rPr>
          <w:lang w:val="en-GB"/>
        </w:rPr>
      </w:pPr>
      <w:r w:rsidRPr="003C4B57">
        <w:rPr>
          <w:rFonts w:hint="cs"/>
          <w:rtl/>
        </w:rPr>
        <w:t>و</w:t>
      </w:r>
      <w:r w:rsidRPr="003C4B57">
        <w:rPr>
          <w:rtl/>
        </w:rPr>
        <w:t>تأسست الهيئة الاستشارية الدولية المعنية ب</w:t>
      </w:r>
      <w:r w:rsidRPr="003C4B57">
        <w:rPr>
          <w:rFonts w:hint="cs"/>
          <w:rtl/>
        </w:rPr>
        <w:t>قدرة</w:t>
      </w:r>
      <w:r w:rsidRPr="003C4B57">
        <w:rPr>
          <w:rtl/>
        </w:rPr>
        <w:t xml:space="preserve"> الكبلات البحرية </w:t>
      </w:r>
      <w:r w:rsidRPr="003C4B57">
        <w:rPr>
          <w:rFonts w:hint="cs"/>
          <w:rtl/>
        </w:rPr>
        <w:t xml:space="preserve">على الصمود في </w:t>
      </w:r>
      <w:r w:rsidRPr="003C4B57">
        <w:rPr>
          <w:rtl/>
        </w:rPr>
        <w:t xml:space="preserve">عام 2024 بالتعاون مع اللجنة الدولية لحماية الكبلات، بهدف تبادل أفضل الممارسات وتعزيزها بين الحكومات والجهات الفاعلة في </w:t>
      </w:r>
      <w:r w:rsidRPr="003C4B57">
        <w:rPr>
          <w:rFonts w:hint="cs"/>
          <w:rtl/>
        </w:rPr>
        <w:t>الصناعة</w:t>
      </w:r>
      <w:r w:rsidRPr="003C4B57">
        <w:rPr>
          <w:rtl/>
        </w:rPr>
        <w:t xml:space="preserve"> لتعزيز </w:t>
      </w:r>
      <w:r w:rsidRPr="003C4B57">
        <w:rPr>
          <w:rFonts w:hint="cs"/>
          <w:rtl/>
        </w:rPr>
        <w:t>قدرة</w:t>
      </w:r>
      <w:r w:rsidRPr="003C4B57">
        <w:rPr>
          <w:rtl/>
        </w:rPr>
        <w:t xml:space="preserve"> الكبلات </w:t>
      </w:r>
      <w:r w:rsidRPr="003C4B57">
        <w:rPr>
          <w:rFonts w:hint="cs"/>
          <w:rtl/>
        </w:rPr>
        <w:t xml:space="preserve">على الصمود </w:t>
      </w:r>
      <w:r w:rsidRPr="003C4B57">
        <w:rPr>
          <w:rtl/>
        </w:rPr>
        <w:t xml:space="preserve">على مستوى العالم. وفي قمة </w:t>
      </w:r>
      <w:hyperlink r:id="rId37" w:anchor="/ar" w:history="1">
        <w:r w:rsidRPr="00D93838">
          <w:rPr>
            <w:rStyle w:val="Hyperlink"/>
            <w:noProof w:val="0"/>
            <w:rtl/>
            <w:lang w:val="en-US" w:eastAsia="zh-CN"/>
          </w:rPr>
          <w:t>أبوجا</w:t>
        </w:r>
      </w:hyperlink>
      <w:r w:rsidRPr="003C4B57">
        <w:rPr>
          <w:rtl/>
        </w:rPr>
        <w:t xml:space="preserve"> </w:t>
      </w:r>
      <w:r w:rsidRPr="003C4B57">
        <w:rPr>
          <w:rFonts w:hint="cs"/>
          <w:rtl/>
        </w:rPr>
        <w:t xml:space="preserve">في </w:t>
      </w:r>
      <w:r w:rsidRPr="003C4B57">
        <w:rPr>
          <w:rtl/>
        </w:rPr>
        <w:t xml:space="preserve">عام 2025، تم إطلاق ثلاث </w:t>
      </w:r>
      <w:r w:rsidRPr="003C4B57">
        <w:rPr>
          <w:rFonts w:hint="cs"/>
          <w:rtl/>
        </w:rPr>
        <w:t>أفرقة</w:t>
      </w:r>
      <w:r w:rsidRPr="003C4B57">
        <w:rPr>
          <w:rtl/>
        </w:rPr>
        <w:t xml:space="preserve"> عمل ل</w:t>
      </w:r>
      <w:r w:rsidRPr="003C4B57">
        <w:rPr>
          <w:rFonts w:hint="cs"/>
          <w:rtl/>
        </w:rPr>
        <w:t>تناول</w:t>
      </w:r>
      <w:r w:rsidRPr="003C4B57">
        <w:rPr>
          <w:rtl/>
        </w:rPr>
        <w:t xml:space="preserve"> إدارة المخاطر، </w:t>
      </w:r>
      <w:r w:rsidRPr="003C4B57">
        <w:rPr>
          <w:rFonts w:hint="cs"/>
          <w:rtl/>
        </w:rPr>
        <w:t>والتوصيلية</w:t>
      </w:r>
      <w:r w:rsidRPr="003C4B57">
        <w:rPr>
          <w:rtl/>
        </w:rPr>
        <w:t xml:space="preserve">، وتنوع المسارات، ونشر </w:t>
      </w:r>
      <w:r w:rsidRPr="003C4B57">
        <w:rPr>
          <w:rFonts w:hint="cs"/>
          <w:rtl/>
        </w:rPr>
        <w:t>ا</w:t>
      </w:r>
      <w:r w:rsidRPr="003C4B57">
        <w:rPr>
          <w:rtl/>
        </w:rPr>
        <w:t>لكبلات وإصلاح</w:t>
      </w:r>
      <w:r w:rsidRPr="003C4B57">
        <w:rPr>
          <w:rFonts w:hint="cs"/>
          <w:rtl/>
        </w:rPr>
        <w:t>ها</w:t>
      </w:r>
      <w:r w:rsidRPr="003C4B57">
        <w:rPr>
          <w:rtl/>
        </w:rPr>
        <w:t xml:space="preserve"> في الوقت المناسب.</w:t>
      </w:r>
    </w:p>
    <w:p w14:paraId="03347043" w14:textId="060DF90E" w:rsidR="003C4B57" w:rsidRPr="003C4B57" w:rsidRDefault="003C4B57" w:rsidP="003C4B57">
      <w:pPr>
        <w:rPr>
          <w:lang w:val="en-GB"/>
        </w:rPr>
      </w:pPr>
      <w:r w:rsidRPr="003C4B57">
        <w:rPr>
          <w:rtl/>
        </w:rPr>
        <w:t xml:space="preserve">وفي القمة الثانية </w:t>
      </w:r>
      <w:r w:rsidRPr="003C4B57">
        <w:rPr>
          <w:rFonts w:hint="cs"/>
          <w:rtl/>
        </w:rPr>
        <w:t>لقدرة</w:t>
      </w:r>
      <w:r w:rsidRPr="003C4B57">
        <w:rPr>
          <w:rtl/>
        </w:rPr>
        <w:t xml:space="preserve"> الكبلات البحرية</w:t>
      </w:r>
      <w:r w:rsidRPr="003C4B57">
        <w:rPr>
          <w:rFonts w:hint="cs"/>
          <w:rtl/>
        </w:rPr>
        <w:t xml:space="preserve"> على الصمود</w:t>
      </w:r>
      <w:r w:rsidRPr="003C4B57">
        <w:rPr>
          <w:rtl/>
        </w:rPr>
        <w:t xml:space="preserve">، التي عُقدت في الفترة من 2 إلى 3 فبراير </w:t>
      </w:r>
      <w:hyperlink r:id="rId38" w:anchor="/ar" w:history="1">
        <w:r w:rsidRPr="00D93838">
          <w:rPr>
            <w:rStyle w:val="Hyperlink"/>
            <w:noProof w:val="0"/>
            <w:rtl/>
            <w:lang w:val="en-US" w:eastAsia="zh-CN"/>
          </w:rPr>
          <w:t>2026 في بورتو</w:t>
        </w:r>
      </w:hyperlink>
      <w:r w:rsidRPr="003C4B57">
        <w:rPr>
          <w:rtl/>
        </w:rPr>
        <w:t xml:space="preserve">، البرتغال، وافقت الهيئة الاستشارية </w:t>
      </w:r>
      <w:r w:rsidRPr="003C4B57">
        <w:rPr>
          <w:rFonts w:hint="cs"/>
          <w:rtl/>
        </w:rPr>
        <w:t xml:space="preserve">الدولية </w:t>
      </w:r>
      <w:r w:rsidRPr="003C4B57">
        <w:rPr>
          <w:rtl/>
        </w:rPr>
        <w:t xml:space="preserve">على توصيات </w:t>
      </w:r>
      <w:r w:rsidRPr="003C4B57">
        <w:rPr>
          <w:rFonts w:hint="cs"/>
          <w:rtl/>
        </w:rPr>
        <w:t>فريق</w:t>
      </w:r>
      <w:r w:rsidRPr="003C4B57">
        <w:rPr>
          <w:rtl/>
        </w:rPr>
        <w:t xml:space="preserve"> العمل وأقرت إعلان بورتو، مما عزز الجهود الدولية لتقوية البنية التحتية للكبلات البحرية.</w:t>
      </w:r>
    </w:p>
    <w:p w14:paraId="0DC35D69" w14:textId="19F498DB" w:rsidR="003C4B57" w:rsidRPr="003C4B57" w:rsidRDefault="003C4B57" w:rsidP="003C4B57">
      <w:pPr>
        <w:rPr>
          <w:lang w:val="en-GB"/>
        </w:rPr>
      </w:pPr>
      <w:r w:rsidRPr="003C4B57">
        <w:rPr>
          <w:rFonts w:hint="cs"/>
          <w:rtl/>
        </w:rPr>
        <w:t>وأشارت تقديرات</w:t>
      </w:r>
      <w:r w:rsidRPr="003C4B57">
        <w:rPr>
          <w:rtl/>
        </w:rPr>
        <w:t xml:space="preserve"> مبادرة الاستثمار في البنية التحتية الرقمية (</w:t>
      </w:r>
      <w:r w:rsidRPr="003C4B57">
        <w:rPr>
          <w:lang w:val="en-GB"/>
        </w:rPr>
        <w:t>DIII</w:t>
      </w:r>
      <w:r w:rsidRPr="003C4B57">
        <w:rPr>
          <w:rtl/>
        </w:rPr>
        <w:t xml:space="preserve">)، </w:t>
      </w:r>
      <w:r w:rsidRPr="003C4B57">
        <w:rPr>
          <w:rFonts w:hint="cs"/>
          <w:rtl/>
        </w:rPr>
        <w:t>التي يقودها</w:t>
      </w:r>
      <w:r w:rsidRPr="003C4B57">
        <w:rPr>
          <w:rtl/>
        </w:rPr>
        <w:t xml:space="preserve"> الاتحاد بالتعاون مع بنوك التنمية متعددة الأطراف</w:t>
      </w:r>
      <w:r w:rsidR="00056A18">
        <w:rPr>
          <w:rFonts w:hint="cs"/>
          <w:rtl/>
        </w:rPr>
        <w:t> </w:t>
      </w:r>
      <w:r w:rsidR="00056A18">
        <w:t>(MDB)</w:t>
      </w:r>
      <w:r w:rsidRPr="003C4B57">
        <w:rPr>
          <w:rtl/>
        </w:rPr>
        <w:t xml:space="preserve">، أن </w:t>
      </w:r>
      <w:r w:rsidRPr="003C4B57">
        <w:rPr>
          <w:rFonts w:hint="cs"/>
          <w:rtl/>
        </w:rPr>
        <w:t>توصيل</w:t>
      </w:r>
      <w:r w:rsidRPr="003C4B57">
        <w:rPr>
          <w:rtl/>
        </w:rPr>
        <w:t xml:space="preserve"> الجميع بشكل </w:t>
      </w:r>
      <w:r w:rsidR="008D4655">
        <w:rPr>
          <w:rFonts w:hint="cs"/>
          <w:rtl/>
        </w:rPr>
        <w:t>هادف</w:t>
      </w:r>
      <w:r w:rsidRPr="003C4B57">
        <w:rPr>
          <w:rtl/>
        </w:rPr>
        <w:t xml:space="preserve"> سيكلف </w:t>
      </w:r>
      <w:r w:rsidR="00286CA0">
        <w:t>1,6</w:t>
      </w:r>
      <w:r w:rsidRPr="003C4B57">
        <w:rPr>
          <w:rtl/>
        </w:rPr>
        <w:t xml:space="preserve"> تريليون دولار أمريكي بحلول عام 2030 للبنية التحتية المادية وحدها. وتُقدّر خطة </w:t>
      </w:r>
      <w:r w:rsidRPr="003C4B57">
        <w:rPr>
          <w:rFonts w:hint="cs"/>
          <w:rtl/>
        </w:rPr>
        <w:t>توصيل</w:t>
      </w:r>
      <w:r w:rsidRPr="003C4B57">
        <w:rPr>
          <w:rtl/>
        </w:rPr>
        <w:t xml:space="preserve"> البشرية (2025)، التي أُعدّت بالشراكة مع المملكة العربية السعودية، التكلفة الإجمالية بما يتراوح بين 2</w:t>
      </w:r>
      <w:r w:rsidRPr="003C4B57">
        <w:rPr>
          <w:rFonts w:hint="cs"/>
          <w:rtl/>
        </w:rPr>
        <w:t>,</w:t>
      </w:r>
      <w:r w:rsidRPr="003C4B57">
        <w:rPr>
          <w:rtl/>
        </w:rPr>
        <w:t>6 و2</w:t>
      </w:r>
      <w:r w:rsidRPr="003C4B57">
        <w:rPr>
          <w:rFonts w:hint="cs"/>
          <w:rtl/>
        </w:rPr>
        <w:t>,</w:t>
      </w:r>
      <w:r w:rsidRPr="003C4B57">
        <w:rPr>
          <w:rtl/>
        </w:rPr>
        <w:t xml:space="preserve">8 تريليون دولار أمريكي عند احتساب الطلب والمهارات </w:t>
      </w:r>
      <w:proofErr w:type="spellStart"/>
      <w:r w:rsidRPr="003C4B57">
        <w:rPr>
          <w:rtl/>
        </w:rPr>
        <w:t>و</w:t>
      </w:r>
      <w:r w:rsidRPr="003C4B57">
        <w:rPr>
          <w:rFonts w:hint="cs"/>
          <w:rtl/>
        </w:rPr>
        <w:t>ميسورية</w:t>
      </w:r>
      <w:proofErr w:type="spellEnd"/>
      <w:r w:rsidRPr="003C4B57">
        <w:rPr>
          <w:rFonts w:hint="cs"/>
          <w:rtl/>
        </w:rPr>
        <w:t xml:space="preserve"> التكلفة</w:t>
      </w:r>
      <w:r w:rsidRPr="003C4B57">
        <w:rPr>
          <w:rtl/>
        </w:rPr>
        <w:t xml:space="preserve"> والسياسات. </w:t>
      </w:r>
      <w:r w:rsidRPr="003C4B57">
        <w:rPr>
          <w:rFonts w:hint="cs"/>
          <w:rtl/>
        </w:rPr>
        <w:t xml:space="preserve">وتقوم </w:t>
      </w:r>
      <w:r w:rsidRPr="003C4B57">
        <w:rPr>
          <w:rtl/>
        </w:rPr>
        <w:t xml:space="preserve">مبادرة </w:t>
      </w:r>
      <w:r w:rsidRPr="003C4B57">
        <w:rPr>
          <w:lang w:val="en-GB"/>
        </w:rPr>
        <w:t>DII Catalyser</w:t>
      </w:r>
      <w:r w:rsidRPr="003C4B57">
        <w:rPr>
          <w:rtl/>
        </w:rPr>
        <w:t xml:space="preserve">، وهي مبادرة مشتركة بين الاتحاد ومؤتمر الأمم المتحدة للتجارة والتنمية مع بنوك التنمية متعددة الأطراف، </w:t>
      </w:r>
      <w:r w:rsidRPr="003C4B57">
        <w:rPr>
          <w:rFonts w:hint="cs"/>
          <w:rtl/>
        </w:rPr>
        <w:t>ب</w:t>
      </w:r>
      <w:r w:rsidRPr="003C4B57">
        <w:rPr>
          <w:rtl/>
        </w:rPr>
        <w:t>حشد الشركاء لتسريع الاستثمار في البنية التحتية الرقمية القابلة للتمويل على مستوى العالم.</w:t>
      </w:r>
    </w:p>
    <w:p w14:paraId="38465E81" w14:textId="77777777" w:rsidR="00621959" w:rsidRPr="00153CB5" w:rsidRDefault="00621959" w:rsidP="005D51DE">
      <w:pPr>
        <w:pStyle w:val="Headingb"/>
      </w:pPr>
      <w:r w:rsidRPr="00621959">
        <w:rPr>
          <w:rtl/>
        </w:rPr>
        <w:t>الاستعداد للمستقبل</w:t>
      </w:r>
    </w:p>
    <w:p w14:paraId="463FE076" w14:textId="6D92C8E0" w:rsidR="003C4B57" w:rsidRPr="003C4B57" w:rsidRDefault="003C4B57" w:rsidP="003C4B57">
      <w:pPr>
        <w:rPr>
          <w:rtl/>
        </w:rPr>
      </w:pPr>
      <w:r w:rsidRPr="003C4B57">
        <w:rPr>
          <w:rtl/>
        </w:rPr>
        <w:t>اضطلع الاتحاد منذ عام 2023 بتحول داخلي شامل لتعزيز الحوكمة المؤسسية والمساءلة والفعالية التشغيلية.</w:t>
      </w:r>
    </w:p>
    <w:p w14:paraId="1B92F96B" w14:textId="77777777" w:rsidR="003C4B57" w:rsidRPr="003C4B57" w:rsidRDefault="003C4B57" w:rsidP="003C4B57">
      <w:pPr>
        <w:rPr>
          <w:lang w:val="en-GB"/>
        </w:rPr>
      </w:pPr>
      <w:r w:rsidRPr="003C4B57">
        <w:rPr>
          <w:rtl/>
        </w:rPr>
        <w:t xml:space="preserve">وشملت عملية التحول المالي تحويل العجز المستمر في الميزانية إلى فوائض ثابتة، وإصلاح الإدارة المالية وإعادة عملية </w:t>
      </w:r>
      <w:r w:rsidRPr="003C4B57">
        <w:rPr>
          <w:rFonts w:hint="cs"/>
          <w:rtl/>
        </w:rPr>
        <w:t>المراجعة</w:t>
      </w:r>
      <w:r w:rsidRPr="003C4B57">
        <w:rPr>
          <w:rtl/>
        </w:rPr>
        <w:t xml:space="preserve"> الخارجي</w:t>
      </w:r>
      <w:r w:rsidRPr="003C4B57">
        <w:rPr>
          <w:rFonts w:hint="cs"/>
          <w:rtl/>
        </w:rPr>
        <w:t>ة</w:t>
      </w:r>
      <w:r w:rsidRPr="003C4B57">
        <w:rPr>
          <w:rtl/>
        </w:rPr>
        <w:t xml:space="preserve"> إلى مسارها الصحيح، </w:t>
      </w:r>
      <w:r w:rsidRPr="003C4B57">
        <w:rPr>
          <w:rFonts w:hint="cs"/>
          <w:rtl/>
        </w:rPr>
        <w:t>فضلاً عن</w:t>
      </w:r>
      <w:r w:rsidRPr="003C4B57">
        <w:rPr>
          <w:rtl/>
        </w:rPr>
        <w:t xml:space="preserve"> إعادة تصميم مشروع مبنى المقر الجديد لضمان ملاءمته ل</w:t>
      </w:r>
      <w:r w:rsidRPr="003C4B57">
        <w:rPr>
          <w:rFonts w:hint="cs"/>
          <w:rtl/>
        </w:rPr>
        <w:t>إجمالي ال</w:t>
      </w:r>
      <w:r w:rsidRPr="003C4B57">
        <w:rPr>
          <w:rtl/>
        </w:rPr>
        <w:t xml:space="preserve">ميزانية </w:t>
      </w:r>
      <w:r w:rsidRPr="003C4B57">
        <w:rPr>
          <w:rFonts w:hint="cs"/>
          <w:rtl/>
        </w:rPr>
        <w:t>و</w:t>
      </w:r>
      <w:r w:rsidRPr="003C4B57">
        <w:rPr>
          <w:rtl/>
        </w:rPr>
        <w:t>تلبية احتياجات الاتحاد المستقبلية.</w:t>
      </w:r>
    </w:p>
    <w:p w14:paraId="70773C95" w14:textId="77777777" w:rsidR="003C4B57" w:rsidRPr="003C4B57" w:rsidRDefault="003C4B57" w:rsidP="003C4B57">
      <w:pPr>
        <w:rPr>
          <w:rtl/>
        </w:rPr>
      </w:pPr>
      <w:r w:rsidRPr="003C4B57">
        <w:rPr>
          <w:rtl/>
        </w:rPr>
        <w:t xml:space="preserve">وتشمل الإنجازات الرئيسية </w:t>
      </w:r>
      <w:r w:rsidRPr="003C4B57">
        <w:rPr>
          <w:rFonts w:hint="cs"/>
          <w:rtl/>
        </w:rPr>
        <w:t xml:space="preserve">أيضاً </w:t>
      </w:r>
      <w:r w:rsidRPr="003C4B57">
        <w:rPr>
          <w:rtl/>
        </w:rPr>
        <w:t>إنشاء وحدة رقابة ووظيفة أمين مظالم، وإعادة تصميم عمليات التخطيط التشغيلي، والامتثال الكامل لمعايير المحاسبة الدولية للقطاع العام، والتقدم في إصلاحات الخزانة والموارد البشرية.</w:t>
      </w:r>
    </w:p>
    <w:p w14:paraId="0069798B" w14:textId="6E005D78" w:rsidR="00621959" w:rsidRDefault="00621959" w:rsidP="00621959">
      <w:pPr>
        <w:rPr>
          <w:rtl/>
        </w:rPr>
      </w:pPr>
      <w:r w:rsidRPr="00621959">
        <w:rPr>
          <w:rtl/>
        </w:rPr>
        <w:t xml:space="preserve">وشدد تحديث الموارد البشرية على التعلم، وإدارة الأداء، وتنمية القيادة، </w:t>
      </w:r>
      <w:r w:rsidRPr="00621959">
        <w:rPr>
          <w:rFonts w:hint="cs"/>
          <w:rtl/>
        </w:rPr>
        <w:t>والتكافؤ</w:t>
      </w:r>
      <w:r w:rsidRPr="00621959">
        <w:rPr>
          <w:rtl/>
        </w:rPr>
        <w:t xml:space="preserve"> بين الجنسين، والصحة العقلية، وترتيبات العمل المرنة. كما اعتمد الاتحاد مبادئ توجيهية تنظيمية بشأن الاستعمال المسؤول للذكاء الاصطناعي التوليدي، ورحب بتعيين مسؤول تنفيذي جديد للمعلومات لتسريع التحديث الرقمي.</w:t>
      </w:r>
    </w:p>
    <w:p w14:paraId="2F9A1A1B" w14:textId="77777777" w:rsidR="0089560B" w:rsidRDefault="00621959" w:rsidP="00621959">
      <w:pPr>
        <w:rPr>
          <w:rtl/>
        </w:rPr>
      </w:pPr>
      <w:r w:rsidRPr="00621959">
        <w:rPr>
          <w:rtl/>
        </w:rPr>
        <w:t>وركزت استراتيجية جديدة لتعبئة الموارد تم اعتمادها في عام 2024 على تعزيز مشاركة الأعضاء، وتحسين المنتجات والخدمات، وزيادة المساهمات الطوعية.</w:t>
      </w:r>
    </w:p>
    <w:p w14:paraId="66C90290" w14:textId="033F5485" w:rsidR="00621959" w:rsidRPr="00621959" w:rsidRDefault="00621959" w:rsidP="00621959">
      <w:pPr>
        <w:rPr>
          <w:rtl/>
        </w:rPr>
      </w:pPr>
      <w:r w:rsidRPr="00621959">
        <w:rPr>
          <w:rtl/>
        </w:rPr>
        <w:t xml:space="preserve">وشملت الأولويات البارزة تحديث بطاقات التبليغ عن السواتل، وتوسيع نطاق المنتجات الرقمية، وتحسين نماذج إيرادات الأحداث، ووضع استراتيجية شراكة جديدة </w:t>
      </w:r>
      <w:r w:rsidRPr="00621959">
        <w:rPr>
          <w:rFonts w:hint="cs"/>
          <w:rtl/>
        </w:rPr>
        <w:t>لتحقيق أقصى</w:t>
      </w:r>
      <w:r w:rsidRPr="00621959">
        <w:rPr>
          <w:rtl/>
        </w:rPr>
        <w:t xml:space="preserve"> تأثير </w:t>
      </w:r>
      <w:r w:rsidRPr="00621959">
        <w:rPr>
          <w:rFonts w:hint="cs"/>
          <w:rtl/>
        </w:rPr>
        <w:t>ل</w:t>
      </w:r>
      <w:r w:rsidRPr="00621959">
        <w:rPr>
          <w:rtl/>
        </w:rPr>
        <w:t>لاتحاد مع الحفاظ على النزاهة المؤسسية.</w:t>
      </w:r>
    </w:p>
    <w:p w14:paraId="4874350A" w14:textId="2AE8E52B" w:rsidR="00621959" w:rsidRPr="00621959" w:rsidRDefault="00621959" w:rsidP="00621959">
      <w:pPr>
        <w:rPr>
          <w:rtl/>
        </w:rPr>
      </w:pPr>
      <w:r w:rsidRPr="00621959">
        <w:rPr>
          <w:rtl/>
        </w:rPr>
        <w:t>وبحلول منتصف خطتها الاستراتيجية الحالية، كانت المنظمة قد وصلت إلى وضع أقوى للتصدي للتحديات العالمية الراهنة والناشئة. وتطلعاً للمستقبل، يواصل الاتحاد التطور مع التكنولوجيات ودعم البلدان والمجتمعات بوصفه منصة دولية للتعاون التقني لضمان تأثير حقيقي ودائم للجميع.</w:t>
      </w:r>
    </w:p>
    <w:p w14:paraId="4BAB26FA" w14:textId="77777777" w:rsidR="00153CB5" w:rsidRPr="00153CB5" w:rsidRDefault="00153CB5" w:rsidP="00153CB5">
      <w:pPr>
        <w:rPr>
          <w:rFonts w:eastAsiaTheme="majorEastAsia"/>
          <w:sz w:val="26"/>
          <w:szCs w:val="26"/>
          <w:rtl/>
          <w:lang w:bidi="ar-EG"/>
        </w:rPr>
      </w:pPr>
      <w:bookmarkStart w:id="6" w:name="_Toc224288788"/>
      <w:bookmarkStart w:id="7" w:name="_Hlk225874373"/>
      <w:r w:rsidRPr="00153CB5">
        <w:rPr>
          <w:rtl/>
          <w:lang w:bidi="ar-EG"/>
        </w:rPr>
        <w:br w:type="page"/>
      </w:r>
    </w:p>
    <w:p w14:paraId="4A1503B0" w14:textId="43AC7FAF" w:rsidR="00621959" w:rsidRPr="00621959" w:rsidRDefault="00E76879" w:rsidP="00E76879">
      <w:pPr>
        <w:pStyle w:val="Heading1"/>
        <w:rPr>
          <w:lang w:val="en-GB" w:bidi="ar-EG"/>
        </w:rPr>
      </w:pPr>
      <w:bookmarkStart w:id="8" w:name="_Toc227252562"/>
      <w:r>
        <w:rPr>
          <w:rFonts w:hint="cs"/>
          <w:rtl/>
          <w:lang w:bidi="ar-EG"/>
        </w:rPr>
        <w:t>ثانياً</w:t>
      </w:r>
      <w:r w:rsidR="00621959" w:rsidRPr="00621959">
        <w:rPr>
          <w:rtl/>
        </w:rPr>
        <w:tab/>
        <w:t>رؤى وأهم الدروس المستفادة من الفترة 2022-2025</w:t>
      </w:r>
      <w:bookmarkEnd w:id="6"/>
      <w:bookmarkEnd w:id="8"/>
    </w:p>
    <w:p w14:paraId="233B5F3D" w14:textId="77777777" w:rsidR="00621959" w:rsidRPr="00621959" w:rsidRDefault="00621959" w:rsidP="00153CB5">
      <w:pPr>
        <w:pStyle w:val="Headingb"/>
      </w:pPr>
      <w:r w:rsidRPr="00621959">
        <w:rPr>
          <w:rtl/>
        </w:rPr>
        <w:t>النتائج والدروس المستفادة الرئيسية</w:t>
      </w:r>
    </w:p>
    <w:p w14:paraId="37C17B01" w14:textId="77777777" w:rsidR="00621959" w:rsidRPr="00621959" w:rsidRDefault="00621959" w:rsidP="00153CB5">
      <w:pPr>
        <w:pStyle w:val="Headingb"/>
      </w:pPr>
      <w:r w:rsidRPr="00621959">
        <w:rPr>
          <w:rtl/>
        </w:rPr>
        <w:t>التوصيلية، والقدرة على تحمل التكلفة، والاتجاهات الرقمية</w:t>
      </w:r>
    </w:p>
    <w:p w14:paraId="1498B905" w14:textId="3CE57503" w:rsidR="00621959" w:rsidRPr="00621959" w:rsidRDefault="00153CB5" w:rsidP="00153CB5">
      <w:pPr>
        <w:pStyle w:val="enumlev1"/>
        <w:rPr>
          <w:lang w:val="en-GB" w:bidi="ar-EG"/>
        </w:rPr>
      </w:pPr>
      <w:r>
        <w:sym w:font="Wingdings 2" w:char="F097"/>
      </w:r>
      <w:r>
        <w:tab/>
      </w:r>
      <w:r w:rsidR="00621959" w:rsidRPr="00621959">
        <w:rPr>
          <w:rtl/>
        </w:rPr>
        <w:t xml:space="preserve">ارتفع استعمال الإنترنت عالمياً من </w:t>
      </w:r>
      <w:r w:rsidR="00621959" w:rsidRPr="00621959">
        <w:rPr>
          <w:b/>
          <w:bCs/>
          <w:rtl/>
        </w:rPr>
        <w:t xml:space="preserve">67% </w:t>
      </w:r>
      <w:r w:rsidR="00621959" w:rsidRPr="00621959">
        <w:rPr>
          <w:rFonts w:hint="cs"/>
          <w:b/>
          <w:bCs/>
          <w:rtl/>
        </w:rPr>
        <w:t xml:space="preserve">في </w:t>
      </w:r>
      <w:r w:rsidR="00621959" w:rsidRPr="00621959">
        <w:rPr>
          <w:b/>
          <w:bCs/>
          <w:rtl/>
        </w:rPr>
        <w:t xml:space="preserve">عام 2022 إلى 74% </w:t>
      </w:r>
      <w:r w:rsidR="00621959" w:rsidRPr="00621959">
        <w:rPr>
          <w:rFonts w:hint="cs"/>
          <w:b/>
          <w:bCs/>
          <w:rtl/>
        </w:rPr>
        <w:t xml:space="preserve">في </w:t>
      </w:r>
      <w:r w:rsidR="00621959" w:rsidRPr="00621959">
        <w:rPr>
          <w:b/>
          <w:bCs/>
          <w:rtl/>
        </w:rPr>
        <w:t>عام 2025</w:t>
      </w:r>
      <w:r w:rsidR="00621959" w:rsidRPr="00621959">
        <w:rPr>
          <w:rtl/>
        </w:rPr>
        <w:t xml:space="preserve"> (من </w:t>
      </w:r>
      <w:r w:rsidR="00621959" w:rsidRPr="00621959">
        <w:rPr>
          <w:b/>
          <w:bCs/>
          <w:rtl/>
        </w:rPr>
        <w:t>5</w:t>
      </w:r>
      <w:r w:rsidR="00621959" w:rsidRPr="00621959">
        <w:rPr>
          <w:rFonts w:hint="cs"/>
          <w:b/>
          <w:bCs/>
          <w:rtl/>
        </w:rPr>
        <w:t>,</w:t>
      </w:r>
      <w:r w:rsidR="00621959" w:rsidRPr="00621959">
        <w:rPr>
          <w:b/>
          <w:bCs/>
          <w:rtl/>
        </w:rPr>
        <w:t>4 إلى 6 مليارات مستعمل</w:t>
      </w:r>
      <w:r w:rsidR="00621959" w:rsidRPr="00621959">
        <w:rPr>
          <w:rtl/>
        </w:rPr>
        <w:t xml:space="preserve">)، مما </w:t>
      </w:r>
      <w:r w:rsidR="00621959" w:rsidRPr="00621959">
        <w:rPr>
          <w:rFonts w:hint="cs"/>
          <w:rtl/>
        </w:rPr>
        <w:t>يترك</w:t>
      </w:r>
      <w:r w:rsidR="00621959" w:rsidRPr="00621959">
        <w:rPr>
          <w:rtl/>
        </w:rPr>
        <w:t xml:space="preserve"> </w:t>
      </w:r>
      <w:r w:rsidR="003C4B57">
        <w:rPr>
          <w:b/>
          <w:bCs/>
        </w:rPr>
        <w:t>2,2</w:t>
      </w:r>
      <w:r w:rsidR="00621959" w:rsidRPr="00621959">
        <w:rPr>
          <w:b/>
          <w:bCs/>
          <w:rtl/>
        </w:rPr>
        <w:t xml:space="preserve"> مليار </w:t>
      </w:r>
      <w:r w:rsidR="00621959" w:rsidRPr="00153CB5">
        <w:rPr>
          <w:b/>
          <w:bCs/>
          <w:rtl/>
        </w:rPr>
        <w:t>شخص غير موصولين بالإنترنت</w:t>
      </w:r>
      <w:r w:rsidR="00621959" w:rsidRPr="00621959">
        <w:rPr>
          <w:rtl/>
        </w:rPr>
        <w:t>.</w:t>
      </w:r>
    </w:p>
    <w:p w14:paraId="41FEBE9F" w14:textId="2DD3F64B" w:rsidR="00621959" w:rsidRPr="00621959" w:rsidRDefault="00153CB5" w:rsidP="00153CB5">
      <w:pPr>
        <w:pStyle w:val="enumlev1"/>
        <w:rPr>
          <w:lang w:val="en-GB" w:bidi="ar-EG"/>
        </w:rPr>
      </w:pPr>
      <w:r>
        <w:sym w:font="Wingdings 2" w:char="F097"/>
      </w:r>
      <w:r>
        <w:tab/>
      </w:r>
      <w:r w:rsidR="00621959" w:rsidRPr="00621959">
        <w:rPr>
          <w:rFonts w:hint="cs"/>
          <w:rtl/>
        </w:rPr>
        <w:t>و</w:t>
      </w:r>
      <w:r w:rsidR="00621959" w:rsidRPr="00621959">
        <w:rPr>
          <w:rtl/>
        </w:rPr>
        <w:t xml:space="preserve">استمرت فجوات التوصيلية، حيث بلغت نسبة الموصولين </w:t>
      </w:r>
      <w:r w:rsidR="00621959" w:rsidRPr="00621959">
        <w:rPr>
          <w:b/>
          <w:bCs/>
          <w:rtl/>
        </w:rPr>
        <w:t>94%</w:t>
      </w:r>
      <w:r w:rsidR="00621959" w:rsidRPr="00621959">
        <w:rPr>
          <w:rtl/>
        </w:rPr>
        <w:t xml:space="preserve"> في البلدان ذات الدخل المرتفع مقابل </w:t>
      </w:r>
      <w:r w:rsidR="00621959" w:rsidRPr="00621959">
        <w:rPr>
          <w:b/>
          <w:bCs/>
          <w:rtl/>
        </w:rPr>
        <w:t xml:space="preserve">23% </w:t>
      </w:r>
      <w:r w:rsidR="00621959" w:rsidRPr="00621959">
        <w:rPr>
          <w:rtl/>
        </w:rPr>
        <w:t>في البلدان ذات الدخل المنخفض.</w:t>
      </w:r>
    </w:p>
    <w:p w14:paraId="64E3B060" w14:textId="5C2C7446" w:rsidR="00621959" w:rsidRPr="00621959" w:rsidRDefault="00153CB5" w:rsidP="00B458A7">
      <w:pPr>
        <w:pStyle w:val="enumlev1"/>
        <w:rPr>
          <w:lang w:val="en-GB" w:bidi="ar-EG"/>
        </w:rPr>
      </w:pPr>
      <w:r>
        <w:sym w:font="Wingdings 2" w:char="F097"/>
      </w:r>
      <w:r>
        <w:tab/>
      </w:r>
      <w:r w:rsidR="00621959" w:rsidRPr="00621959">
        <w:rPr>
          <w:rFonts w:hint="cs"/>
          <w:rtl/>
        </w:rPr>
        <w:t>و</w:t>
      </w:r>
      <w:r w:rsidR="00621959" w:rsidRPr="00621959">
        <w:rPr>
          <w:rtl/>
        </w:rPr>
        <w:t xml:space="preserve">انخفض متوسط ​​أسعار النطاق العريض المتنقل من </w:t>
      </w:r>
      <w:r w:rsidR="00353D19">
        <w:rPr>
          <w:b/>
          <w:bCs/>
        </w:rPr>
        <w:t>2.0</w:t>
      </w:r>
      <w:r w:rsidR="00621959" w:rsidRPr="00621959">
        <w:rPr>
          <w:b/>
          <w:bCs/>
          <w:rtl/>
        </w:rPr>
        <w:t>% إلى 1</w:t>
      </w:r>
      <w:r w:rsidR="00621959" w:rsidRPr="00621959">
        <w:rPr>
          <w:rFonts w:hint="cs"/>
          <w:b/>
          <w:bCs/>
          <w:rtl/>
        </w:rPr>
        <w:t>,</w:t>
      </w:r>
      <w:r w:rsidR="00621959" w:rsidRPr="00621959">
        <w:rPr>
          <w:b/>
          <w:bCs/>
          <w:rtl/>
        </w:rPr>
        <w:t xml:space="preserve">4% من </w:t>
      </w:r>
      <w:r w:rsidR="00B458A7" w:rsidRPr="00B458A7">
        <w:rPr>
          <w:rFonts w:hint="cs"/>
          <w:b/>
          <w:bCs/>
          <w:rtl/>
          <w:lang w:bidi="ar-SA"/>
        </w:rPr>
        <w:t>نصيب الفرد من الدخل القومي</w:t>
      </w:r>
      <w:r w:rsidR="00B458A7" w:rsidRPr="00B458A7">
        <w:rPr>
          <w:b/>
          <w:bCs/>
          <w:rtl/>
          <w:lang w:bidi="ar-SA"/>
        </w:rPr>
        <w:t xml:space="preserve"> </w:t>
      </w:r>
      <w:r w:rsidR="00B458A7" w:rsidRPr="00B458A7">
        <w:rPr>
          <w:rFonts w:hint="cs"/>
          <w:b/>
          <w:bCs/>
          <w:rtl/>
          <w:lang w:bidi="ar-SA"/>
        </w:rPr>
        <w:t>الإجمالي</w:t>
      </w:r>
      <w:r w:rsidR="00621959" w:rsidRPr="00621959">
        <w:rPr>
          <w:rtl/>
        </w:rPr>
        <w:t xml:space="preserve">، والنطاق العريض الثابت من </w:t>
      </w:r>
      <w:r w:rsidR="00621959" w:rsidRPr="00621959">
        <w:rPr>
          <w:b/>
          <w:bCs/>
          <w:rtl/>
        </w:rPr>
        <w:t>3</w:t>
      </w:r>
      <w:r w:rsidR="00621959" w:rsidRPr="00621959">
        <w:rPr>
          <w:rFonts w:hint="cs"/>
          <w:b/>
          <w:bCs/>
          <w:rtl/>
        </w:rPr>
        <w:t>,</w:t>
      </w:r>
      <w:r w:rsidR="00621959" w:rsidRPr="00621959">
        <w:rPr>
          <w:b/>
          <w:bCs/>
          <w:rtl/>
        </w:rPr>
        <w:t>1% إلى 2</w:t>
      </w:r>
      <w:r w:rsidR="00621959" w:rsidRPr="00621959">
        <w:rPr>
          <w:rFonts w:hint="cs"/>
          <w:b/>
          <w:bCs/>
          <w:rtl/>
        </w:rPr>
        <w:t>,</w:t>
      </w:r>
      <w:r w:rsidR="00621959" w:rsidRPr="00621959">
        <w:rPr>
          <w:b/>
          <w:bCs/>
          <w:rtl/>
        </w:rPr>
        <w:t xml:space="preserve">5% </w:t>
      </w:r>
      <w:r w:rsidR="00621959" w:rsidRPr="00621959">
        <w:rPr>
          <w:rtl/>
        </w:rPr>
        <w:t>(2022-2025).</w:t>
      </w:r>
    </w:p>
    <w:p w14:paraId="0DF2522E" w14:textId="6C89478F" w:rsidR="00621959" w:rsidRPr="00621959" w:rsidRDefault="00153CB5" w:rsidP="00153CB5">
      <w:pPr>
        <w:pStyle w:val="enumlev1"/>
        <w:rPr>
          <w:lang w:val="en-GB" w:bidi="ar-EG"/>
        </w:rPr>
      </w:pPr>
      <w:r>
        <w:sym w:font="Wingdings 2" w:char="F097"/>
      </w:r>
      <w:r>
        <w:tab/>
      </w:r>
      <w:r w:rsidR="00621959" w:rsidRPr="00621959">
        <w:rPr>
          <w:rFonts w:hint="cs"/>
          <w:b/>
          <w:bCs/>
          <w:rtl/>
        </w:rPr>
        <w:t>و</w:t>
      </w:r>
      <w:r w:rsidR="00621959" w:rsidRPr="00621959">
        <w:rPr>
          <w:b/>
          <w:bCs/>
          <w:rtl/>
        </w:rPr>
        <w:t>وصلت تغطية شبكات الجيل الخامس إلى 55%</w:t>
      </w:r>
      <w:r w:rsidR="00621959" w:rsidRPr="00621959">
        <w:rPr>
          <w:rtl/>
        </w:rPr>
        <w:t xml:space="preserve"> من سكان العالم </w:t>
      </w:r>
      <w:r w:rsidR="00621959" w:rsidRPr="00621959">
        <w:rPr>
          <w:rFonts w:hint="cs"/>
          <w:rtl/>
        </w:rPr>
        <w:t xml:space="preserve">في </w:t>
      </w:r>
      <w:r w:rsidR="00621959" w:rsidRPr="00621959">
        <w:rPr>
          <w:rtl/>
        </w:rPr>
        <w:t xml:space="preserve">عام 2025، بالمقارنة مع 39% </w:t>
      </w:r>
      <w:r w:rsidR="00621959" w:rsidRPr="00621959">
        <w:rPr>
          <w:rFonts w:hint="cs"/>
          <w:rtl/>
        </w:rPr>
        <w:t>في</w:t>
      </w:r>
      <w:r w:rsidR="00353D19">
        <w:rPr>
          <w:rFonts w:hint="eastAsia"/>
          <w:rtl/>
          <w:lang w:bidi="ar-EG"/>
        </w:rPr>
        <w:t> </w:t>
      </w:r>
      <w:r w:rsidR="00621959" w:rsidRPr="00621959">
        <w:rPr>
          <w:rtl/>
        </w:rPr>
        <w:t>عام</w:t>
      </w:r>
      <w:r w:rsidR="00353D19">
        <w:rPr>
          <w:rFonts w:hint="cs"/>
          <w:rtl/>
        </w:rPr>
        <w:t> </w:t>
      </w:r>
      <w:r w:rsidR="00621959" w:rsidRPr="00621959">
        <w:rPr>
          <w:rtl/>
        </w:rPr>
        <w:t xml:space="preserve">2022، بينما لم تتجاوز </w:t>
      </w:r>
      <w:r w:rsidR="00621959" w:rsidRPr="00621959">
        <w:rPr>
          <w:b/>
          <w:bCs/>
          <w:rtl/>
        </w:rPr>
        <w:t>4%</w:t>
      </w:r>
      <w:r w:rsidR="00621959" w:rsidRPr="00621959">
        <w:rPr>
          <w:rtl/>
        </w:rPr>
        <w:t xml:space="preserve"> في البلدان ذات الدخل المنخفض.</w:t>
      </w:r>
    </w:p>
    <w:p w14:paraId="2447797E" w14:textId="713F20BF" w:rsidR="00621959" w:rsidRPr="00621959" w:rsidRDefault="00153CB5" w:rsidP="00153CB5">
      <w:pPr>
        <w:pStyle w:val="enumlev1"/>
        <w:rPr>
          <w:lang w:val="en-GB" w:bidi="ar-EG"/>
        </w:rPr>
      </w:pPr>
      <w:r>
        <w:sym w:font="Wingdings 2" w:char="F097"/>
      </w:r>
      <w:r>
        <w:tab/>
      </w:r>
      <w:r w:rsidR="00621959" w:rsidRPr="00621959">
        <w:rPr>
          <w:rFonts w:hint="cs"/>
          <w:rtl/>
        </w:rPr>
        <w:t>و</w:t>
      </w:r>
      <w:r w:rsidR="00621959" w:rsidRPr="00621959">
        <w:rPr>
          <w:rtl/>
        </w:rPr>
        <w:t xml:space="preserve">استخدم </w:t>
      </w:r>
      <w:r w:rsidR="00621959" w:rsidRPr="00621959">
        <w:rPr>
          <w:b/>
          <w:bCs/>
          <w:rtl/>
        </w:rPr>
        <w:t>82%</w:t>
      </w:r>
      <w:r w:rsidR="00621959" w:rsidRPr="00621959">
        <w:rPr>
          <w:rtl/>
        </w:rPr>
        <w:t xml:space="preserve"> من الأفراد الذين تتراوح أعمارهم بين 15 و24 سنة الإنترنت في عام 2025، مقابل </w:t>
      </w:r>
      <w:r w:rsidR="00621959" w:rsidRPr="00353D19">
        <w:rPr>
          <w:b/>
          <w:bCs/>
          <w:rtl/>
        </w:rPr>
        <w:t>72%</w:t>
      </w:r>
      <w:r w:rsidR="00621959" w:rsidRPr="00621959">
        <w:rPr>
          <w:rtl/>
        </w:rPr>
        <w:t xml:space="preserve"> من باقي السكان.</w:t>
      </w:r>
    </w:p>
    <w:p w14:paraId="650C94E3" w14:textId="1DD84463" w:rsidR="00621959" w:rsidRPr="00621959" w:rsidRDefault="00153CB5" w:rsidP="00153CB5">
      <w:pPr>
        <w:pStyle w:val="enumlev1"/>
        <w:rPr>
          <w:lang w:val="en-GB" w:bidi="ar-EG"/>
        </w:rPr>
      </w:pPr>
      <w:r>
        <w:sym w:font="Wingdings 2" w:char="F097"/>
      </w:r>
      <w:r>
        <w:tab/>
      </w:r>
      <w:r w:rsidR="00621959" w:rsidRPr="00621959">
        <w:rPr>
          <w:rFonts w:hint="cs"/>
          <w:rtl/>
        </w:rPr>
        <w:t>و</w:t>
      </w:r>
      <w:r w:rsidR="00621959" w:rsidRPr="00621959">
        <w:rPr>
          <w:rtl/>
        </w:rPr>
        <w:t xml:space="preserve">تقلصت فجوة </w:t>
      </w:r>
      <w:r w:rsidR="00621959" w:rsidRPr="00621959">
        <w:rPr>
          <w:rFonts w:hint="cs"/>
          <w:rtl/>
        </w:rPr>
        <w:t>ال</w:t>
      </w:r>
      <w:r w:rsidR="00621959" w:rsidRPr="00621959">
        <w:rPr>
          <w:rtl/>
        </w:rPr>
        <w:t xml:space="preserve">استعمال بين المناطق الحضرية والريفية بشكل طفيف من </w:t>
      </w:r>
      <w:r w:rsidR="00621959" w:rsidRPr="00621959">
        <w:rPr>
          <w:b/>
          <w:bCs/>
          <w:rtl/>
        </w:rPr>
        <w:t>1</w:t>
      </w:r>
      <w:r w:rsidR="00621959" w:rsidRPr="00621959">
        <w:rPr>
          <w:rFonts w:hint="cs"/>
          <w:b/>
          <w:bCs/>
          <w:rtl/>
        </w:rPr>
        <w:t>,</w:t>
      </w:r>
      <w:r w:rsidR="00621959" w:rsidRPr="00621959">
        <w:rPr>
          <w:b/>
          <w:bCs/>
          <w:rtl/>
        </w:rPr>
        <w:t>6 إلى 1</w:t>
      </w:r>
      <w:r w:rsidR="00621959" w:rsidRPr="00621959">
        <w:rPr>
          <w:rFonts w:hint="cs"/>
          <w:b/>
          <w:bCs/>
          <w:rtl/>
        </w:rPr>
        <w:t>,</w:t>
      </w:r>
      <w:r w:rsidR="00621959" w:rsidRPr="00621959">
        <w:rPr>
          <w:b/>
          <w:bCs/>
          <w:rtl/>
        </w:rPr>
        <w:t>5</w:t>
      </w:r>
      <w:r w:rsidR="00621959" w:rsidRPr="00621959">
        <w:rPr>
          <w:rtl/>
        </w:rPr>
        <w:t xml:space="preserve">، حيث كان </w:t>
      </w:r>
      <w:r w:rsidR="00621959" w:rsidRPr="00621959">
        <w:rPr>
          <w:b/>
          <w:bCs/>
          <w:rtl/>
        </w:rPr>
        <w:t>85%</w:t>
      </w:r>
      <w:r w:rsidR="00621959" w:rsidRPr="00621959">
        <w:rPr>
          <w:rtl/>
        </w:rPr>
        <w:t xml:space="preserve"> </w:t>
      </w:r>
      <w:r w:rsidR="00621959" w:rsidRPr="00621959">
        <w:rPr>
          <w:b/>
          <w:bCs/>
          <w:rtl/>
        </w:rPr>
        <w:t>من سكان المناطق الحضرية</w:t>
      </w:r>
      <w:r w:rsidR="00621959" w:rsidRPr="00621959">
        <w:rPr>
          <w:rtl/>
        </w:rPr>
        <w:t xml:space="preserve"> و</w:t>
      </w:r>
      <w:r w:rsidR="00621959" w:rsidRPr="00621959">
        <w:rPr>
          <w:b/>
          <w:bCs/>
          <w:rtl/>
        </w:rPr>
        <w:t xml:space="preserve">58% من سكان المناطق الريفية </w:t>
      </w:r>
      <w:r w:rsidR="00621959" w:rsidRPr="00621959">
        <w:rPr>
          <w:rtl/>
        </w:rPr>
        <w:t>موصولين بالإنترنت في عام 2025.</w:t>
      </w:r>
    </w:p>
    <w:p w14:paraId="2EB8B88F" w14:textId="698B37F3" w:rsidR="00621959" w:rsidRPr="00621959" w:rsidRDefault="00621959" w:rsidP="00153CB5">
      <w:pPr>
        <w:pStyle w:val="Headingb"/>
      </w:pPr>
      <w:r w:rsidRPr="00621959">
        <w:rPr>
          <w:rtl/>
        </w:rPr>
        <w:t>جمع البيانات والأدلة المتعلقة بالسياسات</w:t>
      </w:r>
    </w:p>
    <w:p w14:paraId="7F8D1598" w14:textId="397FDDAF" w:rsidR="00621959" w:rsidRPr="00621959" w:rsidRDefault="00153CB5" w:rsidP="00153CB5">
      <w:pPr>
        <w:pStyle w:val="enumlev1"/>
        <w:rPr>
          <w:lang w:val="en-GB" w:bidi="ar-EG"/>
        </w:rPr>
      </w:pPr>
      <w:r>
        <w:sym w:font="Wingdings 2" w:char="F097"/>
      </w:r>
      <w:r>
        <w:tab/>
      </w:r>
      <w:r w:rsidR="00621959" w:rsidRPr="00621959">
        <w:rPr>
          <w:rtl/>
        </w:rPr>
        <w:t>جمع الاتحاد</w:t>
      </w:r>
      <w:r w:rsidR="00621959" w:rsidRPr="00621959">
        <w:rPr>
          <w:rFonts w:hint="cs"/>
          <w:rtl/>
        </w:rPr>
        <w:t xml:space="preserve"> الدولي للاتصالات</w:t>
      </w:r>
      <w:r w:rsidR="00A77BE2">
        <w:rPr>
          <w:rFonts w:hint="cs"/>
          <w:rtl/>
        </w:rPr>
        <w:t xml:space="preserve"> </w:t>
      </w:r>
      <w:r w:rsidR="00A77BE2">
        <w:t>(ITU)</w:t>
      </w:r>
      <w:r w:rsidR="00621959" w:rsidRPr="00621959">
        <w:rPr>
          <w:rtl/>
        </w:rPr>
        <w:t xml:space="preserve"> إحصاءات تكنولوجيا المعلومات والاتصالات</w:t>
      </w:r>
      <w:r w:rsidR="00A77BE2">
        <w:rPr>
          <w:rFonts w:hint="cs"/>
          <w:rtl/>
          <w:lang w:bidi="ar-EG"/>
        </w:rPr>
        <w:t xml:space="preserve"> </w:t>
      </w:r>
      <w:r w:rsidR="00A77BE2">
        <w:rPr>
          <w:lang w:bidi="ar-EG"/>
        </w:rPr>
        <w:t>(ICT)</w:t>
      </w:r>
      <w:r w:rsidR="00621959" w:rsidRPr="00621959">
        <w:rPr>
          <w:rtl/>
        </w:rPr>
        <w:t xml:space="preserve"> </w:t>
      </w:r>
      <w:r w:rsidR="00621959" w:rsidRPr="00621959">
        <w:rPr>
          <w:b/>
          <w:bCs/>
          <w:rtl/>
        </w:rPr>
        <w:t>من أكثر من 200 اقتصاد</w:t>
      </w:r>
      <w:r w:rsidR="00621959" w:rsidRPr="00621959">
        <w:rPr>
          <w:rtl/>
        </w:rPr>
        <w:t xml:space="preserve">، وعزز بذلك الأساليب المتعلقة بالبيانات الضخمة، ونشر إصدارات سنوية من نشرة </w:t>
      </w:r>
      <w:r w:rsidR="00621959" w:rsidRPr="00621959">
        <w:rPr>
          <w:b/>
          <w:bCs/>
          <w:rtl/>
        </w:rPr>
        <w:t>الحقائق والأرقام</w:t>
      </w:r>
      <w:r w:rsidR="00621959" w:rsidRPr="00621959">
        <w:rPr>
          <w:rtl/>
        </w:rPr>
        <w:t xml:space="preserve"> و</w:t>
      </w:r>
      <w:r w:rsidR="00621959" w:rsidRPr="00621959">
        <w:rPr>
          <w:b/>
          <w:bCs/>
          <w:rtl/>
        </w:rPr>
        <w:t>تقرير التوصيلية العالمية</w:t>
      </w:r>
      <w:r w:rsidR="00621959" w:rsidRPr="00621959">
        <w:rPr>
          <w:rtl/>
        </w:rPr>
        <w:t>.</w:t>
      </w:r>
    </w:p>
    <w:p w14:paraId="62826BA4" w14:textId="6782B596" w:rsidR="00621959" w:rsidRPr="00621959" w:rsidRDefault="00153CB5" w:rsidP="00153CB5">
      <w:pPr>
        <w:pStyle w:val="enumlev1"/>
        <w:rPr>
          <w:lang w:val="en-GB" w:bidi="ar-EG"/>
        </w:rPr>
      </w:pPr>
      <w:r>
        <w:sym w:font="Wingdings 2" w:char="F097"/>
      </w:r>
      <w:r>
        <w:tab/>
      </w:r>
      <w:r w:rsidR="00621959" w:rsidRPr="00621959">
        <w:rPr>
          <w:rFonts w:hint="cs"/>
          <w:rtl/>
        </w:rPr>
        <w:t>و</w:t>
      </w:r>
      <w:r w:rsidR="00621959" w:rsidRPr="00621959">
        <w:rPr>
          <w:rtl/>
        </w:rPr>
        <w:t xml:space="preserve">زاد عدد البلدان التي لديها أطر وطنية لإمكانية النفاذ إلى تكنولوجيا المعلومات والاتصالات من </w:t>
      </w:r>
      <w:r w:rsidR="00621959" w:rsidRPr="00621959">
        <w:rPr>
          <w:b/>
          <w:bCs/>
          <w:rtl/>
        </w:rPr>
        <w:t>61 بلداً إلى 100</w:t>
      </w:r>
      <w:r w:rsidR="00621959" w:rsidRPr="00621959">
        <w:rPr>
          <w:rtl/>
        </w:rPr>
        <w:t xml:space="preserve"> بلد (2018-2023)، ووصل إلى </w:t>
      </w:r>
      <w:r w:rsidR="00621959" w:rsidRPr="00621959">
        <w:rPr>
          <w:b/>
          <w:bCs/>
          <w:rtl/>
        </w:rPr>
        <w:t>101</w:t>
      </w:r>
      <w:r w:rsidR="00621959" w:rsidRPr="00621959">
        <w:rPr>
          <w:rtl/>
        </w:rPr>
        <w:t xml:space="preserve"> بلد في عام 2025.</w:t>
      </w:r>
    </w:p>
    <w:p w14:paraId="4068637F" w14:textId="4F127510" w:rsidR="00621959" w:rsidRPr="00621959" w:rsidRDefault="00153CB5" w:rsidP="00153CB5">
      <w:pPr>
        <w:pStyle w:val="enumlev1"/>
        <w:rPr>
          <w:lang w:val="en-GB" w:bidi="ar-EG"/>
        </w:rPr>
      </w:pPr>
      <w:r>
        <w:sym w:font="Wingdings 2" w:char="F097"/>
      </w:r>
      <w:r>
        <w:tab/>
      </w:r>
      <w:r w:rsidR="00621959" w:rsidRPr="00621959">
        <w:rPr>
          <w:rFonts w:hint="cs"/>
          <w:rtl/>
        </w:rPr>
        <w:t>و</w:t>
      </w:r>
      <w:r w:rsidR="00621959" w:rsidRPr="00621959">
        <w:rPr>
          <w:rtl/>
        </w:rPr>
        <w:t>زاد عدد البلدان التي لديها أفرقة استجابة ل</w:t>
      </w:r>
      <w:r w:rsidR="00621959" w:rsidRPr="00621959">
        <w:rPr>
          <w:rFonts w:hint="cs"/>
          <w:rtl/>
        </w:rPr>
        <w:t>ل</w:t>
      </w:r>
      <w:r w:rsidR="00621959" w:rsidRPr="00621959">
        <w:rPr>
          <w:rtl/>
        </w:rPr>
        <w:t xml:space="preserve">حوادث </w:t>
      </w:r>
      <w:r w:rsidR="00147DCC">
        <w:rPr>
          <w:rFonts w:hint="cs"/>
          <w:rtl/>
        </w:rPr>
        <w:t>الحاسوبية</w:t>
      </w:r>
      <w:r w:rsidR="00286CA0">
        <w:rPr>
          <w:rFonts w:hint="cs"/>
          <w:rtl/>
          <w:lang w:bidi="ar-EG"/>
        </w:rPr>
        <w:t xml:space="preserve"> </w:t>
      </w:r>
      <w:r w:rsidR="00286CA0">
        <w:rPr>
          <w:lang w:bidi="ar-EG"/>
        </w:rPr>
        <w:t>(CIRT)</w:t>
      </w:r>
      <w:r w:rsidR="00621959" w:rsidRPr="00621959">
        <w:rPr>
          <w:rtl/>
        </w:rPr>
        <w:t xml:space="preserve"> من </w:t>
      </w:r>
      <w:r w:rsidR="00621959" w:rsidRPr="00621959">
        <w:rPr>
          <w:b/>
          <w:bCs/>
          <w:rtl/>
        </w:rPr>
        <w:t>109 بلدان (2020)</w:t>
      </w:r>
      <w:r w:rsidR="00621959" w:rsidRPr="00621959">
        <w:rPr>
          <w:rtl/>
        </w:rPr>
        <w:t xml:space="preserve"> إلى </w:t>
      </w:r>
      <w:r w:rsidR="00621959" w:rsidRPr="00621959">
        <w:rPr>
          <w:b/>
          <w:bCs/>
          <w:rtl/>
        </w:rPr>
        <w:t>132 بلداً</w:t>
      </w:r>
      <w:r w:rsidR="00DE3DE4">
        <w:rPr>
          <w:rFonts w:hint="eastAsia"/>
          <w:b/>
          <w:bCs/>
          <w:rtl/>
          <w:lang w:bidi="ar-EG"/>
        </w:rPr>
        <w:t> </w:t>
      </w:r>
      <w:r w:rsidR="00621959" w:rsidRPr="00621959">
        <w:rPr>
          <w:b/>
          <w:bCs/>
          <w:rtl/>
        </w:rPr>
        <w:t>(2024)،</w:t>
      </w:r>
      <w:r w:rsidR="00621959" w:rsidRPr="00621959">
        <w:rPr>
          <w:rtl/>
        </w:rPr>
        <w:t xml:space="preserve"> كما زاد عدد الاستراتيجيات الوطنية للأمن السيبراني من </w:t>
      </w:r>
      <w:r w:rsidR="00621959" w:rsidRPr="00621959">
        <w:rPr>
          <w:b/>
          <w:bCs/>
          <w:rtl/>
        </w:rPr>
        <w:t xml:space="preserve">107 </w:t>
      </w:r>
      <w:r w:rsidR="00621959" w:rsidRPr="00A77BE2">
        <w:rPr>
          <w:rtl/>
        </w:rPr>
        <w:t>استراتيجي</w:t>
      </w:r>
      <w:r w:rsidR="00621959" w:rsidRPr="00A77BE2">
        <w:rPr>
          <w:rFonts w:hint="cs"/>
          <w:rtl/>
        </w:rPr>
        <w:t>ات</w:t>
      </w:r>
      <w:r w:rsidR="00621959" w:rsidRPr="00621959">
        <w:rPr>
          <w:b/>
          <w:bCs/>
          <w:rtl/>
        </w:rPr>
        <w:t xml:space="preserve"> إلى 148</w:t>
      </w:r>
      <w:r w:rsidR="00621959" w:rsidRPr="00621959">
        <w:rPr>
          <w:rtl/>
        </w:rPr>
        <w:t xml:space="preserve"> استراتيجية.</w:t>
      </w:r>
    </w:p>
    <w:p w14:paraId="7FBDCEB5" w14:textId="3B5F717D" w:rsidR="00621959" w:rsidRPr="00621959" w:rsidRDefault="00153CB5" w:rsidP="00153CB5">
      <w:pPr>
        <w:pStyle w:val="enumlev1"/>
        <w:rPr>
          <w:lang w:val="en-GB" w:bidi="ar-EG"/>
        </w:rPr>
      </w:pPr>
      <w:r>
        <w:sym w:font="Wingdings 2" w:char="F097"/>
      </w:r>
      <w:r>
        <w:tab/>
      </w:r>
      <w:r w:rsidR="00621959" w:rsidRPr="00621959">
        <w:rPr>
          <w:rFonts w:hint="cs"/>
          <w:rtl/>
        </w:rPr>
        <w:t>و</w:t>
      </w:r>
      <w:r w:rsidR="00621959" w:rsidRPr="00621959">
        <w:rPr>
          <w:rtl/>
        </w:rPr>
        <w:t xml:space="preserve">تضاعف عرض النطاق الدولي لكل مستعمل إنترنت (2020-2024) إلى </w:t>
      </w:r>
      <w:r w:rsidR="00621959" w:rsidRPr="00621959">
        <w:rPr>
          <w:b/>
          <w:bCs/>
          <w:rtl/>
        </w:rPr>
        <w:t>322</w:t>
      </w:r>
      <w:r w:rsidR="00621959" w:rsidRPr="00621959">
        <w:rPr>
          <w:rFonts w:hint="cs"/>
          <w:b/>
          <w:bCs/>
          <w:rtl/>
        </w:rPr>
        <w:t>,</w:t>
      </w:r>
      <w:r w:rsidR="00621959" w:rsidRPr="00621959">
        <w:rPr>
          <w:b/>
          <w:bCs/>
          <w:rtl/>
        </w:rPr>
        <w:t xml:space="preserve">8 </w:t>
      </w:r>
      <w:proofErr w:type="spellStart"/>
      <w:r w:rsidR="00621959" w:rsidRPr="00621959">
        <w:rPr>
          <w:b/>
          <w:bCs/>
          <w:rtl/>
        </w:rPr>
        <w:t>كيلوبتة</w:t>
      </w:r>
      <w:proofErr w:type="spellEnd"/>
      <w:r w:rsidR="00621959" w:rsidRPr="00621959">
        <w:rPr>
          <w:b/>
          <w:bCs/>
          <w:rtl/>
        </w:rPr>
        <w:t xml:space="preserve"> في الثانية</w:t>
      </w:r>
      <w:r w:rsidR="008D4655">
        <w:rPr>
          <w:rFonts w:hint="cs"/>
          <w:b/>
          <w:bCs/>
          <w:rtl/>
        </w:rPr>
        <w:t> </w:t>
      </w:r>
      <w:r w:rsidR="008D4655">
        <w:rPr>
          <w:b/>
          <w:bCs/>
        </w:rPr>
        <w:t>(kbit/s)</w:t>
      </w:r>
      <w:r w:rsidR="00621959" w:rsidRPr="00621959">
        <w:rPr>
          <w:b/>
          <w:bCs/>
          <w:rtl/>
        </w:rPr>
        <w:t>،</w:t>
      </w:r>
      <w:r w:rsidR="00621959" w:rsidRPr="00621959">
        <w:rPr>
          <w:rtl/>
        </w:rPr>
        <w:t xml:space="preserve"> ليصل إجمالي عرض النطاق العالمي إلى </w:t>
      </w:r>
      <w:r w:rsidR="00621959" w:rsidRPr="00621959">
        <w:rPr>
          <w:b/>
          <w:bCs/>
          <w:rtl/>
        </w:rPr>
        <w:t>1</w:t>
      </w:r>
      <w:r w:rsidR="00621959" w:rsidRPr="00621959">
        <w:rPr>
          <w:rFonts w:hint="cs"/>
          <w:b/>
          <w:bCs/>
          <w:rtl/>
        </w:rPr>
        <w:t>,</w:t>
      </w:r>
      <w:r w:rsidR="00621959" w:rsidRPr="00621959">
        <w:rPr>
          <w:b/>
          <w:bCs/>
          <w:rtl/>
        </w:rPr>
        <w:t xml:space="preserve">78 </w:t>
      </w:r>
      <w:proofErr w:type="spellStart"/>
      <w:r w:rsidR="00621959" w:rsidRPr="00621959">
        <w:rPr>
          <w:b/>
          <w:bCs/>
          <w:rtl/>
        </w:rPr>
        <w:t>تيرابتة</w:t>
      </w:r>
      <w:proofErr w:type="spellEnd"/>
      <w:r w:rsidR="00621959" w:rsidRPr="00621959">
        <w:rPr>
          <w:b/>
          <w:bCs/>
          <w:rtl/>
        </w:rPr>
        <w:t xml:space="preserve"> في الثانية</w:t>
      </w:r>
      <w:r w:rsidR="008D4655">
        <w:rPr>
          <w:rFonts w:hint="cs"/>
          <w:b/>
          <w:bCs/>
          <w:rtl/>
        </w:rPr>
        <w:t> </w:t>
      </w:r>
      <w:r w:rsidR="008D4655">
        <w:rPr>
          <w:b/>
          <w:bCs/>
        </w:rPr>
        <w:t>(Tbit/s)</w:t>
      </w:r>
      <w:r w:rsidR="00621959" w:rsidRPr="00621959">
        <w:rPr>
          <w:b/>
          <w:bCs/>
          <w:rtl/>
        </w:rPr>
        <w:t>.</w:t>
      </w:r>
    </w:p>
    <w:p w14:paraId="2FAFF236" w14:textId="77777777" w:rsidR="00621959" w:rsidRPr="00621959" w:rsidRDefault="00621959" w:rsidP="00621959">
      <w:pPr>
        <w:rPr>
          <w:lang w:val="en-GB" w:bidi="ar-EG"/>
        </w:rPr>
      </w:pPr>
      <w:r w:rsidRPr="00621959">
        <w:rPr>
          <w:b/>
          <w:bCs/>
          <w:sz w:val="24"/>
          <w:szCs w:val="24"/>
          <w:rtl/>
        </w:rPr>
        <w:t>المؤتمرات</w:t>
      </w:r>
      <w:r w:rsidRPr="00621959">
        <w:rPr>
          <w:b/>
          <w:bCs/>
          <w:rtl/>
        </w:rPr>
        <w:t xml:space="preserve"> النظامية العالمية للاتحاد (2022-2025)</w:t>
      </w:r>
    </w:p>
    <w:p w14:paraId="0BEBD038" w14:textId="2C50A0F8" w:rsidR="00621959" w:rsidRPr="00621959" w:rsidRDefault="00153CB5" w:rsidP="00153CB5">
      <w:pPr>
        <w:pStyle w:val="enumlev1"/>
        <w:rPr>
          <w:lang w:val="en-GB" w:bidi="ar-EG"/>
        </w:rPr>
      </w:pPr>
      <w:r>
        <w:sym w:font="Wingdings 2" w:char="F097"/>
      </w:r>
      <w:r>
        <w:tab/>
      </w:r>
      <w:r w:rsidR="00621959" w:rsidRPr="00621959">
        <w:rPr>
          <w:rtl/>
        </w:rPr>
        <w:t>عدّل مؤتمر المندوبين المفوضين لعام 2022 (</w:t>
      </w:r>
      <w:r w:rsidR="00621959" w:rsidRPr="00621959">
        <w:rPr>
          <w:lang w:val="en-GB" w:bidi="ar-EG"/>
        </w:rPr>
        <w:t>PP-22</w:t>
      </w:r>
      <w:r w:rsidR="00621959" w:rsidRPr="00621959">
        <w:rPr>
          <w:rtl/>
        </w:rPr>
        <w:t xml:space="preserve">) </w:t>
      </w:r>
      <w:r w:rsidR="00621959" w:rsidRPr="00A77BE2">
        <w:rPr>
          <w:b/>
          <w:bCs/>
          <w:rtl/>
        </w:rPr>
        <w:t>56 قراراً</w:t>
      </w:r>
      <w:r w:rsidR="00621959" w:rsidRPr="00621959">
        <w:rPr>
          <w:rtl/>
        </w:rPr>
        <w:t xml:space="preserve">، واعتمد </w:t>
      </w:r>
      <w:proofErr w:type="gramStart"/>
      <w:r w:rsidR="00621959" w:rsidRPr="00A77BE2">
        <w:rPr>
          <w:b/>
          <w:bCs/>
          <w:rtl/>
        </w:rPr>
        <w:t>ستة</w:t>
      </w:r>
      <w:proofErr w:type="gramEnd"/>
      <w:r w:rsidR="00621959" w:rsidRPr="00A77BE2">
        <w:rPr>
          <w:b/>
          <w:bCs/>
          <w:rtl/>
        </w:rPr>
        <w:t xml:space="preserve"> قرارات جديدة</w:t>
      </w:r>
      <w:r w:rsidR="00621959" w:rsidRPr="00621959">
        <w:rPr>
          <w:rtl/>
        </w:rPr>
        <w:t xml:space="preserve">، وأطلق مسارات عمل رئيسية بشأن </w:t>
      </w:r>
      <w:r w:rsidR="00621959" w:rsidRPr="00A77BE2">
        <w:rPr>
          <w:b/>
          <w:bCs/>
          <w:rtl/>
        </w:rPr>
        <w:t>الذكاء الاصطناعي</w:t>
      </w:r>
      <w:r w:rsidR="00A77BE2" w:rsidRPr="00A77BE2">
        <w:rPr>
          <w:rFonts w:hint="cs"/>
          <w:b/>
          <w:bCs/>
          <w:rtl/>
          <w:lang w:bidi="ar-EG"/>
        </w:rPr>
        <w:t xml:space="preserve"> </w:t>
      </w:r>
      <w:r w:rsidR="00A77BE2" w:rsidRPr="00A77BE2">
        <w:rPr>
          <w:b/>
          <w:bCs/>
          <w:lang w:bidi="ar-EG"/>
        </w:rPr>
        <w:t>(AI)</w:t>
      </w:r>
      <w:r w:rsidR="00621959" w:rsidRPr="00621959">
        <w:rPr>
          <w:rtl/>
        </w:rPr>
        <w:t>، و</w:t>
      </w:r>
      <w:r w:rsidR="00621959" w:rsidRPr="00A77BE2">
        <w:rPr>
          <w:b/>
          <w:bCs/>
          <w:rtl/>
        </w:rPr>
        <w:t>استدامة الفضاء الخارجي</w:t>
      </w:r>
      <w:r w:rsidR="00621959" w:rsidRPr="00621959">
        <w:rPr>
          <w:rtl/>
        </w:rPr>
        <w:t>، و</w:t>
      </w:r>
      <w:r w:rsidR="00621959" w:rsidRPr="00A77BE2">
        <w:rPr>
          <w:b/>
          <w:bCs/>
          <w:rtl/>
        </w:rPr>
        <w:t>المساواة بين الجنسين</w:t>
      </w:r>
      <w:r w:rsidR="00621959" w:rsidRPr="00621959">
        <w:rPr>
          <w:rtl/>
        </w:rPr>
        <w:t>، و</w:t>
      </w:r>
      <w:r w:rsidR="00621959" w:rsidRPr="00A77BE2">
        <w:rPr>
          <w:b/>
          <w:bCs/>
          <w:rtl/>
        </w:rPr>
        <w:t>العمل المناخي</w:t>
      </w:r>
      <w:r w:rsidR="00621959" w:rsidRPr="00621959">
        <w:rPr>
          <w:rtl/>
        </w:rPr>
        <w:t>، و</w:t>
      </w:r>
      <w:r w:rsidR="00621959" w:rsidRPr="00A77BE2">
        <w:rPr>
          <w:b/>
          <w:bCs/>
          <w:rtl/>
        </w:rPr>
        <w:t>التأهب للجوائح</w:t>
      </w:r>
      <w:r w:rsidR="00621959" w:rsidRPr="00621959">
        <w:rPr>
          <w:rtl/>
        </w:rPr>
        <w:t>، و</w:t>
      </w:r>
      <w:r w:rsidR="00621959" w:rsidRPr="00A77BE2">
        <w:rPr>
          <w:b/>
          <w:bCs/>
          <w:rtl/>
        </w:rPr>
        <w:t>المدن الذكية</w:t>
      </w:r>
      <w:r w:rsidR="00621959" w:rsidRPr="00621959">
        <w:rPr>
          <w:rtl/>
        </w:rPr>
        <w:t>.</w:t>
      </w:r>
    </w:p>
    <w:p w14:paraId="709FBC92" w14:textId="430408FF" w:rsidR="00621959" w:rsidRPr="00621959" w:rsidRDefault="00153CB5" w:rsidP="00153CB5">
      <w:pPr>
        <w:pStyle w:val="enumlev1"/>
        <w:rPr>
          <w:lang w:val="en-GB" w:bidi="ar-EG"/>
        </w:rPr>
      </w:pPr>
      <w:r>
        <w:sym w:font="Wingdings 2" w:char="F097"/>
      </w:r>
      <w:r>
        <w:tab/>
      </w:r>
      <w:r w:rsidR="00621959" w:rsidRPr="00621959">
        <w:rPr>
          <w:rFonts w:hint="cs"/>
          <w:rtl/>
        </w:rPr>
        <w:t>و</w:t>
      </w:r>
      <w:r w:rsidR="00621959" w:rsidRPr="00621959">
        <w:rPr>
          <w:rtl/>
        </w:rPr>
        <w:t>انتخب مؤتمر المندوبين المفوضين لعام 2022 (</w:t>
      </w:r>
      <w:r w:rsidR="00621959" w:rsidRPr="00621959">
        <w:rPr>
          <w:lang w:val="en-GB" w:bidi="ar-EG"/>
        </w:rPr>
        <w:t>PP-22</w:t>
      </w:r>
      <w:r w:rsidR="00621959" w:rsidRPr="00621959">
        <w:rPr>
          <w:rtl/>
        </w:rPr>
        <w:t xml:space="preserve">) </w:t>
      </w:r>
      <w:r w:rsidR="00621959" w:rsidRPr="00A77BE2">
        <w:rPr>
          <w:b/>
          <w:bCs/>
          <w:rtl/>
        </w:rPr>
        <w:t>دورين-</w:t>
      </w:r>
      <w:proofErr w:type="spellStart"/>
      <w:r w:rsidR="00621959" w:rsidRPr="00A77BE2">
        <w:rPr>
          <w:b/>
          <w:bCs/>
          <w:rtl/>
        </w:rPr>
        <w:t>بوغدان</w:t>
      </w:r>
      <w:proofErr w:type="spellEnd"/>
      <w:r w:rsidR="00621959" w:rsidRPr="00A77BE2">
        <w:rPr>
          <w:b/>
          <w:bCs/>
          <w:rtl/>
        </w:rPr>
        <w:t xml:space="preserve"> مارتن</w:t>
      </w:r>
      <w:r w:rsidR="00621959" w:rsidRPr="00621959">
        <w:rPr>
          <w:rtl/>
        </w:rPr>
        <w:t xml:space="preserve"> </w:t>
      </w:r>
      <w:r w:rsidR="00621959" w:rsidRPr="008D4655">
        <w:rPr>
          <w:b/>
          <w:bCs/>
          <w:rtl/>
        </w:rPr>
        <w:t>كأول</w:t>
      </w:r>
      <w:r w:rsidR="00621959" w:rsidRPr="00A77BE2">
        <w:rPr>
          <w:b/>
          <w:bCs/>
          <w:rtl/>
        </w:rPr>
        <w:t xml:space="preserve"> امرأة تشغل منصب الأمين العام</w:t>
      </w:r>
      <w:r w:rsidR="00621959" w:rsidRPr="00621959">
        <w:rPr>
          <w:rtl/>
        </w:rPr>
        <w:t xml:space="preserve"> للاتحاد.</w:t>
      </w:r>
    </w:p>
    <w:p w14:paraId="3B123123" w14:textId="1D058EEC" w:rsidR="00621959" w:rsidRPr="00621959" w:rsidRDefault="00153CB5" w:rsidP="00153CB5">
      <w:pPr>
        <w:pStyle w:val="enumlev1"/>
        <w:rPr>
          <w:lang w:val="en-GB" w:bidi="ar-EG"/>
        </w:rPr>
      </w:pPr>
      <w:r>
        <w:sym w:font="Wingdings 2" w:char="F097"/>
      </w:r>
      <w:r>
        <w:tab/>
      </w:r>
      <w:r w:rsidR="00621959" w:rsidRPr="00621959">
        <w:rPr>
          <w:rFonts w:hint="cs"/>
          <w:rtl/>
        </w:rPr>
        <w:t>و</w:t>
      </w:r>
      <w:r w:rsidR="00621959" w:rsidRPr="00621959">
        <w:rPr>
          <w:rtl/>
        </w:rPr>
        <w:t xml:space="preserve">جمع المؤتمر العالمي للاتصالات الراديوية لعام 2023 </w:t>
      </w:r>
      <w:r w:rsidR="00621959" w:rsidRPr="00621959">
        <w:rPr>
          <w:lang w:val="en-GB" w:bidi="ar-EG"/>
        </w:rPr>
        <w:t>(WRC-23)</w:t>
      </w:r>
      <w:r w:rsidR="00621959" w:rsidRPr="00621959">
        <w:rPr>
          <w:rtl/>
        </w:rPr>
        <w:t xml:space="preserve"> </w:t>
      </w:r>
      <w:r w:rsidR="00A77BE2" w:rsidRPr="00A77BE2">
        <w:rPr>
          <w:b/>
          <w:bCs/>
        </w:rPr>
        <w:t>3 982</w:t>
      </w:r>
      <w:r w:rsidR="00621959" w:rsidRPr="00A77BE2">
        <w:rPr>
          <w:b/>
          <w:bCs/>
          <w:rtl/>
        </w:rPr>
        <w:t xml:space="preserve"> مشاركاً من 163 دولة عضواً</w:t>
      </w:r>
      <w:r w:rsidR="00621959" w:rsidRPr="00621959">
        <w:rPr>
          <w:rtl/>
        </w:rPr>
        <w:t xml:space="preserve">، حيث ارتفعت نسبة مشاركة النساء إلى </w:t>
      </w:r>
      <w:r w:rsidR="00621959" w:rsidRPr="00A77BE2">
        <w:rPr>
          <w:b/>
          <w:bCs/>
          <w:rtl/>
        </w:rPr>
        <w:t>22%</w:t>
      </w:r>
      <w:r w:rsidR="00621959" w:rsidRPr="00621959">
        <w:rPr>
          <w:rtl/>
        </w:rPr>
        <w:t xml:space="preserve">، </w:t>
      </w:r>
      <w:r w:rsidR="00621959" w:rsidRPr="00621959">
        <w:rPr>
          <w:rFonts w:hint="cs"/>
          <w:rtl/>
        </w:rPr>
        <w:t>وتناول</w:t>
      </w:r>
      <w:r w:rsidR="00621959" w:rsidRPr="00621959">
        <w:rPr>
          <w:rtl/>
        </w:rPr>
        <w:t xml:space="preserve"> </w:t>
      </w:r>
      <w:r w:rsidR="00621959" w:rsidRPr="00A77BE2">
        <w:rPr>
          <w:b/>
          <w:bCs/>
          <w:rtl/>
        </w:rPr>
        <w:t>أكثر من 30 بنداً من بنود جدول الأعمال</w:t>
      </w:r>
      <w:r w:rsidR="00621959" w:rsidRPr="00621959">
        <w:rPr>
          <w:rtl/>
        </w:rPr>
        <w:t xml:space="preserve"> في مجالات الاتصالات المتنقلة الدولية</w:t>
      </w:r>
      <w:r w:rsidR="00A77BE2">
        <w:rPr>
          <w:rFonts w:hint="cs"/>
          <w:rtl/>
          <w:lang w:bidi="ar-EG"/>
        </w:rPr>
        <w:t xml:space="preserve"> </w:t>
      </w:r>
      <w:r w:rsidR="00A77BE2">
        <w:rPr>
          <w:lang w:bidi="ar-EG"/>
        </w:rPr>
        <w:t>(IMT)</w:t>
      </w:r>
      <w:r w:rsidR="00621959" w:rsidRPr="00621959">
        <w:rPr>
          <w:rtl/>
        </w:rPr>
        <w:t>، والخدمات الساتلية، والبحرية، والجوية، والعلمية.</w:t>
      </w:r>
    </w:p>
    <w:p w14:paraId="43F3EE8C" w14:textId="346F71FB" w:rsidR="00621959" w:rsidRPr="00621959" w:rsidRDefault="00153CB5" w:rsidP="00153CB5">
      <w:pPr>
        <w:pStyle w:val="enumlev1"/>
        <w:rPr>
          <w:lang w:val="en-GB" w:bidi="ar-EG"/>
        </w:rPr>
      </w:pPr>
      <w:r>
        <w:sym w:font="Wingdings 2" w:char="F097"/>
      </w:r>
      <w:r>
        <w:tab/>
      </w:r>
      <w:r w:rsidR="00621959" w:rsidRPr="00621959">
        <w:rPr>
          <w:rFonts w:hint="cs"/>
          <w:rtl/>
        </w:rPr>
        <w:t>و</w:t>
      </w:r>
      <w:r w:rsidR="00621959" w:rsidRPr="00621959">
        <w:rPr>
          <w:rtl/>
        </w:rPr>
        <w:t xml:space="preserve">اعتمدت جمعية الاتصالات الراديوية </w:t>
      </w:r>
      <w:r w:rsidR="00621959" w:rsidRPr="00621959">
        <w:rPr>
          <w:rFonts w:hint="cs"/>
          <w:rtl/>
        </w:rPr>
        <w:t xml:space="preserve">لعام 2023 </w:t>
      </w:r>
      <w:r w:rsidR="00621959" w:rsidRPr="00621959">
        <w:rPr>
          <w:rtl/>
        </w:rPr>
        <w:t>(</w:t>
      </w:r>
      <w:r w:rsidR="00621959" w:rsidRPr="00621959">
        <w:rPr>
          <w:lang w:val="en-GB" w:bidi="ar-EG"/>
        </w:rPr>
        <w:t>RA-23</w:t>
      </w:r>
      <w:r w:rsidR="00621959" w:rsidRPr="00621959">
        <w:rPr>
          <w:rtl/>
        </w:rPr>
        <w:t xml:space="preserve">) </w:t>
      </w:r>
      <w:r w:rsidR="00621959" w:rsidRPr="00A77BE2">
        <w:rPr>
          <w:b/>
          <w:bCs/>
          <w:rtl/>
        </w:rPr>
        <w:t>إطار الاتصالات المتنقلة الدولية-2030</w:t>
      </w:r>
      <w:r w:rsidR="00621959" w:rsidRPr="00621959">
        <w:rPr>
          <w:rtl/>
        </w:rPr>
        <w:t xml:space="preserve"> لشبكات </w:t>
      </w:r>
      <w:r w:rsidR="00621959" w:rsidRPr="00621959">
        <w:rPr>
          <w:rFonts w:hint="cs"/>
          <w:rtl/>
        </w:rPr>
        <w:t xml:space="preserve">اتصالات </w:t>
      </w:r>
      <w:r w:rsidR="00621959" w:rsidRPr="00621959">
        <w:rPr>
          <w:rtl/>
        </w:rPr>
        <w:t xml:space="preserve">الجيل السادس، وراجعت </w:t>
      </w:r>
      <w:r w:rsidR="00621959" w:rsidRPr="00A77BE2">
        <w:rPr>
          <w:b/>
          <w:bCs/>
          <w:rtl/>
        </w:rPr>
        <w:t>26 قراراً</w:t>
      </w:r>
      <w:r w:rsidR="00621959" w:rsidRPr="00621959">
        <w:rPr>
          <w:rtl/>
        </w:rPr>
        <w:t xml:space="preserve"> لقطاع الاتصالات الراديوية</w:t>
      </w:r>
      <w:r w:rsidR="000A7072">
        <w:rPr>
          <w:rFonts w:hint="cs"/>
          <w:rtl/>
        </w:rPr>
        <w:t xml:space="preserve"> </w:t>
      </w:r>
      <w:r w:rsidR="000A7072">
        <w:t>(ITU-R)</w:t>
      </w:r>
      <w:r w:rsidR="00621959" w:rsidRPr="00621959">
        <w:rPr>
          <w:rtl/>
        </w:rPr>
        <w:t xml:space="preserve">، وأقرت قرارات جديدة بشأن </w:t>
      </w:r>
      <w:r w:rsidR="00621959" w:rsidRPr="00A77BE2">
        <w:rPr>
          <w:b/>
          <w:bCs/>
          <w:rtl/>
        </w:rPr>
        <w:t>المساواة بين الجنسين</w:t>
      </w:r>
      <w:r w:rsidR="00621959" w:rsidRPr="00621959">
        <w:rPr>
          <w:rtl/>
        </w:rPr>
        <w:t>، و</w:t>
      </w:r>
      <w:r w:rsidR="00621959" w:rsidRPr="00A77BE2">
        <w:rPr>
          <w:b/>
          <w:bCs/>
          <w:rtl/>
        </w:rPr>
        <w:t>النطاق العريض</w:t>
      </w:r>
      <w:r w:rsidR="00621959" w:rsidRPr="00621959">
        <w:rPr>
          <w:rtl/>
        </w:rPr>
        <w:t>، و</w:t>
      </w:r>
      <w:r w:rsidR="00621959" w:rsidRPr="00A77BE2">
        <w:rPr>
          <w:b/>
          <w:bCs/>
          <w:rtl/>
        </w:rPr>
        <w:t>استدامة الطيف</w:t>
      </w:r>
      <w:r w:rsidR="00621959" w:rsidRPr="00621959">
        <w:rPr>
          <w:rtl/>
        </w:rPr>
        <w:t>، و</w:t>
      </w:r>
      <w:r w:rsidR="00621959" w:rsidRPr="00A77BE2">
        <w:rPr>
          <w:b/>
          <w:bCs/>
          <w:rtl/>
        </w:rPr>
        <w:t>التنسيق بين القطاعات</w:t>
      </w:r>
      <w:r w:rsidR="00621959" w:rsidRPr="00621959">
        <w:rPr>
          <w:rtl/>
        </w:rPr>
        <w:t>.</w:t>
      </w:r>
    </w:p>
    <w:p w14:paraId="00133ABE" w14:textId="2C2652BC" w:rsidR="00621959" w:rsidRPr="00A77BE2" w:rsidRDefault="00153CB5" w:rsidP="00153CB5">
      <w:pPr>
        <w:pStyle w:val="enumlev1"/>
        <w:rPr>
          <w:spacing w:val="-2"/>
          <w:lang w:val="en-GB" w:bidi="ar-EG"/>
        </w:rPr>
      </w:pPr>
      <w:r w:rsidRPr="00A77BE2">
        <w:rPr>
          <w:spacing w:val="-2"/>
        </w:rPr>
        <w:sym w:font="Wingdings 2" w:char="F097"/>
      </w:r>
      <w:r w:rsidRPr="00A77BE2">
        <w:rPr>
          <w:spacing w:val="-2"/>
        </w:rPr>
        <w:tab/>
      </w:r>
      <w:r w:rsidR="00621959" w:rsidRPr="00A77BE2">
        <w:rPr>
          <w:rFonts w:hint="cs"/>
          <w:spacing w:val="-2"/>
          <w:rtl/>
        </w:rPr>
        <w:t>و</w:t>
      </w:r>
      <w:r w:rsidR="00621959" w:rsidRPr="00A77BE2">
        <w:rPr>
          <w:spacing w:val="-2"/>
          <w:rtl/>
        </w:rPr>
        <w:t xml:space="preserve">رحبت الجمعية العالمية لتقييس الاتصالات لعام 2024 </w:t>
      </w:r>
      <w:r w:rsidR="00F742FD" w:rsidRPr="00F742FD">
        <w:rPr>
          <w:spacing w:val="-2"/>
        </w:rPr>
        <w:t>(WTSA-24)</w:t>
      </w:r>
      <w:r w:rsidR="00621959" w:rsidRPr="00A77BE2">
        <w:rPr>
          <w:spacing w:val="-2"/>
          <w:rtl/>
        </w:rPr>
        <w:t xml:space="preserve"> </w:t>
      </w:r>
      <w:r w:rsidR="00A77BE2" w:rsidRPr="00A77BE2">
        <w:rPr>
          <w:b/>
          <w:bCs/>
          <w:spacing w:val="-2"/>
        </w:rPr>
        <w:t>3 700</w:t>
      </w:r>
      <w:r w:rsidR="00621959" w:rsidRPr="00A77BE2">
        <w:rPr>
          <w:b/>
          <w:bCs/>
          <w:spacing w:val="-2"/>
          <w:rtl/>
        </w:rPr>
        <w:t xml:space="preserve"> مندوب (27% منهم من النساء)</w:t>
      </w:r>
      <w:r w:rsidR="00621959" w:rsidRPr="00A77BE2">
        <w:rPr>
          <w:spacing w:val="-2"/>
          <w:rtl/>
        </w:rPr>
        <w:t xml:space="preserve">، ودمجت لجنتي الدراسات 9 و16 في </w:t>
      </w:r>
      <w:r w:rsidR="00621959" w:rsidRPr="00A77BE2">
        <w:rPr>
          <w:b/>
          <w:bCs/>
          <w:spacing w:val="-2"/>
          <w:rtl/>
        </w:rPr>
        <w:t>لجنة الدراسات 21</w:t>
      </w:r>
      <w:r w:rsidR="00621959" w:rsidRPr="00A77BE2">
        <w:rPr>
          <w:spacing w:val="-2"/>
          <w:rtl/>
        </w:rPr>
        <w:t xml:space="preserve">، واعتمدت </w:t>
      </w:r>
      <w:r w:rsidR="00621959" w:rsidRPr="00A77BE2">
        <w:rPr>
          <w:b/>
          <w:bCs/>
          <w:spacing w:val="-2"/>
          <w:rtl/>
        </w:rPr>
        <w:t xml:space="preserve">8 </w:t>
      </w:r>
      <w:r w:rsidR="00621959" w:rsidRPr="00A77BE2">
        <w:rPr>
          <w:spacing w:val="-2"/>
          <w:rtl/>
        </w:rPr>
        <w:t>قرارات</w:t>
      </w:r>
      <w:r w:rsidR="00621959" w:rsidRPr="00A77BE2">
        <w:rPr>
          <w:b/>
          <w:bCs/>
          <w:spacing w:val="-2"/>
          <w:rtl/>
        </w:rPr>
        <w:t xml:space="preserve"> جديدة</w:t>
      </w:r>
      <w:r w:rsidR="00621959" w:rsidRPr="00A77BE2">
        <w:rPr>
          <w:spacing w:val="-2"/>
          <w:rtl/>
        </w:rPr>
        <w:t xml:space="preserve"> و</w:t>
      </w:r>
      <w:r w:rsidR="00621959" w:rsidRPr="00A77BE2">
        <w:rPr>
          <w:b/>
          <w:bCs/>
          <w:spacing w:val="-2"/>
          <w:rtl/>
        </w:rPr>
        <w:t xml:space="preserve">44 </w:t>
      </w:r>
      <w:r w:rsidR="00621959" w:rsidRPr="00A77BE2">
        <w:rPr>
          <w:spacing w:val="-2"/>
          <w:rtl/>
        </w:rPr>
        <w:t>قراراً</w:t>
      </w:r>
      <w:r w:rsidR="00621959" w:rsidRPr="00A77BE2">
        <w:rPr>
          <w:b/>
          <w:bCs/>
          <w:spacing w:val="-2"/>
          <w:rtl/>
        </w:rPr>
        <w:t xml:space="preserve"> م</w:t>
      </w:r>
      <w:r w:rsidR="00621959" w:rsidRPr="00A77BE2">
        <w:rPr>
          <w:rFonts w:hint="cs"/>
          <w:b/>
          <w:bCs/>
          <w:spacing w:val="-2"/>
          <w:rtl/>
        </w:rPr>
        <w:t>راجع</w:t>
      </w:r>
      <w:r w:rsidR="00621959" w:rsidRPr="00A77BE2">
        <w:rPr>
          <w:b/>
          <w:bCs/>
          <w:spacing w:val="-2"/>
          <w:rtl/>
        </w:rPr>
        <w:t>اً</w:t>
      </w:r>
      <w:r w:rsidR="00621959" w:rsidRPr="00A77BE2">
        <w:rPr>
          <w:spacing w:val="-2"/>
          <w:rtl/>
        </w:rPr>
        <w:t>.</w:t>
      </w:r>
    </w:p>
    <w:p w14:paraId="7CC1423E" w14:textId="3EC9135E" w:rsidR="00621959" w:rsidRPr="00621959" w:rsidRDefault="00153CB5" w:rsidP="00153CB5">
      <w:pPr>
        <w:pStyle w:val="enumlev1"/>
        <w:rPr>
          <w:lang w:val="en-GB" w:bidi="ar-EG"/>
        </w:rPr>
      </w:pPr>
      <w:r>
        <w:sym w:font="Wingdings 2" w:char="F097"/>
      </w:r>
      <w:r>
        <w:tab/>
      </w:r>
      <w:r w:rsidR="00621959" w:rsidRPr="00621959">
        <w:rPr>
          <w:rFonts w:hint="cs"/>
          <w:rtl/>
        </w:rPr>
        <w:t>و</w:t>
      </w:r>
      <w:r w:rsidR="00621959" w:rsidRPr="00621959">
        <w:rPr>
          <w:rtl/>
        </w:rPr>
        <w:t>اعتمد المؤتمر العالمي لتنمية الاتصالات</w:t>
      </w:r>
      <w:r w:rsidR="00621959" w:rsidRPr="00621959">
        <w:rPr>
          <w:rFonts w:hint="cs"/>
          <w:rtl/>
        </w:rPr>
        <w:t xml:space="preserve"> لعام 2025</w:t>
      </w:r>
      <w:r w:rsidR="00621959" w:rsidRPr="00621959">
        <w:rPr>
          <w:rtl/>
        </w:rPr>
        <w:t xml:space="preserve"> (</w:t>
      </w:r>
      <w:r w:rsidR="00621959" w:rsidRPr="00621959">
        <w:rPr>
          <w:lang w:val="en-GB" w:bidi="ar-EG"/>
        </w:rPr>
        <w:t>WTDC-25</w:t>
      </w:r>
      <w:r w:rsidR="00621959" w:rsidRPr="00621959">
        <w:rPr>
          <w:rtl/>
        </w:rPr>
        <w:t xml:space="preserve">) </w:t>
      </w:r>
      <w:r w:rsidR="00621959" w:rsidRPr="00A77BE2">
        <w:rPr>
          <w:b/>
          <w:bCs/>
          <w:rtl/>
        </w:rPr>
        <w:t>إعلان باكو</w:t>
      </w:r>
      <w:r w:rsidR="00621959" w:rsidRPr="00621959">
        <w:rPr>
          <w:rtl/>
        </w:rPr>
        <w:t>، و</w:t>
      </w:r>
      <w:r w:rsidR="00621959" w:rsidRPr="00A77BE2">
        <w:rPr>
          <w:b/>
          <w:bCs/>
          <w:rtl/>
        </w:rPr>
        <w:t>خطة عمل باكو</w:t>
      </w:r>
      <w:r w:rsidR="00621959" w:rsidRPr="00621959">
        <w:rPr>
          <w:rtl/>
        </w:rPr>
        <w:t xml:space="preserve">، </w:t>
      </w:r>
      <w:r w:rsidR="00621959" w:rsidRPr="00621959">
        <w:rPr>
          <w:rFonts w:hint="cs"/>
          <w:rtl/>
        </w:rPr>
        <w:t xml:space="preserve">وحدّث </w:t>
      </w:r>
      <w:r w:rsidR="00621959" w:rsidRPr="00A77BE2">
        <w:rPr>
          <w:b/>
          <w:bCs/>
          <w:rtl/>
        </w:rPr>
        <w:t>المبادرات الإقليمية للفترة 2026-2029</w:t>
      </w:r>
      <w:r w:rsidR="00621959" w:rsidRPr="00621959">
        <w:rPr>
          <w:rtl/>
        </w:rPr>
        <w:t>.</w:t>
      </w:r>
    </w:p>
    <w:p w14:paraId="1D173FB6" w14:textId="66D39F87" w:rsidR="00621959" w:rsidRPr="00621959" w:rsidRDefault="00621959" w:rsidP="00153CB5">
      <w:pPr>
        <w:pStyle w:val="Headingb"/>
      </w:pPr>
      <w:r w:rsidRPr="00621959">
        <w:rPr>
          <w:rtl/>
        </w:rPr>
        <w:t xml:space="preserve">الريادة </w:t>
      </w:r>
      <w:r w:rsidRPr="00621959">
        <w:rPr>
          <w:rFonts w:hint="cs"/>
          <w:rtl/>
        </w:rPr>
        <w:t xml:space="preserve">في مجالي </w:t>
      </w:r>
      <w:r w:rsidRPr="00621959">
        <w:rPr>
          <w:rtl/>
        </w:rPr>
        <w:t xml:space="preserve">المعايير </w:t>
      </w:r>
      <w:r w:rsidRPr="00621959">
        <w:rPr>
          <w:rFonts w:hint="cs"/>
          <w:rtl/>
        </w:rPr>
        <w:t>و</w:t>
      </w:r>
      <w:r w:rsidRPr="00621959">
        <w:rPr>
          <w:rtl/>
        </w:rPr>
        <w:t>التكنولوجي</w:t>
      </w:r>
      <w:r w:rsidRPr="00621959">
        <w:rPr>
          <w:rFonts w:hint="cs"/>
          <w:rtl/>
        </w:rPr>
        <w:t>ا</w:t>
      </w:r>
    </w:p>
    <w:p w14:paraId="1FF3DBB2" w14:textId="0E9A8671" w:rsidR="00621959" w:rsidRPr="00621959" w:rsidRDefault="00153CB5" w:rsidP="00153CB5">
      <w:pPr>
        <w:pStyle w:val="enumlev1"/>
        <w:rPr>
          <w:lang w:val="en-GB" w:bidi="ar-EG"/>
        </w:rPr>
      </w:pPr>
      <w:r>
        <w:sym w:font="Wingdings 2" w:char="F097"/>
      </w:r>
      <w:r>
        <w:tab/>
      </w:r>
      <w:r w:rsidR="00621959" w:rsidRPr="00621959">
        <w:rPr>
          <w:rtl/>
        </w:rPr>
        <w:t>وافق قطاع تقييس</w:t>
      </w:r>
      <w:r w:rsidR="00621959" w:rsidRPr="00621959">
        <w:rPr>
          <w:rFonts w:hint="cs"/>
          <w:rtl/>
        </w:rPr>
        <w:t xml:space="preserve"> الاتصالات</w:t>
      </w:r>
      <w:r w:rsidR="00621959" w:rsidRPr="00621959">
        <w:rPr>
          <w:rtl/>
        </w:rPr>
        <w:t xml:space="preserve"> (</w:t>
      </w:r>
      <w:r w:rsidR="00621959" w:rsidRPr="00621959">
        <w:rPr>
          <w:lang w:val="en-GB" w:bidi="ar-EG"/>
        </w:rPr>
        <w:t>ITU-T</w:t>
      </w:r>
      <w:r w:rsidR="00621959" w:rsidRPr="00621959">
        <w:rPr>
          <w:rtl/>
        </w:rPr>
        <w:t>) وقطاع الاتصالات الراديوية (</w:t>
      </w:r>
      <w:r w:rsidR="00621959" w:rsidRPr="00621959">
        <w:rPr>
          <w:lang w:val="en-GB" w:bidi="ar-EG"/>
        </w:rPr>
        <w:t>ITU-R</w:t>
      </w:r>
      <w:r w:rsidR="00621959" w:rsidRPr="00621959">
        <w:rPr>
          <w:rtl/>
        </w:rPr>
        <w:t xml:space="preserve">) معاً على </w:t>
      </w:r>
      <w:r w:rsidR="008C5DEF">
        <w:rPr>
          <w:b/>
          <w:bCs/>
        </w:rPr>
        <w:t>1 225</w:t>
      </w:r>
      <w:r w:rsidR="00621959" w:rsidRPr="00621959">
        <w:rPr>
          <w:rFonts w:hint="cs"/>
          <w:b/>
          <w:bCs/>
          <w:rtl/>
        </w:rPr>
        <w:t xml:space="preserve"> </w:t>
      </w:r>
      <w:r w:rsidR="00621959" w:rsidRPr="00621959">
        <w:rPr>
          <w:rtl/>
        </w:rPr>
        <w:t>معياراً بين عامي</w:t>
      </w:r>
      <w:r w:rsidR="008D4655">
        <w:rPr>
          <w:rFonts w:hint="cs"/>
          <w:rtl/>
        </w:rPr>
        <w:t> </w:t>
      </w:r>
      <w:r w:rsidR="00621959" w:rsidRPr="00621959">
        <w:rPr>
          <w:rtl/>
        </w:rPr>
        <w:t>2022 و2025.</w:t>
      </w:r>
    </w:p>
    <w:p w14:paraId="69400671" w14:textId="20341D07" w:rsidR="00621959" w:rsidRPr="00621959" w:rsidRDefault="00153CB5" w:rsidP="00153CB5">
      <w:pPr>
        <w:pStyle w:val="enumlev1"/>
        <w:rPr>
          <w:lang w:val="en-GB" w:bidi="ar-EG"/>
        </w:rPr>
      </w:pPr>
      <w:r>
        <w:sym w:font="Wingdings 2" w:char="F097"/>
      </w:r>
      <w:r>
        <w:tab/>
      </w:r>
      <w:r w:rsidR="00621959" w:rsidRPr="00621959">
        <w:rPr>
          <w:rFonts w:hint="cs"/>
          <w:rtl/>
        </w:rPr>
        <w:t>و</w:t>
      </w:r>
      <w:r w:rsidR="00621959" w:rsidRPr="00621959">
        <w:rPr>
          <w:rtl/>
        </w:rPr>
        <w:t>بلغ</w:t>
      </w:r>
      <w:r w:rsidR="00621959" w:rsidRPr="00621959">
        <w:rPr>
          <w:rFonts w:hint="cs"/>
          <w:rtl/>
        </w:rPr>
        <w:t xml:space="preserve">ت </w:t>
      </w:r>
      <w:r w:rsidR="00621959" w:rsidRPr="00621959">
        <w:rPr>
          <w:b/>
          <w:bCs/>
          <w:rtl/>
        </w:rPr>
        <w:t>توصيات قطاع الاتصالات الراديوية</w:t>
      </w:r>
      <w:r w:rsidR="00621959" w:rsidRPr="00621959">
        <w:rPr>
          <w:rtl/>
        </w:rPr>
        <w:t xml:space="preserve"> السارية بنهاية عام 2025 ما مجموعه </w:t>
      </w:r>
      <w:r w:rsidR="008C5DEF">
        <w:rPr>
          <w:b/>
          <w:bCs/>
        </w:rPr>
        <w:t>1 161</w:t>
      </w:r>
      <w:r w:rsidR="00621959" w:rsidRPr="00621959">
        <w:rPr>
          <w:rtl/>
        </w:rPr>
        <w:t xml:space="preserve"> توصية.</w:t>
      </w:r>
    </w:p>
    <w:p w14:paraId="58440187" w14:textId="52B944D2" w:rsidR="00621959" w:rsidRPr="00621959" w:rsidRDefault="00153CB5" w:rsidP="00153CB5">
      <w:pPr>
        <w:pStyle w:val="enumlev1"/>
        <w:rPr>
          <w:lang w:val="en-GB" w:bidi="ar-EG"/>
        </w:rPr>
      </w:pPr>
      <w:r>
        <w:sym w:font="Wingdings 2" w:char="F097"/>
      </w:r>
      <w:r>
        <w:tab/>
      </w:r>
      <w:r w:rsidR="00621959" w:rsidRPr="00621959">
        <w:rPr>
          <w:rFonts w:hint="cs"/>
          <w:rtl/>
        </w:rPr>
        <w:t>و</w:t>
      </w:r>
      <w:r w:rsidR="00621959" w:rsidRPr="00621959">
        <w:rPr>
          <w:rtl/>
        </w:rPr>
        <w:t xml:space="preserve">ضمت </w:t>
      </w:r>
      <w:r w:rsidR="00621959" w:rsidRPr="00621959">
        <w:rPr>
          <w:b/>
          <w:bCs/>
          <w:rtl/>
        </w:rPr>
        <w:t>قاعدة بيانات معايير التكنولوجيا الكمومية</w:t>
      </w:r>
      <w:r w:rsidR="00621959" w:rsidRPr="00621959">
        <w:rPr>
          <w:rtl/>
        </w:rPr>
        <w:t xml:space="preserve"> في الاتحاد حوالي </w:t>
      </w:r>
      <w:r w:rsidR="00621959" w:rsidRPr="00621959">
        <w:rPr>
          <w:b/>
          <w:bCs/>
          <w:rtl/>
        </w:rPr>
        <w:t>50 معياراً للتكنولوجيا الكمومية</w:t>
      </w:r>
      <w:r w:rsidR="00621959" w:rsidRPr="00621959">
        <w:rPr>
          <w:rtl/>
        </w:rPr>
        <w:t xml:space="preserve">، بالإضافة إلى </w:t>
      </w:r>
      <w:r w:rsidR="00621959" w:rsidRPr="00621959">
        <w:rPr>
          <w:b/>
          <w:bCs/>
          <w:rtl/>
        </w:rPr>
        <w:t>أكثر من 30 معياراً قيد التطوير.</w:t>
      </w:r>
    </w:p>
    <w:p w14:paraId="43FB8823" w14:textId="210A6634" w:rsidR="00621959" w:rsidRPr="00621959" w:rsidRDefault="00153CB5" w:rsidP="00153CB5">
      <w:pPr>
        <w:pStyle w:val="enumlev1"/>
        <w:rPr>
          <w:lang w:val="en-GB" w:bidi="ar-EG"/>
        </w:rPr>
      </w:pPr>
      <w:r w:rsidRPr="00FC7A00">
        <w:sym w:font="Wingdings 2" w:char="F097"/>
      </w:r>
      <w:r w:rsidRPr="00FC7A00">
        <w:tab/>
      </w:r>
      <w:r w:rsidR="00621959" w:rsidRPr="00FC7A00">
        <w:rPr>
          <w:rFonts w:hint="cs"/>
          <w:rtl/>
        </w:rPr>
        <w:t>وأشرك</w:t>
      </w:r>
      <w:r w:rsidR="00621959" w:rsidRPr="00FC7A00">
        <w:rPr>
          <w:rtl/>
        </w:rPr>
        <w:t xml:space="preserve"> الفريق المتخصص المعني بالميتافيرس (</w:t>
      </w:r>
      <w:r w:rsidR="00621959" w:rsidRPr="00FC7A00">
        <w:rPr>
          <w:lang w:val="en-GB" w:bidi="ar-EG"/>
        </w:rPr>
        <w:t>FG-MV</w:t>
      </w:r>
      <w:r w:rsidR="00621959" w:rsidRPr="00FC7A00">
        <w:rPr>
          <w:rtl/>
        </w:rPr>
        <w:t>)</w:t>
      </w:r>
      <w:r w:rsidR="00621959" w:rsidRPr="00FC7A00">
        <w:rPr>
          <w:rFonts w:hint="cs"/>
          <w:rtl/>
        </w:rPr>
        <w:t xml:space="preserve"> </w:t>
      </w:r>
      <w:r w:rsidR="00621959" w:rsidRPr="00FC7A00">
        <w:rPr>
          <w:b/>
          <w:bCs/>
          <w:rtl/>
        </w:rPr>
        <w:t xml:space="preserve">أكثر من </w:t>
      </w:r>
      <w:r w:rsidR="008C5DEF" w:rsidRPr="00FC7A00">
        <w:rPr>
          <w:b/>
          <w:bCs/>
        </w:rPr>
        <w:t>17 000</w:t>
      </w:r>
      <w:r w:rsidR="00621959" w:rsidRPr="00FC7A00">
        <w:rPr>
          <w:b/>
          <w:bCs/>
          <w:rtl/>
        </w:rPr>
        <w:t xml:space="preserve"> شخص</w:t>
      </w:r>
      <w:r w:rsidR="00621959" w:rsidRPr="00FC7A00">
        <w:rPr>
          <w:rtl/>
        </w:rPr>
        <w:t>، وأنتج</w:t>
      </w:r>
      <w:r w:rsidR="00621959" w:rsidRPr="00FC7A00">
        <w:rPr>
          <w:b/>
          <w:bCs/>
          <w:rtl/>
        </w:rPr>
        <w:t xml:space="preserve"> 52 </w:t>
      </w:r>
      <w:r w:rsidR="00D23D15">
        <w:rPr>
          <w:rFonts w:hint="cs"/>
          <w:b/>
          <w:bCs/>
          <w:rtl/>
          <w:lang w:bidi="ar-EG"/>
        </w:rPr>
        <w:t>م</w:t>
      </w:r>
      <w:r w:rsidR="00C67ABB">
        <w:rPr>
          <w:rFonts w:hint="cs"/>
          <w:b/>
          <w:bCs/>
          <w:rtl/>
          <w:lang w:bidi="ar-EG"/>
        </w:rPr>
        <w:t>نجزاً</w:t>
      </w:r>
      <w:r w:rsidR="00621959" w:rsidRPr="00FC7A00">
        <w:rPr>
          <w:rtl/>
        </w:rPr>
        <w:t xml:space="preserve"> قبل إحالة العمل إلى لجان الدراسات.</w:t>
      </w:r>
    </w:p>
    <w:p w14:paraId="23A2765E" w14:textId="6119869F" w:rsidR="00621959" w:rsidRPr="00621959" w:rsidRDefault="00153CB5" w:rsidP="00153CB5">
      <w:pPr>
        <w:pStyle w:val="enumlev1"/>
        <w:rPr>
          <w:lang w:val="en-GB" w:bidi="ar-EG"/>
        </w:rPr>
      </w:pPr>
      <w:r>
        <w:sym w:font="Wingdings 2" w:char="F097"/>
      </w:r>
      <w:r>
        <w:tab/>
      </w:r>
      <w:r w:rsidR="003C4B57">
        <w:rPr>
          <w:rFonts w:eastAsia="Calibri" w:hint="cs"/>
          <w:rtl/>
          <w:lang w:eastAsia="zh-TW"/>
        </w:rPr>
        <w:t>و</w:t>
      </w:r>
      <w:r w:rsidR="003C4B57" w:rsidRPr="001405A6">
        <w:rPr>
          <w:rFonts w:eastAsia="Calibri"/>
          <w:rtl/>
          <w:lang w:eastAsia="zh-TW"/>
        </w:rPr>
        <w:t>أُطلقت</w:t>
      </w:r>
      <w:r w:rsidR="003C4B57" w:rsidRPr="001405A6">
        <w:rPr>
          <w:rFonts w:eastAsia="Calibri"/>
          <w:b/>
          <w:bCs/>
          <w:rtl/>
          <w:lang w:eastAsia="zh-TW"/>
        </w:rPr>
        <w:t xml:space="preserve"> قاعدة بيانات تبادل معايير الذكاء الاصطناعي</w:t>
      </w:r>
      <w:r w:rsidR="003C4B57" w:rsidRPr="001405A6">
        <w:rPr>
          <w:rFonts w:eastAsia="Calibri"/>
          <w:rtl/>
          <w:lang w:eastAsia="zh-TW"/>
        </w:rPr>
        <w:t xml:space="preserve"> في عام 2025، وتضمنت</w:t>
      </w:r>
      <w:r w:rsidR="003C4B57">
        <w:rPr>
          <w:rFonts w:eastAsia="Calibri" w:hint="cs"/>
          <w:rtl/>
          <w:lang w:eastAsia="zh-TW"/>
        </w:rPr>
        <w:t xml:space="preserve"> أكثر من</w:t>
      </w:r>
      <w:r w:rsidR="003C4B57" w:rsidRPr="001405A6">
        <w:rPr>
          <w:rFonts w:eastAsia="Calibri"/>
          <w:rtl/>
          <w:lang w:eastAsia="zh-TW"/>
        </w:rPr>
        <w:t xml:space="preserve"> </w:t>
      </w:r>
      <w:r w:rsidR="003C4B57" w:rsidRPr="001405A6">
        <w:rPr>
          <w:rFonts w:eastAsia="Calibri"/>
          <w:b/>
          <w:bCs/>
          <w:rtl/>
          <w:lang w:eastAsia="zh-TW"/>
        </w:rPr>
        <w:t>700 معيار متعلق بالذكاء الاصطناعي</w:t>
      </w:r>
      <w:r w:rsidR="003C4B57" w:rsidRPr="001405A6">
        <w:rPr>
          <w:rFonts w:eastAsia="Calibri"/>
          <w:rtl/>
          <w:lang w:eastAsia="zh-TW"/>
        </w:rPr>
        <w:t>، منها</w:t>
      </w:r>
      <w:r w:rsidR="003C4B57">
        <w:rPr>
          <w:rFonts w:eastAsia="Calibri" w:hint="cs"/>
          <w:rtl/>
          <w:lang w:eastAsia="zh-TW"/>
        </w:rPr>
        <w:t xml:space="preserve"> أكثر من</w:t>
      </w:r>
      <w:r w:rsidR="003C4B57" w:rsidRPr="001405A6">
        <w:rPr>
          <w:rFonts w:eastAsia="Calibri"/>
          <w:rtl/>
          <w:lang w:eastAsia="zh-TW"/>
        </w:rPr>
        <w:t xml:space="preserve"> </w:t>
      </w:r>
      <w:r w:rsidR="003C4B57" w:rsidRPr="001405A6">
        <w:rPr>
          <w:rFonts w:eastAsia="Calibri"/>
          <w:b/>
          <w:bCs/>
          <w:rtl/>
          <w:lang w:eastAsia="zh-TW"/>
        </w:rPr>
        <w:t xml:space="preserve">200 معيار </w:t>
      </w:r>
      <w:r w:rsidR="003C4B57" w:rsidRPr="00A40C82">
        <w:rPr>
          <w:rFonts w:eastAsia="Calibri"/>
          <w:rtl/>
          <w:lang w:eastAsia="zh-TW"/>
        </w:rPr>
        <w:t>نشر</w:t>
      </w:r>
      <w:r w:rsidR="003C4B57" w:rsidRPr="00A40C82">
        <w:rPr>
          <w:rFonts w:eastAsia="Calibri" w:hint="cs"/>
          <w:rtl/>
          <w:lang w:eastAsia="zh-TW"/>
        </w:rPr>
        <w:t>ها الاتحاد</w:t>
      </w:r>
      <w:r w:rsidR="003C4B57" w:rsidRPr="001405A6">
        <w:rPr>
          <w:rFonts w:eastAsia="Calibri"/>
          <w:rtl/>
          <w:lang w:eastAsia="zh-TW"/>
        </w:rPr>
        <w:t xml:space="preserve"> و</w:t>
      </w:r>
      <w:r w:rsidR="003C4B57" w:rsidRPr="001405A6">
        <w:rPr>
          <w:rFonts w:eastAsia="Calibri"/>
          <w:b/>
          <w:bCs/>
          <w:rtl/>
          <w:lang w:eastAsia="zh-TW"/>
        </w:rPr>
        <w:t xml:space="preserve">200 معيار </w:t>
      </w:r>
      <w:r w:rsidR="003C4B57">
        <w:rPr>
          <w:rFonts w:eastAsia="Calibri" w:hint="cs"/>
          <w:b/>
          <w:bCs/>
          <w:rtl/>
          <w:lang w:eastAsia="zh-TW"/>
        </w:rPr>
        <w:t xml:space="preserve">آخر </w:t>
      </w:r>
      <w:r w:rsidR="003C4B57" w:rsidRPr="001405A6">
        <w:rPr>
          <w:rFonts w:eastAsia="Calibri"/>
          <w:b/>
          <w:bCs/>
          <w:rtl/>
          <w:lang w:eastAsia="zh-TW"/>
        </w:rPr>
        <w:t>قيد التطوير.</w:t>
      </w:r>
    </w:p>
    <w:p w14:paraId="2AA3AAD9" w14:textId="0AF66BC7" w:rsidR="00621959" w:rsidRPr="00621959" w:rsidRDefault="00153CB5" w:rsidP="00153CB5">
      <w:pPr>
        <w:pStyle w:val="enumlev1"/>
        <w:rPr>
          <w:rtl/>
        </w:rPr>
      </w:pPr>
      <w:r>
        <w:sym w:font="Wingdings 2" w:char="F097"/>
      </w:r>
      <w:r>
        <w:tab/>
      </w:r>
      <w:r w:rsidR="00621959" w:rsidRPr="00621959">
        <w:rPr>
          <w:rFonts w:hint="cs"/>
          <w:rtl/>
        </w:rPr>
        <w:t>و</w:t>
      </w:r>
      <w:r w:rsidR="00621959" w:rsidRPr="00621959">
        <w:rPr>
          <w:rtl/>
        </w:rPr>
        <w:t xml:space="preserve">حصل قطاع الاتصالات الراديوية على </w:t>
      </w:r>
      <w:r w:rsidR="00621959" w:rsidRPr="00621959">
        <w:rPr>
          <w:b/>
          <w:bCs/>
          <w:rtl/>
        </w:rPr>
        <w:t>جائزة إيمي للهندسة والعلوم والتكنولوجيا</w:t>
      </w:r>
      <w:r w:rsidR="00621959" w:rsidRPr="00621959">
        <w:rPr>
          <w:rtl/>
        </w:rPr>
        <w:t xml:space="preserve"> في عام 2023 عن المعيار العالمي بشأن </w:t>
      </w:r>
      <w:r w:rsidR="00621959" w:rsidRPr="00621959">
        <w:rPr>
          <w:rFonts w:hint="cs"/>
          <w:rtl/>
        </w:rPr>
        <w:t>ا</w:t>
      </w:r>
      <w:r w:rsidR="00621959" w:rsidRPr="00621959">
        <w:rPr>
          <w:b/>
          <w:bCs/>
          <w:rtl/>
        </w:rPr>
        <w:t>لتلفزيون ذي المدى الدينامي العالي (</w:t>
      </w:r>
      <w:r w:rsidR="00621959" w:rsidRPr="00621959">
        <w:rPr>
          <w:b/>
          <w:bCs/>
          <w:lang w:val="en-GB" w:bidi="ar-EG"/>
        </w:rPr>
        <w:t>HDR-TV</w:t>
      </w:r>
      <w:r w:rsidR="00621959" w:rsidRPr="00621959">
        <w:rPr>
          <w:b/>
          <w:bCs/>
          <w:rtl/>
        </w:rPr>
        <w:t>).</w:t>
      </w:r>
    </w:p>
    <w:p w14:paraId="63DE113C" w14:textId="77777777" w:rsidR="00621959" w:rsidRPr="00621959" w:rsidRDefault="00621959" w:rsidP="00153CB5">
      <w:pPr>
        <w:pStyle w:val="Headingb"/>
      </w:pPr>
      <w:r w:rsidRPr="00621959">
        <w:rPr>
          <w:rtl/>
        </w:rPr>
        <w:t>تنمية القدرات والمهارات الرقمية</w:t>
      </w:r>
    </w:p>
    <w:p w14:paraId="594812CC" w14:textId="79ABE7E1" w:rsidR="00621959" w:rsidRPr="00621959" w:rsidRDefault="00153CB5" w:rsidP="00153CB5">
      <w:pPr>
        <w:pStyle w:val="enumlev1"/>
        <w:rPr>
          <w:lang w:val="en-GB" w:bidi="ar-EG"/>
        </w:rPr>
      </w:pPr>
      <w:r>
        <w:sym w:font="Wingdings 2" w:char="F097"/>
      </w:r>
      <w:r>
        <w:tab/>
      </w:r>
      <w:r w:rsidR="00621959" w:rsidRPr="00621959">
        <w:rPr>
          <w:rtl/>
        </w:rPr>
        <w:t xml:space="preserve">توسعت أكاديمية الاتحاد من </w:t>
      </w:r>
      <w:r w:rsidR="00FC7A00" w:rsidRPr="00FC7A00">
        <w:rPr>
          <w:b/>
          <w:bCs/>
        </w:rPr>
        <w:t>26 000</w:t>
      </w:r>
      <w:r w:rsidR="00621959" w:rsidRPr="00FC7A00">
        <w:rPr>
          <w:b/>
          <w:bCs/>
          <w:rtl/>
        </w:rPr>
        <w:t xml:space="preserve"> إلى </w:t>
      </w:r>
      <w:r w:rsidR="00FC7A00" w:rsidRPr="00FC7A00">
        <w:rPr>
          <w:b/>
          <w:bCs/>
        </w:rPr>
        <w:t>83 000</w:t>
      </w:r>
      <w:r w:rsidR="00621959" w:rsidRPr="00FC7A00">
        <w:rPr>
          <w:b/>
          <w:bCs/>
          <w:rtl/>
        </w:rPr>
        <w:t xml:space="preserve"> متدرب</w:t>
      </w:r>
      <w:r w:rsidR="00621959" w:rsidRPr="00621959">
        <w:rPr>
          <w:rtl/>
        </w:rPr>
        <w:t xml:space="preserve"> (2022-2025)، </w:t>
      </w:r>
      <w:r w:rsidR="00621959" w:rsidRPr="00FC7A00">
        <w:rPr>
          <w:b/>
          <w:bCs/>
          <w:rtl/>
        </w:rPr>
        <w:t>40% منهم من النساء</w:t>
      </w:r>
      <w:r w:rsidR="00621959" w:rsidRPr="00621959">
        <w:rPr>
          <w:rtl/>
        </w:rPr>
        <w:t xml:space="preserve">، وقدمت حوالي </w:t>
      </w:r>
      <w:r w:rsidR="00621959" w:rsidRPr="00FC7A00">
        <w:rPr>
          <w:b/>
          <w:bCs/>
          <w:rtl/>
        </w:rPr>
        <w:t>150 دورة تدريبية سنوياً</w:t>
      </w:r>
      <w:r w:rsidR="00621959" w:rsidRPr="00621959">
        <w:rPr>
          <w:rtl/>
        </w:rPr>
        <w:t xml:space="preserve">، ومنحت </w:t>
      </w:r>
      <w:r w:rsidR="00621959" w:rsidRPr="00FC7A00">
        <w:rPr>
          <w:b/>
          <w:bCs/>
          <w:rtl/>
        </w:rPr>
        <w:t xml:space="preserve">أكثر من </w:t>
      </w:r>
      <w:r w:rsidR="00FC7A00">
        <w:rPr>
          <w:b/>
          <w:bCs/>
        </w:rPr>
        <w:t>17 500</w:t>
      </w:r>
      <w:r w:rsidR="00621959" w:rsidRPr="00FC7A00">
        <w:rPr>
          <w:b/>
          <w:bCs/>
          <w:rtl/>
        </w:rPr>
        <w:t xml:space="preserve"> شهادة</w:t>
      </w:r>
      <w:r w:rsidR="00621959" w:rsidRPr="00621959">
        <w:rPr>
          <w:rtl/>
        </w:rPr>
        <w:t xml:space="preserve"> منذ عام 2023.</w:t>
      </w:r>
    </w:p>
    <w:p w14:paraId="3D05FA72" w14:textId="4BA108F3" w:rsidR="00621959" w:rsidRPr="00FC7A00" w:rsidRDefault="00153CB5" w:rsidP="00153CB5">
      <w:pPr>
        <w:pStyle w:val="enumlev1"/>
        <w:rPr>
          <w:spacing w:val="-4"/>
          <w:lang w:val="en-GB" w:bidi="ar-EG"/>
        </w:rPr>
      </w:pPr>
      <w:r w:rsidRPr="00FC7A00">
        <w:rPr>
          <w:spacing w:val="-4"/>
        </w:rPr>
        <w:sym w:font="Wingdings 2" w:char="F097"/>
      </w:r>
      <w:r w:rsidRPr="00FC7A00">
        <w:rPr>
          <w:spacing w:val="-4"/>
        </w:rPr>
        <w:tab/>
      </w:r>
      <w:r w:rsidR="00621959" w:rsidRPr="00FC7A00">
        <w:rPr>
          <w:rFonts w:hint="cs"/>
          <w:spacing w:val="-4"/>
          <w:rtl/>
        </w:rPr>
        <w:t>و</w:t>
      </w:r>
      <w:r w:rsidR="00621959" w:rsidRPr="00FC7A00">
        <w:rPr>
          <w:spacing w:val="-4"/>
          <w:rtl/>
        </w:rPr>
        <w:t xml:space="preserve">قدمت مراكز التدريب المعتمدة </w:t>
      </w:r>
      <w:r w:rsidR="00621959" w:rsidRPr="00FC7A00">
        <w:rPr>
          <w:rFonts w:hint="cs"/>
          <w:spacing w:val="-4"/>
          <w:rtl/>
        </w:rPr>
        <w:t xml:space="preserve">لدى </w:t>
      </w:r>
      <w:r w:rsidR="00621959" w:rsidRPr="00FC7A00">
        <w:rPr>
          <w:spacing w:val="-4"/>
          <w:rtl/>
        </w:rPr>
        <w:t xml:space="preserve">أكاديمية الاتحاد </w:t>
      </w:r>
      <w:r w:rsidR="00621959" w:rsidRPr="00FC7A00">
        <w:rPr>
          <w:b/>
          <w:bCs/>
          <w:spacing w:val="-4"/>
          <w:rtl/>
        </w:rPr>
        <w:t>159 دورة تدريبية</w:t>
      </w:r>
      <w:r w:rsidR="00621959" w:rsidRPr="00FC7A00">
        <w:rPr>
          <w:spacing w:val="-4"/>
          <w:rtl/>
        </w:rPr>
        <w:t xml:space="preserve"> حضرها </w:t>
      </w:r>
      <w:r w:rsidR="00FC7A00" w:rsidRPr="00FC7A00">
        <w:rPr>
          <w:b/>
          <w:bCs/>
          <w:spacing w:val="-4"/>
        </w:rPr>
        <w:t>4 048</w:t>
      </w:r>
      <w:r w:rsidR="00621959" w:rsidRPr="00FC7A00">
        <w:rPr>
          <w:b/>
          <w:bCs/>
          <w:spacing w:val="-4"/>
          <w:rtl/>
        </w:rPr>
        <w:t xml:space="preserve"> مشاركاً</w:t>
      </w:r>
      <w:r w:rsidR="00621959" w:rsidRPr="00FC7A00">
        <w:rPr>
          <w:spacing w:val="-4"/>
          <w:rtl/>
        </w:rPr>
        <w:t xml:space="preserve"> (2023-2025)، 86% منهم من البلدان النامية.</w:t>
      </w:r>
    </w:p>
    <w:p w14:paraId="2965B531" w14:textId="7B5A55DE" w:rsidR="00621959" w:rsidRPr="00621959" w:rsidRDefault="00153CB5" w:rsidP="00153CB5">
      <w:pPr>
        <w:pStyle w:val="enumlev1"/>
        <w:rPr>
          <w:rtl/>
        </w:rPr>
      </w:pPr>
      <w:r>
        <w:sym w:font="Wingdings 2" w:char="F097"/>
      </w:r>
      <w:r>
        <w:tab/>
      </w:r>
      <w:r w:rsidR="00621959" w:rsidRPr="00621959">
        <w:rPr>
          <w:rFonts w:hint="cs"/>
          <w:rtl/>
        </w:rPr>
        <w:t>و</w:t>
      </w:r>
      <w:r w:rsidR="00621959" w:rsidRPr="00621959">
        <w:rPr>
          <w:rtl/>
        </w:rPr>
        <w:t xml:space="preserve">دربت مراكز التحول الرقمي التابعة للاتحاد وشركة سيسكو أكثر من </w:t>
      </w:r>
      <w:r w:rsidR="00FC7A00" w:rsidRPr="00FC7A00">
        <w:rPr>
          <w:b/>
          <w:bCs/>
        </w:rPr>
        <w:t>610 000</w:t>
      </w:r>
      <w:r w:rsidR="00621959" w:rsidRPr="00FC7A00">
        <w:rPr>
          <w:b/>
          <w:bCs/>
          <w:rtl/>
        </w:rPr>
        <w:t xml:space="preserve"> مشارك</w:t>
      </w:r>
      <w:r w:rsidR="00621959" w:rsidRPr="00621959">
        <w:rPr>
          <w:rtl/>
        </w:rPr>
        <w:t xml:space="preserve">، </w:t>
      </w:r>
      <w:r w:rsidR="00621959" w:rsidRPr="00FC7A00">
        <w:rPr>
          <w:b/>
          <w:bCs/>
          <w:rtl/>
        </w:rPr>
        <w:t>53% منهم من النساء</w:t>
      </w:r>
      <w:r w:rsidR="00621959" w:rsidRPr="00621959">
        <w:rPr>
          <w:rtl/>
        </w:rPr>
        <w:t xml:space="preserve">، </w:t>
      </w:r>
      <w:r w:rsidR="00621959" w:rsidRPr="00621959">
        <w:rPr>
          <w:rFonts w:hint="cs"/>
          <w:rtl/>
        </w:rPr>
        <w:t>عبر</w:t>
      </w:r>
      <w:r w:rsidR="00621959" w:rsidRPr="00621959">
        <w:rPr>
          <w:rtl/>
        </w:rPr>
        <w:t xml:space="preserve"> أربع مناطق.</w:t>
      </w:r>
    </w:p>
    <w:p w14:paraId="3DE4E11B" w14:textId="77777777" w:rsidR="00621959" w:rsidRPr="00621959" w:rsidRDefault="00621959" w:rsidP="00153CB5">
      <w:pPr>
        <w:pStyle w:val="Headingb"/>
      </w:pPr>
      <w:r w:rsidRPr="00621959">
        <w:rPr>
          <w:rtl/>
        </w:rPr>
        <w:t>المساعدة التقنية والتنفيذ</w:t>
      </w:r>
    </w:p>
    <w:p w14:paraId="109CAD84" w14:textId="3864FB15" w:rsidR="00621959" w:rsidRPr="00621959" w:rsidRDefault="00153CB5" w:rsidP="00153CB5">
      <w:pPr>
        <w:pStyle w:val="enumlev1"/>
        <w:rPr>
          <w:lang w:val="en-GB" w:bidi="ar-EG"/>
        </w:rPr>
      </w:pPr>
      <w:r>
        <w:sym w:font="Wingdings 2" w:char="F097"/>
      </w:r>
      <w:r>
        <w:tab/>
      </w:r>
      <w:r w:rsidR="003C4B57">
        <w:rPr>
          <w:rFonts w:hint="cs"/>
          <w:rtl/>
          <w:lang w:bidi="ar-EG"/>
        </w:rPr>
        <w:t xml:space="preserve">في قطاع </w:t>
      </w:r>
      <w:r w:rsidR="00621959" w:rsidRPr="00621959">
        <w:rPr>
          <w:rtl/>
        </w:rPr>
        <w:t>تنمية الاتصالات بالاتحاد</w:t>
      </w:r>
      <w:r w:rsidR="003C4B57">
        <w:rPr>
          <w:rFonts w:hint="cs"/>
          <w:rtl/>
        </w:rPr>
        <w:t>، تم تنفيذ</w:t>
      </w:r>
      <w:r w:rsidR="00621959" w:rsidRPr="00621959">
        <w:rPr>
          <w:rtl/>
        </w:rPr>
        <w:t xml:space="preserve"> </w:t>
      </w:r>
      <w:r w:rsidR="00621959" w:rsidRPr="00621959">
        <w:rPr>
          <w:b/>
          <w:bCs/>
          <w:rtl/>
        </w:rPr>
        <w:t>106 مشاريع</w:t>
      </w:r>
      <w:r w:rsidR="00621959" w:rsidRPr="00621959">
        <w:rPr>
          <w:rtl/>
        </w:rPr>
        <w:t xml:space="preserve"> في عام 2025 بقيمة </w:t>
      </w:r>
      <w:r w:rsidR="00621959" w:rsidRPr="00621959">
        <w:rPr>
          <w:b/>
          <w:bCs/>
          <w:rtl/>
        </w:rPr>
        <w:t>79</w:t>
      </w:r>
      <w:r w:rsidR="00621959" w:rsidRPr="00621959">
        <w:rPr>
          <w:rFonts w:hint="cs"/>
          <w:b/>
          <w:bCs/>
          <w:rtl/>
        </w:rPr>
        <w:t>,</w:t>
      </w:r>
      <w:r w:rsidR="00621959" w:rsidRPr="00621959">
        <w:rPr>
          <w:b/>
          <w:bCs/>
          <w:rtl/>
        </w:rPr>
        <w:t>7</w:t>
      </w:r>
      <w:r w:rsidR="00621959" w:rsidRPr="00621959">
        <w:rPr>
          <w:rtl/>
        </w:rPr>
        <w:t xml:space="preserve"> </w:t>
      </w:r>
      <w:r w:rsidR="00621959" w:rsidRPr="00621959">
        <w:rPr>
          <w:b/>
          <w:bCs/>
          <w:rtl/>
        </w:rPr>
        <w:t>مليون فرنك سويسري</w:t>
      </w:r>
      <w:r w:rsidR="00621959" w:rsidRPr="00621959">
        <w:rPr>
          <w:rtl/>
        </w:rPr>
        <w:t xml:space="preserve">، حيث كان مصدر </w:t>
      </w:r>
      <w:r w:rsidR="00621959" w:rsidRPr="00621959">
        <w:rPr>
          <w:b/>
          <w:bCs/>
          <w:rtl/>
        </w:rPr>
        <w:t>90%</w:t>
      </w:r>
      <w:r w:rsidR="00621959" w:rsidRPr="00621959">
        <w:rPr>
          <w:rtl/>
        </w:rPr>
        <w:t xml:space="preserve"> من إجمالي تمويل المشاريع من شركاء خارجيين.</w:t>
      </w:r>
    </w:p>
    <w:p w14:paraId="65B95939" w14:textId="150120AF" w:rsidR="00621959" w:rsidRPr="00621959" w:rsidRDefault="00153CB5" w:rsidP="00153CB5">
      <w:pPr>
        <w:pStyle w:val="enumlev1"/>
        <w:rPr>
          <w:rtl/>
        </w:rPr>
      </w:pPr>
      <w:r>
        <w:sym w:font="Wingdings 2" w:char="F097"/>
      </w:r>
      <w:r>
        <w:tab/>
      </w:r>
      <w:r w:rsidR="00621959" w:rsidRPr="00621959">
        <w:rPr>
          <w:rFonts w:hint="cs"/>
          <w:rtl/>
        </w:rPr>
        <w:t>و</w:t>
      </w:r>
      <w:r w:rsidR="00621959" w:rsidRPr="00621959">
        <w:rPr>
          <w:rtl/>
        </w:rPr>
        <w:t xml:space="preserve">غطت الاتفاقات الجديدة في قطاع تنمية الاتصالات في عام 2025، </w:t>
      </w:r>
      <w:r w:rsidR="00621959" w:rsidRPr="00621959">
        <w:rPr>
          <w:b/>
          <w:bCs/>
          <w:rtl/>
        </w:rPr>
        <w:t>26</w:t>
      </w:r>
      <w:r w:rsidR="00621959" w:rsidRPr="00621959">
        <w:rPr>
          <w:rtl/>
        </w:rPr>
        <w:t xml:space="preserve"> </w:t>
      </w:r>
      <w:r w:rsidR="00621959" w:rsidRPr="00621959">
        <w:rPr>
          <w:b/>
          <w:bCs/>
          <w:rtl/>
        </w:rPr>
        <w:t>مشروعاً</w:t>
      </w:r>
      <w:r w:rsidR="00621959" w:rsidRPr="00621959">
        <w:rPr>
          <w:rtl/>
        </w:rPr>
        <w:t xml:space="preserve"> بقيمة </w:t>
      </w:r>
      <w:r w:rsidR="00621959" w:rsidRPr="00621959">
        <w:rPr>
          <w:b/>
          <w:bCs/>
          <w:rtl/>
        </w:rPr>
        <w:t>4</w:t>
      </w:r>
      <w:r w:rsidR="00621959" w:rsidRPr="00621959">
        <w:rPr>
          <w:rFonts w:hint="cs"/>
          <w:b/>
          <w:bCs/>
          <w:rtl/>
        </w:rPr>
        <w:t>,</w:t>
      </w:r>
      <w:r w:rsidR="00621959" w:rsidRPr="00621959">
        <w:rPr>
          <w:b/>
          <w:bCs/>
          <w:rtl/>
        </w:rPr>
        <w:t>3</w:t>
      </w:r>
      <w:r w:rsidR="00621959" w:rsidRPr="00621959">
        <w:rPr>
          <w:rtl/>
        </w:rPr>
        <w:t xml:space="preserve"> </w:t>
      </w:r>
      <w:r w:rsidR="00621959" w:rsidRPr="00621959">
        <w:rPr>
          <w:b/>
          <w:bCs/>
          <w:rtl/>
        </w:rPr>
        <w:t>مليون فرنك سويسري</w:t>
      </w:r>
      <w:r w:rsidR="00621959" w:rsidRPr="00621959">
        <w:rPr>
          <w:rtl/>
        </w:rPr>
        <w:t>.</w:t>
      </w:r>
    </w:p>
    <w:p w14:paraId="12A0C95C" w14:textId="77777777" w:rsidR="00621959" w:rsidRPr="00621959" w:rsidRDefault="00621959" w:rsidP="00153CB5">
      <w:pPr>
        <w:pStyle w:val="Headingb"/>
      </w:pPr>
      <w:r w:rsidRPr="00621959">
        <w:rPr>
          <w:rtl/>
        </w:rPr>
        <w:t>المنصات والشراكات العالمية</w:t>
      </w:r>
    </w:p>
    <w:p w14:paraId="3D59863E" w14:textId="17AD0D72" w:rsidR="00621959" w:rsidRPr="00FC7A00" w:rsidRDefault="00153CB5" w:rsidP="00153CB5">
      <w:pPr>
        <w:pStyle w:val="enumlev1"/>
        <w:rPr>
          <w:spacing w:val="-4"/>
          <w:lang w:val="en-GB" w:bidi="ar-EG"/>
        </w:rPr>
      </w:pPr>
      <w:r w:rsidRPr="00FC7A00">
        <w:rPr>
          <w:spacing w:val="-4"/>
        </w:rPr>
        <w:sym w:font="Wingdings 2" w:char="F097"/>
      </w:r>
      <w:r w:rsidRPr="00FC7A00">
        <w:rPr>
          <w:spacing w:val="-4"/>
        </w:rPr>
        <w:tab/>
      </w:r>
      <w:r w:rsidR="00621959" w:rsidRPr="00FC7A00">
        <w:rPr>
          <w:spacing w:val="-4"/>
          <w:rtl/>
        </w:rPr>
        <w:t>تجاوز</w:t>
      </w:r>
      <w:r w:rsidR="00621959" w:rsidRPr="00FC7A00">
        <w:rPr>
          <w:rFonts w:hint="cs"/>
          <w:spacing w:val="-4"/>
          <w:rtl/>
        </w:rPr>
        <w:t>ت</w:t>
      </w:r>
      <w:r w:rsidR="00621959" w:rsidRPr="00FC7A00">
        <w:rPr>
          <w:spacing w:val="-4"/>
          <w:rtl/>
        </w:rPr>
        <w:t xml:space="preserve"> التقييم</w:t>
      </w:r>
      <w:r w:rsidR="00621959" w:rsidRPr="00FC7A00">
        <w:rPr>
          <w:rFonts w:hint="cs"/>
          <w:spacing w:val="-4"/>
          <w:rtl/>
        </w:rPr>
        <w:t>ات</w:t>
      </w:r>
      <w:r w:rsidR="00621959" w:rsidRPr="00FC7A00">
        <w:rPr>
          <w:spacing w:val="-4"/>
          <w:rtl/>
        </w:rPr>
        <w:t xml:space="preserve"> </w:t>
      </w:r>
      <w:r w:rsidR="00621959" w:rsidRPr="00FC7A00">
        <w:rPr>
          <w:rFonts w:hint="cs"/>
          <w:spacing w:val="-4"/>
          <w:rtl/>
        </w:rPr>
        <w:t>في إطار</w:t>
      </w:r>
      <w:r w:rsidR="00621959" w:rsidRPr="00FC7A00">
        <w:rPr>
          <w:spacing w:val="-4"/>
          <w:rtl/>
        </w:rPr>
        <w:t xml:space="preserve"> القمة العالمية لمجتمع المعلومات</w:t>
      </w:r>
      <w:r w:rsidR="00FC7A00" w:rsidRPr="00FC7A00">
        <w:rPr>
          <w:b/>
          <w:bCs/>
          <w:spacing w:val="-4"/>
          <w:rtl/>
        </w:rPr>
        <w:t xml:space="preserve"> أكثر من</w:t>
      </w:r>
      <w:r w:rsidR="00621959" w:rsidRPr="00FC7A00">
        <w:rPr>
          <w:spacing w:val="-4"/>
          <w:rtl/>
        </w:rPr>
        <w:t xml:space="preserve"> </w:t>
      </w:r>
      <w:r w:rsidR="00FC7A00" w:rsidRPr="00FC7A00">
        <w:rPr>
          <w:b/>
          <w:bCs/>
          <w:spacing w:val="-4"/>
        </w:rPr>
        <w:t>21 000</w:t>
      </w:r>
      <w:r w:rsidR="00621959" w:rsidRPr="00FC7A00">
        <w:rPr>
          <w:spacing w:val="-4"/>
          <w:rtl/>
        </w:rPr>
        <w:t xml:space="preserve"> </w:t>
      </w:r>
      <w:r w:rsidR="00621959" w:rsidRPr="00FC7A00">
        <w:rPr>
          <w:b/>
          <w:bCs/>
          <w:spacing w:val="-4"/>
          <w:rtl/>
        </w:rPr>
        <w:t>مبادرة لتكنولوجيا المعلومات والاتصالات من أجل التنمية</w:t>
      </w:r>
      <w:r w:rsidR="00FC7A00" w:rsidRPr="00FC7A00">
        <w:rPr>
          <w:rFonts w:hint="cs"/>
          <w:b/>
          <w:bCs/>
          <w:spacing w:val="-4"/>
          <w:rtl/>
          <w:lang w:bidi="ar-EG"/>
        </w:rPr>
        <w:t xml:space="preserve"> </w:t>
      </w:r>
      <w:r w:rsidR="00FC7A00" w:rsidRPr="00FC7A00">
        <w:rPr>
          <w:b/>
          <w:bCs/>
          <w:spacing w:val="-4"/>
          <w:lang w:bidi="ar-EG"/>
        </w:rPr>
        <w:t>(ICT4D)</w:t>
      </w:r>
      <w:r w:rsidR="00621959" w:rsidRPr="00FC7A00">
        <w:rPr>
          <w:spacing w:val="-4"/>
          <w:rtl/>
        </w:rPr>
        <w:t xml:space="preserve">، وتلقت جوائز القمة </w:t>
      </w:r>
      <w:r w:rsidR="00621959" w:rsidRPr="00FC7A00">
        <w:rPr>
          <w:b/>
          <w:bCs/>
          <w:spacing w:val="-4"/>
          <w:rtl/>
        </w:rPr>
        <w:t>أكثر من 000 3 طلب ترشيح</w:t>
      </w:r>
      <w:r w:rsidR="00621959" w:rsidRPr="00FC7A00">
        <w:rPr>
          <w:spacing w:val="-4"/>
          <w:rtl/>
        </w:rPr>
        <w:t xml:space="preserve"> على مدار ثلاث سنوات.</w:t>
      </w:r>
    </w:p>
    <w:p w14:paraId="2E7FDEBA" w14:textId="413390FF" w:rsidR="00621959" w:rsidRPr="00621959" w:rsidRDefault="00153CB5" w:rsidP="00153CB5">
      <w:pPr>
        <w:pStyle w:val="enumlev1"/>
        <w:rPr>
          <w:lang w:val="en-GB" w:bidi="ar-EG"/>
        </w:rPr>
      </w:pPr>
      <w:r>
        <w:sym w:font="Wingdings 2" w:char="F097"/>
      </w:r>
      <w:r>
        <w:tab/>
      </w:r>
      <w:r w:rsidR="00621959" w:rsidRPr="00621959">
        <w:rPr>
          <w:rFonts w:hint="cs"/>
          <w:rtl/>
        </w:rPr>
        <w:t>و</w:t>
      </w:r>
      <w:r w:rsidR="00621959" w:rsidRPr="00621959">
        <w:rPr>
          <w:rtl/>
        </w:rPr>
        <w:t xml:space="preserve">زاد عدد أعضاء مجتمع الشبكة العصبية لمبادرة الذكاء الاصطناعي من أجل المصلحة العامة إلى </w:t>
      </w:r>
      <w:r w:rsidR="00FC7A00">
        <w:rPr>
          <w:b/>
          <w:bCs/>
        </w:rPr>
        <w:t>35 000</w:t>
      </w:r>
      <w:r w:rsidR="00621959" w:rsidRPr="00621959">
        <w:rPr>
          <w:b/>
          <w:bCs/>
          <w:rtl/>
        </w:rPr>
        <w:t xml:space="preserve"> عضو</w:t>
      </w:r>
      <w:r w:rsidR="00621959" w:rsidRPr="00621959">
        <w:rPr>
          <w:rtl/>
        </w:rPr>
        <w:t xml:space="preserve"> (</w:t>
      </w:r>
      <w:r w:rsidR="00FC7A00">
        <w:t>137 000</w:t>
      </w:r>
      <w:r w:rsidR="00621959" w:rsidRPr="00621959">
        <w:rPr>
          <w:rtl/>
        </w:rPr>
        <w:t xml:space="preserve"> مشارك عبر الإنترنت)؛ وجذبت قمة عام 2025 ما مجموعه </w:t>
      </w:r>
      <w:r w:rsidR="00FC7A00">
        <w:rPr>
          <w:b/>
          <w:bCs/>
        </w:rPr>
        <w:t>11 000</w:t>
      </w:r>
      <w:r w:rsidR="00621959" w:rsidRPr="00621959">
        <w:rPr>
          <w:b/>
          <w:bCs/>
          <w:rtl/>
        </w:rPr>
        <w:t xml:space="preserve"> زائر في الموقع</w:t>
      </w:r>
      <w:r w:rsidR="00621959" w:rsidRPr="00621959">
        <w:rPr>
          <w:rtl/>
        </w:rPr>
        <w:t>.</w:t>
      </w:r>
    </w:p>
    <w:p w14:paraId="7A90561D" w14:textId="0618503F" w:rsidR="00621959" w:rsidRPr="00621959" w:rsidRDefault="00153CB5" w:rsidP="00153CB5">
      <w:pPr>
        <w:pStyle w:val="enumlev1"/>
        <w:rPr>
          <w:lang w:val="en-GB" w:bidi="ar-EG"/>
        </w:rPr>
      </w:pPr>
      <w:r>
        <w:sym w:font="Wingdings 2" w:char="F097"/>
      </w:r>
      <w:r>
        <w:tab/>
      </w:r>
      <w:r w:rsidR="003C4B57">
        <w:rPr>
          <w:rFonts w:eastAsia="Calibri" w:hint="cs"/>
          <w:rtl/>
          <w:lang w:eastAsia="zh-TW"/>
        </w:rPr>
        <w:t xml:space="preserve">وحصل إعلان الدورة التاسعة والعشرين لمؤتمر الأطراف بشأن </w:t>
      </w:r>
      <w:r w:rsidR="00621959" w:rsidRPr="00621959">
        <w:rPr>
          <w:rtl/>
        </w:rPr>
        <w:t xml:space="preserve">العمل الرقمي المراعي للبيئة </w:t>
      </w:r>
      <w:r w:rsidR="003C4B57">
        <w:rPr>
          <w:rFonts w:hint="cs"/>
          <w:rtl/>
        </w:rPr>
        <w:t>على تأييد</w:t>
      </w:r>
      <w:r w:rsidR="00621959" w:rsidRPr="00621959">
        <w:rPr>
          <w:rtl/>
        </w:rPr>
        <w:t xml:space="preserve"> </w:t>
      </w:r>
      <w:r w:rsidR="00621959" w:rsidRPr="00621959">
        <w:rPr>
          <w:b/>
          <w:bCs/>
          <w:rtl/>
        </w:rPr>
        <w:t>أكثر من 80 بلداً</w:t>
      </w:r>
      <w:r w:rsidR="00621959" w:rsidRPr="00621959">
        <w:rPr>
          <w:rtl/>
        </w:rPr>
        <w:t xml:space="preserve"> </w:t>
      </w:r>
      <w:r w:rsidR="003C4B57">
        <w:rPr>
          <w:rFonts w:hint="cs"/>
          <w:rtl/>
        </w:rPr>
        <w:t>ونحو</w:t>
      </w:r>
      <w:r w:rsidR="00621959" w:rsidRPr="00621959">
        <w:rPr>
          <w:b/>
          <w:bCs/>
          <w:rtl/>
        </w:rPr>
        <w:t xml:space="preserve"> </w:t>
      </w:r>
      <w:r w:rsidR="00FC7A00">
        <w:rPr>
          <w:b/>
          <w:bCs/>
        </w:rPr>
        <w:t>1 800</w:t>
      </w:r>
      <w:r w:rsidR="00621959" w:rsidRPr="00621959">
        <w:rPr>
          <w:b/>
          <w:bCs/>
          <w:rtl/>
        </w:rPr>
        <w:t xml:space="preserve"> </w:t>
      </w:r>
      <w:r w:rsidR="003C4B57">
        <w:rPr>
          <w:rFonts w:eastAsia="Calibri" w:hint="cs"/>
          <w:b/>
          <w:bCs/>
          <w:rtl/>
          <w:lang w:eastAsia="zh-TW"/>
        </w:rPr>
        <w:t>شركة ومنظمة</w:t>
      </w:r>
      <w:r w:rsidR="003C4B57" w:rsidRPr="001405A6">
        <w:rPr>
          <w:rFonts w:eastAsia="Calibri"/>
          <w:rtl/>
          <w:lang w:eastAsia="zh-TW"/>
        </w:rPr>
        <w:t xml:space="preserve">، </w:t>
      </w:r>
      <w:r w:rsidR="003C4B57">
        <w:rPr>
          <w:rFonts w:eastAsia="Calibri" w:hint="cs"/>
          <w:rtl/>
          <w:lang w:eastAsia="zh-TW"/>
        </w:rPr>
        <w:t>مما بنى الزخم لإطلاق</w:t>
      </w:r>
      <w:r w:rsidR="00621959" w:rsidRPr="00621959">
        <w:rPr>
          <w:rtl/>
        </w:rPr>
        <w:t xml:space="preserve"> </w:t>
      </w:r>
      <w:r w:rsidR="00621959" w:rsidRPr="00621959">
        <w:rPr>
          <w:b/>
          <w:bCs/>
          <w:rtl/>
        </w:rPr>
        <w:t>مركز العمل الرقمي المراعي للبيئة</w:t>
      </w:r>
      <w:r w:rsidR="00621959" w:rsidRPr="00621959">
        <w:rPr>
          <w:rtl/>
        </w:rPr>
        <w:t xml:space="preserve"> و</w:t>
      </w:r>
      <w:r w:rsidR="00621959" w:rsidRPr="00621959">
        <w:rPr>
          <w:b/>
          <w:bCs/>
          <w:rtl/>
        </w:rPr>
        <w:t>معهد الذكاء الاصطناعي من أجل المناخ</w:t>
      </w:r>
      <w:r w:rsidR="00621959" w:rsidRPr="00621959">
        <w:rPr>
          <w:rtl/>
        </w:rPr>
        <w:t xml:space="preserve"> في الدورة الثلاثين </w:t>
      </w:r>
      <w:r w:rsidR="003C4B57">
        <w:rPr>
          <w:rFonts w:eastAsia="Calibri" w:hint="cs"/>
          <w:rtl/>
          <w:lang w:eastAsia="zh-TW"/>
        </w:rPr>
        <w:t>القادمة</w:t>
      </w:r>
      <w:r w:rsidR="003C4B57" w:rsidRPr="001405A6">
        <w:rPr>
          <w:rFonts w:eastAsia="Calibri"/>
          <w:rtl/>
          <w:lang w:eastAsia="zh-TW"/>
        </w:rPr>
        <w:t xml:space="preserve"> </w:t>
      </w:r>
      <w:r w:rsidR="00621959" w:rsidRPr="00621959">
        <w:rPr>
          <w:rtl/>
        </w:rPr>
        <w:t>لمؤتمر الأطراف (</w:t>
      </w:r>
      <w:r w:rsidR="00621959" w:rsidRPr="00621959">
        <w:rPr>
          <w:lang w:val="en-GB" w:bidi="ar-EG"/>
        </w:rPr>
        <w:t>COP30</w:t>
      </w:r>
      <w:r w:rsidR="00621959" w:rsidRPr="00621959">
        <w:rPr>
          <w:rtl/>
        </w:rPr>
        <w:t>).</w:t>
      </w:r>
    </w:p>
    <w:p w14:paraId="0E44A0DB" w14:textId="171E45F3" w:rsidR="00621959" w:rsidRPr="00621959" w:rsidRDefault="00153CB5" w:rsidP="00153CB5">
      <w:pPr>
        <w:pStyle w:val="enumlev1"/>
        <w:rPr>
          <w:rtl/>
        </w:rPr>
      </w:pPr>
      <w:r>
        <w:sym w:font="Wingdings 2" w:char="F097"/>
      </w:r>
      <w:r>
        <w:tab/>
      </w:r>
      <w:r w:rsidR="00621959" w:rsidRPr="00621959">
        <w:rPr>
          <w:rFonts w:hint="cs"/>
          <w:rtl/>
        </w:rPr>
        <w:t>و</w:t>
      </w:r>
      <w:r w:rsidR="00621959" w:rsidRPr="00621959">
        <w:rPr>
          <w:rtl/>
        </w:rPr>
        <w:t xml:space="preserve">قامت مبادرة </w:t>
      </w:r>
      <w:r w:rsidR="00621959" w:rsidRPr="00621959">
        <w:rPr>
          <w:lang w:val="en-GB" w:bidi="ar-EG"/>
        </w:rPr>
        <w:t>Partner2Connect</w:t>
      </w:r>
      <w:r w:rsidR="00621959" w:rsidRPr="00621959">
        <w:rPr>
          <w:rtl/>
        </w:rPr>
        <w:t xml:space="preserve"> بتعبئة </w:t>
      </w:r>
      <w:r w:rsidR="00FC7A00">
        <w:rPr>
          <w:b/>
          <w:bCs/>
        </w:rPr>
        <w:t>1 060</w:t>
      </w:r>
      <w:r w:rsidR="00621959" w:rsidRPr="00621959">
        <w:rPr>
          <w:rtl/>
        </w:rPr>
        <w:t xml:space="preserve"> </w:t>
      </w:r>
      <w:r w:rsidR="00621959" w:rsidRPr="00621959">
        <w:rPr>
          <w:b/>
          <w:bCs/>
          <w:rtl/>
        </w:rPr>
        <w:t>تعهداً بقيمة 80</w:t>
      </w:r>
      <w:r w:rsidR="00621959" w:rsidRPr="00621959">
        <w:rPr>
          <w:rFonts w:hint="cs"/>
          <w:b/>
          <w:bCs/>
          <w:rtl/>
        </w:rPr>
        <w:t>,</w:t>
      </w:r>
      <w:r w:rsidR="00621959" w:rsidRPr="00621959">
        <w:rPr>
          <w:b/>
          <w:bCs/>
          <w:rtl/>
        </w:rPr>
        <w:t>72 مليار دولار أمريكي</w:t>
      </w:r>
      <w:r w:rsidR="00621959" w:rsidRPr="00621959">
        <w:rPr>
          <w:rtl/>
        </w:rPr>
        <w:t xml:space="preserve"> من </w:t>
      </w:r>
      <w:r w:rsidR="00621959" w:rsidRPr="00621959">
        <w:rPr>
          <w:b/>
          <w:bCs/>
          <w:rtl/>
        </w:rPr>
        <w:t>149</w:t>
      </w:r>
      <w:r w:rsidR="00621959" w:rsidRPr="00621959">
        <w:rPr>
          <w:rtl/>
        </w:rPr>
        <w:t xml:space="preserve"> </w:t>
      </w:r>
      <w:r w:rsidR="00621959" w:rsidRPr="00621959">
        <w:rPr>
          <w:b/>
          <w:bCs/>
          <w:rtl/>
        </w:rPr>
        <w:t>بلداً</w:t>
      </w:r>
      <w:r w:rsidR="00621959" w:rsidRPr="00621959">
        <w:rPr>
          <w:rtl/>
        </w:rPr>
        <w:t xml:space="preserve">، مقتربة من تحقيق </w:t>
      </w:r>
      <w:r w:rsidR="00B458A7">
        <w:rPr>
          <w:rFonts w:hint="cs"/>
          <w:rtl/>
        </w:rPr>
        <w:t>المقصد</w:t>
      </w:r>
      <w:r w:rsidR="00621959" w:rsidRPr="00621959">
        <w:rPr>
          <w:rtl/>
        </w:rPr>
        <w:t xml:space="preserve"> البالغ </w:t>
      </w:r>
      <w:r w:rsidR="00621959" w:rsidRPr="00621959">
        <w:rPr>
          <w:b/>
          <w:bCs/>
          <w:rtl/>
        </w:rPr>
        <w:t>100 مليار دولار أمريكي</w:t>
      </w:r>
      <w:r w:rsidR="00621959" w:rsidRPr="00621959">
        <w:rPr>
          <w:rtl/>
        </w:rPr>
        <w:t xml:space="preserve"> لعام 2026.</w:t>
      </w:r>
    </w:p>
    <w:p w14:paraId="208D6892" w14:textId="08BEAA5F" w:rsidR="00FC7A00" w:rsidRDefault="00FC7A00" w:rsidP="00FC7A00">
      <w:pPr>
        <w:pStyle w:val="enumlev1"/>
      </w:pPr>
      <w:r>
        <w:sym w:font="Wingdings 2" w:char="F097"/>
      </w:r>
      <w:r>
        <w:tab/>
      </w:r>
      <w:r w:rsidR="003C4B57" w:rsidRPr="003C4B57">
        <w:rPr>
          <w:rtl/>
        </w:rPr>
        <w:t>وشكّل الاتحاد وشركاؤه الهيئة الاستشارية الدولية المعنية بقدرة الكبلات البحرية على الصمود في عام 2024، والتي تضم أكثر من 40 خبيراً من الحكومات والصناعة لتعزيز التعاون في مجال كبلات الاتصالات البحرية وتعزيز القدرة الرقمية على الصمود عالمياً.</w:t>
      </w:r>
    </w:p>
    <w:p w14:paraId="1562EA71" w14:textId="2E771B1E" w:rsidR="00FC7A00" w:rsidRDefault="00FC7A00" w:rsidP="003C4B57">
      <w:pPr>
        <w:pStyle w:val="enumlev1"/>
      </w:pPr>
      <w:r w:rsidRPr="003C4B57">
        <w:sym w:font="Wingdings 2" w:char="F097"/>
      </w:r>
      <w:r w:rsidRPr="003C4B57">
        <w:tab/>
      </w:r>
      <w:r w:rsidR="003C4B57" w:rsidRPr="003C4B57">
        <w:rPr>
          <w:rFonts w:hint="cs"/>
          <w:rtl/>
          <w:lang w:bidi="ar-SA"/>
        </w:rPr>
        <w:t>و</w:t>
      </w:r>
      <w:r w:rsidR="003C4B57" w:rsidRPr="003C4B57">
        <w:rPr>
          <w:rtl/>
          <w:lang w:bidi="ar-SA"/>
        </w:rPr>
        <w:t xml:space="preserve">أطلق الاتحاد ومؤتمر الأمم المتحدة للتجارة والتنمية مبادرة </w:t>
      </w:r>
      <w:r w:rsidR="003C4B57" w:rsidRPr="003C4B57">
        <w:rPr>
          <w:b/>
          <w:bCs/>
          <w:rtl/>
          <w:lang w:bidi="ar-SA"/>
        </w:rPr>
        <w:t>تحفيز الاستثمار في البنية التحتية الرقمية</w:t>
      </w:r>
      <w:r w:rsidR="003C4B57" w:rsidRPr="003C4B57">
        <w:rPr>
          <w:rtl/>
          <w:lang w:bidi="ar-SA"/>
        </w:rPr>
        <w:t xml:space="preserve">، بقيادة مشتركة مع ثمانية </w:t>
      </w:r>
      <w:r w:rsidR="003C4B57" w:rsidRPr="003C4B57">
        <w:rPr>
          <w:b/>
          <w:bCs/>
          <w:rtl/>
          <w:lang w:bidi="ar-SA"/>
        </w:rPr>
        <w:t>بنوك تنمية متعددة الأطراف</w:t>
      </w:r>
      <w:r w:rsidR="003C4B57" w:rsidRPr="003C4B57">
        <w:rPr>
          <w:rtl/>
          <w:lang w:bidi="ar-SA"/>
        </w:rPr>
        <w:t>، ل</w:t>
      </w:r>
      <w:r w:rsidR="003C4B57" w:rsidRPr="003C4B57">
        <w:rPr>
          <w:rFonts w:hint="cs"/>
          <w:rtl/>
          <w:lang w:bidi="ar-SA"/>
        </w:rPr>
        <w:t>سد</w:t>
      </w:r>
      <w:r w:rsidR="003C4B57" w:rsidRPr="003C4B57">
        <w:rPr>
          <w:rtl/>
          <w:lang w:bidi="ar-SA"/>
        </w:rPr>
        <w:t xml:space="preserve"> فجوة الاستثمار في البنية التحتية الرقمية البالغة </w:t>
      </w:r>
      <w:r w:rsidR="003C4B57" w:rsidRPr="003C4B57">
        <w:rPr>
          <w:b/>
          <w:bCs/>
          <w:rtl/>
          <w:lang w:bidi="ar-SA"/>
        </w:rPr>
        <w:t>1</w:t>
      </w:r>
      <w:r w:rsidR="003C4B57" w:rsidRPr="003C4B57">
        <w:rPr>
          <w:rFonts w:hint="cs"/>
          <w:b/>
          <w:bCs/>
          <w:rtl/>
          <w:lang w:bidi="ar-SA"/>
        </w:rPr>
        <w:t>,</w:t>
      </w:r>
      <w:r w:rsidR="003C4B57" w:rsidRPr="003C4B57">
        <w:rPr>
          <w:b/>
          <w:bCs/>
          <w:rtl/>
          <w:lang w:bidi="ar-SA"/>
        </w:rPr>
        <w:t>6 تريليون دولار أمريكي</w:t>
      </w:r>
      <w:r w:rsidR="003C4B57" w:rsidRPr="003C4B57">
        <w:rPr>
          <w:rtl/>
          <w:lang w:bidi="ar-SA"/>
        </w:rPr>
        <w:t xml:space="preserve">، من خلال فريق عمل يضم </w:t>
      </w:r>
      <w:r w:rsidR="003C4B57" w:rsidRPr="003C4B57">
        <w:rPr>
          <w:b/>
          <w:bCs/>
          <w:rtl/>
          <w:lang w:bidi="ar-SA"/>
        </w:rPr>
        <w:t>أكثر من 50 منظمة</w:t>
      </w:r>
      <w:r w:rsidR="003C4B57" w:rsidRPr="003C4B57">
        <w:rPr>
          <w:rtl/>
          <w:lang w:bidi="ar-SA"/>
        </w:rPr>
        <w:t>.</w:t>
      </w:r>
    </w:p>
    <w:p w14:paraId="79DBB105" w14:textId="28D8CF17" w:rsidR="00621959" w:rsidRPr="00621959" w:rsidRDefault="00621959" w:rsidP="00153CB5">
      <w:pPr>
        <w:pStyle w:val="Headingb"/>
      </w:pPr>
      <w:r w:rsidRPr="00621959">
        <w:rPr>
          <w:rtl/>
        </w:rPr>
        <w:t>ضمان استفادة الجميع</w:t>
      </w:r>
    </w:p>
    <w:p w14:paraId="7C23073F" w14:textId="6C0309B3" w:rsidR="00621959" w:rsidRPr="00621959" w:rsidRDefault="00153CB5" w:rsidP="00153CB5">
      <w:pPr>
        <w:pStyle w:val="enumlev1"/>
        <w:rPr>
          <w:lang w:val="en-GB" w:bidi="ar-EG"/>
        </w:rPr>
      </w:pPr>
      <w:r>
        <w:sym w:font="Wingdings 2" w:char="F097"/>
      </w:r>
      <w:r>
        <w:tab/>
      </w:r>
      <w:r w:rsidR="00621959" w:rsidRPr="00621959">
        <w:rPr>
          <w:rtl/>
        </w:rPr>
        <w:t xml:space="preserve">بلغت </w:t>
      </w:r>
      <w:r w:rsidR="00621959" w:rsidRPr="00621959">
        <w:rPr>
          <w:b/>
          <w:bCs/>
          <w:rtl/>
        </w:rPr>
        <w:t>نسبة الرجال</w:t>
      </w:r>
      <w:r w:rsidR="00621959" w:rsidRPr="00621959">
        <w:rPr>
          <w:rtl/>
        </w:rPr>
        <w:t xml:space="preserve"> الموصولين بالإنترنت </w:t>
      </w:r>
      <w:r w:rsidR="00621959" w:rsidRPr="00621959">
        <w:rPr>
          <w:b/>
          <w:bCs/>
          <w:rtl/>
        </w:rPr>
        <w:t>77%</w:t>
      </w:r>
      <w:r w:rsidR="00621959" w:rsidRPr="00621959">
        <w:rPr>
          <w:rtl/>
        </w:rPr>
        <w:t xml:space="preserve"> و</w:t>
      </w:r>
      <w:r w:rsidR="00621959" w:rsidRPr="00621959">
        <w:rPr>
          <w:b/>
          <w:bCs/>
          <w:rtl/>
        </w:rPr>
        <w:t>النساء 71%</w:t>
      </w:r>
      <w:r w:rsidR="00621959" w:rsidRPr="00621959">
        <w:rPr>
          <w:rtl/>
        </w:rPr>
        <w:t xml:space="preserve"> عام 2025، مما أدى إلى تحقيق مؤشر عالمي </w:t>
      </w:r>
      <w:r w:rsidR="00621959" w:rsidRPr="00621959">
        <w:rPr>
          <w:rFonts w:hint="cs"/>
          <w:rtl/>
        </w:rPr>
        <w:t>للتكافؤ</w:t>
      </w:r>
      <w:r w:rsidR="00621959" w:rsidRPr="00621959">
        <w:rPr>
          <w:rtl/>
        </w:rPr>
        <w:t xml:space="preserve"> بين الجنسين بلغ </w:t>
      </w:r>
      <w:r w:rsidR="00621959" w:rsidRPr="00621959">
        <w:rPr>
          <w:b/>
          <w:bCs/>
          <w:rtl/>
        </w:rPr>
        <w:t>0</w:t>
      </w:r>
      <w:r w:rsidR="00621959" w:rsidRPr="00621959">
        <w:rPr>
          <w:rFonts w:hint="cs"/>
          <w:b/>
          <w:bCs/>
          <w:rtl/>
        </w:rPr>
        <w:t>,</w:t>
      </w:r>
      <w:r w:rsidR="00621959" w:rsidRPr="00621959">
        <w:rPr>
          <w:b/>
          <w:bCs/>
          <w:rtl/>
        </w:rPr>
        <w:t>92</w:t>
      </w:r>
      <w:r w:rsidR="00621959" w:rsidRPr="00621959">
        <w:rPr>
          <w:rtl/>
        </w:rPr>
        <w:t xml:space="preserve">، وهو مؤشر </w:t>
      </w:r>
      <w:r w:rsidR="00621959" w:rsidRPr="00621959">
        <w:rPr>
          <w:rFonts w:hint="cs"/>
          <w:rtl/>
        </w:rPr>
        <w:t>لم يتغير منذ</w:t>
      </w:r>
      <w:r w:rsidR="00621959" w:rsidRPr="00621959">
        <w:rPr>
          <w:rtl/>
        </w:rPr>
        <w:t xml:space="preserve"> عام 2019.</w:t>
      </w:r>
    </w:p>
    <w:p w14:paraId="66D9F498" w14:textId="44012732" w:rsidR="00621959" w:rsidRPr="000A7072" w:rsidRDefault="00153CB5" w:rsidP="00153CB5">
      <w:pPr>
        <w:pStyle w:val="enumlev1"/>
        <w:rPr>
          <w:spacing w:val="-4"/>
          <w:lang w:val="en-GB" w:bidi="ar-EG"/>
        </w:rPr>
      </w:pPr>
      <w:r w:rsidRPr="000A7072">
        <w:rPr>
          <w:spacing w:val="-4"/>
        </w:rPr>
        <w:sym w:font="Wingdings 2" w:char="F097"/>
      </w:r>
      <w:r w:rsidRPr="000A7072">
        <w:rPr>
          <w:spacing w:val="-4"/>
        </w:rPr>
        <w:tab/>
      </w:r>
      <w:r w:rsidR="00621959" w:rsidRPr="000A7072">
        <w:rPr>
          <w:rFonts w:hint="cs"/>
          <w:spacing w:val="-4"/>
          <w:rtl/>
        </w:rPr>
        <w:t>و</w:t>
      </w:r>
      <w:r w:rsidR="00621959" w:rsidRPr="000A7072">
        <w:rPr>
          <w:spacing w:val="-4"/>
          <w:rtl/>
        </w:rPr>
        <w:t>وصل</w:t>
      </w:r>
      <w:r w:rsidR="00621959" w:rsidRPr="000A7072">
        <w:rPr>
          <w:rFonts w:hint="cs"/>
          <w:spacing w:val="-4"/>
          <w:rtl/>
        </w:rPr>
        <w:t>ت</w:t>
      </w:r>
      <w:r w:rsidR="00621959" w:rsidRPr="000A7072">
        <w:rPr>
          <w:spacing w:val="-4"/>
          <w:rtl/>
        </w:rPr>
        <w:t xml:space="preserve"> </w:t>
      </w:r>
      <w:r w:rsidR="00621959" w:rsidRPr="000A7072">
        <w:rPr>
          <w:rFonts w:hint="cs"/>
          <w:spacing w:val="-4"/>
          <w:rtl/>
        </w:rPr>
        <w:t>أحداث</w:t>
      </w:r>
      <w:r w:rsidR="00621959" w:rsidRPr="000A7072">
        <w:rPr>
          <w:spacing w:val="-4"/>
          <w:rtl/>
        </w:rPr>
        <w:t xml:space="preserve"> اليوم العالمي للفتيات في مجال تكنولوجيا المعلومات والاتصالات (2023-2025) إلى </w:t>
      </w:r>
      <w:r w:rsidR="00CA2CFC" w:rsidRPr="000A7072">
        <w:rPr>
          <w:b/>
          <w:bCs/>
          <w:spacing w:val="-4"/>
        </w:rPr>
        <w:t>76 000</w:t>
      </w:r>
      <w:r w:rsidR="00621959" w:rsidRPr="000A7072">
        <w:rPr>
          <w:b/>
          <w:bCs/>
          <w:spacing w:val="-4"/>
          <w:rtl/>
        </w:rPr>
        <w:t xml:space="preserve"> </w:t>
      </w:r>
      <w:r w:rsidR="00621959" w:rsidRPr="000A7072">
        <w:rPr>
          <w:spacing w:val="-4"/>
          <w:rtl/>
        </w:rPr>
        <w:t>فتاة من خلال</w:t>
      </w:r>
      <w:r w:rsidR="00621959" w:rsidRPr="000A7072">
        <w:rPr>
          <w:b/>
          <w:bCs/>
          <w:spacing w:val="-4"/>
          <w:rtl/>
        </w:rPr>
        <w:t xml:space="preserve"> 472 </w:t>
      </w:r>
      <w:r w:rsidR="00621959" w:rsidRPr="000A7072">
        <w:rPr>
          <w:rFonts w:hint="cs"/>
          <w:b/>
          <w:bCs/>
          <w:spacing w:val="-4"/>
          <w:rtl/>
        </w:rPr>
        <w:t>حدثاً</w:t>
      </w:r>
      <w:r w:rsidR="00621959" w:rsidRPr="000A7072">
        <w:rPr>
          <w:spacing w:val="-4"/>
          <w:rtl/>
        </w:rPr>
        <w:t>.</w:t>
      </w:r>
    </w:p>
    <w:p w14:paraId="52895D09" w14:textId="75E172B4" w:rsidR="00621959" w:rsidRPr="00621959" w:rsidRDefault="00153CB5" w:rsidP="00153CB5">
      <w:pPr>
        <w:pStyle w:val="enumlev1"/>
        <w:rPr>
          <w:lang w:val="en-GB" w:bidi="ar-EG"/>
        </w:rPr>
      </w:pPr>
      <w:r>
        <w:sym w:font="Wingdings 2" w:char="F097"/>
      </w:r>
      <w:r>
        <w:tab/>
      </w:r>
      <w:r w:rsidR="00621959" w:rsidRPr="00621959">
        <w:rPr>
          <w:rFonts w:hint="cs"/>
          <w:rtl/>
        </w:rPr>
        <w:t>و</w:t>
      </w:r>
      <w:r w:rsidR="00621959" w:rsidRPr="00621959">
        <w:rPr>
          <w:rtl/>
        </w:rPr>
        <w:t xml:space="preserve">وصل برنامج </w:t>
      </w:r>
      <w:r w:rsidR="00621959" w:rsidRPr="00621959">
        <w:rPr>
          <w:rFonts w:hint="cs"/>
          <w:rtl/>
        </w:rPr>
        <w:t>مسرع</w:t>
      </w:r>
      <w:r w:rsidR="00621959" w:rsidRPr="00621959">
        <w:rPr>
          <w:rtl/>
        </w:rPr>
        <w:t xml:space="preserve"> مهارات الذكاء الاصطناعي للفتيات إلى </w:t>
      </w:r>
      <w:r w:rsidR="00621959" w:rsidRPr="00621959">
        <w:rPr>
          <w:b/>
          <w:bCs/>
          <w:rtl/>
        </w:rPr>
        <w:t>820 شابة</w:t>
      </w:r>
      <w:r w:rsidR="00621959" w:rsidRPr="00621959">
        <w:rPr>
          <w:rtl/>
        </w:rPr>
        <w:t xml:space="preserve"> في </w:t>
      </w:r>
      <w:r w:rsidR="00621959" w:rsidRPr="00621959">
        <w:rPr>
          <w:b/>
          <w:bCs/>
          <w:rtl/>
        </w:rPr>
        <w:t>ست مناطق</w:t>
      </w:r>
      <w:r w:rsidR="00621959" w:rsidRPr="00621959">
        <w:rPr>
          <w:rtl/>
        </w:rPr>
        <w:t>.</w:t>
      </w:r>
    </w:p>
    <w:p w14:paraId="7AC2F8BC" w14:textId="6781132A" w:rsidR="00621959" w:rsidRPr="00621959" w:rsidRDefault="00153CB5" w:rsidP="00153CB5">
      <w:pPr>
        <w:pStyle w:val="enumlev1"/>
        <w:rPr>
          <w:lang w:val="en-GB" w:bidi="ar-EG"/>
        </w:rPr>
      </w:pPr>
      <w:r>
        <w:sym w:font="Wingdings 2" w:char="F097"/>
      </w:r>
      <w:r>
        <w:tab/>
      </w:r>
      <w:r w:rsidR="00621959" w:rsidRPr="00621959">
        <w:rPr>
          <w:rFonts w:hint="cs"/>
          <w:rtl/>
        </w:rPr>
        <w:t>و</w:t>
      </w:r>
      <w:r w:rsidR="00621959" w:rsidRPr="00621959">
        <w:rPr>
          <w:rtl/>
        </w:rPr>
        <w:t>زاد عدد المبعوث</w:t>
      </w:r>
      <w:r w:rsidR="008D4655">
        <w:rPr>
          <w:rFonts w:hint="cs"/>
          <w:rtl/>
          <w:lang w:bidi="ar-EG"/>
        </w:rPr>
        <w:t>ي</w:t>
      </w:r>
      <w:r w:rsidR="00621959" w:rsidRPr="00621959">
        <w:rPr>
          <w:rtl/>
        </w:rPr>
        <w:t xml:space="preserve">ن الشباب إلى </w:t>
      </w:r>
      <w:r w:rsidR="00621959" w:rsidRPr="00621959">
        <w:rPr>
          <w:b/>
          <w:bCs/>
          <w:rtl/>
        </w:rPr>
        <w:t>180 مبعوثاً في 120 بلداً</w:t>
      </w:r>
      <w:r w:rsidR="00621959" w:rsidRPr="00621959">
        <w:rPr>
          <w:rtl/>
        </w:rPr>
        <w:t xml:space="preserve">، وجمع مؤتمر القمة العالمي للشباب </w:t>
      </w:r>
      <w:r w:rsidR="00716845" w:rsidRPr="00716845">
        <w:rPr>
          <w:lang w:bidi="ar-EG"/>
        </w:rPr>
        <w:t>(GYS-25)</w:t>
      </w:r>
      <w:r w:rsidR="00621959" w:rsidRPr="00621959">
        <w:rPr>
          <w:rtl/>
        </w:rPr>
        <w:t xml:space="preserve"> التابع للاتحاد </w:t>
      </w:r>
      <w:r w:rsidR="00621959" w:rsidRPr="00621959">
        <w:rPr>
          <w:b/>
          <w:bCs/>
          <w:rtl/>
        </w:rPr>
        <w:t>400 مشارك</w:t>
      </w:r>
      <w:r w:rsidR="00621959" w:rsidRPr="00621959">
        <w:rPr>
          <w:rtl/>
        </w:rPr>
        <w:t xml:space="preserve"> من </w:t>
      </w:r>
      <w:r w:rsidR="00621959" w:rsidRPr="00621959">
        <w:rPr>
          <w:b/>
          <w:bCs/>
          <w:rtl/>
        </w:rPr>
        <w:t>31 بلداً.</w:t>
      </w:r>
    </w:p>
    <w:p w14:paraId="6F908DDA" w14:textId="5C2D3D56" w:rsidR="00621959" w:rsidRPr="00621959" w:rsidRDefault="00153CB5" w:rsidP="00153CB5">
      <w:pPr>
        <w:pStyle w:val="enumlev1"/>
        <w:rPr>
          <w:lang w:val="en-GB" w:bidi="ar-EG"/>
        </w:rPr>
      </w:pPr>
      <w:r>
        <w:sym w:font="Wingdings 2" w:char="F097"/>
      </w:r>
      <w:r>
        <w:tab/>
      </w:r>
      <w:r w:rsidR="00621959" w:rsidRPr="00621959">
        <w:rPr>
          <w:rFonts w:hint="cs"/>
          <w:rtl/>
        </w:rPr>
        <w:t>و</w:t>
      </w:r>
      <w:r w:rsidR="00621959" w:rsidRPr="00621959">
        <w:rPr>
          <w:rtl/>
        </w:rPr>
        <w:t xml:space="preserve">بلغ عدد البلدان التي لديها أطر لإمكانية النفاذ إلى تكنولوجيا المعلومات والاتصالات </w:t>
      </w:r>
      <w:r w:rsidR="00621959" w:rsidRPr="00621959">
        <w:rPr>
          <w:b/>
          <w:bCs/>
          <w:rtl/>
        </w:rPr>
        <w:t xml:space="preserve">101 </w:t>
      </w:r>
      <w:r w:rsidR="00621959" w:rsidRPr="00621959">
        <w:rPr>
          <w:rtl/>
        </w:rPr>
        <w:t>بلد، ووافق قطاع الاتصالات الراديوية على تحديثات لخمس منشورات ذات صلة بإمكانية النفاذ.</w:t>
      </w:r>
    </w:p>
    <w:p w14:paraId="179ECEE5" w14:textId="019724AC" w:rsidR="00621959" w:rsidRPr="00621959" w:rsidRDefault="00153CB5" w:rsidP="00153CB5">
      <w:pPr>
        <w:pStyle w:val="enumlev1"/>
        <w:rPr>
          <w:rtl/>
        </w:rPr>
      </w:pPr>
      <w:r>
        <w:sym w:font="Wingdings 2" w:char="F097"/>
      </w:r>
      <w:r>
        <w:tab/>
      </w:r>
      <w:r w:rsidR="00621959" w:rsidRPr="00621959">
        <w:rPr>
          <w:rFonts w:hint="cs"/>
          <w:rtl/>
        </w:rPr>
        <w:t>و</w:t>
      </w:r>
      <w:r w:rsidR="00621959" w:rsidRPr="00621959">
        <w:rPr>
          <w:rtl/>
        </w:rPr>
        <w:t xml:space="preserve">تم توسيع برامج تدريب المجتمعات الأصلية لتشمل </w:t>
      </w:r>
      <w:r w:rsidR="00621959" w:rsidRPr="00621959">
        <w:rPr>
          <w:b/>
          <w:bCs/>
          <w:rtl/>
        </w:rPr>
        <w:t>أمريكا اللاتينية وإفريقيا ومنطقة البحر الكاريبي</w:t>
      </w:r>
      <w:r w:rsidR="00621959" w:rsidRPr="00621959">
        <w:rPr>
          <w:rtl/>
        </w:rPr>
        <w:t>، حيث تم تدريب المئات من مديري الشبكات المحلية.</w:t>
      </w:r>
    </w:p>
    <w:p w14:paraId="4273F3D8" w14:textId="7B497EA7" w:rsidR="00621959" w:rsidRPr="00621959" w:rsidRDefault="00621959" w:rsidP="00153CB5">
      <w:pPr>
        <w:pStyle w:val="Headingb"/>
      </w:pPr>
      <w:r w:rsidRPr="00621959">
        <w:rPr>
          <w:rtl/>
        </w:rPr>
        <w:t>الاستدامة البيئية، والعمل المناخي، والاقتصاد الدائري</w:t>
      </w:r>
    </w:p>
    <w:p w14:paraId="755E7856" w14:textId="0048FE61" w:rsidR="00621959" w:rsidRPr="00621959" w:rsidRDefault="00153CB5" w:rsidP="00153CB5">
      <w:pPr>
        <w:pStyle w:val="enumlev1"/>
        <w:rPr>
          <w:b/>
          <w:bCs/>
          <w:lang w:val="en-GB" w:bidi="ar-EG"/>
        </w:rPr>
      </w:pPr>
      <w:r>
        <w:sym w:font="Wingdings 2" w:char="F097"/>
      </w:r>
      <w:r>
        <w:tab/>
      </w:r>
      <w:r w:rsidR="00621959" w:rsidRPr="00621959">
        <w:rPr>
          <w:rtl/>
        </w:rPr>
        <w:t xml:space="preserve">بلغ حجم المخلفات الإلكترونية العالمية </w:t>
      </w:r>
      <w:r w:rsidR="00621959" w:rsidRPr="00621959">
        <w:rPr>
          <w:b/>
          <w:bCs/>
          <w:rtl/>
        </w:rPr>
        <w:t>62 مليار كغم</w:t>
      </w:r>
      <w:r w:rsidR="00621959" w:rsidRPr="00621959">
        <w:rPr>
          <w:rtl/>
        </w:rPr>
        <w:t xml:space="preserve"> في عام 2022، في حين بقيت نسبة إعادة التدوير عند </w:t>
      </w:r>
      <w:r w:rsidR="00621959" w:rsidRPr="00621959">
        <w:rPr>
          <w:b/>
          <w:bCs/>
          <w:rtl/>
        </w:rPr>
        <w:t>22</w:t>
      </w:r>
      <w:r w:rsidR="00621959" w:rsidRPr="00621959">
        <w:rPr>
          <w:rFonts w:hint="cs"/>
          <w:b/>
          <w:bCs/>
          <w:rtl/>
        </w:rPr>
        <w:t>,</w:t>
      </w:r>
      <w:r w:rsidR="00621959" w:rsidRPr="00621959">
        <w:rPr>
          <w:b/>
          <w:bCs/>
          <w:rtl/>
        </w:rPr>
        <w:t>3%،</w:t>
      </w:r>
      <w:r w:rsidR="00621959" w:rsidRPr="00621959">
        <w:rPr>
          <w:rtl/>
        </w:rPr>
        <w:t xml:space="preserve"> ومن المتوقع أن يصل حجم المخلفات الإلكترونية إلى </w:t>
      </w:r>
      <w:r w:rsidR="00621959" w:rsidRPr="00621959">
        <w:rPr>
          <w:b/>
          <w:bCs/>
          <w:rtl/>
        </w:rPr>
        <w:t>82 مليار كغم بحلول عام 2030.</w:t>
      </w:r>
    </w:p>
    <w:p w14:paraId="443B7766" w14:textId="015CDA09" w:rsidR="00621959" w:rsidRPr="00621959" w:rsidRDefault="00153CB5" w:rsidP="00153CB5">
      <w:pPr>
        <w:pStyle w:val="enumlev1"/>
        <w:rPr>
          <w:lang w:val="en-GB" w:bidi="ar-EG"/>
        </w:rPr>
      </w:pPr>
      <w:r>
        <w:sym w:font="Wingdings 2" w:char="F097"/>
      </w:r>
      <w:r>
        <w:tab/>
      </w:r>
      <w:r w:rsidR="00621959" w:rsidRPr="00621959">
        <w:rPr>
          <w:rFonts w:hint="cs"/>
          <w:rtl/>
        </w:rPr>
        <w:t>و</w:t>
      </w:r>
      <w:r w:rsidR="00621959" w:rsidRPr="00621959">
        <w:rPr>
          <w:rtl/>
        </w:rPr>
        <w:t xml:space="preserve">قدم الاتحاد الدعم إلى </w:t>
      </w:r>
      <w:r w:rsidR="00621959" w:rsidRPr="00621959">
        <w:rPr>
          <w:b/>
          <w:bCs/>
          <w:rtl/>
        </w:rPr>
        <w:t>14 بلداً</w:t>
      </w:r>
      <w:r w:rsidR="00621959" w:rsidRPr="00621959">
        <w:rPr>
          <w:rtl/>
        </w:rPr>
        <w:t xml:space="preserve"> (2023-2025) بشأن تنظيم مسؤولية المنتجين وسياسات الاقتصاد الدائري.</w:t>
      </w:r>
    </w:p>
    <w:p w14:paraId="38605D25" w14:textId="3EFEF36F" w:rsidR="00621959" w:rsidRPr="00621959" w:rsidRDefault="00153CB5" w:rsidP="00153CB5">
      <w:pPr>
        <w:pStyle w:val="enumlev1"/>
        <w:rPr>
          <w:lang w:val="en-GB" w:bidi="ar-EG"/>
        </w:rPr>
      </w:pPr>
      <w:r>
        <w:sym w:font="Wingdings 2" w:char="F097"/>
      </w:r>
      <w:r>
        <w:tab/>
      </w:r>
      <w:r w:rsidR="00621959" w:rsidRPr="00621959">
        <w:rPr>
          <w:rFonts w:hint="cs"/>
          <w:rtl/>
        </w:rPr>
        <w:t>و</w:t>
      </w:r>
      <w:r w:rsidR="00621959" w:rsidRPr="00621959">
        <w:rPr>
          <w:rtl/>
        </w:rPr>
        <w:t xml:space="preserve">غطت لوحة بيانات التحول الرقمي المراعي للبيئة للاتحاد </w:t>
      </w:r>
      <w:r w:rsidR="00621959" w:rsidRPr="00621959">
        <w:rPr>
          <w:b/>
          <w:bCs/>
          <w:rtl/>
        </w:rPr>
        <w:t>200 شركة رقمية</w:t>
      </w:r>
      <w:r w:rsidR="00621959" w:rsidRPr="00621959">
        <w:rPr>
          <w:rtl/>
        </w:rPr>
        <w:t xml:space="preserve">، حيث أظهرت حدوث انبعاثات قدرها </w:t>
      </w:r>
      <w:r w:rsidR="00621959" w:rsidRPr="00621959">
        <w:rPr>
          <w:b/>
          <w:bCs/>
          <w:rtl/>
        </w:rPr>
        <w:t>297</w:t>
      </w:r>
      <w:r w:rsidR="00621959" w:rsidRPr="00621959">
        <w:rPr>
          <w:rFonts w:hint="cs"/>
          <w:b/>
          <w:bCs/>
          <w:rtl/>
        </w:rPr>
        <w:t>,</w:t>
      </w:r>
      <w:r w:rsidR="00621959" w:rsidRPr="00621959">
        <w:rPr>
          <w:b/>
          <w:bCs/>
          <w:rtl/>
        </w:rPr>
        <w:t>3 مليون طن من مكافئ ثاني أكسيد الكربون</w:t>
      </w:r>
      <w:r w:rsidR="007D533C">
        <w:rPr>
          <w:rFonts w:hint="cs"/>
          <w:b/>
          <w:bCs/>
          <w:rtl/>
          <w:lang w:bidi="ar-EG"/>
        </w:rPr>
        <w:t xml:space="preserve"> </w:t>
      </w:r>
      <w:r w:rsidR="007D533C">
        <w:rPr>
          <w:b/>
          <w:bCs/>
          <w:lang w:bidi="ar-EG"/>
        </w:rPr>
        <w:t>(tCO</w:t>
      </w:r>
      <w:r w:rsidR="007D533C" w:rsidRPr="007D533C">
        <w:rPr>
          <w:b/>
          <w:bCs/>
          <w:vertAlign w:val="subscript"/>
          <w:lang w:bidi="ar-EG"/>
        </w:rPr>
        <w:t>2</w:t>
      </w:r>
      <w:r w:rsidR="007D533C">
        <w:rPr>
          <w:b/>
          <w:bCs/>
          <w:lang w:bidi="ar-EG"/>
        </w:rPr>
        <w:t>e)</w:t>
      </w:r>
      <w:r w:rsidR="00621959" w:rsidRPr="00621959">
        <w:rPr>
          <w:b/>
          <w:bCs/>
          <w:rtl/>
        </w:rPr>
        <w:t xml:space="preserve"> </w:t>
      </w:r>
      <w:r w:rsidR="00621959" w:rsidRPr="00621959">
        <w:rPr>
          <w:rtl/>
        </w:rPr>
        <w:t>في عام 2023، أي ما يعادل 0</w:t>
      </w:r>
      <w:r w:rsidR="00621959" w:rsidRPr="00621959">
        <w:rPr>
          <w:rFonts w:hint="cs"/>
          <w:rtl/>
        </w:rPr>
        <w:t>,</w:t>
      </w:r>
      <w:r w:rsidR="00621959" w:rsidRPr="00621959">
        <w:rPr>
          <w:rtl/>
        </w:rPr>
        <w:t>8% من إجمالي الانبعاثات العالمية المتعلقة بالطاقة.</w:t>
      </w:r>
    </w:p>
    <w:p w14:paraId="63E22D28" w14:textId="23F425DE" w:rsidR="00621959" w:rsidRDefault="00153CB5" w:rsidP="00153CB5">
      <w:pPr>
        <w:pStyle w:val="enumlev1"/>
      </w:pPr>
      <w:r>
        <w:sym w:font="Wingdings 2" w:char="F097"/>
      </w:r>
      <w:r>
        <w:tab/>
      </w:r>
      <w:r w:rsidR="00621959" w:rsidRPr="00621959">
        <w:rPr>
          <w:rFonts w:hint="cs"/>
          <w:rtl/>
        </w:rPr>
        <w:t>و</w:t>
      </w:r>
      <w:r w:rsidR="00621959" w:rsidRPr="00621959">
        <w:rPr>
          <w:rtl/>
        </w:rPr>
        <w:t xml:space="preserve">وافقت لجنة الدراسات 5 على </w:t>
      </w:r>
      <w:r w:rsidR="00621959" w:rsidRPr="00621959">
        <w:rPr>
          <w:b/>
          <w:bCs/>
          <w:rtl/>
        </w:rPr>
        <w:t>110 توصيات</w:t>
      </w:r>
      <w:r w:rsidR="00621959" w:rsidRPr="00621959">
        <w:rPr>
          <w:rtl/>
        </w:rPr>
        <w:t xml:space="preserve"> بشأن الاستدامة البيئية للفترة بين عامي 2022 و2025.</w:t>
      </w:r>
    </w:p>
    <w:p w14:paraId="685D8DC3" w14:textId="5C4C6FE5" w:rsidR="007D533C" w:rsidRPr="00621959" w:rsidRDefault="007D533C" w:rsidP="003C4B57">
      <w:pPr>
        <w:pStyle w:val="enumlev1"/>
        <w:rPr>
          <w:lang w:val="en-GB" w:bidi="ar-EG"/>
        </w:rPr>
      </w:pPr>
      <w:r w:rsidRPr="003C4B57">
        <w:sym w:font="Wingdings 2" w:char="F097"/>
      </w:r>
      <w:r w:rsidRPr="003C4B57">
        <w:tab/>
      </w:r>
      <w:r w:rsidR="003C4B57" w:rsidRPr="003C4B57">
        <w:rPr>
          <w:rFonts w:hint="cs"/>
          <w:rtl/>
          <w:lang w:bidi="ar-SA"/>
        </w:rPr>
        <w:t>و</w:t>
      </w:r>
      <w:r w:rsidR="003C4B57" w:rsidRPr="003C4B57">
        <w:rPr>
          <w:rtl/>
          <w:lang w:bidi="ar-SA"/>
        </w:rPr>
        <w:t xml:space="preserve">حشدت مبادرة العمل الرقمي </w:t>
      </w:r>
      <w:r w:rsidR="003C4B57" w:rsidRPr="003C4B57">
        <w:rPr>
          <w:rFonts w:hint="cs"/>
          <w:rtl/>
          <w:lang w:bidi="ar-SA"/>
        </w:rPr>
        <w:t>المراعي للبيئة</w:t>
      </w:r>
      <w:r w:rsidR="003C4B57" w:rsidRPr="003C4B57">
        <w:rPr>
          <w:rtl/>
          <w:lang w:bidi="ar-SA"/>
        </w:rPr>
        <w:t xml:space="preserve"> </w:t>
      </w:r>
      <w:r w:rsidR="003C4B57" w:rsidRPr="003C4B57">
        <w:rPr>
          <w:rFonts w:hint="cs"/>
          <w:rtl/>
          <w:lang w:bidi="ar-SA"/>
        </w:rPr>
        <w:t>و</w:t>
      </w:r>
      <w:r w:rsidR="003C4B57" w:rsidRPr="003C4B57">
        <w:rPr>
          <w:rtl/>
          <w:lang w:bidi="ar-SA"/>
        </w:rPr>
        <w:t xml:space="preserve">التابعة للاتحاد </w:t>
      </w:r>
      <w:r w:rsidR="003C4B57" w:rsidRPr="003C4B57">
        <w:rPr>
          <w:b/>
          <w:bCs/>
          <w:rtl/>
          <w:lang w:bidi="ar-SA"/>
        </w:rPr>
        <w:t xml:space="preserve">82 </w:t>
      </w:r>
      <w:r w:rsidR="003C4B57" w:rsidRPr="003C4B57">
        <w:rPr>
          <w:rFonts w:hint="cs"/>
          <w:b/>
          <w:bCs/>
          <w:rtl/>
          <w:lang w:bidi="ar-SA"/>
        </w:rPr>
        <w:t>بلداً</w:t>
      </w:r>
      <w:r w:rsidR="003C4B57" w:rsidRPr="003C4B57">
        <w:rPr>
          <w:rtl/>
          <w:lang w:bidi="ar-SA"/>
        </w:rPr>
        <w:t xml:space="preserve"> وما يقرب من </w:t>
      </w:r>
      <w:r w:rsidR="003C4B57">
        <w:rPr>
          <w:b/>
          <w:bCs/>
          <w:lang w:bidi="ar-SA"/>
        </w:rPr>
        <w:t>1 800</w:t>
      </w:r>
      <w:r w:rsidR="003C4B57" w:rsidRPr="003C4B57">
        <w:rPr>
          <w:b/>
          <w:bCs/>
          <w:rtl/>
          <w:lang w:bidi="ar-SA"/>
        </w:rPr>
        <w:t xml:space="preserve"> جهة فاعلة</w:t>
      </w:r>
      <w:r w:rsidR="003C4B57" w:rsidRPr="003C4B57">
        <w:rPr>
          <w:rtl/>
          <w:lang w:bidi="ar-SA"/>
        </w:rPr>
        <w:t xml:space="preserve"> غير حكومية لتأييد إعلان رئاسة </w:t>
      </w:r>
      <w:r w:rsidR="003C4B57" w:rsidRPr="003C4B57">
        <w:rPr>
          <w:rFonts w:hint="cs"/>
          <w:rtl/>
          <w:lang w:bidi="ar-SA"/>
        </w:rPr>
        <w:t xml:space="preserve">الدورة </w:t>
      </w:r>
      <w:r w:rsidR="003C4B57" w:rsidRPr="003C4B57">
        <w:rPr>
          <w:rtl/>
          <w:lang w:bidi="ar-SA"/>
        </w:rPr>
        <w:t>التاسع</w:t>
      </w:r>
      <w:r w:rsidR="003C4B57" w:rsidRPr="003C4B57">
        <w:rPr>
          <w:rFonts w:hint="cs"/>
          <w:rtl/>
          <w:lang w:bidi="ar-SA"/>
        </w:rPr>
        <w:t>ة</w:t>
      </w:r>
      <w:r w:rsidR="003C4B57" w:rsidRPr="003C4B57">
        <w:rPr>
          <w:rtl/>
          <w:lang w:bidi="ar-SA"/>
        </w:rPr>
        <w:t xml:space="preserve"> والعشرين </w:t>
      </w:r>
      <w:r w:rsidR="003C4B57" w:rsidRPr="003C4B57">
        <w:rPr>
          <w:rFonts w:hint="cs"/>
          <w:rtl/>
          <w:lang w:bidi="ar-SA"/>
        </w:rPr>
        <w:t>ل</w:t>
      </w:r>
      <w:r w:rsidR="003C4B57" w:rsidRPr="003C4B57">
        <w:rPr>
          <w:rtl/>
          <w:lang w:bidi="ar-SA"/>
        </w:rPr>
        <w:t xml:space="preserve">مؤتمر الأطراف بشأن العمل الرقمي </w:t>
      </w:r>
      <w:r w:rsidR="003C4B57" w:rsidRPr="003C4B57">
        <w:rPr>
          <w:rFonts w:hint="cs"/>
          <w:rtl/>
          <w:lang w:bidi="ar-SA"/>
        </w:rPr>
        <w:t>المراعي للبيئة</w:t>
      </w:r>
      <w:r w:rsidR="003C4B57" w:rsidRPr="003C4B57">
        <w:rPr>
          <w:rtl/>
          <w:lang w:bidi="ar-SA"/>
        </w:rPr>
        <w:t>.</w:t>
      </w:r>
    </w:p>
    <w:p w14:paraId="76EB33C4" w14:textId="7FB598E4" w:rsidR="00621959" w:rsidRPr="00621959" w:rsidRDefault="00621959" w:rsidP="00153CB5">
      <w:pPr>
        <w:pStyle w:val="Headingb"/>
      </w:pPr>
      <w:r w:rsidRPr="00621959">
        <w:rPr>
          <w:rtl/>
        </w:rPr>
        <w:t>الأعضاء</w:t>
      </w:r>
    </w:p>
    <w:p w14:paraId="382DD70C" w14:textId="226E3829" w:rsidR="00621959" w:rsidRPr="00621959" w:rsidRDefault="00153CB5" w:rsidP="00153CB5">
      <w:pPr>
        <w:pStyle w:val="enumlev1"/>
        <w:rPr>
          <w:lang w:val="en-GB" w:bidi="ar-EG"/>
        </w:rPr>
      </w:pPr>
      <w:r>
        <w:sym w:font="Wingdings 2" w:char="F097"/>
      </w:r>
      <w:r>
        <w:tab/>
      </w:r>
      <w:r w:rsidR="00621959" w:rsidRPr="00621959">
        <w:rPr>
          <w:rtl/>
        </w:rPr>
        <w:t xml:space="preserve">بلغ عدد الكيانات الأعضاء في الاتحاد </w:t>
      </w:r>
      <w:r w:rsidR="007D533C">
        <w:rPr>
          <w:b/>
          <w:bCs/>
        </w:rPr>
        <w:t>1 048</w:t>
      </w:r>
      <w:r w:rsidR="00621959" w:rsidRPr="00621959">
        <w:rPr>
          <w:b/>
          <w:bCs/>
          <w:rtl/>
        </w:rPr>
        <w:t xml:space="preserve"> كياناً عضواً</w:t>
      </w:r>
      <w:r w:rsidR="00621959" w:rsidRPr="00621959">
        <w:rPr>
          <w:rtl/>
        </w:rPr>
        <w:t xml:space="preserve"> في عام 2025، بزيادة صافية قدرها </w:t>
      </w:r>
      <w:r w:rsidR="00621959" w:rsidRPr="00621959">
        <w:rPr>
          <w:b/>
          <w:bCs/>
          <w:rtl/>
        </w:rPr>
        <w:t>139</w:t>
      </w:r>
      <w:r w:rsidR="00621959" w:rsidRPr="00621959">
        <w:rPr>
          <w:rtl/>
        </w:rPr>
        <w:t xml:space="preserve"> عضواً (402 عضو جديد، و263 عضو</w:t>
      </w:r>
      <w:r w:rsidR="00621959" w:rsidRPr="00621959">
        <w:rPr>
          <w:rFonts w:hint="cs"/>
          <w:rtl/>
        </w:rPr>
        <w:t>اً</w:t>
      </w:r>
      <w:r w:rsidR="00621959" w:rsidRPr="00621959">
        <w:rPr>
          <w:rtl/>
        </w:rPr>
        <w:t xml:space="preserve"> خارج</w:t>
      </w:r>
      <w:r w:rsidR="00621959" w:rsidRPr="00621959">
        <w:rPr>
          <w:rFonts w:hint="cs"/>
          <w:rtl/>
        </w:rPr>
        <w:t>اً</w:t>
      </w:r>
      <w:r w:rsidR="00621959" w:rsidRPr="00621959">
        <w:rPr>
          <w:rtl/>
        </w:rPr>
        <w:t>) منذ عام 2022.</w:t>
      </w:r>
    </w:p>
    <w:p w14:paraId="519FB01D" w14:textId="2D305BC6" w:rsidR="00621959" w:rsidRPr="000A7072" w:rsidRDefault="00153CB5" w:rsidP="00153CB5">
      <w:pPr>
        <w:pStyle w:val="enumlev1"/>
      </w:pPr>
      <w:r>
        <w:sym w:font="Wingdings 2" w:char="F097"/>
      </w:r>
      <w:r>
        <w:tab/>
      </w:r>
      <w:r w:rsidR="00621959" w:rsidRPr="00621959">
        <w:rPr>
          <w:rFonts w:hint="cs"/>
          <w:rtl/>
        </w:rPr>
        <w:t>و</w:t>
      </w:r>
      <w:r w:rsidR="00621959" w:rsidRPr="00621959">
        <w:rPr>
          <w:rtl/>
        </w:rPr>
        <w:t xml:space="preserve">بلغ عدد الشركات الصغيرة والمتوسطة المنتسبة برسوم مخفضة </w:t>
      </w:r>
      <w:r w:rsidR="00621959" w:rsidRPr="00621959">
        <w:rPr>
          <w:b/>
          <w:bCs/>
          <w:rtl/>
        </w:rPr>
        <w:t>120 عضواً</w:t>
      </w:r>
      <w:r w:rsidR="00621959" w:rsidRPr="00621959">
        <w:rPr>
          <w:rtl/>
        </w:rPr>
        <w:t xml:space="preserve">، بزيادة </w:t>
      </w:r>
      <w:r w:rsidR="00621959" w:rsidRPr="000A7072">
        <w:rPr>
          <w:rtl/>
        </w:rPr>
        <w:t xml:space="preserve">صافية قدرها </w:t>
      </w:r>
      <w:r w:rsidR="00621959" w:rsidRPr="000A7072">
        <w:rPr>
          <w:b/>
          <w:bCs/>
          <w:rtl/>
        </w:rPr>
        <w:t>26 عضواً جديداً</w:t>
      </w:r>
      <w:r w:rsidR="00621959" w:rsidRPr="000A7072">
        <w:rPr>
          <w:rtl/>
        </w:rPr>
        <w:t xml:space="preserve"> في عام 2025.</w:t>
      </w:r>
    </w:p>
    <w:p w14:paraId="3CD2EBC3" w14:textId="74B76474" w:rsidR="007D533C" w:rsidRPr="00621959" w:rsidRDefault="007D533C" w:rsidP="007D533C">
      <w:pPr>
        <w:pStyle w:val="Headingb"/>
      </w:pPr>
      <w:r w:rsidRPr="000A7072">
        <w:rPr>
          <w:rtl/>
        </w:rPr>
        <w:t>التحول التنظيمي</w:t>
      </w:r>
    </w:p>
    <w:p w14:paraId="01949C0C" w14:textId="3C2D7E0F" w:rsidR="00C66DC8" w:rsidRPr="00C66DC8" w:rsidRDefault="00C66DC8" w:rsidP="00C66DC8">
      <w:pPr>
        <w:pStyle w:val="enumlev1"/>
        <w:rPr>
          <w:lang w:val="en-GB"/>
        </w:rPr>
      </w:pPr>
      <w:r>
        <w:sym w:font="Wingdings 2" w:char="F097"/>
      </w:r>
      <w:r>
        <w:tab/>
      </w:r>
      <w:r w:rsidRPr="00C66DC8">
        <w:rPr>
          <w:rtl/>
          <w:lang w:bidi="ar-SA"/>
        </w:rPr>
        <w:t xml:space="preserve">تعافى الاتحاد من سلسلة من </w:t>
      </w:r>
      <w:r w:rsidRPr="00C66DC8">
        <w:rPr>
          <w:rFonts w:hint="cs"/>
          <w:rtl/>
          <w:lang w:bidi="ar-SA"/>
        </w:rPr>
        <w:t>آراء</w:t>
      </w:r>
      <w:r w:rsidRPr="00C66DC8">
        <w:rPr>
          <w:rtl/>
          <w:lang w:bidi="ar-SA"/>
        </w:rPr>
        <w:t xml:space="preserve"> </w:t>
      </w:r>
      <w:r w:rsidRPr="00C66DC8">
        <w:rPr>
          <w:rFonts w:hint="cs"/>
          <w:rtl/>
          <w:lang w:bidi="ar-SA"/>
        </w:rPr>
        <w:t xml:space="preserve">المراجعة </w:t>
      </w:r>
      <w:r w:rsidR="00E2742A">
        <w:rPr>
          <w:rFonts w:hint="cs"/>
          <w:rtl/>
          <w:lang w:bidi="ar-SA"/>
        </w:rPr>
        <w:t xml:space="preserve">غير </w:t>
      </w:r>
      <w:r w:rsidRPr="00C66DC8">
        <w:rPr>
          <w:rFonts w:hint="cs"/>
          <w:rtl/>
          <w:lang w:bidi="ar-SA"/>
        </w:rPr>
        <w:t>المشفوعة ب</w:t>
      </w:r>
      <w:r w:rsidRPr="00C66DC8">
        <w:rPr>
          <w:rtl/>
          <w:lang w:bidi="ar-SA"/>
        </w:rPr>
        <w:t xml:space="preserve">تحفظ، محققاً </w:t>
      </w:r>
      <w:r w:rsidRPr="00C66DC8">
        <w:rPr>
          <w:b/>
          <w:bCs/>
          <w:rtl/>
          <w:lang w:bidi="ar-SA"/>
        </w:rPr>
        <w:t>الامتثال الكامل لمعايير المحاسبة الدولية للقطاع العام (</w:t>
      </w:r>
      <w:r w:rsidRPr="00C66DC8">
        <w:rPr>
          <w:b/>
          <w:bCs/>
          <w:lang w:val="en-GB"/>
        </w:rPr>
        <w:t>IPSAS</w:t>
      </w:r>
      <w:r w:rsidRPr="00C66DC8">
        <w:rPr>
          <w:b/>
          <w:bCs/>
          <w:rtl/>
          <w:lang w:bidi="ar-SA"/>
        </w:rPr>
        <w:t>)</w:t>
      </w:r>
      <w:r w:rsidRPr="00C66DC8">
        <w:rPr>
          <w:rtl/>
          <w:lang w:bidi="ar-SA"/>
        </w:rPr>
        <w:t xml:space="preserve"> من خلال تحسينات في أنظمة الخزانة والصناديق </w:t>
      </w:r>
      <w:r w:rsidRPr="00C66DC8">
        <w:rPr>
          <w:rFonts w:hint="cs"/>
          <w:rtl/>
          <w:lang w:bidi="ar-SA"/>
        </w:rPr>
        <w:t>ال</w:t>
      </w:r>
      <w:r w:rsidRPr="00C66DC8">
        <w:rPr>
          <w:rtl/>
          <w:lang w:bidi="ar-SA"/>
        </w:rPr>
        <w:t>خارج</w:t>
      </w:r>
      <w:r w:rsidRPr="00C66DC8">
        <w:rPr>
          <w:rFonts w:hint="cs"/>
          <w:rtl/>
          <w:lang w:bidi="ar-SA"/>
        </w:rPr>
        <w:t>ة عن</w:t>
      </w:r>
      <w:r w:rsidRPr="00C66DC8">
        <w:rPr>
          <w:rtl/>
          <w:lang w:bidi="ar-SA"/>
        </w:rPr>
        <w:t xml:space="preserve"> الميزانية وتخصيص الميزانية.</w:t>
      </w:r>
    </w:p>
    <w:p w14:paraId="3D333726" w14:textId="04A87C33" w:rsidR="00C66DC8" w:rsidRPr="00C66DC8" w:rsidRDefault="00C66DC8" w:rsidP="00C66DC8">
      <w:pPr>
        <w:pStyle w:val="enumlev1"/>
        <w:rPr>
          <w:lang w:val="en-GB"/>
        </w:rPr>
      </w:pPr>
      <w:r>
        <w:sym w:font="Wingdings 2" w:char="F097"/>
      </w:r>
      <w:r>
        <w:tab/>
      </w:r>
      <w:r w:rsidRPr="00C66DC8">
        <w:rPr>
          <w:rFonts w:hint="cs"/>
          <w:rtl/>
        </w:rPr>
        <w:t>و</w:t>
      </w:r>
      <w:r w:rsidRPr="00C66DC8">
        <w:rPr>
          <w:rtl/>
        </w:rPr>
        <w:t xml:space="preserve">حقق الاتحاد، من خلال إدارة مالية استباقية ومنضبطة، </w:t>
      </w:r>
      <w:r w:rsidRPr="00C66DC8">
        <w:rPr>
          <w:b/>
          <w:bCs/>
          <w:rtl/>
        </w:rPr>
        <w:t>فائضا</w:t>
      </w:r>
      <w:r w:rsidRPr="00C66DC8">
        <w:rPr>
          <w:rFonts w:hint="cs"/>
          <w:b/>
          <w:bCs/>
          <w:rtl/>
        </w:rPr>
        <w:t>ً</w:t>
      </w:r>
      <w:r w:rsidRPr="00C66DC8">
        <w:rPr>
          <w:b/>
          <w:bCs/>
          <w:rtl/>
        </w:rPr>
        <w:t xml:space="preserve"> في الميزانية بنسبة 3%</w:t>
      </w:r>
      <w:r w:rsidRPr="00C66DC8">
        <w:rPr>
          <w:rtl/>
        </w:rPr>
        <w:t xml:space="preserve"> في عام 2024 </w:t>
      </w:r>
      <w:r w:rsidRPr="00C66DC8">
        <w:rPr>
          <w:rFonts w:hint="cs"/>
          <w:b/>
          <w:bCs/>
          <w:rtl/>
        </w:rPr>
        <w:t>وف</w:t>
      </w:r>
      <w:r w:rsidRPr="00C66DC8">
        <w:rPr>
          <w:b/>
          <w:bCs/>
          <w:rtl/>
        </w:rPr>
        <w:t>ائضا</w:t>
      </w:r>
      <w:r w:rsidRPr="00C66DC8">
        <w:rPr>
          <w:rFonts w:hint="cs"/>
          <w:b/>
          <w:bCs/>
          <w:rtl/>
        </w:rPr>
        <w:t>ً</w:t>
      </w:r>
      <w:r w:rsidRPr="00C66DC8">
        <w:rPr>
          <w:b/>
          <w:bCs/>
          <w:rtl/>
        </w:rPr>
        <w:t xml:space="preserve"> في الميزانية بنسبة 7%</w:t>
      </w:r>
      <w:r w:rsidRPr="00C66DC8">
        <w:rPr>
          <w:rtl/>
        </w:rPr>
        <w:t xml:space="preserve"> في عام 2025.</w:t>
      </w:r>
    </w:p>
    <w:p w14:paraId="70D78EE2" w14:textId="4EB15AB6" w:rsidR="00C66DC8" w:rsidRPr="00C66DC8" w:rsidRDefault="00C66DC8" w:rsidP="00C66DC8">
      <w:pPr>
        <w:pStyle w:val="enumlev1"/>
        <w:rPr>
          <w:lang w:val="en-GB"/>
        </w:rPr>
      </w:pPr>
      <w:r>
        <w:sym w:font="Wingdings 2" w:char="F097"/>
      </w:r>
      <w:r>
        <w:tab/>
      </w:r>
      <w:r w:rsidRPr="00C66DC8">
        <w:rPr>
          <w:rFonts w:hint="cs"/>
          <w:rtl/>
        </w:rPr>
        <w:t>و</w:t>
      </w:r>
      <w:r w:rsidRPr="00C66DC8">
        <w:rPr>
          <w:rtl/>
        </w:rPr>
        <w:t>أولى الاتحاد أولوية لت</w:t>
      </w:r>
      <w:r w:rsidRPr="00C66DC8">
        <w:rPr>
          <w:rFonts w:hint="cs"/>
          <w:rtl/>
        </w:rPr>
        <w:t>نمية</w:t>
      </w:r>
      <w:r w:rsidRPr="00C66DC8">
        <w:rPr>
          <w:rtl/>
        </w:rPr>
        <w:t xml:space="preserve"> الموارد البشرية و</w:t>
      </w:r>
      <w:r w:rsidRPr="00C66DC8">
        <w:rPr>
          <w:rFonts w:hint="cs"/>
          <w:rtl/>
        </w:rPr>
        <w:t>ال</w:t>
      </w:r>
      <w:r w:rsidRPr="00C66DC8">
        <w:rPr>
          <w:rtl/>
        </w:rPr>
        <w:t xml:space="preserve">ثقافة، بإطلاق أول </w:t>
      </w:r>
      <w:r w:rsidRPr="00C66DC8">
        <w:rPr>
          <w:b/>
          <w:bCs/>
          <w:rtl/>
        </w:rPr>
        <w:t>استقصاء لمشاركة الموظفين</w:t>
      </w:r>
      <w:r w:rsidRPr="00C66DC8">
        <w:rPr>
          <w:rtl/>
        </w:rPr>
        <w:t xml:space="preserve"> وخطط عمل </w:t>
      </w:r>
      <w:r w:rsidRPr="00C66DC8">
        <w:rPr>
          <w:rFonts w:hint="cs"/>
          <w:rtl/>
        </w:rPr>
        <w:t>المتابعة</w:t>
      </w:r>
      <w:r w:rsidRPr="00C66DC8">
        <w:rPr>
          <w:rtl/>
        </w:rPr>
        <w:t>، و</w:t>
      </w:r>
      <w:r w:rsidRPr="00C66DC8">
        <w:rPr>
          <w:b/>
          <w:bCs/>
          <w:rtl/>
        </w:rPr>
        <w:t>برنامج القيادة التكيفية</w:t>
      </w:r>
      <w:r w:rsidRPr="00C66DC8">
        <w:rPr>
          <w:rFonts w:hint="cs"/>
          <w:rtl/>
        </w:rPr>
        <w:t xml:space="preserve"> الجاري</w:t>
      </w:r>
      <w:r w:rsidRPr="00C66DC8">
        <w:rPr>
          <w:rtl/>
        </w:rPr>
        <w:t xml:space="preserve">، وإطلاق برنامج </w:t>
      </w:r>
      <w:r w:rsidRPr="00C66DC8">
        <w:rPr>
          <w:b/>
          <w:bCs/>
          <w:rtl/>
        </w:rPr>
        <w:t>المكافآت والتقدير</w:t>
      </w:r>
      <w:r w:rsidRPr="00C66DC8">
        <w:rPr>
          <w:rtl/>
        </w:rPr>
        <w:t>.</w:t>
      </w:r>
    </w:p>
    <w:p w14:paraId="189176DB" w14:textId="04F1DC13" w:rsidR="00C66DC8" w:rsidRPr="00C66DC8" w:rsidRDefault="00C66DC8" w:rsidP="00C66DC8">
      <w:pPr>
        <w:pStyle w:val="enumlev1"/>
        <w:rPr>
          <w:lang w:val="en-GB"/>
        </w:rPr>
      </w:pPr>
      <w:r>
        <w:sym w:font="Wingdings 2" w:char="F097"/>
      </w:r>
      <w:r>
        <w:tab/>
      </w:r>
      <w:r w:rsidRPr="00C66DC8">
        <w:rPr>
          <w:rFonts w:hint="cs"/>
          <w:rtl/>
        </w:rPr>
        <w:t>و</w:t>
      </w:r>
      <w:r w:rsidRPr="00C66DC8">
        <w:rPr>
          <w:rtl/>
        </w:rPr>
        <w:t xml:space="preserve">عزز الاتحاد حوكمته </w:t>
      </w:r>
      <w:r w:rsidRPr="00C66DC8">
        <w:rPr>
          <w:rFonts w:hint="cs"/>
          <w:rtl/>
        </w:rPr>
        <w:t>ورقابته</w:t>
      </w:r>
      <w:r w:rsidRPr="00C66DC8">
        <w:rPr>
          <w:rtl/>
        </w:rPr>
        <w:t xml:space="preserve"> بشكل </w:t>
      </w:r>
      <w:r w:rsidRPr="00C66DC8">
        <w:rPr>
          <w:rFonts w:hint="cs"/>
          <w:rtl/>
        </w:rPr>
        <w:t>كبير</w:t>
      </w:r>
      <w:r w:rsidRPr="00C66DC8">
        <w:rPr>
          <w:rtl/>
        </w:rPr>
        <w:t xml:space="preserve">، من خلال إنشاء </w:t>
      </w:r>
      <w:r w:rsidRPr="00C66DC8">
        <w:rPr>
          <w:b/>
          <w:bCs/>
          <w:rtl/>
        </w:rPr>
        <w:t>وحدة الرقابة</w:t>
      </w:r>
      <w:r w:rsidRPr="00C66DC8">
        <w:rPr>
          <w:rtl/>
        </w:rPr>
        <w:t xml:space="preserve"> (</w:t>
      </w:r>
      <w:r w:rsidRPr="00C66DC8">
        <w:rPr>
          <w:rFonts w:hint="cs"/>
          <w:rtl/>
        </w:rPr>
        <w:t>بعدد كامل من الموظفين</w:t>
      </w:r>
      <w:r w:rsidRPr="00C66DC8">
        <w:rPr>
          <w:rtl/>
        </w:rPr>
        <w:t xml:space="preserve"> بحلول يناير 2026)، وإنشاء </w:t>
      </w:r>
      <w:r w:rsidRPr="00C66DC8">
        <w:rPr>
          <w:b/>
          <w:bCs/>
          <w:rtl/>
        </w:rPr>
        <w:t>وظيفة التقييم</w:t>
      </w:r>
      <w:r w:rsidRPr="00C66DC8">
        <w:rPr>
          <w:rtl/>
        </w:rPr>
        <w:t xml:space="preserve">، وإضفاء الطابع الرسمي على </w:t>
      </w:r>
      <w:r w:rsidRPr="00C66DC8">
        <w:rPr>
          <w:b/>
          <w:bCs/>
          <w:rtl/>
        </w:rPr>
        <w:t>ميثاق الأخلاقيات</w:t>
      </w:r>
      <w:r w:rsidRPr="00C66DC8">
        <w:rPr>
          <w:rtl/>
        </w:rPr>
        <w:t xml:space="preserve">، وإنشاء </w:t>
      </w:r>
      <w:r w:rsidRPr="00C66DC8">
        <w:rPr>
          <w:b/>
          <w:bCs/>
          <w:rtl/>
        </w:rPr>
        <w:t>وظيفة أمين المظالم</w:t>
      </w:r>
      <w:r w:rsidRPr="00C66DC8">
        <w:rPr>
          <w:rtl/>
        </w:rPr>
        <w:t xml:space="preserve"> المستقل، بالإضافة إلى تقديم تدريب </w:t>
      </w:r>
      <w:r w:rsidRPr="00C66DC8">
        <w:rPr>
          <w:rFonts w:hint="cs"/>
          <w:rtl/>
        </w:rPr>
        <w:t>على ال</w:t>
      </w:r>
      <w:r w:rsidRPr="00C66DC8">
        <w:rPr>
          <w:rtl/>
        </w:rPr>
        <w:t xml:space="preserve">تقييم للموظفين لبناء مجتمع </w:t>
      </w:r>
      <w:r w:rsidRPr="00C66DC8">
        <w:rPr>
          <w:rFonts w:hint="cs"/>
          <w:rtl/>
        </w:rPr>
        <w:t>و</w:t>
      </w:r>
      <w:r w:rsidRPr="00C66DC8">
        <w:rPr>
          <w:rtl/>
        </w:rPr>
        <w:t>الخبرات.</w:t>
      </w:r>
    </w:p>
    <w:p w14:paraId="1F8961B0" w14:textId="4D948437" w:rsidR="00C66DC8" w:rsidRPr="00C66DC8" w:rsidRDefault="00C66DC8" w:rsidP="00C66DC8">
      <w:pPr>
        <w:pStyle w:val="enumlev1"/>
        <w:rPr>
          <w:lang w:val="en-GB"/>
        </w:rPr>
      </w:pPr>
      <w:r>
        <w:sym w:font="Wingdings 2" w:char="F097"/>
      </w:r>
      <w:r>
        <w:tab/>
      </w:r>
      <w:r w:rsidRPr="00C66DC8">
        <w:rPr>
          <w:rFonts w:hint="cs"/>
          <w:rtl/>
        </w:rPr>
        <w:t>و</w:t>
      </w:r>
      <w:r w:rsidRPr="00C66DC8">
        <w:rPr>
          <w:rtl/>
        </w:rPr>
        <w:t xml:space="preserve">حقق الاتحاد مكاسب كبيرة في الكفاءة من خلال الاستفادة من أدوات الترجمة والتحرير </w:t>
      </w:r>
      <w:r w:rsidRPr="00C66DC8">
        <w:rPr>
          <w:rFonts w:hint="cs"/>
          <w:rtl/>
        </w:rPr>
        <w:t xml:space="preserve">القائمة على </w:t>
      </w:r>
      <w:r w:rsidRPr="00C66DC8">
        <w:rPr>
          <w:rtl/>
        </w:rPr>
        <w:t xml:space="preserve">الذكاء الاصطناعي، مما أدى إلى </w:t>
      </w:r>
      <w:r w:rsidRPr="00C66DC8">
        <w:rPr>
          <w:b/>
          <w:bCs/>
          <w:rtl/>
        </w:rPr>
        <w:t>زيادة إنتاجية الترجمة بنسبة 20%</w:t>
      </w:r>
      <w:r w:rsidRPr="00C66DC8">
        <w:rPr>
          <w:rtl/>
        </w:rPr>
        <w:t>.</w:t>
      </w:r>
    </w:p>
    <w:p w14:paraId="74756444" w14:textId="2384515C" w:rsidR="00C66DC8" w:rsidRPr="006428D5" w:rsidRDefault="00C66DC8" w:rsidP="00C66DC8">
      <w:pPr>
        <w:pStyle w:val="enumlev1"/>
        <w:rPr>
          <w:spacing w:val="-4"/>
          <w:lang w:val="en-GB"/>
        </w:rPr>
      </w:pPr>
      <w:r w:rsidRPr="006428D5">
        <w:rPr>
          <w:spacing w:val="-4"/>
        </w:rPr>
        <w:sym w:font="Wingdings 2" w:char="F097"/>
      </w:r>
      <w:r w:rsidRPr="006428D5">
        <w:rPr>
          <w:spacing w:val="-4"/>
        </w:rPr>
        <w:tab/>
      </w:r>
      <w:r w:rsidRPr="006428D5">
        <w:rPr>
          <w:rFonts w:hint="cs"/>
          <w:spacing w:val="-4"/>
          <w:rtl/>
        </w:rPr>
        <w:t>وحقق</w:t>
      </w:r>
      <w:r w:rsidRPr="006428D5">
        <w:rPr>
          <w:spacing w:val="-4"/>
          <w:rtl/>
        </w:rPr>
        <w:t xml:space="preserve"> الاتحاد وفورات في تكاليف الكهرباء، بما في ذلك </w:t>
      </w:r>
      <w:r w:rsidRPr="006428D5">
        <w:rPr>
          <w:b/>
          <w:bCs/>
          <w:spacing w:val="-4"/>
          <w:rtl/>
        </w:rPr>
        <w:t>انخفاض بنسبة 40%</w:t>
      </w:r>
      <w:r w:rsidRPr="006428D5">
        <w:rPr>
          <w:spacing w:val="-4"/>
          <w:rtl/>
        </w:rPr>
        <w:t xml:space="preserve"> في عام 2024 مقارن</w:t>
      </w:r>
      <w:r w:rsidRPr="006428D5">
        <w:rPr>
          <w:rFonts w:hint="cs"/>
          <w:spacing w:val="-4"/>
          <w:rtl/>
        </w:rPr>
        <w:t>ة</w:t>
      </w:r>
      <w:r w:rsidR="000A7072" w:rsidRPr="006428D5">
        <w:rPr>
          <w:rFonts w:hint="cs"/>
          <w:spacing w:val="-4"/>
          <w:rtl/>
        </w:rPr>
        <w:t>ً</w:t>
      </w:r>
      <w:r w:rsidRPr="006428D5">
        <w:rPr>
          <w:spacing w:val="-4"/>
          <w:rtl/>
        </w:rPr>
        <w:t xml:space="preserve"> بعام 2023 (حوالي </w:t>
      </w:r>
      <w:r w:rsidR="00541570" w:rsidRPr="006428D5">
        <w:rPr>
          <w:spacing w:val="-4"/>
        </w:rPr>
        <w:t>650 000</w:t>
      </w:r>
      <w:r w:rsidRPr="006428D5">
        <w:rPr>
          <w:spacing w:val="-4"/>
          <w:rtl/>
        </w:rPr>
        <w:t xml:space="preserve"> فرنك سويسري)، و</w:t>
      </w:r>
      <w:r w:rsidRPr="006428D5">
        <w:rPr>
          <w:b/>
          <w:bCs/>
          <w:spacing w:val="-4"/>
          <w:rtl/>
        </w:rPr>
        <w:t>انخفاض آخر بنسبة 20%</w:t>
      </w:r>
      <w:r w:rsidRPr="006428D5">
        <w:rPr>
          <w:spacing w:val="-4"/>
          <w:rtl/>
        </w:rPr>
        <w:t xml:space="preserve"> في عام 2025 (حوالي </w:t>
      </w:r>
      <w:r w:rsidR="00541570" w:rsidRPr="006428D5">
        <w:rPr>
          <w:spacing w:val="-4"/>
        </w:rPr>
        <w:t>200 000</w:t>
      </w:r>
      <w:r w:rsidRPr="006428D5">
        <w:rPr>
          <w:spacing w:val="-4"/>
          <w:rtl/>
        </w:rPr>
        <w:t xml:space="preserve"> فرنك سويسري).</w:t>
      </w:r>
    </w:p>
    <w:p w14:paraId="569481E8" w14:textId="211B08C3" w:rsidR="00C66DC8" w:rsidRPr="00C66DC8" w:rsidRDefault="00C66DC8" w:rsidP="00C66DC8">
      <w:pPr>
        <w:pStyle w:val="enumlev1"/>
        <w:rPr>
          <w:lang w:val="en-GB"/>
        </w:rPr>
      </w:pPr>
      <w:r>
        <w:sym w:font="Wingdings 2" w:char="F097"/>
      </w:r>
      <w:r>
        <w:tab/>
      </w:r>
      <w:r w:rsidRPr="00C66DC8">
        <w:rPr>
          <w:rFonts w:hint="cs"/>
          <w:rtl/>
        </w:rPr>
        <w:t>و</w:t>
      </w:r>
      <w:r w:rsidRPr="00C66DC8">
        <w:rPr>
          <w:rtl/>
        </w:rPr>
        <w:t xml:space="preserve">أعاد الاتحاد تصميم </w:t>
      </w:r>
      <w:r w:rsidRPr="00C66DC8">
        <w:rPr>
          <w:b/>
          <w:bCs/>
          <w:rtl/>
        </w:rPr>
        <w:t>مشروع المبنى الجديد</w:t>
      </w:r>
      <w:r w:rsidRPr="00C66DC8">
        <w:rPr>
          <w:rtl/>
        </w:rPr>
        <w:t>، مع تعزيز الحوكمة، من خلال عملية تكرارية تشمل أصحاب المصلحة الرئيسيين، مع مراعاة التمويل المتاح.</w:t>
      </w:r>
    </w:p>
    <w:p w14:paraId="1A488F34" w14:textId="252BDD89" w:rsidR="00C66DC8" w:rsidRPr="00C66DC8" w:rsidRDefault="00C66DC8" w:rsidP="00C66DC8">
      <w:pPr>
        <w:pStyle w:val="enumlev1"/>
        <w:rPr>
          <w:lang w:val="en-GB"/>
        </w:rPr>
      </w:pPr>
      <w:r>
        <w:sym w:font="Wingdings 2" w:char="F097"/>
      </w:r>
      <w:r>
        <w:tab/>
      </w:r>
      <w:r w:rsidRPr="00C66DC8">
        <w:rPr>
          <w:rFonts w:hint="cs"/>
          <w:rtl/>
        </w:rPr>
        <w:t>و</w:t>
      </w:r>
      <w:r w:rsidRPr="00C66DC8">
        <w:rPr>
          <w:rtl/>
        </w:rPr>
        <w:t xml:space="preserve">تُظهر </w:t>
      </w:r>
      <w:r w:rsidRPr="00C66DC8">
        <w:rPr>
          <w:b/>
          <w:bCs/>
          <w:rtl/>
        </w:rPr>
        <w:t xml:space="preserve">استراتيجية التحول الرقمي الجديدة، وموقع الاتحاد </w:t>
      </w:r>
      <w:r w:rsidRPr="00C66DC8">
        <w:rPr>
          <w:rFonts w:hint="cs"/>
          <w:b/>
          <w:bCs/>
          <w:rtl/>
        </w:rPr>
        <w:t xml:space="preserve">القائم على </w:t>
      </w:r>
      <w:r w:rsidRPr="00C66DC8">
        <w:rPr>
          <w:b/>
          <w:bCs/>
          <w:rtl/>
        </w:rPr>
        <w:t xml:space="preserve">الذكاء الاصطناعي، وبرنامج </w:t>
      </w:r>
      <w:r w:rsidRPr="00C66DC8">
        <w:rPr>
          <w:rFonts w:hint="cs"/>
          <w:b/>
          <w:bCs/>
          <w:rtl/>
        </w:rPr>
        <w:t>تنمية</w:t>
      </w:r>
      <w:r w:rsidRPr="00C66DC8">
        <w:rPr>
          <w:b/>
          <w:bCs/>
          <w:rtl/>
        </w:rPr>
        <w:t xml:space="preserve"> </w:t>
      </w:r>
      <w:r w:rsidRPr="00C66DC8">
        <w:rPr>
          <w:rFonts w:hint="cs"/>
          <w:b/>
          <w:bCs/>
          <w:rtl/>
        </w:rPr>
        <w:t>ال</w:t>
      </w:r>
      <w:r w:rsidRPr="00C66DC8">
        <w:rPr>
          <w:b/>
          <w:bCs/>
          <w:rtl/>
        </w:rPr>
        <w:t xml:space="preserve">مهارات </w:t>
      </w:r>
      <w:r w:rsidRPr="00C66DC8">
        <w:rPr>
          <w:rFonts w:hint="cs"/>
          <w:b/>
          <w:bCs/>
          <w:rtl/>
        </w:rPr>
        <w:t xml:space="preserve">باستعمال </w:t>
      </w:r>
      <w:r w:rsidRPr="00C66DC8">
        <w:rPr>
          <w:b/>
          <w:bCs/>
          <w:rtl/>
        </w:rPr>
        <w:t>الذكاء الاصطناعي</w:t>
      </w:r>
      <w:r w:rsidRPr="00C66DC8">
        <w:rPr>
          <w:rtl/>
        </w:rPr>
        <w:t xml:space="preserve"> للموظفين، تحسينات في النظام لكل من الأعضاء وموظفي الاتحاد.</w:t>
      </w:r>
    </w:p>
    <w:p w14:paraId="6FFD20F0" w14:textId="1E073248" w:rsidR="007D533C" w:rsidRPr="00621959" w:rsidRDefault="007D533C" w:rsidP="007D533C">
      <w:pPr>
        <w:pStyle w:val="enumlev1"/>
        <w:rPr>
          <w:lang w:val="en-GB" w:bidi="ar-EG"/>
        </w:rPr>
      </w:pPr>
      <w:r w:rsidRPr="007D533C">
        <w:sym w:font="Wingdings 2" w:char="F097"/>
      </w:r>
      <w:r w:rsidRPr="007D533C">
        <w:tab/>
      </w:r>
      <w:r w:rsidRPr="007D533C">
        <w:rPr>
          <w:rtl/>
        </w:rPr>
        <w:t xml:space="preserve">وقام الاتحاد بتطبيق نظام الإدارة البيئية المتوائم مع المعيار </w:t>
      </w:r>
      <w:r w:rsidRPr="007D533C">
        <w:t>ISO-14001</w:t>
      </w:r>
      <w:r w:rsidRPr="007D533C">
        <w:rPr>
          <w:rtl/>
        </w:rPr>
        <w:t xml:space="preserve"> في جميع عملياته</w:t>
      </w:r>
    </w:p>
    <w:p w14:paraId="4B3C95D8" w14:textId="77777777" w:rsidR="00621959" w:rsidRPr="00621959" w:rsidRDefault="00621959" w:rsidP="00621959">
      <w:pPr>
        <w:rPr>
          <w:lang w:val="en-GB" w:bidi="ar-EG"/>
        </w:rPr>
      </w:pPr>
      <w:r w:rsidRPr="00621959">
        <w:rPr>
          <w:lang w:val="en-GB" w:bidi="ar-EG"/>
        </w:rPr>
        <w:br w:type="page"/>
      </w:r>
    </w:p>
    <w:p w14:paraId="2B1F9E13" w14:textId="617E432D" w:rsidR="00621959" w:rsidRPr="00621959" w:rsidRDefault="008A5A1B" w:rsidP="008A5A1B">
      <w:pPr>
        <w:pStyle w:val="Heading1"/>
        <w:rPr>
          <w:lang w:val="en-GB" w:bidi="ar-EG"/>
        </w:rPr>
      </w:pPr>
      <w:bookmarkStart w:id="9" w:name="_Toc224288789"/>
      <w:bookmarkStart w:id="10" w:name="_Toc227252563"/>
      <w:r>
        <w:t>1</w:t>
      </w:r>
      <w:r>
        <w:tab/>
      </w:r>
      <w:r w:rsidR="00621959" w:rsidRPr="00621959">
        <w:rPr>
          <w:rtl/>
        </w:rPr>
        <w:t>مقدمة</w:t>
      </w:r>
      <w:bookmarkEnd w:id="9"/>
      <w:bookmarkEnd w:id="10"/>
    </w:p>
    <w:p w14:paraId="77001870" w14:textId="50423F6B" w:rsidR="00621959" w:rsidRPr="00621959" w:rsidRDefault="00621959" w:rsidP="008A5A1B">
      <w:pPr>
        <w:rPr>
          <w:lang w:val="en-GB" w:bidi="ar-EG"/>
        </w:rPr>
      </w:pPr>
      <w:r w:rsidRPr="00621959">
        <w:rPr>
          <w:rtl/>
        </w:rPr>
        <w:t xml:space="preserve">يعمل الاتحاد </w:t>
      </w:r>
      <w:r w:rsidRPr="00621959">
        <w:rPr>
          <w:rFonts w:hint="cs"/>
          <w:rtl/>
        </w:rPr>
        <w:t>الدولي للاتصالات</w:t>
      </w:r>
      <w:r w:rsidR="008A5A1B">
        <w:rPr>
          <w:rFonts w:hint="cs"/>
          <w:rtl/>
          <w:lang w:bidi="ar-EG"/>
        </w:rPr>
        <w:t xml:space="preserve"> </w:t>
      </w:r>
      <w:r w:rsidR="008A5A1B">
        <w:rPr>
          <w:lang w:bidi="ar-EG"/>
        </w:rPr>
        <w:t>(ITU)</w:t>
      </w:r>
      <w:r w:rsidRPr="00621959">
        <w:rPr>
          <w:rFonts w:hint="cs"/>
          <w:rtl/>
        </w:rPr>
        <w:t xml:space="preserve"> </w:t>
      </w:r>
      <w:r w:rsidRPr="00621959">
        <w:rPr>
          <w:rtl/>
        </w:rPr>
        <w:t>على ضمان أن تحقق التكنولوجيات الرقمية فوائد ملموسة ومستدامة للجميع حول العالم. ووفقاً لولايته بوصفه وكالة متخصصة تابعة للأمم المتحدة، يعزز الاتحاد تنسيق طيف الترددات الراديوية، والتقييس التقني، والتنمية التي تركز على الإنسان والقائمة على التكنولوجيا لبناء مستقبل رقمي أفضل للجميع.</w:t>
      </w:r>
    </w:p>
    <w:p w14:paraId="59B68336" w14:textId="7029E729" w:rsidR="00621959" w:rsidRPr="00541570" w:rsidRDefault="00621959" w:rsidP="008A5A1B">
      <w:pPr>
        <w:rPr>
          <w:spacing w:val="-2"/>
          <w:lang w:val="en-GB" w:bidi="ar-EG"/>
        </w:rPr>
      </w:pPr>
      <w:r w:rsidRPr="00541570">
        <w:rPr>
          <w:spacing w:val="-2"/>
          <w:rtl/>
        </w:rPr>
        <w:t>ويغطي هذا التقرير المقدم إلى مجلس الاتحاد في دورته لعام 2026 بشأن تنفيذ الخطة الاستراتيجية للمنظمة وأنشطتها الفترة 2022-2025، وينبغي أن يكون أساساً للتقرير الذي يقدم كل أربع سنوات إلى مؤتمر المندوبين المفوضين (</w:t>
      </w:r>
      <w:hyperlink r:id="rId39" w:anchor="/ar" w:history="1">
        <w:r w:rsidRPr="00541570">
          <w:rPr>
            <w:rStyle w:val="Hyperlink"/>
            <w:noProof w:val="0"/>
            <w:spacing w:val="-2"/>
            <w:lang w:eastAsia="zh-CN" w:bidi="ar-EG"/>
          </w:rPr>
          <w:t>PP-26</w:t>
        </w:r>
      </w:hyperlink>
      <w:r w:rsidRPr="00541570">
        <w:rPr>
          <w:spacing w:val="-2"/>
          <w:rtl/>
        </w:rPr>
        <w:t>) (</w:t>
      </w:r>
      <w:hyperlink r:id="rId40" w:history="1">
        <w:r w:rsidRPr="00541570">
          <w:rPr>
            <w:rStyle w:val="Hyperlink"/>
            <w:noProof w:val="0"/>
            <w:spacing w:val="-2"/>
            <w:rtl/>
            <w:lang w:val="en-US" w:eastAsia="zh-CN"/>
          </w:rPr>
          <w:t>الوثيقة 20</w:t>
        </w:r>
      </w:hyperlink>
      <w:r w:rsidRPr="00541570">
        <w:rPr>
          <w:spacing w:val="-2"/>
          <w:rtl/>
        </w:rPr>
        <w:t>) في عام 2026. ويستند التقرير إلى إطار النتائج الذي ترتكز عليه الخطة الاستراتيجية للاتحاد.</w:t>
      </w:r>
    </w:p>
    <w:p w14:paraId="49D498A4" w14:textId="4BC39466" w:rsidR="00621959" w:rsidRPr="00621959" w:rsidRDefault="00621959" w:rsidP="008A5A1B">
      <w:pPr>
        <w:rPr>
          <w:lang w:val="en-GB" w:bidi="ar-EG"/>
        </w:rPr>
      </w:pPr>
      <w:r w:rsidRPr="00621959">
        <w:rPr>
          <w:rtl/>
        </w:rPr>
        <w:t xml:space="preserve">وفي حين غطت </w:t>
      </w:r>
      <w:hyperlink r:id="rId41" w:history="1">
        <w:r w:rsidRPr="00621959">
          <w:rPr>
            <w:rStyle w:val="Hyperlink"/>
            <w:noProof w:val="0"/>
            <w:rtl/>
            <w:lang w:val="en-US" w:eastAsia="zh-CN"/>
          </w:rPr>
          <w:t>الخطة الاستراتيجية السابقة (2020-2023)</w:t>
        </w:r>
      </w:hyperlink>
      <w:r w:rsidRPr="00621959">
        <w:rPr>
          <w:rtl/>
        </w:rPr>
        <w:t xml:space="preserve"> العامين الأولين، فإن هذا التقرير يأخذ في الاعتبار إطار </w:t>
      </w:r>
      <w:hyperlink r:id="rId42" w:history="1">
        <w:r w:rsidRPr="00621959">
          <w:rPr>
            <w:rStyle w:val="Hyperlink"/>
            <w:noProof w:val="0"/>
            <w:rtl/>
            <w:lang w:val="en-US" w:eastAsia="zh-CN"/>
          </w:rPr>
          <w:t>الخطة الاستراتيجية (2024-2027)</w:t>
        </w:r>
      </w:hyperlink>
      <w:r w:rsidRPr="00621959">
        <w:rPr>
          <w:rtl/>
        </w:rPr>
        <w:t xml:space="preserve"> الحالية مع </w:t>
      </w:r>
      <w:r w:rsidRPr="00621959">
        <w:rPr>
          <w:rFonts w:hint="cs"/>
          <w:rtl/>
        </w:rPr>
        <w:t>إجراء تقابل</w:t>
      </w:r>
      <w:r w:rsidRPr="00621959">
        <w:rPr>
          <w:rtl/>
        </w:rPr>
        <w:t xml:space="preserve"> دقيق للأنشطة بين الفترتين.</w:t>
      </w:r>
    </w:p>
    <w:p w14:paraId="7BF0A63D" w14:textId="77777777" w:rsidR="00621959" w:rsidRPr="00621959" w:rsidRDefault="00621959" w:rsidP="008A5A1B">
      <w:pPr>
        <w:rPr>
          <w:lang w:val="en-GB" w:bidi="ar-EG"/>
        </w:rPr>
      </w:pPr>
      <w:r w:rsidRPr="00621959">
        <w:rPr>
          <w:rtl/>
        </w:rPr>
        <w:t>ويربط إطار النتائج هذا بين تقديم المنتجات والخدمات والأولويات المواضيعية الرئيسية والأهداف الاستراتيجية ورسالة ورؤية الاتحاد وأهداف التنمية العالمية:</w:t>
      </w:r>
    </w:p>
    <w:p w14:paraId="5A266A1E" w14:textId="4D82F4E1" w:rsidR="00621959" w:rsidRPr="00621959" w:rsidRDefault="00FB505F" w:rsidP="008A5A1B">
      <w:pPr>
        <w:pStyle w:val="Figure"/>
        <w:bidi/>
        <w:rPr>
          <w:rFonts w:eastAsia="MS Mincho"/>
          <w:lang w:bidi="ar-EG"/>
        </w:rPr>
      </w:pPr>
      <w:r>
        <w:rPr>
          <w:rFonts w:eastAsia="MS Mincho"/>
          <w:noProof/>
          <w:lang w:bidi="ar-EG"/>
        </w:rPr>
        <w:drawing>
          <wp:inline distT="0" distB="0" distL="0" distR="0" wp14:anchorId="42B96E04" wp14:editId="096F0A73">
            <wp:extent cx="5760000" cy="3510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000" cy="3510655"/>
                    </a:xfrm>
                    <a:prstGeom prst="rect">
                      <a:avLst/>
                    </a:prstGeom>
                    <a:noFill/>
                  </pic:spPr>
                </pic:pic>
              </a:graphicData>
            </a:graphic>
          </wp:inline>
        </w:drawing>
      </w:r>
    </w:p>
    <w:p w14:paraId="0EC1F9C3" w14:textId="7C6C52ED" w:rsidR="00621959" w:rsidRPr="007C2CA0" w:rsidRDefault="00621959" w:rsidP="00EA6D94">
      <w:pPr>
        <w:pStyle w:val="Figurelegend"/>
        <w:jc w:val="both"/>
        <w:rPr>
          <w:iCs w:val="0"/>
          <w:color w:val="808080" w:themeColor="background1" w:themeShade="80"/>
          <w:lang w:val="en-GB" w:bidi="ar-EG"/>
        </w:rPr>
      </w:pPr>
      <w:r w:rsidRPr="007C2CA0">
        <w:rPr>
          <w:i w:val="0"/>
          <w:color w:val="1F497D"/>
          <w:rtl/>
        </w:rPr>
        <w:t>الشكل 1</w:t>
      </w:r>
      <w:r w:rsidRPr="007C2CA0">
        <w:rPr>
          <w:rFonts w:hint="cs"/>
          <w:i w:val="0"/>
          <w:color w:val="1F497D"/>
          <w:rtl/>
        </w:rPr>
        <w:t>.</w:t>
      </w:r>
      <w:r w:rsidRPr="007C2CA0">
        <w:rPr>
          <w:i w:val="0"/>
          <w:color w:val="1F497D"/>
          <w:rtl/>
        </w:rPr>
        <w:t xml:space="preserve"> الخطة الاستراتيجية للاتحاد للفترة 2024-2027. والإطار الاستراتيجي العام</w:t>
      </w:r>
      <w:r w:rsidRPr="007C2CA0">
        <w:rPr>
          <w:iCs w:val="0"/>
          <w:rtl/>
        </w:rPr>
        <w:t xml:space="preserve">. </w:t>
      </w:r>
      <w:r w:rsidRPr="007C2CA0">
        <w:rPr>
          <w:iCs w:val="0"/>
          <w:color w:val="808080" w:themeColor="background1" w:themeShade="80"/>
          <w:rtl/>
        </w:rPr>
        <w:t>يعرض الشكل</w:t>
      </w:r>
      <w:r w:rsidRPr="007C2CA0">
        <w:rPr>
          <w:rFonts w:hint="cs"/>
          <w:iCs w:val="0"/>
          <w:color w:val="808080" w:themeColor="background1" w:themeShade="80"/>
          <w:rtl/>
        </w:rPr>
        <w:t xml:space="preserve"> أعلاه</w:t>
      </w:r>
      <w:r w:rsidRPr="007C2CA0">
        <w:rPr>
          <w:iCs w:val="0"/>
          <w:color w:val="808080" w:themeColor="background1" w:themeShade="80"/>
          <w:rtl/>
        </w:rPr>
        <w:t xml:space="preserve"> المكونات الرئيسية للإطار الاستراتيجي. وهي تشمل الرؤية والرسالة، والغايات و</w:t>
      </w:r>
      <w:r w:rsidR="00B458A7">
        <w:rPr>
          <w:rFonts w:hint="cs"/>
          <w:iCs w:val="0"/>
          <w:color w:val="808080" w:themeColor="background1" w:themeShade="80"/>
          <w:rtl/>
        </w:rPr>
        <w:t xml:space="preserve">المقاصد </w:t>
      </w:r>
      <w:r w:rsidRPr="007C2CA0">
        <w:rPr>
          <w:iCs w:val="0"/>
          <w:color w:val="808080" w:themeColor="background1" w:themeShade="80"/>
          <w:rtl/>
        </w:rPr>
        <w:t>الاستراتيجية، والأولويات و</w:t>
      </w:r>
      <w:r w:rsidR="008850F5">
        <w:rPr>
          <w:rFonts w:hint="cs"/>
          <w:iCs w:val="0"/>
          <w:color w:val="808080" w:themeColor="background1" w:themeShade="80"/>
          <w:rtl/>
        </w:rPr>
        <w:t xml:space="preserve">النواتج </w:t>
      </w:r>
      <w:r w:rsidRPr="007C2CA0">
        <w:rPr>
          <w:rFonts w:hint="cs"/>
          <w:iCs w:val="0"/>
          <w:color w:val="808080" w:themeColor="background1" w:themeShade="80"/>
          <w:rtl/>
        </w:rPr>
        <w:t>المواضيعية</w:t>
      </w:r>
      <w:r w:rsidRPr="007C2CA0">
        <w:rPr>
          <w:iCs w:val="0"/>
          <w:color w:val="808080" w:themeColor="background1" w:themeShade="80"/>
          <w:rtl/>
        </w:rPr>
        <w:t>، وعروض المنتجات والخدمات، والعوامل التمكينية.</w:t>
      </w:r>
    </w:p>
    <w:p w14:paraId="429760CB" w14:textId="62D5D6FD" w:rsidR="00621959" w:rsidRPr="00621959" w:rsidRDefault="00621959" w:rsidP="008A5A1B">
      <w:pPr>
        <w:rPr>
          <w:lang w:val="en-GB" w:bidi="ar-EG"/>
        </w:rPr>
      </w:pPr>
      <w:r w:rsidRPr="00621959">
        <w:rPr>
          <w:rtl/>
        </w:rPr>
        <w:t xml:space="preserve">وتقدم الأقسام التالية لمحة عامة عن المؤتمرات النظامية للاتحاد التي عقدت خلال الفترة المشمولة بالتقرير، وتلخص </w:t>
      </w:r>
      <w:r w:rsidR="00C67ABB">
        <w:rPr>
          <w:rFonts w:hint="cs"/>
          <w:rtl/>
        </w:rPr>
        <w:t>نواتج</w:t>
      </w:r>
      <w:r w:rsidRPr="00621959">
        <w:rPr>
          <w:rtl/>
        </w:rPr>
        <w:t xml:space="preserve"> الخطة الاستراتيجية للفترة 2020-2023 إلى جانب التقدم المحرز نحو غايات التوصيلية الشاملة والتحول الرقمي المستدام في الفترة 2024-2027، وتسلط الضوء على الإنجازات الرئيسية المتعلقة بمنتجات وخدمات الاتحاد، وتبين العوامل التمكينية التنظيمية التي تدعم عمل المنظمة وتأثيرها الإجمالي.</w:t>
      </w:r>
    </w:p>
    <w:p w14:paraId="44691301" w14:textId="47CBE99E" w:rsidR="00621959" w:rsidRPr="00621959" w:rsidRDefault="008A5A1B" w:rsidP="008A5A1B">
      <w:pPr>
        <w:pStyle w:val="Heading1"/>
        <w:rPr>
          <w:lang w:val="en-GB" w:bidi="ar-EG"/>
        </w:rPr>
      </w:pPr>
      <w:bookmarkStart w:id="11" w:name="_Toc224288790"/>
      <w:bookmarkStart w:id="12" w:name="_Toc227252564"/>
      <w:bookmarkStart w:id="13" w:name="_Toc137211288"/>
      <w:bookmarkStart w:id="14" w:name="_Toc2074337837"/>
      <w:bookmarkEnd w:id="1"/>
      <w:r>
        <w:t>2</w:t>
      </w:r>
      <w:r>
        <w:tab/>
      </w:r>
      <w:r w:rsidR="00621959" w:rsidRPr="00621959">
        <w:rPr>
          <w:rtl/>
        </w:rPr>
        <w:t>المؤتمرات النظامية العالمية في الفترة 2022-2025</w:t>
      </w:r>
      <w:bookmarkEnd w:id="11"/>
      <w:bookmarkEnd w:id="12"/>
    </w:p>
    <w:p w14:paraId="0E0ADD3D" w14:textId="0F183396" w:rsidR="00621959" w:rsidRPr="00621959" w:rsidRDefault="008A5A1B" w:rsidP="008A5A1B">
      <w:pPr>
        <w:pStyle w:val="Heading2"/>
        <w:rPr>
          <w:lang w:val="en-GB" w:bidi="ar-EG"/>
        </w:rPr>
      </w:pPr>
      <w:bookmarkStart w:id="15" w:name="_Toc224288791"/>
      <w:bookmarkStart w:id="16" w:name="_Toc227252565"/>
      <w:r>
        <w:t>1.2</w:t>
      </w:r>
      <w:r>
        <w:tab/>
      </w:r>
      <w:r w:rsidR="00621959" w:rsidRPr="00621959">
        <w:rPr>
          <w:rtl/>
        </w:rPr>
        <w:t xml:space="preserve">مؤتمر المندوبين المفوضين للاتحاد لعام 2022 </w:t>
      </w:r>
      <w:r w:rsidR="00621959" w:rsidRPr="00621959">
        <w:rPr>
          <w:lang w:val="en-GB" w:bidi="ar-EG"/>
        </w:rPr>
        <w:t>(PP-22)</w:t>
      </w:r>
      <w:bookmarkEnd w:id="15"/>
      <w:bookmarkEnd w:id="16"/>
    </w:p>
    <w:p w14:paraId="51D638C3" w14:textId="31A9B720" w:rsidR="00621959" w:rsidRPr="00621959" w:rsidRDefault="00621959" w:rsidP="008A5A1B">
      <w:pPr>
        <w:keepLines/>
        <w:rPr>
          <w:rtl/>
        </w:rPr>
      </w:pPr>
      <w:r w:rsidRPr="00621959">
        <w:rPr>
          <w:rtl/>
        </w:rPr>
        <w:t>عقد المؤتمر الحادي والعشرون للمندوبين المفوضين للاتحاد (</w:t>
      </w:r>
      <w:hyperlink r:id="rId44" w:history="1">
        <w:r w:rsidRPr="00621959">
          <w:rPr>
            <w:rStyle w:val="Hyperlink"/>
            <w:noProof w:val="0"/>
            <w:lang w:eastAsia="zh-CN" w:bidi="ar-EG"/>
          </w:rPr>
          <w:t>PP-22</w:t>
        </w:r>
      </w:hyperlink>
      <w:r w:rsidRPr="00621959">
        <w:rPr>
          <w:rtl/>
        </w:rPr>
        <w:t xml:space="preserve">) في الفترة من 26 سبتمبر إلى 14 أكتوبر 2022 في قصر </w:t>
      </w:r>
      <w:proofErr w:type="gramStart"/>
      <w:r w:rsidRPr="00621959">
        <w:rPr>
          <w:rtl/>
        </w:rPr>
        <w:t>البرلمان</w:t>
      </w:r>
      <w:proofErr w:type="gramEnd"/>
      <w:r w:rsidRPr="00621959">
        <w:rPr>
          <w:rtl/>
        </w:rPr>
        <w:t xml:space="preserve"> في بوخارست، رومانيا، برئاسة السيد سابين </w:t>
      </w:r>
      <w:proofErr w:type="spellStart"/>
      <w:r w:rsidRPr="00621959">
        <w:rPr>
          <w:rtl/>
        </w:rPr>
        <w:t>سارماش</w:t>
      </w:r>
      <w:proofErr w:type="spellEnd"/>
      <w:r w:rsidRPr="00621959">
        <w:rPr>
          <w:rtl/>
        </w:rPr>
        <w:t>، رئيس لجنة تكنولوجيا المعلومات والاتصالات في مجلس النواب الروماني. وحدد المؤتمر السياسات العامة والتوجهات الاستراتيجية للاتحاد للفترة المقبلة، معتمداً الخطة الاستراتيجية (</w:t>
      </w:r>
      <w:hyperlink r:id="rId45" w:history="1">
        <w:r w:rsidRPr="00621959">
          <w:rPr>
            <w:rStyle w:val="Hyperlink"/>
            <w:noProof w:val="0"/>
            <w:rtl/>
            <w:lang w:val="en-US" w:eastAsia="zh-CN"/>
          </w:rPr>
          <w:t>القرار 71</w:t>
        </w:r>
      </w:hyperlink>
      <w:r w:rsidRPr="00621959">
        <w:rPr>
          <w:rtl/>
        </w:rPr>
        <w:t>) والخطة المالية (</w:t>
      </w:r>
      <w:hyperlink r:id="rId46" w:history="1">
        <w:r w:rsidRPr="00621959">
          <w:rPr>
            <w:rStyle w:val="Hyperlink"/>
            <w:noProof w:val="0"/>
            <w:rtl/>
            <w:lang w:val="en-US" w:eastAsia="zh-CN"/>
          </w:rPr>
          <w:t>القرار 71</w:t>
        </w:r>
      </w:hyperlink>
      <w:r w:rsidRPr="00621959">
        <w:rPr>
          <w:rFonts w:hint="cs"/>
          <w:rtl/>
          <w:lang w:bidi="ar-EG"/>
        </w:rPr>
        <w:t>، و</w:t>
      </w:r>
      <w:hyperlink r:id="rId47" w:history="1">
        <w:r w:rsidRPr="00621959">
          <w:rPr>
            <w:rStyle w:val="Hyperlink"/>
            <w:noProof w:val="0"/>
            <w:rtl/>
            <w:lang w:val="en-US" w:eastAsia="zh-CN"/>
          </w:rPr>
          <w:t>المقرر 5</w:t>
        </w:r>
      </w:hyperlink>
      <w:r w:rsidRPr="00621959">
        <w:rPr>
          <w:rtl/>
        </w:rPr>
        <w:t>) لمدة أربع سنوات، ومتناولاً قضايا رئيسية متعلقة بتكنولوجيا المعلومات والاتصالات بما يتواءم مع طلبات أعضاء الاتحاد.</w:t>
      </w:r>
    </w:p>
    <w:p w14:paraId="224C753F" w14:textId="2F1145B5" w:rsidR="00621959" w:rsidRPr="00621959" w:rsidRDefault="00621959" w:rsidP="008A5A1B">
      <w:pPr>
        <w:rPr>
          <w:lang w:val="en-GB" w:bidi="ar-EG"/>
        </w:rPr>
      </w:pPr>
      <w:r w:rsidRPr="00621959">
        <w:rPr>
          <w:rtl/>
        </w:rPr>
        <w:t xml:space="preserve">وتسلط استراتيجية الاتحاد، الممتدة لأربع سنوات، </w:t>
      </w:r>
      <w:r w:rsidRPr="00621959">
        <w:rPr>
          <w:rFonts w:hint="cs"/>
          <w:rtl/>
        </w:rPr>
        <w:t xml:space="preserve">الضوء على </w:t>
      </w:r>
      <w:r w:rsidRPr="00621959">
        <w:rPr>
          <w:rtl/>
        </w:rPr>
        <w:t xml:space="preserve">الأولويات الرئيسية </w:t>
      </w:r>
      <w:r w:rsidRPr="00621959">
        <w:rPr>
          <w:rFonts w:hint="cs"/>
          <w:rtl/>
        </w:rPr>
        <w:t>ل</w:t>
      </w:r>
      <w:r w:rsidRPr="00621959">
        <w:rPr>
          <w:rtl/>
        </w:rPr>
        <w:t xml:space="preserve">أعمال </w:t>
      </w:r>
      <w:r w:rsidRPr="00621959">
        <w:rPr>
          <w:rFonts w:hint="cs"/>
          <w:rtl/>
        </w:rPr>
        <w:t>ا</w:t>
      </w:r>
      <w:r w:rsidRPr="00621959">
        <w:rPr>
          <w:rtl/>
        </w:rPr>
        <w:t>لاتصالات الراديوية، وتقييس</w:t>
      </w:r>
      <w:r w:rsidRPr="00621959">
        <w:rPr>
          <w:rFonts w:hint="cs"/>
          <w:rtl/>
        </w:rPr>
        <w:t xml:space="preserve"> الاتصالات</w:t>
      </w:r>
      <w:r w:rsidRPr="00621959">
        <w:rPr>
          <w:rtl/>
        </w:rPr>
        <w:t xml:space="preserve">، </w:t>
      </w:r>
      <w:r w:rsidRPr="00621959">
        <w:rPr>
          <w:rFonts w:hint="cs"/>
          <w:rtl/>
        </w:rPr>
        <w:t xml:space="preserve">وتنمية الاتصالات </w:t>
      </w:r>
      <w:r w:rsidRPr="00621959">
        <w:rPr>
          <w:rtl/>
        </w:rPr>
        <w:t>المصممة لتوصيل العالم، ودفع عجلة التحول الرقمي العالمي الشامل، والمساهمة في تحقيق أهداف التنمية المستدامة التي حددتها الأمم المتحدة لعام 2030. وقد وقع 159 دولة عضواً على</w:t>
      </w:r>
      <w:r w:rsidRPr="008A5A1B">
        <w:rPr>
          <w:rtl/>
        </w:rPr>
        <w:t xml:space="preserve"> </w:t>
      </w:r>
      <w:hyperlink r:id="rId48" w:history="1">
        <w:r w:rsidRPr="00621959">
          <w:rPr>
            <w:rStyle w:val="Hyperlink"/>
            <w:rFonts w:hint="cs"/>
            <w:noProof w:val="0"/>
            <w:rtl/>
            <w:lang w:val="en-US" w:eastAsia="zh-CN"/>
          </w:rPr>
          <w:t>الوثائق</w:t>
        </w:r>
        <w:r w:rsidRPr="00621959">
          <w:rPr>
            <w:rStyle w:val="Hyperlink"/>
            <w:noProof w:val="0"/>
            <w:rtl/>
            <w:lang w:val="en-US" w:eastAsia="zh-CN"/>
          </w:rPr>
          <w:t xml:space="preserve"> الختامية لمؤتمر المندوبين المفوضين، بوخارست عام 2022</w:t>
        </w:r>
      </w:hyperlink>
      <w:r w:rsidRPr="00621959">
        <w:rPr>
          <w:rFonts w:hint="cs"/>
          <w:rtl/>
          <w:lang w:bidi="ar-EG"/>
        </w:rPr>
        <w:t xml:space="preserve">. </w:t>
      </w:r>
      <w:r w:rsidRPr="00621959">
        <w:rPr>
          <w:rtl/>
        </w:rPr>
        <w:t xml:space="preserve">وباختصار، عدّلت الدول الأعضاء 56 قراراً ومقررين، وأصدرت </w:t>
      </w:r>
      <w:proofErr w:type="gramStart"/>
      <w:r w:rsidRPr="00621959">
        <w:rPr>
          <w:rtl/>
        </w:rPr>
        <w:t>ستة</w:t>
      </w:r>
      <w:proofErr w:type="gramEnd"/>
      <w:r w:rsidRPr="00621959">
        <w:rPr>
          <w:rtl/>
        </w:rPr>
        <w:t xml:space="preserve"> قرارات جديدة، وألغت قراراً واحداً.</w:t>
      </w:r>
    </w:p>
    <w:p w14:paraId="6A3AB4A5" w14:textId="77777777" w:rsidR="00621959" w:rsidRPr="00621959" w:rsidRDefault="00621959" w:rsidP="008A5A1B">
      <w:pPr>
        <w:rPr>
          <w:lang w:val="en-GB" w:bidi="ar-EG"/>
        </w:rPr>
      </w:pPr>
      <w:r w:rsidRPr="00621959">
        <w:rPr>
          <w:rtl/>
        </w:rPr>
        <w:t>وتضمنت القرارات الرئيسية التي تم الاتفاق عليها في المؤتمر قرارات بشأن:</w:t>
      </w:r>
    </w:p>
    <w:p w14:paraId="69311813" w14:textId="7EA4A35C" w:rsidR="00621959" w:rsidRPr="00621959" w:rsidRDefault="008A5A1B" w:rsidP="008A5A1B">
      <w:pPr>
        <w:pStyle w:val="enumlev1"/>
        <w:rPr>
          <w:lang w:val="en-GB" w:bidi="ar-EG"/>
        </w:rPr>
      </w:pPr>
      <w:r>
        <w:sym w:font="Wingdings 2" w:char="F097"/>
      </w:r>
      <w:r>
        <w:tab/>
      </w:r>
      <w:r w:rsidR="00621959" w:rsidRPr="00621959">
        <w:rPr>
          <w:rtl/>
        </w:rPr>
        <w:t>تطبيق تكنولوجيات الذكاء الاصطناعي</w:t>
      </w:r>
      <w:r w:rsidR="004709B2">
        <w:rPr>
          <w:rFonts w:hint="cs"/>
          <w:rtl/>
          <w:lang w:bidi="ar-EG"/>
        </w:rPr>
        <w:t xml:space="preserve"> </w:t>
      </w:r>
      <w:r w:rsidR="004709B2">
        <w:rPr>
          <w:lang w:bidi="ar-EG"/>
        </w:rPr>
        <w:t>(AI)</w:t>
      </w:r>
      <w:r w:rsidR="00621959" w:rsidRPr="00621959">
        <w:rPr>
          <w:rtl/>
        </w:rPr>
        <w:t xml:space="preserve"> من أجل المصلحة العامة</w:t>
      </w:r>
    </w:p>
    <w:p w14:paraId="1B756D97" w14:textId="2AB5D41C" w:rsidR="00621959" w:rsidRPr="00621959" w:rsidRDefault="008A5A1B" w:rsidP="008A5A1B">
      <w:pPr>
        <w:pStyle w:val="enumlev1"/>
        <w:rPr>
          <w:lang w:val="en-GB" w:bidi="ar-EG"/>
        </w:rPr>
      </w:pPr>
      <w:r>
        <w:sym w:font="Wingdings 2" w:char="F097"/>
      </w:r>
      <w:r>
        <w:tab/>
      </w:r>
      <w:r w:rsidR="00621959" w:rsidRPr="00621959">
        <w:rPr>
          <w:rFonts w:hint="cs"/>
          <w:rtl/>
        </w:rPr>
        <w:t>و</w:t>
      </w:r>
      <w:r w:rsidR="00621959" w:rsidRPr="00621959">
        <w:rPr>
          <w:rtl/>
        </w:rPr>
        <w:t>بناء الثقة والتنمية المستدامة في الفضاء الخارجي</w:t>
      </w:r>
    </w:p>
    <w:p w14:paraId="02FA07C9" w14:textId="1C970F6A" w:rsidR="00621959" w:rsidRPr="00621959" w:rsidRDefault="008A5A1B" w:rsidP="008A5A1B">
      <w:pPr>
        <w:pStyle w:val="enumlev1"/>
        <w:rPr>
          <w:lang w:val="en-GB" w:bidi="ar-EG"/>
        </w:rPr>
      </w:pPr>
      <w:r>
        <w:sym w:font="Wingdings 2" w:char="F097"/>
      </w:r>
      <w:r>
        <w:tab/>
      </w:r>
      <w:r w:rsidR="00621959" w:rsidRPr="00621959">
        <w:rPr>
          <w:rFonts w:hint="cs"/>
          <w:rtl/>
        </w:rPr>
        <w:t>و</w:t>
      </w:r>
      <w:r w:rsidR="00621959" w:rsidRPr="00621959">
        <w:rPr>
          <w:rtl/>
        </w:rPr>
        <w:t>تمكين النساء والفتيات من خلال التحول الرقمي</w:t>
      </w:r>
    </w:p>
    <w:p w14:paraId="4D0959E6" w14:textId="6A3715CB" w:rsidR="00621959" w:rsidRPr="00621959" w:rsidRDefault="008A5A1B" w:rsidP="008A5A1B">
      <w:pPr>
        <w:pStyle w:val="enumlev1"/>
        <w:rPr>
          <w:lang w:val="en-GB" w:bidi="ar-EG"/>
        </w:rPr>
      </w:pPr>
      <w:r>
        <w:sym w:font="Wingdings 2" w:char="F097"/>
      </w:r>
      <w:r>
        <w:tab/>
      </w:r>
      <w:r w:rsidR="00621959" w:rsidRPr="00621959">
        <w:rPr>
          <w:rFonts w:hint="cs"/>
          <w:rtl/>
        </w:rPr>
        <w:t>و</w:t>
      </w:r>
      <w:r w:rsidR="00621959" w:rsidRPr="00621959">
        <w:rPr>
          <w:rtl/>
        </w:rPr>
        <w:t>تخصيص الترددات للمحطات الراديوية العسكرية لصالح خدمات الدفاع الوطني</w:t>
      </w:r>
    </w:p>
    <w:p w14:paraId="7ACAA904" w14:textId="5E4C071A" w:rsidR="00621959" w:rsidRPr="00621959" w:rsidRDefault="008A5A1B" w:rsidP="008A5A1B">
      <w:pPr>
        <w:pStyle w:val="enumlev1"/>
        <w:rPr>
          <w:lang w:val="en-GB" w:bidi="ar-EG"/>
        </w:rPr>
      </w:pPr>
      <w:r>
        <w:sym w:font="Wingdings 2" w:char="F097"/>
      </w:r>
      <w:r>
        <w:tab/>
      </w:r>
      <w:r w:rsidR="00621959" w:rsidRPr="00621959">
        <w:rPr>
          <w:rFonts w:hint="cs"/>
          <w:rtl/>
        </w:rPr>
        <w:t>و</w:t>
      </w:r>
      <w:r w:rsidR="00621959" w:rsidRPr="00621959">
        <w:rPr>
          <w:rtl/>
        </w:rPr>
        <w:t>كيف يمكن للتكنولوجيات الحديثة أن تخفف حدة أزمة المناخ لا أن تفاقمها</w:t>
      </w:r>
    </w:p>
    <w:p w14:paraId="4BC2F4D7" w14:textId="25B9620A" w:rsidR="00621959" w:rsidRPr="00621959" w:rsidRDefault="008A5A1B" w:rsidP="008A5A1B">
      <w:pPr>
        <w:pStyle w:val="enumlev1"/>
        <w:rPr>
          <w:lang w:val="en-GB" w:bidi="ar-EG"/>
        </w:rPr>
      </w:pPr>
      <w:r>
        <w:sym w:font="Wingdings 2" w:char="F097"/>
      </w:r>
      <w:r>
        <w:tab/>
      </w:r>
      <w:r w:rsidR="00621959" w:rsidRPr="00621959">
        <w:rPr>
          <w:rFonts w:hint="cs"/>
          <w:rtl/>
        </w:rPr>
        <w:t>و</w:t>
      </w:r>
      <w:r w:rsidR="00621959" w:rsidRPr="00621959">
        <w:rPr>
          <w:rtl/>
        </w:rPr>
        <w:t>كيف يمكن للتكنولوجيات أن تحمي ضد الجوائح العالمية</w:t>
      </w:r>
    </w:p>
    <w:p w14:paraId="1137B5A6" w14:textId="22A69F62" w:rsidR="00621959" w:rsidRPr="00621959" w:rsidRDefault="008A5A1B" w:rsidP="008A5A1B">
      <w:pPr>
        <w:pStyle w:val="enumlev1"/>
        <w:rPr>
          <w:lang w:val="en-GB" w:bidi="ar-EG"/>
        </w:rPr>
      </w:pPr>
      <w:r>
        <w:sym w:font="Wingdings 2" w:char="F097"/>
      </w:r>
      <w:r>
        <w:tab/>
      </w:r>
      <w:r w:rsidR="00621959" w:rsidRPr="00621959">
        <w:rPr>
          <w:rFonts w:hint="cs"/>
          <w:rtl/>
        </w:rPr>
        <w:t>و</w:t>
      </w:r>
      <w:r w:rsidR="00621959" w:rsidRPr="00621959">
        <w:rPr>
          <w:rtl/>
        </w:rPr>
        <w:t>إنترنت الأشياء</w:t>
      </w:r>
      <w:r w:rsidR="004709B2">
        <w:rPr>
          <w:rFonts w:hint="cs"/>
          <w:rtl/>
          <w:lang w:bidi="ar-EG"/>
        </w:rPr>
        <w:t xml:space="preserve"> </w:t>
      </w:r>
      <w:r w:rsidR="004709B2">
        <w:rPr>
          <w:lang w:bidi="ar-EG"/>
        </w:rPr>
        <w:t>(IoT)</w:t>
      </w:r>
      <w:r w:rsidR="00621959" w:rsidRPr="00621959">
        <w:rPr>
          <w:rtl/>
        </w:rPr>
        <w:t xml:space="preserve"> من أجل مدن ومجتمعات ذكية ومستدامة</w:t>
      </w:r>
    </w:p>
    <w:p w14:paraId="2140571B" w14:textId="24F29025" w:rsidR="00621959" w:rsidRPr="00621959" w:rsidRDefault="00512475" w:rsidP="00512475">
      <w:pPr>
        <w:pStyle w:val="Heading3"/>
        <w:rPr>
          <w:lang w:val="en-GB" w:bidi="ar-EG"/>
        </w:rPr>
      </w:pPr>
      <w:bookmarkStart w:id="17" w:name="_Toc227252566"/>
      <w:r>
        <w:t>1.1.2</w:t>
      </w:r>
      <w:r w:rsidR="00621959" w:rsidRPr="00621959">
        <w:rPr>
          <w:rtl/>
        </w:rPr>
        <w:tab/>
        <w:t>انتخابات الاتحاد</w:t>
      </w:r>
      <w:bookmarkEnd w:id="17"/>
    </w:p>
    <w:p w14:paraId="3C5A6A52" w14:textId="1C86314D" w:rsidR="00621959" w:rsidRPr="00512475" w:rsidRDefault="00621959" w:rsidP="008A5A1B">
      <w:pPr>
        <w:rPr>
          <w:spacing w:val="-2"/>
          <w:lang w:val="en-GB" w:bidi="ar-EG"/>
        </w:rPr>
      </w:pPr>
      <w:r w:rsidRPr="00512475">
        <w:rPr>
          <w:spacing w:val="-2"/>
          <w:rtl/>
        </w:rPr>
        <w:t>تضمن مؤتمر المندوبين المفوضين</w:t>
      </w:r>
      <w:r w:rsidRPr="00512475">
        <w:rPr>
          <w:rFonts w:hint="cs"/>
          <w:spacing w:val="-2"/>
          <w:rtl/>
        </w:rPr>
        <w:t xml:space="preserve"> </w:t>
      </w:r>
      <w:r w:rsidRPr="00512475">
        <w:rPr>
          <w:spacing w:val="-2"/>
          <w:rtl/>
        </w:rPr>
        <w:t xml:space="preserve">لعام 2022 </w:t>
      </w:r>
      <w:r w:rsidRPr="00512475">
        <w:rPr>
          <w:rFonts w:hint="cs"/>
          <w:spacing w:val="-2"/>
          <w:rtl/>
        </w:rPr>
        <w:t>أيضا</w:t>
      </w:r>
      <w:r w:rsidR="00512475" w:rsidRPr="00512475">
        <w:rPr>
          <w:rFonts w:hint="cs"/>
          <w:spacing w:val="-2"/>
          <w:rtl/>
        </w:rPr>
        <w:t>ً</w:t>
      </w:r>
      <w:r w:rsidRPr="00512475">
        <w:rPr>
          <w:rFonts w:hint="cs"/>
          <w:spacing w:val="-2"/>
          <w:rtl/>
        </w:rPr>
        <w:t xml:space="preserve"> </w:t>
      </w:r>
      <w:r w:rsidRPr="00512475">
        <w:rPr>
          <w:spacing w:val="-2"/>
          <w:rtl/>
        </w:rPr>
        <w:t xml:space="preserve">انتخابات للمناصب القيادية العليا في الاتحاد. وسجل المندوبون إنجازاً تاريخياً بانتخاب السيدة دورين </w:t>
      </w:r>
      <w:proofErr w:type="spellStart"/>
      <w:r w:rsidRPr="00512475">
        <w:rPr>
          <w:spacing w:val="-2"/>
          <w:rtl/>
        </w:rPr>
        <w:t>بوغدان</w:t>
      </w:r>
      <w:proofErr w:type="spellEnd"/>
      <w:r w:rsidRPr="00512475">
        <w:rPr>
          <w:spacing w:val="-2"/>
          <w:rtl/>
        </w:rPr>
        <w:t xml:space="preserve">-مارتن (الولايات المتحدة) </w:t>
      </w:r>
      <w:r w:rsidRPr="00512475">
        <w:rPr>
          <w:rFonts w:hint="cs"/>
          <w:spacing w:val="-2"/>
          <w:rtl/>
        </w:rPr>
        <w:t>بوصفها ال</w:t>
      </w:r>
      <w:r w:rsidRPr="00512475">
        <w:rPr>
          <w:spacing w:val="-2"/>
          <w:rtl/>
        </w:rPr>
        <w:t xml:space="preserve">أمينة </w:t>
      </w:r>
      <w:r w:rsidRPr="00512475">
        <w:rPr>
          <w:rFonts w:hint="cs"/>
          <w:spacing w:val="-2"/>
          <w:rtl/>
        </w:rPr>
        <w:t>ال</w:t>
      </w:r>
      <w:r w:rsidRPr="00512475">
        <w:rPr>
          <w:spacing w:val="-2"/>
          <w:rtl/>
        </w:rPr>
        <w:t xml:space="preserve">عامة </w:t>
      </w:r>
      <w:r w:rsidRPr="00512475">
        <w:rPr>
          <w:rFonts w:hint="cs"/>
          <w:spacing w:val="-2"/>
          <w:rtl/>
        </w:rPr>
        <w:t>القادمة</w:t>
      </w:r>
      <w:r w:rsidRPr="00512475">
        <w:rPr>
          <w:spacing w:val="-2"/>
          <w:rtl/>
        </w:rPr>
        <w:t xml:space="preserve"> للاتحاد. وبذلك، أصبحت السيدة </w:t>
      </w:r>
      <w:proofErr w:type="spellStart"/>
      <w:r w:rsidRPr="00512475">
        <w:rPr>
          <w:spacing w:val="-2"/>
          <w:rtl/>
        </w:rPr>
        <w:t>بوغدان</w:t>
      </w:r>
      <w:proofErr w:type="spellEnd"/>
      <w:r w:rsidRPr="00512475">
        <w:rPr>
          <w:spacing w:val="-2"/>
          <w:rtl/>
        </w:rPr>
        <w:t xml:space="preserve">-مارتن أول امرأة تتولى قيادة هذه المنظمة العريقة التي كان عمرها آنذاك 157 عاماً. كما انتُخب السيد توماس </w:t>
      </w:r>
      <w:proofErr w:type="spellStart"/>
      <w:r w:rsidRPr="00512475">
        <w:rPr>
          <w:spacing w:val="-2"/>
          <w:rtl/>
        </w:rPr>
        <w:t>لاماناوسكاس</w:t>
      </w:r>
      <w:proofErr w:type="spellEnd"/>
      <w:r w:rsidRPr="00512475">
        <w:rPr>
          <w:spacing w:val="-2"/>
          <w:rtl/>
        </w:rPr>
        <w:t xml:space="preserve"> (ليتوانيا) نائباً للأمينة العامة للاتحاد، وأعيد انتخاب السيد </w:t>
      </w:r>
      <w:r w:rsidR="006B758D" w:rsidRPr="006B758D">
        <w:rPr>
          <w:spacing w:val="-2"/>
          <w:rtl/>
        </w:rPr>
        <w:t xml:space="preserve">ماريو </w:t>
      </w:r>
      <w:proofErr w:type="spellStart"/>
      <w:r w:rsidR="006B758D" w:rsidRPr="006B758D">
        <w:rPr>
          <w:spacing w:val="-2"/>
          <w:rtl/>
        </w:rPr>
        <w:t>مانيفيتش</w:t>
      </w:r>
      <w:proofErr w:type="spellEnd"/>
      <w:r w:rsidR="006B758D" w:rsidRPr="006B758D">
        <w:rPr>
          <w:spacing w:val="-2"/>
          <w:rtl/>
        </w:rPr>
        <w:t xml:space="preserve"> </w:t>
      </w:r>
      <w:r w:rsidRPr="00512475">
        <w:rPr>
          <w:spacing w:val="-2"/>
          <w:rtl/>
        </w:rPr>
        <w:t xml:space="preserve">(أوروغواي) لولاية ثانية مديراً لمكتب الاتصالات الراديوية، وانتُخب السيد </w:t>
      </w:r>
      <w:proofErr w:type="spellStart"/>
      <w:r w:rsidR="006B758D" w:rsidRPr="006B758D">
        <w:rPr>
          <w:spacing w:val="-2"/>
          <w:rtl/>
        </w:rPr>
        <w:t>سيزو</w:t>
      </w:r>
      <w:proofErr w:type="spellEnd"/>
      <w:r w:rsidR="006B758D" w:rsidRPr="006B758D">
        <w:rPr>
          <w:spacing w:val="-2"/>
          <w:rtl/>
        </w:rPr>
        <w:t xml:space="preserve"> </w:t>
      </w:r>
      <w:proofErr w:type="spellStart"/>
      <w:r w:rsidR="006B758D" w:rsidRPr="006B758D">
        <w:rPr>
          <w:spacing w:val="-2"/>
          <w:rtl/>
        </w:rPr>
        <w:t>أونوي</w:t>
      </w:r>
      <w:proofErr w:type="spellEnd"/>
      <w:r w:rsidR="006B758D" w:rsidRPr="006B758D">
        <w:rPr>
          <w:spacing w:val="-2"/>
          <w:rtl/>
        </w:rPr>
        <w:t xml:space="preserve"> </w:t>
      </w:r>
      <w:r w:rsidRPr="00512475">
        <w:rPr>
          <w:spacing w:val="-2"/>
          <w:rtl/>
        </w:rPr>
        <w:t xml:space="preserve">(اليابان) مديراً لمكتب تقييس الاتصالات، وانتُخب السيد </w:t>
      </w:r>
      <w:proofErr w:type="spellStart"/>
      <w:r w:rsidR="006B758D" w:rsidRPr="006B758D">
        <w:rPr>
          <w:spacing w:val="-2"/>
          <w:rtl/>
        </w:rPr>
        <w:t>كوسماس</w:t>
      </w:r>
      <w:proofErr w:type="spellEnd"/>
      <w:r w:rsidR="006B758D" w:rsidRPr="006B758D">
        <w:rPr>
          <w:spacing w:val="-2"/>
          <w:rtl/>
        </w:rPr>
        <w:t xml:space="preserve"> </w:t>
      </w:r>
      <w:proofErr w:type="spellStart"/>
      <w:r w:rsidR="006B758D" w:rsidRPr="006B758D">
        <w:rPr>
          <w:spacing w:val="-2"/>
          <w:rtl/>
        </w:rPr>
        <w:t>زافازافا</w:t>
      </w:r>
      <w:proofErr w:type="spellEnd"/>
      <w:r w:rsidR="006B758D" w:rsidRPr="006B758D">
        <w:rPr>
          <w:spacing w:val="-2"/>
          <w:rtl/>
        </w:rPr>
        <w:t xml:space="preserve"> </w:t>
      </w:r>
      <w:r w:rsidRPr="00512475">
        <w:rPr>
          <w:spacing w:val="-2"/>
          <w:rtl/>
        </w:rPr>
        <w:t>(زمبابوي) مديراً لمكتب تنمية الاتصالات</w:t>
      </w:r>
      <w:r w:rsidR="005C37ED">
        <w:rPr>
          <w:rFonts w:hint="cs"/>
          <w:spacing w:val="-2"/>
          <w:rtl/>
          <w:lang w:bidi="ar-EG"/>
        </w:rPr>
        <w:t xml:space="preserve"> </w:t>
      </w:r>
      <w:r w:rsidR="005C37ED">
        <w:rPr>
          <w:spacing w:val="-2"/>
          <w:lang w:bidi="ar-EG"/>
        </w:rPr>
        <w:t>(BDT)</w:t>
      </w:r>
      <w:r w:rsidRPr="00512475">
        <w:rPr>
          <w:spacing w:val="-2"/>
          <w:rtl/>
        </w:rPr>
        <w:t>. كما جرى انتخاب أعضاء لجنة لوائح الراديو المكونة من 12 عضواً، ومجلس الاتحاد المكون من 48 عضواً (</w:t>
      </w:r>
      <w:hyperlink r:id="rId49" w:history="1">
        <w:r w:rsidRPr="00512475">
          <w:rPr>
            <w:rStyle w:val="Hyperlink"/>
            <w:rFonts w:hint="cs"/>
            <w:noProof w:val="0"/>
            <w:spacing w:val="-2"/>
            <w:rtl/>
            <w:lang w:val="en-US" w:eastAsia="zh-CN"/>
          </w:rPr>
          <w:t>ا</w:t>
        </w:r>
        <w:r w:rsidRPr="00512475">
          <w:rPr>
            <w:rStyle w:val="Hyperlink"/>
            <w:noProof w:val="0"/>
            <w:spacing w:val="-2"/>
            <w:rtl/>
            <w:lang w:val="en-US" w:eastAsia="zh-CN"/>
          </w:rPr>
          <w:t>نظر النتائج الكاملة لانتخابات مؤتمر المندوبين المفوضين لعام</w:t>
        </w:r>
        <w:r w:rsidR="00512475" w:rsidRPr="00512475">
          <w:rPr>
            <w:rStyle w:val="Hyperlink"/>
            <w:rFonts w:hint="cs"/>
            <w:noProof w:val="0"/>
            <w:spacing w:val="-2"/>
            <w:rtl/>
            <w:lang w:val="en-US" w:eastAsia="zh-CN"/>
          </w:rPr>
          <w:t> </w:t>
        </w:r>
        <w:r w:rsidRPr="00512475">
          <w:rPr>
            <w:rStyle w:val="Hyperlink"/>
            <w:noProof w:val="0"/>
            <w:spacing w:val="-2"/>
            <w:rtl/>
            <w:lang w:val="en-US" w:eastAsia="zh-CN"/>
          </w:rPr>
          <w:t>2022 هنا</w:t>
        </w:r>
      </w:hyperlink>
      <w:r w:rsidRPr="00512475">
        <w:rPr>
          <w:spacing w:val="-2"/>
          <w:rtl/>
        </w:rPr>
        <w:t>).</w:t>
      </w:r>
    </w:p>
    <w:p w14:paraId="73AD9883" w14:textId="14C73DFA" w:rsidR="00621959" w:rsidRPr="00621959" w:rsidRDefault="006B758D" w:rsidP="006B758D">
      <w:pPr>
        <w:pStyle w:val="Heading2"/>
        <w:rPr>
          <w:rtl/>
          <w:lang w:bidi="ar-EG"/>
        </w:rPr>
      </w:pPr>
      <w:bookmarkStart w:id="18" w:name="_Toc227252567"/>
      <w:r>
        <w:t>2.2</w:t>
      </w:r>
      <w:r>
        <w:tab/>
      </w:r>
      <w:r w:rsidR="00621959" w:rsidRPr="00621959">
        <w:rPr>
          <w:rtl/>
        </w:rPr>
        <w:t>المؤتمر العالمي للاتصالات الراديوية لعام 2023 وجمعية الاتصالات الراديوية لعام 2023</w:t>
      </w:r>
      <w:bookmarkEnd w:id="18"/>
    </w:p>
    <w:p w14:paraId="65C0D9CA" w14:textId="1464607A" w:rsidR="00621959" w:rsidRPr="00621959" w:rsidRDefault="006B758D" w:rsidP="006B758D">
      <w:pPr>
        <w:pStyle w:val="Heading3"/>
        <w:rPr>
          <w:lang w:val="en-GB" w:bidi="ar-EG"/>
        </w:rPr>
      </w:pPr>
      <w:bookmarkStart w:id="19" w:name="_Toc227252568"/>
      <w:r>
        <w:t>1.2.2</w:t>
      </w:r>
      <w:r>
        <w:tab/>
      </w:r>
      <w:r w:rsidR="00621959" w:rsidRPr="00621959">
        <w:rPr>
          <w:rtl/>
        </w:rPr>
        <w:t>المؤتمر العالمي للاتصالات الراديوية لعام 2023</w:t>
      </w:r>
      <w:bookmarkEnd w:id="19"/>
    </w:p>
    <w:p w14:paraId="3270127E" w14:textId="188D8198" w:rsidR="00621959" w:rsidRPr="00621959" w:rsidRDefault="00621959" w:rsidP="008A5A1B">
      <w:pPr>
        <w:rPr>
          <w:rtl/>
        </w:rPr>
      </w:pPr>
      <w:r w:rsidRPr="00621959">
        <w:rPr>
          <w:rtl/>
        </w:rPr>
        <w:t>عقد المؤتمر العالمي للاتصالات الراديوية (</w:t>
      </w:r>
      <w:hyperlink r:id="rId50" w:anchor="/ar" w:history="1">
        <w:r w:rsidRPr="00621959">
          <w:rPr>
            <w:rStyle w:val="Hyperlink"/>
            <w:noProof w:val="0"/>
            <w:lang w:eastAsia="zh-CN" w:bidi="ar-EG"/>
          </w:rPr>
          <w:t>WRC-23</w:t>
        </w:r>
      </w:hyperlink>
      <w:r w:rsidRPr="00621959">
        <w:rPr>
          <w:rtl/>
        </w:rPr>
        <w:t xml:space="preserve">) في دبي، الإمارات العربية المتحدة، في الفترة من 20 نوفمبر إلى 15 ديسمبر 2023. وترأس المؤتمر سعادة السيد محمد الرمسي (الإمارات العربية المتحدة). وجمع المؤتمر مجتمع الاتصالات الراديوية العالمي لتحديث وتعزيز الإطار التنظيمي الدولي الذي ينظم العمل على طيف الترددات الراديوية، بهدف تحقيق توصيلية شاملة وتحول رقمي مستدام. وشارك في المؤتمر </w:t>
      </w:r>
      <w:r w:rsidR="006B758D">
        <w:t>3 982</w:t>
      </w:r>
      <w:r w:rsidRPr="00621959">
        <w:rPr>
          <w:rtl/>
        </w:rPr>
        <w:t xml:space="preserve"> مشاركاً من 163 دولة عضواً في الاتحاد. وجدير بالذكر أن النساء شكلن 22</w:t>
      </w:r>
      <w:r w:rsidR="006B758D">
        <w:rPr>
          <w:rFonts w:hint="cs"/>
          <w:rtl/>
        </w:rPr>
        <w:t xml:space="preserve"> في </w:t>
      </w:r>
      <w:proofErr w:type="gramStart"/>
      <w:r w:rsidR="006B758D">
        <w:rPr>
          <w:rFonts w:hint="cs"/>
          <w:rtl/>
        </w:rPr>
        <w:t>المائة</w:t>
      </w:r>
      <w:proofErr w:type="gramEnd"/>
      <w:r w:rsidR="006B758D">
        <w:rPr>
          <w:rFonts w:hint="cs"/>
          <w:rtl/>
        </w:rPr>
        <w:t xml:space="preserve"> </w:t>
      </w:r>
      <w:r w:rsidRPr="00621959">
        <w:rPr>
          <w:rtl/>
        </w:rPr>
        <w:t xml:space="preserve">من المندوبين، مما يعكس زيادة </w:t>
      </w:r>
      <w:r w:rsidRPr="00621959">
        <w:rPr>
          <w:rFonts w:hint="cs"/>
          <w:rtl/>
        </w:rPr>
        <w:t>كبيرة</w:t>
      </w:r>
      <w:r w:rsidRPr="00621959">
        <w:rPr>
          <w:rtl/>
        </w:rPr>
        <w:t xml:space="preserve"> عن النسبة البالغة 18</w:t>
      </w:r>
      <w:r w:rsidR="006B758D" w:rsidRPr="006B758D">
        <w:rPr>
          <w:rFonts w:hint="cs"/>
          <w:rtl/>
        </w:rPr>
        <w:t xml:space="preserve"> </w:t>
      </w:r>
      <w:r w:rsidR="006B758D">
        <w:rPr>
          <w:rFonts w:hint="cs"/>
          <w:rtl/>
        </w:rPr>
        <w:t xml:space="preserve">في </w:t>
      </w:r>
      <w:proofErr w:type="gramStart"/>
      <w:r w:rsidR="006B758D">
        <w:rPr>
          <w:rFonts w:hint="cs"/>
          <w:rtl/>
        </w:rPr>
        <w:t>المائة</w:t>
      </w:r>
      <w:proofErr w:type="gramEnd"/>
      <w:r w:rsidR="006B758D">
        <w:rPr>
          <w:rFonts w:hint="cs"/>
          <w:rtl/>
        </w:rPr>
        <w:t xml:space="preserve"> </w:t>
      </w:r>
      <w:r w:rsidRPr="00621959">
        <w:rPr>
          <w:rtl/>
        </w:rPr>
        <w:t>في</w:t>
      </w:r>
      <w:r w:rsidR="006B758D">
        <w:rPr>
          <w:rFonts w:hint="cs"/>
          <w:rtl/>
        </w:rPr>
        <w:t> </w:t>
      </w:r>
      <w:r w:rsidRPr="00621959">
        <w:rPr>
          <w:rtl/>
        </w:rPr>
        <w:t>المؤتمر العالمي للاتصالات الراديوية لعام 2019 (</w:t>
      </w:r>
      <w:r w:rsidRPr="00621959">
        <w:rPr>
          <w:lang w:val="en-GB" w:bidi="ar-EG"/>
        </w:rPr>
        <w:t>WRC-19</w:t>
      </w:r>
      <w:r w:rsidRPr="00621959">
        <w:rPr>
          <w:rtl/>
        </w:rPr>
        <w:t>).</w:t>
      </w:r>
    </w:p>
    <w:p w14:paraId="10824C22" w14:textId="3D4F6D5E" w:rsidR="00621959" w:rsidRPr="00621959" w:rsidRDefault="00621959" w:rsidP="008A5A1B">
      <w:pPr>
        <w:rPr>
          <w:lang w:val="en-GB" w:bidi="ar-EG"/>
        </w:rPr>
      </w:pPr>
      <w:r w:rsidRPr="00621959">
        <w:rPr>
          <w:rtl/>
        </w:rPr>
        <w:t xml:space="preserve">وتناول المؤتمر </w:t>
      </w:r>
      <w:r w:rsidRPr="00621959">
        <w:rPr>
          <w:lang w:val="en-GB" w:bidi="ar-EG"/>
        </w:rPr>
        <w:t>WRC</w:t>
      </w:r>
      <w:r w:rsidRPr="00621959">
        <w:rPr>
          <w:lang w:val="en-GB" w:bidi="ar-EG"/>
        </w:rPr>
        <w:noBreakHyphen/>
        <w:t>23</w:t>
      </w:r>
      <w:r w:rsidRPr="00621959">
        <w:rPr>
          <w:rtl/>
        </w:rPr>
        <w:t xml:space="preserve"> أكثر من 30 بنداً من بنود جدول الأعمال المتعلقة بتخصيص الطيف وتقاسمه، مما أدى إلى</w:t>
      </w:r>
      <w:r w:rsidR="006B758D">
        <w:rPr>
          <w:rFonts w:hint="cs"/>
          <w:rtl/>
        </w:rPr>
        <w:t> </w:t>
      </w:r>
      <w:r w:rsidRPr="00621959">
        <w:rPr>
          <w:rtl/>
        </w:rPr>
        <w:t>العديد من التطورات التنظيمية الهامة في مجال الاتصالات المتنقلة والأنظمة الساتلية والسلامة البحرية والجوية والخدمات العلمية.</w:t>
      </w:r>
    </w:p>
    <w:p w14:paraId="71AF7E74" w14:textId="08D8D775" w:rsidR="00621959" w:rsidRPr="00621959" w:rsidRDefault="00621959" w:rsidP="008A5A1B">
      <w:pPr>
        <w:rPr>
          <w:lang w:val="en-GB" w:bidi="ar-EG"/>
        </w:rPr>
      </w:pPr>
      <w:r w:rsidRPr="00621959">
        <w:rPr>
          <w:rtl/>
        </w:rPr>
        <w:t xml:space="preserve">وتوحد </w:t>
      </w:r>
      <w:hyperlink r:id="rId51" w:history="1">
        <w:r w:rsidRPr="00621959">
          <w:rPr>
            <w:rStyle w:val="Hyperlink"/>
            <w:rFonts w:hint="cs"/>
            <w:noProof w:val="0"/>
            <w:rtl/>
            <w:lang w:val="en-US" w:eastAsia="zh-CN"/>
          </w:rPr>
          <w:t>الوثائق</w:t>
        </w:r>
        <w:r w:rsidRPr="00621959">
          <w:rPr>
            <w:rStyle w:val="Hyperlink"/>
            <w:noProof w:val="0"/>
            <w:rtl/>
            <w:lang w:val="en-US" w:eastAsia="zh-CN"/>
          </w:rPr>
          <w:t xml:space="preserve"> الختامية للمؤتمر العالمي للاتصالات الراديوية لعام 2023</w:t>
        </w:r>
      </w:hyperlink>
      <w:r w:rsidRPr="00621959">
        <w:rPr>
          <w:rtl/>
        </w:rPr>
        <w:t xml:space="preserve"> </w:t>
      </w:r>
      <w:r w:rsidR="00FB505F">
        <w:rPr>
          <w:rFonts w:hint="cs"/>
          <w:rtl/>
        </w:rPr>
        <w:t>النواتج</w:t>
      </w:r>
      <w:r w:rsidRPr="00621959">
        <w:rPr>
          <w:rtl/>
        </w:rPr>
        <w:t xml:space="preserve"> الرئيسية للمؤتمر عبر جميع بنود جدول الأعمال الرئيسية، بما في ذلك:</w:t>
      </w:r>
    </w:p>
    <w:p w14:paraId="74931AA1" w14:textId="75AC1D55" w:rsidR="00621959" w:rsidRPr="00621959" w:rsidRDefault="006B758D" w:rsidP="006B758D">
      <w:pPr>
        <w:pStyle w:val="enumlev1"/>
        <w:rPr>
          <w:lang w:val="en-GB" w:bidi="ar-EG"/>
        </w:rPr>
      </w:pPr>
      <w:bookmarkStart w:id="20" w:name="_Toc224288795"/>
      <w:r>
        <w:sym w:font="Wingdings 2" w:char="F097"/>
      </w:r>
      <w:r>
        <w:tab/>
      </w:r>
      <w:r w:rsidR="00621959" w:rsidRPr="00621959">
        <w:rPr>
          <w:rtl/>
        </w:rPr>
        <w:t>تحديد الطيف للاتصالات المتنقلة الدولية (</w:t>
      </w:r>
      <w:r w:rsidR="00621959" w:rsidRPr="00621959">
        <w:rPr>
          <w:lang w:val="en-GB" w:bidi="ar-EG"/>
        </w:rPr>
        <w:t>IMT</w:t>
      </w:r>
      <w:r w:rsidR="00621959" w:rsidRPr="00621959">
        <w:rPr>
          <w:rtl/>
        </w:rPr>
        <w:t>)، وهو أمر بالغ الأهمية لتوسيع نطاق توصيلية النطاق العريض وتطوير الخدمات المتنقلة للاتصالات المتنقلة الدولية. وتم تحديد طيف لتستخدمه محطات المنصات عالية الارتفاع كمحطات أساسية للاتصالات المتنقلة الدولية (</w:t>
      </w:r>
      <w:r w:rsidR="00621959" w:rsidRPr="00621959">
        <w:rPr>
          <w:lang w:val="en-GB" w:bidi="ar-EG"/>
        </w:rPr>
        <w:t>HIBS</w:t>
      </w:r>
      <w:r w:rsidR="00621959" w:rsidRPr="00621959">
        <w:rPr>
          <w:rtl/>
        </w:rPr>
        <w:t>) التي توفر إمكانية توفير النطاق العريض المتنقل بأقل قدر من البنية التحتية.</w:t>
      </w:r>
    </w:p>
    <w:p w14:paraId="4A71814F" w14:textId="3DA0480B" w:rsidR="00621959" w:rsidRPr="00621959" w:rsidRDefault="006B758D" w:rsidP="006B758D">
      <w:pPr>
        <w:pStyle w:val="enumlev1"/>
        <w:rPr>
          <w:lang w:val="en-GB" w:bidi="ar-EG"/>
        </w:rPr>
      </w:pPr>
      <w:r>
        <w:sym w:font="Wingdings 2" w:char="F097"/>
      </w:r>
      <w:r>
        <w:tab/>
      </w:r>
      <w:r w:rsidR="00621959" w:rsidRPr="00621959">
        <w:rPr>
          <w:rFonts w:hint="cs"/>
          <w:rtl/>
          <w:lang w:bidi="ar-EG"/>
        </w:rPr>
        <w:t>و</w:t>
      </w:r>
      <w:r w:rsidR="00621959" w:rsidRPr="00621959">
        <w:rPr>
          <w:rtl/>
        </w:rPr>
        <w:t xml:space="preserve">تحسين السلامة البحرية من خلال دعم تحديث النظام العالمي للاستغاثة والسلامة </w:t>
      </w:r>
      <w:r w:rsidR="00621959" w:rsidRPr="00621959">
        <w:rPr>
          <w:rFonts w:hint="cs"/>
          <w:rtl/>
        </w:rPr>
        <w:t xml:space="preserve">في </w:t>
      </w:r>
      <w:r w:rsidR="00621959" w:rsidRPr="00621959">
        <w:rPr>
          <w:rtl/>
        </w:rPr>
        <w:t>البحر (</w:t>
      </w:r>
      <w:r w:rsidR="00621959" w:rsidRPr="00621959">
        <w:rPr>
          <w:lang w:val="en-GB" w:bidi="ar-EG"/>
        </w:rPr>
        <w:t>GMDSS</w:t>
      </w:r>
      <w:r w:rsidR="00621959" w:rsidRPr="00621959">
        <w:rPr>
          <w:rtl/>
        </w:rPr>
        <w:t>).</w:t>
      </w:r>
    </w:p>
    <w:p w14:paraId="7F7A800C" w14:textId="48F89601" w:rsidR="00621959" w:rsidRPr="00621959" w:rsidRDefault="006B758D" w:rsidP="006B758D">
      <w:pPr>
        <w:pStyle w:val="enumlev1"/>
        <w:rPr>
          <w:lang w:val="en-GB" w:bidi="ar-EG"/>
        </w:rPr>
      </w:pPr>
      <w:r>
        <w:sym w:font="Wingdings 2" w:char="F097"/>
      </w:r>
      <w:r>
        <w:tab/>
      </w:r>
      <w:proofErr w:type="spellStart"/>
      <w:r w:rsidR="00621959" w:rsidRPr="00621959">
        <w:rPr>
          <w:rFonts w:hint="cs"/>
          <w:rtl/>
        </w:rPr>
        <w:t>و</w:t>
      </w:r>
      <w:r w:rsidR="00621959" w:rsidRPr="00621959">
        <w:rPr>
          <w:rtl/>
        </w:rPr>
        <w:t>رقمنة</w:t>
      </w:r>
      <w:proofErr w:type="spellEnd"/>
      <w:r w:rsidR="00621959" w:rsidRPr="00621959">
        <w:rPr>
          <w:rtl/>
        </w:rPr>
        <w:t xml:space="preserve"> أنظمة الموجات </w:t>
      </w:r>
      <w:proofErr w:type="spellStart"/>
      <w:r w:rsidR="00621959" w:rsidRPr="00621959">
        <w:rPr>
          <w:rtl/>
        </w:rPr>
        <w:t>الديكامترية</w:t>
      </w:r>
      <w:proofErr w:type="spellEnd"/>
      <w:r w:rsidR="00621959" w:rsidRPr="00621959">
        <w:rPr>
          <w:rtl/>
        </w:rPr>
        <w:t xml:space="preserve"> (</w:t>
      </w:r>
      <w:r w:rsidR="00621959" w:rsidRPr="00621959">
        <w:rPr>
          <w:lang w:val="en-GB" w:bidi="ar-EG"/>
        </w:rPr>
        <w:t>HF</w:t>
      </w:r>
      <w:r w:rsidR="00621959" w:rsidRPr="00621959">
        <w:rPr>
          <w:rtl/>
        </w:rPr>
        <w:t xml:space="preserve">) وتوزيعات جديدة غير متعلقة بالسلامة </w:t>
      </w:r>
      <w:r w:rsidR="00621959" w:rsidRPr="00621959">
        <w:rPr>
          <w:rFonts w:hint="cs"/>
          <w:rtl/>
        </w:rPr>
        <w:t>لخدمات الطيران</w:t>
      </w:r>
      <w:r w:rsidR="00621959" w:rsidRPr="00621959">
        <w:rPr>
          <w:rtl/>
        </w:rPr>
        <w:t>.</w:t>
      </w:r>
    </w:p>
    <w:p w14:paraId="198F5016" w14:textId="039F6D33" w:rsidR="00621959" w:rsidRPr="00621959" w:rsidRDefault="006B758D" w:rsidP="006B758D">
      <w:pPr>
        <w:pStyle w:val="enumlev1"/>
        <w:rPr>
          <w:lang w:val="en-GB" w:bidi="ar-EG"/>
        </w:rPr>
      </w:pPr>
      <w:r>
        <w:sym w:font="Wingdings 2" w:char="F097"/>
      </w:r>
      <w:r>
        <w:tab/>
      </w:r>
      <w:r w:rsidR="00621959" w:rsidRPr="00621959">
        <w:rPr>
          <w:rFonts w:hint="cs"/>
          <w:rtl/>
        </w:rPr>
        <w:t>وتعزيز</w:t>
      </w:r>
      <w:r w:rsidR="00621959" w:rsidRPr="00621959">
        <w:rPr>
          <w:rtl/>
        </w:rPr>
        <w:t xml:space="preserve"> الخدمات الساتلية، بما في ذلك اعتماد إجراءات تنظيمية لتوفير وصلات بين السواتل. </w:t>
      </w:r>
      <w:r w:rsidR="00621959" w:rsidRPr="00621959">
        <w:rPr>
          <w:rFonts w:hint="cs"/>
          <w:rtl/>
        </w:rPr>
        <w:t>وتعزيز</w:t>
      </w:r>
      <w:r w:rsidR="00621959" w:rsidRPr="00621959">
        <w:rPr>
          <w:rtl/>
        </w:rPr>
        <w:t xml:space="preserve"> عمليات المحطات الأرضية المتحركة (</w:t>
      </w:r>
      <w:r w:rsidR="00621959" w:rsidRPr="00621959">
        <w:rPr>
          <w:lang w:val="en-GB" w:bidi="ar-EG"/>
        </w:rPr>
        <w:t>ESIM</w:t>
      </w:r>
      <w:r w:rsidR="00621959" w:rsidRPr="00621959">
        <w:rPr>
          <w:rtl/>
        </w:rPr>
        <w:t xml:space="preserve">) لتوفير النطاق العريض عالي السرعة على متن الطائرات والسفن والقطارات والمركبات، وقواعد محسنة </w:t>
      </w:r>
      <w:proofErr w:type="spellStart"/>
      <w:r w:rsidR="00621959" w:rsidRPr="00621959">
        <w:rPr>
          <w:rtl/>
        </w:rPr>
        <w:t>للكوكبات</w:t>
      </w:r>
      <w:proofErr w:type="spellEnd"/>
      <w:r w:rsidR="00621959" w:rsidRPr="00621959">
        <w:rPr>
          <w:rtl/>
        </w:rPr>
        <w:t xml:space="preserve"> غير المستقرة بالنسبة إلى الأرض (</w:t>
      </w:r>
      <w:r w:rsidR="00621959" w:rsidRPr="00621959">
        <w:rPr>
          <w:lang w:val="en-GB" w:bidi="ar-EG"/>
        </w:rPr>
        <w:t>GSO</w:t>
      </w:r>
      <w:r w:rsidR="00621959" w:rsidRPr="00621959">
        <w:rPr>
          <w:rtl/>
        </w:rPr>
        <w:t>).</w:t>
      </w:r>
    </w:p>
    <w:p w14:paraId="2A001C0F" w14:textId="162CDFEC" w:rsidR="00621959" w:rsidRPr="00621959" w:rsidRDefault="006B758D" w:rsidP="006B758D">
      <w:pPr>
        <w:pStyle w:val="enumlev1"/>
        <w:rPr>
          <w:lang w:val="en-GB" w:bidi="ar-EG"/>
        </w:rPr>
      </w:pPr>
      <w:r>
        <w:sym w:font="Wingdings 2" w:char="F097"/>
      </w:r>
      <w:r>
        <w:tab/>
      </w:r>
      <w:r w:rsidR="00621959" w:rsidRPr="00621959">
        <w:rPr>
          <w:rFonts w:hint="cs"/>
          <w:rtl/>
        </w:rPr>
        <w:t>و</w:t>
      </w:r>
      <w:r w:rsidR="00621959" w:rsidRPr="00621959">
        <w:rPr>
          <w:rtl/>
        </w:rPr>
        <w:t>خدمات العل</w:t>
      </w:r>
      <w:r w:rsidR="00621959" w:rsidRPr="00621959">
        <w:rPr>
          <w:rFonts w:hint="cs"/>
          <w:rtl/>
        </w:rPr>
        <w:t>و</w:t>
      </w:r>
      <w:r w:rsidR="00621959" w:rsidRPr="00621959">
        <w:rPr>
          <w:rtl/>
        </w:rPr>
        <w:t>م (التوزيعات الجديدة والمحسنة لدعم مراقبة الأرض وأبحاث الفضاء والطقس الفضائي).</w:t>
      </w:r>
    </w:p>
    <w:p w14:paraId="61412A8A" w14:textId="52972285" w:rsidR="00621959" w:rsidRPr="00621959" w:rsidRDefault="006B758D" w:rsidP="006B758D">
      <w:pPr>
        <w:pStyle w:val="enumlev1"/>
        <w:rPr>
          <w:lang w:val="en-GB" w:bidi="ar-EG"/>
        </w:rPr>
      </w:pPr>
      <w:r>
        <w:sym w:font="Wingdings 2" w:char="F097"/>
      </w:r>
      <w:r>
        <w:tab/>
      </w:r>
      <w:r w:rsidR="00621959" w:rsidRPr="00621959">
        <w:rPr>
          <w:rFonts w:hint="cs"/>
          <w:rtl/>
        </w:rPr>
        <w:t>و</w:t>
      </w:r>
      <w:r w:rsidR="00621959" w:rsidRPr="00621959">
        <w:rPr>
          <w:rtl/>
        </w:rPr>
        <w:t>دعم دولة فلسطين في إدارة الطيف ونشر شبكات الاتصالات المتقدمة.</w:t>
      </w:r>
    </w:p>
    <w:p w14:paraId="1C09C7BA" w14:textId="77777777" w:rsidR="00621959" w:rsidRPr="00621959" w:rsidRDefault="00621959" w:rsidP="008A5A1B">
      <w:pPr>
        <w:rPr>
          <w:rtl/>
        </w:rPr>
      </w:pPr>
      <w:r w:rsidRPr="00621959">
        <w:rPr>
          <w:rtl/>
        </w:rPr>
        <w:t xml:space="preserve">ونسخة عام 2024 من لوائح الراديو متاحة </w:t>
      </w:r>
      <w:hyperlink r:id="rId52" w:history="1">
        <w:r w:rsidRPr="00621959">
          <w:rPr>
            <w:rStyle w:val="Hyperlink"/>
            <w:noProof w:val="0"/>
            <w:rtl/>
            <w:lang w:val="en-US" w:eastAsia="zh-CN"/>
          </w:rPr>
          <w:t>هنا</w:t>
        </w:r>
      </w:hyperlink>
      <w:r w:rsidRPr="00621959">
        <w:rPr>
          <w:rtl/>
        </w:rPr>
        <w:t>.</w:t>
      </w:r>
    </w:p>
    <w:p w14:paraId="3E3FEB02" w14:textId="02F2CE23" w:rsidR="00621959" w:rsidRPr="00621959" w:rsidRDefault="006B758D" w:rsidP="006B758D">
      <w:pPr>
        <w:pStyle w:val="Heading3"/>
        <w:rPr>
          <w:rtl/>
        </w:rPr>
      </w:pPr>
      <w:bookmarkStart w:id="21" w:name="_Toc227252569"/>
      <w:r>
        <w:t>2.2.2</w:t>
      </w:r>
      <w:r>
        <w:tab/>
      </w:r>
      <w:r w:rsidR="00621959" w:rsidRPr="00621959">
        <w:rPr>
          <w:rtl/>
        </w:rPr>
        <w:t>جمعية الاتصالات الراديوية لعام 2023</w:t>
      </w:r>
      <w:bookmarkEnd w:id="21"/>
    </w:p>
    <w:bookmarkEnd w:id="20"/>
    <w:p w14:paraId="35278DA9" w14:textId="353C974F" w:rsidR="00621959" w:rsidRPr="00621959" w:rsidRDefault="00621959" w:rsidP="008A5A1B">
      <w:pPr>
        <w:rPr>
          <w:lang w:val="en-GB" w:bidi="ar-EG"/>
        </w:rPr>
      </w:pPr>
      <w:r w:rsidRPr="00621959">
        <w:rPr>
          <w:rtl/>
        </w:rPr>
        <w:t>عقدت جمعية الاتصالات الراديوية لعام 2023 (</w:t>
      </w:r>
      <w:hyperlink r:id="rId53" w:anchor="/ar" w:history="1">
        <w:r w:rsidRPr="00621959">
          <w:rPr>
            <w:rStyle w:val="Hyperlink"/>
            <w:noProof w:val="0"/>
            <w:lang w:eastAsia="zh-CN" w:bidi="ar-EG"/>
          </w:rPr>
          <w:t>RA-23</w:t>
        </w:r>
      </w:hyperlink>
      <w:r w:rsidRPr="00621959">
        <w:rPr>
          <w:rtl/>
        </w:rPr>
        <w:t>) في الفترة من 13 إلى 17 نوفمبر 2023، مباشرة قبل المؤتمر العالمي للاتصالات الراديوية لعام 2023 (</w:t>
      </w:r>
      <w:r w:rsidRPr="00621959">
        <w:rPr>
          <w:lang w:val="en-GB" w:bidi="ar-EG"/>
        </w:rPr>
        <w:t>WRC-23</w:t>
      </w:r>
      <w:r w:rsidRPr="00621959">
        <w:rPr>
          <w:rtl/>
        </w:rPr>
        <w:t xml:space="preserve">). ​​وحضر الجمعية 566 مشاركاً من 95 إدارة، إلى جانب 41 عضواً من أعضاء القطاع، </w:t>
      </w:r>
      <w:r w:rsidRPr="00621959">
        <w:rPr>
          <w:rFonts w:hint="cs"/>
          <w:rtl/>
        </w:rPr>
        <w:t>وهيئة</w:t>
      </w:r>
      <w:r w:rsidRPr="00621959">
        <w:rPr>
          <w:rtl/>
        </w:rPr>
        <w:t xml:space="preserve"> أكاديمية واحدة، ووكالتين متخصصتين تابعتين للأمم المتحدة. وتماشياً مع ولايتها، حددت الجمعية التوجهات المستقبلية لأنظمة الاتصالات الراديوية وتكنولوجيا المعلومات والاتصالات من خلال وضع برنامج العمل المستقبلي لقطاع الاتصالات الراديوية</w:t>
      </w:r>
      <w:r w:rsidR="00566ED9">
        <w:rPr>
          <w:rFonts w:hint="cs"/>
          <w:rtl/>
        </w:rPr>
        <w:t xml:space="preserve"> </w:t>
      </w:r>
      <w:r w:rsidR="00566ED9">
        <w:t>(ITU-R)</w:t>
      </w:r>
      <w:r w:rsidRPr="00621959">
        <w:rPr>
          <w:rtl/>
        </w:rPr>
        <w:t>، ووافقت على مجموعة من توصيات وقرارات قطاع الاتصالات الراديوية التي سيكون لها تأثير عالمي على تكنولوجيات الاتصالات الراديوية المستقبلية.</w:t>
      </w:r>
    </w:p>
    <w:p w14:paraId="49724F61" w14:textId="5421220A" w:rsidR="00621959" w:rsidRPr="00621959" w:rsidRDefault="00621959" w:rsidP="008A5A1B">
      <w:pPr>
        <w:rPr>
          <w:lang w:val="en-GB" w:bidi="ar-EG"/>
        </w:rPr>
      </w:pPr>
      <w:r w:rsidRPr="00621959">
        <w:rPr>
          <w:rtl/>
        </w:rPr>
        <w:t xml:space="preserve">وأسفرت الجمعية </w:t>
      </w:r>
      <w:r w:rsidRPr="00621959">
        <w:rPr>
          <w:lang w:val="en-GB" w:bidi="ar-EG"/>
        </w:rPr>
        <w:t>RA-23</w:t>
      </w:r>
      <w:r w:rsidRPr="00621959">
        <w:rPr>
          <w:rtl/>
        </w:rPr>
        <w:t xml:space="preserve"> عن العديد من </w:t>
      </w:r>
      <w:r w:rsidR="00FB505F">
        <w:rPr>
          <w:rFonts w:hint="cs"/>
          <w:rtl/>
        </w:rPr>
        <w:t>النواتج</w:t>
      </w:r>
      <w:r w:rsidRPr="00621959">
        <w:rPr>
          <w:rtl/>
        </w:rPr>
        <w:t xml:space="preserve"> الرئيسية التي تشكل العمل المستقبلي لقطاع الاتصالات الراديوية، بما في ذلك:</w:t>
      </w:r>
    </w:p>
    <w:p w14:paraId="415C24EA" w14:textId="3B822FD7" w:rsidR="00621959" w:rsidRPr="00566ED9" w:rsidRDefault="00566ED9" w:rsidP="00566ED9">
      <w:pPr>
        <w:pStyle w:val="enumlev1"/>
        <w:rPr>
          <w:spacing w:val="-2"/>
          <w:lang w:val="en-GB" w:bidi="ar-EG"/>
        </w:rPr>
      </w:pPr>
      <w:bookmarkStart w:id="22" w:name="_Toc224288796"/>
      <w:r w:rsidRPr="00566ED9">
        <w:rPr>
          <w:spacing w:val="-2"/>
        </w:rPr>
        <w:sym w:font="Wingdings 2" w:char="F097"/>
      </w:r>
      <w:r w:rsidRPr="00566ED9">
        <w:rPr>
          <w:spacing w:val="-2"/>
        </w:rPr>
        <w:tab/>
      </w:r>
      <w:r w:rsidR="00621959" w:rsidRPr="00566ED9">
        <w:rPr>
          <w:spacing w:val="-2"/>
          <w:rtl/>
        </w:rPr>
        <w:t>مراجعة 26 قراراً لقطاع الاتصالات الراديوية، ولا سيما تحديث أساليب عمل هيئات</w:t>
      </w:r>
      <w:r w:rsidR="00621959" w:rsidRPr="00566ED9">
        <w:rPr>
          <w:rFonts w:hint="cs"/>
          <w:spacing w:val="-2"/>
          <w:rtl/>
        </w:rPr>
        <w:t xml:space="preserve"> القطاع</w:t>
      </w:r>
      <w:r w:rsidR="00621959" w:rsidRPr="00566ED9">
        <w:rPr>
          <w:spacing w:val="-2"/>
          <w:rtl/>
        </w:rPr>
        <w:t xml:space="preserve"> (</w:t>
      </w:r>
      <w:hyperlink r:id="rId54" w:history="1">
        <w:r w:rsidR="00621959" w:rsidRPr="00566ED9">
          <w:rPr>
            <w:rStyle w:val="Hyperlink"/>
            <w:noProof w:val="0"/>
            <w:spacing w:val="-2"/>
            <w:rtl/>
            <w:lang w:val="en-US" w:eastAsia="zh-CN" w:bidi="ar-SA"/>
          </w:rPr>
          <w:t xml:space="preserve">القرار </w:t>
        </w:r>
        <w:r w:rsidRPr="00566ED9">
          <w:rPr>
            <w:rStyle w:val="Hyperlink"/>
            <w:rFonts w:eastAsia="PMingLiU"/>
            <w:noProof w:val="0"/>
            <w:spacing w:val="-2"/>
            <w:lang w:val="en-US" w:eastAsia="zh-TW"/>
          </w:rPr>
          <w:t>ITU-R </w:t>
        </w:r>
        <w:r w:rsidR="00621959" w:rsidRPr="00566ED9">
          <w:rPr>
            <w:rStyle w:val="Hyperlink"/>
            <w:noProof w:val="0"/>
            <w:spacing w:val="-2"/>
            <w:lang w:val="en-US" w:eastAsia="zh-CN" w:bidi="ar-SA"/>
          </w:rPr>
          <w:t>1-9</w:t>
        </w:r>
      </w:hyperlink>
      <w:r w:rsidR="00621959" w:rsidRPr="00566ED9">
        <w:rPr>
          <w:spacing w:val="-2"/>
          <w:rtl/>
        </w:rPr>
        <w:t>).</w:t>
      </w:r>
    </w:p>
    <w:p w14:paraId="0700F556" w14:textId="66035FA3" w:rsidR="00621959" w:rsidRPr="00621959" w:rsidRDefault="00566ED9" w:rsidP="00566ED9">
      <w:pPr>
        <w:pStyle w:val="enumlev1"/>
        <w:rPr>
          <w:lang w:val="en-GB" w:bidi="ar-EG"/>
        </w:rPr>
      </w:pPr>
      <w:r>
        <w:sym w:font="Wingdings 2" w:char="F097"/>
      </w:r>
      <w:r>
        <w:tab/>
      </w:r>
      <w:r w:rsidR="00621959" w:rsidRPr="00621959">
        <w:rPr>
          <w:rFonts w:hint="cs"/>
          <w:rtl/>
        </w:rPr>
        <w:t>و</w:t>
      </w:r>
      <w:r w:rsidR="00621959" w:rsidRPr="00621959">
        <w:rPr>
          <w:rtl/>
        </w:rPr>
        <w:t>تأكيد هيكل لجان الدراسات الحالي، والموافقة على برنامج العمل ومسائل لجان الدراسات، إلى جانب أربع توصيات جديدة لقطاع الاتصالات الراديوية (</w:t>
      </w:r>
      <w:hyperlink r:id="rId55" w:history="1">
        <w:r w:rsidR="00621959" w:rsidRPr="00566ED9">
          <w:rPr>
            <w:rStyle w:val="Hyperlink"/>
            <w:noProof w:val="0"/>
            <w:rtl/>
            <w:lang w:val="en-US" w:eastAsia="zh-CN" w:bidi="ar-SA"/>
          </w:rPr>
          <w:t xml:space="preserve">القرار </w:t>
        </w:r>
        <w:r w:rsidRPr="00566ED9">
          <w:rPr>
            <w:rStyle w:val="Hyperlink"/>
            <w:rFonts w:eastAsia="PMingLiU"/>
            <w:noProof w:val="0"/>
            <w:lang w:val="en-US" w:eastAsia="zh-TW"/>
          </w:rPr>
          <w:t xml:space="preserve">ITU-R </w:t>
        </w:r>
        <w:r w:rsidR="00621959" w:rsidRPr="00566ED9">
          <w:rPr>
            <w:rStyle w:val="Hyperlink"/>
            <w:noProof w:val="0"/>
            <w:lang w:val="en-US" w:eastAsia="zh-CN" w:bidi="ar-SA"/>
          </w:rPr>
          <w:t>5-9</w:t>
        </w:r>
      </w:hyperlink>
      <w:r w:rsidR="00621959" w:rsidRPr="00621959">
        <w:rPr>
          <w:rtl/>
        </w:rPr>
        <w:t>).</w:t>
      </w:r>
    </w:p>
    <w:p w14:paraId="4AD08CEE" w14:textId="4BF187AF" w:rsidR="00621959" w:rsidRPr="00621959" w:rsidRDefault="00566ED9" w:rsidP="00566ED9">
      <w:pPr>
        <w:pStyle w:val="enumlev1"/>
        <w:rPr>
          <w:lang w:val="en-GB" w:bidi="ar-EG"/>
        </w:rPr>
      </w:pPr>
      <w:r>
        <w:sym w:font="Wingdings 2" w:char="F097"/>
      </w:r>
      <w:r>
        <w:tab/>
      </w:r>
      <w:r w:rsidR="00621959" w:rsidRPr="00621959">
        <w:rPr>
          <w:rtl/>
        </w:rPr>
        <w:t>وحدّثت الجمعية إطار تطور الاتصالات المتنقلة الدولية بشكل كبير، حيث استحدثت مفهوم الاتصالات المتنقلة الدولية-2030 (</w:t>
      </w:r>
      <w:hyperlink r:id="rId56" w:history="1">
        <w:r w:rsidR="00621959" w:rsidRPr="00566ED9">
          <w:rPr>
            <w:rStyle w:val="Hyperlink"/>
            <w:noProof w:val="0"/>
            <w:rtl/>
            <w:lang w:val="en-US" w:eastAsia="zh-CN" w:bidi="ar-SA"/>
          </w:rPr>
          <w:t xml:space="preserve">القرار </w:t>
        </w:r>
        <w:r w:rsidRPr="00566ED9">
          <w:rPr>
            <w:rStyle w:val="Hyperlink"/>
            <w:rFonts w:eastAsia="PMingLiU"/>
            <w:noProof w:val="0"/>
            <w:lang w:val="en-US" w:eastAsia="zh-TW"/>
          </w:rPr>
          <w:t xml:space="preserve">ITU-R </w:t>
        </w:r>
        <w:r w:rsidR="00621959" w:rsidRPr="00566ED9">
          <w:rPr>
            <w:rStyle w:val="Hyperlink"/>
            <w:noProof w:val="0"/>
            <w:lang w:val="en-US" w:eastAsia="zh-CN" w:bidi="ar-SA"/>
          </w:rPr>
          <w:t>56-3</w:t>
        </w:r>
      </w:hyperlink>
      <w:r w:rsidR="00621959" w:rsidRPr="00621959">
        <w:rPr>
          <w:rtl/>
        </w:rPr>
        <w:t>) وواءمت مبادئ التطوير في المستقبل وفقاً لذلك (</w:t>
      </w:r>
      <w:hyperlink r:id="rId57" w:history="1">
        <w:r w:rsidR="00621959" w:rsidRPr="00566ED9">
          <w:rPr>
            <w:rStyle w:val="Hyperlink"/>
            <w:noProof w:val="0"/>
            <w:rtl/>
            <w:lang w:val="en-US" w:eastAsia="zh-CN" w:bidi="ar-SA"/>
          </w:rPr>
          <w:t xml:space="preserve">القرار </w:t>
        </w:r>
        <w:r w:rsidRPr="00566ED9">
          <w:rPr>
            <w:rStyle w:val="Hyperlink"/>
            <w:rFonts w:eastAsia="PMingLiU"/>
            <w:noProof w:val="0"/>
            <w:lang w:val="en-US" w:eastAsia="zh-TW"/>
          </w:rPr>
          <w:t xml:space="preserve">ITU-R </w:t>
        </w:r>
        <w:r w:rsidR="00621959" w:rsidRPr="00566ED9">
          <w:rPr>
            <w:rStyle w:val="Hyperlink"/>
            <w:noProof w:val="0"/>
            <w:lang w:val="en-US" w:eastAsia="zh-CN" w:bidi="ar-SA"/>
          </w:rPr>
          <w:t>65-1</w:t>
        </w:r>
      </w:hyperlink>
      <w:r w:rsidR="00621959" w:rsidRPr="00621959">
        <w:rPr>
          <w:rtl/>
        </w:rPr>
        <w:t>).</w:t>
      </w:r>
    </w:p>
    <w:p w14:paraId="3DBB5224" w14:textId="337EB204" w:rsidR="00621959" w:rsidRPr="00621959" w:rsidRDefault="00566ED9" w:rsidP="00566ED9">
      <w:pPr>
        <w:pStyle w:val="enumlev1"/>
        <w:rPr>
          <w:lang w:val="en-GB" w:bidi="ar-EG"/>
        </w:rPr>
      </w:pPr>
      <w:r>
        <w:sym w:font="Wingdings 2" w:char="F097"/>
      </w:r>
      <w:r>
        <w:tab/>
      </w:r>
      <w:r w:rsidR="00621959" w:rsidRPr="00621959">
        <w:rPr>
          <w:rFonts w:hint="cs"/>
          <w:rtl/>
        </w:rPr>
        <w:t>و</w:t>
      </w:r>
      <w:r w:rsidR="00621959" w:rsidRPr="00621959">
        <w:rPr>
          <w:rtl/>
        </w:rPr>
        <w:t xml:space="preserve">بالإضافة إلى ذلك، اعتمدت الجمعية </w:t>
      </w:r>
      <w:r w:rsidR="00621959" w:rsidRPr="00621959">
        <w:rPr>
          <w:lang w:val="en-GB" w:bidi="ar-EG"/>
        </w:rPr>
        <w:t>RA-23</w:t>
      </w:r>
      <w:r w:rsidR="00621959" w:rsidRPr="00621959">
        <w:rPr>
          <w:rtl/>
        </w:rPr>
        <w:t xml:space="preserve"> </w:t>
      </w:r>
      <w:proofErr w:type="gramStart"/>
      <w:r w:rsidR="00621959" w:rsidRPr="00621959">
        <w:rPr>
          <w:rtl/>
        </w:rPr>
        <w:t>أربعة</w:t>
      </w:r>
      <w:proofErr w:type="gramEnd"/>
      <w:r w:rsidR="00621959" w:rsidRPr="00621959">
        <w:rPr>
          <w:rtl/>
        </w:rPr>
        <w:t xml:space="preserve"> قرارات جديدة تركز على تعزيز المساواة بين الجنسين في أنشطة قطاع الاتصالات الراديوية (</w:t>
      </w:r>
      <w:hyperlink r:id="rId58" w:history="1">
        <w:r w:rsidR="00621959" w:rsidRPr="00566ED9">
          <w:rPr>
            <w:rStyle w:val="Hyperlink"/>
            <w:noProof w:val="0"/>
            <w:rtl/>
            <w:lang w:val="en-US" w:eastAsia="zh-CN" w:bidi="ar-SA"/>
          </w:rPr>
          <w:t xml:space="preserve">القرار </w:t>
        </w:r>
        <w:r w:rsidRPr="00566ED9">
          <w:rPr>
            <w:rStyle w:val="Hyperlink"/>
            <w:rFonts w:eastAsia="PMingLiU"/>
            <w:noProof w:val="0"/>
            <w:lang w:val="en-US" w:eastAsia="zh-TW"/>
          </w:rPr>
          <w:t xml:space="preserve">ITU-R </w:t>
        </w:r>
        <w:r w:rsidR="00621959" w:rsidRPr="00566ED9">
          <w:rPr>
            <w:rStyle w:val="Hyperlink"/>
            <w:noProof w:val="0"/>
            <w:lang w:val="en-US" w:eastAsia="zh-CN" w:bidi="ar-SA"/>
          </w:rPr>
          <w:t>72</w:t>
        </w:r>
      </w:hyperlink>
      <w:r w:rsidR="00621959" w:rsidRPr="00621959">
        <w:rPr>
          <w:rtl/>
        </w:rPr>
        <w:t>)، ودعم استعمال تكنولوجيات الاتصالات المتنقلة الدولية للنطاق العريض اللاسلكي الثابت (</w:t>
      </w:r>
      <w:hyperlink r:id="rId59" w:history="1">
        <w:r w:rsidR="00621959" w:rsidRPr="00566ED9">
          <w:rPr>
            <w:rStyle w:val="Hyperlink"/>
            <w:noProof w:val="0"/>
            <w:rtl/>
            <w:lang w:val="en-US" w:eastAsia="zh-CN" w:bidi="ar-SA"/>
          </w:rPr>
          <w:t xml:space="preserve">القرار </w:t>
        </w:r>
        <w:r w:rsidRPr="00566ED9">
          <w:rPr>
            <w:rStyle w:val="Hyperlink"/>
            <w:rFonts w:eastAsia="PMingLiU"/>
            <w:noProof w:val="0"/>
            <w:lang w:val="en-US" w:eastAsia="zh-TW"/>
          </w:rPr>
          <w:t xml:space="preserve">ITU-R </w:t>
        </w:r>
        <w:r w:rsidR="00621959" w:rsidRPr="00566ED9">
          <w:rPr>
            <w:rStyle w:val="Hyperlink"/>
            <w:noProof w:val="0"/>
            <w:lang w:val="en-US" w:eastAsia="zh-CN" w:bidi="ar-SA"/>
          </w:rPr>
          <w:t>73</w:t>
        </w:r>
      </w:hyperlink>
      <w:r w:rsidR="00621959" w:rsidRPr="00621959">
        <w:rPr>
          <w:rtl/>
        </w:rPr>
        <w:t>)، والنهوض بالاستعمال المستدام للطيف والموارد المدارية (</w:t>
      </w:r>
      <w:hyperlink r:id="rId60" w:history="1">
        <w:r w:rsidR="00621959" w:rsidRPr="00566ED9">
          <w:rPr>
            <w:rStyle w:val="Hyperlink"/>
            <w:noProof w:val="0"/>
            <w:rtl/>
            <w:lang w:val="en-US" w:eastAsia="zh-CN" w:bidi="ar-SA"/>
          </w:rPr>
          <w:t xml:space="preserve">القرار </w:t>
        </w:r>
        <w:r w:rsidRPr="00566ED9">
          <w:rPr>
            <w:rStyle w:val="Hyperlink"/>
            <w:rFonts w:eastAsia="PMingLiU"/>
            <w:noProof w:val="0"/>
            <w:lang w:val="en-US" w:eastAsia="zh-TW"/>
          </w:rPr>
          <w:t xml:space="preserve">ITU-R </w:t>
        </w:r>
        <w:r w:rsidR="00621959" w:rsidRPr="00566ED9">
          <w:rPr>
            <w:rStyle w:val="Hyperlink"/>
            <w:noProof w:val="0"/>
            <w:lang w:val="en-US" w:eastAsia="zh-CN" w:bidi="ar-SA"/>
          </w:rPr>
          <w:t>74</w:t>
        </w:r>
      </w:hyperlink>
      <w:r w:rsidR="00621959" w:rsidRPr="00621959">
        <w:rPr>
          <w:rtl/>
        </w:rPr>
        <w:t>).</w:t>
      </w:r>
    </w:p>
    <w:p w14:paraId="564AF416" w14:textId="6847DC4A" w:rsidR="00621959" w:rsidRPr="00621959" w:rsidRDefault="00566ED9" w:rsidP="00566ED9">
      <w:pPr>
        <w:pStyle w:val="enumlev1"/>
        <w:rPr>
          <w:rtl/>
        </w:rPr>
      </w:pPr>
      <w:r>
        <w:sym w:font="Wingdings 2" w:char="F097"/>
      </w:r>
      <w:r>
        <w:tab/>
      </w:r>
      <w:r w:rsidR="00621959" w:rsidRPr="00621959">
        <w:rPr>
          <w:rFonts w:hint="cs"/>
          <w:rtl/>
        </w:rPr>
        <w:t>و</w:t>
      </w:r>
      <w:r w:rsidR="00621959" w:rsidRPr="00621959">
        <w:rPr>
          <w:rtl/>
        </w:rPr>
        <w:t>تعزيز التنسيق بين القطاعات على نطاق الاتحاد (</w:t>
      </w:r>
      <w:hyperlink r:id="rId61" w:history="1">
        <w:r w:rsidR="00621959" w:rsidRPr="00566ED9">
          <w:rPr>
            <w:rStyle w:val="Hyperlink"/>
            <w:noProof w:val="0"/>
            <w:rtl/>
            <w:lang w:val="en-US" w:eastAsia="zh-CN" w:bidi="ar-SA"/>
          </w:rPr>
          <w:t xml:space="preserve">القرار </w:t>
        </w:r>
        <w:r w:rsidRPr="00566ED9">
          <w:rPr>
            <w:rStyle w:val="Hyperlink"/>
            <w:rFonts w:eastAsia="PMingLiU"/>
            <w:noProof w:val="0"/>
            <w:lang w:val="en-US" w:eastAsia="zh-TW"/>
          </w:rPr>
          <w:t xml:space="preserve">ITU-R </w:t>
        </w:r>
        <w:r w:rsidR="00621959" w:rsidRPr="00566ED9">
          <w:rPr>
            <w:rStyle w:val="Hyperlink"/>
            <w:noProof w:val="0"/>
            <w:lang w:val="en-US" w:eastAsia="zh-CN" w:bidi="ar-SA"/>
          </w:rPr>
          <w:t>75</w:t>
        </w:r>
      </w:hyperlink>
      <w:r w:rsidR="00621959" w:rsidRPr="00621959">
        <w:rPr>
          <w:rtl/>
        </w:rPr>
        <w:t>)، وتوحيد النصوص السابقة. وأ</w:t>
      </w:r>
      <w:r w:rsidR="00621959" w:rsidRPr="00621959">
        <w:rPr>
          <w:rFonts w:hint="cs"/>
          <w:rtl/>
        </w:rPr>
        <w:t>ُ</w:t>
      </w:r>
      <w:r w:rsidR="00621959" w:rsidRPr="00621959">
        <w:rPr>
          <w:rtl/>
        </w:rPr>
        <w:t xml:space="preserve">حيلت القرارات ذات الصلة بالمؤتمر العالمي للاتصالات الراديوية لعام 2023 لاحقاً في </w:t>
      </w:r>
      <w:hyperlink r:id="rId62" w:history="1">
        <w:r w:rsidR="00621959" w:rsidRPr="00566ED9">
          <w:rPr>
            <w:rStyle w:val="Hyperlink"/>
            <w:noProof w:val="0"/>
            <w:rtl/>
            <w:lang w:val="en-US" w:eastAsia="zh-CN"/>
          </w:rPr>
          <w:t xml:space="preserve">الوثيقة </w:t>
        </w:r>
        <w:r w:rsidR="00621959" w:rsidRPr="00566ED9">
          <w:rPr>
            <w:rStyle w:val="Hyperlink"/>
            <w:noProof w:val="0"/>
            <w:lang w:eastAsia="zh-CN" w:bidi="ar-EG"/>
          </w:rPr>
          <w:t>WRC-23/217</w:t>
        </w:r>
      </w:hyperlink>
      <w:r w:rsidR="00621959" w:rsidRPr="00621959">
        <w:rPr>
          <w:rtl/>
        </w:rPr>
        <w:t>.</w:t>
      </w:r>
    </w:p>
    <w:p w14:paraId="1482D500" w14:textId="6F8A4D8C" w:rsidR="00621959" w:rsidRPr="00566ED9" w:rsidRDefault="00566ED9" w:rsidP="00566ED9">
      <w:pPr>
        <w:pStyle w:val="Heading2"/>
      </w:pPr>
      <w:bookmarkStart w:id="23" w:name="_Toc227252570"/>
      <w:r>
        <w:t>3.2</w:t>
      </w:r>
      <w:r w:rsidR="00621959" w:rsidRPr="00566ED9">
        <w:tab/>
      </w:r>
      <w:r w:rsidR="00621959" w:rsidRPr="00621959">
        <w:rPr>
          <w:rtl/>
        </w:rPr>
        <w:t>الجمعية العالمية لتقييس الاتصالات لعام 2024</w:t>
      </w:r>
      <w:bookmarkEnd w:id="22"/>
      <w:bookmarkEnd w:id="23"/>
    </w:p>
    <w:p w14:paraId="7A320EC7" w14:textId="61B78070" w:rsidR="00621959" w:rsidRPr="00621959" w:rsidRDefault="00621959" w:rsidP="008A5A1B">
      <w:pPr>
        <w:rPr>
          <w:lang w:val="en-GB" w:bidi="ar-EG"/>
        </w:rPr>
      </w:pPr>
      <w:r w:rsidRPr="00621959">
        <w:rPr>
          <w:rtl/>
        </w:rPr>
        <w:t>عُقدت الجمعية العالمية لتقييس الاتصالات لعام 2024 (</w:t>
      </w:r>
      <w:hyperlink r:id="rId63" w:anchor="/ar" w:history="1">
        <w:r w:rsidRPr="00621959">
          <w:rPr>
            <w:rStyle w:val="Hyperlink"/>
            <w:noProof w:val="0"/>
            <w:lang w:eastAsia="zh-CN" w:bidi="ar-EG"/>
          </w:rPr>
          <w:t>WTSA-24</w:t>
        </w:r>
      </w:hyperlink>
      <w:r w:rsidRPr="00621959">
        <w:rPr>
          <w:rtl/>
        </w:rPr>
        <w:t>) في الفترة من 15 إلى 24 أكتوبر 2024 في</w:t>
      </w:r>
      <w:r w:rsidR="00566ED9">
        <w:rPr>
          <w:rFonts w:hint="cs"/>
          <w:rtl/>
        </w:rPr>
        <w:t> </w:t>
      </w:r>
      <w:r w:rsidRPr="00621959">
        <w:rPr>
          <w:rtl/>
        </w:rPr>
        <w:t>نيودلهي،</w:t>
      </w:r>
      <w:r w:rsidR="00566ED9">
        <w:rPr>
          <w:rFonts w:hint="eastAsia"/>
          <w:rtl/>
          <w:lang w:bidi="ar-EG"/>
        </w:rPr>
        <w:t> </w:t>
      </w:r>
      <w:r w:rsidRPr="00621959">
        <w:rPr>
          <w:rtl/>
        </w:rPr>
        <w:t>الهند. وكانت هذه أول جمعية عالمية لتقييس الاتصالات تعقد في آسيا. وسبق</w:t>
      </w:r>
      <w:r w:rsidRPr="00621959">
        <w:rPr>
          <w:rFonts w:hint="cs"/>
          <w:rtl/>
        </w:rPr>
        <w:t>ت</w:t>
      </w:r>
      <w:r w:rsidRPr="00621959">
        <w:rPr>
          <w:rtl/>
        </w:rPr>
        <w:t>ها الندوة العالمية للمعايير لعام 2024 (</w:t>
      </w:r>
      <w:hyperlink r:id="rId64" w:anchor="/ar" w:history="1">
        <w:r w:rsidRPr="00621959">
          <w:rPr>
            <w:rStyle w:val="Hyperlink"/>
            <w:noProof w:val="0"/>
            <w:lang w:eastAsia="zh-CN" w:bidi="ar-EG"/>
          </w:rPr>
          <w:t>GSS-24</w:t>
        </w:r>
      </w:hyperlink>
      <w:r w:rsidRPr="00621959">
        <w:rPr>
          <w:rtl/>
        </w:rPr>
        <w:t>) في 14 أكتوبر 2024، وتلتها دورة تدريبية للقيادة، قُدّمت للرؤساء المعينين حديثاً ونوابهم</w:t>
      </w:r>
      <w:r w:rsidR="00541570" w:rsidRPr="00541570">
        <w:rPr>
          <w:rFonts w:eastAsia="MS Mincho" w:hint="cs"/>
          <w:rtl/>
        </w:rPr>
        <w:t xml:space="preserve"> </w:t>
      </w:r>
      <w:r w:rsidR="00541570">
        <w:rPr>
          <w:rFonts w:eastAsia="MS Mincho" w:hint="cs"/>
          <w:rtl/>
        </w:rPr>
        <w:t>في</w:t>
      </w:r>
      <w:r w:rsidR="00541570">
        <w:rPr>
          <w:rFonts w:eastAsia="MS Mincho" w:hint="eastAsia"/>
          <w:rtl/>
          <w:lang w:bidi="ar-EG"/>
        </w:rPr>
        <w:t> </w:t>
      </w:r>
      <w:r w:rsidR="00541570">
        <w:rPr>
          <w:rFonts w:eastAsia="MS Mincho" w:hint="cs"/>
          <w:rtl/>
        </w:rPr>
        <w:t xml:space="preserve">أفرقة الصياغة للجمعية </w:t>
      </w:r>
      <w:r w:rsidR="00541570">
        <w:rPr>
          <w:rFonts w:eastAsia="MS Mincho"/>
          <w:lang w:val="en-CA"/>
        </w:rPr>
        <w:t>WTSA</w:t>
      </w:r>
      <w:r w:rsidR="00541570">
        <w:rPr>
          <w:rFonts w:eastAsia="MS Mincho"/>
          <w:lang w:val="en-CA"/>
        </w:rPr>
        <w:noBreakHyphen/>
        <w:t>24</w:t>
      </w:r>
      <w:r w:rsidR="00541570" w:rsidRPr="001405A6">
        <w:rPr>
          <w:rFonts w:eastAsia="MS Mincho"/>
          <w:rtl/>
        </w:rPr>
        <w:t>.</w:t>
      </w:r>
      <w:r w:rsidR="002212B3">
        <w:rPr>
          <w:rFonts w:eastAsia="MS Mincho"/>
          <w:rtl/>
        </w:rPr>
        <w:t xml:space="preserve"> </w:t>
      </w:r>
      <w:r w:rsidRPr="00621959">
        <w:rPr>
          <w:rtl/>
        </w:rPr>
        <w:t>ورحبت</w:t>
      </w:r>
      <w:r w:rsidR="00566ED9">
        <w:rPr>
          <w:rFonts w:hint="cs"/>
          <w:rtl/>
        </w:rPr>
        <w:t> </w:t>
      </w:r>
      <w:r w:rsidRPr="00621959">
        <w:rPr>
          <w:rtl/>
        </w:rPr>
        <w:t xml:space="preserve">الجمعية بفخامة رئيس الوزراء الهندي، </w:t>
      </w:r>
      <w:proofErr w:type="spellStart"/>
      <w:r w:rsidRPr="00621959">
        <w:rPr>
          <w:rtl/>
        </w:rPr>
        <w:t>ناريندرا</w:t>
      </w:r>
      <w:proofErr w:type="spellEnd"/>
      <w:r w:rsidRPr="00621959">
        <w:rPr>
          <w:rtl/>
        </w:rPr>
        <w:t xml:space="preserve"> مودي، في حفل افتتاحها. وترأس الجمعية السيد </w:t>
      </w:r>
      <w:proofErr w:type="spellStart"/>
      <w:r w:rsidRPr="00621959">
        <w:rPr>
          <w:rtl/>
        </w:rPr>
        <w:t>ريتو</w:t>
      </w:r>
      <w:proofErr w:type="spellEnd"/>
      <w:r w:rsidRPr="00621959">
        <w:rPr>
          <w:rtl/>
        </w:rPr>
        <w:t xml:space="preserve"> </w:t>
      </w:r>
      <w:proofErr w:type="spellStart"/>
      <w:r w:rsidRPr="00621959">
        <w:rPr>
          <w:rtl/>
        </w:rPr>
        <w:t>رانجان</w:t>
      </w:r>
      <w:proofErr w:type="spellEnd"/>
      <w:r w:rsidRPr="00621959">
        <w:rPr>
          <w:rtl/>
        </w:rPr>
        <w:t xml:space="preserve"> </w:t>
      </w:r>
      <w:proofErr w:type="spellStart"/>
      <w:r w:rsidRPr="00621959">
        <w:rPr>
          <w:rtl/>
        </w:rPr>
        <w:t>ميتار</w:t>
      </w:r>
      <w:proofErr w:type="spellEnd"/>
      <w:r w:rsidRPr="00621959">
        <w:rPr>
          <w:rtl/>
        </w:rPr>
        <w:t xml:space="preserve"> (الهند). وحضرها </w:t>
      </w:r>
      <w:r w:rsidR="00566ED9">
        <w:t>3 700</w:t>
      </w:r>
      <w:r w:rsidRPr="00621959">
        <w:rPr>
          <w:rtl/>
        </w:rPr>
        <w:t xml:space="preserve"> مندوب من 164 بلداً، وحققت تمثيلاً نسائياً بنسبة</w:t>
      </w:r>
      <w:r w:rsidR="00541570">
        <w:rPr>
          <w:rFonts w:hint="cs"/>
          <w:rtl/>
        </w:rPr>
        <w:t> </w:t>
      </w:r>
      <w:r w:rsidRPr="00621959">
        <w:rPr>
          <w:rtl/>
        </w:rPr>
        <w:t>27</w:t>
      </w:r>
      <w:r w:rsidR="00566ED9">
        <w:rPr>
          <w:rFonts w:hint="cs"/>
          <w:rtl/>
        </w:rPr>
        <w:t xml:space="preserve"> في </w:t>
      </w:r>
      <w:proofErr w:type="gramStart"/>
      <w:r w:rsidR="00566ED9">
        <w:rPr>
          <w:rFonts w:hint="cs"/>
          <w:rtl/>
        </w:rPr>
        <w:t>المائة</w:t>
      </w:r>
      <w:proofErr w:type="gramEnd"/>
      <w:r w:rsidRPr="00621959">
        <w:rPr>
          <w:rtl/>
        </w:rPr>
        <w:t xml:space="preserve">، وهي أعلى نسبة تمثيل نسائي حتى الآن في مؤتمرات الاتحاد التي عقدت خارج جنيف. كما شهدت أعلى مستوى من المشاركة، حيث أرسل 37 بلداً عضو وزراء. وعقد أكثر من 20 حدثاً جانبياً خلال الجمعية </w:t>
      </w:r>
      <w:r w:rsidRPr="00621959">
        <w:rPr>
          <w:lang w:val="en-CA" w:bidi="ar-EG"/>
        </w:rPr>
        <w:t>WTSA</w:t>
      </w:r>
      <w:r w:rsidRPr="00621959">
        <w:rPr>
          <w:lang w:val="en-CA" w:bidi="ar-EG"/>
        </w:rPr>
        <w:noBreakHyphen/>
        <w:t>24</w:t>
      </w:r>
      <w:r w:rsidRPr="00621959">
        <w:rPr>
          <w:rtl/>
        </w:rPr>
        <w:t>.</w:t>
      </w:r>
    </w:p>
    <w:p w14:paraId="6D6DE7D2" w14:textId="752ACCB5" w:rsidR="00621959" w:rsidRPr="00621959" w:rsidRDefault="00621959" w:rsidP="008A5A1B">
      <w:pPr>
        <w:rPr>
          <w:lang w:val="en-GB" w:bidi="ar-EG"/>
        </w:rPr>
      </w:pPr>
      <w:r w:rsidRPr="00621959">
        <w:rPr>
          <w:rFonts w:hint="cs"/>
          <w:rtl/>
          <w:lang w:bidi="ar-EG"/>
        </w:rPr>
        <w:t xml:space="preserve">وتشمل </w:t>
      </w:r>
      <w:r w:rsidR="00D23D15">
        <w:rPr>
          <w:rFonts w:hint="cs"/>
          <w:rtl/>
          <w:lang w:bidi="ar-EG"/>
        </w:rPr>
        <w:t>النواتج</w:t>
      </w:r>
      <w:r w:rsidRPr="00621959">
        <w:rPr>
          <w:rtl/>
        </w:rPr>
        <w:t xml:space="preserve"> </w:t>
      </w:r>
      <w:r w:rsidRPr="00621959">
        <w:rPr>
          <w:rFonts w:hint="cs"/>
          <w:rtl/>
        </w:rPr>
        <w:t>الرئيسية ل</w:t>
      </w:r>
      <w:r w:rsidRPr="00621959">
        <w:rPr>
          <w:rtl/>
        </w:rPr>
        <w:t xml:space="preserve">لجمعية </w:t>
      </w:r>
      <w:r w:rsidRPr="00621959">
        <w:rPr>
          <w:lang w:val="en-GB" w:bidi="ar-EG"/>
        </w:rPr>
        <w:t>WTSA-24</w:t>
      </w:r>
      <w:r w:rsidR="00A73CAC">
        <w:rPr>
          <w:rFonts w:hint="cs"/>
          <w:rtl/>
        </w:rPr>
        <w:t>:</w:t>
      </w:r>
    </w:p>
    <w:p w14:paraId="2C634320" w14:textId="40FE9283" w:rsidR="00621959" w:rsidRPr="00621959" w:rsidRDefault="00A73CAC" w:rsidP="00A73CAC">
      <w:pPr>
        <w:pStyle w:val="enumlev1"/>
        <w:rPr>
          <w:lang w:val="en-GB"/>
        </w:rPr>
      </w:pPr>
      <w:r>
        <w:sym w:font="Wingdings 2" w:char="F097"/>
      </w:r>
      <w:r>
        <w:tab/>
      </w:r>
      <w:r w:rsidR="00621959" w:rsidRPr="00621959">
        <w:rPr>
          <w:rtl/>
        </w:rPr>
        <w:t xml:space="preserve">دمج </w:t>
      </w:r>
      <w:hyperlink r:id="rId65" w:history="1">
        <w:r w:rsidR="00621959" w:rsidRPr="00621959">
          <w:rPr>
            <w:rStyle w:val="Hyperlink"/>
            <w:noProof w:val="0"/>
            <w:rtl/>
            <w:lang w:val="en-US" w:eastAsia="zh-CN" w:bidi="ar-SA"/>
          </w:rPr>
          <w:t>لجنة الدراسات 9</w:t>
        </w:r>
      </w:hyperlink>
      <w:r w:rsidR="00621959" w:rsidRPr="00621959">
        <w:rPr>
          <w:rtl/>
        </w:rPr>
        <w:t xml:space="preserve"> و</w:t>
      </w:r>
      <w:hyperlink r:id="rId66" w:history="1">
        <w:r w:rsidR="00621959" w:rsidRPr="00621959">
          <w:rPr>
            <w:rStyle w:val="Hyperlink"/>
            <w:noProof w:val="0"/>
            <w:rtl/>
            <w:lang w:val="en-US" w:eastAsia="zh-CN" w:bidi="ar-SA"/>
          </w:rPr>
          <w:t>لجنة الدراسات 16</w:t>
        </w:r>
      </w:hyperlink>
      <w:r w:rsidR="00621959" w:rsidRPr="00621959">
        <w:rPr>
          <w:rtl/>
        </w:rPr>
        <w:t xml:space="preserve"> لقطاع تقييس الاتصالات </w:t>
      </w:r>
      <w:r w:rsidR="00621959" w:rsidRPr="00621959">
        <w:rPr>
          <w:rFonts w:hint="cs"/>
          <w:rtl/>
        </w:rPr>
        <w:t xml:space="preserve">بالاتحاد </w:t>
      </w:r>
      <w:r w:rsidR="00621959" w:rsidRPr="00621959">
        <w:rPr>
          <w:rtl/>
        </w:rPr>
        <w:t xml:space="preserve">في هيئة جديدة، هي </w:t>
      </w:r>
      <w:hyperlink r:id="rId67" w:anchor="/ar" w:history="1">
        <w:r w:rsidR="00621959" w:rsidRPr="00621959">
          <w:rPr>
            <w:rStyle w:val="Hyperlink"/>
            <w:noProof w:val="0"/>
            <w:rtl/>
            <w:lang w:val="en-US" w:eastAsia="zh-CN" w:bidi="ar-SA"/>
          </w:rPr>
          <w:t>لجنة الدراسات 21</w:t>
        </w:r>
      </w:hyperlink>
      <w:r w:rsidR="00621959" w:rsidRPr="00621959">
        <w:rPr>
          <w:rtl/>
        </w:rPr>
        <w:t xml:space="preserve">، التي تعنى بتكنولوجيات الوسائط المتعددة، وإيصال المحتوى، والتلفزيون </w:t>
      </w:r>
      <w:proofErr w:type="spellStart"/>
      <w:r w:rsidR="00621959" w:rsidRPr="00621959">
        <w:rPr>
          <w:rtl/>
        </w:rPr>
        <w:t>الكبلي</w:t>
      </w:r>
      <w:proofErr w:type="spellEnd"/>
      <w:r w:rsidR="00621959" w:rsidRPr="00621959">
        <w:rPr>
          <w:rtl/>
        </w:rPr>
        <w:t>.</w:t>
      </w:r>
    </w:p>
    <w:p w14:paraId="7712E263" w14:textId="4C3ECA62" w:rsidR="00621959" w:rsidRPr="00621959" w:rsidRDefault="00A73CAC" w:rsidP="00A73CAC">
      <w:pPr>
        <w:pStyle w:val="enumlev1"/>
        <w:rPr>
          <w:lang w:val="en-GB"/>
        </w:rPr>
      </w:pPr>
      <w:r>
        <w:sym w:font="Wingdings 2" w:char="F097"/>
      </w:r>
      <w:r>
        <w:tab/>
      </w:r>
      <w:r w:rsidR="00621959" w:rsidRPr="00621959">
        <w:rPr>
          <w:rtl/>
        </w:rPr>
        <w:t xml:space="preserve">وعينت الجمعية </w:t>
      </w:r>
      <w:hyperlink r:id="rId68" w:anchor="/ar" w:history="1">
        <w:r w:rsidR="00621959" w:rsidRPr="00621959">
          <w:rPr>
            <w:rStyle w:val="Hyperlink"/>
            <w:noProof w:val="0"/>
            <w:rtl/>
            <w:lang w:val="en-US" w:eastAsia="zh-CN" w:bidi="ar-SA"/>
          </w:rPr>
          <w:t>رؤساء ونواب رؤساء</w:t>
        </w:r>
      </w:hyperlink>
      <w:r w:rsidR="00621959" w:rsidRPr="00621959">
        <w:rPr>
          <w:rtl/>
        </w:rPr>
        <w:t xml:space="preserve"> جدد لعشر لجان دراسات، بالإضافة إلى الفريق الاستشاري لتقييس الاتصالات ولجنة التقييس المعنية بالمفردات.</w:t>
      </w:r>
    </w:p>
    <w:p w14:paraId="2A83DFE9" w14:textId="45273D98" w:rsidR="00621959" w:rsidRPr="00621959" w:rsidRDefault="00A73CAC" w:rsidP="00A73CAC">
      <w:pPr>
        <w:pStyle w:val="enumlev1"/>
        <w:rPr>
          <w:lang w:val="en-GB"/>
        </w:rPr>
      </w:pPr>
      <w:r>
        <w:sym w:font="Wingdings 2" w:char="F097"/>
      </w:r>
      <w:r>
        <w:tab/>
      </w:r>
      <w:r w:rsidR="00621959" w:rsidRPr="00621959">
        <w:rPr>
          <w:rtl/>
        </w:rPr>
        <w:t xml:space="preserve">كما حدثت الجمعية الولاية بموجب </w:t>
      </w:r>
      <w:hyperlink r:id="rId69" w:history="1">
        <w:r w:rsidR="00621959" w:rsidRPr="00621959">
          <w:rPr>
            <w:rStyle w:val="Hyperlink"/>
            <w:noProof w:val="0"/>
            <w:rtl/>
            <w:lang w:val="en-US" w:eastAsia="zh-CN" w:bidi="ar-SA"/>
          </w:rPr>
          <w:t>القرار 2</w:t>
        </w:r>
      </w:hyperlink>
      <w:r w:rsidR="00621959" w:rsidRPr="00621959">
        <w:rPr>
          <w:rtl/>
        </w:rPr>
        <w:t xml:space="preserve">، واعتمدت مسائل جديدة لجميع لجان الدراسات العشر في القطاع، ووافقت على حزمة كبيرة من </w:t>
      </w:r>
      <w:r w:rsidR="00D23D15">
        <w:rPr>
          <w:rFonts w:hint="cs"/>
          <w:rtl/>
        </w:rPr>
        <w:t>المنجزات</w:t>
      </w:r>
      <w:r w:rsidR="00621959" w:rsidRPr="00621959">
        <w:rPr>
          <w:rtl/>
        </w:rPr>
        <w:t xml:space="preserve">، تشمل </w:t>
      </w:r>
      <w:proofErr w:type="gramStart"/>
      <w:r w:rsidR="00621959" w:rsidRPr="00621959">
        <w:rPr>
          <w:rtl/>
        </w:rPr>
        <w:t>ثمانية</w:t>
      </w:r>
      <w:proofErr w:type="gramEnd"/>
      <w:r w:rsidR="00621959" w:rsidRPr="00621959">
        <w:rPr>
          <w:rtl/>
        </w:rPr>
        <w:t xml:space="preserve"> قرارات جديدة، و44 قراراً مراجعاً، وتوصية مراجعة لقطاع تقييس الاتصالات (</w:t>
      </w:r>
      <w:hyperlink r:id="rId70" w:history="1">
        <w:r w:rsidR="00621959" w:rsidRPr="00621959">
          <w:rPr>
            <w:rStyle w:val="Hyperlink"/>
            <w:noProof w:val="0"/>
            <w:lang w:eastAsia="zh-CN" w:bidi="ar-EG"/>
          </w:rPr>
          <w:t>A.25</w:t>
        </w:r>
      </w:hyperlink>
      <w:r w:rsidR="00621959" w:rsidRPr="00621959">
        <w:rPr>
          <w:rtl/>
        </w:rPr>
        <w:t>).</w:t>
      </w:r>
    </w:p>
    <w:p w14:paraId="2031AF82" w14:textId="77777777" w:rsidR="00621959" w:rsidRPr="0071698B" w:rsidRDefault="00621959" w:rsidP="0071698B">
      <w:pPr>
        <w:pStyle w:val="Heading2"/>
      </w:pPr>
      <w:bookmarkStart w:id="24" w:name="_Toc227252571"/>
      <w:r w:rsidRPr="00621959">
        <w:rPr>
          <w:rtl/>
        </w:rPr>
        <w:t>4.2</w:t>
      </w:r>
      <w:r w:rsidRPr="00621959">
        <w:rPr>
          <w:rtl/>
        </w:rPr>
        <w:tab/>
      </w:r>
      <w:r w:rsidRPr="00621959">
        <w:rPr>
          <w:rFonts w:hint="cs"/>
          <w:rtl/>
        </w:rPr>
        <w:t>ال</w:t>
      </w:r>
      <w:r w:rsidRPr="00621959">
        <w:rPr>
          <w:rtl/>
        </w:rPr>
        <w:t xml:space="preserve">مؤتمر العالمي لتنمية </w:t>
      </w:r>
      <w:r w:rsidRPr="00621959">
        <w:rPr>
          <w:rFonts w:hint="cs"/>
          <w:rtl/>
        </w:rPr>
        <w:t>ا</w:t>
      </w:r>
      <w:r w:rsidRPr="00621959">
        <w:rPr>
          <w:rtl/>
        </w:rPr>
        <w:t>لاتصالات</w:t>
      </w:r>
      <w:r w:rsidRPr="00621959">
        <w:rPr>
          <w:rFonts w:hint="cs"/>
          <w:rtl/>
        </w:rPr>
        <w:t xml:space="preserve"> لعام</w:t>
      </w:r>
      <w:r w:rsidRPr="00621959">
        <w:rPr>
          <w:rtl/>
        </w:rPr>
        <w:t xml:space="preserve"> 2025</w:t>
      </w:r>
      <w:bookmarkEnd w:id="24"/>
    </w:p>
    <w:p w14:paraId="2D26DB1B" w14:textId="20A7F699" w:rsidR="00621959" w:rsidRPr="0071698B" w:rsidRDefault="00621959" w:rsidP="008A5A1B">
      <w:pPr>
        <w:rPr>
          <w:spacing w:val="-4"/>
          <w:lang w:val="en-GB" w:bidi="ar-EG"/>
        </w:rPr>
      </w:pPr>
      <w:r w:rsidRPr="0071698B">
        <w:rPr>
          <w:spacing w:val="-4"/>
          <w:rtl/>
        </w:rPr>
        <w:t>شكل المؤتمر العالمي التاسع لتنمية الاتصالات لعام 2025 (</w:t>
      </w:r>
      <w:hyperlink r:id="rId71" w:anchor="/ar" w:history="1">
        <w:r w:rsidRPr="0071698B">
          <w:rPr>
            <w:rStyle w:val="Hyperlink"/>
            <w:noProof w:val="0"/>
            <w:spacing w:val="-4"/>
            <w:lang w:eastAsia="zh-CN" w:bidi="ar-EG"/>
          </w:rPr>
          <w:t>WTDC-25</w:t>
        </w:r>
      </w:hyperlink>
      <w:r w:rsidRPr="0071698B">
        <w:rPr>
          <w:spacing w:val="-4"/>
          <w:rtl/>
        </w:rPr>
        <w:t>)، الذي عقد في الفترة من 17 إلى 28 نوفمبر 2025 في باكو، أذربيجان، علامة فارقة في مسيرة التوصيلية والتنمية الرقمية على مستوى العالم. وترأس المؤتمر</w:t>
      </w:r>
      <w:r w:rsidR="0071698B" w:rsidRPr="0071698B">
        <w:rPr>
          <w:rFonts w:hint="eastAsia"/>
          <w:spacing w:val="-4"/>
          <w:rtl/>
          <w:lang w:bidi="ar-EG"/>
        </w:rPr>
        <w:t> </w:t>
      </w:r>
      <w:r w:rsidRPr="0071698B">
        <w:rPr>
          <w:spacing w:val="-4"/>
          <w:lang w:val="en-CA" w:bidi="ar-EG"/>
        </w:rPr>
        <w:t>WTDC</w:t>
      </w:r>
      <w:r w:rsidRPr="0071698B">
        <w:rPr>
          <w:spacing w:val="-4"/>
          <w:lang w:val="en-CA" w:bidi="ar-EG"/>
        </w:rPr>
        <w:noBreakHyphen/>
        <w:t>25</w:t>
      </w:r>
      <w:r w:rsidRPr="0071698B">
        <w:rPr>
          <w:rFonts w:hint="cs"/>
          <w:spacing w:val="-4"/>
          <w:rtl/>
        </w:rPr>
        <w:t xml:space="preserve"> </w:t>
      </w:r>
      <w:r w:rsidRPr="0071698B">
        <w:rPr>
          <w:spacing w:val="-4"/>
          <w:rtl/>
        </w:rPr>
        <w:t>معالي</w:t>
      </w:r>
      <w:r w:rsidR="0071698B">
        <w:rPr>
          <w:rFonts w:hint="cs"/>
          <w:spacing w:val="-4"/>
          <w:rtl/>
        </w:rPr>
        <w:t> </w:t>
      </w:r>
      <w:r w:rsidRPr="0071698B">
        <w:rPr>
          <w:spacing w:val="-4"/>
          <w:rtl/>
        </w:rPr>
        <w:t xml:space="preserve">السيد </w:t>
      </w:r>
      <w:proofErr w:type="spellStart"/>
      <w:r w:rsidRPr="0071698B">
        <w:rPr>
          <w:spacing w:val="-4"/>
          <w:rtl/>
        </w:rPr>
        <w:t>سامادين</w:t>
      </w:r>
      <w:proofErr w:type="spellEnd"/>
      <w:r w:rsidRPr="0071698B">
        <w:rPr>
          <w:spacing w:val="-4"/>
          <w:rtl/>
        </w:rPr>
        <w:t xml:space="preserve"> </w:t>
      </w:r>
      <w:proofErr w:type="spellStart"/>
      <w:r w:rsidRPr="0071698B">
        <w:rPr>
          <w:spacing w:val="-4"/>
          <w:rtl/>
        </w:rPr>
        <w:t>أسادوف</w:t>
      </w:r>
      <w:proofErr w:type="spellEnd"/>
      <w:r w:rsidRPr="0071698B">
        <w:rPr>
          <w:spacing w:val="-4"/>
          <w:rtl/>
        </w:rPr>
        <w:t>، نائب وزير التنمية الرقمية والنقل في جمهورية أذربيجان. وركز المؤتمر على موضوع رئيسي: "التوصيلية الشاملة والهادفة وميسورة التكلفة من أجل مستقبل رقمي شامل ومستدام".</w:t>
      </w:r>
    </w:p>
    <w:p w14:paraId="46B05C39" w14:textId="3BFCFCE7" w:rsidR="00621959" w:rsidRPr="00621959" w:rsidRDefault="00621959" w:rsidP="008A5A1B">
      <w:pPr>
        <w:rPr>
          <w:lang w:val="en-GB" w:bidi="ar-EG"/>
        </w:rPr>
      </w:pPr>
      <w:r w:rsidRPr="00621959">
        <w:rPr>
          <w:rtl/>
        </w:rPr>
        <w:t xml:space="preserve">وجمع المؤتمر </w:t>
      </w:r>
      <w:r w:rsidRPr="00621959">
        <w:rPr>
          <w:lang w:val="en-GB" w:bidi="ar-EG"/>
        </w:rPr>
        <w:t>WTDC-25</w:t>
      </w:r>
      <w:r w:rsidRPr="00621959">
        <w:rPr>
          <w:rtl/>
        </w:rPr>
        <w:t xml:space="preserve"> حوالي </w:t>
      </w:r>
      <w:r w:rsidR="0071698B">
        <w:t>2 000</w:t>
      </w:r>
      <w:r w:rsidRPr="00621959">
        <w:rPr>
          <w:rtl/>
        </w:rPr>
        <w:t xml:space="preserve"> مشارك من الدول الأعضاء، وأعضاء القطاعات، </w:t>
      </w:r>
      <w:r w:rsidR="00607644">
        <w:rPr>
          <w:rFonts w:hint="cs"/>
          <w:rtl/>
        </w:rPr>
        <w:t>والمنتسبين</w:t>
      </w:r>
      <w:r w:rsidRPr="00621959">
        <w:rPr>
          <w:rtl/>
        </w:rPr>
        <w:t xml:space="preserve">، والهيئات الأكاديمية من أكثر من 150 بلداً. ومن خلال الحوار التعاوني والتفاوض، حقق المؤتمر العديد من </w:t>
      </w:r>
      <w:r w:rsidR="00D23D15">
        <w:rPr>
          <w:rFonts w:hint="cs"/>
          <w:rtl/>
        </w:rPr>
        <w:t>النواتج</w:t>
      </w:r>
      <w:r w:rsidRPr="00621959">
        <w:rPr>
          <w:rtl/>
        </w:rPr>
        <w:t xml:space="preserve"> المهمة.</w:t>
      </w:r>
    </w:p>
    <w:p w14:paraId="76CEC022" w14:textId="39E39F00" w:rsidR="00621959" w:rsidRPr="00621959" w:rsidRDefault="00621959" w:rsidP="008A5A1B">
      <w:pPr>
        <w:rPr>
          <w:lang w:val="en-GB" w:bidi="ar-EG"/>
        </w:rPr>
      </w:pPr>
      <w:r w:rsidRPr="00621959">
        <w:rPr>
          <w:rtl/>
        </w:rPr>
        <w:t>وتشمل هذه النتائج:</w:t>
      </w:r>
    </w:p>
    <w:p w14:paraId="74ADD8DA" w14:textId="175D2402" w:rsidR="00621959" w:rsidRPr="00621959" w:rsidRDefault="0071698B" w:rsidP="0071698B">
      <w:pPr>
        <w:pStyle w:val="enumlev1"/>
        <w:rPr>
          <w:lang w:val="en-GB"/>
        </w:rPr>
      </w:pPr>
      <w:r>
        <w:rPr>
          <w:lang w:val="en-GB"/>
        </w:rPr>
        <w:sym w:font="Wingdings 2" w:char="F097"/>
      </w:r>
      <w:r>
        <w:rPr>
          <w:lang w:val="en-GB"/>
        </w:rPr>
        <w:tab/>
      </w:r>
      <w:hyperlink r:id="rId72" w:history="1">
        <w:r w:rsidR="00621959" w:rsidRPr="00621959">
          <w:rPr>
            <w:rStyle w:val="Hyperlink"/>
            <w:noProof w:val="0"/>
            <w:rtl/>
            <w:lang w:val="en-US" w:eastAsia="zh-CN" w:bidi="ar-SA"/>
          </w:rPr>
          <w:t>إعلان باكو</w:t>
        </w:r>
      </w:hyperlink>
      <w:r w:rsidR="00621959" w:rsidRPr="00621959">
        <w:rPr>
          <w:rFonts w:hint="cs"/>
          <w:rtl/>
        </w:rPr>
        <w:t xml:space="preserve">: </w:t>
      </w:r>
      <w:r w:rsidR="00621959" w:rsidRPr="00621959">
        <w:rPr>
          <w:rtl/>
        </w:rPr>
        <w:t>اعتمد المؤتمر إعلان باكو، الذي أكد من جديد التزام أعضاء قطاع تنمية الاتصالات بالاتحاد (</w:t>
      </w:r>
      <w:r w:rsidR="00621959" w:rsidRPr="00621959">
        <w:rPr>
          <w:lang w:val="en-GB"/>
        </w:rPr>
        <w:t>ITU</w:t>
      </w:r>
      <w:r w:rsidR="00621959" w:rsidRPr="00621959">
        <w:rPr>
          <w:lang w:val="en-GB"/>
        </w:rPr>
        <w:noBreakHyphen/>
        <w:t>D</w:t>
      </w:r>
      <w:r w:rsidR="00621959" w:rsidRPr="00621959">
        <w:rPr>
          <w:rtl/>
        </w:rPr>
        <w:t>) بسد الفجوة الرقمية، وتعزيز التوصيلية، وتمكين المجتمعات من خلال تكنولوجيا المعلومات والاتصالات. ويعد الإعلان بمثابة بيان توجيهي لقيم وأولويات عمل قطاع تنمية الاتصالات.</w:t>
      </w:r>
    </w:p>
    <w:p w14:paraId="4C6510D1" w14:textId="2AE3F3D4" w:rsidR="00621959" w:rsidRPr="00621959" w:rsidRDefault="0071698B" w:rsidP="0071698B">
      <w:pPr>
        <w:pStyle w:val="enumlev1"/>
        <w:rPr>
          <w:lang w:val="en-GB"/>
        </w:rPr>
      </w:pPr>
      <w:r>
        <w:rPr>
          <w:lang w:val="en-GB"/>
        </w:rPr>
        <w:sym w:font="Wingdings 2" w:char="F097"/>
      </w:r>
      <w:r>
        <w:rPr>
          <w:lang w:val="en-GB"/>
        </w:rPr>
        <w:tab/>
      </w:r>
      <w:hyperlink r:id="rId73" w:history="1">
        <w:r w:rsidR="00621959" w:rsidRPr="00621959">
          <w:rPr>
            <w:rStyle w:val="Hyperlink"/>
            <w:noProof w:val="0"/>
            <w:rtl/>
            <w:lang w:val="en-US" w:eastAsia="zh-CN" w:bidi="ar-SA"/>
          </w:rPr>
          <w:t>خطة عمل باكو</w:t>
        </w:r>
      </w:hyperlink>
      <w:r w:rsidR="00621959" w:rsidRPr="00621959">
        <w:rPr>
          <w:rFonts w:hint="cs"/>
          <w:rtl/>
        </w:rPr>
        <w:t xml:space="preserve">: </w:t>
      </w:r>
      <w:r w:rsidR="00621959" w:rsidRPr="00621959">
        <w:rPr>
          <w:rtl/>
        </w:rPr>
        <w:t xml:space="preserve">تماشياً مع أهداف المؤتمر، حدد المؤتمر </w:t>
      </w:r>
      <w:r w:rsidR="00621959" w:rsidRPr="00621959">
        <w:rPr>
          <w:lang w:val="en-CA"/>
        </w:rPr>
        <w:t>WTDC</w:t>
      </w:r>
      <w:r w:rsidR="00621959" w:rsidRPr="00621959">
        <w:rPr>
          <w:lang w:val="en-CA"/>
        </w:rPr>
        <w:noBreakHyphen/>
        <w:t>25</w:t>
      </w:r>
      <w:r w:rsidR="00621959" w:rsidRPr="00621959">
        <w:rPr>
          <w:rtl/>
        </w:rPr>
        <w:t xml:space="preserve"> أولويات القطاع للسنوات الأربع القادمة</w:t>
      </w:r>
      <w:r>
        <w:rPr>
          <w:rFonts w:hint="eastAsia"/>
          <w:rtl/>
          <w:lang w:bidi="ar-EG"/>
        </w:rPr>
        <w:t> </w:t>
      </w:r>
      <w:r w:rsidR="00621959" w:rsidRPr="00621959">
        <w:rPr>
          <w:rtl/>
        </w:rPr>
        <w:t>(2026-2029)، كما وافق على خطة عمل باكو التفصيلية، ​​التي ستوجه مبادرات التنمية الرقمية في</w:t>
      </w:r>
      <w:r>
        <w:rPr>
          <w:rFonts w:hint="cs"/>
          <w:rtl/>
        </w:rPr>
        <w:t> </w:t>
      </w:r>
      <w:r w:rsidR="00621959" w:rsidRPr="00621959">
        <w:rPr>
          <w:rtl/>
        </w:rPr>
        <w:t>الاتحاد. وستولي هذه الجهود اهتماماً خاصاً للمناطق الأكثر هشاشة في العالم، مثل أقل البلدان نمواً</w:t>
      </w:r>
      <w:r>
        <w:rPr>
          <w:rFonts w:hint="cs"/>
          <w:rtl/>
        </w:rPr>
        <w:t xml:space="preserve"> </w:t>
      </w:r>
      <w:r>
        <w:t>(LDC)</w:t>
      </w:r>
      <w:r w:rsidR="00621959" w:rsidRPr="00621959">
        <w:rPr>
          <w:rtl/>
        </w:rPr>
        <w:t>، والبلدان النامية غير الساحلية</w:t>
      </w:r>
      <w:r>
        <w:rPr>
          <w:rFonts w:hint="cs"/>
          <w:rtl/>
        </w:rPr>
        <w:t xml:space="preserve"> </w:t>
      </w:r>
      <w:r>
        <w:t>(LLDC)</w:t>
      </w:r>
      <w:r w:rsidR="00621959" w:rsidRPr="00621959">
        <w:rPr>
          <w:rtl/>
        </w:rPr>
        <w:t>، والدول الجزرية الصغيرة النامية</w:t>
      </w:r>
      <w:r>
        <w:rPr>
          <w:rFonts w:hint="cs"/>
          <w:rtl/>
        </w:rPr>
        <w:t xml:space="preserve"> </w:t>
      </w:r>
      <w:r>
        <w:t>(SIDS)</w:t>
      </w:r>
      <w:r w:rsidR="00621959" w:rsidRPr="00621959">
        <w:rPr>
          <w:rtl/>
        </w:rPr>
        <w:t xml:space="preserve">. وقد حافظ المؤتمر على أولويات قطاع تنمية الاتصالات التي سبق تحديدها في الدورة </w:t>
      </w:r>
      <w:r w:rsidR="00621959" w:rsidRPr="00621959">
        <w:rPr>
          <w:rFonts w:hint="cs"/>
          <w:rtl/>
        </w:rPr>
        <w:t>الأخيرة:</w:t>
      </w:r>
    </w:p>
    <w:p w14:paraId="5C42F1DF" w14:textId="262BBC4B" w:rsidR="00621959" w:rsidRPr="0071698B" w:rsidRDefault="0071698B" w:rsidP="0071698B">
      <w:pPr>
        <w:pStyle w:val="enumlev2"/>
      </w:pPr>
      <w:r>
        <w:rPr>
          <w:rtl/>
        </w:rPr>
        <w:t>‒</w:t>
      </w:r>
      <w:r>
        <w:tab/>
      </w:r>
      <w:r w:rsidR="00621959" w:rsidRPr="0071698B">
        <w:rPr>
          <w:rtl/>
        </w:rPr>
        <w:t>التوصيلية ميسورة التكلفة</w:t>
      </w:r>
    </w:p>
    <w:p w14:paraId="0F45F0F3" w14:textId="0A072F91" w:rsidR="00621959" w:rsidRPr="0071698B" w:rsidRDefault="0071698B" w:rsidP="0071698B">
      <w:pPr>
        <w:pStyle w:val="enumlev2"/>
      </w:pPr>
      <w:r>
        <w:rPr>
          <w:rtl/>
        </w:rPr>
        <w:t>‒</w:t>
      </w:r>
      <w:r>
        <w:tab/>
      </w:r>
      <w:r w:rsidR="00621959" w:rsidRPr="0071698B">
        <w:rPr>
          <w:rFonts w:hint="cs"/>
          <w:rtl/>
        </w:rPr>
        <w:t>و</w:t>
      </w:r>
      <w:r w:rsidR="00621959" w:rsidRPr="0071698B">
        <w:rPr>
          <w:rtl/>
        </w:rPr>
        <w:t>التحول الرقمي</w:t>
      </w:r>
    </w:p>
    <w:p w14:paraId="09395433" w14:textId="50B88E0A" w:rsidR="00621959" w:rsidRPr="0071698B" w:rsidRDefault="0071698B" w:rsidP="0071698B">
      <w:pPr>
        <w:pStyle w:val="enumlev2"/>
      </w:pPr>
      <w:r>
        <w:rPr>
          <w:rtl/>
        </w:rPr>
        <w:t>‒</w:t>
      </w:r>
      <w:r>
        <w:tab/>
      </w:r>
      <w:r w:rsidR="00621959" w:rsidRPr="0071698B">
        <w:rPr>
          <w:rFonts w:hint="cs"/>
          <w:rtl/>
        </w:rPr>
        <w:t>و</w:t>
      </w:r>
      <w:r w:rsidR="00621959" w:rsidRPr="0071698B">
        <w:rPr>
          <w:rtl/>
        </w:rPr>
        <w:t xml:space="preserve">البيئة </w:t>
      </w:r>
      <w:proofErr w:type="spellStart"/>
      <w:r w:rsidR="00621959" w:rsidRPr="0071698B">
        <w:rPr>
          <w:rtl/>
        </w:rPr>
        <w:t>السياساتية</w:t>
      </w:r>
      <w:proofErr w:type="spellEnd"/>
      <w:r w:rsidR="00621959" w:rsidRPr="0071698B">
        <w:rPr>
          <w:rtl/>
        </w:rPr>
        <w:t xml:space="preserve"> والتنظيمية التمكينية</w:t>
      </w:r>
    </w:p>
    <w:p w14:paraId="775FEBA9" w14:textId="532DF098" w:rsidR="00621959" w:rsidRPr="0071698B" w:rsidRDefault="0071698B" w:rsidP="0071698B">
      <w:pPr>
        <w:pStyle w:val="enumlev2"/>
      </w:pPr>
      <w:r>
        <w:rPr>
          <w:rtl/>
        </w:rPr>
        <w:t>‒</w:t>
      </w:r>
      <w:r>
        <w:tab/>
      </w:r>
      <w:r w:rsidR="00621959" w:rsidRPr="0071698B">
        <w:rPr>
          <w:rFonts w:hint="cs"/>
          <w:rtl/>
        </w:rPr>
        <w:t>و</w:t>
      </w:r>
      <w:r w:rsidR="00621959" w:rsidRPr="0071698B">
        <w:rPr>
          <w:rtl/>
        </w:rPr>
        <w:t>تعبئة الموارد والتعاون الدولي</w:t>
      </w:r>
    </w:p>
    <w:p w14:paraId="35E0A902" w14:textId="2473E4B1" w:rsidR="00621959" w:rsidRPr="0071698B" w:rsidRDefault="0071698B" w:rsidP="0071698B">
      <w:pPr>
        <w:pStyle w:val="enumlev2"/>
        <w:rPr>
          <w:spacing w:val="-2"/>
        </w:rPr>
      </w:pPr>
      <w:r w:rsidRPr="0071698B">
        <w:rPr>
          <w:spacing w:val="-2"/>
          <w:rtl/>
        </w:rPr>
        <w:t>‒</w:t>
      </w:r>
      <w:r w:rsidRPr="0071698B">
        <w:rPr>
          <w:spacing w:val="-2"/>
        </w:rPr>
        <w:tab/>
      </w:r>
      <w:r w:rsidR="00621959" w:rsidRPr="0071698B">
        <w:rPr>
          <w:rFonts w:hint="cs"/>
          <w:spacing w:val="-2"/>
          <w:rtl/>
        </w:rPr>
        <w:t>و</w:t>
      </w:r>
      <w:r w:rsidR="00621959" w:rsidRPr="0071698B">
        <w:rPr>
          <w:spacing w:val="-2"/>
          <w:rtl/>
        </w:rPr>
        <w:t>الاتصالات وتكنولوجيا المعلومات والاتصالات الشاملة والآمنة والمأمونة من أجل التنمية المستدامة</w:t>
      </w:r>
    </w:p>
    <w:p w14:paraId="06C079E3" w14:textId="0B3D01EC" w:rsidR="00621959" w:rsidRPr="00621959" w:rsidRDefault="0071698B" w:rsidP="0071698B">
      <w:pPr>
        <w:pStyle w:val="enumlev1"/>
        <w:keepLines/>
        <w:rPr>
          <w:lang w:val="en-GB" w:bidi="ar-EG"/>
        </w:rPr>
      </w:pPr>
      <w:r>
        <w:rPr>
          <w:lang w:val="en-GB"/>
        </w:rPr>
        <w:sym w:font="Wingdings 2" w:char="F097"/>
      </w:r>
      <w:r>
        <w:rPr>
          <w:lang w:val="en-GB"/>
        </w:rPr>
        <w:tab/>
      </w:r>
      <w:hyperlink r:id="rId74" w:history="1">
        <w:r w:rsidR="00621959" w:rsidRPr="00621959">
          <w:rPr>
            <w:rStyle w:val="Hyperlink"/>
            <w:noProof w:val="0"/>
            <w:rtl/>
            <w:lang w:val="en-US" w:eastAsia="zh-CN" w:bidi="ar-SA"/>
          </w:rPr>
          <w:t>المبادرات الإقليمية للفترة 2026-2029</w:t>
        </w:r>
      </w:hyperlink>
      <w:r w:rsidR="00621959" w:rsidRPr="00621959">
        <w:rPr>
          <w:rFonts w:hint="cs"/>
          <w:rtl/>
        </w:rPr>
        <w:t xml:space="preserve">: </w:t>
      </w:r>
      <w:r w:rsidR="00621959" w:rsidRPr="00621959">
        <w:rPr>
          <w:rtl/>
        </w:rPr>
        <w:t xml:space="preserve">أقر المؤتمر </w:t>
      </w:r>
      <w:r w:rsidR="00621959" w:rsidRPr="00621959">
        <w:rPr>
          <w:lang w:val="en-GB" w:bidi="ar-EG"/>
        </w:rPr>
        <w:t>WTDC</w:t>
      </w:r>
      <w:r w:rsidR="00621959" w:rsidRPr="00621959">
        <w:rPr>
          <w:lang w:val="en-GB" w:bidi="ar-EG"/>
        </w:rPr>
        <w:noBreakHyphen/>
        <w:t>25</w:t>
      </w:r>
      <w:r w:rsidR="00621959" w:rsidRPr="00621959">
        <w:rPr>
          <w:rtl/>
        </w:rPr>
        <w:t xml:space="preserve"> مجموعة مجددة من المبادرات الإقليمية، مصممة خصيصاً لتلبية الاحتياجات والأولويات المحددة لكل منطقة من المناطق الست. وستسهم هذه المبادرات في توجيه المشاريع المستهدفة، وتعزيز الشراكات، وضمان بقاء عمل الاتحاد الإنمائي ملائماً و</w:t>
      </w:r>
      <w:r w:rsidR="00621959" w:rsidRPr="00621959">
        <w:rPr>
          <w:rFonts w:hint="cs"/>
          <w:rtl/>
        </w:rPr>
        <w:t>مؤثر</w:t>
      </w:r>
      <w:r w:rsidR="00621959" w:rsidRPr="00621959">
        <w:rPr>
          <w:rtl/>
        </w:rPr>
        <w:t>اً على المستوى المحلي.</w:t>
      </w:r>
    </w:p>
    <w:p w14:paraId="2110A9DF" w14:textId="3E7F76E7" w:rsidR="00621959" w:rsidRPr="00621959" w:rsidRDefault="0071698B" w:rsidP="0071698B">
      <w:pPr>
        <w:pStyle w:val="enumlev1"/>
        <w:rPr>
          <w:lang w:val="en-GB" w:bidi="ar-EG"/>
        </w:rPr>
      </w:pPr>
      <w:r>
        <w:rPr>
          <w:lang w:val="en-GB"/>
        </w:rPr>
        <w:sym w:font="Wingdings 2" w:char="F097"/>
      </w:r>
      <w:r>
        <w:rPr>
          <w:lang w:val="en-GB"/>
        </w:rPr>
        <w:tab/>
      </w:r>
      <w:hyperlink r:id="rId75" w:history="1">
        <w:r w:rsidR="00621959" w:rsidRPr="00621959">
          <w:rPr>
            <w:rStyle w:val="Hyperlink"/>
            <w:noProof w:val="0"/>
            <w:rtl/>
            <w:lang w:val="en-US" w:eastAsia="zh-CN" w:bidi="ar-SA"/>
          </w:rPr>
          <w:t>القرارات</w:t>
        </w:r>
      </w:hyperlink>
      <w:r w:rsidR="00621959" w:rsidRPr="00621959">
        <w:rPr>
          <w:rFonts w:hint="cs"/>
          <w:rtl/>
        </w:rPr>
        <w:t xml:space="preserve">: </w:t>
      </w:r>
      <w:r w:rsidR="00621959" w:rsidRPr="00621959">
        <w:rPr>
          <w:rtl/>
        </w:rPr>
        <w:t xml:space="preserve">بخلاف تعديل 44 قراراً، شهد المؤتمر </w:t>
      </w:r>
      <w:r w:rsidR="00621959" w:rsidRPr="00621959">
        <w:rPr>
          <w:lang w:val="en-GB" w:bidi="ar-EG"/>
        </w:rPr>
        <w:t>WTDC</w:t>
      </w:r>
      <w:r w:rsidR="00621959" w:rsidRPr="00621959">
        <w:rPr>
          <w:lang w:val="en-GB" w:bidi="ar-EG"/>
        </w:rPr>
        <w:noBreakHyphen/>
        <w:t>25</w:t>
      </w:r>
      <w:r w:rsidR="00621959" w:rsidRPr="00621959">
        <w:rPr>
          <w:rtl/>
        </w:rPr>
        <w:t xml:space="preserve"> إضافة </w:t>
      </w:r>
      <w:proofErr w:type="gramStart"/>
      <w:r w:rsidR="00621959" w:rsidRPr="00621959">
        <w:rPr>
          <w:rtl/>
        </w:rPr>
        <w:t>أربعة</w:t>
      </w:r>
      <w:proofErr w:type="gramEnd"/>
      <w:r w:rsidR="00621959" w:rsidRPr="00621959">
        <w:rPr>
          <w:rtl/>
        </w:rPr>
        <w:t xml:space="preserve"> قرارات جديدة، وهي:</w:t>
      </w:r>
    </w:p>
    <w:p w14:paraId="17519087" w14:textId="5ED064E3" w:rsidR="00621959" w:rsidRPr="00621959" w:rsidRDefault="0071698B" w:rsidP="0071698B">
      <w:pPr>
        <w:pStyle w:val="enumlev2"/>
        <w:rPr>
          <w:lang w:val="en-GB" w:bidi="ar-EG"/>
        </w:rPr>
      </w:pPr>
      <w:r>
        <w:rPr>
          <w:rtl/>
        </w:rPr>
        <w:t>‒</w:t>
      </w:r>
      <w:r>
        <w:tab/>
      </w:r>
      <w:r w:rsidR="00621959" w:rsidRPr="00621959">
        <w:rPr>
          <w:rtl/>
        </w:rPr>
        <w:t>تكنولوجيات الذكاء الاصطناعي في تنمية الاتصالات.</w:t>
      </w:r>
    </w:p>
    <w:p w14:paraId="2F224D95" w14:textId="7A708058" w:rsidR="00621959" w:rsidRPr="00621959" w:rsidRDefault="0071698B" w:rsidP="0071698B">
      <w:pPr>
        <w:pStyle w:val="enumlev2"/>
        <w:rPr>
          <w:lang w:val="en-GB" w:bidi="ar-EG"/>
        </w:rPr>
      </w:pPr>
      <w:r>
        <w:rPr>
          <w:rtl/>
        </w:rPr>
        <w:t>‒</w:t>
      </w:r>
      <w:r>
        <w:tab/>
      </w:r>
      <w:r w:rsidR="00621959" w:rsidRPr="00621959">
        <w:rPr>
          <w:rFonts w:hint="cs"/>
          <w:rtl/>
        </w:rPr>
        <w:t>و</w:t>
      </w:r>
      <w:r w:rsidR="00621959" w:rsidRPr="00621959">
        <w:rPr>
          <w:rtl/>
        </w:rPr>
        <w:t>تعزيز دور المكاتب الإقليمية للاتحاد في تسريع التحول الرقمي والاستفادة من الشراكات.</w:t>
      </w:r>
    </w:p>
    <w:p w14:paraId="52070BFE" w14:textId="48F8A84E" w:rsidR="00621959" w:rsidRPr="00621959" w:rsidRDefault="0071698B" w:rsidP="0071698B">
      <w:pPr>
        <w:pStyle w:val="enumlev2"/>
        <w:rPr>
          <w:lang w:val="en-GB" w:bidi="ar-EG"/>
        </w:rPr>
      </w:pPr>
      <w:r>
        <w:rPr>
          <w:rtl/>
        </w:rPr>
        <w:t>‒</w:t>
      </w:r>
      <w:r>
        <w:tab/>
      </w:r>
      <w:r w:rsidR="00621959" w:rsidRPr="00621959">
        <w:rPr>
          <w:rFonts w:hint="cs"/>
          <w:rtl/>
        </w:rPr>
        <w:t>و</w:t>
      </w:r>
      <w:r w:rsidR="00621959" w:rsidRPr="00621959">
        <w:rPr>
          <w:rtl/>
        </w:rPr>
        <w:t>تقديم المساعدة والدعم للسودان لإعادة بناء البنية التحتية المتضررة للاتصالات/تكنولوجيا المعلومات والاتصالات، وسد الفجوة الرقمية.</w:t>
      </w:r>
    </w:p>
    <w:p w14:paraId="7363F852" w14:textId="065D8764" w:rsidR="00621959" w:rsidRPr="00621959" w:rsidRDefault="0071698B" w:rsidP="0071698B">
      <w:pPr>
        <w:pStyle w:val="enumlev2"/>
        <w:rPr>
          <w:lang w:val="en-GB" w:bidi="ar-EG"/>
        </w:rPr>
      </w:pPr>
      <w:r>
        <w:rPr>
          <w:rtl/>
        </w:rPr>
        <w:t>‒</w:t>
      </w:r>
      <w:r>
        <w:tab/>
      </w:r>
      <w:r w:rsidR="00621959" w:rsidRPr="00621959">
        <w:rPr>
          <w:rFonts w:hint="cs"/>
          <w:rtl/>
        </w:rPr>
        <w:t>و</w:t>
      </w:r>
      <w:r w:rsidR="00621959" w:rsidRPr="00621959">
        <w:rPr>
          <w:rtl/>
        </w:rPr>
        <w:t>دعم التحول الرقمي في بلدان جزر المحيط الهادئ وفقاً لإعلان لاغاتوي.</w:t>
      </w:r>
    </w:p>
    <w:p w14:paraId="5D3A54F4" w14:textId="72C69F76" w:rsidR="00621959" w:rsidRPr="00621959" w:rsidRDefault="0071698B" w:rsidP="0071698B">
      <w:pPr>
        <w:pStyle w:val="enumlev1"/>
        <w:rPr>
          <w:lang w:val="en-GB" w:bidi="ar-EG"/>
        </w:rPr>
      </w:pPr>
      <w:r>
        <w:rPr>
          <w:lang w:val="en-GB"/>
        </w:rPr>
        <w:sym w:font="Wingdings 2" w:char="F097"/>
      </w:r>
      <w:r>
        <w:rPr>
          <w:lang w:val="en-GB"/>
        </w:rPr>
        <w:tab/>
      </w:r>
      <w:hyperlink r:id="rId76" w:history="1">
        <w:r w:rsidR="00621959" w:rsidRPr="00621959">
          <w:rPr>
            <w:rStyle w:val="Hyperlink"/>
            <w:noProof w:val="0"/>
            <w:rtl/>
            <w:lang w:val="en-US" w:eastAsia="zh-CN" w:bidi="ar-SA"/>
          </w:rPr>
          <w:t>مسائل لجان الدراسات</w:t>
        </w:r>
        <w:r w:rsidR="00621959" w:rsidRPr="00621959">
          <w:rPr>
            <w:rStyle w:val="Hyperlink"/>
            <w:noProof w:val="0"/>
            <w:rtl/>
            <w:lang w:val="en-US" w:eastAsia="zh-CN" w:bidi="ar-EG"/>
          </w:rPr>
          <w:t xml:space="preserve"> في الفترة</w:t>
        </w:r>
        <w:r w:rsidR="00621959" w:rsidRPr="00621959">
          <w:rPr>
            <w:rStyle w:val="Hyperlink"/>
            <w:noProof w:val="0"/>
            <w:rtl/>
            <w:lang w:val="en-US" w:eastAsia="zh-CN" w:bidi="ar-SA"/>
          </w:rPr>
          <w:t xml:space="preserve"> 2026-2029</w:t>
        </w:r>
      </w:hyperlink>
      <w:r w:rsidR="00621959" w:rsidRPr="00621959">
        <w:rPr>
          <w:rFonts w:hint="cs"/>
          <w:rtl/>
        </w:rPr>
        <w:t xml:space="preserve">: </w:t>
      </w:r>
      <w:r w:rsidR="00621959" w:rsidRPr="00621959">
        <w:rPr>
          <w:rtl/>
        </w:rPr>
        <w:t>تم الاتفاق على مسائل جديدة ومراجعة للجان الدراسات، تعكس المشهد المتطور للتكنولوجيات الرقمية، والتحديات التنظيمية، والاحتياجات من حيث بناء القدرات. وستوجه هذه المسائل العمل التقني لقطاع تنمية</w:t>
      </w:r>
      <w:r w:rsidR="00607644">
        <w:rPr>
          <w:rFonts w:hint="cs"/>
          <w:rtl/>
        </w:rPr>
        <w:t xml:space="preserve"> الاتصالات</w:t>
      </w:r>
      <w:r w:rsidR="00621959" w:rsidRPr="00621959">
        <w:rPr>
          <w:rtl/>
        </w:rPr>
        <w:t xml:space="preserve"> وجهود البحث، مما يدعم وضع السياسات القائمة على الأدلة وتبادل أفضل الممارسات.</w:t>
      </w:r>
    </w:p>
    <w:p w14:paraId="21D9F586" w14:textId="4421B1C3" w:rsidR="00621959" w:rsidRPr="00A56A01" w:rsidRDefault="00621959" w:rsidP="008A5A1B">
      <w:pPr>
        <w:rPr>
          <w:spacing w:val="-2"/>
          <w:u w:val="single"/>
          <w:lang w:val="en-GB" w:bidi="ar-EG"/>
        </w:rPr>
      </w:pPr>
      <w:r w:rsidRPr="00A56A01">
        <w:rPr>
          <w:spacing w:val="-2"/>
          <w:rtl/>
        </w:rPr>
        <w:t xml:space="preserve">كما استقبل المؤتمر </w:t>
      </w:r>
      <w:r w:rsidRPr="00A56A01">
        <w:rPr>
          <w:spacing w:val="-2"/>
          <w:lang w:val="en-GB" w:bidi="ar-EG"/>
        </w:rPr>
        <w:t>WTDC-25</w:t>
      </w:r>
      <w:r w:rsidRPr="00A56A01">
        <w:rPr>
          <w:spacing w:val="-2"/>
          <w:rtl/>
        </w:rPr>
        <w:t xml:space="preserve"> مع التقدير </w:t>
      </w:r>
      <w:hyperlink r:id="rId77" w:history="1">
        <w:r w:rsidRPr="00A56A01">
          <w:rPr>
            <w:rStyle w:val="Hyperlink"/>
            <w:noProof w:val="0"/>
            <w:spacing w:val="-2"/>
            <w:rtl/>
            <w:lang w:val="en-US" w:eastAsia="zh-CN"/>
          </w:rPr>
          <w:t>تقرير</w:t>
        </w:r>
      </w:hyperlink>
      <w:r w:rsidRPr="00A56A01">
        <w:rPr>
          <w:spacing w:val="-2"/>
          <w:rtl/>
        </w:rPr>
        <w:t xml:space="preserve"> و</w:t>
      </w:r>
      <w:hyperlink r:id="rId78" w:history="1">
        <w:r w:rsidRPr="00A56A01">
          <w:rPr>
            <w:rStyle w:val="Hyperlink"/>
            <w:noProof w:val="0"/>
            <w:spacing w:val="-2"/>
            <w:rtl/>
            <w:lang w:val="en-US" w:eastAsia="zh-CN"/>
          </w:rPr>
          <w:t>عرض</w:t>
        </w:r>
      </w:hyperlink>
      <w:r w:rsidRPr="00A56A01">
        <w:rPr>
          <w:spacing w:val="-2"/>
          <w:rtl/>
        </w:rPr>
        <w:t xml:space="preserve"> الأمانة بشأن تنفيذ خطة عمل كيغالي. ويمكن الاطلاع على</w:t>
      </w:r>
      <w:r w:rsidR="0071698B" w:rsidRPr="00A56A01">
        <w:rPr>
          <w:rFonts w:hint="eastAsia"/>
          <w:spacing w:val="-2"/>
          <w:rtl/>
          <w:lang w:bidi="ar-EG"/>
        </w:rPr>
        <w:t> </w:t>
      </w:r>
      <w:r w:rsidRPr="00A56A01">
        <w:rPr>
          <w:spacing w:val="-2"/>
          <w:rtl/>
        </w:rPr>
        <w:t xml:space="preserve">التقرير التفصيلي والعرض على </w:t>
      </w:r>
      <w:hyperlink r:id="rId79" w:history="1">
        <w:r w:rsidRPr="00A56A01">
          <w:rPr>
            <w:rStyle w:val="Hyperlink"/>
            <w:rFonts w:hint="cs"/>
            <w:noProof w:val="0"/>
            <w:spacing w:val="-2"/>
            <w:rtl/>
            <w:lang w:val="en-US" w:eastAsia="zh-CN"/>
          </w:rPr>
          <w:t>ال</w:t>
        </w:r>
        <w:r w:rsidRPr="00A56A01">
          <w:rPr>
            <w:rStyle w:val="Hyperlink"/>
            <w:noProof w:val="0"/>
            <w:spacing w:val="-2"/>
            <w:rtl/>
            <w:lang w:val="en-US" w:eastAsia="zh-CN"/>
          </w:rPr>
          <w:t>موقع الإلكتروني للمؤتم</w:t>
        </w:r>
        <w:r w:rsidRPr="00A56A01">
          <w:rPr>
            <w:rStyle w:val="Hyperlink"/>
            <w:rFonts w:hint="cs"/>
            <w:noProof w:val="0"/>
            <w:spacing w:val="-2"/>
            <w:rtl/>
            <w:lang w:val="en-US" w:eastAsia="zh-CN"/>
          </w:rPr>
          <w:t xml:space="preserve">ر </w:t>
        </w:r>
        <w:r w:rsidRPr="00A56A01">
          <w:rPr>
            <w:rStyle w:val="Hyperlink"/>
            <w:noProof w:val="0"/>
            <w:spacing w:val="-2"/>
            <w:lang w:val="en-CA" w:eastAsia="zh-CN" w:bidi="ar-EG"/>
          </w:rPr>
          <w:t>WTDC</w:t>
        </w:r>
      </w:hyperlink>
      <w:r w:rsidRPr="00A56A01">
        <w:rPr>
          <w:spacing w:val="-2"/>
          <w:rtl/>
        </w:rPr>
        <w:t>.</w:t>
      </w:r>
    </w:p>
    <w:p w14:paraId="21A17C2C" w14:textId="01004929" w:rsidR="00621959" w:rsidRPr="00A56A01" w:rsidRDefault="00A56A01" w:rsidP="00A56A01">
      <w:pPr>
        <w:pStyle w:val="Heading1"/>
        <w:pageBreakBefore/>
      </w:pPr>
      <w:bookmarkStart w:id="25" w:name="_Toc227252572"/>
      <w:bookmarkStart w:id="26" w:name="_Toc224288798"/>
      <w:r>
        <w:rPr>
          <w:rFonts w:hint="cs"/>
          <w:rtl/>
        </w:rPr>
        <w:t>3</w:t>
      </w:r>
      <w:r w:rsidR="00621959" w:rsidRPr="00621959">
        <w:rPr>
          <w:rtl/>
        </w:rPr>
        <w:tab/>
      </w:r>
      <w:r w:rsidR="00621959" w:rsidRPr="00621959">
        <w:rPr>
          <w:rFonts w:hint="cs"/>
          <w:rtl/>
        </w:rPr>
        <w:t>تأثير</w:t>
      </w:r>
      <w:r w:rsidR="00621959" w:rsidRPr="00621959">
        <w:rPr>
          <w:rtl/>
        </w:rPr>
        <w:t xml:space="preserve"> عمل الاتحاد</w:t>
      </w:r>
      <w:bookmarkEnd w:id="25"/>
    </w:p>
    <w:p w14:paraId="4B256F10" w14:textId="77777777" w:rsidR="00621959" w:rsidRPr="00621959" w:rsidRDefault="00621959" w:rsidP="008A5A1B">
      <w:pPr>
        <w:rPr>
          <w:u w:val="single"/>
          <w:rtl/>
        </w:rPr>
      </w:pPr>
      <w:r w:rsidRPr="00621959">
        <w:rPr>
          <w:b/>
          <w:u w:val="single"/>
          <w:rtl/>
        </w:rPr>
        <w:t>ي</w:t>
      </w:r>
      <w:r w:rsidRPr="00621959">
        <w:rPr>
          <w:b/>
          <w:rtl/>
        </w:rPr>
        <w:t xml:space="preserve">مكن الاطلاع على التقييم النهائي لتنفيذ الخطة الاستراتيجية للفترة 2020-2023 والتقدم الحالي في تنفيذ الخطة الاستراتيجية للفترة 2024-2027 في لوحة المعلومات </w:t>
      </w:r>
      <w:hyperlink r:id="rId80" w:history="1">
        <w:r w:rsidRPr="00621959">
          <w:rPr>
            <w:rStyle w:val="Hyperlink"/>
            <w:noProof w:val="0"/>
            <w:rtl/>
            <w:lang w:val="en-US" w:eastAsia="zh-CN"/>
          </w:rPr>
          <w:t>هنا</w:t>
        </w:r>
      </w:hyperlink>
      <w:r w:rsidRPr="00621959">
        <w:rPr>
          <w:rFonts w:hint="cs"/>
          <w:b/>
          <w:rtl/>
        </w:rPr>
        <w:t>:</w:t>
      </w:r>
    </w:p>
    <w:p w14:paraId="762292CC" w14:textId="254F2CAD" w:rsidR="00621959" w:rsidRPr="00621959" w:rsidRDefault="00A56A01" w:rsidP="00A56A01">
      <w:pPr>
        <w:pStyle w:val="Figure"/>
        <w:bidi/>
        <w:rPr>
          <w:rFonts w:eastAsia="MS Mincho"/>
          <w:u w:val="single"/>
          <w:rtl/>
        </w:rPr>
      </w:pPr>
      <w:r w:rsidRPr="0062595A">
        <w:rPr>
          <w:rFonts w:eastAsia="MS Mincho"/>
          <w:noProof/>
        </w:rPr>
        <w:drawing>
          <wp:inline distT="0" distB="0" distL="0" distR="0" wp14:anchorId="6971B1FA" wp14:editId="49C5A873">
            <wp:extent cx="5171846" cy="2650065"/>
            <wp:effectExtent l="0" t="0" r="0" b="0"/>
            <wp:docPr id="21027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6147" name=""/>
                    <pic:cNvPicPr/>
                  </pic:nvPicPr>
                  <pic:blipFill>
                    <a:blip r:embed="rId81"/>
                    <a:stretch>
                      <a:fillRect/>
                    </a:stretch>
                  </pic:blipFill>
                  <pic:spPr>
                    <a:xfrm>
                      <a:off x="0" y="0"/>
                      <a:ext cx="5179739" cy="2654109"/>
                    </a:xfrm>
                    <a:prstGeom prst="rect">
                      <a:avLst/>
                    </a:prstGeom>
                  </pic:spPr>
                </pic:pic>
              </a:graphicData>
            </a:graphic>
          </wp:inline>
        </w:drawing>
      </w:r>
    </w:p>
    <w:p w14:paraId="2764D0C7" w14:textId="77777777" w:rsidR="00621959" w:rsidRPr="00A56A01" w:rsidRDefault="00621959" w:rsidP="00A56A01">
      <w:pPr>
        <w:pStyle w:val="Figuretitle"/>
        <w:rPr>
          <w:b w:val="0"/>
          <w:bCs w:val="0"/>
          <w:i/>
          <w:iCs/>
          <w:color w:val="1F497D"/>
          <w:lang w:val="en-GB" w:bidi="ar-EG"/>
        </w:rPr>
      </w:pPr>
      <w:bookmarkStart w:id="27" w:name="الشكل2"/>
      <w:bookmarkEnd w:id="27"/>
      <w:r w:rsidRPr="00A56A01">
        <w:rPr>
          <w:b w:val="0"/>
          <w:bCs w:val="0"/>
          <w:i/>
          <w:iCs/>
          <w:color w:val="1F497D"/>
          <w:rtl/>
        </w:rPr>
        <w:t>الشكل 2</w:t>
      </w:r>
      <w:r w:rsidRPr="00A56A01">
        <w:rPr>
          <w:rFonts w:hint="cs"/>
          <w:b w:val="0"/>
          <w:bCs w:val="0"/>
          <w:i/>
          <w:iCs/>
          <w:color w:val="1F497D"/>
          <w:rtl/>
        </w:rPr>
        <w:t>.</w:t>
      </w:r>
      <w:r w:rsidRPr="00A56A01">
        <w:rPr>
          <w:b w:val="0"/>
          <w:bCs w:val="0"/>
          <w:i/>
          <w:iCs/>
          <w:color w:val="1F497D"/>
          <w:rtl/>
        </w:rPr>
        <w:t xml:space="preserve"> برنامج التوصيل في 2030</w:t>
      </w:r>
    </w:p>
    <w:p w14:paraId="445EE36C" w14:textId="2AA76E9C" w:rsidR="00621959" w:rsidRPr="00A56A01" w:rsidRDefault="00621959" w:rsidP="00A56A01">
      <w:pPr>
        <w:pStyle w:val="Heading2"/>
      </w:pPr>
      <w:bookmarkStart w:id="28" w:name="_Toc164927160"/>
      <w:bookmarkStart w:id="29" w:name="_Toc224288799"/>
      <w:bookmarkStart w:id="30" w:name="_Toc227252573"/>
      <w:bookmarkEnd w:id="13"/>
      <w:bookmarkEnd w:id="26"/>
      <w:r w:rsidRPr="00621959">
        <w:rPr>
          <w:rtl/>
        </w:rPr>
        <w:t>1.3</w:t>
      </w:r>
      <w:r w:rsidRPr="00A56A01">
        <w:tab/>
      </w:r>
      <w:r w:rsidR="00541570" w:rsidRPr="00541570">
        <w:rPr>
          <w:rtl/>
        </w:rPr>
        <w:t xml:space="preserve">النتائج النهائية للخطة </w:t>
      </w:r>
      <w:r w:rsidRPr="00621959">
        <w:rPr>
          <w:rtl/>
        </w:rPr>
        <w:t>الاستراتيجية للفترة 2020-2023</w:t>
      </w:r>
      <w:bookmarkEnd w:id="28"/>
      <w:bookmarkEnd w:id="29"/>
      <w:bookmarkEnd w:id="30"/>
    </w:p>
    <w:p w14:paraId="07478ADE" w14:textId="7D3745CB" w:rsidR="00621959" w:rsidRPr="00621959" w:rsidRDefault="00621959" w:rsidP="00B458A7">
      <w:pPr>
        <w:rPr>
          <w:lang w:val="en-GB" w:bidi="ar-EG"/>
        </w:rPr>
      </w:pPr>
      <w:r w:rsidRPr="00621959">
        <w:rPr>
          <w:rtl/>
        </w:rPr>
        <w:t xml:space="preserve">يُظهر التقييم النهائي للخطة الاستراتيجية للفترة 2020-2023 تقدماً مطرداً نحو تحقيق </w:t>
      </w:r>
      <w:hyperlink r:id="rId82" w:history="1">
        <w:r w:rsidRPr="00621959">
          <w:rPr>
            <w:rStyle w:val="Hyperlink"/>
            <w:noProof w:val="0"/>
            <w:rtl/>
            <w:lang w:val="en-US" w:eastAsia="zh-CN"/>
          </w:rPr>
          <w:t>برنامج التوصيل في 2030</w:t>
        </w:r>
      </w:hyperlink>
      <w:r w:rsidRPr="00621959">
        <w:rPr>
          <w:rtl/>
        </w:rPr>
        <w:t xml:space="preserve"> (</w:t>
      </w:r>
      <w:hyperlink w:anchor="الشكل2" w:history="1">
        <w:r w:rsidRPr="0010011D">
          <w:rPr>
            <w:rStyle w:val="Hyperlink"/>
            <w:noProof w:val="0"/>
            <w:rtl/>
            <w:lang w:val="en-US" w:eastAsia="zh-CN"/>
          </w:rPr>
          <w:t xml:space="preserve">انظر الشكل </w:t>
        </w:r>
        <w:r w:rsidR="00475726" w:rsidRPr="0010011D">
          <w:rPr>
            <w:rStyle w:val="Hyperlink"/>
            <w:noProof w:val="0"/>
            <w:lang w:val="en-US" w:eastAsia="zh-CN"/>
          </w:rPr>
          <w:t>2</w:t>
        </w:r>
      </w:hyperlink>
      <w:r w:rsidRPr="00621959">
        <w:rPr>
          <w:rtl/>
        </w:rPr>
        <w:t xml:space="preserve">)، إضافة إلى مكاسب </w:t>
      </w:r>
      <w:r w:rsidRPr="00621959">
        <w:rPr>
          <w:rFonts w:hint="cs"/>
          <w:rtl/>
        </w:rPr>
        <w:t>كبيرة</w:t>
      </w:r>
      <w:r w:rsidRPr="00621959">
        <w:rPr>
          <w:rtl/>
        </w:rPr>
        <w:t xml:space="preserve"> في النفاذ، </w:t>
      </w:r>
      <w:proofErr w:type="spellStart"/>
      <w:r w:rsidRPr="00621959">
        <w:rPr>
          <w:rtl/>
        </w:rPr>
        <w:t>وميسورية</w:t>
      </w:r>
      <w:proofErr w:type="spellEnd"/>
      <w:r w:rsidRPr="00621959">
        <w:rPr>
          <w:rtl/>
        </w:rPr>
        <w:t xml:space="preserve"> التكلفة، والشمول، والبيئ</w:t>
      </w:r>
      <w:r w:rsidR="00541570">
        <w:rPr>
          <w:rFonts w:hint="cs"/>
          <w:rtl/>
        </w:rPr>
        <w:t>ة</w:t>
      </w:r>
      <w:r w:rsidRPr="00621959">
        <w:rPr>
          <w:rtl/>
        </w:rPr>
        <w:t xml:space="preserve"> </w:t>
      </w:r>
      <w:proofErr w:type="spellStart"/>
      <w:r w:rsidRPr="00621959">
        <w:rPr>
          <w:rtl/>
        </w:rPr>
        <w:t>السياساتية</w:t>
      </w:r>
      <w:proofErr w:type="spellEnd"/>
      <w:r w:rsidRPr="00621959">
        <w:rPr>
          <w:rtl/>
        </w:rPr>
        <w:t xml:space="preserve"> التمكينية، في حين لا</w:t>
      </w:r>
      <w:r w:rsidR="0010011D">
        <w:rPr>
          <w:rFonts w:hint="cs"/>
          <w:rtl/>
        </w:rPr>
        <w:t> </w:t>
      </w:r>
      <w:r w:rsidRPr="00621959">
        <w:rPr>
          <w:rtl/>
        </w:rPr>
        <w:t>تزال هناك فجوات كبيرة تتطلب جهوداً متواصلة في السنوات المقبلة. وبحلول نهاية عام 2023، وصل استعمال الإنترنت عالمياً إلى 69</w:t>
      </w:r>
      <w:r w:rsidR="0010011D">
        <w:rPr>
          <w:rFonts w:hint="cs"/>
          <w:rtl/>
        </w:rPr>
        <w:t xml:space="preserve"> في </w:t>
      </w:r>
      <w:proofErr w:type="gramStart"/>
      <w:r w:rsidR="0010011D">
        <w:rPr>
          <w:rFonts w:hint="cs"/>
          <w:rtl/>
        </w:rPr>
        <w:t>المائة</w:t>
      </w:r>
      <w:proofErr w:type="gramEnd"/>
      <w:r w:rsidRPr="00621959">
        <w:rPr>
          <w:rtl/>
        </w:rPr>
        <w:t xml:space="preserve"> من سكان العالم (5</w:t>
      </w:r>
      <w:r w:rsidRPr="00621959">
        <w:rPr>
          <w:rFonts w:hint="cs"/>
          <w:rtl/>
        </w:rPr>
        <w:t>,</w:t>
      </w:r>
      <w:r w:rsidRPr="00621959">
        <w:rPr>
          <w:rtl/>
        </w:rPr>
        <w:t>6 مليار نسمة)، مما قلل عدد الأفراد غير الموصولين بالإنترنت إلى</w:t>
      </w:r>
      <w:r w:rsidR="00541570">
        <w:rPr>
          <w:rFonts w:hint="cs"/>
          <w:rtl/>
        </w:rPr>
        <w:t xml:space="preserve"> نحو </w:t>
      </w:r>
      <w:r w:rsidRPr="00621959">
        <w:rPr>
          <w:rtl/>
        </w:rPr>
        <w:t>2</w:t>
      </w:r>
      <w:r w:rsidRPr="00621959">
        <w:rPr>
          <w:rFonts w:hint="cs"/>
          <w:rtl/>
        </w:rPr>
        <w:t>,</w:t>
      </w:r>
      <w:r w:rsidRPr="00621959">
        <w:rPr>
          <w:rtl/>
        </w:rPr>
        <w:t>5 مليار نسمة. واقتربت البلدان ذات الدخل المرتفع من تحقيق تغطية شاملة بنسبة 92</w:t>
      </w:r>
      <w:r w:rsidR="0010011D">
        <w:rPr>
          <w:rtl/>
        </w:rPr>
        <w:t xml:space="preserve"> في </w:t>
      </w:r>
      <w:proofErr w:type="gramStart"/>
      <w:r w:rsidR="0010011D">
        <w:rPr>
          <w:rtl/>
        </w:rPr>
        <w:t>المائة</w:t>
      </w:r>
      <w:proofErr w:type="gramEnd"/>
      <w:r w:rsidRPr="00621959">
        <w:rPr>
          <w:rtl/>
        </w:rPr>
        <w:t xml:space="preserve">، على الرغم من أن عدد البلدان التي توفر خطط النطاق العريض ظل </w:t>
      </w:r>
      <w:r w:rsidRPr="00621959">
        <w:rPr>
          <w:rFonts w:hint="cs"/>
          <w:rtl/>
        </w:rPr>
        <w:t>راكداً</w:t>
      </w:r>
      <w:r w:rsidRPr="00621959">
        <w:rPr>
          <w:rtl/>
        </w:rPr>
        <w:t xml:space="preserve"> عند 167 بلداً، منخفضاً من 170 بلداً في عام 2022. واستمر تحسن القدرة على تحمل التكلفة، حيث انخفض سعر البيانات المتنقلة كنسبة من </w:t>
      </w:r>
      <w:r w:rsidR="00B458A7" w:rsidRPr="00B458A7">
        <w:rPr>
          <w:rFonts w:hint="cs"/>
          <w:rtl/>
        </w:rPr>
        <w:t>نصيب الفرد من الدخل القومي</w:t>
      </w:r>
      <w:r w:rsidR="00B458A7" w:rsidRPr="00B458A7">
        <w:rPr>
          <w:rtl/>
        </w:rPr>
        <w:t xml:space="preserve"> </w:t>
      </w:r>
      <w:r w:rsidR="00B458A7" w:rsidRPr="00B458A7">
        <w:rPr>
          <w:rFonts w:hint="cs"/>
          <w:rtl/>
        </w:rPr>
        <w:t>الإجمالي</w:t>
      </w:r>
      <w:r w:rsidR="00B458A7" w:rsidRPr="00B458A7">
        <w:rPr>
          <w:rtl/>
        </w:rPr>
        <w:t xml:space="preserve"> </w:t>
      </w:r>
      <w:r w:rsidRPr="00621959">
        <w:rPr>
          <w:rtl/>
        </w:rPr>
        <w:t>بنسبة 36</w:t>
      </w:r>
      <w:r w:rsidR="0010011D">
        <w:rPr>
          <w:rtl/>
        </w:rPr>
        <w:t xml:space="preserve"> في </w:t>
      </w:r>
      <w:proofErr w:type="gramStart"/>
      <w:r w:rsidR="0010011D">
        <w:rPr>
          <w:rtl/>
        </w:rPr>
        <w:t>المائة</w:t>
      </w:r>
      <w:proofErr w:type="gramEnd"/>
      <w:r w:rsidRPr="00621959">
        <w:rPr>
          <w:rtl/>
        </w:rPr>
        <w:t xml:space="preserve"> بين عامي 2017 و2023. وارتفعت اشتراكات النطاق العريض ارتفاعاً </w:t>
      </w:r>
      <w:r w:rsidRPr="00621959">
        <w:rPr>
          <w:rFonts w:hint="cs"/>
          <w:rtl/>
        </w:rPr>
        <w:t>كبيراً</w:t>
      </w:r>
      <w:r w:rsidRPr="00621959">
        <w:rPr>
          <w:rtl/>
        </w:rPr>
        <w:t xml:space="preserve"> - النطاق العريض الثابت بنسبة </w:t>
      </w:r>
      <w:r w:rsidR="0010011D">
        <w:t>19,2</w:t>
      </w:r>
      <w:r w:rsidR="0010011D">
        <w:rPr>
          <w:rtl/>
        </w:rPr>
        <w:t xml:space="preserve"> في </w:t>
      </w:r>
      <w:proofErr w:type="gramStart"/>
      <w:r w:rsidR="0010011D">
        <w:rPr>
          <w:rtl/>
        </w:rPr>
        <w:t>المائة</w:t>
      </w:r>
      <w:proofErr w:type="gramEnd"/>
      <w:r w:rsidRPr="00621959">
        <w:rPr>
          <w:rtl/>
        </w:rPr>
        <w:t xml:space="preserve"> والنطاق العريض المتنقل بنسبة </w:t>
      </w:r>
      <w:r w:rsidR="0010011D">
        <w:t>21,0</w:t>
      </w:r>
      <w:r w:rsidR="0010011D">
        <w:rPr>
          <w:rtl/>
        </w:rPr>
        <w:t xml:space="preserve"> في </w:t>
      </w:r>
      <w:proofErr w:type="gramStart"/>
      <w:r w:rsidR="0010011D">
        <w:rPr>
          <w:rtl/>
        </w:rPr>
        <w:t>المائة</w:t>
      </w:r>
      <w:proofErr w:type="gramEnd"/>
      <w:r w:rsidRPr="00621959">
        <w:rPr>
          <w:rtl/>
        </w:rPr>
        <w:t xml:space="preserve"> - مع تسجيل أسرع نمو في البلدان ذات الدخل المنخفض، حتى وإن لم يتحقق </w:t>
      </w:r>
      <w:r w:rsidR="00B458A7">
        <w:rPr>
          <w:rFonts w:hint="cs"/>
          <w:rtl/>
        </w:rPr>
        <w:t>مقصد</w:t>
      </w:r>
      <w:r w:rsidRPr="00621959">
        <w:rPr>
          <w:rtl/>
        </w:rPr>
        <w:t xml:space="preserve"> الزيادة بنسبة 50</w:t>
      </w:r>
      <w:r w:rsidR="0010011D">
        <w:rPr>
          <w:rtl/>
        </w:rPr>
        <w:t xml:space="preserve"> في </w:t>
      </w:r>
      <w:proofErr w:type="gramStart"/>
      <w:r w:rsidR="0010011D">
        <w:rPr>
          <w:rtl/>
        </w:rPr>
        <w:t>المائة</w:t>
      </w:r>
      <w:proofErr w:type="gramEnd"/>
      <w:r w:rsidRPr="00621959">
        <w:rPr>
          <w:rtl/>
        </w:rPr>
        <w:t xml:space="preserve"> بالكامل.</w:t>
      </w:r>
    </w:p>
    <w:p w14:paraId="5EA717F3" w14:textId="72DD430E" w:rsidR="00621959" w:rsidRPr="00621959" w:rsidRDefault="00621959" w:rsidP="008A5A1B">
      <w:pPr>
        <w:rPr>
          <w:lang w:val="en-GB" w:bidi="ar-EG"/>
        </w:rPr>
      </w:pPr>
      <w:r w:rsidRPr="00621959">
        <w:rPr>
          <w:rtl/>
        </w:rPr>
        <w:t>ورغم هذا التقدم، لا تزال الشمولية تشكل تحدياً. ولم تتجاوز نسبة مستعملي الإنترنت في البلدان ذات الدخل المنخفض</w:t>
      </w:r>
      <w:r w:rsidR="0010011D">
        <w:rPr>
          <w:rFonts w:hint="cs"/>
          <w:rtl/>
        </w:rPr>
        <w:t> </w:t>
      </w:r>
      <w:r w:rsidRPr="00621959">
        <w:rPr>
          <w:rtl/>
        </w:rPr>
        <w:t>22</w:t>
      </w:r>
      <w:r w:rsidR="0010011D">
        <w:rPr>
          <w:rtl/>
        </w:rPr>
        <w:t xml:space="preserve"> في </w:t>
      </w:r>
      <w:proofErr w:type="gramStart"/>
      <w:r w:rsidR="0010011D">
        <w:rPr>
          <w:rtl/>
        </w:rPr>
        <w:t>المائة</w:t>
      </w:r>
      <w:proofErr w:type="gramEnd"/>
      <w:r w:rsidRPr="00621959">
        <w:rPr>
          <w:rtl/>
        </w:rPr>
        <w:t xml:space="preserve"> في عام 2023، رغم أن هذه النسبة تمثل زيادة قدرها 25</w:t>
      </w:r>
      <w:r w:rsidR="0010011D">
        <w:rPr>
          <w:rtl/>
        </w:rPr>
        <w:t xml:space="preserve"> في </w:t>
      </w:r>
      <w:proofErr w:type="gramStart"/>
      <w:r w:rsidR="0010011D">
        <w:rPr>
          <w:rtl/>
        </w:rPr>
        <w:t>المائة</w:t>
      </w:r>
      <w:proofErr w:type="gramEnd"/>
      <w:r w:rsidRPr="00621959">
        <w:rPr>
          <w:rtl/>
        </w:rPr>
        <w:t xml:space="preserve"> مقارنة</w:t>
      </w:r>
      <w:r w:rsidR="0010011D">
        <w:rPr>
          <w:rFonts w:hint="cs"/>
          <w:rtl/>
        </w:rPr>
        <w:t>ً</w:t>
      </w:r>
      <w:r w:rsidRPr="00621959">
        <w:rPr>
          <w:rtl/>
        </w:rPr>
        <w:t xml:space="preserve"> بعام 2020. ولا تزال التفاوتات الإقليمية قائمة، حيث سجلت إفريقيا نسبة استعمال بلغت 36</w:t>
      </w:r>
      <w:r w:rsidR="0010011D">
        <w:rPr>
          <w:rtl/>
        </w:rPr>
        <w:t xml:space="preserve"> في </w:t>
      </w:r>
      <w:proofErr w:type="gramStart"/>
      <w:r w:rsidR="0010011D">
        <w:rPr>
          <w:rtl/>
        </w:rPr>
        <w:t>المائة</w:t>
      </w:r>
      <w:proofErr w:type="gramEnd"/>
      <w:r w:rsidRPr="00621959">
        <w:rPr>
          <w:rtl/>
        </w:rPr>
        <w:t xml:space="preserve"> فقط، بينما وصلت النسبة في أقل البلدان نمواً والبلدان النامية غير الساحلية إلى 30</w:t>
      </w:r>
      <w:r w:rsidR="0010011D">
        <w:rPr>
          <w:rtl/>
        </w:rPr>
        <w:t xml:space="preserve"> في </w:t>
      </w:r>
      <w:proofErr w:type="gramStart"/>
      <w:r w:rsidR="0010011D">
        <w:rPr>
          <w:rtl/>
        </w:rPr>
        <w:t>المائة</w:t>
      </w:r>
      <w:proofErr w:type="gramEnd"/>
      <w:r w:rsidRPr="00621959">
        <w:rPr>
          <w:rtl/>
        </w:rPr>
        <w:t xml:space="preserve"> و35</w:t>
      </w:r>
      <w:r w:rsidR="0010011D">
        <w:rPr>
          <w:rtl/>
        </w:rPr>
        <w:t xml:space="preserve"> في </w:t>
      </w:r>
      <w:proofErr w:type="gramStart"/>
      <w:r w:rsidR="0010011D">
        <w:rPr>
          <w:rtl/>
        </w:rPr>
        <w:t>المائة</w:t>
      </w:r>
      <w:proofErr w:type="gramEnd"/>
      <w:r w:rsidRPr="00621959">
        <w:rPr>
          <w:rtl/>
        </w:rPr>
        <w:t xml:space="preserve"> على التوالي. ولا تزال القدرة على تحمل التكلفة </w:t>
      </w:r>
      <w:r w:rsidRPr="00621959">
        <w:rPr>
          <w:rFonts w:hint="cs"/>
          <w:rtl/>
        </w:rPr>
        <w:t>حاجز</w:t>
      </w:r>
      <w:r w:rsidRPr="00621959">
        <w:rPr>
          <w:rtl/>
        </w:rPr>
        <w:t xml:space="preserve">اً أمام اقتصادات البلدان ذات الدخل المنخفض، على الرغم من تقلص الفجوة بين البلدان </w:t>
      </w:r>
      <w:r w:rsidR="00B458A7">
        <w:rPr>
          <w:rFonts w:hint="cs"/>
          <w:rtl/>
        </w:rPr>
        <w:t xml:space="preserve">ذات </w:t>
      </w:r>
      <w:r w:rsidRPr="00621959">
        <w:rPr>
          <w:rtl/>
        </w:rPr>
        <w:t xml:space="preserve">الدخل </w:t>
      </w:r>
      <w:r w:rsidR="00B458A7">
        <w:rPr>
          <w:rFonts w:hint="cs"/>
          <w:rtl/>
        </w:rPr>
        <w:t xml:space="preserve">المرتفع </w:t>
      </w:r>
      <w:r w:rsidRPr="00621959">
        <w:rPr>
          <w:rtl/>
        </w:rPr>
        <w:t xml:space="preserve">والبلدان </w:t>
      </w:r>
      <w:r w:rsidR="00B458A7">
        <w:rPr>
          <w:rFonts w:hint="cs"/>
          <w:rtl/>
        </w:rPr>
        <w:t>ال</w:t>
      </w:r>
      <w:r w:rsidRPr="00621959">
        <w:rPr>
          <w:rtl/>
        </w:rPr>
        <w:t>متوسطة الدخل من الشريحة الدنيا بنسبة 42</w:t>
      </w:r>
      <w:r w:rsidR="0010011D">
        <w:rPr>
          <w:rtl/>
        </w:rPr>
        <w:t xml:space="preserve"> في </w:t>
      </w:r>
      <w:proofErr w:type="gramStart"/>
      <w:r w:rsidR="0010011D">
        <w:rPr>
          <w:rtl/>
        </w:rPr>
        <w:t>المائة</w:t>
      </w:r>
      <w:proofErr w:type="gramEnd"/>
      <w:r w:rsidRPr="00621959">
        <w:rPr>
          <w:rtl/>
        </w:rPr>
        <w:t xml:space="preserve"> منذ عام 2017. وتستمر أوجه عدم المساواة بين الجنسين: بلغت نسبة مستعملي الإنترنت 72</w:t>
      </w:r>
      <w:r w:rsidR="0010011D">
        <w:rPr>
          <w:rtl/>
        </w:rPr>
        <w:t xml:space="preserve"> في </w:t>
      </w:r>
      <w:proofErr w:type="gramStart"/>
      <w:r w:rsidR="0010011D">
        <w:rPr>
          <w:rtl/>
        </w:rPr>
        <w:t>المائة</w:t>
      </w:r>
      <w:proofErr w:type="gramEnd"/>
      <w:r w:rsidRPr="00621959">
        <w:rPr>
          <w:rtl/>
        </w:rPr>
        <w:t xml:space="preserve"> بين الرجال و66</w:t>
      </w:r>
      <w:r w:rsidR="0010011D">
        <w:rPr>
          <w:rtl/>
        </w:rPr>
        <w:t xml:space="preserve"> في </w:t>
      </w:r>
      <w:proofErr w:type="gramStart"/>
      <w:r w:rsidR="0010011D">
        <w:rPr>
          <w:rtl/>
        </w:rPr>
        <w:t>المائة</w:t>
      </w:r>
      <w:proofErr w:type="gramEnd"/>
      <w:r w:rsidRPr="00621959">
        <w:rPr>
          <w:rtl/>
        </w:rPr>
        <w:t xml:space="preserve"> بين النساء في عام 2023، أي بزيادة قدرها 260 مليون رجل، بينما لا تزال احتمالية امتلاك النساء للهواتف المتنقلة أقل بنسبة </w:t>
      </w:r>
      <w:r w:rsidR="0010011D">
        <w:t>10</w:t>
      </w:r>
      <w:r w:rsidR="0010011D">
        <w:rPr>
          <w:rtl/>
        </w:rPr>
        <w:t xml:space="preserve"> في </w:t>
      </w:r>
      <w:proofErr w:type="gramStart"/>
      <w:r w:rsidR="0010011D">
        <w:rPr>
          <w:rtl/>
        </w:rPr>
        <w:t>المائة</w:t>
      </w:r>
      <w:proofErr w:type="gramEnd"/>
      <w:r w:rsidRPr="00621959">
        <w:rPr>
          <w:rtl/>
        </w:rPr>
        <w:t xml:space="preserve">. ومع ذلك، شهدت أطر إمكانية النفاذ للأشخاص ذوي الإعاقة توسعاً كبيراً، حيث ارتفع عدد البلدان التي لديها أطر من 61 بلداً في عام 2018 إلى 117 بلداً </w:t>
      </w:r>
      <w:r w:rsidR="00541570">
        <w:rPr>
          <w:rFonts w:hint="cs"/>
          <w:rtl/>
        </w:rPr>
        <w:t>بحلول</w:t>
      </w:r>
      <w:r w:rsidRPr="00621959">
        <w:rPr>
          <w:rtl/>
        </w:rPr>
        <w:t xml:space="preserve"> </w:t>
      </w:r>
      <w:r w:rsidR="00541570">
        <w:rPr>
          <w:rFonts w:hint="cs"/>
          <w:rtl/>
        </w:rPr>
        <w:t xml:space="preserve">نهاية </w:t>
      </w:r>
      <w:r w:rsidRPr="00621959">
        <w:rPr>
          <w:rtl/>
        </w:rPr>
        <w:t xml:space="preserve">عام </w:t>
      </w:r>
      <w:r w:rsidR="0010011D">
        <w:t>2022</w:t>
      </w:r>
      <w:r w:rsidR="0010011D">
        <w:rPr>
          <w:rFonts w:hint="cs"/>
          <w:rtl/>
          <w:lang w:bidi="ar-EG"/>
        </w:rPr>
        <w:t xml:space="preserve"> و</w:t>
      </w:r>
      <w:r w:rsidR="0010011D">
        <w:rPr>
          <w:lang w:bidi="ar-EG"/>
        </w:rPr>
        <w:t>127</w:t>
      </w:r>
      <w:r w:rsidR="0010011D">
        <w:rPr>
          <w:rFonts w:hint="cs"/>
          <w:rtl/>
          <w:lang w:bidi="ar-EG"/>
        </w:rPr>
        <w:t xml:space="preserve"> بلداً </w:t>
      </w:r>
      <w:r w:rsidR="00541570">
        <w:rPr>
          <w:rFonts w:hint="cs"/>
          <w:rtl/>
          <w:lang w:bidi="ar-EG"/>
        </w:rPr>
        <w:t>بحلول</w:t>
      </w:r>
      <w:r w:rsidR="0010011D">
        <w:rPr>
          <w:rFonts w:hint="cs"/>
          <w:rtl/>
          <w:lang w:bidi="ar-EG"/>
        </w:rPr>
        <w:t xml:space="preserve"> نهاية عام </w:t>
      </w:r>
      <w:r w:rsidR="0010011D">
        <w:rPr>
          <w:lang w:bidi="ar-EG"/>
        </w:rPr>
        <w:t>2024</w:t>
      </w:r>
      <w:r w:rsidRPr="00621959">
        <w:rPr>
          <w:rtl/>
        </w:rPr>
        <w:t>.</w:t>
      </w:r>
    </w:p>
    <w:p w14:paraId="4B4EB30C" w14:textId="1D05FFC5" w:rsidR="00621959" w:rsidRPr="00621959" w:rsidRDefault="00621959" w:rsidP="0010011D">
      <w:pPr>
        <w:keepLines/>
        <w:rPr>
          <w:lang w:val="en-GB" w:bidi="ar-EG"/>
        </w:rPr>
      </w:pPr>
      <w:r w:rsidRPr="00621959">
        <w:rPr>
          <w:rtl/>
        </w:rPr>
        <w:t>وارتفع معدل إعادة تدوير المخلفات الإلكترونية عالمياً من 20</w:t>
      </w:r>
      <w:r w:rsidR="0010011D">
        <w:rPr>
          <w:rtl/>
        </w:rPr>
        <w:t xml:space="preserve"> في </w:t>
      </w:r>
      <w:proofErr w:type="gramStart"/>
      <w:r w:rsidR="0010011D">
        <w:rPr>
          <w:rtl/>
        </w:rPr>
        <w:t>المائة</w:t>
      </w:r>
      <w:proofErr w:type="gramEnd"/>
      <w:r w:rsidRPr="00621959">
        <w:rPr>
          <w:rtl/>
        </w:rPr>
        <w:t xml:space="preserve"> في عام 2017 إلى 22</w:t>
      </w:r>
      <w:r w:rsidRPr="00621959">
        <w:rPr>
          <w:rFonts w:hint="cs"/>
          <w:rtl/>
        </w:rPr>
        <w:t>,</w:t>
      </w:r>
      <w:r w:rsidRPr="00621959">
        <w:rPr>
          <w:rtl/>
        </w:rPr>
        <w:t>3</w:t>
      </w:r>
      <w:r w:rsidR="0010011D">
        <w:rPr>
          <w:rtl/>
        </w:rPr>
        <w:t xml:space="preserve"> في </w:t>
      </w:r>
      <w:proofErr w:type="gramStart"/>
      <w:r w:rsidR="0010011D">
        <w:rPr>
          <w:rtl/>
        </w:rPr>
        <w:t>المائة</w:t>
      </w:r>
      <w:proofErr w:type="gramEnd"/>
      <w:r w:rsidRPr="00621959">
        <w:rPr>
          <w:rtl/>
        </w:rPr>
        <w:t xml:space="preserve"> في عام 2022، ولكنه لا يزال أقل بكثير من </w:t>
      </w:r>
      <w:r w:rsidR="00B458A7">
        <w:rPr>
          <w:rFonts w:hint="cs"/>
          <w:rtl/>
        </w:rPr>
        <w:t>المقصد</w:t>
      </w:r>
      <w:r w:rsidRPr="00621959">
        <w:rPr>
          <w:rtl/>
        </w:rPr>
        <w:t xml:space="preserve"> المحدد بنسبة 30</w:t>
      </w:r>
      <w:r w:rsidR="0010011D">
        <w:rPr>
          <w:rtl/>
        </w:rPr>
        <w:t xml:space="preserve"> في </w:t>
      </w:r>
      <w:proofErr w:type="gramStart"/>
      <w:r w:rsidR="0010011D">
        <w:rPr>
          <w:rtl/>
        </w:rPr>
        <w:t>المائة</w:t>
      </w:r>
      <w:proofErr w:type="gramEnd"/>
      <w:r w:rsidRPr="00621959">
        <w:rPr>
          <w:rtl/>
        </w:rPr>
        <w:t xml:space="preserve">، في حين يواصل توليد المخلفات الإلكترونية النمو بوتيرة متسارعة، ومن المتوقع أن </w:t>
      </w:r>
      <w:r w:rsidRPr="00541570">
        <w:rPr>
          <w:rtl/>
        </w:rPr>
        <w:t xml:space="preserve">يصل إلى </w:t>
      </w:r>
      <w:r w:rsidR="0010011D" w:rsidRPr="00541570">
        <w:t>82</w:t>
      </w:r>
      <w:r w:rsidRPr="00541570">
        <w:rPr>
          <w:rtl/>
        </w:rPr>
        <w:t xml:space="preserve"> </w:t>
      </w:r>
      <w:r w:rsidR="00541570" w:rsidRPr="00541570">
        <w:rPr>
          <w:rFonts w:hint="cs"/>
          <w:rtl/>
        </w:rPr>
        <w:t>ميغا</w:t>
      </w:r>
      <w:r w:rsidRPr="00541570">
        <w:rPr>
          <w:rtl/>
        </w:rPr>
        <w:t xml:space="preserve"> طن</w:t>
      </w:r>
      <w:r w:rsidR="003F1CCA">
        <w:rPr>
          <w:rFonts w:hint="cs"/>
          <w:rtl/>
          <w:lang w:bidi="ar-EG"/>
        </w:rPr>
        <w:t xml:space="preserve"> </w:t>
      </w:r>
      <w:r w:rsidR="003F1CCA">
        <w:rPr>
          <w:lang w:bidi="ar-EG"/>
        </w:rPr>
        <w:t>(Mt)</w:t>
      </w:r>
      <w:r w:rsidRPr="00541570">
        <w:rPr>
          <w:rtl/>
        </w:rPr>
        <w:t xml:space="preserve"> بحلول عام 2030. وارتفع عدد البلدان التي لديها تشريعات خاصة بالمخلفات الإلكترونية إلى 81 بلداً في عام 2023، مقتربة بذلك من </w:t>
      </w:r>
      <w:r w:rsidR="00B458A7">
        <w:rPr>
          <w:rFonts w:hint="cs"/>
          <w:rtl/>
        </w:rPr>
        <w:t>المقصد</w:t>
      </w:r>
      <w:r w:rsidR="00B458A7" w:rsidRPr="00541570">
        <w:rPr>
          <w:rtl/>
        </w:rPr>
        <w:t xml:space="preserve"> </w:t>
      </w:r>
      <w:r w:rsidRPr="00541570">
        <w:rPr>
          <w:rtl/>
        </w:rPr>
        <w:t xml:space="preserve">المحدد وهو 97 بلداً. وتقدم العمل المتعلق بأثر المناخ من خلال وضع الاتحاد لمعايير عالمية لانبعاثات تكنولوجيا المعلومات والاتصالات الصافية الصفرية، بينما ظلت انبعاثات القطاع مستقرة عند حوالي 133 </w:t>
      </w:r>
      <w:r w:rsidR="00541570" w:rsidRPr="00541570">
        <w:rPr>
          <w:rFonts w:hint="cs"/>
          <w:rtl/>
        </w:rPr>
        <w:t>ميغا</w:t>
      </w:r>
      <w:r w:rsidRPr="00541570">
        <w:rPr>
          <w:rtl/>
        </w:rPr>
        <w:t xml:space="preserve"> طن من ثاني أكسيد الكربون</w:t>
      </w:r>
      <w:r w:rsidR="0010011D" w:rsidRPr="00541570">
        <w:rPr>
          <w:rFonts w:hint="cs"/>
          <w:rtl/>
        </w:rPr>
        <w:t xml:space="preserve"> </w:t>
      </w:r>
      <w:r w:rsidR="0010011D" w:rsidRPr="00541570">
        <w:t>(MtCO</w:t>
      </w:r>
      <w:r w:rsidR="0010011D" w:rsidRPr="00541570">
        <w:rPr>
          <w:vertAlign w:val="subscript"/>
        </w:rPr>
        <w:t>2</w:t>
      </w:r>
      <w:r w:rsidR="0010011D" w:rsidRPr="00541570">
        <w:t>)</w:t>
      </w:r>
      <w:r w:rsidRPr="00541570">
        <w:rPr>
          <w:rtl/>
        </w:rPr>
        <w:t xml:space="preserve"> في عام 2023. وتحسن التأهب في مجال الأمن السيبراني: ارتفعت نسبة البلدان التي</w:t>
      </w:r>
      <w:r w:rsidRPr="00621959">
        <w:rPr>
          <w:rtl/>
        </w:rPr>
        <w:t xml:space="preserve"> لديها أفرقة استجابة للحوادث الحاسوبية (</w:t>
      </w:r>
      <w:r w:rsidRPr="00621959">
        <w:rPr>
          <w:lang w:val="en-GB" w:bidi="ar-EG"/>
        </w:rPr>
        <w:t>CIRT</w:t>
      </w:r>
      <w:r w:rsidRPr="00621959">
        <w:rPr>
          <w:rtl/>
        </w:rPr>
        <w:t>)/أفرقة استجابة للطوارئ الحاسوبية (</w:t>
      </w:r>
      <w:r w:rsidRPr="00621959">
        <w:rPr>
          <w:lang w:val="en-GB" w:bidi="ar-EG"/>
        </w:rPr>
        <w:t>CERT</w:t>
      </w:r>
      <w:r w:rsidRPr="00621959">
        <w:rPr>
          <w:rtl/>
        </w:rPr>
        <w:t>) من حوالي 55</w:t>
      </w:r>
      <w:r w:rsidR="0010011D">
        <w:rPr>
          <w:rtl/>
        </w:rPr>
        <w:t xml:space="preserve"> في </w:t>
      </w:r>
      <w:proofErr w:type="gramStart"/>
      <w:r w:rsidR="0010011D">
        <w:rPr>
          <w:rtl/>
        </w:rPr>
        <w:t>المائة</w:t>
      </w:r>
      <w:proofErr w:type="gramEnd"/>
      <w:r w:rsidRPr="00621959">
        <w:rPr>
          <w:rtl/>
        </w:rPr>
        <w:t xml:space="preserve"> في عام 2018 إلى 65</w:t>
      </w:r>
      <w:r w:rsidR="0010011D">
        <w:rPr>
          <w:rtl/>
        </w:rPr>
        <w:t xml:space="preserve"> في </w:t>
      </w:r>
      <w:proofErr w:type="gramStart"/>
      <w:r w:rsidR="0010011D">
        <w:rPr>
          <w:rtl/>
        </w:rPr>
        <w:t>المائة</w:t>
      </w:r>
      <w:proofErr w:type="gramEnd"/>
      <w:r w:rsidRPr="00621959">
        <w:rPr>
          <w:rtl/>
        </w:rPr>
        <w:t xml:space="preserve"> في عام 2023، وأصبح لدى 127 بلداً الآن استراتيجيات وطنية للأمن السيبراني. وشهد تخطيط الاتصالات في حالات الطوارئ تقدماً أيضاً، حيث اعتمدت 83</w:t>
      </w:r>
      <w:r w:rsidR="0010011D">
        <w:rPr>
          <w:rtl/>
        </w:rPr>
        <w:t xml:space="preserve"> في </w:t>
      </w:r>
      <w:proofErr w:type="gramStart"/>
      <w:r w:rsidR="0010011D">
        <w:rPr>
          <w:rtl/>
        </w:rPr>
        <w:t>المائة</w:t>
      </w:r>
      <w:proofErr w:type="gramEnd"/>
      <w:r w:rsidRPr="00621959">
        <w:rPr>
          <w:rtl/>
        </w:rPr>
        <w:t xml:space="preserve"> من البلدان خططاً وطنية بحلول عام 2023.</w:t>
      </w:r>
    </w:p>
    <w:p w14:paraId="2537B12C" w14:textId="79BAD1A7" w:rsidR="00621959" w:rsidRPr="00621959" w:rsidRDefault="00621959" w:rsidP="008A5A1B">
      <w:pPr>
        <w:rPr>
          <w:lang w:val="en-GB" w:bidi="ar-EG"/>
        </w:rPr>
      </w:pPr>
      <w:r w:rsidRPr="00621959">
        <w:rPr>
          <w:rtl/>
        </w:rPr>
        <w:t xml:space="preserve">واستمر الابتكار والشراكة في تعزيز النظام الإيكولوجي للابتكار. وأبلغ 97 بلداً عن سياسات وطنية للابتكار في عام 2023، </w:t>
      </w:r>
      <w:r w:rsidRPr="00621959">
        <w:rPr>
          <w:rFonts w:hint="cs"/>
          <w:rtl/>
        </w:rPr>
        <w:t>مرتفعة من</w:t>
      </w:r>
      <w:r w:rsidRPr="00621959">
        <w:rPr>
          <w:rtl/>
        </w:rPr>
        <w:t xml:space="preserve"> 66 بلداً في عام 2016، مع أنها لا تزال بعيدة عن الاعتماد الشامل. وتُظهر استقصاءات الأعضاء تزايداً في إدراك أهمية التعاون، حيث أكد 61</w:t>
      </w:r>
      <w:r w:rsidR="0010011D">
        <w:rPr>
          <w:rtl/>
        </w:rPr>
        <w:t xml:space="preserve"> في </w:t>
      </w:r>
      <w:proofErr w:type="gramStart"/>
      <w:r w:rsidR="0010011D">
        <w:rPr>
          <w:rtl/>
        </w:rPr>
        <w:t>المائة</w:t>
      </w:r>
      <w:proofErr w:type="gramEnd"/>
      <w:r w:rsidRPr="00621959">
        <w:rPr>
          <w:rtl/>
        </w:rPr>
        <w:t xml:space="preserve"> من المشاركين أهميته، وأفاد نحو 70</w:t>
      </w:r>
      <w:r w:rsidR="0010011D">
        <w:rPr>
          <w:rtl/>
        </w:rPr>
        <w:t xml:space="preserve"> في </w:t>
      </w:r>
      <w:proofErr w:type="gramStart"/>
      <w:r w:rsidR="0010011D">
        <w:rPr>
          <w:rtl/>
        </w:rPr>
        <w:t>المائة</w:t>
      </w:r>
      <w:proofErr w:type="gramEnd"/>
      <w:r w:rsidRPr="00621959">
        <w:rPr>
          <w:rtl/>
        </w:rPr>
        <w:t xml:space="preserve"> منهم بتحقيق فوائد من العمل مع الشركاء. وفي الخطة الاستراتيجية الجديدة للفترة 2024-2027، يُنظر إلى الابتكار والشراكة كعوامل تمكين شاملة وليس كأهداف مستقلة.</w:t>
      </w:r>
    </w:p>
    <w:p w14:paraId="34024EA8" w14:textId="77777777" w:rsidR="0089560B" w:rsidRDefault="00621959" w:rsidP="0010011D">
      <w:pPr>
        <w:pStyle w:val="Heading2"/>
        <w:rPr>
          <w:spacing w:val="-5"/>
          <w:rtl/>
        </w:rPr>
      </w:pPr>
      <w:bookmarkStart w:id="31" w:name="_Toc224288800"/>
      <w:bookmarkStart w:id="32" w:name="_Toc227252574"/>
      <w:r w:rsidRPr="0010011D">
        <w:rPr>
          <w:spacing w:val="-5"/>
          <w:rtl/>
        </w:rPr>
        <w:t>2.3</w:t>
      </w:r>
      <w:r w:rsidRPr="0010011D">
        <w:rPr>
          <w:spacing w:val="-5"/>
          <w:rtl/>
        </w:rPr>
        <w:tab/>
        <w:t>أثر عمل الاتحاد من عام 2024 إلى عام 2025 (أول عامين من الخطة الاستراتيجية للفترة 2024-2027)</w:t>
      </w:r>
      <w:bookmarkEnd w:id="31"/>
      <w:bookmarkEnd w:id="32"/>
    </w:p>
    <w:p w14:paraId="360B1D1F" w14:textId="5DAF955F" w:rsidR="00621959" w:rsidRPr="00621959" w:rsidRDefault="00621959" w:rsidP="0010011D">
      <w:pPr>
        <w:rPr>
          <w:lang w:val="en-GB" w:bidi="ar-EG"/>
        </w:rPr>
      </w:pPr>
      <w:r w:rsidRPr="00621959">
        <w:rPr>
          <w:rtl/>
        </w:rPr>
        <w:t>يُقيّم هذا القسم آخر المستجدات بشأن التقدم المحرز في المؤشرات المستهدفة ضمن هدفي الخطة الاستراتيجية للفترة</w:t>
      </w:r>
      <w:r w:rsidR="0010011D">
        <w:rPr>
          <w:rFonts w:hint="eastAsia"/>
          <w:rtl/>
          <w:lang w:bidi="ar-EG"/>
        </w:rPr>
        <w:t> </w:t>
      </w:r>
      <w:r w:rsidRPr="00621959">
        <w:rPr>
          <w:rtl/>
        </w:rPr>
        <w:t xml:space="preserve">2024-2027: التوصيلية الشاملة (القسم </w:t>
      </w:r>
      <w:hyperlink w:anchor="التوصيلية_الشاملة" w:history="1">
        <w:r w:rsidRPr="0010011D">
          <w:rPr>
            <w:rStyle w:val="Hyperlink"/>
            <w:noProof w:val="0"/>
            <w:rtl/>
            <w:lang w:val="en-US" w:eastAsia="zh-CN"/>
          </w:rPr>
          <w:t>1.2.3</w:t>
        </w:r>
      </w:hyperlink>
      <w:r w:rsidRPr="00621959">
        <w:rPr>
          <w:rtl/>
        </w:rPr>
        <w:t xml:space="preserve">) والتحول الرقمي المستدام (القسم </w:t>
      </w:r>
      <w:hyperlink w:anchor="التحول_الرقمي_المستدام" w:history="1">
        <w:r w:rsidRPr="0010011D">
          <w:rPr>
            <w:rStyle w:val="Hyperlink"/>
            <w:noProof w:val="0"/>
            <w:rtl/>
            <w:lang w:val="en-US" w:eastAsia="zh-CN"/>
          </w:rPr>
          <w:t>2.2.3</w:t>
        </w:r>
      </w:hyperlink>
      <w:r w:rsidRPr="00621959">
        <w:rPr>
          <w:rtl/>
        </w:rPr>
        <w:t xml:space="preserve">). ويُقيّم التحليل، حيثما تسمح البيانات، التقدم المحرز منذ عام 2022. ويستند التقييم أساساً إلى تقرير الاتحاد </w:t>
      </w:r>
      <w:hyperlink r:id="rId83" w:history="1">
        <w:r w:rsidRPr="00621959">
          <w:rPr>
            <w:rStyle w:val="Hyperlink"/>
            <w:noProof w:val="0"/>
            <w:rtl/>
            <w:lang w:val="en-US" w:eastAsia="zh-CN"/>
          </w:rPr>
          <w:t xml:space="preserve">قياس التنمية الرقمية: </w:t>
        </w:r>
        <w:r w:rsidRPr="00621959">
          <w:rPr>
            <w:rStyle w:val="Hyperlink"/>
            <w:rFonts w:hint="cs"/>
            <w:noProof w:val="0"/>
            <w:rtl/>
            <w:lang w:val="en-US" w:eastAsia="zh-CN" w:bidi="ar-EG"/>
          </w:rPr>
          <w:t xml:space="preserve">سلسلة </w:t>
        </w:r>
        <w:r w:rsidRPr="00621959">
          <w:rPr>
            <w:rStyle w:val="Hyperlink"/>
            <w:noProof w:val="0"/>
            <w:rtl/>
            <w:lang w:val="en-US" w:eastAsia="zh-CN"/>
          </w:rPr>
          <w:t>حقائق وأرقام عام 2025</w:t>
        </w:r>
      </w:hyperlink>
      <w:r w:rsidRPr="00621959">
        <w:rPr>
          <w:rtl/>
        </w:rPr>
        <w:t>، الذي يقدم أحدث التقديرات للعديد من مؤشرات التوصيلية الأساسية، بالإضافة إلى مجموعات بيانات الاتحاد التي تغطي المخلفات الإلكترونية، وانبعاثات غازات الاحتباس الحراري، واللوائح التنظيمية، والأمن السيبراني. كما تُستمد بيانات إضافية من وكالات الأمم المتحدة الأخرى، عند الاقتضاء.</w:t>
      </w:r>
    </w:p>
    <w:p w14:paraId="63691057" w14:textId="0DAB0037" w:rsidR="00621959" w:rsidRPr="00621959" w:rsidRDefault="00621959" w:rsidP="008A5A1B">
      <w:pPr>
        <w:rPr>
          <w:lang w:val="en-GB" w:bidi="ar-EG"/>
        </w:rPr>
      </w:pPr>
      <w:r w:rsidRPr="00621959">
        <w:rPr>
          <w:rtl/>
        </w:rPr>
        <w:t xml:space="preserve">ولا يزال التقييم غير كامل، إذ لا تزال تغطية البيانات غير كافية لإنتاج مجاميع عالمية أو إقليمية قوية لعدد من </w:t>
      </w:r>
      <w:r w:rsidR="00607644">
        <w:rPr>
          <w:rFonts w:hint="cs"/>
          <w:rtl/>
        </w:rPr>
        <w:t>المقاصد</w:t>
      </w:r>
      <w:r w:rsidRPr="00621959">
        <w:rPr>
          <w:rtl/>
        </w:rPr>
        <w:t xml:space="preserve"> والمؤشرات المحددة في الخطة الاستراتيجية. وفي حين يعكس التقدم </w:t>
      </w:r>
      <w:r w:rsidRPr="00621959">
        <w:rPr>
          <w:rFonts w:hint="cs"/>
          <w:rtl/>
        </w:rPr>
        <w:t>الملحوظ</w:t>
      </w:r>
      <w:r w:rsidRPr="00621959">
        <w:rPr>
          <w:rtl/>
        </w:rPr>
        <w:t xml:space="preserve">، </w:t>
      </w:r>
      <w:r w:rsidRPr="00621959">
        <w:rPr>
          <w:rFonts w:hint="cs"/>
          <w:rtl/>
        </w:rPr>
        <w:t>في جزء منه</w:t>
      </w:r>
      <w:r w:rsidRPr="00621959">
        <w:rPr>
          <w:rtl/>
        </w:rPr>
        <w:t xml:space="preserve">، جهود الاتحاد، فإن </w:t>
      </w:r>
      <w:r w:rsidR="00FB505F">
        <w:rPr>
          <w:rFonts w:hint="cs"/>
          <w:rtl/>
        </w:rPr>
        <w:t>النواتج</w:t>
      </w:r>
      <w:r w:rsidRPr="00621959">
        <w:rPr>
          <w:rtl/>
        </w:rPr>
        <w:t xml:space="preserve"> تتشكل أيضاً بمجموعة واسعة من العوامل الخارجية والإجراءات التي تتخذها الحكومات والقطاع الخاص وأصحاب المصلحة الآخرين. وبالتالي، لا يمكن اعتبار الاتحاد المحرك الوحيد للنتائج المعروضة.</w:t>
      </w:r>
    </w:p>
    <w:p w14:paraId="50A4D0E4" w14:textId="1F57F443" w:rsidR="00621959" w:rsidRPr="0010011D" w:rsidRDefault="00621959" w:rsidP="0010011D">
      <w:pPr>
        <w:pStyle w:val="Heading3"/>
      </w:pPr>
      <w:bookmarkStart w:id="33" w:name="_Toc224288801"/>
      <w:bookmarkStart w:id="34" w:name="_Toc227252575"/>
      <w:r w:rsidRPr="00621959">
        <w:rPr>
          <w:rtl/>
        </w:rPr>
        <w:t>1.2.3</w:t>
      </w:r>
      <w:r w:rsidRPr="00621959">
        <w:rPr>
          <w:rtl/>
        </w:rPr>
        <w:tab/>
        <w:t>التوصيلية الشاملة</w:t>
      </w:r>
      <w:bookmarkEnd w:id="33"/>
      <w:bookmarkEnd w:id="34"/>
    </w:p>
    <w:p w14:paraId="5DEE9B42" w14:textId="77777777" w:rsidR="00621959" w:rsidRPr="00621959" w:rsidRDefault="00621959" w:rsidP="008A5A1B">
      <w:pPr>
        <w:rPr>
          <w:lang w:val="en-GB" w:bidi="ar-EG"/>
        </w:rPr>
      </w:pPr>
      <w:r w:rsidRPr="00621959">
        <w:rPr>
          <w:rtl/>
        </w:rPr>
        <w:t>يتناول هذا القسم الفرعي الأبعاد الرئيسية للتوصيلية الشاملة، بما في ذلك تغطية النطاق العريض، والقدرة على تحمل التكلفة، والنفاذ إلى الأجهزة، واستعمال الإنترنت، والظروف التمكينية ذات الصلة.</w:t>
      </w:r>
    </w:p>
    <w:p w14:paraId="25C72A6A" w14:textId="04D920EE" w:rsidR="00621959" w:rsidRPr="00621959" w:rsidRDefault="00607644" w:rsidP="0010011D">
      <w:pPr>
        <w:pStyle w:val="Headingb"/>
        <w:rPr>
          <w:lang w:val="en-GB" w:bidi="ar-EG"/>
        </w:rPr>
      </w:pPr>
      <w:r>
        <w:rPr>
          <w:rFonts w:hint="cs"/>
          <w:rtl/>
        </w:rPr>
        <w:t>المقصد</w:t>
      </w:r>
      <w:r w:rsidR="00621959" w:rsidRPr="00621959">
        <w:rPr>
          <w:rtl/>
        </w:rPr>
        <w:t xml:space="preserve"> 1.1: تغطية النطاق العريض الشاملة</w:t>
      </w:r>
    </w:p>
    <w:p w14:paraId="54201889" w14:textId="77777777" w:rsidR="0089560B" w:rsidRDefault="00621959" w:rsidP="008A5A1B">
      <w:pPr>
        <w:rPr>
          <w:rtl/>
        </w:rPr>
      </w:pPr>
      <w:r w:rsidRPr="00621959">
        <w:rPr>
          <w:rtl/>
        </w:rPr>
        <w:t>توسعت تغطية شبكات الجيل الخامس بسرعة في السنوات الأخيرة، وتغطي الآن 55</w:t>
      </w:r>
      <w:r w:rsidR="00B01F6A">
        <w:rPr>
          <w:rtl/>
        </w:rPr>
        <w:t xml:space="preserve"> في </w:t>
      </w:r>
      <w:proofErr w:type="gramStart"/>
      <w:r w:rsidR="00B01F6A">
        <w:rPr>
          <w:rtl/>
        </w:rPr>
        <w:t>المائة</w:t>
      </w:r>
      <w:proofErr w:type="gramEnd"/>
      <w:r w:rsidRPr="00621959">
        <w:rPr>
          <w:rtl/>
        </w:rPr>
        <w:t xml:space="preserve"> من سكان العالم في</w:t>
      </w:r>
      <w:r w:rsidR="00B01F6A">
        <w:t> </w:t>
      </w:r>
      <w:r w:rsidRPr="00621959">
        <w:rPr>
          <w:rtl/>
        </w:rPr>
        <w:t>عام</w:t>
      </w:r>
      <w:r w:rsidR="00B01F6A">
        <w:rPr>
          <w:lang w:bidi="ar-EG"/>
        </w:rPr>
        <w:t> </w:t>
      </w:r>
      <w:r w:rsidRPr="00621959">
        <w:rPr>
          <w:rtl/>
        </w:rPr>
        <w:t>2025، مرتفعة من 39</w:t>
      </w:r>
      <w:r w:rsidR="00B01F6A">
        <w:rPr>
          <w:rtl/>
        </w:rPr>
        <w:t xml:space="preserve"> في </w:t>
      </w:r>
      <w:proofErr w:type="gramStart"/>
      <w:r w:rsidR="00B01F6A">
        <w:rPr>
          <w:rtl/>
        </w:rPr>
        <w:t>المائة</w:t>
      </w:r>
      <w:proofErr w:type="gramEnd"/>
      <w:r w:rsidRPr="00621959">
        <w:rPr>
          <w:rtl/>
        </w:rPr>
        <w:t xml:space="preserve"> في عام 2022. وتغطي شبكات الجيل الخامس 84</w:t>
      </w:r>
      <w:r w:rsidR="00B01F6A">
        <w:rPr>
          <w:rtl/>
        </w:rPr>
        <w:t xml:space="preserve"> في </w:t>
      </w:r>
      <w:proofErr w:type="gramStart"/>
      <w:r w:rsidR="00B01F6A">
        <w:rPr>
          <w:rtl/>
        </w:rPr>
        <w:t>المائة</w:t>
      </w:r>
      <w:proofErr w:type="gramEnd"/>
      <w:r w:rsidRPr="00621959">
        <w:rPr>
          <w:rtl/>
        </w:rPr>
        <w:t xml:space="preserve"> من السكان في</w:t>
      </w:r>
      <w:r w:rsidR="00B01F6A">
        <w:t> </w:t>
      </w:r>
      <w:r w:rsidRPr="00621959">
        <w:rPr>
          <w:rtl/>
        </w:rPr>
        <w:t>البلدان ذات الدخل المرتفع، ولكنه</w:t>
      </w:r>
      <w:r w:rsidRPr="00621959">
        <w:rPr>
          <w:rFonts w:hint="cs"/>
          <w:rtl/>
        </w:rPr>
        <w:t>ا</w:t>
      </w:r>
      <w:r w:rsidRPr="00621959">
        <w:rPr>
          <w:rtl/>
        </w:rPr>
        <w:t xml:space="preserve"> لا </w:t>
      </w:r>
      <w:r w:rsidRPr="00621959">
        <w:rPr>
          <w:rFonts w:hint="cs"/>
          <w:rtl/>
        </w:rPr>
        <w:t>ت</w:t>
      </w:r>
      <w:r w:rsidRPr="00621959">
        <w:rPr>
          <w:rtl/>
        </w:rPr>
        <w:t>غطي سوى 4</w:t>
      </w:r>
      <w:r w:rsidR="00B01F6A">
        <w:rPr>
          <w:rtl/>
        </w:rPr>
        <w:t xml:space="preserve"> في </w:t>
      </w:r>
      <w:proofErr w:type="gramStart"/>
      <w:r w:rsidR="00B01F6A">
        <w:rPr>
          <w:rtl/>
        </w:rPr>
        <w:t>المائة</w:t>
      </w:r>
      <w:proofErr w:type="gramEnd"/>
      <w:r w:rsidRPr="00621959">
        <w:rPr>
          <w:rtl/>
        </w:rPr>
        <w:t xml:space="preserve"> من السكان في البلدان ذات الدخل المنخفض.</w:t>
      </w:r>
    </w:p>
    <w:p w14:paraId="3F284CC9" w14:textId="372A338D" w:rsidR="00621959" w:rsidRPr="00621959" w:rsidRDefault="00621959" w:rsidP="008A5A1B">
      <w:pPr>
        <w:rPr>
          <w:b/>
          <w:bCs/>
          <w:lang w:val="en-GB" w:bidi="ar-EG"/>
        </w:rPr>
      </w:pPr>
      <w:r w:rsidRPr="00621959">
        <w:rPr>
          <w:rtl/>
        </w:rPr>
        <w:t>وفي حين لا يزال نشر شبكات الجيل الخامس قيد التنفيذ في العديد من المناطق، تبقى شبكات الجيل الرابع حلاً موثوقاً للتوصيلية، وهي متاحة حالياً لنسبة 93</w:t>
      </w:r>
      <w:r w:rsidR="00B01F6A">
        <w:rPr>
          <w:rtl/>
        </w:rPr>
        <w:t xml:space="preserve"> في </w:t>
      </w:r>
      <w:proofErr w:type="gramStart"/>
      <w:r w:rsidR="00B01F6A">
        <w:rPr>
          <w:rtl/>
        </w:rPr>
        <w:t>المائة</w:t>
      </w:r>
      <w:proofErr w:type="gramEnd"/>
      <w:r w:rsidRPr="00621959">
        <w:rPr>
          <w:rtl/>
        </w:rPr>
        <w:t xml:space="preserve"> من سكان العالم. </w:t>
      </w:r>
      <w:r w:rsidRPr="00621959">
        <w:rPr>
          <w:rFonts w:hint="cs"/>
          <w:rtl/>
        </w:rPr>
        <w:t>وفي</w:t>
      </w:r>
      <w:r w:rsidRPr="00621959">
        <w:rPr>
          <w:rtl/>
        </w:rPr>
        <w:t xml:space="preserve"> عام 2025، </w:t>
      </w:r>
      <w:r w:rsidRPr="00621959">
        <w:rPr>
          <w:rFonts w:hint="cs"/>
          <w:rtl/>
        </w:rPr>
        <w:t>كانت</w:t>
      </w:r>
      <w:r w:rsidRPr="00621959">
        <w:rPr>
          <w:rtl/>
        </w:rPr>
        <w:t xml:space="preserve"> شبكات الجيل الثالث أو الأحدث منها </w:t>
      </w:r>
      <w:r w:rsidRPr="00621959">
        <w:rPr>
          <w:rFonts w:hint="cs"/>
          <w:rtl/>
        </w:rPr>
        <w:t xml:space="preserve">تغطي </w:t>
      </w:r>
      <w:r w:rsidRPr="00621959">
        <w:rPr>
          <w:rtl/>
        </w:rPr>
        <w:t>96</w:t>
      </w:r>
      <w:r w:rsidR="00B01F6A">
        <w:rPr>
          <w:rtl/>
        </w:rPr>
        <w:t xml:space="preserve"> في </w:t>
      </w:r>
      <w:proofErr w:type="gramStart"/>
      <w:r w:rsidR="00B01F6A">
        <w:rPr>
          <w:rtl/>
        </w:rPr>
        <w:t>المائة</w:t>
      </w:r>
      <w:proofErr w:type="gramEnd"/>
      <w:r w:rsidRPr="00621959">
        <w:rPr>
          <w:rtl/>
        </w:rPr>
        <w:t xml:space="preserve"> من سكان </w:t>
      </w:r>
      <w:r w:rsidRPr="00EA6D94">
        <w:rPr>
          <w:rtl/>
        </w:rPr>
        <w:t>العالم (</w:t>
      </w:r>
      <w:hyperlink w:anchor="الشكل3" w:history="1">
        <w:r w:rsidRPr="00EA6D94">
          <w:rPr>
            <w:rStyle w:val="Hyperlink"/>
            <w:noProof w:val="0"/>
            <w:rtl/>
            <w:lang w:val="en-US" w:eastAsia="zh-CN"/>
          </w:rPr>
          <w:t>انظر الشكل 3</w:t>
        </w:r>
      </w:hyperlink>
      <w:r w:rsidRPr="00EA6D94">
        <w:rPr>
          <w:rtl/>
        </w:rPr>
        <w:t>). ومع ذلك، لا يزال تمديد الشبكات لتشمل النسبة المتبقية البالغة 4</w:t>
      </w:r>
      <w:r w:rsidR="00B01F6A" w:rsidRPr="00EA6D94">
        <w:rPr>
          <w:rtl/>
        </w:rPr>
        <w:t xml:space="preserve"> في </w:t>
      </w:r>
      <w:proofErr w:type="gramStart"/>
      <w:r w:rsidR="00B01F6A" w:rsidRPr="00EA6D94">
        <w:rPr>
          <w:rtl/>
        </w:rPr>
        <w:t>المائة</w:t>
      </w:r>
      <w:proofErr w:type="gramEnd"/>
      <w:r w:rsidRPr="00EA6D94">
        <w:rPr>
          <w:rtl/>
        </w:rPr>
        <w:t xml:space="preserve"> - أي ما يقرب من 312 مليون شخص - أمراً صعب</w:t>
      </w:r>
      <w:r w:rsidRPr="00EA6D94">
        <w:rPr>
          <w:rFonts w:hint="cs"/>
          <w:rtl/>
        </w:rPr>
        <w:t xml:space="preserve"> المنال</w:t>
      </w:r>
      <w:r w:rsidR="00541570">
        <w:rPr>
          <w:rFonts w:hint="cs"/>
          <w:rtl/>
        </w:rPr>
        <w:t>،</w:t>
      </w:r>
      <w:r w:rsidR="00541570" w:rsidRPr="00541570">
        <w:rPr>
          <w:rFonts w:eastAsia="MS Mincho" w:hint="cs"/>
          <w:rtl/>
        </w:rPr>
        <w:t xml:space="preserve"> </w:t>
      </w:r>
      <w:r w:rsidR="00541570">
        <w:rPr>
          <w:rFonts w:eastAsia="MS Mincho" w:hint="cs"/>
          <w:rtl/>
        </w:rPr>
        <w:t>نتيجة ضعف البنية التحتية ومحدودية ميسورية التكلفة وانخفاض ملكية الأجهزة</w:t>
      </w:r>
      <w:r w:rsidRPr="00EA6D94">
        <w:rPr>
          <w:rtl/>
        </w:rPr>
        <w:t>. فمنذ عام 2018، عندما تجاوزت التغطية 90</w:t>
      </w:r>
      <w:r w:rsidR="00B01F6A" w:rsidRPr="00EA6D94">
        <w:rPr>
          <w:rtl/>
        </w:rPr>
        <w:t xml:space="preserve"> في </w:t>
      </w:r>
      <w:proofErr w:type="gramStart"/>
      <w:r w:rsidR="00B01F6A" w:rsidRPr="00EA6D94">
        <w:rPr>
          <w:rtl/>
        </w:rPr>
        <w:t>المائة</w:t>
      </w:r>
      <w:proofErr w:type="gramEnd"/>
      <w:r w:rsidRPr="00EA6D94">
        <w:rPr>
          <w:rtl/>
        </w:rPr>
        <w:t xml:space="preserve"> لأول مرة، بلغت المكاسب العالمية ست نقاط مئوية فقط. ويتواجد ما يقرب من نصف السكان الذين لا</w:t>
      </w:r>
      <w:r w:rsidR="00B01F6A" w:rsidRPr="00EA6D94">
        <w:rPr>
          <w:rFonts w:hint="eastAsia"/>
          <w:rtl/>
          <w:lang w:bidi="ar-EG"/>
        </w:rPr>
        <w:t> </w:t>
      </w:r>
      <w:r w:rsidRPr="00EA6D94">
        <w:rPr>
          <w:rtl/>
        </w:rPr>
        <w:t>يزالون بدون نفاذ إلى شبكة النطاق العريض المتنقلة في إفريقيا (</w:t>
      </w:r>
      <w:hyperlink w:anchor="الشكل4" w:history="1">
        <w:r w:rsidRPr="00EA6D94">
          <w:rPr>
            <w:rStyle w:val="Hyperlink"/>
            <w:noProof w:val="0"/>
            <w:rtl/>
            <w:lang w:val="en-US" w:eastAsia="zh-CN"/>
          </w:rPr>
          <w:t>انظر الشكل 4</w:t>
        </w:r>
      </w:hyperlink>
      <w:r w:rsidRPr="00EA6D94">
        <w:rPr>
          <w:rtl/>
        </w:rPr>
        <w:t>).</w:t>
      </w:r>
    </w:p>
    <w:p w14:paraId="081683C7" w14:textId="77777777" w:rsidR="00621959" w:rsidRPr="00621959" w:rsidRDefault="00621959" w:rsidP="00B01F6A">
      <w:pPr>
        <w:pStyle w:val="Figuretitle"/>
        <w:rPr>
          <w:rtl/>
        </w:rPr>
      </w:pPr>
      <w:r w:rsidRPr="00621959">
        <w:rPr>
          <w:rtl/>
        </w:rPr>
        <w:t>تغطية السكان حسب نوع الشبكة المتنقلة، 2015-2025</w:t>
      </w:r>
    </w:p>
    <w:p w14:paraId="64219492" w14:textId="5B79874A" w:rsidR="002415A2" w:rsidRPr="002415A2" w:rsidRDefault="003F1CCA" w:rsidP="002415A2">
      <w:pPr>
        <w:pStyle w:val="Figure"/>
        <w:bidi/>
        <w:rPr>
          <w:rFonts w:eastAsia="MS Mincho"/>
          <w:lang w:bidi="ar-EG"/>
        </w:rPr>
      </w:pPr>
      <w:r>
        <w:rPr>
          <w:rFonts w:eastAsia="MS Mincho"/>
          <w:noProof/>
          <w:lang w:bidi="ar-EG"/>
        </w:rPr>
        <w:drawing>
          <wp:inline distT="0" distB="0" distL="0" distR="0" wp14:anchorId="09CCD30C" wp14:editId="155AE7C1">
            <wp:extent cx="5040000" cy="2512800"/>
            <wp:effectExtent l="0" t="0" r="825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40000" cy="2512800"/>
                    </a:xfrm>
                    <a:prstGeom prst="rect">
                      <a:avLst/>
                    </a:prstGeom>
                    <a:noFill/>
                  </pic:spPr>
                </pic:pic>
              </a:graphicData>
            </a:graphic>
          </wp:inline>
        </w:drawing>
      </w:r>
    </w:p>
    <w:p w14:paraId="100E58EF" w14:textId="522C0444" w:rsidR="0089560B" w:rsidRDefault="00621959" w:rsidP="00EA6D94">
      <w:pPr>
        <w:pStyle w:val="Figurelegend"/>
        <w:jc w:val="both"/>
        <w:rPr>
          <w:color w:val="7F7F7F"/>
          <w:rtl/>
        </w:rPr>
      </w:pPr>
      <w:bookmarkStart w:id="35" w:name="الشكل3"/>
      <w:bookmarkEnd w:id="35"/>
      <w:r w:rsidRPr="007C2CA0">
        <w:rPr>
          <w:color w:val="1F497D"/>
          <w:rtl/>
        </w:rPr>
        <w:t>الشكل 3. تغطية السكان حسب نوع الشبكة المتنقلة، 2015-2025. سلسلة حقائق وأرقام الاتحاد لعام 2025 (الصفحة 9).</w:t>
      </w:r>
      <w:r w:rsidRPr="007C2CA0">
        <w:rPr>
          <w:rtl/>
        </w:rPr>
        <w:t xml:space="preserve"> </w:t>
      </w:r>
      <w:r w:rsidRPr="007C2CA0">
        <w:rPr>
          <w:color w:val="7F7F7F"/>
          <w:rtl/>
        </w:rPr>
        <w:t xml:space="preserve">تُظهر قيم شبكات الجيل الثاني والثالث والرابع النسبة المئوية المتزايدة للسكان غير المشمولين بشبكة تكنولوجيا أكثر تقدماً (على سبيل المثال، في عام 2025، كانت نسبة 96% من سكان العالم مشمولة بشبكة من الجيل الثالث على الأقل أو أعلى، وكانت نسبة </w:t>
      </w:r>
      <w:r w:rsidR="000B66B5">
        <w:rPr>
          <w:color w:val="7F7F7F"/>
        </w:rPr>
        <w:t>3,6</w:t>
      </w:r>
      <w:r w:rsidRPr="007C2CA0">
        <w:rPr>
          <w:color w:val="7F7F7F"/>
          <w:rtl/>
        </w:rPr>
        <w:t>% مشمولة بشبكات الجيل الثالث فقط، و</w:t>
      </w:r>
      <w:r w:rsidR="000B66B5">
        <w:rPr>
          <w:color w:val="7F7F7F"/>
        </w:rPr>
        <w:t>37,6</w:t>
      </w:r>
      <w:r w:rsidRPr="007C2CA0">
        <w:rPr>
          <w:color w:val="7F7F7F"/>
          <w:rtl/>
        </w:rPr>
        <w:t>% مشمول</w:t>
      </w:r>
      <w:r w:rsidRPr="007C2CA0">
        <w:rPr>
          <w:rFonts w:hint="cs"/>
          <w:color w:val="7F7F7F"/>
          <w:rtl/>
        </w:rPr>
        <w:t>ة</w:t>
      </w:r>
      <w:r w:rsidRPr="007C2CA0">
        <w:rPr>
          <w:color w:val="7F7F7F"/>
          <w:rtl/>
        </w:rPr>
        <w:t xml:space="preserve"> بشبكات الجيل الرابع، و</w:t>
      </w:r>
      <w:r w:rsidR="000B66B5">
        <w:rPr>
          <w:color w:val="7F7F7F"/>
        </w:rPr>
        <w:t>55,1</w:t>
      </w:r>
      <w:r w:rsidRPr="007C2CA0">
        <w:rPr>
          <w:color w:val="7F7F7F"/>
          <w:rtl/>
        </w:rPr>
        <w:t>% مشمولة بشبكات الجيل الخامس). ولا</w:t>
      </w:r>
      <w:r w:rsidR="000B66B5">
        <w:rPr>
          <w:rFonts w:hint="eastAsia"/>
          <w:color w:val="7F7F7F"/>
          <w:rtl/>
          <w:lang w:bidi="ar-EG"/>
        </w:rPr>
        <w:t> </w:t>
      </w:r>
      <w:r w:rsidRPr="007C2CA0">
        <w:rPr>
          <w:color w:val="7F7F7F"/>
          <w:rtl/>
        </w:rPr>
        <w:t xml:space="preserve">تتوفر بيانات كافية لتقدير تغطية شبكات الجيل الخامس قبل عام 2020. </w:t>
      </w:r>
      <w:hyperlink r:id="rId85" w:anchor="chart-1" w:history="1">
        <w:r w:rsidRPr="007C2CA0">
          <w:rPr>
            <w:rStyle w:val="Hyperlink"/>
            <w:noProof w:val="0"/>
            <w:rtl/>
            <w:lang w:val="en-US" w:eastAsia="zh-CN" w:bidi="ar-SA"/>
          </w:rPr>
          <w:t>رسم بياني تفاعلي</w:t>
        </w:r>
      </w:hyperlink>
      <w:r w:rsidRPr="007C2CA0">
        <w:rPr>
          <w:rFonts w:hint="cs"/>
          <w:color w:val="7F7F7F"/>
          <w:rtl/>
        </w:rPr>
        <w:t>.</w:t>
      </w:r>
    </w:p>
    <w:p w14:paraId="344695AB" w14:textId="6E5A0F6A" w:rsidR="00621959" w:rsidRPr="00621959" w:rsidRDefault="00621959" w:rsidP="00B01F6A">
      <w:pPr>
        <w:pStyle w:val="Figuretitle"/>
        <w:rPr>
          <w:lang w:val="en-GB" w:bidi="ar-EG"/>
        </w:rPr>
      </w:pPr>
      <w:r w:rsidRPr="00621959">
        <w:rPr>
          <w:rtl/>
        </w:rPr>
        <w:t>تغطية السكان حسب نوع الشبكة المتنقلة، 2025</w:t>
      </w:r>
    </w:p>
    <w:p w14:paraId="12E88A2E" w14:textId="7EF2C8DE" w:rsidR="00621959" w:rsidRPr="00621959" w:rsidRDefault="002415A2" w:rsidP="00B01F6A">
      <w:pPr>
        <w:pStyle w:val="Figure"/>
        <w:bidi/>
        <w:rPr>
          <w:rFonts w:eastAsia="MS Mincho"/>
          <w:lang w:bidi="ar-EG"/>
        </w:rPr>
      </w:pPr>
      <w:r>
        <w:rPr>
          <w:rFonts w:eastAsia="MS Mincho"/>
          <w:noProof/>
          <w:lang w:bidi="ar-EG"/>
        </w:rPr>
        <w:drawing>
          <wp:inline distT="0" distB="0" distL="0" distR="0" wp14:anchorId="3E6877CF" wp14:editId="4310D792">
            <wp:extent cx="5400000" cy="293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000" cy="2937600"/>
                    </a:xfrm>
                    <a:prstGeom prst="rect">
                      <a:avLst/>
                    </a:prstGeom>
                    <a:noFill/>
                  </pic:spPr>
                </pic:pic>
              </a:graphicData>
            </a:graphic>
          </wp:inline>
        </w:drawing>
      </w:r>
    </w:p>
    <w:p w14:paraId="7E09C982" w14:textId="3437F8B2" w:rsidR="00621959" w:rsidRPr="007C2CA0" w:rsidRDefault="00621959" w:rsidP="00EA6D94">
      <w:pPr>
        <w:pStyle w:val="Figurelegend"/>
        <w:jc w:val="both"/>
        <w:rPr>
          <w:color w:val="7F7F7F"/>
          <w:rtl/>
        </w:rPr>
      </w:pPr>
      <w:bookmarkStart w:id="36" w:name="الشكل4"/>
      <w:bookmarkEnd w:id="36"/>
      <w:r w:rsidRPr="007C2CA0">
        <w:rPr>
          <w:color w:val="1F497D"/>
          <w:rtl/>
        </w:rPr>
        <w:t>الشكل 4. تغطية السكان حسب نوع الشبكة المتنقلة، 2025. سلسلة حقائق وأرقام الاتحاد لعام 2025 (الصفحة 10).</w:t>
      </w:r>
      <w:r w:rsidRPr="007C2CA0">
        <w:rPr>
          <w:rtl/>
        </w:rPr>
        <w:t xml:space="preserve"> </w:t>
      </w:r>
      <w:r w:rsidRPr="007C2CA0">
        <w:rPr>
          <w:color w:val="7F7F7F"/>
          <w:rtl/>
        </w:rPr>
        <w:t xml:space="preserve">تُظهر قيم شبكات الجيل الثاني والثالث والرابع النسبة المئوية المتزايدة للسكان غير المشمولين بشبكة تكنولوجيا أكثر تقدماً (على سبيل المثال، في عام 2025، كانت نسبة 96% من سكان العالم مشمولة بشبكة من الجيل الثالث على الأقل أو أعلى، وكانت نسبة </w:t>
      </w:r>
      <w:r w:rsidR="00B01F6A" w:rsidRPr="007C2CA0">
        <w:rPr>
          <w:color w:val="7F7F7F"/>
        </w:rPr>
        <w:t>3,6</w:t>
      </w:r>
      <w:r w:rsidRPr="007C2CA0">
        <w:rPr>
          <w:color w:val="7F7F7F"/>
          <w:rtl/>
        </w:rPr>
        <w:t>% مشمولة بشبكات الجيل الثالث فقط، و</w:t>
      </w:r>
      <w:r w:rsidR="00B01F6A" w:rsidRPr="007C2CA0">
        <w:rPr>
          <w:color w:val="7F7F7F"/>
        </w:rPr>
        <w:t>37,6</w:t>
      </w:r>
      <w:r w:rsidRPr="007C2CA0">
        <w:rPr>
          <w:color w:val="7F7F7F"/>
          <w:rtl/>
        </w:rPr>
        <w:t>% مشمول</w:t>
      </w:r>
      <w:r w:rsidRPr="007C2CA0">
        <w:rPr>
          <w:rFonts w:hint="cs"/>
          <w:color w:val="7F7F7F"/>
          <w:rtl/>
        </w:rPr>
        <w:t>ة</w:t>
      </w:r>
      <w:r w:rsidRPr="007C2CA0">
        <w:rPr>
          <w:color w:val="7F7F7F"/>
          <w:rtl/>
        </w:rPr>
        <w:t xml:space="preserve"> بشبكات الجيل الرابع، و</w:t>
      </w:r>
      <w:r w:rsidR="00B01F6A" w:rsidRPr="007C2CA0">
        <w:rPr>
          <w:color w:val="7F7F7F"/>
        </w:rPr>
        <w:t>55,1</w:t>
      </w:r>
      <w:r w:rsidRPr="007C2CA0">
        <w:rPr>
          <w:color w:val="7F7F7F"/>
          <w:rtl/>
        </w:rPr>
        <w:t xml:space="preserve">% مشمولة بشبكات الجيل الخامس). </w:t>
      </w:r>
      <w:hyperlink r:id="rId87" w:anchor="chart-2" w:history="1">
        <w:r w:rsidRPr="007C2CA0">
          <w:rPr>
            <w:rStyle w:val="Hyperlink"/>
            <w:noProof w:val="0"/>
            <w:rtl/>
            <w:lang w:val="en-US" w:eastAsia="zh-CN" w:bidi="ar-SA"/>
          </w:rPr>
          <w:t>رسم</w:t>
        </w:r>
        <w:r w:rsidR="00B01F6A" w:rsidRPr="007C2CA0">
          <w:rPr>
            <w:rStyle w:val="Hyperlink"/>
            <w:rFonts w:hint="eastAsia"/>
            <w:noProof w:val="0"/>
            <w:rtl/>
            <w:lang w:val="en-US" w:eastAsia="zh-CN" w:bidi="ar-EG"/>
          </w:rPr>
          <w:t> </w:t>
        </w:r>
        <w:r w:rsidRPr="007C2CA0">
          <w:rPr>
            <w:rStyle w:val="Hyperlink"/>
            <w:noProof w:val="0"/>
            <w:rtl/>
            <w:lang w:val="en-US" w:eastAsia="zh-CN" w:bidi="ar-SA"/>
          </w:rPr>
          <w:t>بياني تفاعلي</w:t>
        </w:r>
      </w:hyperlink>
      <w:r w:rsidRPr="007C2CA0">
        <w:rPr>
          <w:color w:val="7F7F7F"/>
          <w:rtl/>
        </w:rPr>
        <w:t>.</w:t>
      </w:r>
    </w:p>
    <w:p w14:paraId="58846AA9" w14:textId="1AE65E09" w:rsidR="00621959" w:rsidRPr="00AC172E" w:rsidRDefault="00B458A7" w:rsidP="00AC172E">
      <w:pPr>
        <w:pStyle w:val="Headingb"/>
      </w:pPr>
      <w:r>
        <w:rPr>
          <w:rFonts w:hint="cs"/>
          <w:rtl/>
        </w:rPr>
        <w:t>المقصد</w:t>
      </w:r>
      <w:r w:rsidR="00621959" w:rsidRPr="00621959">
        <w:rPr>
          <w:rtl/>
        </w:rPr>
        <w:t xml:space="preserve"> 2.1: ميسور</w:t>
      </w:r>
      <w:r w:rsidR="00621959" w:rsidRPr="00621959">
        <w:rPr>
          <w:rFonts w:hint="cs"/>
          <w:rtl/>
        </w:rPr>
        <w:t>ي</w:t>
      </w:r>
      <w:r w:rsidR="00621959" w:rsidRPr="00621959">
        <w:rPr>
          <w:rtl/>
        </w:rPr>
        <w:t>ة تكلفة خدمات النطاق العريض للجميع</w:t>
      </w:r>
    </w:p>
    <w:p w14:paraId="6AFCC350" w14:textId="31DB9B17" w:rsidR="00621959" w:rsidRPr="00621959" w:rsidRDefault="00621959" w:rsidP="00B458A7">
      <w:pPr>
        <w:keepLines/>
        <w:rPr>
          <w:lang w:val="en-GB" w:bidi="ar-EG"/>
        </w:rPr>
      </w:pPr>
      <w:r w:rsidRPr="00621959">
        <w:rPr>
          <w:rtl/>
        </w:rPr>
        <w:t xml:space="preserve">بين عامي 2022 و2025، أصبحت </w:t>
      </w:r>
      <w:r w:rsidR="00B65B96">
        <w:rPr>
          <w:rFonts w:hint="cs"/>
          <w:rtl/>
        </w:rPr>
        <w:t>سلة</w:t>
      </w:r>
      <w:r w:rsidRPr="00621959">
        <w:rPr>
          <w:rtl/>
        </w:rPr>
        <w:t xml:space="preserve"> النطاق العريض المتنقل </w:t>
      </w:r>
      <w:r w:rsidR="00B65B96" w:rsidRPr="00621959">
        <w:rPr>
          <w:rtl/>
        </w:rPr>
        <w:t xml:space="preserve">التي تقتصر على البيانات فقط </w:t>
      </w:r>
      <w:r w:rsidRPr="00621959">
        <w:rPr>
          <w:rtl/>
        </w:rPr>
        <w:t>و</w:t>
      </w:r>
      <w:r w:rsidR="00B65B96">
        <w:rPr>
          <w:rFonts w:hint="cs"/>
          <w:rtl/>
        </w:rPr>
        <w:t xml:space="preserve">سلة </w:t>
      </w:r>
      <w:r w:rsidRPr="00621959">
        <w:rPr>
          <w:rtl/>
        </w:rPr>
        <w:t xml:space="preserve">النطاق العريض الثابت ميسورة التكلفة في جميع المناطق ولجميع فئات الدخل. وعلى الصعيد العالمي، انخفض متوسط ​​سعر سلة النطاق العريض المتنقل، </w:t>
      </w:r>
      <w:r w:rsidRPr="00EA6D94">
        <w:rPr>
          <w:rtl/>
        </w:rPr>
        <w:t xml:space="preserve">المقاس كنسبة مئوية من </w:t>
      </w:r>
      <w:r w:rsidR="00B458A7" w:rsidRPr="00B458A7">
        <w:rPr>
          <w:rFonts w:hint="cs"/>
          <w:rtl/>
        </w:rPr>
        <w:t>نصيب الفرد من الدخل القومي</w:t>
      </w:r>
      <w:r w:rsidR="00B458A7" w:rsidRPr="00B458A7">
        <w:rPr>
          <w:rtl/>
        </w:rPr>
        <w:t xml:space="preserve"> </w:t>
      </w:r>
      <w:r w:rsidR="00B458A7" w:rsidRPr="00B458A7">
        <w:rPr>
          <w:rFonts w:hint="cs"/>
          <w:rtl/>
        </w:rPr>
        <w:t>الإجمالي</w:t>
      </w:r>
      <w:r w:rsidR="00B458A7" w:rsidRPr="00B458A7">
        <w:rPr>
          <w:rtl/>
        </w:rPr>
        <w:t xml:space="preserve"> </w:t>
      </w:r>
      <w:r w:rsidRPr="00EA6D94">
        <w:rPr>
          <w:rtl/>
        </w:rPr>
        <w:t xml:space="preserve">باستعمال سلة النطاق العريض المتنقل التي تقتصر على البيانات فقط بسعة 5 غيغابايت شهرياً (تسمح باستعمال 5 غيغابايت من البيانات في الشهر؛ </w:t>
      </w:r>
      <w:hyperlink w:anchor="الشكل5" w:history="1">
        <w:r w:rsidRPr="00EA6D94">
          <w:rPr>
            <w:rStyle w:val="Hyperlink"/>
            <w:noProof w:val="0"/>
            <w:rtl/>
            <w:lang w:val="en-US" w:eastAsia="zh-CN"/>
          </w:rPr>
          <w:t>انظر الشك</w:t>
        </w:r>
        <w:r w:rsidRPr="00EA6D94">
          <w:rPr>
            <w:rStyle w:val="Hyperlink"/>
            <w:rFonts w:hint="cs"/>
            <w:noProof w:val="0"/>
            <w:rtl/>
            <w:lang w:val="en-US" w:eastAsia="zh-CN"/>
          </w:rPr>
          <w:t xml:space="preserve">ل </w:t>
        </w:r>
        <w:r w:rsidRPr="00EA6D94">
          <w:rPr>
            <w:rStyle w:val="Hyperlink"/>
            <w:noProof w:val="0"/>
            <w:rtl/>
            <w:lang w:val="en-US" w:eastAsia="zh-CN"/>
          </w:rPr>
          <w:t>5</w:t>
        </w:r>
      </w:hyperlink>
      <w:r w:rsidRPr="00EA6D94">
        <w:rPr>
          <w:rtl/>
        </w:rPr>
        <w:t xml:space="preserve">)، وهو أحدث مقياس مرجعي، من </w:t>
      </w:r>
      <w:r w:rsidR="00EB0DC4" w:rsidRPr="00EA6D94">
        <w:t>2,0</w:t>
      </w:r>
      <w:r w:rsidR="00EB0DC4" w:rsidRPr="00EA6D94">
        <w:rPr>
          <w:rtl/>
        </w:rPr>
        <w:t xml:space="preserve"> في </w:t>
      </w:r>
      <w:proofErr w:type="gramStart"/>
      <w:r w:rsidR="00EB0DC4" w:rsidRPr="00EA6D94">
        <w:rPr>
          <w:rtl/>
        </w:rPr>
        <w:t>المائة</w:t>
      </w:r>
      <w:proofErr w:type="gramEnd"/>
      <w:r w:rsidRPr="00EA6D94">
        <w:rPr>
          <w:rtl/>
        </w:rPr>
        <w:t xml:space="preserve"> إلى 1,4</w:t>
      </w:r>
      <w:r w:rsidR="00EB0DC4" w:rsidRPr="00EA6D94">
        <w:rPr>
          <w:rtl/>
        </w:rPr>
        <w:t xml:space="preserve"> في </w:t>
      </w:r>
      <w:proofErr w:type="gramStart"/>
      <w:r w:rsidR="00EB0DC4" w:rsidRPr="00EA6D94">
        <w:rPr>
          <w:rtl/>
        </w:rPr>
        <w:t>المائة</w:t>
      </w:r>
      <w:proofErr w:type="gramEnd"/>
      <w:r w:rsidRPr="00EA6D94">
        <w:rPr>
          <w:rtl/>
        </w:rPr>
        <w:t xml:space="preserve">. وبالمثل، انخفض </w:t>
      </w:r>
      <w:r w:rsidRPr="00EA6D94">
        <w:rPr>
          <w:rFonts w:hint="cs"/>
          <w:rtl/>
        </w:rPr>
        <w:t>متوسط</w:t>
      </w:r>
      <w:r w:rsidRPr="00EA6D94">
        <w:rPr>
          <w:rtl/>
        </w:rPr>
        <w:t xml:space="preserve"> ​​سعر سلة النطاق العريض الثابت من 3</w:t>
      </w:r>
      <w:r w:rsidR="00EB0DC4" w:rsidRPr="00EA6D94">
        <w:rPr>
          <w:rtl/>
        </w:rPr>
        <w:t xml:space="preserve"> في </w:t>
      </w:r>
      <w:proofErr w:type="gramStart"/>
      <w:r w:rsidR="00EB0DC4" w:rsidRPr="00EA6D94">
        <w:rPr>
          <w:rtl/>
        </w:rPr>
        <w:t>المائة</w:t>
      </w:r>
      <w:proofErr w:type="gramEnd"/>
      <w:r w:rsidRPr="00EA6D94">
        <w:rPr>
          <w:rtl/>
        </w:rPr>
        <w:t xml:space="preserve"> إلى 2,5</w:t>
      </w:r>
      <w:r w:rsidR="00EB0DC4" w:rsidRPr="00EA6D94">
        <w:rPr>
          <w:rtl/>
        </w:rPr>
        <w:t xml:space="preserve"> في </w:t>
      </w:r>
      <w:proofErr w:type="gramStart"/>
      <w:r w:rsidR="00EB0DC4" w:rsidRPr="00EA6D94">
        <w:rPr>
          <w:rtl/>
        </w:rPr>
        <w:t>المائة</w:t>
      </w:r>
      <w:proofErr w:type="gramEnd"/>
      <w:r w:rsidRPr="00EA6D94">
        <w:rPr>
          <w:rtl/>
        </w:rPr>
        <w:t xml:space="preserve"> (</w:t>
      </w:r>
      <w:hyperlink w:anchor="الشكل6" w:history="1">
        <w:r w:rsidRPr="00EA6D94">
          <w:rPr>
            <w:rStyle w:val="Hyperlink"/>
            <w:noProof w:val="0"/>
            <w:rtl/>
            <w:lang w:val="en-US" w:eastAsia="zh-CN"/>
          </w:rPr>
          <w:t>انظر الشكل 6</w:t>
        </w:r>
      </w:hyperlink>
      <w:r w:rsidRPr="00EA6D94">
        <w:rPr>
          <w:rtl/>
        </w:rPr>
        <w:t xml:space="preserve">). وقد حقق عدد قياسي من الاقتصادات هدف لجنة النطاق العريض المتمثل في إبقاء </w:t>
      </w:r>
      <w:r w:rsidRPr="00EA6D94">
        <w:rPr>
          <w:rFonts w:hint="cs"/>
          <w:rtl/>
        </w:rPr>
        <w:t>تكلفة</w:t>
      </w:r>
      <w:r w:rsidRPr="00EA6D94">
        <w:rPr>
          <w:rtl/>
        </w:rPr>
        <w:t xml:space="preserve"> النطاق</w:t>
      </w:r>
      <w:r w:rsidRPr="00621959">
        <w:rPr>
          <w:rtl/>
        </w:rPr>
        <w:t xml:space="preserve"> العريض دون 2</w:t>
      </w:r>
      <w:r w:rsidR="00EB0DC4">
        <w:rPr>
          <w:rtl/>
        </w:rPr>
        <w:t xml:space="preserve"> في </w:t>
      </w:r>
      <w:proofErr w:type="gramStart"/>
      <w:r w:rsidR="00EB0DC4">
        <w:rPr>
          <w:rtl/>
        </w:rPr>
        <w:t>المائة</w:t>
      </w:r>
      <w:proofErr w:type="gramEnd"/>
      <w:r w:rsidRPr="00621959">
        <w:rPr>
          <w:rtl/>
        </w:rPr>
        <w:t xml:space="preserve"> من </w:t>
      </w:r>
      <w:r w:rsidR="00B458A7" w:rsidRPr="00B458A7">
        <w:rPr>
          <w:rFonts w:hint="cs"/>
          <w:rtl/>
        </w:rPr>
        <w:t>نصيب الفرد من الدخل القومي</w:t>
      </w:r>
      <w:r w:rsidR="00B458A7">
        <w:rPr>
          <w:rFonts w:hint="cs"/>
          <w:rtl/>
        </w:rPr>
        <w:t> </w:t>
      </w:r>
      <w:r w:rsidR="00B458A7" w:rsidRPr="00B458A7">
        <w:rPr>
          <w:rFonts w:hint="cs"/>
          <w:rtl/>
        </w:rPr>
        <w:t>الإجمالي</w:t>
      </w:r>
      <w:r w:rsidRPr="00621959">
        <w:rPr>
          <w:rtl/>
        </w:rPr>
        <w:t>.</w:t>
      </w:r>
    </w:p>
    <w:p w14:paraId="7DDDBFCE" w14:textId="67497081" w:rsidR="00621959" w:rsidRPr="00621959" w:rsidRDefault="00621959" w:rsidP="008A5A1B">
      <w:pPr>
        <w:rPr>
          <w:lang w:val="en-GB" w:bidi="ar-EG"/>
        </w:rPr>
      </w:pPr>
      <w:r w:rsidRPr="00621959">
        <w:rPr>
          <w:rtl/>
        </w:rPr>
        <w:t>وفي حين أصبح النطاق العريض المتنقل ميسور التكلفة بشكل متزايد، فإن النطاق العريض الثابت لا يزال غير ميسور التكلفة بالنسبة للكثيرين، ولا سيما في الاقتصادات ذات الدخل المنخفض. ويدفع المشتركون في الاقتصادات المتوسطة الدخل من الشريحة الدنيا ما يقرب من ثمانية أضعاف دخلهم مقابل النطاق العريض المتنقل مقارنة بنظرائهم في</w:t>
      </w:r>
      <w:r w:rsidR="00EB0DC4">
        <w:rPr>
          <w:rFonts w:hint="eastAsia"/>
          <w:rtl/>
          <w:lang w:bidi="ar-EG"/>
        </w:rPr>
        <w:t> </w:t>
      </w:r>
      <w:r w:rsidRPr="00621959">
        <w:rPr>
          <w:rtl/>
        </w:rPr>
        <w:t xml:space="preserve">الاقتصادات </w:t>
      </w:r>
      <w:r w:rsidRPr="00621959">
        <w:rPr>
          <w:rFonts w:hint="cs"/>
          <w:rtl/>
        </w:rPr>
        <w:t>ذات</w:t>
      </w:r>
      <w:r w:rsidRPr="00621959">
        <w:rPr>
          <w:rtl/>
        </w:rPr>
        <w:t xml:space="preserve"> الدخل </w:t>
      </w:r>
      <w:r w:rsidRPr="00621959">
        <w:rPr>
          <w:rFonts w:hint="cs"/>
          <w:rtl/>
        </w:rPr>
        <w:t>المرتفع</w:t>
      </w:r>
      <w:r w:rsidRPr="00621959">
        <w:rPr>
          <w:rtl/>
        </w:rPr>
        <w:t>، بينما يدفع المشتركون من ذوي الدخل المنخفض 24 ضعفاً. وبالإضافة إلى ذلك، في</w:t>
      </w:r>
      <w:r w:rsidR="00EB0DC4">
        <w:rPr>
          <w:rFonts w:hint="cs"/>
          <w:rtl/>
        </w:rPr>
        <w:t> </w:t>
      </w:r>
      <w:r w:rsidRPr="00621959">
        <w:rPr>
          <w:rtl/>
        </w:rPr>
        <w:t>البلدان ذات الدخل المنخفض التي يتوفر فيها النطاق العريض الثابت، قد تصل تكلفة الاشتراك إلى ما يقرب من ثلث دخل الفرد العادي. وحتى في البلدان التي تكون فيها الخدمات ميسورة التكلفة في المتوسط، لا تزال هناك فجوات كبيرة داخلها. ولا تزال القدرة على تحمل التكلفة تشكل عائقاً رئيسياً أمام توفير توصيلية شاملة وهادفة، وترتبط ارتباطاً وثيقاً بضعف البنية التحتية، وانخفاض الاستثمار، وانخفاض مستويات الدخل.</w:t>
      </w:r>
    </w:p>
    <w:p w14:paraId="3F1449D5" w14:textId="0FAB541A" w:rsidR="00621959" w:rsidRPr="00621959" w:rsidRDefault="00621959" w:rsidP="00B458A7">
      <w:pPr>
        <w:pStyle w:val="Figuretitle"/>
        <w:rPr>
          <w:rtl/>
        </w:rPr>
      </w:pPr>
      <w:r w:rsidRPr="00621959">
        <w:rPr>
          <w:rtl/>
        </w:rPr>
        <w:t>سعر سلة النطاق العريض المتنقل التي تقتصر على البيانات</w:t>
      </w:r>
      <w:r w:rsidRPr="00621959">
        <w:rPr>
          <w:rFonts w:hint="cs"/>
          <w:rtl/>
        </w:rPr>
        <w:t xml:space="preserve"> فقط</w:t>
      </w:r>
      <w:r w:rsidRPr="00621959">
        <w:rPr>
          <w:rtl/>
        </w:rPr>
        <w:t xml:space="preserve"> (5 غيغابايت) كنسبة مئوية من </w:t>
      </w:r>
      <w:r w:rsidR="00B458A7" w:rsidRPr="00B458A7">
        <w:rPr>
          <w:rFonts w:hint="cs"/>
          <w:rtl/>
        </w:rPr>
        <w:t>نصيب الفرد من الدخل القومي</w:t>
      </w:r>
      <w:r w:rsidR="00B458A7" w:rsidRPr="00B458A7">
        <w:rPr>
          <w:rtl/>
        </w:rPr>
        <w:t xml:space="preserve"> </w:t>
      </w:r>
      <w:r w:rsidR="00B458A7" w:rsidRPr="00B458A7">
        <w:rPr>
          <w:rFonts w:hint="cs"/>
          <w:rtl/>
        </w:rPr>
        <w:t>الإجمالي</w:t>
      </w:r>
      <w:r w:rsidRPr="00621959">
        <w:rPr>
          <w:rtl/>
        </w:rPr>
        <w:t>، 2022-2025</w:t>
      </w:r>
    </w:p>
    <w:p w14:paraId="08613DEF" w14:textId="0CA9E72B" w:rsidR="00621959" w:rsidRPr="00621959" w:rsidRDefault="00B65B96" w:rsidP="00D502AE">
      <w:pPr>
        <w:pStyle w:val="Figure"/>
        <w:bidi/>
        <w:rPr>
          <w:rFonts w:eastAsia="MS Mincho"/>
          <w:rtl/>
        </w:rPr>
      </w:pPr>
      <w:r>
        <w:rPr>
          <w:rFonts w:eastAsia="MS Mincho"/>
          <w:noProof/>
        </w:rPr>
        <w:drawing>
          <wp:inline distT="0" distB="0" distL="0" distR="0" wp14:anchorId="2210E22E" wp14:editId="1A63AEF8">
            <wp:extent cx="5760000" cy="348103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000" cy="3481034"/>
                    </a:xfrm>
                    <a:prstGeom prst="rect">
                      <a:avLst/>
                    </a:prstGeom>
                    <a:noFill/>
                  </pic:spPr>
                </pic:pic>
              </a:graphicData>
            </a:graphic>
          </wp:inline>
        </w:drawing>
      </w:r>
    </w:p>
    <w:p w14:paraId="10AF54C7" w14:textId="01F383EC" w:rsidR="00621959" w:rsidRPr="007C2CA0" w:rsidRDefault="00621959" w:rsidP="00B458A7">
      <w:pPr>
        <w:pStyle w:val="Figurelegend"/>
        <w:jc w:val="both"/>
        <w:rPr>
          <w:color w:val="7F7F7F"/>
          <w:rtl/>
          <w:lang w:bidi="ar-SA"/>
        </w:rPr>
      </w:pPr>
      <w:bookmarkStart w:id="37" w:name="الشكل5"/>
      <w:bookmarkEnd w:id="37"/>
      <w:r w:rsidRPr="007C2CA0">
        <w:rPr>
          <w:color w:val="1F497D"/>
          <w:rtl/>
          <w:lang w:bidi="ar-SA"/>
        </w:rPr>
        <w:t>الشكل 5</w:t>
      </w:r>
      <w:r w:rsidRPr="007C2CA0">
        <w:rPr>
          <w:rFonts w:hint="cs"/>
          <w:color w:val="1F497D"/>
          <w:rtl/>
          <w:lang w:bidi="ar-SA"/>
        </w:rPr>
        <w:t>.</w:t>
      </w:r>
      <w:r w:rsidRPr="007C2CA0">
        <w:rPr>
          <w:color w:val="1F497D"/>
          <w:rtl/>
          <w:lang w:bidi="ar-SA"/>
        </w:rPr>
        <w:t xml:space="preserve"> سعر سلة النطاق العريض المتنقل التي تقتصر على البيانات فقط (5 غيغابايت) كنسبة مئوية من </w:t>
      </w:r>
      <w:r w:rsidR="00B458A7" w:rsidRPr="00B458A7">
        <w:rPr>
          <w:rFonts w:hint="cs"/>
          <w:color w:val="1F497D"/>
          <w:rtl/>
          <w:lang w:bidi="ar-SA"/>
        </w:rPr>
        <w:t>نصيب الفرد من الدخل القومي</w:t>
      </w:r>
      <w:r w:rsidR="00B458A7" w:rsidRPr="00B458A7">
        <w:rPr>
          <w:color w:val="1F497D"/>
          <w:rtl/>
          <w:lang w:bidi="ar-SA"/>
        </w:rPr>
        <w:t xml:space="preserve"> </w:t>
      </w:r>
      <w:r w:rsidR="00B458A7" w:rsidRPr="00B458A7">
        <w:rPr>
          <w:rFonts w:hint="cs"/>
          <w:color w:val="1F497D"/>
          <w:rtl/>
          <w:lang w:bidi="ar-SA"/>
        </w:rPr>
        <w:t>الإجمالي</w:t>
      </w:r>
      <w:r w:rsidR="00B458A7" w:rsidRPr="00B458A7">
        <w:rPr>
          <w:color w:val="1F497D"/>
          <w:rtl/>
          <w:lang w:bidi="ar-SA"/>
        </w:rPr>
        <w:t xml:space="preserve"> </w:t>
      </w:r>
      <w:r w:rsidRPr="007C2CA0">
        <w:rPr>
          <w:color w:val="1F497D"/>
          <w:rtl/>
          <w:lang w:bidi="ar-SA"/>
        </w:rPr>
        <w:t>، 2022-2025. سلسلة حقائق وأرقام الاتحاد لعام 2025 (الصفحة 20).</w:t>
      </w:r>
      <w:r w:rsidRPr="007C2CA0">
        <w:rPr>
          <w:rtl/>
          <w:lang w:bidi="ar-SA"/>
        </w:rPr>
        <w:t xml:space="preserve"> </w:t>
      </w:r>
      <w:r w:rsidRPr="007C2CA0">
        <w:rPr>
          <w:color w:val="7F7F7F"/>
          <w:rtl/>
          <w:lang w:bidi="ar-SA"/>
        </w:rPr>
        <w:t>حتى عام 2025، تشير إحصاءات أسعار النطاق العريض المتنقل إلى سلة النطاق العريض المتنقل الت</w:t>
      </w:r>
      <w:r w:rsidRPr="007C2CA0">
        <w:rPr>
          <w:rFonts w:hint="cs"/>
          <w:color w:val="7F7F7F"/>
          <w:rtl/>
          <w:lang w:bidi="ar-SA"/>
        </w:rPr>
        <w:t>ي</w:t>
      </w:r>
      <w:r w:rsidRPr="007C2CA0">
        <w:rPr>
          <w:color w:val="7F7F7F"/>
          <w:rtl/>
          <w:lang w:bidi="ar-SA"/>
        </w:rPr>
        <w:t xml:space="preserve"> تقتصر على البيانات فقط </w:t>
      </w:r>
      <w:r w:rsidRPr="007C2CA0">
        <w:rPr>
          <w:rFonts w:hint="cs"/>
          <w:color w:val="7F7F7F"/>
          <w:rtl/>
          <w:lang w:bidi="ar-SA"/>
        </w:rPr>
        <w:t>و</w:t>
      </w:r>
      <w:r w:rsidRPr="007C2CA0">
        <w:rPr>
          <w:color w:val="7F7F7F"/>
          <w:rtl/>
          <w:lang w:bidi="ar-SA"/>
        </w:rPr>
        <w:t>تتضمن 5 غيغابايت على الأقل شهرياً، بما يعكس المنهجية التي اعتمدها فريق الخبراء المعني بمؤشرات الاتصالات/تكنولوجيا المعلومات والاتصالات (</w:t>
      </w:r>
      <w:r w:rsidRPr="007C2CA0">
        <w:rPr>
          <w:color w:val="7F7F7F"/>
          <w:lang w:bidi="ar-EG"/>
        </w:rPr>
        <w:t>EGTI</w:t>
      </w:r>
      <w:r w:rsidRPr="007C2CA0">
        <w:rPr>
          <w:color w:val="7F7F7F"/>
          <w:rtl/>
          <w:lang w:bidi="ar-SA"/>
        </w:rPr>
        <w:t>) في عام 2024. ولأغراض المقارنة، تستند إحصاءات عام 2024 المعروضة هنا إلى بيانات تجريبية جمعها الاتحاد لنفس سلة النطاق العريض المتنقل الت</w:t>
      </w:r>
      <w:r w:rsidRPr="007C2CA0">
        <w:rPr>
          <w:rFonts w:hint="cs"/>
          <w:color w:val="7F7F7F"/>
          <w:rtl/>
          <w:lang w:bidi="ar-SA"/>
        </w:rPr>
        <w:t>ي</w:t>
      </w:r>
      <w:r w:rsidRPr="007C2CA0">
        <w:rPr>
          <w:color w:val="7F7F7F"/>
          <w:rtl/>
          <w:lang w:bidi="ar-SA"/>
        </w:rPr>
        <w:t xml:space="preserve"> تقتصر على البيانات فقط. </w:t>
      </w:r>
      <w:hyperlink r:id="rId89" w:history="1">
        <w:r w:rsidRPr="007C2CA0">
          <w:rPr>
            <w:rStyle w:val="Hyperlink"/>
            <w:noProof w:val="0"/>
            <w:rtl/>
            <w:lang w:val="en-US" w:eastAsia="zh-CN" w:bidi="ar-SA"/>
          </w:rPr>
          <w:t>رسم بياني تفاعلي</w:t>
        </w:r>
      </w:hyperlink>
      <w:r w:rsidRPr="007C2CA0">
        <w:rPr>
          <w:color w:val="7F7F7F"/>
          <w:rtl/>
          <w:lang w:bidi="ar-SA"/>
        </w:rPr>
        <w:t>.</w:t>
      </w:r>
    </w:p>
    <w:p w14:paraId="009475E8" w14:textId="03A7C94F" w:rsidR="00621959" w:rsidRPr="00621959" w:rsidRDefault="00621959" w:rsidP="00B458A7">
      <w:pPr>
        <w:pStyle w:val="Figuretitle"/>
        <w:rPr>
          <w:lang w:val="en-GB" w:bidi="ar-EG"/>
        </w:rPr>
      </w:pPr>
      <w:r w:rsidRPr="00044F6A">
        <w:rPr>
          <w:highlight w:val="yellow"/>
          <w:rtl/>
        </w:rPr>
        <w:t>سعر سلة النط</w:t>
      </w:r>
      <w:r w:rsidR="00B65B96" w:rsidRPr="00044F6A">
        <w:rPr>
          <w:rFonts w:hint="cs"/>
          <w:highlight w:val="yellow"/>
          <w:rtl/>
        </w:rPr>
        <w:t>ا</w:t>
      </w:r>
      <w:r w:rsidRPr="00044F6A">
        <w:rPr>
          <w:highlight w:val="yellow"/>
          <w:rtl/>
        </w:rPr>
        <w:t xml:space="preserve">ق العريض الثابت (5 غيغابايت) كنسبة مئوية من </w:t>
      </w:r>
      <w:r w:rsidR="00B458A7" w:rsidRPr="00044F6A">
        <w:rPr>
          <w:rFonts w:hint="cs"/>
          <w:highlight w:val="yellow"/>
          <w:rtl/>
        </w:rPr>
        <w:t>نصيب الفرد من الدخل القومي</w:t>
      </w:r>
      <w:r w:rsidR="00B458A7" w:rsidRPr="00044F6A">
        <w:rPr>
          <w:highlight w:val="yellow"/>
          <w:rtl/>
        </w:rPr>
        <w:t xml:space="preserve"> </w:t>
      </w:r>
      <w:r w:rsidR="00B458A7" w:rsidRPr="00044F6A">
        <w:rPr>
          <w:rFonts w:hint="cs"/>
          <w:highlight w:val="yellow"/>
          <w:rtl/>
        </w:rPr>
        <w:t>الإجمالي</w:t>
      </w:r>
      <w:r w:rsidRPr="00044F6A">
        <w:rPr>
          <w:highlight w:val="yellow"/>
          <w:rtl/>
        </w:rPr>
        <w:t>، 2022</w:t>
      </w:r>
      <w:r w:rsidR="00B458A7" w:rsidRPr="00044F6A">
        <w:rPr>
          <w:highlight w:val="yellow"/>
          <w:rtl/>
        </w:rPr>
        <w:noBreakHyphen/>
      </w:r>
      <w:r w:rsidRPr="00044F6A">
        <w:rPr>
          <w:highlight w:val="yellow"/>
          <w:rtl/>
        </w:rPr>
        <w:t>2025</w:t>
      </w:r>
    </w:p>
    <w:p w14:paraId="4A84A1BD" w14:textId="45212ECF" w:rsidR="007C2CA0" w:rsidRDefault="00147DCC" w:rsidP="007C2CA0">
      <w:pPr>
        <w:pStyle w:val="Figure"/>
        <w:bidi/>
      </w:pPr>
      <w:r>
        <w:rPr>
          <w:noProof/>
        </w:rPr>
        <w:drawing>
          <wp:inline distT="0" distB="0" distL="0" distR="0" wp14:anchorId="0094E282" wp14:editId="7E76211D">
            <wp:extent cx="5760000" cy="34879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000" cy="3487997"/>
                    </a:xfrm>
                    <a:prstGeom prst="rect">
                      <a:avLst/>
                    </a:prstGeom>
                    <a:noFill/>
                  </pic:spPr>
                </pic:pic>
              </a:graphicData>
            </a:graphic>
          </wp:inline>
        </w:drawing>
      </w:r>
    </w:p>
    <w:p w14:paraId="45864703" w14:textId="7581B8B8" w:rsidR="00621959" w:rsidRPr="007C2CA0" w:rsidRDefault="00621959" w:rsidP="00B458A7">
      <w:pPr>
        <w:pStyle w:val="Figurelegend"/>
        <w:rPr>
          <w:color w:val="7F7F7F"/>
          <w:rtl/>
        </w:rPr>
      </w:pPr>
      <w:bookmarkStart w:id="38" w:name="الشكل6"/>
      <w:bookmarkEnd w:id="38"/>
      <w:r w:rsidRPr="007C2CA0">
        <w:rPr>
          <w:color w:val="1F497D"/>
          <w:rtl/>
        </w:rPr>
        <w:t>الشكل 6. سعر سلة النطاق العريض المتنقل التي تقتصر على البيانات</w:t>
      </w:r>
      <w:r w:rsidRPr="007C2CA0">
        <w:rPr>
          <w:rFonts w:hint="cs"/>
          <w:color w:val="1F497D"/>
          <w:rtl/>
        </w:rPr>
        <w:t xml:space="preserve"> فقط</w:t>
      </w:r>
      <w:r w:rsidRPr="007C2CA0">
        <w:rPr>
          <w:color w:val="1F497D"/>
          <w:rtl/>
        </w:rPr>
        <w:t xml:space="preserve"> (5 غيغابايت) كنسبة مئوية من </w:t>
      </w:r>
      <w:r w:rsidR="00B458A7" w:rsidRPr="00B458A7">
        <w:rPr>
          <w:rFonts w:hint="cs"/>
          <w:color w:val="1F497D"/>
          <w:rtl/>
          <w:lang w:bidi="ar-SA"/>
        </w:rPr>
        <w:t>نصيب الفرد من الدخل القومي</w:t>
      </w:r>
      <w:r w:rsidR="00B458A7" w:rsidRPr="00B458A7">
        <w:rPr>
          <w:color w:val="1F497D"/>
          <w:rtl/>
          <w:lang w:bidi="ar-SA"/>
        </w:rPr>
        <w:t xml:space="preserve"> </w:t>
      </w:r>
      <w:r w:rsidR="00B458A7" w:rsidRPr="00B458A7">
        <w:rPr>
          <w:rFonts w:hint="cs"/>
          <w:color w:val="1F497D"/>
          <w:rtl/>
          <w:lang w:bidi="ar-SA"/>
        </w:rPr>
        <w:t>الإجمالي</w:t>
      </w:r>
      <w:r w:rsidRPr="007C2CA0">
        <w:rPr>
          <w:color w:val="1F497D"/>
          <w:rtl/>
        </w:rPr>
        <w:t>، 2022-2025. سلسلة حقائق وأرقام الاتحاد لعام 2025 (الصفحة 21).</w:t>
      </w:r>
      <w:r w:rsidRPr="007C2CA0">
        <w:rPr>
          <w:color w:val="7F7F7F"/>
          <w:rtl/>
        </w:rPr>
        <w:t xml:space="preserve"> </w:t>
      </w:r>
      <w:hyperlink r:id="rId91" w:history="1">
        <w:r w:rsidRPr="007C2CA0">
          <w:rPr>
            <w:rStyle w:val="Hyperlink"/>
            <w:noProof w:val="0"/>
            <w:rtl/>
            <w:lang w:val="en-US" w:eastAsia="zh-CN"/>
          </w:rPr>
          <w:t>رسم بياني تفاعلي</w:t>
        </w:r>
      </w:hyperlink>
      <w:r w:rsidRPr="007C2CA0">
        <w:rPr>
          <w:color w:val="7F7F7F"/>
          <w:rtl/>
        </w:rPr>
        <w:t>.</w:t>
      </w:r>
    </w:p>
    <w:p w14:paraId="0D00BFD1" w14:textId="4D91C5A4" w:rsidR="0089560B" w:rsidRDefault="00621959" w:rsidP="00B458A7">
      <w:pPr>
        <w:rPr>
          <w:rtl/>
        </w:rPr>
      </w:pPr>
      <w:r w:rsidRPr="00621959">
        <w:rPr>
          <w:rtl/>
        </w:rPr>
        <w:t xml:space="preserve">وتعد القدرة على تحمل التكلفة عاملاً تمكينياً رئيسياً في توفير توصيلية هادفة. ويستند المؤشر الحالي إلى </w:t>
      </w:r>
      <w:hyperlink r:id="rId92" w:history="1">
        <w:r w:rsidRPr="00621959">
          <w:rPr>
            <w:rStyle w:val="Hyperlink"/>
            <w:noProof w:val="0"/>
            <w:rtl/>
            <w:lang w:val="en-US" w:eastAsia="zh-CN"/>
          </w:rPr>
          <w:t>منهجية الاتحاد</w:t>
        </w:r>
      </w:hyperlink>
      <w:r w:rsidRPr="00621959">
        <w:rPr>
          <w:u w:val="single"/>
          <w:rtl/>
        </w:rPr>
        <w:t xml:space="preserve"> </w:t>
      </w:r>
      <w:r w:rsidRPr="00621959">
        <w:rPr>
          <w:rtl/>
        </w:rPr>
        <w:t xml:space="preserve">الراسخة ("سلال الأسعار")، ولكنه يحتاج إلى </w:t>
      </w:r>
      <w:r w:rsidRPr="00621959">
        <w:rPr>
          <w:rFonts w:hint="cs"/>
          <w:rtl/>
        </w:rPr>
        <w:t>ال</w:t>
      </w:r>
      <w:r w:rsidRPr="00621959">
        <w:rPr>
          <w:rtl/>
        </w:rPr>
        <w:t xml:space="preserve">مراجعة في </w:t>
      </w:r>
      <w:r w:rsidRPr="00621959">
        <w:rPr>
          <w:rFonts w:hint="cs"/>
          <w:rtl/>
        </w:rPr>
        <w:t>ال</w:t>
      </w:r>
      <w:r w:rsidRPr="00621959">
        <w:rPr>
          <w:rtl/>
        </w:rPr>
        <w:t xml:space="preserve">عملية </w:t>
      </w:r>
      <w:r w:rsidRPr="00621959">
        <w:rPr>
          <w:rFonts w:hint="cs"/>
          <w:rtl/>
        </w:rPr>
        <w:t>الجارية ل</w:t>
      </w:r>
      <w:r w:rsidRPr="00621959">
        <w:rPr>
          <w:rtl/>
        </w:rPr>
        <w:t>صياغة الخطة الاستراتيجية للاتحاد للفترة</w:t>
      </w:r>
      <w:r w:rsidR="007C2CA0">
        <w:rPr>
          <w:rFonts w:hint="eastAsia"/>
          <w:rtl/>
          <w:lang w:bidi="ar-EG"/>
        </w:rPr>
        <w:t> </w:t>
      </w:r>
      <w:r w:rsidRPr="00621959">
        <w:rPr>
          <w:rtl/>
        </w:rPr>
        <w:t xml:space="preserve">2028-2031. وينبغي حذف الإشارة إلى "البلدان النامية"، نظراً لأن هذا التصنيف لم يعد مستعملاً، وينبغي رصد القدرة على تحمل التكلفة على مستوى العالم. وبالإضافة إلى ذلك، ينبغي قياس القدرة على تحمل التكلفة بشكل منفصل لخدمات النطاق العريض الثابتة والمتنقلة، نظراً لاختلاف هياكل التكلفة لكل منهما. وينبغي الاستمرار في التعبير عن كليهما كنسبة مئوية من </w:t>
      </w:r>
      <w:r w:rsidR="00B458A7" w:rsidRPr="00B458A7">
        <w:rPr>
          <w:rFonts w:hint="cs"/>
          <w:rtl/>
        </w:rPr>
        <w:t>نصيب الفرد من الدخل القومي</w:t>
      </w:r>
      <w:r w:rsidR="00B458A7" w:rsidRPr="00B458A7">
        <w:rPr>
          <w:rtl/>
        </w:rPr>
        <w:t xml:space="preserve"> </w:t>
      </w:r>
      <w:r w:rsidR="00B458A7" w:rsidRPr="00B458A7">
        <w:rPr>
          <w:rFonts w:hint="cs"/>
          <w:rtl/>
        </w:rPr>
        <w:t>الإجمالي</w:t>
      </w:r>
      <w:r w:rsidRPr="00621959">
        <w:rPr>
          <w:rtl/>
        </w:rPr>
        <w:t>.</w:t>
      </w:r>
    </w:p>
    <w:p w14:paraId="1AF4CDD3" w14:textId="4F0C681F" w:rsidR="00621959" w:rsidRPr="007C2CA0" w:rsidRDefault="00147DCC" w:rsidP="007C2CA0">
      <w:pPr>
        <w:pStyle w:val="Headingb"/>
      </w:pPr>
      <w:r>
        <w:rPr>
          <w:rFonts w:hint="cs"/>
          <w:rtl/>
        </w:rPr>
        <w:t>المقصد</w:t>
      </w:r>
      <w:r w:rsidR="00621959" w:rsidRPr="00621959">
        <w:rPr>
          <w:rtl/>
        </w:rPr>
        <w:t xml:space="preserve"> 3.1: نفاذ كل أسرة إلى النطاق العريض</w:t>
      </w:r>
    </w:p>
    <w:p w14:paraId="3C88D4DF" w14:textId="66017FD9" w:rsidR="00621959" w:rsidRPr="00621959" w:rsidRDefault="00621959" w:rsidP="008A5A1B">
      <w:pPr>
        <w:rPr>
          <w:lang w:val="en-GB" w:bidi="ar-EG"/>
        </w:rPr>
      </w:pPr>
      <w:r w:rsidRPr="00621959">
        <w:rPr>
          <w:rtl/>
        </w:rPr>
        <w:t>لا يزال نفاذ الأسر إلى الإنترنت بُعداً هاماً من أبعاد التوصيلية، إلا أن قياسه بدقة أصبح أكثر صعوبة. وبات التمييز بين نفاذ الأفراد والأسر أقل وضوحاً نتيجة لانتشار أجهزة النفاذ المتنقلة والأجهزة المشتركة. وكثيراً ما يفسر المستجيب</w:t>
      </w:r>
      <w:r w:rsidRPr="00621959">
        <w:rPr>
          <w:rFonts w:hint="cs"/>
          <w:rtl/>
        </w:rPr>
        <w:t>و</w:t>
      </w:r>
      <w:r w:rsidRPr="00621959">
        <w:rPr>
          <w:rtl/>
        </w:rPr>
        <w:t xml:space="preserve">ن مصطلح "نفاذ الأسر إلى الإنترنت" بشكل غير متسق، مما يؤدي إلى تزايد صعوبات القياس وانخفاض في توافر البيانات. وبالإضافة إلى ذلك، لا توجد بيانات قابلة للمقارنة دولياً لعدد الأسر، وهو ما يعد ضرورياً لحساب هذا المؤشر. ونتيجة لذلك، لم يعد الاتحاد يُصدر </w:t>
      </w:r>
      <w:r w:rsidRPr="00621959">
        <w:rPr>
          <w:rFonts w:hint="cs"/>
          <w:rtl/>
        </w:rPr>
        <w:t>م</w:t>
      </w:r>
      <w:r w:rsidRPr="00621959">
        <w:rPr>
          <w:rtl/>
        </w:rPr>
        <w:t>ج</w:t>
      </w:r>
      <w:r w:rsidRPr="00621959">
        <w:rPr>
          <w:rFonts w:hint="cs"/>
          <w:rtl/>
        </w:rPr>
        <w:t>م</w:t>
      </w:r>
      <w:r w:rsidRPr="00621959">
        <w:rPr>
          <w:rtl/>
        </w:rPr>
        <w:t>لات عالمية أو إقليمية لهذا المؤشر.</w:t>
      </w:r>
    </w:p>
    <w:p w14:paraId="685B31D8" w14:textId="77777777" w:rsidR="00621959" w:rsidRPr="00621959" w:rsidRDefault="00621959" w:rsidP="008A5A1B">
      <w:pPr>
        <w:rPr>
          <w:lang w:val="en-GB" w:bidi="ar-EG"/>
        </w:rPr>
      </w:pPr>
      <w:r w:rsidRPr="00621959">
        <w:rPr>
          <w:rtl/>
        </w:rPr>
        <w:t>وفي عام 2024، وضع 167 بلداً خططاً للنطاق العريض أو استراتيجيات رقمية، وهو رقم ظل راكداً منذ عام 2019 وانخفض من 170 بلداً في عام 2022. وللنهوض بالتوصيلية العالمية، هناك حاجة إلى بذل المزيد من الجهود لتشجيع البلدان المتبقية التي يتراوح عددها بين 20 و30 بلداً على وضع واعتماد خططها الوطنية بشأن النطاق العريض.</w:t>
      </w:r>
    </w:p>
    <w:p w14:paraId="0D942C93" w14:textId="33375A05" w:rsidR="00621959" w:rsidRPr="007C2CA0" w:rsidRDefault="00147DCC" w:rsidP="007C2CA0">
      <w:pPr>
        <w:pStyle w:val="Headingb"/>
      </w:pPr>
      <w:r>
        <w:rPr>
          <w:rFonts w:hint="cs"/>
          <w:rtl/>
        </w:rPr>
        <w:t>المقصد</w:t>
      </w:r>
      <w:r w:rsidRPr="00621959">
        <w:rPr>
          <w:rtl/>
        </w:rPr>
        <w:t xml:space="preserve"> </w:t>
      </w:r>
      <w:r w:rsidR="00621959" w:rsidRPr="00621959">
        <w:rPr>
          <w:rtl/>
        </w:rPr>
        <w:t>4.1: ملكية الأجهزة الممكنة بالإنترنت والنفاذ إليها</w:t>
      </w:r>
    </w:p>
    <w:p w14:paraId="45E14F8E" w14:textId="25ED15EE" w:rsidR="0089560B" w:rsidRDefault="00621959" w:rsidP="008A5A1B">
      <w:pPr>
        <w:rPr>
          <w:rtl/>
        </w:rPr>
      </w:pPr>
      <w:r w:rsidRPr="00621959">
        <w:rPr>
          <w:rtl/>
        </w:rPr>
        <w:t>على الصعيد العالمي، يمتلك 82</w:t>
      </w:r>
      <w:r w:rsidR="007C2CA0">
        <w:rPr>
          <w:rtl/>
        </w:rPr>
        <w:t xml:space="preserve"> في </w:t>
      </w:r>
      <w:proofErr w:type="gramStart"/>
      <w:r w:rsidR="007C2CA0">
        <w:rPr>
          <w:rtl/>
        </w:rPr>
        <w:t>المائة</w:t>
      </w:r>
      <w:proofErr w:type="gramEnd"/>
      <w:r w:rsidRPr="00621959">
        <w:rPr>
          <w:rtl/>
        </w:rPr>
        <w:t xml:space="preserve"> من الأفراد الذين تبلغ أعمارهم 10 سنوات فأكثر هاتفاً متنقلاً. وتعتبر الملكية شاملة عندما تصل نسبة الانتشار إلى 95</w:t>
      </w:r>
      <w:r w:rsidR="007C2CA0">
        <w:rPr>
          <w:rtl/>
        </w:rPr>
        <w:t xml:space="preserve"> في </w:t>
      </w:r>
      <w:proofErr w:type="gramStart"/>
      <w:r w:rsidR="007C2CA0">
        <w:rPr>
          <w:rtl/>
        </w:rPr>
        <w:t>المائة</w:t>
      </w:r>
      <w:proofErr w:type="gramEnd"/>
      <w:r w:rsidRPr="00621959">
        <w:rPr>
          <w:rtl/>
        </w:rPr>
        <w:t>. وقد تم بلوغ هذه العتبة في الاقتصادات</w:t>
      </w:r>
      <w:r w:rsidRPr="00621959">
        <w:rPr>
          <w:rFonts w:hint="cs"/>
          <w:rtl/>
        </w:rPr>
        <w:t xml:space="preserve"> ذات الدخل المرتفع في</w:t>
      </w:r>
      <w:r w:rsidRPr="00621959">
        <w:rPr>
          <w:rtl/>
        </w:rPr>
        <w:t xml:space="preserve"> حين أن الاقتصادات المتوسطة الدخل من الشريحة العليا تجاوزت نسبة 90</w:t>
      </w:r>
      <w:r w:rsidR="007C2CA0">
        <w:rPr>
          <w:rtl/>
        </w:rPr>
        <w:t xml:space="preserve"> في </w:t>
      </w:r>
      <w:proofErr w:type="gramStart"/>
      <w:r w:rsidR="007C2CA0">
        <w:rPr>
          <w:rtl/>
        </w:rPr>
        <w:t>المائة</w:t>
      </w:r>
      <w:proofErr w:type="gramEnd"/>
      <w:r w:rsidRPr="00621959">
        <w:rPr>
          <w:rtl/>
        </w:rPr>
        <w:t>. وفي الاقتصادات ذات الدخل المنخفض، لا يمتلك سوى 53</w:t>
      </w:r>
      <w:r w:rsidR="007C2CA0">
        <w:rPr>
          <w:rtl/>
        </w:rPr>
        <w:t xml:space="preserve"> في </w:t>
      </w:r>
      <w:proofErr w:type="gramStart"/>
      <w:r w:rsidR="007C2CA0">
        <w:rPr>
          <w:rtl/>
        </w:rPr>
        <w:t>المائة</w:t>
      </w:r>
      <w:proofErr w:type="gramEnd"/>
      <w:r w:rsidRPr="00621959">
        <w:rPr>
          <w:rtl/>
        </w:rPr>
        <w:t xml:space="preserve"> من السكان الذين تبلغ أعمارهم 10 سنوات فأكثر </w:t>
      </w:r>
      <w:r w:rsidRPr="00EA6D94">
        <w:rPr>
          <w:rtl/>
        </w:rPr>
        <w:t>هاتفاً متنقلاً (</w:t>
      </w:r>
      <w:hyperlink w:anchor="الشكل7" w:history="1">
        <w:r w:rsidRPr="00EA6D94">
          <w:rPr>
            <w:rStyle w:val="Hyperlink"/>
            <w:noProof w:val="0"/>
            <w:rtl/>
            <w:lang w:val="en-US" w:eastAsia="zh-CN"/>
          </w:rPr>
          <w:t>انظر الشكل 7</w:t>
        </w:r>
      </w:hyperlink>
      <w:r w:rsidRPr="00EA6D94">
        <w:rPr>
          <w:rtl/>
        </w:rPr>
        <w:t>).</w:t>
      </w:r>
    </w:p>
    <w:p w14:paraId="12883865" w14:textId="70CB64A7" w:rsidR="00621959" w:rsidRPr="00621959" w:rsidRDefault="00621959" w:rsidP="007C2CA0">
      <w:pPr>
        <w:pStyle w:val="Figuretitle"/>
        <w:rPr>
          <w:lang w:val="en-GB" w:bidi="ar-EG"/>
        </w:rPr>
      </w:pPr>
      <w:bookmarkStart w:id="39" w:name="_Hlk221024975"/>
      <w:r w:rsidRPr="00621959">
        <w:rPr>
          <w:rtl/>
        </w:rPr>
        <w:t>نسبة الأفراد الذين يمتلكون هاتفاً متنقلاً ويستخدمون الإنترنت، 2025</w:t>
      </w:r>
    </w:p>
    <w:bookmarkEnd w:id="39"/>
    <w:p w14:paraId="7F4DE3C5" w14:textId="6EF9AF8F" w:rsidR="00621959" w:rsidRPr="00621959" w:rsidRDefault="000B66B5" w:rsidP="007C2CA0">
      <w:pPr>
        <w:pStyle w:val="Figure"/>
        <w:bidi/>
        <w:rPr>
          <w:rFonts w:eastAsia="MS Mincho"/>
        </w:rPr>
      </w:pPr>
      <w:r>
        <w:rPr>
          <w:rFonts w:eastAsia="MS Mincho"/>
          <w:noProof/>
        </w:rPr>
        <w:drawing>
          <wp:inline distT="0" distB="0" distL="0" distR="0" wp14:anchorId="5E76A10B" wp14:editId="75699803">
            <wp:extent cx="5040000" cy="27828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40000" cy="2782800"/>
                    </a:xfrm>
                    <a:prstGeom prst="rect">
                      <a:avLst/>
                    </a:prstGeom>
                    <a:noFill/>
                  </pic:spPr>
                </pic:pic>
              </a:graphicData>
            </a:graphic>
          </wp:inline>
        </w:drawing>
      </w:r>
    </w:p>
    <w:p w14:paraId="6A27EE53" w14:textId="5A87C3B4" w:rsidR="00621959" w:rsidRPr="00621959" w:rsidRDefault="00621959" w:rsidP="00EA6D94">
      <w:pPr>
        <w:pStyle w:val="Figurelegend"/>
        <w:rPr>
          <w:lang w:val="en-GB" w:bidi="ar-EG"/>
        </w:rPr>
      </w:pPr>
      <w:bookmarkStart w:id="40" w:name="الشكل7"/>
      <w:bookmarkEnd w:id="40"/>
      <w:r w:rsidRPr="007C2CA0">
        <w:rPr>
          <w:color w:val="1F497D"/>
          <w:rtl/>
        </w:rPr>
        <w:t>الشكل 7. نسبة الأفراد الذين يمتلكون هاتفاً متنقلاً ويستخدمون الإنترنت، 2025. سلسلة حقائق وأرقام الاتحاد لعام 2025 (الصفحة</w:t>
      </w:r>
      <w:r w:rsidR="00AE51BF">
        <w:rPr>
          <w:rFonts w:hint="eastAsia"/>
          <w:color w:val="1F497D"/>
          <w:rtl/>
          <w:lang w:bidi="ar-EG"/>
        </w:rPr>
        <w:t> </w:t>
      </w:r>
      <w:r w:rsidRPr="007C2CA0">
        <w:rPr>
          <w:color w:val="1F497D"/>
          <w:rtl/>
        </w:rPr>
        <w:t>26).</w:t>
      </w:r>
      <w:r w:rsidRPr="00621959">
        <w:rPr>
          <w:rtl/>
        </w:rPr>
        <w:t xml:space="preserve"> </w:t>
      </w:r>
      <w:r w:rsidR="00241D22">
        <w:rPr>
          <w:rtl/>
        </w:rPr>
        <w:br/>
      </w:r>
      <w:r w:rsidRPr="007C2CA0">
        <w:rPr>
          <w:color w:val="7F7F7F"/>
          <w:rtl/>
        </w:rPr>
        <w:t xml:space="preserve">تشير ملكية الهواتف المتنقلة إلى الأفراد الذين تبلغ أعمارهم 10 سنوات فأكثر. </w:t>
      </w:r>
      <w:hyperlink r:id="rId94" w:anchor="chart-2" w:history="1">
        <w:r w:rsidRPr="007C2CA0">
          <w:rPr>
            <w:rStyle w:val="Hyperlink"/>
            <w:noProof w:val="0"/>
            <w:rtl/>
            <w:lang w:val="en-US" w:eastAsia="zh-CN" w:bidi="ar-SA"/>
          </w:rPr>
          <w:t>رسم بياني تفاعلي</w:t>
        </w:r>
      </w:hyperlink>
      <w:r w:rsidRPr="007C2CA0">
        <w:rPr>
          <w:color w:val="7F7F7F"/>
          <w:rtl/>
        </w:rPr>
        <w:t>.</w:t>
      </w:r>
    </w:p>
    <w:p w14:paraId="18EED43A" w14:textId="024B07C9" w:rsidR="00621959" w:rsidRPr="00E7338F" w:rsidRDefault="00621959" w:rsidP="008A5A1B">
      <w:pPr>
        <w:rPr>
          <w:spacing w:val="-3"/>
          <w:lang w:val="en-GB" w:bidi="ar-EG"/>
        </w:rPr>
      </w:pPr>
      <w:r w:rsidRPr="00E7338F">
        <w:rPr>
          <w:spacing w:val="-3"/>
          <w:rtl/>
        </w:rPr>
        <w:t>ويعد النفاذ إلى الأجهزة الممكنة بالإنترنت أساسياً للتوصيلية الهادفة، إلا أن المؤشرات الحالية (نسبة الأفراد الذين يستخدمون هاتفاً ذكياً ونسبة الأفراد الذين يمتلكون هاتفاً ذكياً) تطرح العديد من التحديات. فهي تتداخل جزئياً، كما أن البيانات المتاحة عنها قليلة. ولا تقوم العديد من البلدان بجمع بيانات منتظمة عن ملكية الهواتف الذكية أو استعمالها، ولا</w:t>
      </w:r>
      <w:r w:rsidR="00AC3D57" w:rsidRPr="00E7338F">
        <w:rPr>
          <w:rFonts w:hint="cs"/>
          <w:spacing w:val="-3"/>
          <w:rtl/>
        </w:rPr>
        <w:t> </w:t>
      </w:r>
      <w:r w:rsidRPr="00E7338F">
        <w:rPr>
          <w:spacing w:val="-3"/>
          <w:rtl/>
        </w:rPr>
        <w:t>تتوفر مجملات عالمية أو إقليمية. وينبغي استعمال مؤشر أبسط وأكثر انتشاراً في الخطة الاستراتيجية للفترة 2028-2031. ويوفر مؤشر أهداف التنمية المستدامة الخاص بملكية الهواتف المتنقلة بديلاً مناسباً: فهو سليم منهجياً، ويجمع عدد أكبر من البلدان بيانات عنه، ويتيح تصنيف البيانات حسب نوع الجنس وخصائص أخرى.</w:t>
      </w:r>
    </w:p>
    <w:p w14:paraId="1D506208" w14:textId="0AC7F8DB" w:rsidR="00621959" w:rsidRPr="00E7338F" w:rsidRDefault="00147DCC" w:rsidP="00E7338F">
      <w:pPr>
        <w:pStyle w:val="Headingb"/>
      </w:pPr>
      <w:r>
        <w:rPr>
          <w:rFonts w:hint="cs"/>
          <w:rtl/>
        </w:rPr>
        <w:t>المقصد</w:t>
      </w:r>
      <w:r w:rsidR="00621959" w:rsidRPr="00621959">
        <w:rPr>
          <w:rtl/>
        </w:rPr>
        <w:t xml:space="preserve"> 5.1: النفاذ إلى الإنترنت لجميع المدارس</w:t>
      </w:r>
    </w:p>
    <w:p w14:paraId="2FCD7FC9" w14:textId="07122FB0" w:rsidR="00621959" w:rsidRPr="00621959" w:rsidRDefault="00621959" w:rsidP="008A5A1B">
      <w:pPr>
        <w:rPr>
          <w:lang w:val="en-GB" w:bidi="ar-EG"/>
        </w:rPr>
      </w:pPr>
      <w:r w:rsidRPr="00621959">
        <w:rPr>
          <w:rtl/>
        </w:rPr>
        <w:t>يجمع معهد اليونسكو للإحصاء (</w:t>
      </w:r>
      <w:r w:rsidRPr="00621959">
        <w:rPr>
          <w:lang w:val="en-GB" w:bidi="ar-EG"/>
        </w:rPr>
        <w:t>UIS</w:t>
      </w:r>
      <w:r w:rsidRPr="00621959">
        <w:rPr>
          <w:rtl/>
        </w:rPr>
        <w:t xml:space="preserve">) هذه البيانات، والمؤشرات التالية متاحة في </w:t>
      </w:r>
      <w:hyperlink r:id="rId95" w:history="1">
        <w:r w:rsidRPr="00621959">
          <w:rPr>
            <w:rStyle w:val="Hyperlink"/>
            <w:noProof w:val="0"/>
            <w:rtl/>
            <w:lang w:val="en-US" w:eastAsia="zh-CN"/>
          </w:rPr>
          <w:t>لوحة المعلومات هذه</w:t>
        </w:r>
      </w:hyperlink>
      <w:r w:rsidRPr="00621959">
        <w:rPr>
          <w:rtl/>
        </w:rPr>
        <w:t xml:space="preserve"> (في إطار المؤشر</w:t>
      </w:r>
      <w:r w:rsidR="00147DCC">
        <w:rPr>
          <w:rFonts w:hint="cs"/>
          <w:rtl/>
        </w:rPr>
        <w:t> </w:t>
      </w:r>
      <w:r w:rsidRPr="00621959">
        <w:rPr>
          <w:rtl/>
        </w:rPr>
        <w:t xml:space="preserve">4أ، </w:t>
      </w:r>
      <w:r w:rsidR="00147DCC">
        <w:rPr>
          <w:rFonts w:hint="cs"/>
          <w:rtl/>
        </w:rPr>
        <w:t>المقصد</w:t>
      </w:r>
      <w:r w:rsidRPr="00621959">
        <w:rPr>
          <w:rtl/>
        </w:rPr>
        <w:t xml:space="preserve"> 4أ.1):</w:t>
      </w:r>
    </w:p>
    <w:p w14:paraId="79AC024E" w14:textId="40E41C0F" w:rsidR="00621959" w:rsidRPr="00621959" w:rsidRDefault="00E7338F" w:rsidP="00E7338F">
      <w:pPr>
        <w:pStyle w:val="enumlev1"/>
        <w:rPr>
          <w:lang w:val="en-GB" w:bidi="ar-EG"/>
        </w:rPr>
      </w:pPr>
      <w:r>
        <w:rPr>
          <w:rFonts w:hint="cs"/>
        </w:rPr>
        <w:sym w:font="Wingdings 2" w:char="F097"/>
      </w:r>
      <w:r>
        <w:tab/>
      </w:r>
      <w:r w:rsidR="00621959" w:rsidRPr="00621959">
        <w:rPr>
          <w:rFonts w:hint="cs"/>
          <w:rtl/>
        </w:rPr>
        <w:t>ال</w:t>
      </w:r>
      <w:r w:rsidR="00621959" w:rsidRPr="00621959">
        <w:rPr>
          <w:rtl/>
        </w:rPr>
        <w:t xml:space="preserve">نسبة </w:t>
      </w:r>
      <w:r w:rsidR="00621959" w:rsidRPr="00621959">
        <w:rPr>
          <w:rFonts w:hint="cs"/>
          <w:rtl/>
        </w:rPr>
        <w:t>المئوية ل</w:t>
      </w:r>
      <w:r w:rsidR="00621959" w:rsidRPr="00621959">
        <w:rPr>
          <w:rtl/>
        </w:rPr>
        <w:t>لمدارس التي لديها إمكانية النفاذ إلى الإنترنت لأغراض تعليمية.</w:t>
      </w:r>
    </w:p>
    <w:p w14:paraId="56E164B1" w14:textId="68B8904B" w:rsidR="00621959" w:rsidRPr="00621959" w:rsidRDefault="00E7338F" w:rsidP="00E7338F">
      <w:pPr>
        <w:pStyle w:val="enumlev1"/>
        <w:rPr>
          <w:lang w:val="en-GB" w:bidi="ar-EG"/>
        </w:rPr>
      </w:pPr>
      <w:r>
        <w:rPr>
          <w:rFonts w:hint="cs"/>
        </w:rPr>
        <w:sym w:font="Wingdings 2" w:char="F097"/>
      </w:r>
      <w:r>
        <w:tab/>
      </w:r>
      <w:r w:rsidR="00621959" w:rsidRPr="00621959">
        <w:rPr>
          <w:rFonts w:hint="cs"/>
          <w:rtl/>
        </w:rPr>
        <w:t>ال</w:t>
      </w:r>
      <w:r w:rsidR="00621959" w:rsidRPr="00621959">
        <w:rPr>
          <w:rtl/>
        </w:rPr>
        <w:t xml:space="preserve">نسبة </w:t>
      </w:r>
      <w:r w:rsidR="00621959" w:rsidRPr="00621959">
        <w:rPr>
          <w:rFonts w:hint="cs"/>
          <w:rtl/>
        </w:rPr>
        <w:t xml:space="preserve">المئوية </w:t>
      </w:r>
      <w:r w:rsidR="00621959" w:rsidRPr="00621959">
        <w:rPr>
          <w:rtl/>
        </w:rPr>
        <w:t>التي لديها إمكانية النفاذ إلى الحواسيب لأغراض تعليمية.</w:t>
      </w:r>
    </w:p>
    <w:p w14:paraId="2FB4137A" w14:textId="77777777" w:rsidR="0089560B" w:rsidRDefault="00621959" w:rsidP="008A5A1B">
      <w:pPr>
        <w:rPr>
          <w:rtl/>
        </w:rPr>
      </w:pPr>
      <w:r w:rsidRPr="00621959">
        <w:rPr>
          <w:rtl/>
        </w:rPr>
        <w:t>وتتوفر البيانات حسب البلد وتُصنف حسب المرحلة الدراسية (أي الابتدائية، الإعدادية، الثانوية). وآخر بيانات متاحة هي لعام 2024. كما تتوفر تقديرات إقليمية وعالمية.</w:t>
      </w:r>
    </w:p>
    <w:p w14:paraId="0DFDB1A1" w14:textId="6FB5E236" w:rsidR="00621959" w:rsidRPr="00621959" w:rsidRDefault="00621959" w:rsidP="00E7338F">
      <w:pPr>
        <w:pStyle w:val="Figuretitle"/>
        <w:rPr>
          <w:rtl/>
        </w:rPr>
      </w:pPr>
      <w:r w:rsidRPr="00621959">
        <w:rPr>
          <w:rtl/>
        </w:rPr>
        <w:t>نسبة المدارس التي لديها إمكانية النفاذ إلى الحواسيب أو الإنترنت لأغراض تعليمية (بالنسبة المئوية)، 2024</w:t>
      </w:r>
    </w:p>
    <w:p w14:paraId="44C480C8" w14:textId="7FF6CE47" w:rsidR="00621959" w:rsidRPr="00621959" w:rsidRDefault="00CE126E" w:rsidP="00E7338F">
      <w:pPr>
        <w:pStyle w:val="Figure"/>
        <w:bidi/>
        <w:rPr>
          <w:rFonts w:eastAsia="MS Mincho"/>
          <w:lang w:bidi="ar-EG"/>
        </w:rPr>
      </w:pPr>
      <w:r>
        <w:rPr>
          <w:rFonts w:eastAsia="MS Mincho"/>
          <w:noProof/>
          <w:lang w:bidi="ar-EG"/>
        </w:rPr>
        <w:drawing>
          <wp:inline distT="0" distB="0" distL="0" distR="0" wp14:anchorId="39E9ABED" wp14:editId="078121B5">
            <wp:extent cx="5040000" cy="1767600"/>
            <wp:effectExtent l="0" t="0" r="825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40000" cy="1767600"/>
                    </a:xfrm>
                    <a:prstGeom prst="rect">
                      <a:avLst/>
                    </a:prstGeom>
                    <a:noFill/>
                  </pic:spPr>
                </pic:pic>
              </a:graphicData>
            </a:graphic>
          </wp:inline>
        </w:drawing>
      </w:r>
    </w:p>
    <w:p w14:paraId="418D636E" w14:textId="0CDB7798" w:rsidR="00621959" w:rsidRPr="00621959" w:rsidRDefault="00621959" w:rsidP="00EA6D94">
      <w:pPr>
        <w:pStyle w:val="Figurelegend"/>
        <w:rPr>
          <w:lang w:val="en-GB" w:bidi="ar-EG"/>
        </w:rPr>
      </w:pPr>
      <w:bookmarkStart w:id="41" w:name="الشكل8"/>
      <w:bookmarkEnd w:id="41"/>
      <w:r w:rsidRPr="00E7338F">
        <w:rPr>
          <w:color w:val="1F497D"/>
          <w:rtl/>
        </w:rPr>
        <w:t>الشكل</w:t>
      </w:r>
      <w:r w:rsidRPr="00E7338F">
        <w:rPr>
          <w:rFonts w:hint="cs"/>
          <w:color w:val="1F497D"/>
          <w:rtl/>
        </w:rPr>
        <w:t xml:space="preserve"> </w:t>
      </w:r>
      <w:r w:rsidRPr="00E7338F">
        <w:rPr>
          <w:color w:val="1F497D"/>
          <w:rtl/>
        </w:rPr>
        <w:t>8</w:t>
      </w:r>
      <w:r w:rsidRPr="00E7338F">
        <w:rPr>
          <w:rFonts w:hint="cs"/>
          <w:color w:val="1F497D"/>
          <w:rtl/>
        </w:rPr>
        <w:t>.</w:t>
      </w:r>
      <w:r w:rsidRPr="00E7338F">
        <w:rPr>
          <w:color w:val="1F497D"/>
          <w:rtl/>
        </w:rPr>
        <w:t xml:space="preserve"> نسبة المدارس التي لديها إمكانية النفاذ إلى الحواسيب أو الإنترنت لأغراض تعليمية (بالنسبة المئوية)، 2024.</w:t>
      </w:r>
      <w:r w:rsidR="00241D22">
        <w:rPr>
          <w:color w:val="1F497D"/>
          <w:rtl/>
        </w:rPr>
        <w:br/>
      </w:r>
      <w:r w:rsidRPr="00E7338F">
        <w:rPr>
          <w:color w:val="1F497D"/>
          <w:rtl/>
        </w:rPr>
        <w:t>معهد اليونسكو للإحصاء.</w:t>
      </w:r>
      <w:r w:rsidRPr="00621959">
        <w:rPr>
          <w:rtl/>
        </w:rPr>
        <w:t xml:space="preserve"> </w:t>
      </w:r>
      <w:r w:rsidRPr="00E7338F">
        <w:rPr>
          <w:color w:val="7F7F7F"/>
          <w:rtl/>
        </w:rPr>
        <w:t xml:space="preserve">وللاطلاع على مزيد من المعلومات، انقر </w:t>
      </w:r>
      <w:hyperlink r:id="rId97" w:history="1">
        <w:r w:rsidRPr="00E7338F">
          <w:rPr>
            <w:rStyle w:val="Hyperlink"/>
            <w:noProof w:val="0"/>
            <w:rtl/>
            <w:lang w:val="en-US" w:eastAsia="zh-CN" w:bidi="ar-SA"/>
          </w:rPr>
          <w:t>هنا</w:t>
        </w:r>
      </w:hyperlink>
      <w:r w:rsidRPr="00E7338F">
        <w:rPr>
          <w:color w:val="7F7F7F"/>
          <w:rtl/>
        </w:rPr>
        <w:t>.</w:t>
      </w:r>
    </w:p>
    <w:p w14:paraId="682C4694" w14:textId="40084273" w:rsidR="00621959" w:rsidRPr="00EA6D94" w:rsidRDefault="00621959" w:rsidP="008A5A1B">
      <w:pPr>
        <w:rPr>
          <w:lang w:val="en-GB" w:bidi="ar-EG"/>
        </w:rPr>
      </w:pPr>
      <w:r w:rsidRPr="00621959">
        <w:rPr>
          <w:rtl/>
        </w:rPr>
        <w:t>وفي عام 2024، كان لدى حوالي نصف المدارس الابتدائية إمكانية النفاذ إلى حواسيب والإنترنت. كما كان لدى أكثر من</w:t>
      </w:r>
      <w:r w:rsidR="00E7338F">
        <w:rPr>
          <w:rFonts w:hint="eastAsia"/>
          <w:rtl/>
          <w:lang w:bidi="ar-EG"/>
        </w:rPr>
        <w:t> </w:t>
      </w:r>
      <w:r w:rsidRPr="00621959">
        <w:rPr>
          <w:rtl/>
        </w:rPr>
        <w:t>60</w:t>
      </w:r>
      <w:r w:rsidR="00E7338F">
        <w:rPr>
          <w:rtl/>
        </w:rPr>
        <w:t xml:space="preserve"> في </w:t>
      </w:r>
      <w:proofErr w:type="gramStart"/>
      <w:r w:rsidR="00E7338F" w:rsidRPr="00EA6D94">
        <w:rPr>
          <w:rtl/>
        </w:rPr>
        <w:t>المائة</w:t>
      </w:r>
      <w:proofErr w:type="gramEnd"/>
      <w:r w:rsidRPr="00EA6D94">
        <w:rPr>
          <w:rtl/>
        </w:rPr>
        <w:t xml:space="preserve"> من المدارس الإعدادية وأكثر من 70</w:t>
      </w:r>
      <w:r w:rsidR="00E7338F" w:rsidRPr="00EA6D94">
        <w:rPr>
          <w:rtl/>
        </w:rPr>
        <w:t xml:space="preserve"> في </w:t>
      </w:r>
      <w:proofErr w:type="gramStart"/>
      <w:r w:rsidR="00E7338F" w:rsidRPr="00EA6D94">
        <w:rPr>
          <w:rtl/>
        </w:rPr>
        <w:t>المائة</w:t>
      </w:r>
      <w:proofErr w:type="gramEnd"/>
      <w:r w:rsidRPr="00EA6D94">
        <w:rPr>
          <w:rtl/>
        </w:rPr>
        <w:t xml:space="preserve"> من المدارس الثانوية إمكانية النفاذ إلى هذه التسهيلات (</w:t>
      </w:r>
      <w:hyperlink w:anchor="الشكل8" w:history="1">
        <w:r w:rsidRPr="00EA6D94">
          <w:rPr>
            <w:rStyle w:val="Hyperlink"/>
            <w:noProof w:val="0"/>
            <w:rtl/>
            <w:lang w:val="en-US" w:eastAsia="zh-CN"/>
          </w:rPr>
          <w:t>انظر</w:t>
        </w:r>
        <w:r w:rsidR="00E7338F" w:rsidRPr="00EA6D94">
          <w:rPr>
            <w:rStyle w:val="Hyperlink"/>
            <w:rFonts w:hint="cs"/>
            <w:noProof w:val="0"/>
            <w:rtl/>
            <w:lang w:val="en-US" w:eastAsia="zh-CN"/>
          </w:rPr>
          <w:t> </w:t>
        </w:r>
        <w:r w:rsidRPr="00EA6D94">
          <w:rPr>
            <w:rStyle w:val="Hyperlink"/>
            <w:noProof w:val="0"/>
            <w:rtl/>
            <w:lang w:val="en-US" w:eastAsia="zh-CN"/>
          </w:rPr>
          <w:t>الشكل 8</w:t>
        </w:r>
      </w:hyperlink>
      <w:r w:rsidRPr="00EA6D94">
        <w:rPr>
          <w:rtl/>
        </w:rPr>
        <w:t>).</w:t>
      </w:r>
    </w:p>
    <w:p w14:paraId="059C90E2" w14:textId="5D26C748" w:rsidR="00621959" w:rsidRPr="00EA6D94" w:rsidRDefault="00621959" w:rsidP="008A5A1B">
      <w:pPr>
        <w:rPr>
          <w:spacing w:val="-2"/>
          <w:lang w:val="en-GB" w:bidi="ar-EG"/>
        </w:rPr>
      </w:pPr>
      <w:r w:rsidRPr="00EA6D94">
        <w:rPr>
          <w:spacing w:val="-2"/>
          <w:rtl/>
        </w:rPr>
        <w:t xml:space="preserve">ولا تسمح البيانات </w:t>
      </w:r>
      <w:r w:rsidRPr="00EA6D94">
        <w:rPr>
          <w:rFonts w:hint="cs"/>
          <w:spacing w:val="-2"/>
          <w:rtl/>
        </w:rPr>
        <w:t>القائمة</w:t>
      </w:r>
      <w:r w:rsidRPr="00EA6D94">
        <w:rPr>
          <w:spacing w:val="-2"/>
          <w:rtl/>
        </w:rPr>
        <w:t xml:space="preserve"> باستخلاص استنتاجات بشأن تطور المتوسطات العالمية. وقد يكون توفير التوصيلية في المدارس هدفاً مناسباً. غير أن المؤشر الحالي غير مناسب. فال</w:t>
      </w:r>
      <w:r w:rsidR="00147DCC">
        <w:rPr>
          <w:rFonts w:hint="cs"/>
          <w:spacing w:val="-2"/>
          <w:rtl/>
        </w:rPr>
        <w:t>عت</w:t>
      </w:r>
      <w:r w:rsidRPr="00EA6D94">
        <w:rPr>
          <w:spacing w:val="-2"/>
          <w:rtl/>
        </w:rPr>
        <w:t>بة البالغة 500 ميغابايت شهرياً أقل بكثير مما هو مطلوب للاستعمال لأغراض تعليمية. وبالإضافة إلى ذلك، لا يعد الاتحاد المصدر الرئيسي للبيانات لهذا المؤشر. وتقوم منظمة الأمم المتحدة للتربية والعلم والثقافة (اليونسكو) بجمع البيانات عن المدارس التي لديها إمكانية النفاذ إلى الإنترنت.</w:t>
      </w:r>
    </w:p>
    <w:p w14:paraId="626EDDE7" w14:textId="39DC5AF2" w:rsidR="00621959" w:rsidRPr="00EA6D94" w:rsidRDefault="00147DCC" w:rsidP="00E7338F">
      <w:pPr>
        <w:pStyle w:val="Headingb"/>
        <w:rPr>
          <w:lang w:val="en-GB" w:bidi="ar-EG"/>
        </w:rPr>
      </w:pPr>
      <w:r>
        <w:rPr>
          <w:rFonts w:hint="cs"/>
          <w:rtl/>
        </w:rPr>
        <w:t>المقصد</w:t>
      </w:r>
      <w:r w:rsidR="00621959" w:rsidRPr="00EA6D94">
        <w:rPr>
          <w:rtl/>
        </w:rPr>
        <w:t xml:space="preserve"> 6.1: تحسين تأهب البلدان في مجال الأمن السيبراني</w:t>
      </w:r>
    </w:p>
    <w:p w14:paraId="5243E2C6" w14:textId="77777777" w:rsidR="00621959" w:rsidRPr="00EA6D94" w:rsidRDefault="00621959" w:rsidP="008A5A1B">
      <w:pPr>
        <w:rPr>
          <w:lang w:val="en-GB" w:bidi="ar-EG"/>
        </w:rPr>
      </w:pPr>
      <w:r w:rsidRPr="00EA6D94">
        <w:rPr>
          <w:rtl/>
        </w:rPr>
        <w:t xml:space="preserve">لوحظ تقدم </w:t>
      </w:r>
      <w:r w:rsidRPr="00EA6D94">
        <w:rPr>
          <w:rFonts w:hint="cs"/>
          <w:rtl/>
        </w:rPr>
        <w:t>كبير</w:t>
      </w:r>
      <w:r w:rsidRPr="00EA6D94">
        <w:rPr>
          <w:rtl/>
        </w:rPr>
        <w:t xml:space="preserve"> فيما يتعلق بتعزيز التأهب في مجال الأمن السيبراني بين البلدان. فبحلول عام 2024، أنشأ 132 بلداً أفرقة استجابة للحوادث الحاسوبية (</w:t>
      </w:r>
      <w:r w:rsidRPr="00EA6D94">
        <w:rPr>
          <w:lang w:val="en-GB" w:bidi="ar-EG"/>
        </w:rPr>
        <w:t>CIRT</w:t>
      </w:r>
      <w:r w:rsidRPr="00EA6D94">
        <w:rPr>
          <w:rtl/>
        </w:rPr>
        <w:t>)، بزيادة عن 109 بلدان في عام 2020. وبالإضافة إلى ذلك، نفذ 127 بلداً استراتيجيات وخطط عمل وطنية بشأن الأمن السيبراني، بزيادة عن 107 بلدان في عام 2020.</w:t>
      </w:r>
    </w:p>
    <w:p w14:paraId="115FA970" w14:textId="02618B18" w:rsidR="00621959" w:rsidRPr="00EA6D94" w:rsidRDefault="00147DCC" w:rsidP="00E7338F">
      <w:pPr>
        <w:pStyle w:val="Headingb"/>
        <w:rPr>
          <w:lang w:val="en-GB" w:bidi="ar-EG"/>
        </w:rPr>
      </w:pPr>
      <w:r>
        <w:rPr>
          <w:rFonts w:hint="cs"/>
          <w:rtl/>
        </w:rPr>
        <w:t>المقصد</w:t>
      </w:r>
      <w:r w:rsidRPr="00EA6D94">
        <w:rPr>
          <w:rtl/>
        </w:rPr>
        <w:t xml:space="preserve"> </w:t>
      </w:r>
      <w:r w:rsidR="00621959" w:rsidRPr="00EA6D94">
        <w:rPr>
          <w:rtl/>
        </w:rPr>
        <w:t>7.1: النفاذ الشامل لجميع</w:t>
      </w:r>
      <w:r w:rsidR="00621959" w:rsidRPr="00EA6D94">
        <w:rPr>
          <w:rFonts w:hint="cs"/>
          <w:rtl/>
        </w:rPr>
        <w:t xml:space="preserve"> الأفراد</w:t>
      </w:r>
      <w:r w:rsidR="00621959" w:rsidRPr="00EA6D94">
        <w:rPr>
          <w:rtl/>
        </w:rPr>
        <w:t xml:space="preserve"> إلى الإنترنت</w:t>
      </w:r>
    </w:p>
    <w:p w14:paraId="1DF3E98F" w14:textId="51E5CE9F" w:rsidR="00621959" w:rsidRPr="00621959" w:rsidRDefault="00621959" w:rsidP="008A5A1B">
      <w:pPr>
        <w:rPr>
          <w:lang w:val="en-GB" w:bidi="ar-EG"/>
        </w:rPr>
      </w:pPr>
      <w:r w:rsidRPr="00EA6D94">
        <w:rPr>
          <w:rtl/>
        </w:rPr>
        <w:t>في عام 2025، بلغت نسبة مستعملي الإنترنت في العالم 74</w:t>
      </w:r>
      <w:r w:rsidR="00E7338F" w:rsidRPr="00EA6D94">
        <w:rPr>
          <w:rtl/>
        </w:rPr>
        <w:t xml:space="preserve"> في </w:t>
      </w:r>
      <w:proofErr w:type="gramStart"/>
      <w:r w:rsidR="00E7338F" w:rsidRPr="00EA6D94">
        <w:rPr>
          <w:rtl/>
        </w:rPr>
        <w:t>المائة</w:t>
      </w:r>
      <w:proofErr w:type="gramEnd"/>
      <w:r w:rsidRPr="00EA6D94">
        <w:rPr>
          <w:rtl/>
        </w:rPr>
        <w:t>، بالمقارنة مع 71</w:t>
      </w:r>
      <w:r w:rsidR="00E7338F" w:rsidRPr="00EA6D94">
        <w:rPr>
          <w:rtl/>
        </w:rPr>
        <w:t xml:space="preserve"> في </w:t>
      </w:r>
      <w:proofErr w:type="gramStart"/>
      <w:r w:rsidR="00E7338F" w:rsidRPr="00EA6D94">
        <w:rPr>
          <w:rtl/>
        </w:rPr>
        <w:t>المائة</w:t>
      </w:r>
      <w:proofErr w:type="gramEnd"/>
      <w:r w:rsidRPr="00EA6D94">
        <w:rPr>
          <w:rtl/>
        </w:rPr>
        <w:t xml:space="preserve"> في العام السابق. وبالأرقام المطلقة، يعادل هذا 6 مليارات شخص، ارتفاعاً من 5,4 مليار شخص في عام 2022، وهو ما يمثل زيادة قدرها 13</w:t>
      </w:r>
      <w:r w:rsidR="00E7338F" w:rsidRPr="00EA6D94">
        <w:rPr>
          <w:rtl/>
        </w:rPr>
        <w:t xml:space="preserve"> في</w:t>
      </w:r>
      <w:r w:rsidR="00E7338F" w:rsidRPr="00EA6D94">
        <w:rPr>
          <w:rFonts w:hint="eastAsia"/>
          <w:rtl/>
          <w:lang w:bidi="ar-EG"/>
        </w:rPr>
        <w:t> </w:t>
      </w:r>
      <w:proofErr w:type="gramStart"/>
      <w:r w:rsidR="00E7338F" w:rsidRPr="00EA6D94">
        <w:rPr>
          <w:rtl/>
        </w:rPr>
        <w:t>المائة</w:t>
      </w:r>
      <w:proofErr w:type="gramEnd"/>
      <w:r w:rsidRPr="00EA6D94">
        <w:rPr>
          <w:rtl/>
        </w:rPr>
        <w:t xml:space="preserve"> خلال تلك الفترة (</w:t>
      </w:r>
      <w:hyperlink w:anchor="الشكل9" w:history="1">
        <w:r w:rsidRPr="00EA6D94">
          <w:rPr>
            <w:rStyle w:val="Hyperlink"/>
            <w:noProof w:val="0"/>
            <w:rtl/>
            <w:lang w:val="en-US" w:eastAsia="zh-CN"/>
          </w:rPr>
          <w:t>انظر الشكل 9</w:t>
        </w:r>
      </w:hyperlink>
      <w:r w:rsidRPr="00EA6D94">
        <w:rPr>
          <w:rtl/>
        </w:rPr>
        <w:t xml:space="preserve">). وفي حين يستمر التقدم نحو توفير توصيلية شاملة، فإن أكثر من ربع سكان العالم لا يزالون غير موصولين </w:t>
      </w:r>
      <w:r w:rsidRPr="00EA6D94">
        <w:rPr>
          <w:rFonts w:hint="cs"/>
          <w:rtl/>
        </w:rPr>
        <w:t>بالإنترنت</w:t>
      </w:r>
      <w:r w:rsidRPr="00EA6D94">
        <w:rPr>
          <w:rtl/>
        </w:rPr>
        <w:t>.</w:t>
      </w:r>
    </w:p>
    <w:p w14:paraId="3153CB72" w14:textId="4C6F1ADD" w:rsidR="00621959" w:rsidRPr="00621959" w:rsidRDefault="00621959" w:rsidP="00E7338F">
      <w:pPr>
        <w:pStyle w:val="Figuretitle"/>
        <w:rPr>
          <w:lang w:val="en-GB" w:bidi="ar-EG"/>
        </w:rPr>
      </w:pPr>
      <w:r w:rsidRPr="00621959">
        <w:rPr>
          <w:rtl/>
        </w:rPr>
        <w:t>الأفراد الذين يستخدمون الإنترنت</w:t>
      </w:r>
    </w:p>
    <w:p w14:paraId="76B0AC9A" w14:textId="46C8A329" w:rsidR="00621959" w:rsidRPr="00621959" w:rsidRDefault="00CE126E" w:rsidP="00E7338F">
      <w:pPr>
        <w:pStyle w:val="Figure"/>
        <w:bidi/>
        <w:rPr>
          <w:rFonts w:eastAsia="MS Mincho"/>
          <w:lang w:bidi="ar-EG"/>
        </w:rPr>
      </w:pPr>
      <w:r>
        <w:rPr>
          <w:rFonts w:eastAsia="MS Mincho"/>
          <w:noProof/>
          <w:lang w:bidi="ar-EG"/>
        </w:rPr>
        <w:drawing>
          <wp:inline distT="0" distB="0" distL="0" distR="0" wp14:anchorId="67262C45" wp14:editId="36E69400">
            <wp:extent cx="5040000" cy="22932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40000" cy="2293200"/>
                    </a:xfrm>
                    <a:prstGeom prst="rect">
                      <a:avLst/>
                    </a:prstGeom>
                    <a:noFill/>
                  </pic:spPr>
                </pic:pic>
              </a:graphicData>
            </a:graphic>
          </wp:inline>
        </w:drawing>
      </w:r>
    </w:p>
    <w:p w14:paraId="72DA8821" w14:textId="00139ADF" w:rsidR="00621959" w:rsidRPr="00621959" w:rsidRDefault="00621959" w:rsidP="00EA6D94">
      <w:pPr>
        <w:pStyle w:val="Figurelegend"/>
        <w:rPr>
          <w:lang w:val="en-GB"/>
        </w:rPr>
      </w:pPr>
      <w:bookmarkStart w:id="42" w:name="الشكل9"/>
      <w:bookmarkEnd w:id="42"/>
      <w:r w:rsidRPr="00E7338F">
        <w:rPr>
          <w:color w:val="1F497D"/>
          <w:rtl/>
        </w:rPr>
        <w:t>الشكل 9. الأفراد الذين يستخدمون الإنترنت. سلسلة حقائق وأرقام الاتحاد لعام 2025 (الصفحة 1).</w:t>
      </w:r>
      <w:r w:rsidRPr="00621959">
        <w:rPr>
          <w:rtl/>
        </w:rPr>
        <w:t xml:space="preserve"> </w:t>
      </w:r>
      <w:hyperlink r:id="rId99" w:anchor="chart-1" w:history="1">
        <w:r w:rsidRPr="00E7338F">
          <w:rPr>
            <w:rStyle w:val="Hyperlink"/>
            <w:noProof w:val="0"/>
            <w:rtl/>
            <w:lang w:val="en-US" w:eastAsia="zh-CN" w:bidi="ar-SA"/>
          </w:rPr>
          <w:t>رسم بياني تفاعلي</w:t>
        </w:r>
      </w:hyperlink>
      <w:r w:rsidRPr="00E7338F">
        <w:rPr>
          <w:rFonts w:hint="cs"/>
          <w:color w:val="7F7F7F"/>
          <w:rtl/>
        </w:rPr>
        <w:t>.</w:t>
      </w:r>
    </w:p>
    <w:p w14:paraId="44A54150" w14:textId="353481C2" w:rsidR="00621959" w:rsidRPr="00621959" w:rsidRDefault="00621959" w:rsidP="008A5A1B">
      <w:pPr>
        <w:rPr>
          <w:lang w:val="en-GB" w:bidi="ar-EG"/>
        </w:rPr>
      </w:pPr>
      <w:r w:rsidRPr="00621959">
        <w:rPr>
          <w:rtl/>
        </w:rPr>
        <w:t>ويرتبط استعمال الإنترنت ارتباطاً وثيقاً بمستويات التنمية. فالبلدان ذات الدخل المرتفع تقترب من تحقيق الاستعمال الشامل للإنترنت، حيث يستخدمها 94</w:t>
      </w:r>
      <w:r w:rsidR="00E7338F">
        <w:rPr>
          <w:rtl/>
        </w:rPr>
        <w:t xml:space="preserve"> في </w:t>
      </w:r>
      <w:proofErr w:type="gramStart"/>
      <w:r w:rsidR="00E7338F">
        <w:rPr>
          <w:rtl/>
        </w:rPr>
        <w:t>المائة</w:t>
      </w:r>
      <w:proofErr w:type="gramEnd"/>
      <w:r w:rsidRPr="00621959">
        <w:rPr>
          <w:rtl/>
        </w:rPr>
        <w:t xml:space="preserve"> من السكان. وفي المقابل، لا تتجاوز نسبة مستعملي الإنترنت في البلدان ذات الدخل المنخفض 23</w:t>
      </w:r>
      <w:r w:rsidR="00E7338F">
        <w:rPr>
          <w:rtl/>
        </w:rPr>
        <w:t xml:space="preserve"> في </w:t>
      </w:r>
      <w:proofErr w:type="gramStart"/>
      <w:r w:rsidR="00E7338F">
        <w:rPr>
          <w:rtl/>
        </w:rPr>
        <w:t>المائة</w:t>
      </w:r>
      <w:proofErr w:type="gramEnd"/>
      <w:r w:rsidRPr="00621959">
        <w:rPr>
          <w:rtl/>
        </w:rPr>
        <w:t>.</w:t>
      </w:r>
    </w:p>
    <w:p w14:paraId="12C7867D" w14:textId="6C56E6AC" w:rsidR="00621959" w:rsidRPr="00F92FDB" w:rsidRDefault="00621959" w:rsidP="008A5A1B">
      <w:pPr>
        <w:rPr>
          <w:spacing w:val="-4"/>
          <w:lang w:val="en-GB" w:bidi="ar-EG"/>
        </w:rPr>
      </w:pPr>
      <w:r w:rsidRPr="00F92FDB">
        <w:rPr>
          <w:spacing w:val="-4"/>
          <w:rtl/>
        </w:rPr>
        <w:t>وفي بلدان كومنولث البلدان المستقلة</w:t>
      </w:r>
      <w:r w:rsidR="00F92FDB" w:rsidRPr="00F92FDB">
        <w:rPr>
          <w:rFonts w:hint="cs"/>
          <w:spacing w:val="-4"/>
          <w:rtl/>
        </w:rPr>
        <w:t xml:space="preserve"> </w:t>
      </w:r>
      <w:r w:rsidR="00F92FDB" w:rsidRPr="00F92FDB">
        <w:rPr>
          <w:spacing w:val="-4"/>
        </w:rPr>
        <w:t>(CIS)</w:t>
      </w:r>
      <w:r w:rsidRPr="00F92FDB">
        <w:rPr>
          <w:spacing w:val="-4"/>
          <w:rtl/>
        </w:rPr>
        <w:t xml:space="preserve"> وأوروبا </w:t>
      </w:r>
      <w:proofErr w:type="spellStart"/>
      <w:r w:rsidRPr="00F92FDB">
        <w:rPr>
          <w:spacing w:val="-4"/>
          <w:rtl/>
        </w:rPr>
        <w:t>والأمريكتين</w:t>
      </w:r>
      <w:proofErr w:type="spellEnd"/>
      <w:r w:rsidRPr="00F92FDB">
        <w:rPr>
          <w:spacing w:val="-4"/>
          <w:rtl/>
        </w:rPr>
        <w:t>، تتراوح نسبة مستعملي الإنترنت بين 88</w:t>
      </w:r>
      <w:r w:rsidR="00E7338F" w:rsidRPr="00F92FDB">
        <w:rPr>
          <w:spacing w:val="-4"/>
          <w:rtl/>
        </w:rPr>
        <w:t xml:space="preserve"> في </w:t>
      </w:r>
      <w:proofErr w:type="gramStart"/>
      <w:r w:rsidR="00E7338F" w:rsidRPr="00F92FDB">
        <w:rPr>
          <w:spacing w:val="-4"/>
          <w:rtl/>
        </w:rPr>
        <w:t>المائة</w:t>
      </w:r>
      <w:proofErr w:type="gramEnd"/>
      <w:r w:rsidRPr="00F92FDB">
        <w:rPr>
          <w:spacing w:val="-4"/>
          <w:rtl/>
        </w:rPr>
        <w:t xml:space="preserve"> و93</w:t>
      </w:r>
      <w:r w:rsidR="00E7338F" w:rsidRPr="00F92FDB">
        <w:rPr>
          <w:spacing w:val="-4"/>
          <w:rtl/>
        </w:rPr>
        <w:t xml:space="preserve"> في</w:t>
      </w:r>
      <w:r w:rsidR="00F92FDB">
        <w:rPr>
          <w:spacing w:val="-4"/>
          <w:lang w:bidi="ar-EG"/>
        </w:rPr>
        <w:t> </w:t>
      </w:r>
      <w:proofErr w:type="gramStart"/>
      <w:r w:rsidR="00E7338F" w:rsidRPr="00F92FDB">
        <w:rPr>
          <w:spacing w:val="-4"/>
          <w:rtl/>
        </w:rPr>
        <w:t>المائة</w:t>
      </w:r>
      <w:proofErr w:type="gramEnd"/>
      <w:r w:rsidRPr="00F92FDB">
        <w:rPr>
          <w:spacing w:val="-4"/>
          <w:rtl/>
        </w:rPr>
        <w:t>. وفي منطقة آسيا والمحيط الهادئ والدول العربية، بلغت نسبة استعمال الإنترنت 77</w:t>
      </w:r>
      <w:r w:rsidR="00E7338F" w:rsidRPr="00F92FDB">
        <w:rPr>
          <w:spacing w:val="-4"/>
          <w:rtl/>
        </w:rPr>
        <w:t xml:space="preserve"> في </w:t>
      </w:r>
      <w:proofErr w:type="gramStart"/>
      <w:r w:rsidR="00E7338F" w:rsidRPr="00F92FDB">
        <w:rPr>
          <w:spacing w:val="-4"/>
          <w:rtl/>
        </w:rPr>
        <w:t>المائة</w:t>
      </w:r>
      <w:proofErr w:type="gramEnd"/>
      <w:r w:rsidRPr="00F92FDB">
        <w:rPr>
          <w:spacing w:val="-4"/>
          <w:rtl/>
        </w:rPr>
        <w:t xml:space="preserve"> و70</w:t>
      </w:r>
      <w:r w:rsidR="00E7338F" w:rsidRPr="00F92FDB">
        <w:rPr>
          <w:spacing w:val="-4"/>
          <w:rtl/>
        </w:rPr>
        <w:t xml:space="preserve"> في </w:t>
      </w:r>
      <w:proofErr w:type="gramStart"/>
      <w:r w:rsidR="00E7338F" w:rsidRPr="00F92FDB">
        <w:rPr>
          <w:spacing w:val="-4"/>
          <w:rtl/>
        </w:rPr>
        <w:t>المائة</w:t>
      </w:r>
      <w:proofErr w:type="gramEnd"/>
      <w:r w:rsidRPr="00F92FDB">
        <w:rPr>
          <w:spacing w:val="-4"/>
          <w:rtl/>
        </w:rPr>
        <w:t xml:space="preserve"> على التوالي، وهو ما يتماشى مع المتوسط ​​العالمي. وفي المقابل، لم تتجاوز نسبة استعمال الإنترنت في </w:t>
      </w:r>
      <w:r w:rsidRPr="00F92FDB">
        <w:rPr>
          <w:rFonts w:hint="cs"/>
          <w:spacing w:val="-4"/>
          <w:rtl/>
        </w:rPr>
        <w:t xml:space="preserve">منطقة </w:t>
      </w:r>
      <w:r w:rsidRPr="00F92FDB">
        <w:rPr>
          <w:spacing w:val="-4"/>
          <w:rtl/>
        </w:rPr>
        <w:t>إفريقيا 36</w:t>
      </w:r>
      <w:r w:rsidR="00E7338F" w:rsidRPr="00F92FDB">
        <w:rPr>
          <w:spacing w:val="-4"/>
          <w:rtl/>
        </w:rPr>
        <w:t xml:space="preserve"> في </w:t>
      </w:r>
      <w:proofErr w:type="gramStart"/>
      <w:r w:rsidR="00E7338F" w:rsidRPr="00F92FDB">
        <w:rPr>
          <w:spacing w:val="-4"/>
          <w:rtl/>
        </w:rPr>
        <w:t>المائة</w:t>
      </w:r>
      <w:proofErr w:type="gramEnd"/>
      <w:r w:rsidRPr="00F92FDB">
        <w:rPr>
          <w:spacing w:val="-4"/>
          <w:rtl/>
        </w:rPr>
        <w:t>.</w:t>
      </w:r>
    </w:p>
    <w:p w14:paraId="0B7F1685" w14:textId="63FA9EB9" w:rsidR="00621959" w:rsidRPr="00621959" w:rsidRDefault="00621959" w:rsidP="008A5A1B">
      <w:pPr>
        <w:rPr>
          <w:lang w:val="en-GB" w:bidi="ar-EG"/>
        </w:rPr>
      </w:pPr>
      <w:r w:rsidRPr="00621959">
        <w:rPr>
          <w:rtl/>
        </w:rPr>
        <w:t>ولا تزال التوصيلية الشاملة هدفاً بعيد المنال في أقل البلدان نمواً والبلدان النامية غير الساحلية، حيث لا تتجاوز نسبة السكان الذين يستخدمون الإنترنت 34</w:t>
      </w:r>
      <w:r w:rsidR="00E7338F">
        <w:rPr>
          <w:rtl/>
        </w:rPr>
        <w:t xml:space="preserve"> في </w:t>
      </w:r>
      <w:proofErr w:type="gramStart"/>
      <w:r w:rsidR="00E7338F">
        <w:rPr>
          <w:rtl/>
        </w:rPr>
        <w:t>المائة</w:t>
      </w:r>
      <w:proofErr w:type="gramEnd"/>
      <w:r w:rsidRPr="00621959">
        <w:rPr>
          <w:rtl/>
        </w:rPr>
        <w:t xml:space="preserve"> و38</w:t>
      </w:r>
      <w:r w:rsidR="00E7338F">
        <w:rPr>
          <w:rtl/>
        </w:rPr>
        <w:t xml:space="preserve"> في </w:t>
      </w:r>
      <w:proofErr w:type="gramStart"/>
      <w:r w:rsidR="00E7338F">
        <w:rPr>
          <w:rtl/>
        </w:rPr>
        <w:t>المائة</w:t>
      </w:r>
      <w:proofErr w:type="gramEnd"/>
      <w:r w:rsidRPr="00621959">
        <w:rPr>
          <w:rtl/>
        </w:rPr>
        <w:t xml:space="preserve"> على التوالي. وفي حين بلغ متوسط ​معدل النمو السنوي في عام 2025 في هذه الاقتصادات 7,4 و5,5 في </w:t>
      </w:r>
      <w:proofErr w:type="gramStart"/>
      <w:r w:rsidRPr="00621959">
        <w:rPr>
          <w:rtl/>
        </w:rPr>
        <w:t>المائة</w:t>
      </w:r>
      <w:proofErr w:type="gramEnd"/>
      <w:r w:rsidRPr="00621959">
        <w:rPr>
          <w:rtl/>
        </w:rPr>
        <w:t xml:space="preserve"> على التوالي، وهو معدل أعلى من معدل معظم الفئات أو المناطق الأخرى، فإنه من غير المتوقع أن يتم سد فجوة التوصيلية في </w:t>
      </w:r>
      <w:r w:rsidRPr="00EA6D94">
        <w:rPr>
          <w:rtl/>
        </w:rPr>
        <w:t>أي وقت قريب (</w:t>
      </w:r>
      <w:hyperlink w:anchor="الشكل10" w:history="1">
        <w:r w:rsidRPr="00EA6D94">
          <w:rPr>
            <w:rStyle w:val="Hyperlink"/>
            <w:noProof w:val="0"/>
            <w:rtl/>
            <w:lang w:val="en-US" w:eastAsia="zh-CN"/>
          </w:rPr>
          <w:t>انظر الشكل 10</w:t>
        </w:r>
      </w:hyperlink>
      <w:r w:rsidRPr="00EA6D94">
        <w:rPr>
          <w:rtl/>
        </w:rPr>
        <w:t>).</w:t>
      </w:r>
    </w:p>
    <w:p w14:paraId="258FAD22" w14:textId="77777777" w:rsidR="00621959" w:rsidRPr="00621959" w:rsidRDefault="00621959" w:rsidP="002E6967">
      <w:pPr>
        <w:pStyle w:val="Figuretitle"/>
        <w:rPr>
          <w:lang w:val="en-GB" w:bidi="ar-EG"/>
        </w:rPr>
      </w:pPr>
      <w:bookmarkStart w:id="43" w:name="_Hlk221026295"/>
      <w:r w:rsidRPr="00621959">
        <w:rPr>
          <w:rtl/>
        </w:rPr>
        <w:t>نسبة الأفراد الذين يستخدمون الإنترنت حسب المنطقة والفئات الخاصة، 2022 و2025</w:t>
      </w:r>
    </w:p>
    <w:bookmarkEnd w:id="43"/>
    <w:p w14:paraId="13F1A967" w14:textId="13B14486" w:rsidR="00621959" w:rsidRPr="00621959" w:rsidRDefault="007E0D1D" w:rsidP="002E6967">
      <w:pPr>
        <w:pStyle w:val="Figure"/>
        <w:bidi/>
        <w:rPr>
          <w:rFonts w:eastAsia="MS Mincho"/>
          <w:rtl/>
        </w:rPr>
      </w:pPr>
      <w:r>
        <w:rPr>
          <w:rFonts w:eastAsia="MS Mincho"/>
          <w:noProof/>
        </w:rPr>
        <w:drawing>
          <wp:inline distT="0" distB="0" distL="0" distR="0" wp14:anchorId="61E62C49" wp14:editId="19667508">
            <wp:extent cx="5039360" cy="288417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41532" cy="2885413"/>
                    </a:xfrm>
                    <a:prstGeom prst="rect">
                      <a:avLst/>
                    </a:prstGeom>
                    <a:noFill/>
                  </pic:spPr>
                </pic:pic>
              </a:graphicData>
            </a:graphic>
          </wp:inline>
        </w:drawing>
      </w:r>
    </w:p>
    <w:p w14:paraId="1696301D" w14:textId="6C10AF84" w:rsidR="00621959" w:rsidRPr="00621959" w:rsidRDefault="00621959" w:rsidP="00EA6D94">
      <w:pPr>
        <w:pStyle w:val="Figurelegend"/>
        <w:rPr>
          <w:lang w:val="en-GB" w:bidi="ar-EG"/>
        </w:rPr>
      </w:pPr>
      <w:bookmarkStart w:id="44" w:name="الشكل10"/>
      <w:bookmarkEnd w:id="44"/>
      <w:r w:rsidRPr="002E6967">
        <w:rPr>
          <w:color w:val="1F497D"/>
          <w:rtl/>
        </w:rPr>
        <w:t>الشكل 10. النسبة المئوية للأفراد الذين يستخدمون الإنترنت حسب المنطقة والفئات الخاصة، 2022 و2025.</w:t>
      </w:r>
      <w:r w:rsidR="00241D22">
        <w:rPr>
          <w:color w:val="1F497D"/>
          <w:rtl/>
        </w:rPr>
        <w:br/>
      </w:r>
      <w:r w:rsidRPr="002E6967">
        <w:rPr>
          <w:color w:val="1F497D"/>
          <w:rtl/>
        </w:rPr>
        <w:t>سلسلة حقائق وأرقام الاتحاد لعام</w:t>
      </w:r>
      <w:r w:rsidR="00241D22">
        <w:rPr>
          <w:rFonts w:hint="cs"/>
          <w:color w:val="1F497D"/>
          <w:rtl/>
        </w:rPr>
        <w:t> </w:t>
      </w:r>
      <w:r w:rsidRPr="002E6967">
        <w:rPr>
          <w:color w:val="1F497D"/>
          <w:rtl/>
        </w:rPr>
        <w:t>2025 (الصفحة 3).</w:t>
      </w:r>
      <w:r w:rsidRPr="00621959">
        <w:rPr>
          <w:rtl/>
        </w:rPr>
        <w:t xml:space="preserve"> </w:t>
      </w:r>
      <w:hyperlink r:id="rId101" w:anchor="chart-2" w:history="1">
        <w:r w:rsidRPr="002E6967">
          <w:rPr>
            <w:rStyle w:val="Hyperlink"/>
            <w:noProof w:val="0"/>
            <w:rtl/>
            <w:lang w:val="en-US" w:eastAsia="zh-CN" w:bidi="ar-SA"/>
          </w:rPr>
          <w:t>رسم بياني تفاعلي</w:t>
        </w:r>
      </w:hyperlink>
      <w:r w:rsidRPr="002E6967">
        <w:rPr>
          <w:color w:val="7F7F7F"/>
          <w:rtl/>
        </w:rPr>
        <w:t>.</w:t>
      </w:r>
    </w:p>
    <w:p w14:paraId="1AC07D4A" w14:textId="450E7F83" w:rsidR="00621959" w:rsidRPr="002E6967" w:rsidRDefault="00621959" w:rsidP="002E6967">
      <w:pPr>
        <w:pStyle w:val="Heading3"/>
      </w:pPr>
      <w:bookmarkStart w:id="45" w:name="_2.2.3_التحول_الرقمي"/>
      <w:bookmarkStart w:id="46" w:name="_Toc197427033"/>
      <w:bookmarkStart w:id="47" w:name="_Toc215760884"/>
      <w:bookmarkStart w:id="48" w:name="_Toc224288802"/>
      <w:bookmarkStart w:id="49" w:name="_Toc227252576"/>
      <w:bookmarkEnd w:id="45"/>
      <w:r w:rsidRPr="002E6967">
        <w:rPr>
          <w:rtl/>
        </w:rPr>
        <w:t>2.2.3</w:t>
      </w:r>
      <w:r w:rsidRPr="002E6967">
        <w:rPr>
          <w:rtl/>
        </w:rPr>
        <w:tab/>
        <w:t>التحول الرقمي المستدام</w:t>
      </w:r>
      <w:bookmarkEnd w:id="46"/>
      <w:bookmarkEnd w:id="47"/>
      <w:bookmarkEnd w:id="48"/>
      <w:bookmarkEnd w:id="49"/>
    </w:p>
    <w:p w14:paraId="65932E90" w14:textId="77777777" w:rsidR="00621959" w:rsidRPr="00621959" w:rsidRDefault="00621959" w:rsidP="008A5A1B">
      <w:pPr>
        <w:rPr>
          <w:lang w:val="en-GB" w:bidi="ar-EG"/>
        </w:rPr>
      </w:pPr>
      <w:r w:rsidRPr="00621959">
        <w:rPr>
          <w:rtl/>
        </w:rPr>
        <w:t>يتناول هذا القسم الفرعي الأبعاد الرئيسية للتحول الرقمي المستدام، بما في ذلك فجوات الشمول الرقمي، والمهارات الرقمية، واستعمال الخدمات الرقمية، والتأهب في مجال الأمن السيبراني، والاستدامة البيئية.</w:t>
      </w:r>
    </w:p>
    <w:p w14:paraId="5A6E2A5F" w14:textId="216BC8C1" w:rsidR="00621959" w:rsidRPr="002E6967" w:rsidRDefault="00241D22" w:rsidP="002E6967">
      <w:pPr>
        <w:pStyle w:val="Headingb"/>
      </w:pPr>
      <w:r>
        <w:rPr>
          <w:rFonts w:hint="cs"/>
          <w:rtl/>
        </w:rPr>
        <w:t>المقصد</w:t>
      </w:r>
      <w:r w:rsidR="00621959" w:rsidRPr="002E6967">
        <w:rPr>
          <w:rtl/>
        </w:rPr>
        <w:t xml:space="preserve"> 1.2: </w:t>
      </w:r>
      <w:r w:rsidR="00621959" w:rsidRPr="002E6967">
        <w:rPr>
          <w:rFonts w:hint="cs"/>
          <w:rtl/>
        </w:rPr>
        <w:t xml:space="preserve">سد </w:t>
      </w:r>
      <w:r w:rsidR="00621959" w:rsidRPr="002E6967">
        <w:rPr>
          <w:rtl/>
        </w:rPr>
        <w:t>جميع الفجوات الرقمية (وخاصة الفجوات المتعلقة بنوع الجنس والعمر والمناطق الحضرية/الريفية)</w:t>
      </w:r>
    </w:p>
    <w:p w14:paraId="4F5C531B" w14:textId="676F2CAE" w:rsidR="00621959" w:rsidRPr="00621959" w:rsidRDefault="00621959" w:rsidP="008A5A1B">
      <w:pPr>
        <w:rPr>
          <w:lang w:val="en-GB" w:bidi="ar-EG"/>
        </w:rPr>
      </w:pPr>
      <w:r w:rsidRPr="00621959">
        <w:rPr>
          <w:rtl/>
        </w:rPr>
        <w:t xml:space="preserve">يبين هذا </w:t>
      </w:r>
      <w:r w:rsidR="00241D22">
        <w:rPr>
          <w:rFonts w:hint="cs"/>
          <w:rtl/>
        </w:rPr>
        <w:t>المقصد</w:t>
      </w:r>
      <w:r w:rsidRPr="00621959">
        <w:rPr>
          <w:rtl/>
        </w:rPr>
        <w:t xml:space="preserve"> تقدماً متفاوتاً </w:t>
      </w:r>
      <w:r w:rsidRPr="00621959">
        <w:rPr>
          <w:rFonts w:hint="cs"/>
          <w:rtl/>
        </w:rPr>
        <w:t>حسب</w:t>
      </w:r>
      <w:r w:rsidRPr="00621959">
        <w:rPr>
          <w:rtl/>
        </w:rPr>
        <w:t xml:space="preserve"> التصنيف، مثل نوع الجنس والعمر والموقع (ريفي وحضري). ويشير ذلك إلى أن التقدم في النفاذ الرقمي ليس متجانساً، مما يبرز الحاجة إلى استراتيجيات موجهة لسد فجوات محددة.</w:t>
      </w:r>
    </w:p>
    <w:p w14:paraId="23ED0F6C" w14:textId="77777777" w:rsidR="00621959" w:rsidRPr="00621959" w:rsidRDefault="00621959" w:rsidP="002E6967">
      <w:pPr>
        <w:pStyle w:val="Figuretitle"/>
        <w:rPr>
          <w:lang w:bidi="ar-EG"/>
        </w:rPr>
      </w:pPr>
      <w:r w:rsidRPr="00621959">
        <w:rPr>
          <w:rtl/>
        </w:rPr>
        <w:t>نسبة النساء والرجال الذين يستخدمون الإنترنت، 2025</w:t>
      </w:r>
    </w:p>
    <w:p w14:paraId="58756931" w14:textId="15C11723" w:rsidR="00621959" w:rsidRPr="00621959" w:rsidRDefault="000B66B5" w:rsidP="002E6967">
      <w:pPr>
        <w:pStyle w:val="Figure"/>
        <w:bidi/>
        <w:rPr>
          <w:rFonts w:eastAsia="MS Mincho"/>
          <w:lang w:bidi="ar-EG"/>
        </w:rPr>
      </w:pPr>
      <w:r>
        <w:rPr>
          <w:rFonts w:eastAsia="MS Mincho"/>
          <w:noProof/>
          <w:lang w:bidi="ar-EG"/>
        </w:rPr>
        <w:drawing>
          <wp:inline distT="0" distB="0" distL="0" distR="0" wp14:anchorId="632FA8F7" wp14:editId="3A0966FF">
            <wp:extent cx="5040000" cy="26316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040000" cy="2631600"/>
                    </a:xfrm>
                    <a:prstGeom prst="rect">
                      <a:avLst/>
                    </a:prstGeom>
                    <a:noFill/>
                  </pic:spPr>
                </pic:pic>
              </a:graphicData>
            </a:graphic>
          </wp:inline>
        </w:drawing>
      </w:r>
    </w:p>
    <w:p w14:paraId="2B51572A" w14:textId="11676C09" w:rsidR="00621959" w:rsidRPr="002E6967" w:rsidRDefault="00621959" w:rsidP="00EA6D94">
      <w:pPr>
        <w:pStyle w:val="Figurelegend"/>
        <w:rPr>
          <w:i w:val="0"/>
          <w:iCs w:val="0"/>
          <w:spacing w:val="-2"/>
          <w:lang w:val="en-GB" w:bidi="ar-EG"/>
        </w:rPr>
      </w:pPr>
      <w:bookmarkStart w:id="50" w:name="الشكل11"/>
      <w:bookmarkEnd w:id="50"/>
      <w:r w:rsidRPr="002E6967">
        <w:rPr>
          <w:color w:val="1F497D"/>
          <w:spacing w:val="-2"/>
          <w:rtl/>
        </w:rPr>
        <w:t>الشكل 11. النسبة المئوية للنساء والرجال الذين يستخدمون الإنترنت، 2025. سلسلة حقائق وأرقام الاتحاد لعام 2025 (الصفحة 5).</w:t>
      </w:r>
      <w:r w:rsidRPr="002E6967">
        <w:rPr>
          <w:color w:val="7F7F7F"/>
          <w:spacing w:val="-2"/>
          <w:rtl/>
        </w:rPr>
        <w:t xml:space="preserve"> </w:t>
      </w:r>
      <w:r w:rsidR="00241D22">
        <w:rPr>
          <w:color w:val="7F7F7F"/>
          <w:spacing w:val="-2"/>
          <w:rtl/>
        </w:rPr>
        <w:br/>
      </w:r>
      <w:hyperlink r:id="rId103" w:anchor="chart-1" w:history="1">
        <w:r w:rsidRPr="002E6967">
          <w:rPr>
            <w:rStyle w:val="Hyperlink"/>
            <w:noProof w:val="0"/>
            <w:spacing w:val="-2"/>
            <w:rtl/>
            <w:lang w:val="en-US" w:eastAsia="zh-CN" w:bidi="ar-SA"/>
          </w:rPr>
          <w:t>رسم بياني تفاعلي</w:t>
        </w:r>
      </w:hyperlink>
      <w:r w:rsidRPr="002E6967">
        <w:rPr>
          <w:rFonts w:hint="cs"/>
          <w:color w:val="7F7F7F"/>
          <w:spacing w:val="-2"/>
          <w:rtl/>
        </w:rPr>
        <w:t>.</w:t>
      </w:r>
    </w:p>
    <w:p w14:paraId="6A89C258" w14:textId="5FFE41A0" w:rsidR="00621959" w:rsidRPr="000B66B5" w:rsidRDefault="00621959" w:rsidP="008A5A1B">
      <w:pPr>
        <w:rPr>
          <w:spacing w:val="-2"/>
          <w:rtl/>
        </w:rPr>
      </w:pPr>
      <w:r w:rsidRPr="000B66B5">
        <w:rPr>
          <w:spacing w:val="-2"/>
          <w:rtl/>
        </w:rPr>
        <w:t xml:space="preserve">وعلى الصعيد العالمي، </w:t>
      </w:r>
      <w:r w:rsidRPr="000B66B5">
        <w:rPr>
          <w:rFonts w:hint="cs"/>
          <w:spacing w:val="-2"/>
          <w:rtl/>
        </w:rPr>
        <w:t>ي</w:t>
      </w:r>
      <w:r w:rsidRPr="000B66B5">
        <w:rPr>
          <w:spacing w:val="-2"/>
          <w:rtl/>
        </w:rPr>
        <w:t>ستخدم 77</w:t>
      </w:r>
      <w:r w:rsidR="002E6967" w:rsidRPr="000B66B5">
        <w:rPr>
          <w:spacing w:val="-2"/>
          <w:rtl/>
        </w:rPr>
        <w:t xml:space="preserve"> في </w:t>
      </w:r>
      <w:proofErr w:type="gramStart"/>
      <w:r w:rsidR="002E6967" w:rsidRPr="000B66B5">
        <w:rPr>
          <w:spacing w:val="-2"/>
          <w:rtl/>
        </w:rPr>
        <w:t>المائة</w:t>
      </w:r>
      <w:proofErr w:type="gramEnd"/>
      <w:r w:rsidRPr="000B66B5">
        <w:rPr>
          <w:spacing w:val="-2"/>
          <w:rtl/>
        </w:rPr>
        <w:t xml:space="preserve"> من الرجال الإنترنت، بالمقارنة مع 71</w:t>
      </w:r>
      <w:r w:rsidR="002E6967" w:rsidRPr="000B66B5">
        <w:rPr>
          <w:spacing w:val="-2"/>
          <w:rtl/>
        </w:rPr>
        <w:t xml:space="preserve"> في </w:t>
      </w:r>
      <w:proofErr w:type="gramStart"/>
      <w:r w:rsidR="002E6967" w:rsidRPr="000B66B5">
        <w:rPr>
          <w:spacing w:val="-2"/>
          <w:rtl/>
        </w:rPr>
        <w:t>المائة</w:t>
      </w:r>
      <w:proofErr w:type="gramEnd"/>
      <w:r w:rsidRPr="000B66B5">
        <w:rPr>
          <w:spacing w:val="-2"/>
          <w:rtl/>
        </w:rPr>
        <w:t xml:space="preserve"> من النساء (</w:t>
      </w:r>
      <w:hyperlink w:anchor="الشكل11" w:history="1">
        <w:r w:rsidRPr="000B66B5">
          <w:rPr>
            <w:rStyle w:val="Hyperlink"/>
            <w:noProof w:val="0"/>
            <w:spacing w:val="-2"/>
            <w:rtl/>
            <w:lang w:val="en-US" w:eastAsia="zh-CN"/>
          </w:rPr>
          <w:t>انظر الشكل 11</w:t>
        </w:r>
      </w:hyperlink>
      <w:r w:rsidRPr="000B66B5">
        <w:rPr>
          <w:spacing w:val="-2"/>
          <w:rtl/>
        </w:rPr>
        <w:t>). وارتفع معدل انتشار الإنترنت بين النساء والرجال بنسبة 10</w:t>
      </w:r>
      <w:r w:rsidR="002E6967" w:rsidRPr="000B66B5">
        <w:rPr>
          <w:spacing w:val="-2"/>
          <w:rtl/>
        </w:rPr>
        <w:t xml:space="preserve"> في </w:t>
      </w:r>
      <w:proofErr w:type="gramStart"/>
      <w:r w:rsidR="002E6967" w:rsidRPr="000B66B5">
        <w:rPr>
          <w:spacing w:val="-2"/>
          <w:rtl/>
        </w:rPr>
        <w:t>المائة</w:t>
      </w:r>
      <w:proofErr w:type="gramEnd"/>
      <w:r w:rsidRPr="000B66B5">
        <w:rPr>
          <w:spacing w:val="-2"/>
          <w:rtl/>
        </w:rPr>
        <w:t xml:space="preserve"> بين عامي 2022 و2025، ولكن لا يزال عدد الرجال المستعملين للإنترنت يزيد بنحو 280 مليوناً عن عدد النساء في عام 2025.</w:t>
      </w:r>
    </w:p>
    <w:p w14:paraId="41F18CE0" w14:textId="54DEC2FB" w:rsidR="00621959" w:rsidRPr="00621959" w:rsidRDefault="00621959" w:rsidP="008A5A1B">
      <w:pPr>
        <w:rPr>
          <w:lang w:val="en-GB" w:bidi="ar-EG"/>
        </w:rPr>
      </w:pPr>
      <w:r w:rsidRPr="00EA6D94">
        <w:rPr>
          <w:rtl/>
        </w:rPr>
        <w:t>ويعتبر أنه تم تحقيق التكافؤ بين الجنسي</w:t>
      </w:r>
      <w:r w:rsidRPr="00621959">
        <w:rPr>
          <w:rtl/>
        </w:rPr>
        <w:t>ن عندما تتراوح نسبة الإناث إلى الذكور، المعرَّفة بأنها النسبة المئوية للإناث مقسومة على النسبة المئوية للذكور، بين 0</w:t>
      </w:r>
      <w:r w:rsidRPr="00621959">
        <w:rPr>
          <w:rFonts w:hint="cs"/>
          <w:rtl/>
        </w:rPr>
        <w:t>,</w:t>
      </w:r>
      <w:r w:rsidRPr="00621959">
        <w:rPr>
          <w:rtl/>
        </w:rPr>
        <w:t>98 و1</w:t>
      </w:r>
      <w:r w:rsidRPr="00621959">
        <w:rPr>
          <w:rFonts w:hint="cs"/>
          <w:rtl/>
        </w:rPr>
        <w:t>,</w:t>
      </w:r>
      <w:r w:rsidRPr="00621959">
        <w:rPr>
          <w:rtl/>
        </w:rPr>
        <w:t>02. وكما هو الحال بالنسبة لاستعمال الإنترنت عموماً، يرتبط التكافؤ بين الجنسين ارتباطاً وثيقاً بمستوى التنمية. وبين عامي 2022 و2025، ظل مؤشر التكافؤ العالمي بين الجنسين عند</w:t>
      </w:r>
      <w:r w:rsidR="002E6967">
        <w:rPr>
          <w:rFonts w:hint="eastAsia"/>
          <w:rtl/>
          <w:lang w:bidi="ar-EG"/>
        </w:rPr>
        <w:t> </w:t>
      </w:r>
      <w:r w:rsidR="002E6967">
        <w:t>0,92</w:t>
      </w:r>
      <w:r w:rsidRPr="00621959">
        <w:rPr>
          <w:rtl/>
        </w:rPr>
        <w:t>، مما يشير إلى عدم إحراز تقدم نحو تحقيق التكافؤ العالمي بين الجنسين.</w:t>
      </w:r>
    </w:p>
    <w:p w14:paraId="6AB63E38" w14:textId="77777777" w:rsidR="00621959" w:rsidRPr="00621959" w:rsidRDefault="00621959" w:rsidP="008A5A1B">
      <w:pPr>
        <w:rPr>
          <w:lang w:val="en-GB" w:bidi="ar-EG"/>
        </w:rPr>
      </w:pPr>
      <w:r w:rsidRPr="00621959">
        <w:rPr>
          <w:rtl/>
        </w:rPr>
        <w:t>و</w:t>
      </w:r>
      <w:r w:rsidRPr="00621959">
        <w:rPr>
          <w:rFonts w:hint="cs"/>
          <w:rtl/>
        </w:rPr>
        <w:t>فيما</w:t>
      </w:r>
      <w:r w:rsidRPr="00621959">
        <w:rPr>
          <w:rtl/>
        </w:rPr>
        <w:t xml:space="preserve"> بين مناطق الاتحاد، تحقق التكافؤ بين الجنسين في </w:t>
      </w:r>
      <w:r w:rsidRPr="00621959">
        <w:rPr>
          <w:rFonts w:hint="cs"/>
          <w:rtl/>
        </w:rPr>
        <w:t xml:space="preserve">مناطق </w:t>
      </w:r>
      <w:r w:rsidRPr="00621959">
        <w:rPr>
          <w:rtl/>
        </w:rPr>
        <w:t xml:space="preserve">أوروبا، </w:t>
      </w:r>
      <w:proofErr w:type="spellStart"/>
      <w:r w:rsidRPr="00621959">
        <w:rPr>
          <w:rtl/>
        </w:rPr>
        <w:t>والأمريكتين</w:t>
      </w:r>
      <w:proofErr w:type="spellEnd"/>
      <w:r w:rsidRPr="00621959">
        <w:rPr>
          <w:rtl/>
        </w:rPr>
        <w:t xml:space="preserve">، وكومنولث البلدان المستقلة. أما في مجموعة الدول الجزرية الصغيرة النامية، فقد ظل مؤشر التكافؤ بين الجنسين عند 1 أو أعلى بين عامي 2022 و2025، مما يشير إلى تحقق التكافؤ بين الجنسين. وتعد الدول الجزرية الصغيرة النامية استثناء إيجابياً </w:t>
      </w:r>
      <w:r w:rsidRPr="00621959">
        <w:rPr>
          <w:rFonts w:hint="cs"/>
          <w:rtl/>
        </w:rPr>
        <w:t>كبير</w:t>
      </w:r>
      <w:r w:rsidRPr="00621959">
        <w:rPr>
          <w:rtl/>
        </w:rPr>
        <w:t>اً للارتباط القوي بين التكافؤ بين الجنسين واستعمال الإنترنت عموماً، إذ حققت التكافؤ بين الجنسين على الرغم من أن أقل من ثلثي السكان يستخدمون الإنترنت.</w:t>
      </w:r>
    </w:p>
    <w:bookmarkEnd w:id="7"/>
    <w:p w14:paraId="6C7DEA2B" w14:textId="77777777" w:rsidR="00621959" w:rsidRPr="00621959" w:rsidRDefault="00621959" w:rsidP="002E6967">
      <w:pPr>
        <w:pStyle w:val="Figuretitle"/>
        <w:rPr>
          <w:rtl/>
        </w:rPr>
      </w:pPr>
      <w:r w:rsidRPr="00621959">
        <w:rPr>
          <w:rtl/>
        </w:rPr>
        <w:t>النسبة المئوية للأفراد الذين يستخدمون الإنترنت حسب الفئة العمرية، 2025</w:t>
      </w:r>
    </w:p>
    <w:p w14:paraId="358D6F2E" w14:textId="7C4C42C0" w:rsidR="00621959" w:rsidRPr="00621959" w:rsidRDefault="007E0D1D" w:rsidP="002E6967">
      <w:pPr>
        <w:pStyle w:val="Figure"/>
        <w:bidi/>
        <w:rPr>
          <w:rFonts w:eastAsia="MS Mincho"/>
          <w:rtl/>
        </w:rPr>
      </w:pPr>
      <w:r>
        <w:rPr>
          <w:rFonts w:eastAsia="MS Mincho"/>
          <w:noProof/>
        </w:rPr>
        <w:drawing>
          <wp:inline distT="0" distB="0" distL="0" distR="0" wp14:anchorId="41380076" wp14:editId="42A62E55">
            <wp:extent cx="5040000" cy="2833200"/>
            <wp:effectExtent l="0" t="0" r="825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040000" cy="2833200"/>
                    </a:xfrm>
                    <a:prstGeom prst="rect">
                      <a:avLst/>
                    </a:prstGeom>
                    <a:noFill/>
                  </pic:spPr>
                </pic:pic>
              </a:graphicData>
            </a:graphic>
          </wp:inline>
        </w:drawing>
      </w:r>
    </w:p>
    <w:p w14:paraId="2365EEC8" w14:textId="77777777" w:rsidR="0089560B" w:rsidRDefault="00621959" w:rsidP="002E6967">
      <w:pPr>
        <w:pStyle w:val="Figurelegend"/>
        <w:rPr>
          <w:rtl/>
        </w:rPr>
      </w:pPr>
      <w:bookmarkStart w:id="51" w:name="الشكل12"/>
      <w:bookmarkEnd w:id="51"/>
      <w:r w:rsidRPr="002E6967">
        <w:rPr>
          <w:color w:val="1F497D"/>
          <w:rtl/>
        </w:rPr>
        <w:t>الشكل 12. النسبة المئوية للأفراد الذين يستخدمون الإنترنت حسب الفئة العمرية، 2025. سلسلة حقائق وأرقام الاتحاد لعام 2025 (الصفحة 6).</w:t>
      </w:r>
      <w:r w:rsidRPr="00621959">
        <w:rPr>
          <w:rtl/>
        </w:rPr>
        <w:t xml:space="preserve"> </w:t>
      </w:r>
      <w:r w:rsidRPr="002E6967">
        <w:rPr>
          <w:color w:val="7F7F7F"/>
          <w:rtl/>
        </w:rPr>
        <w:t xml:space="preserve">يشير مصطلح "الشباب" إلى الفئة العمرية من 15 إلى 24 عاماً. </w:t>
      </w:r>
      <w:hyperlink r:id="rId105" w:anchor="chart-1" w:history="1">
        <w:r w:rsidRPr="002E6967">
          <w:rPr>
            <w:rStyle w:val="Hyperlink"/>
            <w:noProof w:val="0"/>
            <w:rtl/>
            <w:lang w:val="en-US" w:eastAsia="zh-CN" w:bidi="ar-SA"/>
          </w:rPr>
          <w:t>رسم بياني تفاعلي</w:t>
        </w:r>
      </w:hyperlink>
      <w:r w:rsidRPr="002E6967">
        <w:rPr>
          <w:color w:val="7F7F7F"/>
          <w:rtl/>
        </w:rPr>
        <w:t>.</w:t>
      </w:r>
    </w:p>
    <w:p w14:paraId="56A1EA49" w14:textId="552830C5" w:rsidR="00621959" w:rsidRPr="00621959" w:rsidRDefault="00621959" w:rsidP="008A5A1B">
      <w:pPr>
        <w:rPr>
          <w:lang w:val="en-GB" w:bidi="ar-EG"/>
        </w:rPr>
      </w:pPr>
      <w:r w:rsidRPr="00621959">
        <w:rPr>
          <w:rFonts w:hint="cs"/>
          <w:rtl/>
        </w:rPr>
        <w:t xml:space="preserve">ومن حيث </w:t>
      </w:r>
      <w:r w:rsidRPr="00621959">
        <w:rPr>
          <w:rtl/>
        </w:rPr>
        <w:t xml:space="preserve">استعمال الإنترنت حسب </w:t>
      </w:r>
      <w:r w:rsidRPr="00621959">
        <w:rPr>
          <w:rFonts w:hint="cs"/>
          <w:rtl/>
        </w:rPr>
        <w:t>العمر</w:t>
      </w:r>
      <w:r w:rsidRPr="00621959">
        <w:rPr>
          <w:rtl/>
        </w:rPr>
        <w:t>، يستخدم 82</w:t>
      </w:r>
      <w:r w:rsidR="002E6967">
        <w:rPr>
          <w:rtl/>
        </w:rPr>
        <w:t xml:space="preserve"> في </w:t>
      </w:r>
      <w:proofErr w:type="gramStart"/>
      <w:r w:rsidR="002E6967">
        <w:rPr>
          <w:rtl/>
        </w:rPr>
        <w:t>المائة</w:t>
      </w:r>
      <w:proofErr w:type="gramEnd"/>
      <w:r w:rsidRPr="00621959">
        <w:rPr>
          <w:rtl/>
        </w:rPr>
        <w:t xml:space="preserve"> من الأشخاص الذين تتراوح أعمارهم بين 15 و24 عاماً الإنترنت على مستوى العالم، أي بزيادة قدرها عشر نقاط مئوية عن النسبة بين بقية </w:t>
      </w:r>
      <w:r w:rsidRPr="00EA6D94">
        <w:rPr>
          <w:rtl/>
        </w:rPr>
        <w:t>السكان (72</w:t>
      </w:r>
      <w:r w:rsidR="002E6967" w:rsidRPr="00EA6D94">
        <w:rPr>
          <w:rtl/>
        </w:rPr>
        <w:t xml:space="preserve"> في </w:t>
      </w:r>
      <w:proofErr w:type="gramStart"/>
      <w:r w:rsidR="002E6967" w:rsidRPr="00EA6D94">
        <w:rPr>
          <w:rtl/>
        </w:rPr>
        <w:t>المائة</w:t>
      </w:r>
      <w:proofErr w:type="gramEnd"/>
      <w:r w:rsidRPr="00EA6D94">
        <w:rPr>
          <w:rtl/>
        </w:rPr>
        <w:t>) (</w:t>
      </w:r>
      <w:hyperlink w:anchor="الشكل12" w:history="1">
        <w:r w:rsidRPr="00EA6D94">
          <w:rPr>
            <w:rStyle w:val="Hyperlink"/>
            <w:noProof w:val="0"/>
            <w:rtl/>
            <w:lang w:val="en-US" w:eastAsia="zh-CN"/>
          </w:rPr>
          <w:t>انظر الشكل 12</w:t>
        </w:r>
      </w:hyperlink>
      <w:r w:rsidRPr="00EA6D94">
        <w:rPr>
          <w:rtl/>
        </w:rPr>
        <w:t xml:space="preserve">). وقد تقلصت هذه الفجوة بين الأجيال، الملحوظة في جميع المناطق، </w:t>
      </w:r>
      <w:r w:rsidRPr="00EA6D94">
        <w:rPr>
          <w:rFonts w:hint="cs"/>
          <w:rtl/>
        </w:rPr>
        <w:t>ببطء</w:t>
      </w:r>
      <w:r w:rsidRPr="00EA6D94">
        <w:rPr>
          <w:rtl/>
        </w:rPr>
        <w:t xml:space="preserve"> خلال السنوات الأربع الماضية. وفي هذه الفئة العمرية، تحققت بالفعل نسبة "الشمولية"، أي عندما تصل نسبة الانتشار إلى</w:t>
      </w:r>
      <w:r w:rsidRPr="00621959">
        <w:rPr>
          <w:rtl/>
        </w:rPr>
        <w:t xml:space="preserve"> 95</w:t>
      </w:r>
      <w:r w:rsidR="002E6967">
        <w:rPr>
          <w:rtl/>
        </w:rPr>
        <w:t xml:space="preserve"> في </w:t>
      </w:r>
      <w:proofErr w:type="gramStart"/>
      <w:r w:rsidR="002E6967">
        <w:rPr>
          <w:rtl/>
        </w:rPr>
        <w:t>المائة</w:t>
      </w:r>
      <w:proofErr w:type="gramEnd"/>
      <w:r w:rsidRPr="00621959">
        <w:rPr>
          <w:rtl/>
        </w:rPr>
        <w:t xml:space="preserve"> على الأقل، في</w:t>
      </w:r>
      <w:r w:rsidR="002E6967">
        <w:rPr>
          <w:rFonts w:hint="eastAsia"/>
          <w:rtl/>
          <w:lang w:bidi="ar-EG"/>
        </w:rPr>
        <w:t> </w:t>
      </w:r>
      <w:r w:rsidRPr="00621959">
        <w:rPr>
          <w:rtl/>
        </w:rPr>
        <w:t xml:space="preserve">أوروبا وكومنولث البلدان المستقلة </w:t>
      </w:r>
      <w:proofErr w:type="spellStart"/>
      <w:r w:rsidRPr="00621959">
        <w:rPr>
          <w:rtl/>
        </w:rPr>
        <w:t>والأمريكتين</w:t>
      </w:r>
      <w:proofErr w:type="spellEnd"/>
      <w:r w:rsidRPr="00621959">
        <w:rPr>
          <w:rtl/>
        </w:rPr>
        <w:t>.</w:t>
      </w:r>
    </w:p>
    <w:p w14:paraId="1CA5C684" w14:textId="3ED0F6E8" w:rsidR="00621959" w:rsidRPr="00621959" w:rsidRDefault="00621959" w:rsidP="008A5A1B">
      <w:pPr>
        <w:rPr>
          <w:lang w:val="en-GB" w:bidi="ar-EG"/>
        </w:rPr>
      </w:pPr>
      <w:r w:rsidRPr="00621959">
        <w:rPr>
          <w:rFonts w:hint="cs"/>
          <w:rtl/>
        </w:rPr>
        <w:t>ومن حيث القيمة النسبية</w:t>
      </w:r>
      <w:r w:rsidRPr="00621959">
        <w:rPr>
          <w:rtl/>
        </w:rPr>
        <w:t>، تزيد احتمالية استعمال الإنترنت بين الشباب الذين تتراوح أعمارهم بين 15 و24 عاماً في</w:t>
      </w:r>
      <w:r w:rsidR="002E6967">
        <w:rPr>
          <w:rFonts w:hint="cs"/>
          <w:rtl/>
        </w:rPr>
        <w:t> </w:t>
      </w:r>
      <w:r w:rsidRPr="00621959">
        <w:rPr>
          <w:rtl/>
        </w:rPr>
        <w:t>البلدان ذات الدخل المنخفض بمقدار 1</w:t>
      </w:r>
      <w:r w:rsidRPr="00621959">
        <w:rPr>
          <w:rFonts w:hint="cs"/>
          <w:rtl/>
        </w:rPr>
        <w:t>,</w:t>
      </w:r>
      <w:r w:rsidRPr="00621959">
        <w:rPr>
          <w:rtl/>
        </w:rPr>
        <w:t>9 مرة مقارنة</w:t>
      </w:r>
      <w:r w:rsidR="002E6967">
        <w:rPr>
          <w:rFonts w:hint="cs"/>
          <w:rtl/>
        </w:rPr>
        <w:t>ً</w:t>
      </w:r>
      <w:r w:rsidRPr="00621959">
        <w:rPr>
          <w:rtl/>
        </w:rPr>
        <w:t xml:space="preserve"> ببقية السكان. وتعد هذه أكبر فجوة بين الأجيال في أي فئة دخل، حيث يزيد احتمال استعمال الإنترنت بين الشباب الذين تتراوح أعمارهم بين 15 و24 عاماً في البلدان ذات الدخل المرتفع بنسبة 5</w:t>
      </w:r>
      <w:r w:rsidR="002E6967">
        <w:rPr>
          <w:rtl/>
        </w:rPr>
        <w:t xml:space="preserve"> في </w:t>
      </w:r>
      <w:proofErr w:type="gramStart"/>
      <w:r w:rsidR="002E6967">
        <w:rPr>
          <w:rtl/>
        </w:rPr>
        <w:t>المائة</w:t>
      </w:r>
      <w:proofErr w:type="gramEnd"/>
      <w:r w:rsidRPr="00621959">
        <w:rPr>
          <w:rtl/>
        </w:rPr>
        <w:t xml:space="preserve"> فقط مقارنة ببقية السكان.</w:t>
      </w:r>
    </w:p>
    <w:p w14:paraId="1EBD812F" w14:textId="77777777" w:rsidR="00621959" w:rsidRPr="00621959" w:rsidRDefault="00621959" w:rsidP="002E6967">
      <w:pPr>
        <w:pStyle w:val="Figuretitle"/>
        <w:rPr>
          <w:lang w:bidi="ar-EG"/>
        </w:rPr>
      </w:pPr>
      <w:r w:rsidRPr="00621959">
        <w:rPr>
          <w:rFonts w:hint="cs"/>
          <w:rtl/>
        </w:rPr>
        <w:t>ال</w:t>
      </w:r>
      <w:r w:rsidRPr="00621959">
        <w:rPr>
          <w:rtl/>
        </w:rPr>
        <w:t xml:space="preserve">نسبة </w:t>
      </w:r>
      <w:r w:rsidRPr="00621959">
        <w:rPr>
          <w:rFonts w:hint="cs"/>
          <w:rtl/>
        </w:rPr>
        <w:t>المئوية ل</w:t>
      </w:r>
      <w:r w:rsidRPr="00621959">
        <w:rPr>
          <w:rtl/>
        </w:rPr>
        <w:t>لأفراد الذين يستخدمون الإنترنت في المناطق الحضرية والريفية، 2025</w:t>
      </w:r>
    </w:p>
    <w:p w14:paraId="6711A9A2" w14:textId="31DEAB44" w:rsidR="00621959" w:rsidRPr="00621959" w:rsidRDefault="00E259D5" w:rsidP="002E6967">
      <w:pPr>
        <w:pStyle w:val="Figure"/>
        <w:bidi/>
        <w:rPr>
          <w:rFonts w:eastAsia="SimSun"/>
          <w:rtl/>
        </w:rPr>
      </w:pPr>
      <w:r>
        <w:rPr>
          <w:rFonts w:eastAsia="SimSun"/>
          <w:noProof/>
        </w:rPr>
        <w:drawing>
          <wp:inline distT="0" distB="0" distL="0" distR="0" wp14:anchorId="7F53DA43" wp14:editId="15CEFF36">
            <wp:extent cx="5039360" cy="2434590"/>
            <wp:effectExtent l="0" t="0" r="889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41196" cy="2435477"/>
                    </a:xfrm>
                    <a:prstGeom prst="rect">
                      <a:avLst/>
                    </a:prstGeom>
                    <a:noFill/>
                  </pic:spPr>
                </pic:pic>
              </a:graphicData>
            </a:graphic>
          </wp:inline>
        </w:drawing>
      </w:r>
    </w:p>
    <w:p w14:paraId="6FE0611A" w14:textId="6EF767EE" w:rsidR="0089560B" w:rsidRDefault="00621959" w:rsidP="002E6967">
      <w:pPr>
        <w:pStyle w:val="Figurelegend"/>
        <w:rPr>
          <w:rtl/>
        </w:rPr>
      </w:pPr>
      <w:bookmarkStart w:id="52" w:name="الشكل13"/>
      <w:bookmarkEnd w:id="52"/>
      <w:r w:rsidRPr="002E6967">
        <w:rPr>
          <w:color w:val="1F497D"/>
          <w:rtl/>
        </w:rPr>
        <w:t>الشكل 13. النسبة المئوية للأفراد الذين يستخدمون الإنترنت في المناطق الحضرية والريفية، 2025.</w:t>
      </w:r>
      <w:r w:rsidR="00241D22">
        <w:rPr>
          <w:color w:val="1F497D"/>
          <w:rtl/>
        </w:rPr>
        <w:br/>
      </w:r>
      <w:r w:rsidRPr="002E6967">
        <w:rPr>
          <w:color w:val="1F497D"/>
          <w:rtl/>
        </w:rPr>
        <w:t>سلسلة حقائق وأرقام الاتحاد لعام 2025 (الصفحة 7).</w:t>
      </w:r>
      <w:r w:rsidRPr="00621959">
        <w:rPr>
          <w:rtl/>
        </w:rPr>
        <w:t xml:space="preserve"> </w:t>
      </w:r>
      <w:hyperlink r:id="rId107" w:anchor="chart-1" w:history="1">
        <w:r w:rsidRPr="002E6967">
          <w:rPr>
            <w:rStyle w:val="Hyperlink"/>
            <w:noProof w:val="0"/>
            <w:rtl/>
            <w:lang w:val="en-US" w:eastAsia="zh-CN" w:bidi="ar-SA"/>
          </w:rPr>
          <w:t>رسم بياني تفاعلي</w:t>
        </w:r>
      </w:hyperlink>
      <w:r w:rsidRPr="002E6967">
        <w:rPr>
          <w:color w:val="7F7F7F"/>
          <w:rtl/>
        </w:rPr>
        <w:t>.</w:t>
      </w:r>
    </w:p>
    <w:p w14:paraId="2988312F" w14:textId="1886365E" w:rsidR="00621959" w:rsidRPr="00621959" w:rsidRDefault="00621959" w:rsidP="008A5A1B">
      <w:pPr>
        <w:rPr>
          <w:lang w:val="en-GB" w:bidi="ar-EG"/>
        </w:rPr>
      </w:pPr>
      <w:r w:rsidRPr="00621959">
        <w:rPr>
          <w:rtl/>
        </w:rPr>
        <w:t xml:space="preserve">ولا تزال هناك تفاوتات كبيرة في استعمال الإنترنت بين المناطق الحضرية والريفية. فعلى الصعيد العالمي، </w:t>
      </w:r>
      <w:r w:rsidRPr="00621959">
        <w:rPr>
          <w:rFonts w:hint="cs"/>
          <w:rtl/>
        </w:rPr>
        <w:t>ا</w:t>
      </w:r>
      <w:r w:rsidRPr="00621959">
        <w:rPr>
          <w:rtl/>
        </w:rPr>
        <w:t>ستخدم 85</w:t>
      </w:r>
      <w:r w:rsidR="002E6967">
        <w:rPr>
          <w:rtl/>
        </w:rPr>
        <w:t xml:space="preserve"> في </w:t>
      </w:r>
      <w:proofErr w:type="gramStart"/>
      <w:r w:rsidR="002E6967">
        <w:rPr>
          <w:rtl/>
        </w:rPr>
        <w:t>المائة</w:t>
      </w:r>
      <w:proofErr w:type="gramEnd"/>
      <w:r w:rsidRPr="00621959">
        <w:rPr>
          <w:rtl/>
        </w:rPr>
        <w:t xml:space="preserve"> من سكان المناطق الحضرية الإنترنت بحلول عام 2025، مقارنة بأكثر من نصف السكان الريفيين بقليل (58</w:t>
      </w:r>
      <w:r w:rsidR="002E6967">
        <w:rPr>
          <w:rFonts w:hint="eastAsia"/>
          <w:rtl/>
          <w:lang w:bidi="ar-EG"/>
        </w:rPr>
        <w:t> </w:t>
      </w:r>
      <w:r w:rsidR="002E6967">
        <w:rPr>
          <w:rtl/>
        </w:rPr>
        <w:t>في</w:t>
      </w:r>
      <w:r w:rsidR="002E6967">
        <w:rPr>
          <w:rFonts w:hint="cs"/>
          <w:rtl/>
        </w:rPr>
        <w:t> </w:t>
      </w:r>
      <w:proofErr w:type="gramStart"/>
      <w:r w:rsidR="002E6967">
        <w:rPr>
          <w:rtl/>
        </w:rPr>
        <w:t>المائة</w:t>
      </w:r>
      <w:proofErr w:type="gramEnd"/>
      <w:r w:rsidRPr="00621959">
        <w:rPr>
          <w:rtl/>
        </w:rPr>
        <w:t>).</w:t>
      </w:r>
    </w:p>
    <w:p w14:paraId="68D3A4F3" w14:textId="77777777" w:rsidR="00621959" w:rsidRPr="00621959" w:rsidRDefault="00621959" w:rsidP="008A5A1B">
      <w:pPr>
        <w:rPr>
          <w:lang w:val="en-GB" w:bidi="ar-EG"/>
        </w:rPr>
      </w:pPr>
      <w:r w:rsidRPr="00621959">
        <w:rPr>
          <w:rtl/>
        </w:rPr>
        <w:t>وقد تقلصت الفجوة بين المناطق الحضرية والريفية، والمقاسة بالمعدل بين النسبتين، تدريجياً من 1,6 إلى 1,5 خلال السنوات الأربع الماضية. ومن الطبيعي أن تكون هذه الفجوة في أدنى مستوياتها في المناطق ذات الانتشار الواسع للإنترنت، بما في ذلك</w:t>
      </w:r>
      <w:r w:rsidRPr="00621959">
        <w:rPr>
          <w:rFonts w:hint="cs"/>
          <w:rtl/>
        </w:rPr>
        <w:t xml:space="preserve"> في</w:t>
      </w:r>
      <w:r w:rsidRPr="00621959">
        <w:rPr>
          <w:rtl/>
        </w:rPr>
        <w:t xml:space="preserve"> أوروبا، حيث </w:t>
      </w:r>
      <w:r w:rsidRPr="00621959">
        <w:rPr>
          <w:rFonts w:hint="cs"/>
          <w:rtl/>
        </w:rPr>
        <w:t>ي</w:t>
      </w:r>
      <w:r w:rsidRPr="00621959">
        <w:rPr>
          <w:rtl/>
        </w:rPr>
        <w:t xml:space="preserve">بلغ </w:t>
      </w:r>
      <w:r w:rsidRPr="00621959">
        <w:rPr>
          <w:rFonts w:hint="cs"/>
          <w:rtl/>
        </w:rPr>
        <w:t>المعدل</w:t>
      </w:r>
      <w:r w:rsidRPr="00621959">
        <w:rPr>
          <w:rtl/>
        </w:rPr>
        <w:t xml:space="preserve"> 1,1 فقط، بالمقارنة مع 2,6 في إفريقيا. وفي جميع المناطق، كان التقدم متواضعاً خلال السنوات الأربع الماضية.</w:t>
      </w:r>
    </w:p>
    <w:p w14:paraId="4FF90D16" w14:textId="736E124A" w:rsidR="0089560B" w:rsidRDefault="00621959" w:rsidP="008A5A1B">
      <w:pPr>
        <w:rPr>
          <w:rtl/>
        </w:rPr>
      </w:pPr>
      <w:r w:rsidRPr="00621959">
        <w:rPr>
          <w:rtl/>
        </w:rPr>
        <w:t>وفي البلدان ذات الدخل المرتفع، حيث يستخدم 94</w:t>
      </w:r>
      <w:r w:rsidR="002E6967">
        <w:rPr>
          <w:rtl/>
        </w:rPr>
        <w:t xml:space="preserve"> في </w:t>
      </w:r>
      <w:proofErr w:type="gramStart"/>
      <w:r w:rsidR="002E6967">
        <w:rPr>
          <w:rtl/>
        </w:rPr>
        <w:t>المائة</w:t>
      </w:r>
      <w:proofErr w:type="gramEnd"/>
      <w:r w:rsidRPr="00621959">
        <w:rPr>
          <w:rtl/>
        </w:rPr>
        <w:t xml:space="preserve"> من السكان الإنترنت، تم </w:t>
      </w:r>
      <w:r w:rsidRPr="00EA6D94">
        <w:rPr>
          <w:rtl/>
        </w:rPr>
        <w:t xml:space="preserve">سد الفجوة بين المناطق الحضرية والريفية بشكل كبير، بمتوسط ​​معدل قدره 1,1. وفي المقابل، في البلدان ذات الدخل المنخفض، لا تزال الفجوة بين المناطق الحضرية والريفية واسعة حيث إن واحداً فقط من كل سبعة من السكان الريفيين (14 في </w:t>
      </w:r>
      <w:proofErr w:type="gramStart"/>
      <w:r w:rsidRPr="00EA6D94">
        <w:rPr>
          <w:rtl/>
        </w:rPr>
        <w:t>المائة</w:t>
      </w:r>
      <w:proofErr w:type="gramEnd"/>
      <w:r w:rsidRPr="00EA6D94">
        <w:rPr>
          <w:rtl/>
        </w:rPr>
        <w:t>) متصل بالإنترنت، وهو ما يزيد قليلاً عن ثلث نسبة قاطني المناطق الحضرية (</w:t>
      </w:r>
      <w:hyperlink w:anchor="الشكل13" w:history="1">
        <w:r w:rsidRPr="00EA6D94">
          <w:rPr>
            <w:rStyle w:val="Hyperlink"/>
            <w:noProof w:val="0"/>
            <w:rtl/>
            <w:lang w:val="en-US" w:eastAsia="zh-CN"/>
          </w:rPr>
          <w:t>انظر الشكل 13</w:t>
        </w:r>
      </w:hyperlink>
      <w:r w:rsidRPr="00EA6D94">
        <w:rPr>
          <w:rtl/>
        </w:rPr>
        <w:t>).</w:t>
      </w:r>
    </w:p>
    <w:p w14:paraId="38657084" w14:textId="321A7116" w:rsidR="00621959" w:rsidRPr="00621959" w:rsidRDefault="00621959" w:rsidP="008A5A1B">
      <w:pPr>
        <w:rPr>
          <w:lang w:val="en-GB" w:bidi="ar-EG"/>
        </w:rPr>
      </w:pPr>
      <w:r w:rsidRPr="00621959">
        <w:rPr>
          <w:rtl/>
        </w:rPr>
        <w:t xml:space="preserve">وهذا </w:t>
      </w:r>
      <w:r w:rsidR="00241D22">
        <w:rPr>
          <w:rFonts w:hint="cs"/>
          <w:rtl/>
        </w:rPr>
        <w:t>المقصد</w:t>
      </w:r>
      <w:r w:rsidRPr="00621959">
        <w:rPr>
          <w:rtl/>
        </w:rPr>
        <w:t xml:space="preserve"> ذو صياغة واسعة النطاق ويتداخل مع </w:t>
      </w:r>
      <w:r w:rsidR="00241D22">
        <w:rPr>
          <w:rFonts w:hint="cs"/>
          <w:rtl/>
        </w:rPr>
        <w:t>المقصد</w:t>
      </w:r>
      <w:r w:rsidR="00241D22" w:rsidRPr="00621959">
        <w:rPr>
          <w:rFonts w:hint="cs"/>
          <w:rtl/>
        </w:rPr>
        <w:t xml:space="preserve"> </w:t>
      </w:r>
      <w:r w:rsidRPr="00621959">
        <w:rPr>
          <w:rFonts w:hint="cs"/>
          <w:rtl/>
        </w:rPr>
        <w:t>7.1</w:t>
      </w:r>
      <w:r w:rsidRPr="00621959">
        <w:rPr>
          <w:rtl/>
        </w:rPr>
        <w:t xml:space="preserve"> المتعلق بالاستعمال الشامل للإنترنت </w:t>
      </w:r>
      <w:proofErr w:type="spellStart"/>
      <w:r w:rsidRPr="00621959">
        <w:rPr>
          <w:rtl/>
        </w:rPr>
        <w:t>و</w:t>
      </w:r>
      <w:r w:rsidR="00241D22">
        <w:rPr>
          <w:rFonts w:hint="cs"/>
          <w:rtl/>
        </w:rPr>
        <w:t>مقاصد</w:t>
      </w:r>
      <w:r w:rsidRPr="00621959">
        <w:rPr>
          <w:rtl/>
        </w:rPr>
        <w:t>أخرى</w:t>
      </w:r>
      <w:proofErr w:type="spellEnd"/>
      <w:r w:rsidRPr="00621959">
        <w:rPr>
          <w:rtl/>
        </w:rPr>
        <w:t xml:space="preserve">. ولا يمكن لأي مؤشر بمفرده أن يقيس جميع الفجوات الرقمية. وهذا المؤشر مماثل للمؤشر المقترح سابقاً ضمن ذلك </w:t>
      </w:r>
      <w:r w:rsidR="00241D22">
        <w:rPr>
          <w:rFonts w:hint="cs"/>
          <w:rtl/>
        </w:rPr>
        <w:t>المقصد</w:t>
      </w:r>
      <w:r w:rsidRPr="00621959">
        <w:rPr>
          <w:rtl/>
        </w:rPr>
        <w:t>. ولذلك، يوصى بعدم استعمال هذا الهدف في الخطة الاستراتيجية للفترة 2028-2031، والتركيز بدلاً من ذلك على</w:t>
      </w:r>
      <w:r w:rsidR="002E6967">
        <w:rPr>
          <w:rFonts w:hint="cs"/>
          <w:rtl/>
        </w:rPr>
        <w:t> </w:t>
      </w:r>
      <w:r w:rsidRPr="00621959">
        <w:rPr>
          <w:rtl/>
        </w:rPr>
        <w:t xml:space="preserve">توحيد جميع عمليات رصد فجوات الاستعمال ضمن </w:t>
      </w:r>
      <w:r w:rsidR="00241D22">
        <w:rPr>
          <w:rFonts w:hint="cs"/>
          <w:rtl/>
        </w:rPr>
        <w:t>المقصد</w:t>
      </w:r>
      <w:r w:rsidR="00241D22" w:rsidRPr="00621959">
        <w:rPr>
          <w:rFonts w:hint="cs"/>
          <w:rtl/>
        </w:rPr>
        <w:t xml:space="preserve"> </w:t>
      </w:r>
      <w:r w:rsidRPr="00621959">
        <w:rPr>
          <w:rFonts w:hint="cs"/>
          <w:rtl/>
        </w:rPr>
        <w:t>7.1</w:t>
      </w:r>
      <w:r w:rsidRPr="00621959">
        <w:rPr>
          <w:rtl/>
        </w:rPr>
        <w:t>، حيث يُقترح بالفعل تصنيف البيانات حسب نوع الجنس والعمر والموقع.</w:t>
      </w:r>
    </w:p>
    <w:p w14:paraId="269A5218" w14:textId="381D414D" w:rsidR="00621959" w:rsidRPr="002E6967" w:rsidRDefault="00241D22" w:rsidP="002E6967">
      <w:pPr>
        <w:pStyle w:val="Headingb"/>
      </w:pPr>
      <w:r>
        <w:rPr>
          <w:rFonts w:hint="cs"/>
          <w:rtl/>
        </w:rPr>
        <w:t>المقصد</w:t>
      </w:r>
      <w:r w:rsidRPr="00621959">
        <w:rPr>
          <w:rtl/>
        </w:rPr>
        <w:t xml:space="preserve"> </w:t>
      </w:r>
      <w:r w:rsidR="00621959" w:rsidRPr="00621959">
        <w:rPr>
          <w:rtl/>
        </w:rPr>
        <w:t>2.2: امتلاك غالبية الأفراد مهارات رقمية</w:t>
      </w:r>
    </w:p>
    <w:p w14:paraId="094C29E7" w14:textId="77777777" w:rsidR="00621959" w:rsidRPr="00621959" w:rsidRDefault="00621959" w:rsidP="008A5A1B">
      <w:pPr>
        <w:rPr>
          <w:lang w:val="en-GB" w:bidi="ar-EG"/>
        </w:rPr>
      </w:pPr>
      <w:r w:rsidRPr="00621959">
        <w:rPr>
          <w:rtl/>
        </w:rPr>
        <w:t>نظراً لأن الإبلاغ الذاتي عن مهارات تكنولوجيا المعلومات والاتصالات التي لد</w:t>
      </w:r>
      <w:r w:rsidRPr="00621959">
        <w:rPr>
          <w:rFonts w:hint="cs"/>
          <w:rtl/>
        </w:rPr>
        <w:t>ى</w:t>
      </w:r>
      <w:r w:rsidRPr="00621959">
        <w:rPr>
          <w:rtl/>
        </w:rPr>
        <w:t xml:space="preserve"> الفرد قد يكون أمراً شخصياً، فإن هذه المهارات تقاس بنا</w:t>
      </w:r>
      <w:r w:rsidRPr="00621959">
        <w:rPr>
          <w:rFonts w:hint="cs"/>
          <w:rtl/>
        </w:rPr>
        <w:t>ء</w:t>
      </w:r>
      <w:r w:rsidRPr="00621959">
        <w:rPr>
          <w:rtl/>
        </w:rPr>
        <w:t xml:space="preserve"> على ما إذا كان الفرد قد قام مؤخراً بأنشطة معينة تفترض </w:t>
      </w:r>
      <w:r w:rsidRPr="00621959">
        <w:rPr>
          <w:rFonts w:hint="cs"/>
          <w:rtl/>
        </w:rPr>
        <w:t xml:space="preserve">مسبقاً </w:t>
      </w:r>
      <w:r w:rsidRPr="00621959">
        <w:rPr>
          <w:rtl/>
        </w:rPr>
        <w:t xml:space="preserve">مستوى من الكفاءة في المهارات ذات الصلة. وتُصنف هذه المهارات </w:t>
      </w:r>
      <w:r w:rsidRPr="00621959">
        <w:rPr>
          <w:rFonts w:hint="cs"/>
          <w:rtl/>
        </w:rPr>
        <w:t>المتعلقة ب</w:t>
      </w:r>
      <w:r w:rsidRPr="00621959">
        <w:rPr>
          <w:rtl/>
        </w:rPr>
        <w:t xml:space="preserve">تكنولوجيا المعلومات والاتصالات ضمن </w:t>
      </w:r>
      <w:proofErr w:type="gramStart"/>
      <w:r w:rsidRPr="00621959">
        <w:rPr>
          <w:rtl/>
        </w:rPr>
        <w:t>خمسة</w:t>
      </w:r>
      <w:proofErr w:type="gramEnd"/>
      <w:r w:rsidRPr="00621959">
        <w:rPr>
          <w:rtl/>
        </w:rPr>
        <w:t xml:space="preserve"> مجالات: التواصل والتعاون؛ وحل المشاكل؛ والسلامة؛ وإنشاء المحتوى الرقمي؛ والإلمام بالمعلومات والبيانات.</w:t>
      </w:r>
    </w:p>
    <w:p w14:paraId="49F04BD3" w14:textId="77777777" w:rsidR="00621959" w:rsidRPr="00621959" w:rsidRDefault="00621959" w:rsidP="008A5A1B">
      <w:pPr>
        <w:rPr>
          <w:lang w:val="en-GB" w:bidi="ar-EG"/>
        </w:rPr>
      </w:pPr>
      <w:r w:rsidRPr="00621959">
        <w:rPr>
          <w:rtl/>
        </w:rPr>
        <w:t>ومع أن أهمية المهارات الرقمية في تسخير تكنولوجيا المعلومات والاتصالات لتحقيق الازدهار الاقتصادي والرفاه الاجتماعي موثقة جيداً، إلا أن البيانات لا تزال شحيحة للغاية. ولم يقدم سوى 88 بلداً بيانات منذ عام 2020، ونادراً ما تشمل جميع مجالات المهارات. ومن بين هذه البلدان، قدّم 48 بلداً فقط بيانات قابلة للمقارنة بشأن مستويات مهارات تكنولوجيا المعلومات والاتصالات، وثماني بلدان فقط بيانات عن مستويات المهارات الإجمالية.</w:t>
      </w:r>
    </w:p>
    <w:p w14:paraId="2299AD61" w14:textId="77777777" w:rsidR="00621959" w:rsidRPr="00621959" w:rsidRDefault="00621959" w:rsidP="008A5A1B">
      <w:pPr>
        <w:rPr>
          <w:lang w:val="en-GB" w:bidi="ar-EG"/>
        </w:rPr>
      </w:pPr>
      <w:r w:rsidRPr="00621959">
        <w:rPr>
          <w:rtl/>
        </w:rPr>
        <w:t xml:space="preserve">وعلى الرغم من هذه الفجوات، بدأ ينشأ بعض الاتجاهات والأنماط في مهارات تكنولوجيا المعلومات والاتصالات. ويُظهر مستعملو الإنترنت باستمرار مهارات تواصل قوية. وفي جميع البلدان التي تقدم بيانات عن </w:t>
      </w:r>
      <w:r w:rsidRPr="00621959">
        <w:rPr>
          <w:i/>
          <w:iCs/>
          <w:rtl/>
        </w:rPr>
        <w:t>التواصل والتعاون</w:t>
      </w:r>
      <w:r w:rsidRPr="00621959">
        <w:rPr>
          <w:rtl/>
        </w:rPr>
        <w:t>، يمتلك ما لا يقل عن ثلاثة أرباع مستعملي الإنترنت مهارات أساسية على الأقل في هذا المجال، بغض النظر عن مستويات استعمال الإنترنت الوطنية.</w:t>
      </w:r>
    </w:p>
    <w:p w14:paraId="7C9D1FE7" w14:textId="28DB5EE7" w:rsidR="00621959" w:rsidRPr="002E6967" w:rsidRDefault="00621959" w:rsidP="008A5A1B">
      <w:pPr>
        <w:rPr>
          <w:spacing w:val="-2"/>
          <w:lang w:val="en-GB" w:bidi="ar-EG"/>
        </w:rPr>
      </w:pPr>
      <w:r w:rsidRPr="002E6967">
        <w:rPr>
          <w:spacing w:val="-2"/>
          <w:rtl/>
        </w:rPr>
        <w:t>ومستويات المهارات في المجالات الأخرى أكثر تنوعاً. ففي البلدان التي تقدم بيانات، تميل نسبة مستعملي الإنترنت الذين يمتلكون مهارات أساسية على الأقل في مجال المعلومات والبيانات إلى أن تكون أعلى من غيرها من المجالات، باستثناء التواصل والتعاون. ومع ذلك، لا يزال هناك تباين كبير عبر جميع مجالات المهارات، حتى بين البلدان ذات مستويات مماثلة من استعمال الإنترنت. وفي البلدان الثماني التي تُقدّم بيانات عن مستويات المهارات الإجمالية، تتراوح نسبة مستعملي الإنترنت الذين يمتلكون مهارات أساسية على الأقل بين 16</w:t>
      </w:r>
      <w:r w:rsidR="002E6967">
        <w:rPr>
          <w:spacing w:val="-2"/>
          <w:rtl/>
        </w:rPr>
        <w:t xml:space="preserve"> في </w:t>
      </w:r>
      <w:proofErr w:type="gramStart"/>
      <w:r w:rsidR="002E6967">
        <w:rPr>
          <w:spacing w:val="-2"/>
          <w:rtl/>
        </w:rPr>
        <w:t>المائة</w:t>
      </w:r>
      <w:proofErr w:type="gramEnd"/>
      <w:r w:rsidRPr="002E6967">
        <w:rPr>
          <w:spacing w:val="-2"/>
          <w:rtl/>
        </w:rPr>
        <w:t xml:space="preserve"> و74</w:t>
      </w:r>
      <w:r w:rsidR="002E6967">
        <w:rPr>
          <w:spacing w:val="-2"/>
          <w:rtl/>
        </w:rPr>
        <w:t xml:space="preserve"> في </w:t>
      </w:r>
      <w:proofErr w:type="gramStart"/>
      <w:r w:rsidR="002E6967">
        <w:rPr>
          <w:spacing w:val="-2"/>
          <w:rtl/>
        </w:rPr>
        <w:t>المائة</w:t>
      </w:r>
      <w:proofErr w:type="gramEnd"/>
      <w:r w:rsidRPr="002E6967">
        <w:rPr>
          <w:spacing w:val="-2"/>
          <w:rtl/>
        </w:rPr>
        <w:t xml:space="preserve">، أي </w:t>
      </w:r>
      <w:r w:rsidRPr="002E6967">
        <w:rPr>
          <w:rFonts w:hint="cs"/>
          <w:spacing w:val="-2"/>
          <w:rtl/>
        </w:rPr>
        <w:t>بفجوة قدرها</w:t>
      </w:r>
      <w:r w:rsidRPr="002E6967">
        <w:rPr>
          <w:spacing w:val="-2"/>
          <w:rtl/>
        </w:rPr>
        <w:t xml:space="preserve"> 60 نقطة مئوية تقريباً.</w:t>
      </w:r>
    </w:p>
    <w:p w14:paraId="31D7811D" w14:textId="77777777" w:rsidR="0089560B" w:rsidRDefault="00621959" w:rsidP="008A5A1B">
      <w:pPr>
        <w:rPr>
          <w:rtl/>
        </w:rPr>
      </w:pPr>
      <w:r w:rsidRPr="00621959">
        <w:rPr>
          <w:rtl/>
        </w:rPr>
        <w:t xml:space="preserve">وتعد المهارات الرقمية عاملاً تمكينياً بالغ الأهمية للتوصيلية الهادفة والتحول الرقمي. ولم يعد يتم جمع بيانات المؤشر الحالي وتم الاستعاضة عنه بمؤشر آخر باستعمال </w:t>
      </w:r>
      <w:hyperlink r:id="rId108" w:history="1">
        <w:r w:rsidRPr="00621959">
          <w:rPr>
            <w:rStyle w:val="Hyperlink"/>
            <w:noProof w:val="0"/>
            <w:rtl/>
            <w:lang w:val="en-US" w:eastAsia="zh-CN"/>
          </w:rPr>
          <w:t>منهجية محسنة</w:t>
        </w:r>
      </w:hyperlink>
      <w:r w:rsidRPr="00621959">
        <w:rPr>
          <w:rtl/>
        </w:rPr>
        <w:t xml:space="preserve"> طرحها الاتحاد في عام 2025. ولا تزال البيانات المتاحة محدودة، ولكن من المتوقع أن تتحسن مع اعتماد المزيد من البلدان للمنهجية المحسنة </w:t>
      </w:r>
      <w:r w:rsidRPr="00621959">
        <w:rPr>
          <w:rFonts w:hint="cs"/>
          <w:rtl/>
        </w:rPr>
        <w:t>عند</w:t>
      </w:r>
      <w:r w:rsidRPr="00621959">
        <w:rPr>
          <w:rtl/>
        </w:rPr>
        <w:t xml:space="preserve"> جمع البيانات.</w:t>
      </w:r>
    </w:p>
    <w:p w14:paraId="0223F5D7" w14:textId="23F196B4" w:rsidR="00621959" w:rsidRPr="002E6967" w:rsidRDefault="00241D22" w:rsidP="002E6967">
      <w:pPr>
        <w:pStyle w:val="Headingb"/>
      </w:pPr>
      <w:r>
        <w:rPr>
          <w:rFonts w:hint="cs"/>
          <w:rtl/>
        </w:rPr>
        <w:t>المقصد</w:t>
      </w:r>
      <w:r w:rsidR="00621959" w:rsidRPr="00621959">
        <w:rPr>
          <w:rtl/>
        </w:rPr>
        <w:t xml:space="preserve"> 3.2: الاستعمال الشامل لخدمات الإنترنت من قبل الشركات</w:t>
      </w:r>
    </w:p>
    <w:p w14:paraId="389AFB7E" w14:textId="13094DC4" w:rsidR="00621959" w:rsidRPr="00621959" w:rsidRDefault="00621959" w:rsidP="00E2462E">
      <w:pPr>
        <w:keepLines/>
        <w:rPr>
          <w:lang w:val="en-GB" w:bidi="ar-EG"/>
        </w:rPr>
      </w:pPr>
      <w:r w:rsidRPr="00621959">
        <w:rPr>
          <w:rtl/>
        </w:rPr>
        <w:t>يعد استعمال الشركات للإنترنت بُعداً هاماً من أبعاد التحول الرقمي. غير أن الاتحاد ليس المصدر الرئيسي لهذه البيانات. ويقوم كل من مؤتمر الأمم المتحدة للتجارة والتنمية (</w:t>
      </w:r>
      <w:proofErr w:type="spellStart"/>
      <w:r w:rsidRPr="00621959">
        <w:rPr>
          <w:rtl/>
        </w:rPr>
        <w:t>الأونكتاد</w:t>
      </w:r>
      <w:proofErr w:type="spellEnd"/>
      <w:r w:rsidRPr="00621959">
        <w:rPr>
          <w:rtl/>
        </w:rPr>
        <w:t xml:space="preserve">) </w:t>
      </w:r>
      <w:proofErr w:type="spellStart"/>
      <w:r w:rsidRPr="00621959">
        <w:rPr>
          <w:rtl/>
        </w:rPr>
        <w:t>ويوروستات</w:t>
      </w:r>
      <w:proofErr w:type="spellEnd"/>
      <w:r w:rsidRPr="00621959">
        <w:rPr>
          <w:rtl/>
        </w:rPr>
        <w:t xml:space="preserve"> بتجميع بيانات عن استعمال الشركات لتكنولوجيا المعلومات والاتصالات. ويختلف توافر البيانات اختلافاً كبيراً بين البلدان. </w:t>
      </w:r>
      <w:r w:rsidRPr="00621959">
        <w:rPr>
          <w:rFonts w:hint="cs"/>
          <w:rtl/>
        </w:rPr>
        <w:t>غير</w:t>
      </w:r>
      <w:r w:rsidRPr="00621959">
        <w:rPr>
          <w:rtl/>
        </w:rPr>
        <w:t xml:space="preserve"> أن المتوسطات العالمية غير متوفرة حالياً بسبب عدم كفاية البيانات.</w:t>
      </w:r>
    </w:p>
    <w:p w14:paraId="2CAEE812" w14:textId="11FDE9AE" w:rsidR="00621959" w:rsidRPr="002E6967" w:rsidRDefault="00241D22" w:rsidP="002E6967">
      <w:pPr>
        <w:pStyle w:val="Headingb"/>
      </w:pPr>
      <w:r>
        <w:rPr>
          <w:rFonts w:hint="cs"/>
          <w:rtl/>
        </w:rPr>
        <w:t>المقصد</w:t>
      </w:r>
      <w:r w:rsidRPr="00621959">
        <w:rPr>
          <w:rtl/>
        </w:rPr>
        <w:t xml:space="preserve"> </w:t>
      </w:r>
      <w:r w:rsidR="00621959" w:rsidRPr="00621959">
        <w:rPr>
          <w:rtl/>
        </w:rPr>
        <w:t xml:space="preserve">4.2: </w:t>
      </w:r>
      <w:r w:rsidR="00621959" w:rsidRPr="00621959">
        <w:rPr>
          <w:rFonts w:hint="cs"/>
          <w:rtl/>
        </w:rPr>
        <w:t xml:space="preserve">نفاذ </w:t>
      </w:r>
      <w:r w:rsidR="00621959" w:rsidRPr="00621959">
        <w:rPr>
          <w:rtl/>
        </w:rPr>
        <w:t>غالبية الأفراد إلى الخدمات الحكومية عبر الإنترنت</w:t>
      </w:r>
    </w:p>
    <w:p w14:paraId="4D09B61B" w14:textId="14ECB743" w:rsidR="00621959" w:rsidRPr="00621959" w:rsidRDefault="00621959" w:rsidP="008A5A1B">
      <w:pPr>
        <w:rPr>
          <w:lang w:val="en-GB" w:bidi="ar-EG"/>
        </w:rPr>
      </w:pPr>
      <w:r w:rsidRPr="00621959">
        <w:rPr>
          <w:rtl/>
        </w:rPr>
        <w:t xml:space="preserve">يشرف الاتحاد على هذا المؤشر، ولكن المتوسطات العالمية غير متوفرة لعدم كفاية البيانات. ويعد استعمال الخدمات الحكومية المتاحة على الإنترنت بُعداً هاماً من أبعاد الشمول الرقمي، غير أن هذا </w:t>
      </w:r>
      <w:r w:rsidR="00241D22">
        <w:rPr>
          <w:rFonts w:hint="cs"/>
          <w:rtl/>
        </w:rPr>
        <w:t>المقصد</w:t>
      </w:r>
      <w:r w:rsidR="00241D22" w:rsidRPr="00621959">
        <w:rPr>
          <w:rtl/>
        </w:rPr>
        <w:t xml:space="preserve"> </w:t>
      </w:r>
      <w:r w:rsidRPr="00621959">
        <w:rPr>
          <w:rtl/>
        </w:rPr>
        <w:t>يركز على تطبيق محدد للإنترنت، بينما يستبعد تطبيقات أخرى مثل التجارة الإلكترونية أو المدفوعات الرقمية أو الخدمات الصحية. والبيانات المتاحة قليلة، ولا تنتج أي مجملات عالمية.</w:t>
      </w:r>
    </w:p>
    <w:p w14:paraId="089C1329" w14:textId="027BB634" w:rsidR="00621959" w:rsidRPr="002E6967" w:rsidRDefault="00241D22" w:rsidP="002E6967">
      <w:pPr>
        <w:pStyle w:val="Headingb"/>
      </w:pPr>
      <w:r>
        <w:rPr>
          <w:rFonts w:hint="cs"/>
          <w:rtl/>
        </w:rPr>
        <w:t>المقصد</w:t>
      </w:r>
      <w:r w:rsidRPr="00621959">
        <w:rPr>
          <w:rtl/>
        </w:rPr>
        <w:t xml:space="preserve"> </w:t>
      </w:r>
      <w:r w:rsidR="00621959" w:rsidRPr="00621959">
        <w:rPr>
          <w:rtl/>
        </w:rPr>
        <w:t>5.2: العمل المناخي والبيئي</w:t>
      </w:r>
    </w:p>
    <w:p w14:paraId="09A727CF" w14:textId="01610D80" w:rsidR="00541570" w:rsidRPr="00541570" w:rsidRDefault="00541570" w:rsidP="00541570">
      <w:pPr>
        <w:rPr>
          <w:rtl/>
        </w:rPr>
      </w:pPr>
      <w:r w:rsidRPr="00541570">
        <w:rPr>
          <w:rtl/>
        </w:rPr>
        <w:t xml:space="preserve">من بين 81 </w:t>
      </w:r>
      <w:r w:rsidRPr="00541570">
        <w:rPr>
          <w:rFonts w:hint="cs"/>
          <w:rtl/>
        </w:rPr>
        <w:t>بلداً</w:t>
      </w:r>
      <w:r w:rsidRPr="00541570">
        <w:rPr>
          <w:rtl/>
        </w:rPr>
        <w:t xml:space="preserve"> مشمول</w:t>
      </w:r>
      <w:r w:rsidRPr="00541570">
        <w:rPr>
          <w:rFonts w:hint="cs"/>
          <w:rtl/>
        </w:rPr>
        <w:t>اً</w:t>
      </w:r>
      <w:r w:rsidRPr="00541570">
        <w:rPr>
          <w:rtl/>
        </w:rPr>
        <w:t xml:space="preserve"> بسياسة أو تشريع أو لائحة وطنية بشأن </w:t>
      </w:r>
      <w:r w:rsidRPr="00541570">
        <w:rPr>
          <w:rFonts w:hint="cs"/>
          <w:rtl/>
        </w:rPr>
        <w:t>المخلفات</w:t>
      </w:r>
      <w:r w:rsidRPr="00541570">
        <w:rPr>
          <w:rtl/>
        </w:rPr>
        <w:t xml:space="preserve"> الإلكترونية، تضمنت 67 </w:t>
      </w:r>
      <w:r w:rsidRPr="00541570">
        <w:rPr>
          <w:rFonts w:hint="cs"/>
          <w:rtl/>
        </w:rPr>
        <w:t>بلداً</w:t>
      </w:r>
      <w:r w:rsidRPr="00541570">
        <w:rPr>
          <w:rtl/>
        </w:rPr>
        <w:t xml:space="preserve"> أحكاما</w:t>
      </w:r>
      <w:r w:rsidRPr="00541570">
        <w:rPr>
          <w:rFonts w:hint="cs"/>
          <w:rtl/>
        </w:rPr>
        <w:t>ً</w:t>
      </w:r>
      <w:r w:rsidRPr="00541570">
        <w:rPr>
          <w:rtl/>
        </w:rPr>
        <w:t xml:space="preserve"> تشجع مبدأ مسؤولية المنتج الموسعة، </w:t>
      </w:r>
      <w:r w:rsidRPr="00541570">
        <w:rPr>
          <w:rFonts w:hint="cs"/>
          <w:rtl/>
        </w:rPr>
        <w:t>كان لدى</w:t>
      </w:r>
      <w:r w:rsidRPr="00541570">
        <w:rPr>
          <w:rtl/>
        </w:rPr>
        <w:t xml:space="preserve"> 48 </w:t>
      </w:r>
      <w:r w:rsidRPr="00541570">
        <w:rPr>
          <w:rFonts w:hint="cs"/>
          <w:rtl/>
        </w:rPr>
        <w:t>بلداً</w:t>
      </w:r>
      <w:r w:rsidRPr="00541570">
        <w:rPr>
          <w:rtl/>
        </w:rPr>
        <w:t xml:space="preserve"> </w:t>
      </w:r>
      <w:r w:rsidR="00704A2A">
        <w:rPr>
          <w:rFonts w:hint="cs"/>
          <w:rtl/>
        </w:rPr>
        <w:t>مقاصد</w:t>
      </w:r>
      <w:r w:rsidRPr="00541570">
        <w:rPr>
          <w:rtl/>
        </w:rPr>
        <w:t xml:space="preserve"> وطنية لجمع </w:t>
      </w:r>
      <w:r w:rsidRPr="00541570">
        <w:rPr>
          <w:rFonts w:hint="cs"/>
          <w:rtl/>
        </w:rPr>
        <w:t>المخلفات</w:t>
      </w:r>
      <w:r w:rsidRPr="00541570">
        <w:rPr>
          <w:rtl/>
        </w:rPr>
        <w:t xml:space="preserve"> الإلكترونية في لوائحها، و</w:t>
      </w:r>
      <w:r w:rsidRPr="00541570">
        <w:rPr>
          <w:rFonts w:hint="cs"/>
          <w:rtl/>
        </w:rPr>
        <w:t>لدى</w:t>
      </w:r>
      <w:r w:rsidRPr="00541570">
        <w:rPr>
          <w:rtl/>
        </w:rPr>
        <w:t xml:space="preserve"> 37 </w:t>
      </w:r>
      <w:r w:rsidRPr="00541570">
        <w:rPr>
          <w:rFonts w:hint="cs"/>
          <w:rtl/>
        </w:rPr>
        <w:t>بلداً</w:t>
      </w:r>
      <w:r w:rsidRPr="00541570">
        <w:rPr>
          <w:rtl/>
        </w:rPr>
        <w:t xml:space="preserve"> </w:t>
      </w:r>
      <w:r w:rsidR="00704A2A">
        <w:rPr>
          <w:rFonts w:hint="cs"/>
          <w:rtl/>
        </w:rPr>
        <w:t>مقاصد</w:t>
      </w:r>
      <w:r w:rsidRPr="00541570">
        <w:rPr>
          <w:rtl/>
        </w:rPr>
        <w:t xml:space="preserve"> لإعادة تدوير </w:t>
      </w:r>
      <w:r w:rsidRPr="00541570">
        <w:rPr>
          <w:rFonts w:hint="cs"/>
          <w:rtl/>
        </w:rPr>
        <w:t>المخلفات</w:t>
      </w:r>
      <w:r w:rsidRPr="00541570">
        <w:rPr>
          <w:rtl/>
        </w:rPr>
        <w:t xml:space="preserve"> الإلكترونية على المستوى الوطني.</w:t>
      </w:r>
    </w:p>
    <w:p w14:paraId="5899D7D0" w14:textId="1C8676EA" w:rsidR="00621959" w:rsidRDefault="00541570" w:rsidP="00541570">
      <w:pPr>
        <w:rPr>
          <w:rtl/>
        </w:rPr>
      </w:pPr>
      <w:r w:rsidRPr="00541570">
        <w:rPr>
          <w:rtl/>
        </w:rPr>
        <w:t>و</w:t>
      </w:r>
      <w:r w:rsidRPr="00541570">
        <w:rPr>
          <w:rFonts w:hint="cs"/>
          <w:rtl/>
        </w:rPr>
        <w:t xml:space="preserve">في الوقت نفسه، </w:t>
      </w:r>
      <w:r w:rsidRPr="00541570">
        <w:rPr>
          <w:rtl/>
        </w:rPr>
        <w:t>ي</w:t>
      </w:r>
      <w:r w:rsidRPr="00541570">
        <w:rPr>
          <w:rFonts w:hint="cs"/>
          <w:rtl/>
        </w:rPr>
        <w:t>ُ</w:t>
      </w:r>
      <w:r w:rsidRPr="00541570">
        <w:rPr>
          <w:rtl/>
        </w:rPr>
        <w:t xml:space="preserve">ظهر الإصدار الرابع من </w:t>
      </w:r>
      <w:hyperlink r:id="rId109" w:anchor="/ar" w:history="1">
        <w:r w:rsidRPr="00541570">
          <w:rPr>
            <w:rStyle w:val="Hyperlink"/>
            <w:noProof w:val="0"/>
            <w:rtl/>
            <w:lang w:val="en-US" w:eastAsia="zh-CN"/>
          </w:rPr>
          <w:t xml:space="preserve">تقرير </w:t>
        </w:r>
        <w:r w:rsidRPr="00541570">
          <w:rPr>
            <w:rStyle w:val="Hyperlink"/>
            <w:rFonts w:hint="cs"/>
            <w:noProof w:val="0"/>
            <w:rtl/>
            <w:lang w:val="en-US" w:eastAsia="zh-CN"/>
          </w:rPr>
          <w:t>الشركات الرقمية المراعية للبيئة</w:t>
        </w:r>
      </w:hyperlink>
      <w:r w:rsidRPr="00541570">
        <w:rPr>
          <w:rFonts w:hint="cs"/>
          <w:rtl/>
        </w:rPr>
        <w:t xml:space="preserve"> </w:t>
      </w:r>
      <w:r w:rsidRPr="00541570">
        <w:rPr>
          <w:rtl/>
        </w:rPr>
        <w:t>أن من بين 166 شركة رقمية أفصحت عن بيانات الانبعاثات المباشرة وغير المباشرة</w:t>
      </w:r>
      <w:r w:rsidRPr="00541570">
        <w:rPr>
          <w:rFonts w:hint="cs"/>
          <w:rtl/>
        </w:rPr>
        <w:t xml:space="preserve"> من غازات الاحتباس الحراري</w:t>
      </w:r>
      <w:r w:rsidRPr="00541570">
        <w:rPr>
          <w:rtl/>
        </w:rPr>
        <w:t xml:space="preserve"> الناتجة عن الكهرباء المشتراة (والتي تمثل 94</w:t>
      </w:r>
      <w:r w:rsidR="00E2462E">
        <w:rPr>
          <w:rtl/>
        </w:rPr>
        <w:t xml:space="preserve"> في المائة</w:t>
      </w:r>
      <w:r w:rsidRPr="00541570">
        <w:rPr>
          <w:rtl/>
        </w:rPr>
        <w:t xml:space="preserve"> من إيرادات الشركات المائتين) سجلت 297,3 مليون طن من مكافئ ثاني أكسيد الكربون في عام 2023، أي ما يعادل 0,8</w:t>
      </w:r>
      <w:r w:rsidR="00E2462E">
        <w:rPr>
          <w:rtl/>
        </w:rPr>
        <w:t xml:space="preserve"> في المائة</w:t>
      </w:r>
      <w:r w:rsidRPr="00541570">
        <w:rPr>
          <w:rtl/>
        </w:rPr>
        <w:t xml:space="preserve"> من إجمالي الانبعاثات العالمية المتعلقة بالطاقة، مسجلة بذلك زيادة قدرها 1,4</w:t>
      </w:r>
      <w:r w:rsidR="00E2462E">
        <w:rPr>
          <w:rtl/>
        </w:rPr>
        <w:t xml:space="preserve"> في المائة</w:t>
      </w:r>
      <w:r w:rsidRPr="00541570">
        <w:rPr>
          <w:rtl/>
        </w:rPr>
        <w:t xml:space="preserve"> عن عام 2022. (للاطلاع على معلومات عن </w:t>
      </w:r>
      <w:r w:rsidRPr="00541570">
        <w:rPr>
          <w:rFonts w:hint="cs"/>
          <w:rtl/>
        </w:rPr>
        <w:t>المناخ والبيئة</w:t>
      </w:r>
      <w:r w:rsidRPr="00541570">
        <w:rPr>
          <w:rtl/>
        </w:rPr>
        <w:t xml:space="preserve">، </w:t>
      </w:r>
      <w:r w:rsidRPr="00377903">
        <w:rPr>
          <w:rtl/>
        </w:rPr>
        <w:t>انظر القسم</w:t>
      </w:r>
      <w:r w:rsidR="00377903" w:rsidRPr="00377903">
        <w:rPr>
          <w:rFonts w:hint="cs"/>
          <w:rtl/>
        </w:rPr>
        <w:t xml:space="preserve"> </w:t>
      </w:r>
      <w:hyperlink w:anchor="_4.5_الالتزام_بالاستدامة" w:history="1">
        <w:r w:rsidR="00621959" w:rsidRPr="00541570">
          <w:rPr>
            <w:rStyle w:val="Hyperlink"/>
            <w:noProof w:val="0"/>
            <w:rtl/>
            <w:lang w:val="en-US" w:eastAsia="zh-CN"/>
          </w:rPr>
          <w:t>4.5</w:t>
        </w:r>
      </w:hyperlink>
      <w:r w:rsidR="00621959" w:rsidRPr="00541570">
        <w:rPr>
          <w:rtl/>
        </w:rPr>
        <w:t>).</w:t>
      </w:r>
    </w:p>
    <w:p w14:paraId="5DD5E302" w14:textId="530C57D1" w:rsidR="00621959" w:rsidRPr="00621959" w:rsidRDefault="00621959" w:rsidP="008A5A1B">
      <w:pPr>
        <w:rPr>
          <w:lang w:val="en-GB" w:bidi="ar-EG"/>
        </w:rPr>
      </w:pPr>
      <w:r w:rsidRPr="003972A1">
        <w:rPr>
          <w:rtl/>
        </w:rPr>
        <w:t xml:space="preserve">ويتزايد الأثر البيئي لتكنولوجيا المعلومات والاتصالات بسرعة، مدفوعاً بتزايد عدد الأجهزة الموصولة، وتوسع مراكز البيانات، وتوسيع نطاق تطبيقات الذكاء الاصطناعي. وتسرّع هذه الاتجاهات الطلب على الطاقة والمواد الخام، وتسهم في زيادة الانبعاثات والتلوث وتوليد المخلفات الإلكترونية. ولذلك، ينبغي إعادة تحديد إطار </w:t>
      </w:r>
      <w:r w:rsidR="00241D22">
        <w:rPr>
          <w:rFonts w:hint="cs"/>
          <w:rtl/>
        </w:rPr>
        <w:t>المقصد</w:t>
      </w:r>
      <w:r w:rsidRPr="003972A1">
        <w:rPr>
          <w:rtl/>
        </w:rPr>
        <w:t xml:space="preserve"> في الخطة الاستراتيجية للفترة 2028-2031 ليشمل صراحة الحد من الآثار البيئية السلبية لتكنولوجيا المعلومات والاتصالات.</w:t>
      </w:r>
    </w:p>
    <w:p w14:paraId="20CBF6A3" w14:textId="7E7D3024" w:rsidR="003972A1" w:rsidRPr="00621959" w:rsidRDefault="004B6E12" w:rsidP="003972A1">
      <w:pPr>
        <w:rPr>
          <w:rtl/>
        </w:rPr>
      </w:pPr>
      <w:r w:rsidRPr="004B6E12">
        <w:rPr>
          <w:rtl/>
        </w:rPr>
        <w:t xml:space="preserve">ويمكن الاطلاع على معلومات إضافية لجميع هذه </w:t>
      </w:r>
      <w:r w:rsidR="00241D22">
        <w:rPr>
          <w:rFonts w:hint="cs"/>
          <w:rtl/>
        </w:rPr>
        <w:t>المقاصد</w:t>
      </w:r>
      <w:r w:rsidRPr="004B6E12">
        <w:rPr>
          <w:rtl/>
        </w:rPr>
        <w:t xml:space="preserve"> في أحدث إصدار من التقارير الرائدة للاتحاد </w:t>
      </w:r>
      <w:r w:rsidR="003972A1" w:rsidRPr="00621959">
        <w:rPr>
          <w:rtl/>
        </w:rPr>
        <w:t>بعنوان "</w:t>
      </w:r>
      <w:hyperlink r:id="rId110" w:history="1">
        <w:r w:rsidR="003972A1" w:rsidRPr="00621959">
          <w:rPr>
            <w:rStyle w:val="Hyperlink"/>
            <w:noProof w:val="0"/>
            <w:rtl/>
            <w:lang w:val="en-US" w:eastAsia="zh-CN"/>
          </w:rPr>
          <w:t>قياس التنمية الرقمية: حقائق وأرقام عام 2024</w:t>
        </w:r>
      </w:hyperlink>
      <w:r w:rsidR="003972A1" w:rsidRPr="00621959">
        <w:rPr>
          <w:rtl/>
        </w:rPr>
        <w:t>"</w:t>
      </w:r>
      <w:r w:rsidR="003972A1" w:rsidRPr="00621959">
        <w:rPr>
          <w:rFonts w:hint="cs"/>
          <w:rtl/>
        </w:rPr>
        <w:t>، و</w:t>
      </w:r>
      <w:r w:rsidR="003972A1" w:rsidRPr="00621959">
        <w:rPr>
          <w:rtl/>
        </w:rPr>
        <w:t>"</w:t>
      </w:r>
      <w:hyperlink r:id="rId111" w:history="1">
        <w:r w:rsidR="003972A1" w:rsidRPr="00621959">
          <w:rPr>
            <w:rStyle w:val="Hyperlink"/>
            <w:noProof w:val="0"/>
            <w:rtl/>
            <w:lang w:val="en-US" w:eastAsia="zh-CN"/>
          </w:rPr>
          <w:t>قياس التنمية الرقمية: حقائق وأرقام: التركيز على البلدان النامية غير الساحلية، يوليو 2025</w:t>
        </w:r>
      </w:hyperlink>
      <w:r w:rsidR="003972A1" w:rsidRPr="00621959">
        <w:rPr>
          <w:rtl/>
        </w:rPr>
        <w:t>"، بالإضافة إلى "</w:t>
      </w:r>
      <w:hyperlink r:id="rId112" w:history="1">
        <w:r w:rsidR="003972A1" w:rsidRPr="00621959">
          <w:rPr>
            <w:rStyle w:val="Hyperlink"/>
            <w:noProof w:val="0"/>
            <w:rtl/>
            <w:lang w:val="en-US" w:eastAsia="zh-CN"/>
          </w:rPr>
          <w:t>تقرير التوصيلية العالمية لعام 2025</w:t>
        </w:r>
      </w:hyperlink>
      <w:r w:rsidR="003972A1" w:rsidRPr="00621959">
        <w:rPr>
          <w:rtl/>
        </w:rPr>
        <w:t>".</w:t>
      </w:r>
    </w:p>
    <w:p w14:paraId="7172BE15" w14:textId="77777777" w:rsidR="00621959" w:rsidRPr="00621959" w:rsidRDefault="00621959" w:rsidP="003972A1">
      <w:pPr>
        <w:pStyle w:val="Figuretitle"/>
        <w:rPr>
          <w:lang w:val="en-GB" w:bidi="ar-EG"/>
        </w:rPr>
      </w:pPr>
      <w:r w:rsidRPr="00621959">
        <w:rPr>
          <w:rtl/>
        </w:rPr>
        <w:t>توقعات توليد المخلفات الإلكترونية على مستوى العالم، 2010-2030</w:t>
      </w:r>
    </w:p>
    <w:p w14:paraId="59F31D38" w14:textId="2564624D" w:rsidR="00621959" w:rsidRPr="00621959" w:rsidRDefault="005F3A14" w:rsidP="005F3A14">
      <w:pPr>
        <w:pStyle w:val="Figure"/>
        <w:bidi/>
        <w:rPr>
          <w:rFonts w:eastAsia="MS Mincho"/>
          <w:rtl/>
        </w:rPr>
      </w:pPr>
      <w:r w:rsidRPr="005F3A14">
        <w:rPr>
          <w:noProof/>
        </w:rPr>
        <w:drawing>
          <wp:inline distT="0" distB="0" distL="0" distR="0" wp14:anchorId="171BDDBF" wp14:editId="055553EE">
            <wp:extent cx="4198620" cy="2202301"/>
            <wp:effectExtent l="0" t="0" r="0" b="7620"/>
            <wp:docPr id="9170903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207638" cy="2207031"/>
                    </a:xfrm>
                    <a:prstGeom prst="rect">
                      <a:avLst/>
                    </a:prstGeom>
                    <a:noFill/>
                  </pic:spPr>
                </pic:pic>
              </a:graphicData>
            </a:graphic>
          </wp:inline>
        </w:drawing>
      </w:r>
    </w:p>
    <w:p w14:paraId="0E62170A" w14:textId="18F6413A" w:rsidR="003972A1" w:rsidRDefault="00621959" w:rsidP="00704A2A">
      <w:pPr>
        <w:pStyle w:val="Figurelegend"/>
        <w:rPr>
          <w:rtl/>
          <w:lang w:bidi="ar-EG"/>
        </w:rPr>
      </w:pPr>
      <w:bookmarkStart w:id="53" w:name="الشكل14"/>
      <w:bookmarkEnd w:id="53"/>
      <w:r w:rsidRPr="003972A1">
        <w:rPr>
          <w:color w:val="1F497D"/>
          <w:rtl/>
        </w:rPr>
        <w:t>الشكل 14. توقعات توليد المخلفات الإلكترونية على مستوى العالم، 2010-2030.</w:t>
      </w:r>
      <w:r w:rsidR="00704A2A">
        <w:rPr>
          <w:color w:val="1F497D"/>
          <w:rtl/>
        </w:rPr>
        <w:br/>
      </w:r>
      <w:r w:rsidRPr="003972A1">
        <w:rPr>
          <w:color w:val="1F497D"/>
          <w:rtl/>
        </w:rPr>
        <w:t>المرصد العالمي للمخلفات الإلكترونية لعام</w:t>
      </w:r>
      <w:r w:rsidR="005D419C">
        <w:rPr>
          <w:rFonts w:hint="cs"/>
          <w:color w:val="1F497D"/>
          <w:rtl/>
        </w:rPr>
        <w:t> </w:t>
      </w:r>
      <w:r w:rsidRPr="003972A1">
        <w:rPr>
          <w:color w:val="1F497D"/>
          <w:rtl/>
        </w:rPr>
        <w:t xml:space="preserve">2024 (الصفحة 28). </w:t>
      </w:r>
      <w:r w:rsidRPr="003972A1">
        <w:rPr>
          <w:color w:val="7F7F7F"/>
          <w:rtl/>
        </w:rPr>
        <w:t xml:space="preserve">الشكل مقتبس، للاطلاع على المزيد انظر </w:t>
      </w:r>
      <w:hyperlink r:id="rId114" w:history="1">
        <w:r w:rsidRPr="003972A1">
          <w:rPr>
            <w:rStyle w:val="Hyperlink"/>
            <w:noProof w:val="0"/>
            <w:rtl/>
            <w:lang w:val="en-US" w:eastAsia="zh-CN"/>
          </w:rPr>
          <w:t>هنا</w:t>
        </w:r>
      </w:hyperlink>
      <w:r w:rsidRPr="003972A1">
        <w:rPr>
          <w:color w:val="7F7F7F"/>
          <w:rtl/>
        </w:rPr>
        <w:t>.</w:t>
      </w:r>
      <w:bookmarkStart w:id="54" w:name="_Toc224288803"/>
      <w:bookmarkStart w:id="55" w:name="_Toc37860456"/>
      <w:bookmarkStart w:id="56" w:name="_Toc37861217"/>
      <w:bookmarkStart w:id="57" w:name="_Toc37943336"/>
      <w:bookmarkEnd w:id="2"/>
      <w:bookmarkEnd w:id="3"/>
      <w:bookmarkEnd w:id="4"/>
      <w:bookmarkEnd w:id="14"/>
    </w:p>
    <w:p w14:paraId="718CFE70" w14:textId="37577D57" w:rsidR="00621959" w:rsidRPr="00621959" w:rsidRDefault="00203449" w:rsidP="00E2462E">
      <w:pPr>
        <w:pStyle w:val="Heading1"/>
        <w:pageBreakBefore/>
        <w:rPr>
          <w:lang w:val="en-GB" w:bidi="ar-EG"/>
        </w:rPr>
      </w:pPr>
      <w:bookmarkStart w:id="58" w:name="_Toc227252577"/>
      <w:r>
        <w:t>4</w:t>
      </w:r>
      <w:r w:rsidR="00621959" w:rsidRPr="00621959">
        <w:rPr>
          <w:rtl/>
        </w:rPr>
        <w:tab/>
        <w:t>المنتجات والخدمات</w:t>
      </w:r>
      <w:bookmarkEnd w:id="54"/>
      <w:bookmarkEnd w:id="58"/>
    </w:p>
    <w:p w14:paraId="490A01ED" w14:textId="77777777" w:rsidR="00621959" w:rsidRPr="00621959" w:rsidRDefault="00621959" w:rsidP="00203449">
      <w:pPr>
        <w:pStyle w:val="Heading2"/>
        <w:rPr>
          <w:lang w:val="en-GB" w:bidi="ar-EG"/>
        </w:rPr>
      </w:pPr>
      <w:bookmarkStart w:id="59" w:name="_Toc227252578"/>
      <w:r w:rsidRPr="00621959">
        <w:rPr>
          <w:rtl/>
        </w:rPr>
        <w:t>1.4</w:t>
      </w:r>
      <w:r w:rsidRPr="00621959">
        <w:rPr>
          <w:rtl/>
        </w:rPr>
        <w:tab/>
        <w:t xml:space="preserve">وضع وتطبيق اللوائح الإدارية </w:t>
      </w:r>
      <w:r w:rsidRPr="00621959">
        <w:rPr>
          <w:rFonts w:hint="cs"/>
          <w:rtl/>
        </w:rPr>
        <w:t>ل</w:t>
      </w:r>
      <w:r w:rsidRPr="00621959">
        <w:rPr>
          <w:rtl/>
        </w:rPr>
        <w:t>لاتحاد</w:t>
      </w:r>
      <w:bookmarkEnd w:id="59"/>
    </w:p>
    <w:p w14:paraId="1FF8C907" w14:textId="77777777" w:rsidR="00621959" w:rsidRPr="00621959" w:rsidRDefault="00621959" w:rsidP="00203449">
      <w:pPr>
        <w:pStyle w:val="Heading3"/>
        <w:rPr>
          <w:lang w:val="en-GB" w:bidi="ar-EG"/>
        </w:rPr>
      </w:pPr>
      <w:bookmarkStart w:id="60" w:name="_Toc227252579"/>
      <w:r w:rsidRPr="00621959">
        <w:rPr>
          <w:rtl/>
        </w:rPr>
        <w:t>1.1.4</w:t>
      </w:r>
      <w:r w:rsidRPr="00621959">
        <w:rPr>
          <w:rtl/>
        </w:rPr>
        <w:tab/>
        <w:t>لوائح الراديو</w:t>
      </w:r>
      <w:bookmarkEnd w:id="60"/>
    </w:p>
    <w:p w14:paraId="2644C28C" w14:textId="77777777" w:rsidR="00621959" w:rsidRPr="00621959" w:rsidRDefault="00621959" w:rsidP="008A5A1B">
      <w:pPr>
        <w:rPr>
          <w:lang w:val="en-GB" w:bidi="ar-EG"/>
        </w:rPr>
      </w:pPr>
      <w:r w:rsidRPr="00621959">
        <w:rPr>
          <w:rtl/>
        </w:rPr>
        <w:t>يحتفظ الاتحاد بلوائح الراديو، وهي المعاهدة الدولية التي تنظم استعمال طيف الترددات الراديوية والمدارات الساتلية لجميع أنواع الاتصالات اللاسلكية. ومن خلال تطبيق اللوائح وتيسير التعاون الدولي ذي الصلة، تدعم المنظمة النفاذ المنصف إلى الطيف والمدارات واستعمالها الرشيد باعتبارها موارد طبيعية محدودة.</w:t>
      </w:r>
    </w:p>
    <w:p w14:paraId="36E846C2" w14:textId="77777777" w:rsidR="00621959" w:rsidRPr="00621959" w:rsidRDefault="00621959" w:rsidP="008A5A1B">
      <w:pPr>
        <w:rPr>
          <w:lang w:val="en-GB" w:bidi="ar-EG"/>
        </w:rPr>
      </w:pPr>
      <w:r w:rsidRPr="00621959">
        <w:rPr>
          <w:rtl/>
        </w:rPr>
        <w:t xml:space="preserve">ومن خلال الاتحاد، تتفق الإدارات على توزيع الترددات الراديوية وإدارتها، إلى جانب إجراءات التنسيق لتجنب التداخل الراديوي الضار. ويتيح الاتحاد ومكتبه للاتصالات الراديوية هذه الأنشطة، ويدعم الدول الأعضاء في جميع أنحاء العالم بخبرات في مجال الاتصالات </w:t>
      </w:r>
      <w:proofErr w:type="gramStart"/>
      <w:r w:rsidRPr="00621959">
        <w:rPr>
          <w:rtl/>
        </w:rPr>
        <w:t>البرية</w:t>
      </w:r>
      <w:proofErr w:type="gramEnd"/>
      <w:r w:rsidRPr="00621959">
        <w:rPr>
          <w:rtl/>
        </w:rPr>
        <w:t xml:space="preserve"> والبحرية والجوية والفضائية.</w:t>
      </w:r>
    </w:p>
    <w:p w14:paraId="75A2B0CD" w14:textId="237F6BF4" w:rsidR="0089560B" w:rsidRDefault="00621959" w:rsidP="008A5A1B">
      <w:pPr>
        <w:rPr>
          <w:rtl/>
        </w:rPr>
      </w:pPr>
      <w:r w:rsidRPr="00621959">
        <w:rPr>
          <w:rtl/>
        </w:rPr>
        <w:t xml:space="preserve">ونفذ مكتب الاتصالات الراديوية نتائج </w:t>
      </w:r>
      <w:hyperlink r:id="rId115" w:anchor="/ar" w:history="1">
        <w:r w:rsidRPr="00621959">
          <w:rPr>
            <w:rStyle w:val="Hyperlink"/>
            <w:noProof w:val="0"/>
            <w:rtl/>
            <w:lang w:val="en-US" w:eastAsia="zh-CN"/>
          </w:rPr>
          <w:t>المؤتم</w:t>
        </w:r>
        <w:r w:rsidRPr="00621959">
          <w:rPr>
            <w:rStyle w:val="Hyperlink"/>
            <w:rFonts w:hint="cs"/>
            <w:noProof w:val="0"/>
            <w:rtl/>
            <w:lang w:val="en-US" w:eastAsia="zh-CN"/>
          </w:rPr>
          <w:t xml:space="preserve">ر </w:t>
        </w:r>
        <w:r w:rsidRPr="00621959">
          <w:rPr>
            <w:rStyle w:val="Hyperlink"/>
            <w:noProof w:val="0"/>
            <w:lang w:val="en-CA" w:eastAsia="zh-CN" w:bidi="ar-EG"/>
          </w:rPr>
          <w:t>WRC</w:t>
        </w:r>
        <w:r w:rsidR="00E2462E">
          <w:rPr>
            <w:rStyle w:val="Hyperlink"/>
            <w:noProof w:val="0"/>
            <w:lang w:val="en-CA" w:eastAsia="zh-CN" w:bidi="ar-EG"/>
          </w:rPr>
          <w:t>-</w:t>
        </w:r>
        <w:r w:rsidRPr="00621959">
          <w:rPr>
            <w:rStyle w:val="Hyperlink"/>
            <w:noProof w:val="0"/>
            <w:lang w:val="en-CA" w:eastAsia="zh-CN" w:bidi="ar-EG"/>
          </w:rPr>
          <w:t>23</w:t>
        </w:r>
      </w:hyperlink>
      <w:r w:rsidRPr="00621959">
        <w:rPr>
          <w:rtl/>
        </w:rPr>
        <w:t xml:space="preserve"> ويقوم بالأعمال التحضيرية </w:t>
      </w:r>
      <w:hyperlink r:id="rId116" w:anchor="/ar" w:history="1">
        <w:r w:rsidRPr="00203449">
          <w:rPr>
            <w:rStyle w:val="Hyperlink"/>
            <w:noProof w:val="0"/>
            <w:rtl/>
            <w:lang w:val="en-US" w:eastAsia="zh-CN"/>
          </w:rPr>
          <w:t xml:space="preserve">للمؤتمر </w:t>
        </w:r>
        <w:r w:rsidRPr="00203449">
          <w:rPr>
            <w:rStyle w:val="Hyperlink"/>
            <w:noProof w:val="0"/>
            <w:lang w:eastAsia="zh-CN" w:bidi="ar-EG"/>
          </w:rPr>
          <w:t>WRC-27</w:t>
        </w:r>
      </w:hyperlink>
      <w:r w:rsidRPr="00621959">
        <w:rPr>
          <w:rtl/>
        </w:rPr>
        <w:t>.</w:t>
      </w:r>
    </w:p>
    <w:p w14:paraId="01B9A603" w14:textId="3380F779" w:rsidR="00621959" w:rsidRPr="00621959" w:rsidRDefault="00621959" w:rsidP="008A5A1B">
      <w:pPr>
        <w:rPr>
          <w:lang w:val="en-GB" w:bidi="ar-EG"/>
        </w:rPr>
      </w:pPr>
      <w:r w:rsidRPr="00621959">
        <w:rPr>
          <w:rtl/>
          <w:lang w:bidi="ar-EG"/>
        </w:rPr>
        <w:t>وجدير بالذكر</w:t>
      </w:r>
      <w:r w:rsidRPr="00621959">
        <w:rPr>
          <w:rtl/>
        </w:rPr>
        <w:t>:</w:t>
      </w:r>
    </w:p>
    <w:p w14:paraId="4A22679A" w14:textId="576483BB" w:rsidR="00621959" w:rsidRPr="00621959" w:rsidRDefault="00203449" w:rsidP="00203449">
      <w:pPr>
        <w:pStyle w:val="enumlev1"/>
        <w:rPr>
          <w:lang w:val="en-GB" w:bidi="ar-EG"/>
        </w:rPr>
      </w:pPr>
      <w:r>
        <w:sym w:font="Wingdings 2" w:char="F097"/>
      </w:r>
      <w:r>
        <w:tab/>
      </w:r>
      <w:r w:rsidR="00621959" w:rsidRPr="00621959">
        <w:rPr>
          <w:rtl/>
        </w:rPr>
        <w:t>نُشر</w:t>
      </w:r>
      <w:r w:rsidR="00621959" w:rsidRPr="00621959">
        <w:rPr>
          <w:rFonts w:hint="cs"/>
          <w:rtl/>
        </w:rPr>
        <w:t xml:space="preserve">ت النسخة </w:t>
      </w:r>
      <w:r w:rsidR="00621959" w:rsidRPr="00621959">
        <w:rPr>
          <w:rtl/>
        </w:rPr>
        <w:t>الجديد</w:t>
      </w:r>
      <w:r w:rsidR="00621959" w:rsidRPr="00621959">
        <w:rPr>
          <w:rFonts w:hint="cs"/>
          <w:rtl/>
        </w:rPr>
        <w:t>ة</w:t>
      </w:r>
      <w:r w:rsidR="00621959" w:rsidRPr="00621959">
        <w:rPr>
          <w:rtl/>
        </w:rPr>
        <w:t xml:space="preserve"> من </w:t>
      </w:r>
      <w:hyperlink r:id="rId117" w:history="1">
        <w:r w:rsidR="00621959" w:rsidRPr="00621959">
          <w:rPr>
            <w:rStyle w:val="Hyperlink"/>
            <w:noProof w:val="0"/>
            <w:rtl/>
            <w:lang w:val="en-US" w:eastAsia="zh-CN" w:bidi="ar-SA"/>
          </w:rPr>
          <w:t>لوائح الراديو</w:t>
        </w:r>
      </w:hyperlink>
      <w:r w:rsidR="00621959" w:rsidRPr="00621959">
        <w:rPr>
          <w:rtl/>
        </w:rPr>
        <w:t xml:space="preserve">، التي </w:t>
      </w:r>
      <w:r w:rsidR="00621959" w:rsidRPr="00621959">
        <w:rPr>
          <w:rFonts w:hint="cs"/>
          <w:rtl/>
        </w:rPr>
        <w:t>ت</w:t>
      </w:r>
      <w:r w:rsidR="00621959" w:rsidRPr="00621959">
        <w:rPr>
          <w:rtl/>
        </w:rPr>
        <w:t xml:space="preserve">حتوي على الوثائق الختامية التي اعتمدها المؤتمر </w:t>
      </w:r>
      <w:r w:rsidR="00621959" w:rsidRPr="00621959">
        <w:rPr>
          <w:lang w:val="en-GB" w:bidi="ar-EG"/>
        </w:rPr>
        <w:t>WRC</w:t>
      </w:r>
      <w:r w:rsidR="00621959" w:rsidRPr="00621959">
        <w:rPr>
          <w:lang w:val="en-GB" w:bidi="ar-EG"/>
        </w:rPr>
        <w:noBreakHyphen/>
        <w:t>23</w:t>
      </w:r>
      <w:r w:rsidR="00621959" w:rsidRPr="00621959">
        <w:rPr>
          <w:rtl/>
        </w:rPr>
        <w:t>، في عام 2024، وهي متاحة للتنزيل مجاناً من الموقع الإلكتروني للاتحاد.</w:t>
      </w:r>
    </w:p>
    <w:p w14:paraId="24ED66BA" w14:textId="374C8289" w:rsidR="00621959" w:rsidRPr="00203449" w:rsidRDefault="00203449" w:rsidP="00203449">
      <w:pPr>
        <w:pStyle w:val="enumlev1"/>
        <w:rPr>
          <w:spacing w:val="-6"/>
          <w:lang w:val="en-GB" w:bidi="ar-EG"/>
        </w:rPr>
      </w:pPr>
      <w:r w:rsidRPr="00203449">
        <w:rPr>
          <w:spacing w:val="-6"/>
        </w:rPr>
        <w:sym w:font="Wingdings 2" w:char="F097"/>
      </w:r>
      <w:r w:rsidRPr="00203449">
        <w:rPr>
          <w:spacing w:val="-6"/>
        </w:rPr>
        <w:tab/>
      </w:r>
      <w:r w:rsidR="00621959" w:rsidRPr="00203449">
        <w:rPr>
          <w:rFonts w:hint="cs"/>
          <w:spacing w:val="-6"/>
          <w:rtl/>
        </w:rPr>
        <w:t>و</w:t>
      </w:r>
      <w:r w:rsidR="00621959" w:rsidRPr="00203449">
        <w:rPr>
          <w:spacing w:val="-6"/>
          <w:rtl/>
        </w:rPr>
        <w:t>يواصل مكتب الاتصالات الراديوية تحديث وصيانة أدوات البرمجيات الخاصة بتنفيذ لوائح الراديو واستعمالها وتحليلها.</w:t>
      </w:r>
    </w:p>
    <w:p w14:paraId="428AA7A4" w14:textId="5374D8DB" w:rsidR="00621959" w:rsidRPr="00621959" w:rsidRDefault="00203449" w:rsidP="00203449">
      <w:pPr>
        <w:pStyle w:val="enumlev1"/>
        <w:rPr>
          <w:lang w:val="en-GB" w:bidi="ar-EG"/>
        </w:rPr>
      </w:pPr>
      <w:r>
        <w:sym w:font="Wingdings 2" w:char="F097"/>
      </w:r>
      <w:r>
        <w:tab/>
      </w:r>
      <w:r w:rsidR="00621959" w:rsidRPr="00621959">
        <w:rPr>
          <w:rFonts w:hint="cs"/>
          <w:rtl/>
        </w:rPr>
        <w:t>و</w:t>
      </w:r>
      <w:r w:rsidR="00621959" w:rsidRPr="00621959">
        <w:rPr>
          <w:rtl/>
        </w:rPr>
        <w:t xml:space="preserve">تم </w:t>
      </w:r>
      <w:hyperlink r:id="rId118" w:anchor="/ar" w:history="1">
        <w:r w:rsidR="00621959" w:rsidRPr="00621959">
          <w:rPr>
            <w:rStyle w:val="Hyperlink"/>
            <w:noProof w:val="0"/>
            <w:rtl/>
            <w:lang w:val="en-US" w:eastAsia="zh-CN" w:bidi="ar-SA"/>
          </w:rPr>
          <w:t>تحديث جدول توزيع نطاقات الترددات بموجب المادة 5 من لوائح الراديو</w:t>
        </w:r>
      </w:hyperlink>
      <w:r w:rsidR="00621959" w:rsidRPr="00621959">
        <w:rPr>
          <w:rtl/>
        </w:rPr>
        <w:t xml:space="preserve"> و</w:t>
      </w:r>
      <w:hyperlink r:id="rId119" w:anchor="/ar" w:history="1">
        <w:r w:rsidR="00621959" w:rsidRPr="00621959">
          <w:rPr>
            <w:rStyle w:val="Hyperlink"/>
            <w:noProof w:val="0"/>
            <w:rtl/>
            <w:lang w:val="en-US" w:eastAsia="zh-CN" w:bidi="ar-SA"/>
          </w:rPr>
          <w:t>أداة تصفح لوائح الراديو</w:t>
        </w:r>
      </w:hyperlink>
      <w:r w:rsidR="00621959" w:rsidRPr="00621959">
        <w:rPr>
          <w:rtl/>
        </w:rPr>
        <w:t xml:space="preserve"> بما يتماشى مع </w:t>
      </w:r>
      <w:r w:rsidR="00621959" w:rsidRPr="00621959">
        <w:rPr>
          <w:rFonts w:hint="cs"/>
          <w:rtl/>
        </w:rPr>
        <w:t>نسخة</w:t>
      </w:r>
      <w:r w:rsidR="00621959" w:rsidRPr="00621959">
        <w:rPr>
          <w:rtl/>
        </w:rPr>
        <w:t xml:space="preserve"> عام 2024.</w:t>
      </w:r>
    </w:p>
    <w:p w14:paraId="5C4E0FA6" w14:textId="097446D6" w:rsidR="00621959" w:rsidRPr="00621959" w:rsidRDefault="00203449" w:rsidP="00203449">
      <w:pPr>
        <w:pStyle w:val="enumlev1"/>
        <w:rPr>
          <w:lang w:val="en-GB" w:bidi="ar-EG"/>
        </w:rPr>
      </w:pPr>
      <w:bookmarkStart w:id="61" w:name="_Toc224288806"/>
      <w:r>
        <w:sym w:font="Wingdings 2" w:char="F097"/>
      </w:r>
      <w:r>
        <w:tab/>
      </w:r>
      <w:r w:rsidR="00621959" w:rsidRPr="00621959">
        <w:rPr>
          <w:rFonts w:hint="cs"/>
          <w:rtl/>
        </w:rPr>
        <w:t>و</w:t>
      </w:r>
      <w:r w:rsidR="00621959" w:rsidRPr="00621959">
        <w:rPr>
          <w:rtl/>
        </w:rPr>
        <w:t xml:space="preserve">يمكن الاطلاع على مزيد من المعلومات عن أدوات برمجيات قطاع الاتصالات الراديوية في القسم بشأن </w:t>
      </w:r>
      <w:hyperlink r:id="rId120" w:history="1">
        <w:r w:rsidR="00621959" w:rsidRPr="00621959">
          <w:rPr>
            <w:rStyle w:val="Hyperlink"/>
            <w:noProof w:val="0"/>
            <w:rtl/>
            <w:lang w:val="en-US" w:eastAsia="zh-CN" w:bidi="ar-SA"/>
          </w:rPr>
          <w:t>تحسينات وتطويرات البرمجيات</w:t>
        </w:r>
      </w:hyperlink>
      <w:r w:rsidR="00621959" w:rsidRPr="00621959">
        <w:rPr>
          <w:rtl/>
        </w:rPr>
        <w:t xml:space="preserve"> (2022-2025).</w:t>
      </w:r>
    </w:p>
    <w:p w14:paraId="39BB41AD" w14:textId="4CCE3FCE" w:rsidR="00621959" w:rsidRPr="00621959" w:rsidRDefault="00203449" w:rsidP="00203449">
      <w:pPr>
        <w:pStyle w:val="enumlev1"/>
        <w:rPr>
          <w:lang w:val="en-GB" w:bidi="ar-EG"/>
        </w:rPr>
      </w:pPr>
      <w:r>
        <w:sym w:font="Wingdings 2" w:char="F097"/>
      </w:r>
      <w:r>
        <w:tab/>
      </w:r>
      <w:r w:rsidR="00621959" w:rsidRPr="00621959">
        <w:rPr>
          <w:rFonts w:hint="cs"/>
          <w:rtl/>
        </w:rPr>
        <w:t>و</w:t>
      </w:r>
      <w:r w:rsidR="00621959" w:rsidRPr="00621959">
        <w:rPr>
          <w:rtl/>
        </w:rPr>
        <w:t xml:space="preserve">يوفر </w:t>
      </w:r>
      <w:hyperlink r:id="rId121" w:history="1">
        <w:r w:rsidR="00621959" w:rsidRPr="00621959">
          <w:rPr>
            <w:rStyle w:val="Hyperlink"/>
            <w:noProof w:val="0"/>
            <w:rtl/>
            <w:lang w:val="en-US" w:eastAsia="zh-CN" w:bidi="ar-SA"/>
          </w:rPr>
          <w:t>دليل استعمال الخدمات المتنقلة البحرية والخدمات الساتلية المتنقلة البحرية</w:t>
        </w:r>
      </w:hyperlink>
      <w:r w:rsidR="00621959" w:rsidRPr="00621959">
        <w:rPr>
          <w:rtl/>
        </w:rPr>
        <w:t xml:space="preserve"> (الدليل البحري)، المنشور في ديسمبر 2024، نظرة شاملة على الاتصالات البحرية.</w:t>
      </w:r>
    </w:p>
    <w:p w14:paraId="5FD352AD" w14:textId="1F72A74B" w:rsidR="00621959" w:rsidRPr="00621959" w:rsidRDefault="00203449" w:rsidP="00203449">
      <w:pPr>
        <w:pStyle w:val="enumlev1"/>
        <w:rPr>
          <w:lang w:val="en-GB" w:bidi="ar-EG"/>
        </w:rPr>
      </w:pPr>
      <w:r>
        <w:sym w:font="Wingdings 2" w:char="F097"/>
      </w:r>
      <w:r>
        <w:tab/>
      </w:r>
      <w:r w:rsidR="00621959" w:rsidRPr="00621959">
        <w:rPr>
          <w:rFonts w:hint="cs"/>
          <w:rtl/>
        </w:rPr>
        <w:t>و</w:t>
      </w:r>
      <w:r w:rsidR="00621959" w:rsidRPr="00621959">
        <w:rPr>
          <w:rtl/>
        </w:rPr>
        <w:t xml:space="preserve">اعتمد المجلس جدول أعمال المؤتمر </w:t>
      </w:r>
      <w:r w:rsidR="00621959" w:rsidRPr="00621959">
        <w:rPr>
          <w:lang w:val="en-GB" w:bidi="ar-EG"/>
        </w:rPr>
        <w:t>WRC-27</w:t>
      </w:r>
      <w:r w:rsidR="00621959" w:rsidRPr="00621959">
        <w:rPr>
          <w:rtl/>
        </w:rPr>
        <w:t xml:space="preserve"> وحدد موعده ومكان انعقاده.</w:t>
      </w:r>
    </w:p>
    <w:p w14:paraId="4917A5F7" w14:textId="0C88997A" w:rsidR="00621959" w:rsidRPr="00203449" w:rsidRDefault="00203449" w:rsidP="00203449">
      <w:pPr>
        <w:pStyle w:val="enumlev1"/>
        <w:rPr>
          <w:spacing w:val="-4"/>
          <w:lang w:val="en-GB" w:bidi="ar-EG"/>
        </w:rPr>
      </w:pPr>
      <w:r w:rsidRPr="00203449">
        <w:rPr>
          <w:spacing w:val="-4"/>
        </w:rPr>
        <w:sym w:font="Wingdings 2" w:char="F097"/>
      </w:r>
      <w:r w:rsidRPr="00203449">
        <w:rPr>
          <w:spacing w:val="-4"/>
        </w:rPr>
        <w:tab/>
      </w:r>
      <w:r w:rsidR="00621959" w:rsidRPr="00203449">
        <w:rPr>
          <w:rFonts w:hint="cs"/>
          <w:spacing w:val="-4"/>
          <w:rtl/>
        </w:rPr>
        <w:t>و</w:t>
      </w:r>
      <w:r w:rsidR="00621959" w:rsidRPr="00203449">
        <w:rPr>
          <w:spacing w:val="-4"/>
          <w:rtl/>
        </w:rPr>
        <w:t xml:space="preserve">سيعقد المؤتمر </w:t>
      </w:r>
      <w:r w:rsidR="00621959" w:rsidRPr="00203449">
        <w:rPr>
          <w:spacing w:val="-4"/>
          <w:lang w:val="en-GB" w:bidi="ar-EG"/>
        </w:rPr>
        <w:t>WRC-27</w:t>
      </w:r>
      <w:r w:rsidR="00621959" w:rsidRPr="00203449">
        <w:rPr>
          <w:spacing w:val="-4"/>
          <w:rtl/>
        </w:rPr>
        <w:t xml:space="preserve"> والجمعية </w:t>
      </w:r>
      <w:r w:rsidR="00621959" w:rsidRPr="00203449">
        <w:rPr>
          <w:spacing w:val="-4"/>
          <w:lang w:val="en-GB" w:bidi="ar-EG"/>
        </w:rPr>
        <w:t>RA-27</w:t>
      </w:r>
      <w:r w:rsidR="00621959" w:rsidRPr="00203449">
        <w:rPr>
          <w:spacing w:val="-4"/>
          <w:rtl/>
        </w:rPr>
        <w:t xml:space="preserve"> في شنغهاي، الصين، في الفترة من 11 أكتوبر إلى 12 نوفمبر 2027.</w:t>
      </w:r>
    </w:p>
    <w:p w14:paraId="2B46DCE2" w14:textId="6F749DC2" w:rsidR="00621959" w:rsidRPr="00621959" w:rsidRDefault="00203449" w:rsidP="00203449">
      <w:pPr>
        <w:pStyle w:val="enumlev1"/>
        <w:rPr>
          <w:lang w:val="en-GB" w:bidi="ar-EG"/>
        </w:rPr>
      </w:pPr>
      <w:r>
        <w:sym w:font="Wingdings 2" w:char="F097"/>
      </w:r>
      <w:r>
        <w:tab/>
      </w:r>
      <w:r w:rsidR="00621959" w:rsidRPr="00621959">
        <w:rPr>
          <w:rFonts w:hint="cs"/>
          <w:rtl/>
        </w:rPr>
        <w:t>و</w:t>
      </w:r>
      <w:r w:rsidR="00621959" w:rsidRPr="00621959">
        <w:rPr>
          <w:rtl/>
        </w:rPr>
        <w:t xml:space="preserve">تقوم الأفرقة المسؤولة عن كل بند من بنود جدول أعمال المؤتمر </w:t>
      </w:r>
      <w:r w:rsidR="00621959" w:rsidRPr="00621959">
        <w:rPr>
          <w:lang w:val="en-GB" w:bidi="ar-EG"/>
        </w:rPr>
        <w:t>WRC</w:t>
      </w:r>
      <w:r w:rsidR="00621959" w:rsidRPr="00621959">
        <w:rPr>
          <w:lang w:val="en-GB" w:bidi="ar-EG"/>
        </w:rPr>
        <w:noBreakHyphen/>
        <w:t>27</w:t>
      </w:r>
      <w:r w:rsidR="00621959" w:rsidRPr="00621959">
        <w:rPr>
          <w:rtl/>
          <w:lang w:bidi="ar-EG"/>
        </w:rPr>
        <w:t xml:space="preserve"> </w:t>
      </w:r>
      <w:r w:rsidR="00621959" w:rsidRPr="00621959">
        <w:rPr>
          <w:rtl/>
        </w:rPr>
        <w:t>والمساهمة فيها، والتي حددتها الدورة الأولى للاجتماع التحضيري للمؤتمر (</w:t>
      </w:r>
      <w:r w:rsidR="00621959" w:rsidRPr="00621959">
        <w:rPr>
          <w:cs/>
        </w:rPr>
        <w:t>‎</w:t>
      </w:r>
      <w:r w:rsidR="00621959" w:rsidRPr="00621959">
        <w:rPr>
          <w:lang w:val="en-GB" w:bidi="ar-EG"/>
        </w:rPr>
        <w:t>CPM27-1</w:t>
      </w:r>
      <w:r w:rsidR="00621959" w:rsidRPr="00621959">
        <w:rPr>
          <w:rtl/>
        </w:rPr>
        <w:t xml:space="preserve">)، بإجراء الدراسات التحضيرية للمؤتمر </w:t>
      </w:r>
      <w:r w:rsidR="00621959" w:rsidRPr="00621959">
        <w:rPr>
          <w:lang w:val="en-CA" w:bidi="ar-EG"/>
        </w:rPr>
        <w:t>WRC</w:t>
      </w:r>
      <w:r w:rsidR="00621959" w:rsidRPr="00621959">
        <w:rPr>
          <w:lang w:val="en-CA" w:bidi="ar-EG"/>
        </w:rPr>
        <w:noBreakHyphen/>
        <w:t>27</w:t>
      </w:r>
      <w:r w:rsidR="00621959" w:rsidRPr="00621959">
        <w:rPr>
          <w:rtl/>
        </w:rPr>
        <w:t>.</w:t>
      </w:r>
    </w:p>
    <w:p w14:paraId="58949002" w14:textId="67D4FD68" w:rsidR="00621959" w:rsidRPr="00621959" w:rsidRDefault="00203449" w:rsidP="00203449">
      <w:pPr>
        <w:pStyle w:val="enumlev1"/>
        <w:rPr>
          <w:lang w:val="en-GB" w:bidi="ar-EG"/>
        </w:rPr>
      </w:pPr>
      <w:r>
        <w:sym w:font="Wingdings 2" w:char="F097"/>
      </w:r>
      <w:r>
        <w:tab/>
      </w:r>
      <w:r w:rsidR="00621959" w:rsidRPr="00621959">
        <w:rPr>
          <w:rFonts w:hint="cs"/>
          <w:rtl/>
        </w:rPr>
        <w:t>و</w:t>
      </w:r>
      <w:r w:rsidR="00621959" w:rsidRPr="00621959">
        <w:rPr>
          <w:rtl/>
        </w:rPr>
        <w:t xml:space="preserve">يعمل مكتب الاتصالات الراديوية على معالجة بطاقات التبليغ عن </w:t>
      </w:r>
      <w:r w:rsidR="00621959" w:rsidRPr="00621959">
        <w:rPr>
          <w:rFonts w:hint="cs"/>
          <w:rtl/>
        </w:rPr>
        <w:t>الخدمات الفضائية</w:t>
      </w:r>
      <w:r w:rsidR="00621959" w:rsidRPr="00621959">
        <w:rPr>
          <w:rtl/>
        </w:rPr>
        <w:t xml:space="preserve"> </w:t>
      </w:r>
      <w:r w:rsidR="00621959" w:rsidRPr="00621959">
        <w:rPr>
          <w:rFonts w:hint="cs"/>
          <w:rtl/>
        </w:rPr>
        <w:t xml:space="preserve">وخدمات </w:t>
      </w:r>
      <w:r w:rsidR="00621959" w:rsidRPr="00621959">
        <w:rPr>
          <w:rtl/>
        </w:rPr>
        <w:t>الأرض.</w:t>
      </w:r>
    </w:p>
    <w:p w14:paraId="5665889F" w14:textId="16DBCCE8" w:rsidR="00621959" w:rsidRPr="00621959" w:rsidRDefault="00203449" w:rsidP="00203449">
      <w:pPr>
        <w:pStyle w:val="enumlev1"/>
        <w:rPr>
          <w:lang w:val="en-GB" w:bidi="ar-EG"/>
        </w:rPr>
      </w:pPr>
      <w:r>
        <w:sym w:font="Wingdings 2" w:char="F097"/>
      </w:r>
      <w:r>
        <w:tab/>
      </w:r>
      <w:r w:rsidR="00621959" w:rsidRPr="00621959">
        <w:rPr>
          <w:rFonts w:hint="cs"/>
          <w:rtl/>
        </w:rPr>
        <w:t>و</w:t>
      </w:r>
      <w:r w:rsidR="00621959" w:rsidRPr="00621959">
        <w:rPr>
          <w:rtl/>
        </w:rPr>
        <w:t xml:space="preserve">يمكن الاطلاع على مزيد من المعلومات عن نتائج هذا العمل في القسم التالي بشأن </w:t>
      </w:r>
      <w:hyperlink w:anchor="استعمال_الطيف_للخدمات_الفضائية_والأرضية" w:history="1">
        <w:r w:rsidR="00621959" w:rsidRPr="00203449">
          <w:rPr>
            <w:rStyle w:val="Hyperlink"/>
            <w:noProof w:val="0"/>
            <w:rtl/>
            <w:lang w:val="en-US" w:eastAsia="zh-CN"/>
          </w:rPr>
          <w:t>استعمال الطيف للخدمات الفضائية و</w:t>
        </w:r>
        <w:r w:rsidR="00621959" w:rsidRPr="00203449">
          <w:rPr>
            <w:rStyle w:val="Hyperlink"/>
            <w:rFonts w:hint="cs"/>
            <w:noProof w:val="0"/>
            <w:rtl/>
            <w:lang w:val="en-US" w:eastAsia="zh-CN"/>
          </w:rPr>
          <w:t>خدمات الأرض</w:t>
        </w:r>
      </w:hyperlink>
      <w:r w:rsidR="00621959" w:rsidRPr="00621959">
        <w:rPr>
          <w:rFonts w:hint="cs"/>
          <w:rtl/>
        </w:rPr>
        <w:t>.</w:t>
      </w:r>
    </w:p>
    <w:p w14:paraId="10372B2F" w14:textId="77777777" w:rsidR="00621959" w:rsidRPr="00203449" w:rsidRDefault="00621959" w:rsidP="00203449">
      <w:pPr>
        <w:pStyle w:val="Heading2"/>
        <w:pageBreakBefore/>
      </w:pPr>
      <w:bookmarkStart w:id="62" w:name="_Toc227252580"/>
      <w:bookmarkEnd w:id="61"/>
      <w:r w:rsidRPr="00621959">
        <w:rPr>
          <w:rtl/>
        </w:rPr>
        <w:t>2.4</w:t>
      </w:r>
      <w:r w:rsidRPr="00621959">
        <w:rPr>
          <w:rtl/>
        </w:rPr>
        <w:tab/>
        <w:t>تخصيص وإدارة الموارد</w:t>
      </w:r>
      <w:bookmarkEnd w:id="62"/>
    </w:p>
    <w:p w14:paraId="2F80615F" w14:textId="66393533" w:rsidR="00621959" w:rsidRPr="00203449" w:rsidRDefault="00621959" w:rsidP="00203449">
      <w:pPr>
        <w:pStyle w:val="Heading3"/>
      </w:pPr>
      <w:bookmarkStart w:id="63" w:name="_Toc227252581"/>
      <w:r w:rsidRPr="00621959">
        <w:rPr>
          <w:rtl/>
        </w:rPr>
        <w:t>1.2.4</w:t>
      </w:r>
      <w:r w:rsidRPr="00621959">
        <w:rPr>
          <w:rtl/>
        </w:rPr>
        <w:tab/>
        <w:t>استعمال الطيف للخدمات الفضائية و</w:t>
      </w:r>
      <w:r w:rsidR="00CA28EE">
        <w:rPr>
          <w:rFonts w:hint="cs"/>
          <w:rtl/>
        </w:rPr>
        <w:t xml:space="preserve">خدمات </w:t>
      </w:r>
      <w:r w:rsidRPr="00621959">
        <w:rPr>
          <w:rtl/>
        </w:rPr>
        <w:t>الأرض</w:t>
      </w:r>
      <w:bookmarkEnd w:id="63"/>
    </w:p>
    <w:p w14:paraId="6B24554C" w14:textId="77777777" w:rsidR="00621959" w:rsidRPr="00203449" w:rsidRDefault="00621959" w:rsidP="00203449">
      <w:pPr>
        <w:pStyle w:val="Tabletitle"/>
        <w:rPr>
          <w:lang w:bidi="ar-EG"/>
        </w:rPr>
      </w:pPr>
      <w:r w:rsidRPr="00203449">
        <w:rPr>
          <w:rtl/>
        </w:rPr>
        <w:t xml:space="preserve">نتائج معالجة بطاقات التبليغ عن </w:t>
      </w:r>
      <w:r w:rsidRPr="00203449">
        <w:rPr>
          <w:rFonts w:hint="cs"/>
          <w:rtl/>
        </w:rPr>
        <w:t>الخدمات الفضائية</w:t>
      </w:r>
      <w:r w:rsidRPr="00203449">
        <w:rPr>
          <w:rtl/>
        </w:rPr>
        <w:t xml:space="preserve"> والأنشطة الأخرى المتصلة بها، 2022-2025</w:t>
      </w:r>
    </w:p>
    <w:tbl>
      <w:tblPr>
        <w:bidiVisual/>
        <w:tblW w:w="5000" w:type="pct"/>
        <w:tblLayout w:type="fixed"/>
        <w:tblCellMar>
          <w:left w:w="10" w:type="dxa"/>
          <w:right w:w="10" w:type="dxa"/>
        </w:tblCellMar>
        <w:tblLook w:val="0000" w:firstRow="0" w:lastRow="0" w:firstColumn="0" w:lastColumn="0" w:noHBand="0" w:noVBand="0"/>
      </w:tblPr>
      <w:tblGrid>
        <w:gridCol w:w="4006"/>
        <w:gridCol w:w="820"/>
        <w:gridCol w:w="774"/>
        <w:gridCol w:w="956"/>
        <w:gridCol w:w="1093"/>
        <w:gridCol w:w="1412"/>
      </w:tblGrid>
      <w:tr w:rsidR="00621959" w:rsidRPr="00203449" w14:paraId="7B8464D3" w14:textId="77777777" w:rsidTr="00E2462E">
        <w:tc>
          <w:tcPr>
            <w:tcW w:w="3960" w:type="dxa"/>
            <w:tcBorders>
              <w:top w:val="single" w:sz="4" w:space="0" w:color="4BACC6"/>
              <w:left w:val="single" w:sz="4" w:space="0" w:color="4BACC6"/>
            </w:tcBorders>
            <w:tcMar>
              <w:top w:w="0" w:type="dxa"/>
              <w:left w:w="108" w:type="dxa"/>
              <w:bottom w:w="0" w:type="dxa"/>
              <w:right w:w="108" w:type="dxa"/>
            </w:tcMar>
            <w:vAlign w:val="center"/>
          </w:tcPr>
          <w:p w14:paraId="6BE93201" w14:textId="77777777" w:rsidR="00621959" w:rsidRPr="00203449" w:rsidRDefault="00621959" w:rsidP="00E2462E">
            <w:pPr>
              <w:pStyle w:val="Tablehead"/>
              <w:rPr>
                <w:position w:val="2"/>
                <w:lang w:bidi="ar-EG"/>
              </w:rPr>
            </w:pPr>
            <w:r w:rsidRPr="00203449">
              <w:rPr>
                <w:position w:val="2"/>
                <w:rtl/>
              </w:rPr>
              <w:t>نتائج معالجة بطاقات التبليغ عن الخدمات الفضائية والأنشطة الأخرى المتصلة بها</w:t>
            </w:r>
          </w:p>
        </w:tc>
        <w:tc>
          <w:tcPr>
            <w:tcW w:w="810" w:type="dxa"/>
            <w:tcBorders>
              <w:top w:val="single" w:sz="4" w:space="0" w:color="4BACC6"/>
            </w:tcBorders>
            <w:tcMar>
              <w:top w:w="0" w:type="dxa"/>
              <w:left w:w="108" w:type="dxa"/>
              <w:bottom w:w="0" w:type="dxa"/>
              <w:right w:w="108" w:type="dxa"/>
            </w:tcMar>
            <w:vAlign w:val="center"/>
          </w:tcPr>
          <w:p w14:paraId="6C3031B1" w14:textId="77777777" w:rsidR="00621959" w:rsidRPr="00203449" w:rsidRDefault="00621959" w:rsidP="00E2462E">
            <w:pPr>
              <w:pStyle w:val="Tablehead"/>
              <w:rPr>
                <w:position w:val="2"/>
                <w:lang w:bidi="ar-EG"/>
              </w:rPr>
            </w:pPr>
            <w:r w:rsidRPr="00203449">
              <w:rPr>
                <w:position w:val="2"/>
                <w:lang w:bidi="ar-EG"/>
              </w:rPr>
              <w:t>2022</w:t>
            </w:r>
          </w:p>
        </w:tc>
        <w:tc>
          <w:tcPr>
            <w:tcW w:w="765" w:type="dxa"/>
            <w:tcBorders>
              <w:top w:val="single" w:sz="4" w:space="0" w:color="4BACC6"/>
            </w:tcBorders>
            <w:tcMar>
              <w:top w:w="0" w:type="dxa"/>
              <w:left w:w="108" w:type="dxa"/>
              <w:bottom w:w="0" w:type="dxa"/>
              <w:right w:w="108" w:type="dxa"/>
            </w:tcMar>
            <w:vAlign w:val="center"/>
          </w:tcPr>
          <w:p w14:paraId="0FEF51B5" w14:textId="77777777" w:rsidR="00621959" w:rsidRPr="00203449" w:rsidRDefault="00621959" w:rsidP="00E2462E">
            <w:pPr>
              <w:pStyle w:val="Tablehead"/>
              <w:rPr>
                <w:position w:val="2"/>
                <w:lang w:bidi="ar-EG"/>
              </w:rPr>
            </w:pPr>
            <w:r w:rsidRPr="00203449">
              <w:rPr>
                <w:position w:val="2"/>
                <w:lang w:bidi="ar-EG"/>
              </w:rPr>
              <w:t>2023</w:t>
            </w:r>
          </w:p>
        </w:tc>
        <w:tc>
          <w:tcPr>
            <w:tcW w:w="945" w:type="dxa"/>
            <w:tcBorders>
              <w:top w:val="single" w:sz="4" w:space="0" w:color="4BACC6"/>
            </w:tcBorders>
            <w:tcMar>
              <w:top w:w="0" w:type="dxa"/>
              <w:left w:w="108" w:type="dxa"/>
              <w:bottom w:w="0" w:type="dxa"/>
              <w:right w:w="108" w:type="dxa"/>
            </w:tcMar>
            <w:vAlign w:val="center"/>
          </w:tcPr>
          <w:p w14:paraId="6B1E50B6" w14:textId="77777777" w:rsidR="00621959" w:rsidRPr="00203449" w:rsidRDefault="00621959" w:rsidP="00E2462E">
            <w:pPr>
              <w:pStyle w:val="Tablehead"/>
              <w:rPr>
                <w:position w:val="2"/>
                <w:lang w:bidi="ar-EG"/>
              </w:rPr>
            </w:pPr>
            <w:r w:rsidRPr="00203449">
              <w:rPr>
                <w:position w:val="2"/>
                <w:lang w:bidi="ar-EG"/>
              </w:rPr>
              <w:t>2024</w:t>
            </w:r>
          </w:p>
        </w:tc>
        <w:tc>
          <w:tcPr>
            <w:tcW w:w="1080" w:type="dxa"/>
            <w:tcBorders>
              <w:top w:val="single" w:sz="4" w:space="0" w:color="4BACC6"/>
            </w:tcBorders>
            <w:tcMar>
              <w:top w:w="0" w:type="dxa"/>
              <w:left w:w="108" w:type="dxa"/>
              <w:bottom w:w="0" w:type="dxa"/>
              <w:right w:w="108" w:type="dxa"/>
            </w:tcMar>
            <w:vAlign w:val="center"/>
          </w:tcPr>
          <w:p w14:paraId="050B4CA8" w14:textId="77777777" w:rsidR="00621959" w:rsidRPr="00203449" w:rsidRDefault="00621959" w:rsidP="00E2462E">
            <w:pPr>
              <w:pStyle w:val="Tablehead"/>
              <w:rPr>
                <w:position w:val="2"/>
                <w:lang w:bidi="ar-EG"/>
              </w:rPr>
            </w:pPr>
            <w:r w:rsidRPr="00203449">
              <w:rPr>
                <w:position w:val="2"/>
                <w:lang w:bidi="ar-EG"/>
              </w:rPr>
              <w:t>2025</w:t>
            </w:r>
          </w:p>
        </w:tc>
        <w:tc>
          <w:tcPr>
            <w:tcW w:w="1395" w:type="dxa"/>
            <w:tcBorders>
              <w:top w:val="single" w:sz="4" w:space="0" w:color="4BACC6"/>
              <w:right w:val="single" w:sz="4" w:space="0" w:color="4BACC6"/>
            </w:tcBorders>
            <w:tcMar>
              <w:top w:w="0" w:type="dxa"/>
              <w:left w:w="108" w:type="dxa"/>
              <w:bottom w:w="0" w:type="dxa"/>
              <w:right w:w="108" w:type="dxa"/>
            </w:tcMar>
            <w:vAlign w:val="center"/>
          </w:tcPr>
          <w:p w14:paraId="1A2E411B" w14:textId="6352102D" w:rsidR="00621959" w:rsidRPr="00203449" w:rsidRDefault="00621959" w:rsidP="00E2462E">
            <w:pPr>
              <w:pStyle w:val="Tablehead"/>
              <w:rPr>
                <w:position w:val="2"/>
                <w:lang w:bidi="ar-EG"/>
              </w:rPr>
            </w:pPr>
            <w:r w:rsidRPr="00203449">
              <w:rPr>
                <w:rFonts w:hint="cs"/>
                <w:position w:val="2"/>
                <w:rtl/>
              </w:rPr>
              <w:t>المجموع</w:t>
            </w:r>
            <w:r w:rsidR="00203449">
              <w:rPr>
                <w:position w:val="2"/>
                <w:lang w:bidi="ar-EG"/>
              </w:rPr>
              <w:br/>
            </w:r>
            <w:r w:rsidRPr="00203449">
              <w:rPr>
                <w:rFonts w:hint="cs"/>
                <w:position w:val="2"/>
                <w:rtl/>
              </w:rPr>
              <w:t>2022-2025</w:t>
            </w:r>
          </w:p>
        </w:tc>
      </w:tr>
      <w:tr w:rsidR="00621959" w:rsidRPr="00203449" w14:paraId="1D59E81C" w14:textId="77777777" w:rsidTr="00203449">
        <w:tc>
          <w:tcPr>
            <w:tcW w:w="3960" w:type="dxa"/>
            <w:tcBorders>
              <w:left w:val="single" w:sz="4" w:space="0" w:color="4BACC6"/>
            </w:tcBorders>
            <w:tcMar>
              <w:top w:w="0" w:type="dxa"/>
              <w:left w:w="108" w:type="dxa"/>
              <w:bottom w:w="0" w:type="dxa"/>
              <w:right w:w="108" w:type="dxa"/>
            </w:tcMar>
            <w:vAlign w:val="center"/>
          </w:tcPr>
          <w:p w14:paraId="211CDF73" w14:textId="77777777" w:rsidR="00621959" w:rsidRPr="00203449" w:rsidRDefault="00621959" w:rsidP="00203449">
            <w:pPr>
              <w:pStyle w:val="Tabletexte"/>
              <w:rPr>
                <w:position w:val="2"/>
                <w:lang w:bidi="ar-EG"/>
              </w:rPr>
            </w:pPr>
            <w:r w:rsidRPr="00203449">
              <w:rPr>
                <w:position w:val="2"/>
                <w:rtl/>
              </w:rPr>
              <w:t xml:space="preserve">طلبات التنسيق والتبليغ </w:t>
            </w:r>
          </w:p>
        </w:tc>
        <w:tc>
          <w:tcPr>
            <w:tcW w:w="810" w:type="dxa"/>
            <w:tcMar>
              <w:top w:w="0" w:type="dxa"/>
              <w:left w:w="108" w:type="dxa"/>
              <w:bottom w:w="0" w:type="dxa"/>
              <w:right w:w="108" w:type="dxa"/>
            </w:tcMar>
            <w:vAlign w:val="center"/>
          </w:tcPr>
          <w:p w14:paraId="6BB50EB9" w14:textId="75D2440F" w:rsidR="00621959" w:rsidRPr="00203449" w:rsidRDefault="00621959" w:rsidP="00203449">
            <w:pPr>
              <w:pStyle w:val="Tabletexte"/>
              <w:jc w:val="center"/>
              <w:rPr>
                <w:position w:val="2"/>
                <w:lang w:bidi="ar-EG"/>
              </w:rPr>
            </w:pPr>
            <w:r w:rsidRPr="00203449">
              <w:rPr>
                <w:position w:val="2"/>
                <w:lang w:bidi="ar-EG"/>
              </w:rPr>
              <w:t>1</w:t>
            </w:r>
            <w:r w:rsidR="00203449">
              <w:rPr>
                <w:position w:val="2"/>
                <w:lang w:bidi="ar-EG"/>
              </w:rPr>
              <w:t> </w:t>
            </w:r>
            <w:r w:rsidRPr="00203449">
              <w:rPr>
                <w:position w:val="2"/>
                <w:lang w:bidi="ar-EG"/>
              </w:rPr>
              <w:t>518</w:t>
            </w:r>
          </w:p>
        </w:tc>
        <w:tc>
          <w:tcPr>
            <w:tcW w:w="765" w:type="dxa"/>
            <w:tcMar>
              <w:top w:w="0" w:type="dxa"/>
              <w:left w:w="108" w:type="dxa"/>
              <w:bottom w:w="0" w:type="dxa"/>
              <w:right w:w="108" w:type="dxa"/>
            </w:tcMar>
            <w:vAlign w:val="center"/>
          </w:tcPr>
          <w:p w14:paraId="1C02C825" w14:textId="1E89EDCF" w:rsidR="00621959" w:rsidRPr="00203449" w:rsidRDefault="00621959" w:rsidP="00203449">
            <w:pPr>
              <w:pStyle w:val="Tabletexte"/>
              <w:jc w:val="center"/>
              <w:rPr>
                <w:position w:val="2"/>
                <w:lang w:bidi="ar-EG"/>
              </w:rPr>
            </w:pPr>
            <w:r w:rsidRPr="00203449">
              <w:rPr>
                <w:position w:val="2"/>
                <w:lang w:bidi="ar-EG"/>
              </w:rPr>
              <w:t>1</w:t>
            </w:r>
            <w:r w:rsidR="00203449">
              <w:rPr>
                <w:position w:val="2"/>
                <w:lang w:bidi="ar-EG"/>
              </w:rPr>
              <w:t> </w:t>
            </w:r>
            <w:r w:rsidRPr="00203449">
              <w:rPr>
                <w:position w:val="2"/>
                <w:lang w:bidi="ar-EG"/>
              </w:rPr>
              <w:t>349</w:t>
            </w:r>
          </w:p>
        </w:tc>
        <w:tc>
          <w:tcPr>
            <w:tcW w:w="945" w:type="dxa"/>
            <w:tcMar>
              <w:top w:w="0" w:type="dxa"/>
              <w:left w:w="108" w:type="dxa"/>
              <w:bottom w:w="0" w:type="dxa"/>
              <w:right w:w="108" w:type="dxa"/>
            </w:tcMar>
            <w:vAlign w:val="center"/>
          </w:tcPr>
          <w:p w14:paraId="31C4ED83" w14:textId="2C74E981" w:rsidR="00621959" w:rsidRPr="00203449" w:rsidRDefault="00621959" w:rsidP="00203449">
            <w:pPr>
              <w:pStyle w:val="Tabletexte"/>
              <w:jc w:val="center"/>
              <w:rPr>
                <w:position w:val="2"/>
                <w:lang w:bidi="ar-EG"/>
              </w:rPr>
            </w:pPr>
            <w:r w:rsidRPr="00203449">
              <w:rPr>
                <w:position w:val="2"/>
                <w:lang w:bidi="ar-EG"/>
              </w:rPr>
              <w:t>1</w:t>
            </w:r>
            <w:r w:rsidR="00203449">
              <w:rPr>
                <w:position w:val="2"/>
                <w:lang w:bidi="ar-EG"/>
              </w:rPr>
              <w:t> </w:t>
            </w:r>
            <w:r w:rsidRPr="00203449">
              <w:rPr>
                <w:position w:val="2"/>
                <w:lang w:bidi="ar-EG"/>
              </w:rPr>
              <w:t>384</w:t>
            </w:r>
          </w:p>
        </w:tc>
        <w:tc>
          <w:tcPr>
            <w:tcW w:w="1080" w:type="dxa"/>
            <w:tcMar>
              <w:top w:w="0" w:type="dxa"/>
              <w:left w:w="108" w:type="dxa"/>
              <w:bottom w:w="0" w:type="dxa"/>
              <w:right w:w="108" w:type="dxa"/>
            </w:tcMar>
            <w:vAlign w:val="center"/>
          </w:tcPr>
          <w:p w14:paraId="6AD88BA9" w14:textId="1C2EC265" w:rsidR="00621959" w:rsidRPr="00203449" w:rsidRDefault="00621959" w:rsidP="00203449">
            <w:pPr>
              <w:pStyle w:val="Tabletexte"/>
              <w:jc w:val="center"/>
              <w:rPr>
                <w:position w:val="2"/>
                <w:lang w:bidi="ar-EG"/>
              </w:rPr>
            </w:pPr>
            <w:r w:rsidRPr="00203449">
              <w:rPr>
                <w:position w:val="2"/>
                <w:lang w:bidi="ar-EG"/>
              </w:rPr>
              <w:t>1</w:t>
            </w:r>
            <w:r w:rsidR="00203449">
              <w:rPr>
                <w:position w:val="2"/>
                <w:lang w:bidi="ar-EG"/>
              </w:rPr>
              <w:t> </w:t>
            </w:r>
            <w:r w:rsidRPr="00203449">
              <w:rPr>
                <w:position w:val="2"/>
                <w:lang w:bidi="ar-EG"/>
              </w:rPr>
              <w:t>198</w:t>
            </w:r>
          </w:p>
        </w:tc>
        <w:tc>
          <w:tcPr>
            <w:tcW w:w="1395" w:type="dxa"/>
            <w:tcBorders>
              <w:right w:val="single" w:sz="4" w:space="0" w:color="4BACC6"/>
            </w:tcBorders>
            <w:tcMar>
              <w:top w:w="0" w:type="dxa"/>
              <w:left w:w="108" w:type="dxa"/>
              <w:bottom w:w="0" w:type="dxa"/>
              <w:right w:w="108" w:type="dxa"/>
            </w:tcMar>
            <w:vAlign w:val="center"/>
          </w:tcPr>
          <w:p w14:paraId="1072C0C4" w14:textId="48E46FF0" w:rsidR="00621959" w:rsidRPr="00203449" w:rsidRDefault="00621959" w:rsidP="00203449">
            <w:pPr>
              <w:pStyle w:val="Tabletexte"/>
              <w:jc w:val="center"/>
              <w:rPr>
                <w:position w:val="2"/>
                <w:lang w:bidi="ar-EG"/>
              </w:rPr>
            </w:pPr>
            <w:r w:rsidRPr="00203449">
              <w:rPr>
                <w:position w:val="2"/>
                <w:lang w:bidi="ar-EG"/>
              </w:rPr>
              <w:t>5</w:t>
            </w:r>
            <w:r w:rsidR="00203449">
              <w:rPr>
                <w:position w:val="2"/>
                <w:lang w:bidi="ar-EG"/>
              </w:rPr>
              <w:t> </w:t>
            </w:r>
            <w:r w:rsidRPr="00203449">
              <w:rPr>
                <w:position w:val="2"/>
                <w:lang w:bidi="ar-EG"/>
              </w:rPr>
              <w:t>459</w:t>
            </w:r>
          </w:p>
        </w:tc>
      </w:tr>
      <w:tr w:rsidR="00621959" w:rsidRPr="00203449" w14:paraId="116DF818" w14:textId="77777777" w:rsidTr="00203449">
        <w:tc>
          <w:tcPr>
            <w:tcW w:w="3960" w:type="dxa"/>
            <w:tcBorders>
              <w:left w:val="single" w:sz="4" w:space="0" w:color="4BACC6"/>
            </w:tcBorders>
            <w:tcMar>
              <w:top w:w="0" w:type="dxa"/>
              <w:left w:w="108" w:type="dxa"/>
              <w:bottom w:w="0" w:type="dxa"/>
              <w:right w:w="108" w:type="dxa"/>
            </w:tcMar>
            <w:vAlign w:val="center"/>
          </w:tcPr>
          <w:p w14:paraId="1D2A49E6" w14:textId="77777777" w:rsidR="00621959" w:rsidRPr="00203449" w:rsidRDefault="00621959" w:rsidP="00203449">
            <w:pPr>
              <w:pStyle w:val="Tabletexte"/>
              <w:rPr>
                <w:position w:val="2"/>
                <w:lang w:bidi="ar-EG"/>
              </w:rPr>
            </w:pPr>
            <w:r w:rsidRPr="00203449">
              <w:rPr>
                <w:position w:val="2"/>
                <w:rtl/>
              </w:rPr>
              <w:t>طلبات بشأن خطط الإذاعة الساتلية ووصلات التغذية المرتبطة بها</w:t>
            </w:r>
          </w:p>
        </w:tc>
        <w:tc>
          <w:tcPr>
            <w:tcW w:w="810" w:type="dxa"/>
            <w:tcMar>
              <w:top w:w="0" w:type="dxa"/>
              <w:left w:w="108" w:type="dxa"/>
              <w:bottom w:w="0" w:type="dxa"/>
              <w:right w:w="108" w:type="dxa"/>
            </w:tcMar>
            <w:vAlign w:val="center"/>
          </w:tcPr>
          <w:p w14:paraId="7A61BA38" w14:textId="77777777" w:rsidR="00621959" w:rsidRPr="00203449" w:rsidRDefault="00621959" w:rsidP="00203449">
            <w:pPr>
              <w:pStyle w:val="Tabletexte"/>
              <w:jc w:val="center"/>
              <w:rPr>
                <w:position w:val="2"/>
                <w:lang w:bidi="ar-EG"/>
              </w:rPr>
            </w:pPr>
            <w:r w:rsidRPr="00203449">
              <w:rPr>
                <w:position w:val="2"/>
                <w:lang w:bidi="ar-EG"/>
              </w:rPr>
              <w:t>134</w:t>
            </w:r>
          </w:p>
        </w:tc>
        <w:tc>
          <w:tcPr>
            <w:tcW w:w="765" w:type="dxa"/>
            <w:tcMar>
              <w:top w:w="0" w:type="dxa"/>
              <w:left w:w="108" w:type="dxa"/>
              <w:bottom w:w="0" w:type="dxa"/>
              <w:right w:w="108" w:type="dxa"/>
            </w:tcMar>
            <w:vAlign w:val="center"/>
          </w:tcPr>
          <w:p w14:paraId="1231E2FE" w14:textId="0189C808" w:rsidR="00621959" w:rsidRPr="00203449" w:rsidRDefault="00203449" w:rsidP="00203449">
            <w:pPr>
              <w:pStyle w:val="Tabletexte"/>
              <w:jc w:val="center"/>
              <w:rPr>
                <w:position w:val="2"/>
                <w:lang w:bidi="ar-EG"/>
              </w:rPr>
            </w:pPr>
            <w:r>
              <w:rPr>
                <w:position w:val="2"/>
                <w:lang w:bidi="ar-EG"/>
              </w:rPr>
              <w:t>*</w:t>
            </w:r>
            <w:r w:rsidR="00621959" w:rsidRPr="00203449">
              <w:rPr>
                <w:position w:val="2"/>
                <w:lang w:bidi="ar-EG"/>
              </w:rPr>
              <w:t>130</w:t>
            </w:r>
          </w:p>
        </w:tc>
        <w:tc>
          <w:tcPr>
            <w:tcW w:w="945" w:type="dxa"/>
            <w:tcMar>
              <w:top w:w="0" w:type="dxa"/>
              <w:left w:w="108" w:type="dxa"/>
              <w:bottom w:w="0" w:type="dxa"/>
              <w:right w:w="108" w:type="dxa"/>
            </w:tcMar>
            <w:vAlign w:val="center"/>
          </w:tcPr>
          <w:p w14:paraId="1EDDEC70" w14:textId="05D2114F" w:rsidR="00621959" w:rsidRPr="00203449" w:rsidRDefault="00203449" w:rsidP="00203449">
            <w:pPr>
              <w:pStyle w:val="Tabletexte"/>
              <w:jc w:val="center"/>
              <w:rPr>
                <w:position w:val="2"/>
                <w:lang w:bidi="ar-EG"/>
              </w:rPr>
            </w:pPr>
            <w:r>
              <w:rPr>
                <w:position w:val="2"/>
                <w:lang w:bidi="ar-EG"/>
              </w:rPr>
              <w:t>**</w:t>
            </w:r>
            <w:r w:rsidR="00621959" w:rsidRPr="00203449">
              <w:rPr>
                <w:position w:val="2"/>
                <w:lang w:bidi="ar-EG"/>
              </w:rPr>
              <w:t>204</w:t>
            </w:r>
          </w:p>
        </w:tc>
        <w:tc>
          <w:tcPr>
            <w:tcW w:w="1080" w:type="dxa"/>
            <w:tcMar>
              <w:top w:w="0" w:type="dxa"/>
              <w:left w:w="108" w:type="dxa"/>
              <w:bottom w:w="0" w:type="dxa"/>
              <w:right w:w="108" w:type="dxa"/>
            </w:tcMar>
            <w:vAlign w:val="center"/>
          </w:tcPr>
          <w:p w14:paraId="42C44713" w14:textId="77777777" w:rsidR="00621959" w:rsidRPr="00203449" w:rsidRDefault="00621959" w:rsidP="00203449">
            <w:pPr>
              <w:pStyle w:val="Tabletexte"/>
              <w:jc w:val="center"/>
              <w:rPr>
                <w:position w:val="2"/>
                <w:lang w:bidi="ar-EG"/>
              </w:rPr>
            </w:pPr>
            <w:r w:rsidRPr="00203449">
              <w:rPr>
                <w:position w:val="2"/>
                <w:lang w:bidi="ar-EG"/>
              </w:rPr>
              <w:t>90</w:t>
            </w:r>
          </w:p>
        </w:tc>
        <w:tc>
          <w:tcPr>
            <w:tcW w:w="1395" w:type="dxa"/>
            <w:tcBorders>
              <w:right w:val="single" w:sz="4" w:space="0" w:color="4BACC6"/>
            </w:tcBorders>
            <w:tcMar>
              <w:top w:w="0" w:type="dxa"/>
              <w:left w:w="108" w:type="dxa"/>
              <w:bottom w:w="0" w:type="dxa"/>
              <w:right w:w="108" w:type="dxa"/>
            </w:tcMar>
            <w:vAlign w:val="center"/>
          </w:tcPr>
          <w:p w14:paraId="7EE77B31" w14:textId="77777777" w:rsidR="00621959" w:rsidRPr="00203449" w:rsidRDefault="00621959" w:rsidP="00203449">
            <w:pPr>
              <w:pStyle w:val="Tabletexte"/>
              <w:jc w:val="center"/>
              <w:rPr>
                <w:position w:val="2"/>
                <w:lang w:bidi="ar-EG"/>
              </w:rPr>
            </w:pPr>
            <w:r w:rsidRPr="00203449">
              <w:rPr>
                <w:position w:val="2"/>
                <w:lang w:bidi="ar-EG"/>
              </w:rPr>
              <w:t>558</w:t>
            </w:r>
          </w:p>
        </w:tc>
      </w:tr>
      <w:tr w:rsidR="00621959" w:rsidRPr="00203449" w14:paraId="0C7383AA" w14:textId="77777777" w:rsidTr="00203449">
        <w:tc>
          <w:tcPr>
            <w:tcW w:w="3960" w:type="dxa"/>
            <w:tcBorders>
              <w:left w:val="single" w:sz="4" w:space="0" w:color="4BACC6"/>
              <w:bottom w:val="single" w:sz="4" w:space="0" w:color="4BACC6"/>
            </w:tcBorders>
            <w:tcMar>
              <w:top w:w="0" w:type="dxa"/>
              <w:left w:w="108" w:type="dxa"/>
              <w:bottom w:w="0" w:type="dxa"/>
              <w:right w:w="108" w:type="dxa"/>
            </w:tcMar>
            <w:vAlign w:val="center"/>
          </w:tcPr>
          <w:p w14:paraId="42D37CC5" w14:textId="77777777" w:rsidR="00621959" w:rsidRPr="00203449" w:rsidRDefault="00621959" w:rsidP="00203449">
            <w:pPr>
              <w:pStyle w:val="Tabletexte"/>
              <w:rPr>
                <w:position w:val="2"/>
                <w:lang w:bidi="ar-EG"/>
              </w:rPr>
            </w:pPr>
            <w:r w:rsidRPr="00203449">
              <w:rPr>
                <w:position w:val="2"/>
                <w:rtl/>
              </w:rPr>
              <w:t>طلبات بشأن خطة الخدمة الثابتة الساتلية</w:t>
            </w:r>
          </w:p>
        </w:tc>
        <w:tc>
          <w:tcPr>
            <w:tcW w:w="810" w:type="dxa"/>
            <w:tcBorders>
              <w:bottom w:val="single" w:sz="4" w:space="0" w:color="4BACC6"/>
            </w:tcBorders>
            <w:tcMar>
              <w:top w:w="0" w:type="dxa"/>
              <w:left w:w="108" w:type="dxa"/>
              <w:bottom w:w="0" w:type="dxa"/>
              <w:right w:w="108" w:type="dxa"/>
            </w:tcMar>
            <w:vAlign w:val="center"/>
          </w:tcPr>
          <w:p w14:paraId="4666796B" w14:textId="77777777" w:rsidR="00621959" w:rsidRPr="00203449" w:rsidRDefault="00621959" w:rsidP="00203449">
            <w:pPr>
              <w:pStyle w:val="Tabletexte"/>
              <w:jc w:val="center"/>
              <w:rPr>
                <w:position w:val="2"/>
                <w:lang w:bidi="ar-EG"/>
              </w:rPr>
            </w:pPr>
            <w:r w:rsidRPr="00203449">
              <w:rPr>
                <w:position w:val="2"/>
                <w:lang w:bidi="ar-EG"/>
              </w:rPr>
              <w:t>134</w:t>
            </w:r>
          </w:p>
        </w:tc>
        <w:tc>
          <w:tcPr>
            <w:tcW w:w="765" w:type="dxa"/>
            <w:tcBorders>
              <w:bottom w:val="single" w:sz="4" w:space="0" w:color="4BACC6"/>
            </w:tcBorders>
            <w:tcMar>
              <w:top w:w="0" w:type="dxa"/>
              <w:left w:w="108" w:type="dxa"/>
              <w:bottom w:w="0" w:type="dxa"/>
              <w:right w:w="108" w:type="dxa"/>
            </w:tcMar>
            <w:vAlign w:val="center"/>
          </w:tcPr>
          <w:p w14:paraId="644CCE44" w14:textId="77777777" w:rsidR="00621959" w:rsidRPr="00203449" w:rsidRDefault="00621959" w:rsidP="00203449">
            <w:pPr>
              <w:pStyle w:val="Tabletexte"/>
              <w:jc w:val="center"/>
              <w:rPr>
                <w:position w:val="2"/>
                <w:lang w:bidi="ar-EG"/>
              </w:rPr>
            </w:pPr>
            <w:r w:rsidRPr="00203449">
              <w:rPr>
                <w:position w:val="2"/>
                <w:lang w:bidi="ar-EG"/>
              </w:rPr>
              <w:t>92</w:t>
            </w:r>
          </w:p>
        </w:tc>
        <w:tc>
          <w:tcPr>
            <w:tcW w:w="945" w:type="dxa"/>
            <w:tcBorders>
              <w:bottom w:val="single" w:sz="4" w:space="0" w:color="4BACC6"/>
            </w:tcBorders>
            <w:tcMar>
              <w:top w:w="0" w:type="dxa"/>
              <w:left w:w="108" w:type="dxa"/>
              <w:bottom w:w="0" w:type="dxa"/>
              <w:right w:w="108" w:type="dxa"/>
            </w:tcMar>
            <w:vAlign w:val="center"/>
          </w:tcPr>
          <w:p w14:paraId="71920315" w14:textId="1A4EAF11" w:rsidR="00621959" w:rsidRPr="00203449" w:rsidRDefault="00203449" w:rsidP="00203449">
            <w:pPr>
              <w:pStyle w:val="Tabletexte"/>
              <w:jc w:val="center"/>
              <w:rPr>
                <w:position w:val="2"/>
                <w:lang w:bidi="ar-EG"/>
              </w:rPr>
            </w:pPr>
            <w:r>
              <w:rPr>
                <w:position w:val="2"/>
                <w:lang w:bidi="ar-EG"/>
              </w:rPr>
              <w:t>***</w:t>
            </w:r>
            <w:r w:rsidR="00621959" w:rsidRPr="00203449">
              <w:rPr>
                <w:position w:val="2"/>
                <w:lang w:bidi="ar-EG"/>
              </w:rPr>
              <w:t>87</w:t>
            </w:r>
          </w:p>
        </w:tc>
        <w:tc>
          <w:tcPr>
            <w:tcW w:w="1080" w:type="dxa"/>
            <w:tcBorders>
              <w:bottom w:val="single" w:sz="4" w:space="0" w:color="4BACC6"/>
            </w:tcBorders>
            <w:tcMar>
              <w:top w:w="0" w:type="dxa"/>
              <w:left w:w="108" w:type="dxa"/>
              <w:bottom w:w="0" w:type="dxa"/>
              <w:right w:w="108" w:type="dxa"/>
            </w:tcMar>
            <w:vAlign w:val="center"/>
          </w:tcPr>
          <w:p w14:paraId="098D2A8D" w14:textId="77777777" w:rsidR="00621959" w:rsidRPr="00203449" w:rsidRDefault="00621959" w:rsidP="00203449">
            <w:pPr>
              <w:pStyle w:val="Tabletexte"/>
              <w:jc w:val="center"/>
              <w:rPr>
                <w:position w:val="2"/>
                <w:lang w:bidi="ar-EG"/>
              </w:rPr>
            </w:pPr>
            <w:r w:rsidRPr="00203449">
              <w:rPr>
                <w:position w:val="2"/>
                <w:lang w:bidi="ar-EG"/>
              </w:rPr>
              <w:t>53</w:t>
            </w:r>
          </w:p>
        </w:tc>
        <w:tc>
          <w:tcPr>
            <w:tcW w:w="1395" w:type="dxa"/>
            <w:tcBorders>
              <w:bottom w:val="single" w:sz="4" w:space="0" w:color="4BACC6"/>
              <w:right w:val="single" w:sz="4" w:space="0" w:color="4BACC6"/>
            </w:tcBorders>
            <w:tcMar>
              <w:top w:w="0" w:type="dxa"/>
              <w:left w:w="108" w:type="dxa"/>
              <w:bottom w:w="0" w:type="dxa"/>
              <w:right w:w="108" w:type="dxa"/>
            </w:tcMar>
            <w:vAlign w:val="center"/>
          </w:tcPr>
          <w:p w14:paraId="07A628AF" w14:textId="77777777" w:rsidR="00621959" w:rsidRPr="00203449" w:rsidRDefault="00621959" w:rsidP="00203449">
            <w:pPr>
              <w:pStyle w:val="Tabletexte"/>
              <w:jc w:val="center"/>
              <w:rPr>
                <w:position w:val="2"/>
                <w:lang w:bidi="ar-EG"/>
              </w:rPr>
            </w:pPr>
            <w:r w:rsidRPr="00203449">
              <w:rPr>
                <w:position w:val="2"/>
                <w:lang w:bidi="ar-EG"/>
              </w:rPr>
              <w:t>366</w:t>
            </w:r>
          </w:p>
        </w:tc>
      </w:tr>
    </w:tbl>
    <w:p w14:paraId="6F3BB5C2" w14:textId="77777777" w:rsidR="00621959" w:rsidRPr="00203449" w:rsidRDefault="00621959" w:rsidP="00203449">
      <w:pPr>
        <w:pStyle w:val="Tablelegend"/>
        <w:jc w:val="center"/>
        <w:rPr>
          <w:color w:val="1F497D"/>
          <w:lang w:val="en-GB" w:bidi="ar-EG"/>
        </w:rPr>
      </w:pPr>
      <w:r w:rsidRPr="00203449">
        <w:rPr>
          <w:color w:val="1F497D"/>
          <w:rtl/>
        </w:rPr>
        <w:t xml:space="preserve">الجدول 1. نتائج معالجة بطاقات التبليغ عن </w:t>
      </w:r>
      <w:r w:rsidRPr="00203449">
        <w:rPr>
          <w:rFonts w:hint="cs"/>
          <w:color w:val="1F497D"/>
          <w:rtl/>
        </w:rPr>
        <w:t>الخدمات الفضائية</w:t>
      </w:r>
      <w:r w:rsidRPr="00203449">
        <w:rPr>
          <w:color w:val="1F497D"/>
          <w:rtl/>
        </w:rPr>
        <w:t xml:space="preserve"> والأنشطة الأخرى المتصلة بها، 2022-2025.</w:t>
      </w:r>
    </w:p>
    <w:p w14:paraId="60B8C464" w14:textId="63F7E925" w:rsidR="00621959" w:rsidRPr="00203449" w:rsidRDefault="00621959" w:rsidP="00203449">
      <w:pPr>
        <w:pStyle w:val="Tablelegend"/>
        <w:rPr>
          <w:color w:val="7F7F7F"/>
          <w:lang w:val="en-GB" w:bidi="ar-EG"/>
        </w:rPr>
      </w:pPr>
      <w:r w:rsidRPr="00203449">
        <w:rPr>
          <w:color w:val="7F7F7F"/>
          <w:rtl/>
        </w:rPr>
        <w:t>*</w:t>
      </w:r>
      <w:r w:rsidR="00203449" w:rsidRPr="00203449">
        <w:rPr>
          <w:color w:val="7F7F7F"/>
          <w:rtl/>
        </w:rPr>
        <w:tab/>
      </w:r>
      <w:r w:rsidRPr="00203449">
        <w:rPr>
          <w:color w:val="7F7F7F"/>
          <w:rtl/>
        </w:rPr>
        <w:t xml:space="preserve">بما في ذلك 90 </w:t>
      </w:r>
      <w:r w:rsidRPr="00203449">
        <w:rPr>
          <w:rFonts w:hint="cs"/>
          <w:color w:val="7F7F7F"/>
          <w:rtl/>
        </w:rPr>
        <w:t>مدخلاً</w:t>
      </w:r>
      <w:r w:rsidRPr="00203449">
        <w:rPr>
          <w:color w:val="7F7F7F"/>
          <w:rtl/>
        </w:rPr>
        <w:t xml:space="preserve"> في قائمة الإقليمين 1 و3 تطبيقاً للقرار </w:t>
      </w:r>
      <w:r w:rsidRPr="00203449">
        <w:rPr>
          <w:color w:val="7F7F7F"/>
          <w:lang w:val="en-CA" w:bidi="ar-EG"/>
        </w:rPr>
        <w:t>559 (WRC</w:t>
      </w:r>
      <w:r w:rsidRPr="00203449">
        <w:rPr>
          <w:color w:val="7F7F7F"/>
          <w:lang w:val="en-CA" w:bidi="ar-EG"/>
        </w:rPr>
        <w:noBreakHyphen/>
        <w:t>19)</w:t>
      </w:r>
      <w:r w:rsidRPr="00203449">
        <w:rPr>
          <w:color w:val="7F7F7F"/>
          <w:rtl/>
        </w:rPr>
        <w:t xml:space="preserve"> من قبل 45 بلداً</w:t>
      </w:r>
    </w:p>
    <w:p w14:paraId="2B532657" w14:textId="1CC245AE" w:rsidR="00621959" w:rsidRPr="00203449" w:rsidRDefault="00621959" w:rsidP="00203449">
      <w:pPr>
        <w:pStyle w:val="Tablelegend"/>
        <w:rPr>
          <w:color w:val="7F7F7F"/>
          <w:lang w:val="en-GB" w:bidi="ar-EG"/>
        </w:rPr>
      </w:pPr>
      <w:r w:rsidRPr="00203449">
        <w:rPr>
          <w:color w:val="7F7F7F"/>
          <w:rtl/>
        </w:rPr>
        <w:t>**</w:t>
      </w:r>
      <w:r w:rsidR="00203449" w:rsidRPr="00203449">
        <w:rPr>
          <w:color w:val="7F7F7F"/>
          <w:rtl/>
        </w:rPr>
        <w:tab/>
      </w:r>
      <w:r w:rsidRPr="00203449">
        <w:rPr>
          <w:color w:val="7F7F7F"/>
          <w:rtl/>
        </w:rPr>
        <w:t xml:space="preserve">بما في ذلك 82 </w:t>
      </w:r>
      <w:r w:rsidRPr="00203449">
        <w:rPr>
          <w:rFonts w:hint="cs"/>
          <w:color w:val="7F7F7F"/>
          <w:rtl/>
        </w:rPr>
        <w:t>مدخلاً</w:t>
      </w:r>
      <w:r w:rsidRPr="00203449">
        <w:rPr>
          <w:color w:val="7F7F7F"/>
          <w:rtl/>
        </w:rPr>
        <w:t xml:space="preserve"> في خطط الإقليمين 1 و3 بعد إنجاز القرار </w:t>
      </w:r>
      <w:r w:rsidRPr="00203449">
        <w:rPr>
          <w:color w:val="7F7F7F"/>
          <w:lang w:val="en-CA" w:bidi="ar-EG"/>
        </w:rPr>
        <w:t>559 (WRC</w:t>
      </w:r>
      <w:r w:rsidRPr="00203449">
        <w:rPr>
          <w:color w:val="7F7F7F"/>
          <w:lang w:val="en-CA" w:bidi="ar-EG"/>
        </w:rPr>
        <w:noBreakHyphen/>
        <w:t>19)</w:t>
      </w:r>
      <w:r w:rsidRPr="00203449">
        <w:rPr>
          <w:color w:val="7F7F7F"/>
          <w:rtl/>
        </w:rPr>
        <w:t xml:space="preserve"> بنجاح من قبل 41 بلداً</w:t>
      </w:r>
    </w:p>
    <w:p w14:paraId="2FF2B4AB" w14:textId="7F0E3649" w:rsidR="00621959" w:rsidRPr="00203449" w:rsidRDefault="00621959" w:rsidP="00E2462E">
      <w:pPr>
        <w:pStyle w:val="Tablelegend"/>
        <w:spacing w:after="120"/>
        <w:rPr>
          <w:color w:val="7F7F7F"/>
          <w:lang w:val="en-GB" w:bidi="ar-EG"/>
        </w:rPr>
      </w:pPr>
      <w:r w:rsidRPr="00203449">
        <w:rPr>
          <w:color w:val="7F7F7F"/>
          <w:rtl/>
        </w:rPr>
        <w:t>***</w:t>
      </w:r>
      <w:r w:rsidR="00203449" w:rsidRPr="00203449">
        <w:rPr>
          <w:color w:val="7F7F7F"/>
          <w:rtl/>
        </w:rPr>
        <w:tab/>
      </w:r>
      <w:r w:rsidRPr="00203449">
        <w:rPr>
          <w:color w:val="7F7F7F"/>
          <w:rtl/>
        </w:rPr>
        <w:t xml:space="preserve">بما في ذلك </w:t>
      </w:r>
      <w:proofErr w:type="gramStart"/>
      <w:r w:rsidRPr="00203449">
        <w:rPr>
          <w:color w:val="7F7F7F"/>
          <w:rtl/>
        </w:rPr>
        <w:t>سبعة</w:t>
      </w:r>
      <w:proofErr w:type="gramEnd"/>
      <w:r w:rsidRPr="00203449">
        <w:rPr>
          <w:color w:val="7F7F7F"/>
          <w:rtl/>
        </w:rPr>
        <w:t xml:space="preserve"> </w:t>
      </w:r>
      <w:r w:rsidRPr="00203449">
        <w:rPr>
          <w:rFonts w:hint="cs"/>
          <w:color w:val="7F7F7F"/>
          <w:rtl/>
        </w:rPr>
        <w:t>مدخلات</w:t>
      </w:r>
      <w:r w:rsidRPr="00203449">
        <w:rPr>
          <w:color w:val="7F7F7F"/>
          <w:rtl/>
        </w:rPr>
        <w:t xml:space="preserve"> جديدة في الخطة </w:t>
      </w:r>
      <w:r w:rsidRPr="00203449">
        <w:rPr>
          <w:rFonts w:hint="cs"/>
          <w:color w:val="7F7F7F"/>
          <w:rtl/>
        </w:rPr>
        <w:t>للدول</w:t>
      </w:r>
      <w:r w:rsidRPr="00203449">
        <w:rPr>
          <w:color w:val="7F7F7F"/>
          <w:rtl/>
        </w:rPr>
        <w:t xml:space="preserve"> الأعضاء في الاتحاد التي لم تحصل بعد على توزيع</w:t>
      </w:r>
    </w:p>
    <w:p w14:paraId="0D09CE87" w14:textId="77777777" w:rsidR="00621959" w:rsidRPr="00621959" w:rsidRDefault="00621959" w:rsidP="006755A3">
      <w:pPr>
        <w:pStyle w:val="Tabletitle"/>
        <w:rPr>
          <w:lang w:val="en-GB" w:bidi="ar-EG"/>
        </w:rPr>
      </w:pPr>
      <w:r w:rsidRPr="00621959">
        <w:rPr>
          <w:rtl/>
        </w:rPr>
        <w:t>بطاقات التبليغ عن خدمات الأرض، 2022-2025</w:t>
      </w:r>
    </w:p>
    <w:tbl>
      <w:tblPr>
        <w:bidiVisual/>
        <w:tblW w:w="5000" w:type="pct"/>
        <w:tblInd w:w="5" w:type="dxa"/>
        <w:tblLayout w:type="fixed"/>
        <w:tblCellMar>
          <w:left w:w="10" w:type="dxa"/>
          <w:right w:w="10" w:type="dxa"/>
        </w:tblCellMar>
        <w:tblLook w:val="0000" w:firstRow="0" w:lastRow="0" w:firstColumn="0" w:lastColumn="0" w:noHBand="0" w:noVBand="0"/>
      </w:tblPr>
      <w:tblGrid>
        <w:gridCol w:w="3285"/>
        <w:gridCol w:w="1131"/>
        <w:gridCol w:w="1131"/>
        <w:gridCol w:w="1054"/>
        <w:gridCol w:w="1008"/>
        <w:gridCol w:w="1452"/>
      </w:tblGrid>
      <w:tr w:rsidR="00621959" w:rsidRPr="006755A3" w14:paraId="4E4C01C8" w14:textId="77777777" w:rsidTr="006755A3">
        <w:tc>
          <w:tcPr>
            <w:tcW w:w="3225" w:type="dxa"/>
            <w:tcBorders>
              <w:top w:val="single" w:sz="4" w:space="0" w:color="4BACC6"/>
              <w:left w:val="single" w:sz="4" w:space="0" w:color="4BACC6"/>
            </w:tcBorders>
            <w:tcMar>
              <w:top w:w="0" w:type="dxa"/>
              <w:left w:w="108" w:type="dxa"/>
              <w:bottom w:w="0" w:type="dxa"/>
              <w:right w:w="108" w:type="dxa"/>
            </w:tcMar>
            <w:vAlign w:val="center"/>
          </w:tcPr>
          <w:p w14:paraId="4C44D2AE" w14:textId="77777777" w:rsidR="00621959" w:rsidRPr="006755A3" w:rsidRDefault="00621959" w:rsidP="006755A3">
            <w:pPr>
              <w:pStyle w:val="Tablehead"/>
              <w:rPr>
                <w:position w:val="2"/>
              </w:rPr>
            </w:pPr>
            <w:r w:rsidRPr="006755A3">
              <w:rPr>
                <w:position w:val="2"/>
                <w:rtl/>
              </w:rPr>
              <w:t>بطاقات التبليغ عن خدمات الأرض</w:t>
            </w:r>
          </w:p>
        </w:tc>
        <w:tc>
          <w:tcPr>
            <w:tcW w:w="1110" w:type="dxa"/>
            <w:tcBorders>
              <w:top w:val="single" w:sz="4" w:space="0" w:color="4BACC6"/>
            </w:tcBorders>
            <w:tcMar>
              <w:top w:w="0" w:type="dxa"/>
              <w:left w:w="108" w:type="dxa"/>
              <w:bottom w:w="0" w:type="dxa"/>
              <w:right w:w="108" w:type="dxa"/>
            </w:tcMar>
            <w:vAlign w:val="center"/>
          </w:tcPr>
          <w:p w14:paraId="07533B8D" w14:textId="77777777" w:rsidR="00621959" w:rsidRPr="006755A3" w:rsidRDefault="00621959" w:rsidP="006755A3">
            <w:pPr>
              <w:pStyle w:val="Tablehead"/>
              <w:rPr>
                <w:position w:val="2"/>
              </w:rPr>
            </w:pPr>
            <w:r w:rsidRPr="006755A3">
              <w:rPr>
                <w:position w:val="2"/>
              </w:rPr>
              <w:t>2022</w:t>
            </w:r>
          </w:p>
        </w:tc>
        <w:tc>
          <w:tcPr>
            <w:tcW w:w="1110" w:type="dxa"/>
            <w:tcBorders>
              <w:top w:val="single" w:sz="4" w:space="0" w:color="4BACC6"/>
            </w:tcBorders>
            <w:tcMar>
              <w:top w:w="0" w:type="dxa"/>
              <w:left w:w="108" w:type="dxa"/>
              <w:bottom w:w="0" w:type="dxa"/>
              <w:right w:w="108" w:type="dxa"/>
            </w:tcMar>
            <w:vAlign w:val="center"/>
          </w:tcPr>
          <w:p w14:paraId="1F2037A3" w14:textId="77777777" w:rsidR="00621959" w:rsidRPr="006755A3" w:rsidRDefault="00621959" w:rsidP="006755A3">
            <w:pPr>
              <w:pStyle w:val="Tablehead"/>
              <w:rPr>
                <w:position w:val="2"/>
              </w:rPr>
            </w:pPr>
            <w:r w:rsidRPr="006755A3">
              <w:rPr>
                <w:position w:val="2"/>
              </w:rPr>
              <w:t>2023</w:t>
            </w:r>
          </w:p>
        </w:tc>
        <w:tc>
          <w:tcPr>
            <w:tcW w:w="1035" w:type="dxa"/>
            <w:tcBorders>
              <w:top w:val="single" w:sz="4" w:space="0" w:color="4BACC6"/>
            </w:tcBorders>
            <w:tcMar>
              <w:top w:w="0" w:type="dxa"/>
              <w:left w:w="108" w:type="dxa"/>
              <w:bottom w:w="0" w:type="dxa"/>
              <w:right w:w="108" w:type="dxa"/>
            </w:tcMar>
            <w:vAlign w:val="center"/>
          </w:tcPr>
          <w:p w14:paraId="32033086" w14:textId="77777777" w:rsidR="00621959" w:rsidRPr="006755A3" w:rsidRDefault="00621959" w:rsidP="006755A3">
            <w:pPr>
              <w:pStyle w:val="Tablehead"/>
              <w:rPr>
                <w:position w:val="2"/>
              </w:rPr>
            </w:pPr>
            <w:r w:rsidRPr="006755A3">
              <w:rPr>
                <w:position w:val="2"/>
              </w:rPr>
              <w:t>2024</w:t>
            </w:r>
          </w:p>
        </w:tc>
        <w:tc>
          <w:tcPr>
            <w:tcW w:w="990" w:type="dxa"/>
            <w:tcBorders>
              <w:top w:val="single" w:sz="4" w:space="0" w:color="4BACC6"/>
            </w:tcBorders>
            <w:tcMar>
              <w:top w:w="0" w:type="dxa"/>
              <w:left w:w="108" w:type="dxa"/>
              <w:bottom w:w="0" w:type="dxa"/>
              <w:right w:w="108" w:type="dxa"/>
            </w:tcMar>
            <w:vAlign w:val="center"/>
          </w:tcPr>
          <w:p w14:paraId="3F694305" w14:textId="77777777" w:rsidR="00621959" w:rsidRPr="006755A3" w:rsidRDefault="00621959" w:rsidP="006755A3">
            <w:pPr>
              <w:pStyle w:val="Tablehead"/>
              <w:rPr>
                <w:position w:val="2"/>
              </w:rPr>
            </w:pPr>
            <w:r w:rsidRPr="006755A3">
              <w:rPr>
                <w:position w:val="2"/>
              </w:rPr>
              <w:t>2025</w:t>
            </w:r>
          </w:p>
        </w:tc>
        <w:tc>
          <w:tcPr>
            <w:tcW w:w="1425" w:type="dxa"/>
            <w:tcBorders>
              <w:top w:val="single" w:sz="4" w:space="0" w:color="4BACC6"/>
              <w:right w:val="single" w:sz="4" w:space="0" w:color="4BACC6"/>
            </w:tcBorders>
            <w:tcMar>
              <w:top w:w="0" w:type="dxa"/>
              <w:left w:w="108" w:type="dxa"/>
              <w:bottom w:w="0" w:type="dxa"/>
              <w:right w:w="108" w:type="dxa"/>
            </w:tcMar>
          </w:tcPr>
          <w:p w14:paraId="71A1266C" w14:textId="4524E5D3" w:rsidR="00621959" w:rsidRPr="006755A3" w:rsidRDefault="00621959" w:rsidP="006755A3">
            <w:pPr>
              <w:pStyle w:val="Tablehead"/>
              <w:rPr>
                <w:position w:val="2"/>
              </w:rPr>
            </w:pPr>
            <w:r w:rsidRPr="006755A3">
              <w:rPr>
                <w:rFonts w:hint="cs"/>
                <w:position w:val="2"/>
                <w:rtl/>
              </w:rPr>
              <w:t>المجموع</w:t>
            </w:r>
            <w:r w:rsidR="006755A3" w:rsidRPr="006755A3">
              <w:rPr>
                <w:position w:val="2"/>
                <w:rtl/>
              </w:rPr>
              <w:br/>
            </w:r>
            <w:r w:rsidRPr="006755A3">
              <w:rPr>
                <w:rFonts w:hint="cs"/>
                <w:position w:val="2"/>
                <w:rtl/>
              </w:rPr>
              <w:t>2022-2025</w:t>
            </w:r>
          </w:p>
        </w:tc>
      </w:tr>
      <w:tr w:rsidR="00621959" w:rsidRPr="006755A3" w14:paraId="654B685F" w14:textId="77777777" w:rsidTr="006755A3">
        <w:tc>
          <w:tcPr>
            <w:tcW w:w="3225" w:type="dxa"/>
            <w:tcBorders>
              <w:left w:val="single" w:sz="4" w:space="0" w:color="4BACC6"/>
            </w:tcBorders>
            <w:tcMar>
              <w:top w:w="0" w:type="dxa"/>
              <w:left w:w="108" w:type="dxa"/>
              <w:bottom w:w="0" w:type="dxa"/>
              <w:right w:w="108" w:type="dxa"/>
            </w:tcMar>
            <w:vAlign w:val="center"/>
          </w:tcPr>
          <w:p w14:paraId="54ED3BEF" w14:textId="77777777" w:rsidR="00621959" w:rsidRPr="006755A3" w:rsidRDefault="00621959" w:rsidP="006755A3">
            <w:pPr>
              <w:pStyle w:val="Tabletexte"/>
              <w:rPr>
                <w:position w:val="2"/>
              </w:rPr>
            </w:pPr>
            <w:r w:rsidRPr="006755A3">
              <w:rPr>
                <w:position w:val="2"/>
                <w:rtl/>
              </w:rPr>
              <w:t>بطاقات التبليغ المسجلة في السجل الأساسي الدولي للترددات/في الخطط</w:t>
            </w:r>
          </w:p>
        </w:tc>
        <w:tc>
          <w:tcPr>
            <w:tcW w:w="1110" w:type="dxa"/>
            <w:tcMar>
              <w:top w:w="0" w:type="dxa"/>
              <w:left w:w="108" w:type="dxa"/>
              <w:bottom w:w="0" w:type="dxa"/>
              <w:right w:w="108" w:type="dxa"/>
            </w:tcMar>
            <w:vAlign w:val="center"/>
          </w:tcPr>
          <w:p w14:paraId="0C894471" w14:textId="33823A75" w:rsidR="00621959" w:rsidRPr="006755A3" w:rsidRDefault="00621959" w:rsidP="006755A3">
            <w:pPr>
              <w:pStyle w:val="Tabletexte"/>
              <w:jc w:val="center"/>
              <w:rPr>
                <w:position w:val="2"/>
              </w:rPr>
            </w:pPr>
            <w:r w:rsidRPr="006755A3">
              <w:rPr>
                <w:position w:val="2"/>
              </w:rPr>
              <w:t>63</w:t>
            </w:r>
            <w:r w:rsidR="006755A3" w:rsidRPr="006755A3">
              <w:rPr>
                <w:position w:val="2"/>
              </w:rPr>
              <w:t> </w:t>
            </w:r>
            <w:r w:rsidRPr="006755A3">
              <w:rPr>
                <w:position w:val="2"/>
              </w:rPr>
              <w:t>893</w:t>
            </w:r>
            <w:r w:rsidRPr="006755A3">
              <w:rPr>
                <w:position w:val="2"/>
                <w:rtl/>
              </w:rPr>
              <w:t>/</w:t>
            </w:r>
            <w:r w:rsidR="006755A3">
              <w:rPr>
                <w:position w:val="2"/>
              </w:rPr>
              <w:br/>
            </w:r>
            <w:r w:rsidRPr="006755A3">
              <w:rPr>
                <w:position w:val="2"/>
              </w:rPr>
              <w:t>16</w:t>
            </w:r>
            <w:r w:rsidR="006755A3" w:rsidRPr="006755A3">
              <w:rPr>
                <w:position w:val="2"/>
              </w:rPr>
              <w:t> </w:t>
            </w:r>
            <w:r w:rsidRPr="006755A3">
              <w:rPr>
                <w:position w:val="2"/>
              </w:rPr>
              <w:t>250</w:t>
            </w:r>
          </w:p>
        </w:tc>
        <w:tc>
          <w:tcPr>
            <w:tcW w:w="1110" w:type="dxa"/>
            <w:tcMar>
              <w:top w:w="0" w:type="dxa"/>
              <w:left w:w="108" w:type="dxa"/>
              <w:bottom w:w="0" w:type="dxa"/>
              <w:right w:w="108" w:type="dxa"/>
            </w:tcMar>
            <w:vAlign w:val="center"/>
          </w:tcPr>
          <w:p w14:paraId="47BFD5A2" w14:textId="00560157" w:rsidR="00621959" w:rsidRPr="006755A3" w:rsidRDefault="00621959" w:rsidP="006755A3">
            <w:pPr>
              <w:pStyle w:val="Tabletexte"/>
              <w:jc w:val="center"/>
              <w:rPr>
                <w:position w:val="2"/>
              </w:rPr>
            </w:pPr>
            <w:r w:rsidRPr="006755A3">
              <w:rPr>
                <w:position w:val="2"/>
              </w:rPr>
              <w:t>71</w:t>
            </w:r>
            <w:r w:rsidR="006755A3" w:rsidRPr="006755A3">
              <w:rPr>
                <w:position w:val="2"/>
              </w:rPr>
              <w:t> </w:t>
            </w:r>
            <w:r w:rsidRPr="006755A3">
              <w:rPr>
                <w:position w:val="2"/>
              </w:rPr>
              <w:t>083</w:t>
            </w:r>
            <w:r w:rsidRPr="006755A3">
              <w:rPr>
                <w:position w:val="2"/>
                <w:rtl/>
              </w:rPr>
              <w:t>/</w:t>
            </w:r>
            <w:r w:rsidR="006755A3">
              <w:rPr>
                <w:position w:val="2"/>
              </w:rPr>
              <w:br/>
            </w:r>
            <w:r w:rsidRPr="006755A3">
              <w:rPr>
                <w:position w:val="2"/>
              </w:rPr>
              <w:t>28</w:t>
            </w:r>
            <w:r w:rsidR="006755A3" w:rsidRPr="006755A3">
              <w:rPr>
                <w:position w:val="2"/>
              </w:rPr>
              <w:t> </w:t>
            </w:r>
            <w:r w:rsidRPr="006755A3">
              <w:rPr>
                <w:position w:val="2"/>
              </w:rPr>
              <w:t>076</w:t>
            </w:r>
          </w:p>
        </w:tc>
        <w:tc>
          <w:tcPr>
            <w:tcW w:w="1035" w:type="dxa"/>
            <w:tcMar>
              <w:top w:w="0" w:type="dxa"/>
              <w:left w:w="108" w:type="dxa"/>
              <w:bottom w:w="0" w:type="dxa"/>
              <w:right w:w="108" w:type="dxa"/>
            </w:tcMar>
            <w:vAlign w:val="center"/>
          </w:tcPr>
          <w:p w14:paraId="5E037549" w14:textId="539F0497" w:rsidR="00621959" w:rsidRPr="006755A3" w:rsidRDefault="00621959" w:rsidP="006755A3">
            <w:pPr>
              <w:pStyle w:val="Tabletexte"/>
              <w:jc w:val="center"/>
              <w:rPr>
                <w:position w:val="2"/>
              </w:rPr>
            </w:pPr>
            <w:r w:rsidRPr="006755A3">
              <w:rPr>
                <w:position w:val="2"/>
              </w:rPr>
              <w:t>71</w:t>
            </w:r>
            <w:r w:rsidR="006755A3" w:rsidRPr="006755A3">
              <w:rPr>
                <w:position w:val="2"/>
              </w:rPr>
              <w:t> </w:t>
            </w:r>
            <w:r w:rsidRPr="006755A3">
              <w:rPr>
                <w:position w:val="2"/>
              </w:rPr>
              <w:t>072</w:t>
            </w:r>
            <w:r w:rsidRPr="006755A3">
              <w:rPr>
                <w:position w:val="2"/>
                <w:rtl/>
              </w:rPr>
              <w:t>/</w:t>
            </w:r>
            <w:r w:rsidR="006755A3">
              <w:rPr>
                <w:position w:val="2"/>
              </w:rPr>
              <w:br/>
            </w:r>
            <w:r w:rsidRPr="006755A3">
              <w:rPr>
                <w:position w:val="2"/>
              </w:rPr>
              <w:t>16</w:t>
            </w:r>
            <w:r w:rsidR="006755A3" w:rsidRPr="006755A3">
              <w:rPr>
                <w:position w:val="2"/>
              </w:rPr>
              <w:t> </w:t>
            </w:r>
            <w:r w:rsidRPr="006755A3">
              <w:rPr>
                <w:position w:val="2"/>
              </w:rPr>
              <w:t>878</w:t>
            </w:r>
          </w:p>
        </w:tc>
        <w:tc>
          <w:tcPr>
            <w:tcW w:w="990" w:type="dxa"/>
            <w:tcMar>
              <w:top w:w="0" w:type="dxa"/>
              <w:left w:w="108" w:type="dxa"/>
              <w:bottom w:w="0" w:type="dxa"/>
              <w:right w:w="108" w:type="dxa"/>
            </w:tcMar>
            <w:vAlign w:val="center"/>
          </w:tcPr>
          <w:p w14:paraId="27ACCDBD" w14:textId="4DDDF514" w:rsidR="00621959" w:rsidRPr="006755A3" w:rsidRDefault="00621959" w:rsidP="006755A3">
            <w:pPr>
              <w:pStyle w:val="Tabletexte"/>
              <w:jc w:val="center"/>
              <w:rPr>
                <w:position w:val="2"/>
              </w:rPr>
            </w:pPr>
            <w:r w:rsidRPr="006755A3">
              <w:rPr>
                <w:position w:val="2"/>
              </w:rPr>
              <w:t>45</w:t>
            </w:r>
            <w:r w:rsidR="006755A3" w:rsidRPr="006755A3">
              <w:rPr>
                <w:position w:val="2"/>
              </w:rPr>
              <w:t> </w:t>
            </w:r>
            <w:r w:rsidRPr="006755A3">
              <w:rPr>
                <w:position w:val="2"/>
              </w:rPr>
              <w:t>109</w:t>
            </w:r>
            <w:r w:rsidRPr="006755A3">
              <w:rPr>
                <w:position w:val="2"/>
                <w:rtl/>
              </w:rPr>
              <w:t>/</w:t>
            </w:r>
            <w:r w:rsidR="006755A3">
              <w:rPr>
                <w:position w:val="2"/>
              </w:rPr>
              <w:br/>
            </w:r>
            <w:r w:rsidRPr="006755A3">
              <w:rPr>
                <w:position w:val="2"/>
              </w:rPr>
              <w:t>21</w:t>
            </w:r>
            <w:r w:rsidR="006755A3" w:rsidRPr="006755A3">
              <w:rPr>
                <w:position w:val="2"/>
              </w:rPr>
              <w:t> </w:t>
            </w:r>
            <w:r w:rsidRPr="006755A3">
              <w:rPr>
                <w:position w:val="2"/>
              </w:rPr>
              <w:t>998</w:t>
            </w:r>
          </w:p>
        </w:tc>
        <w:tc>
          <w:tcPr>
            <w:tcW w:w="1425" w:type="dxa"/>
            <w:tcBorders>
              <w:right w:val="single" w:sz="4" w:space="0" w:color="4BACC6"/>
            </w:tcBorders>
            <w:tcMar>
              <w:top w:w="0" w:type="dxa"/>
              <w:left w:w="108" w:type="dxa"/>
              <w:bottom w:w="0" w:type="dxa"/>
              <w:right w:w="108" w:type="dxa"/>
            </w:tcMar>
            <w:vAlign w:val="center"/>
          </w:tcPr>
          <w:p w14:paraId="3DB509F2" w14:textId="0817B003" w:rsidR="00621959" w:rsidRPr="006755A3" w:rsidRDefault="00621959" w:rsidP="006755A3">
            <w:pPr>
              <w:pStyle w:val="Tabletexte"/>
              <w:jc w:val="center"/>
              <w:rPr>
                <w:position w:val="2"/>
              </w:rPr>
            </w:pPr>
            <w:r w:rsidRPr="006755A3">
              <w:rPr>
                <w:position w:val="2"/>
              </w:rPr>
              <w:t>251</w:t>
            </w:r>
            <w:r w:rsidR="006755A3" w:rsidRPr="006755A3">
              <w:rPr>
                <w:position w:val="2"/>
              </w:rPr>
              <w:t> </w:t>
            </w:r>
            <w:r w:rsidRPr="006755A3">
              <w:rPr>
                <w:position w:val="2"/>
              </w:rPr>
              <w:t>157</w:t>
            </w:r>
            <w:r w:rsidRPr="006755A3">
              <w:rPr>
                <w:position w:val="2"/>
                <w:rtl/>
              </w:rPr>
              <w:t>/</w:t>
            </w:r>
            <w:r w:rsidR="006755A3">
              <w:rPr>
                <w:position w:val="2"/>
              </w:rPr>
              <w:br/>
            </w:r>
            <w:r w:rsidRPr="006755A3">
              <w:rPr>
                <w:position w:val="2"/>
              </w:rPr>
              <w:t>83</w:t>
            </w:r>
            <w:r w:rsidR="006755A3" w:rsidRPr="006755A3">
              <w:rPr>
                <w:position w:val="2"/>
              </w:rPr>
              <w:t> </w:t>
            </w:r>
            <w:r w:rsidRPr="006755A3">
              <w:rPr>
                <w:position w:val="2"/>
              </w:rPr>
              <w:t>202</w:t>
            </w:r>
          </w:p>
        </w:tc>
      </w:tr>
      <w:tr w:rsidR="00621959" w:rsidRPr="006755A3" w14:paraId="33B07F79" w14:textId="77777777" w:rsidTr="006755A3">
        <w:tc>
          <w:tcPr>
            <w:tcW w:w="3225" w:type="dxa"/>
            <w:tcBorders>
              <w:left w:val="single" w:sz="4" w:space="0" w:color="4BACC6"/>
            </w:tcBorders>
            <w:tcMar>
              <w:top w:w="0" w:type="dxa"/>
              <w:left w:w="108" w:type="dxa"/>
              <w:bottom w:w="0" w:type="dxa"/>
              <w:right w:w="108" w:type="dxa"/>
            </w:tcMar>
            <w:vAlign w:val="center"/>
          </w:tcPr>
          <w:p w14:paraId="18EFEE17" w14:textId="77777777" w:rsidR="00621959" w:rsidRPr="006755A3" w:rsidRDefault="00621959" w:rsidP="006755A3">
            <w:pPr>
              <w:pStyle w:val="Tabletexte"/>
              <w:rPr>
                <w:spacing w:val="-4"/>
                <w:position w:val="2"/>
              </w:rPr>
            </w:pPr>
            <w:r w:rsidRPr="006755A3">
              <w:rPr>
                <w:spacing w:val="-4"/>
                <w:position w:val="2"/>
                <w:rtl/>
              </w:rPr>
              <w:t>استعراض النتائج بشأن محطات الأرض المسجلة في السجل الأساسي الدولي للترددات</w:t>
            </w:r>
          </w:p>
        </w:tc>
        <w:tc>
          <w:tcPr>
            <w:tcW w:w="1110" w:type="dxa"/>
            <w:tcMar>
              <w:top w:w="0" w:type="dxa"/>
              <w:left w:w="108" w:type="dxa"/>
              <w:bottom w:w="0" w:type="dxa"/>
              <w:right w:w="108" w:type="dxa"/>
            </w:tcMar>
            <w:vAlign w:val="center"/>
          </w:tcPr>
          <w:p w14:paraId="478D9935" w14:textId="09759198" w:rsidR="00621959" w:rsidRPr="006755A3" w:rsidRDefault="00621959" w:rsidP="006755A3">
            <w:pPr>
              <w:pStyle w:val="Tabletexte"/>
              <w:jc w:val="center"/>
              <w:rPr>
                <w:position w:val="2"/>
              </w:rPr>
            </w:pPr>
            <w:r w:rsidRPr="006755A3">
              <w:rPr>
                <w:position w:val="2"/>
              </w:rPr>
              <w:t>1</w:t>
            </w:r>
            <w:r w:rsidR="006755A3" w:rsidRPr="006755A3">
              <w:rPr>
                <w:position w:val="2"/>
              </w:rPr>
              <w:t> </w:t>
            </w:r>
            <w:r w:rsidRPr="006755A3">
              <w:rPr>
                <w:position w:val="2"/>
              </w:rPr>
              <w:t>562</w:t>
            </w:r>
          </w:p>
        </w:tc>
        <w:tc>
          <w:tcPr>
            <w:tcW w:w="1110" w:type="dxa"/>
            <w:tcMar>
              <w:top w:w="0" w:type="dxa"/>
              <w:left w:w="108" w:type="dxa"/>
              <w:bottom w:w="0" w:type="dxa"/>
              <w:right w:w="108" w:type="dxa"/>
            </w:tcMar>
            <w:vAlign w:val="center"/>
          </w:tcPr>
          <w:p w14:paraId="1E3B7094" w14:textId="77777777" w:rsidR="00621959" w:rsidRPr="006755A3" w:rsidRDefault="00621959" w:rsidP="006755A3">
            <w:pPr>
              <w:pStyle w:val="Tabletexte"/>
              <w:jc w:val="center"/>
              <w:rPr>
                <w:position w:val="2"/>
              </w:rPr>
            </w:pPr>
            <w:r w:rsidRPr="006755A3">
              <w:rPr>
                <w:position w:val="2"/>
              </w:rPr>
              <w:t>11</w:t>
            </w:r>
          </w:p>
        </w:tc>
        <w:tc>
          <w:tcPr>
            <w:tcW w:w="1035" w:type="dxa"/>
            <w:tcMar>
              <w:top w:w="0" w:type="dxa"/>
              <w:left w:w="108" w:type="dxa"/>
              <w:bottom w:w="0" w:type="dxa"/>
              <w:right w:w="108" w:type="dxa"/>
            </w:tcMar>
            <w:vAlign w:val="center"/>
          </w:tcPr>
          <w:p w14:paraId="695AADF0" w14:textId="77777777" w:rsidR="00621959" w:rsidRPr="006755A3" w:rsidRDefault="00621959" w:rsidP="006755A3">
            <w:pPr>
              <w:pStyle w:val="Tabletexte"/>
              <w:jc w:val="center"/>
              <w:rPr>
                <w:position w:val="2"/>
              </w:rPr>
            </w:pPr>
            <w:r w:rsidRPr="006755A3">
              <w:rPr>
                <w:position w:val="2"/>
              </w:rPr>
              <w:t>-</w:t>
            </w:r>
          </w:p>
        </w:tc>
        <w:tc>
          <w:tcPr>
            <w:tcW w:w="990" w:type="dxa"/>
            <w:tcMar>
              <w:top w:w="0" w:type="dxa"/>
              <w:left w:w="108" w:type="dxa"/>
              <w:bottom w:w="0" w:type="dxa"/>
              <w:right w:w="108" w:type="dxa"/>
            </w:tcMar>
            <w:vAlign w:val="center"/>
          </w:tcPr>
          <w:p w14:paraId="56CFB7AA" w14:textId="23886914" w:rsidR="00621959" w:rsidRPr="006755A3" w:rsidRDefault="00621959" w:rsidP="006755A3">
            <w:pPr>
              <w:pStyle w:val="Tabletexte"/>
              <w:jc w:val="center"/>
              <w:rPr>
                <w:position w:val="2"/>
              </w:rPr>
            </w:pPr>
            <w:r w:rsidRPr="006755A3">
              <w:rPr>
                <w:position w:val="2"/>
              </w:rPr>
              <w:t>6</w:t>
            </w:r>
            <w:r w:rsidR="006755A3" w:rsidRPr="006755A3">
              <w:rPr>
                <w:position w:val="2"/>
              </w:rPr>
              <w:t> </w:t>
            </w:r>
            <w:r w:rsidRPr="006755A3">
              <w:rPr>
                <w:position w:val="2"/>
              </w:rPr>
              <w:t>490</w:t>
            </w:r>
          </w:p>
        </w:tc>
        <w:tc>
          <w:tcPr>
            <w:tcW w:w="1425" w:type="dxa"/>
            <w:tcBorders>
              <w:right w:val="single" w:sz="4" w:space="0" w:color="4BACC6"/>
            </w:tcBorders>
            <w:tcMar>
              <w:top w:w="0" w:type="dxa"/>
              <w:left w:w="108" w:type="dxa"/>
              <w:bottom w:w="0" w:type="dxa"/>
              <w:right w:w="108" w:type="dxa"/>
            </w:tcMar>
            <w:vAlign w:val="center"/>
          </w:tcPr>
          <w:p w14:paraId="79C5C8AD" w14:textId="3B5AB27C" w:rsidR="00621959" w:rsidRPr="006755A3" w:rsidRDefault="00621959" w:rsidP="006755A3">
            <w:pPr>
              <w:pStyle w:val="Tabletexte"/>
              <w:jc w:val="center"/>
              <w:rPr>
                <w:position w:val="2"/>
              </w:rPr>
            </w:pPr>
            <w:r w:rsidRPr="006755A3">
              <w:rPr>
                <w:position w:val="2"/>
              </w:rPr>
              <w:t>8</w:t>
            </w:r>
            <w:r w:rsidR="006755A3" w:rsidRPr="006755A3">
              <w:rPr>
                <w:position w:val="2"/>
              </w:rPr>
              <w:t> </w:t>
            </w:r>
            <w:r w:rsidRPr="006755A3">
              <w:rPr>
                <w:position w:val="2"/>
              </w:rPr>
              <w:t>063</w:t>
            </w:r>
          </w:p>
        </w:tc>
      </w:tr>
      <w:tr w:rsidR="00621959" w:rsidRPr="006755A3" w14:paraId="3A5DA0C6" w14:textId="77777777" w:rsidTr="006755A3">
        <w:tc>
          <w:tcPr>
            <w:tcW w:w="3225" w:type="dxa"/>
            <w:tcBorders>
              <w:left w:val="single" w:sz="4" w:space="0" w:color="4BACC6"/>
            </w:tcBorders>
            <w:tcMar>
              <w:top w:w="0" w:type="dxa"/>
              <w:left w:w="108" w:type="dxa"/>
              <w:bottom w:w="0" w:type="dxa"/>
              <w:right w:w="108" w:type="dxa"/>
            </w:tcMar>
            <w:vAlign w:val="center"/>
          </w:tcPr>
          <w:p w14:paraId="15170AB8" w14:textId="77777777" w:rsidR="00621959" w:rsidRPr="006755A3" w:rsidRDefault="00621959" w:rsidP="006755A3">
            <w:pPr>
              <w:pStyle w:val="Tabletexte"/>
              <w:rPr>
                <w:position w:val="2"/>
              </w:rPr>
            </w:pPr>
            <w:r w:rsidRPr="006755A3">
              <w:rPr>
                <w:position w:val="2"/>
                <w:rtl/>
              </w:rPr>
              <w:t>تبليغات عن محطات ساحلية ومحطات سفن من أجل التسجيل في قاعدة بيانات الخدمات البحرية للاتحاد</w:t>
            </w:r>
          </w:p>
        </w:tc>
        <w:tc>
          <w:tcPr>
            <w:tcW w:w="1110" w:type="dxa"/>
            <w:tcMar>
              <w:top w:w="0" w:type="dxa"/>
              <w:left w:w="108" w:type="dxa"/>
              <w:bottom w:w="0" w:type="dxa"/>
              <w:right w:w="108" w:type="dxa"/>
            </w:tcMar>
            <w:vAlign w:val="center"/>
          </w:tcPr>
          <w:p w14:paraId="3002EC71" w14:textId="7A62F29A" w:rsidR="00621959" w:rsidRPr="006755A3" w:rsidRDefault="00621959" w:rsidP="006755A3">
            <w:pPr>
              <w:pStyle w:val="Tabletexte"/>
              <w:jc w:val="center"/>
              <w:rPr>
                <w:position w:val="2"/>
              </w:rPr>
            </w:pPr>
            <w:r w:rsidRPr="006755A3">
              <w:rPr>
                <w:position w:val="2"/>
              </w:rPr>
              <w:t>1</w:t>
            </w:r>
            <w:r w:rsidR="006755A3" w:rsidRPr="006755A3">
              <w:rPr>
                <w:position w:val="2"/>
              </w:rPr>
              <w:t> </w:t>
            </w:r>
            <w:r w:rsidRPr="006755A3">
              <w:rPr>
                <w:position w:val="2"/>
              </w:rPr>
              <w:t>854</w:t>
            </w:r>
          </w:p>
        </w:tc>
        <w:tc>
          <w:tcPr>
            <w:tcW w:w="1110" w:type="dxa"/>
            <w:tcMar>
              <w:top w:w="0" w:type="dxa"/>
              <w:left w:w="108" w:type="dxa"/>
              <w:bottom w:w="0" w:type="dxa"/>
              <w:right w:w="108" w:type="dxa"/>
            </w:tcMar>
            <w:vAlign w:val="center"/>
          </w:tcPr>
          <w:p w14:paraId="7B357C58" w14:textId="061DB6EF" w:rsidR="00621959" w:rsidRPr="006755A3" w:rsidRDefault="00621959" w:rsidP="006755A3">
            <w:pPr>
              <w:pStyle w:val="Tabletexte"/>
              <w:jc w:val="center"/>
              <w:rPr>
                <w:position w:val="2"/>
              </w:rPr>
            </w:pPr>
            <w:r w:rsidRPr="006755A3">
              <w:rPr>
                <w:position w:val="2"/>
              </w:rPr>
              <w:t>1</w:t>
            </w:r>
            <w:r w:rsidR="006755A3" w:rsidRPr="006755A3">
              <w:rPr>
                <w:position w:val="2"/>
              </w:rPr>
              <w:t> </w:t>
            </w:r>
            <w:r w:rsidRPr="006755A3">
              <w:rPr>
                <w:position w:val="2"/>
              </w:rPr>
              <w:t>818</w:t>
            </w:r>
          </w:p>
        </w:tc>
        <w:tc>
          <w:tcPr>
            <w:tcW w:w="1035" w:type="dxa"/>
            <w:tcMar>
              <w:top w:w="0" w:type="dxa"/>
              <w:left w:w="108" w:type="dxa"/>
              <w:bottom w:w="0" w:type="dxa"/>
              <w:right w:w="108" w:type="dxa"/>
            </w:tcMar>
            <w:vAlign w:val="center"/>
          </w:tcPr>
          <w:p w14:paraId="4DF03F3E" w14:textId="77777777" w:rsidR="00621959" w:rsidRPr="006755A3" w:rsidRDefault="00621959" w:rsidP="006755A3">
            <w:pPr>
              <w:pStyle w:val="Tabletexte"/>
              <w:jc w:val="center"/>
              <w:rPr>
                <w:position w:val="2"/>
              </w:rPr>
            </w:pPr>
            <w:r w:rsidRPr="006755A3">
              <w:rPr>
                <w:position w:val="2"/>
              </w:rPr>
              <w:t>683</w:t>
            </w:r>
          </w:p>
        </w:tc>
        <w:tc>
          <w:tcPr>
            <w:tcW w:w="990" w:type="dxa"/>
            <w:tcMar>
              <w:top w:w="0" w:type="dxa"/>
              <w:left w:w="108" w:type="dxa"/>
              <w:bottom w:w="0" w:type="dxa"/>
              <w:right w:w="108" w:type="dxa"/>
            </w:tcMar>
            <w:vAlign w:val="center"/>
          </w:tcPr>
          <w:p w14:paraId="14B7105B" w14:textId="344A696F" w:rsidR="00621959" w:rsidRPr="006755A3" w:rsidRDefault="00621959" w:rsidP="006755A3">
            <w:pPr>
              <w:pStyle w:val="Tabletexte"/>
              <w:jc w:val="center"/>
              <w:rPr>
                <w:position w:val="2"/>
              </w:rPr>
            </w:pPr>
            <w:r w:rsidRPr="006755A3">
              <w:rPr>
                <w:position w:val="2"/>
              </w:rPr>
              <w:t>1</w:t>
            </w:r>
            <w:r w:rsidR="006755A3" w:rsidRPr="006755A3">
              <w:rPr>
                <w:position w:val="2"/>
              </w:rPr>
              <w:t> </w:t>
            </w:r>
            <w:r w:rsidRPr="006755A3">
              <w:rPr>
                <w:position w:val="2"/>
              </w:rPr>
              <w:t>957</w:t>
            </w:r>
          </w:p>
        </w:tc>
        <w:tc>
          <w:tcPr>
            <w:tcW w:w="1425" w:type="dxa"/>
            <w:tcBorders>
              <w:right w:val="single" w:sz="4" w:space="0" w:color="4BACC6"/>
            </w:tcBorders>
            <w:tcMar>
              <w:top w:w="0" w:type="dxa"/>
              <w:left w:w="108" w:type="dxa"/>
              <w:bottom w:w="0" w:type="dxa"/>
              <w:right w:w="108" w:type="dxa"/>
            </w:tcMar>
            <w:vAlign w:val="center"/>
          </w:tcPr>
          <w:p w14:paraId="4DFB3CF0" w14:textId="26D2A015" w:rsidR="00621959" w:rsidRPr="006755A3" w:rsidRDefault="00621959" w:rsidP="006755A3">
            <w:pPr>
              <w:pStyle w:val="Tabletexte"/>
              <w:jc w:val="center"/>
              <w:rPr>
                <w:position w:val="2"/>
              </w:rPr>
            </w:pPr>
            <w:r w:rsidRPr="006755A3">
              <w:rPr>
                <w:position w:val="2"/>
              </w:rPr>
              <w:t>7</w:t>
            </w:r>
            <w:r w:rsidR="006755A3" w:rsidRPr="006755A3">
              <w:rPr>
                <w:position w:val="2"/>
              </w:rPr>
              <w:t> </w:t>
            </w:r>
            <w:r w:rsidRPr="006755A3">
              <w:rPr>
                <w:position w:val="2"/>
              </w:rPr>
              <w:t>312</w:t>
            </w:r>
          </w:p>
        </w:tc>
      </w:tr>
      <w:tr w:rsidR="00621959" w:rsidRPr="006755A3" w14:paraId="56151A6B" w14:textId="77777777" w:rsidTr="006755A3">
        <w:tc>
          <w:tcPr>
            <w:tcW w:w="3225" w:type="dxa"/>
            <w:tcBorders>
              <w:left w:val="single" w:sz="4" w:space="0" w:color="4BACC6"/>
            </w:tcBorders>
            <w:tcMar>
              <w:top w:w="0" w:type="dxa"/>
              <w:left w:w="108" w:type="dxa"/>
              <w:bottom w:w="0" w:type="dxa"/>
              <w:right w:w="108" w:type="dxa"/>
            </w:tcMar>
            <w:vAlign w:val="center"/>
          </w:tcPr>
          <w:p w14:paraId="34EDA0C0" w14:textId="77777777" w:rsidR="00621959" w:rsidRPr="006755A3" w:rsidRDefault="00621959" w:rsidP="006755A3">
            <w:pPr>
              <w:pStyle w:val="Tabletexte"/>
              <w:rPr>
                <w:position w:val="2"/>
              </w:rPr>
            </w:pPr>
            <w:r w:rsidRPr="006755A3">
              <w:rPr>
                <w:position w:val="2"/>
                <w:rtl/>
              </w:rPr>
              <w:t xml:space="preserve">متطلبات الإذاعة على الموجات </w:t>
            </w:r>
            <w:proofErr w:type="spellStart"/>
            <w:r w:rsidRPr="006755A3">
              <w:rPr>
                <w:position w:val="2"/>
                <w:rtl/>
              </w:rPr>
              <w:t>الديكامترية</w:t>
            </w:r>
            <w:proofErr w:type="spellEnd"/>
          </w:p>
        </w:tc>
        <w:tc>
          <w:tcPr>
            <w:tcW w:w="1110" w:type="dxa"/>
            <w:tcMar>
              <w:top w:w="0" w:type="dxa"/>
              <w:left w:w="108" w:type="dxa"/>
              <w:bottom w:w="0" w:type="dxa"/>
              <w:right w:w="108" w:type="dxa"/>
            </w:tcMar>
            <w:vAlign w:val="center"/>
          </w:tcPr>
          <w:p w14:paraId="1B3CB0E8" w14:textId="296DC59B" w:rsidR="00621959" w:rsidRPr="006755A3" w:rsidRDefault="00621959" w:rsidP="006755A3">
            <w:pPr>
              <w:pStyle w:val="Tabletexte"/>
              <w:jc w:val="center"/>
              <w:rPr>
                <w:position w:val="2"/>
              </w:rPr>
            </w:pPr>
            <w:r w:rsidRPr="006755A3">
              <w:rPr>
                <w:position w:val="2"/>
              </w:rPr>
              <w:t>11</w:t>
            </w:r>
            <w:r w:rsidR="006755A3" w:rsidRPr="006755A3">
              <w:rPr>
                <w:position w:val="2"/>
              </w:rPr>
              <w:t> </w:t>
            </w:r>
            <w:r w:rsidRPr="006755A3">
              <w:rPr>
                <w:position w:val="2"/>
              </w:rPr>
              <w:t>311</w:t>
            </w:r>
          </w:p>
        </w:tc>
        <w:tc>
          <w:tcPr>
            <w:tcW w:w="1110" w:type="dxa"/>
            <w:tcMar>
              <w:top w:w="0" w:type="dxa"/>
              <w:left w:w="108" w:type="dxa"/>
              <w:bottom w:w="0" w:type="dxa"/>
              <w:right w:w="108" w:type="dxa"/>
            </w:tcMar>
            <w:vAlign w:val="center"/>
          </w:tcPr>
          <w:p w14:paraId="025B6EE1" w14:textId="5D22C75B" w:rsidR="00621959" w:rsidRPr="006755A3" w:rsidRDefault="00621959" w:rsidP="006755A3">
            <w:pPr>
              <w:pStyle w:val="Tabletexte"/>
              <w:jc w:val="center"/>
              <w:rPr>
                <w:position w:val="2"/>
              </w:rPr>
            </w:pPr>
            <w:r w:rsidRPr="006755A3">
              <w:rPr>
                <w:position w:val="2"/>
              </w:rPr>
              <w:t>7</w:t>
            </w:r>
            <w:r w:rsidR="006755A3" w:rsidRPr="006755A3">
              <w:rPr>
                <w:position w:val="2"/>
              </w:rPr>
              <w:t> </w:t>
            </w:r>
            <w:r w:rsidRPr="006755A3">
              <w:rPr>
                <w:position w:val="2"/>
              </w:rPr>
              <w:t>969</w:t>
            </w:r>
          </w:p>
        </w:tc>
        <w:tc>
          <w:tcPr>
            <w:tcW w:w="1035" w:type="dxa"/>
            <w:tcMar>
              <w:top w:w="0" w:type="dxa"/>
              <w:left w:w="108" w:type="dxa"/>
              <w:bottom w:w="0" w:type="dxa"/>
              <w:right w:w="108" w:type="dxa"/>
            </w:tcMar>
            <w:vAlign w:val="center"/>
          </w:tcPr>
          <w:p w14:paraId="08B962DE" w14:textId="2C4C67BD" w:rsidR="00621959" w:rsidRPr="006755A3" w:rsidRDefault="00621959" w:rsidP="006755A3">
            <w:pPr>
              <w:pStyle w:val="Tabletexte"/>
              <w:jc w:val="center"/>
              <w:rPr>
                <w:position w:val="2"/>
              </w:rPr>
            </w:pPr>
            <w:r w:rsidRPr="006755A3">
              <w:rPr>
                <w:position w:val="2"/>
              </w:rPr>
              <w:t>10</w:t>
            </w:r>
            <w:r w:rsidR="006755A3" w:rsidRPr="006755A3">
              <w:rPr>
                <w:position w:val="2"/>
              </w:rPr>
              <w:t> </w:t>
            </w:r>
            <w:r w:rsidRPr="006755A3">
              <w:rPr>
                <w:position w:val="2"/>
              </w:rPr>
              <w:t>195</w:t>
            </w:r>
          </w:p>
        </w:tc>
        <w:tc>
          <w:tcPr>
            <w:tcW w:w="990" w:type="dxa"/>
            <w:tcMar>
              <w:top w:w="0" w:type="dxa"/>
              <w:left w:w="108" w:type="dxa"/>
              <w:bottom w:w="0" w:type="dxa"/>
              <w:right w:w="108" w:type="dxa"/>
            </w:tcMar>
            <w:vAlign w:val="center"/>
          </w:tcPr>
          <w:p w14:paraId="4B1289CF" w14:textId="1ED898D9" w:rsidR="00621959" w:rsidRPr="006755A3" w:rsidRDefault="00621959" w:rsidP="006755A3">
            <w:pPr>
              <w:pStyle w:val="Tabletexte"/>
              <w:jc w:val="center"/>
              <w:rPr>
                <w:position w:val="2"/>
              </w:rPr>
            </w:pPr>
            <w:r w:rsidRPr="006755A3">
              <w:rPr>
                <w:position w:val="2"/>
              </w:rPr>
              <w:t>10</w:t>
            </w:r>
            <w:r w:rsidR="006755A3" w:rsidRPr="006755A3">
              <w:rPr>
                <w:position w:val="2"/>
              </w:rPr>
              <w:t> </w:t>
            </w:r>
            <w:r w:rsidRPr="006755A3">
              <w:rPr>
                <w:position w:val="2"/>
              </w:rPr>
              <w:t>470</w:t>
            </w:r>
          </w:p>
        </w:tc>
        <w:tc>
          <w:tcPr>
            <w:tcW w:w="1425" w:type="dxa"/>
            <w:tcBorders>
              <w:right w:val="single" w:sz="4" w:space="0" w:color="4BACC6"/>
            </w:tcBorders>
            <w:tcMar>
              <w:top w:w="0" w:type="dxa"/>
              <w:left w:w="108" w:type="dxa"/>
              <w:bottom w:w="0" w:type="dxa"/>
              <w:right w:w="108" w:type="dxa"/>
            </w:tcMar>
            <w:vAlign w:val="center"/>
          </w:tcPr>
          <w:p w14:paraId="213DACA6" w14:textId="396DD4C0" w:rsidR="00621959" w:rsidRPr="006755A3" w:rsidRDefault="00621959" w:rsidP="006755A3">
            <w:pPr>
              <w:pStyle w:val="Tabletexte"/>
              <w:jc w:val="center"/>
              <w:rPr>
                <w:position w:val="2"/>
              </w:rPr>
            </w:pPr>
            <w:r w:rsidRPr="006755A3">
              <w:rPr>
                <w:position w:val="2"/>
              </w:rPr>
              <w:t>39</w:t>
            </w:r>
            <w:r w:rsidR="006755A3" w:rsidRPr="006755A3">
              <w:rPr>
                <w:position w:val="2"/>
              </w:rPr>
              <w:t> </w:t>
            </w:r>
            <w:r w:rsidRPr="006755A3">
              <w:rPr>
                <w:position w:val="2"/>
              </w:rPr>
              <w:t>945</w:t>
            </w:r>
          </w:p>
        </w:tc>
      </w:tr>
      <w:tr w:rsidR="00621959" w:rsidRPr="006755A3" w14:paraId="5F78793D" w14:textId="77777777" w:rsidTr="006755A3">
        <w:tc>
          <w:tcPr>
            <w:tcW w:w="3225" w:type="dxa"/>
            <w:tcBorders>
              <w:left w:val="single" w:sz="4" w:space="0" w:color="4BACC6"/>
            </w:tcBorders>
            <w:tcMar>
              <w:top w:w="0" w:type="dxa"/>
              <w:left w:w="108" w:type="dxa"/>
              <w:bottom w:w="0" w:type="dxa"/>
              <w:right w:w="108" w:type="dxa"/>
            </w:tcMar>
            <w:vAlign w:val="center"/>
          </w:tcPr>
          <w:p w14:paraId="02A36AF8" w14:textId="0E2585CD" w:rsidR="00621959" w:rsidRPr="006755A3" w:rsidRDefault="00621959" w:rsidP="006755A3">
            <w:pPr>
              <w:pStyle w:val="Tabletexte"/>
              <w:rPr>
                <w:position w:val="2"/>
              </w:rPr>
            </w:pPr>
            <w:r w:rsidRPr="006755A3">
              <w:rPr>
                <w:position w:val="2"/>
                <w:rtl/>
              </w:rPr>
              <w:t xml:space="preserve">ملاحظات المراقبة المتعلقة ببرنامج المراقبة في النطاقين </w:t>
            </w:r>
            <w:r w:rsidRPr="006755A3">
              <w:rPr>
                <w:position w:val="2"/>
              </w:rPr>
              <w:t>kHz</w:t>
            </w:r>
            <w:r w:rsidR="006755A3">
              <w:rPr>
                <w:position w:val="2"/>
              </w:rPr>
              <w:t> </w:t>
            </w:r>
            <w:r w:rsidRPr="006755A3">
              <w:rPr>
                <w:position w:val="2"/>
              </w:rPr>
              <w:t>28</w:t>
            </w:r>
            <w:r w:rsidR="006755A3">
              <w:rPr>
                <w:position w:val="2"/>
              </w:rPr>
              <w:t> </w:t>
            </w:r>
            <w:r w:rsidRPr="006755A3">
              <w:rPr>
                <w:position w:val="2"/>
              </w:rPr>
              <w:t>000-2</w:t>
            </w:r>
            <w:r w:rsidR="006755A3">
              <w:rPr>
                <w:position w:val="2"/>
              </w:rPr>
              <w:t> </w:t>
            </w:r>
            <w:r w:rsidRPr="006755A3">
              <w:rPr>
                <w:position w:val="2"/>
              </w:rPr>
              <w:t>850</w:t>
            </w:r>
            <w:r w:rsidRPr="006755A3">
              <w:rPr>
                <w:position w:val="2"/>
                <w:rtl/>
              </w:rPr>
              <w:t xml:space="preserve"> و</w:t>
            </w:r>
            <w:r w:rsidRPr="006755A3">
              <w:rPr>
                <w:position w:val="2"/>
              </w:rPr>
              <w:t>MHz</w:t>
            </w:r>
            <w:r w:rsidR="006755A3">
              <w:rPr>
                <w:position w:val="2"/>
              </w:rPr>
              <w:t> </w:t>
            </w:r>
            <w:r w:rsidRPr="006755A3">
              <w:rPr>
                <w:position w:val="2"/>
              </w:rPr>
              <w:t>406,1-406</w:t>
            </w:r>
          </w:p>
        </w:tc>
        <w:tc>
          <w:tcPr>
            <w:tcW w:w="1110" w:type="dxa"/>
            <w:tcMar>
              <w:top w:w="0" w:type="dxa"/>
              <w:left w:w="108" w:type="dxa"/>
              <w:bottom w:w="0" w:type="dxa"/>
              <w:right w:w="108" w:type="dxa"/>
            </w:tcMar>
            <w:vAlign w:val="center"/>
          </w:tcPr>
          <w:p w14:paraId="524B5561" w14:textId="7F84AA8F" w:rsidR="00621959" w:rsidRPr="006755A3" w:rsidRDefault="00621959" w:rsidP="006755A3">
            <w:pPr>
              <w:pStyle w:val="Tabletexte"/>
              <w:jc w:val="center"/>
              <w:rPr>
                <w:position w:val="2"/>
              </w:rPr>
            </w:pPr>
            <w:r w:rsidRPr="006755A3">
              <w:rPr>
                <w:position w:val="2"/>
              </w:rPr>
              <w:t>25</w:t>
            </w:r>
            <w:r w:rsidR="006755A3" w:rsidRPr="006755A3">
              <w:rPr>
                <w:position w:val="2"/>
              </w:rPr>
              <w:t> </w:t>
            </w:r>
            <w:r w:rsidRPr="006755A3">
              <w:rPr>
                <w:position w:val="2"/>
              </w:rPr>
              <w:t>530</w:t>
            </w:r>
            <w:r w:rsidRPr="006755A3">
              <w:rPr>
                <w:position w:val="2"/>
                <w:rtl/>
              </w:rPr>
              <w:t>/</w:t>
            </w:r>
            <w:r w:rsidR="006755A3">
              <w:rPr>
                <w:position w:val="2"/>
              </w:rPr>
              <w:br/>
            </w:r>
            <w:r w:rsidRPr="006755A3">
              <w:rPr>
                <w:position w:val="2"/>
              </w:rPr>
              <w:t>407</w:t>
            </w:r>
          </w:p>
        </w:tc>
        <w:tc>
          <w:tcPr>
            <w:tcW w:w="1110" w:type="dxa"/>
            <w:tcMar>
              <w:top w:w="0" w:type="dxa"/>
              <w:left w:w="108" w:type="dxa"/>
              <w:bottom w:w="0" w:type="dxa"/>
              <w:right w:w="108" w:type="dxa"/>
            </w:tcMar>
            <w:vAlign w:val="center"/>
          </w:tcPr>
          <w:p w14:paraId="2B173662" w14:textId="78B3E400" w:rsidR="00621959" w:rsidRPr="006755A3" w:rsidRDefault="00621959" w:rsidP="006755A3">
            <w:pPr>
              <w:pStyle w:val="Tabletexte"/>
              <w:jc w:val="center"/>
              <w:rPr>
                <w:position w:val="2"/>
              </w:rPr>
            </w:pPr>
            <w:r w:rsidRPr="006755A3">
              <w:rPr>
                <w:position w:val="2"/>
              </w:rPr>
              <w:t>29</w:t>
            </w:r>
            <w:r w:rsidR="006755A3" w:rsidRPr="006755A3">
              <w:rPr>
                <w:position w:val="2"/>
              </w:rPr>
              <w:t> </w:t>
            </w:r>
            <w:r w:rsidRPr="006755A3">
              <w:rPr>
                <w:position w:val="2"/>
              </w:rPr>
              <w:t>909</w:t>
            </w:r>
            <w:r w:rsidRPr="006755A3">
              <w:rPr>
                <w:position w:val="2"/>
                <w:rtl/>
              </w:rPr>
              <w:t>/</w:t>
            </w:r>
            <w:r w:rsidR="006755A3">
              <w:rPr>
                <w:position w:val="2"/>
              </w:rPr>
              <w:br/>
            </w:r>
            <w:r w:rsidRPr="006755A3">
              <w:rPr>
                <w:position w:val="2"/>
              </w:rPr>
              <w:t>612</w:t>
            </w:r>
          </w:p>
        </w:tc>
        <w:tc>
          <w:tcPr>
            <w:tcW w:w="1035" w:type="dxa"/>
            <w:tcMar>
              <w:top w:w="0" w:type="dxa"/>
              <w:left w:w="108" w:type="dxa"/>
              <w:bottom w:w="0" w:type="dxa"/>
              <w:right w:w="108" w:type="dxa"/>
            </w:tcMar>
            <w:vAlign w:val="center"/>
          </w:tcPr>
          <w:p w14:paraId="478FA525" w14:textId="0AC79E71" w:rsidR="00621959" w:rsidRPr="006755A3" w:rsidRDefault="00621959" w:rsidP="006755A3">
            <w:pPr>
              <w:pStyle w:val="Tabletexte"/>
              <w:jc w:val="center"/>
              <w:rPr>
                <w:position w:val="2"/>
              </w:rPr>
            </w:pPr>
            <w:r w:rsidRPr="006755A3">
              <w:rPr>
                <w:position w:val="2"/>
              </w:rPr>
              <w:t>27</w:t>
            </w:r>
            <w:r w:rsidR="006755A3" w:rsidRPr="006755A3">
              <w:rPr>
                <w:position w:val="2"/>
              </w:rPr>
              <w:t> </w:t>
            </w:r>
            <w:r w:rsidRPr="006755A3">
              <w:rPr>
                <w:position w:val="2"/>
              </w:rPr>
              <w:t>854</w:t>
            </w:r>
            <w:r w:rsidRPr="006755A3">
              <w:rPr>
                <w:position w:val="2"/>
                <w:rtl/>
              </w:rPr>
              <w:t>/</w:t>
            </w:r>
            <w:r w:rsidR="006755A3">
              <w:rPr>
                <w:position w:val="2"/>
              </w:rPr>
              <w:br/>
            </w:r>
            <w:r w:rsidRPr="006755A3">
              <w:rPr>
                <w:position w:val="2"/>
              </w:rPr>
              <w:t>920</w:t>
            </w:r>
          </w:p>
        </w:tc>
        <w:tc>
          <w:tcPr>
            <w:tcW w:w="990" w:type="dxa"/>
            <w:tcMar>
              <w:top w:w="0" w:type="dxa"/>
              <w:left w:w="108" w:type="dxa"/>
              <w:bottom w:w="0" w:type="dxa"/>
              <w:right w:w="108" w:type="dxa"/>
            </w:tcMar>
            <w:vAlign w:val="center"/>
          </w:tcPr>
          <w:p w14:paraId="018C2EC8" w14:textId="5E6E39C2" w:rsidR="00621959" w:rsidRPr="006755A3" w:rsidRDefault="00621959" w:rsidP="006755A3">
            <w:pPr>
              <w:pStyle w:val="Tabletexte"/>
              <w:jc w:val="center"/>
              <w:rPr>
                <w:position w:val="2"/>
              </w:rPr>
            </w:pPr>
            <w:r w:rsidRPr="006755A3">
              <w:rPr>
                <w:position w:val="2"/>
              </w:rPr>
              <w:t>33</w:t>
            </w:r>
            <w:r w:rsidR="006755A3" w:rsidRPr="006755A3">
              <w:rPr>
                <w:position w:val="2"/>
              </w:rPr>
              <w:t> </w:t>
            </w:r>
            <w:r w:rsidRPr="006755A3">
              <w:rPr>
                <w:position w:val="2"/>
              </w:rPr>
              <w:t>406</w:t>
            </w:r>
            <w:r w:rsidRPr="006755A3">
              <w:rPr>
                <w:position w:val="2"/>
                <w:rtl/>
              </w:rPr>
              <w:t>/</w:t>
            </w:r>
            <w:r w:rsidR="006755A3">
              <w:rPr>
                <w:position w:val="2"/>
              </w:rPr>
              <w:br/>
            </w:r>
            <w:r w:rsidRPr="006755A3">
              <w:rPr>
                <w:position w:val="2"/>
              </w:rPr>
              <w:t>1</w:t>
            </w:r>
            <w:r w:rsidR="006755A3" w:rsidRPr="006755A3">
              <w:rPr>
                <w:position w:val="2"/>
              </w:rPr>
              <w:t> </w:t>
            </w:r>
            <w:r w:rsidRPr="006755A3">
              <w:rPr>
                <w:position w:val="2"/>
              </w:rPr>
              <w:t>114</w:t>
            </w:r>
          </w:p>
        </w:tc>
        <w:tc>
          <w:tcPr>
            <w:tcW w:w="1425" w:type="dxa"/>
            <w:tcBorders>
              <w:right w:val="single" w:sz="4" w:space="0" w:color="4BACC6"/>
            </w:tcBorders>
            <w:tcMar>
              <w:top w:w="0" w:type="dxa"/>
              <w:left w:w="108" w:type="dxa"/>
              <w:bottom w:w="0" w:type="dxa"/>
              <w:right w:w="108" w:type="dxa"/>
            </w:tcMar>
            <w:vAlign w:val="center"/>
          </w:tcPr>
          <w:p w14:paraId="585F6A29" w14:textId="20B15040" w:rsidR="00621959" w:rsidRPr="006755A3" w:rsidRDefault="00621959" w:rsidP="006755A3">
            <w:pPr>
              <w:pStyle w:val="Tabletexte"/>
              <w:jc w:val="center"/>
              <w:rPr>
                <w:position w:val="2"/>
              </w:rPr>
            </w:pPr>
            <w:r w:rsidRPr="006755A3">
              <w:rPr>
                <w:position w:val="2"/>
              </w:rPr>
              <w:t>116</w:t>
            </w:r>
            <w:r w:rsidR="006755A3" w:rsidRPr="006755A3">
              <w:rPr>
                <w:position w:val="2"/>
              </w:rPr>
              <w:t> </w:t>
            </w:r>
            <w:r w:rsidRPr="006755A3">
              <w:rPr>
                <w:position w:val="2"/>
              </w:rPr>
              <w:t>699</w:t>
            </w:r>
            <w:r w:rsidRPr="006755A3">
              <w:rPr>
                <w:position w:val="2"/>
                <w:rtl/>
              </w:rPr>
              <w:t>/</w:t>
            </w:r>
            <w:r w:rsidR="006755A3">
              <w:rPr>
                <w:position w:val="2"/>
              </w:rPr>
              <w:br/>
            </w:r>
            <w:r w:rsidRPr="006755A3">
              <w:rPr>
                <w:position w:val="2"/>
              </w:rPr>
              <w:t>3</w:t>
            </w:r>
            <w:r w:rsidR="006755A3" w:rsidRPr="006755A3">
              <w:rPr>
                <w:position w:val="2"/>
              </w:rPr>
              <w:t> </w:t>
            </w:r>
            <w:r w:rsidRPr="006755A3">
              <w:rPr>
                <w:position w:val="2"/>
              </w:rPr>
              <w:t>053</w:t>
            </w:r>
          </w:p>
        </w:tc>
      </w:tr>
      <w:tr w:rsidR="00621959" w:rsidRPr="006755A3" w14:paraId="74B39E68" w14:textId="77777777" w:rsidTr="006755A3">
        <w:tc>
          <w:tcPr>
            <w:tcW w:w="3225" w:type="dxa"/>
            <w:tcBorders>
              <w:left w:val="single" w:sz="4" w:space="0" w:color="4BACC6"/>
              <w:bottom w:val="single" w:sz="4" w:space="0" w:color="4BACC6"/>
            </w:tcBorders>
            <w:tcMar>
              <w:top w:w="0" w:type="dxa"/>
              <w:left w:w="108" w:type="dxa"/>
              <w:bottom w:w="0" w:type="dxa"/>
              <w:right w:w="108" w:type="dxa"/>
            </w:tcMar>
            <w:vAlign w:val="center"/>
          </w:tcPr>
          <w:p w14:paraId="2BD00AE7" w14:textId="77777777" w:rsidR="00621959" w:rsidRPr="006755A3" w:rsidRDefault="00621959" w:rsidP="006755A3">
            <w:pPr>
              <w:pStyle w:val="Tabletexte"/>
              <w:rPr>
                <w:position w:val="2"/>
              </w:rPr>
            </w:pPr>
            <w:r w:rsidRPr="006755A3">
              <w:rPr>
                <w:position w:val="2"/>
                <w:rtl/>
              </w:rPr>
              <w:t>تقارير التداخلات الضارة</w:t>
            </w:r>
          </w:p>
        </w:tc>
        <w:tc>
          <w:tcPr>
            <w:tcW w:w="1110" w:type="dxa"/>
            <w:tcBorders>
              <w:bottom w:val="single" w:sz="4" w:space="0" w:color="4BACC6"/>
            </w:tcBorders>
            <w:tcMar>
              <w:top w:w="0" w:type="dxa"/>
              <w:left w:w="108" w:type="dxa"/>
              <w:bottom w:w="0" w:type="dxa"/>
              <w:right w:w="108" w:type="dxa"/>
            </w:tcMar>
            <w:vAlign w:val="center"/>
          </w:tcPr>
          <w:p w14:paraId="673F0F6A" w14:textId="0545FA95" w:rsidR="00621959" w:rsidRPr="006755A3" w:rsidRDefault="00621959" w:rsidP="006755A3">
            <w:pPr>
              <w:pStyle w:val="Tabletexte"/>
              <w:jc w:val="center"/>
              <w:rPr>
                <w:position w:val="2"/>
              </w:rPr>
            </w:pPr>
            <w:r w:rsidRPr="006755A3">
              <w:rPr>
                <w:position w:val="2"/>
              </w:rPr>
              <w:t>1</w:t>
            </w:r>
            <w:r w:rsidR="006755A3" w:rsidRPr="006755A3">
              <w:rPr>
                <w:position w:val="2"/>
              </w:rPr>
              <w:t> </w:t>
            </w:r>
            <w:r w:rsidRPr="006755A3">
              <w:rPr>
                <w:position w:val="2"/>
              </w:rPr>
              <w:t>007</w:t>
            </w:r>
          </w:p>
        </w:tc>
        <w:tc>
          <w:tcPr>
            <w:tcW w:w="1110" w:type="dxa"/>
            <w:tcBorders>
              <w:bottom w:val="single" w:sz="4" w:space="0" w:color="4BACC6"/>
            </w:tcBorders>
            <w:tcMar>
              <w:top w:w="0" w:type="dxa"/>
              <w:left w:w="108" w:type="dxa"/>
              <w:bottom w:w="0" w:type="dxa"/>
              <w:right w:w="108" w:type="dxa"/>
            </w:tcMar>
            <w:vAlign w:val="center"/>
          </w:tcPr>
          <w:p w14:paraId="793F4AFE" w14:textId="7C374ED1" w:rsidR="00621959" w:rsidRPr="006755A3" w:rsidRDefault="00621959" w:rsidP="006755A3">
            <w:pPr>
              <w:pStyle w:val="Tabletexte"/>
              <w:jc w:val="center"/>
              <w:rPr>
                <w:position w:val="2"/>
              </w:rPr>
            </w:pPr>
            <w:r w:rsidRPr="006755A3">
              <w:rPr>
                <w:position w:val="2"/>
              </w:rPr>
              <w:t>1</w:t>
            </w:r>
            <w:r w:rsidR="006755A3" w:rsidRPr="006755A3">
              <w:rPr>
                <w:position w:val="2"/>
              </w:rPr>
              <w:t> </w:t>
            </w:r>
            <w:r w:rsidRPr="006755A3">
              <w:rPr>
                <w:position w:val="2"/>
              </w:rPr>
              <w:t>110</w:t>
            </w:r>
          </w:p>
        </w:tc>
        <w:tc>
          <w:tcPr>
            <w:tcW w:w="1035" w:type="dxa"/>
            <w:tcBorders>
              <w:bottom w:val="single" w:sz="4" w:space="0" w:color="4BACC6"/>
            </w:tcBorders>
            <w:tcMar>
              <w:top w:w="0" w:type="dxa"/>
              <w:left w:w="108" w:type="dxa"/>
              <w:bottom w:w="0" w:type="dxa"/>
              <w:right w:w="108" w:type="dxa"/>
            </w:tcMar>
            <w:vAlign w:val="center"/>
          </w:tcPr>
          <w:p w14:paraId="0C2CEB49" w14:textId="19600E16" w:rsidR="00621959" w:rsidRPr="006755A3" w:rsidRDefault="00621959" w:rsidP="006755A3">
            <w:pPr>
              <w:pStyle w:val="Tabletexte"/>
              <w:jc w:val="center"/>
              <w:rPr>
                <w:position w:val="2"/>
              </w:rPr>
            </w:pPr>
            <w:r w:rsidRPr="006755A3">
              <w:rPr>
                <w:position w:val="2"/>
              </w:rPr>
              <w:t>1</w:t>
            </w:r>
            <w:r w:rsidR="006755A3" w:rsidRPr="006755A3">
              <w:rPr>
                <w:position w:val="2"/>
              </w:rPr>
              <w:t> </w:t>
            </w:r>
            <w:r w:rsidRPr="006755A3">
              <w:rPr>
                <w:position w:val="2"/>
              </w:rPr>
              <w:t>100</w:t>
            </w:r>
          </w:p>
        </w:tc>
        <w:tc>
          <w:tcPr>
            <w:tcW w:w="990" w:type="dxa"/>
            <w:tcBorders>
              <w:bottom w:val="single" w:sz="4" w:space="0" w:color="4BACC6"/>
            </w:tcBorders>
            <w:tcMar>
              <w:top w:w="0" w:type="dxa"/>
              <w:left w:w="108" w:type="dxa"/>
              <w:bottom w:w="0" w:type="dxa"/>
              <w:right w:w="108" w:type="dxa"/>
            </w:tcMar>
            <w:vAlign w:val="center"/>
          </w:tcPr>
          <w:p w14:paraId="324B107C" w14:textId="1780FA2B" w:rsidR="00621959" w:rsidRPr="006755A3" w:rsidRDefault="00621959" w:rsidP="006755A3">
            <w:pPr>
              <w:pStyle w:val="Tabletexte"/>
              <w:jc w:val="center"/>
              <w:rPr>
                <w:position w:val="2"/>
              </w:rPr>
            </w:pPr>
            <w:r w:rsidRPr="006755A3">
              <w:rPr>
                <w:position w:val="2"/>
              </w:rPr>
              <w:t>1</w:t>
            </w:r>
            <w:r w:rsidR="006755A3" w:rsidRPr="006755A3">
              <w:rPr>
                <w:position w:val="2"/>
              </w:rPr>
              <w:t> </w:t>
            </w:r>
            <w:r w:rsidRPr="006755A3">
              <w:rPr>
                <w:position w:val="2"/>
              </w:rPr>
              <w:t>140</w:t>
            </w:r>
          </w:p>
        </w:tc>
        <w:tc>
          <w:tcPr>
            <w:tcW w:w="1425" w:type="dxa"/>
            <w:tcBorders>
              <w:bottom w:val="single" w:sz="4" w:space="0" w:color="4BACC6"/>
              <w:right w:val="single" w:sz="4" w:space="0" w:color="4BACC6"/>
            </w:tcBorders>
            <w:tcMar>
              <w:top w:w="0" w:type="dxa"/>
              <w:left w:w="108" w:type="dxa"/>
              <w:bottom w:w="0" w:type="dxa"/>
              <w:right w:w="108" w:type="dxa"/>
            </w:tcMar>
            <w:vAlign w:val="center"/>
          </w:tcPr>
          <w:p w14:paraId="04C42B09" w14:textId="7A9B9449" w:rsidR="00621959" w:rsidRPr="006755A3" w:rsidRDefault="00621959" w:rsidP="006755A3">
            <w:pPr>
              <w:pStyle w:val="Tabletexte"/>
              <w:jc w:val="center"/>
              <w:rPr>
                <w:position w:val="2"/>
              </w:rPr>
            </w:pPr>
            <w:r w:rsidRPr="006755A3">
              <w:rPr>
                <w:position w:val="2"/>
              </w:rPr>
              <w:t>4</w:t>
            </w:r>
            <w:r w:rsidR="006755A3" w:rsidRPr="006755A3">
              <w:rPr>
                <w:position w:val="2"/>
              </w:rPr>
              <w:t> </w:t>
            </w:r>
            <w:r w:rsidRPr="006755A3">
              <w:rPr>
                <w:position w:val="2"/>
              </w:rPr>
              <w:t>357</w:t>
            </w:r>
          </w:p>
        </w:tc>
      </w:tr>
    </w:tbl>
    <w:p w14:paraId="4E3DC84D" w14:textId="46E53616" w:rsidR="00621959" w:rsidRPr="006755A3" w:rsidRDefault="00621959" w:rsidP="006755A3">
      <w:pPr>
        <w:pStyle w:val="Tablelegend"/>
        <w:jc w:val="center"/>
        <w:rPr>
          <w:color w:val="1F497D"/>
          <w:rtl/>
        </w:rPr>
      </w:pPr>
      <w:r w:rsidRPr="006755A3">
        <w:rPr>
          <w:color w:val="1F497D"/>
          <w:rtl/>
        </w:rPr>
        <w:t>الجدول 2</w:t>
      </w:r>
      <w:r w:rsidR="006755A3">
        <w:rPr>
          <w:rFonts w:hint="cs"/>
          <w:color w:val="1F497D"/>
          <w:rtl/>
        </w:rPr>
        <w:t>.</w:t>
      </w:r>
      <w:r w:rsidRPr="006755A3">
        <w:rPr>
          <w:color w:val="1F497D"/>
          <w:rtl/>
        </w:rPr>
        <w:t xml:space="preserve"> بطاقات التبليغ عن خدمات الأرض، 2022-2025</w:t>
      </w:r>
    </w:p>
    <w:p w14:paraId="54A79EF3" w14:textId="77777777" w:rsidR="00621959" w:rsidRPr="00621959" w:rsidRDefault="00621959" w:rsidP="006755A3">
      <w:pPr>
        <w:pStyle w:val="Headingb"/>
        <w:rPr>
          <w:lang w:val="en-GB" w:bidi="ar-EG"/>
        </w:rPr>
      </w:pPr>
      <w:r w:rsidRPr="00621959">
        <w:rPr>
          <w:rtl/>
        </w:rPr>
        <w:t>تحسينات وتطويرات برمجيات قطاع الاتصالات الراديوية (2022-2025)</w:t>
      </w:r>
    </w:p>
    <w:p w14:paraId="3D89B37C" w14:textId="20D1CDE5" w:rsidR="00621959" w:rsidRPr="006755A3" w:rsidRDefault="004B6E12" w:rsidP="008A5A1B">
      <w:pPr>
        <w:rPr>
          <w:spacing w:val="-4"/>
          <w:lang w:val="en-GB" w:bidi="ar-EG"/>
        </w:rPr>
      </w:pPr>
      <w:r w:rsidRPr="004B6E12">
        <w:rPr>
          <w:spacing w:val="-4"/>
          <w:rtl/>
        </w:rPr>
        <w:t xml:space="preserve">تحقق تقدم كبير </w:t>
      </w:r>
      <w:r w:rsidR="00621959" w:rsidRPr="006755A3">
        <w:rPr>
          <w:spacing w:val="-4"/>
          <w:rtl/>
        </w:rPr>
        <w:t xml:space="preserve">في تطبيقات البرمجيات وأدواتها خلال الفترة من عام 2022 إلى عام 2025، إذ ركز على تحسين نفاذ المستعملين إلى </w:t>
      </w:r>
      <w:r w:rsidR="00CA28EE">
        <w:rPr>
          <w:rFonts w:hint="cs"/>
          <w:spacing w:val="-4"/>
          <w:rtl/>
        </w:rPr>
        <w:t>مخرجات</w:t>
      </w:r>
      <w:r w:rsidR="00621959" w:rsidRPr="006755A3">
        <w:rPr>
          <w:spacing w:val="-4"/>
          <w:rtl/>
        </w:rPr>
        <w:t xml:space="preserve"> قطاع الاتصالات الراديوية ورفع الكفاءة العامة لخدمات الاتصالات الراديوية.</w:t>
      </w:r>
    </w:p>
    <w:p w14:paraId="66B76267" w14:textId="44A08D0A" w:rsidR="00621959" w:rsidRPr="00621959" w:rsidRDefault="00621959" w:rsidP="008A5A1B">
      <w:pPr>
        <w:rPr>
          <w:lang w:val="en-GB" w:bidi="ar-EG"/>
        </w:rPr>
      </w:pPr>
      <w:r w:rsidRPr="00621959">
        <w:rPr>
          <w:rtl/>
        </w:rPr>
        <w:t>وفي عام 2022، ركز مكتب الاتصالات الراديوية على تحديث تطبيقات البرمجيات الرئيسية التي تُمكّن المستعملين من البحث في جدول توزيع نطاقات التردد (</w:t>
      </w:r>
      <w:r w:rsidRPr="00621959">
        <w:rPr>
          <w:lang w:val="en-GB" w:bidi="ar-EG"/>
        </w:rPr>
        <w:t>TFA</w:t>
      </w:r>
      <w:r w:rsidRPr="00621959">
        <w:rPr>
          <w:rtl/>
        </w:rPr>
        <w:t>) والنصوص التنظيمية ذات الصلة وتحليلها. وشملت التحسينات الرئيسية تطوير أدوات لمعالجة طلبات التنسيق وبطاقات التبليغ عن محطات المنصات عالية الارتفاع (</w:t>
      </w:r>
      <w:r w:rsidRPr="00621959">
        <w:rPr>
          <w:lang w:val="en-GB" w:bidi="ar-EG"/>
        </w:rPr>
        <w:t>HAPS</w:t>
      </w:r>
      <w:r w:rsidRPr="00621959">
        <w:rPr>
          <w:rtl/>
        </w:rPr>
        <w:t xml:space="preserve">). كما شكلت عملية نقل قاعدة بيانات </w:t>
      </w:r>
      <w:proofErr w:type="spellStart"/>
      <w:r w:rsidRPr="00621959">
        <w:rPr>
          <w:lang w:val="en-GB" w:bidi="ar-EG"/>
        </w:rPr>
        <w:t>TerRaSys</w:t>
      </w:r>
      <w:proofErr w:type="spellEnd"/>
      <w:r w:rsidRPr="00621959">
        <w:rPr>
          <w:rtl/>
        </w:rPr>
        <w:t xml:space="preserve"> إلى مخدم </w:t>
      </w:r>
      <w:r w:rsidRPr="00621959">
        <w:rPr>
          <w:lang w:val="en-GB" w:bidi="ar-EG"/>
        </w:rPr>
        <w:t>SQL</w:t>
      </w:r>
      <w:r w:rsidRPr="00621959">
        <w:rPr>
          <w:rtl/>
        </w:rPr>
        <w:t xml:space="preserve"> (لغة الاستجواب المهيكلة) ودمج أدوات الويب </w:t>
      </w:r>
      <w:proofErr w:type="spellStart"/>
      <w:r w:rsidRPr="00621959">
        <w:rPr>
          <w:lang w:val="en-GB" w:bidi="ar-EG"/>
        </w:rPr>
        <w:t>eTerrestrial</w:t>
      </w:r>
      <w:proofErr w:type="spellEnd"/>
      <w:r w:rsidRPr="00621959">
        <w:rPr>
          <w:rtl/>
        </w:rPr>
        <w:t xml:space="preserve"> لمختلف خدمات الأرض إنجازات </w:t>
      </w:r>
      <w:proofErr w:type="gramStart"/>
      <w:r w:rsidRPr="00621959">
        <w:rPr>
          <w:rtl/>
        </w:rPr>
        <w:t>هامة</w:t>
      </w:r>
      <w:proofErr w:type="gramEnd"/>
      <w:r w:rsidRPr="00621959">
        <w:rPr>
          <w:rtl/>
        </w:rPr>
        <w:t>. وبالإضافة إلى ذلك، تم تحسين الأدوات الإلكترونية المتوافقة مع اتفاق جنيف لعام</w:t>
      </w:r>
      <w:r w:rsidR="00CA28EE">
        <w:rPr>
          <w:rFonts w:hint="cs"/>
          <w:rtl/>
        </w:rPr>
        <w:t> </w:t>
      </w:r>
      <w:r w:rsidRPr="00621959">
        <w:rPr>
          <w:rtl/>
        </w:rPr>
        <w:t>1984</w:t>
      </w:r>
      <w:r w:rsidR="00CA28EE">
        <w:rPr>
          <w:rFonts w:hint="cs"/>
          <w:rtl/>
        </w:rPr>
        <w:t> </w:t>
      </w:r>
      <w:r w:rsidRPr="00621959">
        <w:rPr>
          <w:rtl/>
        </w:rPr>
        <w:t>(</w:t>
      </w:r>
      <w:r w:rsidRPr="00621959">
        <w:rPr>
          <w:lang w:val="en-GB" w:bidi="ar-EG"/>
        </w:rPr>
        <w:t>GE84</w:t>
      </w:r>
      <w:r w:rsidRPr="00621959">
        <w:rPr>
          <w:rtl/>
        </w:rPr>
        <w:t>)، وأعيد تصميم برمجية الإذاعة على الترددات العالية لتحسين تجربة المستعمل. وأُنشئ نظام جديد لتتبع التداخل الضار (</w:t>
      </w:r>
      <w:r w:rsidRPr="00621959">
        <w:rPr>
          <w:lang w:val="en-GB" w:bidi="ar-EG"/>
        </w:rPr>
        <w:t>HITS</w:t>
      </w:r>
      <w:r w:rsidRPr="00621959">
        <w:rPr>
          <w:rtl/>
        </w:rPr>
        <w:t>) عبر الإنترنت لتناول تقارير التداخل الضار، في حين بُذلت جهود لتحديث أنظمة معلومات الفضاء وتنفيذ أنظمة الاتصالات الإلكترونية لبطاقات التبليغ عن الشبكات الساتلية.</w:t>
      </w:r>
    </w:p>
    <w:p w14:paraId="2446F8C3" w14:textId="12452305" w:rsidR="00621959" w:rsidRPr="00621959" w:rsidRDefault="00621959" w:rsidP="008A5A1B">
      <w:pPr>
        <w:rPr>
          <w:lang w:val="en-GB" w:bidi="ar-EG"/>
        </w:rPr>
      </w:pPr>
      <w:r w:rsidRPr="00621959">
        <w:rPr>
          <w:rtl/>
        </w:rPr>
        <w:t xml:space="preserve">واستمراراً في عام 2023، </w:t>
      </w:r>
      <w:r w:rsidR="004B6E12" w:rsidRPr="004B6E12">
        <w:rPr>
          <w:rtl/>
        </w:rPr>
        <w:t>تحقق تقدم</w:t>
      </w:r>
      <w:r w:rsidRPr="00621959">
        <w:rPr>
          <w:rtl/>
        </w:rPr>
        <w:t xml:space="preserve"> في تطوير البرمجيات</w:t>
      </w:r>
      <w:r w:rsidRPr="00621959">
        <w:rPr>
          <w:rFonts w:hint="cs"/>
          <w:rtl/>
        </w:rPr>
        <w:t xml:space="preserve"> التي تركز على</w:t>
      </w:r>
      <w:r w:rsidRPr="00621959">
        <w:rPr>
          <w:rtl/>
        </w:rPr>
        <w:t xml:space="preserve"> نظام معلومات الفضاء في المكتب. وشملت الإنجازات الرئيسية اقتراب اختبار قبول المستعمل لبرمجية </w:t>
      </w:r>
      <w:r w:rsidRPr="00621959">
        <w:rPr>
          <w:lang w:val="en-GB" w:bidi="ar-EG"/>
        </w:rPr>
        <w:t>PXT</w:t>
      </w:r>
      <w:r w:rsidRPr="00621959">
        <w:rPr>
          <w:rtl/>
        </w:rPr>
        <w:t xml:space="preserve"> المحدثة، ومواصلة التقدم في نظام </w:t>
      </w:r>
      <w:r w:rsidRPr="00621959">
        <w:rPr>
          <w:rFonts w:hint="cs"/>
          <w:rtl/>
        </w:rPr>
        <w:t>التبليغ</w:t>
      </w:r>
      <w:r w:rsidRPr="00621959">
        <w:rPr>
          <w:rtl/>
        </w:rPr>
        <w:t xml:space="preserve"> الإلكتروني، بما يضمن الامتثال لأحدث قرارات المؤتمر العالمي للاتصالات الراديوية</w:t>
      </w:r>
      <w:r w:rsidRPr="00621959">
        <w:rPr>
          <w:rFonts w:hint="cs"/>
          <w:rtl/>
        </w:rPr>
        <w:t xml:space="preserve"> لعام 2023</w:t>
      </w:r>
      <w:r w:rsidRPr="00621959">
        <w:rPr>
          <w:rtl/>
        </w:rPr>
        <w:t xml:space="preserve"> (</w:t>
      </w:r>
      <w:r w:rsidRPr="00621959">
        <w:rPr>
          <w:lang w:val="en-GB" w:bidi="ar-EG"/>
        </w:rPr>
        <w:t>WRC-23</w:t>
      </w:r>
      <w:r w:rsidRPr="00621959">
        <w:rPr>
          <w:rtl/>
        </w:rPr>
        <w:t xml:space="preserve">). ​​وكان من أبرز هذه الإنجازات إطلاق أداة فحص عبر الإنترنت مصممة لمساعدة </w:t>
      </w:r>
      <w:r w:rsidRPr="00621959">
        <w:rPr>
          <w:rFonts w:hint="cs"/>
          <w:rtl/>
        </w:rPr>
        <w:t>الإدارات</w:t>
      </w:r>
      <w:r w:rsidRPr="00621959">
        <w:rPr>
          <w:rtl/>
        </w:rPr>
        <w:t xml:space="preserve"> في التحقق من الامتثال لمتطلبات تقديم بطاقات التبليغ عن السواتل. وعلاوة على ذلك، تم تحويل النشرة الإعلامية الدولية للترددات الصادرة عن مكتب الاتصالات الراديوية (</w:t>
      </w:r>
      <w:r w:rsidRPr="00621959">
        <w:rPr>
          <w:lang w:val="en-GB" w:bidi="ar-EG"/>
        </w:rPr>
        <w:t>BR-IFIC</w:t>
      </w:r>
      <w:r w:rsidRPr="00621959">
        <w:rPr>
          <w:rtl/>
        </w:rPr>
        <w:t xml:space="preserve">) الخاصة بخدمات الفضاء من نسق </w:t>
      </w:r>
      <w:r w:rsidRPr="00621959">
        <w:rPr>
          <w:lang w:val="en-GB" w:bidi="ar-EG"/>
        </w:rPr>
        <w:t>DVD</w:t>
      </w:r>
      <w:r w:rsidRPr="00621959">
        <w:rPr>
          <w:rtl/>
        </w:rPr>
        <w:t xml:space="preserve"> إلى تطبيق قائم على الويب أكثر سهولة في</w:t>
      </w:r>
      <w:r w:rsidR="006755A3">
        <w:rPr>
          <w:rFonts w:hint="eastAsia"/>
          <w:rtl/>
          <w:lang w:bidi="ar-EG"/>
        </w:rPr>
        <w:t> </w:t>
      </w:r>
      <w:r w:rsidRPr="00621959">
        <w:rPr>
          <w:rtl/>
        </w:rPr>
        <w:t>الاستعمال، مما حسن تفاعل المستعملين مع معلومات خدمات الفضاء الأساسية.</w:t>
      </w:r>
    </w:p>
    <w:p w14:paraId="3BBD97F1" w14:textId="77777777" w:rsidR="0089560B" w:rsidRDefault="00621959" w:rsidP="008A5A1B">
      <w:pPr>
        <w:rPr>
          <w:rtl/>
        </w:rPr>
      </w:pPr>
      <w:r w:rsidRPr="00621959">
        <w:rPr>
          <w:rtl/>
        </w:rPr>
        <w:t xml:space="preserve">وفي عام 2024، أطلق مكتب الاتصالات الراديوية رسمياً تطبيق </w:t>
      </w:r>
      <w:hyperlink r:id="rId122" w:history="1">
        <w:r w:rsidRPr="00621959">
          <w:rPr>
            <w:rStyle w:val="Hyperlink"/>
            <w:noProof w:val="0"/>
            <w:rtl/>
            <w:lang w:val="en-US" w:eastAsia="zh-CN"/>
          </w:rPr>
          <w:t>النشرة الإعلامية الدولية للترددات الصادرة عن مكتب الاتصالات الراديوية (</w:t>
        </w:r>
        <w:r w:rsidRPr="00621959">
          <w:rPr>
            <w:rStyle w:val="Hyperlink"/>
            <w:noProof w:val="0"/>
            <w:lang w:eastAsia="zh-CN" w:bidi="ar-EG"/>
          </w:rPr>
          <w:t>BR IFIC</w:t>
        </w:r>
        <w:r w:rsidRPr="00621959">
          <w:rPr>
            <w:rStyle w:val="Hyperlink"/>
            <w:noProof w:val="0"/>
            <w:rtl/>
            <w:lang w:val="en-US" w:eastAsia="zh-CN"/>
          </w:rPr>
          <w:t>) (الخدمات الفضائية)</w:t>
        </w:r>
      </w:hyperlink>
      <w:r w:rsidRPr="00621959">
        <w:rPr>
          <w:rtl/>
        </w:rPr>
        <w:t xml:space="preserve"> على الإنترنت، الذي يوفر إمكانية النفاذ على مدار الساعة طوال أيام الأسبوع إلى معلومات حيوية عن الترددات. وشملت المبادرات الهامة لهذا العام إطلاق تطبيق </w:t>
      </w:r>
      <w:r w:rsidRPr="00621959">
        <w:rPr>
          <w:lang w:val="en-GB" w:bidi="ar-EG"/>
        </w:rPr>
        <w:t>ITU Space Explorer</w:t>
      </w:r>
      <w:r w:rsidRPr="00621959">
        <w:rPr>
          <w:rtl/>
        </w:rPr>
        <w:t xml:space="preserve"> الإلكتروني لتحسين تقديم بطاقات التبليغ عن الشبكات الساتلية، وإدخال تحسينات على نظام التبليغ الإلكتروني، مما يتيح تحميل الملفات بنسق </w:t>
      </w:r>
      <w:r w:rsidRPr="00621959">
        <w:rPr>
          <w:lang w:val="en-GB" w:bidi="ar-EG"/>
        </w:rPr>
        <w:t>SNS v10</w:t>
      </w:r>
      <w:r w:rsidRPr="00621959">
        <w:rPr>
          <w:rtl/>
        </w:rPr>
        <w:t xml:space="preserve"> الجديد، ويسهل إدارة المراسلات بشكل أفضل من خلال التكامل مع نظام الاتصالات الإلكترونية.</w:t>
      </w:r>
    </w:p>
    <w:p w14:paraId="20736C51" w14:textId="7D658C20" w:rsidR="00621959" w:rsidRPr="00621959" w:rsidRDefault="00621959" w:rsidP="008A5A1B">
      <w:pPr>
        <w:rPr>
          <w:lang w:val="en-GB" w:bidi="ar-EG"/>
        </w:rPr>
      </w:pPr>
      <w:r w:rsidRPr="00621959">
        <w:rPr>
          <w:rtl/>
        </w:rPr>
        <w:t>وعلاوة</w:t>
      </w:r>
      <w:r w:rsidR="006755A3">
        <w:rPr>
          <w:rFonts w:hint="cs"/>
          <w:rtl/>
        </w:rPr>
        <w:t>ً</w:t>
      </w:r>
      <w:r w:rsidRPr="00621959">
        <w:rPr>
          <w:rtl/>
        </w:rPr>
        <w:t xml:space="preserve"> على ذلك، أحرز مكتب الاتصالات الراديوية تقدماً </w:t>
      </w:r>
      <w:r w:rsidRPr="00621959">
        <w:rPr>
          <w:rFonts w:hint="cs"/>
          <w:rtl/>
        </w:rPr>
        <w:t>كبير</w:t>
      </w:r>
      <w:r w:rsidRPr="00621959">
        <w:rPr>
          <w:rtl/>
        </w:rPr>
        <w:t xml:space="preserve">اً في </w:t>
      </w:r>
      <w:hyperlink r:id="rId123" w:history="1">
        <w:r w:rsidRPr="00621959">
          <w:rPr>
            <w:rStyle w:val="Hyperlink"/>
            <w:noProof w:val="0"/>
            <w:rtl/>
            <w:lang w:val="en-US" w:eastAsia="zh-CN"/>
          </w:rPr>
          <w:t>تطبيقات الأرض</w:t>
        </w:r>
      </w:hyperlink>
      <w:r w:rsidRPr="00621959">
        <w:rPr>
          <w:rtl/>
        </w:rPr>
        <w:t xml:space="preserve"> من خلال تحديث برمجية معالجة بطاقات التبليغ والتبليغات بموجب الرقم 21.9 من لوائح الراديو. وقد طُورت أدوات جديدة، </w:t>
      </w:r>
      <w:r w:rsidRPr="00621959">
        <w:rPr>
          <w:rFonts w:hint="cs"/>
          <w:rtl/>
        </w:rPr>
        <w:t>ودُمجت</w:t>
      </w:r>
      <w:r w:rsidRPr="00621959">
        <w:rPr>
          <w:rtl/>
        </w:rPr>
        <w:t xml:space="preserve"> الأدوات القائمة في بوابة واحدة، مما حسن تجربة المستعمل بشكل كبير.</w:t>
      </w:r>
    </w:p>
    <w:p w14:paraId="4B840560" w14:textId="77777777" w:rsidR="0089560B" w:rsidRDefault="00621959" w:rsidP="008A5A1B">
      <w:pPr>
        <w:rPr>
          <w:rtl/>
        </w:rPr>
      </w:pPr>
      <w:r w:rsidRPr="00621959">
        <w:rPr>
          <w:rtl/>
        </w:rPr>
        <w:t xml:space="preserve">وفي عام 2025، قدم مكتب الاتصالات الراديوية برمجية تنفذ معظم التغييرات التي نص عليها المؤتمر </w:t>
      </w:r>
      <w:r w:rsidRPr="00621959">
        <w:rPr>
          <w:lang w:val="en-GB" w:bidi="ar-EG"/>
        </w:rPr>
        <w:t>WRC-23</w:t>
      </w:r>
      <w:r w:rsidRPr="00621959">
        <w:rPr>
          <w:rtl/>
        </w:rPr>
        <w:t xml:space="preserve">، مما يسمح بمعالجة بطاقات التبليغ عن الترددات الأرضية والفضائية وفقاً لنسخة عام 2024 من لوائح الراديو الصادرة عن الاتحاد. كما جرى تحسين تطبيقات الويب الخاصة بمكتب الاتصالات الراديوية، مما سهل على الإدارات ومشغلي السواتل تقديم وتبادل المعلومات المتعلقة ببطاقات التبليغ عن الشبكات الساتلية. وأُتيحت برمجية تطبق قرار المجلس 482 (المعدل في عام 2025) قبل دخول أحدث </w:t>
      </w:r>
      <w:r w:rsidRPr="00621959">
        <w:rPr>
          <w:rFonts w:hint="cs"/>
          <w:rtl/>
        </w:rPr>
        <w:t>مراجعة ل</w:t>
      </w:r>
      <w:r w:rsidRPr="00621959">
        <w:rPr>
          <w:rtl/>
        </w:rPr>
        <w:t>ها حيز التنفيذ. وتم تعزيز نظام الإبلاغ عن التداخلات الساتلية وتسويتها (</w:t>
      </w:r>
      <w:r w:rsidRPr="00621959">
        <w:rPr>
          <w:lang w:val="en-GB" w:bidi="ar-EG"/>
        </w:rPr>
        <w:t>SIRRS</w:t>
      </w:r>
      <w:r w:rsidRPr="00621959">
        <w:rPr>
          <w:rtl/>
        </w:rPr>
        <w:t>) لتمكين منظمات الأمم المتحدة، مثل منظمة الطيران المدني الدولي، من الإبلاغ عن حالات التداخل الضار وإبلاغ الاتحاد بها.</w:t>
      </w:r>
    </w:p>
    <w:p w14:paraId="6B34D87B" w14:textId="3A2CD187" w:rsidR="00621959" w:rsidRPr="00621959" w:rsidRDefault="00621959" w:rsidP="008A5A1B">
      <w:pPr>
        <w:rPr>
          <w:lang w:val="en-GB" w:bidi="ar-EG"/>
        </w:rPr>
      </w:pPr>
      <w:r w:rsidRPr="00621959">
        <w:rPr>
          <w:rtl/>
        </w:rPr>
        <w:t>وفي عام 2025، انتهى مكتب الاتصالات الراديوية من إعداد النسخة المحدثة من أداة الملاحة الخاصة بلوائح الراديو وأصدرها، لإدراج نسخة لوائح الراديو لعام 2024 (</w:t>
      </w:r>
      <w:r w:rsidRPr="00621959">
        <w:rPr>
          <w:rFonts w:hint="cs"/>
          <w:rtl/>
        </w:rPr>
        <w:t xml:space="preserve">المؤتمر </w:t>
      </w:r>
      <w:r w:rsidRPr="00621959">
        <w:rPr>
          <w:lang w:val="en-GB" w:bidi="ar-EG"/>
        </w:rPr>
        <w:t>WRC-23</w:t>
      </w:r>
      <w:r w:rsidRPr="00621959">
        <w:rPr>
          <w:rtl/>
        </w:rPr>
        <w:t>) وأحدث نسخ من النصوص الأساسية للاتحاد (الدستور والاتفاقية). كما تم تحديث برمجية جدول توزيع نطاقات الترددات بموجب المادة 5 من لوائح الراديو وفقاً لذلك. وعلاوة</w:t>
      </w:r>
      <w:r w:rsidR="00E2462E">
        <w:rPr>
          <w:rFonts w:hint="cs"/>
          <w:rtl/>
        </w:rPr>
        <w:t>ً</w:t>
      </w:r>
      <w:r w:rsidRPr="00621959">
        <w:rPr>
          <w:rtl/>
        </w:rPr>
        <w:t xml:space="preserve"> على ذلك، أطلق مكتب الاتصالات الراديوية رسمياً تطبيق النشرة الإعلامية الدولية للترددات الصادرة عن مكتب الاتصالات الراديوية (</w:t>
      </w:r>
      <w:r w:rsidRPr="00621959">
        <w:rPr>
          <w:lang w:val="en-GB" w:bidi="ar-EG"/>
        </w:rPr>
        <w:t>BR IFIC</w:t>
      </w:r>
      <w:r w:rsidRPr="00621959">
        <w:rPr>
          <w:rtl/>
        </w:rPr>
        <w:t xml:space="preserve">) (خدمات الأرض) عبر الإنترنت، مما يضمن النفاذ على مدار الساعة طوال أيام الأسبوع إلى معلومات الترددات المتعلقة بخدمات الأرض، ويتيح التحقق عبر الإنترنت من بطاقات التبليغ عن تخصيصات الترددات الأرضية قبل إرسالها إلى مكتب الاتصالات الراديوية. وبالإضافة إلى ذلك، أكمل مكتب الاتصالات الراديوية </w:t>
      </w:r>
      <w:r w:rsidRPr="00621959">
        <w:rPr>
          <w:rFonts w:hint="cs"/>
          <w:rtl/>
        </w:rPr>
        <w:t>تعزيزات</w:t>
      </w:r>
      <w:r w:rsidRPr="00621959">
        <w:rPr>
          <w:rtl/>
        </w:rPr>
        <w:t xml:space="preserve"> منشورات الخدمات البحرية. وشمل ذلك إعداد منشورات بحرية رقمية، ومنصة مبيعات، وتدابير لمكافحة التزييف.</w:t>
      </w:r>
    </w:p>
    <w:p w14:paraId="7F50547D" w14:textId="7014FAEE" w:rsidR="0089560B" w:rsidRDefault="00621959" w:rsidP="008A5A1B">
      <w:pPr>
        <w:rPr>
          <w:rtl/>
        </w:rPr>
      </w:pPr>
      <w:r w:rsidRPr="00621959">
        <w:rPr>
          <w:rtl/>
        </w:rPr>
        <w:t xml:space="preserve">كما صدر في عام 2025 </w:t>
      </w:r>
      <w:hyperlink r:id="rId124" w:history="1">
        <w:r w:rsidRPr="00621959">
          <w:rPr>
            <w:rStyle w:val="Hyperlink"/>
            <w:noProof w:val="0"/>
            <w:rtl/>
            <w:lang w:val="en-US" w:eastAsia="zh-CN"/>
          </w:rPr>
          <w:t>الفهرس الجغرافي المكاني</w:t>
        </w:r>
      </w:hyperlink>
      <w:r w:rsidRPr="00621959">
        <w:rPr>
          <w:rtl/>
        </w:rPr>
        <w:t xml:space="preserve"> لقطاع الاتصالات الراديوية الذي يشمل البيانات الجغرافية والجيوسياسية وبيانات الأرصاد الجوية الراديوية التي تدعم تطوير وتطبيق طرائق التنبؤ بانتشار الموجات الراديوية، وتُمكّن مكتب الاتصالات الراديوية من إجراء تحليلات تقنية دقيقة، بما يضمن التشغيل الخالي من التداخل لأنظمة الاتصالات الراديوية.</w:t>
      </w:r>
    </w:p>
    <w:p w14:paraId="74F24618" w14:textId="22CF21CC" w:rsidR="00621959" w:rsidRPr="00621959" w:rsidRDefault="00621959" w:rsidP="008A5A1B">
      <w:pPr>
        <w:rPr>
          <w:lang w:val="en-GB" w:bidi="ar-EG"/>
        </w:rPr>
      </w:pPr>
      <w:r w:rsidRPr="00621959">
        <w:rPr>
          <w:rFonts w:hint="cs"/>
          <w:rtl/>
        </w:rPr>
        <w:t>وإجمالاً</w:t>
      </w:r>
      <w:r w:rsidRPr="00621959">
        <w:rPr>
          <w:rtl/>
        </w:rPr>
        <w:t>، أدت التحسينات التي امتدت من عام 2022 إلى عام 2025 إلى تبسيط العمليات، وتوفير نفاذ أسهل إلى المعلومات الحيوية، وتعزيز سطح بيني أكثر كفاءة للأعضاء وأصحاب المصلحة المشاركين في الاتصالات الراديوية، مما أدى إلى إنشاء أساس قوي للتطورات التكنولوجية المستقبلية.</w:t>
      </w:r>
    </w:p>
    <w:p w14:paraId="0D77ECA0" w14:textId="77777777" w:rsidR="00621959" w:rsidRPr="00621959" w:rsidRDefault="00621959" w:rsidP="006755A3">
      <w:pPr>
        <w:pStyle w:val="Heading3"/>
        <w:rPr>
          <w:lang w:val="en-GB" w:bidi="ar-EG"/>
        </w:rPr>
      </w:pPr>
      <w:bookmarkStart w:id="64" w:name="_Toc227252582"/>
      <w:r w:rsidRPr="00621959">
        <w:rPr>
          <w:rtl/>
        </w:rPr>
        <w:t>2.2.4</w:t>
      </w:r>
      <w:r w:rsidRPr="00621959">
        <w:rPr>
          <w:rtl/>
        </w:rPr>
        <w:tab/>
        <w:t>موارد الترقيم والتسمية والعنونة وتحديد الهوية</w:t>
      </w:r>
      <w:bookmarkEnd w:id="64"/>
    </w:p>
    <w:p w14:paraId="4CBD6ACD" w14:textId="77777777" w:rsidR="00621959" w:rsidRPr="00621959" w:rsidRDefault="00621959" w:rsidP="006755A3">
      <w:pPr>
        <w:pStyle w:val="Headingb"/>
        <w:rPr>
          <w:lang w:val="en-GB" w:bidi="ar-EG"/>
        </w:rPr>
      </w:pPr>
      <w:r w:rsidRPr="00621959">
        <w:rPr>
          <w:rtl/>
        </w:rPr>
        <w:t>تعزيز التوصيلية العالمي</w:t>
      </w:r>
      <w:r w:rsidRPr="00621959">
        <w:rPr>
          <w:rFonts w:hint="cs"/>
          <w:rtl/>
        </w:rPr>
        <w:t>ة</w:t>
      </w:r>
      <w:r w:rsidRPr="00621959">
        <w:rPr>
          <w:rtl/>
        </w:rPr>
        <w:t>: تطور إدارة موارد الترقيم والتسمية والعنونة وتحديد الهوية</w:t>
      </w:r>
    </w:p>
    <w:p w14:paraId="19B7088D" w14:textId="346BD2FA" w:rsidR="00621959" w:rsidRPr="00621959" w:rsidRDefault="00621959" w:rsidP="008A5A1B">
      <w:pPr>
        <w:rPr>
          <w:lang w:val="en-GB" w:bidi="ar-EG"/>
        </w:rPr>
      </w:pPr>
      <w:r w:rsidRPr="00621959">
        <w:rPr>
          <w:rFonts w:hint="cs"/>
          <w:rtl/>
        </w:rPr>
        <w:t>تؤدي</w:t>
      </w:r>
      <w:r w:rsidRPr="00621959">
        <w:rPr>
          <w:rtl/>
        </w:rPr>
        <w:t xml:space="preserve"> موارد الترقيم والتسمية والعنونة وتحديد الهوية (</w:t>
      </w:r>
      <w:r w:rsidRPr="00621959">
        <w:rPr>
          <w:lang w:val="en-GB" w:bidi="ar-EG"/>
        </w:rPr>
        <w:t>NNAI</w:t>
      </w:r>
      <w:r w:rsidRPr="00621959">
        <w:rPr>
          <w:rtl/>
        </w:rPr>
        <w:t xml:space="preserve">)، الخاضعة لتوصيات قطاع تقييس الاتصالات، </w:t>
      </w:r>
      <w:r w:rsidRPr="00621959">
        <w:rPr>
          <w:rFonts w:hint="cs"/>
          <w:rtl/>
        </w:rPr>
        <w:t>دور</w:t>
      </w:r>
      <w:r w:rsidRPr="00621959">
        <w:rPr>
          <w:rtl/>
        </w:rPr>
        <w:t xml:space="preserve">اً </w:t>
      </w:r>
      <w:r w:rsidRPr="00621959">
        <w:rPr>
          <w:rFonts w:hint="cs"/>
          <w:rtl/>
        </w:rPr>
        <w:t>لا غنى عنه</w:t>
      </w:r>
      <w:r w:rsidRPr="00621959">
        <w:rPr>
          <w:rtl/>
        </w:rPr>
        <w:t xml:space="preserve"> في تمكين التوصيلية العالمية عبر شبكات الاتصالات الثابتة والمتنقلة والفضائية. وقد تم تنفيذ </w:t>
      </w:r>
      <w:r w:rsidRPr="00621959">
        <w:rPr>
          <w:rFonts w:hint="cs"/>
          <w:rtl/>
        </w:rPr>
        <w:t>التكليفات</w:t>
      </w:r>
      <w:r w:rsidRPr="00621959">
        <w:rPr>
          <w:rtl/>
        </w:rPr>
        <w:t xml:space="preserve"> الواردة في دستور الاتحاد واتفاقي</w:t>
      </w:r>
      <w:r w:rsidRPr="00621959">
        <w:rPr>
          <w:rFonts w:hint="cs"/>
          <w:rtl/>
        </w:rPr>
        <w:t>ته</w:t>
      </w:r>
      <w:r w:rsidRPr="00621959">
        <w:rPr>
          <w:rtl/>
        </w:rPr>
        <w:t xml:space="preserve">، ولوائح الاتصالات الدولية، وتوصيات قطاع تقييس الاتصالات ذات الصلة، من خلال نشر المعلومات التي تقرها الإدارات الوطنية. ويتم تبليغ الاتحاد بأي تحديثات أو تغييرات أو عمليات استعادة للموارد </w:t>
      </w:r>
      <w:r w:rsidRPr="00621959">
        <w:rPr>
          <w:lang w:val="en-GB" w:bidi="ar-EG"/>
        </w:rPr>
        <w:t>NNAI</w:t>
      </w:r>
      <w:r w:rsidRPr="00621959">
        <w:rPr>
          <w:rtl/>
        </w:rPr>
        <w:t xml:space="preserve"> التي تديرها الإدارات الوطنية، ونشرها في النشرة التشغيلية للاتحاد (عددين شهرياً)، ونشرها على الموقع الإلكتروني للاتحاد، </w:t>
      </w:r>
      <w:r w:rsidRPr="00621959">
        <w:rPr>
          <w:rFonts w:hint="cs"/>
          <w:rtl/>
        </w:rPr>
        <w:t>وتنعكس في</w:t>
      </w:r>
      <w:r w:rsidRPr="00621959">
        <w:rPr>
          <w:rtl/>
        </w:rPr>
        <w:t xml:space="preserve"> قواعد بيانات</w:t>
      </w:r>
      <w:r w:rsidRPr="00621959">
        <w:rPr>
          <w:rFonts w:hint="cs"/>
          <w:rtl/>
        </w:rPr>
        <w:t xml:space="preserve"> الاتحاد</w:t>
      </w:r>
      <w:r w:rsidRPr="00621959">
        <w:rPr>
          <w:rtl/>
        </w:rPr>
        <w:t xml:space="preserve">. وبالإضافة إلى ذلك، يقوم الاتحاد، بالنسبة لبعض الموارد الدولية، بتخصيص الموارد مباشرة </w:t>
      </w:r>
      <w:r w:rsidRPr="00621959">
        <w:rPr>
          <w:rFonts w:hint="cs"/>
          <w:rtl/>
        </w:rPr>
        <w:t>للدول</w:t>
      </w:r>
      <w:r w:rsidRPr="00621959">
        <w:rPr>
          <w:rtl/>
        </w:rPr>
        <w:t xml:space="preserve"> الأعضاء والكيانات المؤهلة (مثل </w:t>
      </w:r>
      <w:r w:rsidR="000635D5" w:rsidRPr="00621959">
        <w:rPr>
          <w:rFonts w:hint="cs"/>
          <w:rtl/>
        </w:rPr>
        <w:t>المشغلين</w:t>
      </w:r>
      <w:r w:rsidRPr="00621959">
        <w:rPr>
          <w:rtl/>
        </w:rPr>
        <w:t>) وفقاً للإجراءات المعمول بها في توصيات قطاع تقييس الاتصالات ذات الصلة، وبالتشاور مع لجنة الدراسات المختصة لقطاع تقييس الاتصالات، ورئيسها، و/أو المستشارين المعينين.</w:t>
      </w:r>
    </w:p>
    <w:p w14:paraId="1DCFC70A" w14:textId="27244817" w:rsidR="00621959" w:rsidRPr="00621959" w:rsidRDefault="00621959" w:rsidP="008A5A1B">
      <w:pPr>
        <w:rPr>
          <w:lang w:val="en-GB" w:bidi="ar-EG"/>
        </w:rPr>
      </w:pPr>
      <w:r w:rsidRPr="00621959">
        <w:rPr>
          <w:rtl/>
        </w:rPr>
        <w:t xml:space="preserve">وخلال الفترة من عام 2022 إلى عام 2025، زاد الطلب على الموارد </w:t>
      </w:r>
      <w:r w:rsidRPr="00621959">
        <w:rPr>
          <w:lang w:val="en-GB" w:bidi="ar-EG"/>
        </w:rPr>
        <w:t>NNAI</w:t>
      </w:r>
      <w:r w:rsidRPr="00621959">
        <w:rPr>
          <w:rtl/>
        </w:rPr>
        <w:t xml:space="preserve"> بشكل كبير، ويرجع ذلك في معظمه إلى زيادة خدمات الاتصالات من آلة إلى آلة (</w:t>
      </w:r>
      <w:r w:rsidRPr="00621959">
        <w:rPr>
          <w:lang w:val="en-GB" w:bidi="ar-EG"/>
        </w:rPr>
        <w:t>M2M</w:t>
      </w:r>
      <w:r w:rsidRPr="00621959">
        <w:rPr>
          <w:rtl/>
        </w:rPr>
        <w:t>) وإنترنت الأشياء (</w:t>
      </w:r>
      <w:r w:rsidRPr="00621959">
        <w:rPr>
          <w:lang w:val="en-GB" w:bidi="ar-EG"/>
        </w:rPr>
        <w:t>IoT</w:t>
      </w:r>
      <w:r w:rsidRPr="00621959">
        <w:rPr>
          <w:rtl/>
        </w:rPr>
        <w:t>)، بالإضافة إلى توسع نطاق الخدمات عبر السواتل في المدارات الأرضية المنخفضة (</w:t>
      </w:r>
      <w:r w:rsidRPr="00621959">
        <w:rPr>
          <w:lang w:val="en-GB" w:bidi="ar-EG"/>
        </w:rPr>
        <w:t>LEO</w:t>
      </w:r>
      <w:r w:rsidRPr="00621959">
        <w:rPr>
          <w:rtl/>
        </w:rPr>
        <w:t xml:space="preserve">). وقد استلزم هذا النمو تعزيز مرونة إدارة الموارد، ولا سيما مع ظهور بطاقات </w:t>
      </w:r>
      <w:r w:rsidRPr="00621959">
        <w:rPr>
          <w:lang w:val="en-GB" w:bidi="ar-EG"/>
        </w:rPr>
        <w:t>SIM</w:t>
      </w:r>
      <w:r w:rsidRPr="00621959">
        <w:rPr>
          <w:rtl/>
        </w:rPr>
        <w:t xml:space="preserve"> المدمجة (</w:t>
      </w:r>
      <w:proofErr w:type="spellStart"/>
      <w:r w:rsidRPr="00621959">
        <w:rPr>
          <w:lang w:val="en-GB" w:bidi="ar-EG"/>
        </w:rPr>
        <w:t>eSIM</w:t>
      </w:r>
      <w:proofErr w:type="spellEnd"/>
      <w:r w:rsidRPr="00621959">
        <w:rPr>
          <w:rtl/>
        </w:rPr>
        <w:t xml:space="preserve">). وفي الجمعية </w:t>
      </w:r>
      <w:r w:rsidRPr="00621959">
        <w:rPr>
          <w:lang w:val="en-GB" w:bidi="ar-EG"/>
        </w:rPr>
        <w:t>WTSA-24</w:t>
      </w:r>
      <w:r w:rsidRPr="00621959">
        <w:rPr>
          <w:rtl/>
        </w:rPr>
        <w:t xml:space="preserve"> التي عقدت في أكتوبر 2024، جرت مراجعة القرارات الرئيسية</w:t>
      </w:r>
      <w:r w:rsidR="004B6E12">
        <w:rPr>
          <w:rFonts w:hint="cs"/>
          <w:rtl/>
        </w:rPr>
        <w:t xml:space="preserve"> (60 و61 </w:t>
      </w:r>
      <w:r w:rsidR="004B6E12" w:rsidRPr="00CA28EE">
        <w:rPr>
          <w:rFonts w:hint="cs"/>
          <w:rtl/>
        </w:rPr>
        <w:t>و20)</w:t>
      </w:r>
      <w:r w:rsidRPr="00621959">
        <w:rPr>
          <w:rtl/>
        </w:rPr>
        <w:t xml:space="preserve"> المتعلقة بترقيم الاتصالات الدولية لمواكبة هذه التحديات. وطوال تلك الفترة، اضطلعت لجنة الدراسات 2 لقطاع تقييس الاتصالات بدور بالغ الأهمية في معالجة تعقيدات الترقيم من خلال تحديث التوصيات واستحداث إجراءات جديدة لتحسين الشفافية في عملية تقديم بطاقات التبليغ. وبالإضافة إلى ذلك، صدرت توصيات ذات صلة لدعم نماذج التوصيلية الناشئة، بما في ذلك توصية جديدة </w:t>
      </w:r>
      <w:r w:rsidRPr="00621959">
        <w:rPr>
          <w:rFonts w:hint="cs"/>
          <w:rtl/>
        </w:rPr>
        <w:t>لقطاع تقييس الاتصالات</w:t>
      </w:r>
      <w:r w:rsidRPr="00621959">
        <w:rPr>
          <w:rtl/>
        </w:rPr>
        <w:t xml:space="preserve"> بشأن الموارد </w:t>
      </w:r>
      <w:r w:rsidRPr="00621959">
        <w:rPr>
          <w:lang w:val="en-GB" w:bidi="ar-EG"/>
        </w:rPr>
        <w:t>NNAI</w:t>
      </w:r>
      <w:r w:rsidRPr="00621959">
        <w:rPr>
          <w:rtl/>
        </w:rPr>
        <w:t xml:space="preserve"> الدولية لخدمات/تطبيقات إنترنت الأشياء/الاتصالات من آلة إلى آلة، والعمل على فئة جديدة من موارد التوصية </w:t>
      </w:r>
      <w:r w:rsidRPr="00621959">
        <w:rPr>
          <w:lang w:val="en-GB" w:bidi="ar-EG"/>
        </w:rPr>
        <w:t>E.164</w:t>
      </w:r>
      <w:r w:rsidRPr="00621959">
        <w:rPr>
          <w:rtl/>
        </w:rPr>
        <w:t xml:space="preserve"> للخدمات الساتلية العالمية، بالتنسيق مع فرق العمل المعنية التابعة لقطاع الاتصالات الراديوية.</w:t>
      </w:r>
    </w:p>
    <w:p w14:paraId="47139EDA" w14:textId="2B0028D1" w:rsidR="00621959" w:rsidRPr="00621959" w:rsidRDefault="00621959" w:rsidP="008A5A1B">
      <w:pPr>
        <w:rPr>
          <w:lang w:val="en-GB" w:bidi="ar-EG"/>
        </w:rPr>
      </w:pPr>
      <w:r w:rsidRPr="00621959">
        <w:rPr>
          <w:rtl/>
        </w:rPr>
        <w:t xml:space="preserve">وبالنسبة للموارد </w:t>
      </w:r>
      <w:r w:rsidRPr="00621959">
        <w:rPr>
          <w:lang w:val="en-GB" w:bidi="ar-EG"/>
        </w:rPr>
        <w:t>NNAI</w:t>
      </w:r>
      <w:r w:rsidRPr="00621959">
        <w:rPr>
          <w:rtl/>
        </w:rPr>
        <w:t xml:space="preserve"> الخاصة بالاتصالات الدولية والمخصصة مباشرة تحت سلطة مدير مكتب تقييس الاتصالات</w:t>
      </w:r>
      <w:r w:rsidR="006755A3">
        <w:rPr>
          <w:rFonts w:hint="eastAsia"/>
          <w:rtl/>
          <w:lang w:bidi="ar-EG"/>
        </w:rPr>
        <w:t> </w:t>
      </w:r>
      <w:r w:rsidR="006755A3">
        <w:rPr>
          <w:lang w:bidi="ar-EG"/>
        </w:rPr>
        <w:t>(TSB)</w:t>
      </w:r>
      <w:r w:rsidRPr="00621959">
        <w:rPr>
          <w:rtl/>
        </w:rPr>
        <w:t xml:space="preserve"> بالاتحاد، أدى تحديد إجراءات تخصيص أكثر وضوحاً (</w:t>
      </w:r>
      <w:hyperlink r:id="rId125" w:history="1">
        <w:r w:rsidRPr="00621959">
          <w:rPr>
            <w:rStyle w:val="Hyperlink"/>
            <w:noProof w:val="0"/>
            <w:rtl/>
            <w:lang w:val="en-US" w:eastAsia="zh-CN"/>
          </w:rPr>
          <w:t xml:space="preserve">التوصية </w:t>
        </w:r>
        <w:r w:rsidRPr="00621959">
          <w:rPr>
            <w:rStyle w:val="Hyperlink"/>
            <w:noProof w:val="0"/>
            <w:lang w:eastAsia="zh-CN" w:bidi="ar-EG"/>
          </w:rPr>
          <w:t>ITU-T E.1120</w:t>
        </w:r>
      </w:hyperlink>
      <w:r w:rsidRPr="00621959">
        <w:rPr>
          <w:rtl/>
        </w:rPr>
        <w:t>) إلى تعزيز الحوكمة والشفافية والمناولة التشغيلية، وتشديد ضوابط دورة الحياة (بما في ذلك الشهادة السنوية والسحب)، واستكمل النظام الإيكولوجي بإضافة إطار تدقيق (</w:t>
      </w:r>
      <w:hyperlink r:id="rId126" w:history="1">
        <w:r w:rsidRPr="00621959">
          <w:rPr>
            <w:rStyle w:val="Hyperlink"/>
            <w:noProof w:val="0"/>
            <w:rtl/>
            <w:lang w:val="en-US" w:eastAsia="zh-CN"/>
          </w:rPr>
          <w:t xml:space="preserve">التوصية </w:t>
        </w:r>
        <w:r w:rsidRPr="00621959">
          <w:rPr>
            <w:rStyle w:val="Hyperlink"/>
            <w:noProof w:val="0"/>
            <w:lang w:eastAsia="zh-CN" w:bidi="ar-EG"/>
          </w:rPr>
          <w:t>ITU-T E.1121</w:t>
        </w:r>
      </w:hyperlink>
      <w:r w:rsidRPr="00621959">
        <w:rPr>
          <w:rtl/>
        </w:rPr>
        <w:t xml:space="preserve">) للمساعدة في التحقق من استمرار صلاحية التخصيصات وإدارتها واستعمالها بشكل سليم. كما جرى تحسين صفحات الويب الخاصة بالترقيم الموجهة للمستعملين وإرشادات لمقدمي الطلبات لتقليل التأخيرات المرتبطة بالطلبات غير المكتملة. وجرى التأكيد على التوقعات المتعلقة بالشهادة السنوية وعواقب عدم الدفع، وانتقلت الجهود من مناقشة السياسات إلى إجراءات سحب ملموسة، مما يدعم قواعد البيانات الدقيقة ويقلل من تراكم الموارد غير المستعملة أو المتقادمة. وأدت الجهود المبذولة لمكافحة إساءة استعمال موارد الترقيم إلى مراجعة </w:t>
      </w:r>
      <w:hyperlink r:id="rId127" w:history="1">
        <w:r w:rsidRPr="00621959">
          <w:rPr>
            <w:rStyle w:val="Hyperlink"/>
            <w:noProof w:val="0"/>
            <w:rtl/>
            <w:lang w:val="en-US" w:eastAsia="zh-CN"/>
          </w:rPr>
          <w:t xml:space="preserve">القرار 61 الصادر عن الجمعية </w:t>
        </w:r>
        <w:r w:rsidRPr="00621959">
          <w:rPr>
            <w:rStyle w:val="Hyperlink"/>
            <w:noProof w:val="0"/>
            <w:lang w:eastAsia="zh-CN" w:bidi="ar-EG"/>
          </w:rPr>
          <w:t>WTSA</w:t>
        </w:r>
      </w:hyperlink>
      <w:r w:rsidRPr="00621959">
        <w:rPr>
          <w:rtl/>
        </w:rPr>
        <w:t xml:space="preserve">، وتوسيع نطاقه ليشمل الموارد </w:t>
      </w:r>
      <w:r w:rsidRPr="00621959">
        <w:rPr>
          <w:lang w:val="en-GB" w:bidi="ar-EG"/>
        </w:rPr>
        <w:t>NNAI</w:t>
      </w:r>
      <w:r w:rsidRPr="00621959">
        <w:rPr>
          <w:rtl/>
        </w:rPr>
        <w:t xml:space="preserve">، مع تعزيز الوعي العام وأفضل الممارسات بين الدول الأعضاء. وبالإضافة إلى ذلك، تم تعديل القرار 65 الصادر عن الجمعية </w:t>
      </w:r>
      <w:r w:rsidRPr="00621959">
        <w:rPr>
          <w:lang w:val="en-GB" w:bidi="ar-EG"/>
        </w:rPr>
        <w:t>WTSA</w:t>
      </w:r>
      <w:r w:rsidRPr="00621959">
        <w:rPr>
          <w:rtl/>
        </w:rPr>
        <w:t xml:space="preserve"> لمعالجة القضايا الناشئة مثل تكنولوجيات انتحال الهوية واستنساخ الصوت، لضمان استجابة شبكات الاتصالات لهذه التهديدات. كما جرى توضيح وتحسين توصية قطاع تقييس الاتصالات ذات الصلة لتوفير أحكام أوضح بشأن التعامل مع حالات إساءة الاستعمال من خلال عمليات قطاع تقييس الاتصالات. وعلاوة على ذلك، تمت الموافقة على التقرير التقني للحد من الاحتيال بنظام </w:t>
      </w:r>
      <w:proofErr w:type="spellStart"/>
      <w:r w:rsidRPr="00621959">
        <w:rPr>
          <w:rtl/>
        </w:rPr>
        <w:t>وانغيري</w:t>
      </w:r>
      <w:proofErr w:type="spellEnd"/>
      <w:r w:rsidRPr="00621959">
        <w:rPr>
          <w:rtl/>
        </w:rPr>
        <w:t xml:space="preserve"> (</w:t>
      </w:r>
      <w:hyperlink r:id="rId128" w:history="1">
        <w:r w:rsidRPr="00621959">
          <w:rPr>
            <w:rStyle w:val="Hyperlink"/>
            <w:noProof w:val="0"/>
            <w:lang w:eastAsia="zh-CN" w:bidi="ar-EG"/>
          </w:rPr>
          <w:t>TR.MMWF</w:t>
        </w:r>
      </w:hyperlink>
      <w:r w:rsidRPr="00621959">
        <w:rPr>
          <w:rtl/>
        </w:rPr>
        <w:t>)، الذي يقدم تحليلات ومنهجيات للحد</w:t>
      </w:r>
      <w:r w:rsidR="00CA28EE">
        <w:rPr>
          <w:rFonts w:hint="cs"/>
          <w:rtl/>
        </w:rPr>
        <w:t xml:space="preserve"> من</w:t>
      </w:r>
      <w:r w:rsidRPr="00621959">
        <w:rPr>
          <w:rtl/>
        </w:rPr>
        <w:t xml:space="preserve"> الاحتيال بنظام </w:t>
      </w:r>
      <w:proofErr w:type="spellStart"/>
      <w:r w:rsidRPr="00621959">
        <w:rPr>
          <w:rtl/>
        </w:rPr>
        <w:t>وانغيري</w:t>
      </w:r>
      <w:proofErr w:type="spellEnd"/>
      <w:r w:rsidRPr="00621959">
        <w:rPr>
          <w:rtl/>
        </w:rPr>
        <w:t>. ويعد إطار التدقيق المستحدث آلية مكملة للإبلاغ عن إساءة الاستعمال.</w:t>
      </w:r>
    </w:p>
    <w:p w14:paraId="56C1F154" w14:textId="27B1A55C" w:rsidR="00621959" w:rsidRPr="00621959" w:rsidRDefault="00621959" w:rsidP="008A5A1B">
      <w:pPr>
        <w:rPr>
          <w:lang w:val="en-GB" w:bidi="ar-EG"/>
        </w:rPr>
      </w:pPr>
      <w:r w:rsidRPr="00621959">
        <w:rPr>
          <w:rtl/>
        </w:rPr>
        <w:t>وعلاوة على ذلك، جرى تحديث النشرة التشغيلي</w:t>
      </w:r>
      <w:r w:rsidRPr="00621959">
        <w:rPr>
          <w:rFonts w:hint="cs"/>
          <w:rtl/>
        </w:rPr>
        <w:t>ة (</w:t>
      </w:r>
      <w:hyperlink r:id="rId129" w:history="1">
        <w:r w:rsidRPr="00621959">
          <w:rPr>
            <w:rStyle w:val="Hyperlink"/>
            <w:noProof w:val="0"/>
            <w:lang w:eastAsia="zh-CN" w:bidi="ar-EG"/>
          </w:rPr>
          <w:t>OB</w:t>
        </w:r>
      </w:hyperlink>
      <w:r w:rsidRPr="00621959">
        <w:rPr>
          <w:rFonts w:hint="cs"/>
          <w:rtl/>
        </w:rPr>
        <w:t>)</w:t>
      </w:r>
      <w:r w:rsidRPr="00621959">
        <w:rPr>
          <w:rtl/>
        </w:rPr>
        <w:t xml:space="preserve"> للاتحاد، التي تنشر التحديثات الرسمية بشأن الموارد </w:t>
      </w:r>
      <w:r w:rsidRPr="00621959">
        <w:rPr>
          <w:lang w:val="en-GB" w:bidi="ar-EG"/>
        </w:rPr>
        <w:t>NNAI</w:t>
      </w:r>
      <w:r w:rsidRPr="00621959">
        <w:rPr>
          <w:rtl/>
        </w:rPr>
        <w:t xml:space="preserve">، لتعزيز سهولة قراءتها والكفاءة بما يتواءم مع جهود التحول الرقمي، مع استمرار مبادرات الرقمنة. واستجابة </w:t>
      </w:r>
      <w:hyperlink r:id="rId130" w:history="1">
        <w:r w:rsidRPr="00621959">
          <w:rPr>
            <w:rStyle w:val="Hyperlink"/>
            <w:noProof w:val="0"/>
            <w:rtl/>
            <w:lang w:val="en-US" w:eastAsia="zh-CN"/>
          </w:rPr>
          <w:t xml:space="preserve">للقرار 91 الصادر عن الجمعية </w:t>
        </w:r>
        <w:r w:rsidRPr="00621959">
          <w:rPr>
            <w:rStyle w:val="Hyperlink"/>
            <w:noProof w:val="0"/>
            <w:lang w:val="en-CA" w:eastAsia="zh-CN" w:bidi="ar-EG"/>
          </w:rPr>
          <w:t>WTSA</w:t>
        </w:r>
      </w:hyperlink>
      <w:r w:rsidRPr="00621959">
        <w:rPr>
          <w:rtl/>
        </w:rPr>
        <w:t>، أنشئ مستودع لخطط الترقيم الوطنية، م</w:t>
      </w:r>
      <w:r w:rsidRPr="00621959">
        <w:rPr>
          <w:rtl/>
          <w:lang w:bidi="ar-EG"/>
        </w:rPr>
        <w:t>م</w:t>
      </w:r>
      <w:r w:rsidRPr="00621959">
        <w:rPr>
          <w:rtl/>
        </w:rPr>
        <w:t xml:space="preserve">ا شجع على المشاركة الفعالة من جانب مختلف أصحاب المصلحة لتحسين المستودع بناء على تعقيباتهم. ويضمن هذا التطور المستمر أن تظل إدارة الموارد </w:t>
      </w:r>
      <w:r w:rsidRPr="00621959">
        <w:rPr>
          <w:lang w:val="en-GB" w:bidi="ar-EG"/>
        </w:rPr>
        <w:t>NNAI</w:t>
      </w:r>
      <w:r w:rsidRPr="00621959">
        <w:rPr>
          <w:rtl/>
        </w:rPr>
        <w:t xml:space="preserve"> قوية ومتوائمة مع التطورات التكنولوجية في </w:t>
      </w:r>
      <w:r w:rsidRPr="00621959">
        <w:rPr>
          <w:rFonts w:hint="cs"/>
          <w:rtl/>
        </w:rPr>
        <w:t>مشهد</w:t>
      </w:r>
      <w:r w:rsidRPr="00621959">
        <w:rPr>
          <w:rtl/>
        </w:rPr>
        <w:t xml:space="preserve"> الاتصالات.</w:t>
      </w:r>
    </w:p>
    <w:p w14:paraId="6953FF13" w14:textId="77777777" w:rsidR="00621959" w:rsidRPr="00621959" w:rsidRDefault="00621959" w:rsidP="006755A3">
      <w:pPr>
        <w:pStyle w:val="Heading2"/>
        <w:rPr>
          <w:lang w:val="en-GB" w:bidi="ar-EG"/>
        </w:rPr>
      </w:pPr>
      <w:bookmarkStart w:id="65" w:name="_3.4_وضع_المعايير"/>
      <w:bookmarkStart w:id="66" w:name="_Toc227252583"/>
      <w:bookmarkEnd w:id="65"/>
      <w:r w:rsidRPr="00621959">
        <w:rPr>
          <w:rtl/>
        </w:rPr>
        <w:t>3.4</w:t>
      </w:r>
      <w:r w:rsidRPr="00621959">
        <w:rPr>
          <w:rtl/>
        </w:rPr>
        <w:tab/>
        <w:t>وضع المعايير الدولية</w:t>
      </w:r>
      <w:bookmarkEnd w:id="66"/>
    </w:p>
    <w:p w14:paraId="566D7AC1" w14:textId="77777777" w:rsidR="00621959" w:rsidRPr="00621959" w:rsidRDefault="00621959" w:rsidP="006755A3">
      <w:pPr>
        <w:pStyle w:val="Headingb"/>
        <w:rPr>
          <w:lang w:val="en-GB" w:bidi="ar-EG"/>
        </w:rPr>
      </w:pPr>
      <w:r w:rsidRPr="00621959">
        <w:rPr>
          <w:rtl/>
        </w:rPr>
        <w:t>التقييس: أسس لتشكيل تكنولوجيات اليوم والغد</w:t>
      </w:r>
    </w:p>
    <w:p w14:paraId="410B2BCF" w14:textId="77777777" w:rsidR="00621959" w:rsidRPr="00621959" w:rsidRDefault="00621959" w:rsidP="008A5A1B">
      <w:pPr>
        <w:rPr>
          <w:lang w:val="en-GB" w:bidi="ar-EG"/>
        </w:rPr>
      </w:pPr>
      <w:r w:rsidRPr="00621959">
        <w:rPr>
          <w:rFonts w:hint="cs"/>
          <w:rtl/>
        </w:rPr>
        <w:t xml:space="preserve">إن </w:t>
      </w:r>
      <w:r w:rsidRPr="00621959">
        <w:rPr>
          <w:rtl/>
        </w:rPr>
        <w:t xml:space="preserve">التكنولوجيات التي يمكن النفاذ إليها والمصممة وفقاً لمواصفات عالمية </w:t>
      </w:r>
      <w:r w:rsidRPr="00621959">
        <w:rPr>
          <w:rFonts w:hint="cs"/>
          <w:rtl/>
        </w:rPr>
        <w:t xml:space="preserve">يمكن أن تعمل </w:t>
      </w:r>
      <w:r w:rsidRPr="00621959">
        <w:rPr>
          <w:rtl/>
        </w:rPr>
        <w:t xml:space="preserve">بسلاسة للجميع. ويضمن الالتزام الراسخ بمعايير قابلية التشغيل البيني، وإمكانية النفاذ، والأمن، </w:t>
      </w:r>
      <w:proofErr w:type="spellStart"/>
      <w:r w:rsidRPr="00621959">
        <w:rPr>
          <w:rtl/>
        </w:rPr>
        <w:t>وميسورية</w:t>
      </w:r>
      <w:proofErr w:type="spellEnd"/>
      <w:r w:rsidRPr="00621959">
        <w:rPr>
          <w:rtl/>
        </w:rPr>
        <w:t xml:space="preserve"> التكلفة، والقدرة على الصمود، أن تعود معايير الاتحاد بالنفع على العالم أجمع. ومن خلال المعايير التقنية للاتحاد، تتصل الأجهزة المحلية بسلاسة بالشبكات العالمية. وتوفر التوصيلات الآمنة، المتاحة للجميع، للمجتمعات إمكانية النفاذ إلى المعلومات الحيوية، وتساعد في الحد من تأثير تغير المناخ.</w:t>
      </w:r>
    </w:p>
    <w:p w14:paraId="1CA86E98" w14:textId="77777777" w:rsidR="0089560B" w:rsidRDefault="00621959" w:rsidP="008A5A1B">
      <w:pPr>
        <w:rPr>
          <w:rtl/>
        </w:rPr>
      </w:pPr>
      <w:r w:rsidRPr="00621959">
        <w:rPr>
          <w:rtl/>
        </w:rPr>
        <w:t>ويتم وضع معايير الاتحاد في قطاع تقييس الاتصالات وأيضاً في قطاع الاتصالات الراديوية</w:t>
      </w:r>
      <w:r w:rsidR="006755A3">
        <w:rPr>
          <w:rFonts w:hint="cs"/>
          <w:rtl/>
          <w:lang w:bidi="ar-EG"/>
        </w:rPr>
        <w:t xml:space="preserve"> </w:t>
      </w:r>
      <w:r w:rsidR="006755A3">
        <w:rPr>
          <w:lang w:bidi="ar-EG"/>
        </w:rPr>
        <w:t>(ITU-R)</w:t>
      </w:r>
      <w:r w:rsidRPr="00621959">
        <w:rPr>
          <w:rtl/>
        </w:rPr>
        <w:t xml:space="preserve">، وتصدر على التوالي بوصفها </w:t>
      </w:r>
      <w:hyperlink r:id="rId131" w:history="1">
        <w:r w:rsidRPr="00621959">
          <w:rPr>
            <w:rStyle w:val="Hyperlink"/>
            <w:noProof w:val="0"/>
            <w:rtl/>
            <w:lang w:val="en-US" w:eastAsia="zh-CN"/>
          </w:rPr>
          <w:t>توصيات قطاع تقييس الاتصالات</w:t>
        </w:r>
      </w:hyperlink>
      <w:r w:rsidRPr="00621959">
        <w:rPr>
          <w:rFonts w:hint="cs"/>
          <w:rtl/>
        </w:rPr>
        <w:t xml:space="preserve"> و</w:t>
      </w:r>
      <w:hyperlink r:id="rId132" w:history="1">
        <w:r w:rsidRPr="00621959">
          <w:rPr>
            <w:rStyle w:val="Hyperlink"/>
            <w:noProof w:val="0"/>
            <w:rtl/>
            <w:lang w:val="en-US" w:eastAsia="zh-CN"/>
          </w:rPr>
          <w:t>توصيات قطاع الاتصالات الراديوية</w:t>
        </w:r>
      </w:hyperlink>
      <w:r w:rsidRPr="00621959">
        <w:rPr>
          <w:rtl/>
        </w:rPr>
        <w:t>.</w:t>
      </w:r>
    </w:p>
    <w:p w14:paraId="62291C7A" w14:textId="47C64741" w:rsidR="00621959" w:rsidRPr="00621959" w:rsidRDefault="00621959" w:rsidP="006755A3">
      <w:pPr>
        <w:pStyle w:val="Heading3"/>
        <w:rPr>
          <w:lang w:val="en-GB" w:bidi="ar-EG"/>
        </w:rPr>
      </w:pPr>
      <w:bookmarkStart w:id="67" w:name="_Toc227252584"/>
      <w:r w:rsidRPr="00621959">
        <w:rPr>
          <w:rtl/>
        </w:rPr>
        <w:t>1.3.4</w:t>
      </w:r>
      <w:r w:rsidRPr="00621959">
        <w:rPr>
          <w:rtl/>
        </w:rPr>
        <w:tab/>
        <w:t>توصيات قطاع تقييس الاتصالات والمنشورات ذات الصلة</w:t>
      </w:r>
      <w:bookmarkEnd w:id="67"/>
    </w:p>
    <w:p w14:paraId="5E365919" w14:textId="49BF293C" w:rsidR="00621959" w:rsidRPr="00621959" w:rsidRDefault="00621959" w:rsidP="008A5A1B">
      <w:pPr>
        <w:rPr>
          <w:u w:val="single"/>
          <w:lang w:val="en-GB" w:bidi="ar-EG"/>
        </w:rPr>
      </w:pPr>
      <w:r w:rsidRPr="00621959">
        <w:rPr>
          <w:rtl/>
        </w:rPr>
        <w:t xml:space="preserve">توصيات قطاع تقييس الاتصالات هي المعايير التقنية التي يضعها قطاع تقييس الاتصالات. وتُستكمل بمنشورات أخرى، مثل الإضافات والورقات التقنية والتقارير التقنية، وتعزز </w:t>
      </w:r>
      <w:r w:rsidR="00DF72B8">
        <w:rPr>
          <w:rFonts w:hint="cs"/>
          <w:rtl/>
        </w:rPr>
        <w:t>ب</w:t>
      </w:r>
      <w:r w:rsidR="00D23D15">
        <w:rPr>
          <w:rFonts w:hint="cs"/>
          <w:rtl/>
        </w:rPr>
        <w:t>م</w:t>
      </w:r>
      <w:r w:rsidR="00DF72B8">
        <w:rPr>
          <w:rFonts w:hint="cs"/>
          <w:rtl/>
        </w:rPr>
        <w:t>نجزات</w:t>
      </w:r>
      <w:r w:rsidRPr="00621959">
        <w:rPr>
          <w:rtl/>
        </w:rPr>
        <w:t xml:space="preserve"> ما قبل التقييس التي تعدها الأفرقة المتخصصة لقطاع تقييس الاتصالات. ويوجد حالياً </w:t>
      </w:r>
      <w:hyperlink r:id="rId133" w:anchor="/ar" w:history="1">
        <w:r w:rsidRPr="00621959">
          <w:rPr>
            <w:rStyle w:val="Hyperlink"/>
            <w:noProof w:val="0"/>
            <w:rtl/>
            <w:lang w:val="en-US" w:eastAsia="zh-CN"/>
          </w:rPr>
          <w:t>10 لجان دراسات</w:t>
        </w:r>
      </w:hyperlink>
      <w:r w:rsidRPr="00621959">
        <w:rPr>
          <w:rtl/>
        </w:rPr>
        <w:t xml:space="preserve"> في هذا القطاع، بعد دمج لجنتي الدراسات 9 و16 التابعتين لقطاع تقييس الاتصالات في لجنة الدراسات 21 من قبل الجمعية </w:t>
      </w:r>
      <w:r w:rsidRPr="00621959">
        <w:rPr>
          <w:lang w:val="en-CA" w:bidi="ar-EG"/>
        </w:rPr>
        <w:t>WTSA-24</w:t>
      </w:r>
      <w:r w:rsidRPr="00621959">
        <w:rPr>
          <w:rtl/>
        </w:rPr>
        <w:t xml:space="preserve">. وفي ديسمبر 2025، كان فريق متخصص واحد فقط نشط، من أصل 11 فريقاً نشطاً خلال الفترة المشمولة بالتقرير (انظر </w:t>
      </w:r>
      <w:hyperlink r:id="rId134" w:anchor="/ar" w:history="1">
        <w:r w:rsidRPr="00621959">
          <w:rPr>
            <w:rStyle w:val="Hyperlink"/>
            <w:noProof w:val="0"/>
            <w:rtl/>
            <w:lang w:val="en-US" w:eastAsia="zh-CN"/>
          </w:rPr>
          <w:t>الصفحة الرئيسية للأفرقة المتخصصة التابعة لقطاع تقييس الاتصالات</w:t>
        </w:r>
      </w:hyperlink>
      <w:r w:rsidRPr="00621959">
        <w:rPr>
          <w:rFonts w:hint="cs"/>
          <w:rtl/>
        </w:rPr>
        <w:t>)</w:t>
      </w:r>
      <w:r w:rsidRPr="00621959">
        <w:rPr>
          <w:rtl/>
        </w:rPr>
        <w:t xml:space="preserve"> </w:t>
      </w:r>
      <w:r w:rsidRPr="00621959">
        <w:rPr>
          <w:rFonts w:hint="cs"/>
          <w:rtl/>
        </w:rPr>
        <w:t>ل</w:t>
      </w:r>
      <w:r w:rsidRPr="00621959">
        <w:rPr>
          <w:rtl/>
        </w:rPr>
        <w:t>لاطلاع على مزيد من التفاصيل):</w:t>
      </w:r>
    </w:p>
    <w:p w14:paraId="6604F9AF" w14:textId="77777777" w:rsidR="00621959" w:rsidRPr="00621959" w:rsidRDefault="00621959" w:rsidP="006755A3">
      <w:pPr>
        <w:pStyle w:val="Tabletitle"/>
        <w:rPr>
          <w:lang w:val="en-GB" w:bidi="ar-EG"/>
        </w:rPr>
      </w:pPr>
      <w:r w:rsidRPr="00621959">
        <w:rPr>
          <w:rtl/>
        </w:rPr>
        <w:t>الأفرقة المتخصصة التابعة لقطاع تقييس الاتصالات، 2025</w:t>
      </w:r>
    </w:p>
    <w:tbl>
      <w:tblPr>
        <w:bidiVisual/>
        <w:tblW w:w="5000" w:type="pct"/>
        <w:tblInd w:w="15" w:type="dxa"/>
        <w:tblCellMar>
          <w:left w:w="10" w:type="dxa"/>
          <w:right w:w="10" w:type="dxa"/>
        </w:tblCellMar>
        <w:tblLook w:val="0000" w:firstRow="0" w:lastRow="0" w:firstColumn="0" w:lastColumn="0" w:noHBand="0" w:noVBand="0"/>
      </w:tblPr>
      <w:tblGrid>
        <w:gridCol w:w="1270"/>
        <w:gridCol w:w="4395"/>
        <w:gridCol w:w="1132"/>
        <w:gridCol w:w="1132"/>
        <w:gridCol w:w="1132"/>
      </w:tblGrid>
      <w:tr w:rsidR="00621959" w:rsidRPr="00933E22" w14:paraId="4AF3DC8B" w14:textId="77777777" w:rsidTr="00D6243E">
        <w:tc>
          <w:tcPr>
            <w:tcW w:w="1270" w:type="dxa"/>
            <w:tcBorders>
              <w:top w:val="single" w:sz="4" w:space="0" w:color="4BACC6"/>
              <w:left w:val="single" w:sz="4" w:space="0" w:color="4BACC6"/>
            </w:tcBorders>
            <w:tcMar>
              <w:top w:w="0" w:type="dxa"/>
              <w:left w:w="108" w:type="dxa"/>
              <w:bottom w:w="0" w:type="dxa"/>
              <w:right w:w="108" w:type="dxa"/>
            </w:tcMar>
            <w:vAlign w:val="center"/>
          </w:tcPr>
          <w:p w14:paraId="67EB941A" w14:textId="4543ACDE" w:rsidR="00621959" w:rsidRPr="00933E22" w:rsidRDefault="00621959" w:rsidP="00B10383">
            <w:pPr>
              <w:pStyle w:val="Tablehead"/>
              <w:rPr>
                <w:position w:val="2"/>
                <w:lang w:val="en-GB" w:bidi="ar-EG"/>
              </w:rPr>
            </w:pPr>
            <w:r w:rsidRPr="00933E22">
              <w:rPr>
                <w:position w:val="2"/>
                <w:rtl/>
              </w:rPr>
              <w:t>الفريق المتخصص</w:t>
            </w:r>
          </w:p>
        </w:tc>
        <w:tc>
          <w:tcPr>
            <w:tcW w:w="4395" w:type="dxa"/>
            <w:tcBorders>
              <w:top w:val="single" w:sz="4" w:space="0" w:color="4BACC6"/>
            </w:tcBorders>
            <w:tcMar>
              <w:top w:w="0" w:type="dxa"/>
              <w:left w:w="108" w:type="dxa"/>
              <w:bottom w:w="0" w:type="dxa"/>
              <w:right w:w="108" w:type="dxa"/>
            </w:tcMar>
            <w:vAlign w:val="center"/>
          </w:tcPr>
          <w:p w14:paraId="539D8801" w14:textId="77777777" w:rsidR="00621959" w:rsidRPr="00933E22" w:rsidRDefault="00621959" w:rsidP="00B10383">
            <w:pPr>
              <w:pStyle w:val="Tablehead"/>
              <w:rPr>
                <w:position w:val="2"/>
                <w:lang w:val="en-GB" w:bidi="ar-EG"/>
              </w:rPr>
            </w:pPr>
            <w:r w:rsidRPr="00933E22">
              <w:rPr>
                <w:position w:val="2"/>
                <w:rtl/>
              </w:rPr>
              <w:t xml:space="preserve">الموضوع </w:t>
            </w:r>
          </w:p>
        </w:tc>
        <w:tc>
          <w:tcPr>
            <w:tcW w:w="1132" w:type="dxa"/>
            <w:tcBorders>
              <w:top w:val="single" w:sz="4" w:space="0" w:color="4BACC6"/>
            </w:tcBorders>
            <w:tcMar>
              <w:top w:w="0" w:type="dxa"/>
              <w:left w:w="108" w:type="dxa"/>
              <w:bottom w:w="0" w:type="dxa"/>
              <w:right w:w="108" w:type="dxa"/>
            </w:tcMar>
            <w:vAlign w:val="center"/>
          </w:tcPr>
          <w:p w14:paraId="5D77710B" w14:textId="77777777" w:rsidR="00621959" w:rsidRPr="00933E22" w:rsidRDefault="00621959" w:rsidP="00B10383">
            <w:pPr>
              <w:pStyle w:val="Tablehead"/>
              <w:rPr>
                <w:position w:val="2"/>
                <w:lang w:val="en-GB" w:bidi="ar-EG"/>
              </w:rPr>
            </w:pPr>
            <w:r w:rsidRPr="00933E22">
              <w:rPr>
                <w:position w:val="2"/>
                <w:rtl/>
              </w:rPr>
              <w:t>البداية</w:t>
            </w:r>
          </w:p>
        </w:tc>
        <w:tc>
          <w:tcPr>
            <w:tcW w:w="1132" w:type="dxa"/>
            <w:tcBorders>
              <w:top w:val="single" w:sz="4" w:space="0" w:color="4BACC6"/>
            </w:tcBorders>
            <w:tcMar>
              <w:top w:w="0" w:type="dxa"/>
              <w:left w:w="108" w:type="dxa"/>
              <w:bottom w:w="0" w:type="dxa"/>
              <w:right w:w="108" w:type="dxa"/>
            </w:tcMar>
            <w:vAlign w:val="center"/>
          </w:tcPr>
          <w:p w14:paraId="4A38954D" w14:textId="77777777" w:rsidR="00621959" w:rsidRPr="00933E22" w:rsidRDefault="00621959" w:rsidP="00B10383">
            <w:pPr>
              <w:pStyle w:val="Tablehead"/>
              <w:rPr>
                <w:position w:val="2"/>
                <w:lang w:val="en-GB" w:bidi="ar-EG"/>
              </w:rPr>
            </w:pPr>
            <w:r w:rsidRPr="00933E22">
              <w:rPr>
                <w:position w:val="2"/>
                <w:rtl/>
              </w:rPr>
              <w:t>النهاية</w:t>
            </w:r>
          </w:p>
        </w:tc>
        <w:tc>
          <w:tcPr>
            <w:tcW w:w="1132" w:type="dxa"/>
            <w:tcBorders>
              <w:top w:val="single" w:sz="4" w:space="0" w:color="4BACC6"/>
              <w:right w:val="single" w:sz="4" w:space="0" w:color="4BACC6"/>
            </w:tcBorders>
            <w:tcMar>
              <w:top w:w="0" w:type="dxa"/>
              <w:left w:w="108" w:type="dxa"/>
              <w:bottom w:w="0" w:type="dxa"/>
              <w:right w:w="108" w:type="dxa"/>
            </w:tcMar>
            <w:vAlign w:val="center"/>
          </w:tcPr>
          <w:p w14:paraId="77C490CC" w14:textId="6455FD71" w:rsidR="00621959" w:rsidRPr="00933E22" w:rsidRDefault="00D23D15" w:rsidP="00B10383">
            <w:pPr>
              <w:pStyle w:val="Tablehead"/>
              <w:rPr>
                <w:position w:val="2"/>
                <w:lang w:val="en-GB" w:bidi="ar-EG"/>
              </w:rPr>
            </w:pPr>
            <w:r>
              <w:rPr>
                <w:rFonts w:hint="cs"/>
                <w:position w:val="2"/>
                <w:rtl/>
              </w:rPr>
              <w:t>المنجزات</w:t>
            </w:r>
            <w:r w:rsidR="00621959" w:rsidRPr="00933E22">
              <w:rPr>
                <w:position w:val="2"/>
                <w:rtl/>
              </w:rPr>
              <w:t xml:space="preserve"> المنتجة</w:t>
            </w:r>
          </w:p>
        </w:tc>
      </w:tr>
      <w:tr w:rsidR="00621959" w:rsidRPr="00933E22" w14:paraId="72ED25D0" w14:textId="77777777" w:rsidTr="00D6243E">
        <w:tc>
          <w:tcPr>
            <w:tcW w:w="1270" w:type="dxa"/>
            <w:tcBorders>
              <w:left w:val="single" w:sz="4" w:space="0" w:color="4BACC6"/>
            </w:tcBorders>
            <w:tcMar>
              <w:top w:w="0" w:type="dxa"/>
              <w:left w:w="108" w:type="dxa"/>
              <w:bottom w:w="0" w:type="dxa"/>
              <w:right w:w="108" w:type="dxa"/>
            </w:tcMar>
            <w:vAlign w:val="center"/>
          </w:tcPr>
          <w:p w14:paraId="086092D9" w14:textId="77777777" w:rsidR="00621959" w:rsidRPr="00933E22" w:rsidRDefault="00621959" w:rsidP="00B10383">
            <w:pPr>
              <w:pStyle w:val="Tabletexte"/>
              <w:rPr>
                <w:position w:val="2"/>
              </w:rPr>
            </w:pPr>
            <w:r w:rsidRPr="00933E22">
              <w:rPr>
                <w:position w:val="2"/>
              </w:rPr>
              <w:t>FG-AINN</w:t>
            </w:r>
          </w:p>
        </w:tc>
        <w:tc>
          <w:tcPr>
            <w:tcW w:w="4395" w:type="dxa"/>
            <w:tcMar>
              <w:top w:w="0" w:type="dxa"/>
              <w:left w:w="108" w:type="dxa"/>
              <w:bottom w:w="0" w:type="dxa"/>
              <w:right w:w="108" w:type="dxa"/>
            </w:tcMar>
            <w:vAlign w:val="center"/>
          </w:tcPr>
          <w:p w14:paraId="7BEE33D8" w14:textId="77777777" w:rsidR="00621959" w:rsidRPr="00933E22" w:rsidRDefault="00621959" w:rsidP="00B10383">
            <w:pPr>
              <w:pStyle w:val="Tabletexte"/>
              <w:rPr>
                <w:position w:val="2"/>
              </w:rPr>
            </w:pPr>
            <w:r w:rsidRPr="00933E22">
              <w:rPr>
                <w:position w:val="2"/>
                <w:rtl/>
              </w:rPr>
              <w:t>تأصيل الذكاء الاصطناعي في شبكات الاتصالات (</w:t>
            </w:r>
            <w:r w:rsidRPr="00933E22">
              <w:rPr>
                <w:position w:val="2"/>
              </w:rPr>
              <w:t>FG-AINN</w:t>
            </w:r>
            <w:r w:rsidRPr="00933E22">
              <w:rPr>
                <w:position w:val="2"/>
                <w:rtl/>
              </w:rPr>
              <w:t>)</w:t>
            </w:r>
          </w:p>
        </w:tc>
        <w:tc>
          <w:tcPr>
            <w:tcW w:w="1132" w:type="dxa"/>
            <w:tcMar>
              <w:top w:w="0" w:type="dxa"/>
              <w:left w:w="108" w:type="dxa"/>
              <w:bottom w:w="0" w:type="dxa"/>
              <w:right w:w="108" w:type="dxa"/>
            </w:tcMar>
            <w:vAlign w:val="center"/>
          </w:tcPr>
          <w:p w14:paraId="7C47DB54" w14:textId="77777777" w:rsidR="00621959" w:rsidRPr="00933E22" w:rsidRDefault="00621959" w:rsidP="00B10383">
            <w:pPr>
              <w:pStyle w:val="Tabletexte"/>
              <w:jc w:val="center"/>
              <w:rPr>
                <w:position w:val="2"/>
              </w:rPr>
            </w:pPr>
            <w:r w:rsidRPr="00933E22">
              <w:rPr>
                <w:position w:val="2"/>
              </w:rPr>
              <w:t>2024-07</w:t>
            </w:r>
          </w:p>
        </w:tc>
        <w:tc>
          <w:tcPr>
            <w:tcW w:w="1132" w:type="dxa"/>
            <w:tcMar>
              <w:top w:w="0" w:type="dxa"/>
              <w:left w:w="108" w:type="dxa"/>
              <w:bottom w:w="0" w:type="dxa"/>
              <w:right w:w="108" w:type="dxa"/>
            </w:tcMar>
            <w:vAlign w:val="center"/>
          </w:tcPr>
          <w:p w14:paraId="6BB61B13" w14:textId="77777777" w:rsidR="00621959" w:rsidRPr="00933E22" w:rsidRDefault="00621959" w:rsidP="00B10383">
            <w:pPr>
              <w:pStyle w:val="Tabletexte"/>
              <w:jc w:val="center"/>
              <w:rPr>
                <w:position w:val="2"/>
              </w:rPr>
            </w:pPr>
            <w:r w:rsidRPr="00933E22">
              <w:rPr>
                <w:position w:val="2"/>
              </w:rPr>
              <w:t>–</w:t>
            </w:r>
          </w:p>
        </w:tc>
        <w:tc>
          <w:tcPr>
            <w:tcW w:w="1132" w:type="dxa"/>
            <w:tcBorders>
              <w:right w:val="single" w:sz="4" w:space="0" w:color="4BACC6"/>
            </w:tcBorders>
            <w:tcMar>
              <w:top w:w="0" w:type="dxa"/>
              <w:left w:w="108" w:type="dxa"/>
              <w:bottom w:w="0" w:type="dxa"/>
              <w:right w:w="108" w:type="dxa"/>
            </w:tcMar>
            <w:vAlign w:val="center"/>
          </w:tcPr>
          <w:p w14:paraId="4439A7F4" w14:textId="77777777" w:rsidR="00621959" w:rsidRPr="00933E22" w:rsidRDefault="00621959" w:rsidP="00B10383">
            <w:pPr>
              <w:pStyle w:val="Tabletexte"/>
              <w:jc w:val="center"/>
              <w:rPr>
                <w:position w:val="2"/>
              </w:rPr>
            </w:pPr>
            <w:r w:rsidRPr="00933E22">
              <w:rPr>
                <w:position w:val="2"/>
              </w:rPr>
              <w:t>–</w:t>
            </w:r>
          </w:p>
        </w:tc>
      </w:tr>
      <w:tr w:rsidR="00621959" w:rsidRPr="00933E22" w14:paraId="5F8D86DC" w14:textId="77777777" w:rsidTr="00D6243E">
        <w:tc>
          <w:tcPr>
            <w:tcW w:w="1270" w:type="dxa"/>
            <w:tcBorders>
              <w:left w:val="single" w:sz="4" w:space="0" w:color="4BACC6"/>
            </w:tcBorders>
            <w:tcMar>
              <w:top w:w="0" w:type="dxa"/>
              <w:left w:w="108" w:type="dxa"/>
              <w:bottom w:w="0" w:type="dxa"/>
              <w:right w:w="108" w:type="dxa"/>
            </w:tcMar>
            <w:vAlign w:val="center"/>
          </w:tcPr>
          <w:p w14:paraId="0ED0852A" w14:textId="77777777" w:rsidR="00621959" w:rsidRPr="00933E22" w:rsidRDefault="00621959" w:rsidP="00B10383">
            <w:pPr>
              <w:pStyle w:val="Tabletexte"/>
              <w:rPr>
                <w:position w:val="2"/>
              </w:rPr>
            </w:pPr>
            <w:r w:rsidRPr="00933E22">
              <w:rPr>
                <w:position w:val="2"/>
              </w:rPr>
              <w:t>FG-CD</w:t>
            </w:r>
          </w:p>
        </w:tc>
        <w:tc>
          <w:tcPr>
            <w:tcW w:w="4395" w:type="dxa"/>
            <w:tcMar>
              <w:top w:w="0" w:type="dxa"/>
              <w:left w:w="108" w:type="dxa"/>
              <w:bottom w:w="0" w:type="dxa"/>
              <w:right w:w="108" w:type="dxa"/>
            </w:tcMar>
            <w:vAlign w:val="center"/>
          </w:tcPr>
          <w:p w14:paraId="7091659C" w14:textId="77777777" w:rsidR="00621959" w:rsidRPr="00933E22" w:rsidRDefault="00621959" w:rsidP="00B10383">
            <w:pPr>
              <w:pStyle w:val="Tabletexte"/>
              <w:rPr>
                <w:position w:val="2"/>
              </w:rPr>
            </w:pPr>
            <w:r w:rsidRPr="00933E22">
              <w:rPr>
                <w:position w:val="2"/>
                <w:rtl/>
              </w:rPr>
              <w:t>نماذج التكلفة لخدمات البيانات الميسورة التكلفة</w:t>
            </w:r>
          </w:p>
        </w:tc>
        <w:tc>
          <w:tcPr>
            <w:tcW w:w="1132" w:type="dxa"/>
            <w:tcMar>
              <w:top w:w="0" w:type="dxa"/>
              <w:left w:w="108" w:type="dxa"/>
              <w:bottom w:w="0" w:type="dxa"/>
              <w:right w:w="108" w:type="dxa"/>
            </w:tcMar>
            <w:vAlign w:val="center"/>
          </w:tcPr>
          <w:p w14:paraId="14F40B35" w14:textId="77777777" w:rsidR="00621959" w:rsidRPr="00933E22" w:rsidRDefault="00621959" w:rsidP="00B10383">
            <w:pPr>
              <w:pStyle w:val="Tabletexte"/>
              <w:jc w:val="center"/>
              <w:rPr>
                <w:position w:val="2"/>
              </w:rPr>
            </w:pPr>
            <w:r w:rsidRPr="00933E22">
              <w:rPr>
                <w:position w:val="2"/>
              </w:rPr>
              <w:t>2023-03</w:t>
            </w:r>
          </w:p>
        </w:tc>
        <w:tc>
          <w:tcPr>
            <w:tcW w:w="1132" w:type="dxa"/>
            <w:tcMar>
              <w:top w:w="0" w:type="dxa"/>
              <w:left w:w="108" w:type="dxa"/>
              <w:bottom w:w="0" w:type="dxa"/>
              <w:right w:w="108" w:type="dxa"/>
            </w:tcMar>
            <w:vAlign w:val="center"/>
          </w:tcPr>
          <w:p w14:paraId="715EBBB4" w14:textId="77777777" w:rsidR="00621959" w:rsidRPr="00933E22" w:rsidRDefault="00621959" w:rsidP="00B10383">
            <w:pPr>
              <w:pStyle w:val="Tabletexte"/>
              <w:jc w:val="center"/>
              <w:rPr>
                <w:position w:val="2"/>
              </w:rPr>
            </w:pPr>
            <w:r w:rsidRPr="00933E22">
              <w:rPr>
                <w:position w:val="2"/>
              </w:rPr>
              <w:t>2025-10</w:t>
            </w:r>
          </w:p>
        </w:tc>
        <w:tc>
          <w:tcPr>
            <w:tcW w:w="1132" w:type="dxa"/>
            <w:tcBorders>
              <w:right w:val="single" w:sz="4" w:space="0" w:color="4BACC6"/>
            </w:tcBorders>
            <w:tcMar>
              <w:top w:w="0" w:type="dxa"/>
              <w:left w:w="108" w:type="dxa"/>
              <w:bottom w:w="0" w:type="dxa"/>
              <w:right w:w="108" w:type="dxa"/>
            </w:tcMar>
            <w:vAlign w:val="center"/>
          </w:tcPr>
          <w:p w14:paraId="5A53E538" w14:textId="77777777" w:rsidR="00621959" w:rsidRPr="00933E22" w:rsidRDefault="00621959" w:rsidP="00B10383">
            <w:pPr>
              <w:pStyle w:val="Tabletexte"/>
              <w:jc w:val="center"/>
              <w:rPr>
                <w:position w:val="2"/>
              </w:rPr>
            </w:pPr>
            <w:r w:rsidRPr="00933E22">
              <w:rPr>
                <w:position w:val="2"/>
              </w:rPr>
              <w:t>6</w:t>
            </w:r>
          </w:p>
        </w:tc>
      </w:tr>
      <w:tr w:rsidR="00621959" w:rsidRPr="00933E22" w14:paraId="100144A6" w14:textId="77777777" w:rsidTr="00D6243E">
        <w:tc>
          <w:tcPr>
            <w:tcW w:w="1270" w:type="dxa"/>
            <w:tcBorders>
              <w:left w:val="single" w:sz="4" w:space="0" w:color="4BACC6"/>
            </w:tcBorders>
            <w:tcMar>
              <w:top w:w="0" w:type="dxa"/>
              <w:left w:w="108" w:type="dxa"/>
              <w:bottom w:w="0" w:type="dxa"/>
              <w:right w:w="108" w:type="dxa"/>
            </w:tcMar>
            <w:vAlign w:val="center"/>
          </w:tcPr>
          <w:p w14:paraId="537B86E1" w14:textId="77777777" w:rsidR="00621959" w:rsidRPr="00933E22" w:rsidRDefault="00621959" w:rsidP="00B10383">
            <w:pPr>
              <w:pStyle w:val="Tabletexte"/>
              <w:rPr>
                <w:position w:val="2"/>
              </w:rPr>
            </w:pPr>
            <w:r w:rsidRPr="00933E22">
              <w:rPr>
                <w:position w:val="2"/>
              </w:rPr>
              <w:t>FG-MV</w:t>
            </w:r>
          </w:p>
        </w:tc>
        <w:tc>
          <w:tcPr>
            <w:tcW w:w="4395" w:type="dxa"/>
            <w:tcMar>
              <w:top w:w="0" w:type="dxa"/>
              <w:left w:w="108" w:type="dxa"/>
              <w:bottom w:w="0" w:type="dxa"/>
              <w:right w:w="108" w:type="dxa"/>
            </w:tcMar>
            <w:vAlign w:val="center"/>
          </w:tcPr>
          <w:p w14:paraId="44F2413A" w14:textId="77777777" w:rsidR="00621959" w:rsidRPr="00933E22" w:rsidRDefault="00621959" w:rsidP="00B10383">
            <w:pPr>
              <w:pStyle w:val="Tabletexte"/>
              <w:rPr>
                <w:position w:val="2"/>
              </w:rPr>
            </w:pPr>
            <w:r w:rsidRPr="00933E22">
              <w:rPr>
                <w:position w:val="2"/>
                <w:rtl/>
              </w:rPr>
              <w:t>الميتافيرس</w:t>
            </w:r>
          </w:p>
        </w:tc>
        <w:tc>
          <w:tcPr>
            <w:tcW w:w="1132" w:type="dxa"/>
            <w:tcMar>
              <w:top w:w="0" w:type="dxa"/>
              <w:left w:w="108" w:type="dxa"/>
              <w:bottom w:w="0" w:type="dxa"/>
              <w:right w:w="108" w:type="dxa"/>
            </w:tcMar>
            <w:vAlign w:val="center"/>
          </w:tcPr>
          <w:p w14:paraId="1CBD1F98" w14:textId="77777777" w:rsidR="00621959" w:rsidRPr="00933E22" w:rsidRDefault="00621959" w:rsidP="00B10383">
            <w:pPr>
              <w:pStyle w:val="Tabletexte"/>
              <w:jc w:val="center"/>
              <w:rPr>
                <w:position w:val="2"/>
              </w:rPr>
            </w:pPr>
            <w:r w:rsidRPr="00933E22">
              <w:rPr>
                <w:position w:val="2"/>
              </w:rPr>
              <w:t>2022-12</w:t>
            </w:r>
          </w:p>
        </w:tc>
        <w:tc>
          <w:tcPr>
            <w:tcW w:w="1132" w:type="dxa"/>
            <w:tcMar>
              <w:top w:w="0" w:type="dxa"/>
              <w:left w:w="108" w:type="dxa"/>
              <w:bottom w:w="0" w:type="dxa"/>
              <w:right w:w="108" w:type="dxa"/>
            </w:tcMar>
            <w:vAlign w:val="center"/>
          </w:tcPr>
          <w:p w14:paraId="1E71D5AD" w14:textId="77777777" w:rsidR="00621959" w:rsidRPr="00933E22" w:rsidRDefault="00621959" w:rsidP="00B10383">
            <w:pPr>
              <w:pStyle w:val="Tabletexte"/>
              <w:jc w:val="center"/>
              <w:rPr>
                <w:position w:val="2"/>
              </w:rPr>
            </w:pPr>
            <w:r w:rsidRPr="00933E22">
              <w:rPr>
                <w:position w:val="2"/>
              </w:rPr>
              <w:t>2024-06</w:t>
            </w:r>
          </w:p>
        </w:tc>
        <w:tc>
          <w:tcPr>
            <w:tcW w:w="1132" w:type="dxa"/>
            <w:tcBorders>
              <w:right w:val="single" w:sz="4" w:space="0" w:color="4BACC6"/>
            </w:tcBorders>
            <w:tcMar>
              <w:top w:w="0" w:type="dxa"/>
              <w:left w:w="108" w:type="dxa"/>
              <w:bottom w:w="0" w:type="dxa"/>
              <w:right w:w="108" w:type="dxa"/>
            </w:tcMar>
            <w:vAlign w:val="center"/>
          </w:tcPr>
          <w:p w14:paraId="101EFDF4" w14:textId="77777777" w:rsidR="00621959" w:rsidRPr="00933E22" w:rsidRDefault="00621959" w:rsidP="00B10383">
            <w:pPr>
              <w:pStyle w:val="Tabletexte"/>
              <w:jc w:val="center"/>
              <w:rPr>
                <w:position w:val="2"/>
              </w:rPr>
            </w:pPr>
            <w:r w:rsidRPr="00933E22">
              <w:rPr>
                <w:position w:val="2"/>
              </w:rPr>
              <w:t>52</w:t>
            </w:r>
          </w:p>
        </w:tc>
      </w:tr>
      <w:tr w:rsidR="00621959" w:rsidRPr="00933E22" w14:paraId="00A280AE" w14:textId="77777777" w:rsidTr="00D6243E">
        <w:tc>
          <w:tcPr>
            <w:tcW w:w="1270" w:type="dxa"/>
            <w:tcBorders>
              <w:left w:val="single" w:sz="4" w:space="0" w:color="4BACC6"/>
            </w:tcBorders>
            <w:tcMar>
              <w:top w:w="0" w:type="dxa"/>
              <w:left w:w="108" w:type="dxa"/>
              <w:bottom w:w="0" w:type="dxa"/>
              <w:right w:w="108" w:type="dxa"/>
            </w:tcMar>
            <w:vAlign w:val="center"/>
          </w:tcPr>
          <w:p w14:paraId="1BB340F7" w14:textId="77777777" w:rsidR="00621959" w:rsidRPr="00933E22" w:rsidRDefault="00621959" w:rsidP="00B10383">
            <w:pPr>
              <w:pStyle w:val="Tabletexte"/>
              <w:rPr>
                <w:position w:val="2"/>
              </w:rPr>
            </w:pPr>
            <w:r w:rsidRPr="00933E22">
              <w:rPr>
                <w:position w:val="2"/>
              </w:rPr>
              <w:t>FG-AI4A</w:t>
            </w:r>
          </w:p>
        </w:tc>
        <w:tc>
          <w:tcPr>
            <w:tcW w:w="4395" w:type="dxa"/>
            <w:tcMar>
              <w:top w:w="0" w:type="dxa"/>
              <w:left w:w="108" w:type="dxa"/>
              <w:bottom w:w="0" w:type="dxa"/>
              <w:right w:w="108" w:type="dxa"/>
            </w:tcMar>
            <w:vAlign w:val="center"/>
          </w:tcPr>
          <w:p w14:paraId="46D00119" w14:textId="77777777" w:rsidR="00621959" w:rsidRPr="00933E22" w:rsidRDefault="00621959" w:rsidP="00B10383">
            <w:pPr>
              <w:pStyle w:val="Tabletexte"/>
              <w:rPr>
                <w:position w:val="2"/>
              </w:rPr>
            </w:pPr>
            <w:r w:rsidRPr="00933E22">
              <w:rPr>
                <w:position w:val="2"/>
                <w:rtl/>
              </w:rPr>
              <w:t>الذكاء الاصطناعي وإنترنت الأشياء من أجل الزراعة الرقمية</w:t>
            </w:r>
          </w:p>
        </w:tc>
        <w:tc>
          <w:tcPr>
            <w:tcW w:w="1132" w:type="dxa"/>
            <w:tcMar>
              <w:top w:w="0" w:type="dxa"/>
              <w:left w:w="108" w:type="dxa"/>
              <w:bottom w:w="0" w:type="dxa"/>
              <w:right w:w="108" w:type="dxa"/>
            </w:tcMar>
            <w:vAlign w:val="center"/>
          </w:tcPr>
          <w:p w14:paraId="34C6ECDB" w14:textId="77777777" w:rsidR="00621959" w:rsidRPr="00933E22" w:rsidRDefault="00621959" w:rsidP="00B10383">
            <w:pPr>
              <w:pStyle w:val="Tabletexte"/>
              <w:jc w:val="center"/>
              <w:rPr>
                <w:position w:val="2"/>
              </w:rPr>
            </w:pPr>
            <w:r w:rsidRPr="00933E22">
              <w:rPr>
                <w:position w:val="2"/>
              </w:rPr>
              <w:t>2021-10</w:t>
            </w:r>
          </w:p>
        </w:tc>
        <w:tc>
          <w:tcPr>
            <w:tcW w:w="1132" w:type="dxa"/>
            <w:tcMar>
              <w:top w:w="0" w:type="dxa"/>
              <w:left w:w="108" w:type="dxa"/>
              <w:bottom w:w="0" w:type="dxa"/>
              <w:right w:w="108" w:type="dxa"/>
            </w:tcMar>
            <w:vAlign w:val="center"/>
          </w:tcPr>
          <w:p w14:paraId="4E79600E" w14:textId="77777777" w:rsidR="00621959" w:rsidRPr="00933E22" w:rsidRDefault="00621959" w:rsidP="00B10383">
            <w:pPr>
              <w:pStyle w:val="Tabletexte"/>
              <w:jc w:val="center"/>
              <w:rPr>
                <w:position w:val="2"/>
              </w:rPr>
            </w:pPr>
            <w:r w:rsidRPr="00933E22">
              <w:rPr>
                <w:position w:val="2"/>
              </w:rPr>
              <w:t>2024-06</w:t>
            </w:r>
          </w:p>
        </w:tc>
        <w:tc>
          <w:tcPr>
            <w:tcW w:w="1132" w:type="dxa"/>
            <w:tcBorders>
              <w:right w:val="single" w:sz="4" w:space="0" w:color="4BACC6"/>
            </w:tcBorders>
            <w:tcMar>
              <w:top w:w="0" w:type="dxa"/>
              <w:left w:w="108" w:type="dxa"/>
              <w:bottom w:w="0" w:type="dxa"/>
              <w:right w:w="108" w:type="dxa"/>
            </w:tcMar>
            <w:vAlign w:val="center"/>
          </w:tcPr>
          <w:p w14:paraId="2166D267" w14:textId="77777777" w:rsidR="00621959" w:rsidRPr="00933E22" w:rsidRDefault="00621959" w:rsidP="00B10383">
            <w:pPr>
              <w:pStyle w:val="Tabletexte"/>
              <w:jc w:val="center"/>
              <w:rPr>
                <w:position w:val="2"/>
              </w:rPr>
            </w:pPr>
            <w:r w:rsidRPr="00933E22">
              <w:rPr>
                <w:position w:val="2"/>
              </w:rPr>
              <w:t>5</w:t>
            </w:r>
          </w:p>
        </w:tc>
      </w:tr>
      <w:tr w:rsidR="00621959" w:rsidRPr="00933E22" w14:paraId="2FBD72D1" w14:textId="77777777" w:rsidTr="00D6243E">
        <w:tc>
          <w:tcPr>
            <w:tcW w:w="1270" w:type="dxa"/>
            <w:tcBorders>
              <w:left w:val="single" w:sz="4" w:space="0" w:color="4BACC6"/>
            </w:tcBorders>
            <w:tcMar>
              <w:top w:w="0" w:type="dxa"/>
              <w:left w:w="108" w:type="dxa"/>
              <w:bottom w:w="0" w:type="dxa"/>
              <w:right w:w="108" w:type="dxa"/>
            </w:tcMar>
            <w:vAlign w:val="center"/>
          </w:tcPr>
          <w:p w14:paraId="752F3CB8" w14:textId="77777777" w:rsidR="00621959" w:rsidRPr="00933E22" w:rsidRDefault="00621959" w:rsidP="00B10383">
            <w:pPr>
              <w:pStyle w:val="Tabletexte"/>
              <w:rPr>
                <w:position w:val="2"/>
              </w:rPr>
            </w:pPr>
            <w:r w:rsidRPr="00933E22">
              <w:rPr>
                <w:position w:val="2"/>
              </w:rPr>
              <w:t>FG-</w:t>
            </w:r>
            <w:proofErr w:type="spellStart"/>
            <w:r w:rsidRPr="00933E22">
              <w:rPr>
                <w:position w:val="2"/>
              </w:rPr>
              <w:t>TBFxG</w:t>
            </w:r>
            <w:proofErr w:type="spellEnd"/>
          </w:p>
        </w:tc>
        <w:tc>
          <w:tcPr>
            <w:tcW w:w="4395" w:type="dxa"/>
            <w:tcMar>
              <w:top w:w="0" w:type="dxa"/>
              <w:left w:w="108" w:type="dxa"/>
              <w:bottom w:w="0" w:type="dxa"/>
              <w:right w:w="108" w:type="dxa"/>
            </w:tcMar>
            <w:vAlign w:val="center"/>
          </w:tcPr>
          <w:p w14:paraId="303950D0" w14:textId="77777777" w:rsidR="00621959" w:rsidRPr="00933E22" w:rsidRDefault="00621959" w:rsidP="00B10383">
            <w:pPr>
              <w:pStyle w:val="Tabletexte"/>
              <w:rPr>
                <w:position w:val="2"/>
              </w:rPr>
            </w:pPr>
            <w:r w:rsidRPr="00933E22">
              <w:rPr>
                <w:position w:val="2"/>
                <w:rtl/>
              </w:rPr>
              <w:t>اتحادات منصات اختبار الاتصالات المتنقلة الدولية-</w:t>
            </w:r>
            <w:r w:rsidRPr="00933E22">
              <w:rPr>
                <w:position w:val="2"/>
                <w:cs/>
              </w:rPr>
              <w:t>‎</w:t>
            </w:r>
            <w:r w:rsidRPr="00933E22">
              <w:rPr>
                <w:position w:val="2"/>
              </w:rPr>
              <w:t>2020</w:t>
            </w:r>
            <w:r w:rsidRPr="00933E22">
              <w:rPr>
                <w:position w:val="2"/>
                <w:rtl/>
              </w:rPr>
              <w:t xml:space="preserve"> ‏وما بعدها</w:t>
            </w:r>
          </w:p>
        </w:tc>
        <w:tc>
          <w:tcPr>
            <w:tcW w:w="1132" w:type="dxa"/>
            <w:tcMar>
              <w:top w:w="0" w:type="dxa"/>
              <w:left w:w="108" w:type="dxa"/>
              <w:bottom w:w="0" w:type="dxa"/>
              <w:right w:w="108" w:type="dxa"/>
            </w:tcMar>
            <w:vAlign w:val="center"/>
          </w:tcPr>
          <w:p w14:paraId="21DE0538" w14:textId="77777777" w:rsidR="00621959" w:rsidRPr="00933E22" w:rsidRDefault="00621959" w:rsidP="00B10383">
            <w:pPr>
              <w:pStyle w:val="Tabletexte"/>
              <w:jc w:val="center"/>
              <w:rPr>
                <w:position w:val="2"/>
              </w:rPr>
            </w:pPr>
            <w:r w:rsidRPr="00933E22">
              <w:rPr>
                <w:position w:val="2"/>
              </w:rPr>
              <w:t>2021-12</w:t>
            </w:r>
          </w:p>
        </w:tc>
        <w:tc>
          <w:tcPr>
            <w:tcW w:w="1132" w:type="dxa"/>
            <w:tcMar>
              <w:top w:w="0" w:type="dxa"/>
              <w:left w:w="108" w:type="dxa"/>
              <w:bottom w:w="0" w:type="dxa"/>
              <w:right w:w="108" w:type="dxa"/>
            </w:tcMar>
            <w:vAlign w:val="center"/>
          </w:tcPr>
          <w:p w14:paraId="5D7AFE06" w14:textId="77777777" w:rsidR="00621959" w:rsidRPr="00933E22" w:rsidRDefault="00621959" w:rsidP="00B10383">
            <w:pPr>
              <w:pStyle w:val="Tabletexte"/>
              <w:jc w:val="center"/>
              <w:rPr>
                <w:position w:val="2"/>
              </w:rPr>
            </w:pPr>
            <w:r w:rsidRPr="00933E22">
              <w:rPr>
                <w:position w:val="2"/>
              </w:rPr>
              <w:t>2024-04</w:t>
            </w:r>
          </w:p>
        </w:tc>
        <w:tc>
          <w:tcPr>
            <w:tcW w:w="1132" w:type="dxa"/>
            <w:tcBorders>
              <w:right w:val="single" w:sz="4" w:space="0" w:color="4BACC6"/>
            </w:tcBorders>
            <w:tcMar>
              <w:top w:w="0" w:type="dxa"/>
              <w:left w:w="108" w:type="dxa"/>
              <w:bottom w:w="0" w:type="dxa"/>
              <w:right w:w="108" w:type="dxa"/>
            </w:tcMar>
            <w:vAlign w:val="center"/>
          </w:tcPr>
          <w:p w14:paraId="52700D5C" w14:textId="77777777" w:rsidR="00621959" w:rsidRPr="00933E22" w:rsidRDefault="00621959" w:rsidP="00B10383">
            <w:pPr>
              <w:pStyle w:val="Tabletexte"/>
              <w:jc w:val="center"/>
              <w:rPr>
                <w:position w:val="2"/>
              </w:rPr>
            </w:pPr>
            <w:r w:rsidRPr="00933E22">
              <w:rPr>
                <w:position w:val="2"/>
              </w:rPr>
              <w:t>8</w:t>
            </w:r>
          </w:p>
        </w:tc>
      </w:tr>
      <w:tr w:rsidR="00621959" w:rsidRPr="00933E22" w14:paraId="28C2D32C" w14:textId="77777777" w:rsidTr="00D6243E">
        <w:tc>
          <w:tcPr>
            <w:tcW w:w="1270" w:type="dxa"/>
            <w:tcBorders>
              <w:left w:val="single" w:sz="4" w:space="0" w:color="4BACC6"/>
            </w:tcBorders>
            <w:tcMar>
              <w:top w:w="0" w:type="dxa"/>
              <w:left w:w="108" w:type="dxa"/>
              <w:bottom w:w="0" w:type="dxa"/>
              <w:right w:w="108" w:type="dxa"/>
            </w:tcMar>
            <w:vAlign w:val="center"/>
          </w:tcPr>
          <w:p w14:paraId="11EA8116" w14:textId="77777777" w:rsidR="00621959" w:rsidRPr="00933E22" w:rsidRDefault="00621959" w:rsidP="00B10383">
            <w:pPr>
              <w:pStyle w:val="Tabletexte"/>
              <w:rPr>
                <w:position w:val="2"/>
              </w:rPr>
            </w:pPr>
            <w:r w:rsidRPr="00933E22">
              <w:rPr>
                <w:position w:val="2"/>
              </w:rPr>
              <w:t>FG-AI4NDM</w:t>
            </w:r>
          </w:p>
        </w:tc>
        <w:tc>
          <w:tcPr>
            <w:tcW w:w="4395" w:type="dxa"/>
            <w:tcMar>
              <w:top w:w="0" w:type="dxa"/>
              <w:left w:w="108" w:type="dxa"/>
              <w:bottom w:w="0" w:type="dxa"/>
              <w:right w:w="108" w:type="dxa"/>
            </w:tcMar>
            <w:vAlign w:val="center"/>
          </w:tcPr>
          <w:p w14:paraId="6C66F591" w14:textId="77777777" w:rsidR="00621959" w:rsidRPr="00933E22" w:rsidRDefault="00621959" w:rsidP="00B10383">
            <w:pPr>
              <w:pStyle w:val="Tabletexte"/>
              <w:rPr>
                <w:position w:val="2"/>
              </w:rPr>
            </w:pPr>
            <w:r w:rsidRPr="00933E22">
              <w:rPr>
                <w:position w:val="2"/>
                <w:rtl/>
              </w:rPr>
              <w:t>الذكاء الاصطناعي من أجل إدارة الكوارث الطبيعية</w:t>
            </w:r>
          </w:p>
        </w:tc>
        <w:tc>
          <w:tcPr>
            <w:tcW w:w="1132" w:type="dxa"/>
            <w:tcMar>
              <w:top w:w="0" w:type="dxa"/>
              <w:left w:w="108" w:type="dxa"/>
              <w:bottom w:w="0" w:type="dxa"/>
              <w:right w:w="108" w:type="dxa"/>
            </w:tcMar>
            <w:vAlign w:val="center"/>
          </w:tcPr>
          <w:p w14:paraId="44E7ADF1" w14:textId="77777777" w:rsidR="00621959" w:rsidRPr="00933E22" w:rsidRDefault="00621959" w:rsidP="00B10383">
            <w:pPr>
              <w:pStyle w:val="Tabletexte"/>
              <w:jc w:val="center"/>
              <w:rPr>
                <w:position w:val="2"/>
              </w:rPr>
            </w:pPr>
            <w:r w:rsidRPr="00933E22">
              <w:rPr>
                <w:position w:val="2"/>
              </w:rPr>
              <w:t>2020-12</w:t>
            </w:r>
          </w:p>
        </w:tc>
        <w:tc>
          <w:tcPr>
            <w:tcW w:w="1132" w:type="dxa"/>
            <w:tcMar>
              <w:top w:w="0" w:type="dxa"/>
              <w:left w:w="108" w:type="dxa"/>
              <w:bottom w:w="0" w:type="dxa"/>
              <w:right w:w="108" w:type="dxa"/>
            </w:tcMar>
            <w:vAlign w:val="center"/>
          </w:tcPr>
          <w:p w14:paraId="0708D08B" w14:textId="77777777" w:rsidR="00621959" w:rsidRPr="00933E22" w:rsidRDefault="00621959" w:rsidP="00B10383">
            <w:pPr>
              <w:pStyle w:val="Tabletexte"/>
              <w:jc w:val="center"/>
              <w:rPr>
                <w:position w:val="2"/>
              </w:rPr>
            </w:pPr>
            <w:r w:rsidRPr="00933E22">
              <w:rPr>
                <w:position w:val="2"/>
              </w:rPr>
              <w:t>2024-03</w:t>
            </w:r>
          </w:p>
        </w:tc>
        <w:tc>
          <w:tcPr>
            <w:tcW w:w="1132" w:type="dxa"/>
            <w:tcBorders>
              <w:right w:val="single" w:sz="4" w:space="0" w:color="4BACC6"/>
            </w:tcBorders>
            <w:tcMar>
              <w:top w:w="0" w:type="dxa"/>
              <w:left w:w="108" w:type="dxa"/>
              <w:bottom w:w="0" w:type="dxa"/>
              <w:right w:w="108" w:type="dxa"/>
            </w:tcMar>
            <w:vAlign w:val="center"/>
          </w:tcPr>
          <w:p w14:paraId="78351DBD" w14:textId="77777777" w:rsidR="00621959" w:rsidRPr="00933E22" w:rsidRDefault="00621959" w:rsidP="00B10383">
            <w:pPr>
              <w:pStyle w:val="Tabletexte"/>
              <w:jc w:val="center"/>
              <w:rPr>
                <w:position w:val="2"/>
              </w:rPr>
            </w:pPr>
            <w:r w:rsidRPr="00933E22">
              <w:rPr>
                <w:position w:val="2"/>
              </w:rPr>
              <w:t>5</w:t>
            </w:r>
          </w:p>
        </w:tc>
      </w:tr>
      <w:tr w:rsidR="00621959" w:rsidRPr="00933E22" w14:paraId="524E41E4" w14:textId="77777777" w:rsidTr="00D6243E">
        <w:tc>
          <w:tcPr>
            <w:tcW w:w="1270" w:type="dxa"/>
            <w:tcBorders>
              <w:left w:val="single" w:sz="4" w:space="0" w:color="4BACC6"/>
            </w:tcBorders>
            <w:tcMar>
              <w:top w:w="0" w:type="dxa"/>
              <w:left w:w="108" w:type="dxa"/>
              <w:bottom w:w="0" w:type="dxa"/>
              <w:right w:w="108" w:type="dxa"/>
            </w:tcMar>
            <w:vAlign w:val="center"/>
          </w:tcPr>
          <w:p w14:paraId="552C0E08" w14:textId="77777777" w:rsidR="00621959" w:rsidRPr="00933E22" w:rsidRDefault="00621959" w:rsidP="00B10383">
            <w:pPr>
              <w:pStyle w:val="Tabletexte"/>
              <w:rPr>
                <w:position w:val="2"/>
              </w:rPr>
            </w:pPr>
            <w:r w:rsidRPr="00933E22">
              <w:rPr>
                <w:position w:val="2"/>
              </w:rPr>
              <w:t>FG-AN</w:t>
            </w:r>
          </w:p>
        </w:tc>
        <w:tc>
          <w:tcPr>
            <w:tcW w:w="4395" w:type="dxa"/>
            <w:tcMar>
              <w:top w:w="0" w:type="dxa"/>
              <w:left w:w="108" w:type="dxa"/>
              <w:bottom w:w="0" w:type="dxa"/>
              <w:right w:w="108" w:type="dxa"/>
            </w:tcMar>
            <w:vAlign w:val="center"/>
          </w:tcPr>
          <w:p w14:paraId="16233AF3" w14:textId="77777777" w:rsidR="00621959" w:rsidRPr="00933E22" w:rsidRDefault="00621959" w:rsidP="00B10383">
            <w:pPr>
              <w:pStyle w:val="Tabletexte"/>
              <w:rPr>
                <w:position w:val="2"/>
              </w:rPr>
            </w:pPr>
            <w:r w:rsidRPr="00933E22">
              <w:rPr>
                <w:position w:val="2"/>
                <w:rtl/>
              </w:rPr>
              <w:t>الشبكات المستقلة</w:t>
            </w:r>
          </w:p>
        </w:tc>
        <w:tc>
          <w:tcPr>
            <w:tcW w:w="1132" w:type="dxa"/>
            <w:tcMar>
              <w:top w:w="0" w:type="dxa"/>
              <w:left w:w="108" w:type="dxa"/>
              <w:bottom w:w="0" w:type="dxa"/>
              <w:right w:w="108" w:type="dxa"/>
            </w:tcMar>
            <w:vAlign w:val="center"/>
          </w:tcPr>
          <w:p w14:paraId="60994149" w14:textId="77777777" w:rsidR="00621959" w:rsidRPr="00933E22" w:rsidRDefault="00621959" w:rsidP="00B10383">
            <w:pPr>
              <w:pStyle w:val="Tabletexte"/>
              <w:jc w:val="center"/>
              <w:rPr>
                <w:position w:val="2"/>
              </w:rPr>
            </w:pPr>
            <w:r w:rsidRPr="00933E22">
              <w:rPr>
                <w:position w:val="2"/>
              </w:rPr>
              <w:t>2020-12</w:t>
            </w:r>
          </w:p>
        </w:tc>
        <w:tc>
          <w:tcPr>
            <w:tcW w:w="1132" w:type="dxa"/>
            <w:tcMar>
              <w:top w:w="0" w:type="dxa"/>
              <w:left w:w="108" w:type="dxa"/>
              <w:bottom w:w="0" w:type="dxa"/>
              <w:right w:w="108" w:type="dxa"/>
            </w:tcMar>
            <w:vAlign w:val="center"/>
          </w:tcPr>
          <w:p w14:paraId="726A7285" w14:textId="77777777" w:rsidR="00621959" w:rsidRPr="00933E22" w:rsidRDefault="00621959" w:rsidP="00B10383">
            <w:pPr>
              <w:pStyle w:val="Tabletexte"/>
              <w:jc w:val="center"/>
              <w:rPr>
                <w:position w:val="2"/>
              </w:rPr>
            </w:pPr>
            <w:r w:rsidRPr="00933E22">
              <w:rPr>
                <w:position w:val="2"/>
              </w:rPr>
              <w:t>2024-03</w:t>
            </w:r>
          </w:p>
        </w:tc>
        <w:tc>
          <w:tcPr>
            <w:tcW w:w="1132" w:type="dxa"/>
            <w:tcBorders>
              <w:right w:val="single" w:sz="4" w:space="0" w:color="4BACC6"/>
            </w:tcBorders>
            <w:tcMar>
              <w:top w:w="0" w:type="dxa"/>
              <w:left w:w="108" w:type="dxa"/>
              <w:bottom w:w="0" w:type="dxa"/>
              <w:right w:w="108" w:type="dxa"/>
            </w:tcMar>
            <w:vAlign w:val="center"/>
          </w:tcPr>
          <w:p w14:paraId="78B852D2" w14:textId="77777777" w:rsidR="00621959" w:rsidRPr="00933E22" w:rsidRDefault="00621959" w:rsidP="00B10383">
            <w:pPr>
              <w:pStyle w:val="Tabletexte"/>
              <w:jc w:val="center"/>
              <w:rPr>
                <w:position w:val="2"/>
              </w:rPr>
            </w:pPr>
            <w:r w:rsidRPr="00933E22">
              <w:rPr>
                <w:position w:val="2"/>
              </w:rPr>
              <w:t>9</w:t>
            </w:r>
          </w:p>
        </w:tc>
      </w:tr>
      <w:tr w:rsidR="00621959" w:rsidRPr="00933E22" w14:paraId="2EB4284C" w14:textId="77777777" w:rsidTr="00D6243E">
        <w:tc>
          <w:tcPr>
            <w:tcW w:w="1270" w:type="dxa"/>
            <w:tcBorders>
              <w:left w:val="single" w:sz="4" w:space="0" w:color="4BACC6"/>
            </w:tcBorders>
            <w:tcMar>
              <w:top w:w="0" w:type="dxa"/>
              <w:left w:w="108" w:type="dxa"/>
              <w:bottom w:w="0" w:type="dxa"/>
              <w:right w:w="108" w:type="dxa"/>
            </w:tcMar>
            <w:vAlign w:val="center"/>
          </w:tcPr>
          <w:p w14:paraId="1F42AE8F" w14:textId="77777777" w:rsidR="00621959" w:rsidRPr="00933E22" w:rsidRDefault="00621959" w:rsidP="00B10383">
            <w:pPr>
              <w:pStyle w:val="Tabletexte"/>
              <w:rPr>
                <w:position w:val="2"/>
              </w:rPr>
            </w:pPr>
            <w:r w:rsidRPr="00933E22">
              <w:rPr>
                <w:position w:val="2"/>
              </w:rPr>
              <w:t>FG-AI4H</w:t>
            </w:r>
          </w:p>
        </w:tc>
        <w:tc>
          <w:tcPr>
            <w:tcW w:w="4395" w:type="dxa"/>
            <w:tcMar>
              <w:top w:w="0" w:type="dxa"/>
              <w:left w:w="108" w:type="dxa"/>
              <w:bottom w:w="0" w:type="dxa"/>
              <w:right w:w="108" w:type="dxa"/>
            </w:tcMar>
            <w:vAlign w:val="center"/>
          </w:tcPr>
          <w:p w14:paraId="5C2F588C" w14:textId="77777777" w:rsidR="00621959" w:rsidRPr="00933E22" w:rsidRDefault="00621959" w:rsidP="00B10383">
            <w:pPr>
              <w:pStyle w:val="Tabletexte"/>
              <w:rPr>
                <w:position w:val="2"/>
              </w:rPr>
            </w:pPr>
            <w:r w:rsidRPr="00933E22">
              <w:rPr>
                <w:position w:val="2"/>
                <w:rtl/>
              </w:rPr>
              <w:t>الذكاء الاصطناعي لأغراض الصحة</w:t>
            </w:r>
          </w:p>
        </w:tc>
        <w:tc>
          <w:tcPr>
            <w:tcW w:w="1132" w:type="dxa"/>
            <w:tcMar>
              <w:top w:w="0" w:type="dxa"/>
              <w:left w:w="108" w:type="dxa"/>
              <w:bottom w:w="0" w:type="dxa"/>
              <w:right w:w="108" w:type="dxa"/>
            </w:tcMar>
            <w:vAlign w:val="center"/>
          </w:tcPr>
          <w:p w14:paraId="1F64E055" w14:textId="77777777" w:rsidR="00621959" w:rsidRPr="00933E22" w:rsidRDefault="00621959" w:rsidP="00B10383">
            <w:pPr>
              <w:pStyle w:val="Tabletexte"/>
              <w:jc w:val="center"/>
              <w:rPr>
                <w:position w:val="2"/>
              </w:rPr>
            </w:pPr>
            <w:r w:rsidRPr="00933E22">
              <w:rPr>
                <w:position w:val="2"/>
              </w:rPr>
              <w:t>2018-07</w:t>
            </w:r>
          </w:p>
        </w:tc>
        <w:tc>
          <w:tcPr>
            <w:tcW w:w="1132" w:type="dxa"/>
            <w:tcMar>
              <w:top w:w="0" w:type="dxa"/>
              <w:left w:w="108" w:type="dxa"/>
              <w:bottom w:w="0" w:type="dxa"/>
              <w:right w:w="108" w:type="dxa"/>
            </w:tcMar>
            <w:vAlign w:val="center"/>
          </w:tcPr>
          <w:p w14:paraId="7BFEDED0" w14:textId="77777777" w:rsidR="00621959" w:rsidRPr="00933E22" w:rsidRDefault="00621959" w:rsidP="00B10383">
            <w:pPr>
              <w:pStyle w:val="Tabletexte"/>
              <w:jc w:val="center"/>
              <w:rPr>
                <w:position w:val="2"/>
              </w:rPr>
            </w:pPr>
            <w:r w:rsidRPr="00933E22">
              <w:rPr>
                <w:position w:val="2"/>
              </w:rPr>
              <w:t>2023-09</w:t>
            </w:r>
          </w:p>
        </w:tc>
        <w:tc>
          <w:tcPr>
            <w:tcW w:w="1132" w:type="dxa"/>
            <w:tcBorders>
              <w:right w:val="single" w:sz="4" w:space="0" w:color="4BACC6"/>
            </w:tcBorders>
            <w:tcMar>
              <w:top w:w="0" w:type="dxa"/>
              <w:left w:w="108" w:type="dxa"/>
              <w:bottom w:w="0" w:type="dxa"/>
              <w:right w:w="108" w:type="dxa"/>
            </w:tcMar>
            <w:vAlign w:val="center"/>
          </w:tcPr>
          <w:p w14:paraId="7BB6CBC4" w14:textId="77777777" w:rsidR="00621959" w:rsidRPr="00933E22" w:rsidRDefault="00621959" w:rsidP="00B10383">
            <w:pPr>
              <w:pStyle w:val="Tabletexte"/>
              <w:jc w:val="center"/>
              <w:rPr>
                <w:position w:val="2"/>
              </w:rPr>
            </w:pPr>
            <w:r w:rsidRPr="00933E22">
              <w:rPr>
                <w:position w:val="2"/>
              </w:rPr>
              <w:t>36</w:t>
            </w:r>
          </w:p>
        </w:tc>
      </w:tr>
      <w:tr w:rsidR="00621959" w:rsidRPr="00933E22" w14:paraId="7F3FD7B1" w14:textId="77777777" w:rsidTr="00D6243E">
        <w:tc>
          <w:tcPr>
            <w:tcW w:w="1270" w:type="dxa"/>
            <w:tcBorders>
              <w:left w:val="single" w:sz="4" w:space="0" w:color="4BACC6"/>
            </w:tcBorders>
            <w:tcMar>
              <w:top w:w="0" w:type="dxa"/>
              <w:left w:w="108" w:type="dxa"/>
              <w:bottom w:w="0" w:type="dxa"/>
              <w:right w:w="108" w:type="dxa"/>
            </w:tcMar>
            <w:vAlign w:val="center"/>
          </w:tcPr>
          <w:p w14:paraId="507ABC75" w14:textId="77777777" w:rsidR="00621959" w:rsidRPr="00933E22" w:rsidRDefault="00621959" w:rsidP="00B10383">
            <w:pPr>
              <w:pStyle w:val="Tabletexte"/>
              <w:rPr>
                <w:position w:val="2"/>
              </w:rPr>
            </w:pPr>
            <w:r w:rsidRPr="00933E22">
              <w:rPr>
                <w:position w:val="2"/>
              </w:rPr>
              <w:t>FG-AI4EE</w:t>
            </w:r>
          </w:p>
        </w:tc>
        <w:tc>
          <w:tcPr>
            <w:tcW w:w="4395" w:type="dxa"/>
            <w:tcMar>
              <w:top w:w="0" w:type="dxa"/>
              <w:left w:w="108" w:type="dxa"/>
              <w:bottom w:w="0" w:type="dxa"/>
              <w:right w:w="108" w:type="dxa"/>
            </w:tcMar>
            <w:vAlign w:val="center"/>
          </w:tcPr>
          <w:p w14:paraId="0F9CADF9" w14:textId="77777777" w:rsidR="00621959" w:rsidRPr="00933E22" w:rsidRDefault="00621959" w:rsidP="00B10383">
            <w:pPr>
              <w:pStyle w:val="Tabletexte"/>
              <w:rPr>
                <w:spacing w:val="-4"/>
                <w:position w:val="2"/>
              </w:rPr>
            </w:pPr>
            <w:r w:rsidRPr="00933E22">
              <w:rPr>
                <w:spacing w:val="-4"/>
                <w:position w:val="2"/>
                <w:rtl/>
              </w:rPr>
              <w:t>الكفاءة البيئية للذكاء الاصطناعي والتكنولوجيات الناشئة الأخرى</w:t>
            </w:r>
          </w:p>
        </w:tc>
        <w:tc>
          <w:tcPr>
            <w:tcW w:w="1132" w:type="dxa"/>
            <w:tcMar>
              <w:top w:w="0" w:type="dxa"/>
              <w:left w:w="108" w:type="dxa"/>
              <w:bottom w:w="0" w:type="dxa"/>
              <w:right w:w="108" w:type="dxa"/>
            </w:tcMar>
            <w:vAlign w:val="center"/>
          </w:tcPr>
          <w:p w14:paraId="08CAD84A" w14:textId="77777777" w:rsidR="00621959" w:rsidRPr="00933E22" w:rsidRDefault="00621959" w:rsidP="00B10383">
            <w:pPr>
              <w:pStyle w:val="Tabletexte"/>
              <w:jc w:val="center"/>
              <w:rPr>
                <w:position w:val="2"/>
              </w:rPr>
            </w:pPr>
            <w:r w:rsidRPr="00933E22">
              <w:rPr>
                <w:position w:val="2"/>
              </w:rPr>
              <w:t>2019-05</w:t>
            </w:r>
          </w:p>
        </w:tc>
        <w:tc>
          <w:tcPr>
            <w:tcW w:w="1132" w:type="dxa"/>
            <w:tcMar>
              <w:top w:w="0" w:type="dxa"/>
              <w:left w:w="108" w:type="dxa"/>
              <w:bottom w:w="0" w:type="dxa"/>
              <w:right w:w="108" w:type="dxa"/>
            </w:tcMar>
            <w:vAlign w:val="center"/>
          </w:tcPr>
          <w:p w14:paraId="68D85683" w14:textId="77777777" w:rsidR="00621959" w:rsidRPr="00933E22" w:rsidRDefault="00621959" w:rsidP="00B10383">
            <w:pPr>
              <w:pStyle w:val="Tabletexte"/>
              <w:jc w:val="center"/>
              <w:rPr>
                <w:position w:val="2"/>
              </w:rPr>
            </w:pPr>
            <w:r w:rsidRPr="00933E22">
              <w:rPr>
                <w:position w:val="2"/>
              </w:rPr>
              <w:t>2022-12</w:t>
            </w:r>
          </w:p>
        </w:tc>
        <w:tc>
          <w:tcPr>
            <w:tcW w:w="1132" w:type="dxa"/>
            <w:tcBorders>
              <w:right w:val="single" w:sz="4" w:space="0" w:color="4BACC6"/>
            </w:tcBorders>
            <w:tcMar>
              <w:top w:w="0" w:type="dxa"/>
              <w:left w:w="108" w:type="dxa"/>
              <w:bottom w:w="0" w:type="dxa"/>
              <w:right w:w="108" w:type="dxa"/>
            </w:tcMar>
            <w:vAlign w:val="center"/>
          </w:tcPr>
          <w:p w14:paraId="4E7BD24E" w14:textId="77777777" w:rsidR="00621959" w:rsidRPr="00933E22" w:rsidRDefault="00621959" w:rsidP="00B10383">
            <w:pPr>
              <w:pStyle w:val="Tabletexte"/>
              <w:jc w:val="center"/>
              <w:rPr>
                <w:position w:val="2"/>
              </w:rPr>
            </w:pPr>
            <w:r w:rsidRPr="00933E22">
              <w:rPr>
                <w:position w:val="2"/>
              </w:rPr>
              <w:t>20</w:t>
            </w:r>
          </w:p>
        </w:tc>
      </w:tr>
      <w:tr w:rsidR="00621959" w:rsidRPr="00933E22" w14:paraId="2C446F45" w14:textId="77777777" w:rsidTr="00D6243E">
        <w:tc>
          <w:tcPr>
            <w:tcW w:w="1270" w:type="dxa"/>
            <w:tcBorders>
              <w:left w:val="single" w:sz="4" w:space="0" w:color="4BACC6"/>
            </w:tcBorders>
            <w:tcMar>
              <w:top w:w="0" w:type="dxa"/>
              <w:left w:w="108" w:type="dxa"/>
              <w:bottom w:w="0" w:type="dxa"/>
              <w:right w:w="108" w:type="dxa"/>
            </w:tcMar>
            <w:vAlign w:val="center"/>
          </w:tcPr>
          <w:p w14:paraId="4F42ADF1" w14:textId="77777777" w:rsidR="00621959" w:rsidRPr="00933E22" w:rsidRDefault="00621959" w:rsidP="00B10383">
            <w:pPr>
              <w:pStyle w:val="Tabletexte"/>
              <w:rPr>
                <w:position w:val="2"/>
              </w:rPr>
            </w:pPr>
            <w:r w:rsidRPr="00933E22">
              <w:rPr>
                <w:position w:val="2"/>
              </w:rPr>
              <w:t>FG-AI4AD</w:t>
            </w:r>
          </w:p>
        </w:tc>
        <w:tc>
          <w:tcPr>
            <w:tcW w:w="4395" w:type="dxa"/>
            <w:tcMar>
              <w:top w:w="0" w:type="dxa"/>
              <w:left w:w="108" w:type="dxa"/>
              <w:bottom w:w="0" w:type="dxa"/>
              <w:right w:w="108" w:type="dxa"/>
            </w:tcMar>
            <w:vAlign w:val="center"/>
          </w:tcPr>
          <w:p w14:paraId="4C17CE24" w14:textId="77777777" w:rsidR="00621959" w:rsidRPr="00933E22" w:rsidRDefault="00621959" w:rsidP="00B10383">
            <w:pPr>
              <w:pStyle w:val="Tabletexte"/>
              <w:rPr>
                <w:position w:val="2"/>
              </w:rPr>
            </w:pPr>
            <w:r w:rsidRPr="00933E22">
              <w:rPr>
                <w:position w:val="2"/>
                <w:rtl/>
              </w:rPr>
              <w:t>الذكاء الاصطناعي لأغراض القيادة الذاتية والمساعَدة</w:t>
            </w:r>
          </w:p>
        </w:tc>
        <w:tc>
          <w:tcPr>
            <w:tcW w:w="1132" w:type="dxa"/>
            <w:tcMar>
              <w:top w:w="0" w:type="dxa"/>
              <w:left w:w="108" w:type="dxa"/>
              <w:bottom w:w="0" w:type="dxa"/>
              <w:right w:w="108" w:type="dxa"/>
            </w:tcMar>
            <w:vAlign w:val="center"/>
          </w:tcPr>
          <w:p w14:paraId="484C21E1" w14:textId="77777777" w:rsidR="00621959" w:rsidRPr="00933E22" w:rsidRDefault="00621959" w:rsidP="00B10383">
            <w:pPr>
              <w:pStyle w:val="Tabletexte"/>
              <w:jc w:val="center"/>
              <w:rPr>
                <w:position w:val="2"/>
              </w:rPr>
            </w:pPr>
            <w:r w:rsidRPr="00933E22">
              <w:rPr>
                <w:position w:val="2"/>
              </w:rPr>
              <w:t>2019-10</w:t>
            </w:r>
          </w:p>
        </w:tc>
        <w:tc>
          <w:tcPr>
            <w:tcW w:w="1132" w:type="dxa"/>
            <w:tcMar>
              <w:top w:w="0" w:type="dxa"/>
              <w:left w:w="108" w:type="dxa"/>
              <w:bottom w:w="0" w:type="dxa"/>
              <w:right w:w="108" w:type="dxa"/>
            </w:tcMar>
            <w:vAlign w:val="center"/>
          </w:tcPr>
          <w:p w14:paraId="2BBC96AC" w14:textId="77777777" w:rsidR="00621959" w:rsidRPr="00933E22" w:rsidRDefault="00621959" w:rsidP="00B10383">
            <w:pPr>
              <w:pStyle w:val="Tabletexte"/>
              <w:jc w:val="center"/>
              <w:rPr>
                <w:position w:val="2"/>
              </w:rPr>
            </w:pPr>
            <w:r w:rsidRPr="00933E22">
              <w:rPr>
                <w:position w:val="2"/>
              </w:rPr>
              <w:t>2022-09</w:t>
            </w:r>
          </w:p>
        </w:tc>
        <w:tc>
          <w:tcPr>
            <w:tcW w:w="1132" w:type="dxa"/>
            <w:tcBorders>
              <w:right w:val="single" w:sz="4" w:space="0" w:color="4BACC6"/>
            </w:tcBorders>
            <w:tcMar>
              <w:top w:w="0" w:type="dxa"/>
              <w:left w:w="108" w:type="dxa"/>
              <w:bottom w:w="0" w:type="dxa"/>
              <w:right w:w="108" w:type="dxa"/>
            </w:tcMar>
            <w:vAlign w:val="center"/>
          </w:tcPr>
          <w:p w14:paraId="7CED0778" w14:textId="77777777" w:rsidR="00621959" w:rsidRPr="00933E22" w:rsidRDefault="00621959" w:rsidP="00B10383">
            <w:pPr>
              <w:pStyle w:val="Tabletexte"/>
              <w:jc w:val="center"/>
              <w:rPr>
                <w:position w:val="2"/>
              </w:rPr>
            </w:pPr>
            <w:r w:rsidRPr="00933E22">
              <w:rPr>
                <w:position w:val="2"/>
              </w:rPr>
              <w:t>3</w:t>
            </w:r>
          </w:p>
        </w:tc>
      </w:tr>
      <w:tr w:rsidR="00621959" w:rsidRPr="00933E22" w14:paraId="033EEE78" w14:textId="77777777" w:rsidTr="00D6243E">
        <w:tc>
          <w:tcPr>
            <w:tcW w:w="1270" w:type="dxa"/>
            <w:tcBorders>
              <w:left w:val="single" w:sz="4" w:space="0" w:color="4BACC6"/>
              <w:bottom w:val="single" w:sz="4" w:space="0" w:color="4BACC6"/>
            </w:tcBorders>
            <w:tcMar>
              <w:top w:w="0" w:type="dxa"/>
              <w:left w:w="108" w:type="dxa"/>
              <w:bottom w:w="0" w:type="dxa"/>
              <w:right w:w="108" w:type="dxa"/>
            </w:tcMar>
            <w:vAlign w:val="center"/>
          </w:tcPr>
          <w:p w14:paraId="586D7A77" w14:textId="77777777" w:rsidR="00621959" w:rsidRPr="00933E22" w:rsidRDefault="00621959" w:rsidP="00B10383">
            <w:pPr>
              <w:pStyle w:val="Tabletexte"/>
              <w:rPr>
                <w:position w:val="2"/>
              </w:rPr>
            </w:pPr>
            <w:r w:rsidRPr="00933E22">
              <w:rPr>
                <w:position w:val="2"/>
              </w:rPr>
              <w:t>FG-VM</w:t>
            </w:r>
          </w:p>
        </w:tc>
        <w:tc>
          <w:tcPr>
            <w:tcW w:w="4395" w:type="dxa"/>
            <w:tcBorders>
              <w:bottom w:val="single" w:sz="4" w:space="0" w:color="4BACC6"/>
            </w:tcBorders>
            <w:tcMar>
              <w:top w:w="0" w:type="dxa"/>
              <w:left w:w="108" w:type="dxa"/>
              <w:bottom w:w="0" w:type="dxa"/>
              <w:right w:w="108" w:type="dxa"/>
            </w:tcMar>
            <w:vAlign w:val="center"/>
          </w:tcPr>
          <w:p w14:paraId="7AFFFD3F" w14:textId="77777777" w:rsidR="00621959" w:rsidRPr="00933E22" w:rsidRDefault="00621959" w:rsidP="00B10383">
            <w:pPr>
              <w:pStyle w:val="Tabletexte"/>
              <w:rPr>
                <w:position w:val="2"/>
              </w:rPr>
            </w:pPr>
            <w:r w:rsidRPr="00933E22">
              <w:rPr>
                <w:position w:val="2"/>
                <w:rtl/>
              </w:rPr>
              <w:t>الوسائط المتعددة للمركبات</w:t>
            </w:r>
          </w:p>
        </w:tc>
        <w:tc>
          <w:tcPr>
            <w:tcW w:w="1132" w:type="dxa"/>
            <w:tcBorders>
              <w:bottom w:val="single" w:sz="4" w:space="0" w:color="4BACC6"/>
            </w:tcBorders>
            <w:tcMar>
              <w:top w:w="0" w:type="dxa"/>
              <w:left w:w="108" w:type="dxa"/>
              <w:bottom w:w="0" w:type="dxa"/>
              <w:right w:w="108" w:type="dxa"/>
            </w:tcMar>
            <w:vAlign w:val="center"/>
          </w:tcPr>
          <w:p w14:paraId="49A347CE" w14:textId="77777777" w:rsidR="00621959" w:rsidRPr="00933E22" w:rsidRDefault="00621959" w:rsidP="00B10383">
            <w:pPr>
              <w:pStyle w:val="Tabletexte"/>
              <w:jc w:val="center"/>
              <w:rPr>
                <w:position w:val="2"/>
              </w:rPr>
            </w:pPr>
            <w:r w:rsidRPr="00933E22">
              <w:rPr>
                <w:position w:val="2"/>
              </w:rPr>
              <w:t>2018-07</w:t>
            </w:r>
          </w:p>
        </w:tc>
        <w:tc>
          <w:tcPr>
            <w:tcW w:w="1132" w:type="dxa"/>
            <w:tcBorders>
              <w:bottom w:val="single" w:sz="4" w:space="0" w:color="4BACC6"/>
            </w:tcBorders>
            <w:tcMar>
              <w:top w:w="0" w:type="dxa"/>
              <w:left w:w="108" w:type="dxa"/>
              <w:bottom w:w="0" w:type="dxa"/>
              <w:right w:w="108" w:type="dxa"/>
            </w:tcMar>
            <w:vAlign w:val="center"/>
          </w:tcPr>
          <w:p w14:paraId="180695A9" w14:textId="77777777" w:rsidR="00621959" w:rsidRPr="00933E22" w:rsidRDefault="00621959" w:rsidP="00B10383">
            <w:pPr>
              <w:pStyle w:val="Tabletexte"/>
              <w:jc w:val="center"/>
              <w:rPr>
                <w:position w:val="2"/>
              </w:rPr>
            </w:pPr>
            <w:r w:rsidRPr="00933E22">
              <w:rPr>
                <w:position w:val="2"/>
              </w:rPr>
              <w:t>2022-09</w:t>
            </w:r>
          </w:p>
        </w:tc>
        <w:tc>
          <w:tcPr>
            <w:tcW w:w="1132" w:type="dxa"/>
            <w:tcBorders>
              <w:bottom w:val="single" w:sz="4" w:space="0" w:color="4BACC6"/>
              <w:right w:val="single" w:sz="4" w:space="0" w:color="4BACC6"/>
            </w:tcBorders>
            <w:tcMar>
              <w:top w:w="0" w:type="dxa"/>
              <w:left w:w="108" w:type="dxa"/>
              <w:bottom w:w="0" w:type="dxa"/>
              <w:right w:w="108" w:type="dxa"/>
            </w:tcMar>
            <w:vAlign w:val="center"/>
          </w:tcPr>
          <w:p w14:paraId="4FA8367B" w14:textId="77777777" w:rsidR="00621959" w:rsidRPr="00933E22" w:rsidRDefault="00621959" w:rsidP="00B10383">
            <w:pPr>
              <w:pStyle w:val="Tabletexte"/>
              <w:jc w:val="center"/>
              <w:rPr>
                <w:position w:val="2"/>
              </w:rPr>
            </w:pPr>
            <w:r w:rsidRPr="00933E22">
              <w:rPr>
                <w:position w:val="2"/>
              </w:rPr>
              <w:t>3</w:t>
            </w:r>
          </w:p>
        </w:tc>
      </w:tr>
    </w:tbl>
    <w:p w14:paraId="178A5280" w14:textId="77777777" w:rsidR="00621959" w:rsidRPr="00933E22" w:rsidRDefault="00621959" w:rsidP="00933E22">
      <w:pPr>
        <w:pStyle w:val="Tablelegend"/>
        <w:jc w:val="center"/>
        <w:rPr>
          <w:color w:val="1F497D"/>
          <w:lang w:val="fr-FR" w:bidi="ar-EG"/>
        </w:rPr>
      </w:pPr>
      <w:r w:rsidRPr="00933E22">
        <w:rPr>
          <w:color w:val="1F497D"/>
          <w:rtl/>
        </w:rPr>
        <w:t>الجدول 3. الأفرقة المتخصصة التابعة لقطاع تقييس الاتصالات، 2025</w:t>
      </w:r>
    </w:p>
    <w:p w14:paraId="308BB8B7" w14:textId="77777777" w:rsidR="00621959" w:rsidRPr="00621959" w:rsidRDefault="00621959" w:rsidP="008A5A1B">
      <w:pPr>
        <w:rPr>
          <w:lang w:val="en-GB" w:bidi="ar-EG"/>
        </w:rPr>
      </w:pPr>
      <w:r w:rsidRPr="00621959">
        <w:rPr>
          <w:rtl/>
        </w:rPr>
        <w:t xml:space="preserve">يلخص الجدول التالي عدد المنشورات المعيارية وغير المعيارية التي تمت الموافقة عليها خلال الفترة المشمولة بالتقرير (انظر </w:t>
      </w:r>
      <w:hyperlink r:id="rId135" w:history="1">
        <w:r w:rsidRPr="00621959">
          <w:rPr>
            <w:rStyle w:val="Hyperlink"/>
            <w:noProof w:val="0"/>
            <w:lang w:eastAsia="zh-CN" w:bidi="ar-EG"/>
          </w:rPr>
          <w:t>https://itu.int/tdata/pubs/</w:t>
        </w:r>
      </w:hyperlink>
      <w:r w:rsidRPr="00621959">
        <w:rPr>
          <w:rtl/>
        </w:rPr>
        <w:t xml:space="preserve"> للاطلاع على إحصاءات إضافية عن المنشورات).</w:t>
      </w:r>
    </w:p>
    <w:p w14:paraId="7B3A1181" w14:textId="77777777" w:rsidR="00621959" w:rsidRPr="00621959" w:rsidRDefault="00621959" w:rsidP="00D6243E">
      <w:pPr>
        <w:pStyle w:val="Tabletitle"/>
        <w:rPr>
          <w:lang w:val="en-GB" w:bidi="ar-EG"/>
        </w:rPr>
      </w:pPr>
      <w:r w:rsidRPr="00621959">
        <w:rPr>
          <w:rtl/>
        </w:rPr>
        <w:t>منشورات قطاع تقييس الاتصالات، 2022-2025</w:t>
      </w:r>
    </w:p>
    <w:tbl>
      <w:tblPr>
        <w:bidiVisual/>
        <w:tblW w:w="4994" w:type="pct"/>
        <w:tblInd w:w="5" w:type="dxa"/>
        <w:tblCellMar>
          <w:left w:w="10" w:type="dxa"/>
          <w:right w:w="10" w:type="dxa"/>
        </w:tblCellMar>
        <w:tblLook w:val="0000" w:firstRow="0" w:lastRow="0" w:firstColumn="0" w:lastColumn="0" w:noHBand="0" w:noVBand="0"/>
      </w:tblPr>
      <w:tblGrid>
        <w:gridCol w:w="3769"/>
        <w:gridCol w:w="1321"/>
        <w:gridCol w:w="1320"/>
        <w:gridCol w:w="1320"/>
        <w:gridCol w:w="1320"/>
      </w:tblGrid>
      <w:tr w:rsidR="00621959" w:rsidRPr="00621959" w14:paraId="58CD6B69" w14:textId="77777777" w:rsidTr="00D6243E">
        <w:tc>
          <w:tcPr>
            <w:tcW w:w="3776" w:type="dxa"/>
            <w:tcBorders>
              <w:top w:val="single" w:sz="4" w:space="0" w:color="4BACC6"/>
              <w:left w:val="single" w:sz="4" w:space="0" w:color="4BACC6"/>
            </w:tcBorders>
            <w:tcMar>
              <w:top w:w="0" w:type="dxa"/>
              <w:left w:w="108" w:type="dxa"/>
              <w:bottom w:w="0" w:type="dxa"/>
              <w:right w:w="108" w:type="dxa"/>
            </w:tcMar>
            <w:vAlign w:val="center"/>
          </w:tcPr>
          <w:p w14:paraId="7DBE7792" w14:textId="6B2FA922" w:rsidR="00621959" w:rsidRPr="00D6243E" w:rsidRDefault="00DF72B8" w:rsidP="00D6243E">
            <w:pPr>
              <w:pStyle w:val="Tablehead"/>
              <w:rPr>
                <w:position w:val="2"/>
                <w:highlight w:val="green"/>
              </w:rPr>
            </w:pPr>
            <w:r w:rsidRPr="00DF72B8">
              <w:rPr>
                <w:rFonts w:hint="cs"/>
                <w:position w:val="2"/>
                <w:rtl/>
              </w:rPr>
              <w:t>نوع المنشور</w:t>
            </w:r>
          </w:p>
        </w:tc>
        <w:tc>
          <w:tcPr>
            <w:tcW w:w="1322" w:type="dxa"/>
            <w:tcBorders>
              <w:top w:val="single" w:sz="4" w:space="0" w:color="4BACC6"/>
            </w:tcBorders>
            <w:tcMar>
              <w:top w:w="0" w:type="dxa"/>
              <w:left w:w="108" w:type="dxa"/>
              <w:bottom w:w="0" w:type="dxa"/>
              <w:right w:w="108" w:type="dxa"/>
            </w:tcMar>
            <w:vAlign w:val="center"/>
          </w:tcPr>
          <w:p w14:paraId="0EFE2A08" w14:textId="77777777" w:rsidR="00621959" w:rsidRPr="00D6243E" w:rsidRDefault="00621959" w:rsidP="00D6243E">
            <w:pPr>
              <w:pStyle w:val="Tablehead"/>
              <w:rPr>
                <w:position w:val="2"/>
              </w:rPr>
            </w:pPr>
            <w:r w:rsidRPr="00D6243E">
              <w:rPr>
                <w:position w:val="2"/>
              </w:rPr>
              <w:t>2022</w:t>
            </w:r>
          </w:p>
        </w:tc>
        <w:tc>
          <w:tcPr>
            <w:tcW w:w="1321" w:type="dxa"/>
            <w:tcBorders>
              <w:top w:val="single" w:sz="4" w:space="0" w:color="4BACC6"/>
            </w:tcBorders>
            <w:tcMar>
              <w:top w:w="0" w:type="dxa"/>
              <w:left w:w="108" w:type="dxa"/>
              <w:bottom w:w="0" w:type="dxa"/>
              <w:right w:w="108" w:type="dxa"/>
            </w:tcMar>
            <w:vAlign w:val="center"/>
          </w:tcPr>
          <w:p w14:paraId="479F3079" w14:textId="77777777" w:rsidR="00621959" w:rsidRPr="00D6243E" w:rsidRDefault="00621959" w:rsidP="00D6243E">
            <w:pPr>
              <w:pStyle w:val="Tablehead"/>
              <w:rPr>
                <w:position w:val="2"/>
              </w:rPr>
            </w:pPr>
            <w:r w:rsidRPr="00D6243E">
              <w:rPr>
                <w:position w:val="2"/>
              </w:rPr>
              <w:t>2023</w:t>
            </w:r>
          </w:p>
        </w:tc>
        <w:tc>
          <w:tcPr>
            <w:tcW w:w="1321" w:type="dxa"/>
            <w:tcBorders>
              <w:top w:val="single" w:sz="4" w:space="0" w:color="4BACC6"/>
            </w:tcBorders>
            <w:tcMar>
              <w:top w:w="0" w:type="dxa"/>
              <w:left w:w="108" w:type="dxa"/>
              <w:bottom w:w="0" w:type="dxa"/>
              <w:right w:w="108" w:type="dxa"/>
            </w:tcMar>
            <w:vAlign w:val="center"/>
          </w:tcPr>
          <w:p w14:paraId="41137B4E" w14:textId="77777777" w:rsidR="00621959" w:rsidRPr="00D6243E" w:rsidRDefault="00621959" w:rsidP="00D6243E">
            <w:pPr>
              <w:pStyle w:val="Tablehead"/>
              <w:rPr>
                <w:position w:val="2"/>
              </w:rPr>
            </w:pPr>
            <w:r w:rsidRPr="00D6243E">
              <w:rPr>
                <w:position w:val="2"/>
              </w:rPr>
              <w:t>2024</w:t>
            </w:r>
          </w:p>
        </w:tc>
        <w:tc>
          <w:tcPr>
            <w:tcW w:w="1321" w:type="dxa"/>
            <w:tcBorders>
              <w:top w:val="single" w:sz="4" w:space="0" w:color="4BACC6"/>
              <w:right w:val="single" w:sz="4" w:space="0" w:color="4BACC6"/>
            </w:tcBorders>
            <w:tcMar>
              <w:top w:w="0" w:type="dxa"/>
              <w:left w:w="108" w:type="dxa"/>
              <w:bottom w:w="0" w:type="dxa"/>
              <w:right w:w="108" w:type="dxa"/>
            </w:tcMar>
            <w:vAlign w:val="center"/>
          </w:tcPr>
          <w:p w14:paraId="236E4803" w14:textId="77777777" w:rsidR="00621959" w:rsidRPr="00D6243E" w:rsidRDefault="00621959" w:rsidP="00D6243E">
            <w:pPr>
              <w:pStyle w:val="Tablehead"/>
              <w:rPr>
                <w:position w:val="2"/>
              </w:rPr>
            </w:pPr>
            <w:r w:rsidRPr="00D6243E">
              <w:rPr>
                <w:position w:val="2"/>
              </w:rPr>
              <w:t>2025</w:t>
            </w:r>
          </w:p>
        </w:tc>
      </w:tr>
      <w:tr w:rsidR="00621959" w:rsidRPr="00621959" w14:paraId="0D88C9A3" w14:textId="77777777" w:rsidTr="00D6243E">
        <w:tc>
          <w:tcPr>
            <w:tcW w:w="3776" w:type="dxa"/>
            <w:tcBorders>
              <w:left w:val="single" w:sz="4" w:space="0" w:color="4BACC6"/>
            </w:tcBorders>
            <w:tcMar>
              <w:top w:w="0" w:type="dxa"/>
              <w:left w:w="108" w:type="dxa"/>
              <w:bottom w:w="0" w:type="dxa"/>
              <w:right w:w="108" w:type="dxa"/>
            </w:tcMar>
          </w:tcPr>
          <w:p w14:paraId="5B9E908E" w14:textId="77777777" w:rsidR="00621959" w:rsidRPr="00D6243E" w:rsidRDefault="00621959" w:rsidP="00D6243E">
            <w:pPr>
              <w:pStyle w:val="Tabletexte"/>
              <w:keepNext/>
              <w:rPr>
                <w:position w:val="2"/>
              </w:rPr>
            </w:pPr>
            <w:r w:rsidRPr="00D6243E">
              <w:rPr>
                <w:position w:val="2"/>
                <w:rtl/>
              </w:rPr>
              <w:t>التوصيات (الجديدة والمراجعة)</w:t>
            </w:r>
          </w:p>
        </w:tc>
        <w:tc>
          <w:tcPr>
            <w:tcW w:w="1322" w:type="dxa"/>
            <w:tcMar>
              <w:top w:w="0" w:type="dxa"/>
              <w:left w:w="108" w:type="dxa"/>
              <w:bottom w:w="0" w:type="dxa"/>
              <w:right w:w="108" w:type="dxa"/>
            </w:tcMar>
          </w:tcPr>
          <w:p w14:paraId="6D1C89A0" w14:textId="77777777" w:rsidR="00621959" w:rsidRPr="00D6243E" w:rsidRDefault="00621959" w:rsidP="00D6243E">
            <w:pPr>
              <w:pStyle w:val="Tabletexte"/>
              <w:keepNext/>
              <w:jc w:val="center"/>
              <w:rPr>
                <w:position w:val="2"/>
              </w:rPr>
            </w:pPr>
            <w:r w:rsidRPr="00D6243E">
              <w:rPr>
                <w:position w:val="2"/>
              </w:rPr>
              <w:t>255</w:t>
            </w:r>
          </w:p>
        </w:tc>
        <w:tc>
          <w:tcPr>
            <w:tcW w:w="1321" w:type="dxa"/>
            <w:tcMar>
              <w:top w:w="0" w:type="dxa"/>
              <w:left w:w="108" w:type="dxa"/>
              <w:bottom w:w="0" w:type="dxa"/>
              <w:right w:w="108" w:type="dxa"/>
            </w:tcMar>
          </w:tcPr>
          <w:p w14:paraId="7AD8AA7E" w14:textId="77777777" w:rsidR="00621959" w:rsidRPr="00D6243E" w:rsidRDefault="00621959" w:rsidP="00D6243E">
            <w:pPr>
              <w:pStyle w:val="Tabletexte"/>
              <w:keepNext/>
              <w:jc w:val="center"/>
              <w:rPr>
                <w:position w:val="2"/>
              </w:rPr>
            </w:pPr>
            <w:r w:rsidRPr="00D6243E">
              <w:rPr>
                <w:position w:val="2"/>
              </w:rPr>
              <w:t>286</w:t>
            </w:r>
          </w:p>
        </w:tc>
        <w:tc>
          <w:tcPr>
            <w:tcW w:w="1321" w:type="dxa"/>
            <w:tcMar>
              <w:top w:w="0" w:type="dxa"/>
              <w:left w:w="108" w:type="dxa"/>
              <w:bottom w:w="0" w:type="dxa"/>
              <w:right w:w="108" w:type="dxa"/>
            </w:tcMar>
          </w:tcPr>
          <w:p w14:paraId="6511AF37" w14:textId="77777777" w:rsidR="00621959" w:rsidRPr="00D6243E" w:rsidRDefault="00621959" w:rsidP="00D6243E">
            <w:pPr>
              <w:pStyle w:val="Tabletexte"/>
              <w:keepNext/>
              <w:jc w:val="center"/>
              <w:rPr>
                <w:position w:val="2"/>
              </w:rPr>
            </w:pPr>
            <w:r w:rsidRPr="00D6243E">
              <w:rPr>
                <w:position w:val="2"/>
              </w:rPr>
              <w:t>412</w:t>
            </w:r>
          </w:p>
        </w:tc>
        <w:tc>
          <w:tcPr>
            <w:tcW w:w="1321" w:type="dxa"/>
            <w:tcBorders>
              <w:right w:val="single" w:sz="4" w:space="0" w:color="4BACC6"/>
            </w:tcBorders>
            <w:tcMar>
              <w:top w:w="0" w:type="dxa"/>
              <w:left w:w="108" w:type="dxa"/>
              <w:bottom w:w="0" w:type="dxa"/>
              <w:right w:w="108" w:type="dxa"/>
            </w:tcMar>
          </w:tcPr>
          <w:p w14:paraId="727BAC2A" w14:textId="77777777" w:rsidR="00621959" w:rsidRPr="00D6243E" w:rsidRDefault="00621959" w:rsidP="00D6243E">
            <w:pPr>
              <w:pStyle w:val="Tabletexte"/>
              <w:keepNext/>
              <w:jc w:val="center"/>
              <w:rPr>
                <w:position w:val="2"/>
              </w:rPr>
            </w:pPr>
            <w:r w:rsidRPr="00D6243E">
              <w:rPr>
                <w:position w:val="2"/>
              </w:rPr>
              <w:t>272</w:t>
            </w:r>
          </w:p>
        </w:tc>
      </w:tr>
      <w:tr w:rsidR="00621959" w:rsidRPr="00621959" w14:paraId="39E62740" w14:textId="77777777" w:rsidTr="00D6243E">
        <w:tc>
          <w:tcPr>
            <w:tcW w:w="3776" w:type="dxa"/>
            <w:tcBorders>
              <w:left w:val="single" w:sz="4" w:space="0" w:color="4BACC6"/>
            </w:tcBorders>
            <w:tcMar>
              <w:top w:w="0" w:type="dxa"/>
              <w:left w:w="108" w:type="dxa"/>
              <w:bottom w:w="0" w:type="dxa"/>
              <w:right w:w="108" w:type="dxa"/>
            </w:tcMar>
          </w:tcPr>
          <w:p w14:paraId="53AC27CA" w14:textId="77777777" w:rsidR="00621959" w:rsidRPr="00D6243E" w:rsidRDefault="00621959" w:rsidP="00D6243E">
            <w:pPr>
              <w:pStyle w:val="Tabletexte"/>
              <w:rPr>
                <w:position w:val="2"/>
              </w:rPr>
            </w:pPr>
            <w:r w:rsidRPr="00D6243E">
              <w:rPr>
                <w:rFonts w:hint="cs"/>
                <w:position w:val="2"/>
                <w:rtl/>
              </w:rPr>
              <w:t>الإضافات</w:t>
            </w:r>
            <w:r w:rsidRPr="00D6243E">
              <w:rPr>
                <w:position w:val="2"/>
                <w:rtl/>
              </w:rPr>
              <w:t xml:space="preserve"> (الجديدة والمراجعة)</w:t>
            </w:r>
          </w:p>
        </w:tc>
        <w:tc>
          <w:tcPr>
            <w:tcW w:w="1322" w:type="dxa"/>
            <w:tcMar>
              <w:top w:w="0" w:type="dxa"/>
              <w:left w:w="108" w:type="dxa"/>
              <w:bottom w:w="0" w:type="dxa"/>
              <w:right w:w="108" w:type="dxa"/>
            </w:tcMar>
          </w:tcPr>
          <w:p w14:paraId="0E7F455B" w14:textId="77777777" w:rsidR="00621959" w:rsidRPr="00D6243E" w:rsidRDefault="00621959" w:rsidP="00D6243E">
            <w:pPr>
              <w:pStyle w:val="Tabletexte"/>
              <w:jc w:val="center"/>
              <w:rPr>
                <w:position w:val="2"/>
              </w:rPr>
            </w:pPr>
            <w:r w:rsidRPr="00D6243E">
              <w:rPr>
                <w:position w:val="2"/>
              </w:rPr>
              <w:t>33</w:t>
            </w:r>
          </w:p>
        </w:tc>
        <w:tc>
          <w:tcPr>
            <w:tcW w:w="1321" w:type="dxa"/>
            <w:tcMar>
              <w:top w:w="0" w:type="dxa"/>
              <w:left w:w="108" w:type="dxa"/>
              <w:bottom w:w="0" w:type="dxa"/>
              <w:right w:w="108" w:type="dxa"/>
            </w:tcMar>
          </w:tcPr>
          <w:p w14:paraId="439466C9" w14:textId="77777777" w:rsidR="00621959" w:rsidRPr="00D6243E" w:rsidRDefault="00621959" w:rsidP="00D6243E">
            <w:pPr>
              <w:pStyle w:val="Tabletexte"/>
              <w:jc w:val="center"/>
              <w:rPr>
                <w:position w:val="2"/>
              </w:rPr>
            </w:pPr>
            <w:r w:rsidRPr="00D6243E">
              <w:rPr>
                <w:position w:val="2"/>
              </w:rPr>
              <w:t>27</w:t>
            </w:r>
          </w:p>
        </w:tc>
        <w:tc>
          <w:tcPr>
            <w:tcW w:w="1321" w:type="dxa"/>
            <w:tcMar>
              <w:top w:w="0" w:type="dxa"/>
              <w:left w:w="108" w:type="dxa"/>
              <w:bottom w:w="0" w:type="dxa"/>
              <w:right w:w="108" w:type="dxa"/>
            </w:tcMar>
          </w:tcPr>
          <w:p w14:paraId="2F3805BC" w14:textId="77777777" w:rsidR="00621959" w:rsidRPr="00D6243E" w:rsidRDefault="00621959" w:rsidP="00D6243E">
            <w:pPr>
              <w:pStyle w:val="Tabletexte"/>
              <w:jc w:val="center"/>
              <w:rPr>
                <w:position w:val="2"/>
              </w:rPr>
            </w:pPr>
            <w:r w:rsidRPr="00D6243E">
              <w:rPr>
                <w:position w:val="2"/>
              </w:rPr>
              <w:t>23</w:t>
            </w:r>
          </w:p>
        </w:tc>
        <w:tc>
          <w:tcPr>
            <w:tcW w:w="1321" w:type="dxa"/>
            <w:tcBorders>
              <w:right w:val="single" w:sz="4" w:space="0" w:color="4BACC6"/>
            </w:tcBorders>
            <w:tcMar>
              <w:top w:w="0" w:type="dxa"/>
              <w:left w:w="108" w:type="dxa"/>
              <w:bottom w:w="0" w:type="dxa"/>
              <w:right w:w="108" w:type="dxa"/>
            </w:tcMar>
          </w:tcPr>
          <w:p w14:paraId="1340D989" w14:textId="77777777" w:rsidR="00621959" w:rsidRPr="00D6243E" w:rsidRDefault="00621959" w:rsidP="00D6243E">
            <w:pPr>
              <w:pStyle w:val="Tabletexte"/>
              <w:jc w:val="center"/>
              <w:rPr>
                <w:position w:val="2"/>
              </w:rPr>
            </w:pPr>
            <w:r w:rsidRPr="00D6243E">
              <w:rPr>
                <w:position w:val="2"/>
              </w:rPr>
              <w:t>24</w:t>
            </w:r>
          </w:p>
        </w:tc>
      </w:tr>
      <w:tr w:rsidR="00621959" w:rsidRPr="00621959" w14:paraId="7F1B496D" w14:textId="77777777" w:rsidTr="00D6243E">
        <w:tc>
          <w:tcPr>
            <w:tcW w:w="3776" w:type="dxa"/>
            <w:tcBorders>
              <w:left w:val="single" w:sz="4" w:space="0" w:color="4BACC6"/>
            </w:tcBorders>
            <w:tcMar>
              <w:top w:w="0" w:type="dxa"/>
              <w:left w:w="108" w:type="dxa"/>
              <w:bottom w:w="0" w:type="dxa"/>
              <w:right w:w="108" w:type="dxa"/>
            </w:tcMar>
          </w:tcPr>
          <w:p w14:paraId="4D7C8ADB" w14:textId="77777777" w:rsidR="00621959" w:rsidRPr="00D6243E" w:rsidRDefault="00621959" w:rsidP="00D6243E">
            <w:pPr>
              <w:pStyle w:val="Tabletexte"/>
              <w:rPr>
                <w:position w:val="2"/>
              </w:rPr>
            </w:pPr>
            <w:r w:rsidRPr="00D6243E">
              <w:rPr>
                <w:rFonts w:hint="cs"/>
                <w:position w:val="2"/>
                <w:rtl/>
              </w:rPr>
              <w:t>الورقات</w:t>
            </w:r>
            <w:r w:rsidRPr="00D6243E">
              <w:rPr>
                <w:position w:val="2"/>
                <w:rtl/>
              </w:rPr>
              <w:t xml:space="preserve"> التقنية والتقارير التقنية</w:t>
            </w:r>
          </w:p>
        </w:tc>
        <w:tc>
          <w:tcPr>
            <w:tcW w:w="1322" w:type="dxa"/>
            <w:tcMar>
              <w:top w:w="0" w:type="dxa"/>
              <w:left w:w="108" w:type="dxa"/>
              <w:bottom w:w="0" w:type="dxa"/>
              <w:right w:w="108" w:type="dxa"/>
            </w:tcMar>
          </w:tcPr>
          <w:p w14:paraId="3DE7CDC6" w14:textId="77777777" w:rsidR="00621959" w:rsidRPr="00D6243E" w:rsidRDefault="00621959" w:rsidP="00D6243E">
            <w:pPr>
              <w:pStyle w:val="Tabletexte"/>
              <w:jc w:val="center"/>
              <w:rPr>
                <w:position w:val="2"/>
              </w:rPr>
            </w:pPr>
            <w:r w:rsidRPr="00D6243E">
              <w:rPr>
                <w:position w:val="2"/>
              </w:rPr>
              <w:t>14</w:t>
            </w:r>
          </w:p>
        </w:tc>
        <w:tc>
          <w:tcPr>
            <w:tcW w:w="1321" w:type="dxa"/>
            <w:tcMar>
              <w:top w:w="0" w:type="dxa"/>
              <w:left w:w="108" w:type="dxa"/>
              <w:bottom w:w="0" w:type="dxa"/>
              <w:right w:w="108" w:type="dxa"/>
            </w:tcMar>
          </w:tcPr>
          <w:p w14:paraId="00CDF316" w14:textId="77777777" w:rsidR="00621959" w:rsidRPr="00D6243E" w:rsidRDefault="00621959" w:rsidP="00D6243E">
            <w:pPr>
              <w:pStyle w:val="Tabletexte"/>
              <w:jc w:val="center"/>
              <w:rPr>
                <w:position w:val="2"/>
              </w:rPr>
            </w:pPr>
            <w:r w:rsidRPr="00D6243E">
              <w:rPr>
                <w:position w:val="2"/>
              </w:rPr>
              <w:t>26</w:t>
            </w:r>
          </w:p>
        </w:tc>
        <w:tc>
          <w:tcPr>
            <w:tcW w:w="1321" w:type="dxa"/>
            <w:tcMar>
              <w:top w:w="0" w:type="dxa"/>
              <w:left w:w="108" w:type="dxa"/>
              <w:bottom w:w="0" w:type="dxa"/>
              <w:right w:w="108" w:type="dxa"/>
            </w:tcMar>
          </w:tcPr>
          <w:p w14:paraId="77F33169" w14:textId="77777777" w:rsidR="00621959" w:rsidRPr="00D6243E" w:rsidRDefault="00621959" w:rsidP="00D6243E">
            <w:pPr>
              <w:pStyle w:val="Tabletexte"/>
              <w:jc w:val="center"/>
              <w:rPr>
                <w:position w:val="2"/>
              </w:rPr>
            </w:pPr>
            <w:r w:rsidRPr="00D6243E">
              <w:rPr>
                <w:position w:val="2"/>
              </w:rPr>
              <w:t>22</w:t>
            </w:r>
          </w:p>
        </w:tc>
        <w:tc>
          <w:tcPr>
            <w:tcW w:w="1321" w:type="dxa"/>
            <w:tcBorders>
              <w:right w:val="single" w:sz="4" w:space="0" w:color="4BACC6"/>
            </w:tcBorders>
            <w:tcMar>
              <w:top w:w="0" w:type="dxa"/>
              <w:left w:w="108" w:type="dxa"/>
              <w:bottom w:w="0" w:type="dxa"/>
              <w:right w:w="108" w:type="dxa"/>
            </w:tcMar>
          </w:tcPr>
          <w:p w14:paraId="47BB7F9B" w14:textId="77777777" w:rsidR="00621959" w:rsidRPr="00D6243E" w:rsidRDefault="00621959" w:rsidP="00D6243E">
            <w:pPr>
              <w:pStyle w:val="Tabletexte"/>
              <w:jc w:val="center"/>
              <w:rPr>
                <w:position w:val="2"/>
              </w:rPr>
            </w:pPr>
            <w:r w:rsidRPr="00D6243E">
              <w:rPr>
                <w:position w:val="2"/>
              </w:rPr>
              <w:t>18</w:t>
            </w:r>
          </w:p>
        </w:tc>
      </w:tr>
      <w:tr w:rsidR="00621959" w:rsidRPr="00621959" w14:paraId="7E13FF40" w14:textId="77777777" w:rsidTr="00D6243E">
        <w:tc>
          <w:tcPr>
            <w:tcW w:w="3776" w:type="dxa"/>
            <w:tcBorders>
              <w:left w:val="single" w:sz="4" w:space="0" w:color="4BACC6"/>
            </w:tcBorders>
            <w:tcMar>
              <w:top w:w="0" w:type="dxa"/>
              <w:left w:w="108" w:type="dxa"/>
              <w:bottom w:w="0" w:type="dxa"/>
              <w:right w:w="108" w:type="dxa"/>
            </w:tcMar>
          </w:tcPr>
          <w:p w14:paraId="54DCDEEC" w14:textId="77777777" w:rsidR="00621959" w:rsidRPr="00D6243E" w:rsidRDefault="00621959" w:rsidP="00D6243E">
            <w:pPr>
              <w:pStyle w:val="Tabletexte"/>
              <w:rPr>
                <w:position w:val="2"/>
              </w:rPr>
            </w:pPr>
            <w:r w:rsidRPr="00D6243E">
              <w:rPr>
                <w:position w:val="2"/>
                <w:rtl/>
              </w:rPr>
              <w:t xml:space="preserve">منشورات أخرى </w:t>
            </w:r>
            <w:r w:rsidRPr="00D6243E">
              <w:rPr>
                <w:rFonts w:hint="cs"/>
                <w:position w:val="2"/>
                <w:rtl/>
              </w:rPr>
              <w:t>للجان</w:t>
            </w:r>
            <w:r w:rsidRPr="00D6243E">
              <w:rPr>
                <w:position w:val="2"/>
                <w:rtl/>
              </w:rPr>
              <w:t xml:space="preserve"> الدراسات</w:t>
            </w:r>
          </w:p>
        </w:tc>
        <w:tc>
          <w:tcPr>
            <w:tcW w:w="1322" w:type="dxa"/>
            <w:tcMar>
              <w:top w:w="0" w:type="dxa"/>
              <w:left w:w="108" w:type="dxa"/>
              <w:bottom w:w="0" w:type="dxa"/>
              <w:right w:w="108" w:type="dxa"/>
            </w:tcMar>
          </w:tcPr>
          <w:p w14:paraId="3860D52F" w14:textId="77777777" w:rsidR="00621959" w:rsidRPr="00D6243E" w:rsidRDefault="00621959" w:rsidP="00D6243E">
            <w:pPr>
              <w:pStyle w:val="Tabletexte"/>
              <w:jc w:val="center"/>
              <w:rPr>
                <w:position w:val="2"/>
              </w:rPr>
            </w:pPr>
            <w:r w:rsidRPr="00D6243E">
              <w:rPr>
                <w:position w:val="2"/>
              </w:rPr>
              <w:t>13</w:t>
            </w:r>
          </w:p>
        </w:tc>
        <w:tc>
          <w:tcPr>
            <w:tcW w:w="1321" w:type="dxa"/>
            <w:tcMar>
              <w:top w:w="0" w:type="dxa"/>
              <w:left w:w="108" w:type="dxa"/>
              <w:bottom w:w="0" w:type="dxa"/>
              <w:right w:w="108" w:type="dxa"/>
            </w:tcMar>
          </w:tcPr>
          <w:p w14:paraId="75DF308E" w14:textId="77777777" w:rsidR="00621959" w:rsidRPr="00D6243E" w:rsidRDefault="00621959" w:rsidP="00D6243E">
            <w:pPr>
              <w:pStyle w:val="Tabletexte"/>
              <w:jc w:val="center"/>
              <w:rPr>
                <w:position w:val="2"/>
              </w:rPr>
            </w:pPr>
            <w:r w:rsidRPr="00D6243E">
              <w:rPr>
                <w:position w:val="2"/>
              </w:rPr>
              <w:t>3</w:t>
            </w:r>
          </w:p>
        </w:tc>
        <w:tc>
          <w:tcPr>
            <w:tcW w:w="1321" w:type="dxa"/>
            <w:tcMar>
              <w:top w:w="0" w:type="dxa"/>
              <w:left w:w="108" w:type="dxa"/>
              <w:bottom w:w="0" w:type="dxa"/>
              <w:right w:w="108" w:type="dxa"/>
            </w:tcMar>
          </w:tcPr>
          <w:p w14:paraId="0E56B88A" w14:textId="77777777" w:rsidR="00621959" w:rsidRPr="00D6243E" w:rsidRDefault="00621959" w:rsidP="00D6243E">
            <w:pPr>
              <w:pStyle w:val="Tabletexte"/>
              <w:jc w:val="center"/>
              <w:rPr>
                <w:position w:val="2"/>
              </w:rPr>
            </w:pPr>
            <w:r w:rsidRPr="00D6243E">
              <w:rPr>
                <w:position w:val="2"/>
              </w:rPr>
              <w:t>3</w:t>
            </w:r>
          </w:p>
        </w:tc>
        <w:tc>
          <w:tcPr>
            <w:tcW w:w="1321" w:type="dxa"/>
            <w:tcBorders>
              <w:right w:val="single" w:sz="4" w:space="0" w:color="4BACC6"/>
            </w:tcBorders>
            <w:tcMar>
              <w:top w:w="0" w:type="dxa"/>
              <w:left w:w="108" w:type="dxa"/>
              <w:bottom w:w="0" w:type="dxa"/>
              <w:right w:w="108" w:type="dxa"/>
            </w:tcMar>
          </w:tcPr>
          <w:p w14:paraId="2FF250D6" w14:textId="77777777" w:rsidR="00621959" w:rsidRPr="00D6243E" w:rsidRDefault="00621959" w:rsidP="00D6243E">
            <w:pPr>
              <w:pStyle w:val="Tabletexte"/>
              <w:jc w:val="center"/>
              <w:rPr>
                <w:position w:val="2"/>
              </w:rPr>
            </w:pPr>
            <w:r w:rsidRPr="00D6243E">
              <w:rPr>
                <w:position w:val="2"/>
              </w:rPr>
              <w:t>2</w:t>
            </w:r>
          </w:p>
        </w:tc>
      </w:tr>
      <w:tr w:rsidR="00621959" w:rsidRPr="00621959" w14:paraId="3E3248BC" w14:textId="77777777" w:rsidTr="00D6243E">
        <w:tc>
          <w:tcPr>
            <w:tcW w:w="3776" w:type="dxa"/>
            <w:tcBorders>
              <w:left w:val="single" w:sz="4" w:space="0" w:color="4BACC6"/>
              <w:bottom w:val="single" w:sz="4" w:space="0" w:color="4BACC6"/>
            </w:tcBorders>
            <w:tcMar>
              <w:top w:w="0" w:type="dxa"/>
              <w:left w:w="108" w:type="dxa"/>
              <w:bottom w:w="0" w:type="dxa"/>
              <w:right w:w="108" w:type="dxa"/>
            </w:tcMar>
          </w:tcPr>
          <w:p w14:paraId="60342E76" w14:textId="369A8440" w:rsidR="00621959" w:rsidRPr="00D6243E" w:rsidRDefault="00D23D15" w:rsidP="00D6243E">
            <w:pPr>
              <w:pStyle w:val="Tabletexte"/>
              <w:rPr>
                <w:position w:val="2"/>
              </w:rPr>
            </w:pPr>
            <w:r>
              <w:rPr>
                <w:rFonts w:hint="cs"/>
                <w:position w:val="2"/>
                <w:rtl/>
              </w:rPr>
              <w:t>منجزات</w:t>
            </w:r>
            <w:r w:rsidR="00DF72B8">
              <w:rPr>
                <w:rFonts w:hint="cs"/>
                <w:position w:val="2"/>
                <w:rtl/>
              </w:rPr>
              <w:t xml:space="preserve"> </w:t>
            </w:r>
            <w:r w:rsidR="00621959" w:rsidRPr="00D6243E">
              <w:rPr>
                <w:position w:val="2"/>
                <w:rtl/>
              </w:rPr>
              <w:t>الأفرقة المتخصصة</w:t>
            </w:r>
          </w:p>
        </w:tc>
        <w:tc>
          <w:tcPr>
            <w:tcW w:w="1322" w:type="dxa"/>
            <w:tcBorders>
              <w:bottom w:val="single" w:sz="4" w:space="0" w:color="4BACC6"/>
            </w:tcBorders>
            <w:tcMar>
              <w:top w:w="0" w:type="dxa"/>
              <w:left w:w="108" w:type="dxa"/>
              <w:bottom w:w="0" w:type="dxa"/>
              <w:right w:w="108" w:type="dxa"/>
            </w:tcMar>
          </w:tcPr>
          <w:p w14:paraId="4CE75A94" w14:textId="77777777" w:rsidR="00621959" w:rsidRPr="00D6243E" w:rsidRDefault="00621959" w:rsidP="00D6243E">
            <w:pPr>
              <w:pStyle w:val="Tabletexte"/>
              <w:jc w:val="center"/>
              <w:rPr>
                <w:position w:val="2"/>
              </w:rPr>
            </w:pPr>
            <w:r w:rsidRPr="00D6243E">
              <w:rPr>
                <w:position w:val="2"/>
              </w:rPr>
              <w:t>26</w:t>
            </w:r>
          </w:p>
        </w:tc>
        <w:tc>
          <w:tcPr>
            <w:tcW w:w="1321" w:type="dxa"/>
            <w:tcBorders>
              <w:bottom w:val="single" w:sz="4" w:space="0" w:color="4BACC6"/>
            </w:tcBorders>
            <w:tcMar>
              <w:top w:w="0" w:type="dxa"/>
              <w:left w:w="108" w:type="dxa"/>
              <w:bottom w:w="0" w:type="dxa"/>
              <w:right w:w="108" w:type="dxa"/>
            </w:tcMar>
          </w:tcPr>
          <w:p w14:paraId="628AC751" w14:textId="77777777" w:rsidR="00621959" w:rsidRPr="00D6243E" w:rsidRDefault="00621959" w:rsidP="00D6243E">
            <w:pPr>
              <w:pStyle w:val="Tabletexte"/>
              <w:jc w:val="center"/>
              <w:rPr>
                <w:position w:val="2"/>
              </w:rPr>
            </w:pPr>
            <w:r w:rsidRPr="00D6243E">
              <w:rPr>
                <w:position w:val="2"/>
              </w:rPr>
              <w:t>36</w:t>
            </w:r>
          </w:p>
        </w:tc>
        <w:tc>
          <w:tcPr>
            <w:tcW w:w="1321" w:type="dxa"/>
            <w:tcBorders>
              <w:bottom w:val="single" w:sz="4" w:space="0" w:color="4BACC6"/>
            </w:tcBorders>
            <w:tcMar>
              <w:top w:w="0" w:type="dxa"/>
              <w:left w:w="108" w:type="dxa"/>
              <w:bottom w:w="0" w:type="dxa"/>
              <w:right w:w="108" w:type="dxa"/>
            </w:tcMar>
          </w:tcPr>
          <w:p w14:paraId="010D4951" w14:textId="77777777" w:rsidR="00621959" w:rsidRPr="00D6243E" w:rsidRDefault="00621959" w:rsidP="00D6243E">
            <w:pPr>
              <w:pStyle w:val="Tabletexte"/>
              <w:jc w:val="center"/>
              <w:rPr>
                <w:position w:val="2"/>
              </w:rPr>
            </w:pPr>
            <w:r w:rsidRPr="00D6243E">
              <w:rPr>
                <w:position w:val="2"/>
              </w:rPr>
              <w:t>79</w:t>
            </w:r>
          </w:p>
        </w:tc>
        <w:tc>
          <w:tcPr>
            <w:tcW w:w="1321" w:type="dxa"/>
            <w:tcBorders>
              <w:bottom w:val="single" w:sz="4" w:space="0" w:color="4BACC6"/>
              <w:right w:val="single" w:sz="4" w:space="0" w:color="4BACC6"/>
            </w:tcBorders>
            <w:tcMar>
              <w:top w:w="0" w:type="dxa"/>
              <w:left w:w="108" w:type="dxa"/>
              <w:bottom w:w="0" w:type="dxa"/>
              <w:right w:w="108" w:type="dxa"/>
            </w:tcMar>
          </w:tcPr>
          <w:p w14:paraId="75C26890" w14:textId="77777777" w:rsidR="00621959" w:rsidRPr="00D6243E" w:rsidRDefault="00621959" w:rsidP="00D6243E">
            <w:pPr>
              <w:pStyle w:val="Tabletexte"/>
              <w:jc w:val="center"/>
              <w:rPr>
                <w:position w:val="2"/>
              </w:rPr>
            </w:pPr>
            <w:r w:rsidRPr="00D6243E">
              <w:rPr>
                <w:position w:val="2"/>
              </w:rPr>
              <w:t>6</w:t>
            </w:r>
          </w:p>
        </w:tc>
      </w:tr>
    </w:tbl>
    <w:p w14:paraId="3D48FD56" w14:textId="77777777" w:rsidR="00621959" w:rsidRPr="00D6243E" w:rsidRDefault="00621959" w:rsidP="00D6243E">
      <w:pPr>
        <w:pStyle w:val="Tablelegend"/>
        <w:jc w:val="center"/>
        <w:rPr>
          <w:color w:val="1F497D"/>
        </w:rPr>
      </w:pPr>
      <w:r w:rsidRPr="00D6243E">
        <w:rPr>
          <w:color w:val="1F497D"/>
          <w:rtl/>
        </w:rPr>
        <w:t>الجدول 4</w:t>
      </w:r>
      <w:r w:rsidRPr="00D6243E">
        <w:rPr>
          <w:rFonts w:hint="cs"/>
          <w:color w:val="1F497D"/>
          <w:rtl/>
        </w:rPr>
        <w:t>.</w:t>
      </w:r>
      <w:r w:rsidRPr="00D6243E">
        <w:rPr>
          <w:color w:val="1F497D"/>
          <w:rtl/>
        </w:rPr>
        <w:t xml:space="preserve"> منشورات قطاع تقييس الاتصالات، 2022-2025</w:t>
      </w:r>
    </w:p>
    <w:p w14:paraId="715A4A46" w14:textId="706A928E" w:rsidR="00D6243E" w:rsidRDefault="004B6E12" w:rsidP="00D6243E">
      <w:pPr>
        <w:pStyle w:val="Headingb"/>
        <w:rPr>
          <w:rtl/>
          <w:lang w:val="en-GB" w:bidi="ar-EG"/>
        </w:rPr>
      </w:pPr>
      <w:r w:rsidRPr="004B6E12">
        <w:rPr>
          <w:rtl/>
          <w:lang w:val="en-GB" w:bidi="ar-EG"/>
        </w:rPr>
        <w:t>المطابقة وقابلية التشغيل البيني</w:t>
      </w:r>
    </w:p>
    <w:p w14:paraId="2FE06494" w14:textId="5629DE12" w:rsidR="00D6243E" w:rsidRPr="004B6E12" w:rsidRDefault="004B6E12" w:rsidP="004B6E12">
      <w:pPr>
        <w:rPr>
          <w:lang w:val="en-GB"/>
        </w:rPr>
      </w:pPr>
      <w:r w:rsidRPr="004B6E12">
        <w:rPr>
          <w:rtl/>
          <w:lang w:val="en-GB"/>
        </w:rPr>
        <w:t>في عام 2026، أجرى الاتحاد استقصا</w:t>
      </w:r>
      <w:r w:rsidRPr="004B6E12">
        <w:rPr>
          <w:rFonts w:hint="cs"/>
          <w:rtl/>
          <w:lang w:val="en-GB"/>
        </w:rPr>
        <w:t>ء</w:t>
      </w:r>
      <w:r w:rsidRPr="004B6E12">
        <w:rPr>
          <w:rtl/>
          <w:lang w:val="en-GB"/>
        </w:rPr>
        <w:t xml:space="preserve"> </w:t>
      </w:r>
      <w:r w:rsidRPr="004B6E12">
        <w:rPr>
          <w:rFonts w:hint="cs"/>
          <w:rtl/>
          <w:lang w:val="en-GB"/>
        </w:rPr>
        <w:t>بشأن</w:t>
      </w:r>
      <w:r w:rsidRPr="004B6E12">
        <w:rPr>
          <w:rtl/>
          <w:lang w:val="en-GB"/>
        </w:rPr>
        <w:t xml:space="preserve"> استخدام توصيات قطاع تقييس الاتصالات في أطر تقييم المطابقة الوطنية، مؤكدا</w:t>
      </w:r>
      <w:r w:rsidRPr="004B6E12">
        <w:rPr>
          <w:rFonts w:hint="cs"/>
          <w:rtl/>
          <w:lang w:val="en-GB"/>
        </w:rPr>
        <w:t>ً</w:t>
      </w:r>
      <w:r w:rsidRPr="004B6E12">
        <w:rPr>
          <w:rtl/>
          <w:lang w:val="en-GB"/>
        </w:rPr>
        <w:t xml:space="preserve"> الاهتمام الكبير ببرنامج المطابقة وقابلية التشغيل البيني (</w:t>
      </w:r>
      <w:r w:rsidRPr="004B6E12">
        <w:rPr>
          <w:lang w:val="en-GB" w:bidi="ar-EG"/>
        </w:rPr>
        <w:t>C&amp;I</w:t>
      </w:r>
      <w:r w:rsidRPr="004B6E12">
        <w:rPr>
          <w:rtl/>
          <w:lang w:val="en-GB"/>
        </w:rPr>
        <w:t xml:space="preserve">) </w:t>
      </w:r>
      <w:r w:rsidRPr="004B6E12">
        <w:rPr>
          <w:rFonts w:hint="cs"/>
          <w:rtl/>
          <w:lang w:val="en-GB"/>
        </w:rPr>
        <w:t>في ا</w:t>
      </w:r>
      <w:r w:rsidRPr="004B6E12">
        <w:rPr>
          <w:rtl/>
          <w:lang w:val="en-GB"/>
        </w:rPr>
        <w:t>لاتحاد (</w:t>
      </w:r>
      <w:hyperlink r:id="rId136" w:history="1">
        <w:r w:rsidRPr="004B6E12">
          <w:rPr>
            <w:rStyle w:val="Hyperlink"/>
            <w:noProof w:val="0"/>
            <w:lang w:eastAsia="zh-CN" w:bidi="ar-EG"/>
          </w:rPr>
          <w:t>SG11-TD909/GEN</w:t>
        </w:r>
      </w:hyperlink>
      <w:r w:rsidRPr="004B6E12">
        <w:rPr>
          <w:rtl/>
          <w:lang w:val="en-GB"/>
        </w:rPr>
        <w:t>). وتماشيا</w:t>
      </w:r>
      <w:r w:rsidRPr="004B6E12">
        <w:rPr>
          <w:rFonts w:hint="cs"/>
          <w:rtl/>
          <w:lang w:val="en-GB"/>
        </w:rPr>
        <w:t>ً</w:t>
      </w:r>
      <w:r w:rsidRPr="004B6E12">
        <w:rPr>
          <w:rtl/>
          <w:lang w:val="en-GB"/>
        </w:rPr>
        <w:t xml:space="preserve"> مع القرار 177 (</w:t>
      </w:r>
      <w:r w:rsidRPr="004B6E12">
        <w:rPr>
          <w:rFonts w:hint="cs"/>
          <w:rtl/>
          <w:lang w:val="en-GB"/>
        </w:rPr>
        <w:t>المراجَع</w:t>
      </w:r>
      <w:r w:rsidRPr="004B6E12">
        <w:rPr>
          <w:rtl/>
          <w:lang w:val="en-GB"/>
        </w:rPr>
        <w:t xml:space="preserve"> في بوخارست، 2022)، وضع </w:t>
      </w:r>
      <w:r w:rsidRPr="004B6E12">
        <w:rPr>
          <w:rFonts w:hint="cs"/>
          <w:rtl/>
          <w:lang w:val="en-GB"/>
        </w:rPr>
        <w:t>مكتب تقييس</w:t>
      </w:r>
      <w:r w:rsidRPr="004B6E12">
        <w:rPr>
          <w:rtl/>
          <w:lang w:val="en-GB"/>
        </w:rPr>
        <w:t xml:space="preserve"> الاتصالات معايير لتقييم الركيزة </w:t>
      </w:r>
      <w:r w:rsidRPr="004B6E12">
        <w:rPr>
          <w:rFonts w:hint="cs"/>
          <w:rtl/>
          <w:lang w:val="en-GB"/>
        </w:rPr>
        <w:t>1</w:t>
      </w:r>
      <w:r w:rsidRPr="004B6E12">
        <w:rPr>
          <w:rtl/>
          <w:lang w:val="en-GB"/>
        </w:rPr>
        <w:t xml:space="preserve"> من برنامج المطابقة وقابلية التشغيل البيني، وأعدّ </w:t>
      </w:r>
      <w:r w:rsidRPr="004B6E12">
        <w:rPr>
          <w:rFonts w:hint="cs"/>
          <w:rtl/>
          <w:lang w:val="en-GB"/>
        </w:rPr>
        <w:t>مشروع</w:t>
      </w:r>
      <w:r w:rsidRPr="004B6E12">
        <w:rPr>
          <w:rtl/>
          <w:lang w:val="en-GB"/>
        </w:rPr>
        <w:t xml:space="preserve"> مفهوم </w:t>
      </w:r>
      <w:r w:rsidRPr="004B6E12">
        <w:rPr>
          <w:rFonts w:hint="cs"/>
          <w:rtl/>
          <w:lang w:val="en-GB"/>
        </w:rPr>
        <w:t>بشأن "</w:t>
      </w:r>
      <w:r w:rsidRPr="004B6E12">
        <w:rPr>
          <w:rtl/>
          <w:lang w:val="en-GB"/>
        </w:rPr>
        <w:t>علامة الاتحاد الدولي للاتصالات</w:t>
      </w:r>
      <w:r w:rsidRPr="004B6E12">
        <w:rPr>
          <w:rFonts w:hint="cs"/>
          <w:rtl/>
          <w:lang w:val="en-GB"/>
        </w:rPr>
        <w:t>"</w:t>
      </w:r>
      <w:r w:rsidRPr="004B6E12">
        <w:rPr>
          <w:rtl/>
          <w:lang w:val="en-GB"/>
        </w:rPr>
        <w:t>، بالاستناد إلى برامج المطابقة الدولية القائمة، بما في ذلك علامة الاتحاد الدولي للاتصالات (</w:t>
      </w:r>
      <w:hyperlink r:id="rId137" w:history="1">
        <w:r w:rsidRPr="004B6E12">
          <w:rPr>
            <w:rStyle w:val="Hyperlink"/>
            <w:noProof w:val="0"/>
            <w:lang w:eastAsia="zh-CN" w:bidi="ar-EG"/>
          </w:rPr>
          <w:t>ITU GMPCS</w:t>
        </w:r>
      </w:hyperlink>
      <w:r w:rsidRPr="004B6E12">
        <w:rPr>
          <w:rtl/>
          <w:lang w:val="en-GB"/>
        </w:rPr>
        <w:t xml:space="preserve">). ويتوفر تقرير عن هذه التطورات، أُعدّ بالتعاون مع </w:t>
      </w:r>
      <w:r w:rsidRPr="004B6E12">
        <w:rPr>
          <w:rFonts w:hint="cs"/>
          <w:rtl/>
          <w:lang w:val="en-GB"/>
        </w:rPr>
        <w:t>لجنة الدراسات 11 ل</w:t>
      </w:r>
      <w:r w:rsidRPr="004B6E12">
        <w:rPr>
          <w:rtl/>
          <w:lang w:val="en-GB"/>
        </w:rPr>
        <w:t>قطاع تقييس الاتصالات (</w:t>
      </w:r>
      <w:r w:rsidRPr="004B6E12">
        <w:rPr>
          <w:lang w:val="en-GB" w:bidi="ar-EG"/>
        </w:rPr>
        <w:t>ITU-T SG11</w:t>
      </w:r>
      <w:r w:rsidRPr="004B6E12">
        <w:rPr>
          <w:rtl/>
          <w:lang w:val="en-GB"/>
        </w:rPr>
        <w:t xml:space="preserve">)، </w:t>
      </w:r>
      <w:r w:rsidRPr="004B6E12">
        <w:rPr>
          <w:rFonts w:hint="cs"/>
          <w:rtl/>
          <w:lang w:val="en-GB"/>
        </w:rPr>
        <w:t>بوصفه</w:t>
      </w:r>
      <w:r w:rsidRPr="004B6E12">
        <w:rPr>
          <w:rtl/>
          <w:lang w:val="en-GB"/>
        </w:rPr>
        <w:t xml:space="preserve"> </w:t>
      </w:r>
      <w:hyperlink r:id="rId138" w:history="1">
        <w:r w:rsidRPr="004B6E12">
          <w:rPr>
            <w:rStyle w:val="Hyperlink"/>
            <w:noProof w:val="0"/>
            <w:lang w:eastAsia="zh-CN" w:bidi="ar-EG"/>
          </w:rPr>
          <w:t>SG11-TD939 R1/GEN</w:t>
        </w:r>
      </w:hyperlink>
      <w:r w:rsidRPr="004B6E12">
        <w:rPr>
          <w:rtl/>
          <w:lang w:val="en-GB"/>
        </w:rPr>
        <w:t>.</w:t>
      </w:r>
    </w:p>
    <w:p w14:paraId="342B91B4" w14:textId="77777777" w:rsidR="00621959" w:rsidRPr="00621959" w:rsidRDefault="00621959" w:rsidP="00D6243E">
      <w:pPr>
        <w:pStyle w:val="Headingb"/>
        <w:rPr>
          <w:lang w:val="en-GB" w:bidi="ar-EG"/>
        </w:rPr>
      </w:pPr>
      <w:r w:rsidRPr="00621959">
        <w:rPr>
          <w:rtl/>
        </w:rPr>
        <w:t>قاعدة بيانات تبادل معايير الذكاء الاصطناعي</w:t>
      </w:r>
    </w:p>
    <w:p w14:paraId="0681687B" w14:textId="691157A4" w:rsidR="00621959" w:rsidRPr="004B6E12" w:rsidRDefault="00621959" w:rsidP="008A5A1B">
      <w:pPr>
        <w:rPr>
          <w:spacing w:val="-3"/>
        </w:rPr>
      </w:pPr>
      <w:r w:rsidRPr="004B6E12">
        <w:rPr>
          <w:spacing w:val="-3"/>
          <w:rtl/>
        </w:rPr>
        <w:t>تعد</w:t>
      </w:r>
      <w:r w:rsidRPr="004B6E12">
        <w:rPr>
          <w:rFonts w:hint="cs"/>
          <w:spacing w:val="-3"/>
          <w:rtl/>
        </w:rPr>
        <w:t xml:space="preserve"> </w:t>
      </w:r>
      <w:hyperlink r:id="rId139" w:anchor="/ar" w:history="1">
        <w:r w:rsidRPr="004B6E12">
          <w:rPr>
            <w:rStyle w:val="Hyperlink"/>
            <w:noProof w:val="0"/>
            <w:spacing w:val="-3"/>
            <w:rtl/>
            <w:lang w:val="en-US" w:eastAsia="zh-CN"/>
          </w:rPr>
          <w:t>قاعدة بيانات تبادل معايير الذكاء الاصطناعي</w:t>
        </w:r>
      </w:hyperlink>
      <w:r w:rsidRPr="004B6E12">
        <w:rPr>
          <w:spacing w:val="-3"/>
          <w:rtl/>
        </w:rPr>
        <w:t xml:space="preserve"> </w:t>
      </w:r>
      <w:r w:rsidRPr="004B6E12">
        <w:rPr>
          <w:rFonts w:hint="cs"/>
          <w:spacing w:val="-3"/>
          <w:rtl/>
        </w:rPr>
        <w:t>دعوة</w:t>
      </w:r>
      <w:r w:rsidRPr="004B6E12">
        <w:rPr>
          <w:spacing w:val="-3"/>
          <w:rtl/>
        </w:rPr>
        <w:t xml:space="preserve"> للميثاق الرقمي العالمي (المواد 58 و59 و60) الذي اقترح إنشاء منصة لتبادل معايير الذكاء الاصطناعي لتسهيل تبادل المعلومات عن معايير الذكاء الاصطناعي. وقد أنشئت قاعدة بيانات تبادل معايير الذكاء الاصطناعي في عام 2025 استناداً إلى بيانات مشهد </w:t>
      </w:r>
      <w:r w:rsidRPr="004B6E12">
        <w:rPr>
          <w:rFonts w:hint="cs"/>
          <w:spacing w:val="-3"/>
          <w:rtl/>
        </w:rPr>
        <w:t>معايير</w:t>
      </w:r>
      <w:r w:rsidRPr="004B6E12">
        <w:rPr>
          <w:spacing w:val="-3"/>
          <w:rtl/>
        </w:rPr>
        <w:t xml:space="preserve"> قطاع تقييس الاتصالات. و</w:t>
      </w:r>
      <w:r w:rsidRPr="004B6E12">
        <w:rPr>
          <w:rFonts w:hint="cs"/>
          <w:spacing w:val="-3"/>
          <w:rtl/>
        </w:rPr>
        <w:t>قد وضعت</w:t>
      </w:r>
      <w:r w:rsidRPr="004B6E12">
        <w:rPr>
          <w:spacing w:val="-3"/>
          <w:rtl/>
        </w:rPr>
        <w:t xml:space="preserve"> في إطار التعاون العالمي </w:t>
      </w:r>
      <w:r w:rsidRPr="004B6E12">
        <w:rPr>
          <w:rFonts w:hint="cs"/>
          <w:spacing w:val="-3"/>
          <w:rtl/>
        </w:rPr>
        <w:t>بشأن ا</w:t>
      </w:r>
      <w:r w:rsidRPr="004B6E12">
        <w:rPr>
          <w:spacing w:val="-3"/>
          <w:rtl/>
        </w:rPr>
        <w:t>لمعايير - الذي يضم الاتحاد والمنظمة الدولية للتوحيد القياسي (</w:t>
      </w:r>
      <w:r w:rsidRPr="004B6E12">
        <w:rPr>
          <w:spacing w:val="-3"/>
          <w:lang w:val="en-GB" w:bidi="ar-EG"/>
        </w:rPr>
        <w:t>ISO</w:t>
      </w:r>
      <w:r w:rsidRPr="004B6E12">
        <w:rPr>
          <w:spacing w:val="-3"/>
          <w:rtl/>
        </w:rPr>
        <w:t>) واللجنة الكهرتقنية الدولية</w:t>
      </w:r>
      <w:r w:rsidR="004B6E12">
        <w:rPr>
          <w:rFonts w:hint="cs"/>
          <w:spacing w:val="-3"/>
          <w:rtl/>
        </w:rPr>
        <w:t> </w:t>
      </w:r>
      <w:r w:rsidRPr="004B6E12">
        <w:rPr>
          <w:spacing w:val="-3"/>
          <w:rtl/>
        </w:rPr>
        <w:t>(</w:t>
      </w:r>
      <w:r w:rsidRPr="004B6E12">
        <w:rPr>
          <w:spacing w:val="-3"/>
          <w:lang w:val="en-GB" w:bidi="ar-EG"/>
        </w:rPr>
        <w:t>IEC</w:t>
      </w:r>
      <w:r w:rsidRPr="004B6E12">
        <w:rPr>
          <w:spacing w:val="-3"/>
          <w:rtl/>
        </w:rPr>
        <w:t>) - بالشراكة مع معهد مهندسي الكهرباء والإلكترونيات (</w:t>
      </w:r>
      <w:r w:rsidRPr="004B6E12">
        <w:rPr>
          <w:spacing w:val="-3"/>
          <w:lang w:val="en-GB" w:bidi="ar-EG"/>
        </w:rPr>
        <w:t>IEEE</w:t>
      </w:r>
      <w:r w:rsidRPr="004B6E12">
        <w:rPr>
          <w:spacing w:val="-3"/>
          <w:rtl/>
        </w:rPr>
        <w:t xml:space="preserve">) </w:t>
      </w:r>
      <w:r w:rsidRPr="004B6E12">
        <w:rPr>
          <w:rFonts w:hint="cs"/>
          <w:spacing w:val="-3"/>
          <w:rtl/>
        </w:rPr>
        <w:t>و</w:t>
      </w:r>
      <w:r w:rsidRPr="004B6E12">
        <w:rPr>
          <w:spacing w:val="-3"/>
          <w:rtl/>
        </w:rPr>
        <w:t>فريق مهام هندسة الإنترنت (</w:t>
      </w:r>
      <w:r w:rsidRPr="004B6E12">
        <w:rPr>
          <w:spacing w:val="-3"/>
          <w:lang w:val="en-GB" w:bidi="ar-EG"/>
        </w:rPr>
        <w:t>IETF</w:t>
      </w:r>
      <w:r w:rsidRPr="004B6E12">
        <w:rPr>
          <w:spacing w:val="-3"/>
          <w:rtl/>
        </w:rPr>
        <w:t xml:space="preserve">) ومركز معايير الذكاء الاصطناعي التابع لمعهد آلان </w:t>
      </w:r>
      <w:proofErr w:type="spellStart"/>
      <w:r w:rsidRPr="004B6E12">
        <w:rPr>
          <w:spacing w:val="-3"/>
          <w:rtl/>
        </w:rPr>
        <w:t>تورين</w:t>
      </w:r>
      <w:r w:rsidRPr="004B6E12">
        <w:rPr>
          <w:rFonts w:hint="cs"/>
          <w:spacing w:val="-3"/>
          <w:rtl/>
        </w:rPr>
        <w:t>غ</w:t>
      </w:r>
      <w:proofErr w:type="spellEnd"/>
      <w:r w:rsidRPr="004B6E12">
        <w:rPr>
          <w:spacing w:val="-3"/>
          <w:rtl/>
        </w:rPr>
        <w:t>. و</w:t>
      </w:r>
      <w:r w:rsidRPr="004B6E12">
        <w:rPr>
          <w:rFonts w:hint="cs"/>
          <w:spacing w:val="-3"/>
          <w:rtl/>
        </w:rPr>
        <w:t>في وقت</w:t>
      </w:r>
      <w:r w:rsidRPr="004B6E12">
        <w:rPr>
          <w:spacing w:val="-3"/>
          <w:rtl/>
        </w:rPr>
        <w:t xml:space="preserve"> إطلاق قاعدة بيانات تبادل معايير الذكاء الاصطناعي في القمة العالمية للذكاء الاصطناعي من أجل المصلحة العامة </w:t>
      </w:r>
      <w:r w:rsidRPr="004B6E12">
        <w:rPr>
          <w:rFonts w:hint="cs"/>
          <w:spacing w:val="-3"/>
          <w:rtl/>
        </w:rPr>
        <w:t xml:space="preserve">لعام </w:t>
      </w:r>
      <w:r w:rsidRPr="004B6E12">
        <w:rPr>
          <w:spacing w:val="-3"/>
          <w:rtl/>
        </w:rPr>
        <w:t>2025 في 11 يوليو 2025، كان هناك نحو 700 معيار للذكاء الاصطناعي ومنشورات ذات صلة صادرة عن الاتحاد، والمنظمة الدولية للتوحيد القياسي (</w:t>
      </w:r>
      <w:r w:rsidRPr="004B6E12">
        <w:rPr>
          <w:spacing w:val="-3"/>
          <w:lang w:val="en-GB" w:bidi="ar-EG"/>
        </w:rPr>
        <w:t>ISO</w:t>
      </w:r>
      <w:r w:rsidRPr="004B6E12">
        <w:rPr>
          <w:spacing w:val="-3"/>
          <w:rtl/>
        </w:rPr>
        <w:t>) واللجنة الكهرتقنية الدولية</w:t>
      </w:r>
      <w:r w:rsidR="004B6E12" w:rsidRPr="004B6E12">
        <w:rPr>
          <w:rFonts w:hint="cs"/>
          <w:spacing w:val="-3"/>
          <w:rtl/>
        </w:rPr>
        <w:t> </w:t>
      </w:r>
      <w:r w:rsidRPr="004B6E12">
        <w:rPr>
          <w:spacing w:val="-3"/>
          <w:rtl/>
        </w:rPr>
        <w:t>(</w:t>
      </w:r>
      <w:r w:rsidRPr="004B6E12">
        <w:rPr>
          <w:spacing w:val="-3"/>
          <w:lang w:val="en-GB" w:bidi="ar-EG"/>
        </w:rPr>
        <w:t>IEC</w:t>
      </w:r>
      <w:r w:rsidRPr="004B6E12">
        <w:rPr>
          <w:spacing w:val="-3"/>
          <w:rtl/>
        </w:rPr>
        <w:t xml:space="preserve">) </w:t>
      </w:r>
      <w:r w:rsidRPr="004B6E12">
        <w:rPr>
          <w:rFonts w:hint="cs"/>
          <w:spacing w:val="-3"/>
          <w:rtl/>
        </w:rPr>
        <w:t>و</w:t>
      </w:r>
      <w:r w:rsidRPr="004B6E12">
        <w:rPr>
          <w:spacing w:val="-3"/>
          <w:rtl/>
        </w:rPr>
        <w:t>معهد مهندسي الكهرباء والإلكترونيات (</w:t>
      </w:r>
      <w:r w:rsidRPr="004B6E12">
        <w:rPr>
          <w:spacing w:val="-3"/>
          <w:lang w:val="en-GB" w:bidi="ar-EG"/>
        </w:rPr>
        <w:t>IEEE</w:t>
      </w:r>
      <w:r w:rsidRPr="004B6E12">
        <w:rPr>
          <w:spacing w:val="-3"/>
          <w:rtl/>
        </w:rPr>
        <w:t xml:space="preserve">) </w:t>
      </w:r>
      <w:r w:rsidRPr="004B6E12">
        <w:rPr>
          <w:rFonts w:hint="cs"/>
          <w:spacing w:val="-3"/>
          <w:rtl/>
        </w:rPr>
        <w:t>و</w:t>
      </w:r>
      <w:r w:rsidRPr="004B6E12">
        <w:rPr>
          <w:spacing w:val="-3"/>
          <w:rtl/>
        </w:rPr>
        <w:t>فريق مهام هندسة الإنترنت (</w:t>
      </w:r>
      <w:r w:rsidRPr="004B6E12">
        <w:rPr>
          <w:spacing w:val="-3"/>
          <w:lang w:val="en-GB" w:bidi="ar-EG"/>
        </w:rPr>
        <w:t>IETF</w:t>
      </w:r>
      <w:r w:rsidRPr="004B6E12">
        <w:rPr>
          <w:spacing w:val="-3"/>
          <w:rtl/>
        </w:rPr>
        <w:t xml:space="preserve">). </w:t>
      </w:r>
      <w:r w:rsidRPr="004B6E12">
        <w:rPr>
          <w:rFonts w:hint="cs"/>
          <w:spacing w:val="-3"/>
          <w:rtl/>
        </w:rPr>
        <w:t>وحتى</w:t>
      </w:r>
      <w:r w:rsidR="00D6243E" w:rsidRPr="004B6E12">
        <w:rPr>
          <w:rFonts w:hint="cs"/>
          <w:spacing w:val="-3"/>
          <w:rtl/>
        </w:rPr>
        <w:t> </w:t>
      </w:r>
      <w:r w:rsidRPr="004B6E12">
        <w:rPr>
          <w:spacing w:val="-3"/>
          <w:rtl/>
        </w:rPr>
        <w:t>يناير</w:t>
      </w:r>
      <w:r w:rsidR="00D6243E" w:rsidRPr="004B6E12">
        <w:rPr>
          <w:rFonts w:hint="cs"/>
          <w:spacing w:val="-3"/>
          <w:rtl/>
        </w:rPr>
        <w:t> </w:t>
      </w:r>
      <w:r w:rsidRPr="004B6E12">
        <w:rPr>
          <w:spacing w:val="-3"/>
          <w:rtl/>
        </w:rPr>
        <w:t xml:space="preserve">2026، </w:t>
      </w:r>
      <w:r w:rsidRPr="004B6E12">
        <w:rPr>
          <w:rFonts w:hint="cs"/>
          <w:spacing w:val="-3"/>
          <w:rtl/>
        </w:rPr>
        <w:t xml:space="preserve">كان قد </w:t>
      </w:r>
      <w:r w:rsidRPr="004B6E12">
        <w:rPr>
          <w:spacing w:val="-3"/>
          <w:rtl/>
        </w:rPr>
        <w:t xml:space="preserve">تم نشر حوالي 200 معيار من معايير الذكاء الاصطناعي الصادرة عن </w:t>
      </w:r>
      <w:r w:rsidRPr="004B6E12">
        <w:rPr>
          <w:rFonts w:hint="cs"/>
          <w:spacing w:val="-3"/>
          <w:rtl/>
        </w:rPr>
        <w:t>قطاع تقييس الاتصالات</w:t>
      </w:r>
      <w:r w:rsidRPr="004B6E12">
        <w:rPr>
          <w:spacing w:val="-3"/>
          <w:rtl/>
        </w:rPr>
        <w:t xml:space="preserve"> و200 معيار قيد </w:t>
      </w:r>
      <w:r w:rsidRPr="004B6E12">
        <w:rPr>
          <w:rFonts w:hint="cs"/>
          <w:spacing w:val="-3"/>
          <w:rtl/>
        </w:rPr>
        <w:t>الإعداد</w:t>
      </w:r>
      <w:r w:rsidRPr="004B6E12">
        <w:rPr>
          <w:spacing w:val="-3"/>
          <w:rtl/>
        </w:rPr>
        <w:t>.</w:t>
      </w:r>
    </w:p>
    <w:p w14:paraId="2D91F21A" w14:textId="77777777" w:rsidR="00621959" w:rsidRPr="00621959" w:rsidRDefault="00621959" w:rsidP="00D6243E">
      <w:pPr>
        <w:pStyle w:val="Heading3"/>
        <w:rPr>
          <w:lang w:val="en-GB" w:bidi="ar-EG"/>
        </w:rPr>
      </w:pPr>
      <w:bookmarkStart w:id="68" w:name="_Toc227252585"/>
      <w:r w:rsidRPr="00621959">
        <w:rPr>
          <w:rtl/>
        </w:rPr>
        <w:t>2.3.4</w:t>
      </w:r>
      <w:r w:rsidRPr="00621959">
        <w:rPr>
          <w:rtl/>
        </w:rPr>
        <w:tab/>
        <w:t>توصيات قطاع الاتصالات الراديوية</w:t>
      </w:r>
      <w:bookmarkEnd w:id="68"/>
    </w:p>
    <w:p w14:paraId="27D4803E" w14:textId="77777777" w:rsidR="0089560B" w:rsidRDefault="00621959" w:rsidP="00D6243E">
      <w:pPr>
        <w:rPr>
          <w:rtl/>
        </w:rPr>
      </w:pPr>
      <w:r w:rsidRPr="00621959">
        <w:rPr>
          <w:rtl/>
        </w:rPr>
        <w:t xml:space="preserve">خلال الفترة المشمولة بالتقرير 2022-2025، وافقت الدول الأعضاء في الاتحاد على 164 توصية جديدة أو مراجعة من توصيات قطاع الاتصالات الراديوية. وجميع توصيات قطاع الاتصالات الراديوية متاحة على الرابط التالي: </w:t>
      </w:r>
      <w:hyperlink r:id="rId140" w:history="1">
        <w:r w:rsidRPr="00621959">
          <w:rPr>
            <w:rStyle w:val="Hyperlink"/>
            <w:noProof w:val="0"/>
            <w:lang w:eastAsia="zh-CN" w:bidi="ar-EG"/>
          </w:rPr>
          <w:t>https://www.itu.int/pub/R-REC</w:t>
        </w:r>
      </w:hyperlink>
      <w:r w:rsidRPr="00621959">
        <w:rPr>
          <w:rFonts w:hint="cs"/>
          <w:rtl/>
        </w:rPr>
        <w:t xml:space="preserve">. </w:t>
      </w:r>
      <w:r w:rsidRPr="00621959">
        <w:rPr>
          <w:rtl/>
        </w:rPr>
        <w:t xml:space="preserve">ويبلغ عدد توصيات قطاع الاتصالات الراديوية السارية حالياً </w:t>
      </w:r>
      <w:r w:rsidR="00D6243E">
        <w:t>1 161</w:t>
      </w:r>
      <w:r w:rsidRPr="00621959">
        <w:rPr>
          <w:rFonts w:hint="cs"/>
          <w:rtl/>
        </w:rPr>
        <w:t xml:space="preserve"> </w:t>
      </w:r>
      <w:r w:rsidRPr="00621959">
        <w:rPr>
          <w:rtl/>
        </w:rPr>
        <w:t>توصية.</w:t>
      </w:r>
    </w:p>
    <w:p w14:paraId="0204847B" w14:textId="04A778DE" w:rsidR="00621959" w:rsidRPr="00621959" w:rsidRDefault="00621959" w:rsidP="008A5A1B">
      <w:pPr>
        <w:rPr>
          <w:lang w:val="en-GB" w:bidi="ar-EG"/>
        </w:rPr>
      </w:pPr>
      <w:r w:rsidRPr="00621959">
        <w:rPr>
          <w:rtl/>
        </w:rPr>
        <w:t xml:space="preserve">وفي عام 2023، </w:t>
      </w:r>
      <w:r w:rsidRPr="00621959">
        <w:rPr>
          <w:rFonts w:hint="cs"/>
          <w:rtl/>
        </w:rPr>
        <w:t>حصل</w:t>
      </w:r>
      <w:r w:rsidRPr="00621959">
        <w:rPr>
          <w:rtl/>
        </w:rPr>
        <w:t xml:space="preserve"> عمل قطاع الاتصالات الراديوية على جائزة إيمي للهندسة والعلوم والتكنولوجيا لتطوير معيار الاتصالات الراديوية للتلفزيون ذي المدى الدينامي العالي (</w:t>
      </w:r>
      <w:r w:rsidRPr="00621959">
        <w:rPr>
          <w:lang w:val="en-GB" w:bidi="ar-EG"/>
        </w:rPr>
        <w:t>HDR-TV</w:t>
      </w:r>
      <w:r w:rsidRPr="00621959">
        <w:rPr>
          <w:rtl/>
        </w:rPr>
        <w:t xml:space="preserve">). </w:t>
      </w:r>
      <w:r w:rsidRPr="00621959">
        <w:rPr>
          <w:rFonts w:hint="cs"/>
          <w:rtl/>
        </w:rPr>
        <w:t>و</w:t>
      </w:r>
      <w:r w:rsidRPr="00621959">
        <w:rPr>
          <w:rtl/>
        </w:rPr>
        <w:t xml:space="preserve">هذه الجائزة </w:t>
      </w:r>
      <w:r w:rsidRPr="00621959">
        <w:rPr>
          <w:rFonts w:hint="cs"/>
          <w:rtl/>
        </w:rPr>
        <w:t xml:space="preserve">تمنحها </w:t>
      </w:r>
      <w:r w:rsidRPr="00621959">
        <w:rPr>
          <w:rtl/>
        </w:rPr>
        <w:t xml:space="preserve">أكاديمية التلفزيون، تقديراً للجهود الرائدة التي بذلها المهندسون والمتخصصون في </w:t>
      </w:r>
      <w:r w:rsidRPr="00621959">
        <w:rPr>
          <w:rFonts w:hint="cs"/>
          <w:rtl/>
        </w:rPr>
        <w:t>لجنة الدراسات 6</w:t>
      </w:r>
      <w:r w:rsidRPr="00621959">
        <w:rPr>
          <w:rtl/>
        </w:rPr>
        <w:t xml:space="preserve"> التابعة لقطاع الاتصالات الراديوية في الاتحاد، وذلك في ابتكار معيار عالمي للتلفزيون ذي المدى الدينامي العالي يحسن تجربة المشاهدة. وتعد هذه </w:t>
      </w:r>
      <w:r w:rsidRPr="00621959">
        <w:rPr>
          <w:rFonts w:hint="cs"/>
          <w:rtl/>
        </w:rPr>
        <w:t xml:space="preserve">ثالث </w:t>
      </w:r>
      <w:r w:rsidRPr="00621959">
        <w:rPr>
          <w:rtl/>
        </w:rPr>
        <w:t xml:space="preserve">جائزة </w:t>
      </w:r>
      <w:r w:rsidRPr="00621959">
        <w:rPr>
          <w:rFonts w:hint="cs"/>
          <w:rtl/>
        </w:rPr>
        <w:t>إيمي</w:t>
      </w:r>
      <w:r w:rsidRPr="00621959">
        <w:rPr>
          <w:rtl/>
        </w:rPr>
        <w:t xml:space="preserve"> ت</w:t>
      </w:r>
      <w:r w:rsidRPr="00621959">
        <w:rPr>
          <w:rFonts w:hint="cs"/>
          <w:rtl/>
        </w:rPr>
        <w:t>ُ</w:t>
      </w:r>
      <w:r w:rsidRPr="00621959">
        <w:rPr>
          <w:rtl/>
        </w:rPr>
        <w:t xml:space="preserve">منح </w:t>
      </w:r>
      <w:r w:rsidRPr="00621959">
        <w:rPr>
          <w:rFonts w:hint="cs"/>
          <w:rtl/>
        </w:rPr>
        <w:t>للجان دراسات</w:t>
      </w:r>
      <w:r w:rsidRPr="00621959">
        <w:rPr>
          <w:rtl/>
        </w:rPr>
        <w:t xml:space="preserve"> تابعة لقطاع الاتصالات الراديوية، والسادسة للاتحاد ككل.</w:t>
      </w:r>
    </w:p>
    <w:p w14:paraId="025B0BE6" w14:textId="77777777" w:rsidR="00621959" w:rsidRPr="00621959" w:rsidRDefault="00621959" w:rsidP="00D6243E">
      <w:pPr>
        <w:pStyle w:val="Heading3"/>
        <w:rPr>
          <w:lang w:val="en-GB" w:bidi="ar-EG"/>
        </w:rPr>
      </w:pPr>
      <w:bookmarkStart w:id="69" w:name="_Toc227252586"/>
      <w:r w:rsidRPr="00621959">
        <w:rPr>
          <w:rtl/>
        </w:rPr>
        <w:t>3.3.4</w:t>
      </w:r>
      <w:r w:rsidRPr="00621959">
        <w:rPr>
          <w:rtl/>
        </w:rPr>
        <w:tab/>
        <w:t>سد الفجوة التقييسية</w:t>
      </w:r>
      <w:bookmarkEnd w:id="69"/>
    </w:p>
    <w:p w14:paraId="79E42648" w14:textId="76145691" w:rsidR="00621959" w:rsidRPr="00621959" w:rsidRDefault="00621959" w:rsidP="006F19C7">
      <w:pPr>
        <w:keepLines/>
        <w:rPr>
          <w:rtl/>
        </w:rPr>
      </w:pPr>
      <w:r w:rsidRPr="00621959">
        <w:rPr>
          <w:rtl/>
        </w:rPr>
        <w:t xml:space="preserve">اعتمد </w:t>
      </w:r>
      <w:hyperlink r:id="rId141" w:history="1">
        <w:r w:rsidRPr="00621959">
          <w:rPr>
            <w:rStyle w:val="Hyperlink"/>
            <w:noProof w:val="0"/>
            <w:rtl/>
            <w:lang w:val="en-US" w:eastAsia="zh-CN"/>
          </w:rPr>
          <w:t>القرار رقم 44</w:t>
        </w:r>
        <w:r w:rsidRPr="00621959">
          <w:rPr>
            <w:rStyle w:val="Hyperlink"/>
            <w:rFonts w:hint="cs"/>
            <w:noProof w:val="0"/>
            <w:rtl/>
            <w:lang w:val="en-US" w:eastAsia="zh-CN"/>
          </w:rPr>
          <w:t xml:space="preserve"> الصادر عن الجمعية </w:t>
        </w:r>
        <w:r w:rsidRPr="00621959">
          <w:rPr>
            <w:rStyle w:val="Hyperlink"/>
            <w:noProof w:val="0"/>
            <w:lang w:val="en-CA" w:eastAsia="zh-CN" w:bidi="ar-EG"/>
          </w:rPr>
          <w:t>WTSA</w:t>
        </w:r>
        <w:r w:rsidRPr="00621959">
          <w:rPr>
            <w:rStyle w:val="Hyperlink"/>
            <w:noProof w:val="0"/>
            <w:lang w:val="en-CA" w:eastAsia="zh-CN" w:bidi="ar-EG"/>
          </w:rPr>
          <w:noBreakHyphen/>
          <w:t>24</w:t>
        </w:r>
      </w:hyperlink>
      <w:r w:rsidRPr="00621959">
        <w:rPr>
          <w:rtl/>
        </w:rPr>
        <w:t xml:space="preserve"> بعنوان "سد الفجوة التقييسية بين البلدان النامية و</w:t>
      </w:r>
      <w:r w:rsidR="00D6243E" w:rsidRPr="00621959">
        <w:rPr>
          <w:rtl/>
        </w:rPr>
        <w:t xml:space="preserve">البلدان </w:t>
      </w:r>
      <w:r w:rsidRPr="00621959">
        <w:rPr>
          <w:rtl/>
        </w:rPr>
        <w:t xml:space="preserve">المتقدمة"، لأول مرة في </w:t>
      </w:r>
      <w:proofErr w:type="spellStart"/>
      <w:r w:rsidRPr="00621959">
        <w:rPr>
          <w:rtl/>
        </w:rPr>
        <w:t>فلوريانوبوليس</w:t>
      </w:r>
      <w:proofErr w:type="spellEnd"/>
      <w:r w:rsidRPr="00621959">
        <w:rPr>
          <w:rtl/>
        </w:rPr>
        <w:t xml:space="preserve"> (2004)، وجرى </w:t>
      </w:r>
      <w:r w:rsidRPr="00621959">
        <w:rPr>
          <w:rFonts w:hint="cs"/>
          <w:rtl/>
        </w:rPr>
        <w:t>تكييفه</w:t>
      </w:r>
      <w:r w:rsidRPr="00621959">
        <w:rPr>
          <w:rtl/>
        </w:rPr>
        <w:t xml:space="preserve"> بمرور الوقت لمواكبة الاحتياجات </w:t>
      </w:r>
      <w:r w:rsidRPr="00621959">
        <w:rPr>
          <w:rFonts w:hint="cs"/>
          <w:rtl/>
        </w:rPr>
        <w:t xml:space="preserve">المتطورة وتحقيق المواءمة </w:t>
      </w:r>
      <w:r w:rsidRPr="00621959">
        <w:rPr>
          <w:rtl/>
        </w:rPr>
        <w:t xml:space="preserve">مع </w:t>
      </w:r>
      <w:hyperlink r:id="rId142" w:history="1">
        <w:r w:rsidRPr="00621959">
          <w:rPr>
            <w:rStyle w:val="Hyperlink"/>
            <w:noProof w:val="0"/>
            <w:rtl/>
            <w:lang w:val="en-US" w:eastAsia="zh-CN"/>
          </w:rPr>
          <w:t>القرار 123 (</w:t>
        </w:r>
        <w:r w:rsidRPr="00621959">
          <w:rPr>
            <w:rStyle w:val="Hyperlink"/>
            <w:rFonts w:hint="cs"/>
            <w:noProof w:val="0"/>
            <w:rtl/>
            <w:lang w:val="en-US" w:eastAsia="zh-CN"/>
          </w:rPr>
          <w:t>المراجَع</w:t>
        </w:r>
        <w:r w:rsidRPr="00621959">
          <w:rPr>
            <w:rStyle w:val="Hyperlink"/>
            <w:noProof w:val="0"/>
            <w:rtl/>
            <w:lang w:val="en-US" w:eastAsia="zh-CN"/>
          </w:rPr>
          <w:t xml:space="preserve"> في بوخارست، 2022)</w:t>
        </w:r>
      </w:hyperlink>
      <w:r w:rsidRPr="00621959">
        <w:rPr>
          <w:rtl/>
        </w:rPr>
        <w:t xml:space="preserve"> </w:t>
      </w:r>
      <w:r w:rsidRPr="00621959">
        <w:rPr>
          <w:rFonts w:hint="cs"/>
          <w:rtl/>
        </w:rPr>
        <w:t>ل</w:t>
      </w:r>
      <w:r w:rsidRPr="00621959">
        <w:rPr>
          <w:rtl/>
        </w:rPr>
        <w:t>مؤتمر المندوبين المفوضين. وقد جرى تحديث القرار رقم 44 مؤخراً في</w:t>
      </w:r>
      <w:r w:rsidRPr="00621959">
        <w:rPr>
          <w:rFonts w:hint="cs"/>
          <w:rtl/>
        </w:rPr>
        <w:t xml:space="preserve"> الجمعية </w:t>
      </w:r>
      <w:r w:rsidRPr="00621959">
        <w:rPr>
          <w:lang w:val="en-GB" w:bidi="ar-EG"/>
        </w:rPr>
        <w:t>WTSA-24</w:t>
      </w:r>
      <w:r w:rsidRPr="00621959">
        <w:rPr>
          <w:rtl/>
        </w:rPr>
        <w:t xml:space="preserve"> لإعادة تأكيد وتوضيح خطة العمل المكونة من أربع </w:t>
      </w:r>
      <w:r w:rsidRPr="00C0129D">
        <w:rPr>
          <w:rtl/>
        </w:rPr>
        <w:t>نقاط (</w:t>
      </w:r>
      <w:hyperlink w:anchor="الشكل15" w:history="1">
        <w:r w:rsidRPr="00C0129D">
          <w:rPr>
            <w:rStyle w:val="Hyperlink"/>
            <w:noProof w:val="0"/>
            <w:rtl/>
            <w:lang w:val="en-US" w:eastAsia="zh-CN"/>
          </w:rPr>
          <w:t>انظر الشكل 15</w:t>
        </w:r>
      </w:hyperlink>
      <w:r w:rsidRPr="00C0129D">
        <w:rPr>
          <w:rtl/>
        </w:rPr>
        <w:t xml:space="preserve">) </w:t>
      </w:r>
      <w:r w:rsidRPr="00C0129D">
        <w:rPr>
          <w:rFonts w:hint="cs"/>
          <w:rtl/>
        </w:rPr>
        <w:t>لل</w:t>
      </w:r>
      <w:r w:rsidRPr="00C0129D">
        <w:rPr>
          <w:rtl/>
        </w:rPr>
        <w:t>سنوات</w:t>
      </w:r>
      <w:r w:rsidRPr="00621959">
        <w:rPr>
          <w:rtl/>
        </w:rPr>
        <w:t xml:space="preserve"> </w:t>
      </w:r>
      <w:r w:rsidRPr="00621959">
        <w:rPr>
          <w:rFonts w:hint="cs"/>
          <w:rtl/>
        </w:rPr>
        <w:t xml:space="preserve">الأربع </w:t>
      </w:r>
      <w:r w:rsidRPr="00621959">
        <w:rPr>
          <w:rtl/>
        </w:rPr>
        <w:t>القادمة.</w:t>
      </w:r>
    </w:p>
    <w:p w14:paraId="7AAB10FC" w14:textId="77777777" w:rsidR="00621959" w:rsidRPr="00621959" w:rsidRDefault="00621959" w:rsidP="00D6243E">
      <w:pPr>
        <w:pStyle w:val="Figuretitle"/>
        <w:rPr>
          <w:lang w:val="en-GB" w:bidi="ar-EG"/>
        </w:rPr>
      </w:pPr>
      <w:r w:rsidRPr="00621959">
        <w:rPr>
          <w:rtl/>
        </w:rPr>
        <w:t>خطة عمل سد الفجوة التقييسية</w:t>
      </w:r>
    </w:p>
    <w:p w14:paraId="0FB78F55" w14:textId="3B2D8F90" w:rsidR="00621959" w:rsidRPr="00621959" w:rsidRDefault="00E47773" w:rsidP="00E259D5">
      <w:pPr>
        <w:pStyle w:val="Figure"/>
        <w:bidi/>
        <w:rPr>
          <w:rFonts w:eastAsia="MS Mincho"/>
          <w:lang w:bidi="ar-EG"/>
        </w:rPr>
      </w:pPr>
      <w:r>
        <w:rPr>
          <w:rFonts w:eastAsia="MS Mincho"/>
          <w:noProof/>
          <w:lang w:bidi="ar-EG"/>
        </w:rPr>
        <w:drawing>
          <wp:inline distT="0" distB="0" distL="0" distR="0" wp14:anchorId="1F1D71D8" wp14:editId="0737F999">
            <wp:extent cx="5040000" cy="2242800"/>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040000" cy="2242800"/>
                    </a:xfrm>
                    <a:prstGeom prst="rect">
                      <a:avLst/>
                    </a:prstGeom>
                    <a:noFill/>
                  </pic:spPr>
                </pic:pic>
              </a:graphicData>
            </a:graphic>
          </wp:inline>
        </w:drawing>
      </w:r>
    </w:p>
    <w:p w14:paraId="1002660E" w14:textId="77777777" w:rsidR="00621959" w:rsidRPr="00D6243E" w:rsidRDefault="00621959" w:rsidP="00D6243E">
      <w:pPr>
        <w:pStyle w:val="Figurelegend"/>
        <w:rPr>
          <w:color w:val="1F497D"/>
          <w:lang w:val="en-GB" w:bidi="ar-EG"/>
        </w:rPr>
      </w:pPr>
      <w:bookmarkStart w:id="70" w:name="الشكل15"/>
      <w:bookmarkEnd w:id="70"/>
      <w:r w:rsidRPr="00D6243E">
        <w:rPr>
          <w:color w:val="1F497D"/>
          <w:rtl/>
        </w:rPr>
        <w:t>الشكل 15</w:t>
      </w:r>
      <w:r w:rsidRPr="00D6243E">
        <w:rPr>
          <w:rFonts w:hint="cs"/>
          <w:color w:val="1F497D"/>
          <w:rtl/>
        </w:rPr>
        <w:t>.</w:t>
      </w:r>
      <w:r w:rsidRPr="00D6243E">
        <w:rPr>
          <w:color w:val="1F497D"/>
          <w:rtl/>
        </w:rPr>
        <w:t xml:space="preserve"> خطة عمل سد الفجوة التقييسية.</w:t>
      </w:r>
    </w:p>
    <w:p w14:paraId="4711E713" w14:textId="1F0C8736" w:rsidR="00621959" w:rsidRPr="00621959" w:rsidRDefault="00621959" w:rsidP="008A5A1B">
      <w:pPr>
        <w:rPr>
          <w:lang w:val="en-GB" w:bidi="ar-EG"/>
        </w:rPr>
      </w:pPr>
      <w:r w:rsidRPr="00621959">
        <w:rPr>
          <w:rtl/>
        </w:rPr>
        <w:t>وبنا</w:t>
      </w:r>
      <w:r w:rsidRPr="00621959">
        <w:rPr>
          <w:rFonts w:hint="cs"/>
          <w:rtl/>
        </w:rPr>
        <w:t>ء</w:t>
      </w:r>
      <w:r w:rsidR="00D6243E">
        <w:rPr>
          <w:rFonts w:hint="cs"/>
          <w:rtl/>
        </w:rPr>
        <w:t>ً</w:t>
      </w:r>
      <w:r w:rsidRPr="00621959">
        <w:rPr>
          <w:rtl/>
        </w:rPr>
        <w:t xml:space="preserve"> على ذلك، يهدف تنفيذ الاتحاد لبرنامج </w:t>
      </w:r>
      <w:hyperlink r:id="rId144" w:anchor="/ar" w:history="1">
        <w:r w:rsidRPr="00621959">
          <w:rPr>
            <w:rStyle w:val="Hyperlink"/>
            <w:noProof w:val="0"/>
            <w:rtl/>
            <w:lang w:val="en-US" w:eastAsia="zh-CN"/>
          </w:rPr>
          <w:t>سد الفجوة التقييسية (</w:t>
        </w:r>
        <w:r w:rsidRPr="00621959">
          <w:rPr>
            <w:rStyle w:val="Hyperlink"/>
            <w:noProof w:val="0"/>
            <w:lang w:eastAsia="zh-CN" w:bidi="ar-EG"/>
          </w:rPr>
          <w:t>BSG</w:t>
        </w:r>
        <w:r w:rsidRPr="00621959">
          <w:rPr>
            <w:rStyle w:val="Hyperlink"/>
            <w:noProof w:val="0"/>
            <w:rtl/>
            <w:lang w:val="en-US" w:eastAsia="zh-CN"/>
          </w:rPr>
          <w:t>)</w:t>
        </w:r>
      </w:hyperlink>
      <w:r w:rsidRPr="00621959">
        <w:rPr>
          <w:rtl/>
        </w:rPr>
        <w:t xml:space="preserve"> إلى تعزيز قدرة جميع البلدان، ولا سيما البلدان النامية، على المشاركة في </w:t>
      </w:r>
      <w:r w:rsidRPr="00621959">
        <w:rPr>
          <w:rFonts w:hint="cs"/>
          <w:rtl/>
        </w:rPr>
        <w:t>وضع</w:t>
      </w:r>
      <w:r w:rsidRPr="00621959">
        <w:rPr>
          <w:rtl/>
        </w:rPr>
        <w:t xml:space="preserve"> وتنفيذ معايير قطاع تقييس الاتصالات</w:t>
      </w:r>
      <w:r w:rsidRPr="00621959">
        <w:rPr>
          <w:rFonts w:hint="cs"/>
          <w:rtl/>
        </w:rPr>
        <w:t>.</w:t>
      </w:r>
    </w:p>
    <w:p w14:paraId="14DAA264" w14:textId="77777777" w:rsidR="00621959" w:rsidRPr="00621959" w:rsidRDefault="00621959" w:rsidP="008A5A1B">
      <w:pPr>
        <w:rPr>
          <w:rtl/>
        </w:rPr>
      </w:pPr>
      <w:r w:rsidRPr="00621959">
        <w:rPr>
          <w:rtl/>
        </w:rPr>
        <w:t>وخلال الفترة المشمولة بالتقرير 2022-2025، واصل مكتب تقييس الاتصالات (</w:t>
      </w:r>
      <w:r w:rsidRPr="00621959">
        <w:rPr>
          <w:lang w:val="en-GB" w:bidi="ar-EG"/>
        </w:rPr>
        <w:t>TSB</w:t>
      </w:r>
      <w:r w:rsidRPr="00621959">
        <w:rPr>
          <w:rtl/>
        </w:rPr>
        <w:t>) البناء على العمل السابق، مع التركيز على:</w:t>
      </w:r>
    </w:p>
    <w:p w14:paraId="22948BAE" w14:textId="656940E0" w:rsidR="00621959" w:rsidRPr="00621959" w:rsidRDefault="00D6243E" w:rsidP="00D6243E">
      <w:pPr>
        <w:pStyle w:val="enumlev1"/>
        <w:rPr>
          <w:lang w:val="en-GB" w:bidi="ar-EG"/>
        </w:rPr>
      </w:pPr>
      <w:r w:rsidRPr="00D6243E">
        <w:t>1</w:t>
      </w:r>
      <w:r w:rsidRPr="00D6243E">
        <w:tab/>
      </w:r>
      <w:r w:rsidR="00621959" w:rsidRPr="00621959">
        <w:rPr>
          <w:b/>
          <w:bCs/>
          <w:rtl/>
        </w:rPr>
        <w:t xml:space="preserve">تنظيم 62 اجتماعاً </w:t>
      </w:r>
      <w:r w:rsidR="00621959" w:rsidRPr="00621959">
        <w:rPr>
          <w:rFonts w:hint="cs"/>
          <w:b/>
          <w:bCs/>
          <w:rtl/>
        </w:rPr>
        <w:t>للأفرقة</w:t>
      </w:r>
      <w:r w:rsidR="00621959" w:rsidRPr="00621959">
        <w:rPr>
          <w:b/>
          <w:bCs/>
          <w:rtl/>
        </w:rPr>
        <w:t xml:space="preserve"> الإقليمية</w:t>
      </w:r>
      <w:r w:rsidR="00621959" w:rsidRPr="00621959">
        <w:rPr>
          <w:rtl/>
        </w:rPr>
        <w:t xml:space="preserve"> </w:t>
      </w:r>
      <w:r w:rsidR="00621959" w:rsidRPr="00621959">
        <w:rPr>
          <w:rFonts w:hint="cs"/>
          <w:rtl/>
        </w:rPr>
        <w:t>عبر</w:t>
      </w:r>
      <w:r w:rsidR="00621959" w:rsidRPr="00621959">
        <w:rPr>
          <w:rtl/>
        </w:rPr>
        <w:t xml:space="preserve"> </w:t>
      </w:r>
      <w:hyperlink r:id="rId145" w:anchor="/ar" w:history="1">
        <w:r w:rsidR="00621959" w:rsidRPr="00621959">
          <w:rPr>
            <w:rStyle w:val="Hyperlink"/>
            <w:rFonts w:hint="cs"/>
            <w:noProof w:val="0"/>
            <w:rtl/>
            <w:lang w:val="en-US" w:eastAsia="zh-CN" w:bidi="ar-SA"/>
          </w:rPr>
          <w:t>الأفرقة الإقليمية السبعة والعشرين</w:t>
        </w:r>
        <w:r w:rsidR="00621959" w:rsidRPr="00621959">
          <w:rPr>
            <w:rStyle w:val="Hyperlink"/>
            <w:noProof w:val="0"/>
            <w:rtl/>
            <w:lang w:val="en-US" w:eastAsia="zh-CN" w:bidi="ar-SA"/>
          </w:rPr>
          <w:t xml:space="preserve"> الحالية</w:t>
        </w:r>
      </w:hyperlink>
      <w:r w:rsidR="00621959" w:rsidRPr="00621959">
        <w:rPr>
          <w:rtl/>
        </w:rPr>
        <w:t xml:space="preserve"> التابعة للجان الدراسات </w:t>
      </w:r>
      <w:r w:rsidR="00621959" w:rsidRPr="00621959">
        <w:rPr>
          <w:rFonts w:hint="cs"/>
          <w:rtl/>
        </w:rPr>
        <w:t>ل</w:t>
      </w:r>
      <w:r w:rsidR="00621959" w:rsidRPr="00621959">
        <w:rPr>
          <w:rtl/>
        </w:rPr>
        <w:t xml:space="preserve">قطاع تقييس الاتصالات. وأحدث هذه </w:t>
      </w:r>
      <w:r w:rsidR="00621959" w:rsidRPr="00621959">
        <w:rPr>
          <w:rFonts w:hint="cs"/>
          <w:rtl/>
        </w:rPr>
        <w:t>الأفرقة</w:t>
      </w:r>
      <w:r w:rsidR="00621959" w:rsidRPr="00621959">
        <w:rPr>
          <w:rtl/>
        </w:rPr>
        <w:t xml:space="preserve"> ه</w:t>
      </w:r>
      <w:r w:rsidR="00621959" w:rsidRPr="00621959">
        <w:rPr>
          <w:rFonts w:hint="cs"/>
          <w:rtl/>
        </w:rPr>
        <w:t>و</w:t>
      </w:r>
      <w:r w:rsidR="00621959" w:rsidRPr="00621959">
        <w:rPr>
          <w:rtl/>
        </w:rPr>
        <w:t xml:space="preserve"> </w:t>
      </w:r>
      <w:r w:rsidR="00621959" w:rsidRPr="00621959">
        <w:rPr>
          <w:rFonts w:hint="cs"/>
          <w:rtl/>
        </w:rPr>
        <w:t>ال</w:t>
      </w:r>
      <w:r w:rsidR="00621959" w:rsidRPr="00621959">
        <w:rPr>
          <w:rtl/>
        </w:rPr>
        <w:t xml:space="preserve">فريق </w:t>
      </w:r>
      <w:r w:rsidR="00621959" w:rsidRPr="00621959">
        <w:rPr>
          <w:rFonts w:hint="cs"/>
          <w:rtl/>
        </w:rPr>
        <w:t>ال</w:t>
      </w:r>
      <w:r w:rsidR="00621959" w:rsidRPr="00621959">
        <w:rPr>
          <w:rtl/>
        </w:rPr>
        <w:t xml:space="preserve">إقليمي لمنطقة إفريقيا </w:t>
      </w:r>
      <w:r w:rsidR="00621959" w:rsidRPr="00621959">
        <w:rPr>
          <w:rFonts w:hint="cs"/>
          <w:rtl/>
        </w:rPr>
        <w:t>ال</w:t>
      </w:r>
      <w:r w:rsidR="00621959" w:rsidRPr="00621959">
        <w:rPr>
          <w:rtl/>
        </w:rPr>
        <w:t>تابع للجنة الدراسات 15 لقطاع تقييس الاتصالات (</w:t>
      </w:r>
      <w:hyperlink r:id="rId146" w:anchor="/ar" w:history="1">
        <w:r w:rsidR="00621959" w:rsidRPr="00621959">
          <w:rPr>
            <w:rStyle w:val="Hyperlink"/>
            <w:noProof w:val="0"/>
            <w:lang w:eastAsia="zh-CN" w:bidi="ar-EG"/>
          </w:rPr>
          <w:t>SG15RG-AFR</w:t>
        </w:r>
      </w:hyperlink>
      <w:r w:rsidR="00621959" w:rsidRPr="00621959">
        <w:rPr>
          <w:rtl/>
        </w:rPr>
        <w:t>)، وال</w:t>
      </w:r>
      <w:r w:rsidR="00621959" w:rsidRPr="00621959">
        <w:rPr>
          <w:rFonts w:hint="cs"/>
          <w:rtl/>
        </w:rPr>
        <w:t>ذ</w:t>
      </w:r>
      <w:r w:rsidR="00621959" w:rsidRPr="00621959">
        <w:rPr>
          <w:rtl/>
        </w:rPr>
        <w:t>ي أنشئ بنا</w:t>
      </w:r>
      <w:r w:rsidR="00621959" w:rsidRPr="00621959">
        <w:rPr>
          <w:rFonts w:hint="cs"/>
          <w:rtl/>
        </w:rPr>
        <w:t>ء</w:t>
      </w:r>
      <w:r>
        <w:rPr>
          <w:rFonts w:hint="cs"/>
          <w:rtl/>
        </w:rPr>
        <w:t>ً</w:t>
      </w:r>
      <w:r w:rsidR="00621959" w:rsidRPr="00621959">
        <w:rPr>
          <w:rtl/>
        </w:rPr>
        <w:t xml:space="preserve"> على طلب الأعضاء في أكتوبر 2025. وتعد الأفرقة الإقليمية آليات فعالة لمعالجة القضايا المحلية، وتشجيع المساهمات </w:t>
      </w:r>
      <w:r w:rsidR="00621959" w:rsidRPr="00621959">
        <w:rPr>
          <w:rFonts w:hint="cs"/>
          <w:rtl/>
        </w:rPr>
        <w:t>المقدمة إلى</w:t>
      </w:r>
      <w:r w:rsidR="00621959" w:rsidRPr="00621959">
        <w:rPr>
          <w:rtl/>
        </w:rPr>
        <w:t xml:space="preserve"> الاتحاد، وزيادة </w:t>
      </w:r>
      <w:r w:rsidR="00621959" w:rsidRPr="00621959">
        <w:rPr>
          <w:rFonts w:hint="cs"/>
          <w:rtl/>
        </w:rPr>
        <w:t>عدد</w:t>
      </w:r>
      <w:r w:rsidR="00621959" w:rsidRPr="00621959">
        <w:rPr>
          <w:rtl/>
        </w:rPr>
        <w:t xml:space="preserve"> و</w:t>
      </w:r>
      <w:r w:rsidR="00621959" w:rsidRPr="00621959">
        <w:rPr>
          <w:rFonts w:hint="cs"/>
          <w:rtl/>
        </w:rPr>
        <w:t>جود</w:t>
      </w:r>
      <w:r w:rsidR="00621959" w:rsidRPr="00621959">
        <w:rPr>
          <w:rtl/>
        </w:rPr>
        <w:t>ة المدخلات التقنية من البلدان النامية.</w:t>
      </w:r>
    </w:p>
    <w:p w14:paraId="37BF5247" w14:textId="468093D5" w:rsidR="00621959" w:rsidRPr="00D6243E" w:rsidRDefault="00D6243E" w:rsidP="00D6243E">
      <w:pPr>
        <w:pStyle w:val="enumlev1"/>
        <w:rPr>
          <w:spacing w:val="-2"/>
          <w:lang w:val="en-GB" w:bidi="ar-EG"/>
        </w:rPr>
      </w:pPr>
      <w:r w:rsidRPr="00D6243E">
        <w:rPr>
          <w:spacing w:val="-2"/>
        </w:rPr>
        <w:t>2</w:t>
      </w:r>
      <w:r w:rsidRPr="00D6243E">
        <w:rPr>
          <w:spacing w:val="-2"/>
        </w:rPr>
        <w:tab/>
      </w:r>
      <w:r w:rsidR="00621959" w:rsidRPr="00D6243E">
        <w:rPr>
          <w:rFonts w:hint="cs"/>
          <w:spacing w:val="-2"/>
          <w:rtl/>
        </w:rPr>
        <w:t>و</w:t>
      </w:r>
      <w:r w:rsidR="00621959" w:rsidRPr="00D6243E">
        <w:rPr>
          <w:spacing w:val="-2"/>
          <w:rtl/>
        </w:rPr>
        <w:t xml:space="preserve">توفير </w:t>
      </w:r>
      <w:r w:rsidR="00621959" w:rsidRPr="00D6243E">
        <w:rPr>
          <w:b/>
          <w:bCs/>
          <w:spacing w:val="-2"/>
          <w:rtl/>
        </w:rPr>
        <w:t xml:space="preserve">منح </w:t>
      </w:r>
      <w:r w:rsidR="00621959" w:rsidRPr="00D6243E">
        <w:rPr>
          <w:spacing w:val="-2"/>
          <w:rtl/>
        </w:rPr>
        <w:t xml:space="preserve">لتشجيع مشاركة مندوبي </w:t>
      </w:r>
      <w:r w:rsidR="00621959" w:rsidRPr="00D6243E">
        <w:rPr>
          <w:rFonts w:hint="cs"/>
          <w:spacing w:val="-2"/>
          <w:rtl/>
        </w:rPr>
        <w:t>قطاع تقييس الاتصالات</w:t>
      </w:r>
      <w:r w:rsidR="00621959" w:rsidRPr="00D6243E">
        <w:rPr>
          <w:spacing w:val="-2"/>
          <w:rtl/>
        </w:rPr>
        <w:t xml:space="preserve"> من البلدان النامية المؤهلة مشارك</w:t>
      </w:r>
      <w:r w:rsidR="00621959" w:rsidRPr="00D6243E">
        <w:rPr>
          <w:rFonts w:hint="cs"/>
          <w:spacing w:val="-2"/>
          <w:rtl/>
        </w:rPr>
        <w:t xml:space="preserve">ة </w:t>
      </w:r>
      <w:r w:rsidR="00621959" w:rsidRPr="00D6243E">
        <w:rPr>
          <w:spacing w:val="-2"/>
          <w:rtl/>
        </w:rPr>
        <w:t>فعالة</w:t>
      </w:r>
      <w:r w:rsidR="00621959" w:rsidRPr="00D6243E">
        <w:rPr>
          <w:rFonts w:hint="cs"/>
          <w:spacing w:val="-2"/>
          <w:rtl/>
        </w:rPr>
        <w:t xml:space="preserve"> </w:t>
      </w:r>
      <w:r w:rsidR="00621959" w:rsidRPr="00D6243E">
        <w:rPr>
          <w:spacing w:val="-2"/>
          <w:rtl/>
        </w:rPr>
        <w:t>واستمرار</w:t>
      </w:r>
      <w:r w:rsidR="00621959" w:rsidRPr="00D6243E">
        <w:rPr>
          <w:rFonts w:hint="cs"/>
          <w:spacing w:val="-2"/>
          <w:rtl/>
        </w:rPr>
        <w:t>ها</w:t>
      </w:r>
      <w:r w:rsidR="00621959" w:rsidRPr="00D6243E">
        <w:rPr>
          <w:spacing w:val="-2"/>
          <w:rtl/>
        </w:rPr>
        <w:t xml:space="preserve">. وقد منحت 713 منحة خلال الفترة المشمولة بالتقرير، مع مراعاة مدى ملاءمة كل مرشح وإعطاء الأولوية للتوزيع </w:t>
      </w:r>
      <w:r w:rsidR="00621959" w:rsidRPr="00D6243E">
        <w:rPr>
          <w:rFonts w:hint="cs"/>
          <w:spacing w:val="-2"/>
          <w:rtl/>
        </w:rPr>
        <w:t>المنصف</w:t>
      </w:r>
      <w:r w:rsidR="00621959" w:rsidRPr="00D6243E">
        <w:rPr>
          <w:spacing w:val="-2"/>
          <w:rtl/>
        </w:rPr>
        <w:t xml:space="preserve"> من حيث المنطقة و</w:t>
      </w:r>
      <w:r w:rsidR="00621959" w:rsidRPr="00D6243E">
        <w:rPr>
          <w:rFonts w:hint="cs"/>
          <w:spacing w:val="-2"/>
          <w:rtl/>
        </w:rPr>
        <w:t xml:space="preserve">نوع </w:t>
      </w:r>
      <w:r w:rsidR="00621959" w:rsidRPr="00D6243E">
        <w:rPr>
          <w:spacing w:val="-2"/>
          <w:rtl/>
        </w:rPr>
        <w:t>الجنس والمندوبين ذوي الاحتياجات الخاصة، وذلك وفقاً ل</w:t>
      </w:r>
      <w:r w:rsidR="00621959" w:rsidRPr="00D6243E">
        <w:rPr>
          <w:rFonts w:hint="cs"/>
          <w:spacing w:val="-2"/>
          <w:rtl/>
        </w:rPr>
        <w:t>ل</w:t>
      </w:r>
      <w:r w:rsidR="00621959" w:rsidRPr="00D6243E">
        <w:rPr>
          <w:spacing w:val="-2"/>
          <w:rtl/>
        </w:rPr>
        <w:t xml:space="preserve">أمر </w:t>
      </w:r>
      <w:r w:rsidR="00621959" w:rsidRPr="00D6243E">
        <w:rPr>
          <w:rFonts w:hint="cs"/>
          <w:spacing w:val="-2"/>
          <w:rtl/>
        </w:rPr>
        <w:t>الإداري</w:t>
      </w:r>
      <w:r w:rsidR="00621959" w:rsidRPr="00D6243E">
        <w:rPr>
          <w:spacing w:val="-2"/>
          <w:rtl/>
        </w:rPr>
        <w:t xml:space="preserve"> </w:t>
      </w:r>
      <w:r w:rsidR="00621959" w:rsidRPr="00D6243E">
        <w:rPr>
          <w:spacing w:val="-2"/>
        </w:rPr>
        <w:t>21/02</w:t>
      </w:r>
      <w:r w:rsidR="00621959" w:rsidRPr="00D6243E">
        <w:rPr>
          <w:spacing w:val="-2"/>
          <w:rtl/>
        </w:rPr>
        <w:t>، "سياسة تقديم المِنح للمشاركة في الأحداث والأنشطة الممولة من الميزانية العادية للاتحاد".</w:t>
      </w:r>
    </w:p>
    <w:p w14:paraId="41C42CE2" w14:textId="2EB6F0BE" w:rsidR="00621959" w:rsidRPr="006F19C7" w:rsidRDefault="00D6243E" w:rsidP="00D6243E">
      <w:pPr>
        <w:pStyle w:val="enumlev1"/>
        <w:rPr>
          <w:spacing w:val="-2"/>
          <w:lang w:val="en-GB" w:bidi="ar-EG"/>
        </w:rPr>
      </w:pPr>
      <w:r w:rsidRPr="006F19C7">
        <w:rPr>
          <w:spacing w:val="-2"/>
        </w:rPr>
        <w:t>3</w:t>
      </w:r>
      <w:r w:rsidRPr="006F19C7">
        <w:rPr>
          <w:spacing w:val="-2"/>
        </w:rPr>
        <w:tab/>
      </w:r>
      <w:r w:rsidR="00621959" w:rsidRPr="006F19C7">
        <w:rPr>
          <w:rFonts w:hint="cs"/>
          <w:spacing w:val="-2"/>
          <w:rtl/>
        </w:rPr>
        <w:t>و</w:t>
      </w:r>
      <w:r w:rsidR="00621959" w:rsidRPr="006F19C7">
        <w:rPr>
          <w:spacing w:val="-2"/>
          <w:rtl/>
        </w:rPr>
        <w:t xml:space="preserve">توسيع نطاق محتوى </w:t>
      </w:r>
      <w:r w:rsidR="00621959" w:rsidRPr="006F19C7">
        <w:rPr>
          <w:b/>
          <w:bCs/>
          <w:spacing w:val="-2"/>
          <w:rtl/>
        </w:rPr>
        <w:t>التدريب</w:t>
      </w:r>
      <w:r w:rsidR="00621959" w:rsidRPr="006F19C7">
        <w:rPr>
          <w:spacing w:val="-2"/>
          <w:rtl/>
        </w:rPr>
        <w:t xml:space="preserve"> وطرق تقديمه لتلبية احتياجات الوافدين الجدد والمندوبين ذوي الخبرة من البلدان النامية بشكل أفضل، بمن فيهم من يشغلون مناصب قيادية أو يرغبون في شغلها. ويقدم التدريب المحدث عبر </w:t>
      </w:r>
      <w:hyperlink r:id="rId147" w:anchor="/ar" w:history="1">
        <w:r w:rsidR="00621959" w:rsidRPr="006F19C7">
          <w:rPr>
            <w:rStyle w:val="Hyperlink"/>
            <w:noProof w:val="0"/>
            <w:spacing w:val="-2"/>
            <w:rtl/>
            <w:lang w:val="en-US" w:eastAsia="zh-CN" w:bidi="ar-SA"/>
          </w:rPr>
          <w:t>وحدات تدريبية إلكترونية</w:t>
        </w:r>
      </w:hyperlink>
      <w:r w:rsidR="00621959" w:rsidRPr="006F19C7">
        <w:rPr>
          <w:spacing w:val="-2"/>
          <w:rtl/>
        </w:rPr>
        <w:t xml:space="preserve">، واجتماعات إلكترونية </w:t>
      </w:r>
      <w:r w:rsidR="00621959" w:rsidRPr="006F19C7">
        <w:rPr>
          <w:rFonts w:hint="cs"/>
          <w:spacing w:val="-2"/>
          <w:rtl/>
        </w:rPr>
        <w:t>قائمة بذاتها</w:t>
      </w:r>
      <w:r w:rsidR="00621959" w:rsidRPr="006F19C7">
        <w:rPr>
          <w:spacing w:val="-2"/>
          <w:rtl/>
        </w:rPr>
        <w:t xml:space="preserve">، </w:t>
      </w:r>
      <w:r w:rsidR="00621959" w:rsidRPr="006F19C7">
        <w:rPr>
          <w:rFonts w:hint="cs"/>
          <w:spacing w:val="-2"/>
          <w:rtl/>
        </w:rPr>
        <w:t>وأحداث</w:t>
      </w:r>
      <w:r w:rsidR="00621959" w:rsidRPr="006F19C7">
        <w:rPr>
          <w:spacing w:val="-2"/>
          <w:rtl/>
        </w:rPr>
        <w:t xml:space="preserve"> حضورية، تعقد غالباً بالتزامن مع اجتماعات لجان الدراسات أو الأفرقة الإقليمية، مع التركيز بشكل أكبر على المهارات العملية والتعلم التفاعلي. ويتكامل هذا التدريب بشكل وثيق مع متطلبات بناء القدرات المنصوص عليها في </w:t>
      </w:r>
      <w:r w:rsidR="00621959" w:rsidRPr="006F19C7">
        <w:rPr>
          <w:rFonts w:hint="cs"/>
          <w:spacing w:val="-2"/>
          <w:rtl/>
        </w:rPr>
        <w:t>ال</w:t>
      </w:r>
      <w:r w:rsidR="00621959" w:rsidRPr="006F19C7">
        <w:rPr>
          <w:spacing w:val="-2"/>
          <w:rtl/>
        </w:rPr>
        <w:t xml:space="preserve">قرار </w:t>
      </w:r>
      <w:hyperlink r:id="rId148" w:history="1">
        <w:r w:rsidR="00621959" w:rsidRPr="006F19C7">
          <w:rPr>
            <w:rStyle w:val="Hyperlink"/>
            <w:noProof w:val="0"/>
            <w:spacing w:val="-2"/>
            <w:rtl/>
            <w:lang w:val="en-US" w:eastAsia="zh-CN" w:bidi="ar-SA"/>
          </w:rPr>
          <w:t>55</w:t>
        </w:r>
      </w:hyperlink>
      <w:r w:rsidR="00621959" w:rsidRPr="006F19C7">
        <w:rPr>
          <w:spacing w:val="-2"/>
          <w:rtl/>
        </w:rPr>
        <w:t xml:space="preserve"> (المساواة بين الجنسين) و</w:t>
      </w:r>
      <w:r w:rsidR="00621959" w:rsidRPr="006F19C7">
        <w:rPr>
          <w:rFonts w:hint="cs"/>
          <w:spacing w:val="-2"/>
          <w:rtl/>
        </w:rPr>
        <w:t xml:space="preserve">القرار </w:t>
      </w:r>
      <w:hyperlink r:id="rId149" w:history="1">
        <w:r w:rsidR="00621959" w:rsidRPr="006F19C7">
          <w:rPr>
            <w:rStyle w:val="Hyperlink"/>
            <w:noProof w:val="0"/>
            <w:spacing w:val="-2"/>
            <w:rtl/>
            <w:lang w:val="en-US" w:eastAsia="zh-CN" w:bidi="ar-SA"/>
          </w:rPr>
          <w:t>107</w:t>
        </w:r>
      </w:hyperlink>
      <w:r w:rsidR="00621959" w:rsidRPr="006F19C7">
        <w:rPr>
          <w:spacing w:val="-2"/>
          <w:rtl/>
        </w:rPr>
        <w:t xml:space="preserve"> (خبراء الجيل </w:t>
      </w:r>
      <w:r w:rsidR="001012B8" w:rsidRPr="006F19C7">
        <w:rPr>
          <w:rFonts w:hint="cs"/>
          <w:spacing w:val="-2"/>
          <w:rtl/>
          <w:lang w:bidi="ar-EG"/>
        </w:rPr>
        <w:t>القادم</w:t>
      </w:r>
      <w:r w:rsidR="00621959" w:rsidRPr="006F19C7">
        <w:rPr>
          <w:spacing w:val="-2"/>
          <w:rtl/>
        </w:rPr>
        <w:t>)</w:t>
      </w:r>
      <w:r w:rsidR="00621959" w:rsidRPr="006F19C7">
        <w:rPr>
          <w:rFonts w:hint="cs"/>
          <w:spacing w:val="-2"/>
          <w:rtl/>
        </w:rPr>
        <w:t xml:space="preserve"> للجمعية </w:t>
      </w:r>
      <w:r w:rsidR="00621959" w:rsidRPr="006F19C7">
        <w:rPr>
          <w:spacing w:val="-2"/>
          <w:lang w:val="en-CA" w:bidi="ar-EG"/>
        </w:rPr>
        <w:t>WTSA</w:t>
      </w:r>
      <w:r w:rsidR="00621959" w:rsidRPr="006F19C7">
        <w:rPr>
          <w:spacing w:val="-2"/>
          <w:rtl/>
        </w:rPr>
        <w:t xml:space="preserve">. وعقدت اثنان وستون </w:t>
      </w:r>
      <w:r w:rsidR="00621959" w:rsidRPr="006F19C7">
        <w:rPr>
          <w:rFonts w:hint="cs"/>
          <w:spacing w:val="-2"/>
          <w:rtl/>
        </w:rPr>
        <w:t>حدثاً</w:t>
      </w:r>
      <w:r w:rsidR="00621959" w:rsidRPr="006F19C7">
        <w:rPr>
          <w:spacing w:val="-2"/>
          <w:rtl/>
        </w:rPr>
        <w:t xml:space="preserve"> لبناء القدرات خلال الفترة المشمولة بالتقرير، حضورياً وعبر الإنترنت، ووصل عدد المشاركين فيها إلى أكثر من</w:t>
      </w:r>
      <w:r w:rsidR="006F19C7" w:rsidRPr="006F19C7">
        <w:rPr>
          <w:rFonts w:hint="cs"/>
          <w:spacing w:val="-2"/>
          <w:rtl/>
        </w:rPr>
        <w:t> </w:t>
      </w:r>
      <w:r w:rsidR="00621959" w:rsidRPr="006F19C7">
        <w:rPr>
          <w:rFonts w:hint="cs"/>
          <w:spacing w:val="-2"/>
          <w:rtl/>
        </w:rPr>
        <w:t>000 1</w:t>
      </w:r>
      <w:r w:rsidR="00621959" w:rsidRPr="006F19C7">
        <w:rPr>
          <w:spacing w:val="-2"/>
          <w:rtl/>
        </w:rPr>
        <w:t xml:space="preserve"> مشارك في</w:t>
      </w:r>
      <w:r w:rsidR="006F19C7">
        <w:rPr>
          <w:rFonts w:hint="cs"/>
          <w:spacing w:val="-2"/>
          <w:rtl/>
        </w:rPr>
        <w:t> </w:t>
      </w:r>
      <w:r w:rsidR="00621959" w:rsidRPr="006F19C7">
        <w:rPr>
          <w:spacing w:val="-2"/>
          <w:rtl/>
        </w:rPr>
        <w:t>عام</w:t>
      </w:r>
      <w:r w:rsidR="006F19C7">
        <w:rPr>
          <w:rFonts w:hint="cs"/>
          <w:spacing w:val="-2"/>
          <w:rtl/>
        </w:rPr>
        <w:t> </w:t>
      </w:r>
      <w:r w:rsidR="00621959" w:rsidRPr="006F19C7">
        <w:rPr>
          <w:spacing w:val="-2"/>
          <w:rtl/>
        </w:rPr>
        <w:t>2025 وحده. (لل</w:t>
      </w:r>
      <w:r w:rsidR="00621959" w:rsidRPr="006F19C7">
        <w:rPr>
          <w:rFonts w:hint="cs"/>
          <w:spacing w:val="-2"/>
          <w:rtl/>
        </w:rPr>
        <w:t>اطلاع على ال</w:t>
      </w:r>
      <w:r w:rsidR="00621959" w:rsidRPr="006F19C7">
        <w:rPr>
          <w:spacing w:val="-2"/>
          <w:rtl/>
        </w:rPr>
        <w:t xml:space="preserve">مزيد، انظر القسم </w:t>
      </w:r>
      <w:hyperlink w:anchor="_3.5.8.4_الحلقات_الدراسية" w:history="1">
        <w:r w:rsidR="00621959" w:rsidRPr="006F19C7">
          <w:rPr>
            <w:rStyle w:val="Hyperlink"/>
            <w:rFonts w:hint="cs"/>
            <w:noProof w:val="0"/>
            <w:spacing w:val="-2"/>
            <w:rtl/>
            <w:lang w:val="en-US" w:eastAsia="zh-CN"/>
          </w:rPr>
          <w:t>3.5.8.4</w:t>
        </w:r>
      </w:hyperlink>
      <w:r w:rsidR="00621959" w:rsidRPr="006F19C7">
        <w:rPr>
          <w:spacing w:val="-2"/>
          <w:rtl/>
        </w:rPr>
        <w:t>)</w:t>
      </w:r>
    </w:p>
    <w:p w14:paraId="1DFAB1B2" w14:textId="4E1F7E10" w:rsidR="00621959" w:rsidRPr="006F19C7" w:rsidRDefault="00D6243E" w:rsidP="00D6243E">
      <w:pPr>
        <w:pStyle w:val="enumlev1"/>
        <w:rPr>
          <w:spacing w:val="-2"/>
          <w:lang w:val="en-GB" w:bidi="ar-EG"/>
        </w:rPr>
      </w:pPr>
      <w:r w:rsidRPr="006F19C7">
        <w:rPr>
          <w:spacing w:val="-2"/>
        </w:rPr>
        <w:t>4</w:t>
      </w:r>
      <w:r w:rsidRPr="006F19C7">
        <w:rPr>
          <w:spacing w:val="-2"/>
        </w:rPr>
        <w:tab/>
      </w:r>
      <w:r w:rsidR="00621959" w:rsidRPr="006F19C7">
        <w:rPr>
          <w:rFonts w:hint="cs"/>
          <w:b/>
          <w:bCs/>
          <w:spacing w:val="-2"/>
          <w:rtl/>
        </w:rPr>
        <w:t>و</w:t>
      </w:r>
      <w:r w:rsidR="00621959" w:rsidRPr="006F19C7">
        <w:rPr>
          <w:b/>
          <w:bCs/>
          <w:spacing w:val="-2"/>
          <w:rtl/>
        </w:rPr>
        <w:t>تعزيز أساليب العمل الإلكترونية</w:t>
      </w:r>
      <w:r w:rsidR="00621959" w:rsidRPr="006F19C7">
        <w:rPr>
          <w:spacing w:val="-2"/>
          <w:rtl/>
        </w:rPr>
        <w:t xml:space="preserve"> لتيسير مشاركة المندوبين من البلدان النامية، ولا سيما من خلال </w:t>
      </w:r>
      <w:hyperlink r:id="rId150" w:history="1">
        <w:r w:rsidR="00621959" w:rsidRPr="006F19C7">
          <w:rPr>
            <w:rStyle w:val="Hyperlink"/>
            <w:rFonts w:hint="cs"/>
            <w:noProof w:val="0"/>
            <w:spacing w:val="-2"/>
            <w:rtl/>
            <w:lang w:val="en-US" w:eastAsia="zh-CN" w:bidi="ar-SA"/>
          </w:rPr>
          <w:t>منصة</w:t>
        </w:r>
        <w:r w:rsidR="006F19C7" w:rsidRPr="006F19C7">
          <w:rPr>
            <w:rStyle w:val="Hyperlink"/>
            <w:rFonts w:hint="eastAsia"/>
            <w:noProof w:val="0"/>
            <w:spacing w:val="-2"/>
            <w:rtl/>
            <w:lang w:val="en-US" w:eastAsia="zh-CN" w:bidi="ar-SA"/>
          </w:rPr>
          <w:t> </w:t>
        </w:r>
        <w:proofErr w:type="spellStart"/>
        <w:r w:rsidR="00621959" w:rsidRPr="006F19C7">
          <w:rPr>
            <w:rStyle w:val="Hyperlink"/>
            <w:noProof w:val="0"/>
            <w:spacing w:val="-2"/>
            <w:lang w:eastAsia="zh-CN" w:bidi="ar-EG"/>
          </w:rPr>
          <w:t>MyWorkspace</w:t>
        </w:r>
        <w:proofErr w:type="spellEnd"/>
      </w:hyperlink>
      <w:r w:rsidR="00621959" w:rsidRPr="006F19C7">
        <w:rPr>
          <w:spacing w:val="-2"/>
          <w:rtl/>
        </w:rPr>
        <w:t xml:space="preserve"> وتحسين خدمات اللغة، مثل الترجمة الآلية عند الطلب لوثائق الاجتماعات الرسمية عبر نظام إدارة الوثائق </w:t>
      </w:r>
      <w:r w:rsidR="00621959" w:rsidRPr="006F19C7">
        <w:rPr>
          <w:rFonts w:hint="cs"/>
          <w:spacing w:val="-2"/>
          <w:rtl/>
        </w:rPr>
        <w:t>في ا</w:t>
      </w:r>
      <w:r w:rsidR="00621959" w:rsidRPr="006F19C7">
        <w:rPr>
          <w:spacing w:val="-2"/>
          <w:rtl/>
        </w:rPr>
        <w:t>لاتحاد. وتعزز هذه التحسينات تنفيذ الاتحاد ل</w:t>
      </w:r>
      <w:r w:rsidR="00621959" w:rsidRPr="006F19C7">
        <w:rPr>
          <w:rFonts w:hint="cs"/>
          <w:spacing w:val="-2"/>
          <w:rtl/>
        </w:rPr>
        <w:t>ل</w:t>
      </w:r>
      <w:r w:rsidR="00621959" w:rsidRPr="006F19C7">
        <w:rPr>
          <w:spacing w:val="-2"/>
          <w:rtl/>
        </w:rPr>
        <w:t xml:space="preserve">قرار </w:t>
      </w:r>
      <w:hyperlink r:id="rId151" w:history="1">
        <w:r w:rsidR="00621959" w:rsidRPr="006F19C7">
          <w:rPr>
            <w:rStyle w:val="Hyperlink"/>
            <w:noProof w:val="0"/>
            <w:spacing w:val="-2"/>
            <w:rtl/>
            <w:lang w:val="en-US" w:eastAsia="zh-CN" w:bidi="ar-SA"/>
          </w:rPr>
          <w:t>32</w:t>
        </w:r>
      </w:hyperlink>
      <w:r w:rsidR="00621959" w:rsidRPr="006F19C7">
        <w:rPr>
          <w:spacing w:val="-2"/>
          <w:rtl/>
        </w:rPr>
        <w:t xml:space="preserve"> (تعزيز </w:t>
      </w:r>
      <w:r w:rsidR="001012B8" w:rsidRPr="006F19C7">
        <w:rPr>
          <w:rFonts w:hint="cs"/>
          <w:spacing w:val="-2"/>
          <w:rtl/>
        </w:rPr>
        <w:t>وسائل</w:t>
      </w:r>
      <w:r w:rsidR="00621959" w:rsidRPr="006F19C7">
        <w:rPr>
          <w:spacing w:val="-2"/>
          <w:rtl/>
        </w:rPr>
        <w:t xml:space="preserve"> العمل الإلكترونية) و</w:t>
      </w:r>
      <w:r w:rsidR="00621959" w:rsidRPr="006F19C7">
        <w:rPr>
          <w:rFonts w:hint="cs"/>
          <w:spacing w:val="-2"/>
          <w:rtl/>
        </w:rPr>
        <w:t>القرار</w:t>
      </w:r>
      <w:r w:rsidR="006F19C7" w:rsidRPr="006F19C7">
        <w:rPr>
          <w:rFonts w:hint="cs"/>
          <w:spacing w:val="-2"/>
          <w:rtl/>
        </w:rPr>
        <w:t> </w:t>
      </w:r>
      <w:hyperlink r:id="rId152" w:history="1">
        <w:r w:rsidR="00621959" w:rsidRPr="006F19C7">
          <w:rPr>
            <w:rStyle w:val="Hyperlink"/>
            <w:noProof w:val="0"/>
            <w:spacing w:val="-2"/>
            <w:rtl/>
            <w:lang w:val="en-US" w:eastAsia="zh-CN" w:bidi="ar-SA"/>
          </w:rPr>
          <w:t>67</w:t>
        </w:r>
      </w:hyperlink>
      <w:r w:rsidR="00621959" w:rsidRPr="006F19C7">
        <w:rPr>
          <w:spacing w:val="-2"/>
          <w:rtl/>
        </w:rPr>
        <w:t xml:space="preserve"> (استعمال جميع اللغات الرسمية على قدم المساواة)</w:t>
      </w:r>
      <w:r w:rsidR="00621959" w:rsidRPr="006F19C7">
        <w:rPr>
          <w:rFonts w:hint="cs"/>
          <w:spacing w:val="-2"/>
          <w:rtl/>
        </w:rPr>
        <w:t xml:space="preserve"> للجمعية </w:t>
      </w:r>
      <w:r w:rsidR="00621959" w:rsidRPr="006F19C7">
        <w:rPr>
          <w:spacing w:val="-2"/>
          <w:lang w:val="en-CA" w:bidi="ar-EG"/>
        </w:rPr>
        <w:t>WTSA</w:t>
      </w:r>
      <w:r w:rsidR="00621959" w:rsidRPr="006F19C7">
        <w:rPr>
          <w:spacing w:val="-2"/>
          <w:rtl/>
        </w:rPr>
        <w:t>.</w:t>
      </w:r>
    </w:p>
    <w:p w14:paraId="357FBA1A" w14:textId="17C39473" w:rsidR="00621959" w:rsidRPr="00621959" w:rsidRDefault="00D6243E" w:rsidP="00D6243E">
      <w:pPr>
        <w:pStyle w:val="enumlev1"/>
        <w:rPr>
          <w:lang w:val="en-GB" w:bidi="ar-EG"/>
        </w:rPr>
      </w:pPr>
      <w:r w:rsidRPr="00D6243E">
        <w:t>5</w:t>
      </w:r>
      <w:r w:rsidRPr="00D6243E">
        <w:tab/>
      </w:r>
      <w:r w:rsidR="00621959" w:rsidRPr="00621959">
        <w:rPr>
          <w:rFonts w:hint="cs"/>
          <w:b/>
          <w:bCs/>
          <w:rtl/>
        </w:rPr>
        <w:t>و</w:t>
      </w:r>
      <w:r w:rsidR="00621959" w:rsidRPr="00621959">
        <w:rPr>
          <w:b/>
          <w:bCs/>
          <w:rtl/>
        </w:rPr>
        <w:t>التعاون مع الشركاء</w:t>
      </w:r>
      <w:r w:rsidR="00621959" w:rsidRPr="00621959">
        <w:rPr>
          <w:rtl/>
        </w:rPr>
        <w:t>، بمن فيهم الرعاة والمضيفون، بالإضافة إلى مكتب تنمية الاتصالات</w:t>
      </w:r>
      <w:r w:rsidR="001012B8">
        <w:rPr>
          <w:rFonts w:hint="cs"/>
          <w:rtl/>
        </w:rPr>
        <w:t xml:space="preserve"> </w:t>
      </w:r>
      <w:r w:rsidR="001012B8">
        <w:t>(BDT)</w:t>
      </w:r>
      <w:r w:rsidR="00621959" w:rsidRPr="00621959">
        <w:rPr>
          <w:rtl/>
        </w:rPr>
        <w:t xml:space="preserve"> بالاتحاد والمكاتب الإقليمية/</w:t>
      </w:r>
      <w:r w:rsidR="00621959" w:rsidRPr="00621959">
        <w:rPr>
          <w:rFonts w:hint="cs"/>
          <w:rtl/>
        </w:rPr>
        <w:t>مكاتب المناطق التابعة</w:t>
      </w:r>
      <w:r w:rsidR="00621959" w:rsidRPr="00621959">
        <w:rPr>
          <w:rtl/>
        </w:rPr>
        <w:t xml:space="preserve"> للاتحاد، لرفع مستوى الوعي وبناء القدرات الإقليمية. ويدعو </w:t>
      </w:r>
      <w:r w:rsidR="00621959" w:rsidRPr="00621959">
        <w:rPr>
          <w:rFonts w:hint="cs"/>
          <w:rtl/>
        </w:rPr>
        <w:t>ال</w:t>
      </w:r>
      <w:r w:rsidR="00621959" w:rsidRPr="00621959">
        <w:rPr>
          <w:rtl/>
        </w:rPr>
        <w:t>قرار</w:t>
      </w:r>
      <w:r w:rsidR="001012B8">
        <w:rPr>
          <w:rFonts w:hint="eastAsia"/>
          <w:rtl/>
          <w:lang w:bidi="ar-EG"/>
        </w:rPr>
        <w:t> </w:t>
      </w:r>
      <w:r w:rsidR="00621959" w:rsidRPr="00621959">
        <w:rPr>
          <w:rFonts w:hint="cs"/>
          <w:rtl/>
        </w:rPr>
        <w:t xml:space="preserve">44 للجمعية </w:t>
      </w:r>
      <w:r w:rsidR="00621959" w:rsidRPr="00621959">
        <w:rPr>
          <w:lang w:val="en-CA" w:bidi="ar-EG"/>
        </w:rPr>
        <w:t>WTSA</w:t>
      </w:r>
      <w:r w:rsidR="00621959" w:rsidRPr="00621959">
        <w:rPr>
          <w:rtl/>
        </w:rPr>
        <w:t xml:space="preserve"> جميع أصحاب المصلحة إلى تقديم مساهمات طوعية لتيسير جهود </w:t>
      </w:r>
      <w:r w:rsidR="00621959" w:rsidRPr="00621959">
        <w:rPr>
          <w:rFonts w:hint="cs"/>
          <w:rtl/>
        </w:rPr>
        <w:t>قطاع تقييس الاتصالات</w:t>
      </w:r>
      <w:r w:rsidR="00621959" w:rsidRPr="00621959">
        <w:rPr>
          <w:rtl/>
        </w:rPr>
        <w:t xml:space="preserve"> في سد الفجوة التقييسية. وعلى سبيل المثال، دعمت وزارة الشؤون الداخلية والاتصالات </w:t>
      </w:r>
      <w:r w:rsidR="00621959" w:rsidRPr="00621959">
        <w:rPr>
          <w:rFonts w:hint="cs"/>
          <w:rtl/>
        </w:rPr>
        <w:t xml:space="preserve">في </w:t>
      </w:r>
      <w:r w:rsidR="00621959" w:rsidRPr="00621959">
        <w:rPr>
          <w:rtl/>
        </w:rPr>
        <w:t>اليابان الأنشطة منذ عام 2023، وكان آخرها من خلال مشروع "</w:t>
      </w:r>
      <w:hyperlink r:id="rId153" w:history="1">
        <w:r w:rsidR="00621959" w:rsidRPr="00621959">
          <w:rPr>
            <w:rStyle w:val="Hyperlink"/>
            <w:noProof w:val="0"/>
            <w:rtl/>
            <w:lang w:val="en-US" w:eastAsia="zh-CN" w:bidi="ar-SA"/>
          </w:rPr>
          <w:t>بناء القدرات في مجال تكنولوجيا ومعايير الذكاء الاصطناعي في منطقة آسيا والمحيط الهادئ</w:t>
        </w:r>
      </w:hyperlink>
      <w:r w:rsidR="00621959" w:rsidRPr="00621959">
        <w:rPr>
          <w:rtl/>
        </w:rPr>
        <w:t xml:space="preserve">"، الذي قدم بحلول ديسمبر 2025 أربع ورش عمل لبناء القدرات في جميع أنحاء منطقة آسيا، ووصل إلى أكثر من 200 مشارك من </w:t>
      </w:r>
      <w:r w:rsidR="00621959" w:rsidRPr="00621959">
        <w:rPr>
          <w:rFonts w:hint="cs"/>
          <w:rtl/>
        </w:rPr>
        <w:t xml:space="preserve">المشاركين في </w:t>
      </w:r>
      <w:r w:rsidR="00621959" w:rsidRPr="00621959">
        <w:rPr>
          <w:rtl/>
        </w:rPr>
        <w:t>سد الفجوة التقييسية.</w:t>
      </w:r>
    </w:p>
    <w:p w14:paraId="00135961" w14:textId="0CC74249" w:rsidR="00621959" w:rsidRPr="00621959" w:rsidRDefault="00D6243E" w:rsidP="00D6243E">
      <w:pPr>
        <w:pStyle w:val="enumlev1"/>
        <w:rPr>
          <w:lang w:val="en-GB" w:bidi="ar-EG"/>
        </w:rPr>
      </w:pPr>
      <w:r>
        <w:t>6</w:t>
      </w:r>
      <w:r>
        <w:tab/>
      </w:r>
      <w:r w:rsidR="00621959" w:rsidRPr="00621959">
        <w:rPr>
          <w:rFonts w:hint="cs"/>
          <w:rtl/>
        </w:rPr>
        <w:t>و</w:t>
      </w:r>
      <w:r w:rsidR="00621959" w:rsidRPr="00621959">
        <w:rPr>
          <w:rtl/>
        </w:rPr>
        <w:t xml:space="preserve">تبسيط وتنسيق </w:t>
      </w:r>
      <w:r w:rsidR="00621959" w:rsidRPr="00621959">
        <w:rPr>
          <w:b/>
          <w:bCs/>
          <w:rtl/>
        </w:rPr>
        <w:t xml:space="preserve">تحليل البيانات الداخلية وأساليب العمل </w:t>
      </w:r>
      <w:r w:rsidR="00621959" w:rsidRPr="00621959">
        <w:rPr>
          <w:rFonts w:hint="cs"/>
          <w:b/>
          <w:bCs/>
          <w:rtl/>
        </w:rPr>
        <w:t>وإدماج</w:t>
      </w:r>
      <w:r w:rsidR="00621959" w:rsidRPr="00621959">
        <w:rPr>
          <w:b/>
          <w:bCs/>
          <w:rtl/>
        </w:rPr>
        <w:t xml:space="preserve"> المندوبين</w:t>
      </w:r>
      <w:r w:rsidR="00621959" w:rsidRPr="00621959">
        <w:rPr>
          <w:rtl/>
        </w:rPr>
        <w:t xml:space="preserve"> لمساعدة المندوبين، وخاصة </w:t>
      </w:r>
      <w:r w:rsidR="00621959" w:rsidRPr="00621959">
        <w:rPr>
          <w:rFonts w:hint="cs"/>
          <w:rtl/>
        </w:rPr>
        <w:t>مندوبي</w:t>
      </w:r>
      <w:r w:rsidR="00621959" w:rsidRPr="00621959">
        <w:rPr>
          <w:rtl/>
        </w:rPr>
        <w:t xml:space="preserve"> البلدان النامية، على المساهمة بفعالية في </w:t>
      </w:r>
      <w:r w:rsidR="00621959" w:rsidRPr="00621959">
        <w:rPr>
          <w:rFonts w:hint="cs"/>
          <w:rtl/>
        </w:rPr>
        <w:t>أحداث</w:t>
      </w:r>
      <w:r w:rsidR="00621959" w:rsidRPr="00621959">
        <w:rPr>
          <w:rtl/>
        </w:rPr>
        <w:t xml:space="preserve"> </w:t>
      </w:r>
      <w:r w:rsidR="00621959" w:rsidRPr="00621959">
        <w:rPr>
          <w:rFonts w:hint="cs"/>
          <w:rtl/>
        </w:rPr>
        <w:t>قطاع تقييس الاتصالات</w:t>
      </w:r>
      <w:r w:rsidR="00621959" w:rsidRPr="00621959">
        <w:rPr>
          <w:rtl/>
        </w:rPr>
        <w:t xml:space="preserve">، وتقديم تقارير عن التقدم المحرز في تنفيذ </w:t>
      </w:r>
      <w:r w:rsidR="00621959" w:rsidRPr="00621959">
        <w:rPr>
          <w:rFonts w:hint="cs"/>
          <w:rtl/>
        </w:rPr>
        <w:t>ال</w:t>
      </w:r>
      <w:r w:rsidR="00621959" w:rsidRPr="00621959">
        <w:rPr>
          <w:rtl/>
        </w:rPr>
        <w:t xml:space="preserve">قرار 44 </w:t>
      </w:r>
      <w:r w:rsidR="00621959" w:rsidRPr="00621959">
        <w:rPr>
          <w:rFonts w:hint="cs"/>
          <w:rtl/>
        </w:rPr>
        <w:t xml:space="preserve">الصادر </w:t>
      </w:r>
      <w:r w:rsidR="00DF72B8">
        <w:rPr>
          <w:rFonts w:hint="cs"/>
          <w:rtl/>
        </w:rPr>
        <w:t>عن</w:t>
      </w:r>
      <w:r w:rsidR="00621959" w:rsidRPr="00621959">
        <w:rPr>
          <w:rFonts w:hint="cs"/>
          <w:rtl/>
        </w:rPr>
        <w:t xml:space="preserve"> الجمعية </w:t>
      </w:r>
      <w:r w:rsidR="00621959" w:rsidRPr="00621959">
        <w:rPr>
          <w:lang w:val="en-CA" w:bidi="ar-EG"/>
        </w:rPr>
        <w:t>WTSA</w:t>
      </w:r>
      <w:r w:rsidR="00621959" w:rsidRPr="00621959">
        <w:rPr>
          <w:rFonts w:hint="cs"/>
          <w:rtl/>
          <w:lang w:bidi="ar-EG"/>
        </w:rPr>
        <w:t xml:space="preserve"> </w:t>
      </w:r>
      <w:r w:rsidR="00621959" w:rsidRPr="00621959">
        <w:rPr>
          <w:rtl/>
        </w:rPr>
        <w:t xml:space="preserve">إلى المجلس والجمعية </w:t>
      </w:r>
      <w:r w:rsidR="00621959" w:rsidRPr="00621959">
        <w:rPr>
          <w:lang w:val="en-CA" w:bidi="ar-EG"/>
        </w:rPr>
        <w:t>WTSA</w:t>
      </w:r>
      <w:r w:rsidR="00621959" w:rsidRPr="00621959">
        <w:rPr>
          <w:rtl/>
        </w:rPr>
        <w:t xml:space="preserve"> والفريق الاستشاري لتقييس الاتصالات.</w:t>
      </w:r>
    </w:p>
    <w:p w14:paraId="0158A13A" w14:textId="7B201E5F" w:rsidR="00621959" w:rsidRPr="00621959" w:rsidRDefault="00D6243E" w:rsidP="00D6243E">
      <w:pPr>
        <w:pStyle w:val="enumlev1"/>
        <w:rPr>
          <w:lang w:val="en-GB" w:bidi="ar-EG"/>
        </w:rPr>
      </w:pPr>
      <w:r>
        <w:t>7</w:t>
      </w:r>
      <w:r>
        <w:tab/>
      </w:r>
      <w:r w:rsidR="00621959" w:rsidRPr="00621959">
        <w:rPr>
          <w:rFonts w:hint="cs"/>
          <w:rtl/>
        </w:rPr>
        <w:t>وتعزيز</w:t>
      </w:r>
      <w:r w:rsidR="00621959" w:rsidRPr="00621959">
        <w:rPr>
          <w:rtl/>
        </w:rPr>
        <w:t xml:space="preserve"> </w:t>
      </w:r>
      <w:hyperlink r:id="rId154" w:history="1">
        <w:r w:rsidR="00621959" w:rsidRPr="00621959">
          <w:rPr>
            <w:rStyle w:val="Hyperlink"/>
            <w:noProof w:val="0"/>
            <w:rtl/>
            <w:lang w:val="en-US" w:eastAsia="zh-CN" w:bidi="ar-SA"/>
          </w:rPr>
          <w:t>المبادئ التوجيهية لأمانات التقييس الوطنية</w:t>
        </w:r>
      </w:hyperlink>
      <w:r w:rsidR="00621959" w:rsidRPr="00621959">
        <w:rPr>
          <w:rtl/>
        </w:rPr>
        <w:t xml:space="preserve">، والتي تحدد آليات عملية لتطوير الهياكل والإجراءات الوطنية لدعم المشاركة الفعالة في أنشطة </w:t>
      </w:r>
      <w:r w:rsidR="00DF72B8">
        <w:rPr>
          <w:rFonts w:hint="cs"/>
          <w:rtl/>
        </w:rPr>
        <w:t>قطاع تقييس الاتصالات</w:t>
      </w:r>
      <w:r w:rsidR="00621959" w:rsidRPr="00621959">
        <w:rPr>
          <w:rtl/>
        </w:rPr>
        <w:t xml:space="preserve"> بما يتماشى مع أولويات التقييس الوطنية.</w:t>
      </w:r>
    </w:p>
    <w:p w14:paraId="402DF062" w14:textId="4C33C763" w:rsidR="00621959" w:rsidRPr="00621959" w:rsidRDefault="00D6243E" w:rsidP="00D6243E">
      <w:pPr>
        <w:pStyle w:val="enumlev1"/>
        <w:rPr>
          <w:lang w:val="en-GB" w:bidi="ar-EG"/>
        </w:rPr>
      </w:pPr>
      <w:r>
        <w:t>8</w:t>
      </w:r>
      <w:r>
        <w:tab/>
      </w:r>
      <w:r w:rsidR="00621959" w:rsidRPr="00621959">
        <w:rPr>
          <w:rFonts w:hint="cs"/>
          <w:rtl/>
        </w:rPr>
        <w:t>و</w:t>
      </w:r>
      <w:r w:rsidR="00621959" w:rsidRPr="00621959">
        <w:rPr>
          <w:rtl/>
        </w:rPr>
        <w:t xml:space="preserve">المشاركة في مجموعة من المبادرات التي تعزز تنفيذ توصيات قطاع تقييس الاتصالات، بما في ذلك: </w:t>
      </w:r>
      <w:hyperlink r:id="rId155" w:history="1">
        <w:r w:rsidR="00621959" w:rsidRPr="00621959">
          <w:rPr>
            <w:rStyle w:val="Hyperlink"/>
            <w:noProof w:val="0"/>
            <w:rtl/>
            <w:lang w:val="en-US" w:eastAsia="zh-CN" w:bidi="ar-SA"/>
          </w:rPr>
          <w:t>المخلفات الإلكترونية</w:t>
        </w:r>
      </w:hyperlink>
      <w:r w:rsidR="00621959" w:rsidRPr="00621959">
        <w:rPr>
          <w:rtl/>
        </w:rPr>
        <w:t>، و</w:t>
      </w:r>
      <w:hyperlink r:id="rId156" w:anchor="/ar" w:history="1">
        <w:r w:rsidR="00621959" w:rsidRPr="00621959">
          <w:rPr>
            <w:rStyle w:val="Hyperlink"/>
            <w:noProof w:val="0"/>
            <w:rtl/>
            <w:lang w:val="en-US" w:eastAsia="zh-CN" w:bidi="ar-SA"/>
          </w:rPr>
          <w:t>مختبر أمن الخدمات المالية الرقمية</w:t>
        </w:r>
      </w:hyperlink>
      <w:r w:rsidR="00621959" w:rsidRPr="00621959">
        <w:rPr>
          <w:rtl/>
        </w:rPr>
        <w:t>، ومبادرة متحدون من أجل مدن ذكية مستدامة (</w:t>
      </w:r>
      <w:hyperlink r:id="rId157" w:anchor="/ar" w:history="1">
        <w:r w:rsidR="00621959" w:rsidRPr="00621959">
          <w:rPr>
            <w:rStyle w:val="Hyperlink"/>
            <w:noProof w:val="0"/>
            <w:lang w:eastAsia="zh-CN" w:bidi="ar-EG"/>
          </w:rPr>
          <w:t>U4SSC</w:t>
        </w:r>
      </w:hyperlink>
      <w:r w:rsidR="00621959" w:rsidRPr="00621959">
        <w:rPr>
          <w:rtl/>
        </w:rPr>
        <w:t>)، و</w:t>
      </w:r>
      <w:hyperlink r:id="rId158" w:history="1">
        <w:r w:rsidR="00621959" w:rsidRPr="00621959">
          <w:rPr>
            <w:rStyle w:val="Hyperlink"/>
            <w:rFonts w:hint="cs"/>
            <w:noProof w:val="0"/>
            <w:rtl/>
            <w:lang w:val="en-US" w:eastAsia="zh-CN" w:bidi="ar-SA"/>
          </w:rPr>
          <w:t>المطابقة</w:t>
        </w:r>
        <w:r w:rsidR="00621959" w:rsidRPr="00621959">
          <w:rPr>
            <w:rStyle w:val="Hyperlink"/>
            <w:noProof w:val="0"/>
            <w:rtl/>
            <w:lang w:val="en-US" w:eastAsia="zh-CN" w:bidi="ar-SA"/>
          </w:rPr>
          <w:t xml:space="preserve"> وقابلية التشغيل البيني (</w:t>
        </w:r>
        <w:r w:rsidR="00621959" w:rsidRPr="00621959">
          <w:rPr>
            <w:rStyle w:val="Hyperlink"/>
            <w:noProof w:val="0"/>
            <w:lang w:eastAsia="zh-CN" w:bidi="ar-EG"/>
          </w:rPr>
          <w:t>C&amp;I</w:t>
        </w:r>
        <w:r w:rsidR="00621959" w:rsidRPr="00621959">
          <w:rPr>
            <w:rStyle w:val="Hyperlink"/>
            <w:noProof w:val="0"/>
            <w:rtl/>
            <w:lang w:val="en-US" w:eastAsia="zh-CN" w:bidi="ar-SA"/>
          </w:rPr>
          <w:t>)</w:t>
        </w:r>
      </w:hyperlink>
      <w:r w:rsidR="00621959" w:rsidRPr="00621959">
        <w:rPr>
          <w:rtl/>
        </w:rPr>
        <w:t>، و</w:t>
      </w:r>
      <w:hyperlink r:id="rId159" w:history="1">
        <w:r w:rsidR="00621959" w:rsidRPr="00621959">
          <w:rPr>
            <w:rStyle w:val="Hyperlink"/>
            <w:noProof w:val="0"/>
            <w:rtl/>
            <w:lang w:val="en-US" w:eastAsia="zh-CN" w:bidi="ar-SA"/>
          </w:rPr>
          <w:t>الاستماع الآمن</w:t>
        </w:r>
      </w:hyperlink>
      <w:r w:rsidR="00621959" w:rsidRPr="00621959">
        <w:rPr>
          <w:rtl/>
        </w:rPr>
        <w:t>.</w:t>
      </w:r>
    </w:p>
    <w:p w14:paraId="3D6BBD94" w14:textId="77777777" w:rsidR="00621959" w:rsidRPr="00621959" w:rsidRDefault="00621959" w:rsidP="001012B8">
      <w:pPr>
        <w:pStyle w:val="Heading2"/>
        <w:rPr>
          <w:lang w:val="en-GB" w:bidi="ar-EG"/>
        </w:rPr>
      </w:pPr>
      <w:bookmarkStart w:id="71" w:name="_Toc227252587"/>
      <w:r w:rsidRPr="00621959">
        <w:rPr>
          <w:rtl/>
        </w:rPr>
        <w:t>4.4</w:t>
      </w:r>
      <w:r w:rsidRPr="00621959">
        <w:rPr>
          <w:rtl/>
        </w:rPr>
        <w:tab/>
        <w:t>وضع أطر السياسات ومنتجات المعرفة</w:t>
      </w:r>
      <w:bookmarkEnd w:id="71"/>
    </w:p>
    <w:p w14:paraId="6954BB18" w14:textId="6AAAE1FA" w:rsidR="00621959" w:rsidRPr="001012B8" w:rsidRDefault="00621959" w:rsidP="008A5A1B">
      <w:pPr>
        <w:rPr>
          <w:lang w:val="en-GB" w:bidi="ar-EG"/>
        </w:rPr>
      </w:pPr>
      <w:r w:rsidRPr="001012B8">
        <w:rPr>
          <w:rFonts w:hint="cs"/>
          <w:rtl/>
        </w:rPr>
        <w:t>يُعِد</w:t>
      </w:r>
      <w:r w:rsidRPr="001012B8">
        <w:rPr>
          <w:rtl/>
        </w:rPr>
        <w:t xml:space="preserve"> الاتحاد </w:t>
      </w:r>
      <w:r w:rsidRPr="001012B8">
        <w:rPr>
          <w:rFonts w:hint="cs"/>
          <w:rtl/>
        </w:rPr>
        <w:t>كتيبات</w:t>
      </w:r>
      <w:r w:rsidRPr="001012B8">
        <w:rPr>
          <w:rtl/>
        </w:rPr>
        <w:t xml:space="preserve"> وتقارير تقنية وأوراقاً، من خلال </w:t>
      </w:r>
      <w:r w:rsidRPr="001012B8">
        <w:rPr>
          <w:rFonts w:hint="cs"/>
          <w:rtl/>
        </w:rPr>
        <w:t>جملة أمور من بينها لجان الدراسات التابعة له</w:t>
      </w:r>
      <w:r w:rsidRPr="001012B8">
        <w:rPr>
          <w:rtl/>
        </w:rPr>
        <w:t>، لمساعدة أعضائه في</w:t>
      </w:r>
      <w:r w:rsidR="001012B8">
        <w:rPr>
          <w:rFonts w:hint="eastAsia"/>
          <w:rtl/>
          <w:lang w:bidi="ar-EG"/>
        </w:rPr>
        <w:t> </w:t>
      </w:r>
      <w:r w:rsidRPr="001012B8">
        <w:rPr>
          <w:rtl/>
        </w:rPr>
        <w:t>مسائل الاتصالات</w:t>
      </w:r>
      <w:r w:rsidRPr="001012B8">
        <w:rPr>
          <w:rFonts w:hint="cs"/>
          <w:rtl/>
        </w:rPr>
        <w:t>/</w:t>
      </w:r>
      <w:r w:rsidRPr="001012B8">
        <w:rPr>
          <w:rtl/>
        </w:rPr>
        <w:t xml:space="preserve">تكنولوجيا المعلومات والاتصالات (انظر، على سبيل المثال، </w:t>
      </w:r>
      <w:r w:rsidRPr="006336CD">
        <w:rPr>
          <w:rtl/>
        </w:rPr>
        <w:t xml:space="preserve">القسم </w:t>
      </w:r>
      <w:hyperlink w:anchor="_3.4_وضع_المعايير" w:history="1">
        <w:r w:rsidRPr="006336CD">
          <w:rPr>
            <w:rStyle w:val="Hyperlink"/>
            <w:rFonts w:hint="cs"/>
            <w:noProof w:val="0"/>
            <w:rtl/>
            <w:lang w:val="en-US" w:eastAsia="zh-CN"/>
          </w:rPr>
          <w:t>3.4</w:t>
        </w:r>
      </w:hyperlink>
      <w:r w:rsidRPr="006336CD">
        <w:rPr>
          <w:rtl/>
        </w:rPr>
        <w:t xml:space="preserve"> أعلاه). ويتم</w:t>
      </w:r>
      <w:r w:rsidRPr="001012B8">
        <w:rPr>
          <w:rtl/>
        </w:rPr>
        <w:t xml:space="preserve"> جمع أفضل الممارسات من الدول الأعضاء والقطاع الخاص والهيئات </w:t>
      </w:r>
      <w:r w:rsidRPr="001012B8">
        <w:rPr>
          <w:rFonts w:hint="cs"/>
          <w:rtl/>
        </w:rPr>
        <w:t>البحثية و</w:t>
      </w:r>
      <w:r w:rsidRPr="001012B8">
        <w:rPr>
          <w:rtl/>
        </w:rPr>
        <w:t>الأكاديمية، ومشاركتها مع الدول الأعضاء.</w:t>
      </w:r>
    </w:p>
    <w:p w14:paraId="729A69DF" w14:textId="77777777" w:rsidR="00621959" w:rsidRPr="00621959" w:rsidRDefault="00621959" w:rsidP="008A5A1B">
      <w:pPr>
        <w:rPr>
          <w:lang w:val="en-GB" w:bidi="ar-EG"/>
        </w:rPr>
      </w:pPr>
      <w:r w:rsidRPr="00621959">
        <w:rPr>
          <w:rFonts w:hint="cs"/>
          <w:rtl/>
        </w:rPr>
        <w:t>و</w:t>
      </w:r>
      <w:r w:rsidRPr="00621959">
        <w:rPr>
          <w:rtl/>
        </w:rPr>
        <w:t>يوفر الاتحاد منتجات وأدوات تبادل المعرفة</w:t>
      </w:r>
      <w:r w:rsidRPr="00621959">
        <w:rPr>
          <w:rFonts w:hint="cs"/>
          <w:rtl/>
        </w:rPr>
        <w:t xml:space="preserve"> لتمكين</w:t>
      </w:r>
      <w:r w:rsidRPr="00621959">
        <w:rPr>
          <w:rtl/>
        </w:rPr>
        <w:t xml:space="preserve"> </w:t>
      </w:r>
      <w:r w:rsidRPr="00621959">
        <w:rPr>
          <w:rFonts w:hint="cs"/>
          <w:rtl/>
        </w:rPr>
        <w:t xml:space="preserve">إجراء </w:t>
      </w:r>
      <w:r w:rsidRPr="00621959">
        <w:rPr>
          <w:rtl/>
        </w:rPr>
        <w:t>الحوار</w:t>
      </w:r>
      <w:r w:rsidRPr="00621959">
        <w:rPr>
          <w:rFonts w:hint="cs"/>
          <w:rtl/>
        </w:rPr>
        <w:t>ات</w:t>
      </w:r>
      <w:r w:rsidRPr="00621959">
        <w:rPr>
          <w:rtl/>
        </w:rPr>
        <w:t xml:space="preserve"> وتعز</w:t>
      </w:r>
      <w:r w:rsidRPr="00621959">
        <w:rPr>
          <w:rFonts w:hint="cs"/>
          <w:rtl/>
        </w:rPr>
        <w:t>ي</w:t>
      </w:r>
      <w:r w:rsidRPr="00621959">
        <w:rPr>
          <w:rtl/>
        </w:rPr>
        <w:t xml:space="preserve">ز التعاون، مما يساعد البلدان على تحقيق أقصى استفادة من </w:t>
      </w:r>
      <w:r w:rsidRPr="00621959">
        <w:rPr>
          <w:rFonts w:hint="cs"/>
          <w:rtl/>
        </w:rPr>
        <w:t>المنافع</w:t>
      </w:r>
      <w:r w:rsidRPr="00621959">
        <w:rPr>
          <w:rtl/>
        </w:rPr>
        <w:t xml:space="preserve"> الرقمية للجميع، ويقدم رؤى أساسية لفهم التحديات والفرص المصاحبة لتعزيز التوصيلية والتحول الرقمي، والتغلب عليها.</w:t>
      </w:r>
    </w:p>
    <w:p w14:paraId="28DC8E45" w14:textId="64DEA0B1" w:rsidR="00621959" w:rsidRPr="00621959" w:rsidRDefault="00621959" w:rsidP="00147DCC">
      <w:pPr>
        <w:rPr>
          <w:lang w:val="en-GB" w:bidi="ar-EG"/>
        </w:rPr>
      </w:pPr>
      <w:r w:rsidRPr="00621959">
        <w:rPr>
          <w:rFonts w:hint="cs"/>
          <w:rtl/>
        </w:rPr>
        <w:t>و</w:t>
      </w:r>
      <w:r w:rsidRPr="00621959">
        <w:rPr>
          <w:rtl/>
        </w:rPr>
        <w:t xml:space="preserve">بهدف تعزيز قدرة الدول الأعضاء على </w:t>
      </w:r>
      <w:r w:rsidRPr="00621959">
        <w:rPr>
          <w:rFonts w:hint="cs"/>
          <w:rtl/>
        </w:rPr>
        <w:t>النهوض ب</w:t>
      </w:r>
      <w:r w:rsidRPr="00621959">
        <w:rPr>
          <w:rtl/>
        </w:rPr>
        <w:t xml:space="preserve">سياساتها وأطرها القانونية والتنظيمية في مجال تكنولوجيا المعلومات والاتصالات، يقدم قطاع تنمية الاتصالات </w:t>
      </w:r>
      <w:r w:rsidRPr="00621959">
        <w:rPr>
          <w:rFonts w:hint="cs"/>
          <w:rtl/>
        </w:rPr>
        <w:t>إرشادات</w:t>
      </w:r>
      <w:r w:rsidRPr="00621959">
        <w:rPr>
          <w:rtl/>
        </w:rPr>
        <w:t xml:space="preserve"> ومنتجات معرفية و</w:t>
      </w:r>
      <w:r w:rsidRPr="00621959">
        <w:rPr>
          <w:rFonts w:hint="cs"/>
          <w:rtl/>
        </w:rPr>
        <w:t>يعمل عل</w:t>
      </w:r>
      <w:r w:rsidR="00DF72B8">
        <w:rPr>
          <w:rFonts w:hint="cs"/>
          <w:rtl/>
        </w:rPr>
        <w:t>ى</w:t>
      </w:r>
      <w:r w:rsidRPr="00621959">
        <w:rPr>
          <w:rFonts w:hint="cs"/>
          <w:rtl/>
        </w:rPr>
        <w:t xml:space="preserve"> </w:t>
      </w:r>
      <w:r w:rsidRPr="00621959">
        <w:rPr>
          <w:rtl/>
        </w:rPr>
        <w:t xml:space="preserve">تنمية القدرات والمساعدة التقنية. ويساعد ذلك في تزويد صناع القرار الوطنيين بالأدلة والأدوات اللازمة للتعامل مع أسواق وأنظمة </w:t>
      </w:r>
      <w:r w:rsidRPr="00621959">
        <w:rPr>
          <w:rFonts w:hint="cs"/>
          <w:rtl/>
        </w:rPr>
        <w:t xml:space="preserve">إيكولوجية </w:t>
      </w:r>
      <w:r w:rsidRPr="00621959">
        <w:rPr>
          <w:rtl/>
        </w:rPr>
        <w:t>متزايدة التعقيد</w:t>
      </w:r>
      <w:r w:rsidRPr="00621959">
        <w:rPr>
          <w:rFonts w:hint="cs"/>
          <w:rtl/>
        </w:rPr>
        <w:t xml:space="preserve"> ل</w:t>
      </w:r>
      <w:r w:rsidRPr="00621959">
        <w:rPr>
          <w:rtl/>
        </w:rPr>
        <w:t xml:space="preserve">تكنولوجيا المعلومات والاتصالات. كما تضمن الجهود المنسقة لقطاع تنمية الاتصالات أن يشمل الدعم المقدم للبلدان أبعاداً رئيسية، مثل القدرة على تحمل التكلفة والشمول والمنافسة والاستثمار، وذلك من خلال نهج </w:t>
      </w:r>
      <w:r w:rsidRPr="00621959">
        <w:rPr>
          <w:rFonts w:hint="cs"/>
          <w:rtl/>
        </w:rPr>
        <w:t>يشمل ال</w:t>
      </w:r>
      <w:r w:rsidRPr="00621959">
        <w:rPr>
          <w:rtl/>
        </w:rPr>
        <w:t>حكوم</w:t>
      </w:r>
      <w:r w:rsidRPr="00621959">
        <w:rPr>
          <w:rFonts w:hint="cs"/>
          <w:rtl/>
        </w:rPr>
        <w:t>ة بأكملها</w:t>
      </w:r>
      <w:r w:rsidRPr="00621959">
        <w:rPr>
          <w:rtl/>
        </w:rPr>
        <w:t xml:space="preserve"> لإطلاق استراتيجيات رقمية شاملة. كما </w:t>
      </w:r>
      <w:r w:rsidRPr="00621959">
        <w:rPr>
          <w:rFonts w:hint="cs"/>
          <w:rtl/>
        </w:rPr>
        <w:t>ي</w:t>
      </w:r>
      <w:r w:rsidRPr="00621959">
        <w:rPr>
          <w:rtl/>
        </w:rPr>
        <w:t xml:space="preserve">عمل قطاع تنمية الاتصالات على تعزيز الدعوة العالمية بشأن دور التنظيم في تمكين التحول الرقمي المستدام من خلال </w:t>
      </w:r>
      <w:r w:rsidRPr="00621959">
        <w:rPr>
          <w:rFonts w:hint="cs"/>
          <w:rtl/>
        </w:rPr>
        <w:t>أحداث</w:t>
      </w:r>
      <w:r w:rsidRPr="00621959">
        <w:rPr>
          <w:rtl/>
        </w:rPr>
        <w:t xml:space="preserve"> رئيسية رفيعة المستوى وفقاً ل</w:t>
      </w:r>
      <w:r w:rsidRPr="00621959">
        <w:rPr>
          <w:rFonts w:hint="cs"/>
          <w:rtl/>
        </w:rPr>
        <w:t>ل</w:t>
      </w:r>
      <w:r w:rsidRPr="00621959">
        <w:rPr>
          <w:rtl/>
        </w:rPr>
        <w:t>قرار 48 (المراجَع في</w:t>
      </w:r>
      <w:r w:rsidR="00234D8F">
        <w:rPr>
          <w:rFonts w:hint="cs"/>
          <w:rtl/>
        </w:rPr>
        <w:t> </w:t>
      </w:r>
      <w:r w:rsidR="00147DCC">
        <w:rPr>
          <w:rFonts w:hint="cs"/>
          <w:rtl/>
        </w:rPr>
        <w:t>باكو، 2025</w:t>
      </w:r>
      <w:r w:rsidRPr="00621959">
        <w:rPr>
          <w:rtl/>
        </w:rPr>
        <w:t>)</w:t>
      </w:r>
      <w:r w:rsidRPr="00621959">
        <w:rPr>
          <w:rFonts w:hint="cs"/>
          <w:rtl/>
        </w:rPr>
        <w:t xml:space="preserve"> للمؤتمر </w:t>
      </w:r>
      <w:r w:rsidR="00147DCC">
        <w:rPr>
          <w:rFonts w:hint="cs"/>
          <w:rtl/>
          <w:lang w:val="en-GB" w:bidi="ar-EG"/>
        </w:rPr>
        <w:t>العالمي لتنمية الاتصالات</w:t>
      </w:r>
      <w:r w:rsidRPr="00621959">
        <w:rPr>
          <w:rtl/>
        </w:rPr>
        <w:t xml:space="preserve"> بشأن </w:t>
      </w:r>
      <w:bookmarkStart w:id="72" w:name="_Toc116546851"/>
      <w:r w:rsidR="00147DCC" w:rsidRPr="00147DCC">
        <w:rPr>
          <w:rFonts w:hint="eastAsia"/>
          <w:rtl/>
        </w:rPr>
        <w:t>تعزيز</w:t>
      </w:r>
      <w:r w:rsidR="00147DCC" w:rsidRPr="00147DCC">
        <w:rPr>
          <w:rtl/>
        </w:rPr>
        <w:t xml:space="preserve"> </w:t>
      </w:r>
      <w:r w:rsidR="00147DCC" w:rsidRPr="00147DCC">
        <w:rPr>
          <w:rFonts w:hint="eastAsia"/>
          <w:rtl/>
        </w:rPr>
        <w:t>التعاون</w:t>
      </w:r>
      <w:r w:rsidR="00147DCC" w:rsidRPr="00147DCC">
        <w:rPr>
          <w:rtl/>
        </w:rPr>
        <w:t xml:space="preserve"> </w:t>
      </w:r>
      <w:r w:rsidR="00147DCC" w:rsidRPr="00147DCC">
        <w:rPr>
          <w:rFonts w:hint="eastAsia"/>
          <w:rtl/>
        </w:rPr>
        <w:t>بين</w:t>
      </w:r>
      <w:r w:rsidR="00147DCC" w:rsidRPr="00147DCC">
        <w:rPr>
          <w:rtl/>
        </w:rPr>
        <w:t xml:space="preserve"> </w:t>
      </w:r>
      <w:r w:rsidR="00147DCC" w:rsidRPr="00147DCC">
        <w:rPr>
          <w:rFonts w:hint="eastAsia"/>
          <w:rtl/>
        </w:rPr>
        <w:t>الهيئات</w:t>
      </w:r>
      <w:r w:rsidR="00147DCC" w:rsidRPr="00147DCC">
        <w:rPr>
          <w:rtl/>
        </w:rPr>
        <w:t xml:space="preserve"> </w:t>
      </w:r>
      <w:r w:rsidR="00147DCC" w:rsidRPr="00147DCC">
        <w:rPr>
          <w:rFonts w:hint="eastAsia"/>
          <w:rtl/>
        </w:rPr>
        <w:t>التنظيمية</w:t>
      </w:r>
      <w:r w:rsidR="00147DCC" w:rsidRPr="00147DCC">
        <w:rPr>
          <w:rtl/>
        </w:rPr>
        <w:t xml:space="preserve"> </w:t>
      </w:r>
      <w:r w:rsidR="00147DCC" w:rsidRPr="00147DCC">
        <w:rPr>
          <w:rFonts w:hint="eastAsia"/>
          <w:rtl/>
        </w:rPr>
        <w:t>للاتصالات</w:t>
      </w:r>
      <w:bookmarkEnd w:id="72"/>
      <w:r w:rsidRPr="00621959">
        <w:rPr>
          <w:rtl/>
        </w:rPr>
        <w:t>.</w:t>
      </w:r>
    </w:p>
    <w:p w14:paraId="304AA317" w14:textId="77777777" w:rsidR="00621959" w:rsidRPr="00621959" w:rsidRDefault="00621959" w:rsidP="00234D8F">
      <w:pPr>
        <w:pStyle w:val="Heading3"/>
        <w:rPr>
          <w:lang w:val="en-GB" w:bidi="ar-EG"/>
        </w:rPr>
      </w:pPr>
      <w:bookmarkStart w:id="73" w:name="_Toc227252588"/>
      <w:r w:rsidRPr="00621959">
        <w:rPr>
          <w:rtl/>
        </w:rPr>
        <w:t>1.4.4</w:t>
      </w:r>
      <w:r w:rsidRPr="00621959">
        <w:rPr>
          <w:rtl/>
        </w:rPr>
        <w:tab/>
        <w:t>الأمن السيبراني: بناء الثقة والأمن في تكنولوجيا المعلومات والاتصالات</w:t>
      </w:r>
      <w:bookmarkEnd w:id="73"/>
    </w:p>
    <w:p w14:paraId="7FC2E9DC" w14:textId="2974B75F" w:rsidR="00024527" w:rsidRPr="00024527" w:rsidRDefault="00024527" w:rsidP="00024527">
      <w:pPr>
        <w:rPr>
          <w:lang w:val="en-GB"/>
        </w:rPr>
      </w:pPr>
      <w:bookmarkStart w:id="74" w:name="_2.4.4_التكنولوجيات_الناشئة:"/>
      <w:bookmarkEnd w:id="74"/>
      <w:r w:rsidRPr="00024527">
        <w:rPr>
          <w:rFonts w:hint="cs"/>
          <w:rtl/>
        </w:rPr>
        <w:t xml:space="preserve">ساهمت </w:t>
      </w:r>
      <w:r w:rsidRPr="00024527">
        <w:rPr>
          <w:rtl/>
        </w:rPr>
        <w:t xml:space="preserve">برامج </w:t>
      </w:r>
      <w:r w:rsidRPr="00024527">
        <w:rPr>
          <w:rFonts w:hint="cs"/>
          <w:rtl/>
        </w:rPr>
        <w:t>ال</w:t>
      </w:r>
      <w:r w:rsidRPr="00024527">
        <w:rPr>
          <w:rtl/>
        </w:rPr>
        <w:t xml:space="preserve">عمل </w:t>
      </w:r>
      <w:r w:rsidRPr="00024527">
        <w:rPr>
          <w:rFonts w:hint="cs"/>
          <w:rtl/>
          <w:lang w:bidi="ar-EG"/>
        </w:rPr>
        <w:t xml:space="preserve">على نطاق الاتحاد </w:t>
      </w:r>
      <w:r w:rsidRPr="00024527">
        <w:rPr>
          <w:rtl/>
        </w:rPr>
        <w:t>في مجالات التنمية و</w:t>
      </w:r>
      <w:r w:rsidRPr="00024527">
        <w:rPr>
          <w:rFonts w:hint="cs"/>
          <w:rtl/>
        </w:rPr>
        <w:t>التقييس</w:t>
      </w:r>
      <w:r w:rsidRPr="00024527">
        <w:rPr>
          <w:rtl/>
        </w:rPr>
        <w:t xml:space="preserve"> والاتصالات اللاسلكية </w:t>
      </w:r>
      <w:r w:rsidRPr="00024527">
        <w:rPr>
          <w:rFonts w:hint="cs"/>
          <w:rtl/>
        </w:rPr>
        <w:t>و</w:t>
      </w:r>
      <w:r w:rsidRPr="00024527">
        <w:rPr>
          <w:rFonts w:hint="cs"/>
          <w:rtl/>
          <w:lang w:bidi="ar-EG"/>
        </w:rPr>
        <w:t>المنظمة حول الركائز الخمس ل</w:t>
      </w:r>
      <w:r w:rsidRPr="00024527">
        <w:rPr>
          <w:rtl/>
        </w:rPr>
        <w:t>لبرنامج العالمي للأمن السيبراني</w:t>
      </w:r>
      <w:r w:rsidRPr="00024527">
        <w:rPr>
          <w:rFonts w:hint="cs"/>
          <w:rtl/>
        </w:rPr>
        <w:t xml:space="preserve"> (</w:t>
      </w:r>
      <w:r w:rsidRPr="00024527">
        <w:rPr>
          <w:lang w:val="en-CA"/>
        </w:rPr>
        <w:t>GCA</w:t>
      </w:r>
      <w:r w:rsidRPr="00024527">
        <w:rPr>
          <w:rFonts w:hint="cs"/>
          <w:rtl/>
        </w:rPr>
        <w:t>)</w:t>
      </w:r>
      <w:r w:rsidRPr="00024527">
        <w:rPr>
          <w:lang w:val="en-GB"/>
        </w:rPr>
        <w:t xml:space="preserve"> </w:t>
      </w:r>
      <w:r w:rsidRPr="00024527">
        <w:rPr>
          <w:rFonts w:hint="cs"/>
          <w:rtl/>
          <w:lang w:bidi="ar-EG"/>
        </w:rPr>
        <w:t>في الإطار الشامل للأمن السيبراني</w:t>
      </w:r>
      <w:r w:rsidRPr="00024527">
        <w:rPr>
          <w:rtl/>
        </w:rPr>
        <w:t>.</w:t>
      </w:r>
    </w:p>
    <w:p w14:paraId="58DC7ACE" w14:textId="2C2FE067" w:rsidR="00024527" w:rsidRPr="00024527" w:rsidRDefault="00024527" w:rsidP="00024527">
      <w:pPr>
        <w:rPr>
          <w:lang w:val="en-GB"/>
        </w:rPr>
      </w:pPr>
      <w:r w:rsidRPr="00024527">
        <w:rPr>
          <w:rtl/>
        </w:rPr>
        <w:t xml:space="preserve">وفي قطاع التنمية، دعم الاتحاد الدول الأعضاء في تعزيز </w:t>
      </w:r>
      <w:r w:rsidRPr="00024527">
        <w:rPr>
          <w:rFonts w:hint="cs"/>
          <w:rtl/>
        </w:rPr>
        <w:t>استعدادها</w:t>
      </w:r>
      <w:r w:rsidRPr="00024527">
        <w:rPr>
          <w:rtl/>
        </w:rPr>
        <w:t xml:space="preserve"> المؤسسي من خلال المساعدة في </w:t>
      </w:r>
      <w:r w:rsidRPr="00024527">
        <w:rPr>
          <w:rFonts w:hint="cs"/>
          <w:rtl/>
        </w:rPr>
        <w:t>وضع</w:t>
      </w:r>
      <w:r w:rsidRPr="00024527">
        <w:rPr>
          <w:rtl/>
        </w:rPr>
        <w:t xml:space="preserve"> </w:t>
      </w:r>
      <w:hyperlink r:id="rId160" w:history="1">
        <w:r w:rsidRPr="00024527">
          <w:rPr>
            <w:rStyle w:val="Hyperlink"/>
            <w:noProof w:val="0"/>
            <w:rtl/>
            <w:lang w:val="en-US" w:eastAsia="zh-CN"/>
          </w:rPr>
          <w:t xml:space="preserve">استراتيجيات وطنية </w:t>
        </w:r>
        <w:r w:rsidRPr="00024527">
          <w:rPr>
            <w:rStyle w:val="Hyperlink"/>
            <w:rFonts w:hint="cs"/>
            <w:noProof w:val="0"/>
            <w:rtl/>
            <w:lang w:val="en-US" w:eastAsia="zh-CN"/>
          </w:rPr>
          <w:t>ل</w:t>
        </w:r>
        <w:r w:rsidRPr="00024527">
          <w:rPr>
            <w:rStyle w:val="Hyperlink"/>
            <w:noProof w:val="0"/>
            <w:rtl/>
            <w:lang w:val="en-US" w:eastAsia="zh-CN"/>
          </w:rPr>
          <w:t>لأمن السيبراني</w:t>
        </w:r>
      </w:hyperlink>
      <w:r w:rsidRPr="00024527">
        <w:rPr>
          <w:rtl/>
        </w:rPr>
        <w:t xml:space="preserve">، والمساعدة في إنشاء وتفعيل </w:t>
      </w:r>
      <w:hyperlink r:id="rId161" w:history="1">
        <w:r w:rsidRPr="00024527">
          <w:rPr>
            <w:rStyle w:val="Hyperlink"/>
            <w:noProof w:val="0"/>
            <w:rtl/>
            <w:lang w:val="en-US" w:eastAsia="zh-CN"/>
          </w:rPr>
          <w:t xml:space="preserve">أفرقة </w:t>
        </w:r>
        <w:r w:rsidRPr="00024527">
          <w:rPr>
            <w:rStyle w:val="Hyperlink"/>
            <w:rFonts w:hint="cs"/>
            <w:noProof w:val="0"/>
            <w:rtl/>
            <w:lang w:val="en-US" w:eastAsia="zh-CN"/>
          </w:rPr>
          <w:t>وطنية لل</w:t>
        </w:r>
        <w:r w:rsidRPr="00024527">
          <w:rPr>
            <w:rStyle w:val="Hyperlink"/>
            <w:noProof w:val="0"/>
            <w:rtl/>
            <w:lang w:val="en-US" w:eastAsia="zh-CN"/>
          </w:rPr>
          <w:t>استجابة للحوادث الحاسوبية (</w:t>
        </w:r>
        <w:r w:rsidRPr="00024527">
          <w:rPr>
            <w:rStyle w:val="Hyperlink"/>
            <w:noProof w:val="0"/>
            <w:lang w:eastAsia="zh-CN"/>
          </w:rPr>
          <w:t>CIRT</w:t>
        </w:r>
        <w:r w:rsidRPr="00024527">
          <w:rPr>
            <w:rStyle w:val="Hyperlink"/>
            <w:noProof w:val="0"/>
            <w:rtl/>
            <w:lang w:val="en-US" w:eastAsia="zh-CN"/>
          </w:rPr>
          <w:t>)</w:t>
        </w:r>
      </w:hyperlink>
      <w:r w:rsidRPr="00024527">
        <w:rPr>
          <w:rtl/>
        </w:rPr>
        <w:t xml:space="preserve">، ومن خلال التدريبات السيبرانية الوطنية والإقليمية والعالمية. وحتى الآن، قدم الاتحاد المساعدة </w:t>
      </w:r>
      <w:r w:rsidRPr="00024527">
        <w:rPr>
          <w:rFonts w:hint="cs"/>
          <w:rtl/>
        </w:rPr>
        <w:t>إلى</w:t>
      </w:r>
      <w:r w:rsidRPr="00024527">
        <w:rPr>
          <w:rtl/>
        </w:rPr>
        <w:t xml:space="preserve"> 85 </w:t>
      </w:r>
      <w:r w:rsidRPr="00024527">
        <w:rPr>
          <w:rFonts w:hint="cs"/>
          <w:rtl/>
        </w:rPr>
        <w:t>بلداً</w:t>
      </w:r>
      <w:r w:rsidRPr="00024527">
        <w:rPr>
          <w:rtl/>
        </w:rPr>
        <w:t xml:space="preserve"> من خلال تقييم </w:t>
      </w:r>
      <w:r w:rsidRPr="00024527">
        <w:rPr>
          <w:rFonts w:hint="cs"/>
          <w:rtl/>
        </w:rPr>
        <w:t>استعدادها</w:t>
      </w:r>
      <w:r w:rsidRPr="00024527">
        <w:rPr>
          <w:rtl/>
        </w:rPr>
        <w:t xml:space="preserve"> في مجال الأمن السيبراني، مما أدى إلى إنشاء أو تحسين </w:t>
      </w:r>
      <w:r w:rsidRPr="00024527">
        <w:rPr>
          <w:rFonts w:hint="cs"/>
          <w:rtl/>
        </w:rPr>
        <w:t>الأفر</w:t>
      </w:r>
      <w:r w:rsidRPr="00024527">
        <w:rPr>
          <w:rtl/>
        </w:rPr>
        <w:t xml:space="preserve">قة </w:t>
      </w:r>
      <w:r w:rsidRPr="00024527">
        <w:rPr>
          <w:rFonts w:hint="cs"/>
          <w:rtl/>
        </w:rPr>
        <w:t>ال</w:t>
      </w:r>
      <w:r w:rsidRPr="00024527">
        <w:rPr>
          <w:rtl/>
        </w:rPr>
        <w:t xml:space="preserve">وطنية للاستجابة للحوادث الحاسوبية. وحتى مايو 2026، </w:t>
      </w:r>
      <w:r w:rsidRPr="00024527">
        <w:rPr>
          <w:rFonts w:hint="cs"/>
          <w:rtl/>
        </w:rPr>
        <w:t xml:space="preserve">كان </w:t>
      </w:r>
      <w:r w:rsidRPr="00024527">
        <w:rPr>
          <w:rtl/>
        </w:rPr>
        <w:t xml:space="preserve">الاتحاد </w:t>
      </w:r>
      <w:r w:rsidRPr="00024527">
        <w:rPr>
          <w:rFonts w:hint="cs"/>
          <w:rtl/>
        </w:rPr>
        <w:t xml:space="preserve">قد </w:t>
      </w:r>
      <w:r w:rsidRPr="00024527">
        <w:rPr>
          <w:rtl/>
        </w:rPr>
        <w:t xml:space="preserve">نظم أكثر من 60 </w:t>
      </w:r>
      <w:hyperlink r:id="rId162" w:history="1">
        <w:r w:rsidRPr="00024527">
          <w:rPr>
            <w:rStyle w:val="Hyperlink"/>
            <w:noProof w:val="0"/>
            <w:rtl/>
            <w:lang w:val="en-US" w:eastAsia="zh-CN"/>
          </w:rPr>
          <w:t>تدريباً سيبرانياً</w:t>
        </w:r>
      </w:hyperlink>
      <w:r w:rsidRPr="00024527">
        <w:rPr>
          <w:rtl/>
        </w:rPr>
        <w:t xml:space="preserve"> دولياً أو إقليمياً أو وطنياً (بما في ذلك 4 تدريبات سيبرانية عالمية)، بمشاركة أكثر من 160 </w:t>
      </w:r>
      <w:r w:rsidRPr="00024527">
        <w:rPr>
          <w:rFonts w:hint="cs"/>
          <w:rtl/>
        </w:rPr>
        <w:t>بلداً</w:t>
      </w:r>
      <w:r w:rsidRPr="00024527">
        <w:rPr>
          <w:rtl/>
        </w:rPr>
        <w:t xml:space="preserve"> </w:t>
      </w:r>
      <w:r w:rsidRPr="00024527">
        <w:rPr>
          <w:rFonts w:hint="cs"/>
          <w:rtl/>
        </w:rPr>
        <w:t>عبر</w:t>
      </w:r>
      <w:r w:rsidRPr="00024527">
        <w:rPr>
          <w:rtl/>
        </w:rPr>
        <w:t xml:space="preserve"> جميع مناطق الاتحاد الستة.</w:t>
      </w:r>
    </w:p>
    <w:p w14:paraId="1D601039" w14:textId="3E08B152" w:rsidR="00024527" w:rsidRPr="008E4FF0" w:rsidRDefault="00024527" w:rsidP="00024527">
      <w:pPr>
        <w:rPr>
          <w:spacing w:val="-4"/>
          <w:lang w:val="en-GB"/>
        </w:rPr>
      </w:pPr>
      <w:r w:rsidRPr="008E4FF0">
        <w:rPr>
          <w:rFonts w:hint="cs"/>
          <w:spacing w:val="-4"/>
          <w:rtl/>
        </w:rPr>
        <w:t>و</w:t>
      </w:r>
      <w:r w:rsidRPr="008E4FF0">
        <w:rPr>
          <w:spacing w:val="-4"/>
          <w:rtl/>
        </w:rPr>
        <w:t xml:space="preserve">أُطلقت النسخة الخامسة من </w:t>
      </w:r>
      <w:hyperlink r:id="rId163" w:history="1">
        <w:r w:rsidRPr="008E4FF0">
          <w:rPr>
            <w:rStyle w:val="Hyperlink"/>
            <w:noProof w:val="0"/>
            <w:spacing w:val="-4"/>
            <w:rtl/>
            <w:lang w:val="en-US" w:eastAsia="zh-CN"/>
          </w:rPr>
          <w:t>مؤشر الاتحاد للأمن السيبراني العالمي</w:t>
        </w:r>
      </w:hyperlink>
      <w:r w:rsidRPr="008E4FF0">
        <w:rPr>
          <w:spacing w:val="-4"/>
          <w:rtl/>
        </w:rPr>
        <w:t xml:space="preserve"> (</w:t>
      </w:r>
      <w:r w:rsidRPr="008E4FF0">
        <w:rPr>
          <w:spacing w:val="-4"/>
          <w:lang w:val="en-GB"/>
        </w:rPr>
        <w:t>GCI</w:t>
      </w:r>
      <w:r w:rsidRPr="008E4FF0">
        <w:rPr>
          <w:spacing w:val="-4"/>
          <w:rtl/>
        </w:rPr>
        <w:t>) في سبتمبر 2024. وقدّم الاتحاد بناء القدرات الموجه، والمساعدة التقنية، وال</w:t>
      </w:r>
      <w:r w:rsidRPr="008E4FF0">
        <w:rPr>
          <w:rFonts w:hint="cs"/>
          <w:spacing w:val="-4"/>
          <w:rtl/>
        </w:rPr>
        <w:t>إرشادات</w:t>
      </w:r>
      <w:r w:rsidRPr="008E4FF0">
        <w:rPr>
          <w:spacing w:val="-4"/>
          <w:rtl/>
        </w:rPr>
        <w:t xml:space="preserve"> </w:t>
      </w:r>
      <w:proofErr w:type="spellStart"/>
      <w:r w:rsidRPr="008E4FF0">
        <w:rPr>
          <w:spacing w:val="-4"/>
          <w:rtl/>
        </w:rPr>
        <w:t>السياساتية</w:t>
      </w:r>
      <w:proofErr w:type="spellEnd"/>
      <w:r w:rsidRPr="008E4FF0">
        <w:rPr>
          <w:spacing w:val="-4"/>
          <w:rtl/>
        </w:rPr>
        <w:t xml:space="preserve"> لتعزيز </w:t>
      </w:r>
      <w:r w:rsidRPr="008E4FF0">
        <w:rPr>
          <w:rFonts w:hint="cs"/>
          <w:spacing w:val="-4"/>
          <w:rtl/>
        </w:rPr>
        <w:t>الاستعداد</w:t>
      </w:r>
      <w:r w:rsidRPr="008E4FF0">
        <w:rPr>
          <w:spacing w:val="-4"/>
          <w:rtl/>
        </w:rPr>
        <w:t xml:space="preserve"> السيبراني وقدرات الاستجابة </w:t>
      </w:r>
      <w:r w:rsidRPr="008E4FF0">
        <w:rPr>
          <w:rFonts w:hint="cs"/>
          <w:spacing w:val="-4"/>
          <w:rtl/>
        </w:rPr>
        <w:t>التشغيلية</w:t>
      </w:r>
      <w:r w:rsidRPr="008E4FF0">
        <w:rPr>
          <w:spacing w:val="-4"/>
          <w:rtl/>
        </w:rPr>
        <w:t xml:space="preserve"> من خلال برامج </w:t>
      </w:r>
      <w:hyperlink r:id="rId164" w:history="1">
        <w:r w:rsidRPr="008E4FF0">
          <w:rPr>
            <w:rStyle w:val="Hyperlink"/>
            <w:noProof w:val="0"/>
            <w:spacing w:val="-4"/>
            <w:rtl/>
            <w:lang w:val="en-US" w:eastAsia="zh-CN"/>
          </w:rPr>
          <w:t xml:space="preserve">الأمن السيبراني من أجل </w:t>
        </w:r>
        <w:r w:rsidRPr="008E4FF0">
          <w:rPr>
            <w:rStyle w:val="Hyperlink"/>
            <w:rFonts w:hint="cs"/>
            <w:noProof w:val="0"/>
            <w:spacing w:val="-4"/>
            <w:rtl/>
            <w:lang w:val="en-US" w:eastAsia="zh-CN"/>
          </w:rPr>
          <w:t>المصلحة العامة</w:t>
        </w:r>
      </w:hyperlink>
      <w:r w:rsidRPr="008E4FF0">
        <w:rPr>
          <w:spacing w:val="-4"/>
          <w:rtl/>
        </w:rPr>
        <w:t xml:space="preserve">، </w:t>
      </w:r>
      <w:r w:rsidRPr="008E4FF0">
        <w:rPr>
          <w:rFonts w:hint="cs"/>
          <w:spacing w:val="-4"/>
          <w:rtl/>
        </w:rPr>
        <w:t>و</w:t>
      </w:r>
      <w:hyperlink r:id="rId165" w:anchor="/ar" w:history="1">
        <w:r w:rsidRPr="008E4FF0">
          <w:rPr>
            <w:rStyle w:val="Hyperlink"/>
            <w:noProof w:val="0"/>
            <w:spacing w:val="-4"/>
            <w:rtl/>
            <w:lang w:val="en-US" w:eastAsia="zh-CN"/>
          </w:rPr>
          <w:t>برنامج مساراتها السيبرانية</w:t>
        </w:r>
      </w:hyperlink>
      <w:r w:rsidRPr="008E4FF0">
        <w:rPr>
          <w:spacing w:val="-4"/>
          <w:rtl/>
        </w:rPr>
        <w:t>، و</w:t>
      </w:r>
      <w:hyperlink r:id="rId166" w:anchor="/ar" w:history="1">
        <w:r w:rsidRPr="008E4FF0">
          <w:rPr>
            <w:rStyle w:val="Hyperlink"/>
            <w:noProof w:val="0"/>
            <w:spacing w:val="-4"/>
            <w:rtl/>
            <w:lang w:val="en-US" w:eastAsia="zh-CN"/>
          </w:rPr>
          <w:t>أكاديمية الاتحاد</w:t>
        </w:r>
      </w:hyperlink>
      <w:r w:rsidRPr="008E4FF0">
        <w:rPr>
          <w:spacing w:val="-4"/>
          <w:rtl/>
        </w:rPr>
        <w:t>، ومراكز التميّز التابعة للاتحاد، ومراكز التدريب التابعة لأكاديمية</w:t>
      </w:r>
      <w:r w:rsidRPr="008E4FF0">
        <w:rPr>
          <w:rFonts w:hint="cs"/>
          <w:spacing w:val="-4"/>
          <w:rtl/>
        </w:rPr>
        <w:t xml:space="preserve"> الاتحاد</w:t>
      </w:r>
      <w:r w:rsidRPr="008E4FF0">
        <w:rPr>
          <w:spacing w:val="-4"/>
          <w:rtl/>
        </w:rPr>
        <w:t xml:space="preserve">. واستكملت هذه الأنشطة جهوداً أوسع نطاقاً لتعزيز </w:t>
      </w:r>
      <w:r w:rsidRPr="008E4FF0">
        <w:rPr>
          <w:rFonts w:hint="cs"/>
          <w:spacing w:val="-4"/>
          <w:rtl/>
        </w:rPr>
        <w:t>القدرة على الصمود</w:t>
      </w:r>
      <w:r w:rsidRPr="008E4FF0">
        <w:rPr>
          <w:spacing w:val="-4"/>
          <w:rtl/>
        </w:rPr>
        <w:t xml:space="preserve">، وتحسين الحوكمة السيبرانية، وضمان الوصول الآمن والشامل إلى </w:t>
      </w:r>
      <w:r w:rsidRPr="008E4FF0">
        <w:rPr>
          <w:rFonts w:hint="cs"/>
          <w:spacing w:val="-4"/>
          <w:rtl/>
        </w:rPr>
        <w:t>التكنولوجيات</w:t>
      </w:r>
      <w:r w:rsidRPr="008E4FF0">
        <w:rPr>
          <w:spacing w:val="-4"/>
          <w:rtl/>
        </w:rPr>
        <w:t xml:space="preserve"> الرقمية. وواصل الاتحاد </w:t>
      </w:r>
      <w:r w:rsidRPr="008E4FF0">
        <w:rPr>
          <w:rFonts w:hint="cs"/>
          <w:spacing w:val="-4"/>
          <w:rtl/>
        </w:rPr>
        <w:t>المشاركة</w:t>
      </w:r>
      <w:r w:rsidRPr="008E4FF0">
        <w:rPr>
          <w:spacing w:val="-4"/>
          <w:rtl/>
        </w:rPr>
        <w:t xml:space="preserve"> مع أصحاب المصلحة في </w:t>
      </w:r>
      <w:hyperlink r:id="rId167" w:history="1">
        <w:r w:rsidRPr="008E4FF0">
          <w:rPr>
            <w:rStyle w:val="Hyperlink"/>
            <w:noProof w:val="0"/>
            <w:spacing w:val="-4"/>
            <w:rtl/>
            <w:lang w:val="en-US" w:eastAsia="zh-CN"/>
          </w:rPr>
          <w:t>فريق العمل المفتوح العضوية المعني بأمن تكنولوجيا المعلومات والاتصالات واستخدامها</w:t>
        </w:r>
        <w:r w:rsidRPr="008E4FF0">
          <w:rPr>
            <w:rStyle w:val="Hyperlink"/>
            <w:rFonts w:hint="cs"/>
            <w:noProof w:val="0"/>
            <w:spacing w:val="-4"/>
            <w:rtl/>
            <w:lang w:val="en-US" w:eastAsia="zh-CN"/>
          </w:rPr>
          <w:t xml:space="preserve"> (</w:t>
        </w:r>
        <w:r w:rsidRPr="008E4FF0">
          <w:rPr>
            <w:rStyle w:val="Hyperlink"/>
            <w:noProof w:val="0"/>
            <w:spacing w:val="-4"/>
            <w:lang w:val="en-CA" w:eastAsia="zh-CN"/>
          </w:rPr>
          <w:t>OEWG</w:t>
        </w:r>
        <w:r w:rsidRPr="008E4FF0">
          <w:rPr>
            <w:rStyle w:val="Hyperlink"/>
            <w:rFonts w:hint="cs"/>
            <w:noProof w:val="0"/>
            <w:spacing w:val="-4"/>
            <w:rtl/>
            <w:lang w:val="en-US" w:eastAsia="zh-CN"/>
          </w:rPr>
          <w:t>)</w:t>
        </w:r>
      </w:hyperlink>
      <w:r w:rsidRPr="008E4FF0">
        <w:rPr>
          <w:spacing w:val="-4"/>
          <w:rtl/>
        </w:rPr>
        <w:t xml:space="preserve">، وهو على استعداد لمواصلة </w:t>
      </w:r>
      <w:r w:rsidRPr="008E4FF0">
        <w:rPr>
          <w:rFonts w:hint="cs"/>
          <w:spacing w:val="-4"/>
          <w:rtl/>
        </w:rPr>
        <w:t>المشاركة</w:t>
      </w:r>
      <w:r w:rsidRPr="008E4FF0">
        <w:rPr>
          <w:spacing w:val="-4"/>
          <w:rtl/>
        </w:rPr>
        <w:t xml:space="preserve"> مع الآلية الدائمة الجديدة وفريقها </w:t>
      </w:r>
      <w:proofErr w:type="spellStart"/>
      <w:r w:rsidRPr="008E4FF0">
        <w:rPr>
          <w:spacing w:val="-4"/>
          <w:rtl/>
        </w:rPr>
        <w:t>المواضيعي</w:t>
      </w:r>
      <w:proofErr w:type="spellEnd"/>
      <w:r w:rsidRPr="008E4FF0">
        <w:rPr>
          <w:spacing w:val="-4"/>
          <w:rtl/>
        </w:rPr>
        <w:t xml:space="preserve"> المعني ببناء القدرات.</w:t>
      </w:r>
    </w:p>
    <w:p w14:paraId="095B16F4" w14:textId="454D7566" w:rsidR="00024527" w:rsidRPr="008E4FF0" w:rsidRDefault="00024527" w:rsidP="00024527">
      <w:pPr>
        <w:rPr>
          <w:spacing w:val="-2"/>
          <w:lang w:val="en-GB"/>
        </w:rPr>
      </w:pPr>
      <w:r w:rsidRPr="008E4FF0">
        <w:rPr>
          <w:spacing w:val="-2"/>
          <w:rtl/>
        </w:rPr>
        <w:t xml:space="preserve">وفي عام 2024، أنشأ الاتحاد الهيئة الاستشارية الدولية المعنية </w:t>
      </w:r>
      <w:proofErr w:type="spellStart"/>
      <w:r w:rsidRPr="008E4FF0">
        <w:rPr>
          <w:spacing w:val="-2"/>
          <w:rtl/>
        </w:rPr>
        <w:t>بالكبلات</w:t>
      </w:r>
      <w:proofErr w:type="spellEnd"/>
      <w:r w:rsidRPr="008E4FF0">
        <w:rPr>
          <w:spacing w:val="-2"/>
          <w:rtl/>
        </w:rPr>
        <w:t xml:space="preserve"> البحرية، بالشراكة مع اللجنة الدولية لحماية الكبلات. وفي </w:t>
      </w:r>
      <w:hyperlink r:id="rId168" w:anchor="/ar" w:history="1">
        <w:r w:rsidRPr="008E4FF0">
          <w:rPr>
            <w:rStyle w:val="Hyperlink"/>
            <w:noProof w:val="0"/>
            <w:spacing w:val="-2"/>
            <w:rtl/>
            <w:lang w:val="en-US" w:eastAsia="zh-CN"/>
          </w:rPr>
          <w:t>قمة أبوجا</w:t>
        </w:r>
        <w:r w:rsidRPr="008E4FF0">
          <w:rPr>
            <w:rStyle w:val="Hyperlink"/>
            <w:rFonts w:hint="cs"/>
            <w:noProof w:val="0"/>
            <w:spacing w:val="-2"/>
            <w:rtl/>
            <w:lang w:val="en-US" w:eastAsia="zh-CN"/>
          </w:rPr>
          <w:t xml:space="preserve"> لعام</w:t>
        </w:r>
        <w:r w:rsidRPr="008E4FF0">
          <w:rPr>
            <w:rStyle w:val="Hyperlink"/>
            <w:noProof w:val="0"/>
            <w:spacing w:val="-2"/>
            <w:rtl/>
            <w:lang w:val="en-US" w:eastAsia="zh-CN"/>
          </w:rPr>
          <w:t xml:space="preserve"> 2025</w:t>
        </w:r>
      </w:hyperlink>
      <w:r w:rsidRPr="008E4FF0">
        <w:rPr>
          <w:spacing w:val="-2"/>
          <w:rtl/>
        </w:rPr>
        <w:t xml:space="preserve">، أطلقت الهيئة الاستشارية ثلاثة </w:t>
      </w:r>
      <w:r w:rsidRPr="008E4FF0">
        <w:rPr>
          <w:rFonts w:hint="cs"/>
          <w:spacing w:val="-2"/>
          <w:rtl/>
        </w:rPr>
        <w:t>أ</w:t>
      </w:r>
      <w:r w:rsidRPr="008E4FF0">
        <w:rPr>
          <w:spacing w:val="-2"/>
          <w:rtl/>
        </w:rPr>
        <w:t>فرق</w:t>
      </w:r>
      <w:r w:rsidRPr="008E4FF0">
        <w:rPr>
          <w:rFonts w:hint="cs"/>
          <w:spacing w:val="-2"/>
          <w:rtl/>
        </w:rPr>
        <w:t>ة</w:t>
      </w:r>
      <w:r w:rsidRPr="008E4FF0">
        <w:rPr>
          <w:spacing w:val="-2"/>
          <w:rtl/>
        </w:rPr>
        <w:t xml:space="preserve"> عمل للتركيز على تحديد المخاطر ورصدها وتخفيف آثارها، فضلاً عن </w:t>
      </w:r>
      <w:r w:rsidRPr="008E4FF0">
        <w:rPr>
          <w:rFonts w:hint="cs"/>
          <w:spacing w:val="-2"/>
          <w:rtl/>
        </w:rPr>
        <w:t>التوصيلية</w:t>
      </w:r>
      <w:r w:rsidRPr="008E4FF0">
        <w:rPr>
          <w:spacing w:val="-2"/>
          <w:rtl/>
        </w:rPr>
        <w:t xml:space="preserve"> والتنوع الجغرافي لنقاط </w:t>
      </w:r>
      <w:r w:rsidRPr="008E4FF0">
        <w:rPr>
          <w:rFonts w:hint="cs"/>
          <w:spacing w:val="-2"/>
          <w:rtl/>
        </w:rPr>
        <w:t>ومسارات الهبوط</w:t>
      </w:r>
      <w:r w:rsidRPr="008E4FF0">
        <w:rPr>
          <w:spacing w:val="-2"/>
          <w:rtl/>
        </w:rPr>
        <w:t xml:space="preserve">، ونشر وإصلاح </w:t>
      </w:r>
      <w:r w:rsidRPr="008E4FF0">
        <w:rPr>
          <w:rFonts w:hint="cs"/>
          <w:spacing w:val="-2"/>
          <w:rtl/>
        </w:rPr>
        <w:t>ا</w:t>
      </w:r>
      <w:r w:rsidRPr="008E4FF0">
        <w:rPr>
          <w:spacing w:val="-2"/>
          <w:rtl/>
        </w:rPr>
        <w:t xml:space="preserve">لكبلات في الوقت المناسب. </w:t>
      </w:r>
      <w:r w:rsidRPr="008E4FF0">
        <w:rPr>
          <w:rFonts w:hint="cs"/>
          <w:spacing w:val="-2"/>
          <w:rtl/>
        </w:rPr>
        <w:t>و</w:t>
      </w:r>
      <w:r w:rsidRPr="008E4FF0">
        <w:rPr>
          <w:spacing w:val="-2"/>
          <w:rtl/>
        </w:rPr>
        <w:t xml:space="preserve">استكمالاً </w:t>
      </w:r>
      <w:r w:rsidRPr="008E4FF0">
        <w:rPr>
          <w:rFonts w:hint="cs"/>
          <w:spacing w:val="-2"/>
          <w:rtl/>
        </w:rPr>
        <w:t>لزخم</w:t>
      </w:r>
      <w:r w:rsidRPr="008E4FF0">
        <w:rPr>
          <w:spacing w:val="-2"/>
          <w:rtl/>
        </w:rPr>
        <w:t xml:space="preserve"> قمة أبوجا، عُقدت </w:t>
      </w:r>
      <w:hyperlink r:id="rId169" w:anchor="/ar" w:history="1">
        <w:r w:rsidRPr="008E4FF0">
          <w:rPr>
            <w:rStyle w:val="Hyperlink"/>
            <w:noProof w:val="0"/>
            <w:spacing w:val="-2"/>
            <w:rtl/>
            <w:lang w:val="en-US" w:eastAsia="zh-CN"/>
          </w:rPr>
          <w:t xml:space="preserve">القمة الدولية الثانية </w:t>
        </w:r>
        <w:r w:rsidRPr="008E4FF0">
          <w:rPr>
            <w:rStyle w:val="Hyperlink"/>
            <w:rFonts w:hint="cs"/>
            <w:noProof w:val="0"/>
            <w:spacing w:val="-2"/>
            <w:rtl/>
            <w:lang w:val="en-US" w:eastAsia="zh-CN"/>
          </w:rPr>
          <w:t>لقدرة</w:t>
        </w:r>
        <w:r w:rsidRPr="008E4FF0">
          <w:rPr>
            <w:rStyle w:val="Hyperlink"/>
            <w:noProof w:val="0"/>
            <w:spacing w:val="-2"/>
            <w:rtl/>
            <w:lang w:val="en-US" w:eastAsia="zh-CN"/>
          </w:rPr>
          <w:t xml:space="preserve"> الكبلات البحري</w:t>
        </w:r>
        <w:r w:rsidRPr="008E4FF0">
          <w:rPr>
            <w:rStyle w:val="Hyperlink"/>
            <w:rFonts w:hint="cs"/>
            <w:noProof w:val="0"/>
            <w:spacing w:val="-2"/>
            <w:rtl/>
            <w:lang w:val="en-US" w:eastAsia="zh-CN"/>
          </w:rPr>
          <w:t>ة على الصمود</w:t>
        </w:r>
      </w:hyperlink>
      <w:r w:rsidRPr="008E4FF0">
        <w:rPr>
          <w:spacing w:val="-2"/>
          <w:rtl/>
        </w:rPr>
        <w:t xml:space="preserve"> في الفترة من 2 إلى 3 فبراير 2026 في بورتو، البرتغال. وخلال هذه القمة، </w:t>
      </w:r>
      <w:r w:rsidRPr="008E4FF0">
        <w:rPr>
          <w:rFonts w:hint="cs"/>
          <w:spacing w:val="-2"/>
          <w:rtl/>
        </w:rPr>
        <w:t>وافقت</w:t>
      </w:r>
      <w:r w:rsidRPr="008E4FF0">
        <w:rPr>
          <w:spacing w:val="-2"/>
          <w:rtl/>
        </w:rPr>
        <w:t xml:space="preserve"> الهيئة الاستشارية الدولية </w:t>
      </w:r>
      <w:r w:rsidRPr="008E4FF0">
        <w:rPr>
          <w:rFonts w:hint="cs"/>
          <w:spacing w:val="-2"/>
          <w:rtl/>
        </w:rPr>
        <w:t xml:space="preserve">على </w:t>
      </w:r>
      <w:r w:rsidRPr="008E4FF0">
        <w:rPr>
          <w:spacing w:val="-2"/>
          <w:rtl/>
        </w:rPr>
        <w:t xml:space="preserve">توصيات فريق العمل، </w:t>
      </w:r>
      <w:r w:rsidRPr="008E4FF0">
        <w:rPr>
          <w:rFonts w:hint="cs"/>
          <w:spacing w:val="-2"/>
          <w:rtl/>
        </w:rPr>
        <w:t>وتم تأييد</w:t>
      </w:r>
      <w:r w:rsidRPr="008E4FF0">
        <w:rPr>
          <w:spacing w:val="-2"/>
          <w:rtl/>
        </w:rPr>
        <w:t xml:space="preserve"> </w:t>
      </w:r>
      <w:hyperlink r:id="rId170" w:history="1">
        <w:r w:rsidRPr="008E4FF0">
          <w:rPr>
            <w:rStyle w:val="Hyperlink"/>
            <w:noProof w:val="0"/>
            <w:spacing w:val="-2"/>
            <w:rtl/>
            <w:lang w:val="en-US" w:eastAsia="zh-CN"/>
          </w:rPr>
          <w:t>إعلان بورتو</w:t>
        </w:r>
      </w:hyperlink>
      <w:r w:rsidRPr="008E4FF0">
        <w:rPr>
          <w:spacing w:val="-2"/>
          <w:rtl/>
        </w:rPr>
        <w:t>.</w:t>
      </w:r>
    </w:p>
    <w:p w14:paraId="068C439E" w14:textId="43DA6A0D" w:rsidR="00024527" w:rsidRPr="008E4FF0" w:rsidRDefault="00024527" w:rsidP="00024527">
      <w:pPr>
        <w:rPr>
          <w:spacing w:val="-2"/>
          <w:lang w:val="en-GB"/>
        </w:rPr>
      </w:pPr>
      <w:r w:rsidRPr="008E4FF0">
        <w:rPr>
          <w:rFonts w:hint="cs"/>
          <w:spacing w:val="-2"/>
          <w:rtl/>
        </w:rPr>
        <w:t>وحقق</w:t>
      </w:r>
      <w:r w:rsidRPr="008E4FF0">
        <w:rPr>
          <w:spacing w:val="-2"/>
          <w:rtl/>
        </w:rPr>
        <w:t xml:space="preserve"> الاتحاد أيضاً </w:t>
      </w:r>
      <w:r w:rsidRPr="008E4FF0">
        <w:rPr>
          <w:rFonts w:hint="cs"/>
          <w:spacing w:val="-2"/>
          <w:rtl/>
        </w:rPr>
        <w:t xml:space="preserve">تقدماً بشأن </w:t>
      </w:r>
      <w:r w:rsidRPr="008E4FF0">
        <w:rPr>
          <w:spacing w:val="-2"/>
          <w:rtl/>
        </w:rPr>
        <w:t xml:space="preserve">حماية الأطفال على الإنترنت من خلال مواد التوعية، وإدارة المعرفة، والبرامج الموجهة، إلى جانب دعم السياسات والتعاون مع </w:t>
      </w:r>
      <w:r w:rsidRPr="008E4FF0">
        <w:rPr>
          <w:rFonts w:hint="cs"/>
          <w:spacing w:val="-2"/>
          <w:rtl/>
        </w:rPr>
        <w:t>أصحاب المصلحة</w:t>
      </w:r>
      <w:r w:rsidRPr="008E4FF0">
        <w:rPr>
          <w:spacing w:val="-2"/>
          <w:rtl/>
        </w:rPr>
        <w:t xml:space="preserve"> الوطني</w:t>
      </w:r>
      <w:r w:rsidRPr="008E4FF0">
        <w:rPr>
          <w:rFonts w:hint="cs"/>
          <w:spacing w:val="-2"/>
          <w:rtl/>
        </w:rPr>
        <w:t>ين</w:t>
      </w:r>
      <w:r w:rsidRPr="008E4FF0">
        <w:rPr>
          <w:spacing w:val="-2"/>
          <w:rtl/>
        </w:rPr>
        <w:t xml:space="preserve"> لت</w:t>
      </w:r>
      <w:r w:rsidRPr="008E4FF0">
        <w:rPr>
          <w:rFonts w:hint="cs"/>
          <w:spacing w:val="-2"/>
          <w:rtl/>
        </w:rPr>
        <w:t>عزيز</w:t>
      </w:r>
      <w:r w:rsidRPr="008E4FF0">
        <w:rPr>
          <w:spacing w:val="-2"/>
          <w:rtl/>
        </w:rPr>
        <w:t xml:space="preserve"> أطر السلامة الرقمية للأطفال. وحتى مارس 2026، </w:t>
      </w:r>
      <w:r w:rsidRPr="008E4FF0">
        <w:rPr>
          <w:rFonts w:hint="cs"/>
          <w:spacing w:val="-2"/>
          <w:rtl/>
        </w:rPr>
        <w:t xml:space="preserve">كان </w:t>
      </w:r>
      <w:r w:rsidRPr="008E4FF0">
        <w:rPr>
          <w:spacing w:val="-2"/>
          <w:rtl/>
        </w:rPr>
        <w:t xml:space="preserve">الاتحاد </w:t>
      </w:r>
      <w:r w:rsidRPr="008E4FF0">
        <w:rPr>
          <w:rFonts w:hint="cs"/>
          <w:spacing w:val="-2"/>
          <w:rtl/>
        </w:rPr>
        <w:t xml:space="preserve">قد </w:t>
      </w:r>
      <w:r w:rsidRPr="008E4FF0">
        <w:rPr>
          <w:spacing w:val="-2"/>
          <w:rtl/>
        </w:rPr>
        <w:t xml:space="preserve">دعم </w:t>
      </w:r>
      <w:r w:rsidRPr="008E4FF0">
        <w:rPr>
          <w:rFonts w:hint="cs"/>
          <w:spacing w:val="-2"/>
          <w:rtl/>
        </w:rPr>
        <w:t>وضع</w:t>
      </w:r>
      <w:r w:rsidRPr="008E4FF0">
        <w:rPr>
          <w:spacing w:val="-2"/>
          <w:rtl/>
        </w:rPr>
        <w:t xml:space="preserve"> أطر وطنية لحماية الأطفال على الإنترنت أو إجراء تقييمات ذات صلة في 16 </w:t>
      </w:r>
      <w:r w:rsidRPr="008E4FF0">
        <w:rPr>
          <w:rFonts w:hint="cs"/>
          <w:spacing w:val="-2"/>
          <w:rtl/>
        </w:rPr>
        <w:t>بلداً</w:t>
      </w:r>
      <w:r w:rsidRPr="008E4FF0">
        <w:rPr>
          <w:spacing w:val="-2"/>
          <w:rtl/>
        </w:rPr>
        <w:t xml:space="preserve">. وقد تعزز هذا العمل من خلال </w:t>
      </w:r>
      <w:hyperlink r:id="rId171" w:history="1">
        <w:r w:rsidRPr="008E4FF0">
          <w:rPr>
            <w:rStyle w:val="Hyperlink"/>
            <w:rFonts w:hint="cs"/>
            <w:noProof w:val="0"/>
            <w:spacing w:val="-2"/>
            <w:rtl/>
            <w:lang w:val="en-US" w:eastAsia="zh-CN"/>
          </w:rPr>
          <w:t>مبادرة ا</w:t>
        </w:r>
        <w:r w:rsidRPr="008E4FF0">
          <w:rPr>
            <w:rStyle w:val="Hyperlink"/>
            <w:noProof w:val="0"/>
            <w:spacing w:val="-2"/>
            <w:rtl/>
            <w:lang w:val="en-US" w:eastAsia="zh-CN"/>
          </w:rPr>
          <w:t>لحماية من خلال المشاركة عبر الإنترنت</w:t>
        </w:r>
      </w:hyperlink>
      <w:r w:rsidRPr="008E4FF0">
        <w:rPr>
          <w:spacing w:val="-2"/>
          <w:rtl/>
        </w:rPr>
        <w:t xml:space="preserve">، التي جمعت بين التعاون بين القطاعات، والبحوث التحضيرية، والمشاورات مع </w:t>
      </w:r>
      <w:r w:rsidRPr="008E4FF0">
        <w:rPr>
          <w:rFonts w:hint="cs"/>
          <w:spacing w:val="-2"/>
          <w:rtl/>
        </w:rPr>
        <w:t>أصحاب المصلحة المتعددين</w:t>
      </w:r>
      <w:r w:rsidRPr="008E4FF0">
        <w:rPr>
          <w:spacing w:val="-2"/>
          <w:rtl/>
        </w:rPr>
        <w:t xml:space="preserve">، وتُوّجت بإطلاق المبادئ التوجيهية لمبادرة الحماية من خلال المشاركة عبر الإنترنت. </w:t>
      </w:r>
      <w:r w:rsidRPr="008E4FF0">
        <w:rPr>
          <w:rFonts w:hint="cs"/>
          <w:spacing w:val="-2"/>
          <w:rtl/>
        </w:rPr>
        <w:t>و</w:t>
      </w:r>
      <w:r w:rsidRPr="008E4FF0">
        <w:rPr>
          <w:spacing w:val="-2"/>
          <w:rtl/>
        </w:rPr>
        <w:t xml:space="preserve">بالتوازي مع ذلك، عزز الاتحاد مشاركة </w:t>
      </w:r>
      <w:r w:rsidRPr="008E4FF0">
        <w:rPr>
          <w:rFonts w:hint="cs"/>
          <w:spacing w:val="-2"/>
          <w:rtl/>
        </w:rPr>
        <w:t>الصناعة</w:t>
      </w:r>
      <w:r w:rsidRPr="008E4FF0">
        <w:rPr>
          <w:spacing w:val="-2"/>
          <w:rtl/>
        </w:rPr>
        <w:t xml:space="preserve"> من خلال </w:t>
      </w:r>
      <w:hyperlink r:id="rId172" w:history="1">
        <w:r w:rsidRPr="008E4FF0">
          <w:rPr>
            <w:rStyle w:val="Hyperlink"/>
            <w:noProof w:val="0"/>
            <w:spacing w:val="-2"/>
            <w:rtl/>
            <w:lang w:val="en-US" w:eastAsia="zh-CN"/>
          </w:rPr>
          <w:t xml:space="preserve">سلسلة </w:t>
        </w:r>
        <w:r w:rsidRPr="008E4FF0">
          <w:rPr>
            <w:rStyle w:val="Hyperlink"/>
            <w:rFonts w:hint="cs"/>
            <w:noProof w:val="0"/>
            <w:spacing w:val="-2"/>
            <w:rtl/>
            <w:lang w:val="en-US" w:eastAsia="zh-CN"/>
          </w:rPr>
          <w:t>أحداث</w:t>
        </w:r>
        <w:r w:rsidRPr="008E4FF0">
          <w:rPr>
            <w:rStyle w:val="Hyperlink"/>
            <w:noProof w:val="0"/>
            <w:spacing w:val="-2"/>
            <w:rtl/>
            <w:lang w:val="en-US" w:eastAsia="zh-CN"/>
          </w:rPr>
          <w:t xml:space="preserve"> تو</w:t>
        </w:r>
        <w:r w:rsidRPr="008E4FF0">
          <w:rPr>
            <w:rStyle w:val="Hyperlink"/>
            <w:rFonts w:hint="cs"/>
            <w:noProof w:val="0"/>
            <w:spacing w:val="-2"/>
            <w:rtl/>
            <w:lang w:val="en-US" w:eastAsia="zh-CN"/>
          </w:rPr>
          <w:t>صي</w:t>
        </w:r>
        <w:r w:rsidRPr="008E4FF0">
          <w:rPr>
            <w:rStyle w:val="Hyperlink"/>
            <w:noProof w:val="0"/>
            <w:spacing w:val="-2"/>
            <w:rtl/>
            <w:lang w:val="en-US" w:eastAsia="zh-CN"/>
          </w:rPr>
          <w:t>ل الصناعة</w:t>
        </w:r>
      </w:hyperlink>
      <w:r w:rsidRPr="008E4FF0">
        <w:rPr>
          <w:spacing w:val="-2"/>
          <w:rtl/>
        </w:rPr>
        <w:t xml:space="preserve"> لعام 2025، مما شجع الحوار مع </w:t>
      </w:r>
      <w:r w:rsidRPr="008E4FF0">
        <w:rPr>
          <w:rFonts w:hint="cs"/>
          <w:spacing w:val="-2"/>
          <w:rtl/>
        </w:rPr>
        <w:t>مقدمي</w:t>
      </w:r>
      <w:r w:rsidRPr="008E4FF0">
        <w:rPr>
          <w:spacing w:val="-2"/>
          <w:rtl/>
        </w:rPr>
        <w:t xml:space="preserve"> الخدمات الرقمية </w:t>
      </w:r>
      <w:r w:rsidRPr="008E4FF0">
        <w:rPr>
          <w:rFonts w:hint="cs"/>
          <w:spacing w:val="-2"/>
          <w:rtl/>
        </w:rPr>
        <w:t>بشأن</w:t>
      </w:r>
      <w:r w:rsidRPr="008E4FF0">
        <w:rPr>
          <w:spacing w:val="-2"/>
          <w:rtl/>
        </w:rPr>
        <w:t xml:space="preserve"> المخاطر الناشئة والمسؤوليات المشتركة عن سلامة الأطفال على الإنترنت. </w:t>
      </w:r>
      <w:r w:rsidRPr="008E4FF0">
        <w:rPr>
          <w:rFonts w:hint="cs"/>
          <w:spacing w:val="-2"/>
          <w:rtl/>
        </w:rPr>
        <w:t>و</w:t>
      </w:r>
      <w:r w:rsidRPr="008E4FF0">
        <w:rPr>
          <w:spacing w:val="-2"/>
          <w:rtl/>
        </w:rPr>
        <w:t xml:space="preserve">أنشأت </w:t>
      </w:r>
      <w:r w:rsidRPr="008E4FF0">
        <w:rPr>
          <w:rFonts w:hint="cs"/>
          <w:spacing w:val="-2"/>
          <w:rtl/>
        </w:rPr>
        <w:t>لجنة الدراسات</w:t>
      </w:r>
      <w:r w:rsidRPr="008E4FF0">
        <w:rPr>
          <w:spacing w:val="-2"/>
          <w:rtl/>
        </w:rPr>
        <w:t xml:space="preserve"> 17 التابعة لقطاع تقييس الاتصالات</w:t>
      </w:r>
      <w:r w:rsidRPr="008E4FF0">
        <w:rPr>
          <w:rFonts w:hint="cs"/>
          <w:spacing w:val="-2"/>
          <w:rtl/>
        </w:rPr>
        <w:t xml:space="preserve"> </w:t>
      </w:r>
      <w:r w:rsidRPr="008E4FF0">
        <w:rPr>
          <w:spacing w:val="-2"/>
          <w:rtl/>
        </w:rPr>
        <w:t xml:space="preserve">فريق </w:t>
      </w:r>
      <w:r w:rsidRPr="008E4FF0">
        <w:rPr>
          <w:rFonts w:hint="cs"/>
          <w:spacing w:val="-2"/>
          <w:rtl/>
        </w:rPr>
        <w:t>عمل بال</w:t>
      </w:r>
      <w:r w:rsidRPr="008E4FF0">
        <w:rPr>
          <w:spacing w:val="-2"/>
          <w:rtl/>
        </w:rPr>
        <w:t>مراسل</w:t>
      </w:r>
      <w:r w:rsidRPr="008E4FF0">
        <w:rPr>
          <w:rFonts w:hint="cs"/>
          <w:spacing w:val="-2"/>
          <w:rtl/>
        </w:rPr>
        <w:t>ة</w:t>
      </w:r>
      <w:r w:rsidRPr="008E4FF0">
        <w:rPr>
          <w:spacing w:val="-2"/>
          <w:rtl/>
        </w:rPr>
        <w:t xml:space="preserve"> معني بحماية </w:t>
      </w:r>
      <w:r w:rsidRPr="008E4FF0">
        <w:rPr>
          <w:rFonts w:hint="cs"/>
          <w:spacing w:val="-2"/>
          <w:rtl/>
        </w:rPr>
        <w:t>الأطفال</w:t>
      </w:r>
      <w:r w:rsidRPr="008E4FF0">
        <w:rPr>
          <w:spacing w:val="-2"/>
          <w:rtl/>
        </w:rPr>
        <w:t xml:space="preserve"> على الإنترنت (</w:t>
      </w:r>
      <w:r w:rsidRPr="008E4FF0">
        <w:rPr>
          <w:spacing w:val="-2"/>
          <w:lang w:val="en-GB"/>
        </w:rPr>
        <w:t>CG-COP</w:t>
      </w:r>
      <w:r w:rsidRPr="008E4FF0">
        <w:rPr>
          <w:spacing w:val="-2"/>
          <w:rtl/>
        </w:rPr>
        <w:t xml:space="preserve">) في مارس 2024 لتحديد نطاق </w:t>
      </w:r>
      <w:r w:rsidRPr="008E4FF0">
        <w:rPr>
          <w:rFonts w:hint="cs"/>
          <w:spacing w:val="-2"/>
          <w:rtl/>
        </w:rPr>
        <w:t>وفجوة</w:t>
      </w:r>
      <w:r w:rsidRPr="008E4FF0">
        <w:rPr>
          <w:spacing w:val="-2"/>
          <w:rtl/>
        </w:rPr>
        <w:t xml:space="preserve"> </w:t>
      </w:r>
      <w:r w:rsidRPr="008E4FF0">
        <w:rPr>
          <w:rFonts w:hint="cs"/>
          <w:spacing w:val="-2"/>
          <w:rtl/>
        </w:rPr>
        <w:t xml:space="preserve">التقييس في مجال </w:t>
      </w:r>
      <w:r w:rsidRPr="008E4FF0">
        <w:rPr>
          <w:spacing w:val="-2"/>
          <w:rtl/>
        </w:rPr>
        <w:t xml:space="preserve">حماية </w:t>
      </w:r>
      <w:r w:rsidRPr="008E4FF0">
        <w:rPr>
          <w:rFonts w:hint="cs"/>
          <w:spacing w:val="-2"/>
          <w:rtl/>
        </w:rPr>
        <w:t>الأطفال</w:t>
      </w:r>
      <w:r w:rsidRPr="008E4FF0">
        <w:rPr>
          <w:spacing w:val="-2"/>
          <w:rtl/>
        </w:rPr>
        <w:t xml:space="preserve"> على الإنترنت.</w:t>
      </w:r>
    </w:p>
    <w:p w14:paraId="0EA6E23F" w14:textId="7B615EFF" w:rsidR="00024527" w:rsidRPr="00024527" w:rsidRDefault="00024527" w:rsidP="00024527">
      <w:pPr>
        <w:rPr>
          <w:lang w:val="en-GB"/>
        </w:rPr>
      </w:pPr>
      <w:r w:rsidRPr="00024527">
        <w:rPr>
          <w:rFonts w:hint="cs"/>
          <w:rtl/>
        </w:rPr>
        <w:t>و</w:t>
      </w:r>
      <w:r w:rsidRPr="00024527">
        <w:rPr>
          <w:rtl/>
        </w:rPr>
        <w:t xml:space="preserve">بالتعاون مع لجنة حقوق الطفل، </w:t>
      </w:r>
      <w:r w:rsidRPr="00024527">
        <w:rPr>
          <w:rFonts w:hint="cs"/>
          <w:rtl/>
        </w:rPr>
        <w:t>و</w:t>
      </w:r>
      <w:r w:rsidRPr="00024527">
        <w:rPr>
          <w:rtl/>
        </w:rPr>
        <w:t>اليونيسف، وأكثر من عشر وكالات تابعة للأمم المتحدة</w:t>
      </w:r>
      <w:r w:rsidRPr="00024527">
        <w:rPr>
          <w:rFonts w:hint="cs"/>
          <w:rtl/>
        </w:rPr>
        <w:t xml:space="preserve"> ومشاركة في التوقيع</w:t>
      </w:r>
      <w:r w:rsidRPr="00024527">
        <w:rPr>
          <w:rtl/>
        </w:rPr>
        <w:t xml:space="preserve">، قام الاتحاد </w:t>
      </w:r>
      <w:r w:rsidRPr="00024527">
        <w:rPr>
          <w:rFonts w:hint="cs"/>
          <w:rtl/>
        </w:rPr>
        <w:t>بإعداد</w:t>
      </w:r>
      <w:r w:rsidRPr="00024527">
        <w:rPr>
          <w:rtl/>
        </w:rPr>
        <w:t xml:space="preserve"> وإطلاق </w:t>
      </w:r>
      <w:hyperlink r:id="rId173" w:anchor="/ar" w:history="1">
        <w:r w:rsidRPr="00024527">
          <w:rPr>
            <w:rStyle w:val="Hyperlink"/>
            <w:noProof w:val="0"/>
            <w:rtl/>
            <w:lang w:val="en-US" w:eastAsia="zh-CN"/>
          </w:rPr>
          <w:t>البيان المشترك بشأن الذكاء الاصطناعي وحقوق الطفل</w:t>
        </w:r>
      </w:hyperlink>
      <w:r w:rsidRPr="00024527">
        <w:rPr>
          <w:rtl/>
        </w:rPr>
        <w:t xml:space="preserve">. ودعمت أنشطة التقييس التقني والاتصالات </w:t>
      </w:r>
      <w:r w:rsidRPr="00024527">
        <w:rPr>
          <w:rFonts w:hint="cs"/>
          <w:rtl/>
        </w:rPr>
        <w:t>الراديوية</w:t>
      </w:r>
      <w:r w:rsidRPr="00024527">
        <w:rPr>
          <w:rtl/>
        </w:rPr>
        <w:t xml:space="preserve"> هذا العمل من خلال </w:t>
      </w:r>
      <w:hyperlink r:id="rId174" w:history="1">
        <w:r w:rsidRPr="00024527">
          <w:rPr>
            <w:rStyle w:val="Hyperlink"/>
            <w:noProof w:val="0"/>
            <w:rtl/>
            <w:lang w:val="en-US" w:eastAsia="zh-CN"/>
          </w:rPr>
          <w:t>توصيات ودراسات وتحديثات تركز على الأمن</w:t>
        </w:r>
      </w:hyperlink>
      <w:r w:rsidRPr="00024527">
        <w:rPr>
          <w:rtl/>
        </w:rPr>
        <w:t xml:space="preserve"> تتناول التهديدات المتطورة وحماية البنية التحتية الحيوية لتكنولوجيا المعلومات والاتصالات.</w:t>
      </w:r>
    </w:p>
    <w:p w14:paraId="10D266D6" w14:textId="6036464C" w:rsidR="00024527" w:rsidRPr="00024527" w:rsidRDefault="00024527" w:rsidP="00024527">
      <w:pPr>
        <w:rPr>
          <w:rtl/>
        </w:rPr>
      </w:pPr>
      <w:r w:rsidRPr="00024527">
        <w:rPr>
          <w:rFonts w:hint="cs"/>
          <w:rtl/>
        </w:rPr>
        <w:t>وأحرزت لجنة الدراسات</w:t>
      </w:r>
      <w:r w:rsidRPr="00024527">
        <w:rPr>
          <w:rtl/>
        </w:rPr>
        <w:t xml:space="preserve"> 17 التابعة لقطاع تقييس الاتصالات تقدماً في العمل على </w:t>
      </w:r>
      <w:hyperlink r:id="rId175" w:history="1">
        <w:r w:rsidRPr="00024527">
          <w:rPr>
            <w:rStyle w:val="Hyperlink"/>
            <w:noProof w:val="0"/>
            <w:rtl/>
            <w:lang w:val="en-US" w:eastAsia="zh-CN"/>
          </w:rPr>
          <w:t>أمن الذكاء الاصطناعي، وأنظمة الاتصالات المتنقلة الدولية، والحوسبة السحابية، وإنترنت الأشياء، وأنظمة النقل الذكية، وأنظمة التو</w:t>
        </w:r>
        <w:r w:rsidRPr="00024527">
          <w:rPr>
            <w:rStyle w:val="Hyperlink"/>
            <w:rFonts w:hint="cs"/>
            <w:noProof w:val="0"/>
            <w:rtl/>
            <w:lang w:val="en-US" w:eastAsia="zh-CN"/>
          </w:rPr>
          <w:t>ائم</w:t>
        </w:r>
        <w:r w:rsidRPr="00024527">
          <w:rPr>
            <w:rStyle w:val="Hyperlink"/>
            <w:noProof w:val="0"/>
            <w:rtl/>
            <w:lang w:val="en-US" w:eastAsia="zh-CN"/>
          </w:rPr>
          <w:t xml:space="preserve"> الرقمي</w:t>
        </w:r>
        <w:r w:rsidRPr="00024527">
          <w:rPr>
            <w:rStyle w:val="Hyperlink"/>
            <w:rFonts w:hint="cs"/>
            <w:noProof w:val="0"/>
            <w:rtl/>
            <w:lang w:val="en-US" w:eastAsia="zh-CN"/>
          </w:rPr>
          <w:t>ة</w:t>
        </w:r>
        <w:r w:rsidRPr="00024527">
          <w:rPr>
            <w:rStyle w:val="Hyperlink"/>
            <w:noProof w:val="0"/>
            <w:rtl/>
            <w:lang w:val="en-US" w:eastAsia="zh-CN"/>
          </w:rPr>
          <w:t xml:space="preserve">، وتوزيع المفاتيح الكمومية، والتحكم في </w:t>
        </w:r>
        <w:r w:rsidRPr="00024527">
          <w:rPr>
            <w:rStyle w:val="Hyperlink"/>
            <w:rFonts w:hint="cs"/>
            <w:noProof w:val="0"/>
            <w:rtl/>
            <w:lang w:val="en-US" w:eastAsia="zh-CN"/>
          </w:rPr>
          <w:t>النفاذ</w:t>
        </w:r>
        <w:r w:rsidRPr="00024527">
          <w:rPr>
            <w:rStyle w:val="Hyperlink"/>
            <w:noProof w:val="0"/>
            <w:rtl/>
            <w:lang w:val="en-US" w:eastAsia="zh-CN"/>
          </w:rPr>
          <w:t>، والخدمات المالية الرقمية، والحفاظ على الخصوصية، وغيرها من الخدمات الذكية</w:t>
        </w:r>
      </w:hyperlink>
      <w:r w:rsidRPr="00024527">
        <w:rPr>
          <w:rtl/>
        </w:rPr>
        <w:t xml:space="preserve">. </w:t>
      </w:r>
      <w:r w:rsidRPr="00024527">
        <w:rPr>
          <w:rFonts w:hint="cs"/>
          <w:rtl/>
        </w:rPr>
        <w:t>ووافقت</w:t>
      </w:r>
      <w:r w:rsidRPr="00024527">
        <w:rPr>
          <w:rtl/>
        </w:rPr>
        <w:t xml:space="preserve"> </w:t>
      </w:r>
      <w:r w:rsidRPr="00024527">
        <w:rPr>
          <w:rFonts w:hint="cs"/>
          <w:rtl/>
        </w:rPr>
        <w:t>لجان الدراسات</w:t>
      </w:r>
      <w:r w:rsidRPr="00024527">
        <w:rPr>
          <w:rtl/>
        </w:rPr>
        <w:t xml:space="preserve"> 5 و13 و15 و21 التابعة لقطاع تقييس الاتصالات </w:t>
      </w:r>
      <w:r w:rsidRPr="00024527">
        <w:rPr>
          <w:rFonts w:hint="cs"/>
          <w:rtl/>
        </w:rPr>
        <w:t xml:space="preserve">أيضاً على </w:t>
      </w:r>
      <w:r w:rsidRPr="00024527">
        <w:rPr>
          <w:rtl/>
        </w:rPr>
        <w:t xml:space="preserve">توصيات تغطي طيفاً واسعاً من القضايا، بدءاً من موثوقية </w:t>
      </w:r>
      <w:r w:rsidRPr="00024527">
        <w:rPr>
          <w:rFonts w:hint="cs"/>
          <w:rtl/>
        </w:rPr>
        <w:t>تكنولوجيا</w:t>
      </w:r>
      <w:r w:rsidRPr="00024527">
        <w:rPr>
          <w:rtl/>
        </w:rPr>
        <w:t xml:space="preserve"> الاتصالات المتنقلة الدولية</w:t>
      </w:r>
      <w:r w:rsidRPr="00024527">
        <w:rPr>
          <w:rFonts w:hint="cs"/>
          <w:rtl/>
        </w:rPr>
        <w:t>-</w:t>
      </w:r>
      <w:r w:rsidRPr="00024527">
        <w:rPr>
          <w:rtl/>
        </w:rPr>
        <w:t xml:space="preserve">2020 وما بعدها، والبنية التحتية (مثل شبكة الطاقة، والشبكة الضوئية </w:t>
      </w:r>
      <w:r w:rsidRPr="00024527">
        <w:rPr>
          <w:rFonts w:hint="cs"/>
          <w:rtl/>
        </w:rPr>
        <w:t>المنفعلة</w:t>
      </w:r>
      <w:r w:rsidRPr="00024527">
        <w:rPr>
          <w:rtl/>
        </w:rPr>
        <w:t>)، والتقارب بين الاتصالات الثابتة والمتنقلة و</w:t>
      </w:r>
      <w:r w:rsidRPr="00024527">
        <w:rPr>
          <w:rFonts w:hint="cs"/>
          <w:rtl/>
        </w:rPr>
        <w:t>الساتلية</w:t>
      </w:r>
      <w:r w:rsidRPr="00024527">
        <w:rPr>
          <w:rtl/>
        </w:rPr>
        <w:t xml:space="preserve">، وإدارة الحقوق الرقمية لتوزيع محتوى الفيديو/الصوت، ومصداقية الوسائط المتعددة. وتواصل </w:t>
      </w:r>
      <w:r w:rsidRPr="00024527">
        <w:rPr>
          <w:rFonts w:hint="cs"/>
          <w:rtl/>
        </w:rPr>
        <w:t>لجنة الدراسات</w:t>
      </w:r>
      <w:r w:rsidRPr="00024527">
        <w:rPr>
          <w:rtl/>
        </w:rPr>
        <w:t xml:space="preserve"> 11 أنشطتها </w:t>
      </w:r>
      <w:r w:rsidRPr="00024527">
        <w:rPr>
          <w:rFonts w:hint="cs"/>
          <w:rtl/>
        </w:rPr>
        <w:t>بشأن</w:t>
      </w:r>
      <w:r w:rsidRPr="00024527">
        <w:rPr>
          <w:rtl/>
        </w:rPr>
        <w:t xml:space="preserve"> </w:t>
      </w:r>
      <w:hyperlink r:id="rId176" w:history="1">
        <w:r w:rsidRPr="00024527">
          <w:rPr>
            <w:rStyle w:val="Hyperlink"/>
            <w:noProof w:val="0"/>
            <w:rtl/>
            <w:lang w:val="en-US" w:eastAsia="zh-CN"/>
          </w:rPr>
          <w:t xml:space="preserve">أمن </w:t>
        </w:r>
        <w:r w:rsidRPr="00024527">
          <w:rPr>
            <w:rStyle w:val="Hyperlink"/>
            <w:rFonts w:hint="cs"/>
            <w:noProof w:val="0"/>
            <w:rtl/>
            <w:lang w:val="en-US" w:eastAsia="zh-CN"/>
          </w:rPr>
          <w:t>التشوير</w:t>
        </w:r>
      </w:hyperlink>
      <w:r w:rsidRPr="00024527">
        <w:rPr>
          <w:rtl/>
        </w:rPr>
        <w:t xml:space="preserve"> لمكافحة أجهزة تكنولوجيا المعلومات والاتصالات </w:t>
      </w:r>
      <w:r w:rsidRPr="00024527">
        <w:rPr>
          <w:rFonts w:hint="cs"/>
          <w:rtl/>
        </w:rPr>
        <w:t>المتنقلة</w:t>
      </w:r>
      <w:r w:rsidRPr="00024527">
        <w:rPr>
          <w:rtl/>
        </w:rPr>
        <w:t xml:space="preserve"> المزيفة والمسروقة، والهجمات على </w:t>
      </w:r>
      <w:r w:rsidRPr="00024527">
        <w:rPr>
          <w:rFonts w:hint="cs"/>
          <w:rtl/>
        </w:rPr>
        <w:t>ال</w:t>
      </w:r>
      <w:r w:rsidRPr="00024527">
        <w:rPr>
          <w:rtl/>
        </w:rPr>
        <w:t>شبكات الهاتف</w:t>
      </w:r>
      <w:r w:rsidRPr="00024527">
        <w:rPr>
          <w:rFonts w:hint="cs"/>
          <w:rtl/>
        </w:rPr>
        <w:t>ية</w:t>
      </w:r>
      <w:r w:rsidRPr="00024527">
        <w:rPr>
          <w:rtl/>
        </w:rPr>
        <w:t xml:space="preserve"> (مثل الرسائل </w:t>
      </w:r>
      <w:r w:rsidRPr="00024527">
        <w:rPr>
          <w:rFonts w:hint="cs"/>
          <w:rtl/>
        </w:rPr>
        <w:t xml:space="preserve">الاقتحامية </w:t>
      </w:r>
      <w:r w:rsidRPr="00024527">
        <w:rPr>
          <w:rtl/>
        </w:rPr>
        <w:t xml:space="preserve">الهاتفية، والمكالمات الآلية، وانتحال الأرقام، وما إلى ذلك). وتواصل </w:t>
      </w:r>
      <w:hyperlink r:id="rId177" w:anchor="/ar" w:history="1">
        <w:r w:rsidRPr="00024527">
          <w:rPr>
            <w:rStyle w:val="Hyperlink"/>
            <w:rFonts w:hint="cs"/>
            <w:noProof w:val="0"/>
            <w:rtl/>
            <w:lang w:val="en-US" w:eastAsia="zh-CN"/>
          </w:rPr>
          <w:t>لجنة الدراسات</w:t>
        </w:r>
        <w:r w:rsidRPr="00024527">
          <w:rPr>
            <w:rStyle w:val="Hyperlink"/>
            <w:noProof w:val="0"/>
            <w:rtl/>
            <w:lang w:val="en-US" w:eastAsia="zh-CN"/>
          </w:rPr>
          <w:t xml:space="preserve"> 20</w:t>
        </w:r>
      </w:hyperlink>
      <w:r w:rsidRPr="00024527">
        <w:rPr>
          <w:rtl/>
        </w:rPr>
        <w:t xml:space="preserve"> عملها في مجال الأمن والخصوصية والموثوقية والتحقق من الهوية لإنترنت الأشياء والمدن والمجتمعات الذكية المستدامة. وقد وضع قطاع الاتصالات الراديوية مبادئ أمنية واضحة لشبكات الاتصالات المتنقلة الدولية (الجيل الثالث و</w:t>
      </w:r>
      <w:r w:rsidRPr="00024527">
        <w:rPr>
          <w:rFonts w:hint="cs"/>
          <w:rtl/>
        </w:rPr>
        <w:t xml:space="preserve">الجيل </w:t>
      </w:r>
      <w:r w:rsidRPr="00024527">
        <w:rPr>
          <w:rtl/>
        </w:rPr>
        <w:t>الرابع و</w:t>
      </w:r>
      <w:r w:rsidRPr="00024527">
        <w:rPr>
          <w:rFonts w:hint="cs"/>
          <w:rtl/>
        </w:rPr>
        <w:t xml:space="preserve">الجيل </w:t>
      </w:r>
      <w:r w:rsidRPr="00024527">
        <w:rPr>
          <w:rtl/>
        </w:rPr>
        <w:t xml:space="preserve">الخامس). </w:t>
      </w:r>
      <w:r w:rsidRPr="00024527">
        <w:rPr>
          <w:rFonts w:hint="cs"/>
          <w:rtl/>
        </w:rPr>
        <w:t>و</w:t>
      </w:r>
      <w:r w:rsidRPr="00024527">
        <w:rPr>
          <w:rtl/>
        </w:rPr>
        <w:t xml:space="preserve">تعمل </w:t>
      </w:r>
      <w:hyperlink r:id="rId178" w:anchor="/ar" w:history="1">
        <w:r w:rsidRPr="00024527">
          <w:rPr>
            <w:rStyle w:val="Hyperlink"/>
            <w:noProof w:val="0"/>
            <w:rtl/>
            <w:lang w:val="en-US" w:eastAsia="zh-CN"/>
          </w:rPr>
          <w:t>مبادرة متحدون من أجل مدن ذكية مستدامة (</w:t>
        </w:r>
        <w:r w:rsidRPr="00024527">
          <w:rPr>
            <w:rStyle w:val="Hyperlink"/>
            <w:noProof w:val="0"/>
            <w:lang w:eastAsia="zh-CN"/>
          </w:rPr>
          <w:t>U4SSC</w:t>
        </w:r>
        <w:r w:rsidRPr="00024527">
          <w:rPr>
            <w:rStyle w:val="Hyperlink"/>
            <w:noProof w:val="0"/>
            <w:rtl/>
            <w:lang w:val="en-US" w:eastAsia="zh-CN"/>
          </w:rPr>
          <w:t>)</w:t>
        </w:r>
      </w:hyperlink>
      <w:r w:rsidRPr="00024527">
        <w:rPr>
          <w:rtl/>
        </w:rPr>
        <w:t xml:space="preserve">، </w:t>
      </w:r>
      <w:r w:rsidRPr="00024527">
        <w:rPr>
          <w:rFonts w:hint="cs"/>
          <w:rtl/>
        </w:rPr>
        <w:t>التي يدعمها</w:t>
      </w:r>
      <w:r w:rsidRPr="00024527">
        <w:rPr>
          <w:rtl/>
        </w:rPr>
        <w:t xml:space="preserve"> 20 </w:t>
      </w:r>
      <w:r w:rsidRPr="00024527">
        <w:rPr>
          <w:rFonts w:hint="cs"/>
          <w:rtl/>
        </w:rPr>
        <w:t>من كيانات ا</w:t>
      </w:r>
      <w:r w:rsidRPr="00024527">
        <w:rPr>
          <w:rtl/>
        </w:rPr>
        <w:t xml:space="preserve">لأمم المتحدة، على </w:t>
      </w:r>
      <w:r w:rsidRPr="00024527">
        <w:rPr>
          <w:rFonts w:hint="cs"/>
          <w:rtl/>
        </w:rPr>
        <w:t>النهوض ب</w:t>
      </w:r>
      <w:r w:rsidRPr="00024527">
        <w:rPr>
          <w:rtl/>
        </w:rPr>
        <w:t xml:space="preserve">جوانب الأمن والخصوصية المتعلقة بالبنية التحتية الرقمية العامة في المدن. كما تعمل </w:t>
      </w:r>
      <w:hyperlink r:id="rId179" w:history="1">
        <w:r w:rsidRPr="00024527">
          <w:rPr>
            <w:rStyle w:val="Hyperlink"/>
            <w:noProof w:val="0"/>
            <w:rtl/>
            <w:lang w:val="en-US" w:eastAsia="zh-CN"/>
          </w:rPr>
          <w:t xml:space="preserve">المبادرة العالمية للعوالم الافتراضية والذكاء الاصطناعي - اكتشاف </w:t>
        </w:r>
        <w:proofErr w:type="spellStart"/>
        <w:r w:rsidRPr="00024527">
          <w:rPr>
            <w:rStyle w:val="Hyperlink"/>
            <w:rFonts w:hint="cs"/>
            <w:noProof w:val="0"/>
            <w:rtl/>
            <w:lang w:val="en-US" w:eastAsia="zh-CN"/>
          </w:rPr>
          <w:t>السيتيفيرس</w:t>
        </w:r>
        <w:proofErr w:type="spellEnd"/>
      </w:hyperlink>
      <w:r w:rsidRPr="00024527">
        <w:rPr>
          <w:rtl/>
        </w:rPr>
        <w:t xml:space="preserve">، </w:t>
      </w:r>
      <w:r w:rsidRPr="00024527">
        <w:rPr>
          <w:rFonts w:hint="cs"/>
          <w:rtl/>
        </w:rPr>
        <w:t>التي يدعمها</w:t>
      </w:r>
      <w:r w:rsidRPr="00024527">
        <w:rPr>
          <w:rtl/>
        </w:rPr>
        <w:t xml:space="preserve"> أكثر من 70 شريك</w:t>
      </w:r>
      <w:r w:rsidRPr="00024527">
        <w:rPr>
          <w:rFonts w:hint="cs"/>
          <w:rtl/>
        </w:rPr>
        <w:t>اً</w:t>
      </w:r>
      <w:r w:rsidRPr="00024527">
        <w:rPr>
          <w:rtl/>
        </w:rPr>
        <w:t xml:space="preserve">، على </w:t>
      </w:r>
      <w:r w:rsidRPr="00024527">
        <w:rPr>
          <w:rFonts w:hint="cs"/>
          <w:rtl/>
        </w:rPr>
        <w:t xml:space="preserve">تنمية </w:t>
      </w:r>
      <w:proofErr w:type="spellStart"/>
      <w:r w:rsidRPr="00024527">
        <w:rPr>
          <w:rFonts w:hint="cs"/>
          <w:rtl/>
        </w:rPr>
        <w:t>السيتيفيرس</w:t>
      </w:r>
      <w:proofErr w:type="spellEnd"/>
      <w:r w:rsidRPr="00024527">
        <w:rPr>
          <w:rtl/>
        </w:rPr>
        <w:t xml:space="preserve"> والعوالم الافتراضية </w:t>
      </w:r>
      <w:r w:rsidRPr="00024527">
        <w:rPr>
          <w:rFonts w:hint="cs"/>
          <w:rtl/>
        </w:rPr>
        <w:t>بموجب</w:t>
      </w:r>
      <w:r w:rsidRPr="00024527">
        <w:rPr>
          <w:rtl/>
        </w:rPr>
        <w:t xml:space="preserve"> مسار</w:t>
      </w:r>
      <w:r w:rsidRPr="00024527">
        <w:rPr>
          <w:rFonts w:hint="cs"/>
          <w:rtl/>
        </w:rPr>
        <w:t>ها بشأن</w:t>
      </w:r>
      <w:r w:rsidRPr="00024527">
        <w:rPr>
          <w:rtl/>
        </w:rPr>
        <w:t xml:space="preserve"> الأمن والثقة.</w:t>
      </w:r>
    </w:p>
    <w:p w14:paraId="72BFD743" w14:textId="47FEDB77" w:rsidR="00024527" w:rsidRPr="00024527" w:rsidRDefault="00024527" w:rsidP="00024527">
      <w:pPr>
        <w:rPr>
          <w:lang w:val="en-GB"/>
        </w:rPr>
      </w:pPr>
      <w:r w:rsidRPr="00024527">
        <w:rPr>
          <w:rFonts w:hint="cs"/>
          <w:rtl/>
        </w:rPr>
        <w:t>و</w:t>
      </w:r>
      <w:r w:rsidRPr="00024527">
        <w:rPr>
          <w:rtl/>
        </w:rPr>
        <w:t xml:space="preserve">للاطلاع على مزيد من المعلومات، </w:t>
      </w:r>
      <w:r w:rsidRPr="00024527">
        <w:rPr>
          <w:rFonts w:hint="cs"/>
          <w:rtl/>
        </w:rPr>
        <w:t xml:space="preserve">يرجى </w:t>
      </w:r>
      <w:r w:rsidRPr="00024527">
        <w:rPr>
          <w:rtl/>
        </w:rPr>
        <w:t xml:space="preserve">زيارة الموقع الإلكتروني </w:t>
      </w:r>
      <w:hyperlink r:id="rId180" w:history="1">
        <w:r w:rsidRPr="00024527">
          <w:rPr>
            <w:rStyle w:val="Hyperlink"/>
            <w:rFonts w:hint="cs"/>
            <w:noProof w:val="0"/>
            <w:rtl/>
            <w:lang w:val="en-US" w:eastAsia="zh-CN"/>
          </w:rPr>
          <w:t>أنشطة الأمن السيبراني في الاتحاد</w:t>
        </w:r>
      </w:hyperlink>
      <w:r w:rsidRPr="00024527">
        <w:rPr>
          <w:rFonts w:hint="cs"/>
          <w:rtl/>
        </w:rPr>
        <w:t>.</w:t>
      </w:r>
    </w:p>
    <w:p w14:paraId="346801E7" w14:textId="62EA8732" w:rsidR="00621959" w:rsidRPr="00621959" w:rsidRDefault="00621959" w:rsidP="00AB456E">
      <w:pPr>
        <w:pStyle w:val="Heading3"/>
        <w:rPr>
          <w:lang w:val="en-GB" w:bidi="ar-EG"/>
        </w:rPr>
      </w:pPr>
      <w:bookmarkStart w:id="75" w:name="_Toc227252589"/>
      <w:r w:rsidRPr="00621959">
        <w:rPr>
          <w:rtl/>
        </w:rPr>
        <w:t>2.4.4</w:t>
      </w:r>
      <w:r w:rsidRPr="00621959">
        <w:rPr>
          <w:rtl/>
        </w:rPr>
        <w:tab/>
        <w:t xml:space="preserve">التكنولوجيات الناشئة: </w:t>
      </w:r>
      <w:r w:rsidRPr="00621959">
        <w:rPr>
          <w:rFonts w:hint="cs"/>
          <w:rtl/>
        </w:rPr>
        <w:t>تشكيل</w:t>
      </w:r>
      <w:r w:rsidRPr="00621959">
        <w:rPr>
          <w:rtl/>
        </w:rPr>
        <w:t xml:space="preserve"> </w:t>
      </w:r>
      <w:r w:rsidRPr="00621959">
        <w:rPr>
          <w:rFonts w:hint="cs"/>
          <w:rtl/>
        </w:rPr>
        <w:t>ال</w:t>
      </w:r>
      <w:r w:rsidRPr="00621959">
        <w:rPr>
          <w:rtl/>
        </w:rPr>
        <w:t xml:space="preserve">أطر </w:t>
      </w:r>
      <w:r w:rsidRPr="00621959">
        <w:rPr>
          <w:rFonts w:hint="cs"/>
          <w:rtl/>
        </w:rPr>
        <w:t xml:space="preserve">من أجل </w:t>
      </w:r>
      <w:r w:rsidRPr="00621959">
        <w:rPr>
          <w:rtl/>
        </w:rPr>
        <w:t>التحول</w:t>
      </w:r>
      <w:bookmarkEnd w:id="75"/>
    </w:p>
    <w:p w14:paraId="151DDA74" w14:textId="35346F4B" w:rsidR="00621959" w:rsidRPr="00621959" w:rsidRDefault="00621959" w:rsidP="008A5A1B">
      <w:pPr>
        <w:rPr>
          <w:lang w:val="en-GB" w:bidi="ar-EG"/>
        </w:rPr>
      </w:pPr>
      <w:r w:rsidRPr="00AE1C8A">
        <w:rPr>
          <w:rtl/>
        </w:rPr>
        <w:t xml:space="preserve">يواصل الاتحاد </w:t>
      </w:r>
      <w:r w:rsidRPr="00AE1C8A">
        <w:rPr>
          <w:rFonts w:hint="cs"/>
          <w:rtl/>
        </w:rPr>
        <w:t>تشكيل</w:t>
      </w:r>
      <w:r w:rsidRPr="00AE1C8A">
        <w:rPr>
          <w:rtl/>
        </w:rPr>
        <w:t xml:space="preserve"> أطر عالمية للتكنولوجيات سريعة التطور، مع التركيز بشكل خاص على الذكاء الاصطناعي، وتكنولوجيا المعلومات الكمومية، والميتافيرس والعوالم الافتراضية، وإنترنت الأشياء</w:t>
      </w:r>
      <w:r w:rsidR="00AB456E" w:rsidRPr="00AE1C8A">
        <w:rPr>
          <w:rFonts w:hint="cs"/>
          <w:rtl/>
          <w:lang w:bidi="ar-EG"/>
        </w:rPr>
        <w:t xml:space="preserve"> </w:t>
      </w:r>
      <w:r w:rsidR="00AB456E" w:rsidRPr="00AE1C8A">
        <w:rPr>
          <w:lang w:bidi="ar-EG"/>
        </w:rPr>
        <w:t>(IoT)</w:t>
      </w:r>
      <w:r w:rsidRPr="00AE1C8A">
        <w:rPr>
          <w:rtl/>
        </w:rPr>
        <w:t xml:space="preserve">. ويدعم هذا العمل التحول الرقمي الشامل </w:t>
      </w:r>
      <w:r w:rsidRPr="00AE1C8A">
        <w:rPr>
          <w:rFonts w:hint="cs"/>
          <w:rtl/>
        </w:rPr>
        <w:t xml:space="preserve">للجميع </w:t>
      </w:r>
      <w:r w:rsidRPr="00AE1C8A">
        <w:rPr>
          <w:rtl/>
        </w:rPr>
        <w:t>والمستدام على مستوى العالم، ويتحقق من خلال المعايير، و</w:t>
      </w:r>
      <w:r w:rsidRPr="00AE1C8A">
        <w:rPr>
          <w:rFonts w:hint="cs"/>
          <w:rtl/>
        </w:rPr>
        <w:t>ال</w:t>
      </w:r>
      <w:r w:rsidRPr="00AE1C8A">
        <w:rPr>
          <w:rtl/>
        </w:rPr>
        <w:t xml:space="preserve">تنسيق </w:t>
      </w:r>
      <w:r w:rsidRPr="00AE1C8A">
        <w:rPr>
          <w:rFonts w:hint="cs"/>
          <w:rtl/>
        </w:rPr>
        <w:t xml:space="preserve">على مستوى </w:t>
      </w:r>
      <w:r w:rsidRPr="00AE1C8A">
        <w:rPr>
          <w:rtl/>
        </w:rPr>
        <w:t>منظومة الأمم المتحدة، والمبادرات المخصصة، والمشاريع العملية على أرض الواقع.</w:t>
      </w:r>
    </w:p>
    <w:p w14:paraId="35525E52" w14:textId="77777777" w:rsidR="00621959" w:rsidRPr="00621959" w:rsidRDefault="00621959" w:rsidP="008A5A1B">
      <w:pPr>
        <w:rPr>
          <w:bCs/>
          <w:rtl/>
        </w:rPr>
      </w:pPr>
      <w:r w:rsidRPr="00621959">
        <w:rPr>
          <w:bCs/>
          <w:rtl/>
        </w:rPr>
        <w:t>الذكاء الاصطناعي</w:t>
      </w:r>
    </w:p>
    <w:p w14:paraId="33F942E3" w14:textId="0C9D4222" w:rsidR="00621959" w:rsidRPr="00621959" w:rsidRDefault="00621959" w:rsidP="008A5A1B">
      <w:pPr>
        <w:rPr>
          <w:b/>
          <w:rtl/>
        </w:rPr>
      </w:pPr>
      <w:r w:rsidRPr="00621959">
        <w:rPr>
          <w:b/>
          <w:rtl/>
        </w:rPr>
        <w:t xml:space="preserve">حافظ الاتحاد على ريادته في مجال التعاون الدولي </w:t>
      </w:r>
      <w:r w:rsidRPr="00621959">
        <w:rPr>
          <w:rFonts w:hint="cs"/>
          <w:b/>
          <w:rtl/>
        </w:rPr>
        <w:t>بشأن</w:t>
      </w:r>
      <w:r w:rsidRPr="00621959">
        <w:rPr>
          <w:b/>
          <w:rtl/>
        </w:rPr>
        <w:t xml:space="preserve"> </w:t>
      </w:r>
      <w:hyperlink r:id="rId181" w:history="1">
        <w:r w:rsidRPr="00621959">
          <w:rPr>
            <w:rStyle w:val="Hyperlink"/>
            <w:noProof w:val="0"/>
            <w:rtl/>
            <w:lang w:val="en-US" w:eastAsia="zh-CN"/>
          </w:rPr>
          <w:t>الذكاء الاصطناعي</w:t>
        </w:r>
      </w:hyperlink>
      <w:r w:rsidRPr="00621959">
        <w:rPr>
          <w:b/>
          <w:rtl/>
        </w:rPr>
        <w:t xml:space="preserve"> منذ عام 2017، </w:t>
      </w:r>
      <w:r w:rsidRPr="00621959">
        <w:rPr>
          <w:rFonts w:hint="cs"/>
          <w:b/>
          <w:rtl/>
        </w:rPr>
        <w:t>وضمن</w:t>
      </w:r>
      <w:r w:rsidRPr="00621959">
        <w:rPr>
          <w:b/>
          <w:rtl/>
        </w:rPr>
        <w:t xml:space="preserve"> بذلك </w:t>
      </w:r>
      <w:r w:rsidRPr="00621959">
        <w:rPr>
          <w:rFonts w:hint="cs"/>
          <w:b/>
          <w:rtl/>
        </w:rPr>
        <w:t>أن يسهم</w:t>
      </w:r>
      <w:r w:rsidRPr="00621959">
        <w:rPr>
          <w:b/>
          <w:rtl/>
        </w:rPr>
        <w:t xml:space="preserve"> الذكاء الاصطناعي في التنمية الاجتماعية والاقتصادية، ودفع عجلة التقدم في تحقيق أهداف الأمم المتحدة للتنمية المستدامة.</w:t>
      </w:r>
      <w:r w:rsidRPr="00621959">
        <w:rPr>
          <w:rFonts w:hint="cs"/>
          <w:b/>
          <w:rtl/>
        </w:rPr>
        <w:t xml:space="preserve"> وبتوجيه من</w:t>
      </w:r>
      <w:r w:rsidRPr="00621959">
        <w:rPr>
          <w:b/>
          <w:rtl/>
        </w:rPr>
        <w:t xml:space="preserve"> </w:t>
      </w:r>
      <w:hyperlink r:id="rId182" w:history="1">
        <w:r w:rsidRPr="00621959">
          <w:rPr>
            <w:rStyle w:val="Hyperlink"/>
            <w:rFonts w:hint="cs"/>
            <w:noProof w:val="0"/>
            <w:rtl/>
            <w:lang w:val="en-US" w:eastAsia="zh-CN"/>
          </w:rPr>
          <w:t>الق</w:t>
        </w:r>
        <w:r w:rsidRPr="00621959">
          <w:rPr>
            <w:rStyle w:val="Hyperlink"/>
            <w:noProof w:val="0"/>
            <w:rtl/>
            <w:lang w:val="en-US" w:eastAsia="zh-CN"/>
          </w:rPr>
          <w:t>رار 214 (بوخارست، 2022</w:t>
        </w:r>
        <w:r w:rsidRPr="00621959">
          <w:rPr>
            <w:rStyle w:val="Hyperlink"/>
            <w:rFonts w:hint="cs"/>
            <w:noProof w:val="0"/>
            <w:rtl/>
            <w:lang w:val="en-US" w:eastAsia="zh-CN"/>
          </w:rPr>
          <w:t>)</w:t>
        </w:r>
      </w:hyperlink>
      <w:r w:rsidRPr="00621959">
        <w:rPr>
          <w:rFonts w:hint="cs"/>
          <w:b/>
          <w:rtl/>
        </w:rPr>
        <w:t xml:space="preserve"> لمؤتمر المندوبين المفوضين،</w:t>
      </w:r>
      <w:r w:rsidRPr="00621959">
        <w:rPr>
          <w:b/>
          <w:rtl/>
        </w:rPr>
        <w:t xml:space="preserve"> </w:t>
      </w:r>
      <w:r w:rsidRPr="00621959">
        <w:rPr>
          <w:rFonts w:hint="cs"/>
          <w:b/>
          <w:rtl/>
        </w:rPr>
        <w:t>يغطي</w:t>
      </w:r>
      <w:r w:rsidRPr="00621959">
        <w:rPr>
          <w:b/>
          <w:rtl/>
        </w:rPr>
        <w:t xml:space="preserve"> عمل الاتحاد في مجال الذكاء الاصطناعي </w:t>
      </w:r>
      <w:r w:rsidRPr="00621959">
        <w:rPr>
          <w:rFonts w:hint="cs"/>
          <w:b/>
          <w:rtl/>
        </w:rPr>
        <w:t xml:space="preserve">تقييس </w:t>
      </w:r>
      <w:r w:rsidRPr="00621959">
        <w:rPr>
          <w:b/>
          <w:rtl/>
        </w:rPr>
        <w:t>تنسيق بناء القدرات في مجال التقييس</w:t>
      </w:r>
      <w:r w:rsidRPr="00621959">
        <w:rPr>
          <w:rFonts w:hint="cs"/>
          <w:b/>
          <w:rtl/>
        </w:rPr>
        <w:t xml:space="preserve"> </w:t>
      </w:r>
      <w:r w:rsidRPr="00621959">
        <w:rPr>
          <w:b/>
          <w:rtl/>
        </w:rPr>
        <w:t>على مستوى منظومة الأمم المتحدة، ومنصات أصحاب المصلحة المتعددين.</w:t>
      </w:r>
    </w:p>
    <w:p w14:paraId="7C87C2CC" w14:textId="3E9C0953" w:rsidR="00621959" w:rsidRPr="00621959" w:rsidRDefault="00621959" w:rsidP="008A5A1B">
      <w:pPr>
        <w:rPr>
          <w:b/>
          <w:rtl/>
        </w:rPr>
      </w:pPr>
      <w:r w:rsidRPr="00621959">
        <w:rPr>
          <w:b/>
          <w:rtl/>
        </w:rPr>
        <w:t>و</w:t>
      </w:r>
      <w:r w:rsidRPr="00621959">
        <w:rPr>
          <w:rFonts w:hint="cs"/>
          <w:b/>
          <w:rtl/>
        </w:rPr>
        <w:t>نهض</w:t>
      </w:r>
      <w:r w:rsidRPr="00621959">
        <w:rPr>
          <w:b/>
          <w:rtl/>
        </w:rPr>
        <w:t xml:space="preserve"> الاتحاد </w:t>
      </w:r>
      <w:r w:rsidRPr="00621959">
        <w:rPr>
          <w:rFonts w:hint="cs"/>
          <w:b/>
          <w:rtl/>
        </w:rPr>
        <w:t>بعمل</w:t>
      </w:r>
      <w:r w:rsidRPr="00621959">
        <w:rPr>
          <w:b/>
          <w:rtl/>
        </w:rPr>
        <w:t xml:space="preserve"> التقييس من خلال لجان الدراسات </w:t>
      </w:r>
      <w:r w:rsidRPr="00621959">
        <w:rPr>
          <w:rFonts w:hint="cs"/>
          <w:b/>
          <w:rtl/>
        </w:rPr>
        <w:t>والأفرقة</w:t>
      </w:r>
      <w:r w:rsidRPr="00621959">
        <w:rPr>
          <w:b/>
          <w:rtl/>
        </w:rPr>
        <w:t xml:space="preserve"> </w:t>
      </w:r>
      <w:r w:rsidRPr="00621959">
        <w:rPr>
          <w:rFonts w:hint="cs"/>
          <w:b/>
          <w:rtl/>
        </w:rPr>
        <w:t>ال</w:t>
      </w:r>
      <w:r w:rsidRPr="00621959">
        <w:rPr>
          <w:b/>
          <w:rtl/>
        </w:rPr>
        <w:t>متخصصة</w:t>
      </w:r>
      <w:r w:rsidRPr="00621959">
        <w:rPr>
          <w:rFonts w:hint="cs"/>
          <w:b/>
          <w:rtl/>
        </w:rPr>
        <w:t xml:space="preserve"> المعنية و</w:t>
      </w:r>
      <w:r w:rsidRPr="00621959">
        <w:rPr>
          <w:b/>
          <w:rtl/>
        </w:rPr>
        <w:t xml:space="preserve">العديد من المبادرات </w:t>
      </w:r>
      <w:r w:rsidRPr="00621959">
        <w:rPr>
          <w:rFonts w:hint="cs"/>
          <w:b/>
          <w:rtl/>
        </w:rPr>
        <w:t>السابقة</w:t>
      </w:r>
      <w:r w:rsidRPr="00621959">
        <w:rPr>
          <w:b/>
          <w:rtl/>
        </w:rPr>
        <w:t xml:space="preserve"> للتقييس. وشملت هذه لجان الدراسات في قطاع تقييس</w:t>
      </w:r>
      <w:r w:rsidRPr="00621959">
        <w:rPr>
          <w:rFonts w:hint="cs"/>
          <w:b/>
          <w:rtl/>
        </w:rPr>
        <w:t xml:space="preserve"> الاتصالات</w:t>
      </w:r>
      <w:r w:rsidRPr="00621959">
        <w:rPr>
          <w:b/>
          <w:rtl/>
        </w:rPr>
        <w:t xml:space="preserve">، </w:t>
      </w:r>
      <w:r w:rsidRPr="00621959">
        <w:rPr>
          <w:rFonts w:hint="cs"/>
          <w:b/>
          <w:rtl/>
        </w:rPr>
        <w:t>فضلاً عن بعض لجان الدراسات</w:t>
      </w:r>
      <w:r w:rsidRPr="00621959">
        <w:rPr>
          <w:b/>
          <w:rtl/>
        </w:rPr>
        <w:t xml:space="preserve"> في قطاع الاتصالات الراديوية، و</w:t>
      </w:r>
      <w:r w:rsidRPr="00621959">
        <w:rPr>
          <w:rFonts w:hint="cs"/>
          <w:b/>
          <w:rtl/>
        </w:rPr>
        <w:t>الأفرقة المتخصصة</w:t>
      </w:r>
      <w:r w:rsidRPr="00621959">
        <w:rPr>
          <w:b/>
          <w:rtl/>
        </w:rPr>
        <w:t xml:space="preserve"> </w:t>
      </w:r>
      <w:r w:rsidRPr="00621959">
        <w:rPr>
          <w:rFonts w:hint="cs"/>
          <w:b/>
          <w:rtl/>
        </w:rPr>
        <w:t>بشأن</w:t>
      </w:r>
      <w:r w:rsidRPr="00621959">
        <w:rPr>
          <w:b/>
          <w:rtl/>
        </w:rPr>
        <w:t xml:space="preserve"> </w:t>
      </w:r>
      <w:hyperlink r:id="rId183" w:anchor="/ar" w:history="1">
        <w:r w:rsidRPr="00621959">
          <w:rPr>
            <w:rStyle w:val="Hyperlink"/>
            <w:b/>
            <w:noProof w:val="0"/>
            <w:rtl/>
            <w:lang w:val="en-US" w:eastAsia="zh-CN"/>
          </w:rPr>
          <w:t>شبكات الذكاء الاصطناعي الأصيل</w:t>
        </w:r>
      </w:hyperlink>
      <w:r w:rsidRPr="00621959">
        <w:rPr>
          <w:b/>
          <w:rtl/>
        </w:rPr>
        <w:t>، و</w:t>
      </w:r>
      <w:hyperlink r:id="rId184" w:anchor="/ar" w:history="1">
        <w:r w:rsidRPr="00621959">
          <w:rPr>
            <w:rStyle w:val="Hyperlink"/>
            <w:b/>
            <w:noProof w:val="0"/>
            <w:rtl/>
            <w:lang w:val="en-US" w:eastAsia="zh-CN"/>
          </w:rPr>
          <w:t>الذكاء الاصطناعي في الزراعة</w:t>
        </w:r>
      </w:hyperlink>
      <w:r w:rsidRPr="00621959">
        <w:rPr>
          <w:b/>
          <w:rtl/>
        </w:rPr>
        <w:t>، و</w:t>
      </w:r>
      <w:hyperlink r:id="rId185" w:anchor="/ar" w:history="1">
        <w:r w:rsidRPr="00621959">
          <w:rPr>
            <w:rStyle w:val="Hyperlink"/>
            <w:b/>
            <w:noProof w:val="0"/>
            <w:rtl/>
            <w:lang w:val="en-US" w:eastAsia="zh-CN"/>
          </w:rPr>
          <w:t>الذكاء الاصطناعي في إدارة الكوارث الطبيعية</w:t>
        </w:r>
      </w:hyperlink>
      <w:r w:rsidRPr="00621959">
        <w:rPr>
          <w:b/>
          <w:rtl/>
        </w:rPr>
        <w:t>، و</w:t>
      </w:r>
      <w:hyperlink r:id="rId186" w:anchor="/ar" w:history="1">
        <w:r w:rsidRPr="00621959">
          <w:rPr>
            <w:rStyle w:val="Hyperlink"/>
            <w:b/>
            <w:noProof w:val="0"/>
            <w:rtl/>
            <w:lang w:val="en-US" w:eastAsia="zh-CN"/>
          </w:rPr>
          <w:t>الذكاء الاصطناعي في مجال الصحة</w:t>
        </w:r>
      </w:hyperlink>
      <w:r w:rsidRPr="00621959">
        <w:rPr>
          <w:b/>
          <w:rtl/>
        </w:rPr>
        <w:t xml:space="preserve">، ومبادرات عالمية بشأن </w:t>
      </w:r>
      <w:hyperlink r:id="rId187" w:history="1">
        <w:r w:rsidRPr="00621959">
          <w:rPr>
            <w:rStyle w:val="Hyperlink"/>
            <w:b/>
            <w:noProof w:val="0"/>
            <w:rtl/>
            <w:lang w:val="en-US" w:eastAsia="zh-CN"/>
          </w:rPr>
          <w:t xml:space="preserve">تعزيز القدرة على مواجهة </w:t>
        </w:r>
        <w:r w:rsidRPr="00621959">
          <w:rPr>
            <w:rStyle w:val="Hyperlink"/>
            <w:rFonts w:hint="cs"/>
            <w:b/>
            <w:noProof w:val="0"/>
            <w:rtl/>
            <w:lang w:val="en-US" w:eastAsia="zh-CN"/>
          </w:rPr>
          <w:t>الأخطار</w:t>
        </w:r>
        <w:r w:rsidRPr="00621959">
          <w:rPr>
            <w:rStyle w:val="Hyperlink"/>
            <w:b/>
            <w:noProof w:val="0"/>
            <w:rtl/>
            <w:lang w:val="en-US" w:eastAsia="zh-CN"/>
          </w:rPr>
          <w:t xml:space="preserve"> الطبيعية من خلال حلول الذكاء الاصطناعي</w:t>
        </w:r>
      </w:hyperlink>
      <w:r w:rsidRPr="00621959">
        <w:rPr>
          <w:b/>
          <w:rtl/>
        </w:rPr>
        <w:t>، و</w:t>
      </w:r>
      <w:hyperlink r:id="rId188" w:anchor="/ar" w:history="1">
        <w:r w:rsidRPr="00621959">
          <w:rPr>
            <w:rStyle w:val="Hyperlink"/>
            <w:b/>
            <w:noProof w:val="0"/>
            <w:rtl/>
            <w:lang w:val="en-US" w:eastAsia="zh-CN"/>
          </w:rPr>
          <w:t>الذكاء الاصطناعي في النظم الغذائية</w:t>
        </w:r>
      </w:hyperlink>
      <w:r w:rsidRPr="00621959">
        <w:rPr>
          <w:b/>
          <w:rtl/>
        </w:rPr>
        <w:t>، و</w:t>
      </w:r>
      <w:hyperlink r:id="rId189" w:anchor="/ar" w:history="1">
        <w:r w:rsidRPr="00621959">
          <w:rPr>
            <w:rStyle w:val="Hyperlink"/>
            <w:b/>
            <w:noProof w:val="0"/>
            <w:rtl/>
            <w:lang w:val="en-US" w:eastAsia="zh-CN"/>
          </w:rPr>
          <w:t>الذكاء الاصطناعي في مجال الصحة</w:t>
        </w:r>
      </w:hyperlink>
      <w:r w:rsidRPr="00621959">
        <w:rPr>
          <w:b/>
          <w:rtl/>
        </w:rPr>
        <w:t>، و</w:t>
      </w:r>
      <w:hyperlink r:id="rId190" w:history="1">
        <w:r w:rsidRPr="00621959">
          <w:rPr>
            <w:rStyle w:val="Hyperlink"/>
            <w:b/>
            <w:noProof w:val="0"/>
            <w:rtl/>
            <w:lang w:val="en-US" w:eastAsia="zh-CN"/>
          </w:rPr>
          <w:t>الذكاء الاصطناعي ومشاع البيانات</w:t>
        </w:r>
      </w:hyperlink>
      <w:r w:rsidRPr="00621959">
        <w:rPr>
          <w:b/>
          <w:rtl/>
        </w:rPr>
        <w:t>، و</w:t>
      </w:r>
      <w:hyperlink r:id="rId191" w:history="1">
        <w:r w:rsidRPr="00621959">
          <w:rPr>
            <w:rStyle w:val="Hyperlink"/>
            <w:b/>
            <w:noProof w:val="0"/>
            <w:rtl/>
            <w:lang w:val="en-US" w:eastAsia="zh-CN"/>
          </w:rPr>
          <w:t>العوالم الافتراضية والذكاء الاصطناعي</w:t>
        </w:r>
      </w:hyperlink>
      <w:r w:rsidRPr="00621959">
        <w:rPr>
          <w:b/>
          <w:rtl/>
        </w:rPr>
        <w:t xml:space="preserve">. وقد استكمل هذا العمل بتعاون الاتحاد في مجال معايير الذكاء الاصطناعي مع منظمات أخرى </w:t>
      </w:r>
      <w:r w:rsidRPr="00621959">
        <w:rPr>
          <w:rFonts w:hint="cs"/>
          <w:b/>
          <w:rtl/>
        </w:rPr>
        <w:t>معنية بوضع</w:t>
      </w:r>
      <w:r w:rsidRPr="00621959">
        <w:rPr>
          <w:b/>
          <w:rtl/>
        </w:rPr>
        <w:t xml:space="preserve"> المعايير في إطار </w:t>
      </w:r>
      <w:hyperlink r:id="rId192" w:history="1">
        <w:r w:rsidRPr="00621959">
          <w:rPr>
            <w:rStyle w:val="Hyperlink"/>
            <w:b/>
            <w:noProof w:val="0"/>
            <w:rtl/>
            <w:lang w:val="en-US" w:eastAsia="zh-CN"/>
          </w:rPr>
          <w:t xml:space="preserve">التعاون العالمي </w:t>
        </w:r>
        <w:r w:rsidRPr="00621959">
          <w:rPr>
            <w:rStyle w:val="Hyperlink"/>
            <w:rFonts w:hint="cs"/>
            <w:b/>
            <w:noProof w:val="0"/>
            <w:rtl/>
            <w:lang w:val="en-US" w:eastAsia="zh-CN"/>
          </w:rPr>
          <w:t>بشأن ا</w:t>
        </w:r>
        <w:r w:rsidRPr="00621959">
          <w:rPr>
            <w:rStyle w:val="Hyperlink"/>
            <w:b/>
            <w:noProof w:val="0"/>
            <w:rtl/>
            <w:lang w:val="en-US" w:eastAsia="zh-CN"/>
          </w:rPr>
          <w:t>لمعايير</w:t>
        </w:r>
      </w:hyperlink>
      <w:r w:rsidRPr="00621959">
        <w:rPr>
          <w:b/>
          <w:rtl/>
        </w:rPr>
        <w:t xml:space="preserve"> (انظر القسم </w:t>
      </w:r>
      <w:r w:rsidRPr="00621959">
        <w:rPr>
          <w:rFonts w:hint="cs"/>
          <w:b/>
          <w:rtl/>
        </w:rPr>
        <w:t>1.3.4</w:t>
      </w:r>
      <w:r w:rsidRPr="00621959">
        <w:rPr>
          <w:b/>
          <w:rtl/>
        </w:rPr>
        <w:t>) لتعزيز المعايير الدولية القائمة على توافق</w:t>
      </w:r>
      <w:r w:rsidRPr="00621959">
        <w:rPr>
          <w:rFonts w:hint="cs"/>
          <w:b/>
          <w:rtl/>
        </w:rPr>
        <w:t xml:space="preserve"> الآراء</w:t>
      </w:r>
      <w:r w:rsidRPr="00621959">
        <w:rPr>
          <w:b/>
          <w:rtl/>
        </w:rPr>
        <w:t>. وقد بدأت القمم الدولية السنوية لمعايير الذكاء الاصطناعي استجابة لنداء المجتمع الدولي لوضع معايير شاملة و</w:t>
      </w:r>
      <w:r w:rsidRPr="00621959">
        <w:rPr>
          <w:rFonts w:hint="cs"/>
          <w:b/>
          <w:rtl/>
        </w:rPr>
        <w:t>مؤثرة</w:t>
      </w:r>
      <w:r w:rsidRPr="00621959">
        <w:rPr>
          <w:b/>
          <w:rtl/>
        </w:rPr>
        <w:t xml:space="preserve"> للذكاء الاصطناعي. وتعزز دور الاتحاد في مجال التقييس في الذكاء الاصطناعي رسمياً من خلال اعتماد </w:t>
      </w:r>
      <w:hyperlink r:id="rId193" w:history="1">
        <w:r w:rsidRPr="00621959">
          <w:rPr>
            <w:rStyle w:val="Hyperlink"/>
            <w:rFonts w:hint="cs"/>
            <w:b/>
            <w:noProof w:val="0"/>
            <w:rtl/>
            <w:lang w:val="en-US" w:eastAsia="zh-CN"/>
          </w:rPr>
          <w:t>ال</w:t>
        </w:r>
        <w:r w:rsidRPr="00621959">
          <w:rPr>
            <w:rStyle w:val="Hyperlink"/>
            <w:b/>
            <w:noProof w:val="0"/>
            <w:rtl/>
            <w:lang w:val="en-US" w:eastAsia="zh-CN"/>
          </w:rPr>
          <w:t>قرار 101 (نيودلهي، 2024)</w:t>
        </w:r>
      </w:hyperlink>
      <w:r w:rsidRPr="00621959">
        <w:rPr>
          <w:rFonts w:hint="cs"/>
          <w:b/>
          <w:rtl/>
        </w:rPr>
        <w:t xml:space="preserve"> ل</w:t>
      </w:r>
      <w:r w:rsidRPr="00621959">
        <w:rPr>
          <w:b/>
          <w:rtl/>
        </w:rPr>
        <w:t>لجمعية العالمية لتقييس الاتصالات، مما يؤكد على ولاية الاتحاد المعترف بها في وضع معايير دولية موثوقة للذكاء الاصطناعي.</w:t>
      </w:r>
    </w:p>
    <w:p w14:paraId="7F48FF1F" w14:textId="3EBF11EE" w:rsidR="00621959" w:rsidRPr="00621959" w:rsidRDefault="00621959" w:rsidP="008A5A1B">
      <w:pPr>
        <w:rPr>
          <w:b/>
          <w:rtl/>
        </w:rPr>
      </w:pPr>
      <w:r w:rsidRPr="00621959">
        <w:rPr>
          <w:b/>
          <w:rtl/>
        </w:rPr>
        <w:t xml:space="preserve">ويعمل الاتحاد على تزويد </w:t>
      </w:r>
      <w:r w:rsidRPr="00621959">
        <w:rPr>
          <w:rFonts w:hint="cs"/>
          <w:b/>
          <w:rtl/>
        </w:rPr>
        <w:t>ال</w:t>
      </w:r>
      <w:r w:rsidRPr="00621959">
        <w:rPr>
          <w:b/>
          <w:rtl/>
        </w:rPr>
        <w:t xml:space="preserve">بلدان </w:t>
      </w:r>
      <w:r w:rsidRPr="00621959">
        <w:rPr>
          <w:rFonts w:hint="cs"/>
          <w:b/>
          <w:rtl/>
        </w:rPr>
        <w:t xml:space="preserve">حول </w:t>
      </w:r>
      <w:r w:rsidRPr="00621959">
        <w:rPr>
          <w:b/>
          <w:rtl/>
        </w:rPr>
        <w:t xml:space="preserve">العالم بالمعرفة والأدوات اللازمة للاستفادة من الذكاء الاصطناعي، بهدف ضمان إتاحة فوائده عالمياً وبشكل </w:t>
      </w:r>
      <w:r w:rsidRPr="00621959">
        <w:rPr>
          <w:rFonts w:hint="cs"/>
          <w:b/>
          <w:rtl/>
        </w:rPr>
        <w:t>منصف</w:t>
      </w:r>
      <w:r w:rsidRPr="00621959">
        <w:rPr>
          <w:b/>
          <w:rtl/>
        </w:rPr>
        <w:t xml:space="preserve">. وتشمل مبادرة الذكاء الاصطناعي من أجل التأثير الإيجابي برامج رائدة مثل </w:t>
      </w:r>
      <w:hyperlink r:id="rId194" w:anchor="/ar" w:history="1">
        <w:r w:rsidRPr="00621959">
          <w:rPr>
            <w:rStyle w:val="Hyperlink"/>
            <w:rFonts w:hint="cs"/>
            <w:b/>
            <w:noProof w:val="0"/>
            <w:rtl/>
            <w:lang w:val="en-US" w:eastAsia="zh-CN"/>
          </w:rPr>
          <w:t>ائتلاف</w:t>
        </w:r>
        <w:r w:rsidRPr="00621959">
          <w:rPr>
            <w:rStyle w:val="Hyperlink"/>
            <w:b/>
            <w:noProof w:val="0"/>
            <w:rtl/>
            <w:lang w:val="en-US" w:eastAsia="zh-CN"/>
          </w:rPr>
          <w:t xml:space="preserve"> مهارات الذكاء الاصطناعي</w:t>
        </w:r>
      </w:hyperlink>
      <w:r w:rsidRPr="00621959">
        <w:rPr>
          <w:b/>
          <w:rtl/>
        </w:rPr>
        <w:t>، و</w:t>
      </w:r>
      <w:hyperlink r:id="rId195" w:anchor="/ar" w:history="1">
        <w:r w:rsidRPr="00621959">
          <w:rPr>
            <w:rStyle w:val="Hyperlink"/>
            <w:b/>
            <w:noProof w:val="0"/>
            <w:rtl/>
            <w:lang w:val="en-US" w:eastAsia="zh-CN"/>
          </w:rPr>
          <w:t>مجتمع قادة الذكاء الاصطناعي الشباب</w:t>
        </w:r>
      </w:hyperlink>
      <w:r w:rsidRPr="00621959">
        <w:rPr>
          <w:b/>
          <w:rtl/>
        </w:rPr>
        <w:t>، و</w:t>
      </w:r>
      <w:hyperlink r:id="rId196" w:anchor="/ar" w:history="1">
        <w:r w:rsidRPr="00621959">
          <w:rPr>
            <w:rStyle w:val="Hyperlink"/>
            <w:b/>
            <w:noProof w:val="0"/>
            <w:rtl/>
            <w:lang w:val="en-US" w:eastAsia="zh-CN"/>
          </w:rPr>
          <w:t>تحديات الذكاء الاصطناعي العالمية</w:t>
        </w:r>
      </w:hyperlink>
      <w:r w:rsidRPr="00621959">
        <w:rPr>
          <w:b/>
          <w:rtl/>
        </w:rPr>
        <w:t xml:space="preserve">، </w:t>
      </w:r>
      <w:r w:rsidRPr="00621959">
        <w:rPr>
          <w:rFonts w:hint="cs"/>
          <w:b/>
          <w:rtl/>
        </w:rPr>
        <w:t>و</w:t>
      </w:r>
      <w:hyperlink r:id="rId197" w:anchor="/ar" w:history="1">
        <w:r w:rsidRPr="00621959">
          <w:rPr>
            <w:rStyle w:val="Hyperlink"/>
            <w:b/>
            <w:noProof w:val="0"/>
            <w:rtl/>
            <w:lang w:val="en-US" w:eastAsia="zh-CN"/>
          </w:rPr>
          <w:t>مصنع الابتكارات وبرنامج تسريع الشركات الناشئة</w:t>
        </w:r>
      </w:hyperlink>
      <w:r w:rsidRPr="00621959">
        <w:rPr>
          <w:b/>
          <w:rtl/>
        </w:rPr>
        <w:t xml:space="preserve">. كما أطلقت المبادرة سلسلة من </w:t>
      </w:r>
      <w:r w:rsidRPr="00621959">
        <w:rPr>
          <w:rFonts w:hint="cs"/>
          <w:b/>
          <w:rtl/>
        </w:rPr>
        <w:t>الأحداث</w:t>
      </w:r>
      <w:r w:rsidRPr="00621959">
        <w:rPr>
          <w:b/>
          <w:rtl/>
        </w:rPr>
        <w:t xml:space="preserve"> الإقليمية المؤثرة، بما في ذلك الذكاء الاصطناعي من أجل التأثير الإيجابي في الهند و</w:t>
      </w:r>
      <w:hyperlink r:id="rId198" w:anchor="/ar" w:history="1">
        <w:r w:rsidRPr="00621959">
          <w:rPr>
            <w:rStyle w:val="Hyperlink"/>
            <w:b/>
            <w:noProof w:val="0"/>
            <w:rtl/>
            <w:lang w:val="en-US" w:eastAsia="zh-CN"/>
          </w:rPr>
          <w:t>الذكاء الاصطناعي من أجل التأثير الإيجابي في إفريقيا</w:t>
        </w:r>
      </w:hyperlink>
      <w:r w:rsidRPr="00621959">
        <w:rPr>
          <w:b/>
          <w:rtl/>
        </w:rPr>
        <w:t xml:space="preserve">. وتؤكد هذه البرامج، إلى جانب </w:t>
      </w:r>
      <w:hyperlink r:id="rId199" w:history="1">
        <w:r w:rsidRPr="00621959">
          <w:rPr>
            <w:rStyle w:val="Hyperlink"/>
            <w:b/>
            <w:noProof w:val="0"/>
            <w:rtl/>
            <w:lang w:val="en-US" w:eastAsia="zh-CN"/>
          </w:rPr>
          <w:t xml:space="preserve">استقصاء </w:t>
        </w:r>
        <w:r w:rsidRPr="00621959">
          <w:rPr>
            <w:rStyle w:val="Hyperlink"/>
            <w:rFonts w:hint="cs"/>
            <w:b/>
            <w:noProof w:val="0"/>
            <w:rtl/>
            <w:lang w:val="en-US" w:eastAsia="zh-CN"/>
          </w:rPr>
          <w:t>مشهد</w:t>
        </w:r>
        <w:r w:rsidRPr="00621959">
          <w:rPr>
            <w:rStyle w:val="Hyperlink"/>
            <w:b/>
            <w:noProof w:val="0"/>
            <w:rtl/>
            <w:lang w:val="en-US" w:eastAsia="zh-CN"/>
          </w:rPr>
          <w:t xml:space="preserve"> الذكاء الاصطناعي</w:t>
        </w:r>
      </w:hyperlink>
      <w:r w:rsidRPr="00621959">
        <w:rPr>
          <w:b/>
          <w:rtl/>
        </w:rPr>
        <w:t>، و</w:t>
      </w:r>
      <w:hyperlink r:id="rId200" w:history="1">
        <w:r w:rsidRPr="00621959">
          <w:rPr>
            <w:rStyle w:val="Hyperlink"/>
            <w:b/>
            <w:noProof w:val="0"/>
            <w:rtl/>
            <w:lang w:val="en-US" w:eastAsia="zh-CN"/>
          </w:rPr>
          <w:t>الفريق الفرعي المعني بالذكاء الاصطناعي التابع لمبادرة الإنذار المبكر للجميع</w:t>
        </w:r>
      </w:hyperlink>
      <w:r w:rsidRPr="00621959">
        <w:rPr>
          <w:b/>
          <w:rtl/>
        </w:rPr>
        <w:t xml:space="preserve">، ودورات الذكاء الاصطناعي في </w:t>
      </w:r>
      <w:hyperlink r:id="rId201" w:anchor="/ar" w:history="1">
        <w:r w:rsidRPr="00621959">
          <w:rPr>
            <w:rStyle w:val="Hyperlink"/>
            <w:b/>
            <w:noProof w:val="0"/>
            <w:rtl/>
            <w:lang w:val="en-US" w:eastAsia="zh-CN"/>
          </w:rPr>
          <w:t>أكاديمية الاتحاد</w:t>
        </w:r>
      </w:hyperlink>
      <w:r w:rsidRPr="00621959">
        <w:rPr>
          <w:b/>
          <w:rtl/>
        </w:rPr>
        <w:t xml:space="preserve">، ومشاريع مثل </w:t>
      </w:r>
      <w:hyperlink r:id="rId202" w:history="1">
        <w:r w:rsidRPr="00621959">
          <w:rPr>
            <w:rStyle w:val="Hyperlink"/>
            <w:b/>
            <w:noProof w:val="0"/>
            <w:rtl/>
            <w:lang w:val="en-US" w:eastAsia="zh-CN"/>
          </w:rPr>
          <w:t>بناء القدرات في مجال تكنولوجيا ومعايير الذكاء الاصطناعي في منطقة آسيا والمحيط الهادئ</w:t>
        </w:r>
      </w:hyperlink>
      <w:r w:rsidRPr="00621959">
        <w:rPr>
          <w:b/>
          <w:rtl/>
        </w:rPr>
        <w:t>، التزام الاتحاد بسد الفجوة في مجال الذكاء الاصطناعي، وتعزيز الشراكات الدولية، ودعم أهداف التنمية المستدامة من خلال بناء القدرات في مجال</w:t>
      </w:r>
      <w:r w:rsidRPr="00621959">
        <w:rPr>
          <w:rFonts w:hint="cs"/>
          <w:b/>
          <w:rtl/>
        </w:rPr>
        <w:t xml:space="preserve"> الذكاء الاصطناعي</w:t>
      </w:r>
      <w:r w:rsidRPr="00621959">
        <w:rPr>
          <w:b/>
          <w:rtl/>
        </w:rPr>
        <w:t xml:space="preserve">. كما عزز اعتماد </w:t>
      </w:r>
      <w:hyperlink r:id="rId203" w:history="1">
        <w:r w:rsidRPr="00621959">
          <w:rPr>
            <w:rStyle w:val="Hyperlink"/>
            <w:b/>
            <w:noProof w:val="0"/>
            <w:rtl/>
            <w:lang w:val="en-US" w:eastAsia="zh-CN"/>
          </w:rPr>
          <w:t>القرار 91 (باكو، 2025)</w:t>
        </w:r>
      </w:hyperlink>
      <w:r w:rsidRPr="00621959">
        <w:rPr>
          <w:b/>
          <w:rtl/>
        </w:rPr>
        <w:t xml:space="preserve"> الصادر عن المؤتمر العالمي لتنمية الاتصالات التزام الاتحاد بدعم تكنولوجيات الذكاء الاصطناعي في </w:t>
      </w:r>
      <w:r w:rsidRPr="00621959">
        <w:rPr>
          <w:rFonts w:hint="cs"/>
          <w:b/>
          <w:rtl/>
        </w:rPr>
        <w:t>تنمية</w:t>
      </w:r>
      <w:r w:rsidRPr="00621959">
        <w:rPr>
          <w:b/>
          <w:rtl/>
        </w:rPr>
        <w:t xml:space="preserve"> الاتصالات.</w:t>
      </w:r>
    </w:p>
    <w:p w14:paraId="2E704192" w14:textId="72448B43" w:rsidR="00621959" w:rsidRPr="00621959" w:rsidRDefault="00621959" w:rsidP="008A5A1B">
      <w:pPr>
        <w:rPr>
          <w:rtl/>
        </w:rPr>
      </w:pPr>
      <w:r w:rsidRPr="00621959">
        <w:rPr>
          <w:rtl/>
        </w:rPr>
        <w:t xml:space="preserve">واستمر </w:t>
      </w:r>
      <w:r w:rsidRPr="00621959">
        <w:rPr>
          <w:rFonts w:hint="cs"/>
          <w:rtl/>
        </w:rPr>
        <w:t>اتساق</w:t>
      </w:r>
      <w:r w:rsidRPr="00621959">
        <w:rPr>
          <w:rtl/>
        </w:rPr>
        <w:t xml:space="preserve"> السياسات والتنسيق البرامجي بشأن الذكاء الاصطناعي على مستوى منظومة الأمم المتحدة من خلال </w:t>
      </w:r>
      <w:hyperlink r:id="rId204" w:history="1">
        <w:r w:rsidRPr="00621959">
          <w:rPr>
            <w:rStyle w:val="Hyperlink"/>
            <w:noProof w:val="0"/>
            <w:rtl/>
            <w:lang w:val="en-US" w:eastAsia="zh-CN"/>
          </w:rPr>
          <w:t>فريق العمل المشترك بين الوكالات المعني بالذكاء الاصطناعي</w:t>
        </w:r>
      </w:hyperlink>
      <w:r w:rsidRPr="00621959">
        <w:rPr>
          <w:rFonts w:hint="cs"/>
          <w:rtl/>
        </w:rPr>
        <w:t xml:space="preserve"> (</w:t>
      </w:r>
      <w:r w:rsidRPr="00621959">
        <w:rPr>
          <w:lang w:val="en-GB" w:bidi="ar-EG"/>
        </w:rPr>
        <w:t>IAWG-AI</w:t>
      </w:r>
      <w:r w:rsidRPr="00621959">
        <w:rPr>
          <w:rFonts w:hint="cs"/>
          <w:rtl/>
        </w:rPr>
        <w:t>)</w:t>
      </w:r>
      <w:r w:rsidRPr="00621959">
        <w:rPr>
          <w:rtl/>
        </w:rPr>
        <w:t xml:space="preserve">، بقيادة مشتركة من الاتحاد واليونسكو. وقد وضع الفريق مبادرات رئيسية مثل </w:t>
      </w:r>
      <w:hyperlink r:id="rId205" w:history="1">
        <w:r w:rsidRPr="00621959">
          <w:rPr>
            <w:rStyle w:val="Hyperlink"/>
            <w:noProof w:val="0"/>
            <w:rtl/>
            <w:lang w:val="en-US" w:eastAsia="zh-CN"/>
          </w:rPr>
          <w:t>المبادئ الأخلاقية للذكاء الاصطناعي على نطاق منظومة الأمم المتحدة</w:t>
        </w:r>
      </w:hyperlink>
      <w:r w:rsidRPr="00621959">
        <w:rPr>
          <w:rtl/>
        </w:rPr>
        <w:t xml:space="preserve">، </w:t>
      </w:r>
      <w:r w:rsidRPr="00621959">
        <w:rPr>
          <w:rFonts w:hint="cs"/>
          <w:rtl/>
        </w:rPr>
        <w:t>و</w:t>
      </w:r>
      <w:hyperlink r:id="rId206" w:history="1">
        <w:r w:rsidRPr="00621959">
          <w:rPr>
            <w:rStyle w:val="Hyperlink"/>
            <w:noProof w:val="0"/>
            <w:rtl/>
            <w:lang w:val="en-US" w:eastAsia="zh-CN"/>
          </w:rPr>
          <w:t>الورقة البيضاء لمنظومة الأمم المتحدة بشأن إدارة الذكاء الاصطناعي</w:t>
        </w:r>
      </w:hyperlink>
      <w:r w:rsidRPr="00621959">
        <w:rPr>
          <w:rtl/>
        </w:rPr>
        <w:t>‏، وكلاهما حظي بموافقة مجلس الرؤساء التنفيذيين في</w:t>
      </w:r>
      <w:r w:rsidR="008741C8">
        <w:rPr>
          <w:rFonts w:hint="cs"/>
          <w:rtl/>
        </w:rPr>
        <w:t> </w:t>
      </w:r>
      <w:r w:rsidRPr="00621959">
        <w:rPr>
          <w:rtl/>
        </w:rPr>
        <w:t xml:space="preserve">منظومة الأمم المتحدة المعني بالتنسيق. كما أطلق الفريق </w:t>
      </w:r>
      <w:hyperlink r:id="rId207" w:history="1">
        <w:r w:rsidRPr="00621959">
          <w:rPr>
            <w:rStyle w:val="Hyperlink"/>
            <w:noProof w:val="0"/>
            <w:rtl/>
            <w:lang w:val="en-US" w:eastAsia="zh-CN"/>
          </w:rPr>
          <w:t xml:space="preserve">مركز </w:t>
        </w:r>
        <w:r w:rsidRPr="00621959">
          <w:rPr>
            <w:rStyle w:val="Hyperlink"/>
            <w:rFonts w:hint="cs"/>
            <w:noProof w:val="0"/>
            <w:rtl/>
            <w:lang w:val="en-US" w:eastAsia="zh-CN"/>
          </w:rPr>
          <w:t>ا</w:t>
        </w:r>
        <w:r w:rsidRPr="00621959">
          <w:rPr>
            <w:rStyle w:val="Hyperlink"/>
            <w:noProof w:val="0"/>
            <w:rtl/>
            <w:lang w:val="en-US" w:eastAsia="zh-CN"/>
          </w:rPr>
          <w:t xml:space="preserve">لأمم المتحدة </w:t>
        </w:r>
        <w:r w:rsidRPr="00621959">
          <w:rPr>
            <w:rStyle w:val="Hyperlink"/>
            <w:rFonts w:hint="cs"/>
            <w:noProof w:val="0"/>
            <w:rtl/>
            <w:lang w:val="en-US" w:eastAsia="zh-CN"/>
          </w:rPr>
          <w:t>ل</w:t>
        </w:r>
        <w:r w:rsidRPr="00621959">
          <w:rPr>
            <w:rStyle w:val="Hyperlink"/>
            <w:noProof w:val="0"/>
            <w:rtl/>
            <w:lang w:val="en-US" w:eastAsia="zh-CN"/>
          </w:rPr>
          <w:t>موارد الذكاء الاصطناعي</w:t>
        </w:r>
      </w:hyperlink>
      <w:r w:rsidRPr="00621959">
        <w:rPr>
          <w:rtl/>
        </w:rPr>
        <w:t xml:space="preserve">، وهو منصة عامة ديناميكية قابلة للبحث تعرض أكثر من 700 مبادرة موثقة في مجال الذكاء الاصطناعي، استناداً إلى </w:t>
      </w:r>
      <w:hyperlink r:id="rId208" w:history="1">
        <w:r w:rsidRPr="00621959">
          <w:rPr>
            <w:rStyle w:val="Hyperlink"/>
            <w:noProof w:val="0"/>
            <w:rtl/>
            <w:lang w:val="en-US" w:eastAsia="zh-CN"/>
          </w:rPr>
          <w:t xml:space="preserve">تقرير </w:t>
        </w:r>
        <w:r w:rsidRPr="00621959">
          <w:rPr>
            <w:rStyle w:val="Hyperlink"/>
            <w:rFonts w:hint="cs"/>
            <w:noProof w:val="0"/>
            <w:rtl/>
            <w:lang w:val="en-US" w:eastAsia="zh-CN"/>
          </w:rPr>
          <w:t xml:space="preserve">عن </w:t>
        </w:r>
        <w:r w:rsidRPr="00621959">
          <w:rPr>
            <w:rStyle w:val="Hyperlink"/>
            <w:noProof w:val="0"/>
            <w:rtl/>
            <w:lang w:val="en-US" w:eastAsia="zh-CN"/>
          </w:rPr>
          <w:t>أنشطة الأمم المتحدة بشأن الذكاء الاصطناعي</w:t>
        </w:r>
      </w:hyperlink>
      <w:r w:rsidRPr="00621959">
        <w:rPr>
          <w:rtl/>
        </w:rPr>
        <w:t xml:space="preserve"> </w:t>
      </w:r>
      <w:r w:rsidRPr="00621959">
        <w:rPr>
          <w:rFonts w:hint="cs"/>
          <w:rtl/>
        </w:rPr>
        <w:t>قام</w:t>
      </w:r>
      <w:r w:rsidRPr="00621959">
        <w:rPr>
          <w:rtl/>
        </w:rPr>
        <w:t xml:space="preserve"> الاتحاد</w:t>
      </w:r>
      <w:r w:rsidRPr="00621959">
        <w:rPr>
          <w:rFonts w:hint="cs"/>
          <w:rtl/>
        </w:rPr>
        <w:t xml:space="preserve"> بتجميعه</w:t>
      </w:r>
      <w:r w:rsidRPr="00621959">
        <w:rPr>
          <w:rtl/>
        </w:rPr>
        <w:t>. ومع دخوله عامه السادس، تحول فريق العمل المشترك بين الوكالات المعني بالذكاء الاصطناعي</w:t>
      </w:r>
      <w:r w:rsidRPr="00621959">
        <w:rPr>
          <w:rFonts w:hint="cs"/>
          <w:rtl/>
        </w:rPr>
        <w:t xml:space="preserve"> </w:t>
      </w:r>
      <w:r w:rsidRPr="00621959">
        <w:rPr>
          <w:rtl/>
        </w:rPr>
        <w:t>إلى آلية تنسيق مؤسسية مستقرة. وقد أقر</w:t>
      </w:r>
      <w:r w:rsidRPr="00621959">
        <w:rPr>
          <w:rFonts w:hint="cs"/>
          <w:rtl/>
        </w:rPr>
        <w:t>ت</w:t>
      </w:r>
      <w:r w:rsidRPr="00621959">
        <w:rPr>
          <w:rtl/>
        </w:rPr>
        <w:t xml:space="preserve"> عدة قرارات، بما في ذلك قرارا الجمعية العامة للأمم المتحدة </w:t>
      </w:r>
      <w:hyperlink r:id="rId209" w:history="1">
        <w:r w:rsidRPr="00621959">
          <w:rPr>
            <w:rStyle w:val="Hyperlink"/>
            <w:noProof w:val="0"/>
            <w:lang w:eastAsia="zh-CN" w:bidi="ar-EG"/>
          </w:rPr>
          <w:t>A/RES/79/325</w:t>
        </w:r>
      </w:hyperlink>
      <w:r w:rsidRPr="00621959">
        <w:rPr>
          <w:rtl/>
        </w:rPr>
        <w:t xml:space="preserve"> و</w:t>
      </w:r>
      <w:hyperlink r:id="rId210" w:history="1">
        <w:r w:rsidRPr="00621959">
          <w:rPr>
            <w:rStyle w:val="Hyperlink"/>
            <w:noProof w:val="0"/>
            <w:lang w:eastAsia="zh-CN" w:bidi="ar-EG"/>
          </w:rPr>
          <w:t>A/RES/80/173</w:t>
        </w:r>
      </w:hyperlink>
      <w:r w:rsidRPr="00621959">
        <w:rPr>
          <w:rtl/>
        </w:rPr>
        <w:t xml:space="preserve">، </w:t>
      </w:r>
      <w:r w:rsidRPr="00621959">
        <w:rPr>
          <w:rFonts w:hint="cs"/>
          <w:rtl/>
          <w:lang w:bidi="ar-EG"/>
        </w:rPr>
        <w:t>ب</w:t>
      </w:r>
      <w:r w:rsidRPr="00621959">
        <w:rPr>
          <w:rtl/>
        </w:rPr>
        <w:t>عمل الفريق</w:t>
      </w:r>
      <w:r w:rsidRPr="00621959">
        <w:rPr>
          <w:rFonts w:hint="cs"/>
          <w:rtl/>
        </w:rPr>
        <w:t xml:space="preserve"> </w:t>
      </w:r>
      <w:r w:rsidRPr="00621959">
        <w:rPr>
          <w:lang w:val="en-GB" w:bidi="ar-EG"/>
        </w:rPr>
        <w:t>IAWG-AI</w:t>
      </w:r>
      <w:r w:rsidRPr="00621959">
        <w:rPr>
          <w:rtl/>
        </w:rPr>
        <w:t>. ويشارك الاتحاد في</w:t>
      </w:r>
      <w:r w:rsidR="008741C8">
        <w:rPr>
          <w:rFonts w:hint="cs"/>
          <w:rtl/>
        </w:rPr>
        <w:t> </w:t>
      </w:r>
      <w:r w:rsidRPr="00621959">
        <w:rPr>
          <w:rtl/>
        </w:rPr>
        <w:t xml:space="preserve">رئاسة الفريق الفرعي </w:t>
      </w:r>
      <w:r w:rsidRPr="00621959">
        <w:rPr>
          <w:rFonts w:hint="cs"/>
          <w:rtl/>
        </w:rPr>
        <w:t>المعني با</w:t>
      </w:r>
      <w:r w:rsidRPr="00621959">
        <w:rPr>
          <w:rtl/>
        </w:rPr>
        <w:t>لذكاء الاصطناعي التابع لفريق العمل المعني بالتكنولوجيات الرقمية، لدعم تنفيذ الميثاق الرقمي العالمي.</w:t>
      </w:r>
    </w:p>
    <w:p w14:paraId="23905AE1" w14:textId="36164922" w:rsidR="00621959" w:rsidRPr="00621959" w:rsidRDefault="00621959" w:rsidP="008A5A1B">
      <w:pPr>
        <w:rPr>
          <w:b/>
          <w:rtl/>
        </w:rPr>
      </w:pPr>
      <w:r w:rsidRPr="00621959">
        <w:rPr>
          <w:b/>
          <w:rtl/>
        </w:rPr>
        <w:t xml:space="preserve">وعلى مستوى المنصات متعددة </w:t>
      </w:r>
      <w:r w:rsidRPr="00621959">
        <w:rPr>
          <w:rFonts w:hint="cs"/>
          <w:b/>
          <w:rtl/>
        </w:rPr>
        <w:t>أصحاب المصلحة</w:t>
      </w:r>
      <w:r w:rsidRPr="00621959">
        <w:rPr>
          <w:b/>
          <w:rtl/>
        </w:rPr>
        <w:t xml:space="preserve">، واصلت مبادرة </w:t>
      </w:r>
      <w:hyperlink r:id="rId211" w:anchor="/ar" w:history="1">
        <w:r w:rsidRPr="00621959">
          <w:rPr>
            <w:rStyle w:val="Hyperlink"/>
            <w:noProof w:val="0"/>
            <w:rtl/>
            <w:lang w:val="en-US" w:eastAsia="zh-CN"/>
          </w:rPr>
          <w:t>الذكاء الاصطناعي من أجل المصلحة العامة</w:t>
        </w:r>
      </w:hyperlink>
      <w:r w:rsidRPr="00621959">
        <w:rPr>
          <w:b/>
          <w:rtl/>
        </w:rPr>
        <w:t xml:space="preserve"> دورها كمنصة الأمم المتحدة الرئيسية والعملية لتعزيز حلول الذكاء الاصطناعي في مجالات الصحة والتعليم والبنية التحتية وغيرها من أولويات التنمية، وذلك بالتعاون بين الاتحاد وأكثر من 50 شريكاً من شركاء الأمم المتحدة وحكومة سويسرا. وقد تعزز الحوار العالمي بشأن الحوكمة خلال </w:t>
      </w:r>
      <w:hyperlink r:id="rId212" w:history="1">
        <w:r w:rsidRPr="00621959">
          <w:rPr>
            <w:rStyle w:val="Hyperlink"/>
            <w:noProof w:val="0"/>
            <w:rtl/>
            <w:lang w:val="en-US" w:eastAsia="zh-CN"/>
          </w:rPr>
          <w:t>يوم حوكمة الذكاء الاصطناعي</w:t>
        </w:r>
      </w:hyperlink>
      <w:r w:rsidRPr="00621959">
        <w:rPr>
          <w:b/>
          <w:rtl/>
        </w:rPr>
        <w:t xml:space="preserve"> في </w:t>
      </w:r>
      <w:hyperlink r:id="rId213" w:anchor="/ar" w:history="1">
        <w:r w:rsidRPr="00621959">
          <w:rPr>
            <w:rStyle w:val="Hyperlink"/>
            <w:noProof w:val="0"/>
            <w:rtl/>
            <w:lang w:val="en-US" w:eastAsia="zh-CN"/>
          </w:rPr>
          <w:t>القمة العالمية للذكاء الاصطناعي من أجل المصلحة العامة</w:t>
        </w:r>
      </w:hyperlink>
      <w:r w:rsidRPr="00621959">
        <w:rPr>
          <w:b/>
          <w:rtl/>
        </w:rPr>
        <w:t xml:space="preserve">. </w:t>
      </w:r>
      <w:r w:rsidRPr="00621959">
        <w:rPr>
          <w:rFonts w:hint="cs"/>
          <w:b/>
          <w:rtl/>
        </w:rPr>
        <w:t>ويعمل</w:t>
      </w:r>
      <w:r w:rsidRPr="00621959">
        <w:rPr>
          <w:b/>
          <w:rtl/>
        </w:rPr>
        <w:t xml:space="preserve"> </w:t>
      </w:r>
      <w:hyperlink r:id="rId214" w:history="1">
        <w:r w:rsidRPr="00621959">
          <w:rPr>
            <w:rStyle w:val="Hyperlink"/>
            <w:noProof w:val="0"/>
            <w:rtl/>
            <w:lang w:val="en-US" w:eastAsia="zh-CN"/>
          </w:rPr>
          <w:t xml:space="preserve">منتدى القمة </w:t>
        </w:r>
        <w:r w:rsidRPr="00621959">
          <w:rPr>
            <w:rStyle w:val="Hyperlink"/>
            <w:noProof w:val="0"/>
            <w:lang w:eastAsia="zh-CN" w:bidi="ar-EG"/>
          </w:rPr>
          <w:t>WSIS</w:t>
        </w:r>
      </w:hyperlink>
      <w:r w:rsidRPr="00621959">
        <w:rPr>
          <w:b/>
          <w:rtl/>
        </w:rPr>
        <w:t xml:space="preserve"> </w:t>
      </w:r>
      <w:r w:rsidRPr="00621959">
        <w:rPr>
          <w:rFonts w:hint="cs"/>
          <w:b/>
          <w:rtl/>
        </w:rPr>
        <w:t xml:space="preserve">السنوي بمثابة </w:t>
      </w:r>
      <w:r w:rsidRPr="00621959">
        <w:rPr>
          <w:b/>
          <w:rtl/>
        </w:rPr>
        <w:t>منصة متعددة أصحاب المصلحة لمجتمع تكنولوجيا المعلومات والاتصالات</w:t>
      </w:r>
      <w:r w:rsidRPr="00621959">
        <w:rPr>
          <w:rFonts w:hint="cs"/>
          <w:b/>
          <w:rtl/>
        </w:rPr>
        <w:t xml:space="preserve"> الأوسع</w:t>
      </w:r>
      <w:r w:rsidRPr="00621959">
        <w:rPr>
          <w:b/>
          <w:rtl/>
        </w:rPr>
        <w:t xml:space="preserve"> من أجل التنمية لمناقشة التحديات والفرص </w:t>
      </w:r>
      <w:r w:rsidRPr="00621959">
        <w:rPr>
          <w:rFonts w:hint="cs"/>
          <w:b/>
          <w:rtl/>
        </w:rPr>
        <w:t>المرتبطة با</w:t>
      </w:r>
      <w:r w:rsidRPr="00621959">
        <w:rPr>
          <w:b/>
          <w:rtl/>
        </w:rPr>
        <w:t>لتكنولوجيات الناشئة، مثل الذكاء الاصطناعي، في سياق التنمية.</w:t>
      </w:r>
    </w:p>
    <w:p w14:paraId="73FB1F3C" w14:textId="6F7A9F3D" w:rsidR="00621959" w:rsidRPr="0092519C" w:rsidRDefault="00621959" w:rsidP="008A5A1B">
      <w:pPr>
        <w:rPr>
          <w:b/>
          <w:lang w:val="en-GB" w:bidi="ar-EG"/>
        </w:rPr>
      </w:pPr>
      <w:r w:rsidRPr="0092519C">
        <w:rPr>
          <w:b/>
          <w:rtl/>
        </w:rPr>
        <w:t xml:space="preserve">وللاطلاع على معلومات </w:t>
      </w:r>
      <w:r w:rsidRPr="0092519C">
        <w:rPr>
          <w:rFonts w:hint="cs"/>
          <w:b/>
          <w:rtl/>
        </w:rPr>
        <w:t>عن</w:t>
      </w:r>
      <w:r w:rsidRPr="0092519C">
        <w:rPr>
          <w:b/>
          <w:rtl/>
        </w:rPr>
        <w:t xml:space="preserve"> عمل الاتحاد بشأن الذكاء الاصطناعي والبيئة، انظر </w:t>
      </w:r>
      <w:r w:rsidRPr="0092519C">
        <w:rPr>
          <w:rtl/>
        </w:rPr>
        <w:t xml:space="preserve">القسم </w:t>
      </w:r>
      <w:hyperlink w:anchor="_2.4.4_التكنولوجيات_الناشئة:" w:history="1">
        <w:r w:rsidR="00C0129D" w:rsidRPr="00C0129D">
          <w:rPr>
            <w:rStyle w:val="Hyperlink"/>
            <w:noProof w:val="0"/>
            <w:lang w:val="en-US" w:eastAsia="zh-CN"/>
          </w:rPr>
          <w:t>2.4.4</w:t>
        </w:r>
      </w:hyperlink>
      <w:r w:rsidRPr="0092519C">
        <w:rPr>
          <w:b/>
          <w:rtl/>
        </w:rPr>
        <w:t xml:space="preserve"> أعلاه.</w:t>
      </w:r>
    </w:p>
    <w:p w14:paraId="03EA352A" w14:textId="77777777" w:rsidR="00621959" w:rsidRPr="00621959" w:rsidRDefault="00621959" w:rsidP="0092519C">
      <w:pPr>
        <w:pStyle w:val="Headingb"/>
        <w:rPr>
          <w:rtl/>
        </w:rPr>
      </w:pPr>
      <w:r w:rsidRPr="00621959">
        <w:rPr>
          <w:rtl/>
        </w:rPr>
        <w:t>تكنولوجيا المعلومات الكمومية</w:t>
      </w:r>
    </w:p>
    <w:p w14:paraId="4B06432E" w14:textId="0B3927B9" w:rsidR="00621959" w:rsidRPr="00621959" w:rsidRDefault="00621959" w:rsidP="008A5A1B">
      <w:pPr>
        <w:rPr>
          <w:rtl/>
        </w:rPr>
      </w:pPr>
      <w:r w:rsidRPr="00621959">
        <w:rPr>
          <w:rtl/>
        </w:rPr>
        <w:t xml:space="preserve">لا تزال تكنولوجيا المعلومات الكمومية مجالاً رئيسياً للنمو ضمن </w:t>
      </w:r>
      <w:r w:rsidRPr="00621959">
        <w:rPr>
          <w:rFonts w:hint="cs"/>
          <w:rtl/>
        </w:rPr>
        <w:t>عمل</w:t>
      </w:r>
      <w:r w:rsidRPr="00621959">
        <w:rPr>
          <w:rtl/>
        </w:rPr>
        <w:t xml:space="preserve"> الاتحاد، </w:t>
      </w:r>
      <w:r w:rsidRPr="00621959">
        <w:rPr>
          <w:rFonts w:hint="cs"/>
          <w:rtl/>
        </w:rPr>
        <w:t>ب</w:t>
      </w:r>
      <w:r w:rsidRPr="00621959">
        <w:rPr>
          <w:rtl/>
        </w:rPr>
        <w:t xml:space="preserve">ما يعكس تأثيرها المتزايد على شبكات الاتصالات المستقبلية. </w:t>
      </w:r>
      <w:r w:rsidRPr="00621959">
        <w:rPr>
          <w:rFonts w:hint="cs"/>
          <w:rtl/>
        </w:rPr>
        <w:t>و</w:t>
      </w:r>
      <w:r w:rsidRPr="00621959">
        <w:rPr>
          <w:rtl/>
        </w:rPr>
        <w:t xml:space="preserve">واصلت </w:t>
      </w:r>
      <w:hyperlink r:id="rId215" w:anchor="/ar" w:history="1">
        <w:r w:rsidRPr="00621959">
          <w:rPr>
            <w:rStyle w:val="Hyperlink"/>
            <w:rFonts w:hint="cs"/>
            <w:noProof w:val="0"/>
            <w:rtl/>
            <w:lang w:val="en-US" w:eastAsia="zh-CN"/>
          </w:rPr>
          <w:t>لجنة الدراسات</w:t>
        </w:r>
        <w:r w:rsidRPr="00621959">
          <w:rPr>
            <w:rStyle w:val="Hyperlink"/>
            <w:noProof w:val="0"/>
            <w:rtl/>
            <w:lang w:val="en-US" w:eastAsia="zh-CN"/>
          </w:rPr>
          <w:t xml:space="preserve"> 11</w:t>
        </w:r>
      </w:hyperlink>
      <w:r w:rsidRPr="00621959">
        <w:rPr>
          <w:rtl/>
        </w:rPr>
        <w:t xml:space="preserve"> و</w:t>
      </w:r>
      <w:hyperlink r:id="rId216" w:anchor="/ar" w:history="1">
        <w:r w:rsidRPr="00621959">
          <w:rPr>
            <w:rStyle w:val="Hyperlink"/>
            <w:rFonts w:hint="cs"/>
            <w:noProof w:val="0"/>
            <w:rtl/>
            <w:lang w:val="en-US" w:eastAsia="zh-CN"/>
          </w:rPr>
          <w:t>لجنة الدراسات</w:t>
        </w:r>
        <w:r w:rsidRPr="00621959">
          <w:rPr>
            <w:rStyle w:val="Hyperlink"/>
            <w:noProof w:val="0"/>
            <w:rtl/>
            <w:lang w:val="en-US" w:eastAsia="zh-CN"/>
          </w:rPr>
          <w:t xml:space="preserve"> 13</w:t>
        </w:r>
      </w:hyperlink>
      <w:r w:rsidRPr="00621959">
        <w:rPr>
          <w:rtl/>
        </w:rPr>
        <w:t xml:space="preserve"> و</w:t>
      </w:r>
      <w:hyperlink r:id="rId217" w:anchor="/ar" w:history="1">
        <w:r w:rsidRPr="00621959">
          <w:rPr>
            <w:rStyle w:val="Hyperlink"/>
            <w:rFonts w:hint="cs"/>
            <w:noProof w:val="0"/>
            <w:rtl/>
            <w:lang w:val="en-US" w:eastAsia="zh-CN"/>
          </w:rPr>
          <w:t>لجنة الدراسات</w:t>
        </w:r>
        <w:r w:rsidRPr="00621959">
          <w:rPr>
            <w:rStyle w:val="Hyperlink"/>
            <w:noProof w:val="0"/>
            <w:rtl/>
            <w:lang w:val="en-US" w:eastAsia="zh-CN"/>
          </w:rPr>
          <w:t xml:space="preserve"> 17</w:t>
        </w:r>
      </w:hyperlink>
      <w:r w:rsidRPr="00621959">
        <w:rPr>
          <w:rtl/>
        </w:rPr>
        <w:t xml:space="preserve"> التابعة لقطاع تقييس الاتصالات </w:t>
      </w:r>
      <w:r w:rsidRPr="00621959">
        <w:rPr>
          <w:rFonts w:hint="cs"/>
          <w:rtl/>
        </w:rPr>
        <w:t>وضع</w:t>
      </w:r>
      <w:r w:rsidRPr="00621959">
        <w:rPr>
          <w:rtl/>
        </w:rPr>
        <w:t xml:space="preserve"> التوصيات المتعلقة بال</w:t>
      </w:r>
      <w:r w:rsidRPr="00621959">
        <w:rPr>
          <w:rFonts w:hint="cs"/>
          <w:rtl/>
        </w:rPr>
        <w:t>تكنولوجيا الكمومية</w:t>
      </w:r>
      <w:r w:rsidRPr="00621959">
        <w:rPr>
          <w:rtl/>
        </w:rPr>
        <w:t xml:space="preserve">، حيث تم اعتماد أكثر من ثلاثين معياراً جديداً منذ عام 2022، بما في ذلك المعيار </w:t>
      </w:r>
      <w:hyperlink r:id="rId218" w:history="1">
        <w:r w:rsidRPr="00621959">
          <w:rPr>
            <w:rStyle w:val="Hyperlink"/>
            <w:noProof w:val="0"/>
            <w:lang w:eastAsia="zh-CN" w:bidi="ar-EG"/>
          </w:rPr>
          <w:t>X.1715</w:t>
        </w:r>
      </w:hyperlink>
      <w:r w:rsidRPr="00621959">
        <w:rPr>
          <w:rtl/>
        </w:rPr>
        <w:t xml:space="preserve"> وسلسلة المعايير </w:t>
      </w:r>
      <w:hyperlink r:id="rId219" w:history="1">
        <w:r w:rsidRPr="00621959">
          <w:rPr>
            <w:rStyle w:val="Hyperlink"/>
            <w:noProof w:val="0"/>
            <w:lang w:eastAsia="zh-CN" w:bidi="ar-EG"/>
          </w:rPr>
          <w:t>Y.3809</w:t>
        </w:r>
      </w:hyperlink>
      <w:r w:rsidRPr="00621959">
        <w:rPr>
          <w:rtl/>
        </w:rPr>
        <w:t xml:space="preserve"> </w:t>
      </w:r>
      <w:r w:rsidRPr="00621959">
        <w:rPr>
          <w:rFonts w:hint="cs"/>
          <w:rtl/>
        </w:rPr>
        <w:t>-</w:t>
      </w:r>
      <w:r w:rsidRPr="00621959">
        <w:rPr>
          <w:rtl/>
        </w:rPr>
        <w:t xml:space="preserve"> </w:t>
      </w:r>
      <w:hyperlink r:id="rId220" w:history="1">
        <w:r w:rsidRPr="00621959">
          <w:rPr>
            <w:rStyle w:val="Hyperlink"/>
            <w:noProof w:val="0"/>
            <w:lang w:eastAsia="zh-CN" w:bidi="ar-EG"/>
          </w:rPr>
          <w:t>Y.3814</w:t>
        </w:r>
      </w:hyperlink>
      <w:r w:rsidRPr="00621959">
        <w:rPr>
          <w:rtl/>
        </w:rPr>
        <w:t xml:space="preserve">. وعقب </w:t>
      </w:r>
      <w:r w:rsidRPr="00621959">
        <w:rPr>
          <w:rFonts w:hint="cs"/>
          <w:rtl/>
        </w:rPr>
        <w:t xml:space="preserve">الجمعية </w:t>
      </w:r>
      <w:r w:rsidRPr="00621959">
        <w:rPr>
          <w:lang w:val="en-CA" w:bidi="ar-EG"/>
        </w:rPr>
        <w:t>WTSA</w:t>
      </w:r>
      <w:r w:rsidRPr="00621959">
        <w:rPr>
          <w:lang w:val="en-CA" w:bidi="ar-EG"/>
        </w:rPr>
        <w:noBreakHyphen/>
        <w:t>24</w:t>
      </w:r>
      <w:r w:rsidRPr="00621959">
        <w:rPr>
          <w:rtl/>
        </w:rPr>
        <w:t xml:space="preserve">، قامت </w:t>
      </w:r>
      <w:r w:rsidRPr="00621959">
        <w:rPr>
          <w:rFonts w:hint="cs"/>
          <w:rtl/>
          <w:lang w:bidi="ar-EG"/>
        </w:rPr>
        <w:t xml:space="preserve">لجان الدراسات </w:t>
      </w:r>
      <w:r w:rsidRPr="00621959">
        <w:rPr>
          <w:rtl/>
        </w:rPr>
        <w:t xml:space="preserve">هذه بتحديث </w:t>
      </w:r>
      <w:r w:rsidRPr="00621959">
        <w:rPr>
          <w:rFonts w:hint="cs"/>
          <w:rtl/>
        </w:rPr>
        <w:t>ولاياتها</w:t>
      </w:r>
      <w:r w:rsidRPr="00621959">
        <w:rPr>
          <w:rtl/>
        </w:rPr>
        <w:t xml:space="preserve"> وتوسيع نطاق</w:t>
      </w:r>
      <w:r w:rsidRPr="00621959">
        <w:rPr>
          <w:rFonts w:hint="cs"/>
          <w:rtl/>
        </w:rPr>
        <w:t>ها</w:t>
      </w:r>
      <w:r w:rsidRPr="00621959">
        <w:rPr>
          <w:rtl/>
        </w:rPr>
        <w:t>: و</w:t>
      </w:r>
      <w:r w:rsidRPr="00621959">
        <w:rPr>
          <w:rFonts w:hint="cs"/>
          <w:rtl/>
        </w:rPr>
        <w:t>و</w:t>
      </w:r>
      <w:r w:rsidRPr="00621959">
        <w:rPr>
          <w:rtl/>
        </w:rPr>
        <w:t>اصلت لجنة الدراسات 11 دراساته</w:t>
      </w:r>
      <w:r w:rsidRPr="00621959">
        <w:rPr>
          <w:rFonts w:hint="cs"/>
          <w:rtl/>
        </w:rPr>
        <w:t>ا</w:t>
      </w:r>
      <w:r w:rsidRPr="00621959">
        <w:rPr>
          <w:rtl/>
        </w:rPr>
        <w:t xml:space="preserve"> بشأن معماريات التشوير والتحكم في</w:t>
      </w:r>
      <w:r w:rsidR="008741C8">
        <w:rPr>
          <w:rFonts w:hint="cs"/>
          <w:rtl/>
        </w:rPr>
        <w:t> </w:t>
      </w:r>
      <w:r w:rsidRPr="00621959">
        <w:rPr>
          <w:rtl/>
        </w:rPr>
        <w:t>شبكات توزيع المفاتيح الكمومية (</w:t>
      </w:r>
      <w:r w:rsidRPr="00621959">
        <w:rPr>
          <w:lang w:val="en-GB" w:bidi="ar-EG"/>
        </w:rPr>
        <w:t>QKDN</w:t>
      </w:r>
      <w:r w:rsidRPr="00621959">
        <w:rPr>
          <w:rtl/>
        </w:rPr>
        <w:t>)؛ وواصل</w:t>
      </w:r>
      <w:r w:rsidRPr="00621959">
        <w:rPr>
          <w:rFonts w:hint="cs"/>
          <w:rtl/>
        </w:rPr>
        <w:t>ت</w:t>
      </w:r>
      <w:r w:rsidRPr="00621959">
        <w:rPr>
          <w:rtl/>
        </w:rPr>
        <w:t xml:space="preserve"> لجنة الدراسات 13 العمل على تكنولوجيات الشبكات الكمومية؛ وقدم</w:t>
      </w:r>
      <w:r w:rsidRPr="00621959">
        <w:rPr>
          <w:rFonts w:hint="cs"/>
          <w:rtl/>
        </w:rPr>
        <w:t>ت</w:t>
      </w:r>
      <w:r w:rsidRPr="00621959">
        <w:rPr>
          <w:rtl/>
        </w:rPr>
        <w:t xml:space="preserve"> لجنة الدراسات 15 دراسات بشأن متطلبات شبكات النقل لتكنولوجيا المعلومات الكمومية؛ وواصل</w:t>
      </w:r>
      <w:r w:rsidRPr="00621959">
        <w:rPr>
          <w:rFonts w:hint="cs"/>
          <w:rtl/>
        </w:rPr>
        <w:t>ت</w:t>
      </w:r>
      <w:r w:rsidRPr="00621959">
        <w:rPr>
          <w:rtl/>
        </w:rPr>
        <w:t xml:space="preserve"> لجنة الدراسات 17 </w:t>
      </w:r>
      <w:r w:rsidRPr="00621959">
        <w:rPr>
          <w:rFonts w:hint="cs"/>
          <w:rtl/>
        </w:rPr>
        <w:t xml:space="preserve">ريادة </w:t>
      </w:r>
      <w:r w:rsidRPr="00621959">
        <w:rPr>
          <w:rtl/>
        </w:rPr>
        <w:t>العمل في مجال توزيع المفاتيح الكمومية (</w:t>
      </w:r>
      <w:r w:rsidRPr="00621959">
        <w:rPr>
          <w:lang w:val="en-GB" w:bidi="ar-EG"/>
        </w:rPr>
        <w:t>QKD</w:t>
      </w:r>
      <w:r w:rsidRPr="00621959">
        <w:rPr>
          <w:rtl/>
        </w:rPr>
        <w:t xml:space="preserve">) </w:t>
      </w:r>
      <w:r w:rsidRPr="00621959">
        <w:rPr>
          <w:rFonts w:hint="cs"/>
          <w:rtl/>
        </w:rPr>
        <w:t>و</w:t>
      </w:r>
      <w:r w:rsidRPr="00621959">
        <w:rPr>
          <w:rtl/>
        </w:rPr>
        <w:t xml:space="preserve">التجفير ما بعد التكنولوجيا الكمومية. وقد عزز إجراء تم اعتماده في </w:t>
      </w:r>
      <w:r w:rsidRPr="00621959">
        <w:rPr>
          <w:rFonts w:hint="cs"/>
          <w:rtl/>
        </w:rPr>
        <w:t xml:space="preserve">الجمعية </w:t>
      </w:r>
      <w:r w:rsidRPr="00621959">
        <w:rPr>
          <w:lang w:val="en-CA" w:bidi="ar-EG"/>
        </w:rPr>
        <w:t>WTSA</w:t>
      </w:r>
      <w:r w:rsidRPr="00621959">
        <w:rPr>
          <w:lang w:val="en-CA" w:bidi="ar-EG"/>
        </w:rPr>
        <w:noBreakHyphen/>
        <w:t>24</w:t>
      </w:r>
      <w:r w:rsidRPr="00621959">
        <w:rPr>
          <w:rtl/>
        </w:rPr>
        <w:t xml:space="preserve"> </w:t>
      </w:r>
      <w:r w:rsidRPr="00621959">
        <w:rPr>
          <w:rFonts w:hint="cs"/>
          <w:rtl/>
        </w:rPr>
        <w:t>الحاجة الملحة إلى</w:t>
      </w:r>
      <w:r w:rsidRPr="00621959">
        <w:rPr>
          <w:rtl/>
        </w:rPr>
        <w:t xml:space="preserve"> الانتقال إلى التجفير ما بعد التكنولوجيا الكمومية (</w:t>
      </w:r>
      <w:r w:rsidRPr="00621959">
        <w:rPr>
          <w:lang w:val="en-GB" w:bidi="ar-EG"/>
        </w:rPr>
        <w:t>PQC</w:t>
      </w:r>
      <w:r w:rsidRPr="00621959">
        <w:rPr>
          <w:rtl/>
        </w:rPr>
        <w:t>) في</w:t>
      </w:r>
      <w:r w:rsidR="008741C8">
        <w:rPr>
          <w:rFonts w:hint="cs"/>
          <w:rtl/>
        </w:rPr>
        <w:t> </w:t>
      </w:r>
      <w:r w:rsidRPr="00621959">
        <w:rPr>
          <w:rtl/>
        </w:rPr>
        <w:t>شبكات الاتصالات.</w:t>
      </w:r>
    </w:p>
    <w:p w14:paraId="4A4C1B05" w14:textId="5CCF2CA3" w:rsidR="00621959" w:rsidRPr="00621959" w:rsidRDefault="00621959" w:rsidP="008A5A1B">
      <w:pPr>
        <w:rPr>
          <w:u w:val="single"/>
          <w:rtl/>
        </w:rPr>
      </w:pPr>
      <w:r w:rsidRPr="00621959">
        <w:rPr>
          <w:rtl/>
        </w:rPr>
        <w:t xml:space="preserve">ويستضيف قطاع تقييس الاتصالات حالياً ما يقرب من 50 معياراً </w:t>
      </w:r>
      <w:proofErr w:type="spellStart"/>
      <w:r w:rsidRPr="00621959">
        <w:rPr>
          <w:rtl/>
        </w:rPr>
        <w:t>كم</w:t>
      </w:r>
      <w:r w:rsidRPr="00621959">
        <w:rPr>
          <w:rFonts w:hint="cs"/>
          <w:rtl/>
        </w:rPr>
        <w:t>وم</w:t>
      </w:r>
      <w:r w:rsidRPr="00621959">
        <w:rPr>
          <w:rtl/>
        </w:rPr>
        <w:t>ياً</w:t>
      </w:r>
      <w:proofErr w:type="spellEnd"/>
      <w:r w:rsidRPr="00621959">
        <w:rPr>
          <w:rtl/>
        </w:rPr>
        <w:t xml:space="preserve">، </w:t>
      </w:r>
      <w:r w:rsidRPr="00621959">
        <w:rPr>
          <w:rFonts w:hint="cs"/>
          <w:rtl/>
        </w:rPr>
        <w:t>وهناك</w:t>
      </w:r>
      <w:r w:rsidRPr="00621959">
        <w:rPr>
          <w:rtl/>
        </w:rPr>
        <w:t xml:space="preserve"> أكثر من 30 </w:t>
      </w:r>
      <w:r w:rsidR="00FB505F">
        <w:rPr>
          <w:rFonts w:hint="cs"/>
          <w:rtl/>
          <w:lang w:bidi="ar-EG"/>
        </w:rPr>
        <w:t>منجزاً</w:t>
      </w:r>
      <w:r w:rsidRPr="00621959">
        <w:rPr>
          <w:rtl/>
        </w:rPr>
        <w:t xml:space="preserve"> إضافياً قيد التطوير. واستمر التنسيق في هذا المجال سريع التطور من </w:t>
      </w:r>
      <w:r w:rsidRPr="0092519C">
        <w:rPr>
          <w:u w:color="5B9BD5"/>
          <w:rtl/>
        </w:rPr>
        <w:t xml:space="preserve">خلال </w:t>
      </w:r>
      <w:hyperlink r:id="rId221" w:history="1">
        <w:r w:rsidRPr="00D93838">
          <w:rPr>
            <w:rStyle w:val="Hyperlink"/>
            <w:noProof w:val="0"/>
            <w:rtl/>
            <w:lang w:val="en-US" w:eastAsia="zh-CN"/>
          </w:rPr>
          <w:t>نشاط التنسيق المشترك لشبكات توزيع المفاتيح الكمومية</w:t>
        </w:r>
      </w:hyperlink>
      <w:r w:rsidR="00FB505F">
        <w:rPr>
          <w:rFonts w:hint="cs"/>
          <w:u w:color="5B9BD5"/>
          <w:rtl/>
        </w:rPr>
        <w:t> </w:t>
      </w:r>
      <w:r w:rsidRPr="00D93838">
        <w:rPr>
          <w:rFonts w:hint="cs"/>
          <w:u w:color="5B9BD5"/>
          <w:rtl/>
        </w:rPr>
        <w:t>(</w:t>
      </w:r>
      <w:hyperlink r:id="rId222" w:history="1">
        <w:r w:rsidRPr="00D93838">
          <w:rPr>
            <w:rStyle w:val="Hyperlink"/>
            <w:noProof w:val="0"/>
            <w:lang w:eastAsia="zh-CN" w:bidi="ar-EG"/>
          </w:rPr>
          <w:t>JCA-QKDN</w:t>
        </w:r>
      </w:hyperlink>
      <w:r w:rsidRPr="00D93838">
        <w:rPr>
          <w:rFonts w:hint="cs"/>
          <w:u w:color="5B9BD5"/>
          <w:rtl/>
        </w:rPr>
        <w:t>)</w:t>
      </w:r>
      <w:r w:rsidRPr="00621959">
        <w:rPr>
          <w:rtl/>
        </w:rPr>
        <w:t xml:space="preserve">، الذي أنشأه الفريق الاستشاري لتقييس الاتصالات بالاتحاد في يناير 2023. وعقد </w:t>
      </w:r>
      <w:r w:rsidRPr="00621959">
        <w:rPr>
          <w:rFonts w:hint="cs"/>
          <w:rtl/>
        </w:rPr>
        <w:t>ال</w:t>
      </w:r>
      <w:r w:rsidRPr="00621959">
        <w:rPr>
          <w:rtl/>
        </w:rPr>
        <w:t xml:space="preserve">نشاط </w:t>
      </w:r>
      <w:r w:rsidRPr="00621959">
        <w:rPr>
          <w:lang w:val="en-GB" w:bidi="ar-EG"/>
        </w:rPr>
        <w:t>JCA-QKDN</w:t>
      </w:r>
      <w:r w:rsidRPr="00621959">
        <w:rPr>
          <w:rtl/>
        </w:rPr>
        <w:t xml:space="preserve"> اجتماعه الأول في مارس 2023، وواصل العمل من خلال </w:t>
      </w:r>
      <w:r w:rsidRPr="00621959">
        <w:rPr>
          <w:rFonts w:hint="cs"/>
          <w:rtl/>
        </w:rPr>
        <w:t>دورة</w:t>
      </w:r>
      <w:r w:rsidRPr="00621959">
        <w:rPr>
          <w:rtl/>
        </w:rPr>
        <w:t xml:space="preserve"> تعاونية </w:t>
      </w:r>
      <w:r w:rsidRPr="00621959">
        <w:rPr>
          <w:rFonts w:hint="cs"/>
          <w:rtl/>
        </w:rPr>
        <w:t xml:space="preserve">عقدت </w:t>
      </w:r>
      <w:r w:rsidRPr="00621959">
        <w:rPr>
          <w:rtl/>
        </w:rPr>
        <w:t>في سنغافورة في مايو 2024</w:t>
      </w:r>
      <w:r w:rsidRPr="00621959">
        <w:rPr>
          <w:rFonts w:hint="cs"/>
          <w:rtl/>
        </w:rPr>
        <w:t xml:space="preserve"> و</w:t>
      </w:r>
      <w:r w:rsidRPr="00621959">
        <w:rPr>
          <w:rtl/>
        </w:rPr>
        <w:t xml:space="preserve">أسهمت في </w:t>
      </w:r>
      <w:r w:rsidRPr="00621959">
        <w:rPr>
          <w:rFonts w:hint="cs"/>
          <w:rtl/>
        </w:rPr>
        <w:t>إنشاء</w:t>
      </w:r>
      <w:r w:rsidRPr="00621959">
        <w:rPr>
          <w:rtl/>
        </w:rPr>
        <w:t xml:space="preserve"> </w:t>
      </w:r>
      <w:hyperlink r:id="rId223" w:history="1">
        <w:r w:rsidRPr="00621959">
          <w:rPr>
            <w:rStyle w:val="Hyperlink"/>
            <w:noProof w:val="0"/>
            <w:rtl/>
            <w:lang w:val="en-US" w:eastAsia="zh-CN"/>
          </w:rPr>
          <w:t>قاعدة بيانات شاملة للمعايير الكمومية</w:t>
        </w:r>
      </w:hyperlink>
      <w:r w:rsidRPr="00621959">
        <w:rPr>
          <w:rFonts w:hint="cs"/>
          <w:rtl/>
        </w:rPr>
        <w:t>.</w:t>
      </w:r>
    </w:p>
    <w:p w14:paraId="64B56A74" w14:textId="27459F3B" w:rsidR="00621959" w:rsidRPr="00621959" w:rsidRDefault="00621959" w:rsidP="008A5A1B">
      <w:pPr>
        <w:rPr>
          <w:rtl/>
        </w:rPr>
      </w:pPr>
      <w:r w:rsidRPr="00621959">
        <w:rPr>
          <w:rtl/>
        </w:rPr>
        <w:t xml:space="preserve">وعلى الصعيد العالمي، اعتمدت الجمعية العامة للأمم المتحدة </w:t>
      </w:r>
      <w:hyperlink r:id="rId224" w:history="1">
        <w:r w:rsidRPr="00621959">
          <w:rPr>
            <w:rStyle w:val="Hyperlink"/>
            <w:rFonts w:hint="cs"/>
            <w:noProof w:val="0"/>
            <w:rtl/>
            <w:lang w:val="en-US" w:eastAsia="zh-CN"/>
          </w:rPr>
          <w:t>ال</w:t>
        </w:r>
        <w:r w:rsidRPr="00621959">
          <w:rPr>
            <w:rStyle w:val="Hyperlink"/>
            <w:noProof w:val="0"/>
            <w:rtl/>
            <w:lang w:val="en-US" w:eastAsia="zh-CN"/>
          </w:rPr>
          <w:t xml:space="preserve">قرار </w:t>
        </w:r>
        <w:r w:rsidRPr="00621959">
          <w:rPr>
            <w:rStyle w:val="Hyperlink"/>
            <w:noProof w:val="0"/>
            <w:lang w:val="en-US" w:eastAsia="zh-CN"/>
          </w:rPr>
          <w:t>78/287</w:t>
        </w:r>
      </w:hyperlink>
      <w:r w:rsidRPr="00621959">
        <w:rPr>
          <w:rtl/>
        </w:rPr>
        <w:t xml:space="preserve"> في يونيو 2024، معلنة عام 2025 السنة الدولية لعلوم وتكنولوجيا الكم. </w:t>
      </w:r>
      <w:r w:rsidRPr="00621959">
        <w:rPr>
          <w:rFonts w:hint="cs"/>
          <w:rtl/>
        </w:rPr>
        <w:t>وأدى</w:t>
      </w:r>
      <w:r w:rsidRPr="00621959">
        <w:rPr>
          <w:rtl/>
        </w:rPr>
        <w:t xml:space="preserve"> الاتحاد دور</w:t>
      </w:r>
      <w:r w:rsidRPr="00621959">
        <w:rPr>
          <w:rFonts w:hint="cs"/>
          <w:rtl/>
        </w:rPr>
        <w:t>اً</w:t>
      </w:r>
      <w:r w:rsidRPr="00621959">
        <w:rPr>
          <w:rtl/>
        </w:rPr>
        <w:t xml:space="preserve"> محوري</w:t>
      </w:r>
      <w:r w:rsidRPr="00621959">
        <w:rPr>
          <w:rFonts w:hint="cs"/>
          <w:rtl/>
        </w:rPr>
        <w:t>اً</w:t>
      </w:r>
      <w:r w:rsidRPr="00621959">
        <w:rPr>
          <w:rtl/>
        </w:rPr>
        <w:t xml:space="preserve"> في اللجنة التوجيهية للسنة الدولية لعلوم وتكنولوجيا الكم، حيث دعم التنفيذ والتوعية و</w:t>
      </w:r>
      <w:r w:rsidRPr="00621959">
        <w:rPr>
          <w:rFonts w:hint="cs"/>
          <w:rtl/>
        </w:rPr>
        <w:t>الأحداث</w:t>
      </w:r>
      <w:r w:rsidRPr="00621959">
        <w:rPr>
          <w:rtl/>
        </w:rPr>
        <w:t xml:space="preserve"> العالمية. وفي هذا السياق، أطلقت مبادرة </w:t>
      </w:r>
      <w:hyperlink r:id="rId225" w:anchor="/ar" w:history="1">
        <w:r w:rsidRPr="00621959">
          <w:rPr>
            <w:rStyle w:val="Hyperlink"/>
            <w:rFonts w:hint="cs"/>
            <w:noProof w:val="0"/>
            <w:rtl/>
            <w:lang w:val="en-US" w:eastAsia="zh-CN"/>
          </w:rPr>
          <w:t>التكنولوجيا الكمومية</w:t>
        </w:r>
        <w:r w:rsidRPr="00621959">
          <w:rPr>
            <w:rStyle w:val="Hyperlink"/>
            <w:noProof w:val="0"/>
            <w:rtl/>
            <w:lang w:val="en-US" w:eastAsia="zh-CN"/>
          </w:rPr>
          <w:t xml:space="preserve"> من أجل المصلحة العامة</w:t>
        </w:r>
      </w:hyperlink>
      <w:r w:rsidRPr="00621959">
        <w:rPr>
          <w:rtl/>
        </w:rPr>
        <w:t>، وهي مبادرة تهدف إلى إحداث تأثير كم</w:t>
      </w:r>
      <w:r w:rsidRPr="00621959">
        <w:rPr>
          <w:rFonts w:hint="cs"/>
          <w:rtl/>
        </w:rPr>
        <w:t>وم</w:t>
      </w:r>
      <w:r w:rsidRPr="00621959">
        <w:rPr>
          <w:rtl/>
        </w:rPr>
        <w:t xml:space="preserve">ي شامل ومستدام، </w:t>
      </w:r>
      <w:r w:rsidRPr="00621959">
        <w:rPr>
          <w:rFonts w:hint="cs"/>
          <w:rtl/>
        </w:rPr>
        <w:t>مخصصة ل</w:t>
      </w:r>
      <w:r w:rsidRPr="00621959">
        <w:rPr>
          <w:rtl/>
        </w:rPr>
        <w:t>مواءمة الابتكار الكم</w:t>
      </w:r>
      <w:r w:rsidRPr="00621959">
        <w:rPr>
          <w:rFonts w:hint="cs"/>
          <w:rtl/>
        </w:rPr>
        <w:t>وم</w:t>
      </w:r>
      <w:r w:rsidRPr="00621959">
        <w:rPr>
          <w:rtl/>
        </w:rPr>
        <w:t xml:space="preserve">ي مع أهداف الأمم المتحدة للتنمية المستدامة. وتتمحور المبادرة </w:t>
      </w:r>
      <w:r w:rsidRPr="00621959">
        <w:rPr>
          <w:rFonts w:hint="cs"/>
          <w:rtl/>
        </w:rPr>
        <w:t>حول</w:t>
      </w:r>
      <w:r w:rsidRPr="00621959">
        <w:rPr>
          <w:rtl/>
        </w:rPr>
        <w:t xml:space="preserve"> ثلاث</w:t>
      </w:r>
      <w:r w:rsidRPr="00621959">
        <w:rPr>
          <w:rFonts w:hint="cs"/>
          <w:rtl/>
        </w:rPr>
        <w:t xml:space="preserve"> ركائز</w:t>
      </w:r>
      <w:r w:rsidRPr="00621959">
        <w:rPr>
          <w:rtl/>
        </w:rPr>
        <w:t xml:space="preserve"> أساسية: سد الفجوة في مجال </w:t>
      </w:r>
      <w:r w:rsidRPr="00621959">
        <w:rPr>
          <w:rFonts w:hint="cs"/>
          <w:rtl/>
        </w:rPr>
        <w:t>التكنولوجيا الكمومية</w:t>
      </w:r>
      <w:r w:rsidRPr="00621959">
        <w:rPr>
          <w:rtl/>
        </w:rPr>
        <w:t xml:space="preserve">، والريادة </w:t>
      </w:r>
      <w:r w:rsidRPr="00621959">
        <w:rPr>
          <w:rFonts w:hint="cs"/>
          <w:rtl/>
        </w:rPr>
        <w:t xml:space="preserve">في </w:t>
      </w:r>
      <w:r w:rsidRPr="00621959">
        <w:rPr>
          <w:rtl/>
        </w:rPr>
        <w:t xml:space="preserve">الصناعة والمعايير، وتعزيز التعاون العالمي في مجال </w:t>
      </w:r>
      <w:r w:rsidRPr="00621959">
        <w:rPr>
          <w:rFonts w:hint="cs"/>
          <w:rtl/>
        </w:rPr>
        <w:t>ال</w:t>
      </w:r>
      <w:r w:rsidRPr="00621959">
        <w:rPr>
          <w:rtl/>
        </w:rPr>
        <w:t xml:space="preserve">تكنولوجيات الكمومية. ومنذ عام 2025، أدمجت مبادرة </w:t>
      </w:r>
      <w:r w:rsidRPr="00621959">
        <w:rPr>
          <w:rFonts w:hint="cs"/>
          <w:rtl/>
        </w:rPr>
        <w:t>التكنولوجيات ا</w:t>
      </w:r>
      <w:r w:rsidRPr="00621959">
        <w:rPr>
          <w:rtl/>
        </w:rPr>
        <w:t xml:space="preserve">لكمومية من أجل المصلحة العامة في قمة الذكاء الاصطناعي من أجل المصلحة العامة السنوية، إلى جانب أنشطة أخرى متعلقة بالسنة الدولية لعلوم وتكنولوجيا الكم، بما في ذلك </w:t>
      </w:r>
      <w:hyperlink r:id="rId226" w:anchor="/ar" w:history="1">
        <w:r w:rsidRPr="00621959">
          <w:rPr>
            <w:rStyle w:val="Hyperlink"/>
            <w:noProof w:val="0"/>
            <w:rtl/>
            <w:lang w:val="en-US" w:eastAsia="zh-CN"/>
          </w:rPr>
          <w:t xml:space="preserve">سلسلة </w:t>
        </w:r>
        <w:r w:rsidRPr="00621959">
          <w:rPr>
            <w:rStyle w:val="Hyperlink"/>
            <w:rFonts w:hint="cs"/>
            <w:noProof w:val="0"/>
            <w:rtl/>
            <w:lang w:val="en-US" w:eastAsia="zh-CN"/>
          </w:rPr>
          <w:t>الحلقات الدراسية</w:t>
        </w:r>
        <w:r w:rsidRPr="00621959">
          <w:rPr>
            <w:rStyle w:val="Hyperlink"/>
            <w:noProof w:val="0"/>
            <w:rtl/>
            <w:lang w:val="en-US" w:eastAsia="zh-CN"/>
          </w:rPr>
          <w:t xml:space="preserve"> </w:t>
        </w:r>
        <w:r w:rsidRPr="00621959">
          <w:rPr>
            <w:rStyle w:val="Hyperlink"/>
            <w:rFonts w:hint="cs"/>
            <w:noProof w:val="0"/>
            <w:rtl/>
            <w:lang w:val="en-US" w:eastAsia="zh-CN"/>
          </w:rPr>
          <w:t>ل</w:t>
        </w:r>
        <w:r w:rsidRPr="00621959">
          <w:rPr>
            <w:rStyle w:val="Hyperlink"/>
            <w:noProof w:val="0"/>
            <w:rtl/>
            <w:lang w:val="en-US" w:eastAsia="zh-CN"/>
          </w:rPr>
          <w:t xml:space="preserve">جولة </w:t>
        </w:r>
        <w:r w:rsidRPr="00621959">
          <w:rPr>
            <w:rStyle w:val="Hyperlink"/>
            <w:rFonts w:hint="cs"/>
            <w:noProof w:val="0"/>
            <w:rtl/>
            <w:lang w:val="en-US" w:eastAsia="zh-CN"/>
          </w:rPr>
          <w:t xml:space="preserve">التكنولوجيات </w:t>
        </w:r>
        <w:r w:rsidRPr="00621959">
          <w:rPr>
            <w:rStyle w:val="Hyperlink"/>
            <w:noProof w:val="0"/>
            <w:rtl/>
            <w:lang w:val="en-US" w:eastAsia="zh-CN"/>
          </w:rPr>
          <w:t>الكم</w:t>
        </w:r>
        <w:r w:rsidRPr="00621959">
          <w:rPr>
            <w:rStyle w:val="Hyperlink"/>
            <w:rFonts w:hint="cs"/>
            <w:noProof w:val="0"/>
            <w:rtl/>
            <w:lang w:val="en-US" w:eastAsia="zh-CN"/>
          </w:rPr>
          <w:t>ومية حول العالم</w:t>
        </w:r>
      </w:hyperlink>
      <w:r w:rsidRPr="00621959">
        <w:rPr>
          <w:rtl/>
        </w:rPr>
        <w:t xml:space="preserve"> التي تعرض النظم </w:t>
      </w:r>
      <w:r w:rsidRPr="00621959">
        <w:rPr>
          <w:rFonts w:hint="cs"/>
          <w:rtl/>
        </w:rPr>
        <w:t>الإيكولوجية</w:t>
      </w:r>
      <w:r w:rsidRPr="00621959">
        <w:rPr>
          <w:rtl/>
        </w:rPr>
        <w:t xml:space="preserve"> الكمومية على مستوى العالم،</w:t>
      </w:r>
      <w:r w:rsidRPr="00621959">
        <w:rPr>
          <w:rFonts w:hint="cs"/>
          <w:rtl/>
        </w:rPr>
        <w:t xml:space="preserve"> و</w:t>
      </w:r>
      <w:hyperlink r:id="rId227" w:history="1">
        <w:r w:rsidRPr="00621959">
          <w:rPr>
            <w:rStyle w:val="Hyperlink"/>
            <w:rFonts w:hint="cs"/>
            <w:noProof w:val="0"/>
            <w:rtl/>
            <w:lang w:val="en-US" w:eastAsia="zh-CN"/>
          </w:rPr>
          <w:t>ال</w:t>
        </w:r>
        <w:r w:rsidRPr="00621959">
          <w:rPr>
            <w:rStyle w:val="Hyperlink"/>
            <w:noProof w:val="0"/>
            <w:rtl/>
            <w:lang w:val="en-US" w:eastAsia="zh-CN"/>
          </w:rPr>
          <w:t xml:space="preserve">دورة الإلكترونية </w:t>
        </w:r>
        <w:r w:rsidRPr="00621959">
          <w:rPr>
            <w:rStyle w:val="Hyperlink"/>
            <w:rFonts w:hint="cs"/>
            <w:noProof w:val="0"/>
            <w:rtl/>
            <w:lang w:val="en-US" w:eastAsia="zh-CN"/>
          </w:rPr>
          <w:t xml:space="preserve">بشأن التكنولوجيا </w:t>
        </w:r>
        <w:r w:rsidRPr="00621959">
          <w:rPr>
            <w:rStyle w:val="Hyperlink"/>
            <w:noProof w:val="0"/>
            <w:rtl/>
            <w:lang w:val="en-US" w:eastAsia="zh-CN"/>
          </w:rPr>
          <w:t>الكمومية للجميع</w:t>
        </w:r>
      </w:hyperlink>
      <w:r w:rsidRPr="00621959">
        <w:rPr>
          <w:rtl/>
        </w:rPr>
        <w:t xml:space="preserve"> التي </w:t>
      </w:r>
      <w:r w:rsidRPr="00621959">
        <w:rPr>
          <w:rFonts w:hint="cs"/>
          <w:rtl/>
        </w:rPr>
        <w:t>وضعت</w:t>
      </w:r>
      <w:r w:rsidRPr="00621959">
        <w:rPr>
          <w:rtl/>
        </w:rPr>
        <w:t xml:space="preserve"> بالشراكة مع مركز الأمم المتحدة الدولي للحوسبة (</w:t>
      </w:r>
      <w:r w:rsidRPr="00621959">
        <w:rPr>
          <w:lang w:val="en-GB" w:bidi="ar-EG"/>
        </w:rPr>
        <w:t>UNICC</w:t>
      </w:r>
      <w:r w:rsidRPr="00621959">
        <w:rPr>
          <w:rtl/>
        </w:rPr>
        <w:t xml:space="preserve">) ومنظمة </w:t>
      </w:r>
      <w:r w:rsidRPr="00621959">
        <w:rPr>
          <w:lang w:val="en-GB" w:bidi="ar-EG"/>
        </w:rPr>
        <w:t>Quantum Delta NL</w:t>
      </w:r>
      <w:r w:rsidRPr="00621959">
        <w:rPr>
          <w:rtl/>
        </w:rPr>
        <w:t xml:space="preserve"> لبناء القدرات. كما كان إشراك الشباب أولوية رئيسية في جميع هذه الأنشطة، بما في ذلك من خلال </w:t>
      </w:r>
      <w:r w:rsidRPr="00621959">
        <w:rPr>
          <w:rFonts w:hint="cs"/>
          <w:rtl/>
        </w:rPr>
        <w:t xml:space="preserve">أحداث </w:t>
      </w:r>
      <w:proofErr w:type="spellStart"/>
      <w:r w:rsidRPr="00621959">
        <w:rPr>
          <w:rtl/>
        </w:rPr>
        <w:t>هاكاثون</w:t>
      </w:r>
      <w:proofErr w:type="spellEnd"/>
      <w:r w:rsidRPr="00621959">
        <w:rPr>
          <w:rtl/>
        </w:rPr>
        <w:t xml:space="preserve"> مثل </w:t>
      </w:r>
      <w:hyperlink r:id="rId228" w:anchor="/ar" w:history="1">
        <w:proofErr w:type="spellStart"/>
        <w:r w:rsidRPr="00621959">
          <w:rPr>
            <w:rStyle w:val="Hyperlink"/>
            <w:rFonts w:hint="cs"/>
            <w:noProof w:val="0"/>
            <w:rtl/>
            <w:lang w:val="en-US" w:eastAsia="zh-CN"/>
          </w:rPr>
          <w:t>هاكاثون</w:t>
        </w:r>
        <w:proofErr w:type="spellEnd"/>
        <w:r w:rsidRPr="00621959">
          <w:rPr>
            <w:rStyle w:val="Hyperlink"/>
            <w:rFonts w:hint="cs"/>
            <w:noProof w:val="0"/>
            <w:rtl/>
            <w:lang w:val="en-US" w:eastAsia="zh-CN"/>
          </w:rPr>
          <w:t xml:space="preserve"> </w:t>
        </w:r>
        <w:r w:rsidRPr="00621959">
          <w:rPr>
            <w:rStyle w:val="Hyperlink"/>
            <w:noProof w:val="0"/>
            <w:rtl/>
            <w:lang w:val="en-US" w:eastAsia="zh-CN"/>
          </w:rPr>
          <w:t xml:space="preserve">قادة المستقبل في </w:t>
        </w:r>
        <w:r w:rsidRPr="00621959">
          <w:rPr>
            <w:rStyle w:val="Hyperlink"/>
            <w:rFonts w:hint="cs"/>
            <w:noProof w:val="0"/>
            <w:rtl/>
            <w:lang w:val="en-US" w:eastAsia="zh-CN"/>
          </w:rPr>
          <w:t>مجال التكنولوجيا</w:t>
        </w:r>
        <w:r w:rsidRPr="00621959">
          <w:rPr>
            <w:rStyle w:val="Hyperlink"/>
            <w:noProof w:val="0"/>
            <w:rtl/>
            <w:lang w:val="en-US" w:eastAsia="zh-CN"/>
          </w:rPr>
          <w:t xml:space="preserve"> الكمومية</w:t>
        </w:r>
        <w:r w:rsidRPr="00621959">
          <w:rPr>
            <w:rStyle w:val="Hyperlink"/>
            <w:rFonts w:hint="cs"/>
            <w:noProof w:val="0"/>
            <w:rtl/>
            <w:lang w:val="en-US" w:eastAsia="zh-CN"/>
          </w:rPr>
          <w:t xml:space="preserve"> لعام</w:t>
        </w:r>
        <w:r w:rsidRPr="00621959">
          <w:rPr>
            <w:rStyle w:val="Hyperlink"/>
            <w:noProof w:val="0"/>
            <w:rtl/>
            <w:lang w:val="en-US" w:eastAsia="zh-CN"/>
          </w:rPr>
          <w:t xml:space="preserve"> 2025</w:t>
        </w:r>
      </w:hyperlink>
      <w:r w:rsidRPr="00621959">
        <w:rPr>
          <w:rtl/>
        </w:rPr>
        <w:t xml:space="preserve"> ال</w:t>
      </w:r>
      <w:r w:rsidRPr="00621959">
        <w:rPr>
          <w:rFonts w:hint="cs"/>
          <w:rtl/>
        </w:rPr>
        <w:t>ذ</w:t>
      </w:r>
      <w:r w:rsidRPr="00621959">
        <w:rPr>
          <w:rtl/>
        </w:rPr>
        <w:t xml:space="preserve">ي </w:t>
      </w:r>
      <w:r w:rsidRPr="00621959">
        <w:rPr>
          <w:rFonts w:hint="cs"/>
          <w:rtl/>
        </w:rPr>
        <w:t>يُ</w:t>
      </w:r>
      <w:r w:rsidRPr="00621959">
        <w:rPr>
          <w:rtl/>
        </w:rPr>
        <w:t>مك</w:t>
      </w:r>
      <w:r w:rsidRPr="00621959">
        <w:rPr>
          <w:rFonts w:hint="cs"/>
          <w:rtl/>
        </w:rPr>
        <w:t>ّ</w:t>
      </w:r>
      <w:r w:rsidRPr="00621959">
        <w:rPr>
          <w:rtl/>
        </w:rPr>
        <w:t xml:space="preserve">ن المبتكرين الشباب من تطبيق </w:t>
      </w:r>
      <w:r w:rsidRPr="00621959">
        <w:rPr>
          <w:rFonts w:hint="cs"/>
          <w:rtl/>
        </w:rPr>
        <w:t>ال</w:t>
      </w:r>
      <w:r w:rsidRPr="00621959">
        <w:rPr>
          <w:rtl/>
        </w:rPr>
        <w:t>تكنولوجيات الكمومية على تحديات العالم الحقيقي.</w:t>
      </w:r>
    </w:p>
    <w:p w14:paraId="1EC1C39A" w14:textId="77777777" w:rsidR="00621959" w:rsidRPr="0092519C" w:rsidRDefault="00621959" w:rsidP="00972572">
      <w:pPr>
        <w:pStyle w:val="Headingb"/>
        <w:rPr>
          <w:rtl/>
        </w:rPr>
      </w:pPr>
      <w:proofErr w:type="spellStart"/>
      <w:r w:rsidRPr="0092519C">
        <w:rPr>
          <w:rtl/>
        </w:rPr>
        <w:t>الميتافيرس</w:t>
      </w:r>
      <w:proofErr w:type="spellEnd"/>
      <w:r w:rsidRPr="0092519C">
        <w:rPr>
          <w:rtl/>
        </w:rPr>
        <w:t xml:space="preserve"> </w:t>
      </w:r>
      <w:proofErr w:type="spellStart"/>
      <w:r w:rsidRPr="0092519C">
        <w:rPr>
          <w:rFonts w:hint="cs"/>
          <w:rtl/>
        </w:rPr>
        <w:t>و</w:t>
      </w:r>
      <w:r w:rsidRPr="0092519C">
        <w:rPr>
          <w:rtl/>
        </w:rPr>
        <w:t>السيتيفيرس</w:t>
      </w:r>
      <w:proofErr w:type="spellEnd"/>
    </w:p>
    <w:p w14:paraId="0A79AE29" w14:textId="6FFEF032" w:rsidR="00621959" w:rsidRPr="00621959" w:rsidRDefault="00621959" w:rsidP="008A5A1B">
      <w:pPr>
        <w:rPr>
          <w:b/>
          <w:rtl/>
        </w:rPr>
      </w:pPr>
      <w:r w:rsidRPr="00621959">
        <w:rPr>
          <w:rFonts w:hint="cs"/>
          <w:b/>
          <w:rtl/>
        </w:rPr>
        <w:t>دفع</w:t>
      </w:r>
      <w:r w:rsidRPr="00621959">
        <w:rPr>
          <w:b/>
          <w:rtl/>
        </w:rPr>
        <w:t xml:space="preserve"> النمو السريع في العوالم الافتراضية والتكنولوجيات </w:t>
      </w:r>
      <w:r w:rsidRPr="00621959">
        <w:rPr>
          <w:rFonts w:hint="cs"/>
          <w:b/>
          <w:rtl/>
        </w:rPr>
        <w:t xml:space="preserve">المتعلقة </w:t>
      </w:r>
      <w:hyperlink r:id="rId229" w:history="1">
        <w:r w:rsidRPr="00621959">
          <w:rPr>
            <w:rStyle w:val="Hyperlink"/>
            <w:rFonts w:hint="cs"/>
            <w:b/>
            <w:noProof w:val="0"/>
            <w:rtl/>
            <w:lang w:val="en-US" w:eastAsia="zh-CN"/>
          </w:rPr>
          <w:t>بالميتافيرس</w:t>
        </w:r>
      </w:hyperlink>
      <w:r w:rsidRPr="00621959">
        <w:rPr>
          <w:b/>
          <w:rtl/>
        </w:rPr>
        <w:t xml:space="preserve"> الاتحاد لاستكشاف المتطلبات الأساسية للمعايير الدولية المستقبلية. و</w:t>
      </w:r>
      <w:r w:rsidRPr="00621959">
        <w:rPr>
          <w:rFonts w:hint="cs"/>
          <w:b/>
          <w:rtl/>
        </w:rPr>
        <w:t>أجرى</w:t>
      </w:r>
      <w:r w:rsidRPr="00621959">
        <w:rPr>
          <w:b/>
          <w:rtl/>
        </w:rPr>
        <w:t xml:space="preserve"> </w:t>
      </w:r>
      <w:hyperlink r:id="rId230" w:anchor="/ar" w:history="1">
        <w:r w:rsidRPr="00621959">
          <w:rPr>
            <w:rStyle w:val="Hyperlink"/>
            <w:rFonts w:hint="cs"/>
            <w:noProof w:val="0"/>
            <w:rtl/>
            <w:lang w:val="en-US" w:eastAsia="zh-CN"/>
          </w:rPr>
          <w:t>الف</w:t>
        </w:r>
        <w:r w:rsidRPr="00621959">
          <w:rPr>
            <w:rStyle w:val="Hyperlink"/>
            <w:noProof w:val="0"/>
            <w:rtl/>
            <w:lang w:val="en-US" w:eastAsia="zh-CN"/>
          </w:rPr>
          <w:t xml:space="preserve">ريق </w:t>
        </w:r>
        <w:r w:rsidRPr="00621959">
          <w:rPr>
            <w:rStyle w:val="Hyperlink"/>
            <w:rFonts w:hint="cs"/>
            <w:noProof w:val="0"/>
            <w:rtl/>
            <w:lang w:val="en-US" w:eastAsia="zh-CN"/>
          </w:rPr>
          <w:t>المتخصص المعني ب</w:t>
        </w:r>
        <w:r w:rsidRPr="00621959">
          <w:rPr>
            <w:rStyle w:val="Hyperlink"/>
            <w:noProof w:val="0"/>
            <w:rtl/>
            <w:lang w:val="en-US" w:eastAsia="zh-CN"/>
          </w:rPr>
          <w:t>الميتافيرس (</w:t>
        </w:r>
        <w:r w:rsidRPr="00621959">
          <w:rPr>
            <w:rStyle w:val="Hyperlink"/>
            <w:noProof w:val="0"/>
            <w:lang w:eastAsia="zh-CN" w:bidi="ar-EG"/>
          </w:rPr>
          <w:t>FG-MV</w:t>
        </w:r>
        <w:r w:rsidRPr="00621959">
          <w:rPr>
            <w:rStyle w:val="Hyperlink"/>
            <w:noProof w:val="0"/>
            <w:rtl/>
            <w:lang w:val="en-US" w:eastAsia="zh-CN"/>
          </w:rPr>
          <w:t>)</w:t>
        </w:r>
      </w:hyperlink>
      <w:r w:rsidRPr="00621959">
        <w:rPr>
          <w:rFonts w:hint="cs"/>
          <w:b/>
          <w:rtl/>
        </w:rPr>
        <w:t>، ا</w:t>
      </w:r>
      <w:r w:rsidRPr="00621959">
        <w:rPr>
          <w:b/>
          <w:rtl/>
        </w:rPr>
        <w:t>لذي أنشأه الفريق الاستشاري لتقييس الاتصالات بالاتحاد في ديسمبر 2022، تحليلاً م</w:t>
      </w:r>
      <w:r w:rsidRPr="00621959">
        <w:rPr>
          <w:rFonts w:hint="cs"/>
          <w:b/>
          <w:rtl/>
        </w:rPr>
        <w:t>كثف</w:t>
      </w:r>
      <w:r w:rsidRPr="00621959">
        <w:rPr>
          <w:b/>
          <w:rtl/>
        </w:rPr>
        <w:t>اً للمتطلبات التقنية والتكنولوجيات ال</w:t>
      </w:r>
      <w:r w:rsidRPr="00621959">
        <w:rPr>
          <w:rFonts w:hint="cs"/>
          <w:b/>
          <w:rtl/>
        </w:rPr>
        <w:t>تمكينية</w:t>
      </w:r>
      <w:r w:rsidRPr="00621959">
        <w:rPr>
          <w:b/>
          <w:rtl/>
        </w:rPr>
        <w:t xml:space="preserve">، حيث استقطب اجتماعه الأول في مارس 2023 أكثر من 650 مشاركاً. كما استفاد الفريق من خمسة </w:t>
      </w:r>
      <w:hyperlink r:id="rId231" w:history="1">
        <w:r w:rsidRPr="00621959">
          <w:rPr>
            <w:rStyle w:val="Hyperlink"/>
            <w:noProof w:val="0"/>
            <w:rtl/>
            <w:lang w:val="en-US" w:eastAsia="zh-CN"/>
          </w:rPr>
          <w:t>منتديات للاتحاد بشأن الميتافيرس</w:t>
        </w:r>
      </w:hyperlink>
      <w:r w:rsidRPr="00621959">
        <w:rPr>
          <w:b/>
          <w:rtl/>
        </w:rPr>
        <w:t xml:space="preserve">، والتي جمعت أكثر من </w:t>
      </w:r>
      <w:r w:rsidRPr="00621959">
        <w:rPr>
          <w:rFonts w:hint="cs"/>
          <w:b/>
          <w:rtl/>
        </w:rPr>
        <w:t>500 14</w:t>
      </w:r>
      <w:r w:rsidRPr="00621959">
        <w:rPr>
          <w:b/>
          <w:rtl/>
        </w:rPr>
        <w:t xml:space="preserve"> مشارك لاستكشاف التحديات والفرص.</w:t>
      </w:r>
    </w:p>
    <w:p w14:paraId="791B0BBF" w14:textId="183380AA" w:rsidR="00621959" w:rsidRPr="00621959" w:rsidRDefault="00621959" w:rsidP="008A5A1B">
      <w:pPr>
        <w:rPr>
          <w:lang w:val="en-GB" w:bidi="ar-EG"/>
        </w:rPr>
      </w:pPr>
      <w:r w:rsidRPr="00621959">
        <w:rPr>
          <w:rtl/>
        </w:rPr>
        <w:t>واخت</w:t>
      </w:r>
      <w:r w:rsidRPr="00621959">
        <w:rPr>
          <w:rFonts w:hint="cs"/>
          <w:rtl/>
        </w:rPr>
        <w:t>ُ</w:t>
      </w:r>
      <w:r w:rsidRPr="00621959">
        <w:rPr>
          <w:rtl/>
        </w:rPr>
        <w:t>تمت</w:t>
      </w:r>
      <w:r w:rsidRPr="00621959">
        <w:rPr>
          <w:rFonts w:hint="cs"/>
          <w:rtl/>
        </w:rPr>
        <w:t xml:space="preserve"> أعمال</w:t>
      </w:r>
      <w:r w:rsidRPr="00621959">
        <w:rPr>
          <w:rtl/>
        </w:rPr>
        <w:t xml:space="preserve"> </w:t>
      </w:r>
      <w:hyperlink r:id="rId232" w:history="1">
        <w:r w:rsidRPr="00621959">
          <w:rPr>
            <w:rStyle w:val="Hyperlink"/>
            <w:noProof w:val="0"/>
            <w:rtl/>
            <w:lang w:val="en-US" w:eastAsia="zh-CN"/>
          </w:rPr>
          <w:t xml:space="preserve">خطة عمل </w:t>
        </w:r>
        <w:r w:rsidRPr="00621959">
          <w:rPr>
            <w:rStyle w:val="Hyperlink"/>
            <w:rFonts w:hint="cs"/>
            <w:noProof w:val="0"/>
            <w:rtl/>
            <w:lang w:val="en-US" w:eastAsia="zh-CN"/>
          </w:rPr>
          <w:t>ال</w:t>
        </w:r>
        <w:r w:rsidRPr="00621959">
          <w:rPr>
            <w:rStyle w:val="Hyperlink"/>
            <w:noProof w:val="0"/>
            <w:rtl/>
            <w:lang w:val="en-US" w:eastAsia="zh-CN"/>
          </w:rPr>
          <w:t xml:space="preserve">فريق </w:t>
        </w:r>
        <w:r w:rsidRPr="00621959">
          <w:rPr>
            <w:rStyle w:val="Hyperlink"/>
            <w:noProof w:val="0"/>
            <w:lang w:eastAsia="zh-CN" w:bidi="ar-EG"/>
          </w:rPr>
          <w:t>FG-MV</w:t>
        </w:r>
      </w:hyperlink>
      <w:r w:rsidRPr="00621959">
        <w:rPr>
          <w:rtl/>
        </w:rPr>
        <w:t xml:space="preserve"> في يونيو 2024، منتجة 52 </w:t>
      </w:r>
      <w:r w:rsidR="00D23D15">
        <w:rPr>
          <w:rFonts w:hint="cs"/>
          <w:rtl/>
        </w:rPr>
        <w:t>منجزاً</w:t>
      </w:r>
      <w:r w:rsidRPr="00621959">
        <w:rPr>
          <w:rtl/>
        </w:rPr>
        <w:t xml:space="preserve">. وشملت هذه </w:t>
      </w:r>
      <w:r w:rsidRPr="00621959">
        <w:rPr>
          <w:rFonts w:hint="cs"/>
          <w:rtl/>
        </w:rPr>
        <w:t>النواتج</w:t>
      </w:r>
      <w:r w:rsidRPr="00621959">
        <w:rPr>
          <w:rtl/>
        </w:rPr>
        <w:t xml:space="preserve"> تعريفاً </w:t>
      </w:r>
      <w:proofErr w:type="spellStart"/>
      <w:r w:rsidRPr="00621959">
        <w:rPr>
          <w:rtl/>
        </w:rPr>
        <w:t>للميتافيرس</w:t>
      </w:r>
      <w:proofErr w:type="spellEnd"/>
      <w:r w:rsidRPr="00621959">
        <w:rPr>
          <w:rtl/>
        </w:rPr>
        <w:t xml:space="preserve">، وخارطة طريق </w:t>
      </w:r>
      <w:r w:rsidRPr="00621959">
        <w:rPr>
          <w:rFonts w:hint="cs"/>
          <w:rtl/>
        </w:rPr>
        <w:t>للتقييس</w:t>
      </w:r>
      <w:r w:rsidRPr="00621959">
        <w:rPr>
          <w:rtl/>
        </w:rPr>
        <w:t xml:space="preserve">، ودراسات بشأن الذكاء الاصطناعي التوليدي في العوالم الافتراضية، ومفاهيم </w:t>
      </w:r>
      <w:proofErr w:type="spellStart"/>
      <w:r w:rsidRPr="00621959">
        <w:rPr>
          <w:rtl/>
        </w:rPr>
        <w:t>السيتيفيرس</w:t>
      </w:r>
      <w:proofErr w:type="spellEnd"/>
      <w:r w:rsidRPr="00621959">
        <w:rPr>
          <w:rtl/>
        </w:rPr>
        <w:t xml:space="preserve">، وقابلية التشغيل البيني عبر المنصات، والثقة والأمان، وإمكانية النفاذ، وكفاءة </w:t>
      </w:r>
      <w:r w:rsidRPr="00621959">
        <w:rPr>
          <w:rFonts w:hint="cs"/>
          <w:rtl/>
        </w:rPr>
        <w:t xml:space="preserve">استعمال </w:t>
      </w:r>
      <w:r w:rsidRPr="00621959">
        <w:rPr>
          <w:rtl/>
        </w:rPr>
        <w:t xml:space="preserve">الطاقة، والاعتبارات </w:t>
      </w:r>
      <w:proofErr w:type="spellStart"/>
      <w:r w:rsidRPr="00621959">
        <w:rPr>
          <w:rtl/>
        </w:rPr>
        <w:t>السياس</w:t>
      </w:r>
      <w:r w:rsidRPr="00621959">
        <w:rPr>
          <w:rFonts w:hint="cs"/>
          <w:rtl/>
        </w:rPr>
        <w:t>ات</w:t>
      </w:r>
      <w:r w:rsidRPr="00621959">
        <w:rPr>
          <w:rtl/>
        </w:rPr>
        <w:t>ية</w:t>
      </w:r>
      <w:proofErr w:type="spellEnd"/>
      <w:r w:rsidRPr="00621959">
        <w:rPr>
          <w:rtl/>
        </w:rPr>
        <w:t>، والتوائم الرقمية، وحالات استعمال الميتافيرس في المدن والسياقات الصناعية.</w:t>
      </w:r>
    </w:p>
    <w:p w14:paraId="1D9E88B6" w14:textId="77777777" w:rsidR="00621959" w:rsidRPr="00621959" w:rsidRDefault="00621959" w:rsidP="008A5A1B">
      <w:pPr>
        <w:rPr>
          <w:lang w:val="en-GB" w:bidi="ar-EG"/>
        </w:rPr>
      </w:pPr>
      <w:r w:rsidRPr="00621959">
        <w:rPr>
          <w:rtl/>
        </w:rPr>
        <w:t xml:space="preserve">ونقل عمل الفريق المتخصص بنجاح إلى لجان الدراسات </w:t>
      </w:r>
      <w:r w:rsidRPr="00621959">
        <w:rPr>
          <w:rFonts w:hint="cs"/>
          <w:rtl/>
        </w:rPr>
        <w:t>التابعة ل</w:t>
      </w:r>
      <w:r w:rsidRPr="00621959">
        <w:rPr>
          <w:rtl/>
        </w:rPr>
        <w:t>قطاع تقييس الاتصالات، بما في ذلك لجنة الدراسات</w:t>
      </w:r>
      <w:r w:rsidRPr="00621959">
        <w:rPr>
          <w:rFonts w:hint="cs"/>
          <w:rtl/>
        </w:rPr>
        <w:t> </w:t>
      </w:r>
      <w:r w:rsidRPr="00621959">
        <w:rPr>
          <w:rtl/>
        </w:rPr>
        <w:t>20</w:t>
      </w:r>
      <w:r w:rsidRPr="00621959">
        <w:rPr>
          <w:rFonts w:hint="cs"/>
          <w:rtl/>
        </w:rPr>
        <w:t xml:space="preserve"> ل</w:t>
      </w:r>
      <w:r w:rsidRPr="00621959">
        <w:rPr>
          <w:rtl/>
        </w:rPr>
        <w:t xml:space="preserve">قطاع تقييس الاتصالات، التي نجحت في وضع معايير للتوائم الرقمية </w:t>
      </w:r>
      <w:proofErr w:type="spellStart"/>
      <w:r w:rsidRPr="00621959">
        <w:rPr>
          <w:rtl/>
        </w:rPr>
        <w:t>للميتافيرس</w:t>
      </w:r>
      <w:proofErr w:type="spellEnd"/>
      <w:r w:rsidRPr="00621959">
        <w:rPr>
          <w:rtl/>
        </w:rPr>
        <w:t>.</w:t>
      </w:r>
    </w:p>
    <w:p w14:paraId="65EF7E5D" w14:textId="77777777" w:rsidR="00621959" w:rsidRPr="00621959" w:rsidRDefault="00621959" w:rsidP="008A5A1B">
      <w:pPr>
        <w:rPr>
          <w:rtl/>
        </w:rPr>
      </w:pPr>
      <w:r w:rsidRPr="00621959">
        <w:rPr>
          <w:rtl/>
        </w:rPr>
        <w:t xml:space="preserve">وبعد </w:t>
      </w:r>
      <w:r w:rsidRPr="00621959">
        <w:rPr>
          <w:rFonts w:hint="cs"/>
          <w:rtl/>
        </w:rPr>
        <w:t>إغلاق</w:t>
      </w:r>
      <w:r w:rsidRPr="00621959">
        <w:rPr>
          <w:rtl/>
        </w:rPr>
        <w:t xml:space="preserve"> الفريق المتخصص، أ</w:t>
      </w:r>
      <w:r w:rsidRPr="00621959">
        <w:rPr>
          <w:rFonts w:hint="cs"/>
          <w:rtl/>
        </w:rPr>
        <w:t>ُ</w:t>
      </w:r>
      <w:r w:rsidRPr="00621959">
        <w:rPr>
          <w:rtl/>
        </w:rPr>
        <w:t xml:space="preserve">طلقت مبادرة جديدة بشأن العوالم الافتراضية والذكاء الاصطناعي، لتوفير منصة لتطوير </w:t>
      </w:r>
      <w:proofErr w:type="spellStart"/>
      <w:r w:rsidRPr="00621959">
        <w:rPr>
          <w:rtl/>
        </w:rPr>
        <w:t>سيتيفيرس</w:t>
      </w:r>
      <w:proofErr w:type="spellEnd"/>
      <w:r w:rsidRPr="00621959">
        <w:rPr>
          <w:rtl/>
        </w:rPr>
        <w:t xml:space="preserve"> آمنة وقابلة للتشغيل البيني.</w:t>
      </w:r>
    </w:p>
    <w:p w14:paraId="2FCFA43B" w14:textId="5E386F80" w:rsidR="00621959" w:rsidRPr="008741C8" w:rsidRDefault="00621959" w:rsidP="008A5A1B">
      <w:pPr>
        <w:rPr>
          <w:spacing w:val="-2"/>
          <w:lang w:val="en-GB" w:bidi="ar-EG"/>
        </w:rPr>
      </w:pPr>
      <w:r w:rsidRPr="008741C8">
        <w:rPr>
          <w:rFonts w:hint="cs"/>
          <w:spacing w:val="-2"/>
          <w:rtl/>
        </w:rPr>
        <w:t>وبناء</w:t>
      </w:r>
      <w:r w:rsidR="008741C8">
        <w:rPr>
          <w:rFonts w:hint="cs"/>
          <w:spacing w:val="-2"/>
          <w:rtl/>
        </w:rPr>
        <w:t>ً</w:t>
      </w:r>
      <w:r w:rsidRPr="008741C8">
        <w:rPr>
          <w:rFonts w:hint="cs"/>
          <w:spacing w:val="-2"/>
          <w:rtl/>
        </w:rPr>
        <w:t xml:space="preserve"> على </w:t>
      </w:r>
      <w:r w:rsidRPr="008741C8">
        <w:rPr>
          <w:spacing w:val="-2"/>
          <w:rtl/>
        </w:rPr>
        <w:t xml:space="preserve">هذا العمل، شارك الاتحاد في تنظيم </w:t>
      </w:r>
      <w:r w:rsidRPr="008741C8">
        <w:rPr>
          <w:rFonts w:hint="cs"/>
          <w:spacing w:val="-2"/>
          <w:rtl/>
        </w:rPr>
        <w:t>حدث</w:t>
      </w:r>
      <w:r w:rsidRPr="008741C8">
        <w:rPr>
          <w:spacing w:val="-2"/>
          <w:rtl/>
        </w:rPr>
        <w:t xml:space="preserve"> </w:t>
      </w:r>
      <w:hyperlink r:id="rId233" w:history="1">
        <w:r w:rsidRPr="008741C8">
          <w:rPr>
            <w:rStyle w:val="Hyperlink"/>
            <w:noProof w:val="0"/>
            <w:spacing w:val="-2"/>
            <w:rtl/>
            <w:lang w:val="en-US" w:eastAsia="zh-CN"/>
          </w:rPr>
          <w:t>شحذ الأفكار في مجال الميتافيرس</w:t>
        </w:r>
      </w:hyperlink>
      <w:r w:rsidRPr="008741C8">
        <w:rPr>
          <w:spacing w:val="-2"/>
          <w:rtl/>
        </w:rPr>
        <w:t xml:space="preserve"> </w:t>
      </w:r>
      <w:r w:rsidRPr="008741C8">
        <w:rPr>
          <w:rFonts w:hint="cs"/>
          <w:spacing w:val="-2"/>
          <w:rtl/>
        </w:rPr>
        <w:t>في عام 2024</w:t>
      </w:r>
      <w:r w:rsidRPr="008741C8">
        <w:rPr>
          <w:spacing w:val="-2"/>
          <w:rtl/>
        </w:rPr>
        <w:t xml:space="preserve"> </w:t>
      </w:r>
      <w:r w:rsidRPr="008741C8">
        <w:rPr>
          <w:rFonts w:hint="cs"/>
          <w:spacing w:val="-2"/>
          <w:rtl/>
        </w:rPr>
        <w:t xml:space="preserve">مع </w:t>
      </w:r>
      <w:r w:rsidRPr="008741C8">
        <w:rPr>
          <w:spacing w:val="-2"/>
          <w:rtl/>
        </w:rPr>
        <w:t xml:space="preserve">مركز الأمم المتحدة الدولي للحوسبة، ومنظمة الأغذية والزراعة، والوكالة الدولية للطاقة الذرية، حيث شجع الطلاب والخريجين على تطوير حلول محاكاة افتراضية لمشاكل عالمية في مجالات التعليم، والتأهب للكوارث، وحل النزاعات، والتنمية الحضرية المستدامة. وتوجت هذه المبادرة بتكريم </w:t>
      </w:r>
      <w:r w:rsidRPr="008741C8">
        <w:rPr>
          <w:rFonts w:hint="cs"/>
          <w:spacing w:val="-2"/>
          <w:rtl/>
        </w:rPr>
        <w:t>الأفرقة</w:t>
      </w:r>
      <w:r w:rsidRPr="008741C8">
        <w:rPr>
          <w:spacing w:val="-2"/>
          <w:rtl/>
        </w:rPr>
        <w:t xml:space="preserve"> الفائزة </w:t>
      </w:r>
      <w:hyperlink r:id="rId234" w:anchor="/ar" w:history="1">
        <w:r w:rsidRPr="008741C8">
          <w:rPr>
            <w:rStyle w:val="Hyperlink"/>
            <w:noProof w:val="0"/>
            <w:spacing w:val="-2"/>
            <w:rtl/>
            <w:lang w:val="en-US" w:eastAsia="zh-CN"/>
          </w:rPr>
          <w:t>خلال</w:t>
        </w:r>
        <w:r w:rsidRPr="008741C8">
          <w:rPr>
            <w:rStyle w:val="Hyperlink"/>
            <w:rFonts w:hint="cs"/>
            <w:noProof w:val="0"/>
            <w:spacing w:val="-2"/>
            <w:rtl/>
            <w:lang w:val="en-US" w:eastAsia="zh-CN"/>
          </w:rPr>
          <w:t xml:space="preserve"> يوم</w:t>
        </w:r>
        <w:r w:rsidRPr="008741C8">
          <w:rPr>
            <w:rStyle w:val="Hyperlink"/>
            <w:noProof w:val="0"/>
            <w:spacing w:val="-2"/>
            <w:rtl/>
            <w:lang w:val="en-US" w:eastAsia="zh-CN"/>
          </w:rPr>
          <w:t xml:space="preserve"> </w:t>
        </w:r>
        <w:r w:rsidRPr="008741C8">
          <w:rPr>
            <w:rStyle w:val="Hyperlink"/>
            <w:rFonts w:hint="cs"/>
            <w:noProof w:val="0"/>
            <w:spacing w:val="-2"/>
            <w:rtl/>
            <w:lang w:val="en-US" w:eastAsia="zh-CN"/>
          </w:rPr>
          <w:t xml:space="preserve">الأمم المتحدة للعوالم </w:t>
        </w:r>
        <w:r w:rsidRPr="008741C8">
          <w:rPr>
            <w:rStyle w:val="Hyperlink"/>
            <w:noProof w:val="0"/>
            <w:spacing w:val="-2"/>
            <w:rtl/>
            <w:lang w:val="en-US" w:eastAsia="zh-CN"/>
          </w:rPr>
          <w:t>الافتراضية</w:t>
        </w:r>
      </w:hyperlink>
      <w:r w:rsidRPr="008741C8">
        <w:rPr>
          <w:spacing w:val="-2"/>
          <w:rtl/>
        </w:rPr>
        <w:t>. كما نسق الاتحاد إعداد</w:t>
      </w:r>
      <w:r w:rsidRPr="008741C8">
        <w:rPr>
          <w:rFonts w:hint="cs"/>
          <w:spacing w:val="-2"/>
          <w:rtl/>
        </w:rPr>
        <w:t xml:space="preserve"> وإطلاق</w:t>
      </w:r>
      <w:r w:rsidRPr="008741C8">
        <w:rPr>
          <w:spacing w:val="-2"/>
          <w:rtl/>
        </w:rPr>
        <w:t xml:space="preserve"> </w:t>
      </w:r>
      <w:hyperlink r:id="rId235" w:history="1">
        <w:r w:rsidRPr="008741C8">
          <w:rPr>
            <w:rStyle w:val="Hyperlink"/>
            <w:noProof w:val="0"/>
            <w:spacing w:val="-2"/>
            <w:rtl/>
            <w:lang w:val="en-US" w:eastAsia="zh-CN"/>
          </w:rPr>
          <w:t xml:space="preserve">أول </w:t>
        </w:r>
        <w:r w:rsidRPr="008741C8">
          <w:rPr>
            <w:rStyle w:val="Hyperlink"/>
            <w:rFonts w:hint="cs"/>
            <w:noProof w:val="0"/>
            <w:spacing w:val="-2"/>
            <w:rtl/>
            <w:lang w:val="en-US" w:eastAsia="zh-CN"/>
          </w:rPr>
          <w:t xml:space="preserve">نسخة من </w:t>
        </w:r>
        <w:r w:rsidRPr="008741C8">
          <w:rPr>
            <w:rStyle w:val="Hyperlink"/>
            <w:noProof w:val="0"/>
            <w:spacing w:val="-2"/>
            <w:rtl/>
            <w:lang w:val="en-US" w:eastAsia="zh-CN"/>
          </w:rPr>
          <w:t xml:space="preserve">تحدي الأمم المتحدة </w:t>
        </w:r>
        <w:proofErr w:type="spellStart"/>
        <w:r w:rsidRPr="008741C8">
          <w:rPr>
            <w:rStyle w:val="Hyperlink"/>
            <w:rFonts w:hint="cs"/>
            <w:noProof w:val="0"/>
            <w:spacing w:val="-2"/>
            <w:rtl/>
            <w:lang w:val="en-US" w:eastAsia="zh-CN"/>
          </w:rPr>
          <w:t>لل</w:t>
        </w:r>
        <w:r w:rsidRPr="008741C8">
          <w:rPr>
            <w:rStyle w:val="Hyperlink"/>
            <w:noProof w:val="0"/>
            <w:spacing w:val="-2"/>
            <w:rtl/>
            <w:lang w:val="en-US" w:eastAsia="zh-CN"/>
          </w:rPr>
          <w:t>سيتيفيرس</w:t>
        </w:r>
        <w:proofErr w:type="spellEnd"/>
      </w:hyperlink>
      <w:r w:rsidRPr="008741C8">
        <w:rPr>
          <w:spacing w:val="-2"/>
          <w:rtl/>
        </w:rPr>
        <w:t xml:space="preserve">، والذي </w:t>
      </w:r>
      <w:r w:rsidRPr="008741C8">
        <w:rPr>
          <w:rFonts w:hint="cs"/>
          <w:spacing w:val="-2"/>
          <w:rtl/>
        </w:rPr>
        <w:t>أُطلق</w:t>
      </w:r>
      <w:r w:rsidRPr="008741C8">
        <w:rPr>
          <w:spacing w:val="-2"/>
          <w:rtl/>
        </w:rPr>
        <w:t xml:space="preserve"> في فبراير 2025 ب</w:t>
      </w:r>
      <w:r w:rsidRPr="008741C8">
        <w:rPr>
          <w:rFonts w:hint="cs"/>
          <w:spacing w:val="-2"/>
          <w:rtl/>
        </w:rPr>
        <w:t>حضور</w:t>
      </w:r>
      <w:r w:rsidRPr="008741C8">
        <w:rPr>
          <w:spacing w:val="-2"/>
          <w:rtl/>
        </w:rPr>
        <w:t xml:space="preserve"> 15 شريكاً. واختتم التحدي بتطوير وتكريم حلول مبتكرة قائمة على </w:t>
      </w:r>
      <w:proofErr w:type="spellStart"/>
      <w:r w:rsidRPr="008741C8">
        <w:rPr>
          <w:rFonts w:hint="cs"/>
          <w:spacing w:val="-2"/>
          <w:rtl/>
        </w:rPr>
        <w:t>الس</w:t>
      </w:r>
      <w:r w:rsidRPr="008741C8">
        <w:rPr>
          <w:spacing w:val="-2"/>
          <w:rtl/>
        </w:rPr>
        <w:t>يتيفيرس</w:t>
      </w:r>
      <w:proofErr w:type="spellEnd"/>
      <w:r w:rsidRPr="008741C8">
        <w:rPr>
          <w:spacing w:val="-2"/>
          <w:rtl/>
        </w:rPr>
        <w:t xml:space="preserve"> </w:t>
      </w:r>
      <w:r w:rsidRPr="008741C8">
        <w:rPr>
          <w:rFonts w:hint="cs"/>
          <w:spacing w:val="-2"/>
          <w:rtl/>
        </w:rPr>
        <w:t>ومعنية بتقديم</w:t>
      </w:r>
      <w:r w:rsidRPr="008741C8">
        <w:rPr>
          <w:spacing w:val="-2"/>
          <w:rtl/>
        </w:rPr>
        <w:t xml:space="preserve"> الخدمات العامة، والاستدامة، والسياحة، </w:t>
      </w:r>
      <w:r w:rsidRPr="008741C8">
        <w:rPr>
          <w:rFonts w:hint="cs"/>
          <w:spacing w:val="-2"/>
          <w:rtl/>
        </w:rPr>
        <w:t>وسلط</w:t>
      </w:r>
      <w:r w:rsidRPr="008741C8">
        <w:rPr>
          <w:spacing w:val="-2"/>
          <w:rtl/>
        </w:rPr>
        <w:t xml:space="preserve"> الضوء على مسارات عملية للمدن للاستفادة من العوالم الافتراضية </w:t>
      </w:r>
      <w:r w:rsidRPr="008741C8">
        <w:rPr>
          <w:rFonts w:hint="cs"/>
          <w:spacing w:val="-2"/>
          <w:rtl/>
        </w:rPr>
        <w:t xml:space="preserve">بوصفها </w:t>
      </w:r>
      <w:r w:rsidRPr="008741C8">
        <w:rPr>
          <w:spacing w:val="-2"/>
          <w:rtl/>
        </w:rPr>
        <w:t xml:space="preserve">بنية تحتية رقمية عامة، وكرم فريق </w:t>
      </w:r>
      <w:proofErr w:type="spellStart"/>
      <w:r w:rsidRPr="008741C8">
        <w:rPr>
          <w:spacing w:val="-2"/>
          <w:lang w:val="en-GB" w:bidi="ar-EG"/>
        </w:rPr>
        <w:t>DataLab</w:t>
      </w:r>
      <w:proofErr w:type="spellEnd"/>
      <w:r w:rsidRPr="008741C8">
        <w:rPr>
          <w:spacing w:val="-2"/>
          <w:rtl/>
        </w:rPr>
        <w:t>، الفائز في</w:t>
      </w:r>
      <w:r w:rsidR="008741C8">
        <w:rPr>
          <w:rFonts w:hint="cs"/>
          <w:spacing w:val="-2"/>
          <w:rtl/>
        </w:rPr>
        <w:t> </w:t>
      </w:r>
      <w:r w:rsidRPr="008741C8">
        <w:rPr>
          <w:spacing w:val="-2"/>
          <w:rtl/>
        </w:rPr>
        <w:t xml:space="preserve">فئة الطلاب، لمساهمته المتميزة، وفريق </w:t>
      </w:r>
      <w:r w:rsidRPr="008741C8">
        <w:rPr>
          <w:spacing w:val="-2"/>
          <w:lang w:val="en-GB" w:bidi="ar-EG"/>
        </w:rPr>
        <w:t>WEO</w:t>
      </w:r>
      <w:r w:rsidRPr="008741C8">
        <w:rPr>
          <w:spacing w:val="-2"/>
          <w:rtl/>
        </w:rPr>
        <w:t>، الفائز في فئة الشركات الناشئة، لحله المبتكر والقابل للتطوير.</w:t>
      </w:r>
    </w:p>
    <w:p w14:paraId="4BDC3B3B" w14:textId="77777777" w:rsidR="00621959" w:rsidRPr="00621959" w:rsidRDefault="00621959" w:rsidP="008A5A1B">
      <w:pPr>
        <w:rPr>
          <w:lang w:val="en-GB" w:bidi="ar-EG"/>
        </w:rPr>
      </w:pPr>
      <w:r w:rsidRPr="00621959">
        <w:rPr>
          <w:rFonts w:hint="cs"/>
          <w:rtl/>
        </w:rPr>
        <w:t>وبالتوازي مع ذلك</w:t>
      </w:r>
      <w:r w:rsidRPr="00621959">
        <w:rPr>
          <w:rtl/>
        </w:rPr>
        <w:t>، نشر الاتحاد و16 وكالة تابعة للأمم المتحدة</w:t>
      </w:r>
      <w:r w:rsidRPr="00621959">
        <w:rPr>
          <w:u w:val="single"/>
          <w:rtl/>
        </w:rPr>
        <w:t xml:space="preserve"> </w:t>
      </w:r>
      <w:hyperlink r:id="rId236" w:anchor="p=1" w:history="1">
        <w:r w:rsidRPr="00621959">
          <w:rPr>
            <w:rStyle w:val="Hyperlink"/>
            <w:noProof w:val="0"/>
            <w:rtl/>
            <w:lang w:val="en-US" w:eastAsia="zh-CN"/>
          </w:rPr>
          <w:t xml:space="preserve">أول </w:t>
        </w:r>
        <w:r w:rsidRPr="00621959">
          <w:rPr>
            <w:rStyle w:val="Hyperlink"/>
            <w:rFonts w:hint="cs"/>
            <w:noProof w:val="0"/>
            <w:rtl/>
            <w:lang w:val="en-US" w:eastAsia="zh-CN"/>
          </w:rPr>
          <w:t>إحاطة</w:t>
        </w:r>
        <w:r w:rsidRPr="00621959">
          <w:rPr>
            <w:rStyle w:val="Hyperlink"/>
            <w:noProof w:val="0"/>
            <w:rtl/>
            <w:lang w:val="en-US" w:eastAsia="zh-CN"/>
          </w:rPr>
          <w:t xml:space="preserve"> تنفيذي</w:t>
        </w:r>
        <w:r w:rsidRPr="00621959">
          <w:rPr>
            <w:rStyle w:val="Hyperlink"/>
            <w:rFonts w:hint="cs"/>
            <w:noProof w:val="0"/>
            <w:rtl/>
            <w:lang w:val="en-US" w:eastAsia="zh-CN"/>
          </w:rPr>
          <w:t>ة</w:t>
        </w:r>
        <w:r w:rsidRPr="00621959">
          <w:rPr>
            <w:rStyle w:val="Hyperlink"/>
            <w:noProof w:val="0"/>
            <w:rtl/>
            <w:lang w:val="en-US" w:eastAsia="zh-CN"/>
          </w:rPr>
          <w:t xml:space="preserve"> للأمم المتحدة بشأن إطلاق العنان لإمكانات العوالم الافتراضية والميتافيرس </w:t>
        </w:r>
        <w:r w:rsidRPr="00621959">
          <w:rPr>
            <w:rStyle w:val="Hyperlink"/>
            <w:rFonts w:hint="cs"/>
            <w:noProof w:val="0"/>
            <w:rtl/>
            <w:lang w:val="en-US" w:eastAsia="zh-CN"/>
          </w:rPr>
          <w:t xml:space="preserve">من أجل </w:t>
        </w:r>
        <w:r w:rsidRPr="00621959">
          <w:rPr>
            <w:rStyle w:val="Hyperlink"/>
            <w:noProof w:val="0"/>
            <w:rtl/>
            <w:lang w:val="en-US" w:eastAsia="zh-CN"/>
          </w:rPr>
          <w:t>أهداف التنمية المستدامة</w:t>
        </w:r>
      </w:hyperlink>
      <w:r w:rsidRPr="00621959">
        <w:rPr>
          <w:rtl/>
        </w:rPr>
        <w:t xml:space="preserve"> في يونيو 2024، مسلطاً الضوء على تأثيرها التحويلي المحتمل ومؤكداً على الحاجة إلى معايير دولية وتنمية مسؤولة.</w:t>
      </w:r>
    </w:p>
    <w:p w14:paraId="5AD9316E" w14:textId="77777777" w:rsidR="00621959" w:rsidRPr="00621959" w:rsidRDefault="00621959" w:rsidP="008741C8">
      <w:pPr>
        <w:pStyle w:val="Headingb"/>
        <w:rPr>
          <w:lang w:val="en-GB" w:bidi="ar-EG"/>
        </w:rPr>
      </w:pPr>
      <w:r w:rsidRPr="00621959">
        <w:rPr>
          <w:rtl/>
        </w:rPr>
        <w:t>إنترنت الأشياء (</w:t>
      </w:r>
      <w:r w:rsidRPr="00621959">
        <w:rPr>
          <w:lang w:val="en-GB" w:bidi="ar-EG"/>
        </w:rPr>
        <w:t>IoT</w:t>
      </w:r>
      <w:r w:rsidRPr="00621959">
        <w:rPr>
          <w:rtl/>
        </w:rPr>
        <w:t>) والتوائم الرقمية والمدن الذكية المستدامة</w:t>
      </w:r>
    </w:p>
    <w:p w14:paraId="594A317C" w14:textId="074981F1" w:rsidR="00621959" w:rsidRPr="00621959" w:rsidRDefault="00621959" w:rsidP="008A5A1B">
      <w:pPr>
        <w:rPr>
          <w:lang w:val="en-GB" w:bidi="ar-EG"/>
        </w:rPr>
      </w:pPr>
      <w:r w:rsidRPr="00621959">
        <w:rPr>
          <w:noProof/>
          <w:lang w:val="en-GB" w:bidi="ar-EG"/>
        </w:rPr>
        <w:drawing>
          <wp:anchor distT="0" distB="0" distL="114300" distR="114300" simplePos="0" relativeHeight="251659264" behindDoc="0" locked="0" layoutInCell="1" allowOverlap="1" wp14:anchorId="53B78EAC" wp14:editId="3A26B185">
            <wp:simplePos x="0" y="0"/>
            <wp:positionH relativeFrom="column">
              <wp:posOffset>4605454</wp:posOffset>
            </wp:positionH>
            <wp:positionV relativeFrom="paragraph">
              <wp:posOffset>436207</wp:posOffset>
            </wp:positionV>
            <wp:extent cx="1149345" cy="1626873"/>
            <wp:effectExtent l="19050" t="19050" r="12705" b="11427"/>
            <wp:wrapSquare wrapText="bothSides"/>
            <wp:docPr id="634508962" name="Picture 2" descr="A cover of a boo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rcRect/>
                    <a:stretch>
                      <a:fillRect/>
                    </a:stretch>
                  </pic:blipFill>
                  <pic:spPr>
                    <a:xfrm>
                      <a:off x="0" y="0"/>
                      <a:ext cx="1149345" cy="1626873"/>
                    </a:xfrm>
                    <a:prstGeom prst="rect">
                      <a:avLst/>
                    </a:prstGeom>
                    <a:noFill/>
                    <a:ln w="3172">
                      <a:solidFill>
                        <a:srgbClr val="000000"/>
                      </a:solidFill>
                      <a:prstDash val="solid"/>
                    </a:ln>
                  </pic:spPr>
                </pic:pic>
              </a:graphicData>
            </a:graphic>
          </wp:anchor>
        </w:drawing>
      </w:r>
      <w:r w:rsidRPr="00621959">
        <w:rPr>
          <w:rtl/>
        </w:rPr>
        <w:t xml:space="preserve"> ظل العمل على </w:t>
      </w:r>
      <w:hyperlink r:id="rId238" w:history="1">
        <w:r w:rsidRPr="00621959">
          <w:rPr>
            <w:rStyle w:val="Hyperlink"/>
            <w:noProof w:val="0"/>
            <w:rtl/>
            <w:lang w:val="en-US" w:eastAsia="zh-CN"/>
          </w:rPr>
          <w:t>إنترنت الأشياء</w:t>
        </w:r>
      </w:hyperlink>
      <w:r w:rsidRPr="00621959">
        <w:rPr>
          <w:rtl/>
        </w:rPr>
        <w:t xml:space="preserve"> والتوائم الرقمية والمدن الذكية المستدامة محوراً أساسياً في </w:t>
      </w:r>
      <w:r w:rsidRPr="00621959">
        <w:rPr>
          <w:rFonts w:hint="cs"/>
          <w:rtl/>
        </w:rPr>
        <w:t>جدول أعمال</w:t>
      </w:r>
      <w:r w:rsidRPr="00621959">
        <w:rPr>
          <w:rtl/>
        </w:rPr>
        <w:t xml:space="preserve"> الاتحاد للتكنولوجيات الناشئة. وواصلت </w:t>
      </w:r>
      <w:hyperlink r:id="rId239" w:anchor="/ar" w:history="1">
        <w:r w:rsidRPr="00621959">
          <w:rPr>
            <w:rStyle w:val="Hyperlink"/>
            <w:rFonts w:hint="cs"/>
            <w:noProof w:val="0"/>
            <w:rtl/>
            <w:lang w:val="en-US" w:eastAsia="zh-CN"/>
          </w:rPr>
          <w:t>لجنة الدراسات 20</w:t>
        </w:r>
        <w:r w:rsidRPr="00621959">
          <w:rPr>
            <w:rStyle w:val="Hyperlink"/>
            <w:noProof w:val="0"/>
            <w:rtl/>
            <w:lang w:val="en-US" w:eastAsia="zh-CN"/>
          </w:rPr>
          <w:t xml:space="preserve"> </w:t>
        </w:r>
        <w:r w:rsidRPr="00621959">
          <w:rPr>
            <w:rStyle w:val="Hyperlink"/>
            <w:rFonts w:hint="cs"/>
            <w:noProof w:val="0"/>
            <w:rtl/>
            <w:lang w:val="en-US" w:eastAsia="zh-CN"/>
          </w:rPr>
          <w:t xml:space="preserve">لقطاع </w:t>
        </w:r>
        <w:r w:rsidRPr="00621959">
          <w:rPr>
            <w:rStyle w:val="Hyperlink"/>
            <w:noProof w:val="0"/>
            <w:rtl/>
            <w:lang w:val="en-US" w:eastAsia="zh-CN"/>
          </w:rPr>
          <w:t>تقييس الاتصالات</w:t>
        </w:r>
      </w:hyperlink>
      <w:r w:rsidRPr="00621959">
        <w:rPr>
          <w:rtl/>
        </w:rPr>
        <w:t xml:space="preserve"> وضع معايير عالمية لتكنولوجيات إنترنت الأشياء القابلة للتشغيل البيني، و</w:t>
      </w:r>
      <w:r w:rsidRPr="00621959">
        <w:rPr>
          <w:rFonts w:hint="cs"/>
          <w:rtl/>
        </w:rPr>
        <w:t>ال</w:t>
      </w:r>
      <w:r w:rsidRPr="00621959">
        <w:rPr>
          <w:rtl/>
        </w:rPr>
        <w:t xml:space="preserve">أنظمة </w:t>
      </w:r>
      <w:r w:rsidRPr="00621959">
        <w:rPr>
          <w:rFonts w:hint="cs"/>
          <w:rtl/>
        </w:rPr>
        <w:t>الإيكولوجية ل</w:t>
      </w:r>
      <w:r w:rsidRPr="00621959">
        <w:rPr>
          <w:rtl/>
        </w:rPr>
        <w:t>لبيانات الضخمة، والتحول الرقمي من أجل مدن ومجتمعات ذكية ومستدامة. وتدعم هذه الجهود الابتكار على مستوى المدن، و</w:t>
      </w:r>
      <w:r w:rsidRPr="00621959">
        <w:rPr>
          <w:rFonts w:hint="cs"/>
          <w:rtl/>
        </w:rPr>
        <w:t>ال</w:t>
      </w:r>
      <w:r w:rsidRPr="00621959">
        <w:rPr>
          <w:rtl/>
        </w:rPr>
        <w:t xml:space="preserve">تدفق الآمن </w:t>
      </w:r>
      <w:r w:rsidRPr="00621959">
        <w:rPr>
          <w:rFonts w:hint="cs"/>
          <w:rtl/>
        </w:rPr>
        <w:t>ل</w:t>
      </w:r>
      <w:r w:rsidRPr="00621959">
        <w:rPr>
          <w:rtl/>
        </w:rPr>
        <w:t>لبيانات، وكفاءة الأنظمة الحضرية.</w:t>
      </w:r>
    </w:p>
    <w:p w14:paraId="5FB1A52D" w14:textId="77777777" w:rsidR="0089560B" w:rsidRDefault="00621959" w:rsidP="008A5A1B">
      <w:pPr>
        <w:rPr>
          <w:rtl/>
        </w:rPr>
      </w:pPr>
      <w:r w:rsidRPr="00621959">
        <w:rPr>
          <w:rtl/>
        </w:rPr>
        <w:t xml:space="preserve">انظر أيضاً </w:t>
      </w:r>
      <w:hyperlink r:id="rId240" w:anchor="/ar" w:history="1">
        <w:r w:rsidRPr="00621959">
          <w:rPr>
            <w:rStyle w:val="Hyperlink"/>
            <w:noProof w:val="0"/>
            <w:rtl/>
            <w:lang w:val="en-US" w:eastAsia="zh-CN"/>
          </w:rPr>
          <w:t xml:space="preserve">الصفحة </w:t>
        </w:r>
        <w:r w:rsidRPr="00621959">
          <w:rPr>
            <w:rStyle w:val="Hyperlink"/>
            <w:rFonts w:hint="cs"/>
            <w:noProof w:val="0"/>
            <w:rtl/>
            <w:lang w:val="en-US" w:eastAsia="zh-CN"/>
          </w:rPr>
          <w:t>الإلكترونية</w:t>
        </w:r>
        <w:r w:rsidRPr="00621959">
          <w:rPr>
            <w:rStyle w:val="Hyperlink"/>
            <w:noProof w:val="0"/>
            <w:rtl/>
            <w:lang w:val="en-US" w:eastAsia="zh-CN"/>
          </w:rPr>
          <w:t xml:space="preserve"> ل</w:t>
        </w:r>
        <w:r w:rsidRPr="00621959">
          <w:rPr>
            <w:rStyle w:val="Hyperlink"/>
            <w:rFonts w:hint="cs"/>
            <w:noProof w:val="0"/>
            <w:rtl/>
            <w:lang w:val="en-US" w:eastAsia="zh-CN"/>
          </w:rPr>
          <w:t xml:space="preserve">لجنة الدراسات 20 لقطاع </w:t>
        </w:r>
        <w:r w:rsidRPr="00621959">
          <w:rPr>
            <w:rStyle w:val="Hyperlink"/>
            <w:noProof w:val="0"/>
            <w:rtl/>
            <w:lang w:val="en-US" w:eastAsia="zh-CN"/>
          </w:rPr>
          <w:t>تقييس الاتصالات</w:t>
        </w:r>
      </w:hyperlink>
      <w:r w:rsidRPr="00621959">
        <w:rPr>
          <w:rtl/>
        </w:rPr>
        <w:t xml:space="preserve"> و</w:t>
      </w:r>
      <w:hyperlink r:id="rId241" w:history="1">
        <w:r w:rsidRPr="00621959">
          <w:rPr>
            <w:rStyle w:val="Hyperlink"/>
            <w:noProof w:val="0"/>
            <w:rtl/>
            <w:lang w:val="en-US" w:eastAsia="zh-CN"/>
          </w:rPr>
          <w:t>قائمة التوصيات</w:t>
        </w:r>
      </w:hyperlink>
      <w:r w:rsidRPr="00621959">
        <w:rPr>
          <w:rtl/>
        </w:rPr>
        <w:t>.</w:t>
      </w:r>
    </w:p>
    <w:p w14:paraId="12974B67" w14:textId="1E4888B7" w:rsidR="00621959" w:rsidRPr="00621959" w:rsidRDefault="00621959" w:rsidP="008A5A1B">
      <w:pPr>
        <w:rPr>
          <w:lang w:val="en-GB" w:bidi="ar-EG"/>
        </w:rPr>
      </w:pPr>
      <w:r w:rsidRPr="00621959">
        <w:rPr>
          <w:rFonts w:hint="cs"/>
          <w:rtl/>
        </w:rPr>
        <w:t xml:space="preserve">وتستكمل </w:t>
      </w:r>
      <w:hyperlink r:id="rId242" w:anchor="/ar" w:history="1">
        <w:r w:rsidRPr="00621959">
          <w:rPr>
            <w:rStyle w:val="Hyperlink"/>
            <w:noProof w:val="0"/>
            <w:rtl/>
            <w:lang w:val="en-US" w:eastAsia="zh-CN"/>
          </w:rPr>
          <w:t xml:space="preserve">مبادرة </w:t>
        </w:r>
        <w:r w:rsidRPr="00621959">
          <w:rPr>
            <w:rStyle w:val="Hyperlink"/>
            <w:noProof w:val="0"/>
            <w:lang w:eastAsia="zh-CN" w:bidi="ar-EG"/>
          </w:rPr>
          <w:t>U4SSC</w:t>
        </w:r>
      </w:hyperlink>
      <w:r w:rsidRPr="00621959">
        <w:rPr>
          <w:rtl/>
        </w:rPr>
        <w:t xml:space="preserve"> هذا العمل من خلال دعم البنية التحتية الرقمية العامة، ومنصات المدن، والتحول الرقمي الأوسع في المدن التي تتمحور </w:t>
      </w:r>
      <w:r w:rsidRPr="00621959">
        <w:rPr>
          <w:rFonts w:hint="cs"/>
          <w:rtl/>
        </w:rPr>
        <w:t>حول</w:t>
      </w:r>
      <w:r w:rsidRPr="00621959">
        <w:rPr>
          <w:rtl/>
        </w:rPr>
        <w:t xml:space="preserve"> الإنسان. ومن خلال أدواتها وأطرها </w:t>
      </w:r>
      <w:r w:rsidRPr="00621959">
        <w:rPr>
          <w:rFonts w:hint="cs"/>
          <w:rtl/>
        </w:rPr>
        <w:t>وأفرقتها العاملة</w:t>
      </w:r>
      <w:r w:rsidRPr="00621959">
        <w:rPr>
          <w:rtl/>
        </w:rPr>
        <w:t xml:space="preserve"> المتخصصة، تقدم</w:t>
      </w:r>
      <w:r w:rsidRPr="00621959">
        <w:rPr>
          <w:rFonts w:hint="cs"/>
          <w:rtl/>
        </w:rPr>
        <w:t xml:space="preserve"> مبادرة</w:t>
      </w:r>
      <w:r w:rsidRPr="00621959">
        <w:rPr>
          <w:rtl/>
        </w:rPr>
        <w:t xml:space="preserve"> </w:t>
      </w:r>
      <w:r w:rsidRPr="00621959">
        <w:rPr>
          <w:lang w:val="en-GB" w:bidi="ar-EG"/>
        </w:rPr>
        <w:t>U4SSC</w:t>
      </w:r>
      <w:r w:rsidRPr="00621959">
        <w:rPr>
          <w:rtl/>
        </w:rPr>
        <w:t xml:space="preserve"> إرشادات عملية لمساعدة المدن على تطبيق حلول رقمية قائمة على المعايير، وقابلة للتشغيل البيني، وشاملة، </w:t>
      </w:r>
      <w:r w:rsidRPr="00621959">
        <w:rPr>
          <w:rFonts w:hint="cs"/>
          <w:rtl/>
        </w:rPr>
        <w:t>تنهض ب</w:t>
      </w:r>
      <w:r w:rsidRPr="00621959">
        <w:rPr>
          <w:rtl/>
        </w:rPr>
        <w:t>الاستدامة وال</w:t>
      </w:r>
      <w:r w:rsidRPr="00621959">
        <w:rPr>
          <w:rFonts w:hint="cs"/>
          <w:rtl/>
        </w:rPr>
        <w:t>قدرة على الصمود</w:t>
      </w:r>
      <w:r w:rsidRPr="00621959">
        <w:rPr>
          <w:rtl/>
        </w:rPr>
        <w:t xml:space="preserve"> والخدمات الحضرية التي تركز على المواطن.</w:t>
      </w:r>
    </w:p>
    <w:p w14:paraId="51347958" w14:textId="7691FAAA" w:rsidR="00621959" w:rsidRPr="00621959" w:rsidRDefault="00621959" w:rsidP="008A5A1B">
      <w:pPr>
        <w:rPr>
          <w:lang w:val="en-GB" w:bidi="ar-EG"/>
        </w:rPr>
      </w:pPr>
      <w:r w:rsidRPr="00621959">
        <w:rPr>
          <w:noProof/>
          <w:lang w:val="en-GB" w:bidi="ar-EG"/>
        </w:rPr>
        <w:drawing>
          <wp:anchor distT="0" distB="0" distL="114300" distR="114300" simplePos="0" relativeHeight="251660288" behindDoc="0" locked="0" layoutInCell="1" allowOverlap="1" wp14:anchorId="661D9114" wp14:editId="539B45A9">
            <wp:simplePos x="0" y="0"/>
            <wp:positionH relativeFrom="column">
              <wp:posOffset>-10160</wp:posOffset>
            </wp:positionH>
            <wp:positionV relativeFrom="paragraph">
              <wp:posOffset>69850</wp:posOffset>
            </wp:positionV>
            <wp:extent cx="2660015" cy="1442085"/>
            <wp:effectExtent l="0" t="0" r="6985" b="5715"/>
            <wp:wrapSquare wrapText="bothSides"/>
            <wp:docPr id="1125331832" name="Picture 1" descr="A screenshot of a cellpho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2660015" cy="1442085"/>
                    </a:xfrm>
                    <a:prstGeom prst="rect">
                      <a:avLst/>
                    </a:prstGeom>
                    <a:noFill/>
                    <a:ln>
                      <a:noFill/>
                      <a:prstDash/>
                    </a:ln>
                  </pic:spPr>
                </pic:pic>
              </a:graphicData>
            </a:graphic>
          </wp:anchor>
        </w:drawing>
      </w:r>
      <w:r w:rsidRPr="00621959">
        <w:rPr>
          <w:rFonts w:hint="cs"/>
          <w:rtl/>
        </w:rPr>
        <w:t>و</w:t>
      </w:r>
      <w:r w:rsidRPr="00621959">
        <w:rPr>
          <w:rtl/>
        </w:rPr>
        <w:t xml:space="preserve">دعماً للتحول الرقمي الذي </w:t>
      </w:r>
      <w:r w:rsidRPr="00621959">
        <w:rPr>
          <w:rFonts w:hint="cs"/>
          <w:rtl/>
        </w:rPr>
        <w:t>ي</w:t>
      </w:r>
      <w:r w:rsidRPr="00621959">
        <w:rPr>
          <w:rtl/>
        </w:rPr>
        <w:t xml:space="preserve">تمحور </w:t>
      </w:r>
      <w:r w:rsidRPr="00621959">
        <w:rPr>
          <w:rFonts w:hint="cs"/>
          <w:rtl/>
        </w:rPr>
        <w:t>حول</w:t>
      </w:r>
      <w:r w:rsidRPr="00621959">
        <w:rPr>
          <w:rtl/>
        </w:rPr>
        <w:t xml:space="preserve"> الإنسان، قام الاتحاد، بالتعاون مع 11 كياناً تابعاً للأمم المتحدة،</w:t>
      </w:r>
      <w:r w:rsidRPr="00621959">
        <w:rPr>
          <w:rFonts w:hint="cs"/>
          <w:rtl/>
        </w:rPr>
        <w:t xml:space="preserve"> بوضع </w:t>
      </w:r>
      <w:r w:rsidRPr="00621959">
        <w:rPr>
          <w:u w:val="single"/>
          <w:rtl/>
        </w:rPr>
        <w:t>م</w:t>
      </w:r>
      <w:hyperlink r:id="rId244" w:anchor="/ar" w:history="1">
        <w:r w:rsidRPr="00621959">
          <w:rPr>
            <w:rStyle w:val="Hyperlink"/>
            <w:noProof w:val="0"/>
            <w:rtl/>
            <w:lang w:val="en-US" w:eastAsia="zh-CN"/>
          </w:rPr>
          <w:t>جموعة أدوات بشأن التحول الرقمي للمدن والمجتمعات التي تركز على الإنسان</w:t>
        </w:r>
      </w:hyperlink>
      <w:r w:rsidRPr="00621959">
        <w:rPr>
          <w:rtl/>
        </w:rPr>
        <w:t xml:space="preserve"> لمساعدة المدن والسلطات المحلية في مواكبة التغيير الرقمي. وتجمع مجموعة الأدوات بين المعايير والإرشادات الدولية، وأحدث الأبحاث والتوقعات، والتقارير الرائدة بشأن مجموعة من المواضيع الآنية ذات الصلة بالتحول الرقمي للمدن والمجتمعات.</w:t>
      </w:r>
    </w:p>
    <w:p w14:paraId="65201762" w14:textId="05025E8D" w:rsidR="00621959" w:rsidRPr="00F41161" w:rsidRDefault="00621959" w:rsidP="008741C8">
      <w:pPr>
        <w:keepLines/>
        <w:rPr>
          <w:spacing w:val="-2"/>
          <w:lang w:val="en-GB" w:bidi="ar-EG"/>
        </w:rPr>
      </w:pPr>
      <w:r w:rsidRPr="00F41161">
        <w:rPr>
          <w:spacing w:val="-2"/>
          <w:rtl/>
        </w:rPr>
        <w:t>وعقد الاتحاد، بالتعاون مع منظمات أخرى ووكالات تابعة للأمم المتحدة،</w:t>
      </w:r>
      <w:r w:rsidRPr="00F41161">
        <w:rPr>
          <w:rFonts w:hint="cs"/>
          <w:spacing w:val="-2"/>
          <w:rtl/>
        </w:rPr>
        <w:t xml:space="preserve"> سلسلة</w:t>
      </w:r>
      <w:r w:rsidRPr="00F41161">
        <w:rPr>
          <w:spacing w:val="-2"/>
          <w:rtl/>
        </w:rPr>
        <w:t xml:space="preserve"> </w:t>
      </w:r>
      <w:hyperlink r:id="rId245" w:anchor="/ar" w:history="1">
        <w:r w:rsidRPr="00F41161">
          <w:rPr>
            <w:rStyle w:val="Hyperlink"/>
            <w:noProof w:val="0"/>
            <w:spacing w:val="-2"/>
            <w:rtl/>
            <w:lang w:val="en-US" w:eastAsia="zh-CN"/>
          </w:rPr>
          <w:t>حوارات التحول الرقمي (</w:t>
        </w:r>
        <w:r w:rsidRPr="00F41161">
          <w:rPr>
            <w:rStyle w:val="Hyperlink"/>
            <w:noProof w:val="0"/>
            <w:spacing w:val="-2"/>
            <w:lang w:eastAsia="zh-CN" w:bidi="ar-EG"/>
          </w:rPr>
          <w:t>DTD</w:t>
        </w:r>
        <w:r w:rsidRPr="00F41161">
          <w:rPr>
            <w:rStyle w:val="Hyperlink"/>
            <w:noProof w:val="0"/>
            <w:spacing w:val="-2"/>
            <w:rtl/>
            <w:lang w:val="en-US" w:eastAsia="zh-CN"/>
          </w:rPr>
          <w:t>)</w:t>
        </w:r>
      </w:hyperlink>
      <w:r w:rsidRPr="00F41161">
        <w:rPr>
          <w:spacing w:val="-2"/>
          <w:rtl/>
        </w:rPr>
        <w:t>، وهي منصة تهدف إلى تعميق فهم كيف</w:t>
      </w:r>
      <w:r w:rsidRPr="00F41161">
        <w:rPr>
          <w:rFonts w:hint="cs"/>
          <w:spacing w:val="-2"/>
          <w:rtl/>
        </w:rPr>
        <w:t xml:space="preserve"> يمكن ل</w:t>
      </w:r>
      <w:r w:rsidRPr="00F41161">
        <w:rPr>
          <w:spacing w:val="-2"/>
          <w:rtl/>
        </w:rPr>
        <w:t xml:space="preserve">لتكنولوجيات الناشئة </w:t>
      </w:r>
      <w:r w:rsidRPr="00F41161">
        <w:rPr>
          <w:rFonts w:hint="cs"/>
          <w:spacing w:val="-2"/>
          <w:rtl/>
        </w:rPr>
        <w:t>أن تعيد</w:t>
      </w:r>
      <w:r w:rsidRPr="00F41161">
        <w:rPr>
          <w:spacing w:val="-2"/>
          <w:rtl/>
        </w:rPr>
        <w:t xml:space="preserve"> تشكيل العمليات التقليدية، وتحسن الكفاءة التشغيلية، و</w:t>
      </w:r>
      <w:r w:rsidRPr="00F41161">
        <w:rPr>
          <w:rFonts w:hint="cs"/>
          <w:spacing w:val="-2"/>
          <w:rtl/>
        </w:rPr>
        <w:t>تتيح</w:t>
      </w:r>
      <w:r w:rsidRPr="00F41161">
        <w:rPr>
          <w:spacing w:val="-2"/>
          <w:rtl/>
        </w:rPr>
        <w:t xml:space="preserve"> فرص</w:t>
      </w:r>
      <w:r w:rsidRPr="00F41161">
        <w:rPr>
          <w:rFonts w:hint="cs"/>
          <w:spacing w:val="-2"/>
          <w:rtl/>
        </w:rPr>
        <w:t>اً</w:t>
      </w:r>
      <w:r w:rsidRPr="00F41161">
        <w:rPr>
          <w:spacing w:val="-2"/>
          <w:rtl/>
        </w:rPr>
        <w:t xml:space="preserve"> جديدة للابتكار والتقييس. وتتناول هذه الحوارات مواضيع التحول الرقمي المتطورة، وتعزز التعاون بين أصحاب المصلحة في المدن، وتدرس دور المعايير الدولية في هذا المجال. ومن خلال </w:t>
      </w:r>
      <w:r w:rsidRPr="00F41161">
        <w:rPr>
          <w:rFonts w:hint="cs"/>
          <w:spacing w:val="-2"/>
          <w:rtl/>
        </w:rPr>
        <w:t>الحلقات الدراسية الإلكترونية</w:t>
      </w:r>
      <w:r w:rsidRPr="00F41161">
        <w:rPr>
          <w:spacing w:val="-2"/>
          <w:rtl/>
        </w:rPr>
        <w:t xml:space="preserve">، وجلسات </w:t>
      </w:r>
      <w:r w:rsidRPr="00F41161">
        <w:rPr>
          <w:rFonts w:hint="cs"/>
          <w:spacing w:val="-2"/>
          <w:rtl/>
        </w:rPr>
        <w:t>دردشة غير رسمية</w:t>
      </w:r>
      <w:r w:rsidRPr="00F41161">
        <w:rPr>
          <w:spacing w:val="-2"/>
          <w:rtl/>
        </w:rPr>
        <w:t>، وجلسات "اسأل الخب</w:t>
      </w:r>
      <w:r w:rsidRPr="00F41161">
        <w:rPr>
          <w:rFonts w:hint="cs"/>
          <w:spacing w:val="-2"/>
          <w:rtl/>
        </w:rPr>
        <w:t>راء</w:t>
      </w:r>
      <w:r w:rsidRPr="00F41161">
        <w:rPr>
          <w:spacing w:val="-2"/>
          <w:rtl/>
        </w:rPr>
        <w:t xml:space="preserve">"، تسلط حوارات التحول الرقمي الضوء على أحدث أعمال </w:t>
      </w:r>
      <w:r w:rsidR="00FB505F">
        <w:rPr>
          <w:rFonts w:hint="cs"/>
          <w:spacing w:val="-2"/>
          <w:rtl/>
        </w:rPr>
        <w:t>ونواتج</w:t>
      </w:r>
      <w:r w:rsidRPr="00F41161">
        <w:rPr>
          <w:spacing w:val="-2"/>
          <w:rtl/>
        </w:rPr>
        <w:t xml:space="preserve"> الأفرقة المتخصصة التابعة لقطاع تقييس الاتصالات والمبادرات ولجان الدراسات التابعة لقطاع تقييس الاتصالات.</w:t>
      </w:r>
    </w:p>
    <w:p w14:paraId="1B2DF274" w14:textId="5099E338" w:rsidR="00621959" w:rsidRPr="00621959" w:rsidRDefault="00621959" w:rsidP="008A5A1B">
      <w:pPr>
        <w:rPr>
          <w:rtl/>
        </w:rPr>
      </w:pPr>
      <w:r w:rsidRPr="00621959">
        <w:rPr>
          <w:rFonts w:hint="cs"/>
          <w:rtl/>
        </w:rPr>
        <w:t>و</w:t>
      </w:r>
      <w:r w:rsidRPr="00621959">
        <w:rPr>
          <w:rtl/>
        </w:rPr>
        <w:t xml:space="preserve">يتم تعزيز نشر المعرفة في هذا المجال بشكل أكبر من خلال النشر المنتظم </w:t>
      </w:r>
      <w:hyperlink r:id="rId246" w:anchor="/ar" w:history="1">
        <w:r w:rsidRPr="00621959">
          <w:rPr>
            <w:rStyle w:val="Hyperlink"/>
            <w:noProof w:val="0"/>
            <w:rtl/>
            <w:lang w:val="en-US" w:eastAsia="zh-CN"/>
          </w:rPr>
          <w:t>لملخص التحول الرقمي والمدن</w:t>
        </w:r>
      </w:hyperlink>
      <w:r w:rsidRPr="00621959">
        <w:rPr>
          <w:rtl/>
        </w:rPr>
        <w:t xml:space="preserve">، والذي يجمع </w:t>
      </w:r>
      <w:r w:rsidRPr="00621959">
        <w:rPr>
          <w:rFonts w:hint="cs"/>
          <w:rtl/>
        </w:rPr>
        <w:t>الرؤى</w:t>
      </w:r>
      <w:r w:rsidRPr="00621959">
        <w:rPr>
          <w:rtl/>
        </w:rPr>
        <w:t xml:space="preserve"> والاتجاهات والتطورات المتعلقة بالتحول الرقمي والمدن الذكية، ويتم إتاحته للجمهور من خلال منصة مخصصة عبر الإنترنت.</w:t>
      </w:r>
    </w:p>
    <w:p w14:paraId="4CBB1C8A" w14:textId="77777777" w:rsidR="00621959" w:rsidRPr="00F41161" w:rsidRDefault="00621959" w:rsidP="00F41161">
      <w:pPr>
        <w:pStyle w:val="Heading2"/>
        <w:rPr>
          <w:lang w:val="en-GB" w:bidi="ar-EG"/>
        </w:rPr>
      </w:pPr>
      <w:bookmarkStart w:id="76" w:name="_Toc227252590"/>
      <w:r w:rsidRPr="00F41161">
        <w:rPr>
          <w:rtl/>
        </w:rPr>
        <w:t>5.4</w:t>
      </w:r>
      <w:r w:rsidRPr="00F41161">
        <w:rPr>
          <w:rtl/>
        </w:rPr>
        <w:tab/>
        <w:t>توفير البيانات والإحصاءات</w:t>
      </w:r>
      <w:bookmarkEnd w:id="76"/>
    </w:p>
    <w:p w14:paraId="4142B027" w14:textId="1DE7AC84" w:rsidR="00621959" w:rsidRPr="00621959" w:rsidRDefault="00621959" w:rsidP="008A5A1B">
      <w:pPr>
        <w:rPr>
          <w:lang w:val="en-GB" w:bidi="ar-EG"/>
        </w:rPr>
      </w:pPr>
      <w:r w:rsidRPr="00621959">
        <w:rPr>
          <w:rtl/>
        </w:rPr>
        <w:t xml:space="preserve">يقود الاتحاد </w:t>
      </w:r>
      <w:r w:rsidRPr="00621959">
        <w:rPr>
          <w:rFonts w:hint="cs"/>
          <w:rtl/>
        </w:rPr>
        <w:t>جدول الأعمال العالمي بشأن</w:t>
      </w:r>
      <w:r w:rsidRPr="00621959">
        <w:rPr>
          <w:rtl/>
        </w:rPr>
        <w:t xml:space="preserve"> إحصاءات تكنولوجيا المعلومات والاتصالات، موفراً قاعدة الأدلة اللازمة للتوصيلية الشاملة و</w:t>
      </w:r>
      <w:r w:rsidRPr="00621959">
        <w:rPr>
          <w:rFonts w:hint="cs"/>
          <w:rtl/>
        </w:rPr>
        <w:t>الهادفة</w:t>
      </w:r>
      <w:r w:rsidRPr="00621959">
        <w:rPr>
          <w:rtl/>
        </w:rPr>
        <w:t xml:space="preserve"> والتحول الرقمي المستدام. وتشمل أنشطته الإحصائية دورة حياة البيانات بأكملها، حيث </w:t>
      </w:r>
      <w:r w:rsidRPr="00621959">
        <w:rPr>
          <w:rFonts w:hint="cs"/>
          <w:rtl/>
        </w:rPr>
        <w:t>ت</w:t>
      </w:r>
      <w:r w:rsidRPr="00621959">
        <w:rPr>
          <w:rtl/>
        </w:rPr>
        <w:t xml:space="preserve">تولى </w:t>
      </w:r>
      <w:hyperlink r:id="rId247" w:history="1">
        <w:r w:rsidRPr="00621959">
          <w:rPr>
            <w:rStyle w:val="Hyperlink"/>
            <w:noProof w:val="0"/>
            <w:rtl/>
            <w:lang w:val="en-US" w:eastAsia="zh-CN"/>
          </w:rPr>
          <w:t>شعبة بيانات وتحليلات تكنولوجيا المعلومات والاتصالات</w:t>
        </w:r>
      </w:hyperlink>
      <w:r w:rsidRPr="00621959">
        <w:rPr>
          <w:rtl/>
        </w:rPr>
        <w:t>، التابع</w:t>
      </w:r>
      <w:r w:rsidRPr="00621959">
        <w:rPr>
          <w:rFonts w:hint="cs"/>
          <w:rtl/>
        </w:rPr>
        <w:t>ة</w:t>
      </w:r>
      <w:r w:rsidRPr="00621959">
        <w:rPr>
          <w:rtl/>
        </w:rPr>
        <w:t xml:space="preserve"> </w:t>
      </w:r>
      <w:r w:rsidRPr="00621959">
        <w:rPr>
          <w:rFonts w:hint="cs"/>
          <w:rtl/>
        </w:rPr>
        <w:t>لدائرة</w:t>
      </w:r>
      <w:r w:rsidRPr="00621959">
        <w:rPr>
          <w:rtl/>
        </w:rPr>
        <w:t xml:space="preserve"> مجتمع المعرفة الرقمية في قطاع تنمية الاتصالات، تنفيذ معظم هذا العمل.</w:t>
      </w:r>
    </w:p>
    <w:p w14:paraId="366C8FBA" w14:textId="389FD322" w:rsidR="00621959" w:rsidRPr="00F41161" w:rsidRDefault="00F41161" w:rsidP="00F41161">
      <w:pPr>
        <w:pStyle w:val="enumlev1"/>
        <w:rPr>
          <w:lang w:val="en-GB" w:bidi="ar-EG"/>
        </w:rPr>
      </w:pPr>
      <w:r w:rsidRPr="00F41161">
        <w:sym w:font="Wingdings 2" w:char="F097"/>
      </w:r>
      <w:r w:rsidRPr="00F41161">
        <w:tab/>
      </w:r>
      <w:r w:rsidR="00621959" w:rsidRPr="00F41161">
        <w:rPr>
          <w:b/>
          <w:bCs/>
          <w:rtl/>
        </w:rPr>
        <w:t>المعايير الإحصائية:</w:t>
      </w:r>
      <w:r w:rsidR="00621959" w:rsidRPr="00F41161">
        <w:rPr>
          <w:rtl/>
        </w:rPr>
        <w:t xml:space="preserve"> يحدد الاتحاد</w:t>
      </w:r>
      <w:r w:rsidR="00621959" w:rsidRPr="00F41161">
        <w:rPr>
          <w:rFonts w:hint="cs"/>
          <w:rtl/>
        </w:rPr>
        <w:t xml:space="preserve"> ويحدث</w:t>
      </w:r>
      <w:r w:rsidR="00621959" w:rsidRPr="00F41161">
        <w:rPr>
          <w:rtl/>
        </w:rPr>
        <w:t xml:space="preserve"> </w:t>
      </w:r>
      <w:hyperlink r:id="rId248" w:history="1">
        <w:r w:rsidR="00621959" w:rsidRPr="00972572">
          <w:rPr>
            <w:rStyle w:val="Hyperlink"/>
            <w:noProof w:val="0"/>
            <w:rtl/>
            <w:lang w:val="en-US" w:eastAsia="zh-CN"/>
          </w:rPr>
          <w:t>المعايير الإحصائية</w:t>
        </w:r>
      </w:hyperlink>
      <w:r w:rsidR="00621959" w:rsidRPr="00F41161">
        <w:rPr>
          <w:rtl/>
        </w:rPr>
        <w:t xml:space="preserve"> الدولية لمؤشرات تكنولوجيا المعلومات والاتصالات من خلال فريق الخبراء المعني بمؤشرات الاتصالات/تكنولوجيا المعلومات والاتصالات (</w:t>
      </w:r>
      <w:r w:rsidR="00621959" w:rsidRPr="00F41161">
        <w:rPr>
          <w:lang w:val="en-GB" w:bidi="ar-EG"/>
        </w:rPr>
        <w:t>EGTI</w:t>
      </w:r>
      <w:r w:rsidR="00621959" w:rsidRPr="00F41161">
        <w:rPr>
          <w:rtl/>
        </w:rPr>
        <w:t>) وفريق الخبراء المعني بالمؤشرات الأسرية لتكنولوجيا المعلومات والاتصالات (</w:t>
      </w:r>
      <w:r w:rsidR="00621959" w:rsidRPr="00F41161">
        <w:rPr>
          <w:lang w:val="en-GB" w:bidi="ar-EG"/>
        </w:rPr>
        <w:t>EGH</w:t>
      </w:r>
      <w:r w:rsidR="00621959" w:rsidRPr="00F41161">
        <w:rPr>
          <w:rtl/>
        </w:rPr>
        <w:t>).</w:t>
      </w:r>
    </w:p>
    <w:p w14:paraId="7DD297F3" w14:textId="75BC4ADB" w:rsidR="00621959" w:rsidRPr="00F41161" w:rsidRDefault="00F41161" w:rsidP="00F41161">
      <w:pPr>
        <w:pStyle w:val="enumlev1"/>
        <w:rPr>
          <w:lang w:val="en-GB" w:bidi="ar-EG"/>
        </w:rPr>
      </w:pPr>
      <w:r w:rsidRPr="00F41161">
        <w:sym w:font="Wingdings 2" w:char="F097"/>
      </w:r>
      <w:r w:rsidRPr="00F41161">
        <w:tab/>
      </w:r>
      <w:r w:rsidR="00621959" w:rsidRPr="00F41161">
        <w:rPr>
          <w:b/>
          <w:bCs/>
          <w:rtl/>
        </w:rPr>
        <w:t>جمع البيانات ونشرها:</w:t>
      </w:r>
      <w:r w:rsidR="00621959" w:rsidRPr="00F41161">
        <w:rPr>
          <w:rtl/>
        </w:rPr>
        <w:t xml:space="preserve"> يجمع الاتحاد إحصاءات لمئات من مؤشرات تكنولوجيا المعلومات والاتصالات، استناداً إلى بيانات ج</w:t>
      </w:r>
      <w:r w:rsidR="00621959" w:rsidRPr="00F41161">
        <w:rPr>
          <w:rFonts w:hint="cs"/>
          <w:rtl/>
        </w:rPr>
        <w:t>ُ</w:t>
      </w:r>
      <w:r w:rsidR="00621959" w:rsidRPr="00F41161">
        <w:rPr>
          <w:rtl/>
        </w:rPr>
        <w:t xml:space="preserve">معت من أكثر من 200 اقتصاد؛ </w:t>
      </w:r>
      <w:r w:rsidR="00621959" w:rsidRPr="00F41161">
        <w:rPr>
          <w:rFonts w:hint="cs"/>
          <w:rtl/>
        </w:rPr>
        <w:t>ويحسب</w:t>
      </w:r>
      <w:r w:rsidR="00621959" w:rsidRPr="00F41161">
        <w:rPr>
          <w:rtl/>
        </w:rPr>
        <w:t xml:space="preserve"> تقديرات </w:t>
      </w:r>
      <w:r w:rsidR="00621959" w:rsidRPr="00F41161">
        <w:rPr>
          <w:rFonts w:hint="cs"/>
          <w:rtl/>
        </w:rPr>
        <w:t>على مستوى ال</w:t>
      </w:r>
      <w:r w:rsidR="00621959" w:rsidRPr="00F41161">
        <w:rPr>
          <w:rtl/>
        </w:rPr>
        <w:t>عالم</w:t>
      </w:r>
      <w:r w:rsidR="00621959" w:rsidRPr="00F41161">
        <w:rPr>
          <w:rFonts w:hint="cs"/>
          <w:rtl/>
        </w:rPr>
        <w:t xml:space="preserve"> والأ</w:t>
      </w:r>
      <w:r w:rsidR="00621959" w:rsidRPr="00F41161">
        <w:rPr>
          <w:rtl/>
        </w:rPr>
        <w:t>ق</w:t>
      </w:r>
      <w:r w:rsidR="00621959" w:rsidRPr="00F41161">
        <w:rPr>
          <w:rFonts w:hint="cs"/>
          <w:rtl/>
        </w:rPr>
        <w:t>ا</w:t>
      </w:r>
      <w:r w:rsidR="00621959" w:rsidRPr="00F41161">
        <w:rPr>
          <w:rtl/>
        </w:rPr>
        <w:t>ليم</w:t>
      </w:r>
      <w:r w:rsidR="00621959" w:rsidRPr="00F41161">
        <w:rPr>
          <w:rFonts w:hint="cs"/>
          <w:rtl/>
        </w:rPr>
        <w:t xml:space="preserve"> </w:t>
      </w:r>
      <w:r w:rsidR="00621959" w:rsidRPr="00F41161">
        <w:rPr>
          <w:rtl/>
        </w:rPr>
        <w:t xml:space="preserve">ومجموعات البلدان. وجميع البيانات متاحة مجاناً على </w:t>
      </w:r>
      <w:hyperlink r:id="rId249" w:history="1">
        <w:r w:rsidR="00621959" w:rsidRPr="00972572">
          <w:rPr>
            <w:rStyle w:val="Hyperlink"/>
            <w:rFonts w:hint="cs"/>
            <w:noProof w:val="0"/>
            <w:rtl/>
            <w:lang w:val="en-US" w:eastAsia="zh-CN"/>
          </w:rPr>
          <w:t>مركز بيانات الاتحاد</w:t>
        </w:r>
      </w:hyperlink>
      <w:r w:rsidR="00621959" w:rsidRPr="00F41161">
        <w:rPr>
          <w:rtl/>
        </w:rPr>
        <w:t>.</w:t>
      </w:r>
    </w:p>
    <w:p w14:paraId="131C4D20" w14:textId="5EC12E97" w:rsidR="00621959" w:rsidRPr="00F41161" w:rsidRDefault="00F41161" w:rsidP="00F41161">
      <w:pPr>
        <w:pStyle w:val="enumlev1"/>
        <w:rPr>
          <w:lang w:val="en-GB" w:bidi="ar-EG"/>
        </w:rPr>
      </w:pPr>
      <w:r w:rsidRPr="00F41161">
        <w:sym w:font="Wingdings 2" w:char="F097"/>
      </w:r>
      <w:r w:rsidRPr="00F41161">
        <w:tab/>
      </w:r>
      <w:r w:rsidR="00621959" w:rsidRPr="00F41161">
        <w:rPr>
          <w:b/>
          <w:bCs/>
          <w:rtl/>
        </w:rPr>
        <w:t>التحليل والبحث:</w:t>
      </w:r>
      <w:r w:rsidR="00621959" w:rsidRPr="00F41161">
        <w:rPr>
          <w:rtl/>
        </w:rPr>
        <w:t xml:space="preserve"> </w:t>
      </w:r>
      <w:r w:rsidR="00621959" w:rsidRPr="00F41161">
        <w:rPr>
          <w:rFonts w:hint="cs"/>
          <w:rtl/>
        </w:rPr>
        <w:t>تتناول</w:t>
      </w:r>
      <w:r w:rsidR="00621959" w:rsidRPr="00F41161">
        <w:rPr>
          <w:rtl/>
        </w:rPr>
        <w:t xml:space="preserve"> </w:t>
      </w:r>
      <w:hyperlink r:id="rId250" w:history="1">
        <w:r w:rsidR="00621959" w:rsidRPr="00972572">
          <w:rPr>
            <w:rStyle w:val="Hyperlink"/>
            <w:noProof w:val="0"/>
            <w:rtl/>
            <w:lang w:val="en-US" w:eastAsia="zh-CN"/>
          </w:rPr>
          <w:t>المنشورات</w:t>
        </w:r>
      </w:hyperlink>
      <w:r w:rsidR="00621959" w:rsidRPr="00F41161">
        <w:rPr>
          <w:rtl/>
        </w:rPr>
        <w:t xml:space="preserve"> </w:t>
      </w:r>
      <w:r w:rsidR="00621959" w:rsidRPr="00F41161">
        <w:rPr>
          <w:rFonts w:hint="cs"/>
          <w:rtl/>
        </w:rPr>
        <w:t xml:space="preserve">الواردة </w:t>
      </w:r>
      <w:r w:rsidR="00270125">
        <w:rPr>
          <w:rFonts w:hint="cs"/>
          <w:rtl/>
        </w:rPr>
        <w:t>ف</w:t>
      </w:r>
      <w:r w:rsidR="00621959" w:rsidRPr="00F41161">
        <w:rPr>
          <w:rFonts w:hint="cs"/>
          <w:rtl/>
        </w:rPr>
        <w:t>ي</w:t>
      </w:r>
      <w:r w:rsidR="00621959" w:rsidRPr="00F41161">
        <w:rPr>
          <w:rtl/>
        </w:rPr>
        <w:t xml:space="preserve"> سلسلة </w:t>
      </w:r>
      <w:r w:rsidR="00621959" w:rsidRPr="00F41161">
        <w:rPr>
          <w:i/>
          <w:iCs/>
          <w:rtl/>
        </w:rPr>
        <w:t>قياس التنمية الرقمية</w:t>
      </w:r>
      <w:r w:rsidR="00621959" w:rsidRPr="00F41161">
        <w:rPr>
          <w:rtl/>
        </w:rPr>
        <w:t xml:space="preserve"> </w:t>
      </w:r>
      <w:r w:rsidR="00621959" w:rsidRPr="00F41161">
        <w:rPr>
          <w:rFonts w:hint="cs"/>
          <w:rtl/>
        </w:rPr>
        <w:t xml:space="preserve">تقييم </w:t>
      </w:r>
      <w:r w:rsidR="00621959" w:rsidRPr="00F41161">
        <w:rPr>
          <w:rtl/>
        </w:rPr>
        <w:t xml:space="preserve">حالة التوصيلية العالمية، </w:t>
      </w:r>
      <w:r w:rsidR="00621959" w:rsidRPr="00F41161">
        <w:rPr>
          <w:rFonts w:hint="cs"/>
          <w:rtl/>
        </w:rPr>
        <w:t xml:space="preserve">وتتناول </w:t>
      </w:r>
      <w:r w:rsidR="00621959" w:rsidRPr="00F41161">
        <w:rPr>
          <w:rtl/>
        </w:rPr>
        <w:t>مواضيع محددة، وتحدد الحلول.</w:t>
      </w:r>
    </w:p>
    <w:p w14:paraId="3FC7843D" w14:textId="6E7E9377" w:rsidR="00621959" w:rsidRPr="00F41161" w:rsidRDefault="00F41161" w:rsidP="00F41161">
      <w:pPr>
        <w:pStyle w:val="enumlev1"/>
        <w:rPr>
          <w:lang w:val="en-GB" w:bidi="ar-EG"/>
        </w:rPr>
      </w:pPr>
      <w:r w:rsidRPr="00F41161">
        <w:sym w:font="Wingdings 2" w:char="F097"/>
      </w:r>
      <w:r w:rsidRPr="00F41161">
        <w:tab/>
      </w:r>
      <w:r w:rsidR="00621959" w:rsidRPr="00F41161">
        <w:rPr>
          <w:b/>
          <w:bCs/>
          <w:rtl/>
        </w:rPr>
        <w:t>عل</w:t>
      </w:r>
      <w:r w:rsidR="00621959" w:rsidRPr="00F41161">
        <w:rPr>
          <w:rFonts w:hint="cs"/>
          <w:b/>
          <w:bCs/>
          <w:rtl/>
        </w:rPr>
        <w:t>و</w:t>
      </w:r>
      <w:r w:rsidR="00621959" w:rsidRPr="00F41161">
        <w:rPr>
          <w:b/>
          <w:bCs/>
          <w:rtl/>
        </w:rPr>
        <w:t xml:space="preserve">م البيانات للإحصاءات الرسمية: </w:t>
      </w:r>
      <w:r w:rsidR="00621959" w:rsidRPr="00F41161">
        <w:rPr>
          <w:rtl/>
        </w:rPr>
        <w:t xml:space="preserve">تستفيد </w:t>
      </w:r>
      <w:hyperlink r:id="rId251" w:anchor="/ar" w:history="1">
        <w:r w:rsidR="00621959" w:rsidRPr="00972572">
          <w:rPr>
            <w:rStyle w:val="Hyperlink"/>
            <w:noProof w:val="0"/>
            <w:rtl/>
            <w:lang w:val="en-US" w:eastAsia="zh-CN"/>
          </w:rPr>
          <w:t>ممارس</w:t>
        </w:r>
        <w:r w:rsidR="00621959" w:rsidRPr="00972572">
          <w:rPr>
            <w:rStyle w:val="Hyperlink"/>
            <w:rFonts w:hint="cs"/>
            <w:noProof w:val="0"/>
            <w:rtl/>
            <w:lang w:val="en-US" w:eastAsia="zh-CN"/>
          </w:rPr>
          <w:t>ة</w:t>
        </w:r>
        <w:r w:rsidR="00621959" w:rsidRPr="00972572">
          <w:rPr>
            <w:rStyle w:val="Hyperlink"/>
            <w:noProof w:val="0"/>
            <w:rtl/>
            <w:lang w:val="en-US" w:eastAsia="zh-CN"/>
          </w:rPr>
          <w:t xml:space="preserve"> عل</w:t>
        </w:r>
        <w:r w:rsidR="00621959" w:rsidRPr="00972572">
          <w:rPr>
            <w:rStyle w:val="Hyperlink"/>
            <w:rFonts w:hint="cs"/>
            <w:noProof w:val="0"/>
            <w:rtl/>
            <w:lang w:val="en-US" w:eastAsia="zh-CN"/>
          </w:rPr>
          <w:t>و</w:t>
        </w:r>
        <w:r w:rsidR="00621959" w:rsidRPr="00972572">
          <w:rPr>
            <w:rStyle w:val="Hyperlink"/>
            <w:noProof w:val="0"/>
            <w:rtl/>
            <w:lang w:val="en-US" w:eastAsia="zh-CN"/>
          </w:rPr>
          <w:t>م البيانات</w:t>
        </w:r>
      </w:hyperlink>
      <w:r w:rsidR="00621959" w:rsidRPr="00F41161">
        <w:rPr>
          <w:rFonts w:hint="cs"/>
          <w:rtl/>
        </w:rPr>
        <w:t xml:space="preserve"> في </w:t>
      </w:r>
      <w:r w:rsidR="00621959" w:rsidRPr="00F41161">
        <w:rPr>
          <w:rtl/>
        </w:rPr>
        <w:t xml:space="preserve">الاتحاد من البيانات الضخمة والأساليب الحديثة لتعزيز دقة إحصاءات تكنولوجيا المعلومات والاتصالات، </w:t>
      </w:r>
      <w:r w:rsidR="00621959" w:rsidRPr="00F41161">
        <w:rPr>
          <w:rFonts w:hint="cs"/>
          <w:rtl/>
        </w:rPr>
        <w:t>وحسن توقيتها</w:t>
      </w:r>
      <w:r w:rsidR="00621959" w:rsidRPr="00F41161">
        <w:rPr>
          <w:rtl/>
        </w:rPr>
        <w:t>، وتفصيلها.</w:t>
      </w:r>
    </w:p>
    <w:p w14:paraId="6428FA2A" w14:textId="037997E6" w:rsidR="00621959" w:rsidRPr="00F41161" w:rsidRDefault="00F41161" w:rsidP="00F41161">
      <w:pPr>
        <w:pStyle w:val="enumlev1"/>
        <w:rPr>
          <w:b/>
          <w:bCs/>
          <w:lang w:val="en-GB" w:bidi="ar-EG"/>
        </w:rPr>
      </w:pPr>
      <w:r w:rsidRPr="00F41161">
        <w:sym w:font="Wingdings 2" w:char="F097"/>
      </w:r>
      <w:r w:rsidRPr="00F41161">
        <w:tab/>
      </w:r>
      <w:r w:rsidR="00621959" w:rsidRPr="00F41161">
        <w:rPr>
          <w:b/>
          <w:bCs/>
          <w:rtl/>
        </w:rPr>
        <w:t xml:space="preserve">تنمية القدرات والمساعدة التقنية: </w:t>
      </w:r>
      <w:hyperlink r:id="rId252" w:history="1">
        <w:r w:rsidR="00621959" w:rsidRPr="00972572">
          <w:rPr>
            <w:rStyle w:val="Hyperlink"/>
            <w:noProof w:val="0"/>
            <w:rtl/>
            <w:lang w:val="en-US" w:eastAsia="zh-CN"/>
          </w:rPr>
          <w:t>يدعم</w:t>
        </w:r>
      </w:hyperlink>
      <w:r w:rsidR="00621959" w:rsidRPr="00F41161">
        <w:rPr>
          <w:rtl/>
        </w:rPr>
        <w:t xml:space="preserve"> الاتحاد المجتمع الإحصائي وأصحاب المصلحة الآخرين، بما في ذلك صناع السياسات، من خلال إعداد الوثائق التقنية، والمواد التدريبية، والدورات التدريبية عبر الإنترنت، وورش العمل، وتقديم المساعدة التقنية.</w:t>
      </w:r>
    </w:p>
    <w:p w14:paraId="13120D94" w14:textId="31E2675A" w:rsidR="00621959" w:rsidRPr="00F41161" w:rsidRDefault="00F41161" w:rsidP="00F41161">
      <w:pPr>
        <w:pStyle w:val="enumlev1"/>
        <w:rPr>
          <w:lang w:val="en-GB" w:bidi="ar-EG"/>
        </w:rPr>
      </w:pPr>
      <w:r w:rsidRPr="00F41161">
        <w:sym w:font="Wingdings 2" w:char="F097"/>
      </w:r>
      <w:r w:rsidRPr="00F41161">
        <w:tab/>
      </w:r>
      <w:r w:rsidR="00621959" w:rsidRPr="00F41161">
        <w:rPr>
          <w:b/>
          <w:bCs/>
          <w:rtl/>
        </w:rPr>
        <w:t xml:space="preserve">التعاون والمشاركة </w:t>
      </w:r>
      <w:r w:rsidR="00621959" w:rsidRPr="00F41161">
        <w:rPr>
          <w:rFonts w:hint="cs"/>
          <w:b/>
          <w:bCs/>
          <w:rtl/>
        </w:rPr>
        <w:t xml:space="preserve">على المستوى </w:t>
      </w:r>
      <w:r w:rsidR="00621959" w:rsidRPr="00F41161">
        <w:rPr>
          <w:b/>
          <w:bCs/>
          <w:rtl/>
        </w:rPr>
        <w:t xml:space="preserve">العالمي: </w:t>
      </w:r>
      <w:r w:rsidR="00621959" w:rsidRPr="00F41161">
        <w:rPr>
          <w:rFonts w:hint="cs"/>
          <w:rtl/>
        </w:rPr>
        <w:t>تُ</w:t>
      </w:r>
      <w:r w:rsidR="00621959" w:rsidRPr="00F41161">
        <w:rPr>
          <w:rtl/>
        </w:rPr>
        <w:t xml:space="preserve">نظم </w:t>
      </w:r>
      <w:r w:rsidR="00621959" w:rsidRPr="00F41161">
        <w:rPr>
          <w:rFonts w:hint="cs"/>
          <w:rtl/>
        </w:rPr>
        <w:t>شعبة</w:t>
      </w:r>
      <w:r w:rsidR="00621959" w:rsidRPr="00F41161">
        <w:rPr>
          <w:rtl/>
        </w:rPr>
        <w:t xml:space="preserve"> بيانات وتحليلات تكنولوجيا المعلومات والاتصالات في الاتحاد </w:t>
      </w:r>
      <w:r w:rsidR="00621959" w:rsidRPr="00F41161">
        <w:rPr>
          <w:rFonts w:hint="cs"/>
          <w:rtl/>
        </w:rPr>
        <w:t>أحداثاً</w:t>
      </w:r>
      <w:r w:rsidR="00621959" w:rsidRPr="00F41161">
        <w:rPr>
          <w:rtl/>
        </w:rPr>
        <w:t xml:space="preserve">، من بينها </w:t>
      </w:r>
      <w:r w:rsidR="00621959" w:rsidRPr="00F41161">
        <w:rPr>
          <w:rFonts w:hint="cs"/>
          <w:rtl/>
        </w:rPr>
        <w:t>ال</w:t>
      </w:r>
      <w:r w:rsidR="00621959" w:rsidRPr="00F41161">
        <w:rPr>
          <w:rtl/>
        </w:rPr>
        <w:t xml:space="preserve">ندوة العالمية </w:t>
      </w:r>
      <w:r w:rsidR="00621959" w:rsidRPr="00F41161">
        <w:rPr>
          <w:rFonts w:hint="cs"/>
          <w:rtl/>
        </w:rPr>
        <w:t>ل</w:t>
      </w:r>
      <w:r w:rsidR="00621959" w:rsidRPr="00F41161">
        <w:rPr>
          <w:rtl/>
        </w:rPr>
        <w:t>مؤشرات الاتصالات/تكنولوجيا المعلومات والاتصالات (</w:t>
      </w:r>
      <w:hyperlink r:id="rId253" w:anchor="/ar" w:history="1">
        <w:r w:rsidR="00621959" w:rsidRPr="00972572">
          <w:rPr>
            <w:rStyle w:val="Hyperlink"/>
            <w:noProof w:val="0"/>
            <w:lang w:eastAsia="zh-CN" w:bidi="ar-EG"/>
          </w:rPr>
          <w:t>WTIS</w:t>
        </w:r>
      </w:hyperlink>
      <w:r w:rsidR="00621959" w:rsidRPr="00F41161">
        <w:rPr>
          <w:rtl/>
        </w:rPr>
        <w:t>)، وه</w:t>
      </w:r>
      <w:r w:rsidR="00621959" w:rsidRPr="00F41161">
        <w:rPr>
          <w:rFonts w:hint="cs"/>
          <w:rtl/>
        </w:rPr>
        <w:t>و</w:t>
      </w:r>
      <w:r w:rsidR="00621959" w:rsidRPr="00F41161">
        <w:rPr>
          <w:rtl/>
        </w:rPr>
        <w:t xml:space="preserve"> </w:t>
      </w:r>
      <w:r w:rsidR="00621959" w:rsidRPr="00F41161">
        <w:rPr>
          <w:rFonts w:hint="cs"/>
          <w:rtl/>
        </w:rPr>
        <w:t>حدث</w:t>
      </w:r>
      <w:r w:rsidR="00621959" w:rsidRPr="00F41161">
        <w:rPr>
          <w:rtl/>
        </w:rPr>
        <w:t xml:space="preserve"> عالمي رئيسي في مجال إحصاءات تكنولوجيا المعلومات والاتصالات</w:t>
      </w:r>
      <w:r w:rsidR="00621959" w:rsidRPr="00F41161">
        <w:rPr>
          <w:rFonts w:hint="cs"/>
          <w:rtl/>
        </w:rPr>
        <w:t>، و</w:t>
      </w:r>
      <w:hyperlink r:id="rId254" w:history="1">
        <w:r w:rsidR="00621959" w:rsidRPr="00972572">
          <w:rPr>
            <w:rStyle w:val="Hyperlink"/>
            <w:rFonts w:hint="cs"/>
            <w:noProof w:val="0"/>
            <w:rtl/>
            <w:lang w:val="en-US" w:eastAsia="zh-CN"/>
          </w:rPr>
          <w:t>ت</w:t>
        </w:r>
        <w:r w:rsidR="00621959" w:rsidRPr="00972572">
          <w:rPr>
            <w:rStyle w:val="Hyperlink"/>
            <w:noProof w:val="0"/>
            <w:rtl/>
            <w:lang w:val="en-US" w:eastAsia="zh-CN"/>
          </w:rPr>
          <w:t>تعاون</w:t>
        </w:r>
      </w:hyperlink>
      <w:r w:rsidR="00621959" w:rsidRPr="00F41161">
        <w:rPr>
          <w:rtl/>
        </w:rPr>
        <w:t xml:space="preserve"> مع منظمات مختلفة لتعبئة الموارد، والنهوض ب</w:t>
      </w:r>
      <w:r w:rsidR="00621959" w:rsidRPr="00F41161">
        <w:rPr>
          <w:rFonts w:hint="cs"/>
          <w:rtl/>
        </w:rPr>
        <w:t>جدول أعمال</w:t>
      </w:r>
      <w:r w:rsidR="00621959" w:rsidRPr="00F41161">
        <w:rPr>
          <w:rtl/>
        </w:rPr>
        <w:t xml:space="preserve"> الإحصاءات، والاستفادة من أوجه التآزر، وتوسيع نطاق المبادرات، و</w:t>
      </w:r>
      <w:r w:rsidR="00621959" w:rsidRPr="00F41161">
        <w:rPr>
          <w:rFonts w:hint="cs"/>
          <w:rtl/>
        </w:rPr>
        <w:t>تحقيق أقصى تأثير</w:t>
      </w:r>
      <w:r w:rsidR="00621959" w:rsidRPr="00F41161">
        <w:rPr>
          <w:rtl/>
        </w:rPr>
        <w:t>.</w:t>
      </w:r>
    </w:p>
    <w:p w14:paraId="369FA4F5" w14:textId="77777777" w:rsidR="00621959" w:rsidRPr="00972572" w:rsidRDefault="00621959" w:rsidP="00972572">
      <w:pPr>
        <w:pStyle w:val="Heading2"/>
      </w:pPr>
      <w:bookmarkStart w:id="77" w:name="_Toc227252591"/>
      <w:r w:rsidRPr="00972572">
        <w:rPr>
          <w:rtl/>
        </w:rPr>
        <w:t>6.4</w:t>
      </w:r>
      <w:r w:rsidRPr="00972572">
        <w:rPr>
          <w:rtl/>
        </w:rPr>
        <w:tab/>
        <w:t>تنمية القدرات والمهارات الرقمية</w:t>
      </w:r>
      <w:bookmarkEnd w:id="77"/>
    </w:p>
    <w:p w14:paraId="25881BB4" w14:textId="56815460" w:rsidR="00621959" w:rsidRPr="00621959" w:rsidRDefault="00621959" w:rsidP="008A5A1B">
      <w:pPr>
        <w:rPr>
          <w:lang w:val="en-GB" w:bidi="ar-EG"/>
        </w:rPr>
      </w:pPr>
      <w:r w:rsidRPr="00621959">
        <w:rPr>
          <w:rFonts w:hint="cs"/>
          <w:rtl/>
        </w:rPr>
        <w:t>ت</w:t>
      </w:r>
      <w:r w:rsidRPr="00621959">
        <w:rPr>
          <w:rtl/>
        </w:rPr>
        <w:t xml:space="preserve">عد </w:t>
      </w:r>
      <w:r w:rsidRPr="00621959">
        <w:rPr>
          <w:rFonts w:hint="cs"/>
          <w:rtl/>
        </w:rPr>
        <w:t>تنمية</w:t>
      </w:r>
      <w:r w:rsidRPr="00621959">
        <w:rPr>
          <w:rtl/>
        </w:rPr>
        <w:t xml:space="preserve"> القدرات البرنامج الرئيسي لقطاع تنمية الاتصالات بالاتحاد</w:t>
      </w:r>
      <w:r w:rsidR="00972572">
        <w:rPr>
          <w:rFonts w:hint="cs"/>
          <w:rtl/>
        </w:rPr>
        <w:t xml:space="preserve"> </w:t>
      </w:r>
      <w:r w:rsidR="00972572">
        <w:t>(ITU-D)</w:t>
      </w:r>
      <w:r w:rsidRPr="00621959">
        <w:rPr>
          <w:rtl/>
        </w:rPr>
        <w:t xml:space="preserve">، </w:t>
      </w:r>
      <w:r w:rsidRPr="00621959">
        <w:rPr>
          <w:rFonts w:hint="cs"/>
          <w:rtl/>
        </w:rPr>
        <w:t xml:space="preserve">الذي </w:t>
      </w:r>
      <w:r w:rsidRPr="00621959">
        <w:rPr>
          <w:rtl/>
        </w:rPr>
        <w:t xml:space="preserve">يهدف إلى بناء مجتمع رقمي متمكن، حيث </w:t>
      </w:r>
      <w:r w:rsidRPr="00621959">
        <w:rPr>
          <w:rFonts w:hint="cs"/>
          <w:rtl/>
        </w:rPr>
        <w:t>يمكن لكل الناس</w:t>
      </w:r>
      <w:r w:rsidRPr="00621959">
        <w:rPr>
          <w:rtl/>
        </w:rPr>
        <w:t xml:space="preserve"> تحسين سبل عيشهم من خلال المهارات الرقمية والمعرفة </w:t>
      </w:r>
      <w:r w:rsidRPr="00621959">
        <w:rPr>
          <w:rFonts w:hint="cs"/>
          <w:rtl/>
        </w:rPr>
        <w:t>التكنولوجية</w:t>
      </w:r>
      <w:r w:rsidRPr="00621959">
        <w:rPr>
          <w:rtl/>
        </w:rPr>
        <w:t xml:space="preserve">. ويتحقق ذلك من خلال </w:t>
      </w:r>
      <w:r w:rsidRPr="00621959">
        <w:rPr>
          <w:rFonts w:hint="cs"/>
          <w:rtl/>
        </w:rPr>
        <w:t>تنمية</w:t>
      </w:r>
      <w:r w:rsidRPr="00621959">
        <w:rPr>
          <w:rtl/>
        </w:rPr>
        <w:t xml:space="preserve"> قدرات </w:t>
      </w:r>
      <w:r w:rsidRPr="00621959">
        <w:rPr>
          <w:rFonts w:hint="cs"/>
          <w:rtl/>
        </w:rPr>
        <w:t>المتخصصين</w:t>
      </w:r>
      <w:r w:rsidRPr="00621959">
        <w:rPr>
          <w:rtl/>
        </w:rPr>
        <w:t xml:space="preserve"> في </w:t>
      </w:r>
      <w:r w:rsidRPr="00621959">
        <w:rPr>
          <w:rFonts w:hint="cs"/>
          <w:rtl/>
        </w:rPr>
        <w:t>مجال الاتصالات/</w:t>
      </w:r>
      <w:r w:rsidRPr="00621959">
        <w:rPr>
          <w:rtl/>
        </w:rPr>
        <w:t>تكنولوجيا المعلومات والاتصالات، وتعزيز الثقافة الرقمية ومهارات المواطنين، وتطوير موارد المعرفة.</w:t>
      </w:r>
    </w:p>
    <w:p w14:paraId="41A87E99" w14:textId="77777777" w:rsidR="0089560B" w:rsidRDefault="00621959" w:rsidP="008A5A1B">
      <w:pPr>
        <w:rPr>
          <w:rtl/>
        </w:rPr>
      </w:pPr>
      <w:r w:rsidRPr="00621959">
        <w:rPr>
          <w:rtl/>
        </w:rPr>
        <w:t xml:space="preserve">وتعد </w:t>
      </w:r>
      <w:hyperlink r:id="rId255" w:anchor="/ar" w:history="1">
        <w:r w:rsidRPr="00621959">
          <w:rPr>
            <w:rStyle w:val="Hyperlink"/>
            <w:noProof w:val="0"/>
            <w:rtl/>
            <w:lang w:val="en-US" w:eastAsia="zh-CN"/>
          </w:rPr>
          <w:t>بوابة أكاديمية الاتحاد</w:t>
        </w:r>
      </w:hyperlink>
      <w:r w:rsidRPr="00621959">
        <w:rPr>
          <w:rtl/>
        </w:rPr>
        <w:t xml:space="preserve"> البوابة الرئيسية لأنشطة </w:t>
      </w:r>
      <w:r w:rsidRPr="00621959">
        <w:rPr>
          <w:rFonts w:hint="cs"/>
          <w:rtl/>
        </w:rPr>
        <w:t>تنمية</w:t>
      </w:r>
      <w:r w:rsidRPr="00621959">
        <w:rPr>
          <w:rtl/>
        </w:rPr>
        <w:t xml:space="preserve"> القدرات والتدريب </w:t>
      </w:r>
      <w:r w:rsidRPr="00621959">
        <w:rPr>
          <w:rFonts w:hint="cs"/>
          <w:rtl/>
        </w:rPr>
        <w:t>في ا</w:t>
      </w:r>
      <w:r w:rsidRPr="00621959">
        <w:rPr>
          <w:rtl/>
        </w:rPr>
        <w:t xml:space="preserve">لاتحاد. وهي تتيح لمتخصصي تكنولوجيا المعلومات والاتصالات وصناع السياسات النفاذ إلى فرص </w:t>
      </w:r>
      <w:r w:rsidRPr="00621959">
        <w:rPr>
          <w:rFonts w:hint="cs"/>
          <w:rtl/>
        </w:rPr>
        <w:t>تنمية</w:t>
      </w:r>
      <w:r w:rsidRPr="00621959">
        <w:rPr>
          <w:rtl/>
        </w:rPr>
        <w:t xml:space="preserve"> القدرات باستعمال منهجيات متنوعة ومصممة خصيصاً لتناسب أنماط التعلم المختلفة، مثل الدورات التدريبية عبر الإنترنت بإشراف مدربين، أو الدورات ذاتية التعلم، أو الدورات الحضورية. ويغطي دليل التدريب الشامل الخاص بها مجموعة واسعة من المواضيع ذات الصلة بأعضاء الاتحاد، مثل الذكاء الاصطناعي، والأمن السيبراني، </w:t>
      </w:r>
      <w:r w:rsidRPr="00621959">
        <w:rPr>
          <w:rFonts w:hint="cs"/>
          <w:rtl/>
        </w:rPr>
        <w:t>و</w:t>
      </w:r>
      <w:r w:rsidRPr="00621959">
        <w:rPr>
          <w:rtl/>
        </w:rPr>
        <w:t xml:space="preserve">المخلفات الإلكترونية، وإدارة الطيف، والتحول الرقمي، والاتصالات </w:t>
      </w:r>
      <w:r w:rsidRPr="00621959">
        <w:rPr>
          <w:rFonts w:hint="cs"/>
          <w:rtl/>
        </w:rPr>
        <w:t>الساتلية</w:t>
      </w:r>
      <w:r w:rsidRPr="00621959">
        <w:rPr>
          <w:rtl/>
        </w:rPr>
        <w:t>، والاتصالات في حالات الطوارئ، وحوكمة البيانات، وقياس تكنولوجيا المعلومات والاتصالات، والسياسات واللوائح، والنطاق العريض اللاسلكي والثابت، وغيرها.</w:t>
      </w:r>
    </w:p>
    <w:p w14:paraId="78867BCE" w14:textId="3D1AA13D" w:rsidR="00621959" w:rsidRPr="00621959" w:rsidRDefault="00621959" w:rsidP="008A5A1B">
      <w:pPr>
        <w:rPr>
          <w:lang w:val="en-GB" w:bidi="ar-EG"/>
        </w:rPr>
      </w:pPr>
      <w:r w:rsidRPr="00621959">
        <w:rPr>
          <w:rtl/>
        </w:rPr>
        <w:t>وخلال السنوات الماضية</w:t>
      </w:r>
      <w:r w:rsidRPr="00621959">
        <w:rPr>
          <w:rFonts w:hint="cs"/>
          <w:rtl/>
        </w:rPr>
        <w:t xml:space="preserve">، </w:t>
      </w:r>
      <w:r w:rsidRPr="00621959">
        <w:rPr>
          <w:rtl/>
        </w:rPr>
        <w:t xml:space="preserve">شهدت أكاديمية الاتحاد نمواً </w:t>
      </w:r>
      <w:r w:rsidRPr="00621959">
        <w:rPr>
          <w:rFonts w:hint="cs"/>
          <w:rtl/>
        </w:rPr>
        <w:t>كبير</w:t>
      </w:r>
      <w:r w:rsidRPr="00621959">
        <w:rPr>
          <w:rtl/>
        </w:rPr>
        <w:t xml:space="preserve">اً. وبين مارس 2022 وديسمبر 2025، تضاعف عدد مستعمليها ثلاث مرات، من </w:t>
      </w:r>
      <w:r w:rsidR="00972572">
        <w:t>26 000</w:t>
      </w:r>
      <w:r w:rsidRPr="00621959">
        <w:rPr>
          <w:rtl/>
        </w:rPr>
        <w:t xml:space="preserve"> إلى </w:t>
      </w:r>
      <w:r w:rsidR="00972572">
        <w:t>83 000</w:t>
      </w:r>
      <w:r w:rsidRPr="00621959">
        <w:rPr>
          <w:rtl/>
        </w:rPr>
        <w:t xml:space="preserve"> مستعمل. واليوم، ينتمي أكثر من 80</w:t>
      </w:r>
      <w:r w:rsidR="00972572">
        <w:rPr>
          <w:rtl/>
        </w:rPr>
        <w:t xml:space="preserve"> في </w:t>
      </w:r>
      <w:proofErr w:type="gramStart"/>
      <w:r w:rsidR="00972572">
        <w:rPr>
          <w:rtl/>
        </w:rPr>
        <w:t>المائة</w:t>
      </w:r>
      <w:proofErr w:type="gramEnd"/>
      <w:r w:rsidRPr="00621959">
        <w:rPr>
          <w:rtl/>
        </w:rPr>
        <w:t xml:space="preserve"> من المشاركين إلى البلدان النامية، وارتفعت نسبة النساء بين المستعملين الجدد إلى 40</w:t>
      </w:r>
      <w:r w:rsidR="00972572">
        <w:rPr>
          <w:rtl/>
        </w:rPr>
        <w:t xml:space="preserve"> في </w:t>
      </w:r>
      <w:proofErr w:type="gramStart"/>
      <w:r w:rsidR="00972572">
        <w:rPr>
          <w:rtl/>
        </w:rPr>
        <w:t>المائة</w:t>
      </w:r>
      <w:proofErr w:type="gramEnd"/>
      <w:r w:rsidRPr="00621959">
        <w:rPr>
          <w:rtl/>
        </w:rPr>
        <w:t>، أي ما يقرب من ضعف النسبة المسجلة في عام 2019. وتقدم الأكاديمية حوالي 150 دورة تدريبية سنوياً، 70</w:t>
      </w:r>
      <w:r w:rsidR="00972572">
        <w:rPr>
          <w:rtl/>
        </w:rPr>
        <w:t xml:space="preserve"> في </w:t>
      </w:r>
      <w:proofErr w:type="gramStart"/>
      <w:r w:rsidR="00972572">
        <w:rPr>
          <w:rtl/>
        </w:rPr>
        <w:t>المائة</w:t>
      </w:r>
      <w:proofErr w:type="gramEnd"/>
      <w:r w:rsidRPr="00621959">
        <w:rPr>
          <w:rtl/>
        </w:rPr>
        <w:t xml:space="preserve"> منها عبر الإنترنت، مما يتيح التوسع وإمكانية النفاذ، بينما تعقد الدورات المتبقية حضورياً، مما يتيح تبادلاً مكثفاً بين المشاركين. وقد تجاوزت </w:t>
      </w:r>
      <w:r w:rsidRPr="00621959">
        <w:rPr>
          <w:rFonts w:hint="cs"/>
          <w:rtl/>
        </w:rPr>
        <w:t>معدلات</w:t>
      </w:r>
      <w:r w:rsidRPr="00621959">
        <w:rPr>
          <w:rtl/>
        </w:rPr>
        <w:t xml:space="preserve"> إتمام الدورات باستمرار المعايير </w:t>
      </w:r>
      <w:r w:rsidRPr="00621959">
        <w:rPr>
          <w:rFonts w:hint="cs"/>
          <w:rtl/>
        </w:rPr>
        <w:t>المرجعية في الصناعة</w:t>
      </w:r>
      <w:r w:rsidRPr="00621959">
        <w:rPr>
          <w:rtl/>
        </w:rPr>
        <w:t>، حيث ارتفعت من 68</w:t>
      </w:r>
      <w:r w:rsidR="00972572">
        <w:rPr>
          <w:rtl/>
        </w:rPr>
        <w:t xml:space="preserve"> في </w:t>
      </w:r>
      <w:proofErr w:type="gramStart"/>
      <w:r w:rsidR="00972572">
        <w:rPr>
          <w:rtl/>
        </w:rPr>
        <w:t>المائة</w:t>
      </w:r>
      <w:proofErr w:type="gramEnd"/>
      <w:r w:rsidRPr="00621959">
        <w:rPr>
          <w:rtl/>
        </w:rPr>
        <w:t xml:space="preserve"> للدورات الحضورية و28</w:t>
      </w:r>
      <w:r w:rsidR="00972572">
        <w:rPr>
          <w:rtl/>
        </w:rPr>
        <w:t xml:space="preserve"> في </w:t>
      </w:r>
      <w:proofErr w:type="gramStart"/>
      <w:r w:rsidR="00972572">
        <w:rPr>
          <w:rtl/>
        </w:rPr>
        <w:t>المائة</w:t>
      </w:r>
      <w:proofErr w:type="gramEnd"/>
      <w:r w:rsidRPr="00621959">
        <w:rPr>
          <w:rtl/>
        </w:rPr>
        <w:t xml:space="preserve"> للدورات عبر الإنترنت في عام 2023، إلى 90</w:t>
      </w:r>
      <w:r w:rsidR="00972572">
        <w:rPr>
          <w:rtl/>
        </w:rPr>
        <w:t xml:space="preserve"> في </w:t>
      </w:r>
      <w:proofErr w:type="gramStart"/>
      <w:r w:rsidR="00972572">
        <w:rPr>
          <w:rtl/>
        </w:rPr>
        <w:t>المائة</w:t>
      </w:r>
      <w:proofErr w:type="gramEnd"/>
      <w:r w:rsidRPr="00621959">
        <w:rPr>
          <w:rtl/>
        </w:rPr>
        <w:t xml:space="preserve"> و45</w:t>
      </w:r>
      <w:r w:rsidR="00972572">
        <w:rPr>
          <w:rtl/>
        </w:rPr>
        <w:t xml:space="preserve"> في </w:t>
      </w:r>
      <w:proofErr w:type="gramStart"/>
      <w:r w:rsidR="00972572">
        <w:rPr>
          <w:rtl/>
        </w:rPr>
        <w:t>المائة</w:t>
      </w:r>
      <w:proofErr w:type="gramEnd"/>
      <w:r w:rsidRPr="00621959">
        <w:rPr>
          <w:rtl/>
        </w:rPr>
        <w:t xml:space="preserve"> على التوالي في عام 2025. وتعكس هذه المكاسب الجهود المتواصلة لتحسين جودة الدورات وتعزيز التفاعل مع المتعلمين. وفي المجمل، تم إصدار أكثر من </w:t>
      </w:r>
      <w:r w:rsidR="00972572">
        <w:t>17 500</w:t>
      </w:r>
      <w:r w:rsidRPr="00621959">
        <w:rPr>
          <w:rtl/>
        </w:rPr>
        <w:t xml:space="preserve"> شهادة منذ عام 2023، تقديراً لإنجازات المشاركين وتزويدهم بالمؤهلات اللازمة للارتقاء بمسيرتهم المهنية.</w:t>
      </w:r>
    </w:p>
    <w:p w14:paraId="5A487B28" w14:textId="77777777" w:rsidR="00621959" w:rsidRPr="00621959" w:rsidRDefault="00621959" w:rsidP="00972572">
      <w:pPr>
        <w:pStyle w:val="Figuretitle"/>
        <w:rPr>
          <w:lang w:val="en-GB" w:bidi="ar-EG"/>
        </w:rPr>
      </w:pPr>
      <w:r w:rsidRPr="00621959">
        <w:rPr>
          <w:rtl/>
        </w:rPr>
        <w:t>التسجيلات في أكاديمية الاتحاد، 2012-2024</w:t>
      </w:r>
    </w:p>
    <w:p w14:paraId="29A987F9" w14:textId="7030EC79" w:rsidR="00621959" w:rsidRPr="00621959" w:rsidRDefault="00E47773" w:rsidP="00972572">
      <w:pPr>
        <w:pStyle w:val="Figure"/>
        <w:bidi/>
        <w:rPr>
          <w:rtl/>
        </w:rPr>
      </w:pPr>
      <w:r>
        <w:rPr>
          <w:noProof/>
        </w:rPr>
        <w:drawing>
          <wp:inline distT="0" distB="0" distL="0" distR="0" wp14:anchorId="59445F5C" wp14:editId="3252F3F7">
            <wp:extent cx="4320000" cy="210960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320000" cy="2109600"/>
                    </a:xfrm>
                    <a:prstGeom prst="rect">
                      <a:avLst/>
                    </a:prstGeom>
                    <a:noFill/>
                  </pic:spPr>
                </pic:pic>
              </a:graphicData>
            </a:graphic>
          </wp:inline>
        </w:drawing>
      </w:r>
    </w:p>
    <w:p w14:paraId="01F54898" w14:textId="77777777" w:rsidR="00621959" w:rsidRPr="00972572" w:rsidRDefault="00621959" w:rsidP="00972572">
      <w:pPr>
        <w:pStyle w:val="Figurelegend"/>
        <w:rPr>
          <w:color w:val="1F497D"/>
        </w:rPr>
      </w:pPr>
      <w:bookmarkStart w:id="78" w:name="الشكل16"/>
      <w:bookmarkEnd w:id="78"/>
      <w:r w:rsidRPr="00972572">
        <w:rPr>
          <w:color w:val="1F497D"/>
          <w:rtl/>
        </w:rPr>
        <w:t>الشكل 16</w:t>
      </w:r>
      <w:r w:rsidRPr="00972572">
        <w:rPr>
          <w:rFonts w:hint="cs"/>
          <w:color w:val="1F497D"/>
          <w:rtl/>
        </w:rPr>
        <w:t>.</w:t>
      </w:r>
      <w:r w:rsidRPr="00972572">
        <w:rPr>
          <w:color w:val="1F497D"/>
          <w:rtl/>
        </w:rPr>
        <w:t xml:space="preserve"> </w:t>
      </w:r>
      <w:r w:rsidRPr="00972572">
        <w:rPr>
          <w:rFonts w:hint="cs"/>
          <w:color w:val="1F497D"/>
          <w:rtl/>
        </w:rPr>
        <w:t>ال</w:t>
      </w:r>
      <w:r w:rsidRPr="00972572">
        <w:rPr>
          <w:color w:val="1F497D"/>
          <w:rtl/>
        </w:rPr>
        <w:t xml:space="preserve">تسجيلات </w:t>
      </w:r>
      <w:r w:rsidRPr="00972572">
        <w:rPr>
          <w:rFonts w:hint="cs"/>
          <w:color w:val="1F497D"/>
          <w:rtl/>
        </w:rPr>
        <w:t xml:space="preserve">في </w:t>
      </w:r>
      <w:r w:rsidRPr="00972572">
        <w:rPr>
          <w:color w:val="1F497D"/>
          <w:rtl/>
        </w:rPr>
        <w:t>أكاديمية الاتحاد، 2012-2024</w:t>
      </w:r>
    </w:p>
    <w:p w14:paraId="39EE9A14" w14:textId="1A3EC418" w:rsidR="00621959" w:rsidRPr="00621959" w:rsidRDefault="00621959" w:rsidP="008A5A1B">
      <w:pPr>
        <w:rPr>
          <w:lang w:val="en-GB" w:bidi="ar-EG"/>
        </w:rPr>
      </w:pPr>
      <w:r w:rsidRPr="00621959">
        <w:rPr>
          <w:rFonts w:hint="cs"/>
          <w:rtl/>
        </w:rPr>
        <w:t xml:space="preserve">تتمثل </w:t>
      </w:r>
      <w:r w:rsidRPr="00621959">
        <w:rPr>
          <w:rtl/>
        </w:rPr>
        <w:t xml:space="preserve">إحدى آليات تقديم التدريب الرئيسية للاتحاد </w:t>
      </w:r>
      <w:r w:rsidRPr="00621959">
        <w:rPr>
          <w:rFonts w:hint="cs"/>
          <w:rtl/>
        </w:rPr>
        <w:t>ف</w:t>
      </w:r>
      <w:r w:rsidRPr="00621959">
        <w:rPr>
          <w:rtl/>
        </w:rPr>
        <w:t xml:space="preserve">ي شبكة </w:t>
      </w:r>
      <w:hyperlink r:id="rId257" w:anchor="/ar" w:history="1">
        <w:r w:rsidRPr="00621959">
          <w:rPr>
            <w:rStyle w:val="Hyperlink"/>
            <w:noProof w:val="0"/>
            <w:rtl/>
            <w:lang w:val="en-US" w:eastAsia="zh-CN"/>
          </w:rPr>
          <w:t>مراكز التدريب التابعة لأكاديمية الاتحاد</w:t>
        </w:r>
      </w:hyperlink>
      <w:r w:rsidRPr="00621959">
        <w:rPr>
          <w:rtl/>
        </w:rPr>
        <w:t xml:space="preserve"> (</w:t>
      </w:r>
      <w:r w:rsidRPr="00621959">
        <w:rPr>
          <w:lang w:val="en-GB" w:bidi="ar-EG"/>
        </w:rPr>
        <w:t>ATC</w:t>
      </w:r>
      <w:r w:rsidRPr="00621959">
        <w:rPr>
          <w:rtl/>
        </w:rPr>
        <w:t xml:space="preserve">)، والتي </w:t>
      </w:r>
      <w:r w:rsidRPr="00621959">
        <w:rPr>
          <w:rFonts w:hint="cs"/>
          <w:rtl/>
        </w:rPr>
        <w:t>أُطلقت</w:t>
      </w:r>
      <w:r w:rsidRPr="00621959">
        <w:rPr>
          <w:rtl/>
        </w:rPr>
        <w:t xml:space="preserve"> في عام 2023، في أعقاب </w:t>
      </w:r>
      <w:r w:rsidR="00FB505F">
        <w:rPr>
          <w:rFonts w:hint="cs"/>
          <w:rtl/>
        </w:rPr>
        <w:t>نواتج</w:t>
      </w:r>
      <w:r w:rsidRPr="00621959">
        <w:rPr>
          <w:rtl/>
        </w:rPr>
        <w:t xml:space="preserve"> المؤتمر العالمي لتنمية الاتصالات في عام 2022.</w:t>
      </w:r>
    </w:p>
    <w:p w14:paraId="1199C737" w14:textId="4D8BA299" w:rsidR="00621959" w:rsidRPr="00621959" w:rsidRDefault="00621959" w:rsidP="008A5A1B">
      <w:pPr>
        <w:rPr>
          <w:lang w:val="en-GB" w:bidi="ar-EG"/>
        </w:rPr>
      </w:pPr>
      <w:r w:rsidRPr="00621959">
        <w:rPr>
          <w:rtl/>
        </w:rPr>
        <w:t xml:space="preserve">ومراكز التدريب </w:t>
      </w:r>
      <w:r w:rsidRPr="00621959">
        <w:rPr>
          <w:rFonts w:hint="cs"/>
          <w:rtl/>
        </w:rPr>
        <w:t>التابعة للأكاديمية</w:t>
      </w:r>
      <w:r w:rsidRPr="00621959">
        <w:rPr>
          <w:rtl/>
        </w:rPr>
        <w:t xml:space="preserve"> هي مؤسسات معترف بها دولياً تقدم تدريباً عالي الجودة للموظفين من المستويين المتوسط ​​والعالي، مع تركيز قوي على احتياجات البلدان النامية. ويقدم هؤلاء الشركاء الأساسيون في تنمية القدرات لدى الاتحاد ما يقرب من 40</w:t>
      </w:r>
      <w:r w:rsidR="00972572">
        <w:rPr>
          <w:rtl/>
        </w:rPr>
        <w:t xml:space="preserve"> في </w:t>
      </w:r>
      <w:proofErr w:type="gramStart"/>
      <w:r w:rsidR="00972572">
        <w:rPr>
          <w:rtl/>
        </w:rPr>
        <w:t>المائة</w:t>
      </w:r>
      <w:proofErr w:type="gramEnd"/>
      <w:r w:rsidRPr="00621959">
        <w:rPr>
          <w:rtl/>
        </w:rPr>
        <w:t xml:space="preserve"> من جميع الدورات التدريبية على منصة أكاديمية الاتحاد، بينما </w:t>
      </w:r>
      <w:r w:rsidRPr="00621959">
        <w:rPr>
          <w:rFonts w:hint="cs"/>
          <w:rtl/>
        </w:rPr>
        <w:t>ي</w:t>
      </w:r>
      <w:r w:rsidRPr="00621959">
        <w:rPr>
          <w:rtl/>
        </w:rPr>
        <w:t>نظم الاتحاد وشركاء آخر</w:t>
      </w:r>
      <w:r w:rsidRPr="00621959">
        <w:rPr>
          <w:rFonts w:hint="cs"/>
          <w:rtl/>
        </w:rPr>
        <w:t>و</w:t>
      </w:r>
      <w:r w:rsidRPr="00621959">
        <w:rPr>
          <w:rtl/>
        </w:rPr>
        <w:t>ن</w:t>
      </w:r>
      <w:r w:rsidRPr="00621959">
        <w:rPr>
          <w:rFonts w:hint="cs"/>
          <w:rtl/>
        </w:rPr>
        <w:t xml:space="preserve"> بقية الدورات</w:t>
      </w:r>
      <w:r w:rsidRPr="00621959">
        <w:rPr>
          <w:rtl/>
        </w:rPr>
        <w:t xml:space="preserve">. وترسخ هذه الشبكة أكاديمية الاتحاد في </w:t>
      </w:r>
      <w:r w:rsidRPr="00621959">
        <w:rPr>
          <w:rFonts w:hint="cs"/>
          <w:rtl/>
        </w:rPr>
        <w:t>نظام إيكولوجي</w:t>
      </w:r>
      <w:r w:rsidRPr="00621959">
        <w:rPr>
          <w:rtl/>
        </w:rPr>
        <w:t xml:space="preserve"> متنوع</w:t>
      </w:r>
      <w:r w:rsidRPr="00621959">
        <w:rPr>
          <w:rFonts w:hint="cs"/>
          <w:rtl/>
        </w:rPr>
        <w:t xml:space="preserve"> ي</w:t>
      </w:r>
      <w:r w:rsidRPr="00621959">
        <w:rPr>
          <w:rtl/>
        </w:rPr>
        <w:t xml:space="preserve">جمع بين الانتشار العالمي والخبرة الإقليمية. وتقدم مراكز التدريب </w:t>
      </w:r>
      <w:r w:rsidRPr="00621959">
        <w:rPr>
          <w:rFonts w:hint="cs"/>
          <w:rtl/>
        </w:rPr>
        <w:t>التابعة للأكاديمية</w:t>
      </w:r>
      <w:r w:rsidRPr="00621959">
        <w:rPr>
          <w:rtl/>
        </w:rPr>
        <w:t xml:space="preserve"> دورات تدريبية بشأن أهم المواضيع التي </w:t>
      </w:r>
      <w:r w:rsidRPr="00621959">
        <w:rPr>
          <w:rFonts w:hint="cs"/>
          <w:rtl/>
        </w:rPr>
        <w:t>ت</w:t>
      </w:r>
      <w:r w:rsidRPr="00621959">
        <w:rPr>
          <w:rtl/>
        </w:rPr>
        <w:t>حددها الدول الأعضاء في الاتحاد، بما في ذلك السياسات واللوائح، وبنية الشبكات التحتية، وإدارة الطيف، والأمن السيبراني، والتكنولوجيات الناشئة، والشمول الرقمي، والخدمات الرقمية.</w:t>
      </w:r>
    </w:p>
    <w:p w14:paraId="537C3A35" w14:textId="0D8BC6DE" w:rsidR="00621959" w:rsidRPr="00621959" w:rsidRDefault="00621959" w:rsidP="008A5A1B">
      <w:pPr>
        <w:rPr>
          <w:lang w:val="en-GB" w:bidi="ar-EG"/>
        </w:rPr>
      </w:pPr>
      <w:r w:rsidRPr="00621959">
        <w:rPr>
          <w:rtl/>
        </w:rPr>
        <w:t>ومنذ إطلاق البرنامج في يناير 2023 وحتى ديسمبر 2025، ن</w:t>
      </w:r>
      <w:r w:rsidRPr="00621959">
        <w:rPr>
          <w:rFonts w:hint="cs"/>
          <w:rtl/>
        </w:rPr>
        <w:t>ُ</w:t>
      </w:r>
      <w:r w:rsidRPr="00621959">
        <w:rPr>
          <w:rtl/>
        </w:rPr>
        <w:t>فذت</w:t>
      </w:r>
      <w:r w:rsidRPr="00621959">
        <w:rPr>
          <w:rFonts w:hint="cs"/>
          <w:rtl/>
        </w:rPr>
        <w:t xml:space="preserve"> المراكز الأربعة عشر ما مجموعه</w:t>
      </w:r>
      <w:r w:rsidRPr="00621959">
        <w:rPr>
          <w:rtl/>
        </w:rPr>
        <w:t xml:space="preserve"> 159 دورة تدريبية، وحصل </w:t>
      </w:r>
      <w:r w:rsidR="00972572">
        <w:t>4 048</w:t>
      </w:r>
      <w:r w:rsidRPr="00621959">
        <w:rPr>
          <w:rtl/>
        </w:rPr>
        <w:t xml:space="preserve"> مشاركاً على شهادات إتمام الدورات. وينتمي معظم المشاركين إلى جهات حكومية (وزارات، </w:t>
      </w:r>
      <w:r w:rsidRPr="00621959">
        <w:rPr>
          <w:rFonts w:hint="cs"/>
          <w:rtl/>
        </w:rPr>
        <w:t>و</w:t>
      </w:r>
      <w:r w:rsidRPr="00621959">
        <w:rPr>
          <w:rtl/>
        </w:rPr>
        <w:t>هيئات تنظيمية) وشركات اتصالات، يليهم ممثلون عن مؤسسات أكاديمية، ثم القطاع الخاص، ومنظمات أخرى. وينتمي المشاركون إلى جميع الدول الأعضاء في الاتحاد، 86</w:t>
      </w:r>
      <w:r w:rsidR="00972572">
        <w:rPr>
          <w:rtl/>
        </w:rPr>
        <w:t xml:space="preserve"> في </w:t>
      </w:r>
      <w:proofErr w:type="gramStart"/>
      <w:r w:rsidR="00972572">
        <w:rPr>
          <w:rtl/>
        </w:rPr>
        <w:t>المائة</w:t>
      </w:r>
      <w:proofErr w:type="gramEnd"/>
      <w:r w:rsidRPr="00621959">
        <w:rPr>
          <w:rtl/>
        </w:rPr>
        <w:t xml:space="preserve"> </w:t>
      </w:r>
      <w:r w:rsidRPr="00C0129D">
        <w:rPr>
          <w:rtl/>
        </w:rPr>
        <w:t xml:space="preserve">منهم من البلدان النامية، </w:t>
      </w:r>
      <w:r w:rsidRPr="00C0129D">
        <w:rPr>
          <w:rFonts w:hint="cs"/>
          <w:rtl/>
        </w:rPr>
        <w:t>و</w:t>
      </w:r>
      <w:r w:rsidRPr="00C0129D">
        <w:rPr>
          <w:rtl/>
        </w:rPr>
        <w:t xml:space="preserve">من حيث التوزيع </w:t>
      </w:r>
      <w:r w:rsidRPr="00C0129D">
        <w:rPr>
          <w:rFonts w:hint="cs"/>
          <w:rtl/>
        </w:rPr>
        <w:t>الإقليمي</w:t>
      </w:r>
      <w:r w:rsidRPr="00C0129D">
        <w:rPr>
          <w:rtl/>
        </w:rPr>
        <w:t xml:space="preserve">، فغالبيتهم من إفريقيا، تليها </w:t>
      </w:r>
      <w:proofErr w:type="spellStart"/>
      <w:r w:rsidRPr="00C0129D">
        <w:rPr>
          <w:rtl/>
        </w:rPr>
        <w:t>الأمريكتان</w:t>
      </w:r>
      <w:proofErr w:type="spellEnd"/>
      <w:r w:rsidRPr="00C0129D">
        <w:rPr>
          <w:rtl/>
        </w:rPr>
        <w:t xml:space="preserve"> وآسيا والمحيط الهادئ (</w:t>
      </w:r>
      <w:hyperlink w:anchor="الشكل17" w:history="1">
        <w:r w:rsidRPr="00C0129D">
          <w:rPr>
            <w:rStyle w:val="Hyperlink"/>
            <w:noProof w:val="0"/>
            <w:rtl/>
            <w:lang w:val="en-US" w:eastAsia="zh-CN"/>
          </w:rPr>
          <w:t xml:space="preserve">انظر </w:t>
        </w:r>
        <w:r w:rsidR="00972572" w:rsidRPr="00C0129D">
          <w:rPr>
            <w:rStyle w:val="Hyperlink"/>
            <w:rFonts w:hint="cs"/>
            <w:noProof w:val="0"/>
            <w:rtl/>
            <w:lang w:val="en-US" w:eastAsia="zh-CN" w:bidi="ar-EG"/>
          </w:rPr>
          <w:t>الشكل 17</w:t>
        </w:r>
      </w:hyperlink>
      <w:r w:rsidRPr="00C0129D">
        <w:rPr>
          <w:rtl/>
        </w:rPr>
        <w:t>).</w:t>
      </w:r>
    </w:p>
    <w:p w14:paraId="5FD1EA0E" w14:textId="77777777" w:rsidR="00621959" w:rsidRPr="00621959" w:rsidRDefault="00621959" w:rsidP="00972572">
      <w:pPr>
        <w:pStyle w:val="Figuretitle"/>
        <w:rPr>
          <w:lang w:val="en-GB" w:bidi="ar-EG"/>
        </w:rPr>
      </w:pPr>
      <w:r w:rsidRPr="00621959">
        <w:rPr>
          <w:rtl/>
        </w:rPr>
        <w:t>المشاركون في دورات مراكز التدريب التابعة لأكاديمية الاتحاد، حسب المنطقة</w:t>
      </w:r>
    </w:p>
    <w:p w14:paraId="130CFD05" w14:textId="3B3B4F3B" w:rsidR="00621959" w:rsidRPr="00621959" w:rsidRDefault="00385214" w:rsidP="00972572">
      <w:pPr>
        <w:pStyle w:val="Figure"/>
        <w:bidi/>
        <w:rPr>
          <w:lang w:bidi="ar-EG"/>
        </w:rPr>
      </w:pPr>
      <w:r>
        <w:rPr>
          <w:noProof/>
          <w:lang w:bidi="ar-EG"/>
        </w:rPr>
        <w:drawing>
          <wp:inline distT="0" distB="0" distL="0" distR="0" wp14:anchorId="263E89CC" wp14:editId="69C6B5C3">
            <wp:extent cx="3600000" cy="2048400"/>
            <wp:effectExtent l="0" t="0" r="63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600000" cy="2048400"/>
                    </a:xfrm>
                    <a:prstGeom prst="rect">
                      <a:avLst/>
                    </a:prstGeom>
                    <a:noFill/>
                  </pic:spPr>
                </pic:pic>
              </a:graphicData>
            </a:graphic>
          </wp:inline>
        </w:drawing>
      </w:r>
    </w:p>
    <w:p w14:paraId="3F5B8026" w14:textId="77777777" w:rsidR="00621959" w:rsidRPr="00972572" w:rsidRDefault="00621959" w:rsidP="00972572">
      <w:pPr>
        <w:jc w:val="center"/>
        <w:rPr>
          <w:i/>
          <w:iCs/>
          <w:color w:val="1F497D"/>
          <w:sz w:val="20"/>
          <w:szCs w:val="20"/>
          <w:lang w:bidi="ar-SY"/>
        </w:rPr>
      </w:pPr>
      <w:bookmarkStart w:id="79" w:name="الشكل17"/>
      <w:bookmarkEnd w:id="79"/>
      <w:r w:rsidRPr="00972572">
        <w:rPr>
          <w:i/>
          <w:iCs/>
          <w:color w:val="1F497D"/>
          <w:sz w:val="20"/>
          <w:szCs w:val="20"/>
          <w:rtl/>
          <w:lang w:bidi="ar-SY"/>
        </w:rPr>
        <w:t>الشكل 17</w:t>
      </w:r>
      <w:r w:rsidRPr="00972572">
        <w:rPr>
          <w:rFonts w:hint="cs"/>
          <w:i/>
          <w:iCs/>
          <w:color w:val="1F497D"/>
          <w:sz w:val="20"/>
          <w:szCs w:val="20"/>
          <w:rtl/>
          <w:lang w:bidi="ar-SY"/>
        </w:rPr>
        <w:t>.</w:t>
      </w:r>
      <w:r w:rsidRPr="00972572">
        <w:rPr>
          <w:i/>
          <w:iCs/>
          <w:color w:val="1F497D"/>
          <w:sz w:val="20"/>
          <w:szCs w:val="20"/>
          <w:rtl/>
          <w:lang w:bidi="ar-SY"/>
        </w:rPr>
        <w:t xml:space="preserve"> المشاركون في دورات مراكز التدريب التابعة لأكاديمية الاتحاد، حسب المنطقة</w:t>
      </w:r>
    </w:p>
    <w:p w14:paraId="34500234" w14:textId="6E9D8E2B" w:rsidR="00621959" w:rsidRPr="00621959" w:rsidRDefault="00621959" w:rsidP="008A5A1B">
      <w:pPr>
        <w:rPr>
          <w:lang w:val="en-GB" w:bidi="ar-EG"/>
        </w:rPr>
      </w:pPr>
      <w:r w:rsidRPr="00621959">
        <w:rPr>
          <w:rtl/>
        </w:rPr>
        <w:t xml:space="preserve">تهدف </w:t>
      </w:r>
      <w:hyperlink r:id="rId259" w:anchor="/ar" w:history="1">
        <w:r w:rsidRPr="00621959">
          <w:rPr>
            <w:rStyle w:val="Hyperlink"/>
            <w:noProof w:val="0"/>
            <w:rtl/>
            <w:lang w:val="en-US" w:eastAsia="zh-CN"/>
          </w:rPr>
          <w:t>مبادرة مراكز التحول الرقم</w:t>
        </w:r>
        <w:r w:rsidRPr="00621959">
          <w:rPr>
            <w:rStyle w:val="Hyperlink"/>
            <w:rFonts w:hint="cs"/>
            <w:noProof w:val="0"/>
            <w:rtl/>
            <w:lang w:val="en-US" w:eastAsia="zh-CN"/>
          </w:rPr>
          <w:t>ي</w:t>
        </w:r>
        <w:r w:rsidRPr="00621959">
          <w:rPr>
            <w:rStyle w:val="Hyperlink"/>
            <w:noProof w:val="0"/>
            <w:lang w:eastAsia="zh-CN" w:bidi="ar-EG"/>
          </w:rPr>
          <w:t>(DTC)</w:t>
        </w:r>
      </w:hyperlink>
      <w:r w:rsidRPr="00621959">
        <w:rPr>
          <w:rtl/>
        </w:rPr>
        <w:t xml:space="preserve">، التي أطلقها الاتحاد في سبتمبر 2019 بالشراكة مع شركة سيسكو، إلى دعم البلدان في تعزيز القدرات الرقمية للمواطنين، ولا سيما في المناطق الريفية والمجتمعات </w:t>
      </w:r>
      <w:r w:rsidRPr="00621959">
        <w:rPr>
          <w:rFonts w:hint="cs"/>
          <w:rtl/>
        </w:rPr>
        <w:t>التي تعاني من شح الخدمات</w:t>
      </w:r>
      <w:r w:rsidRPr="00621959">
        <w:rPr>
          <w:rtl/>
        </w:rPr>
        <w:t>. وتعمل المبادرة من خلال شبكة عالمية من المؤسسات الوطنية، وهي مراكز التحول الرقمي، التي تضطلع بمهمة تقديم برامج المهارات الرقمية في بلدانها. وتعمل مراكز التحول الرقمي على المستوى الوطني، وتتمتع بقدرات وبنية تحتية وخبرة مثبتة لتنفيذ برامج تدريبية على المستويين الأساسي والمتوسط. وبين عامي 2021 و2025، تلقت المبادرة دعماً مالياً كبيراً من حكومة النرويج، بالإضافة إلى دعم من صندوق تنمية تكنولوجيا المعلومات والاتصالات بالاتحاد.</w:t>
      </w:r>
    </w:p>
    <w:p w14:paraId="7C715AE8" w14:textId="0A8F46A3" w:rsidR="00621959" w:rsidRPr="00621959" w:rsidRDefault="00621959" w:rsidP="008A5A1B">
      <w:pPr>
        <w:rPr>
          <w:lang w:val="en-GB" w:bidi="ar-EG"/>
        </w:rPr>
      </w:pPr>
      <w:r w:rsidRPr="00621959">
        <w:rPr>
          <w:rtl/>
        </w:rPr>
        <w:t xml:space="preserve">وارتفع عدد مراكز التحول الرقمي إلى 15 مركزاً، تغطي مناطق إفريقيا </w:t>
      </w:r>
      <w:proofErr w:type="spellStart"/>
      <w:r w:rsidRPr="00621959">
        <w:rPr>
          <w:rtl/>
        </w:rPr>
        <w:t>والأمريكتين</w:t>
      </w:r>
      <w:proofErr w:type="spellEnd"/>
      <w:r w:rsidRPr="00621959">
        <w:rPr>
          <w:rtl/>
        </w:rPr>
        <w:t xml:space="preserve"> والدول العربية وآسيا والمحيط الهادئ. ومنذ انطلاق مبادرة مراكز التحول الرقمي في عام 2020 وحتى نهاية ديسمبر 2025، تلقى أكثر من </w:t>
      </w:r>
      <w:r w:rsidR="00393CB8">
        <w:t>610 000</w:t>
      </w:r>
      <w:r w:rsidRPr="00621959">
        <w:rPr>
          <w:rtl/>
        </w:rPr>
        <w:t xml:space="preserve"> مشارك (53</w:t>
      </w:r>
      <w:r w:rsidR="00393CB8">
        <w:rPr>
          <w:rtl/>
        </w:rPr>
        <w:t xml:space="preserve"> في </w:t>
      </w:r>
      <w:proofErr w:type="gramStart"/>
      <w:r w:rsidR="00393CB8">
        <w:rPr>
          <w:rtl/>
        </w:rPr>
        <w:t>المائة</w:t>
      </w:r>
      <w:proofErr w:type="gramEnd"/>
      <w:r w:rsidRPr="00621959">
        <w:rPr>
          <w:rtl/>
        </w:rPr>
        <w:t xml:space="preserve"> منهم من الإناث) تدريباً على المهارات الرقمية الأساسية والمتوسطة.</w:t>
      </w:r>
    </w:p>
    <w:p w14:paraId="23B96434" w14:textId="2DDD0A1B" w:rsidR="00621959" w:rsidRPr="00621959" w:rsidRDefault="00621959" w:rsidP="008A5A1B">
      <w:pPr>
        <w:rPr>
          <w:lang w:val="en-GB" w:bidi="ar-EG"/>
        </w:rPr>
      </w:pPr>
      <w:r w:rsidRPr="00621959">
        <w:rPr>
          <w:rtl/>
        </w:rPr>
        <w:t xml:space="preserve">وإلى جانب تحقيق المساواة بين الجنسين في </w:t>
      </w:r>
      <w:r w:rsidRPr="00621959">
        <w:rPr>
          <w:rFonts w:hint="cs"/>
          <w:rtl/>
        </w:rPr>
        <w:t>مدى الوصول</w:t>
      </w:r>
      <w:r w:rsidRPr="00621959">
        <w:rPr>
          <w:rtl/>
        </w:rPr>
        <w:t xml:space="preserve"> الشامل، </w:t>
      </w:r>
      <w:r w:rsidRPr="00621959">
        <w:rPr>
          <w:rFonts w:hint="cs"/>
          <w:rtl/>
        </w:rPr>
        <w:t xml:space="preserve">زاد </w:t>
      </w:r>
      <w:r w:rsidRPr="00621959">
        <w:rPr>
          <w:rtl/>
        </w:rPr>
        <w:t>التدريب المقدم من خلال هذه المبادرة ليشمل المجتمعات</w:t>
      </w:r>
      <w:r w:rsidRPr="00621959">
        <w:rPr>
          <w:rFonts w:hint="cs"/>
          <w:rtl/>
        </w:rPr>
        <w:t xml:space="preserve"> التي تعاني من شح الخدمات</w:t>
      </w:r>
      <w:r w:rsidRPr="00621959">
        <w:rPr>
          <w:rtl/>
        </w:rPr>
        <w:t xml:space="preserve"> </w:t>
      </w:r>
      <w:r w:rsidRPr="00621959">
        <w:rPr>
          <w:rFonts w:hint="cs"/>
          <w:rtl/>
        </w:rPr>
        <w:t xml:space="preserve">والمجتمعات </w:t>
      </w:r>
      <w:r w:rsidRPr="00621959">
        <w:rPr>
          <w:rtl/>
        </w:rPr>
        <w:t>الريفية التي تخدمها مراكز التحول الرقمي. ويشمل ذلك الطلاب، والأشخاص ذوي الإعاقة (وخاصة</w:t>
      </w:r>
      <w:r w:rsidR="008741C8">
        <w:rPr>
          <w:rFonts w:hint="cs"/>
          <w:rtl/>
        </w:rPr>
        <w:t>ً</w:t>
      </w:r>
      <w:r w:rsidRPr="00621959">
        <w:rPr>
          <w:rtl/>
        </w:rPr>
        <w:t xml:space="preserve"> ذوي الإعاقة البصرية)، والشباب، بالإضافة إلى المؤسسات </w:t>
      </w:r>
      <w:r w:rsidRPr="00621959">
        <w:rPr>
          <w:rFonts w:hint="cs"/>
          <w:rtl/>
        </w:rPr>
        <w:t>بالغة الصغر و</w:t>
      </w:r>
      <w:r w:rsidRPr="00621959">
        <w:rPr>
          <w:rtl/>
        </w:rPr>
        <w:t>الصغيرة والمتوسطة. كما تلقى المدربون والمعلمون دعماً لبناء القدرات لضمان تقديم تدريب عالي الجودة في هذه المجتمعات.</w:t>
      </w:r>
    </w:p>
    <w:p w14:paraId="1A45E45A" w14:textId="77777777" w:rsidR="00621959" w:rsidRPr="00621959" w:rsidRDefault="00621959" w:rsidP="008A5A1B">
      <w:pPr>
        <w:rPr>
          <w:lang w:val="en-GB" w:bidi="ar-EG"/>
        </w:rPr>
      </w:pPr>
      <w:r w:rsidRPr="00621959">
        <w:rPr>
          <w:rtl/>
        </w:rPr>
        <w:t>وفي إطار المبادرة، ييسر الاتحاد وشركة سيسكو فرص التواصل لمراكز التحول الرقمي من خلال تنظيم ورش عمل حضورية واجتماعات افتراضية سنوياً. وتسهم هذه الاجتماعات في تعزيز شبكة مراكز التحول الرقمي العالمية، وتوفر منصة لمناقشة التنفيذ، واستعراض التقدم المحرز والإنجازات</w:t>
      </w:r>
      <w:r w:rsidRPr="00621959">
        <w:rPr>
          <w:rFonts w:hint="cs"/>
          <w:rtl/>
        </w:rPr>
        <w:t xml:space="preserve"> التي تحققت</w:t>
      </w:r>
      <w:r w:rsidRPr="00621959">
        <w:rPr>
          <w:rtl/>
        </w:rPr>
        <w:t xml:space="preserve">، واستكشاف أفكار جديدة لدعم عمل مراكز التحول الرقمي. وفي الأعوام 2023 و2024 و2025، </w:t>
      </w:r>
      <w:r w:rsidRPr="00621959">
        <w:rPr>
          <w:rFonts w:hint="cs"/>
          <w:rtl/>
        </w:rPr>
        <w:t xml:space="preserve">نُظمت </w:t>
      </w:r>
      <w:r w:rsidRPr="00621959">
        <w:rPr>
          <w:rtl/>
        </w:rPr>
        <w:t>ورش عمل عالمية لمراكز التحول الرقمي استضافت</w:t>
      </w:r>
      <w:r w:rsidRPr="00621959">
        <w:rPr>
          <w:rFonts w:hint="cs"/>
          <w:rtl/>
        </w:rPr>
        <w:t>ها</w:t>
      </w:r>
      <w:r w:rsidRPr="00621959">
        <w:rPr>
          <w:rtl/>
        </w:rPr>
        <w:t xml:space="preserve"> </w:t>
      </w:r>
      <w:r w:rsidRPr="00621959">
        <w:rPr>
          <w:rFonts w:hint="cs"/>
          <w:rtl/>
        </w:rPr>
        <w:t>إدارة</w:t>
      </w:r>
      <w:r w:rsidRPr="00621959">
        <w:rPr>
          <w:rtl/>
        </w:rPr>
        <w:t xml:space="preserve"> تكنولوجيا المعلومات والاتصالات (مركز التحول الرقمي في جمهورية الفلبين)</w:t>
      </w:r>
      <w:r w:rsidRPr="00621959">
        <w:rPr>
          <w:rFonts w:hint="cs"/>
          <w:rtl/>
        </w:rPr>
        <w:t>؛</w:t>
      </w:r>
      <w:r w:rsidRPr="00621959">
        <w:rPr>
          <w:rtl/>
        </w:rPr>
        <w:t xml:space="preserve"> ومركز التدريب والت</w:t>
      </w:r>
      <w:r w:rsidRPr="00621959">
        <w:rPr>
          <w:rFonts w:hint="cs"/>
          <w:rtl/>
        </w:rPr>
        <w:t>نمية</w:t>
      </w:r>
      <w:r w:rsidRPr="00621959">
        <w:rPr>
          <w:rtl/>
        </w:rPr>
        <w:t xml:space="preserve"> في مجال تكنولوجيا المعلومات والاتصالات التابع لوزارة الاتصالات والشؤون الرقمية (مركز التحول الرقمي في إندونيسيا)، وذلك بالتعاون مع شركة </w:t>
      </w:r>
      <w:r w:rsidRPr="00621959">
        <w:rPr>
          <w:lang w:val="en-GB" w:bidi="ar-EG"/>
        </w:rPr>
        <w:t>Indosat Ooredoo Hutchison</w:t>
      </w:r>
      <w:r w:rsidRPr="00621959">
        <w:rPr>
          <w:rFonts w:hint="cs"/>
          <w:rtl/>
        </w:rPr>
        <w:t>؛</w:t>
      </w:r>
      <w:r w:rsidRPr="00621959">
        <w:rPr>
          <w:rtl/>
        </w:rPr>
        <w:t xml:space="preserve"> ومراكز التكنولوجيا المجتمعية (</w:t>
      </w:r>
      <w:r w:rsidRPr="00621959">
        <w:rPr>
          <w:lang w:val="en-GB" w:bidi="ar-EG"/>
        </w:rPr>
        <w:t xml:space="preserve">Centros </w:t>
      </w:r>
      <w:proofErr w:type="spellStart"/>
      <w:r w:rsidRPr="00621959">
        <w:rPr>
          <w:lang w:val="en-GB" w:bidi="ar-EG"/>
        </w:rPr>
        <w:t>Tecnológicos</w:t>
      </w:r>
      <w:proofErr w:type="spellEnd"/>
      <w:r w:rsidRPr="00621959">
        <w:rPr>
          <w:lang w:val="en-GB" w:bidi="ar-EG"/>
        </w:rPr>
        <w:t xml:space="preserve"> </w:t>
      </w:r>
      <w:proofErr w:type="spellStart"/>
      <w:r w:rsidRPr="00621959">
        <w:rPr>
          <w:lang w:val="en-GB" w:bidi="ar-EG"/>
        </w:rPr>
        <w:t>Comunitarios</w:t>
      </w:r>
      <w:proofErr w:type="spellEnd"/>
      <w:r w:rsidRPr="00621959">
        <w:rPr>
          <w:rtl/>
        </w:rPr>
        <w:t xml:space="preserve"> – مركز التحول الرقمي في </w:t>
      </w:r>
      <w:r w:rsidRPr="00621959">
        <w:rPr>
          <w:rFonts w:hint="cs"/>
          <w:rtl/>
        </w:rPr>
        <w:t>ال</w:t>
      </w:r>
      <w:r w:rsidRPr="00621959">
        <w:rPr>
          <w:rtl/>
        </w:rPr>
        <w:t xml:space="preserve">جمهورية </w:t>
      </w:r>
      <w:proofErr w:type="spellStart"/>
      <w:r w:rsidRPr="00621959">
        <w:rPr>
          <w:rtl/>
        </w:rPr>
        <w:t>الدومينيك</w:t>
      </w:r>
      <w:r w:rsidRPr="00621959">
        <w:rPr>
          <w:rFonts w:hint="cs"/>
          <w:rtl/>
        </w:rPr>
        <w:t>ية</w:t>
      </w:r>
      <w:proofErr w:type="spellEnd"/>
      <w:r w:rsidRPr="00621959">
        <w:rPr>
          <w:rtl/>
        </w:rPr>
        <w:t xml:space="preserve">) بالتعاون مع معهد الاتصالات في </w:t>
      </w:r>
      <w:r w:rsidRPr="00621959">
        <w:rPr>
          <w:rFonts w:hint="cs"/>
          <w:rtl/>
        </w:rPr>
        <w:t>ال</w:t>
      </w:r>
      <w:r w:rsidRPr="00621959">
        <w:rPr>
          <w:rtl/>
        </w:rPr>
        <w:t xml:space="preserve">جمهورية </w:t>
      </w:r>
      <w:proofErr w:type="spellStart"/>
      <w:r w:rsidRPr="00621959">
        <w:rPr>
          <w:rtl/>
        </w:rPr>
        <w:t>الدومينيك</w:t>
      </w:r>
      <w:r w:rsidRPr="00621959">
        <w:rPr>
          <w:rFonts w:hint="cs"/>
          <w:rtl/>
        </w:rPr>
        <w:t>ية</w:t>
      </w:r>
      <w:proofErr w:type="spellEnd"/>
      <w:r w:rsidRPr="00621959">
        <w:rPr>
          <w:rtl/>
        </w:rPr>
        <w:t xml:space="preserve"> (</w:t>
      </w:r>
      <w:r w:rsidRPr="00621959">
        <w:rPr>
          <w:lang w:val="en-GB" w:bidi="ar-EG"/>
        </w:rPr>
        <w:t>INDOTEL</w:t>
      </w:r>
      <w:r w:rsidRPr="00621959">
        <w:rPr>
          <w:rtl/>
        </w:rPr>
        <w:t>). وتتيح هذه الاجتماعات فرصة لمراكز التحول الرقمي للتواصل فيما بينها بانتظام، ول</w:t>
      </w:r>
      <w:r w:rsidRPr="00621959">
        <w:rPr>
          <w:rFonts w:hint="cs"/>
          <w:rtl/>
        </w:rPr>
        <w:t xml:space="preserve">مواصلة </w:t>
      </w:r>
      <w:r w:rsidRPr="00621959">
        <w:rPr>
          <w:rtl/>
        </w:rPr>
        <w:t>تعزيز مجتمعها.</w:t>
      </w:r>
    </w:p>
    <w:p w14:paraId="065612C9" w14:textId="7ED704B4" w:rsidR="00621959" w:rsidRPr="00621959" w:rsidRDefault="00621959" w:rsidP="008A5A1B">
      <w:pPr>
        <w:rPr>
          <w:lang w:val="en-GB" w:bidi="ar-EG"/>
        </w:rPr>
      </w:pPr>
      <w:r w:rsidRPr="00621959">
        <w:rPr>
          <w:rtl/>
        </w:rPr>
        <w:t xml:space="preserve">ويعد منتدى الاتحاد للمهارات الرقمية حدثاً عالمياً </w:t>
      </w:r>
      <w:r w:rsidRPr="00621959">
        <w:rPr>
          <w:rFonts w:hint="cs"/>
          <w:rtl/>
        </w:rPr>
        <w:t>أساس</w:t>
      </w:r>
      <w:r w:rsidRPr="00621959">
        <w:rPr>
          <w:rtl/>
        </w:rPr>
        <w:t>ياً لأعضاء الاتحاد وأصحاب المصلحة الآخرين، حيث ت</w:t>
      </w:r>
      <w:r w:rsidRPr="00621959">
        <w:rPr>
          <w:rFonts w:hint="cs"/>
          <w:rtl/>
        </w:rPr>
        <w:t>ُ</w:t>
      </w:r>
      <w:r w:rsidRPr="00621959">
        <w:rPr>
          <w:rtl/>
        </w:rPr>
        <w:t xml:space="preserve">ناقش فيه الاحتياجات الأكثر إلحاحاً بهدف </w:t>
      </w:r>
      <w:r w:rsidRPr="00621959">
        <w:rPr>
          <w:rFonts w:hint="cs"/>
          <w:rtl/>
        </w:rPr>
        <w:t>الإلمام ب</w:t>
      </w:r>
      <w:r w:rsidRPr="00621959">
        <w:rPr>
          <w:rtl/>
        </w:rPr>
        <w:t xml:space="preserve">المهارات الرقمية على مستوى العالم وسد الفجوة العالمية في </w:t>
      </w:r>
      <w:r w:rsidRPr="00621959">
        <w:rPr>
          <w:rFonts w:hint="cs"/>
          <w:rtl/>
        </w:rPr>
        <w:t>المهارات الرقمية</w:t>
      </w:r>
      <w:r w:rsidRPr="00621959">
        <w:rPr>
          <w:rtl/>
        </w:rPr>
        <w:t xml:space="preserve">. وعقد </w:t>
      </w:r>
      <w:hyperlink r:id="rId260" w:history="1">
        <w:r w:rsidRPr="00621959">
          <w:rPr>
            <w:rStyle w:val="Hyperlink"/>
            <w:noProof w:val="0"/>
            <w:rtl/>
            <w:lang w:val="en-US" w:eastAsia="zh-CN"/>
          </w:rPr>
          <w:t>منتدى الاتحاد للمهارات الرقمي</w:t>
        </w:r>
        <w:r w:rsidRPr="00621959">
          <w:rPr>
            <w:rStyle w:val="Hyperlink"/>
            <w:rFonts w:hint="cs"/>
            <w:noProof w:val="0"/>
            <w:rtl/>
            <w:lang w:val="en-US" w:eastAsia="zh-CN"/>
          </w:rPr>
          <w:t xml:space="preserve">ة لعام </w:t>
        </w:r>
        <w:r w:rsidRPr="00621959">
          <w:rPr>
            <w:rStyle w:val="Hyperlink"/>
            <w:noProof w:val="0"/>
            <w:rtl/>
            <w:lang w:val="en-US" w:eastAsia="zh-CN"/>
          </w:rPr>
          <w:t>2024</w:t>
        </w:r>
      </w:hyperlink>
      <w:r w:rsidRPr="00621959">
        <w:rPr>
          <w:rtl/>
        </w:rPr>
        <w:t xml:space="preserve"> في المنامة، البحرين، في الفترة من 17 إلى 19 سبتمبر 2024. ونظمه الاتحاد واستضافته هيئة تنظيم الاتصالات</w:t>
      </w:r>
      <w:r w:rsidR="00393CB8">
        <w:rPr>
          <w:rFonts w:hint="cs"/>
          <w:rtl/>
          <w:lang w:bidi="ar-EG"/>
        </w:rPr>
        <w:t xml:space="preserve"> </w:t>
      </w:r>
      <w:r w:rsidR="00393CB8">
        <w:rPr>
          <w:lang w:bidi="ar-EG"/>
        </w:rPr>
        <w:t>(TRA)</w:t>
      </w:r>
      <w:r w:rsidRPr="00621959">
        <w:rPr>
          <w:rtl/>
        </w:rPr>
        <w:t xml:space="preserve"> في مملكة البحرين. وتحت </w:t>
      </w:r>
      <w:r w:rsidRPr="00621959">
        <w:rPr>
          <w:rFonts w:hint="cs"/>
          <w:rtl/>
        </w:rPr>
        <w:t>عنوان</w:t>
      </w:r>
      <w:r w:rsidRPr="00621959">
        <w:rPr>
          <w:rtl/>
        </w:rPr>
        <w:t xml:space="preserve"> "</w:t>
      </w:r>
      <w:r w:rsidRPr="00621959">
        <w:rPr>
          <w:rFonts w:hint="cs"/>
          <w:rtl/>
        </w:rPr>
        <w:t>تنمية</w:t>
      </w:r>
      <w:r w:rsidRPr="00621959">
        <w:rPr>
          <w:rtl/>
        </w:rPr>
        <w:t xml:space="preserve"> المهارات اللازمة للتحول الرقمي"، جمع المنتدى أكثر من 700 مشارك من 66 بلداً، </w:t>
      </w:r>
      <w:r w:rsidRPr="00621959">
        <w:rPr>
          <w:rFonts w:hint="cs"/>
          <w:rtl/>
        </w:rPr>
        <w:t xml:space="preserve">وتضمن </w:t>
      </w:r>
      <w:r w:rsidRPr="00621959">
        <w:rPr>
          <w:rtl/>
        </w:rPr>
        <w:t>مشاركة حضورية وافتراضية، من مؤسسات عامة وخاصة، وجامعات ومراكز بحثية، ومنظمات إقليمية ودولية أخرى.</w:t>
      </w:r>
    </w:p>
    <w:p w14:paraId="2F1B6470" w14:textId="7BD1A974" w:rsidR="00621959" w:rsidRPr="00621959" w:rsidRDefault="00621959" w:rsidP="008A5A1B">
      <w:pPr>
        <w:rPr>
          <w:lang w:val="en-GB" w:bidi="ar-EG"/>
        </w:rPr>
      </w:pPr>
      <w:r w:rsidRPr="00621959">
        <w:rPr>
          <w:rtl/>
        </w:rPr>
        <w:t>وأطلقت مجموعة</w:t>
      </w:r>
      <w:r w:rsidRPr="00621959">
        <w:rPr>
          <w:u w:val="single"/>
          <w:rtl/>
        </w:rPr>
        <w:t xml:space="preserve"> </w:t>
      </w:r>
      <w:hyperlink r:id="rId261" w:anchor="/ar" w:history="1">
        <w:r w:rsidRPr="00621959">
          <w:rPr>
            <w:rStyle w:val="Hyperlink"/>
            <w:noProof w:val="0"/>
            <w:rtl/>
            <w:lang w:val="en-US" w:eastAsia="zh-CN"/>
          </w:rPr>
          <w:t>أدوات الاتحاد للمهارات الرقمية</w:t>
        </w:r>
        <w:r w:rsidRPr="00621959">
          <w:rPr>
            <w:rStyle w:val="Hyperlink"/>
            <w:rFonts w:hint="cs"/>
            <w:noProof w:val="0"/>
            <w:rtl/>
            <w:lang w:val="en-US" w:eastAsia="zh-CN"/>
          </w:rPr>
          <w:t xml:space="preserve"> لعام</w:t>
        </w:r>
        <w:r w:rsidRPr="00621959">
          <w:rPr>
            <w:rStyle w:val="Hyperlink"/>
            <w:noProof w:val="0"/>
            <w:rtl/>
            <w:lang w:val="en-US" w:eastAsia="zh-CN"/>
          </w:rPr>
          <w:t xml:space="preserve"> 2024</w:t>
        </w:r>
      </w:hyperlink>
      <w:r w:rsidRPr="00621959">
        <w:rPr>
          <w:rtl/>
        </w:rPr>
        <w:t xml:space="preserve"> خلال منتدى</w:t>
      </w:r>
      <w:r w:rsidRPr="00621959">
        <w:rPr>
          <w:rFonts w:hint="cs"/>
          <w:rtl/>
        </w:rPr>
        <w:t xml:space="preserve"> المهارات الرقمية لعام 2024</w:t>
      </w:r>
      <w:r w:rsidRPr="00621959">
        <w:rPr>
          <w:rtl/>
        </w:rPr>
        <w:t>. وتقدم مجموعة</w:t>
      </w:r>
      <w:r w:rsidRPr="00621959">
        <w:rPr>
          <w:rFonts w:hint="cs"/>
          <w:rtl/>
        </w:rPr>
        <w:t xml:space="preserve"> الأدوات</w:t>
      </w:r>
      <w:r w:rsidRPr="00621959">
        <w:rPr>
          <w:rtl/>
        </w:rPr>
        <w:t xml:space="preserve"> دليلاً شاملاً ومفصلاً خطوة بخطوة لدعم أعضاء الاتحاد في وضع استراتيجيات وسياسات وطنية فعالة </w:t>
      </w:r>
      <w:r w:rsidRPr="00621959">
        <w:rPr>
          <w:rFonts w:hint="cs"/>
          <w:rtl/>
        </w:rPr>
        <w:t>بشأن ا</w:t>
      </w:r>
      <w:r w:rsidRPr="00621959">
        <w:rPr>
          <w:rtl/>
        </w:rPr>
        <w:t>لمهارات الرقمية. ويوفر هذا المورد العملي رؤى وأمثلة قابلة للتطبيق، مما يجعله أداة قيمة للبلدان في جميع مراحل التنمية الرقمية. و</w:t>
      </w:r>
      <w:r w:rsidRPr="00621959">
        <w:rPr>
          <w:rFonts w:hint="cs"/>
          <w:rtl/>
        </w:rPr>
        <w:t xml:space="preserve">قد </w:t>
      </w:r>
      <w:r w:rsidRPr="00621959">
        <w:rPr>
          <w:rtl/>
        </w:rPr>
        <w:t xml:space="preserve">تم </w:t>
      </w:r>
      <w:r w:rsidRPr="00621959">
        <w:rPr>
          <w:rFonts w:hint="cs"/>
          <w:rtl/>
        </w:rPr>
        <w:t>إعدا</w:t>
      </w:r>
      <w:r w:rsidRPr="00621959">
        <w:rPr>
          <w:rtl/>
        </w:rPr>
        <w:t>د دورة تدريبية عبر الإنترنت بشأن مجموعة الأدوات في عام 2025 وستكون متاحة اعتباراً من أوائل في عام 2026.</w:t>
      </w:r>
    </w:p>
    <w:p w14:paraId="48E8F81A" w14:textId="1EC50200" w:rsidR="00621959" w:rsidRPr="00621959" w:rsidRDefault="00621959" w:rsidP="008A5A1B">
      <w:pPr>
        <w:rPr>
          <w:lang w:val="en-GB" w:bidi="ar-EG"/>
        </w:rPr>
      </w:pPr>
      <w:r w:rsidRPr="00621959">
        <w:rPr>
          <w:rtl/>
        </w:rPr>
        <w:t>و</w:t>
      </w:r>
      <w:r w:rsidRPr="00621959">
        <w:rPr>
          <w:rFonts w:hint="cs"/>
          <w:rtl/>
        </w:rPr>
        <w:t>ي</w:t>
      </w:r>
      <w:r w:rsidRPr="00621959">
        <w:rPr>
          <w:rtl/>
        </w:rPr>
        <w:t xml:space="preserve">وفر </w:t>
      </w:r>
      <w:r w:rsidRPr="00621959">
        <w:rPr>
          <w:rFonts w:hint="cs"/>
          <w:rtl/>
        </w:rPr>
        <w:t xml:space="preserve">مكون تنمية القدرات من </w:t>
      </w:r>
      <w:r w:rsidRPr="00621959">
        <w:rPr>
          <w:rtl/>
        </w:rPr>
        <w:t>مبادرة سد الفجوة التقييسية</w:t>
      </w:r>
      <w:r w:rsidRPr="00621959">
        <w:rPr>
          <w:rFonts w:hint="cs"/>
          <w:rtl/>
        </w:rPr>
        <w:t xml:space="preserve"> </w:t>
      </w:r>
      <w:r w:rsidRPr="00621959">
        <w:rPr>
          <w:rtl/>
        </w:rPr>
        <w:t xml:space="preserve">مواد تدريبية متاحة عند الطلب عبر </w:t>
      </w:r>
      <w:hyperlink r:id="rId262" w:anchor="/ar" w:history="1">
        <w:r w:rsidRPr="00621959">
          <w:rPr>
            <w:rStyle w:val="Hyperlink"/>
            <w:noProof w:val="0"/>
            <w:rtl/>
            <w:lang w:val="en-US" w:eastAsia="zh-CN"/>
          </w:rPr>
          <w:t>موارد قطاع تقييس الاتصالات</w:t>
        </w:r>
      </w:hyperlink>
      <w:r w:rsidRPr="00621959">
        <w:rPr>
          <w:rtl/>
        </w:rPr>
        <w:t>، باللغات الست كلما أمكن. ويستمر التعاون بين مك</w:t>
      </w:r>
      <w:r w:rsidRPr="00621959">
        <w:rPr>
          <w:rFonts w:hint="cs"/>
          <w:rtl/>
        </w:rPr>
        <w:t>تبي</w:t>
      </w:r>
      <w:r w:rsidRPr="00621959">
        <w:rPr>
          <w:rtl/>
        </w:rPr>
        <w:t xml:space="preserve"> تقييس و</w:t>
      </w:r>
      <w:r w:rsidRPr="00621959">
        <w:rPr>
          <w:rFonts w:hint="cs"/>
          <w:rtl/>
        </w:rPr>
        <w:t>تنمية الاتصالات با</w:t>
      </w:r>
      <w:r w:rsidRPr="00621959">
        <w:rPr>
          <w:rtl/>
        </w:rPr>
        <w:t>لاتحاد والمكاتب الإقليمية للاتحاد لرفع مستوى الوعي وبناء القدرات على المستوى الإقليمي.</w:t>
      </w:r>
    </w:p>
    <w:p w14:paraId="2C82C800" w14:textId="0F76755D" w:rsidR="00621959" w:rsidRPr="00621959" w:rsidRDefault="00621959" w:rsidP="008A5A1B">
      <w:pPr>
        <w:rPr>
          <w:lang w:val="en-GB" w:bidi="ar-EG"/>
        </w:rPr>
      </w:pPr>
      <w:r w:rsidRPr="00621959">
        <w:rPr>
          <w:rFonts w:hint="cs"/>
          <w:rtl/>
        </w:rPr>
        <w:t>و</w:t>
      </w:r>
      <w:r w:rsidRPr="00621959">
        <w:rPr>
          <w:rtl/>
        </w:rPr>
        <w:t>يمكن الاطلاع على مثال آخر ل</w:t>
      </w:r>
      <w:r w:rsidRPr="00621959">
        <w:rPr>
          <w:rFonts w:hint="cs"/>
          <w:rtl/>
        </w:rPr>
        <w:t>ل</w:t>
      </w:r>
      <w:r w:rsidRPr="00621959">
        <w:rPr>
          <w:rtl/>
        </w:rPr>
        <w:t>برامج و</w:t>
      </w:r>
      <w:r w:rsidRPr="00621959">
        <w:rPr>
          <w:rFonts w:hint="cs"/>
          <w:rtl/>
        </w:rPr>
        <w:t>ال</w:t>
      </w:r>
      <w:r w:rsidRPr="00621959">
        <w:rPr>
          <w:rtl/>
        </w:rPr>
        <w:t xml:space="preserve">مبادرات </w:t>
      </w:r>
      <w:r w:rsidRPr="00621959">
        <w:rPr>
          <w:rFonts w:hint="cs"/>
          <w:rtl/>
        </w:rPr>
        <w:t xml:space="preserve">الجارية </w:t>
      </w:r>
      <w:r w:rsidRPr="006336CD">
        <w:rPr>
          <w:rFonts w:hint="cs"/>
          <w:rtl/>
        </w:rPr>
        <w:t>ل</w:t>
      </w:r>
      <w:r w:rsidRPr="006336CD">
        <w:rPr>
          <w:rtl/>
        </w:rPr>
        <w:t xml:space="preserve">بناء القدرات في القسم </w:t>
      </w:r>
      <w:hyperlink w:anchor="_2.8.4_الذكاء_الاصطناعي" w:history="1">
        <w:r w:rsidRPr="006336CD">
          <w:rPr>
            <w:rStyle w:val="Hyperlink"/>
            <w:noProof w:val="0"/>
            <w:rtl/>
            <w:lang w:val="en-US" w:eastAsia="zh-CN"/>
          </w:rPr>
          <w:t>2.8.4</w:t>
        </w:r>
      </w:hyperlink>
      <w:r w:rsidRPr="006336CD">
        <w:rPr>
          <w:rFonts w:hint="cs"/>
          <w:rtl/>
        </w:rPr>
        <w:t>. (</w:t>
      </w:r>
      <w:hyperlink r:id="rId263" w:anchor="/ar" w:history="1">
        <w:r w:rsidRPr="00621959">
          <w:rPr>
            <w:rStyle w:val="Hyperlink"/>
            <w:noProof w:val="0"/>
            <w:rtl/>
            <w:lang w:val="en-US" w:eastAsia="zh-CN"/>
          </w:rPr>
          <w:t>تحالف مهارات الذكاء الاصطناعي</w:t>
        </w:r>
      </w:hyperlink>
      <w:r w:rsidRPr="00621959">
        <w:rPr>
          <w:rFonts w:hint="cs"/>
          <w:rtl/>
        </w:rPr>
        <w:t>).</w:t>
      </w:r>
      <w:r w:rsidRPr="00621959">
        <w:rPr>
          <w:rtl/>
        </w:rPr>
        <w:t xml:space="preserve"> كما يمكن الاطلاع على مثال أخير في القسم </w:t>
      </w:r>
      <w:hyperlink w:anchor="_5.5_الشراكات_والتعاون" w:history="1">
        <w:r w:rsidRPr="006336CD">
          <w:rPr>
            <w:rStyle w:val="Hyperlink"/>
            <w:noProof w:val="0"/>
            <w:rtl/>
            <w:lang w:val="en-US" w:eastAsia="zh-CN"/>
          </w:rPr>
          <w:t>5.5</w:t>
        </w:r>
      </w:hyperlink>
      <w:r w:rsidRPr="00621959">
        <w:rPr>
          <w:rtl/>
        </w:rPr>
        <w:t xml:space="preserve">، الذي يوضح كيف تستند مبادرة </w:t>
      </w:r>
      <w:r w:rsidRPr="00621959">
        <w:rPr>
          <w:lang w:val="en-GB" w:bidi="ar-EG"/>
        </w:rPr>
        <w:t>Giga</w:t>
      </w:r>
      <w:r w:rsidRPr="00621959">
        <w:rPr>
          <w:rtl/>
        </w:rPr>
        <w:t xml:space="preserve"> </w:t>
      </w:r>
      <w:r w:rsidRPr="00621959">
        <w:rPr>
          <w:rFonts w:hint="cs"/>
          <w:rtl/>
        </w:rPr>
        <w:t>لتوصيلية</w:t>
      </w:r>
      <w:r w:rsidRPr="00621959">
        <w:rPr>
          <w:rtl/>
        </w:rPr>
        <w:t xml:space="preserve"> المدارس بشبكة الإنترنت إلى برامج تنمية القدرات مع الحكومات وأصحاب المصلحة، بالاستفادة من منصة أكاديمية الاتحاد.</w:t>
      </w:r>
    </w:p>
    <w:p w14:paraId="303F7793" w14:textId="77777777" w:rsidR="00621959" w:rsidRPr="00621959" w:rsidRDefault="00621959" w:rsidP="00393CB8">
      <w:pPr>
        <w:pStyle w:val="Heading2"/>
        <w:rPr>
          <w:lang w:val="en-GB" w:bidi="ar-EG"/>
        </w:rPr>
      </w:pPr>
      <w:bookmarkStart w:id="80" w:name="_Toc227252592"/>
      <w:r w:rsidRPr="00621959">
        <w:rPr>
          <w:rtl/>
        </w:rPr>
        <w:t>7.4</w:t>
      </w:r>
      <w:r w:rsidRPr="00621959">
        <w:rPr>
          <w:rtl/>
        </w:rPr>
        <w:tab/>
        <w:t>تقديم المساعدة التقنية</w:t>
      </w:r>
      <w:bookmarkEnd w:id="80"/>
    </w:p>
    <w:p w14:paraId="0DDB1880" w14:textId="77777777" w:rsidR="00621959" w:rsidRPr="00621959" w:rsidRDefault="00621959" w:rsidP="008A5A1B">
      <w:pPr>
        <w:rPr>
          <w:lang w:val="en-GB" w:bidi="ar-EG"/>
        </w:rPr>
      </w:pPr>
      <w:r w:rsidRPr="00621959">
        <w:rPr>
          <w:rtl/>
        </w:rPr>
        <w:t xml:space="preserve">إلى جانب تقديم الخبرة التقنية </w:t>
      </w:r>
      <w:r w:rsidRPr="00621959">
        <w:rPr>
          <w:rFonts w:hint="cs"/>
          <w:rtl/>
        </w:rPr>
        <w:t xml:space="preserve">المكثفة </w:t>
      </w:r>
      <w:r w:rsidRPr="00621959">
        <w:rPr>
          <w:rtl/>
        </w:rPr>
        <w:t xml:space="preserve">والتنسيق بصفته وكالة متخصصة تابعة للأمم المتحدة، </w:t>
      </w:r>
      <w:r w:rsidRPr="00621959">
        <w:rPr>
          <w:rFonts w:hint="cs"/>
          <w:rtl/>
        </w:rPr>
        <w:t>ي</w:t>
      </w:r>
      <w:r w:rsidRPr="00621959">
        <w:rPr>
          <w:rtl/>
        </w:rPr>
        <w:t xml:space="preserve">عمل </w:t>
      </w:r>
      <w:r w:rsidRPr="00621959">
        <w:rPr>
          <w:rFonts w:hint="cs"/>
          <w:rtl/>
        </w:rPr>
        <w:t>الاتحاد</w:t>
      </w:r>
      <w:r w:rsidRPr="00621959">
        <w:rPr>
          <w:rtl/>
        </w:rPr>
        <w:t xml:space="preserve"> كجهة منفذة لمشاريع التنمية الرقمية التي تهدف إلى ضمان استفادة الجميع في كل مكان من </w:t>
      </w:r>
      <w:r w:rsidRPr="00621959">
        <w:rPr>
          <w:rFonts w:hint="cs"/>
          <w:rtl/>
        </w:rPr>
        <w:t>التوصيلية</w:t>
      </w:r>
      <w:r w:rsidRPr="00621959">
        <w:rPr>
          <w:rtl/>
        </w:rPr>
        <w:t>.</w:t>
      </w:r>
    </w:p>
    <w:p w14:paraId="29478EAA" w14:textId="77777777" w:rsidR="00621959" w:rsidRPr="00621959" w:rsidRDefault="00621959" w:rsidP="008A5A1B">
      <w:pPr>
        <w:rPr>
          <w:lang w:val="en-GB" w:bidi="ar-EG"/>
        </w:rPr>
      </w:pPr>
      <w:r w:rsidRPr="00621959">
        <w:rPr>
          <w:rtl/>
        </w:rPr>
        <w:t>و</w:t>
      </w:r>
      <w:r w:rsidRPr="00621959">
        <w:rPr>
          <w:rFonts w:hint="cs"/>
          <w:rtl/>
        </w:rPr>
        <w:t>ي</w:t>
      </w:r>
      <w:r w:rsidRPr="00621959">
        <w:rPr>
          <w:rtl/>
        </w:rPr>
        <w:t xml:space="preserve">ضطلع </w:t>
      </w:r>
      <w:r w:rsidRPr="00621959">
        <w:rPr>
          <w:rFonts w:hint="cs"/>
          <w:rtl/>
        </w:rPr>
        <w:t>قطاع</w:t>
      </w:r>
      <w:r w:rsidRPr="00621959">
        <w:rPr>
          <w:rtl/>
        </w:rPr>
        <w:t xml:space="preserve"> تنمية الاتصالات بالوظيفة الرئيسية المتمثلة في تنفيذ المشاريع بموجب </w:t>
      </w:r>
      <w:r w:rsidRPr="00621959">
        <w:rPr>
          <w:rFonts w:hint="cs"/>
          <w:rtl/>
        </w:rPr>
        <w:t>ترتيبات</w:t>
      </w:r>
      <w:r w:rsidRPr="00621959">
        <w:rPr>
          <w:rtl/>
        </w:rPr>
        <w:t xml:space="preserve"> مبرمة مع الشركاء الممولين. وتهدف هذه المشاريع إلى تيسير وتعزيز تنمية الاتصالات من خلال تقديم أنشطة </w:t>
      </w:r>
      <w:proofErr w:type="gramStart"/>
      <w:r w:rsidRPr="00621959">
        <w:rPr>
          <w:rtl/>
        </w:rPr>
        <w:t>التعاون</w:t>
      </w:r>
      <w:proofErr w:type="gramEnd"/>
      <w:r w:rsidRPr="00621959">
        <w:rPr>
          <w:rtl/>
        </w:rPr>
        <w:t xml:space="preserve"> والمساعدة التقنية وتنظيمها وتنسيقها.</w:t>
      </w:r>
    </w:p>
    <w:p w14:paraId="3938D105" w14:textId="525A540A" w:rsidR="00621959" w:rsidRPr="00621959" w:rsidRDefault="00621959" w:rsidP="008A5A1B">
      <w:pPr>
        <w:rPr>
          <w:lang w:val="en-GB" w:bidi="ar-EG"/>
        </w:rPr>
      </w:pPr>
      <w:r w:rsidRPr="00621959">
        <w:rPr>
          <w:rtl/>
        </w:rPr>
        <w:t xml:space="preserve">وخلال عام 2025 وحده، نفذ </w:t>
      </w:r>
      <w:r w:rsidRPr="00621959">
        <w:rPr>
          <w:rFonts w:hint="cs"/>
          <w:rtl/>
        </w:rPr>
        <w:t>الاتحاد</w:t>
      </w:r>
      <w:r w:rsidRPr="00621959">
        <w:rPr>
          <w:rtl/>
        </w:rPr>
        <w:t xml:space="preserve"> (عبر مكتب تنمية الاتصالات) أو ساعد في تنفيذ 106 مشاريع بقيمة إجمالية </w:t>
      </w:r>
      <w:r w:rsidRPr="00621959">
        <w:rPr>
          <w:rFonts w:hint="cs"/>
          <w:rtl/>
        </w:rPr>
        <w:t>قدرها</w:t>
      </w:r>
      <w:r w:rsidR="008741C8">
        <w:rPr>
          <w:rFonts w:hint="cs"/>
          <w:rtl/>
        </w:rPr>
        <w:t> </w:t>
      </w:r>
      <w:r w:rsidRPr="00621959">
        <w:rPr>
          <w:rtl/>
        </w:rPr>
        <w:t>79</w:t>
      </w:r>
      <w:r w:rsidRPr="00621959">
        <w:rPr>
          <w:rFonts w:hint="cs"/>
          <w:rtl/>
        </w:rPr>
        <w:t>,</w:t>
      </w:r>
      <w:r w:rsidRPr="00621959">
        <w:rPr>
          <w:rtl/>
        </w:rPr>
        <w:t>7 مليون فرنك سويسري. و</w:t>
      </w:r>
      <w:r w:rsidR="00270125">
        <w:rPr>
          <w:rFonts w:hint="cs"/>
          <w:rtl/>
        </w:rPr>
        <w:t>أ</w:t>
      </w:r>
      <w:r w:rsidRPr="00621959">
        <w:rPr>
          <w:rtl/>
        </w:rPr>
        <w:t>كمل</w:t>
      </w:r>
      <w:r w:rsidRPr="00621959">
        <w:rPr>
          <w:rFonts w:hint="cs"/>
          <w:rtl/>
        </w:rPr>
        <w:t xml:space="preserve"> </w:t>
      </w:r>
      <w:r w:rsidRPr="00621959">
        <w:rPr>
          <w:rtl/>
        </w:rPr>
        <w:t xml:space="preserve">32 مشروعاً من هذه المشاريع </w:t>
      </w:r>
      <w:r w:rsidRPr="00621959">
        <w:rPr>
          <w:rFonts w:hint="cs"/>
          <w:rtl/>
        </w:rPr>
        <w:t xml:space="preserve">أنشطته </w:t>
      </w:r>
      <w:r w:rsidRPr="00621959">
        <w:rPr>
          <w:rtl/>
        </w:rPr>
        <w:t xml:space="preserve">خلال العام، بينما ستواصل المشاريع المتبقية </w:t>
      </w:r>
      <w:r w:rsidRPr="00621959">
        <w:rPr>
          <w:rFonts w:hint="cs"/>
          <w:rtl/>
        </w:rPr>
        <w:t xml:space="preserve">البالغة 74 مشروعاً </w:t>
      </w:r>
      <w:r w:rsidRPr="00621959">
        <w:rPr>
          <w:rtl/>
        </w:rPr>
        <w:t xml:space="preserve">تنفيذها وفقاً لوثائق المشاريع </w:t>
      </w:r>
      <w:r w:rsidRPr="006336CD">
        <w:rPr>
          <w:rtl/>
        </w:rPr>
        <w:t xml:space="preserve">الخاصة بها. ويوضح </w:t>
      </w:r>
      <w:hyperlink w:anchor="الجدول_لمحة_عامة" w:history="1">
        <w:r w:rsidR="00393CB8" w:rsidRPr="006336CD">
          <w:rPr>
            <w:rStyle w:val="Hyperlink"/>
            <w:rFonts w:hint="cs"/>
            <w:noProof w:val="0"/>
            <w:rtl/>
            <w:lang w:val="en-US" w:eastAsia="zh-CN" w:bidi="ar-EG"/>
          </w:rPr>
          <w:t>الجدول أدناه</w:t>
        </w:r>
      </w:hyperlink>
      <w:r w:rsidRPr="006336CD">
        <w:rPr>
          <w:rtl/>
        </w:rPr>
        <w:t xml:space="preserve"> التوزيع الإجمالي لهذه ال</w:t>
      </w:r>
      <w:r w:rsidRPr="006336CD">
        <w:rPr>
          <w:rFonts w:hint="cs"/>
          <w:rtl/>
        </w:rPr>
        <w:t>حافظة</w:t>
      </w:r>
      <w:r w:rsidRPr="006336CD">
        <w:rPr>
          <w:rtl/>
        </w:rPr>
        <w:t xml:space="preserve"> حسب المنطقة، ونظرة عامة على (1) الأموال التي تم</w:t>
      </w:r>
      <w:r w:rsidRPr="006336CD">
        <w:rPr>
          <w:rFonts w:hint="cs"/>
          <w:rtl/>
        </w:rPr>
        <w:t>ت</w:t>
      </w:r>
      <w:r w:rsidRPr="006336CD">
        <w:rPr>
          <w:rtl/>
        </w:rPr>
        <w:t xml:space="preserve"> تعبئ</w:t>
      </w:r>
      <w:r w:rsidRPr="006336CD">
        <w:rPr>
          <w:rFonts w:hint="cs"/>
          <w:rtl/>
        </w:rPr>
        <w:t>ت</w:t>
      </w:r>
      <w:r w:rsidRPr="006336CD">
        <w:rPr>
          <w:rtl/>
        </w:rPr>
        <w:t xml:space="preserve">ها لدعم تنفيذ هذه المشاريع، (2) التمويل الأولي الذي خصصه </w:t>
      </w:r>
      <w:r w:rsidRPr="006336CD">
        <w:rPr>
          <w:rFonts w:hint="cs"/>
          <w:rtl/>
        </w:rPr>
        <w:t>الاتحاد</w:t>
      </w:r>
      <w:r w:rsidRPr="006336CD">
        <w:rPr>
          <w:rtl/>
        </w:rPr>
        <w:t xml:space="preserve"> من صندوق تنمية تكنولوجيا المعلومات والاتصالات </w:t>
      </w:r>
      <w:r w:rsidRPr="006336CD">
        <w:rPr>
          <w:lang w:val="en-GB" w:bidi="ar-EG"/>
        </w:rPr>
        <w:t>(ICT-DF)</w:t>
      </w:r>
      <w:r w:rsidRPr="006336CD">
        <w:rPr>
          <w:rtl/>
        </w:rPr>
        <w:t>.</w:t>
      </w:r>
    </w:p>
    <w:p w14:paraId="13C27B00" w14:textId="6E56DDFE" w:rsidR="007C0894" w:rsidRPr="007C0894" w:rsidRDefault="007C0894" w:rsidP="007C0894">
      <w:pPr>
        <w:pStyle w:val="Tabletitle"/>
        <w:rPr>
          <w:lang w:bidi="ar-EG"/>
        </w:rPr>
      </w:pPr>
      <w:bookmarkStart w:id="81" w:name="الجدول_لمحة_عامة"/>
      <w:bookmarkEnd w:id="81"/>
      <w:bookmarkEnd w:id="55"/>
      <w:bookmarkEnd w:id="56"/>
      <w:bookmarkEnd w:id="57"/>
      <w:r w:rsidRPr="00FB505F">
        <w:rPr>
          <w:rtl/>
        </w:rPr>
        <w:t>لمحة عامة عن مشاريع قطاع تنمية الاتصالات والأنشطة ذات الصلة في عام 2025،</w:t>
      </w:r>
      <w:r w:rsidR="0089560B" w:rsidRPr="00FB505F">
        <w:rPr>
          <w:rtl/>
        </w:rPr>
        <w:t xml:space="preserve"> </w:t>
      </w:r>
      <w:r w:rsidR="00270125" w:rsidRPr="00FB505F">
        <w:rPr>
          <w:rtl/>
        </w:rPr>
        <w:br/>
      </w:r>
      <w:r w:rsidRPr="00FB505F">
        <w:rPr>
          <w:rtl/>
        </w:rPr>
        <w:t>بحسب المنطقة (الأرقام</w:t>
      </w:r>
      <w:r w:rsidRPr="00FB505F">
        <w:rPr>
          <w:rFonts w:hint="cs"/>
          <w:rtl/>
        </w:rPr>
        <w:t> </w:t>
      </w:r>
      <w:r w:rsidRPr="00FB505F">
        <w:rPr>
          <w:rtl/>
        </w:rPr>
        <w:t>بآلاف</w:t>
      </w:r>
      <w:r w:rsidRPr="00FB505F">
        <w:rPr>
          <w:rFonts w:hint="eastAsia"/>
          <w:rtl/>
          <w:lang w:bidi="ar-EG"/>
        </w:rPr>
        <w:t> </w:t>
      </w:r>
      <w:r w:rsidRPr="00FB505F">
        <w:rPr>
          <w:rtl/>
        </w:rPr>
        <w:t>الفرنكات السويسرية)</w:t>
      </w:r>
    </w:p>
    <w:tbl>
      <w:tblPr>
        <w:bidiVisual/>
        <w:tblW w:w="4450" w:type="pct"/>
        <w:jc w:val="center"/>
        <w:tblLayout w:type="fixed"/>
        <w:tblCellMar>
          <w:left w:w="10" w:type="dxa"/>
          <w:right w:w="10" w:type="dxa"/>
        </w:tblCellMar>
        <w:tblLook w:val="0000" w:firstRow="0" w:lastRow="0" w:firstColumn="0" w:lastColumn="0" w:noHBand="0" w:noVBand="0"/>
      </w:tblPr>
      <w:tblGrid>
        <w:gridCol w:w="2125"/>
        <w:gridCol w:w="1482"/>
        <w:gridCol w:w="1483"/>
        <w:gridCol w:w="1482"/>
        <w:gridCol w:w="1483"/>
      </w:tblGrid>
      <w:tr w:rsidR="00377903" w:rsidRPr="007C0894" w14:paraId="5ADDAB6C" w14:textId="77777777" w:rsidTr="007957C0">
        <w:trPr>
          <w:tblHeader/>
          <w:jc w:val="center"/>
        </w:trPr>
        <w:tc>
          <w:tcPr>
            <w:tcW w:w="2131" w:type="dxa"/>
            <w:tcBorders>
              <w:top w:val="single" w:sz="8" w:space="0" w:color="000000"/>
              <w:left w:val="single" w:sz="8" w:space="0" w:color="000000"/>
              <w:bottom w:val="single" w:sz="8" w:space="0" w:color="000000"/>
            </w:tcBorders>
            <w:shd w:val="clear" w:color="auto" w:fill="70A9E0"/>
            <w:noWrap/>
            <w:tcMar>
              <w:top w:w="0" w:type="dxa"/>
              <w:left w:w="108" w:type="dxa"/>
              <w:bottom w:w="0" w:type="dxa"/>
              <w:right w:w="108" w:type="dxa"/>
            </w:tcMar>
            <w:vAlign w:val="center"/>
          </w:tcPr>
          <w:p w14:paraId="26F5744F" w14:textId="77777777" w:rsidR="007C0894" w:rsidRPr="007C0894" w:rsidRDefault="007C0894" w:rsidP="007957C0">
            <w:pPr>
              <w:pStyle w:val="Tablehead"/>
              <w:spacing w:line="280" w:lineRule="exact"/>
              <w:rPr>
                <w:position w:val="2"/>
                <w:lang w:val="ar-SA" w:bidi="ar-EG"/>
              </w:rPr>
            </w:pPr>
            <w:r w:rsidRPr="007C0894">
              <w:rPr>
                <w:position w:val="2"/>
                <w:rtl/>
              </w:rPr>
              <w:t>المنطقة</w:t>
            </w:r>
          </w:p>
        </w:tc>
        <w:tc>
          <w:tcPr>
            <w:tcW w:w="1485" w:type="dxa"/>
            <w:tcBorders>
              <w:top w:val="single" w:sz="8" w:space="0" w:color="000000"/>
              <w:bottom w:val="single" w:sz="8" w:space="0" w:color="000000"/>
            </w:tcBorders>
            <w:shd w:val="clear" w:color="auto" w:fill="70A9E0"/>
            <w:noWrap/>
            <w:tcMar>
              <w:top w:w="0" w:type="dxa"/>
              <w:left w:w="108" w:type="dxa"/>
              <w:bottom w:w="0" w:type="dxa"/>
              <w:right w:w="108" w:type="dxa"/>
            </w:tcMar>
            <w:vAlign w:val="center"/>
          </w:tcPr>
          <w:p w14:paraId="317BD537" w14:textId="77777777" w:rsidR="007C0894" w:rsidRPr="007C0894" w:rsidRDefault="007C0894" w:rsidP="007957C0">
            <w:pPr>
              <w:pStyle w:val="Tablehead"/>
              <w:spacing w:line="280" w:lineRule="exact"/>
              <w:rPr>
                <w:position w:val="2"/>
                <w:lang w:val="ar-SA" w:bidi="ar-EG"/>
              </w:rPr>
            </w:pPr>
            <w:r w:rsidRPr="007C0894">
              <w:rPr>
                <w:position w:val="2"/>
                <w:rtl/>
              </w:rPr>
              <w:t>عدد المشاريع</w:t>
            </w:r>
          </w:p>
        </w:tc>
        <w:tc>
          <w:tcPr>
            <w:tcW w:w="1486" w:type="dxa"/>
            <w:tcBorders>
              <w:top w:val="single" w:sz="8" w:space="0" w:color="000000"/>
              <w:bottom w:val="single" w:sz="8" w:space="0" w:color="000000"/>
            </w:tcBorders>
            <w:shd w:val="clear" w:color="auto" w:fill="70A9E0"/>
            <w:noWrap/>
            <w:tcMar>
              <w:top w:w="0" w:type="dxa"/>
              <w:left w:w="108" w:type="dxa"/>
              <w:bottom w:w="0" w:type="dxa"/>
              <w:right w:w="108" w:type="dxa"/>
            </w:tcMar>
            <w:vAlign w:val="center"/>
          </w:tcPr>
          <w:p w14:paraId="76AF62A3" w14:textId="738DFEB7" w:rsidR="007C0894" w:rsidRPr="007C0894" w:rsidRDefault="007C0894" w:rsidP="007957C0">
            <w:pPr>
              <w:pStyle w:val="Tablehead"/>
              <w:spacing w:line="280" w:lineRule="exact"/>
              <w:rPr>
                <w:position w:val="2"/>
                <w:lang w:val="ar-SA" w:bidi="ar-EG"/>
              </w:rPr>
            </w:pPr>
            <w:r w:rsidRPr="007C0894">
              <w:rPr>
                <w:position w:val="2"/>
                <w:rtl/>
              </w:rPr>
              <w:t>التمويل المقدم من الشركاء</w:t>
            </w:r>
          </w:p>
        </w:tc>
        <w:tc>
          <w:tcPr>
            <w:tcW w:w="1485" w:type="dxa"/>
            <w:tcBorders>
              <w:top w:val="single" w:sz="8" w:space="0" w:color="000000"/>
              <w:bottom w:val="single" w:sz="8" w:space="0" w:color="000000"/>
            </w:tcBorders>
            <w:shd w:val="clear" w:color="auto" w:fill="70A9E0"/>
            <w:noWrap/>
            <w:tcMar>
              <w:top w:w="0" w:type="dxa"/>
              <w:left w:w="108" w:type="dxa"/>
              <w:bottom w:w="0" w:type="dxa"/>
              <w:right w:w="108" w:type="dxa"/>
            </w:tcMar>
            <w:vAlign w:val="center"/>
          </w:tcPr>
          <w:p w14:paraId="4168083E" w14:textId="2971AEB7" w:rsidR="007C0894" w:rsidRPr="007C0894" w:rsidRDefault="007C0894" w:rsidP="007957C0">
            <w:pPr>
              <w:pStyle w:val="Tablehead"/>
              <w:spacing w:line="280" w:lineRule="exact"/>
              <w:rPr>
                <w:position w:val="2"/>
                <w:lang w:val="ar-SA" w:bidi="ar-EG"/>
              </w:rPr>
            </w:pPr>
            <w:r w:rsidRPr="007C0894">
              <w:rPr>
                <w:position w:val="2"/>
                <w:rtl/>
              </w:rPr>
              <w:t>أموال الاتحاد</w:t>
            </w:r>
          </w:p>
        </w:tc>
        <w:tc>
          <w:tcPr>
            <w:tcW w:w="1486" w:type="dxa"/>
            <w:tcBorders>
              <w:top w:val="single" w:sz="8" w:space="0" w:color="000000"/>
              <w:bottom w:val="single" w:sz="8" w:space="0" w:color="000000"/>
              <w:right w:val="single" w:sz="8" w:space="0" w:color="000000"/>
            </w:tcBorders>
            <w:shd w:val="clear" w:color="auto" w:fill="70A9E0"/>
            <w:noWrap/>
            <w:tcMar>
              <w:top w:w="0" w:type="dxa"/>
              <w:left w:w="108" w:type="dxa"/>
              <w:bottom w:w="0" w:type="dxa"/>
              <w:right w:w="108" w:type="dxa"/>
            </w:tcMar>
            <w:vAlign w:val="center"/>
          </w:tcPr>
          <w:p w14:paraId="4F110445" w14:textId="77777777" w:rsidR="007C0894" w:rsidRPr="007C0894" w:rsidRDefault="007C0894" w:rsidP="007957C0">
            <w:pPr>
              <w:pStyle w:val="Tablehead"/>
              <w:spacing w:line="280" w:lineRule="exact"/>
              <w:rPr>
                <w:position w:val="2"/>
                <w:lang w:val="ar-SA" w:bidi="ar-EG"/>
              </w:rPr>
            </w:pPr>
            <w:r w:rsidRPr="007C0894">
              <w:rPr>
                <w:position w:val="2"/>
                <w:rtl/>
              </w:rPr>
              <w:t>التمويل الإجمالي للمشاريع</w:t>
            </w:r>
          </w:p>
        </w:tc>
      </w:tr>
      <w:tr w:rsidR="007C0894" w:rsidRPr="007C0894" w14:paraId="0209F058" w14:textId="77777777" w:rsidTr="002B748F">
        <w:trPr>
          <w:jc w:val="center"/>
        </w:trPr>
        <w:tc>
          <w:tcPr>
            <w:tcW w:w="2131" w:type="dxa"/>
            <w:tcBorders>
              <w:left w:val="single" w:sz="8" w:space="0" w:color="000000"/>
              <w:bottom w:val="single" w:sz="8" w:space="0" w:color="000000"/>
            </w:tcBorders>
            <w:tcMar>
              <w:top w:w="0" w:type="dxa"/>
              <w:left w:w="108" w:type="dxa"/>
              <w:bottom w:w="0" w:type="dxa"/>
              <w:right w:w="108" w:type="dxa"/>
            </w:tcMar>
          </w:tcPr>
          <w:p w14:paraId="05063EB5" w14:textId="7C875633" w:rsidR="007C0894" w:rsidRPr="004A3DBC" w:rsidRDefault="007C0894" w:rsidP="007957C0">
            <w:pPr>
              <w:pStyle w:val="Tabletexte"/>
              <w:spacing w:line="280" w:lineRule="exact"/>
              <w:rPr>
                <w:lang w:bidi="ar-EG"/>
              </w:rPr>
            </w:pPr>
            <w:r w:rsidRPr="004A3DBC">
              <w:rPr>
                <w:rtl/>
                <w:lang w:bidi="ar-SA"/>
              </w:rPr>
              <w:t>إفريقيا</w:t>
            </w:r>
          </w:p>
        </w:tc>
        <w:tc>
          <w:tcPr>
            <w:tcW w:w="1485" w:type="dxa"/>
            <w:tcBorders>
              <w:bottom w:val="single" w:sz="8" w:space="0" w:color="000000"/>
            </w:tcBorders>
            <w:noWrap/>
            <w:tcMar>
              <w:top w:w="0" w:type="dxa"/>
              <w:left w:w="108" w:type="dxa"/>
              <w:bottom w:w="0" w:type="dxa"/>
              <w:right w:w="108" w:type="dxa"/>
            </w:tcMar>
          </w:tcPr>
          <w:p w14:paraId="5BA04B84" w14:textId="77777777" w:rsidR="007C0894" w:rsidRPr="004A3DBC" w:rsidRDefault="007C0894" w:rsidP="007957C0">
            <w:pPr>
              <w:pStyle w:val="Tabletexte"/>
              <w:spacing w:line="280" w:lineRule="exact"/>
              <w:rPr>
                <w:lang w:bidi="ar-EG"/>
              </w:rPr>
            </w:pPr>
            <w:r w:rsidRPr="004A3DBC">
              <w:rPr>
                <w:lang w:bidi="ar-SA"/>
              </w:rPr>
              <w:t>20</w:t>
            </w:r>
          </w:p>
        </w:tc>
        <w:tc>
          <w:tcPr>
            <w:tcW w:w="1486" w:type="dxa"/>
            <w:tcBorders>
              <w:bottom w:val="single" w:sz="8" w:space="0" w:color="000000"/>
            </w:tcBorders>
            <w:tcMar>
              <w:top w:w="0" w:type="dxa"/>
              <w:left w:w="108" w:type="dxa"/>
              <w:bottom w:w="0" w:type="dxa"/>
              <w:right w:w="108" w:type="dxa"/>
            </w:tcMar>
          </w:tcPr>
          <w:p w14:paraId="2F7DF5C6" w14:textId="574ACDB3" w:rsidR="007C0894" w:rsidRPr="004A3DBC" w:rsidRDefault="007C0894" w:rsidP="007957C0">
            <w:pPr>
              <w:pStyle w:val="Tabletexte"/>
              <w:spacing w:line="280" w:lineRule="exact"/>
              <w:rPr>
                <w:lang w:bidi="ar-EG"/>
              </w:rPr>
            </w:pPr>
            <w:r w:rsidRPr="004A3DBC">
              <w:t>26</w:t>
            </w:r>
            <w:r w:rsidR="004A3DBC" w:rsidRPr="004A3DBC">
              <w:t> </w:t>
            </w:r>
            <w:r w:rsidRPr="004A3DBC">
              <w:t>917</w:t>
            </w:r>
            <w:r w:rsidR="004A3DBC" w:rsidRPr="004A3DBC">
              <w:t>,</w:t>
            </w:r>
            <w:r w:rsidRPr="004A3DBC">
              <w:t>7</w:t>
            </w:r>
          </w:p>
        </w:tc>
        <w:tc>
          <w:tcPr>
            <w:tcW w:w="1485" w:type="dxa"/>
            <w:tcBorders>
              <w:bottom w:val="single" w:sz="8" w:space="0" w:color="000000"/>
            </w:tcBorders>
            <w:tcMar>
              <w:top w:w="0" w:type="dxa"/>
              <w:left w:w="108" w:type="dxa"/>
              <w:bottom w:w="0" w:type="dxa"/>
              <w:right w:w="108" w:type="dxa"/>
            </w:tcMar>
          </w:tcPr>
          <w:p w14:paraId="0E4A7936" w14:textId="15F95BDF" w:rsidR="007C0894" w:rsidRPr="004A3DBC" w:rsidRDefault="007C0894" w:rsidP="007957C0">
            <w:pPr>
              <w:pStyle w:val="Tabletexte"/>
              <w:spacing w:line="280" w:lineRule="exact"/>
              <w:rPr>
                <w:lang w:bidi="ar-EG"/>
              </w:rPr>
            </w:pPr>
            <w:r w:rsidRPr="004A3DBC">
              <w:t>1</w:t>
            </w:r>
            <w:r w:rsidR="004A3DBC" w:rsidRPr="004A3DBC">
              <w:t> </w:t>
            </w:r>
            <w:r w:rsidRPr="004A3DBC">
              <w:t>505</w:t>
            </w:r>
            <w:r w:rsidR="004A3DBC" w:rsidRPr="004A3DBC">
              <w:t>,</w:t>
            </w:r>
            <w:r w:rsidRPr="004A3DBC">
              <w:t>4</w:t>
            </w:r>
          </w:p>
        </w:tc>
        <w:tc>
          <w:tcPr>
            <w:tcW w:w="1486" w:type="dxa"/>
            <w:tcBorders>
              <w:bottom w:val="single" w:sz="8" w:space="0" w:color="000000"/>
              <w:right w:val="single" w:sz="8" w:space="0" w:color="000000"/>
            </w:tcBorders>
            <w:shd w:val="clear" w:color="auto" w:fill="C1E4F5"/>
            <w:tcMar>
              <w:top w:w="0" w:type="dxa"/>
              <w:left w:w="108" w:type="dxa"/>
              <w:bottom w:w="0" w:type="dxa"/>
              <w:right w:w="108" w:type="dxa"/>
            </w:tcMar>
          </w:tcPr>
          <w:p w14:paraId="5A18BCA5" w14:textId="10B66CCF" w:rsidR="007C0894" w:rsidRPr="004A3DBC" w:rsidRDefault="007C0894" w:rsidP="007957C0">
            <w:pPr>
              <w:pStyle w:val="Tabletexte"/>
              <w:spacing w:line="280" w:lineRule="exact"/>
              <w:rPr>
                <w:lang w:bidi="ar-EG"/>
              </w:rPr>
            </w:pPr>
            <w:r w:rsidRPr="004A3DBC">
              <w:t>28</w:t>
            </w:r>
            <w:r w:rsidR="004A3DBC" w:rsidRPr="004A3DBC">
              <w:t> </w:t>
            </w:r>
            <w:r w:rsidRPr="004A3DBC">
              <w:t>423</w:t>
            </w:r>
            <w:r w:rsidR="004A3DBC" w:rsidRPr="004A3DBC">
              <w:t>,</w:t>
            </w:r>
            <w:r w:rsidRPr="004A3DBC">
              <w:t>2</w:t>
            </w:r>
          </w:p>
        </w:tc>
      </w:tr>
      <w:tr w:rsidR="007C0894" w:rsidRPr="007C0894" w14:paraId="3CF27329" w14:textId="77777777" w:rsidTr="002B748F">
        <w:trPr>
          <w:jc w:val="center"/>
        </w:trPr>
        <w:tc>
          <w:tcPr>
            <w:tcW w:w="2131" w:type="dxa"/>
            <w:tcBorders>
              <w:left w:val="single" w:sz="8" w:space="0" w:color="000000"/>
              <w:bottom w:val="single" w:sz="8" w:space="0" w:color="000000"/>
            </w:tcBorders>
            <w:tcMar>
              <w:top w:w="0" w:type="dxa"/>
              <w:left w:w="108" w:type="dxa"/>
              <w:bottom w:w="0" w:type="dxa"/>
              <w:right w:w="108" w:type="dxa"/>
            </w:tcMar>
          </w:tcPr>
          <w:p w14:paraId="525610BF" w14:textId="18291E97" w:rsidR="007C0894" w:rsidRPr="004A3DBC" w:rsidRDefault="007C0894" w:rsidP="007957C0">
            <w:pPr>
              <w:pStyle w:val="Tabletexte"/>
              <w:spacing w:line="280" w:lineRule="exact"/>
              <w:rPr>
                <w:lang w:bidi="ar-EG"/>
              </w:rPr>
            </w:pPr>
            <w:proofErr w:type="spellStart"/>
            <w:r w:rsidRPr="004A3DBC">
              <w:rPr>
                <w:rtl/>
                <w:lang w:bidi="ar-SA"/>
              </w:rPr>
              <w:t>الأمريكتان</w:t>
            </w:r>
            <w:proofErr w:type="spellEnd"/>
          </w:p>
        </w:tc>
        <w:tc>
          <w:tcPr>
            <w:tcW w:w="1485" w:type="dxa"/>
            <w:tcBorders>
              <w:bottom w:val="single" w:sz="8" w:space="0" w:color="000000"/>
            </w:tcBorders>
            <w:noWrap/>
            <w:tcMar>
              <w:top w:w="0" w:type="dxa"/>
              <w:left w:w="108" w:type="dxa"/>
              <w:bottom w:w="0" w:type="dxa"/>
              <w:right w:w="108" w:type="dxa"/>
            </w:tcMar>
          </w:tcPr>
          <w:p w14:paraId="4ACD52BE" w14:textId="77777777" w:rsidR="007C0894" w:rsidRPr="004A3DBC" w:rsidRDefault="007C0894" w:rsidP="007957C0">
            <w:pPr>
              <w:pStyle w:val="Tabletexte"/>
              <w:spacing w:line="280" w:lineRule="exact"/>
              <w:rPr>
                <w:lang w:bidi="ar-EG"/>
              </w:rPr>
            </w:pPr>
            <w:r w:rsidRPr="004A3DBC">
              <w:rPr>
                <w:lang w:bidi="ar-SA"/>
              </w:rPr>
              <w:t>16</w:t>
            </w:r>
          </w:p>
        </w:tc>
        <w:tc>
          <w:tcPr>
            <w:tcW w:w="1486" w:type="dxa"/>
            <w:tcBorders>
              <w:bottom w:val="single" w:sz="8" w:space="0" w:color="000000"/>
            </w:tcBorders>
            <w:tcMar>
              <w:top w:w="0" w:type="dxa"/>
              <w:left w:w="108" w:type="dxa"/>
              <w:bottom w:w="0" w:type="dxa"/>
              <w:right w:w="108" w:type="dxa"/>
            </w:tcMar>
          </w:tcPr>
          <w:p w14:paraId="41EC2E52" w14:textId="5B9C7C7F" w:rsidR="007C0894" w:rsidRPr="004A3DBC" w:rsidRDefault="007C0894" w:rsidP="007957C0">
            <w:pPr>
              <w:pStyle w:val="Tabletexte"/>
              <w:spacing w:line="280" w:lineRule="exact"/>
              <w:rPr>
                <w:lang w:bidi="ar-EG"/>
              </w:rPr>
            </w:pPr>
            <w:r w:rsidRPr="004A3DBC">
              <w:t>6</w:t>
            </w:r>
            <w:r w:rsidR="004A3DBC" w:rsidRPr="004A3DBC">
              <w:t> </w:t>
            </w:r>
            <w:r w:rsidRPr="004A3DBC">
              <w:t>241</w:t>
            </w:r>
            <w:r w:rsidR="004A3DBC" w:rsidRPr="004A3DBC">
              <w:t>,</w:t>
            </w:r>
            <w:r w:rsidRPr="004A3DBC">
              <w:t>1</w:t>
            </w:r>
          </w:p>
        </w:tc>
        <w:tc>
          <w:tcPr>
            <w:tcW w:w="1485" w:type="dxa"/>
            <w:tcBorders>
              <w:bottom w:val="single" w:sz="8" w:space="0" w:color="000000"/>
            </w:tcBorders>
            <w:tcMar>
              <w:top w:w="0" w:type="dxa"/>
              <w:left w:w="108" w:type="dxa"/>
              <w:bottom w:w="0" w:type="dxa"/>
              <w:right w:w="108" w:type="dxa"/>
            </w:tcMar>
          </w:tcPr>
          <w:p w14:paraId="1CB9DDD4" w14:textId="2CEC4698" w:rsidR="007C0894" w:rsidRPr="004A3DBC" w:rsidRDefault="007C0894" w:rsidP="007957C0">
            <w:pPr>
              <w:pStyle w:val="Tabletexte"/>
              <w:spacing w:line="280" w:lineRule="exact"/>
              <w:rPr>
                <w:lang w:bidi="ar-EG"/>
              </w:rPr>
            </w:pPr>
            <w:r w:rsidRPr="004A3DBC">
              <w:t>236</w:t>
            </w:r>
            <w:r w:rsidR="004A3DBC" w:rsidRPr="004A3DBC">
              <w:t>,</w:t>
            </w:r>
            <w:r w:rsidRPr="004A3DBC">
              <w:t>8</w:t>
            </w:r>
          </w:p>
        </w:tc>
        <w:tc>
          <w:tcPr>
            <w:tcW w:w="1486" w:type="dxa"/>
            <w:tcBorders>
              <w:bottom w:val="single" w:sz="8" w:space="0" w:color="000000"/>
              <w:right w:val="single" w:sz="8" w:space="0" w:color="000000"/>
            </w:tcBorders>
            <w:shd w:val="clear" w:color="auto" w:fill="C1E4F5"/>
            <w:tcMar>
              <w:top w:w="0" w:type="dxa"/>
              <w:left w:w="108" w:type="dxa"/>
              <w:bottom w:w="0" w:type="dxa"/>
              <w:right w:w="108" w:type="dxa"/>
            </w:tcMar>
          </w:tcPr>
          <w:p w14:paraId="217FBFEC" w14:textId="2E0C5BA9" w:rsidR="007C0894" w:rsidRPr="004A3DBC" w:rsidRDefault="007C0894" w:rsidP="007957C0">
            <w:pPr>
              <w:pStyle w:val="Tabletexte"/>
              <w:spacing w:line="280" w:lineRule="exact"/>
              <w:rPr>
                <w:lang w:bidi="ar-EG"/>
              </w:rPr>
            </w:pPr>
            <w:r w:rsidRPr="004A3DBC">
              <w:t>6</w:t>
            </w:r>
            <w:r w:rsidR="004A3DBC" w:rsidRPr="004A3DBC">
              <w:t> </w:t>
            </w:r>
            <w:r w:rsidRPr="004A3DBC">
              <w:t>477</w:t>
            </w:r>
            <w:r w:rsidR="004A3DBC" w:rsidRPr="004A3DBC">
              <w:t>,</w:t>
            </w:r>
            <w:r w:rsidRPr="004A3DBC">
              <w:t>9</w:t>
            </w:r>
          </w:p>
        </w:tc>
      </w:tr>
      <w:tr w:rsidR="007C0894" w:rsidRPr="007C0894" w14:paraId="4AD7BF5B" w14:textId="77777777" w:rsidTr="002B748F">
        <w:trPr>
          <w:jc w:val="center"/>
        </w:trPr>
        <w:tc>
          <w:tcPr>
            <w:tcW w:w="2131" w:type="dxa"/>
            <w:tcBorders>
              <w:left w:val="single" w:sz="8" w:space="0" w:color="000000"/>
              <w:bottom w:val="single" w:sz="8" w:space="0" w:color="000000"/>
            </w:tcBorders>
            <w:tcMar>
              <w:top w:w="0" w:type="dxa"/>
              <w:left w:w="108" w:type="dxa"/>
              <w:bottom w:w="0" w:type="dxa"/>
              <w:right w:w="108" w:type="dxa"/>
            </w:tcMar>
          </w:tcPr>
          <w:p w14:paraId="3C38CF1A" w14:textId="6AE96DE0" w:rsidR="007C0894" w:rsidRPr="004A3DBC" w:rsidRDefault="007C0894" w:rsidP="007957C0">
            <w:pPr>
              <w:pStyle w:val="Tabletexte"/>
              <w:spacing w:line="280" w:lineRule="exact"/>
              <w:rPr>
                <w:lang w:bidi="ar-EG"/>
              </w:rPr>
            </w:pPr>
            <w:r w:rsidRPr="004A3DBC">
              <w:rPr>
                <w:rtl/>
                <w:lang w:bidi="ar-SA"/>
              </w:rPr>
              <w:t>الدول العربية</w:t>
            </w:r>
          </w:p>
        </w:tc>
        <w:tc>
          <w:tcPr>
            <w:tcW w:w="1485" w:type="dxa"/>
            <w:tcBorders>
              <w:bottom w:val="single" w:sz="8" w:space="0" w:color="000000"/>
            </w:tcBorders>
            <w:tcMar>
              <w:top w:w="0" w:type="dxa"/>
              <w:left w:w="108" w:type="dxa"/>
              <w:bottom w:w="0" w:type="dxa"/>
              <w:right w:w="108" w:type="dxa"/>
            </w:tcMar>
          </w:tcPr>
          <w:p w14:paraId="6A6DDECD" w14:textId="77777777" w:rsidR="007C0894" w:rsidRPr="004A3DBC" w:rsidRDefault="007C0894" w:rsidP="007957C0">
            <w:pPr>
              <w:pStyle w:val="Tabletexte"/>
              <w:spacing w:line="280" w:lineRule="exact"/>
              <w:rPr>
                <w:lang w:bidi="ar-EG"/>
              </w:rPr>
            </w:pPr>
            <w:r w:rsidRPr="004A3DBC">
              <w:rPr>
                <w:lang w:bidi="ar-SA"/>
              </w:rPr>
              <w:t>6</w:t>
            </w:r>
          </w:p>
        </w:tc>
        <w:tc>
          <w:tcPr>
            <w:tcW w:w="1486" w:type="dxa"/>
            <w:tcBorders>
              <w:bottom w:val="single" w:sz="8" w:space="0" w:color="000000"/>
            </w:tcBorders>
            <w:tcMar>
              <w:top w:w="0" w:type="dxa"/>
              <w:left w:w="108" w:type="dxa"/>
              <w:bottom w:w="0" w:type="dxa"/>
              <w:right w:w="108" w:type="dxa"/>
            </w:tcMar>
          </w:tcPr>
          <w:p w14:paraId="14094DD2" w14:textId="4BDE39FD" w:rsidR="007C0894" w:rsidRPr="004A3DBC" w:rsidRDefault="007C0894" w:rsidP="007957C0">
            <w:pPr>
              <w:pStyle w:val="Tabletexte"/>
              <w:spacing w:line="280" w:lineRule="exact"/>
              <w:rPr>
                <w:lang w:bidi="ar-EG"/>
              </w:rPr>
            </w:pPr>
            <w:r w:rsidRPr="004A3DBC">
              <w:t>2</w:t>
            </w:r>
            <w:r w:rsidR="004A3DBC" w:rsidRPr="004A3DBC">
              <w:t> </w:t>
            </w:r>
            <w:r w:rsidRPr="004A3DBC">
              <w:t>568</w:t>
            </w:r>
            <w:r w:rsidR="004A3DBC" w:rsidRPr="004A3DBC">
              <w:t>,</w:t>
            </w:r>
            <w:r w:rsidRPr="004A3DBC">
              <w:t>9</w:t>
            </w:r>
          </w:p>
        </w:tc>
        <w:tc>
          <w:tcPr>
            <w:tcW w:w="1485" w:type="dxa"/>
            <w:tcBorders>
              <w:bottom w:val="single" w:sz="8" w:space="0" w:color="000000"/>
            </w:tcBorders>
            <w:tcMar>
              <w:top w:w="0" w:type="dxa"/>
              <w:left w:w="108" w:type="dxa"/>
              <w:bottom w:w="0" w:type="dxa"/>
              <w:right w:w="108" w:type="dxa"/>
            </w:tcMar>
          </w:tcPr>
          <w:p w14:paraId="43FB219E" w14:textId="301058EC" w:rsidR="007C0894" w:rsidRPr="004A3DBC" w:rsidRDefault="007C0894" w:rsidP="007957C0">
            <w:pPr>
              <w:pStyle w:val="Tabletexte"/>
              <w:spacing w:line="280" w:lineRule="exact"/>
              <w:rPr>
                <w:lang w:bidi="ar-EG"/>
              </w:rPr>
            </w:pPr>
            <w:r w:rsidRPr="004A3DBC">
              <w:t>696</w:t>
            </w:r>
            <w:r w:rsidR="004A3DBC" w:rsidRPr="004A3DBC">
              <w:t>,</w:t>
            </w:r>
            <w:r w:rsidRPr="004A3DBC">
              <w:t>8</w:t>
            </w:r>
          </w:p>
        </w:tc>
        <w:tc>
          <w:tcPr>
            <w:tcW w:w="1486" w:type="dxa"/>
            <w:tcBorders>
              <w:bottom w:val="single" w:sz="8" w:space="0" w:color="000000"/>
              <w:right w:val="single" w:sz="8" w:space="0" w:color="000000"/>
            </w:tcBorders>
            <w:shd w:val="clear" w:color="auto" w:fill="C1E4F5"/>
            <w:tcMar>
              <w:top w:w="0" w:type="dxa"/>
              <w:left w:w="108" w:type="dxa"/>
              <w:bottom w:w="0" w:type="dxa"/>
              <w:right w:w="108" w:type="dxa"/>
            </w:tcMar>
          </w:tcPr>
          <w:p w14:paraId="14458A4F" w14:textId="15931AA2" w:rsidR="007C0894" w:rsidRPr="004A3DBC" w:rsidRDefault="007C0894" w:rsidP="007957C0">
            <w:pPr>
              <w:pStyle w:val="Tabletexte"/>
              <w:spacing w:line="280" w:lineRule="exact"/>
              <w:rPr>
                <w:lang w:bidi="ar-EG"/>
              </w:rPr>
            </w:pPr>
            <w:r w:rsidRPr="004A3DBC">
              <w:t>3</w:t>
            </w:r>
            <w:r w:rsidR="004A3DBC" w:rsidRPr="004A3DBC">
              <w:t> </w:t>
            </w:r>
            <w:r w:rsidRPr="004A3DBC">
              <w:t>265</w:t>
            </w:r>
            <w:r w:rsidR="004A3DBC" w:rsidRPr="004A3DBC">
              <w:t>,</w:t>
            </w:r>
            <w:r w:rsidRPr="004A3DBC">
              <w:t>7</w:t>
            </w:r>
          </w:p>
        </w:tc>
      </w:tr>
      <w:tr w:rsidR="007C0894" w:rsidRPr="007C0894" w14:paraId="1AE89055" w14:textId="77777777" w:rsidTr="002B748F">
        <w:trPr>
          <w:jc w:val="center"/>
        </w:trPr>
        <w:tc>
          <w:tcPr>
            <w:tcW w:w="2131" w:type="dxa"/>
            <w:tcBorders>
              <w:left w:val="single" w:sz="8" w:space="0" w:color="000000"/>
              <w:bottom w:val="single" w:sz="8" w:space="0" w:color="000000"/>
            </w:tcBorders>
            <w:tcMar>
              <w:top w:w="0" w:type="dxa"/>
              <w:left w:w="108" w:type="dxa"/>
              <w:bottom w:w="0" w:type="dxa"/>
              <w:right w:w="108" w:type="dxa"/>
            </w:tcMar>
          </w:tcPr>
          <w:p w14:paraId="51D4EAE9" w14:textId="77777777" w:rsidR="007C0894" w:rsidRPr="004A3DBC" w:rsidRDefault="007C0894" w:rsidP="007957C0">
            <w:pPr>
              <w:pStyle w:val="Tabletexte"/>
              <w:spacing w:line="280" w:lineRule="exact"/>
              <w:rPr>
                <w:lang w:bidi="ar-EG"/>
              </w:rPr>
            </w:pPr>
            <w:r w:rsidRPr="004A3DBC">
              <w:rPr>
                <w:rtl/>
                <w:lang w:bidi="ar-SA"/>
              </w:rPr>
              <w:t>آسيا والمحيط الهادئ</w:t>
            </w:r>
          </w:p>
        </w:tc>
        <w:tc>
          <w:tcPr>
            <w:tcW w:w="1485" w:type="dxa"/>
            <w:tcBorders>
              <w:bottom w:val="single" w:sz="8" w:space="0" w:color="000000"/>
            </w:tcBorders>
            <w:noWrap/>
            <w:tcMar>
              <w:top w:w="0" w:type="dxa"/>
              <w:left w:w="108" w:type="dxa"/>
              <w:bottom w:w="0" w:type="dxa"/>
              <w:right w:w="108" w:type="dxa"/>
            </w:tcMar>
          </w:tcPr>
          <w:p w14:paraId="7044D937" w14:textId="77777777" w:rsidR="007C0894" w:rsidRPr="004A3DBC" w:rsidRDefault="007C0894" w:rsidP="007957C0">
            <w:pPr>
              <w:pStyle w:val="Tabletexte"/>
              <w:spacing w:line="280" w:lineRule="exact"/>
              <w:rPr>
                <w:lang w:bidi="ar-EG"/>
              </w:rPr>
            </w:pPr>
            <w:r w:rsidRPr="004A3DBC">
              <w:rPr>
                <w:lang w:bidi="ar-SA"/>
              </w:rPr>
              <w:t>15</w:t>
            </w:r>
          </w:p>
        </w:tc>
        <w:tc>
          <w:tcPr>
            <w:tcW w:w="1486" w:type="dxa"/>
            <w:tcBorders>
              <w:bottom w:val="single" w:sz="8" w:space="0" w:color="000000"/>
            </w:tcBorders>
            <w:tcMar>
              <w:top w:w="0" w:type="dxa"/>
              <w:left w:w="108" w:type="dxa"/>
              <w:bottom w:w="0" w:type="dxa"/>
              <w:right w:w="108" w:type="dxa"/>
            </w:tcMar>
          </w:tcPr>
          <w:p w14:paraId="1C4DF464" w14:textId="6926F837" w:rsidR="007C0894" w:rsidRPr="004A3DBC" w:rsidRDefault="007C0894" w:rsidP="007957C0">
            <w:pPr>
              <w:pStyle w:val="Tabletexte"/>
              <w:spacing w:line="280" w:lineRule="exact"/>
              <w:rPr>
                <w:lang w:bidi="ar-EG"/>
              </w:rPr>
            </w:pPr>
            <w:r w:rsidRPr="004A3DBC">
              <w:t>6</w:t>
            </w:r>
            <w:r w:rsidR="004A3DBC" w:rsidRPr="004A3DBC">
              <w:t> </w:t>
            </w:r>
            <w:r w:rsidRPr="004A3DBC">
              <w:t>374</w:t>
            </w:r>
            <w:r w:rsidR="004A3DBC" w:rsidRPr="004A3DBC">
              <w:t>,</w:t>
            </w:r>
            <w:r w:rsidRPr="004A3DBC">
              <w:t>1</w:t>
            </w:r>
          </w:p>
        </w:tc>
        <w:tc>
          <w:tcPr>
            <w:tcW w:w="1485" w:type="dxa"/>
            <w:tcBorders>
              <w:bottom w:val="single" w:sz="8" w:space="0" w:color="000000"/>
            </w:tcBorders>
            <w:tcMar>
              <w:top w:w="0" w:type="dxa"/>
              <w:left w:w="108" w:type="dxa"/>
              <w:bottom w:w="0" w:type="dxa"/>
              <w:right w:w="108" w:type="dxa"/>
            </w:tcMar>
          </w:tcPr>
          <w:p w14:paraId="75A558E5" w14:textId="729C7E2E" w:rsidR="007C0894" w:rsidRPr="004A3DBC" w:rsidRDefault="007C0894" w:rsidP="007957C0">
            <w:pPr>
              <w:pStyle w:val="Tabletexte"/>
              <w:spacing w:line="280" w:lineRule="exact"/>
              <w:rPr>
                <w:lang w:bidi="ar-EG"/>
              </w:rPr>
            </w:pPr>
            <w:r w:rsidRPr="004A3DBC">
              <w:t>851</w:t>
            </w:r>
            <w:r w:rsidR="004A3DBC" w:rsidRPr="004A3DBC">
              <w:t>,</w:t>
            </w:r>
            <w:r w:rsidRPr="004A3DBC">
              <w:t>8</w:t>
            </w:r>
          </w:p>
        </w:tc>
        <w:tc>
          <w:tcPr>
            <w:tcW w:w="1486" w:type="dxa"/>
            <w:tcBorders>
              <w:bottom w:val="single" w:sz="8" w:space="0" w:color="000000"/>
              <w:right w:val="single" w:sz="8" w:space="0" w:color="000000"/>
            </w:tcBorders>
            <w:shd w:val="clear" w:color="auto" w:fill="C1E4F5"/>
            <w:tcMar>
              <w:top w:w="0" w:type="dxa"/>
              <w:left w:w="108" w:type="dxa"/>
              <w:bottom w:w="0" w:type="dxa"/>
              <w:right w:w="108" w:type="dxa"/>
            </w:tcMar>
          </w:tcPr>
          <w:p w14:paraId="63504EB6" w14:textId="69D3CB08" w:rsidR="007C0894" w:rsidRPr="004A3DBC" w:rsidRDefault="007C0894" w:rsidP="007957C0">
            <w:pPr>
              <w:pStyle w:val="Tabletexte"/>
              <w:spacing w:line="280" w:lineRule="exact"/>
              <w:rPr>
                <w:lang w:bidi="ar-EG"/>
              </w:rPr>
            </w:pPr>
            <w:r w:rsidRPr="004A3DBC">
              <w:t>7</w:t>
            </w:r>
            <w:r w:rsidR="004A3DBC" w:rsidRPr="004A3DBC">
              <w:t> </w:t>
            </w:r>
            <w:r w:rsidRPr="004A3DBC">
              <w:t>225</w:t>
            </w:r>
            <w:r w:rsidR="004A3DBC" w:rsidRPr="004A3DBC">
              <w:t>,</w:t>
            </w:r>
            <w:r w:rsidRPr="004A3DBC">
              <w:t>9</w:t>
            </w:r>
          </w:p>
        </w:tc>
      </w:tr>
      <w:tr w:rsidR="007C0894" w:rsidRPr="007C0894" w14:paraId="6EE69FD3" w14:textId="77777777" w:rsidTr="002B748F">
        <w:trPr>
          <w:jc w:val="center"/>
        </w:trPr>
        <w:tc>
          <w:tcPr>
            <w:tcW w:w="2131" w:type="dxa"/>
            <w:tcBorders>
              <w:left w:val="single" w:sz="8" w:space="0" w:color="000000"/>
              <w:bottom w:val="single" w:sz="8" w:space="0" w:color="000000"/>
            </w:tcBorders>
            <w:tcMar>
              <w:top w:w="0" w:type="dxa"/>
              <w:left w:w="108" w:type="dxa"/>
              <w:bottom w:w="0" w:type="dxa"/>
              <w:right w:w="108" w:type="dxa"/>
            </w:tcMar>
          </w:tcPr>
          <w:p w14:paraId="66F5DC27" w14:textId="6F02F070" w:rsidR="007C0894" w:rsidRPr="004A3DBC" w:rsidRDefault="007C0894" w:rsidP="007957C0">
            <w:pPr>
              <w:pStyle w:val="Tabletexte"/>
              <w:spacing w:line="280" w:lineRule="exact"/>
              <w:rPr>
                <w:lang w:bidi="ar-EG"/>
              </w:rPr>
            </w:pPr>
            <w:r w:rsidRPr="004A3DBC">
              <w:rPr>
                <w:rtl/>
                <w:lang w:bidi="ar-SA"/>
              </w:rPr>
              <w:t>كومنولث الدول المستقلة</w:t>
            </w:r>
          </w:p>
        </w:tc>
        <w:tc>
          <w:tcPr>
            <w:tcW w:w="1485" w:type="dxa"/>
            <w:tcBorders>
              <w:bottom w:val="single" w:sz="8" w:space="0" w:color="000000"/>
            </w:tcBorders>
            <w:tcMar>
              <w:top w:w="0" w:type="dxa"/>
              <w:left w:w="108" w:type="dxa"/>
              <w:bottom w:w="0" w:type="dxa"/>
              <w:right w:w="108" w:type="dxa"/>
            </w:tcMar>
          </w:tcPr>
          <w:p w14:paraId="010BA4C1" w14:textId="77777777" w:rsidR="007C0894" w:rsidRPr="004A3DBC" w:rsidRDefault="007C0894" w:rsidP="007957C0">
            <w:pPr>
              <w:pStyle w:val="Tabletexte"/>
              <w:spacing w:line="280" w:lineRule="exact"/>
              <w:rPr>
                <w:lang w:bidi="ar-EG"/>
              </w:rPr>
            </w:pPr>
            <w:r w:rsidRPr="004A3DBC">
              <w:rPr>
                <w:lang w:bidi="ar-SA"/>
              </w:rPr>
              <w:t>3</w:t>
            </w:r>
          </w:p>
        </w:tc>
        <w:tc>
          <w:tcPr>
            <w:tcW w:w="1486" w:type="dxa"/>
            <w:tcBorders>
              <w:bottom w:val="single" w:sz="8" w:space="0" w:color="000000"/>
            </w:tcBorders>
            <w:tcMar>
              <w:top w:w="0" w:type="dxa"/>
              <w:left w:w="108" w:type="dxa"/>
              <w:bottom w:w="0" w:type="dxa"/>
              <w:right w:w="108" w:type="dxa"/>
            </w:tcMar>
          </w:tcPr>
          <w:p w14:paraId="36BC38C3" w14:textId="73C6EFE9" w:rsidR="007C0894" w:rsidRPr="004A3DBC" w:rsidRDefault="007C0894" w:rsidP="007957C0">
            <w:pPr>
              <w:pStyle w:val="Tabletexte"/>
              <w:spacing w:line="280" w:lineRule="exact"/>
              <w:rPr>
                <w:lang w:bidi="ar-EG"/>
              </w:rPr>
            </w:pPr>
            <w:r w:rsidRPr="004A3DBC">
              <w:t>344</w:t>
            </w:r>
            <w:r w:rsidR="004A3DBC" w:rsidRPr="004A3DBC">
              <w:t>,</w:t>
            </w:r>
            <w:r w:rsidRPr="004A3DBC">
              <w:t>1</w:t>
            </w:r>
          </w:p>
        </w:tc>
        <w:tc>
          <w:tcPr>
            <w:tcW w:w="1485" w:type="dxa"/>
            <w:tcBorders>
              <w:bottom w:val="single" w:sz="8" w:space="0" w:color="000000"/>
            </w:tcBorders>
            <w:tcMar>
              <w:top w:w="0" w:type="dxa"/>
              <w:left w:w="108" w:type="dxa"/>
              <w:bottom w:w="0" w:type="dxa"/>
              <w:right w:w="108" w:type="dxa"/>
            </w:tcMar>
          </w:tcPr>
          <w:p w14:paraId="6DDA509A" w14:textId="2D4C92B8" w:rsidR="007C0894" w:rsidRPr="004A3DBC" w:rsidRDefault="007C0894" w:rsidP="007957C0">
            <w:pPr>
              <w:pStyle w:val="Tabletexte"/>
              <w:spacing w:line="280" w:lineRule="exact"/>
              <w:rPr>
                <w:lang w:bidi="ar-EG"/>
              </w:rPr>
            </w:pPr>
            <w:r w:rsidRPr="004A3DBC">
              <w:t>509</w:t>
            </w:r>
            <w:r w:rsidR="004A3DBC" w:rsidRPr="004A3DBC">
              <w:t>,</w:t>
            </w:r>
            <w:r w:rsidRPr="004A3DBC">
              <w:t>5</w:t>
            </w:r>
          </w:p>
        </w:tc>
        <w:tc>
          <w:tcPr>
            <w:tcW w:w="1486" w:type="dxa"/>
            <w:tcBorders>
              <w:bottom w:val="single" w:sz="8" w:space="0" w:color="000000"/>
              <w:right w:val="single" w:sz="8" w:space="0" w:color="000000"/>
            </w:tcBorders>
            <w:shd w:val="clear" w:color="auto" w:fill="C1E4F5"/>
            <w:tcMar>
              <w:top w:w="0" w:type="dxa"/>
              <w:left w:w="108" w:type="dxa"/>
              <w:bottom w:w="0" w:type="dxa"/>
              <w:right w:w="108" w:type="dxa"/>
            </w:tcMar>
          </w:tcPr>
          <w:p w14:paraId="6B531F5A" w14:textId="002B84B9" w:rsidR="007C0894" w:rsidRPr="004A3DBC" w:rsidRDefault="007C0894" w:rsidP="007957C0">
            <w:pPr>
              <w:pStyle w:val="Tabletexte"/>
              <w:spacing w:line="280" w:lineRule="exact"/>
              <w:rPr>
                <w:lang w:bidi="ar-EG"/>
              </w:rPr>
            </w:pPr>
            <w:r w:rsidRPr="004A3DBC">
              <w:t>853</w:t>
            </w:r>
            <w:r w:rsidR="004A3DBC" w:rsidRPr="004A3DBC">
              <w:t>,</w:t>
            </w:r>
            <w:r w:rsidRPr="004A3DBC">
              <w:t>6</w:t>
            </w:r>
          </w:p>
        </w:tc>
      </w:tr>
      <w:tr w:rsidR="007C0894" w:rsidRPr="007C0894" w14:paraId="7F1A7DDF" w14:textId="77777777" w:rsidTr="002B748F">
        <w:trPr>
          <w:jc w:val="center"/>
        </w:trPr>
        <w:tc>
          <w:tcPr>
            <w:tcW w:w="2131" w:type="dxa"/>
            <w:tcBorders>
              <w:left w:val="single" w:sz="8" w:space="0" w:color="000000"/>
              <w:bottom w:val="single" w:sz="8" w:space="0" w:color="000000"/>
            </w:tcBorders>
            <w:tcMar>
              <w:top w:w="0" w:type="dxa"/>
              <w:left w:w="108" w:type="dxa"/>
              <w:bottom w:w="0" w:type="dxa"/>
              <w:right w:w="108" w:type="dxa"/>
            </w:tcMar>
          </w:tcPr>
          <w:p w14:paraId="208E63A8" w14:textId="77777777" w:rsidR="007C0894" w:rsidRPr="004A3DBC" w:rsidRDefault="007C0894" w:rsidP="007957C0">
            <w:pPr>
              <w:pStyle w:val="Tabletexte"/>
              <w:spacing w:line="280" w:lineRule="exact"/>
              <w:rPr>
                <w:lang w:bidi="ar-EG"/>
              </w:rPr>
            </w:pPr>
            <w:r w:rsidRPr="004A3DBC">
              <w:rPr>
                <w:rtl/>
                <w:lang w:bidi="ar-SA"/>
              </w:rPr>
              <w:t>أوروبا</w:t>
            </w:r>
          </w:p>
        </w:tc>
        <w:tc>
          <w:tcPr>
            <w:tcW w:w="1485" w:type="dxa"/>
            <w:tcBorders>
              <w:bottom w:val="single" w:sz="8" w:space="0" w:color="000000"/>
            </w:tcBorders>
            <w:tcMar>
              <w:top w:w="0" w:type="dxa"/>
              <w:left w:w="108" w:type="dxa"/>
              <w:bottom w:w="0" w:type="dxa"/>
              <w:right w:w="108" w:type="dxa"/>
            </w:tcMar>
          </w:tcPr>
          <w:p w14:paraId="1191DD34" w14:textId="77777777" w:rsidR="007C0894" w:rsidRPr="004A3DBC" w:rsidRDefault="007C0894" w:rsidP="007957C0">
            <w:pPr>
              <w:pStyle w:val="Tabletexte"/>
              <w:spacing w:line="280" w:lineRule="exact"/>
              <w:rPr>
                <w:lang w:bidi="ar-EG"/>
              </w:rPr>
            </w:pPr>
            <w:r w:rsidRPr="004A3DBC">
              <w:rPr>
                <w:lang w:bidi="ar-SA"/>
              </w:rPr>
              <w:t>3</w:t>
            </w:r>
          </w:p>
        </w:tc>
        <w:tc>
          <w:tcPr>
            <w:tcW w:w="1486" w:type="dxa"/>
            <w:tcBorders>
              <w:bottom w:val="single" w:sz="8" w:space="0" w:color="000000"/>
            </w:tcBorders>
            <w:tcMar>
              <w:top w:w="0" w:type="dxa"/>
              <w:left w:w="108" w:type="dxa"/>
              <w:bottom w:w="0" w:type="dxa"/>
              <w:right w:w="108" w:type="dxa"/>
            </w:tcMar>
          </w:tcPr>
          <w:p w14:paraId="23DFDE12" w14:textId="38D01BFD" w:rsidR="007C0894" w:rsidRPr="004A3DBC" w:rsidRDefault="007C0894" w:rsidP="007957C0">
            <w:pPr>
              <w:pStyle w:val="Tabletexte"/>
              <w:spacing w:line="280" w:lineRule="exact"/>
              <w:rPr>
                <w:lang w:bidi="ar-EG"/>
              </w:rPr>
            </w:pPr>
            <w:r w:rsidRPr="004A3DBC">
              <w:t>411</w:t>
            </w:r>
            <w:r w:rsidR="004A3DBC" w:rsidRPr="004A3DBC">
              <w:t>,</w:t>
            </w:r>
            <w:r w:rsidRPr="004A3DBC">
              <w:t>1</w:t>
            </w:r>
          </w:p>
        </w:tc>
        <w:tc>
          <w:tcPr>
            <w:tcW w:w="1485" w:type="dxa"/>
            <w:tcBorders>
              <w:bottom w:val="single" w:sz="8" w:space="0" w:color="000000"/>
            </w:tcBorders>
            <w:tcMar>
              <w:top w:w="0" w:type="dxa"/>
              <w:left w:w="108" w:type="dxa"/>
              <w:bottom w:w="0" w:type="dxa"/>
              <w:right w:w="108" w:type="dxa"/>
            </w:tcMar>
          </w:tcPr>
          <w:p w14:paraId="5E572BA2" w14:textId="6814B61D" w:rsidR="007C0894" w:rsidRPr="004A3DBC" w:rsidRDefault="007C0894" w:rsidP="007957C0">
            <w:pPr>
              <w:pStyle w:val="Tabletexte"/>
              <w:spacing w:line="280" w:lineRule="exact"/>
              <w:rPr>
                <w:lang w:bidi="ar-EG"/>
              </w:rPr>
            </w:pPr>
            <w:r w:rsidRPr="004A3DBC">
              <w:t>45</w:t>
            </w:r>
            <w:r w:rsidR="004A3DBC" w:rsidRPr="004A3DBC">
              <w:t>,</w:t>
            </w:r>
            <w:r w:rsidRPr="004A3DBC">
              <w:t>6</w:t>
            </w:r>
          </w:p>
        </w:tc>
        <w:tc>
          <w:tcPr>
            <w:tcW w:w="1486" w:type="dxa"/>
            <w:tcBorders>
              <w:bottom w:val="single" w:sz="8" w:space="0" w:color="000000"/>
              <w:right w:val="single" w:sz="8" w:space="0" w:color="000000"/>
            </w:tcBorders>
            <w:shd w:val="clear" w:color="auto" w:fill="C1E4F5"/>
            <w:tcMar>
              <w:top w:w="0" w:type="dxa"/>
              <w:left w:w="108" w:type="dxa"/>
              <w:bottom w:w="0" w:type="dxa"/>
              <w:right w:w="108" w:type="dxa"/>
            </w:tcMar>
          </w:tcPr>
          <w:p w14:paraId="5131D08C" w14:textId="4B69F8E8" w:rsidR="007C0894" w:rsidRPr="004A3DBC" w:rsidRDefault="007C0894" w:rsidP="007957C0">
            <w:pPr>
              <w:pStyle w:val="Tabletexte"/>
              <w:spacing w:line="280" w:lineRule="exact"/>
              <w:rPr>
                <w:lang w:bidi="ar-EG"/>
              </w:rPr>
            </w:pPr>
            <w:r w:rsidRPr="004A3DBC">
              <w:t>456</w:t>
            </w:r>
            <w:r w:rsidR="004A3DBC" w:rsidRPr="004A3DBC">
              <w:t>,</w:t>
            </w:r>
            <w:r w:rsidRPr="004A3DBC">
              <w:t>7</w:t>
            </w:r>
          </w:p>
        </w:tc>
      </w:tr>
      <w:tr w:rsidR="007C0894" w:rsidRPr="007C0894" w14:paraId="71420424" w14:textId="77777777" w:rsidTr="002B748F">
        <w:trPr>
          <w:jc w:val="center"/>
        </w:trPr>
        <w:tc>
          <w:tcPr>
            <w:tcW w:w="2131" w:type="dxa"/>
            <w:tcBorders>
              <w:left w:val="single" w:sz="8" w:space="0" w:color="000000"/>
              <w:bottom w:val="single" w:sz="8" w:space="0" w:color="000000"/>
            </w:tcBorders>
            <w:tcMar>
              <w:top w:w="0" w:type="dxa"/>
              <w:left w:w="108" w:type="dxa"/>
              <w:bottom w:w="0" w:type="dxa"/>
              <w:right w:w="108" w:type="dxa"/>
            </w:tcMar>
          </w:tcPr>
          <w:p w14:paraId="365BCD3F" w14:textId="77777777" w:rsidR="007C0894" w:rsidRPr="004A3DBC" w:rsidRDefault="007C0894" w:rsidP="007957C0">
            <w:pPr>
              <w:pStyle w:val="Tabletexte"/>
              <w:spacing w:line="280" w:lineRule="exact"/>
              <w:rPr>
                <w:lang w:bidi="ar-EG"/>
              </w:rPr>
            </w:pPr>
            <w:r w:rsidRPr="004A3DBC">
              <w:rPr>
                <w:rtl/>
                <w:lang w:bidi="ar-SA"/>
              </w:rPr>
              <w:t>مشروع متعدد المناطق*</w:t>
            </w:r>
          </w:p>
        </w:tc>
        <w:tc>
          <w:tcPr>
            <w:tcW w:w="1485" w:type="dxa"/>
            <w:tcBorders>
              <w:bottom w:val="single" w:sz="8" w:space="0" w:color="000000"/>
            </w:tcBorders>
            <w:noWrap/>
            <w:tcMar>
              <w:top w:w="0" w:type="dxa"/>
              <w:left w:w="108" w:type="dxa"/>
              <w:bottom w:w="0" w:type="dxa"/>
              <w:right w:w="108" w:type="dxa"/>
            </w:tcMar>
          </w:tcPr>
          <w:p w14:paraId="7ADDBFD4" w14:textId="77777777" w:rsidR="007C0894" w:rsidRPr="004A3DBC" w:rsidRDefault="007C0894" w:rsidP="007957C0">
            <w:pPr>
              <w:pStyle w:val="Tabletexte"/>
              <w:spacing w:line="280" w:lineRule="exact"/>
              <w:rPr>
                <w:lang w:bidi="ar-EG"/>
              </w:rPr>
            </w:pPr>
            <w:r w:rsidRPr="004A3DBC">
              <w:rPr>
                <w:lang w:bidi="ar-SA"/>
              </w:rPr>
              <w:t>43</w:t>
            </w:r>
          </w:p>
        </w:tc>
        <w:tc>
          <w:tcPr>
            <w:tcW w:w="1486" w:type="dxa"/>
            <w:tcBorders>
              <w:bottom w:val="single" w:sz="8" w:space="0" w:color="000000"/>
            </w:tcBorders>
            <w:tcMar>
              <w:top w:w="0" w:type="dxa"/>
              <w:left w:w="108" w:type="dxa"/>
              <w:bottom w:w="0" w:type="dxa"/>
              <w:right w:w="108" w:type="dxa"/>
            </w:tcMar>
          </w:tcPr>
          <w:p w14:paraId="28150EF8" w14:textId="08F4FFBA" w:rsidR="007C0894" w:rsidRPr="004A3DBC" w:rsidRDefault="007C0894" w:rsidP="007957C0">
            <w:pPr>
              <w:pStyle w:val="Tabletexte"/>
              <w:spacing w:line="280" w:lineRule="exact"/>
              <w:rPr>
                <w:lang w:bidi="ar-EG"/>
              </w:rPr>
            </w:pPr>
            <w:r w:rsidRPr="004A3DBC">
              <w:t>25</w:t>
            </w:r>
            <w:r w:rsidR="004A3DBC" w:rsidRPr="004A3DBC">
              <w:t> </w:t>
            </w:r>
            <w:r w:rsidRPr="004A3DBC">
              <w:t>164</w:t>
            </w:r>
            <w:r w:rsidR="004A3DBC" w:rsidRPr="004A3DBC">
              <w:t>,</w:t>
            </w:r>
            <w:r w:rsidRPr="004A3DBC">
              <w:t>9</w:t>
            </w:r>
          </w:p>
        </w:tc>
        <w:tc>
          <w:tcPr>
            <w:tcW w:w="1485" w:type="dxa"/>
            <w:tcBorders>
              <w:bottom w:val="single" w:sz="8" w:space="0" w:color="000000"/>
            </w:tcBorders>
            <w:tcMar>
              <w:top w:w="0" w:type="dxa"/>
              <w:left w:w="108" w:type="dxa"/>
              <w:bottom w:w="0" w:type="dxa"/>
              <w:right w:w="108" w:type="dxa"/>
            </w:tcMar>
          </w:tcPr>
          <w:p w14:paraId="4AEC09BF" w14:textId="2A5F6376" w:rsidR="007C0894" w:rsidRPr="004A3DBC" w:rsidRDefault="007C0894" w:rsidP="007957C0">
            <w:pPr>
              <w:pStyle w:val="Tabletexte"/>
              <w:spacing w:line="280" w:lineRule="exact"/>
              <w:rPr>
                <w:lang w:bidi="ar-EG"/>
              </w:rPr>
            </w:pPr>
            <w:r w:rsidRPr="004A3DBC">
              <w:t>7</w:t>
            </w:r>
            <w:r w:rsidR="004A3DBC" w:rsidRPr="004A3DBC">
              <w:t> </w:t>
            </w:r>
            <w:r w:rsidRPr="004A3DBC">
              <w:t>880</w:t>
            </w:r>
            <w:r w:rsidR="004A3DBC" w:rsidRPr="004A3DBC">
              <w:t>,</w:t>
            </w:r>
            <w:r w:rsidRPr="004A3DBC">
              <w:t>7</w:t>
            </w:r>
          </w:p>
        </w:tc>
        <w:tc>
          <w:tcPr>
            <w:tcW w:w="1486" w:type="dxa"/>
            <w:tcBorders>
              <w:bottom w:val="single" w:sz="8" w:space="0" w:color="000000"/>
              <w:right w:val="single" w:sz="8" w:space="0" w:color="000000"/>
            </w:tcBorders>
            <w:shd w:val="clear" w:color="auto" w:fill="C1E4F5"/>
            <w:tcMar>
              <w:top w:w="0" w:type="dxa"/>
              <w:left w:w="108" w:type="dxa"/>
              <w:bottom w:w="0" w:type="dxa"/>
              <w:right w:w="108" w:type="dxa"/>
            </w:tcMar>
          </w:tcPr>
          <w:p w14:paraId="5C3ED36E" w14:textId="08FE305D" w:rsidR="007C0894" w:rsidRPr="004A3DBC" w:rsidRDefault="007C0894" w:rsidP="007957C0">
            <w:pPr>
              <w:pStyle w:val="Tabletexte"/>
              <w:spacing w:line="280" w:lineRule="exact"/>
              <w:rPr>
                <w:lang w:bidi="ar-EG"/>
              </w:rPr>
            </w:pPr>
            <w:r w:rsidRPr="004A3DBC">
              <w:t>33</w:t>
            </w:r>
            <w:r w:rsidR="004A3DBC" w:rsidRPr="004A3DBC">
              <w:t> </w:t>
            </w:r>
            <w:r w:rsidRPr="004A3DBC">
              <w:t>045</w:t>
            </w:r>
            <w:r w:rsidR="004A3DBC" w:rsidRPr="004A3DBC">
              <w:t>,</w:t>
            </w:r>
            <w:r w:rsidRPr="004A3DBC">
              <w:t>5</w:t>
            </w:r>
          </w:p>
        </w:tc>
      </w:tr>
      <w:tr w:rsidR="00377903" w:rsidRPr="007C0894" w14:paraId="291DD767" w14:textId="77777777" w:rsidTr="002B748F">
        <w:trPr>
          <w:jc w:val="center"/>
        </w:trPr>
        <w:tc>
          <w:tcPr>
            <w:tcW w:w="2131" w:type="dxa"/>
            <w:tcBorders>
              <w:left w:val="single" w:sz="8" w:space="0" w:color="000000"/>
              <w:bottom w:val="single" w:sz="8" w:space="0" w:color="000000"/>
            </w:tcBorders>
            <w:shd w:val="clear" w:color="auto" w:fill="C1E4F5"/>
            <w:noWrap/>
            <w:tcMar>
              <w:top w:w="0" w:type="dxa"/>
              <w:left w:w="108" w:type="dxa"/>
              <w:bottom w:w="0" w:type="dxa"/>
              <w:right w:w="108" w:type="dxa"/>
            </w:tcMar>
            <w:vAlign w:val="center"/>
          </w:tcPr>
          <w:p w14:paraId="0CA5C979" w14:textId="77777777" w:rsidR="007C0894" w:rsidRPr="004A3DBC" w:rsidRDefault="007C0894" w:rsidP="007957C0">
            <w:pPr>
              <w:pStyle w:val="Tabletexte"/>
              <w:spacing w:line="280" w:lineRule="exact"/>
              <w:rPr>
                <w:b/>
                <w:bCs/>
                <w:lang w:bidi="ar-EG"/>
              </w:rPr>
            </w:pPr>
            <w:r w:rsidRPr="004A3DBC">
              <w:rPr>
                <w:b/>
                <w:bCs/>
                <w:rtl/>
                <w:lang w:bidi="ar-SA"/>
              </w:rPr>
              <w:t>المجموع</w:t>
            </w:r>
          </w:p>
        </w:tc>
        <w:tc>
          <w:tcPr>
            <w:tcW w:w="1485" w:type="dxa"/>
            <w:tcBorders>
              <w:bottom w:val="single" w:sz="8" w:space="0" w:color="000000"/>
            </w:tcBorders>
            <w:shd w:val="clear" w:color="auto" w:fill="C1E4F5"/>
            <w:noWrap/>
            <w:tcMar>
              <w:top w:w="0" w:type="dxa"/>
              <w:left w:w="108" w:type="dxa"/>
              <w:bottom w:w="0" w:type="dxa"/>
              <w:right w:w="108" w:type="dxa"/>
            </w:tcMar>
          </w:tcPr>
          <w:p w14:paraId="4F2EEC1E" w14:textId="77777777" w:rsidR="007C0894" w:rsidRPr="004A3DBC" w:rsidRDefault="007C0894" w:rsidP="007957C0">
            <w:pPr>
              <w:pStyle w:val="Tabletexte"/>
              <w:spacing w:line="280" w:lineRule="exact"/>
              <w:rPr>
                <w:b/>
                <w:bCs/>
                <w:lang w:bidi="ar-EG"/>
              </w:rPr>
            </w:pPr>
            <w:r w:rsidRPr="004A3DBC">
              <w:rPr>
                <w:b/>
                <w:bCs/>
                <w:lang w:bidi="ar-SA"/>
              </w:rPr>
              <w:t>106</w:t>
            </w:r>
          </w:p>
        </w:tc>
        <w:tc>
          <w:tcPr>
            <w:tcW w:w="1486" w:type="dxa"/>
            <w:tcBorders>
              <w:bottom w:val="single" w:sz="8" w:space="0" w:color="000000"/>
            </w:tcBorders>
            <w:shd w:val="clear" w:color="auto" w:fill="C1E4F5"/>
            <w:noWrap/>
            <w:tcMar>
              <w:top w:w="0" w:type="dxa"/>
              <w:left w:w="108" w:type="dxa"/>
              <w:bottom w:w="0" w:type="dxa"/>
              <w:right w:w="108" w:type="dxa"/>
            </w:tcMar>
          </w:tcPr>
          <w:p w14:paraId="56250779" w14:textId="72137656" w:rsidR="007C0894" w:rsidRPr="004A3DBC" w:rsidRDefault="007C0894" w:rsidP="007957C0">
            <w:pPr>
              <w:pStyle w:val="Tabletexte"/>
              <w:spacing w:line="280" w:lineRule="exact"/>
              <w:rPr>
                <w:b/>
                <w:bCs/>
                <w:lang w:bidi="ar-EG"/>
              </w:rPr>
            </w:pPr>
            <w:r w:rsidRPr="004A3DBC">
              <w:rPr>
                <w:b/>
                <w:bCs/>
              </w:rPr>
              <w:t>68</w:t>
            </w:r>
            <w:r w:rsidR="004A3DBC" w:rsidRPr="004A3DBC">
              <w:rPr>
                <w:b/>
                <w:bCs/>
              </w:rPr>
              <w:t> </w:t>
            </w:r>
            <w:r w:rsidRPr="004A3DBC">
              <w:rPr>
                <w:b/>
                <w:bCs/>
              </w:rPr>
              <w:t>022</w:t>
            </w:r>
            <w:r w:rsidR="004A3DBC" w:rsidRPr="004A3DBC">
              <w:rPr>
                <w:b/>
                <w:bCs/>
              </w:rPr>
              <w:t>,</w:t>
            </w:r>
            <w:r w:rsidRPr="004A3DBC">
              <w:rPr>
                <w:b/>
                <w:bCs/>
              </w:rPr>
              <w:t>0</w:t>
            </w:r>
          </w:p>
        </w:tc>
        <w:tc>
          <w:tcPr>
            <w:tcW w:w="1485" w:type="dxa"/>
            <w:tcBorders>
              <w:bottom w:val="single" w:sz="8" w:space="0" w:color="000000"/>
            </w:tcBorders>
            <w:shd w:val="clear" w:color="auto" w:fill="C1E4F5"/>
            <w:noWrap/>
            <w:tcMar>
              <w:top w:w="0" w:type="dxa"/>
              <w:left w:w="108" w:type="dxa"/>
              <w:bottom w:w="0" w:type="dxa"/>
              <w:right w:w="108" w:type="dxa"/>
            </w:tcMar>
          </w:tcPr>
          <w:p w14:paraId="659C9F39" w14:textId="4183A7DB" w:rsidR="007C0894" w:rsidRPr="004A3DBC" w:rsidRDefault="007C0894" w:rsidP="007957C0">
            <w:pPr>
              <w:pStyle w:val="Tabletexte"/>
              <w:spacing w:line="280" w:lineRule="exact"/>
              <w:rPr>
                <w:b/>
                <w:bCs/>
                <w:lang w:bidi="ar-EG"/>
              </w:rPr>
            </w:pPr>
            <w:r w:rsidRPr="004A3DBC">
              <w:rPr>
                <w:b/>
                <w:bCs/>
              </w:rPr>
              <w:t>11</w:t>
            </w:r>
            <w:r w:rsidR="004A3DBC" w:rsidRPr="004A3DBC">
              <w:rPr>
                <w:b/>
                <w:bCs/>
              </w:rPr>
              <w:t> </w:t>
            </w:r>
            <w:r w:rsidRPr="004A3DBC">
              <w:rPr>
                <w:b/>
                <w:bCs/>
              </w:rPr>
              <w:t>726</w:t>
            </w:r>
            <w:r w:rsidR="004A3DBC" w:rsidRPr="004A3DBC">
              <w:rPr>
                <w:b/>
                <w:bCs/>
              </w:rPr>
              <w:t>,</w:t>
            </w:r>
            <w:r w:rsidRPr="004A3DBC">
              <w:rPr>
                <w:b/>
                <w:bCs/>
              </w:rPr>
              <w:t>5</w:t>
            </w:r>
          </w:p>
        </w:tc>
        <w:tc>
          <w:tcPr>
            <w:tcW w:w="1486" w:type="dxa"/>
            <w:tcBorders>
              <w:bottom w:val="single" w:sz="8" w:space="0" w:color="000000"/>
              <w:right w:val="single" w:sz="8" w:space="0" w:color="000000"/>
            </w:tcBorders>
            <w:shd w:val="clear" w:color="auto" w:fill="C1E4F5"/>
            <w:noWrap/>
            <w:tcMar>
              <w:top w:w="0" w:type="dxa"/>
              <w:left w:w="108" w:type="dxa"/>
              <w:bottom w:w="0" w:type="dxa"/>
              <w:right w:w="108" w:type="dxa"/>
            </w:tcMar>
          </w:tcPr>
          <w:p w14:paraId="4495279F" w14:textId="7CB5E49F" w:rsidR="007C0894" w:rsidRPr="004A3DBC" w:rsidRDefault="007C0894" w:rsidP="007957C0">
            <w:pPr>
              <w:pStyle w:val="Tabletexte"/>
              <w:spacing w:line="280" w:lineRule="exact"/>
              <w:rPr>
                <w:b/>
                <w:bCs/>
                <w:lang w:bidi="ar-EG"/>
              </w:rPr>
            </w:pPr>
            <w:r w:rsidRPr="004A3DBC">
              <w:rPr>
                <w:b/>
                <w:bCs/>
              </w:rPr>
              <w:t>79</w:t>
            </w:r>
            <w:r w:rsidR="004A3DBC" w:rsidRPr="004A3DBC">
              <w:rPr>
                <w:b/>
                <w:bCs/>
              </w:rPr>
              <w:t> </w:t>
            </w:r>
            <w:r w:rsidRPr="004A3DBC">
              <w:rPr>
                <w:b/>
                <w:bCs/>
              </w:rPr>
              <w:t>748</w:t>
            </w:r>
            <w:r w:rsidR="004A3DBC" w:rsidRPr="004A3DBC">
              <w:rPr>
                <w:b/>
                <w:bCs/>
              </w:rPr>
              <w:t>,</w:t>
            </w:r>
            <w:r w:rsidRPr="004A3DBC">
              <w:rPr>
                <w:b/>
                <w:bCs/>
              </w:rPr>
              <w:t>5</w:t>
            </w:r>
          </w:p>
        </w:tc>
      </w:tr>
    </w:tbl>
    <w:p w14:paraId="78DD5FAF" w14:textId="77777777" w:rsidR="007C0894" w:rsidRPr="004A3DBC" w:rsidRDefault="007C0894" w:rsidP="004A3DBC">
      <w:pPr>
        <w:pStyle w:val="Tablelegend"/>
        <w:jc w:val="center"/>
        <w:rPr>
          <w:i w:val="0"/>
          <w:iCs w:val="0"/>
          <w:lang w:val="ar-SA" w:bidi="ar-EG"/>
        </w:rPr>
      </w:pPr>
      <w:r w:rsidRPr="004A3DBC">
        <w:rPr>
          <w:i w:val="0"/>
          <w:iCs w:val="0"/>
          <w:rtl/>
        </w:rPr>
        <w:t>* مشاريع متعددة المناطق أو تعود بالنفع على جميع المناطق</w:t>
      </w:r>
    </w:p>
    <w:p w14:paraId="2288FB48" w14:textId="358DD49C" w:rsidR="0089560B" w:rsidRDefault="007C0894" w:rsidP="007957C0">
      <w:pPr>
        <w:keepLines/>
        <w:rPr>
          <w:rtl/>
        </w:rPr>
      </w:pPr>
      <w:r w:rsidRPr="007C0894">
        <w:rPr>
          <w:rtl/>
        </w:rPr>
        <w:t xml:space="preserve">في عام 2025، وقّع مكتب تنمية الاتصالات ما مجموعه 26 مشروعاً جديداً بقيمة 4,3 ملايين فرنك سويسري. وبهذه الأرقام، اختتم المكتب الدورة السابقة للمؤتمر العالمي لتنمية الاتصالات (2023-2025) بما مجموعه 91 مشروعاً جديداً موقَّعاً بقيمة 51 مليون فرنك سويسري. وعلى الرغم من أن فترة التنفيذ أقصر، إذ تبلغ 3 سنوات، فإن العدد الإجمالي للمشاريع الموقَّعة خلال الدورة يمثل اتجاهاً إيجابياً من حيث تعبئة الموارد، ويواصل الاتجاه التصاعدي الذي تحقق بالفعل خلال دورة المؤتمر العالمي لتنمية الاتصالات لعام 2017 (2018-2022) (انظر الشكلين </w:t>
      </w:r>
      <w:hyperlink w:anchor="الشكل18" w:history="1">
        <w:r w:rsidRPr="007C0894">
          <w:rPr>
            <w:rStyle w:val="Hyperlink"/>
            <w:noProof w:val="0"/>
            <w:rtl/>
            <w:lang w:val="en-US" w:eastAsia="zh-CN"/>
          </w:rPr>
          <w:t>18</w:t>
        </w:r>
      </w:hyperlink>
      <w:r w:rsidRPr="007C0894">
        <w:rPr>
          <w:rtl/>
        </w:rPr>
        <w:t xml:space="preserve"> و</w:t>
      </w:r>
      <w:hyperlink w:anchor="الشكل19" w:history="1">
        <w:r w:rsidRPr="007C0894">
          <w:rPr>
            <w:rStyle w:val="Hyperlink"/>
            <w:noProof w:val="0"/>
            <w:rtl/>
            <w:lang w:val="en-US" w:eastAsia="zh-CN"/>
          </w:rPr>
          <w:t>19</w:t>
        </w:r>
      </w:hyperlink>
      <w:r w:rsidRPr="007C0894">
        <w:rPr>
          <w:rtl/>
        </w:rPr>
        <w:t xml:space="preserve">). وهذه المشاريع الجديدة ذات طبيعة متعددة المناطق وإقليمية ووطنية، وتغطي النطاق الكامل لأولويات قطاع تنمية الاتصالات المحددة في خطة عمل كيغالي </w:t>
      </w:r>
      <w:r w:rsidRPr="007C0894">
        <w:rPr>
          <w:lang w:bidi="ar-EG"/>
        </w:rPr>
        <w:t>(KAP)</w:t>
      </w:r>
      <w:r w:rsidRPr="007C0894">
        <w:rPr>
          <w:rtl/>
        </w:rPr>
        <w:t xml:space="preserve"> المعتمدة في المؤتمر العالمي لتنمية الاتصالات </w:t>
      </w:r>
      <w:r w:rsidRPr="007C0894">
        <w:rPr>
          <w:lang w:bidi="ar-EG"/>
        </w:rPr>
        <w:t>(WTDC)</w:t>
      </w:r>
      <w:r w:rsidRPr="007C0894">
        <w:rPr>
          <w:rtl/>
        </w:rPr>
        <w:t>.</w:t>
      </w:r>
    </w:p>
    <w:p w14:paraId="1A0D8465" w14:textId="5AEB3C0A" w:rsidR="007C0894" w:rsidRPr="007C0894" w:rsidRDefault="007957C0" w:rsidP="004A3DBC">
      <w:pPr>
        <w:pStyle w:val="Figure"/>
        <w:bidi/>
        <w:rPr>
          <w:rFonts w:eastAsia="MS Mincho"/>
          <w:lang w:val="en-US" w:bidi="ar-EG"/>
        </w:rPr>
      </w:pPr>
      <w:r w:rsidRPr="007957C0">
        <w:rPr>
          <w:rFonts w:eastAsia="MS Mincho"/>
          <w:noProof/>
        </w:rPr>
        <w:drawing>
          <wp:inline distT="0" distB="0" distL="0" distR="0" wp14:anchorId="5A220E80" wp14:editId="126C2C46">
            <wp:extent cx="5040000" cy="20016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040000" cy="2001600"/>
                    </a:xfrm>
                    <a:prstGeom prst="rect">
                      <a:avLst/>
                    </a:prstGeom>
                    <a:noFill/>
                    <a:ln>
                      <a:noFill/>
                    </a:ln>
                  </pic:spPr>
                </pic:pic>
              </a:graphicData>
            </a:graphic>
          </wp:inline>
        </w:drawing>
      </w:r>
    </w:p>
    <w:p w14:paraId="139CCEF7" w14:textId="77777777" w:rsidR="007C0894" w:rsidRPr="004A3DBC" w:rsidRDefault="007C0894" w:rsidP="004A3DBC">
      <w:pPr>
        <w:pStyle w:val="Figurelegend"/>
        <w:rPr>
          <w:color w:val="1F497D"/>
        </w:rPr>
      </w:pPr>
      <w:bookmarkStart w:id="82" w:name="الشكل18"/>
      <w:bookmarkEnd w:id="82"/>
      <w:r w:rsidRPr="004A3DBC">
        <w:rPr>
          <w:color w:val="1F497D"/>
          <w:rtl/>
        </w:rPr>
        <w:t>الشكل 18 - المشاريع الجديدة التي وقّعها الاتحاد لكل سنة توقيع (2015-2025)</w:t>
      </w:r>
    </w:p>
    <w:p w14:paraId="2EB3D36C" w14:textId="7911E5A4" w:rsidR="007C0894" w:rsidRPr="007C0894" w:rsidRDefault="007957C0" w:rsidP="007957C0">
      <w:pPr>
        <w:pStyle w:val="Figure"/>
        <w:bidi/>
        <w:rPr>
          <w:rFonts w:eastAsia="MS Mincho"/>
          <w:lang w:val="en-US" w:bidi="ar-EG"/>
        </w:rPr>
      </w:pPr>
      <w:r w:rsidRPr="007957C0">
        <w:rPr>
          <w:rFonts w:eastAsia="MS Mincho"/>
          <w:noProof/>
          <w:rtl/>
        </w:rPr>
        <w:drawing>
          <wp:inline distT="0" distB="0" distL="0" distR="0" wp14:anchorId="2F89FD2A" wp14:editId="4CE5CD5A">
            <wp:extent cx="5040000" cy="2055600"/>
            <wp:effectExtent l="0" t="0" r="825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5">
                      <a:extLst>
                        <a:ext uri="{28A0092B-C50C-407E-A947-70E740481C1C}">
                          <a14:useLocalDpi xmlns:a14="http://schemas.microsoft.com/office/drawing/2010/main" val="0"/>
                        </a:ext>
                      </a:extLst>
                    </a:blip>
                    <a:srcRect l="1743" t="2510" r="1133" b="11867"/>
                    <a:stretch/>
                  </pic:blipFill>
                  <pic:spPr bwMode="auto">
                    <a:xfrm>
                      <a:off x="0" y="0"/>
                      <a:ext cx="5040000" cy="2055600"/>
                    </a:xfrm>
                    <a:prstGeom prst="rect">
                      <a:avLst/>
                    </a:prstGeom>
                    <a:noFill/>
                    <a:ln>
                      <a:noFill/>
                    </a:ln>
                    <a:extLst>
                      <a:ext uri="{53640926-AAD7-44D8-BBD7-CCE9431645EC}">
                        <a14:shadowObscured xmlns:a14="http://schemas.microsoft.com/office/drawing/2010/main"/>
                      </a:ext>
                    </a:extLst>
                  </pic:spPr>
                </pic:pic>
              </a:graphicData>
            </a:graphic>
          </wp:inline>
        </w:drawing>
      </w:r>
    </w:p>
    <w:p w14:paraId="43C2976C" w14:textId="77777777" w:rsidR="007C0894" w:rsidRPr="007C0894" w:rsidRDefault="007C0894" w:rsidP="004A3DBC">
      <w:pPr>
        <w:pStyle w:val="Figurelegend"/>
        <w:rPr>
          <w:color w:val="1F497D"/>
        </w:rPr>
      </w:pPr>
      <w:bookmarkStart w:id="83" w:name="الشكل19"/>
      <w:bookmarkEnd w:id="83"/>
      <w:r w:rsidRPr="007C0894">
        <w:rPr>
          <w:color w:val="1F497D"/>
          <w:rtl/>
        </w:rPr>
        <w:t>الشكل 19 - التمويل الذي تمت تعبئته لصالح المشاريع الجديدة الموقَّعة في دورات المؤتمر العالمي لتنمية الاتصالات</w:t>
      </w:r>
    </w:p>
    <w:p w14:paraId="776762DC" w14:textId="77777777" w:rsidR="0089560B" w:rsidRDefault="007C0894" w:rsidP="004A3DBC">
      <w:pPr>
        <w:keepLines/>
        <w:rPr>
          <w:spacing w:val="-2"/>
          <w:rtl/>
        </w:rPr>
      </w:pPr>
      <w:r w:rsidRPr="007C0894">
        <w:rPr>
          <w:spacing w:val="-2"/>
          <w:rtl/>
        </w:rPr>
        <w:t xml:space="preserve">فيما يتعلق بمصادر التمويل، فإن 90 في </w:t>
      </w:r>
      <w:proofErr w:type="gramStart"/>
      <w:r w:rsidRPr="007C0894">
        <w:rPr>
          <w:spacing w:val="-2"/>
          <w:rtl/>
        </w:rPr>
        <w:t>المائة</w:t>
      </w:r>
      <w:proofErr w:type="gramEnd"/>
      <w:r w:rsidRPr="007C0894">
        <w:rPr>
          <w:spacing w:val="-2"/>
          <w:rtl/>
        </w:rPr>
        <w:t xml:space="preserve"> من الأموال المخصصة للمشاريع الجديدة الموقَّعة خلال دورة المؤتمر العالمي لتنمية الاتصالات للفترة 2023-2025 كان مصدرها الأموال من خارج الميزانية التي حشدها مكتب تنمية الاتصالات من أطراف ثالثة، وأما نسبة 10 في </w:t>
      </w:r>
      <w:proofErr w:type="gramStart"/>
      <w:r w:rsidRPr="007C0894">
        <w:rPr>
          <w:spacing w:val="-2"/>
          <w:rtl/>
        </w:rPr>
        <w:t>المائة</w:t>
      </w:r>
      <w:proofErr w:type="gramEnd"/>
      <w:r w:rsidRPr="007C0894">
        <w:rPr>
          <w:spacing w:val="-2"/>
          <w:rtl/>
        </w:rPr>
        <w:t xml:space="preserve"> المتبقية، فهي ناتجة عن تخصيص أموال أولية من صندوق تنمية تكنولوجيا المعلومات والاتصالات </w:t>
      </w:r>
      <w:r w:rsidRPr="007C0894">
        <w:rPr>
          <w:spacing w:val="-2"/>
          <w:lang w:bidi="ar-EG"/>
        </w:rPr>
        <w:t>(ICT-DF)</w:t>
      </w:r>
      <w:r w:rsidRPr="007C0894">
        <w:rPr>
          <w:spacing w:val="-2"/>
          <w:rtl/>
        </w:rPr>
        <w:t xml:space="preserve"> للاتحاد. ويجدر بالذكر أن الاتحاد ليس مؤسسة تمويل، ومن ثم فإن جدوى توقيع مشاريع جديدة تعتمد إلى حد كبير على توفر شركاء التمويل الراغبين في دعم عمل الاتحاد. ومع ذلك، وفر صندوق تنمية تكنولوجيا المعلومات والاتصالات مورداً أساسياً لتمكين إعداد مشاريع جديدة لقطاع تنمية الاتصالات، حيث يطلب عدد متزايد من الجهات المانحة الآن من الوكالات التي تتلقى الأموال المساهمة بمستوى معين من التمويل المشترك لضمان جدوى المشاريع الجديدة. ويبين ذلك الأهمية الأساسية لصندوق تنمية تكنولوجيا المعلومات والاتصالات </w:t>
      </w:r>
      <w:r w:rsidRPr="007C0894">
        <w:rPr>
          <w:spacing w:val="-2"/>
          <w:lang w:bidi="ar-EG"/>
        </w:rPr>
        <w:t>(ICT-DF)</w:t>
      </w:r>
      <w:r w:rsidRPr="007C0894">
        <w:rPr>
          <w:spacing w:val="-2"/>
          <w:rtl/>
        </w:rPr>
        <w:t xml:space="preserve"> بوصفه آلية رئيسية لتعزيز أعمال تعبئة الموارد التي يضطلع بها مكتب تنمية الاتصالات دعماً للدول الأعضاء في الاتحاد.</w:t>
      </w:r>
    </w:p>
    <w:p w14:paraId="4A5DBCC3" w14:textId="7C1CC967" w:rsidR="007C0894" w:rsidRPr="007C0894" w:rsidRDefault="007C0894" w:rsidP="007C0894">
      <w:pPr>
        <w:rPr>
          <w:lang w:val="ar-SA" w:bidi="ar-EG"/>
        </w:rPr>
      </w:pPr>
      <w:r w:rsidRPr="007C0894">
        <w:rPr>
          <w:rtl/>
        </w:rPr>
        <w:t>وفي عام 2025، واصل الاتحاد أيضاً تعزيز ممارسات إدارة المشاريع في جميع مشاريعه. وشمل ذلك تعزيز عملية تقديم التقارير إلى الشركاء، ومواصلة عمل لجنة المشاريع، وتعزيز وظيفة مراقبة المشاريع.</w:t>
      </w:r>
    </w:p>
    <w:p w14:paraId="091F7144" w14:textId="1B87157A" w:rsidR="007C0894" w:rsidRPr="007C0894" w:rsidRDefault="007C0894" w:rsidP="007C0894">
      <w:pPr>
        <w:rPr>
          <w:lang w:val="ar-SA" w:bidi="ar-EG"/>
        </w:rPr>
      </w:pPr>
      <w:r w:rsidRPr="007C0894">
        <w:rPr>
          <w:rtl/>
        </w:rPr>
        <w:t xml:space="preserve">ويمكن الاطلاع على مزيد من التفاصيل والبيانات في </w:t>
      </w:r>
      <w:hyperlink r:id="rId266" w:anchor="/ar" w:history="1">
        <w:r w:rsidRPr="007C0894">
          <w:rPr>
            <w:rStyle w:val="Hyperlink"/>
            <w:noProof w:val="0"/>
            <w:rtl/>
            <w:lang w:val="en-US" w:eastAsia="zh-CN"/>
          </w:rPr>
          <w:t>بوابة مشاريع قطاع تنمية الاتصالات</w:t>
        </w:r>
      </w:hyperlink>
      <w:r w:rsidRPr="007C0894">
        <w:rPr>
          <w:rtl/>
        </w:rPr>
        <w:t xml:space="preserve"> و</w:t>
      </w:r>
      <w:hyperlink r:id="rId267" w:history="1">
        <w:r w:rsidRPr="007C0894">
          <w:rPr>
            <w:rStyle w:val="Hyperlink"/>
            <w:noProof w:val="0"/>
            <w:rtl/>
            <w:lang w:val="en-US" w:eastAsia="zh-CN"/>
          </w:rPr>
          <w:t>لوحة المعلومات الجديدة لأعضاء الاتحاد بشأن حالة المشاريع</w:t>
        </w:r>
      </w:hyperlink>
      <w:r w:rsidRPr="007C0894">
        <w:rPr>
          <w:rtl/>
        </w:rPr>
        <w:t>.</w:t>
      </w:r>
    </w:p>
    <w:p w14:paraId="1648EAD0" w14:textId="38172D26" w:rsidR="007C0894" w:rsidRPr="007C0894" w:rsidRDefault="004A3DBC" w:rsidP="004A3DBC">
      <w:pPr>
        <w:pStyle w:val="Heading2"/>
        <w:rPr>
          <w:lang w:val="ar-SA" w:bidi="ar-EG"/>
        </w:rPr>
      </w:pPr>
      <w:bookmarkStart w:id="84" w:name="_Toc224288819"/>
      <w:bookmarkStart w:id="85" w:name="_Toc227252593"/>
      <w:r>
        <w:t>8.4</w:t>
      </w:r>
      <w:r w:rsidR="007C0894" w:rsidRPr="007C0894">
        <w:rPr>
          <w:rtl/>
        </w:rPr>
        <w:tab/>
      </w:r>
      <w:bookmarkEnd w:id="84"/>
      <w:r w:rsidR="00FB505F">
        <w:rPr>
          <w:rFonts w:hint="cs"/>
          <w:rtl/>
        </w:rPr>
        <w:t>منصات عقد الاجتماعات</w:t>
      </w:r>
      <w:bookmarkEnd w:id="85"/>
    </w:p>
    <w:p w14:paraId="0664EE61" w14:textId="06D8CD5A" w:rsidR="007C0894" w:rsidRPr="007C0894" w:rsidRDefault="004A3DBC" w:rsidP="004A3DBC">
      <w:pPr>
        <w:pStyle w:val="Heading3"/>
        <w:rPr>
          <w:lang w:val="ar-SA" w:bidi="ar-EG"/>
        </w:rPr>
      </w:pPr>
      <w:bookmarkStart w:id="86" w:name="_Toc224288820"/>
      <w:bookmarkStart w:id="87" w:name="_Toc227252594"/>
      <w:r>
        <w:t>1.8.4</w:t>
      </w:r>
      <w:r w:rsidR="007C0894" w:rsidRPr="007C0894">
        <w:rPr>
          <w:rtl/>
        </w:rPr>
        <w:tab/>
        <w:t>عملية القمة العالمية لمجتمع المعلومات</w:t>
      </w:r>
      <w:bookmarkEnd w:id="86"/>
      <w:bookmarkEnd w:id="87"/>
    </w:p>
    <w:p w14:paraId="6919B748" w14:textId="2DDFD79D" w:rsidR="007C0894" w:rsidRPr="007C0894" w:rsidRDefault="007C0894" w:rsidP="007C0894">
      <w:pPr>
        <w:rPr>
          <w:lang w:val="ar-SA" w:bidi="ar-EG"/>
        </w:rPr>
      </w:pPr>
      <w:r w:rsidRPr="007C0894">
        <w:rPr>
          <w:rtl/>
        </w:rPr>
        <w:t xml:space="preserve">تواصل </w:t>
      </w:r>
      <w:hyperlink r:id="rId268" w:history="1">
        <w:r w:rsidRPr="007C0894">
          <w:rPr>
            <w:rStyle w:val="Hyperlink"/>
            <w:noProof w:val="0"/>
            <w:rtl/>
            <w:lang w:val="en-US" w:eastAsia="zh-CN"/>
          </w:rPr>
          <w:t xml:space="preserve">القمة العالمية لمجتمع المعلومات </w:t>
        </w:r>
        <w:r w:rsidRPr="007C0894">
          <w:rPr>
            <w:rStyle w:val="Hyperlink"/>
            <w:noProof w:val="0"/>
            <w:lang w:val="en-US" w:eastAsia="zh-CN" w:bidi="ar-EG"/>
          </w:rPr>
          <w:t>(WSIS)</w:t>
        </w:r>
      </w:hyperlink>
      <w:r w:rsidRPr="007C0894">
        <w:rPr>
          <w:rtl/>
        </w:rPr>
        <w:t xml:space="preserve"> توفير إطار عالمي رئيسي للتنمية الرقمية الشاملة التي تركز على الناس والنهوض بخطة التنمية المستدامة لعام 2030. ويقود الاتحاد، بصفته الميسِّر الرئيسي، تنفيذ خطوط عمل القمة، ويعزز المشاركة المتعددة أصحاب المصلحة، ويدعم جهود التحول الرقمي المنسقة.</w:t>
      </w:r>
    </w:p>
    <w:p w14:paraId="7D9F3870" w14:textId="77777777" w:rsidR="0089560B" w:rsidRDefault="007C0894" w:rsidP="007C0894">
      <w:pPr>
        <w:rPr>
          <w:rtl/>
        </w:rPr>
      </w:pPr>
      <w:r w:rsidRPr="007C0894">
        <w:rPr>
          <w:rtl/>
        </w:rPr>
        <w:t xml:space="preserve">واسترشاداً </w:t>
      </w:r>
      <w:hyperlink r:id="rId269" w:history="1">
        <w:r w:rsidRPr="007C0894">
          <w:rPr>
            <w:rStyle w:val="Hyperlink"/>
            <w:noProof w:val="0"/>
            <w:rtl/>
            <w:lang w:val="en-US" w:eastAsia="zh-CN"/>
          </w:rPr>
          <w:t>بالقرار 140 (المراجَع في بوخارست، 2022)</w:t>
        </w:r>
      </w:hyperlink>
      <w:r w:rsidRPr="007C0894">
        <w:rPr>
          <w:rtl/>
        </w:rPr>
        <w:t xml:space="preserve"> لمؤتمر المندوبين المفوضين، وقراري المجلس </w:t>
      </w:r>
      <w:hyperlink r:id="rId270" w:history="1">
        <w:r w:rsidRPr="007C0894">
          <w:rPr>
            <w:rStyle w:val="Hyperlink"/>
            <w:noProof w:val="0"/>
            <w:rtl/>
            <w:lang w:val="en-US" w:eastAsia="zh-CN"/>
          </w:rPr>
          <w:t>1332 (المعدَّل في عام 2024)</w:t>
        </w:r>
      </w:hyperlink>
      <w:r w:rsidRPr="007C0894">
        <w:rPr>
          <w:rtl/>
        </w:rPr>
        <w:t xml:space="preserve"> و</w:t>
      </w:r>
      <w:hyperlink r:id="rId271" w:history="1">
        <w:r w:rsidRPr="007C0894">
          <w:rPr>
            <w:rStyle w:val="Hyperlink"/>
            <w:noProof w:val="0"/>
            <w:rtl/>
            <w:lang w:val="en-US" w:eastAsia="zh-CN"/>
          </w:rPr>
          <w:t>1334 (المعدَّل في عام 2023)</w:t>
        </w:r>
      </w:hyperlink>
      <w:r w:rsidRPr="007C0894">
        <w:rPr>
          <w:rtl/>
        </w:rPr>
        <w:t>، و</w:t>
      </w:r>
      <w:hyperlink r:id="rId272" w:history="1">
        <w:r w:rsidRPr="007C0894">
          <w:rPr>
            <w:rStyle w:val="Hyperlink"/>
            <w:noProof w:val="0"/>
            <w:rtl/>
            <w:lang w:val="en-US" w:eastAsia="zh-CN"/>
          </w:rPr>
          <w:t>القرار 30 (المراجَع في باكو، 2025)</w:t>
        </w:r>
      </w:hyperlink>
      <w:r w:rsidRPr="007C0894">
        <w:rPr>
          <w:rtl/>
        </w:rPr>
        <w:t xml:space="preserve"> للمؤتمر العالمي لتنمية الاتصالات، و</w:t>
      </w:r>
      <w:hyperlink r:id="rId273" w:history="1">
        <w:r w:rsidRPr="007C0894">
          <w:rPr>
            <w:rStyle w:val="Hyperlink"/>
            <w:noProof w:val="0"/>
            <w:rtl/>
            <w:lang w:val="en-US" w:eastAsia="zh-CN"/>
          </w:rPr>
          <w:t>القرار 75 (المراجَع في جنيف، 2022)</w:t>
        </w:r>
      </w:hyperlink>
      <w:r w:rsidRPr="007C0894">
        <w:rPr>
          <w:rtl/>
        </w:rPr>
        <w:t xml:space="preserve"> للجمعية العالمية لتقييس الاتصالات، و</w:t>
      </w:r>
      <w:hyperlink r:id="rId274" w:history="1">
        <w:r w:rsidRPr="007C0894">
          <w:rPr>
            <w:rStyle w:val="Hyperlink"/>
            <w:noProof w:val="0"/>
            <w:rtl/>
            <w:lang w:val="en-US" w:eastAsia="zh-CN"/>
          </w:rPr>
          <w:t>القرار ITU-R 61-3 (المراجَع في دبي، 2023)</w:t>
        </w:r>
      </w:hyperlink>
      <w:r w:rsidRPr="007C0894">
        <w:rPr>
          <w:rtl/>
        </w:rPr>
        <w:t xml:space="preserve"> لجمعية الاتصالات الراديوية، استضاف الاتحاد منذ مؤتمر المندوبين المفوضين لعام 2022 ثلاثة أحداث </w:t>
      </w:r>
      <w:hyperlink r:id="rId275" w:history="1">
        <w:r w:rsidRPr="007C0894">
          <w:rPr>
            <w:rStyle w:val="Hyperlink"/>
            <w:noProof w:val="0"/>
            <w:rtl/>
            <w:lang w:val="en-US" w:eastAsia="zh-CN"/>
          </w:rPr>
          <w:t>لمنتدى القمة العالمية لمجتمع المعلومات</w:t>
        </w:r>
      </w:hyperlink>
      <w:r w:rsidRPr="007C0894">
        <w:rPr>
          <w:rtl/>
        </w:rPr>
        <w:t xml:space="preserve">، حيث عُقدت نسختا 2024 و2025 في شكل حدثين رفيعي المستوى للقمة العالمية لمجتمع المعلومات بعد 20 عاماً من انعقادها </w:t>
      </w:r>
      <w:r w:rsidR="004A3DBC" w:rsidRPr="004A3DBC">
        <w:rPr>
          <w:lang w:bidi="ar-EG"/>
        </w:rPr>
        <w:t>(WSIS+20)</w:t>
      </w:r>
      <w:r w:rsidRPr="007C0894">
        <w:rPr>
          <w:rtl/>
        </w:rPr>
        <w:t xml:space="preserve">، ما أسهم في الاستعراض الشامل، ووفر منصة عالمية للحوار والتعاون. وتضم منصة </w:t>
      </w:r>
      <w:hyperlink r:id="rId276" w:history="1">
        <w:r w:rsidRPr="007C0894">
          <w:rPr>
            <w:rStyle w:val="Hyperlink"/>
            <w:noProof w:val="0"/>
            <w:rtl/>
            <w:lang w:val="en-US" w:eastAsia="zh-CN"/>
          </w:rPr>
          <w:t>تقييم تنفيذ نتائج القمة العالمية لمجتمع المعلومات</w:t>
        </w:r>
      </w:hyperlink>
      <w:r w:rsidRPr="007C0894">
        <w:rPr>
          <w:rtl/>
        </w:rPr>
        <w:t xml:space="preserve"> الآن أكثر من </w:t>
      </w:r>
      <w:r w:rsidR="004A3DBC">
        <w:t>21 000</w:t>
      </w:r>
      <w:r w:rsidRPr="007C0894">
        <w:rPr>
          <w:rtl/>
        </w:rPr>
        <w:t xml:space="preserve"> مشروع من مشاريع </w:t>
      </w:r>
      <w:r w:rsidRPr="007C0894">
        <w:rPr>
          <w:i/>
          <w:iCs/>
          <w:rtl/>
        </w:rPr>
        <w:t>تكنولوجيا المعلومات والاتصالات لأغراض التنمية</w:t>
      </w:r>
      <w:r w:rsidRPr="007C0894">
        <w:rPr>
          <w:rtl/>
        </w:rPr>
        <w:t xml:space="preserve">، وتواصل </w:t>
      </w:r>
      <w:hyperlink r:id="rId277" w:history="1">
        <w:r w:rsidRPr="007C0894">
          <w:rPr>
            <w:rStyle w:val="Hyperlink"/>
            <w:noProof w:val="0"/>
            <w:rtl/>
            <w:lang w:val="en-US" w:eastAsia="zh-CN"/>
          </w:rPr>
          <w:t>جوائز القمة العالمية لمجتمع المعلومات</w:t>
        </w:r>
      </w:hyperlink>
      <w:r w:rsidRPr="007C0894">
        <w:rPr>
          <w:rtl/>
        </w:rPr>
        <w:t xml:space="preserve"> تسليط الضوء على المبادرات الرقمية المؤثرة، حيث تلقت أكثر من </w:t>
      </w:r>
      <w:r w:rsidR="004A3DBC">
        <w:t>3 000</w:t>
      </w:r>
      <w:r w:rsidRPr="007C0894">
        <w:rPr>
          <w:rtl/>
        </w:rPr>
        <w:t xml:space="preserve"> طلب في السنوات الثلاث الماضية.</w:t>
      </w:r>
    </w:p>
    <w:p w14:paraId="044334E4" w14:textId="6E9D2CF1" w:rsidR="007C0894" w:rsidRPr="007C0894" w:rsidRDefault="007C0894" w:rsidP="007C0894">
      <w:pPr>
        <w:rPr>
          <w:lang w:val="ar-SA" w:bidi="ar-EG"/>
        </w:rPr>
      </w:pPr>
      <w:r w:rsidRPr="007C0894">
        <w:rPr>
          <w:rtl/>
        </w:rPr>
        <w:t>وترد التفاصيل الكاملة بشأن تنفيذ الاتحاد لعملية القمة العالمية لمجتمع المعلومات وخطة التنمية المستدامة لعام</w:t>
      </w:r>
      <w:r w:rsidR="00FB505F">
        <w:rPr>
          <w:rFonts w:hint="cs"/>
          <w:rtl/>
        </w:rPr>
        <w:t> </w:t>
      </w:r>
      <w:r w:rsidRPr="007C0894">
        <w:rPr>
          <w:rtl/>
        </w:rPr>
        <w:t xml:space="preserve">2030 (من خلال هيكل القمة العالمية لمجتمع المعلومات) منذ مؤتمر المندوبين المفوضين لعام 2022 في </w:t>
      </w:r>
      <w:hyperlink r:id="rId278" w:history="1">
        <w:r w:rsidRPr="007C0894">
          <w:rPr>
            <w:rStyle w:val="Hyperlink"/>
            <w:noProof w:val="0"/>
            <w:rtl/>
            <w:lang w:val="en-US" w:eastAsia="zh-CN"/>
          </w:rPr>
          <w:t>التقرير النهائي والشامل عن أنشطة الاتحاد المتعلقة بتنفيذ نتائج القمة العالمية لمجتمع المعلومات وخطة التنمية المستدامة لعام 2030 إلى جانب مقترحات بشأن مزيد من الأنشطة</w:t>
        </w:r>
      </w:hyperlink>
      <w:r w:rsidRPr="007C0894">
        <w:rPr>
          <w:rtl/>
        </w:rPr>
        <w:t xml:space="preserve">. وأخيراً، تركز </w:t>
      </w:r>
      <w:hyperlink r:id="rId279" w:history="1">
        <w:r w:rsidRPr="007C0894">
          <w:rPr>
            <w:rStyle w:val="Hyperlink"/>
            <w:noProof w:val="0"/>
            <w:rtl/>
            <w:lang w:val="en-US" w:eastAsia="zh-CN"/>
          </w:rPr>
          <w:t>التقارير السنوية بشأن مساهمة الاتحاد في تنفيذ نتائج القمة العالمية لمجتمع المعلومات</w:t>
        </w:r>
      </w:hyperlink>
      <w:r w:rsidRPr="007C0894">
        <w:rPr>
          <w:rtl/>
        </w:rPr>
        <w:t xml:space="preserve"> على المبادرات والأنشطة الرئيسية المتصلة بالقمة في قطاعات الاتحاد الثلاثة - التقييس والاتصالات الراديوية والتنمية - وكذلك الأمانة العامة، وتبين التقدم المحرز على المستويين التشغيلي والسياساتي في الوفاء بولايات الاتحاد المتعلقة بالقمة العالمية لمجتمع المعلومات.</w:t>
      </w:r>
    </w:p>
    <w:p w14:paraId="2150CD8C" w14:textId="77777777" w:rsidR="007C0894" w:rsidRPr="007C0894" w:rsidRDefault="007C0894" w:rsidP="004A3DBC">
      <w:pPr>
        <w:pStyle w:val="Headingb"/>
        <w:rPr>
          <w:lang w:val="ar-SA" w:bidi="ar-EG"/>
        </w:rPr>
      </w:pPr>
      <w:r w:rsidRPr="007C0894">
        <w:rPr>
          <w:rtl/>
        </w:rPr>
        <w:t>منتدى القمة العالمية لمجتمع المعلومات</w:t>
      </w:r>
    </w:p>
    <w:p w14:paraId="33EA289C" w14:textId="7B44691A" w:rsidR="007C0894" w:rsidRPr="007C0894" w:rsidRDefault="007C0894" w:rsidP="004A3DBC">
      <w:pPr>
        <w:rPr>
          <w:lang w:val="ar-SA" w:bidi="ar-EG"/>
        </w:rPr>
      </w:pPr>
      <w:r w:rsidRPr="007C0894">
        <w:rPr>
          <w:rtl/>
        </w:rPr>
        <w:t xml:space="preserve">يعد </w:t>
      </w:r>
      <w:hyperlink r:id="rId280" w:history="1">
        <w:r w:rsidRPr="007C0894">
          <w:rPr>
            <w:rStyle w:val="Hyperlink"/>
            <w:noProof w:val="0"/>
            <w:rtl/>
            <w:lang w:val="en-US" w:eastAsia="zh-CN"/>
          </w:rPr>
          <w:t>منتدى القمة العالمية لمجتمع المعلومات</w:t>
        </w:r>
      </w:hyperlink>
      <w:r w:rsidRPr="007C0894">
        <w:rPr>
          <w:rtl/>
        </w:rPr>
        <w:t xml:space="preserve">، الذي استضافه الاتحاد (بمشاركة سويسرا في عامي 2024 و2025) وشارك في تنظيمه كل من اليونسكو وبرنامج الأمم المتحدة الإنمائي والأونكتاد، بالتعاون مع أكثر من 50 شريكاً من شركاء الأمم المتحدة، منصة عالمية رائدة للنهوض بالتنمية الرقمية الشاملة واستعراض التقدم المحرز في تنفيذ خطوط عمل القمة. ومن خلال بناء القدرات وعقد الشراكات وتبادل المعارف، شارك في المنتدى ما يزيد على </w:t>
      </w:r>
      <w:r w:rsidR="004A3DBC">
        <w:t>50 000</w:t>
      </w:r>
      <w:r w:rsidRPr="007C0894">
        <w:rPr>
          <w:rtl/>
        </w:rPr>
        <w:t xml:space="preserve"> من أصحاب المصلحة من أكثر من 160 بلداً، حيث تشكلت رؤية مشتركة ورُسمت خارطة طريق قابلة للتنفيذ بشأن التنمية الرقمية والتكنولوجيات الناشئة. وركّز منتدى القمة لعام 2023 على "</w:t>
      </w:r>
      <w:hyperlink r:id="rId281" w:history="1">
        <w:r w:rsidRPr="007C0894">
          <w:rPr>
            <w:rStyle w:val="Hyperlink"/>
            <w:noProof w:val="0"/>
            <w:rtl/>
            <w:lang w:val="en-US" w:eastAsia="zh-CN"/>
          </w:rPr>
          <w:t>خطوط عمل القمة العالمية لمجتمع المعلومات من أجل إعادة البناء بشكل أفضل والتعجيل بتحقيق أهداف التنمية المستدامة</w:t>
        </w:r>
      </w:hyperlink>
      <w:r w:rsidRPr="007C0894">
        <w:rPr>
          <w:rtl/>
        </w:rPr>
        <w:t xml:space="preserve">"، واستعرض </w:t>
      </w:r>
      <w:hyperlink r:id="rId282" w:history="1">
        <w:r w:rsidRPr="007C0894">
          <w:rPr>
            <w:rStyle w:val="Hyperlink"/>
            <w:noProof w:val="0"/>
            <w:rtl/>
            <w:lang w:val="en-US" w:eastAsia="zh-CN"/>
          </w:rPr>
          <w:t>الحدث الرفيع المستوى</w:t>
        </w:r>
        <w:r w:rsidR="00FB505F">
          <w:rPr>
            <w:rStyle w:val="Hyperlink"/>
            <w:rFonts w:hint="cs"/>
            <w:noProof w:val="0"/>
            <w:rtl/>
            <w:lang w:val="en-US" w:eastAsia="zh-CN"/>
          </w:rPr>
          <w:t> </w:t>
        </w:r>
        <w:r w:rsidRPr="007C0894">
          <w:rPr>
            <w:rStyle w:val="Hyperlink"/>
            <w:noProof w:val="0"/>
            <w:rtl/>
            <w:lang w:val="en-US" w:eastAsia="zh-CN"/>
          </w:rPr>
          <w:t>WSIS+20 لعام 2024</w:t>
        </w:r>
      </w:hyperlink>
      <w:r w:rsidRPr="007C0894">
        <w:rPr>
          <w:rtl/>
        </w:rPr>
        <w:t xml:space="preserve"> عقدين من التقدم، وأعاد </w:t>
      </w:r>
      <w:hyperlink r:id="rId283" w:history="1">
        <w:r w:rsidRPr="007C0894">
          <w:rPr>
            <w:rStyle w:val="Hyperlink"/>
            <w:noProof w:val="0"/>
            <w:rtl/>
            <w:lang w:val="en-US" w:eastAsia="zh-CN"/>
          </w:rPr>
          <w:t>الحدث الرفيع المستوى WSIS+20 لعام 2025</w:t>
        </w:r>
      </w:hyperlink>
      <w:r w:rsidRPr="007C0894">
        <w:rPr>
          <w:rtl/>
        </w:rPr>
        <w:t xml:space="preserve"> التأكيد على دور القمة في تشكيل التعاون الرقمي العالمي وأرسى الأساس للاستعراض التي تجريه الجمعية العامة للأمم المتحدة لتنفيذ نتائج القمة بعد 20 عاماً من انعقادها </w:t>
      </w:r>
      <w:r w:rsidR="004A3DBC" w:rsidRPr="004A3DBC">
        <w:rPr>
          <w:lang w:bidi="ar-EG"/>
        </w:rPr>
        <w:t>(WSIS+20)</w:t>
      </w:r>
      <w:r w:rsidRPr="007C0894">
        <w:rPr>
          <w:rtl/>
        </w:rPr>
        <w:t>.</w:t>
      </w:r>
    </w:p>
    <w:p w14:paraId="3924BDB7" w14:textId="77777777" w:rsidR="007C0894" w:rsidRPr="004A3DBC" w:rsidRDefault="007C0894" w:rsidP="004A3DBC">
      <w:pPr>
        <w:pStyle w:val="Headingb"/>
        <w:rPr>
          <w:spacing w:val="-4"/>
          <w:lang w:val="ar-SA" w:bidi="ar-EG"/>
        </w:rPr>
      </w:pPr>
      <w:r w:rsidRPr="004A3DBC">
        <w:rPr>
          <w:spacing w:val="-4"/>
          <w:rtl/>
        </w:rPr>
        <w:t>مساهمة الاتحاد في عملية استعراض تنفيذ نتائج القمة العالمية لمجتمع المعلومات بعد 20 عاماً من انعقادها</w:t>
      </w:r>
    </w:p>
    <w:p w14:paraId="518EF58A" w14:textId="445526FD" w:rsidR="007C0894" w:rsidRPr="007957C0" w:rsidRDefault="007C0894" w:rsidP="007C0894">
      <w:pPr>
        <w:rPr>
          <w:spacing w:val="-4"/>
          <w:lang w:val="ar-SA" w:bidi="ar-EG"/>
        </w:rPr>
      </w:pPr>
      <w:r w:rsidRPr="007957C0">
        <w:rPr>
          <w:spacing w:val="-4"/>
          <w:rtl/>
        </w:rPr>
        <w:t xml:space="preserve">اضطلع الاتحاد الدولي للاتصالات، بصفته وكالة الأمم المتحدة المعنية بالتكنولوجيات الرقمية وإحدى المؤسسات المؤسِّسة لعملية القمة العالمية لمجتمع المعلومات، بدور محوري طوال عملية استعراض تنفيذ نتائج القمة العالمية لمجتمع المعلومات بعد 20 عاماً من انعقادها </w:t>
      </w:r>
      <w:r w:rsidR="004A3DBC" w:rsidRPr="007957C0">
        <w:rPr>
          <w:spacing w:val="-4"/>
          <w:lang w:bidi="ar-EG"/>
        </w:rPr>
        <w:t>(WSIS+20)</w:t>
      </w:r>
      <w:r w:rsidRPr="007957C0">
        <w:rPr>
          <w:spacing w:val="-4"/>
          <w:rtl/>
        </w:rPr>
        <w:t xml:space="preserve">. وساهم الاتحاد بنشاط في العملية التحضيرية التي تقودها الجمعية العامة للأمم المتحدة </w:t>
      </w:r>
      <w:r w:rsidRPr="007957C0">
        <w:rPr>
          <w:spacing w:val="-4"/>
          <w:lang w:bidi="ar-EG"/>
        </w:rPr>
        <w:t>(UNGA)</w:t>
      </w:r>
      <w:r w:rsidRPr="007957C0">
        <w:rPr>
          <w:spacing w:val="-4"/>
          <w:rtl/>
        </w:rPr>
        <w:t xml:space="preserve"> ودعمها بوسائل شتى منها التعاون مع الجهات المشاركة في تيسير عملية استعراض تنفيذ نتائج القمة WSIS+20، والمشاركة في الاجتماعات التشاورية، وتقديم مدخلات جوهرية لوثيقة نتائج عملية الاستعراض، على النحو الموثق </w:t>
      </w:r>
      <w:hyperlink r:id="rId284" w:history="1">
        <w:r w:rsidRPr="007957C0">
          <w:rPr>
            <w:rStyle w:val="Hyperlink"/>
            <w:noProof w:val="0"/>
            <w:spacing w:val="-4"/>
            <w:rtl/>
            <w:lang w:val="en-US" w:eastAsia="zh-CN"/>
          </w:rPr>
          <w:t>هنا</w:t>
        </w:r>
      </w:hyperlink>
      <w:r w:rsidRPr="007957C0">
        <w:rPr>
          <w:spacing w:val="-4"/>
          <w:rtl/>
        </w:rPr>
        <w:t xml:space="preserve"> في الصفحة المخصصة لأمانة الاستعراض الشامل لتنفيذ نتائج القمة WSIS+20. واسترشد الاتحاد </w:t>
      </w:r>
      <w:hyperlink r:id="rId285" w:history="1">
        <w:r w:rsidRPr="007957C0">
          <w:rPr>
            <w:rStyle w:val="Hyperlink"/>
            <w:i/>
            <w:iCs/>
            <w:noProof w:val="0"/>
            <w:spacing w:val="-4"/>
            <w:rtl/>
            <w:lang w:val="en-US" w:eastAsia="zh-CN"/>
          </w:rPr>
          <w:t xml:space="preserve">بخارطة طريق القمة العالمية لمجتمع المعلومات بعد عشرين عاماً من انعقادها </w:t>
        </w:r>
        <w:r w:rsidR="004A3DBC" w:rsidRPr="007957C0">
          <w:rPr>
            <w:rStyle w:val="Hyperlink"/>
            <w:i/>
            <w:iCs/>
            <w:noProof w:val="0"/>
            <w:spacing w:val="-4"/>
            <w:lang w:val="en-US" w:eastAsia="zh-CN" w:bidi="ar-EG"/>
          </w:rPr>
          <w:t>(WSIS+20)</w:t>
        </w:r>
      </w:hyperlink>
      <w:r w:rsidRPr="007957C0">
        <w:rPr>
          <w:spacing w:val="-4"/>
          <w:rtl/>
        </w:rPr>
        <w:t xml:space="preserve"> التي وضعها الأمين العام للاتحاد الدولي للاتصالات، والتي تحدد الاتجاه الاستراتيجي لدور الاتحاد في عملية استعراض تنفيذ نتائج القمة WSIS+20 وأنشطتها التحضيرية. وأعدت الأمينة العامة </w:t>
      </w:r>
      <w:hyperlink r:id="rId286" w:history="1">
        <w:r w:rsidRPr="007957C0">
          <w:rPr>
            <w:rStyle w:val="Hyperlink"/>
            <w:noProof w:val="0"/>
            <w:spacing w:val="-4"/>
            <w:rtl/>
            <w:lang w:val="en-US" w:eastAsia="zh-CN"/>
          </w:rPr>
          <w:t>تقرير الحدث WSIS+20: "بناء مستقبل رقمي للجميع"</w:t>
        </w:r>
      </w:hyperlink>
      <w:r w:rsidRPr="007957C0">
        <w:rPr>
          <w:spacing w:val="-4"/>
          <w:rtl/>
        </w:rPr>
        <w:t>، الذي يوثق عقدين من تنفيذ نتائج القمة العالمية لمجتمع المعلومات ومساهمات الاتحاد من خلال السياسات العامة والمساعدة التقنية وتنمية القدرات والبيانات والشراكات، وقُدم التقرير إلى الاستعراض الشامل لتنفيذ نتائج القمة WSIS+20، الذي أجري بقيادة الجمعية العامة للأمم المتحدة.</w:t>
      </w:r>
    </w:p>
    <w:p w14:paraId="746E83B9" w14:textId="386C42EE" w:rsidR="007C0894" w:rsidRPr="007C0894" w:rsidRDefault="007C0894" w:rsidP="007C0894">
      <w:pPr>
        <w:rPr>
          <w:lang w:val="ar-SA" w:bidi="ar-EG"/>
        </w:rPr>
      </w:pPr>
      <w:r w:rsidRPr="007C0894">
        <w:rPr>
          <w:rtl/>
        </w:rPr>
        <w:t>وأحال رئيس فريق العمل التابع للمجلس والمعني بالقمة العالمية لمجتمع المعلومات وأهداف التنمية المستدامة</w:t>
      </w:r>
      <w:r w:rsidR="00FB505F">
        <w:rPr>
          <w:rFonts w:hint="cs"/>
          <w:rtl/>
        </w:rPr>
        <w:t> </w:t>
      </w:r>
      <w:r w:rsidRPr="007C0894">
        <w:rPr>
          <w:lang w:bidi="ar-EG"/>
        </w:rPr>
        <w:t>(CWG-WSIS&amp;SDG)</w:t>
      </w:r>
      <w:r w:rsidRPr="007C0894">
        <w:rPr>
          <w:rtl/>
        </w:rPr>
        <w:t xml:space="preserve"> إلى استعراض تنفيذ نتائج القمة WSIS+20 الذي تقوده الجمعية العامة للأمم المتحدة، ملخص </w:t>
      </w:r>
      <w:hyperlink r:id="rId287" w:history="1">
        <w:r w:rsidRPr="007C0894">
          <w:rPr>
            <w:rStyle w:val="Hyperlink"/>
            <w:noProof w:val="0"/>
            <w:rtl/>
            <w:lang w:val="en-US" w:eastAsia="zh-CN"/>
          </w:rPr>
          <w:t>الدعوة إلى تقديم مدخلات بشأن استعراض تنفيذ نتائج القمة WSIS+20</w:t>
        </w:r>
      </w:hyperlink>
      <w:r w:rsidRPr="007C0894">
        <w:rPr>
          <w:rtl/>
        </w:rPr>
        <w:t xml:space="preserve">، التي أطلقها الاتحاد ونسقها فريق العمل </w:t>
      </w:r>
      <w:r w:rsidRPr="007C0894">
        <w:rPr>
          <w:lang w:bidi="ar-EG"/>
        </w:rPr>
        <w:t>CWG-WSIS&amp;SDG</w:t>
      </w:r>
      <w:r w:rsidRPr="007C0894">
        <w:rPr>
          <w:rtl/>
        </w:rPr>
        <w:t xml:space="preserve">، لضمان تضمين العملية الشاملة وجهات نظر متنوعة من الحكومات وأصحاب المصلحة وإسهامها فيها. ولمزيد من المعلومات التفصيلية عن نتائج هذا الاستعراض الذي تجريه الجمعية العامة للأمم المتحدة ومساهمة الاتحاد في عملية الاستعراض ونواتج المتابعة، يرجى الاطلاع على </w:t>
      </w:r>
      <w:hyperlink r:id="rId288" w:history="1">
        <w:r w:rsidRPr="007C0894">
          <w:rPr>
            <w:rStyle w:val="Hyperlink"/>
            <w:noProof w:val="0"/>
            <w:rtl/>
            <w:lang w:val="en-US" w:eastAsia="zh-CN"/>
          </w:rPr>
          <w:t>تقرير الجمعية العامة للأمم المتحدة بشأن الاستعراض الشامل لتنفيذ نتائج القمة العالمية لمجتمع المعلومات</w:t>
        </w:r>
      </w:hyperlink>
      <w:r w:rsidRPr="007C0894">
        <w:rPr>
          <w:rtl/>
        </w:rPr>
        <w:t>.</w:t>
      </w:r>
    </w:p>
    <w:p w14:paraId="590E2580" w14:textId="77777777" w:rsidR="0089560B" w:rsidRDefault="007C0894" w:rsidP="001120B6">
      <w:pPr>
        <w:pStyle w:val="Headingb"/>
        <w:rPr>
          <w:rtl/>
        </w:rPr>
      </w:pPr>
      <w:r w:rsidRPr="007C0894">
        <w:rPr>
          <w:rtl/>
        </w:rPr>
        <w:t>فريق الأمم المتحدة المعني بمجتمع المعلومات</w:t>
      </w:r>
    </w:p>
    <w:p w14:paraId="300DE822" w14:textId="7FD534A3" w:rsidR="0089560B" w:rsidRDefault="007C0894" w:rsidP="007C0894">
      <w:pPr>
        <w:rPr>
          <w:rtl/>
        </w:rPr>
      </w:pPr>
      <w:r w:rsidRPr="007C0894">
        <w:rPr>
          <w:rtl/>
        </w:rPr>
        <w:t xml:space="preserve">يقود الاتحاد الدولي للاتصالات، بصفته الأمانة الدائمة </w:t>
      </w:r>
      <w:hyperlink r:id="rId289" w:history="1">
        <w:r w:rsidRPr="007C0894">
          <w:rPr>
            <w:rStyle w:val="Hyperlink"/>
            <w:noProof w:val="0"/>
            <w:rtl/>
            <w:lang w:val="en-US" w:eastAsia="zh-CN"/>
          </w:rPr>
          <w:t xml:space="preserve">لفريق الأمم المتحدة المعني بمجتمع المعلومات </w:t>
        </w:r>
        <w:r w:rsidRPr="007C0894">
          <w:rPr>
            <w:rStyle w:val="Hyperlink"/>
            <w:noProof w:val="0"/>
            <w:lang w:val="en-US" w:eastAsia="zh-CN" w:bidi="ar-EG"/>
          </w:rPr>
          <w:t>(UNGIS)</w:t>
        </w:r>
      </w:hyperlink>
      <w:r w:rsidRPr="007C0894">
        <w:rPr>
          <w:rtl/>
        </w:rPr>
        <w:t xml:space="preserve"> واضطلاعه بدور الرئيس ونائب الرئيس عل</w:t>
      </w:r>
      <w:r w:rsidR="00F92A17">
        <w:rPr>
          <w:rFonts w:hint="cs"/>
          <w:rtl/>
          <w:lang w:bidi="ar-EG"/>
        </w:rPr>
        <w:t>ى</w:t>
      </w:r>
      <w:r w:rsidRPr="007C0894">
        <w:rPr>
          <w:rtl/>
        </w:rPr>
        <w:t xml:space="preserve"> أساس تناوبي، التنسيق والقيادة والتوجيه الاستراتيجي للتعاون الرقمي عبر منظومة الأمم المتحدة. وهذا الفريق هو آلية مشتركة بين وكالات منظومة الأمم المتحدة لتعزيز اتساق السياسات وتنسيق البرامج بشأن المسائل الرقمية، ويتألف من 31 كياناً من كيانات الأمم المتحدة و17 مراقباً. ومنذ اعتماد التعاهد الرقمي العالمي </w:t>
      </w:r>
      <w:r w:rsidRPr="007C0894">
        <w:rPr>
          <w:lang w:bidi="ar-EG"/>
        </w:rPr>
        <w:t>(GDC)</w:t>
      </w:r>
      <w:r w:rsidRPr="007C0894">
        <w:rPr>
          <w:rtl/>
        </w:rPr>
        <w:t xml:space="preserve"> في عام 2024، قاد الفريق التنفيذ من خلال </w:t>
      </w:r>
      <w:hyperlink r:id="rId290" w:history="1">
        <w:r w:rsidRPr="007C0894">
          <w:rPr>
            <w:rStyle w:val="Hyperlink"/>
            <w:noProof w:val="0"/>
            <w:rtl/>
            <w:lang w:val="en-US" w:eastAsia="zh-CN"/>
          </w:rPr>
          <w:t>مصفوفة عملية القمة العالمية لمجتمع المعلومات وخطة التنمية المستدامة لعام 2030 والتعاهد الرقمي العالمي</w:t>
        </w:r>
      </w:hyperlink>
      <w:r w:rsidRPr="007C0894">
        <w:rPr>
          <w:rtl/>
        </w:rPr>
        <w:t xml:space="preserve">، وساهم في الوقت نفسه في الأحداث الرقمية والإنمائية الرئيسية، بما في ذلك استعراض تنفيذ نتائج القمة العالمية لمجتمع المعلومات بعد 20 عاماً من انعقادها </w:t>
      </w:r>
      <w:r w:rsidR="004A3DBC" w:rsidRPr="004A3DBC">
        <w:rPr>
          <w:lang w:bidi="ar-EG"/>
        </w:rPr>
        <w:t>(WSIS+20)</w:t>
      </w:r>
      <w:r w:rsidRPr="007C0894">
        <w:rPr>
          <w:rtl/>
        </w:rPr>
        <w:t xml:space="preserve">، ومنتدى إدارة الإنترنت في إطار المنتدى السياسي الرفيع المستوى </w:t>
      </w:r>
      <w:r w:rsidRPr="007C0894">
        <w:rPr>
          <w:lang w:bidi="ar-EG"/>
        </w:rPr>
        <w:t>(HLPF)</w:t>
      </w:r>
      <w:r w:rsidRPr="007C0894">
        <w:rPr>
          <w:rtl/>
        </w:rPr>
        <w:t>، وغيرهما.</w:t>
      </w:r>
    </w:p>
    <w:p w14:paraId="21B58246" w14:textId="0EC17E10" w:rsidR="007C0894" w:rsidRPr="007C0894" w:rsidRDefault="007C0894" w:rsidP="001120B6">
      <w:pPr>
        <w:pStyle w:val="Headingb"/>
        <w:rPr>
          <w:lang w:val="ar-SA" w:bidi="ar-EG"/>
        </w:rPr>
      </w:pPr>
      <w:r w:rsidRPr="007C0894">
        <w:rPr>
          <w:rtl/>
        </w:rPr>
        <w:t>الأنشطة الجارية</w:t>
      </w:r>
    </w:p>
    <w:p w14:paraId="2D3D4F13" w14:textId="77777777" w:rsidR="0089560B" w:rsidRDefault="007C0894" w:rsidP="007C0894">
      <w:pPr>
        <w:rPr>
          <w:rtl/>
        </w:rPr>
      </w:pPr>
      <w:r w:rsidRPr="007C0894">
        <w:rPr>
          <w:rtl/>
        </w:rPr>
        <w:t xml:space="preserve">يتولى الاتحاد إدارة وتحسين قاعدة بيانات </w:t>
      </w:r>
      <w:hyperlink r:id="rId291" w:history="1">
        <w:r w:rsidRPr="007C0894">
          <w:rPr>
            <w:rStyle w:val="Hyperlink"/>
            <w:noProof w:val="0"/>
            <w:rtl/>
            <w:lang w:val="en-US" w:eastAsia="zh-CN"/>
          </w:rPr>
          <w:t>تقييم تنفيذ نتائج القمة العالمية لمجتمع المعلومات</w:t>
        </w:r>
      </w:hyperlink>
      <w:r w:rsidRPr="007C0894">
        <w:rPr>
          <w:rtl/>
        </w:rPr>
        <w:t xml:space="preserve">، وهي مستودع عالمي يضم أكثر من 000 21 مبادرة متصلة بتكنولوجيا المعلومات والاتصالات تتماشى مع خطوط عمل القمة العالمية لمجتمع المعلومات وأهداف التنمية المستدامة والتعاهد الرقمي العالمي، وتعد أداة بالغة الأهمية لتعزيز الشفافية وتبادل المعارف ووضع السياسات القائمة على الأدلة، والابتكار، مع تشجيع أصحاب المصلحة على المساهمة في تطوير وتحديث ودعم الأدوات التحليلية التي تولد رؤى استراتيجية. ويبيَّن دورها، بما في ذلك جوائز القمة، في </w:t>
      </w:r>
      <w:hyperlink r:id="rId292" w:history="1">
        <w:r w:rsidRPr="007C0894">
          <w:rPr>
            <w:rStyle w:val="Hyperlink"/>
            <w:noProof w:val="0"/>
            <w:rtl/>
            <w:lang w:val="en-US" w:eastAsia="zh-CN"/>
          </w:rPr>
          <w:t xml:space="preserve">قرار المجلس الاقتصادي والاجتماعي </w:t>
        </w:r>
        <w:r w:rsidRPr="007C0894">
          <w:rPr>
            <w:rStyle w:val="Hyperlink"/>
            <w:noProof w:val="0"/>
            <w:lang w:val="en-US" w:eastAsia="zh-CN" w:bidi="ar-EG"/>
          </w:rPr>
          <w:t>E/RES/2025/18</w:t>
        </w:r>
      </w:hyperlink>
      <w:r w:rsidRPr="007C0894">
        <w:rPr>
          <w:rtl/>
        </w:rPr>
        <w:t>.</w:t>
      </w:r>
    </w:p>
    <w:p w14:paraId="7CE1A5A6" w14:textId="77777777" w:rsidR="0089560B" w:rsidRDefault="007C0894" w:rsidP="001120B6">
      <w:pPr>
        <w:keepLines/>
        <w:rPr>
          <w:rtl/>
        </w:rPr>
      </w:pPr>
      <w:r w:rsidRPr="007C0894">
        <w:rPr>
          <w:rtl/>
        </w:rPr>
        <w:t>وينظم الاتحاد منذ عام 2012</w:t>
      </w:r>
      <w:r w:rsidR="001120B6">
        <w:rPr>
          <w:rFonts w:hint="cs"/>
          <w:rtl/>
        </w:rPr>
        <w:t xml:space="preserve"> </w:t>
      </w:r>
      <w:hyperlink r:id="rId293" w:history="1">
        <w:r w:rsidRPr="007C0894">
          <w:rPr>
            <w:rStyle w:val="Hyperlink"/>
            <w:noProof w:val="0"/>
            <w:rtl/>
            <w:lang w:val="en-US" w:eastAsia="zh-CN"/>
          </w:rPr>
          <w:t>جوائز القمة العالمية لمجتمع المعلومات</w:t>
        </w:r>
      </w:hyperlink>
      <w:r w:rsidRPr="007C0894">
        <w:rPr>
          <w:rtl/>
        </w:rPr>
        <w:t xml:space="preserve">، وهي المسابقة الأكثر ترقباً في العالم للاحتفاء بأفضل الممارسات في مجال التكنولوجيا الرقمية من أجل التنمية، إذ تكرِّم التميز والابتكار في أكثر من </w:t>
      </w:r>
      <w:r w:rsidR="001120B6">
        <w:t>9 000</w:t>
      </w:r>
      <w:r w:rsidRPr="007C0894">
        <w:rPr>
          <w:rtl/>
        </w:rPr>
        <w:t xml:space="preserve"> مشروع، مع 252 فائزاً و720 مناصراً حتى الآن، وتُشرك مئات الآلاف من أصحاب المصلحة، وتصل إلى ملايين الأشخاص؛ وقائمة الفائزين للفترة 2023-2025 متاحة على الإنترنت.</w:t>
      </w:r>
    </w:p>
    <w:p w14:paraId="47992DC0" w14:textId="240F5FF9" w:rsidR="007C0894" w:rsidRPr="007C0894" w:rsidRDefault="007C0894" w:rsidP="007C0894">
      <w:pPr>
        <w:rPr>
          <w:lang w:val="ar-SA" w:bidi="ar-EG"/>
        </w:rPr>
      </w:pPr>
      <w:r w:rsidRPr="007C0894">
        <w:rPr>
          <w:rtl/>
        </w:rPr>
        <w:t xml:space="preserve">ومنذ عام 2011، يقوم الاتحاد بتنسيق </w:t>
      </w:r>
      <w:hyperlink r:id="rId294" w:history="1">
        <w:r w:rsidRPr="007C0894">
          <w:rPr>
            <w:rStyle w:val="Hyperlink"/>
            <w:noProof w:val="0"/>
            <w:rtl/>
            <w:lang w:val="en-US" w:eastAsia="zh-CN"/>
          </w:rPr>
          <w:t>الصندوق الاستئماني للقمة العالمية لمجتمع المعلومات</w:t>
        </w:r>
      </w:hyperlink>
      <w:r w:rsidRPr="007C0894">
        <w:rPr>
          <w:rtl/>
        </w:rPr>
        <w:t xml:space="preserve"> الذي أنشئ بموجب القرار 140 لمؤتمر المندوبين المفوضين لدعم تنفيذ نتائج القمة العالمية لمجتمع المعلومات. وتماشياً مع قراري المجلس 1332 و1334، يشجَّع جميع الأعضاء وأصحاب المصلحة على المساهمة الطوعية، مع الإعراب عن التقدير لشركاء منتدى القمة لعام 2023 والحدثين رفيعي المستوى WSIS+20 للفترة 2024-2025 لدعمهم.</w:t>
      </w:r>
    </w:p>
    <w:p w14:paraId="579C88B2" w14:textId="77777777" w:rsidR="0089560B" w:rsidRDefault="007C0894" w:rsidP="001120B6">
      <w:pPr>
        <w:rPr>
          <w:rtl/>
        </w:rPr>
      </w:pPr>
      <w:r w:rsidRPr="007C0894">
        <w:rPr>
          <w:rtl/>
        </w:rPr>
        <w:t xml:space="preserve">ويعمل الاتحاد في اللجنة التوجيهية </w:t>
      </w:r>
      <w:hyperlink r:id="rId295" w:history="1">
        <w:r w:rsidRPr="007C0894">
          <w:rPr>
            <w:rStyle w:val="Hyperlink"/>
            <w:noProof w:val="0"/>
            <w:rtl/>
            <w:lang w:val="en-US" w:eastAsia="zh-CN"/>
          </w:rPr>
          <w:t>للشراكة المعنية بقياس تكنولوجيا المعلومات والاتصالات لأغراض التنمية</w:t>
        </w:r>
      </w:hyperlink>
      <w:r w:rsidRPr="007C0894">
        <w:rPr>
          <w:rtl/>
        </w:rPr>
        <w:t xml:space="preserve">، مع الأونكتاد وإدارة الشؤون الاقتصادية والاجتماعية التابعة للأمم المتحدة. وتعمل الشراكة على تحسين جودة بيانات تكنولوجيا المعلومات والاتصالات وإتاحتها لأغراض التنمية المستدامة، من خلال ربط المؤشرات الأساسية بخطوط عمل القمة العالمية لمجتمع المعلومات والتعاهد الرقمي العالمي وإطار الأمم المتحدة للتوصيلية الهادفة، وتحديد الثغرات، ودعم استعراض تنفيذ نتائج القمة العالمية لمجتمع المعلومات بعد 20 عاماً من انعقادها </w:t>
      </w:r>
      <w:r w:rsidR="004A3DBC" w:rsidRPr="004A3DBC">
        <w:rPr>
          <w:lang w:bidi="ar-EG"/>
        </w:rPr>
        <w:t>(WSIS+20)</w:t>
      </w:r>
      <w:r w:rsidRPr="007C0894">
        <w:rPr>
          <w:rtl/>
        </w:rPr>
        <w:t xml:space="preserve">، حيث يستضيف الاتحاد جميع البيانات الأساسية في </w:t>
      </w:r>
      <w:hyperlink r:id="rId296" w:history="1">
        <w:r w:rsidRPr="007C0894">
          <w:rPr>
            <w:rStyle w:val="Hyperlink"/>
            <w:noProof w:val="0"/>
            <w:rtl/>
            <w:lang w:val="en-US" w:eastAsia="zh-CN"/>
          </w:rPr>
          <w:t xml:space="preserve">مركز بيانات الاتحاد </w:t>
        </w:r>
        <w:r w:rsidRPr="007C0894">
          <w:rPr>
            <w:rStyle w:val="Hyperlink"/>
            <w:noProof w:val="0"/>
            <w:lang w:val="en-US" w:eastAsia="zh-CN" w:bidi="ar-EG"/>
          </w:rPr>
          <w:t>(</w:t>
        </w:r>
        <w:r w:rsidRPr="007C0894">
          <w:rPr>
            <w:rStyle w:val="Hyperlink"/>
            <w:noProof w:val="0"/>
            <w:lang w:val="en-US" w:eastAsia="zh-CN"/>
          </w:rPr>
          <w:t xml:space="preserve">ITU </w:t>
        </w:r>
        <w:proofErr w:type="spellStart"/>
        <w:r w:rsidRPr="007C0894">
          <w:rPr>
            <w:rStyle w:val="Hyperlink"/>
            <w:noProof w:val="0"/>
            <w:lang w:val="en-US" w:eastAsia="zh-CN"/>
          </w:rPr>
          <w:t>DataHub</w:t>
        </w:r>
        <w:proofErr w:type="spellEnd"/>
        <w:r w:rsidRPr="007C0894">
          <w:rPr>
            <w:rStyle w:val="Hyperlink"/>
            <w:noProof w:val="0"/>
            <w:lang w:val="en-US" w:eastAsia="zh-CN" w:bidi="ar-EG"/>
          </w:rPr>
          <w:t>)</w:t>
        </w:r>
      </w:hyperlink>
      <w:r w:rsidRPr="007C0894">
        <w:rPr>
          <w:rtl/>
        </w:rPr>
        <w:t>.</w:t>
      </w:r>
    </w:p>
    <w:p w14:paraId="074B2B2D" w14:textId="779CDB78" w:rsidR="007C0894" w:rsidRPr="007C0894" w:rsidRDefault="001120B6" w:rsidP="001120B6">
      <w:pPr>
        <w:pStyle w:val="Heading3"/>
        <w:rPr>
          <w:lang w:val="ar-SA" w:bidi="ar-EG"/>
        </w:rPr>
      </w:pPr>
      <w:bookmarkStart w:id="88" w:name="_2.8.4_الذكاء_الاصطناعي"/>
      <w:bookmarkStart w:id="89" w:name="_Toc224288821"/>
      <w:bookmarkStart w:id="90" w:name="_Toc227252595"/>
      <w:bookmarkEnd w:id="88"/>
      <w:r>
        <w:t>2.8.4</w:t>
      </w:r>
      <w:r w:rsidR="007C0894" w:rsidRPr="007C0894">
        <w:rPr>
          <w:rtl/>
        </w:rPr>
        <w:tab/>
        <w:t>الذكاء الاصطناعي من أجل المصلحة العامة</w:t>
      </w:r>
      <w:bookmarkEnd w:id="89"/>
      <w:bookmarkEnd w:id="90"/>
    </w:p>
    <w:p w14:paraId="69C424FA" w14:textId="0D36F2A9" w:rsidR="007C0894" w:rsidRPr="007C0894" w:rsidRDefault="007C0894" w:rsidP="007C0894">
      <w:pPr>
        <w:rPr>
          <w:rtl/>
        </w:rPr>
      </w:pPr>
      <w:r w:rsidRPr="007C0894">
        <w:rPr>
          <w:rFonts w:hint="eastAsia"/>
          <w:rtl/>
        </w:rPr>
        <w:t>استمرت</w:t>
      </w:r>
      <w:r w:rsidRPr="007C0894">
        <w:rPr>
          <w:rtl/>
        </w:rPr>
        <w:t xml:space="preserve"> </w:t>
      </w:r>
      <w:r w:rsidRPr="007C0894">
        <w:rPr>
          <w:rFonts w:hint="eastAsia"/>
          <w:rtl/>
        </w:rPr>
        <w:t>مبادرة</w:t>
      </w:r>
      <w:r w:rsidRPr="007C0894">
        <w:rPr>
          <w:rtl/>
        </w:rPr>
        <w:t xml:space="preserve"> </w:t>
      </w:r>
      <w:hyperlink r:id="rId297" w:anchor="/ar" w:history="1">
        <w:r w:rsidRPr="007C0894">
          <w:rPr>
            <w:rStyle w:val="Hyperlink"/>
            <w:rFonts w:hint="eastAsia"/>
            <w:noProof w:val="0"/>
            <w:rtl/>
            <w:lang w:val="en-US" w:eastAsia="zh-CN"/>
          </w:rPr>
          <w:t>الذكاء</w:t>
        </w:r>
        <w:r w:rsidRPr="007C0894">
          <w:rPr>
            <w:rStyle w:val="Hyperlink"/>
            <w:noProof w:val="0"/>
            <w:rtl/>
            <w:lang w:val="en-US" w:eastAsia="zh-CN"/>
          </w:rPr>
          <w:t xml:space="preserve"> </w:t>
        </w:r>
        <w:r w:rsidRPr="007C0894">
          <w:rPr>
            <w:rStyle w:val="Hyperlink"/>
            <w:rFonts w:hint="eastAsia"/>
            <w:noProof w:val="0"/>
            <w:rtl/>
            <w:lang w:val="en-US" w:eastAsia="zh-CN"/>
          </w:rPr>
          <w:t>الاصطناعي</w:t>
        </w:r>
        <w:r w:rsidRPr="007C0894">
          <w:rPr>
            <w:rStyle w:val="Hyperlink"/>
            <w:noProof w:val="0"/>
            <w:rtl/>
            <w:lang w:val="en-US" w:eastAsia="zh-CN"/>
          </w:rPr>
          <w:t xml:space="preserve"> </w:t>
        </w:r>
        <w:r w:rsidRPr="007C0894">
          <w:rPr>
            <w:rStyle w:val="Hyperlink"/>
            <w:rFonts w:hint="eastAsia"/>
            <w:noProof w:val="0"/>
            <w:rtl/>
            <w:lang w:val="en-US" w:eastAsia="zh-CN"/>
          </w:rPr>
          <w:t>من</w:t>
        </w:r>
        <w:r w:rsidRPr="007C0894">
          <w:rPr>
            <w:rStyle w:val="Hyperlink"/>
            <w:noProof w:val="0"/>
            <w:rtl/>
            <w:lang w:val="en-US" w:eastAsia="zh-CN"/>
          </w:rPr>
          <w:t xml:space="preserve"> </w:t>
        </w:r>
        <w:r w:rsidRPr="007C0894">
          <w:rPr>
            <w:rStyle w:val="Hyperlink"/>
            <w:rFonts w:hint="eastAsia"/>
            <w:noProof w:val="0"/>
            <w:rtl/>
            <w:lang w:val="en-US" w:eastAsia="zh-CN"/>
          </w:rPr>
          <w:t>أجل</w:t>
        </w:r>
        <w:r w:rsidRPr="007C0894">
          <w:rPr>
            <w:rStyle w:val="Hyperlink"/>
            <w:noProof w:val="0"/>
            <w:rtl/>
            <w:lang w:val="en-US" w:eastAsia="zh-CN"/>
          </w:rPr>
          <w:t xml:space="preserve"> </w:t>
        </w:r>
        <w:r w:rsidRPr="007C0894">
          <w:rPr>
            <w:rStyle w:val="Hyperlink"/>
            <w:rFonts w:hint="eastAsia"/>
            <w:noProof w:val="0"/>
            <w:rtl/>
            <w:lang w:val="en-US" w:eastAsia="zh-CN"/>
          </w:rPr>
          <w:t>المصلحة</w:t>
        </w:r>
        <w:r w:rsidRPr="007C0894">
          <w:rPr>
            <w:rStyle w:val="Hyperlink"/>
            <w:noProof w:val="0"/>
            <w:rtl/>
            <w:lang w:val="en-US" w:eastAsia="zh-CN"/>
          </w:rPr>
          <w:t xml:space="preserve"> </w:t>
        </w:r>
        <w:r w:rsidRPr="007C0894">
          <w:rPr>
            <w:rStyle w:val="Hyperlink"/>
            <w:rFonts w:hint="eastAsia"/>
            <w:noProof w:val="0"/>
            <w:rtl/>
            <w:lang w:val="en-US" w:eastAsia="zh-CN"/>
          </w:rPr>
          <w:t>العامة</w:t>
        </w:r>
      </w:hyperlink>
      <w:r w:rsidRPr="007C0894">
        <w:rPr>
          <w:rtl/>
        </w:rPr>
        <w:t xml:space="preserve"> </w:t>
      </w:r>
      <w:r w:rsidRPr="007C0894">
        <w:rPr>
          <w:rFonts w:hint="eastAsia"/>
          <w:rtl/>
        </w:rPr>
        <w:t>في</w:t>
      </w:r>
      <w:r w:rsidRPr="007C0894">
        <w:rPr>
          <w:rtl/>
        </w:rPr>
        <w:t xml:space="preserve"> </w:t>
      </w:r>
      <w:r w:rsidRPr="007C0894">
        <w:rPr>
          <w:rFonts w:hint="eastAsia"/>
          <w:rtl/>
        </w:rPr>
        <w:t>التوسع</w:t>
      </w:r>
      <w:r w:rsidRPr="007C0894">
        <w:rPr>
          <w:rtl/>
        </w:rPr>
        <w:t xml:space="preserve"> </w:t>
      </w:r>
      <w:r w:rsidRPr="007C0894">
        <w:rPr>
          <w:rFonts w:hint="eastAsia"/>
          <w:rtl/>
        </w:rPr>
        <w:t>بوصفها</w:t>
      </w:r>
      <w:r w:rsidRPr="007C0894">
        <w:rPr>
          <w:rtl/>
        </w:rPr>
        <w:t xml:space="preserve"> </w:t>
      </w:r>
      <w:r w:rsidRPr="007C0894">
        <w:rPr>
          <w:rFonts w:hint="eastAsia"/>
          <w:rtl/>
        </w:rPr>
        <w:t>منصة</w:t>
      </w:r>
      <w:r w:rsidRPr="007C0894">
        <w:rPr>
          <w:rtl/>
        </w:rPr>
        <w:t xml:space="preserve"> </w:t>
      </w:r>
      <w:r w:rsidRPr="007C0894">
        <w:rPr>
          <w:rFonts w:hint="eastAsia"/>
          <w:rtl/>
        </w:rPr>
        <w:t>الأمم</w:t>
      </w:r>
      <w:r w:rsidRPr="007C0894">
        <w:rPr>
          <w:rtl/>
        </w:rPr>
        <w:t xml:space="preserve"> </w:t>
      </w:r>
      <w:r w:rsidRPr="007C0894">
        <w:rPr>
          <w:rFonts w:hint="eastAsia"/>
          <w:rtl/>
        </w:rPr>
        <w:t>المتحدة</w:t>
      </w:r>
      <w:r w:rsidRPr="007C0894">
        <w:rPr>
          <w:rtl/>
        </w:rPr>
        <w:t xml:space="preserve"> </w:t>
      </w:r>
      <w:r w:rsidRPr="007C0894">
        <w:rPr>
          <w:rFonts w:hint="eastAsia"/>
          <w:rtl/>
        </w:rPr>
        <w:t>الرائدة</w:t>
      </w:r>
      <w:r w:rsidRPr="007C0894">
        <w:rPr>
          <w:rtl/>
        </w:rPr>
        <w:t xml:space="preserve"> </w:t>
      </w:r>
      <w:r w:rsidRPr="007C0894">
        <w:rPr>
          <w:rFonts w:hint="eastAsia"/>
          <w:rtl/>
        </w:rPr>
        <w:t>الموجهة</w:t>
      </w:r>
      <w:r w:rsidRPr="007C0894">
        <w:rPr>
          <w:rtl/>
        </w:rPr>
        <w:t xml:space="preserve"> </w:t>
      </w:r>
      <w:r w:rsidRPr="007C0894">
        <w:rPr>
          <w:rFonts w:hint="eastAsia"/>
          <w:rtl/>
        </w:rPr>
        <w:t>نحو</w:t>
      </w:r>
      <w:r w:rsidRPr="007C0894">
        <w:rPr>
          <w:rtl/>
        </w:rPr>
        <w:t xml:space="preserve"> </w:t>
      </w:r>
      <w:r w:rsidRPr="007C0894">
        <w:rPr>
          <w:rFonts w:hint="eastAsia"/>
          <w:rtl/>
        </w:rPr>
        <w:t>العمل</w:t>
      </w:r>
      <w:r w:rsidRPr="007C0894">
        <w:rPr>
          <w:rtl/>
        </w:rPr>
        <w:t xml:space="preserve"> </w:t>
      </w:r>
      <w:r w:rsidRPr="007C0894">
        <w:rPr>
          <w:rFonts w:hint="eastAsia"/>
          <w:rtl/>
        </w:rPr>
        <w:t>في</w:t>
      </w:r>
      <w:r w:rsidRPr="007C0894">
        <w:rPr>
          <w:rtl/>
        </w:rPr>
        <w:t xml:space="preserve"> </w:t>
      </w:r>
      <w:r w:rsidRPr="007C0894">
        <w:rPr>
          <w:rFonts w:hint="eastAsia"/>
          <w:rtl/>
        </w:rPr>
        <w:t>مجال</w:t>
      </w:r>
      <w:r w:rsidRPr="007C0894">
        <w:rPr>
          <w:rtl/>
        </w:rPr>
        <w:t xml:space="preserve"> </w:t>
      </w:r>
      <w:r w:rsidRPr="007C0894">
        <w:rPr>
          <w:rFonts w:hint="eastAsia"/>
          <w:rtl/>
        </w:rPr>
        <w:t>الذكاء</w:t>
      </w:r>
      <w:r w:rsidRPr="007C0894">
        <w:rPr>
          <w:rtl/>
        </w:rPr>
        <w:t xml:space="preserve"> </w:t>
      </w:r>
      <w:r w:rsidRPr="007C0894">
        <w:rPr>
          <w:rFonts w:hint="eastAsia"/>
          <w:rtl/>
        </w:rPr>
        <w:t>الاصطناعي،</w:t>
      </w:r>
      <w:r w:rsidRPr="007C0894">
        <w:rPr>
          <w:rtl/>
        </w:rPr>
        <w:t xml:space="preserve"> </w:t>
      </w:r>
      <w:r w:rsidRPr="007C0894">
        <w:rPr>
          <w:rFonts w:hint="eastAsia"/>
          <w:rtl/>
        </w:rPr>
        <w:t>والمكرسة</w:t>
      </w:r>
      <w:r w:rsidRPr="007C0894">
        <w:rPr>
          <w:rtl/>
        </w:rPr>
        <w:t xml:space="preserve"> </w:t>
      </w:r>
      <w:r w:rsidRPr="007C0894">
        <w:rPr>
          <w:rFonts w:hint="eastAsia"/>
          <w:rtl/>
        </w:rPr>
        <w:t>لتحديد</w:t>
      </w:r>
      <w:r w:rsidRPr="007C0894">
        <w:rPr>
          <w:rtl/>
        </w:rPr>
        <w:t xml:space="preserve"> </w:t>
      </w:r>
      <w:r w:rsidRPr="007C0894">
        <w:rPr>
          <w:rFonts w:hint="eastAsia"/>
          <w:rtl/>
        </w:rPr>
        <w:t>حلول</w:t>
      </w:r>
      <w:r w:rsidRPr="007C0894">
        <w:rPr>
          <w:rtl/>
        </w:rPr>
        <w:t xml:space="preserve"> </w:t>
      </w:r>
      <w:r w:rsidRPr="007C0894">
        <w:rPr>
          <w:rFonts w:hint="eastAsia"/>
          <w:rtl/>
        </w:rPr>
        <w:t>الذكاء</w:t>
      </w:r>
      <w:r w:rsidRPr="007C0894">
        <w:rPr>
          <w:rtl/>
        </w:rPr>
        <w:t xml:space="preserve"> </w:t>
      </w:r>
      <w:r w:rsidRPr="007C0894">
        <w:rPr>
          <w:rFonts w:hint="eastAsia"/>
          <w:rtl/>
        </w:rPr>
        <w:t>الاصطناعي</w:t>
      </w:r>
      <w:r w:rsidRPr="007C0894">
        <w:rPr>
          <w:rtl/>
        </w:rPr>
        <w:t xml:space="preserve"> </w:t>
      </w:r>
      <w:r w:rsidRPr="007C0894">
        <w:rPr>
          <w:rFonts w:hint="eastAsia"/>
          <w:rtl/>
        </w:rPr>
        <w:t>العملية</w:t>
      </w:r>
      <w:r w:rsidRPr="007C0894">
        <w:rPr>
          <w:rtl/>
        </w:rPr>
        <w:t xml:space="preserve"> </w:t>
      </w:r>
      <w:r w:rsidRPr="007C0894">
        <w:rPr>
          <w:rFonts w:hint="eastAsia"/>
          <w:rtl/>
        </w:rPr>
        <w:t>التي</w:t>
      </w:r>
      <w:r w:rsidRPr="007C0894">
        <w:rPr>
          <w:rtl/>
        </w:rPr>
        <w:t xml:space="preserve"> </w:t>
      </w:r>
      <w:r w:rsidRPr="007C0894">
        <w:rPr>
          <w:rFonts w:hint="eastAsia"/>
          <w:rtl/>
        </w:rPr>
        <w:t>تعزز</w:t>
      </w:r>
      <w:r w:rsidRPr="007C0894">
        <w:rPr>
          <w:rtl/>
        </w:rPr>
        <w:t xml:space="preserve"> </w:t>
      </w:r>
      <w:r w:rsidRPr="007C0894">
        <w:rPr>
          <w:rFonts w:hint="eastAsia"/>
          <w:rtl/>
        </w:rPr>
        <w:t>التقدم</w:t>
      </w:r>
      <w:r w:rsidRPr="007C0894">
        <w:rPr>
          <w:rtl/>
        </w:rPr>
        <w:t xml:space="preserve"> </w:t>
      </w:r>
      <w:r w:rsidRPr="007C0894">
        <w:rPr>
          <w:rFonts w:hint="eastAsia"/>
          <w:rtl/>
        </w:rPr>
        <w:t>نحو</w:t>
      </w:r>
      <w:r w:rsidRPr="007C0894">
        <w:rPr>
          <w:rtl/>
        </w:rPr>
        <w:t xml:space="preserve"> </w:t>
      </w:r>
      <w:r w:rsidRPr="007C0894">
        <w:rPr>
          <w:rFonts w:hint="eastAsia"/>
          <w:rtl/>
        </w:rPr>
        <w:t>تحقيق</w:t>
      </w:r>
      <w:r w:rsidRPr="007C0894">
        <w:rPr>
          <w:rtl/>
        </w:rPr>
        <w:t xml:space="preserve"> </w:t>
      </w:r>
      <w:r w:rsidRPr="007C0894">
        <w:rPr>
          <w:rFonts w:hint="eastAsia"/>
          <w:rtl/>
        </w:rPr>
        <w:t>أهداف</w:t>
      </w:r>
      <w:r w:rsidRPr="007C0894">
        <w:rPr>
          <w:rtl/>
        </w:rPr>
        <w:t xml:space="preserve"> </w:t>
      </w:r>
      <w:r w:rsidRPr="007C0894">
        <w:rPr>
          <w:rFonts w:hint="eastAsia"/>
          <w:rtl/>
        </w:rPr>
        <w:t>التنمية</w:t>
      </w:r>
      <w:r w:rsidRPr="007C0894">
        <w:rPr>
          <w:rtl/>
        </w:rPr>
        <w:t xml:space="preserve"> </w:t>
      </w:r>
      <w:r w:rsidRPr="007C0894">
        <w:rPr>
          <w:rFonts w:hint="eastAsia"/>
          <w:rtl/>
        </w:rPr>
        <w:t>المستدامة</w:t>
      </w:r>
      <w:r w:rsidRPr="007C0894">
        <w:rPr>
          <w:rtl/>
        </w:rPr>
        <w:t xml:space="preserve">. </w:t>
      </w:r>
      <w:r w:rsidRPr="007C0894">
        <w:rPr>
          <w:rFonts w:hint="eastAsia"/>
          <w:rtl/>
        </w:rPr>
        <w:t>وتعمل</w:t>
      </w:r>
      <w:r w:rsidRPr="007C0894">
        <w:rPr>
          <w:rtl/>
        </w:rPr>
        <w:t xml:space="preserve"> </w:t>
      </w:r>
      <w:r w:rsidRPr="007C0894">
        <w:rPr>
          <w:rFonts w:hint="eastAsia"/>
          <w:rtl/>
        </w:rPr>
        <w:t>المبادرة،</w:t>
      </w:r>
      <w:r w:rsidRPr="007C0894">
        <w:rPr>
          <w:rtl/>
        </w:rPr>
        <w:t xml:space="preserve"> </w:t>
      </w:r>
      <w:r w:rsidRPr="007C0894">
        <w:rPr>
          <w:rFonts w:hint="eastAsia"/>
          <w:rtl/>
        </w:rPr>
        <w:t>التي</w:t>
      </w:r>
      <w:r w:rsidRPr="007C0894">
        <w:rPr>
          <w:rtl/>
        </w:rPr>
        <w:t xml:space="preserve"> </w:t>
      </w:r>
      <w:r w:rsidRPr="007C0894">
        <w:rPr>
          <w:rFonts w:hint="eastAsia"/>
          <w:rtl/>
        </w:rPr>
        <w:t>يقودها</w:t>
      </w:r>
      <w:r w:rsidRPr="007C0894">
        <w:rPr>
          <w:rtl/>
        </w:rPr>
        <w:t xml:space="preserve"> </w:t>
      </w:r>
      <w:r w:rsidRPr="007C0894">
        <w:rPr>
          <w:rFonts w:hint="eastAsia"/>
          <w:rtl/>
        </w:rPr>
        <w:t>الاتحاد</w:t>
      </w:r>
      <w:r w:rsidRPr="007C0894">
        <w:rPr>
          <w:rtl/>
        </w:rPr>
        <w:t xml:space="preserve"> </w:t>
      </w:r>
      <w:r w:rsidRPr="007C0894">
        <w:rPr>
          <w:rFonts w:hint="eastAsia"/>
          <w:rtl/>
        </w:rPr>
        <w:t>الدولي</w:t>
      </w:r>
      <w:r w:rsidRPr="007C0894">
        <w:rPr>
          <w:rtl/>
        </w:rPr>
        <w:t xml:space="preserve"> </w:t>
      </w:r>
      <w:r w:rsidRPr="007C0894">
        <w:rPr>
          <w:rFonts w:hint="eastAsia"/>
          <w:rtl/>
        </w:rPr>
        <w:t>للاتصالات</w:t>
      </w:r>
      <w:r w:rsidRPr="007C0894">
        <w:rPr>
          <w:rtl/>
        </w:rPr>
        <w:t xml:space="preserve"> </w:t>
      </w:r>
      <w:r w:rsidRPr="007C0894">
        <w:rPr>
          <w:rFonts w:hint="eastAsia"/>
          <w:rtl/>
        </w:rPr>
        <w:t>وتحظى</w:t>
      </w:r>
      <w:r w:rsidRPr="007C0894">
        <w:rPr>
          <w:rtl/>
        </w:rPr>
        <w:t xml:space="preserve"> </w:t>
      </w:r>
      <w:r w:rsidRPr="007C0894">
        <w:rPr>
          <w:rFonts w:hint="eastAsia"/>
          <w:rtl/>
        </w:rPr>
        <w:t>بدعم</w:t>
      </w:r>
      <w:r w:rsidRPr="007C0894">
        <w:rPr>
          <w:rtl/>
        </w:rPr>
        <w:t xml:space="preserve"> </w:t>
      </w:r>
      <w:r w:rsidRPr="007C0894">
        <w:rPr>
          <w:rFonts w:hint="eastAsia"/>
          <w:rtl/>
        </w:rPr>
        <w:t>من</w:t>
      </w:r>
      <w:r w:rsidRPr="007C0894">
        <w:rPr>
          <w:rtl/>
        </w:rPr>
        <w:t xml:space="preserve"> </w:t>
      </w:r>
      <w:r w:rsidRPr="007C0894">
        <w:rPr>
          <w:rFonts w:hint="eastAsia"/>
          <w:rtl/>
        </w:rPr>
        <w:t>أكثر</w:t>
      </w:r>
      <w:r w:rsidRPr="007C0894">
        <w:rPr>
          <w:rtl/>
        </w:rPr>
        <w:t xml:space="preserve"> </w:t>
      </w:r>
      <w:r w:rsidRPr="007C0894">
        <w:rPr>
          <w:rFonts w:hint="eastAsia"/>
          <w:rtl/>
        </w:rPr>
        <w:t>من</w:t>
      </w:r>
      <w:r w:rsidRPr="007C0894">
        <w:rPr>
          <w:rtl/>
        </w:rPr>
        <w:t xml:space="preserve"> 40 </w:t>
      </w:r>
      <w:r w:rsidRPr="007C0894">
        <w:rPr>
          <w:rFonts w:hint="eastAsia"/>
          <w:rtl/>
        </w:rPr>
        <w:t>وكالة</w:t>
      </w:r>
      <w:r w:rsidRPr="007C0894">
        <w:rPr>
          <w:rtl/>
        </w:rPr>
        <w:t xml:space="preserve"> </w:t>
      </w:r>
      <w:r w:rsidRPr="007C0894">
        <w:rPr>
          <w:rFonts w:hint="eastAsia"/>
          <w:rtl/>
        </w:rPr>
        <w:t>من</w:t>
      </w:r>
      <w:r w:rsidRPr="007C0894">
        <w:rPr>
          <w:rtl/>
        </w:rPr>
        <w:t xml:space="preserve"> </w:t>
      </w:r>
      <w:r w:rsidRPr="007C0894">
        <w:rPr>
          <w:rFonts w:hint="eastAsia"/>
          <w:rtl/>
        </w:rPr>
        <w:t>وكالات</w:t>
      </w:r>
      <w:r w:rsidRPr="007C0894">
        <w:rPr>
          <w:rtl/>
        </w:rPr>
        <w:t xml:space="preserve"> </w:t>
      </w:r>
      <w:r w:rsidRPr="007C0894">
        <w:rPr>
          <w:rFonts w:hint="eastAsia"/>
          <w:rtl/>
        </w:rPr>
        <w:t>الأمم</w:t>
      </w:r>
      <w:r w:rsidRPr="007C0894">
        <w:rPr>
          <w:rtl/>
        </w:rPr>
        <w:t xml:space="preserve"> </w:t>
      </w:r>
      <w:r w:rsidRPr="007C0894">
        <w:rPr>
          <w:rFonts w:hint="eastAsia"/>
          <w:rtl/>
        </w:rPr>
        <w:t>المتحدة،</w:t>
      </w:r>
      <w:r w:rsidRPr="007C0894">
        <w:rPr>
          <w:rtl/>
        </w:rPr>
        <w:t xml:space="preserve"> </w:t>
      </w:r>
      <w:r w:rsidRPr="007C0894">
        <w:rPr>
          <w:rFonts w:hint="eastAsia"/>
          <w:rtl/>
        </w:rPr>
        <w:t>من</w:t>
      </w:r>
      <w:r w:rsidRPr="007C0894">
        <w:rPr>
          <w:rtl/>
        </w:rPr>
        <w:t xml:space="preserve"> </w:t>
      </w:r>
      <w:r w:rsidRPr="007C0894">
        <w:rPr>
          <w:rFonts w:hint="eastAsia"/>
          <w:rtl/>
        </w:rPr>
        <w:t>خلال</w:t>
      </w:r>
      <w:r w:rsidRPr="007C0894">
        <w:rPr>
          <w:rtl/>
        </w:rPr>
        <w:t xml:space="preserve"> </w:t>
      </w:r>
      <w:r w:rsidRPr="007C0894">
        <w:rPr>
          <w:rFonts w:hint="eastAsia"/>
          <w:rtl/>
        </w:rPr>
        <w:t>مسارات</w:t>
      </w:r>
      <w:r w:rsidRPr="007C0894">
        <w:rPr>
          <w:rtl/>
        </w:rPr>
        <w:t xml:space="preserve"> </w:t>
      </w:r>
      <w:r w:rsidRPr="007C0894">
        <w:rPr>
          <w:rFonts w:hint="eastAsia"/>
          <w:rtl/>
        </w:rPr>
        <w:t>عملها</w:t>
      </w:r>
      <w:r w:rsidRPr="007C0894">
        <w:rPr>
          <w:rtl/>
        </w:rPr>
        <w:t xml:space="preserve"> </w:t>
      </w:r>
      <w:r w:rsidRPr="007C0894">
        <w:rPr>
          <w:rFonts w:hint="eastAsia"/>
          <w:rtl/>
        </w:rPr>
        <w:t>المتمثلة</w:t>
      </w:r>
      <w:r w:rsidRPr="007C0894">
        <w:rPr>
          <w:rtl/>
        </w:rPr>
        <w:t xml:space="preserve"> </w:t>
      </w:r>
      <w:r w:rsidRPr="007C0894">
        <w:rPr>
          <w:rFonts w:hint="eastAsia"/>
          <w:rtl/>
        </w:rPr>
        <w:t>في</w:t>
      </w:r>
      <w:r w:rsidRPr="007C0894">
        <w:rPr>
          <w:rtl/>
        </w:rPr>
        <w:t xml:space="preserve"> </w:t>
      </w:r>
      <w:r w:rsidRPr="007C0894">
        <w:rPr>
          <w:rFonts w:hint="eastAsia"/>
          <w:rtl/>
        </w:rPr>
        <w:t>التعلم</w:t>
      </w:r>
      <w:r w:rsidRPr="007C0894">
        <w:rPr>
          <w:rtl/>
        </w:rPr>
        <w:t xml:space="preserve"> </w:t>
      </w:r>
      <w:r w:rsidRPr="007C0894">
        <w:rPr>
          <w:rFonts w:hint="eastAsia"/>
          <w:rtl/>
        </w:rPr>
        <w:t>والبناء</w:t>
      </w:r>
      <w:r w:rsidRPr="007C0894">
        <w:rPr>
          <w:rtl/>
        </w:rPr>
        <w:t xml:space="preserve"> </w:t>
      </w:r>
      <w:r w:rsidRPr="007C0894">
        <w:rPr>
          <w:rFonts w:hint="eastAsia"/>
          <w:rtl/>
        </w:rPr>
        <w:t>والتواصل،</w:t>
      </w:r>
      <w:r w:rsidRPr="007C0894">
        <w:rPr>
          <w:rtl/>
        </w:rPr>
        <w:t xml:space="preserve"> </w:t>
      </w:r>
      <w:r w:rsidRPr="007C0894">
        <w:rPr>
          <w:rFonts w:hint="eastAsia"/>
          <w:rtl/>
        </w:rPr>
        <w:t>وتنفذ</w:t>
      </w:r>
      <w:r w:rsidRPr="007C0894">
        <w:rPr>
          <w:rtl/>
        </w:rPr>
        <w:t xml:space="preserve"> </w:t>
      </w:r>
      <w:hyperlink r:id="rId298" w:anchor="/ar" w:history="1">
        <w:r w:rsidRPr="007C0894">
          <w:rPr>
            <w:rStyle w:val="Hyperlink"/>
            <w:rFonts w:hint="eastAsia"/>
            <w:noProof w:val="0"/>
            <w:rtl/>
            <w:lang w:val="en-US" w:eastAsia="zh-CN"/>
          </w:rPr>
          <w:t>برنامجاً</w:t>
        </w:r>
        <w:r w:rsidRPr="007C0894">
          <w:rPr>
            <w:rStyle w:val="Hyperlink"/>
            <w:noProof w:val="0"/>
            <w:rtl/>
            <w:lang w:val="en-US" w:eastAsia="zh-CN"/>
          </w:rPr>
          <w:t xml:space="preserve"> </w:t>
        </w:r>
        <w:r w:rsidRPr="007C0894">
          <w:rPr>
            <w:rStyle w:val="Hyperlink"/>
            <w:rFonts w:hint="eastAsia"/>
            <w:noProof w:val="0"/>
            <w:rtl/>
            <w:lang w:val="en-US" w:eastAsia="zh-CN"/>
          </w:rPr>
          <w:t>رقمياً</w:t>
        </w:r>
      </w:hyperlink>
      <w:r w:rsidRPr="007C0894">
        <w:rPr>
          <w:rtl/>
        </w:rPr>
        <w:t xml:space="preserve"> </w:t>
      </w:r>
      <w:r w:rsidRPr="007C0894">
        <w:rPr>
          <w:rFonts w:hint="eastAsia"/>
          <w:rtl/>
        </w:rPr>
        <w:t>على</w:t>
      </w:r>
      <w:r w:rsidRPr="007C0894">
        <w:rPr>
          <w:rtl/>
        </w:rPr>
        <w:t xml:space="preserve"> </w:t>
      </w:r>
      <w:r w:rsidRPr="007C0894">
        <w:rPr>
          <w:rFonts w:hint="eastAsia"/>
          <w:rtl/>
        </w:rPr>
        <w:t>مدار</w:t>
      </w:r>
      <w:r w:rsidRPr="007C0894">
        <w:rPr>
          <w:rtl/>
        </w:rPr>
        <w:t xml:space="preserve"> </w:t>
      </w:r>
      <w:r w:rsidRPr="007C0894">
        <w:rPr>
          <w:rFonts w:hint="eastAsia"/>
          <w:rtl/>
        </w:rPr>
        <w:t>السنة</w:t>
      </w:r>
      <w:r w:rsidRPr="007C0894">
        <w:rPr>
          <w:rtl/>
        </w:rPr>
        <w:t xml:space="preserve"> </w:t>
      </w:r>
      <w:r w:rsidRPr="007C0894">
        <w:rPr>
          <w:rFonts w:hint="eastAsia"/>
          <w:rtl/>
        </w:rPr>
        <w:t>يشمل</w:t>
      </w:r>
      <w:r w:rsidRPr="007C0894">
        <w:rPr>
          <w:rtl/>
        </w:rPr>
        <w:t xml:space="preserve"> </w:t>
      </w:r>
      <w:r w:rsidRPr="007C0894">
        <w:rPr>
          <w:rFonts w:hint="eastAsia"/>
          <w:rtl/>
        </w:rPr>
        <w:t>تنظيم</w:t>
      </w:r>
      <w:r w:rsidRPr="007C0894">
        <w:rPr>
          <w:rtl/>
        </w:rPr>
        <w:t xml:space="preserve"> </w:t>
      </w:r>
      <w:r w:rsidRPr="007C0894">
        <w:rPr>
          <w:rFonts w:hint="eastAsia"/>
          <w:rtl/>
        </w:rPr>
        <w:t>حلقات</w:t>
      </w:r>
      <w:r w:rsidRPr="007C0894">
        <w:rPr>
          <w:rtl/>
        </w:rPr>
        <w:t xml:space="preserve"> </w:t>
      </w:r>
      <w:r w:rsidRPr="007C0894">
        <w:rPr>
          <w:rFonts w:hint="eastAsia"/>
          <w:rtl/>
        </w:rPr>
        <w:t>دراسية</w:t>
      </w:r>
      <w:r w:rsidRPr="007C0894">
        <w:rPr>
          <w:rtl/>
        </w:rPr>
        <w:t xml:space="preserve"> </w:t>
      </w:r>
      <w:r w:rsidRPr="007C0894">
        <w:rPr>
          <w:rFonts w:hint="eastAsia"/>
          <w:rtl/>
        </w:rPr>
        <w:t>إلكترونية</w:t>
      </w:r>
      <w:r w:rsidRPr="007C0894">
        <w:rPr>
          <w:rtl/>
        </w:rPr>
        <w:t xml:space="preserve"> </w:t>
      </w:r>
      <w:r w:rsidRPr="007C0894">
        <w:rPr>
          <w:rFonts w:hint="eastAsia"/>
          <w:rtl/>
        </w:rPr>
        <w:t>وجلسات</w:t>
      </w:r>
      <w:r w:rsidRPr="007C0894">
        <w:rPr>
          <w:rtl/>
        </w:rPr>
        <w:t xml:space="preserve"> </w:t>
      </w:r>
      <w:r w:rsidRPr="007C0894">
        <w:rPr>
          <w:rFonts w:hint="eastAsia"/>
          <w:rtl/>
        </w:rPr>
        <w:t>خبراء</w:t>
      </w:r>
      <w:r w:rsidRPr="007C0894">
        <w:rPr>
          <w:rtl/>
        </w:rPr>
        <w:t xml:space="preserve"> </w:t>
      </w:r>
      <w:r w:rsidRPr="007C0894">
        <w:rPr>
          <w:rFonts w:hint="eastAsia"/>
          <w:rtl/>
        </w:rPr>
        <w:t>وأنشطة</w:t>
      </w:r>
      <w:r w:rsidRPr="007C0894">
        <w:rPr>
          <w:rtl/>
        </w:rPr>
        <w:t xml:space="preserve"> </w:t>
      </w:r>
      <w:r w:rsidRPr="007C0894">
        <w:rPr>
          <w:rFonts w:hint="eastAsia"/>
          <w:rtl/>
        </w:rPr>
        <w:t>تعاونية</w:t>
      </w:r>
      <w:r w:rsidRPr="007C0894">
        <w:rPr>
          <w:rtl/>
        </w:rPr>
        <w:t xml:space="preserve"> </w:t>
      </w:r>
      <w:r w:rsidRPr="007C0894">
        <w:rPr>
          <w:rFonts w:hint="eastAsia"/>
          <w:rtl/>
        </w:rPr>
        <w:t>بشكل</w:t>
      </w:r>
      <w:r w:rsidRPr="007C0894">
        <w:rPr>
          <w:rtl/>
        </w:rPr>
        <w:t xml:space="preserve"> </w:t>
      </w:r>
      <w:r w:rsidRPr="007C0894">
        <w:rPr>
          <w:rFonts w:hint="eastAsia"/>
          <w:rtl/>
        </w:rPr>
        <w:t>متواتر</w:t>
      </w:r>
      <w:r w:rsidRPr="007C0894">
        <w:rPr>
          <w:rtl/>
        </w:rPr>
        <w:t>.</w:t>
      </w:r>
    </w:p>
    <w:p w14:paraId="24CB7D8A" w14:textId="2E4B5099" w:rsidR="007C0894" w:rsidRPr="007957C0" w:rsidRDefault="007C0894" w:rsidP="007C0894">
      <w:pPr>
        <w:rPr>
          <w:spacing w:val="-4"/>
          <w:lang w:val="ar-SA" w:bidi="ar-EG"/>
        </w:rPr>
      </w:pPr>
      <w:r w:rsidRPr="007957C0">
        <w:rPr>
          <w:spacing w:val="-4"/>
          <w:rtl/>
        </w:rPr>
        <w:t xml:space="preserve">ومن العناصر ذات الأهمية المحورية لهذا النظام الإيكولوجي </w:t>
      </w:r>
      <w:hyperlink r:id="rId299" w:anchor="/ar" w:history="1">
        <w:r w:rsidRPr="007957C0">
          <w:rPr>
            <w:rStyle w:val="Hyperlink"/>
            <w:noProof w:val="0"/>
            <w:spacing w:val="-4"/>
            <w:rtl/>
            <w:lang w:val="en-US" w:eastAsia="zh-CN"/>
          </w:rPr>
          <w:t>الشبكة العصبية للذكاء الاصطناعي من أجل المصلحة العامة</w:t>
        </w:r>
      </w:hyperlink>
      <w:r w:rsidRPr="007957C0">
        <w:rPr>
          <w:spacing w:val="-4"/>
          <w:rtl/>
        </w:rPr>
        <w:t xml:space="preserve">، وهي مجتمع مواءمة مدعوم بالذكاء الاصطناعي، وقد نما عدد أعضائها من </w:t>
      </w:r>
      <w:r w:rsidR="001120B6" w:rsidRPr="007957C0">
        <w:rPr>
          <w:spacing w:val="-4"/>
        </w:rPr>
        <w:t>15 000</w:t>
      </w:r>
      <w:r w:rsidRPr="007957C0">
        <w:rPr>
          <w:spacing w:val="-4"/>
          <w:rtl/>
        </w:rPr>
        <w:t xml:space="preserve"> عضو في عام 2023 إلى أكثر من </w:t>
      </w:r>
      <w:r w:rsidR="001120B6" w:rsidRPr="007957C0">
        <w:rPr>
          <w:spacing w:val="-4"/>
        </w:rPr>
        <w:t>35 000</w:t>
      </w:r>
      <w:r w:rsidRPr="007957C0">
        <w:rPr>
          <w:spacing w:val="-4"/>
          <w:rtl/>
        </w:rPr>
        <w:t xml:space="preserve"> عضو في عام 2024، إلى جانب مجتمع واسع عبر الإنترنت يتجاوز </w:t>
      </w:r>
      <w:r w:rsidR="001120B6" w:rsidRPr="007957C0">
        <w:rPr>
          <w:spacing w:val="-4"/>
        </w:rPr>
        <w:t>137 000</w:t>
      </w:r>
      <w:r w:rsidRPr="007957C0">
        <w:rPr>
          <w:spacing w:val="-4"/>
          <w:rtl/>
        </w:rPr>
        <w:t>. وتدعم آليات المواءمة الذكية للمنصة التعاون العالمي والابتكار الذي يركز على أهداف التنمية المستدامة، ما يعزز إقامة شراكات مؤثرة عبر القطاعات والمناطق.</w:t>
      </w:r>
    </w:p>
    <w:p w14:paraId="2D9BCE22" w14:textId="438CEDDB" w:rsidR="007C0894" w:rsidRPr="007957C0" w:rsidRDefault="007C0894" w:rsidP="007C0894">
      <w:pPr>
        <w:rPr>
          <w:spacing w:val="-2"/>
          <w:lang w:val="ar-SA" w:bidi="ar-EG"/>
        </w:rPr>
      </w:pPr>
      <w:r w:rsidRPr="007957C0">
        <w:rPr>
          <w:spacing w:val="-2"/>
          <w:rtl/>
        </w:rPr>
        <w:t xml:space="preserve">ويظل الحدث السنوي المتمثل في </w:t>
      </w:r>
      <w:hyperlink r:id="rId300" w:anchor="/ar" w:history="1">
        <w:r w:rsidRPr="007957C0">
          <w:rPr>
            <w:rStyle w:val="Hyperlink"/>
            <w:noProof w:val="0"/>
            <w:spacing w:val="-2"/>
            <w:rtl/>
            <w:lang w:val="en-US" w:eastAsia="zh-CN"/>
          </w:rPr>
          <w:t>القمة العالمية للذكاء الاصطناعي من أجل المصلحة العامة</w:t>
        </w:r>
      </w:hyperlink>
      <w:r w:rsidRPr="007957C0">
        <w:rPr>
          <w:spacing w:val="-2"/>
          <w:rtl/>
        </w:rPr>
        <w:t xml:space="preserve"> الحدث الأبرز للمبادرة. فقد جمعت </w:t>
      </w:r>
      <w:hyperlink r:id="rId301" w:anchor="/ar" w:history="1">
        <w:r w:rsidRPr="007957C0">
          <w:rPr>
            <w:rStyle w:val="Hyperlink"/>
            <w:noProof w:val="0"/>
            <w:spacing w:val="-2"/>
            <w:rtl/>
            <w:lang w:val="en-US" w:eastAsia="zh-CN"/>
          </w:rPr>
          <w:t>القمة العالمية للذكاء الاصطناعي من أجل المصلحة العامة لعام 2023</w:t>
        </w:r>
      </w:hyperlink>
      <w:r w:rsidRPr="007957C0">
        <w:rPr>
          <w:spacing w:val="-2"/>
          <w:rtl/>
        </w:rPr>
        <w:t xml:space="preserve"> في جنيف أكثر من </w:t>
      </w:r>
      <w:r w:rsidR="001120B6" w:rsidRPr="007957C0">
        <w:rPr>
          <w:spacing w:val="-2"/>
        </w:rPr>
        <w:t>3 000</w:t>
      </w:r>
      <w:r w:rsidRPr="007957C0">
        <w:rPr>
          <w:spacing w:val="-2"/>
          <w:rtl/>
        </w:rPr>
        <w:t xml:space="preserve"> مشارك، وضمت أكبر تجمع للروبوتات الشبيهة بالبشر والمتخصصة في العالم، إضافةً إلى ورش عمل على مستوى الخبراء في مجال تعلم الآلة. وبحلول عام 2024، توسعت </w:t>
      </w:r>
      <w:hyperlink r:id="rId302" w:anchor="/ar" w:history="1">
        <w:r w:rsidRPr="007957C0">
          <w:rPr>
            <w:rStyle w:val="Hyperlink"/>
            <w:noProof w:val="0"/>
            <w:spacing w:val="-2"/>
            <w:rtl/>
            <w:lang w:val="en-US" w:eastAsia="zh-CN"/>
          </w:rPr>
          <w:t>القمة العالمية للذكاء الاصطناعي من أجل المصلحة العامة</w:t>
        </w:r>
      </w:hyperlink>
      <w:r w:rsidRPr="007957C0">
        <w:rPr>
          <w:spacing w:val="-2"/>
          <w:rtl/>
        </w:rPr>
        <w:t xml:space="preserve"> توسعاً كبيراً، حيث اجتذبت أكثر من </w:t>
      </w:r>
      <w:r w:rsidR="001120B6" w:rsidRPr="007957C0">
        <w:rPr>
          <w:spacing w:val="-2"/>
        </w:rPr>
        <w:t>5 000</w:t>
      </w:r>
      <w:r w:rsidRPr="007957C0">
        <w:rPr>
          <w:spacing w:val="-2"/>
          <w:rtl/>
        </w:rPr>
        <w:t xml:space="preserve"> مشارك في الموقع، و27 منظمة شريكة للأمم المتحدة، و183 بلداً ممثَّلاً، وأكثر من </w:t>
      </w:r>
      <w:r w:rsidR="001120B6" w:rsidRPr="007957C0">
        <w:rPr>
          <w:spacing w:val="-2"/>
        </w:rPr>
        <w:t>900 000</w:t>
      </w:r>
      <w:r w:rsidRPr="007957C0">
        <w:rPr>
          <w:spacing w:val="-2"/>
          <w:rtl/>
        </w:rPr>
        <w:t xml:space="preserve"> مشاهدة عبر الإنترنت. واستمرت هذه الأحداث باعتبارها المعرض الرئيسي لمنظومة الأمم المتحدة لأحدث تكنولوجيات الذكاء الاصطناعي، بعرض التطبيقات الرائدة، وربط المبتكرين بواضعي السياسات والباحثين وقادة الصناعة لتوسيع نطاق حلول الذكاء الاصطناعي على مستوى العالم.</w:t>
      </w:r>
    </w:p>
    <w:p w14:paraId="4D3FAE44" w14:textId="69BF1951" w:rsidR="007C0894" w:rsidRPr="007957C0" w:rsidRDefault="007C0894" w:rsidP="007C0894">
      <w:pPr>
        <w:rPr>
          <w:spacing w:val="-2"/>
          <w:lang w:val="ar-SA" w:bidi="ar-EG"/>
        </w:rPr>
      </w:pPr>
      <w:r w:rsidRPr="007957C0">
        <w:rPr>
          <w:spacing w:val="-2"/>
          <w:rtl/>
        </w:rPr>
        <w:t xml:space="preserve">وواصل برنامج الذكاء الاصطناعي من أجل المصلحة العامة تعزيز تأثيره العالمي من خلال إطلاق مبادرات جديدة، بما في ذلك </w:t>
      </w:r>
      <w:hyperlink r:id="rId303" w:anchor="/ar" w:history="1">
        <w:r w:rsidRPr="007957C0">
          <w:rPr>
            <w:rStyle w:val="Hyperlink"/>
            <w:noProof w:val="0"/>
            <w:spacing w:val="-2"/>
            <w:rtl/>
            <w:lang w:val="en-US" w:eastAsia="zh-CN"/>
          </w:rPr>
          <w:t>تحالف المهارات في مجال الذكاء الاصطناعي</w:t>
        </w:r>
      </w:hyperlink>
      <w:r w:rsidRPr="007957C0">
        <w:rPr>
          <w:spacing w:val="-2"/>
          <w:rtl/>
        </w:rPr>
        <w:t xml:space="preserve">، الذي يهدف إلى توسيع نطاق تعليم الذكاء الاصطناعي وبناء القدرات ذات الصلة في جميع أنحاء العالم. وعزز البرنامج أيضاً المشاركة الإقليمية، كما يتضح من </w:t>
      </w:r>
      <w:hyperlink r:id="rId304" w:anchor="/ar" w:history="1">
        <w:r w:rsidRPr="007957C0">
          <w:rPr>
            <w:rStyle w:val="Hyperlink"/>
            <w:noProof w:val="0"/>
            <w:spacing w:val="-2"/>
            <w:rtl/>
            <w:lang w:val="en-US" w:eastAsia="zh-CN"/>
          </w:rPr>
          <w:t xml:space="preserve">مبادرة التأثير لبرنامج الذكاء الاصطناعي من أجل المصلحة العامة </w:t>
        </w:r>
        <w:r w:rsidRPr="007957C0">
          <w:rPr>
            <w:rStyle w:val="Hyperlink"/>
            <w:noProof w:val="0"/>
            <w:spacing w:val="-2"/>
            <w:lang w:val="en-US" w:eastAsia="zh-CN" w:bidi="ar-EG"/>
          </w:rPr>
          <w:t>(</w:t>
        </w:r>
        <w:r w:rsidRPr="007957C0">
          <w:rPr>
            <w:rStyle w:val="Hyperlink"/>
            <w:noProof w:val="0"/>
            <w:spacing w:val="-2"/>
            <w:lang w:val="en-US" w:eastAsia="zh-CN"/>
          </w:rPr>
          <w:t>AI for Good Impact Initiative</w:t>
        </w:r>
        <w:r w:rsidRPr="007957C0">
          <w:rPr>
            <w:rStyle w:val="Hyperlink"/>
            <w:noProof w:val="0"/>
            <w:spacing w:val="-2"/>
            <w:lang w:val="en-US" w:eastAsia="zh-CN" w:bidi="ar-EG"/>
          </w:rPr>
          <w:t>)</w:t>
        </w:r>
      </w:hyperlink>
      <w:r w:rsidRPr="007957C0">
        <w:rPr>
          <w:spacing w:val="-2"/>
          <w:rtl/>
        </w:rPr>
        <w:t xml:space="preserve">، التي نُفذت في مناطق مثل الهند خلال حدث عُقد في عام 2024، والأعمال التحضيرية لحدث </w:t>
      </w:r>
      <w:hyperlink r:id="rId305" w:anchor="/ar" w:history="1">
        <w:r w:rsidRPr="007957C0">
          <w:rPr>
            <w:rStyle w:val="Hyperlink"/>
            <w:noProof w:val="0"/>
            <w:spacing w:val="-2"/>
            <w:rtl/>
            <w:lang w:val="en-US" w:eastAsia="zh-CN"/>
          </w:rPr>
          <w:t>التأثير لبرنامج الذكاء الاصطناعي من أجل المصلحة العامة لمنطقة إفريقيا</w:t>
        </w:r>
        <w:r w:rsidR="001120B6" w:rsidRPr="007957C0">
          <w:rPr>
            <w:rStyle w:val="Hyperlink"/>
            <w:rFonts w:hint="cs"/>
            <w:noProof w:val="0"/>
            <w:spacing w:val="-2"/>
            <w:rtl/>
            <w:lang w:val="en-US" w:eastAsia="zh-CN"/>
          </w:rPr>
          <w:t xml:space="preserve"> </w:t>
        </w:r>
        <w:r w:rsidRPr="007957C0">
          <w:rPr>
            <w:rStyle w:val="Hyperlink"/>
            <w:noProof w:val="0"/>
            <w:spacing w:val="-2"/>
            <w:lang w:val="en-US" w:eastAsia="zh-CN" w:bidi="ar-EG"/>
          </w:rPr>
          <w:t>(</w:t>
        </w:r>
        <w:r w:rsidRPr="007957C0">
          <w:rPr>
            <w:rStyle w:val="Hyperlink"/>
            <w:noProof w:val="0"/>
            <w:spacing w:val="-2"/>
            <w:lang w:val="en-US" w:eastAsia="zh-CN"/>
          </w:rPr>
          <w:t>AI for Good Impact Africa</w:t>
        </w:r>
        <w:r w:rsidRPr="007957C0">
          <w:rPr>
            <w:rStyle w:val="Hyperlink"/>
            <w:noProof w:val="0"/>
            <w:spacing w:val="-2"/>
            <w:lang w:val="en-US" w:eastAsia="zh-CN" w:bidi="ar-EG"/>
          </w:rPr>
          <w:t>)</w:t>
        </w:r>
      </w:hyperlink>
      <w:r w:rsidRPr="007957C0">
        <w:rPr>
          <w:spacing w:val="-2"/>
          <w:rtl/>
        </w:rPr>
        <w:t xml:space="preserve"> الذي عُقد في جنوب إفريقيا عام 2025، ونُظم بالشراكة مع أمانة مجموعة العشرين </w:t>
      </w:r>
      <w:r w:rsidRPr="007957C0">
        <w:rPr>
          <w:spacing w:val="-2"/>
          <w:lang w:bidi="ar-EG"/>
        </w:rPr>
        <w:t>(</w:t>
      </w:r>
      <w:r w:rsidRPr="007957C0">
        <w:rPr>
          <w:spacing w:val="-2"/>
        </w:rPr>
        <w:t>G20</w:t>
      </w:r>
      <w:r w:rsidRPr="007957C0">
        <w:rPr>
          <w:spacing w:val="-2"/>
          <w:lang w:bidi="ar-EG"/>
        </w:rPr>
        <w:t>)</w:t>
      </w:r>
      <w:r w:rsidRPr="007957C0">
        <w:rPr>
          <w:spacing w:val="-2"/>
          <w:rtl/>
        </w:rPr>
        <w:t xml:space="preserve">. وعلى مدار هذه السنوات، عزز برنامج الذكاء الاصطناعي من أجل المصلحة العامة دوره كمنصة شاملة وموثوقة </w:t>
      </w:r>
      <w:proofErr w:type="spellStart"/>
      <w:r w:rsidRPr="007957C0">
        <w:rPr>
          <w:spacing w:val="-2"/>
          <w:rtl/>
        </w:rPr>
        <w:t>وتطلعية</w:t>
      </w:r>
      <w:proofErr w:type="spellEnd"/>
      <w:r w:rsidRPr="007957C0">
        <w:rPr>
          <w:spacing w:val="-2"/>
          <w:rtl/>
        </w:rPr>
        <w:t xml:space="preserve"> مكرسة لاستخدام الذكاء الاصطناعي لصالح الجميع في كل مكان، مع تسريع وتيرة التقدم نحو تحقيق أهداف التنمية المستدامة التي وضعتها الأمم المتحدة.</w:t>
      </w:r>
    </w:p>
    <w:p w14:paraId="1F0D3E39" w14:textId="3457DF58" w:rsidR="007C0894" w:rsidRPr="007C0894" w:rsidRDefault="001120B6" w:rsidP="001120B6">
      <w:pPr>
        <w:pStyle w:val="Heading3"/>
        <w:rPr>
          <w:lang w:val="ar-SA" w:bidi="ar-EG"/>
        </w:rPr>
      </w:pPr>
      <w:bookmarkStart w:id="91" w:name="_Toc224288822"/>
      <w:bookmarkStart w:id="92" w:name="_Toc227252596"/>
      <w:r>
        <w:t>3.8.4</w:t>
      </w:r>
      <w:r w:rsidR="007C0894" w:rsidRPr="007C0894">
        <w:rPr>
          <w:rtl/>
        </w:rPr>
        <w:tab/>
        <w:t>الندوة العالمية للمعايير</w:t>
      </w:r>
      <w:bookmarkEnd w:id="91"/>
      <w:bookmarkEnd w:id="92"/>
    </w:p>
    <w:p w14:paraId="5A18CA2D" w14:textId="7EF84E7B" w:rsidR="007C0894" w:rsidRPr="007C0894" w:rsidRDefault="007C0894" w:rsidP="007C0894">
      <w:pPr>
        <w:rPr>
          <w:lang w:val="ar-SA" w:bidi="ar-EG"/>
        </w:rPr>
      </w:pPr>
      <w:r w:rsidRPr="007C0894">
        <w:rPr>
          <w:rtl/>
        </w:rPr>
        <w:t xml:space="preserve">عُقدت </w:t>
      </w:r>
      <w:hyperlink r:id="rId306" w:anchor="/ar" w:history="1">
        <w:r w:rsidRPr="007C0894">
          <w:rPr>
            <w:rStyle w:val="Hyperlink"/>
            <w:noProof w:val="0"/>
            <w:rtl/>
            <w:lang w:val="en-US" w:eastAsia="zh-CN"/>
          </w:rPr>
          <w:t xml:space="preserve">الندوة العالمية الخامسة للمعايير </w:t>
        </w:r>
        <w:r w:rsidRPr="007C0894">
          <w:rPr>
            <w:rStyle w:val="Hyperlink"/>
            <w:noProof w:val="0"/>
            <w:lang w:val="en-US" w:eastAsia="zh-CN" w:bidi="ar-EG"/>
          </w:rPr>
          <w:t>(</w:t>
        </w:r>
        <w:r w:rsidRPr="007C0894">
          <w:rPr>
            <w:rStyle w:val="Hyperlink"/>
            <w:noProof w:val="0"/>
            <w:lang w:val="en-US" w:eastAsia="zh-CN"/>
          </w:rPr>
          <w:t>GSS-24</w:t>
        </w:r>
        <w:r w:rsidRPr="007C0894">
          <w:rPr>
            <w:rStyle w:val="Hyperlink"/>
            <w:noProof w:val="0"/>
            <w:lang w:val="en-US" w:eastAsia="zh-CN" w:bidi="ar-EG"/>
          </w:rPr>
          <w:t>)</w:t>
        </w:r>
      </w:hyperlink>
      <w:r w:rsidRPr="007C0894">
        <w:rPr>
          <w:rtl/>
        </w:rPr>
        <w:t xml:space="preserve"> في 14 أكتوبر 2024 في نيودلهي، </w:t>
      </w:r>
      <w:proofErr w:type="spellStart"/>
      <w:r w:rsidRPr="007C0894">
        <w:rPr>
          <w:rtl/>
        </w:rPr>
        <w:t>متيحةً</w:t>
      </w:r>
      <w:proofErr w:type="spellEnd"/>
      <w:r w:rsidRPr="007C0894">
        <w:rPr>
          <w:rtl/>
        </w:rPr>
        <w:t xml:space="preserve"> منصة حيوية لقادة الفكر والمبتكرين وصناع القرار على الصعيد العالمي. ورحّب هذا الحدث الشامل بأعضاء الاتحاد وغير الأعضاء فيه على السواء، وكان بمثابة حدث تمهيدي للجمعية العالمية لتقييس الاتصالات </w:t>
      </w:r>
      <w:r w:rsidR="00F742FD" w:rsidRPr="00F742FD">
        <w:rPr>
          <w:lang w:bidi="ar-EG"/>
        </w:rPr>
        <w:t>(WTSA-24)</w:t>
      </w:r>
      <w:r w:rsidRPr="007C0894">
        <w:rPr>
          <w:rtl/>
        </w:rPr>
        <w:t xml:space="preserve"> التي تلته.</w:t>
      </w:r>
    </w:p>
    <w:p w14:paraId="04110667" w14:textId="77777777" w:rsidR="007C0894" w:rsidRPr="007C0894" w:rsidRDefault="007C0894" w:rsidP="007C0894">
      <w:pPr>
        <w:rPr>
          <w:lang w:val="ar-SA" w:bidi="ar-EG"/>
        </w:rPr>
      </w:pPr>
      <w:r w:rsidRPr="007C0894">
        <w:rPr>
          <w:rtl/>
        </w:rPr>
        <w:t>وركزت الندوة GSS-24 على موضوع "تخطيط الموجة الرقمية التالية: التكنولوجيات الناشئة والابتكار والمعايير الدولية"، مسلطةً الضوء على الدور المحوري لأحدث التكنولوجيات والمعايير الدولية في تشكيل المشهد الرقمي. وكان الجزء الرفيع المستوى من أبرز محطات الندوة، حيث اجتمع الوزراء وقادة الصناعة لمناقشة مستقبل الابتكار والتأثير في توجهاته، بهدف إحداث تغيير تحويلي على الصعيد العالمي.</w:t>
      </w:r>
    </w:p>
    <w:p w14:paraId="1C2F6008" w14:textId="62698E36" w:rsidR="007C0894" w:rsidRPr="007C0894" w:rsidRDefault="007C0894" w:rsidP="007C0894">
      <w:pPr>
        <w:rPr>
          <w:lang w:val="ar-SA" w:bidi="ar-EG"/>
        </w:rPr>
      </w:pPr>
      <w:r w:rsidRPr="007C0894">
        <w:rPr>
          <w:rtl/>
        </w:rPr>
        <w:t xml:space="preserve">وبناءً على هذا الزخم، اختتمت الندوة بسلسلة من التوصيات القابلة للتنفيذ التي تشدد على أهمية المعايير الدولية في دعم الابتكار والتكنولوجيات الناشئة والتنمية المستدامة. وأكدت </w:t>
      </w:r>
      <w:hyperlink r:id="rId307" w:anchor="p=1" w:history="1">
        <w:r w:rsidRPr="007C0894">
          <w:rPr>
            <w:rStyle w:val="Hyperlink"/>
            <w:noProof w:val="0"/>
            <w:rtl/>
            <w:lang w:val="en-US" w:eastAsia="zh-CN"/>
          </w:rPr>
          <w:t>استنتاجات الندوة العالمية الخامسة للمعايير</w:t>
        </w:r>
      </w:hyperlink>
      <w:r w:rsidRPr="007C0894">
        <w:rPr>
          <w:rtl/>
        </w:rPr>
        <w:t> من جديد دور الاتحاد كمنصة مركزية لتعزيز التعاون بين الحكومات ودوائر الصناعة والهيئات الأكاديمية والمجتمع المدني، وشددت على الحاجة إلى جهود منسقة للاستفادة من المعايير من أجل التحول الرقمي للمجتمعات في جميع أنحاء العالم.</w:t>
      </w:r>
    </w:p>
    <w:p w14:paraId="6083D8BD" w14:textId="0A7C3F60" w:rsidR="007C0894" w:rsidRPr="007C0894" w:rsidRDefault="00F742FD" w:rsidP="00F742FD">
      <w:pPr>
        <w:pStyle w:val="Heading3"/>
        <w:rPr>
          <w:lang w:val="ar-SA" w:bidi="ar-EG"/>
        </w:rPr>
      </w:pPr>
      <w:bookmarkStart w:id="93" w:name="_Toc224288823"/>
      <w:bookmarkStart w:id="94" w:name="_Toc227252597"/>
      <w:r>
        <w:t>4.8.4</w:t>
      </w:r>
      <w:r w:rsidR="007C0894" w:rsidRPr="007C0894">
        <w:rPr>
          <w:rtl/>
        </w:rPr>
        <w:tab/>
        <w:t>الندوة العالمية لمنظمي الاتصالات</w:t>
      </w:r>
      <w:bookmarkEnd w:id="93"/>
      <w:bookmarkEnd w:id="94"/>
    </w:p>
    <w:p w14:paraId="3D1EAF97" w14:textId="59B99F44" w:rsidR="007C0894" w:rsidRPr="007C0894" w:rsidRDefault="007C0894" w:rsidP="007957C0">
      <w:pPr>
        <w:keepLines/>
        <w:rPr>
          <w:lang w:val="ar-SA" w:bidi="ar-EG"/>
        </w:rPr>
      </w:pPr>
      <w:r w:rsidRPr="007C0894">
        <w:rPr>
          <w:rtl/>
        </w:rPr>
        <w:t xml:space="preserve">خلال الفترة 2022-2025، كانت الندوة العالمية لمنظمي الاتصالات </w:t>
      </w:r>
      <w:r w:rsidRPr="007C0894">
        <w:rPr>
          <w:lang w:bidi="ar-EG"/>
        </w:rPr>
        <w:t>(</w:t>
      </w:r>
      <w:hyperlink r:id="rId308" w:anchor="/ar" w:history="1">
        <w:r w:rsidRPr="007C0894">
          <w:rPr>
            <w:rStyle w:val="Hyperlink"/>
            <w:noProof w:val="0"/>
            <w:lang w:val="en-US" w:eastAsia="zh-CN" w:bidi="ar-EG"/>
          </w:rPr>
          <w:t>GSR</w:t>
        </w:r>
      </w:hyperlink>
      <w:r w:rsidRPr="007C0894">
        <w:rPr>
          <w:lang w:bidi="ar-EG"/>
        </w:rPr>
        <w:t>)</w:t>
      </w:r>
      <w:r w:rsidRPr="007C0894">
        <w:rPr>
          <w:rtl/>
        </w:rPr>
        <w:t xml:space="preserve"> المنصة العالمية الأولى لتطوير الولاية التنظيمية استجابةً للتغير التكنولوجي السريع، وركزت على النهج التنظيمية المبتكرة الضرورية لتعزيز التحول الرقمي والشمولية الرقمية في جميع أنحاء العالم. وخلال دورة 2023-2025، زادت المشاركة في الندوة بشكل مطرد - من حوالي 750 مندوباً في ندوة عام 2023 إلى نحو </w:t>
      </w:r>
      <w:r w:rsidR="00F742FD">
        <w:t>1 200</w:t>
      </w:r>
      <w:r w:rsidRPr="007C0894">
        <w:rPr>
          <w:rtl/>
        </w:rPr>
        <w:t xml:space="preserve"> مندوب في ندوة عام 2025 - ما يعبر عن تنامي المشاركة العالمية في</w:t>
      </w:r>
      <w:r w:rsidR="00F742FD">
        <w:rPr>
          <w:rFonts w:hint="cs"/>
          <w:rtl/>
        </w:rPr>
        <w:t> </w:t>
      </w:r>
      <w:r w:rsidRPr="007C0894">
        <w:rPr>
          <w:rtl/>
        </w:rPr>
        <w:t xml:space="preserve">الابتكار التنظيمي. وعلى مدى هذه السنوات الثلاث، قدمت الندوة نسخاً متتالية من </w:t>
      </w:r>
      <w:hyperlink r:id="rId309" w:anchor="/ar" w:history="1">
        <w:r w:rsidRPr="007C0894">
          <w:rPr>
            <w:rStyle w:val="Hyperlink"/>
            <w:noProof w:val="0"/>
            <w:rtl/>
            <w:lang w:val="en-US" w:eastAsia="zh-CN"/>
          </w:rPr>
          <w:t>المبادئ التوجيهية لأفضل الممارسات</w:t>
        </w:r>
      </w:hyperlink>
      <w:r w:rsidRPr="007C0894">
        <w:rPr>
          <w:rtl/>
        </w:rPr>
        <w:t xml:space="preserve"> عززت دور المنظمين كبناة للنظام الإيكولوجي الرقمي ووضعت استراتيجيات واضحة لتحقيق تنمية رقمية شاملة ومستدامة محورها الإنسان في جميع أنحاء العالم.</w:t>
      </w:r>
    </w:p>
    <w:p w14:paraId="5D430108" w14:textId="782586EF" w:rsidR="007C0894" w:rsidRPr="007C0894" w:rsidRDefault="007C0894" w:rsidP="007C0894">
      <w:pPr>
        <w:rPr>
          <w:lang w:val="ar-SA" w:bidi="ar-EG"/>
        </w:rPr>
      </w:pPr>
      <w:r w:rsidRPr="007C0894">
        <w:rPr>
          <w:rtl/>
        </w:rPr>
        <w:t>وفي ندوة عام 2023، التي عُقدت في شرم الشيخ، مصر في الفترة من 5 إلى 8 يونيو 2023، تحت موضوع التوصيلية الرقمية، ناقش المشاركون مواضيع من قبيل سلامة الأطفال على الإنترنت، والنفاذ إلى التكنولوجيا بأسعار معقولة، والاستدامة في التحول الرقمي. وتُوج الحدث باعتماد </w:t>
      </w:r>
      <w:hyperlink r:id="rId310" w:history="1">
        <w:r w:rsidRPr="007C0894">
          <w:rPr>
            <w:rStyle w:val="Hyperlink"/>
            <w:noProof w:val="0"/>
            <w:rtl/>
            <w:lang w:val="en-US" w:eastAsia="zh-CN"/>
          </w:rPr>
          <w:t>المبادئ التوجيهية لأفضل الممارسات</w:t>
        </w:r>
      </w:hyperlink>
      <w:r w:rsidRPr="007C0894">
        <w:rPr>
          <w:rtl/>
        </w:rPr>
        <w:t xml:space="preserve"> الرامية إلى دعم بناء مستقبل رقمي شامل، التي تقدم استراتيجيات لتعزيز التوصيلية وتحسين الممارسات التنظيمية.</w:t>
      </w:r>
    </w:p>
    <w:p w14:paraId="6E8B6D31" w14:textId="677CA749" w:rsidR="007C0894" w:rsidRPr="007C0894" w:rsidRDefault="007C0894" w:rsidP="00F742FD">
      <w:pPr>
        <w:rPr>
          <w:lang w:val="ar-SA" w:bidi="ar-EG"/>
        </w:rPr>
      </w:pPr>
      <w:r w:rsidRPr="007C0894">
        <w:rPr>
          <w:rtl/>
        </w:rPr>
        <w:t xml:space="preserve">وعقب ندوة عام 2023، عُقدت ندوة عام 2024 في كمبالا، أوغندا، في الفترة من 1 إلى 4 يوليو 2024. وانصب التركيز على وضع لوائح مؤثرة بشأن البنية التحتية المتطورة والتكنولوجيات التحويلية، وأسفر عن وضع نسخة جديدة من </w:t>
      </w:r>
      <w:hyperlink r:id="rId311" w:history="1">
        <w:r w:rsidRPr="007C0894">
          <w:rPr>
            <w:rStyle w:val="Hyperlink"/>
            <w:noProof w:val="0"/>
            <w:rtl/>
            <w:lang w:val="en-US" w:eastAsia="zh-CN"/>
          </w:rPr>
          <w:t>المبادئ التوجيهية لأفضل الممارسات</w:t>
        </w:r>
      </w:hyperlink>
      <w:r w:rsidRPr="007C0894">
        <w:rPr>
          <w:rtl/>
        </w:rPr>
        <w:t xml:space="preserve"> تهدف إلى مساعدة منظمي تكنولوجيا المعلومات والاتصالات في دعم الاقتصادات الرقمية المستدامة.</w:t>
      </w:r>
    </w:p>
    <w:p w14:paraId="75E8D01B" w14:textId="4D99BA53" w:rsidR="007C0894" w:rsidRPr="007C0894" w:rsidRDefault="007C0894" w:rsidP="007C0894">
      <w:pPr>
        <w:rPr>
          <w:lang w:val="ar-SA" w:bidi="ar-EG"/>
        </w:rPr>
      </w:pPr>
      <w:r w:rsidRPr="007C0894">
        <w:rPr>
          <w:rtl/>
        </w:rPr>
        <w:t xml:space="preserve">وعُقدت أحدث نسخة من الندوة، ندوة عام 2025 (GSR-25)، في الرياض، المملكة العربية السعودية، في الفترة من 31 أغسطس إلى 3 سبتمبر 2025. وكان موضوعها "التنظيم من أجل التنمية الرقمية المستدامة". وشددت المناقشات الرئيسية على التعاون والابتكار والتعاون عبر الحدود بين منظمي الاتصالات. وأقرت </w:t>
      </w:r>
      <w:hyperlink r:id="rId312" w:anchor="p=1" w:history="1">
        <w:r w:rsidRPr="007C0894">
          <w:rPr>
            <w:rStyle w:val="Hyperlink"/>
            <w:noProof w:val="0"/>
            <w:rtl/>
            <w:lang w:val="en-US" w:eastAsia="zh-CN"/>
          </w:rPr>
          <w:t>المبادئ التوجيهية لأفضل الممارسات الصادرة عن الندوة</w:t>
        </w:r>
        <w:r w:rsidR="00F92A17">
          <w:rPr>
            <w:rStyle w:val="Hyperlink"/>
            <w:rFonts w:hint="cs"/>
            <w:noProof w:val="0"/>
            <w:rtl/>
            <w:lang w:val="en-US" w:eastAsia="zh-CN"/>
          </w:rPr>
          <w:t> </w:t>
        </w:r>
        <w:r w:rsidR="00F92A17">
          <w:rPr>
            <w:rStyle w:val="Hyperlink"/>
            <w:noProof w:val="0"/>
            <w:lang w:val="en-US" w:eastAsia="zh-CN"/>
          </w:rPr>
          <w:t>GSR</w:t>
        </w:r>
        <w:r w:rsidR="00F92A17">
          <w:rPr>
            <w:rStyle w:val="Hyperlink"/>
            <w:noProof w:val="0"/>
            <w:lang w:val="en-US" w:eastAsia="zh-CN"/>
          </w:rPr>
          <w:noBreakHyphen/>
          <w:t>25</w:t>
        </w:r>
      </w:hyperlink>
      <w:r w:rsidRPr="007C0894">
        <w:rPr>
          <w:rtl/>
        </w:rPr>
        <w:t xml:space="preserve"> دور المنظمين كبناة للنظام الإيكولوجي الرقمي، مشددة على الحاجة إلى الابتكار في الممارسات التنظيمية واتباع نهج محوره الإنسان لضمان استفادة جميع الأفراد من التحول الرقمي.</w:t>
      </w:r>
    </w:p>
    <w:p w14:paraId="7F849DCE" w14:textId="77777777" w:rsidR="007C0894" w:rsidRPr="007C0894" w:rsidRDefault="007C0894" w:rsidP="007C0894">
      <w:pPr>
        <w:rPr>
          <w:lang w:val="ar-SA" w:bidi="ar-EG"/>
        </w:rPr>
      </w:pPr>
      <w:r w:rsidRPr="007C0894">
        <w:rPr>
          <w:rtl/>
        </w:rPr>
        <w:t>وظلت الأولويات المواضيعية الأساسية طوال الفترة متسقة وتعمقت تدريجياً في المواضيع بما ذلك سلامة الأطفال على الإنترنت، والتوصيلية الشاملة والهادفة، والاستدامة البيئية (القطاع الرقمي المراعي للبيئة)، والبنية التحتية الرقمية الجديرة بالثقة. وعززت السلسلة ضرورة التعاون "على مستوى الحكومة بأكملها" والتعاون بين القطاعات لتحقيق الغايات الاستراتيجية للاتحاد.</w:t>
      </w:r>
    </w:p>
    <w:p w14:paraId="1DA6EDBC" w14:textId="63BE15F7" w:rsidR="007C0894" w:rsidRPr="007C0894" w:rsidRDefault="00F742FD" w:rsidP="00F742FD">
      <w:pPr>
        <w:pStyle w:val="Heading3"/>
        <w:rPr>
          <w:lang w:val="ar-SA" w:bidi="ar-EG"/>
        </w:rPr>
      </w:pPr>
      <w:bookmarkStart w:id="95" w:name="_Toc224288824"/>
      <w:bookmarkStart w:id="96" w:name="_Toc227252598"/>
      <w:r>
        <w:t>5.8.4</w:t>
      </w:r>
      <w:r w:rsidR="007C0894" w:rsidRPr="007C0894">
        <w:rPr>
          <w:rtl/>
        </w:rPr>
        <w:tab/>
        <w:t>إشراك الهيئات الأكاديمية في عمل الاتحاد</w:t>
      </w:r>
      <w:bookmarkEnd w:id="95"/>
      <w:bookmarkEnd w:id="96"/>
    </w:p>
    <w:p w14:paraId="27FB0F8D" w14:textId="77777777" w:rsidR="007C0894" w:rsidRPr="007C0894" w:rsidRDefault="007C0894" w:rsidP="007C0894">
      <w:pPr>
        <w:rPr>
          <w:lang w:val="ar-SA" w:bidi="ar-EG"/>
        </w:rPr>
      </w:pPr>
      <w:bookmarkStart w:id="97" w:name="_Hlk92298430"/>
      <w:r w:rsidRPr="007C0894">
        <w:rPr>
          <w:rtl/>
        </w:rPr>
        <w:t>تشارك أكثر من 180 جامعة ومؤسسة بحثية كأعضاء أكاديميين في الاتحاد وتساهم على أساس منتظم في أعمال الاتحاد. ويتزايد عدد المؤسسات الأكاديمية المشاركة في أنشطة الاتحاد باستمرار.</w:t>
      </w:r>
    </w:p>
    <w:p w14:paraId="65906E49" w14:textId="3C8E0DD9" w:rsidR="007C0894" w:rsidRPr="007C0894" w:rsidRDefault="007C0894" w:rsidP="007C0894">
      <w:pPr>
        <w:rPr>
          <w:rtl/>
        </w:rPr>
      </w:pPr>
      <w:r w:rsidRPr="007C0894">
        <w:rPr>
          <w:rFonts w:hint="eastAsia"/>
          <w:rtl/>
        </w:rPr>
        <w:t>وتوفر</w:t>
      </w:r>
      <w:r w:rsidRPr="007C0894">
        <w:rPr>
          <w:rtl/>
        </w:rPr>
        <w:t xml:space="preserve"> </w:t>
      </w:r>
      <w:hyperlink r:id="rId313" w:anchor="/ar" w:history="1">
        <w:r w:rsidRPr="007C0894">
          <w:rPr>
            <w:rStyle w:val="Hyperlink"/>
            <w:rFonts w:hint="eastAsia"/>
            <w:noProof w:val="0"/>
            <w:rtl/>
            <w:lang w:val="en-US" w:eastAsia="zh-CN"/>
          </w:rPr>
          <w:t>عضوية</w:t>
        </w:r>
        <w:r w:rsidRPr="007C0894">
          <w:rPr>
            <w:rStyle w:val="Hyperlink"/>
            <w:noProof w:val="0"/>
            <w:rtl/>
            <w:lang w:val="en-US" w:eastAsia="zh-CN"/>
          </w:rPr>
          <w:t xml:space="preserve"> </w:t>
        </w:r>
        <w:r w:rsidRPr="007C0894">
          <w:rPr>
            <w:rStyle w:val="Hyperlink"/>
            <w:rFonts w:hint="eastAsia"/>
            <w:noProof w:val="0"/>
            <w:rtl/>
            <w:lang w:val="en-US" w:eastAsia="zh-CN"/>
          </w:rPr>
          <w:t>الهيئات</w:t>
        </w:r>
        <w:r w:rsidRPr="007C0894">
          <w:rPr>
            <w:rStyle w:val="Hyperlink"/>
            <w:noProof w:val="0"/>
            <w:rtl/>
            <w:lang w:val="en-US" w:eastAsia="zh-CN"/>
          </w:rPr>
          <w:t xml:space="preserve"> </w:t>
        </w:r>
        <w:r w:rsidRPr="007C0894">
          <w:rPr>
            <w:rStyle w:val="Hyperlink"/>
            <w:rFonts w:hint="eastAsia"/>
            <w:noProof w:val="0"/>
            <w:rtl/>
            <w:lang w:val="en-US" w:eastAsia="zh-CN"/>
          </w:rPr>
          <w:t>الأكاديمية</w:t>
        </w:r>
        <w:r w:rsidRPr="007C0894">
          <w:rPr>
            <w:rStyle w:val="Hyperlink"/>
            <w:noProof w:val="0"/>
            <w:rtl/>
            <w:lang w:val="en-US" w:eastAsia="zh-CN"/>
          </w:rPr>
          <w:t xml:space="preserve"> </w:t>
        </w:r>
        <w:r w:rsidRPr="007C0894">
          <w:rPr>
            <w:rStyle w:val="Hyperlink"/>
            <w:rFonts w:hint="eastAsia"/>
            <w:noProof w:val="0"/>
            <w:rtl/>
            <w:lang w:val="en-US" w:eastAsia="zh-CN"/>
          </w:rPr>
          <w:t>في</w:t>
        </w:r>
        <w:r w:rsidRPr="007C0894">
          <w:rPr>
            <w:rStyle w:val="Hyperlink"/>
            <w:noProof w:val="0"/>
            <w:rtl/>
            <w:lang w:val="en-US" w:eastAsia="zh-CN"/>
          </w:rPr>
          <w:t xml:space="preserve"> </w:t>
        </w:r>
        <w:r w:rsidRPr="007C0894">
          <w:rPr>
            <w:rStyle w:val="Hyperlink"/>
            <w:rFonts w:hint="eastAsia"/>
            <w:noProof w:val="0"/>
            <w:rtl/>
            <w:lang w:val="en-US" w:eastAsia="zh-CN"/>
          </w:rPr>
          <w:t>الاتحاد</w:t>
        </w:r>
      </w:hyperlink>
      <w:r w:rsidRPr="007C0894">
        <w:rPr>
          <w:rFonts w:hint="eastAsia"/>
          <w:rtl/>
        </w:rPr>
        <w:t>،</w:t>
      </w:r>
      <w:r w:rsidRPr="007C0894">
        <w:rPr>
          <w:rtl/>
        </w:rPr>
        <w:t xml:space="preserve"> </w:t>
      </w:r>
      <w:r w:rsidRPr="007C0894">
        <w:rPr>
          <w:rFonts w:hint="eastAsia"/>
          <w:rtl/>
        </w:rPr>
        <w:t>و</w:t>
      </w:r>
      <w:hyperlink r:id="rId314" w:history="1">
        <w:r w:rsidRPr="007C0894">
          <w:rPr>
            <w:rStyle w:val="Hyperlink"/>
            <w:rFonts w:hint="eastAsia"/>
            <w:noProof w:val="0"/>
            <w:rtl/>
            <w:lang w:val="en-US" w:eastAsia="zh-CN"/>
          </w:rPr>
          <w:t>جريدة</w:t>
        </w:r>
        <w:r w:rsidRPr="007C0894">
          <w:rPr>
            <w:rStyle w:val="Hyperlink"/>
            <w:noProof w:val="0"/>
            <w:rtl/>
            <w:lang w:val="en-US" w:eastAsia="zh-CN"/>
          </w:rPr>
          <w:t xml:space="preserve"> </w:t>
        </w:r>
        <w:r w:rsidRPr="007C0894">
          <w:rPr>
            <w:rStyle w:val="Hyperlink"/>
            <w:rFonts w:hint="eastAsia"/>
            <w:noProof w:val="0"/>
            <w:rtl/>
            <w:lang w:val="en-US" w:eastAsia="zh-CN"/>
          </w:rPr>
          <w:t>الاتحاد</w:t>
        </w:r>
        <w:r w:rsidRPr="007C0894">
          <w:rPr>
            <w:rStyle w:val="Hyperlink"/>
            <w:noProof w:val="0"/>
            <w:rtl/>
            <w:lang w:val="en-US" w:eastAsia="zh-CN"/>
          </w:rPr>
          <w:t xml:space="preserve"> </w:t>
        </w:r>
        <w:r w:rsidRPr="007C0894">
          <w:rPr>
            <w:rStyle w:val="Hyperlink"/>
            <w:rFonts w:hint="eastAsia"/>
            <w:noProof w:val="0"/>
            <w:rtl/>
            <w:lang w:val="en-US" w:eastAsia="zh-CN"/>
          </w:rPr>
          <w:t>الدولي</w:t>
        </w:r>
        <w:r w:rsidRPr="007C0894">
          <w:rPr>
            <w:rStyle w:val="Hyperlink"/>
            <w:noProof w:val="0"/>
            <w:rtl/>
            <w:lang w:val="en-US" w:eastAsia="zh-CN"/>
          </w:rPr>
          <w:t xml:space="preserve"> </w:t>
        </w:r>
        <w:r w:rsidRPr="007C0894">
          <w:rPr>
            <w:rStyle w:val="Hyperlink"/>
            <w:rFonts w:hint="eastAsia"/>
            <w:noProof w:val="0"/>
            <w:rtl/>
            <w:lang w:val="en-US" w:eastAsia="zh-CN"/>
          </w:rPr>
          <w:t>للاتصالات</w:t>
        </w:r>
      </w:hyperlink>
      <w:r w:rsidRPr="007C0894">
        <w:rPr>
          <w:rFonts w:hint="eastAsia"/>
          <w:rtl/>
        </w:rPr>
        <w:t>،</w:t>
      </w:r>
      <w:r w:rsidRPr="007C0894">
        <w:rPr>
          <w:rtl/>
        </w:rPr>
        <w:t xml:space="preserve"> </w:t>
      </w:r>
      <w:r w:rsidRPr="007C0894">
        <w:rPr>
          <w:rFonts w:hint="eastAsia"/>
          <w:rtl/>
        </w:rPr>
        <w:t>و</w:t>
      </w:r>
      <w:hyperlink r:id="rId315" w:history="1">
        <w:r w:rsidRPr="007C0894">
          <w:rPr>
            <w:rStyle w:val="Hyperlink"/>
            <w:rFonts w:hint="eastAsia"/>
            <w:noProof w:val="0"/>
            <w:rtl/>
            <w:lang w:val="en-US" w:eastAsia="zh-CN"/>
          </w:rPr>
          <w:t>مؤتمرات</w:t>
        </w:r>
        <w:r w:rsidRPr="007C0894">
          <w:rPr>
            <w:rStyle w:val="Hyperlink"/>
            <w:noProof w:val="0"/>
            <w:rtl/>
            <w:lang w:val="en-US" w:eastAsia="zh-CN"/>
          </w:rPr>
          <w:t xml:space="preserve"> </w:t>
        </w:r>
        <w:proofErr w:type="spellStart"/>
        <w:r w:rsidRPr="007C0894">
          <w:rPr>
            <w:rStyle w:val="Hyperlink"/>
            <w:rFonts w:hint="eastAsia"/>
            <w:noProof w:val="0"/>
            <w:rtl/>
            <w:lang w:val="en-US" w:eastAsia="zh-CN"/>
          </w:rPr>
          <w:t>كاليدوسكوب</w:t>
        </w:r>
        <w:proofErr w:type="spellEnd"/>
        <w:r w:rsidRPr="007C0894">
          <w:rPr>
            <w:rStyle w:val="Hyperlink"/>
            <w:noProof w:val="0"/>
            <w:rtl/>
            <w:lang w:val="en-US" w:eastAsia="zh-CN"/>
          </w:rPr>
          <w:t xml:space="preserve"> </w:t>
        </w:r>
        <w:r w:rsidRPr="007C0894">
          <w:rPr>
            <w:rStyle w:val="Hyperlink"/>
            <w:rFonts w:hint="eastAsia"/>
            <w:noProof w:val="0"/>
            <w:rtl/>
            <w:lang w:val="en-US" w:eastAsia="zh-CN"/>
          </w:rPr>
          <w:t>التي</w:t>
        </w:r>
        <w:r w:rsidRPr="007C0894">
          <w:rPr>
            <w:rStyle w:val="Hyperlink"/>
            <w:noProof w:val="0"/>
            <w:rtl/>
            <w:lang w:val="en-US" w:eastAsia="zh-CN"/>
          </w:rPr>
          <w:t xml:space="preserve"> </w:t>
        </w:r>
        <w:r w:rsidRPr="007C0894">
          <w:rPr>
            <w:rStyle w:val="Hyperlink"/>
            <w:rFonts w:hint="eastAsia"/>
            <w:noProof w:val="0"/>
            <w:rtl/>
            <w:lang w:val="en-US" w:eastAsia="zh-CN"/>
          </w:rPr>
          <w:t>ينظمها</w:t>
        </w:r>
        <w:r w:rsidRPr="007C0894">
          <w:rPr>
            <w:rStyle w:val="Hyperlink"/>
            <w:noProof w:val="0"/>
            <w:rtl/>
            <w:lang w:val="en-US" w:eastAsia="zh-CN"/>
          </w:rPr>
          <w:t xml:space="preserve"> </w:t>
        </w:r>
        <w:r w:rsidRPr="007C0894">
          <w:rPr>
            <w:rStyle w:val="Hyperlink"/>
            <w:rFonts w:hint="eastAsia"/>
            <w:noProof w:val="0"/>
            <w:rtl/>
            <w:lang w:val="en-US" w:eastAsia="zh-CN"/>
          </w:rPr>
          <w:t>الاتحاد</w:t>
        </w:r>
      </w:hyperlink>
      <w:r w:rsidRPr="007C0894">
        <w:rPr>
          <w:rFonts w:hint="eastAsia"/>
          <w:rtl/>
        </w:rPr>
        <w:t>،</w:t>
      </w:r>
      <w:r w:rsidRPr="007C0894">
        <w:rPr>
          <w:rtl/>
        </w:rPr>
        <w:t xml:space="preserve"> </w:t>
      </w:r>
      <w:r w:rsidRPr="007C0894">
        <w:rPr>
          <w:rFonts w:hint="eastAsia"/>
          <w:rtl/>
        </w:rPr>
        <w:t>و</w:t>
      </w:r>
      <w:hyperlink r:id="rId316" w:anchor="/ar" w:history="1">
        <w:r w:rsidRPr="007C0894">
          <w:rPr>
            <w:rStyle w:val="Hyperlink"/>
            <w:rFonts w:hint="eastAsia"/>
            <w:noProof w:val="0"/>
            <w:rtl/>
            <w:lang w:val="en-US" w:eastAsia="zh-CN"/>
          </w:rPr>
          <w:t>الهيئة</w:t>
        </w:r>
        <w:r w:rsidRPr="007C0894">
          <w:rPr>
            <w:rStyle w:val="Hyperlink"/>
            <w:noProof w:val="0"/>
            <w:rtl/>
            <w:lang w:val="en-US" w:eastAsia="zh-CN"/>
          </w:rPr>
          <w:t xml:space="preserve"> </w:t>
        </w:r>
        <w:r w:rsidRPr="007C0894">
          <w:rPr>
            <w:rStyle w:val="Hyperlink"/>
            <w:rFonts w:hint="eastAsia"/>
            <w:noProof w:val="0"/>
            <w:rtl/>
            <w:lang w:val="en-US" w:eastAsia="zh-CN"/>
          </w:rPr>
          <w:t>الاستشارية</w:t>
        </w:r>
        <w:r w:rsidRPr="007C0894">
          <w:rPr>
            <w:rStyle w:val="Hyperlink"/>
            <w:noProof w:val="0"/>
            <w:rtl/>
            <w:lang w:val="en-US" w:eastAsia="zh-CN"/>
          </w:rPr>
          <w:t xml:space="preserve"> </w:t>
        </w:r>
        <w:r w:rsidRPr="007C0894">
          <w:rPr>
            <w:rStyle w:val="Hyperlink"/>
            <w:rFonts w:hint="eastAsia"/>
            <w:noProof w:val="0"/>
            <w:rtl/>
            <w:lang w:val="en-US" w:eastAsia="zh-CN"/>
          </w:rPr>
          <w:t>الأكاديمية</w:t>
        </w:r>
        <w:r w:rsidRPr="007C0894">
          <w:rPr>
            <w:rStyle w:val="Hyperlink"/>
            <w:noProof w:val="0"/>
            <w:rtl/>
            <w:lang w:val="en-US" w:eastAsia="zh-CN"/>
          </w:rPr>
          <w:t xml:space="preserve"> </w:t>
        </w:r>
        <w:r w:rsidRPr="007C0894">
          <w:rPr>
            <w:rStyle w:val="Hyperlink"/>
            <w:rFonts w:hint="eastAsia"/>
            <w:noProof w:val="0"/>
            <w:rtl/>
            <w:lang w:val="en-US" w:eastAsia="zh-CN"/>
          </w:rPr>
          <w:t>المعنية</w:t>
        </w:r>
        <w:r w:rsidRPr="007C0894">
          <w:rPr>
            <w:rStyle w:val="Hyperlink"/>
            <w:noProof w:val="0"/>
            <w:rtl/>
            <w:lang w:val="en-US" w:eastAsia="zh-CN"/>
          </w:rPr>
          <w:t xml:space="preserve"> </w:t>
        </w:r>
        <w:r w:rsidRPr="007C0894">
          <w:rPr>
            <w:rStyle w:val="Hyperlink"/>
            <w:rFonts w:hint="eastAsia"/>
            <w:noProof w:val="0"/>
            <w:rtl/>
            <w:lang w:val="en-US" w:eastAsia="zh-CN"/>
          </w:rPr>
          <w:t>بالتكنولوجيات</w:t>
        </w:r>
        <w:r w:rsidRPr="007C0894">
          <w:rPr>
            <w:rStyle w:val="Hyperlink"/>
            <w:noProof w:val="0"/>
            <w:rtl/>
            <w:lang w:val="en-US" w:eastAsia="zh-CN"/>
          </w:rPr>
          <w:t xml:space="preserve"> </w:t>
        </w:r>
        <w:r w:rsidRPr="007C0894">
          <w:rPr>
            <w:rStyle w:val="Hyperlink"/>
            <w:rFonts w:hint="eastAsia"/>
            <w:noProof w:val="0"/>
            <w:rtl/>
            <w:lang w:val="en-US" w:eastAsia="zh-CN"/>
          </w:rPr>
          <w:t>الناشئة</w:t>
        </w:r>
      </w:hyperlink>
      <w:r w:rsidRPr="007C0894">
        <w:rPr>
          <w:rFonts w:hint="eastAsia"/>
          <w:rtl/>
        </w:rPr>
        <w:t>،</w:t>
      </w:r>
      <w:r w:rsidRPr="007C0894">
        <w:rPr>
          <w:rtl/>
        </w:rPr>
        <w:t xml:space="preserve"> </w:t>
      </w:r>
      <w:r w:rsidRPr="007C0894">
        <w:rPr>
          <w:rFonts w:hint="eastAsia"/>
          <w:rtl/>
        </w:rPr>
        <w:t>ومشاريع</w:t>
      </w:r>
      <w:r w:rsidRPr="007C0894">
        <w:rPr>
          <w:rtl/>
        </w:rPr>
        <w:t xml:space="preserve"> </w:t>
      </w:r>
      <w:r w:rsidRPr="007C0894">
        <w:rPr>
          <w:rFonts w:hint="eastAsia"/>
          <w:rtl/>
        </w:rPr>
        <w:t>التخرج،</w:t>
      </w:r>
      <w:r w:rsidRPr="007C0894">
        <w:rPr>
          <w:rtl/>
        </w:rPr>
        <w:t xml:space="preserve"> </w:t>
      </w:r>
      <w:r w:rsidRPr="007C0894">
        <w:rPr>
          <w:rFonts w:hint="eastAsia"/>
          <w:rtl/>
        </w:rPr>
        <w:t>منصات</w:t>
      </w:r>
      <w:r w:rsidRPr="007C0894">
        <w:rPr>
          <w:rtl/>
        </w:rPr>
        <w:t xml:space="preserve"> </w:t>
      </w:r>
      <w:r w:rsidRPr="007C0894">
        <w:rPr>
          <w:rFonts w:hint="eastAsia"/>
          <w:rtl/>
        </w:rPr>
        <w:t>رئيسية</w:t>
      </w:r>
      <w:r w:rsidRPr="007C0894">
        <w:rPr>
          <w:rtl/>
        </w:rPr>
        <w:t xml:space="preserve"> </w:t>
      </w:r>
      <w:r w:rsidRPr="007C0894">
        <w:rPr>
          <w:rFonts w:hint="eastAsia"/>
          <w:rtl/>
        </w:rPr>
        <w:t>لإشراك</w:t>
      </w:r>
      <w:r w:rsidRPr="007C0894">
        <w:rPr>
          <w:rtl/>
        </w:rPr>
        <w:t xml:space="preserve"> </w:t>
      </w:r>
      <w:r w:rsidRPr="007C0894">
        <w:rPr>
          <w:rFonts w:hint="eastAsia"/>
          <w:rtl/>
        </w:rPr>
        <w:t>الهيئات</w:t>
      </w:r>
      <w:r w:rsidRPr="007C0894">
        <w:rPr>
          <w:rtl/>
        </w:rPr>
        <w:t xml:space="preserve"> </w:t>
      </w:r>
      <w:r w:rsidRPr="007C0894">
        <w:rPr>
          <w:rFonts w:hint="eastAsia"/>
          <w:rtl/>
        </w:rPr>
        <w:t>الأكاديمية</w:t>
      </w:r>
      <w:r w:rsidRPr="007C0894">
        <w:rPr>
          <w:rtl/>
        </w:rPr>
        <w:t xml:space="preserve"> </w:t>
      </w:r>
      <w:r w:rsidRPr="007C0894">
        <w:rPr>
          <w:rFonts w:hint="eastAsia"/>
          <w:rtl/>
        </w:rPr>
        <w:t>في</w:t>
      </w:r>
      <w:r w:rsidRPr="007C0894">
        <w:rPr>
          <w:rtl/>
        </w:rPr>
        <w:t xml:space="preserve"> </w:t>
      </w:r>
      <w:r w:rsidRPr="007C0894">
        <w:rPr>
          <w:rFonts w:hint="eastAsia"/>
          <w:rtl/>
        </w:rPr>
        <w:t>عمل</w:t>
      </w:r>
      <w:r w:rsidRPr="007C0894">
        <w:rPr>
          <w:rtl/>
        </w:rPr>
        <w:t xml:space="preserve"> </w:t>
      </w:r>
      <w:r w:rsidRPr="007C0894">
        <w:rPr>
          <w:rFonts w:hint="eastAsia"/>
          <w:rtl/>
        </w:rPr>
        <w:t>الاتحاد</w:t>
      </w:r>
      <w:r w:rsidRPr="007C0894">
        <w:rPr>
          <w:rtl/>
        </w:rPr>
        <w:t xml:space="preserve">. </w:t>
      </w:r>
      <w:r w:rsidRPr="007C0894">
        <w:rPr>
          <w:rFonts w:hint="eastAsia"/>
          <w:rtl/>
        </w:rPr>
        <w:t>وتعزز</w:t>
      </w:r>
      <w:r w:rsidRPr="007C0894">
        <w:rPr>
          <w:rtl/>
        </w:rPr>
        <w:t xml:space="preserve"> </w:t>
      </w:r>
      <w:r w:rsidRPr="007C0894">
        <w:rPr>
          <w:rFonts w:hint="eastAsia"/>
          <w:rtl/>
        </w:rPr>
        <w:t>هذه</w:t>
      </w:r>
      <w:r w:rsidRPr="007C0894">
        <w:rPr>
          <w:rtl/>
        </w:rPr>
        <w:t xml:space="preserve"> </w:t>
      </w:r>
      <w:r w:rsidRPr="007C0894">
        <w:rPr>
          <w:rFonts w:hint="eastAsia"/>
          <w:rtl/>
        </w:rPr>
        <w:t>المبادرات</w:t>
      </w:r>
      <w:r w:rsidRPr="007C0894">
        <w:rPr>
          <w:rtl/>
        </w:rPr>
        <w:t xml:space="preserve"> </w:t>
      </w:r>
      <w:r w:rsidRPr="007C0894">
        <w:rPr>
          <w:rFonts w:hint="eastAsia"/>
          <w:rtl/>
        </w:rPr>
        <w:t>التعاون</w:t>
      </w:r>
      <w:r w:rsidRPr="007C0894">
        <w:rPr>
          <w:rtl/>
        </w:rPr>
        <w:t xml:space="preserve"> </w:t>
      </w:r>
      <w:r w:rsidRPr="007C0894">
        <w:rPr>
          <w:rFonts w:hint="eastAsia"/>
          <w:rtl/>
        </w:rPr>
        <w:t>بين</w:t>
      </w:r>
      <w:r w:rsidRPr="007C0894">
        <w:rPr>
          <w:rtl/>
        </w:rPr>
        <w:t xml:space="preserve"> </w:t>
      </w:r>
      <w:r w:rsidRPr="007C0894">
        <w:rPr>
          <w:rFonts w:hint="eastAsia"/>
          <w:rtl/>
        </w:rPr>
        <w:t>الأوساط</w:t>
      </w:r>
      <w:r w:rsidRPr="007C0894">
        <w:rPr>
          <w:rtl/>
        </w:rPr>
        <w:t xml:space="preserve"> </w:t>
      </w:r>
      <w:r w:rsidRPr="007C0894">
        <w:rPr>
          <w:rFonts w:hint="eastAsia"/>
          <w:rtl/>
        </w:rPr>
        <w:t>الأكاديمية</w:t>
      </w:r>
      <w:r w:rsidRPr="007C0894">
        <w:rPr>
          <w:rtl/>
        </w:rPr>
        <w:t xml:space="preserve"> </w:t>
      </w:r>
      <w:r w:rsidRPr="007C0894">
        <w:rPr>
          <w:rFonts w:hint="eastAsia"/>
          <w:rtl/>
        </w:rPr>
        <w:t>ودوائر</w:t>
      </w:r>
      <w:r w:rsidRPr="007C0894">
        <w:rPr>
          <w:rtl/>
        </w:rPr>
        <w:t xml:space="preserve"> </w:t>
      </w:r>
      <w:r w:rsidRPr="007C0894">
        <w:rPr>
          <w:rFonts w:hint="eastAsia"/>
          <w:rtl/>
        </w:rPr>
        <w:t>الصناعة،</w:t>
      </w:r>
      <w:r w:rsidRPr="007C0894">
        <w:rPr>
          <w:rtl/>
        </w:rPr>
        <w:t xml:space="preserve"> </w:t>
      </w:r>
      <w:r w:rsidRPr="007C0894">
        <w:rPr>
          <w:rFonts w:hint="eastAsia"/>
          <w:rtl/>
        </w:rPr>
        <w:t>ما</w:t>
      </w:r>
      <w:r w:rsidRPr="007C0894">
        <w:rPr>
          <w:rtl/>
        </w:rPr>
        <w:t xml:space="preserve"> </w:t>
      </w:r>
      <w:r w:rsidRPr="007C0894">
        <w:rPr>
          <w:rFonts w:hint="eastAsia"/>
          <w:rtl/>
        </w:rPr>
        <w:t>يدفع</w:t>
      </w:r>
      <w:r w:rsidRPr="007C0894">
        <w:rPr>
          <w:rtl/>
        </w:rPr>
        <w:t xml:space="preserve"> </w:t>
      </w:r>
      <w:r w:rsidRPr="007C0894">
        <w:rPr>
          <w:rFonts w:hint="eastAsia"/>
          <w:rtl/>
        </w:rPr>
        <w:t>عجلة</w:t>
      </w:r>
      <w:r w:rsidRPr="007C0894">
        <w:rPr>
          <w:rtl/>
        </w:rPr>
        <w:t xml:space="preserve"> </w:t>
      </w:r>
      <w:r w:rsidRPr="007C0894">
        <w:rPr>
          <w:rFonts w:hint="eastAsia"/>
          <w:rtl/>
        </w:rPr>
        <w:t>البحث</w:t>
      </w:r>
      <w:r w:rsidRPr="007C0894">
        <w:rPr>
          <w:rtl/>
        </w:rPr>
        <w:t xml:space="preserve"> </w:t>
      </w:r>
      <w:r w:rsidRPr="007C0894">
        <w:rPr>
          <w:rFonts w:hint="eastAsia"/>
          <w:rtl/>
        </w:rPr>
        <w:t>والتطوير</w:t>
      </w:r>
      <w:r w:rsidRPr="007C0894">
        <w:rPr>
          <w:rtl/>
        </w:rPr>
        <w:t xml:space="preserve"> </w:t>
      </w:r>
      <w:r w:rsidRPr="007C0894">
        <w:rPr>
          <w:rFonts w:hint="eastAsia"/>
          <w:rtl/>
        </w:rPr>
        <w:t>ويسرع</w:t>
      </w:r>
      <w:r w:rsidRPr="007C0894">
        <w:rPr>
          <w:rtl/>
        </w:rPr>
        <w:t xml:space="preserve"> </w:t>
      </w:r>
      <w:r w:rsidRPr="007C0894">
        <w:rPr>
          <w:rFonts w:hint="eastAsia"/>
          <w:rtl/>
        </w:rPr>
        <w:t>وتيرة</w:t>
      </w:r>
      <w:r w:rsidRPr="007C0894">
        <w:rPr>
          <w:rtl/>
        </w:rPr>
        <w:t xml:space="preserve"> </w:t>
      </w:r>
      <w:r w:rsidRPr="007C0894">
        <w:rPr>
          <w:rFonts w:hint="eastAsia"/>
          <w:rtl/>
        </w:rPr>
        <w:t>انتقال</w:t>
      </w:r>
      <w:r w:rsidRPr="007C0894">
        <w:rPr>
          <w:rtl/>
        </w:rPr>
        <w:t xml:space="preserve"> </w:t>
      </w:r>
      <w:r w:rsidRPr="007C0894">
        <w:rPr>
          <w:rFonts w:hint="eastAsia"/>
          <w:rtl/>
        </w:rPr>
        <w:t>الابتكارات</w:t>
      </w:r>
      <w:r w:rsidRPr="007C0894">
        <w:rPr>
          <w:rtl/>
        </w:rPr>
        <w:t xml:space="preserve"> </w:t>
      </w:r>
      <w:r w:rsidRPr="007C0894">
        <w:rPr>
          <w:rFonts w:hint="eastAsia"/>
          <w:rtl/>
        </w:rPr>
        <w:t>المتطورة</w:t>
      </w:r>
      <w:r w:rsidRPr="007C0894">
        <w:rPr>
          <w:rtl/>
        </w:rPr>
        <w:t xml:space="preserve"> </w:t>
      </w:r>
      <w:r w:rsidRPr="007C0894">
        <w:rPr>
          <w:rFonts w:hint="eastAsia"/>
          <w:rtl/>
        </w:rPr>
        <w:t>من</w:t>
      </w:r>
      <w:r w:rsidRPr="007C0894">
        <w:rPr>
          <w:rtl/>
        </w:rPr>
        <w:t xml:space="preserve"> </w:t>
      </w:r>
      <w:r w:rsidRPr="007C0894">
        <w:rPr>
          <w:rFonts w:hint="eastAsia"/>
          <w:rtl/>
        </w:rPr>
        <w:t>المختبر</w:t>
      </w:r>
      <w:r w:rsidRPr="007C0894">
        <w:rPr>
          <w:rtl/>
        </w:rPr>
        <w:t xml:space="preserve"> </w:t>
      </w:r>
      <w:r w:rsidRPr="007C0894">
        <w:rPr>
          <w:rFonts w:hint="eastAsia"/>
          <w:rtl/>
        </w:rPr>
        <w:t>إلى</w:t>
      </w:r>
      <w:r w:rsidRPr="007C0894">
        <w:rPr>
          <w:rtl/>
        </w:rPr>
        <w:t xml:space="preserve"> </w:t>
      </w:r>
      <w:r w:rsidRPr="007C0894">
        <w:rPr>
          <w:rFonts w:hint="eastAsia"/>
          <w:rtl/>
        </w:rPr>
        <w:t>السوق</w:t>
      </w:r>
      <w:r w:rsidRPr="007C0894">
        <w:rPr>
          <w:rtl/>
        </w:rPr>
        <w:t xml:space="preserve">. </w:t>
      </w:r>
      <w:r w:rsidRPr="007C0894">
        <w:rPr>
          <w:rFonts w:hint="eastAsia"/>
          <w:rtl/>
        </w:rPr>
        <w:t>وضمن</w:t>
      </w:r>
      <w:r w:rsidRPr="007C0894">
        <w:rPr>
          <w:rtl/>
        </w:rPr>
        <w:t xml:space="preserve"> </w:t>
      </w:r>
      <w:r w:rsidRPr="007C0894">
        <w:rPr>
          <w:rFonts w:hint="eastAsia"/>
          <w:rtl/>
        </w:rPr>
        <w:t>المبادرات</w:t>
      </w:r>
      <w:r w:rsidRPr="007C0894">
        <w:rPr>
          <w:rtl/>
        </w:rPr>
        <w:t xml:space="preserve"> </w:t>
      </w:r>
      <w:r w:rsidRPr="007C0894">
        <w:rPr>
          <w:rFonts w:hint="eastAsia"/>
          <w:rtl/>
        </w:rPr>
        <w:t>المبينة</w:t>
      </w:r>
      <w:r w:rsidRPr="007C0894">
        <w:rPr>
          <w:rtl/>
        </w:rPr>
        <w:t xml:space="preserve"> </w:t>
      </w:r>
      <w:r w:rsidRPr="007C0894">
        <w:rPr>
          <w:rFonts w:hint="eastAsia"/>
          <w:rtl/>
        </w:rPr>
        <w:t>أعلاه،</w:t>
      </w:r>
      <w:r w:rsidRPr="007C0894">
        <w:rPr>
          <w:rtl/>
        </w:rPr>
        <w:t xml:space="preserve"> </w:t>
      </w:r>
      <w:r w:rsidRPr="007C0894">
        <w:rPr>
          <w:rFonts w:hint="eastAsia"/>
          <w:rtl/>
        </w:rPr>
        <w:t>تتاح</w:t>
      </w:r>
      <w:r w:rsidRPr="007C0894">
        <w:rPr>
          <w:rtl/>
        </w:rPr>
        <w:t xml:space="preserve"> </w:t>
      </w:r>
      <w:r w:rsidRPr="007C0894">
        <w:rPr>
          <w:rFonts w:hint="eastAsia"/>
          <w:rtl/>
        </w:rPr>
        <w:t>فرص</w:t>
      </w:r>
      <w:r w:rsidRPr="007C0894">
        <w:rPr>
          <w:rtl/>
        </w:rPr>
        <w:t xml:space="preserve"> </w:t>
      </w:r>
      <w:r w:rsidRPr="007C0894">
        <w:rPr>
          <w:rFonts w:hint="eastAsia"/>
          <w:rtl/>
        </w:rPr>
        <w:t>إضافية</w:t>
      </w:r>
      <w:r w:rsidRPr="007C0894">
        <w:rPr>
          <w:rtl/>
        </w:rPr>
        <w:t xml:space="preserve"> </w:t>
      </w:r>
      <w:r w:rsidRPr="007C0894">
        <w:rPr>
          <w:rFonts w:hint="eastAsia"/>
          <w:rtl/>
        </w:rPr>
        <w:t>لإشراك</w:t>
      </w:r>
      <w:r w:rsidRPr="007C0894">
        <w:rPr>
          <w:rtl/>
        </w:rPr>
        <w:t xml:space="preserve"> </w:t>
      </w:r>
      <w:r w:rsidRPr="007C0894">
        <w:rPr>
          <w:rFonts w:hint="eastAsia"/>
          <w:rtl/>
        </w:rPr>
        <w:t>الهيئات</w:t>
      </w:r>
      <w:r w:rsidRPr="007C0894">
        <w:rPr>
          <w:rtl/>
        </w:rPr>
        <w:t xml:space="preserve"> </w:t>
      </w:r>
      <w:r w:rsidRPr="007C0894">
        <w:rPr>
          <w:rFonts w:hint="eastAsia"/>
          <w:rtl/>
        </w:rPr>
        <w:t>الأكاديمية</w:t>
      </w:r>
      <w:r w:rsidRPr="007C0894">
        <w:rPr>
          <w:rtl/>
        </w:rPr>
        <w:t xml:space="preserve"> </w:t>
      </w:r>
      <w:r w:rsidRPr="007C0894">
        <w:rPr>
          <w:rFonts w:hint="eastAsia"/>
          <w:rtl/>
        </w:rPr>
        <w:t>في</w:t>
      </w:r>
      <w:r w:rsidRPr="007C0894">
        <w:rPr>
          <w:rtl/>
        </w:rPr>
        <w:t xml:space="preserve"> </w:t>
      </w:r>
      <w:r w:rsidRPr="007C0894">
        <w:rPr>
          <w:rFonts w:hint="eastAsia"/>
          <w:rtl/>
        </w:rPr>
        <w:t>الكثير</w:t>
      </w:r>
      <w:r w:rsidRPr="007C0894">
        <w:rPr>
          <w:rtl/>
        </w:rPr>
        <w:t xml:space="preserve"> </w:t>
      </w:r>
      <w:r w:rsidRPr="007C0894">
        <w:rPr>
          <w:rFonts w:hint="eastAsia"/>
          <w:rtl/>
        </w:rPr>
        <w:t>من</w:t>
      </w:r>
      <w:r w:rsidRPr="007C0894">
        <w:rPr>
          <w:rtl/>
        </w:rPr>
        <w:t xml:space="preserve"> </w:t>
      </w:r>
      <w:r w:rsidRPr="007C0894">
        <w:rPr>
          <w:rFonts w:hint="eastAsia"/>
          <w:rtl/>
        </w:rPr>
        <w:t>مجالات</w:t>
      </w:r>
      <w:r w:rsidRPr="007C0894">
        <w:rPr>
          <w:rtl/>
        </w:rPr>
        <w:t xml:space="preserve"> </w:t>
      </w:r>
      <w:r w:rsidRPr="007C0894">
        <w:rPr>
          <w:rFonts w:hint="eastAsia"/>
          <w:rtl/>
        </w:rPr>
        <w:t>عمل</w:t>
      </w:r>
      <w:r w:rsidRPr="007C0894">
        <w:rPr>
          <w:rtl/>
        </w:rPr>
        <w:t xml:space="preserve"> </w:t>
      </w:r>
      <w:r w:rsidRPr="007C0894">
        <w:rPr>
          <w:rFonts w:hint="eastAsia"/>
          <w:rtl/>
        </w:rPr>
        <w:t>الاتحاد،</w:t>
      </w:r>
      <w:r w:rsidRPr="007C0894">
        <w:rPr>
          <w:rtl/>
        </w:rPr>
        <w:t xml:space="preserve"> </w:t>
      </w:r>
      <w:r w:rsidRPr="007C0894">
        <w:rPr>
          <w:rFonts w:hint="eastAsia"/>
          <w:rtl/>
        </w:rPr>
        <w:t>بما</w:t>
      </w:r>
      <w:r w:rsidRPr="007C0894">
        <w:rPr>
          <w:rtl/>
        </w:rPr>
        <w:t xml:space="preserve"> </w:t>
      </w:r>
      <w:r w:rsidRPr="007C0894">
        <w:rPr>
          <w:rFonts w:hint="eastAsia"/>
          <w:rtl/>
        </w:rPr>
        <w:t>في</w:t>
      </w:r>
      <w:r w:rsidRPr="007C0894">
        <w:rPr>
          <w:rtl/>
        </w:rPr>
        <w:t xml:space="preserve"> </w:t>
      </w:r>
      <w:r w:rsidRPr="007C0894">
        <w:rPr>
          <w:rFonts w:hint="eastAsia"/>
          <w:rtl/>
        </w:rPr>
        <w:t>ذلك</w:t>
      </w:r>
      <w:r w:rsidRPr="007C0894">
        <w:rPr>
          <w:rtl/>
        </w:rPr>
        <w:t xml:space="preserve"> </w:t>
      </w:r>
      <w:r w:rsidRPr="007C0894">
        <w:rPr>
          <w:rFonts w:hint="eastAsia"/>
          <w:rtl/>
        </w:rPr>
        <w:t>البحوث</w:t>
      </w:r>
      <w:r w:rsidRPr="007C0894">
        <w:rPr>
          <w:rtl/>
        </w:rPr>
        <w:t xml:space="preserve"> </w:t>
      </w:r>
      <w:r w:rsidRPr="007C0894">
        <w:rPr>
          <w:rFonts w:hint="eastAsia"/>
          <w:rtl/>
        </w:rPr>
        <w:t>في</w:t>
      </w:r>
      <w:r w:rsidRPr="007C0894">
        <w:rPr>
          <w:rtl/>
        </w:rPr>
        <w:t xml:space="preserve"> </w:t>
      </w:r>
      <w:r w:rsidRPr="007C0894">
        <w:rPr>
          <w:rFonts w:hint="eastAsia"/>
          <w:rtl/>
        </w:rPr>
        <w:t>مجال</w:t>
      </w:r>
      <w:r w:rsidRPr="007C0894">
        <w:rPr>
          <w:rtl/>
        </w:rPr>
        <w:t xml:space="preserve"> </w:t>
      </w:r>
      <w:r w:rsidRPr="007C0894">
        <w:rPr>
          <w:rFonts w:hint="eastAsia"/>
          <w:rtl/>
        </w:rPr>
        <w:t>العلوم</w:t>
      </w:r>
      <w:r w:rsidRPr="007C0894">
        <w:rPr>
          <w:rtl/>
        </w:rPr>
        <w:t xml:space="preserve"> </w:t>
      </w:r>
      <w:r w:rsidRPr="007C0894">
        <w:rPr>
          <w:rFonts w:hint="eastAsia"/>
          <w:rtl/>
        </w:rPr>
        <w:t>والتكنولوجيا</w:t>
      </w:r>
      <w:r w:rsidRPr="007C0894">
        <w:rPr>
          <w:rtl/>
        </w:rPr>
        <w:t xml:space="preserve"> </w:t>
      </w:r>
      <w:r w:rsidRPr="007C0894">
        <w:rPr>
          <w:rFonts w:hint="eastAsia"/>
          <w:rtl/>
        </w:rPr>
        <w:t>والتدريب</w:t>
      </w:r>
      <w:r w:rsidRPr="007C0894">
        <w:rPr>
          <w:rtl/>
        </w:rPr>
        <w:t xml:space="preserve"> </w:t>
      </w:r>
      <w:r w:rsidRPr="007C0894">
        <w:rPr>
          <w:rFonts w:hint="eastAsia"/>
          <w:rtl/>
        </w:rPr>
        <w:t>والمنشورات</w:t>
      </w:r>
      <w:r w:rsidRPr="007C0894">
        <w:rPr>
          <w:rtl/>
        </w:rPr>
        <w:t xml:space="preserve"> </w:t>
      </w:r>
      <w:r w:rsidRPr="007C0894">
        <w:rPr>
          <w:rFonts w:hint="eastAsia"/>
          <w:rtl/>
        </w:rPr>
        <w:t>والأحداث،</w:t>
      </w:r>
      <w:r w:rsidRPr="007C0894">
        <w:rPr>
          <w:rtl/>
        </w:rPr>
        <w:t xml:space="preserve"> </w:t>
      </w:r>
      <w:r w:rsidRPr="007C0894">
        <w:rPr>
          <w:rFonts w:hint="eastAsia"/>
          <w:rtl/>
        </w:rPr>
        <w:t>وغيرها</w:t>
      </w:r>
      <w:r w:rsidRPr="007C0894">
        <w:rPr>
          <w:rtl/>
        </w:rPr>
        <w:t>.</w:t>
      </w:r>
    </w:p>
    <w:p w14:paraId="70E3CD18" w14:textId="77777777" w:rsidR="007C0894" w:rsidRPr="007C0894" w:rsidRDefault="007C0894" w:rsidP="00F742FD">
      <w:pPr>
        <w:pStyle w:val="Headingb"/>
        <w:rPr>
          <w:lang w:val="ar-SA" w:bidi="ar-EG"/>
        </w:rPr>
      </w:pPr>
      <w:r w:rsidRPr="007C0894">
        <w:rPr>
          <w:rtl/>
        </w:rPr>
        <w:t>الهيئة الاستشارية الأكاديمية المعنية بالتكنولوجيات الناشئة</w:t>
      </w:r>
    </w:p>
    <w:p w14:paraId="6E40051B" w14:textId="6208A6DA" w:rsidR="007C0894" w:rsidRPr="007C0894" w:rsidRDefault="007C0894" w:rsidP="00F742FD">
      <w:pPr>
        <w:rPr>
          <w:rtl/>
        </w:rPr>
      </w:pPr>
      <w:r w:rsidRPr="007C0894">
        <w:rPr>
          <w:rFonts w:hint="eastAsia"/>
          <w:rtl/>
        </w:rPr>
        <w:t>أنشئت</w:t>
      </w:r>
      <w:r w:rsidRPr="007C0894">
        <w:rPr>
          <w:rtl/>
        </w:rPr>
        <w:t xml:space="preserve"> </w:t>
      </w:r>
      <w:hyperlink r:id="rId317" w:anchor="/ar" w:history="1">
        <w:r w:rsidRPr="007C0894">
          <w:rPr>
            <w:rStyle w:val="Hyperlink"/>
            <w:rFonts w:hint="eastAsia"/>
            <w:noProof w:val="0"/>
            <w:rtl/>
            <w:lang w:val="en-US" w:eastAsia="zh-CN"/>
          </w:rPr>
          <w:t>الهيئة</w:t>
        </w:r>
        <w:r w:rsidRPr="007C0894">
          <w:rPr>
            <w:rStyle w:val="Hyperlink"/>
            <w:noProof w:val="0"/>
            <w:rtl/>
            <w:lang w:val="en-US" w:eastAsia="zh-CN"/>
          </w:rPr>
          <w:t xml:space="preserve"> </w:t>
        </w:r>
        <w:r w:rsidRPr="007C0894">
          <w:rPr>
            <w:rStyle w:val="Hyperlink"/>
            <w:rFonts w:hint="eastAsia"/>
            <w:noProof w:val="0"/>
            <w:rtl/>
            <w:lang w:val="en-US" w:eastAsia="zh-CN"/>
          </w:rPr>
          <w:t>الاستشارية</w:t>
        </w:r>
        <w:r w:rsidRPr="007C0894">
          <w:rPr>
            <w:rStyle w:val="Hyperlink"/>
            <w:noProof w:val="0"/>
            <w:rtl/>
            <w:lang w:val="en-US" w:eastAsia="zh-CN"/>
          </w:rPr>
          <w:t xml:space="preserve"> </w:t>
        </w:r>
        <w:r w:rsidRPr="007C0894">
          <w:rPr>
            <w:rStyle w:val="Hyperlink"/>
            <w:rFonts w:hint="eastAsia"/>
            <w:noProof w:val="0"/>
            <w:rtl/>
            <w:lang w:val="en-US" w:eastAsia="zh-CN"/>
          </w:rPr>
          <w:t>الأكاديمية</w:t>
        </w:r>
        <w:r w:rsidRPr="007C0894">
          <w:rPr>
            <w:rStyle w:val="Hyperlink"/>
            <w:noProof w:val="0"/>
            <w:rtl/>
            <w:lang w:val="en-US" w:eastAsia="zh-CN"/>
          </w:rPr>
          <w:t xml:space="preserve"> </w:t>
        </w:r>
        <w:r w:rsidRPr="007C0894">
          <w:rPr>
            <w:rStyle w:val="Hyperlink"/>
            <w:rFonts w:hint="eastAsia"/>
            <w:noProof w:val="0"/>
            <w:rtl/>
            <w:lang w:val="en-US" w:eastAsia="zh-CN"/>
          </w:rPr>
          <w:t>المعنية</w:t>
        </w:r>
        <w:r w:rsidRPr="007C0894">
          <w:rPr>
            <w:rStyle w:val="Hyperlink"/>
            <w:noProof w:val="0"/>
            <w:rtl/>
            <w:lang w:val="en-US" w:eastAsia="zh-CN"/>
          </w:rPr>
          <w:t xml:space="preserve"> </w:t>
        </w:r>
        <w:r w:rsidRPr="007C0894">
          <w:rPr>
            <w:rStyle w:val="Hyperlink"/>
            <w:rFonts w:hint="eastAsia"/>
            <w:noProof w:val="0"/>
            <w:rtl/>
            <w:lang w:val="en-US" w:eastAsia="zh-CN"/>
          </w:rPr>
          <w:t>بالتكنولوجيات</w:t>
        </w:r>
        <w:r w:rsidRPr="007C0894">
          <w:rPr>
            <w:rStyle w:val="Hyperlink"/>
            <w:noProof w:val="0"/>
            <w:rtl/>
            <w:lang w:val="en-US" w:eastAsia="zh-CN"/>
          </w:rPr>
          <w:t xml:space="preserve"> </w:t>
        </w:r>
        <w:r w:rsidRPr="007C0894">
          <w:rPr>
            <w:rStyle w:val="Hyperlink"/>
            <w:rFonts w:hint="eastAsia"/>
            <w:noProof w:val="0"/>
            <w:rtl/>
            <w:lang w:val="en-US" w:eastAsia="zh-CN"/>
          </w:rPr>
          <w:t>الناشئة</w:t>
        </w:r>
      </w:hyperlink>
      <w:r w:rsidRPr="007C0894">
        <w:rPr>
          <w:rtl/>
        </w:rPr>
        <w:t xml:space="preserve"> </w:t>
      </w:r>
      <w:r w:rsidRPr="007C0894">
        <w:rPr>
          <w:rFonts w:hint="eastAsia"/>
          <w:rtl/>
        </w:rPr>
        <w:t>في</w:t>
      </w:r>
      <w:r w:rsidRPr="007C0894">
        <w:rPr>
          <w:rtl/>
        </w:rPr>
        <w:t xml:space="preserve"> </w:t>
      </w:r>
      <w:r w:rsidRPr="007C0894">
        <w:rPr>
          <w:rFonts w:hint="eastAsia"/>
          <w:rtl/>
        </w:rPr>
        <w:t>سبتمبر</w:t>
      </w:r>
      <w:r w:rsidRPr="007C0894">
        <w:rPr>
          <w:rtl/>
        </w:rPr>
        <w:t xml:space="preserve"> 2025 </w:t>
      </w:r>
      <w:r w:rsidRPr="007C0894">
        <w:rPr>
          <w:rFonts w:hint="eastAsia"/>
          <w:rtl/>
        </w:rPr>
        <w:t>لإعداد</w:t>
      </w:r>
      <w:r w:rsidRPr="007C0894">
        <w:rPr>
          <w:rtl/>
        </w:rPr>
        <w:t xml:space="preserve"> </w:t>
      </w:r>
      <w:r w:rsidRPr="007C0894">
        <w:rPr>
          <w:rFonts w:hint="eastAsia"/>
          <w:rtl/>
        </w:rPr>
        <w:t>موجزات</w:t>
      </w:r>
      <w:r w:rsidRPr="007C0894">
        <w:rPr>
          <w:rtl/>
        </w:rPr>
        <w:t xml:space="preserve"> </w:t>
      </w:r>
      <w:proofErr w:type="spellStart"/>
      <w:r w:rsidRPr="007C0894">
        <w:rPr>
          <w:rFonts w:hint="eastAsia"/>
          <w:rtl/>
        </w:rPr>
        <w:t>سياساتية</w:t>
      </w:r>
      <w:proofErr w:type="spellEnd"/>
      <w:r w:rsidRPr="007C0894">
        <w:rPr>
          <w:rtl/>
        </w:rPr>
        <w:t xml:space="preserve"> </w:t>
      </w:r>
      <w:r w:rsidRPr="007C0894">
        <w:rPr>
          <w:rFonts w:hint="eastAsia"/>
          <w:rtl/>
        </w:rPr>
        <w:t>إعلامية</w:t>
      </w:r>
      <w:r w:rsidRPr="007C0894">
        <w:rPr>
          <w:rtl/>
        </w:rPr>
        <w:t xml:space="preserve"> </w:t>
      </w:r>
      <w:r w:rsidRPr="007C0894">
        <w:rPr>
          <w:rFonts w:hint="eastAsia"/>
          <w:rtl/>
        </w:rPr>
        <w:t>وتحليلات</w:t>
      </w:r>
      <w:r w:rsidRPr="007C0894">
        <w:rPr>
          <w:rtl/>
        </w:rPr>
        <w:t xml:space="preserve"> </w:t>
      </w:r>
      <w:r w:rsidRPr="007C0894">
        <w:rPr>
          <w:rFonts w:hint="eastAsia"/>
          <w:rtl/>
        </w:rPr>
        <w:t>استشرافية</w:t>
      </w:r>
      <w:r w:rsidRPr="007C0894">
        <w:rPr>
          <w:rtl/>
        </w:rPr>
        <w:t xml:space="preserve"> </w:t>
      </w:r>
      <w:r w:rsidRPr="007C0894">
        <w:rPr>
          <w:rFonts w:hint="eastAsia"/>
          <w:rtl/>
        </w:rPr>
        <w:t>بشأن</w:t>
      </w:r>
      <w:r w:rsidRPr="007C0894">
        <w:rPr>
          <w:rtl/>
        </w:rPr>
        <w:t xml:space="preserve"> </w:t>
      </w:r>
      <w:r w:rsidRPr="007C0894">
        <w:rPr>
          <w:rFonts w:hint="eastAsia"/>
          <w:rtl/>
        </w:rPr>
        <w:t>الدور</w:t>
      </w:r>
      <w:r w:rsidRPr="007C0894">
        <w:rPr>
          <w:rtl/>
        </w:rPr>
        <w:t xml:space="preserve"> </w:t>
      </w:r>
      <w:r w:rsidRPr="007C0894">
        <w:rPr>
          <w:rFonts w:hint="eastAsia"/>
          <w:rtl/>
        </w:rPr>
        <w:t>المتطور</w:t>
      </w:r>
      <w:r w:rsidRPr="007C0894">
        <w:rPr>
          <w:rtl/>
        </w:rPr>
        <w:t xml:space="preserve"> </w:t>
      </w:r>
      <w:r w:rsidRPr="007C0894">
        <w:rPr>
          <w:rFonts w:hint="eastAsia"/>
          <w:rtl/>
        </w:rPr>
        <w:t>للابتكار</w:t>
      </w:r>
      <w:r w:rsidRPr="007C0894">
        <w:rPr>
          <w:rtl/>
        </w:rPr>
        <w:t xml:space="preserve"> </w:t>
      </w:r>
      <w:r w:rsidRPr="007C0894">
        <w:rPr>
          <w:rFonts w:hint="eastAsia"/>
          <w:rtl/>
        </w:rPr>
        <w:t>وتأثيره</w:t>
      </w:r>
      <w:r w:rsidRPr="007C0894">
        <w:rPr>
          <w:rtl/>
        </w:rPr>
        <w:t xml:space="preserve">. </w:t>
      </w:r>
      <w:r w:rsidRPr="007C0894">
        <w:rPr>
          <w:rFonts w:hint="eastAsia"/>
          <w:rtl/>
        </w:rPr>
        <w:t>وتضم</w:t>
      </w:r>
      <w:r w:rsidRPr="007C0894">
        <w:rPr>
          <w:rtl/>
        </w:rPr>
        <w:t xml:space="preserve"> </w:t>
      </w:r>
      <w:r w:rsidRPr="007C0894">
        <w:rPr>
          <w:rFonts w:hint="eastAsia"/>
          <w:rtl/>
        </w:rPr>
        <w:t>الهيئة</w:t>
      </w:r>
      <w:r w:rsidRPr="007C0894">
        <w:rPr>
          <w:rtl/>
        </w:rPr>
        <w:t xml:space="preserve"> </w:t>
      </w:r>
      <w:r w:rsidRPr="007C0894">
        <w:rPr>
          <w:rFonts w:hint="eastAsia"/>
          <w:rtl/>
        </w:rPr>
        <w:t>الاستشارية</w:t>
      </w:r>
      <w:r w:rsidRPr="007C0894">
        <w:rPr>
          <w:rtl/>
        </w:rPr>
        <w:t xml:space="preserve"> </w:t>
      </w:r>
      <w:r w:rsidRPr="007C0894">
        <w:rPr>
          <w:rFonts w:hint="eastAsia"/>
          <w:rtl/>
        </w:rPr>
        <w:t>الأكاديمية</w:t>
      </w:r>
      <w:r w:rsidRPr="007C0894">
        <w:rPr>
          <w:rtl/>
        </w:rPr>
        <w:t xml:space="preserve"> 26 </w:t>
      </w:r>
      <w:r w:rsidRPr="007C0894">
        <w:rPr>
          <w:rFonts w:hint="eastAsia"/>
          <w:rtl/>
        </w:rPr>
        <w:t>خبيراً</w:t>
      </w:r>
      <w:r w:rsidRPr="007C0894">
        <w:rPr>
          <w:rtl/>
        </w:rPr>
        <w:t xml:space="preserve"> </w:t>
      </w:r>
      <w:r w:rsidRPr="007C0894">
        <w:rPr>
          <w:rFonts w:hint="eastAsia"/>
          <w:rtl/>
        </w:rPr>
        <w:t>رائداً</w:t>
      </w:r>
      <w:r w:rsidRPr="007C0894">
        <w:rPr>
          <w:rtl/>
        </w:rPr>
        <w:t xml:space="preserve"> </w:t>
      </w:r>
      <w:r w:rsidRPr="007C0894">
        <w:rPr>
          <w:rFonts w:hint="eastAsia"/>
          <w:rtl/>
        </w:rPr>
        <w:t>من</w:t>
      </w:r>
      <w:r w:rsidRPr="007C0894">
        <w:rPr>
          <w:rtl/>
        </w:rPr>
        <w:t xml:space="preserve"> </w:t>
      </w:r>
      <w:r w:rsidRPr="007C0894">
        <w:rPr>
          <w:rFonts w:hint="eastAsia"/>
          <w:rtl/>
        </w:rPr>
        <w:t>مختلف</w:t>
      </w:r>
      <w:r w:rsidRPr="007C0894">
        <w:rPr>
          <w:rtl/>
        </w:rPr>
        <w:t xml:space="preserve"> </w:t>
      </w:r>
      <w:r w:rsidRPr="007C0894">
        <w:rPr>
          <w:rFonts w:hint="eastAsia"/>
          <w:rtl/>
        </w:rPr>
        <w:t>مناطق</w:t>
      </w:r>
      <w:r w:rsidRPr="007C0894">
        <w:rPr>
          <w:rtl/>
        </w:rPr>
        <w:t xml:space="preserve"> </w:t>
      </w:r>
      <w:r w:rsidRPr="007C0894">
        <w:rPr>
          <w:rFonts w:hint="eastAsia"/>
          <w:rtl/>
        </w:rPr>
        <w:t>العالم</w:t>
      </w:r>
      <w:r w:rsidRPr="007C0894">
        <w:rPr>
          <w:rtl/>
        </w:rPr>
        <w:t xml:space="preserve"> </w:t>
      </w:r>
      <w:r w:rsidRPr="007C0894">
        <w:rPr>
          <w:rFonts w:hint="eastAsia"/>
          <w:rtl/>
        </w:rPr>
        <w:t>لدراسة</w:t>
      </w:r>
      <w:r w:rsidRPr="007C0894">
        <w:rPr>
          <w:rtl/>
        </w:rPr>
        <w:t xml:space="preserve"> </w:t>
      </w:r>
      <w:r w:rsidRPr="007C0894">
        <w:rPr>
          <w:rFonts w:hint="eastAsia"/>
          <w:rtl/>
        </w:rPr>
        <w:t>كيف</w:t>
      </w:r>
      <w:r w:rsidRPr="007C0894">
        <w:rPr>
          <w:rtl/>
        </w:rPr>
        <w:t xml:space="preserve"> </w:t>
      </w:r>
      <w:r w:rsidRPr="007C0894">
        <w:rPr>
          <w:rFonts w:hint="eastAsia"/>
          <w:rtl/>
        </w:rPr>
        <w:t>يمكن</w:t>
      </w:r>
      <w:r w:rsidRPr="007C0894">
        <w:rPr>
          <w:rtl/>
        </w:rPr>
        <w:t xml:space="preserve"> </w:t>
      </w:r>
      <w:r w:rsidRPr="007C0894">
        <w:rPr>
          <w:rFonts w:hint="eastAsia"/>
          <w:rtl/>
        </w:rPr>
        <w:t>للتكنولوجيات</w:t>
      </w:r>
      <w:r w:rsidRPr="007C0894">
        <w:rPr>
          <w:rtl/>
        </w:rPr>
        <w:t xml:space="preserve"> </w:t>
      </w:r>
      <w:r w:rsidRPr="007C0894">
        <w:rPr>
          <w:rFonts w:hint="eastAsia"/>
          <w:rtl/>
        </w:rPr>
        <w:t>الناشئة</w:t>
      </w:r>
      <w:r w:rsidRPr="007C0894">
        <w:rPr>
          <w:rtl/>
        </w:rPr>
        <w:t xml:space="preserve"> </w:t>
      </w:r>
      <w:r w:rsidRPr="007C0894">
        <w:rPr>
          <w:rFonts w:hint="eastAsia"/>
          <w:rtl/>
        </w:rPr>
        <w:t>أن</w:t>
      </w:r>
      <w:r w:rsidRPr="007C0894">
        <w:rPr>
          <w:rtl/>
        </w:rPr>
        <w:t xml:space="preserve"> </w:t>
      </w:r>
      <w:r w:rsidRPr="007C0894">
        <w:rPr>
          <w:rFonts w:hint="eastAsia"/>
          <w:rtl/>
        </w:rPr>
        <w:t>تخدم</w:t>
      </w:r>
      <w:r w:rsidRPr="007C0894">
        <w:rPr>
          <w:rtl/>
        </w:rPr>
        <w:t xml:space="preserve"> </w:t>
      </w:r>
      <w:r w:rsidRPr="007C0894">
        <w:rPr>
          <w:rFonts w:hint="eastAsia"/>
          <w:rtl/>
        </w:rPr>
        <w:t>المجتمع</w:t>
      </w:r>
      <w:r w:rsidRPr="007C0894">
        <w:rPr>
          <w:rtl/>
        </w:rPr>
        <w:t xml:space="preserve"> </w:t>
      </w:r>
      <w:r w:rsidRPr="007C0894">
        <w:rPr>
          <w:rFonts w:hint="eastAsia"/>
          <w:rtl/>
        </w:rPr>
        <w:t>على</w:t>
      </w:r>
      <w:r w:rsidRPr="007C0894">
        <w:rPr>
          <w:rtl/>
        </w:rPr>
        <w:t xml:space="preserve"> </w:t>
      </w:r>
      <w:r w:rsidRPr="007C0894">
        <w:rPr>
          <w:rFonts w:hint="eastAsia"/>
          <w:rtl/>
        </w:rPr>
        <w:t>أفضل</w:t>
      </w:r>
      <w:r w:rsidRPr="007C0894">
        <w:rPr>
          <w:rtl/>
        </w:rPr>
        <w:t xml:space="preserve"> </w:t>
      </w:r>
      <w:r w:rsidRPr="007C0894">
        <w:rPr>
          <w:rFonts w:hint="eastAsia"/>
          <w:rtl/>
        </w:rPr>
        <w:t>وجه</w:t>
      </w:r>
      <w:r w:rsidRPr="007C0894">
        <w:rPr>
          <w:rtl/>
        </w:rPr>
        <w:t>.</w:t>
      </w:r>
    </w:p>
    <w:p w14:paraId="2910D286" w14:textId="77777777" w:rsidR="007C0894" w:rsidRPr="007C0894" w:rsidRDefault="007C0894" w:rsidP="00F742FD">
      <w:pPr>
        <w:pStyle w:val="Headingb"/>
        <w:rPr>
          <w:lang w:val="ar-SA" w:bidi="ar-EG"/>
        </w:rPr>
      </w:pPr>
      <w:r w:rsidRPr="007C0894">
        <w:rPr>
          <w:rtl/>
        </w:rPr>
        <w:t>مشاريع التخرج</w:t>
      </w:r>
    </w:p>
    <w:p w14:paraId="05691FF2" w14:textId="77777777" w:rsidR="007C0894" w:rsidRPr="007C0894" w:rsidRDefault="007C0894" w:rsidP="007C0894">
      <w:pPr>
        <w:rPr>
          <w:lang w:val="ar-SA" w:bidi="ar-EG"/>
        </w:rPr>
      </w:pPr>
      <w:r w:rsidRPr="007C0894">
        <w:rPr>
          <w:rtl/>
        </w:rPr>
        <w:t>تتاح أيضاً فرصة للتعاون في مشاريع التخرج التي تعد جسراً بين التعلم الأكاديمي وتحديات العالم الواقعي. وتزود هذه المشاريع الطلاب بخبرة عملية من خلال العمل على القضايا العالمية الملحة. ويقترح الاتحاد تحديات واقعية تمكّن الطلاب من تطبيق معارفهم وتطوير حلول مبتكرة واكتساب خبرة عملية.</w:t>
      </w:r>
    </w:p>
    <w:p w14:paraId="2CFB4269" w14:textId="75554E1D" w:rsidR="007C0894" w:rsidRPr="007C0894" w:rsidRDefault="00F742FD" w:rsidP="00F742FD">
      <w:pPr>
        <w:pStyle w:val="Heading4"/>
        <w:rPr>
          <w:lang w:val="ar-SA" w:bidi="ar-EG"/>
        </w:rPr>
      </w:pPr>
      <w:r>
        <w:t>1.5.8.4</w:t>
      </w:r>
      <w:r>
        <w:tab/>
      </w:r>
      <w:r w:rsidR="007C0894" w:rsidRPr="007C0894">
        <w:rPr>
          <w:rtl/>
        </w:rPr>
        <w:t>جريدة الاتحاد الدولي للاتصالات</w:t>
      </w:r>
    </w:p>
    <w:p w14:paraId="3E2F722A" w14:textId="4E0B017F" w:rsidR="007C0894" w:rsidRPr="007C0894" w:rsidRDefault="007C0894" w:rsidP="007C0894">
      <w:pPr>
        <w:rPr>
          <w:lang w:val="ar-SA" w:bidi="ar-EG"/>
        </w:rPr>
      </w:pPr>
      <w:r w:rsidRPr="007C0894">
        <w:rPr>
          <w:rtl/>
        </w:rPr>
        <w:t xml:space="preserve">لا تزال </w:t>
      </w:r>
      <w:hyperlink r:id="rId318" w:history="1">
        <w:r w:rsidRPr="007C0894">
          <w:rPr>
            <w:rStyle w:val="Hyperlink"/>
            <w:noProof w:val="0"/>
            <w:rtl/>
            <w:lang w:val="en-US" w:eastAsia="zh-CN"/>
          </w:rPr>
          <w:t xml:space="preserve">جريدة الاتحاد بشأن التكنولوجيات المستقبلية والمتطورة </w:t>
        </w:r>
        <w:r w:rsidRPr="007C0894">
          <w:rPr>
            <w:rStyle w:val="Hyperlink"/>
            <w:noProof w:val="0"/>
            <w:lang w:val="en-US" w:eastAsia="zh-CN" w:bidi="ar-EG"/>
          </w:rPr>
          <w:t>(</w:t>
        </w:r>
        <w:r w:rsidRPr="007C0894">
          <w:rPr>
            <w:rStyle w:val="Hyperlink"/>
            <w:noProof w:val="0"/>
            <w:lang w:val="en-US" w:eastAsia="zh-CN"/>
          </w:rPr>
          <w:t>ITU J-FET</w:t>
        </w:r>
        <w:r w:rsidRPr="007C0894">
          <w:rPr>
            <w:rStyle w:val="Hyperlink"/>
            <w:noProof w:val="0"/>
            <w:lang w:val="en-US" w:eastAsia="zh-CN" w:bidi="ar-EG"/>
          </w:rPr>
          <w:t>)</w:t>
        </w:r>
      </w:hyperlink>
      <w:r w:rsidR="00F742FD" w:rsidRPr="00F742FD">
        <w:rPr>
          <w:rFonts w:hint="cs"/>
          <w:rtl/>
          <w:lang w:bidi="ar-EG"/>
        </w:rPr>
        <w:t xml:space="preserve"> </w:t>
      </w:r>
      <w:r w:rsidRPr="007C0894">
        <w:rPr>
          <w:rtl/>
        </w:rPr>
        <w:t>توفر منصة شاملة وعالية الجودة للبحوث المتعلقة بالاتصالات والربط الشبكي والتكنولوجيات الناشئة. وتوفر الجريدة، التي تصدر إلكترونياً على أساس ربع سنوي وتستقبل المساهمات على مدار السنة، تغطية علمية شاملة في جميع المجالات الناشئة ذات الصلة بعمل الاتحاد مثل الميتافيرس والتطورات في الذكاء الاصطناعي، وحوسبة الحافة، والشبكات الساتلية في المدار الأرضي المنخفض، ومجالات أخرى. وجريدة الاتحاد متاحة مجاناً للقراء والمؤلفين على السواء.</w:t>
      </w:r>
    </w:p>
    <w:p w14:paraId="3D3B7BB1" w14:textId="1F7D3897" w:rsidR="007C0894" w:rsidRPr="007C0894" w:rsidRDefault="007C0894" w:rsidP="00F742FD">
      <w:pPr>
        <w:rPr>
          <w:spacing w:val="-2"/>
          <w:lang w:val="ar-SA" w:bidi="ar-EG"/>
        </w:rPr>
      </w:pPr>
      <w:r w:rsidRPr="007C0894">
        <w:rPr>
          <w:spacing w:val="-2"/>
          <w:rtl/>
        </w:rPr>
        <w:t xml:space="preserve">وبالإضافة إلى البحوث الخاضعة لاستعراض الأقران، تقدم الجريدة </w:t>
      </w:r>
      <w:hyperlink r:id="rId319" w:history="1">
        <w:r w:rsidRPr="007C0894">
          <w:rPr>
            <w:rStyle w:val="Hyperlink"/>
            <w:noProof w:val="0"/>
            <w:spacing w:val="-2"/>
            <w:rtl/>
            <w:lang w:val="en-US" w:eastAsia="zh-CN"/>
          </w:rPr>
          <w:t>سلسلة الحلقات الدراسية الإلكترونية لجريدة الاتحاد</w:t>
        </w:r>
      </w:hyperlink>
      <w:r w:rsidRPr="007C0894">
        <w:rPr>
          <w:spacing w:val="-2"/>
          <w:rtl/>
        </w:rPr>
        <w:t xml:space="preserve">، وهي مناقشات مسجلة في إطار الحلقات الدراسية الإلكترونية، يشارك فيها قادة الفكر من الأوساط الأكاديمية وكبار مسؤولي التكنولوجيا </w:t>
      </w:r>
      <w:r w:rsidRPr="007C0894">
        <w:rPr>
          <w:spacing w:val="-2"/>
          <w:lang w:bidi="ar-EG"/>
        </w:rPr>
        <w:t>(CTO)</w:t>
      </w:r>
      <w:r w:rsidRPr="007C0894">
        <w:rPr>
          <w:spacing w:val="-2"/>
          <w:rtl/>
        </w:rPr>
        <w:t xml:space="preserve">. واستضافت الجريدة، منذ إطلاق سلسلة الحلقات الدراسية الإلكترونية الخاصة بها في عام 2022، محادثات رفيعة المستوى مع منظمات مثل NTT DOCOMO </w:t>
      </w:r>
      <w:proofErr w:type="spellStart"/>
      <w:r w:rsidRPr="007C0894">
        <w:rPr>
          <w:spacing w:val="-2"/>
          <w:rtl/>
        </w:rPr>
        <w:t>وO</w:t>
      </w:r>
      <w:proofErr w:type="spellEnd"/>
      <w:r w:rsidRPr="007C0894">
        <w:rPr>
          <w:spacing w:val="-2"/>
          <w:rtl/>
        </w:rPr>
        <w:t xml:space="preserve">-RAN </w:t>
      </w:r>
      <w:proofErr w:type="spellStart"/>
      <w:r w:rsidRPr="007C0894">
        <w:rPr>
          <w:spacing w:val="-2"/>
          <w:rtl/>
        </w:rPr>
        <w:t>Alliance</w:t>
      </w:r>
      <w:proofErr w:type="spellEnd"/>
      <w:r w:rsidRPr="007C0894">
        <w:rPr>
          <w:spacing w:val="-2"/>
          <w:rtl/>
        </w:rPr>
        <w:t xml:space="preserve"> و</w:t>
      </w:r>
      <w:r w:rsidRPr="007C0894">
        <w:rPr>
          <w:spacing w:val="-2"/>
          <w:lang w:bidi="ar-EG"/>
        </w:rPr>
        <w:t>GSMA</w:t>
      </w:r>
      <w:r w:rsidRPr="007C0894">
        <w:rPr>
          <w:spacing w:val="-2"/>
          <w:rtl/>
        </w:rPr>
        <w:t xml:space="preserve"> و</w:t>
      </w:r>
      <w:r w:rsidRPr="007C0894">
        <w:rPr>
          <w:spacing w:val="-2"/>
          <w:lang w:bidi="ar-EG"/>
        </w:rPr>
        <w:t>Nokia</w:t>
      </w:r>
      <w:r w:rsidRPr="007C0894">
        <w:rPr>
          <w:spacing w:val="-2"/>
          <w:rtl/>
        </w:rPr>
        <w:t xml:space="preserve"> </w:t>
      </w:r>
      <w:proofErr w:type="spellStart"/>
      <w:r w:rsidRPr="007C0894">
        <w:rPr>
          <w:spacing w:val="-2"/>
          <w:rtl/>
        </w:rPr>
        <w:t>وChina</w:t>
      </w:r>
      <w:proofErr w:type="spellEnd"/>
      <w:r w:rsidRPr="007C0894">
        <w:rPr>
          <w:spacing w:val="-2"/>
          <w:rtl/>
        </w:rPr>
        <w:t xml:space="preserve"> </w:t>
      </w:r>
      <w:proofErr w:type="spellStart"/>
      <w:r w:rsidRPr="007C0894">
        <w:rPr>
          <w:spacing w:val="-2"/>
          <w:rtl/>
        </w:rPr>
        <w:t>Mobile</w:t>
      </w:r>
      <w:proofErr w:type="spellEnd"/>
      <w:r w:rsidRPr="007C0894">
        <w:rPr>
          <w:spacing w:val="-2"/>
          <w:rtl/>
        </w:rPr>
        <w:t>، وكذلك مع جامعات مرموقة في مختلف أنحاء العالم. وتكمِّل هذه الحلقات الدراسية الإلكترونية مهمة الجريدة من خلال تعزيز الحوار بين الباحثين وقادة الصناعة، وتشجيع تبادل المعارف، ودعم مجتمع البحوث العالمي في استكشاف التكنولوجيات المستقبلية والمتطورة.</w:t>
      </w:r>
    </w:p>
    <w:p w14:paraId="2E050540" w14:textId="1F1D2931" w:rsidR="007C0894" w:rsidRPr="007C0894" w:rsidRDefault="007C0894" w:rsidP="007C0894">
      <w:pPr>
        <w:rPr>
          <w:lang w:val="ar-SA" w:bidi="ar-EG"/>
        </w:rPr>
      </w:pPr>
      <w:r w:rsidRPr="007C0894">
        <w:rPr>
          <w:rtl/>
        </w:rPr>
        <w:t xml:space="preserve">وإلى جانب المقالات البحثية، تتضمن الجريدة أيضاً </w:t>
      </w:r>
      <w:hyperlink r:id="rId320" w:history="1">
        <w:r w:rsidRPr="007C0894">
          <w:rPr>
            <w:rStyle w:val="Hyperlink"/>
            <w:noProof w:val="0"/>
            <w:rtl/>
            <w:lang w:val="en-US" w:eastAsia="zh-CN"/>
          </w:rPr>
          <w:t>مناقشات مسجلة في إطار الحلقات الدراسية الإلكترونية</w:t>
        </w:r>
      </w:hyperlink>
      <w:r w:rsidRPr="007C0894">
        <w:rPr>
          <w:rtl/>
        </w:rPr>
        <w:t xml:space="preserve"> مع كبار الباحثين وقادة الصناعة.</w:t>
      </w:r>
    </w:p>
    <w:p w14:paraId="11A73AD3" w14:textId="1866ECFC" w:rsidR="007C0894" w:rsidRPr="007C0894" w:rsidRDefault="00F742FD" w:rsidP="00F742FD">
      <w:pPr>
        <w:pStyle w:val="Heading4"/>
        <w:rPr>
          <w:lang w:val="ar-SA" w:bidi="ar-EG"/>
        </w:rPr>
      </w:pPr>
      <w:r>
        <w:t>2.5.8.4</w:t>
      </w:r>
      <w:r>
        <w:tab/>
      </w:r>
      <w:r w:rsidR="007C0894" w:rsidRPr="007C0894">
        <w:rPr>
          <w:rtl/>
        </w:rPr>
        <w:t xml:space="preserve">مؤتمر </w:t>
      </w:r>
      <w:proofErr w:type="spellStart"/>
      <w:r w:rsidR="007C0894" w:rsidRPr="007C0894">
        <w:rPr>
          <w:rtl/>
        </w:rPr>
        <w:t>كاليدوسكوب</w:t>
      </w:r>
      <w:proofErr w:type="spellEnd"/>
      <w:r w:rsidR="007C0894" w:rsidRPr="007C0894">
        <w:rPr>
          <w:rtl/>
        </w:rPr>
        <w:t xml:space="preserve"> الأكاديمي</w:t>
      </w:r>
    </w:p>
    <w:p w14:paraId="57886A92" w14:textId="369EE86F" w:rsidR="007C0894" w:rsidRPr="007C0894" w:rsidRDefault="007C0894" w:rsidP="00F742FD">
      <w:pPr>
        <w:rPr>
          <w:lang w:val="ar-SA" w:bidi="ar-EG"/>
        </w:rPr>
      </w:pPr>
      <w:r w:rsidRPr="007C0894">
        <w:rPr>
          <w:rtl/>
        </w:rPr>
        <w:t xml:space="preserve">استمرت سلسلة المؤتمرات الأكاديمية </w:t>
      </w:r>
      <w:hyperlink r:id="rId321" w:history="1">
        <w:proofErr w:type="spellStart"/>
        <w:r w:rsidRPr="007C0894">
          <w:rPr>
            <w:rStyle w:val="Hyperlink"/>
            <w:noProof w:val="0"/>
            <w:rtl/>
            <w:lang w:val="en-US" w:eastAsia="zh-CN"/>
          </w:rPr>
          <w:t>كاليدوسكوب</w:t>
        </w:r>
        <w:proofErr w:type="spellEnd"/>
        <w:r w:rsidRPr="007C0894">
          <w:rPr>
            <w:rStyle w:val="Hyperlink"/>
            <w:noProof w:val="0"/>
            <w:rtl/>
            <w:lang w:val="en-US" w:eastAsia="zh-CN"/>
          </w:rPr>
          <w:t xml:space="preserve"> للاتحاد</w:t>
        </w:r>
      </w:hyperlink>
      <w:r w:rsidRPr="007C0894">
        <w:rPr>
          <w:rtl/>
        </w:rPr>
        <w:t xml:space="preserve">، التي شارك في رعايتها تقنياً معهد مهندسي الكهرباء والإلكترونيات </w:t>
      </w:r>
      <w:r w:rsidRPr="007C0894">
        <w:rPr>
          <w:lang w:bidi="ar-EG"/>
        </w:rPr>
        <w:t>(IEEE)</w:t>
      </w:r>
      <w:r w:rsidRPr="007C0894">
        <w:rPr>
          <w:rtl/>
        </w:rPr>
        <w:t xml:space="preserve"> وجمعية الاتصالات التابعة له، في عرض الاتجاهات البحثية الناشئة ومدى ملاءمتها لأعمال التقييس الدولية على مدى السنوات القليلة الماضية. واستكشف مؤتمر </w:t>
      </w:r>
      <w:proofErr w:type="spellStart"/>
      <w:r w:rsidR="0099640B">
        <w:fldChar w:fldCharType="begin"/>
      </w:r>
      <w:r w:rsidR="0099640B">
        <w:instrText xml:space="preserve"> HYPERLINK "https://www.itu.int/en/ITU-T/academia/kaleidoscope/2022/Pages/default.aspx" </w:instrText>
      </w:r>
      <w:r w:rsidR="0099640B">
        <w:fldChar w:fldCharType="separate"/>
      </w:r>
      <w:r w:rsidRPr="007C0894">
        <w:rPr>
          <w:rStyle w:val="Hyperlink"/>
          <w:noProof w:val="0"/>
          <w:rtl/>
          <w:lang w:val="en-US" w:eastAsia="zh-CN"/>
        </w:rPr>
        <w:t>كاليدوسكوب</w:t>
      </w:r>
      <w:proofErr w:type="spellEnd"/>
      <w:r w:rsidRPr="007C0894">
        <w:rPr>
          <w:rStyle w:val="Hyperlink"/>
          <w:noProof w:val="0"/>
          <w:rtl/>
          <w:lang w:val="en-US" w:eastAsia="zh-CN"/>
        </w:rPr>
        <w:t xml:space="preserve"> 2022</w:t>
      </w:r>
      <w:r w:rsidR="0099640B">
        <w:rPr>
          <w:rStyle w:val="Hyperlink"/>
          <w:noProof w:val="0"/>
          <w:lang w:val="en-US" w:eastAsia="zh-CN"/>
        </w:rPr>
        <w:fldChar w:fldCharType="end"/>
      </w:r>
      <w:r w:rsidRPr="007C0894">
        <w:rPr>
          <w:rtl/>
        </w:rPr>
        <w:t xml:space="preserve">، الذي عُقد في أكرا، غانا، الابتكار في مجال الميتافيرس من خلال الجلسات الرئيسية وعروض الأوراق البحثية والعروض التوضيحية ومعارض الطلاب. وبناءً على ذلك، ركز مؤتمر </w:t>
      </w:r>
      <w:hyperlink r:id="rId322" w:anchor="/ar" w:history="1">
        <w:proofErr w:type="spellStart"/>
        <w:r w:rsidRPr="007C0894">
          <w:rPr>
            <w:rStyle w:val="Hyperlink"/>
            <w:noProof w:val="0"/>
            <w:rtl/>
            <w:lang w:val="en-US" w:eastAsia="zh-CN"/>
          </w:rPr>
          <w:t>كاليدوسكوب</w:t>
        </w:r>
        <w:proofErr w:type="spellEnd"/>
        <w:r w:rsidRPr="007C0894">
          <w:rPr>
            <w:rStyle w:val="Hyperlink"/>
            <w:noProof w:val="0"/>
            <w:rtl/>
            <w:lang w:val="en-US" w:eastAsia="zh-CN"/>
          </w:rPr>
          <w:t xml:space="preserve"> 2024</w:t>
        </w:r>
      </w:hyperlink>
      <w:r w:rsidRPr="007C0894">
        <w:rPr>
          <w:rtl/>
        </w:rPr>
        <w:t xml:space="preserve">، الذي نُظم في نيودلهي على هامش الجمعية العالمية لتقييس الاتصالات لعام 2024، على الابتكار والتحول الرقمي من أجل عالم مستدام، وتضمّن جلسة خاصة بشأن إشراك الشباب في وضع المعايير ودعم الجيل المقبل من بناة توافق الآراء، مع تأكيد دور التكنولوجيات الرقمية في مواجهة التحديات العالمية والحاجة الملحة إلى توصيل الثلث المتبقي من سكان العالم الذين لا يزالون غير موصولين، وتعزيز مؤتمرات </w:t>
      </w:r>
      <w:proofErr w:type="spellStart"/>
      <w:r w:rsidRPr="007C0894">
        <w:rPr>
          <w:rtl/>
        </w:rPr>
        <w:t>كاليدوسكوب</w:t>
      </w:r>
      <w:proofErr w:type="spellEnd"/>
      <w:r w:rsidRPr="007C0894">
        <w:rPr>
          <w:rtl/>
        </w:rPr>
        <w:t xml:space="preserve"> كمنصات رئيسية تربط البحوث الأكاديمية بأولويات التقييس العالمية. وفي عام 2025، أُطلقت النسخة السادسة عشرة من المؤتمر تحت شعار </w:t>
      </w:r>
      <w:hyperlink r:id="rId323" w:anchor="/ar" w:history="1">
        <w:r w:rsidRPr="007C0894">
          <w:rPr>
            <w:rStyle w:val="Hyperlink"/>
            <w:noProof w:val="0"/>
            <w:rtl/>
            <w:lang w:val="en-US" w:eastAsia="zh-CN"/>
          </w:rPr>
          <w:t>الذكاء الاصطناعي والتكنولوجيات الرائدة من أجل المصلحة العامة</w:t>
        </w:r>
      </w:hyperlink>
      <w:r w:rsidRPr="007C0894">
        <w:rPr>
          <w:rtl/>
        </w:rPr>
        <w:t xml:space="preserve">. وستستضيف </w:t>
      </w:r>
      <w:hyperlink r:id="rId324" w:anchor="/ar" w:history="1">
        <w:r w:rsidRPr="007C0894">
          <w:rPr>
            <w:rStyle w:val="Hyperlink"/>
            <w:noProof w:val="0"/>
            <w:rtl/>
            <w:lang w:val="en-US" w:eastAsia="zh-CN"/>
          </w:rPr>
          <w:t>القمة العالمية للذكاء الاصطناعي من أجل المصلحة العامة لعام 2026</w:t>
        </w:r>
      </w:hyperlink>
      <w:r w:rsidRPr="007C0894">
        <w:rPr>
          <w:rtl/>
        </w:rPr>
        <w:t xml:space="preserve"> في يوليو مؤتمر </w:t>
      </w:r>
      <w:proofErr w:type="spellStart"/>
      <w:r w:rsidRPr="007C0894">
        <w:rPr>
          <w:rtl/>
        </w:rPr>
        <w:t>كاليدوسكوب</w:t>
      </w:r>
      <w:proofErr w:type="spellEnd"/>
      <w:r w:rsidRPr="007C0894">
        <w:rPr>
          <w:rtl/>
        </w:rPr>
        <w:t xml:space="preserve"> 2026 الذي سيتضمن بحوثاً متعددة التخصصات تستكشف كيف تتفاعل التكنولوجيات الرائدة - مثل الذكاء الاصطناعي، والسطوح البينية بين الدماغ والحاسوب، والذكاء الاصطناعي المجسَّد، والقيادة الذاتية، والحوسبة الجغرافية المكانية والفضائية، والمعلومات الكمومية - مع الاتصالات. وسيتبادل المشاركون الأفكار بشأن هذه الابتكارات وآثارها الاجتماعية والاقتصادية، والسياسات اللازمة للتنمية المستدامة، والاعتبارات الأخلاقية التي توجه استخدامها.</w:t>
      </w:r>
    </w:p>
    <w:p w14:paraId="276D4C8A" w14:textId="707EC68D" w:rsidR="007C0894" w:rsidRPr="007C0894" w:rsidRDefault="00F742FD" w:rsidP="00F742FD">
      <w:pPr>
        <w:pStyle w:val="Heading4"/>
        <w:rPr>
          <w:lang w:val="ar-SA" w:bidi="ar-EG"/>
        </w:rPr>
      </w:pPr>
      <w:bookmarkStart w:id="98" w:name="_3.5.8.4_الحلقات_الدراسية"/>
      <w:bookmarkStart w:id="99" w:name="_Toc37860464"/>
      <w:bookmarkStart w:id="100" w:name="_Toc37861225"/>
      <w:bookmarkStart w:id="101" w:name="_Toc37943348"/>
      <w:bookmarkStart w:id="102" w:name="_Toc1628990078"/>
      <w:bookmarkEnd w:id="98"/>
      <w:r>
        <w:t>3.5.8.4</w:t>
      </w:r>
      <w:r>
        <w:tab/>
      </w:r>
      <w:r w:rsidR="007C0894" w:rsidRPr="007C0894">
        <w:rPr>
          <w:rtl/>
        </w:rPr>
        <w:t>الحلقات الدراسية وورش العمل المتعمقة</w:t>
      </w:r>
      <w:bookmarkEnd w:id="99"/>
      <w:bookmarkEnd w:id="100"/>
      <w:bookmarkEnd w:id="101"/>
      <w:bookmarkEnd w:id="102"/>
    </w:p>
    <w:p w14:paraId="271E1A62" w14:textId="77777777" w:rsidR="007C0894" w:rsidRPr="007C0894" w:rsidRDefault="007C0894" w:rsidP="007C0894">
      <w:pPr>
        <w:rPr>
          <w:lang w:val="ar-SA" w:bidi="ar-EG"/>
        </w:rPr>
      </w:pPr>
      <w:r w:rsidRPr="007C0894">
        <w:rPr>
          <w:rtl/>
        </w:rPr>
        <w:t>تكتسي الحلقات الدراسية وورش العمل المتعمقة أهمية بالغة لمشاركة الاتحاد عبر قطاعات الاتصالات الراديوية والتقييس والتنمية.</w:t>
      </w:r>
    </w:p>
    <w:p w14:paraId="48E6E9AF" w14:textId="77777777" w:rsidR="007C0894" w:rsidRPr="007C0894" w:rsidRDefault="007C0894" w:rsidP="00F742FD">
      <w:pPr>
        <w:pStyle w:val="Headingb"/>
        <w:rPr>
          <w:lang w:val="ar-SA" w:bidi="ar-EG"/>
        </w:rPr>
      </w:pPr>
      <w:r w:rsidRPr="007C0894">
        <w:rPr>
          <w:rtl/>
        </w:rPr>
        <w:t xml:space="preserve">قطاع الاتصالات الراديوية </w:t>
      </w:r>
      <w:r w:rsidRPr="007C0894">
        <w:rPr>
          <w:lang w:bidi="ar-EG"/>
        </w:rPr>
        <w:t>(ITU-R)</w:t>
      </w:r>
    </w:p>
    <w:p w14:paraId="5D9FAE5F" w14:textId="77777777" w:rsidR="007C0894" w:rsidRPr="007C0894" w:rsidRDefault="007C0894" w:rsidP="00F742FD">
      <w:pPr>
        <w:pStyle w:val="Headingb"/>
        <w:rPr>
          <w:lang w:val="ar-SA" w:bidi="ar-EG"/>
        </w:rPr>
      </w:pPr>
      <w:r w:rsidRPr="007C0894">
        <w:rPr>
          <w:rtl/>
        </w:rPr>
        <w:t>الحلقات الدراسية</w:t>
      </w:r>
    </w:p>
    <w:p w14:paraId="51F15D82" w14:textId="47CA5D7A" w:rsidR="007C0894" w:rsidRPr="007957C0" w:rsidRDefault="007C0894" w:rsidP="007C0894">
      <w:pPr>
        <w:rPr>
          <w:spacing w:val="-4"/>
          <w:lang w:val="ar-SA" w:bidi="ar-EG"/>
        </w:rPr>
      </w:pPr>
      <w:r w:rsidRPr="007957C0">
        <w:rPr>
          <w:spacing w:val="-4"/>
          <w:rtl/>
        </w:rPr>
        <w:t xml:space="preserve">نفّذ قطاع الاتصالات الراديوية برنامجاً قوياً من الحلقات الدراسية العالمية والإقليمية للاتصالات الراديوية لتعزيز الفهم العالمي للوائح الراديو وإدارة طيف الترددات الراديوية والمدارات الساتلية. وشملت الأنشطة الحلقة الدراسية العالمية للاتصالات الراديوية </w:t>
      </w:r>
      <w:r w:rsidR="00F742FD" w:rsidRPr="007957C0">
        <w:rPr>
          <w:spacing w:val="-4"/>
          <w:lang w:bidi="ar-EG"/>
        </w:rPr>
        <w:t>(</w:t>
      </w:r>
      <w:hyperlink r:id="rId325" w:anchor="/ar" w:history="1">
        <w:r w:rsidR="00F742FD" w:rsidRPr="007957C0">
          <w:rPr>
            <w:rStyle w:val="Hyperlink"/>
            <w:noProof w:val="0"/>
            <w:spacing w:val="-4"/>
            <w:lang w:val="en-US" w:eastAsia="zh-CN" w:bidi="ar-EG"/>
          </w:rPr>
          <w:t>WRS-22</w:t>
        </w:r>
      </w:hyperlink>
      <w:r w:rsidR="00F742FD" w:rsidRPr="007957C0">
        <w:rPr>
          <w:spacing w:val="-4"/>
          <w:lang w:bidi="ar-EG"/>
        </w:rPr>
        <w:t>)</w:t>
      </w:r>
      <w:r w:rsidRPr="007957C0">
        <w:rPr>
          <w:spacing w:val="-4"/>
          <w:rtl/>
        </w:rPr>
        <w:t xml:space="preserve"> و</w:t>
      </w:r>
      <w:hyperlink r:id="rId326" w:history="1">
        <w:r w:rsidRPr="007957C0">
          <w:rPr>
            <w:rStyle w:val="Hyperlink"/>
            <w:noProof w:val="0"/>
            <w:spacing w:val="-4"/>
            <w:rtl/>
            <w:lang w:val="en-US" w:eastAsia="zh-CN"/>
          </w:rPr>
          <w:t>الحلقات الدراسية الإقليمية للاتصالات الراديوية</w:t>
        </w:r>
      </w:hyperlink>
      <w:r w:rsidRPr="007957C0">
        <w:rPr>
          <w:spacing w:val="-4"/>
          <w:rtl/>
        </w:rPr>
        <w:t xml:space="preserve"> لكل من </w:t>
      </w:r>
      <w:hyperlink r:id="rId327" w:history="1">
        <w:r w:rsidRPr="007957C0">
          <w:rPr>
            <w:rStyle w:val="Hyperlink"/>
            <w:noProof w:val="0"/>
            <w:spacing w:val="-4"/>
            <w:rtl/>
            <w:lang w:val="en-US" w:eastAsia="zh-CN"/>
          </w:rPr>
          <w:t>منطقة الدول العربية</w:t>
        </w:r>
      </w:hyperlink>
      <w:r w:rsidRPr="007957C0">
        <w:rPr>
          <w:spacing w:val="-4"/>
          <w:rtl/>
        </w:rPr>
        <w:t xml:space="preserve"> و</w:t>
      </w:r>
      <w:hyperlink r:id="rId328" w:history="1">
        <w:r w:rsidRPr="007957C0">
          <w:rPr>
            <w:rStyle w:val="Hyperlink"/>
            <w:noProof w:val="0"/>
            <w:spacing w:val="-4"/>
            <w:rtl/>
            <w:lang w:val="en-US" w:eastAsia="zh-CN"/>
          </w:rPr>
          <w:t>منطقة أوروبا</w:t>
        </w:r>
      </w:hyperlink>
      <w:r w:rsidRPr="007957C0">
        <w:rPr>
          <w:spacing w:val="-4"/>
          <w:rtl/>
        </w:rPr>
        <w:t xml:space="preserve"> و</w:t>
      </w:r>
      <w:hyperlink r:id="rId329" w:history="1">
        <w:r w:rsidRPr="007957C0">
          <w:rPr>
            <w:rStyle w:val="Hyperlink"/>
            <w:noProof w:val="0"/>
            <w:spacing w:val="-4"/>
            <w:rtl/>
            <w:lang w:val="en-US" w:eastAsia="zh-CN"/>
          </w:rPr>
          <w:t>منطقة آسيا والمحيط الهادئ</w:t>
        </w:r>
      </w:hyperlink>
      <w:r w:rsidRPr="007957C0">
        <w:rPr>
          <w:spacing w:val="-4"/>
          <w:rtl/>
        </w:rPr>
        <w:t xml:space="preserve">، ولاحقاً </w:t>
      </w:r>
      <w:hyperlink r:id="rId330" w:history="1">
        <w:r w:rsidRPr="007957C0">
          <w:rPr>
            <w:rStyle w:val="Hyperlink"/>
            <w:noProof w:val="0"/>
            <w:spacing w:val="-4"/>
            <w:rtl/>
            <w:lang w:val="en-US" w:eastAsia="zh-CN"/>
          </w:rPr>
          <w:t>منطقة الأمريكتين</w:t>
        </w:r>
      </w:hyperlink>
      <w:r w:rsidRPr="007957C0">
        <w:rPr>
          <w:spacing w:val="-4"/>
          <w:rtl/>
        </w:rPr>
        <w:t xml:space="preserve"> و</w:t>
      </w:r>
      <w:hyperlink r:id="rId331" w:history="1">
        <w:r w:rsidRPr="007957C0">
          <w:rPr>
            <w:rStyle w:val="Hyperlink"/>
            <w:noProof w:val="0"/>
            <w:spacing w:val="-4"/>
            <w:rtl/>
            <w:lang w:val="en-US" w:eastAsia="zh-CN"/>
          </w:rPr>
          <w:t>منطقة إفريقيا</w:t>
        </w:r>
      </w:hyperlink>
      <w:r w:rsidRPr="007957C0">
        <w:rPr>
          <w:spacing w:val="-4"/>
          <w:rtl/>
        </w:rPr>
        <w:t xml:space="preserve"> و</w:t>
      </w:r>
      <w:hyperlink r:id="rId332" w:history="1">
        <w:r w:rsidRPr="007957C0">
          <w:rPr>
            <w:rStyle w:val="Hyperlink"/>
            <w:noProof w:val="0"/>
            <w:spacing w:val="-4"/>
            <w:rtl/>
            <w:lang w:val="en-US" w:eastAsia="zh-CN"/>
          </w:rPr>
          <w:t>منطقة كومنولث الدول المستقلة</w:t>
        </w:r>
      </w:hyperlink>
      <w:r w:rsidRPr="007957C0">
        <w:rPr>
          <w:spacing w:val="-4"/>
          <w:rtl/>
        </w:rPr>
        <w:t xml:space="preserve">. وأتاحت هذه الحلقات الدراسية تدريباً عملياً على إجراءات التبليغ لدى الاتحاد والأدوات البرمجية والاتجاهات في خدمات الاتصالات الراديوية وقواعد بياناتها، ووفرت منتديات إقليمية لمناقشة اتجاهات الاتصالات الراديوية المتطورة باستمرار. وعُقدت آخر حلقة دراسية عالمية للاتصالات الراديوية، </w:t>
      </w:r>
      <w:hyperlink r:id="rId333" w:anchor="/ar" w:history="1">
        <w:r w:rsidRPr="007957C0">
          <w:rPr>
            <w:rStyle w:val="Hyperlink"/>
            <w:noProof w:val="0"/>
            <w:spacing w:val="-4"/>
            <w:rtl/>
            <w:lang w:val="en-US" w:eastAsia="zh-CN"/>
          </w:rPr>
          <w:t>WRS-24</w:t>
        </w:r>
      </w:hyperlink>
      <w:r w:rsidRPr="007957C0">
        <w:rPr>
          <w:spacing w:val="-4"/>
          <w:rtl/>
        </w:rPr>
        <w:t>، في جنيف، واستُكملت بفعاليات توعوية لدعم بناء القدرات على الصعيد الإقليمي.</w:t>
      </w:r>
    </w:p>
    <w:p w14:paraId="339D2CC1" w14:textId="77777777" w:rsidR="007C0894" w:rsidRPr="007C0894" w:rsidRDefault="007C0894" w:rsidP="00BE1C70">
      <w:pPr>
        <w:pStyle w:val="Headingb"/>
        <w:rPr>
          <w:lang w:val="ar-SA" w:bidi="ar-EG"/>
        </w:rPr>
      </w:pPr>
      <w:r w:rsidRPr="007C0894">
        <w:rPr>
          <w:rtl/>
        </w:rPr>
        <w:t>ورش العمل</w:t>
      </w:r>
    </w:p>
    <w:p w14:paraId="2FCAAA80" w14:textId="29C8EC7A" w:rsidR="007C0894" w:rsidRPr="007957C0" w:rsidRDefault="007C0894" w:rsidP="00BE1C70">
      <w:pPr>
        <w:rPr>
          <w:spacing w:val="-2"/>
          <w:lang w:val="ar-SA" w:bidi="ar-EG"/>
        </w:rPr>
      </w:pPr>
      <w:r w:rsidRPr="007957C0">
        <w:rPr>
          <w:spacing w:val="-2"/>
          <w:rtl/>
        </w:rPr>
        <w:t xml:space="preserve">وسَّع قطاع الاتصالات الراديوية أيضاً برنامج ورش العمل المواضيعية الخاص به، من خلال تنظيم جلسات إعلامية أقاليمية بشأن </w:t>
      </w:r>
      <w:hyperlink r:id="rId334" w:history="1">
        <w:r w:rsidRPr="007957C0">
          <w:rPr>
            <w:rStyle w:val="Hyperlink"/>
            <w:noProof w:val="0"/>
            <w:spacing w:val="-2"/>
            <w:rtl/>
            <w:lang w:val="en-US" w:eastAsia="zh-CN"/>
          </w:rPr>
          <w:t>التحضير للمؤتمر العالمي للاتصالات الراديوية لعام 2027</w:t>
        </w:r>
      </w:hyperlink>
      <w:r w:rsidRPr="007957C0">
        <w:rPr>
          <w:spacing w:val="-2"/>
          <w:rtl/>
        </w:rPr>
        <w:t>، و"</w:t>
      </w:r>
      <w:hyperlink r:id="rId335" w:history="1">
        <w:r w:rsidRPr="007957C0">
          <w:rPr>
            <w:rStyle w:val="Hyperlink"/>
            <w:noProof w:val="0"/>
            <w:spacing w:val="-2"/>
            <w:rtl/>
            <w:lang w:val="en-US" w:eastAsia="zh-CN"/>
          </w:rPr>
          <w:t>الاتحاد في خدمة الفضاء</w:t>
        </w:r>
      </w:hyperlink>
      <w:r w:rsidRPr="007957C0">
        <w:rPr>
          <w:spacing w:val="-2"/>
          <w:rtl/>
        </w:rPr>
        <w:t>"، و"</w:t>
      </w:r>
      <w:hyperlink r:id="rId336" w:history="1">
        <w:r w:rsidRPr="007957C0">
          <w:rPr>
            <w:rStyle w:val="Hyperlink"/>
            <w:noProof w:val="0"/>
            <w:spacing w:val="-2"/>
            <w:rtl/>
            <w:lang w:val="en-US" w:eastAsia="zh-CN"/>
          </w:rPr>
          <w:t>الإذاعة في أوقات الأزمات</w:t>
        </w:r>
      </w:hyperlink>
      <w:r w:rsidRPr="007957C0">
        <w:rPr>
          <w:spacing w:val="-2"/>
          <w:rtl/>
        </w:rPr>
        <w:t>"، و"</w:t>
      </w:r>
      <w:hyperlink r:id="rId337" w:anchor="/ar" w:history="1">
        <w:r w:rsidRPr="007957C0">
          <w:rPr>
            <w:rStyle w:val="Hyperlink"/>
            <w:noProof w:val="0"/>
            <w:spacing w:val="-2"/>
            <w:rtl/>
            <w:lang w:val="en-US" w:eastAsia="zh-CN"/>
          </w:rPr>
          <w:t>ورشة عمل الاتحاد بشأن مستقبل التلفزيون في أوروبا</w:t>
        </w:r>
      </w:hyperlink>
      <w:r w:rsidRPr="007957C0">
        <w:rPr>
          <w:spacing w:val="-2"/>
          <w:rtl/>
        </w:rPr>
        <w:t>"، إلى جانب "</w:t>
      </w:r>
      <w:hyperlink r:id="rId338" w:history="1">
        <w:r w:rsidRPr="007957C0">
          <w:rPr>
            <w:rStyle w:val="Hyperlink"/>
            <w:noProof w:val="0"/>
            <w:spacing w:val="-2"/>
            <w:rtl/>
            <w:lang w:val="en-US" w:eastAsia="zh-CN"/>
          </w:rPr>
          <w:t>عروض توضيحية بشأن مستقبل الإذاعة</w:t>
        </w:r>
      </w:hyperlink>
      <w:r w:rsidRPr="007957C0">
        <w:rPr>
          <w:spacing w:val="-2"/>
          <w:rtl/>
        </w:rPr>
        <w:t>"، و"</w:t>
      </w:r>
      <w:hyperlink r:id="rId339" w:history="1">
        <w:r w:rsidRPr="007957C0">
          <w:rPr>
            <w:rStyle w:val="Hyperlink"/>
            <w:noProof w:val="0"/>
            <w:spacing w:val="-2"/>
            <w:rtl/>
            <w:lang w:val="en-US" w:eastAsia="zh-CN"/>
          </w:rPr>
          <w:t>ورشة عمل قطاع الاتصالات الراديوية بشأن أنظمة النفاذ اللاسلكي الثابت</w:t>
        </w:r>
      </w:hyperlink>
      <w:r w:rsidRPr="007957C0">
        <w:rPr>
          <w:spacing w:val="-2"/>
          <w:rtl/>
        </w:rPr>
        <w:t xml:space="preserve">"، إضافةً إلى ورش عمل متخصصة بشأن </w:t>
      </w:r>
      <w:hyperlink r:id="rId340" w:history="1">
        <w:r w:rsidRPr="007957C0">
          <w:rPr>
            <w:rStyle w:val="Hyperlink"/>
            <w:noProof w:val="0"/>
            <w:spacing w:val="-2"/>
            <w:rtl/>
            <w:lang w:val="en-US" w:eastAsia="zh-CN"/>
          </w:rPr>
          <w:t>الجدول الوطني لتوزيع الترددات</w:t>
        </w:r>
      </w:hyperlink>
      <w:r w:rsidRPr="007957C0">
        <w:rPr>
          <w:spacing w:val="-2"/>
          <w:rtl/>
        </w:rPr>
        <w:t xml:space="preserve"> في أقاليم الاتحاد الثلاثة جميعها. وشملت المساعدة التقنية الإضافية المقدمة في السنوات من</w:t>
      </w:r>
      <w:r w:rsidR="007957C0">
        <w:rPr>
          <w:rFonts w:hint="cs"/>
          <w:spacing w:val="-2"/>
          <w:rtl/>
        </w:rPr>
        <w:t> </w:t>
      </w:r>
      <w:r w:rsidRPr="007957C0">
        <w:rPr>
          <w:spacing w:val="-2"/>
          <w:rtl/>
        </w:rPr>
        <w:t xml:space="preserve">2023 إلى 2025 بشكل خاص </w:t>
      </w:r>
      <w:hyperlink r:id="rId341" w:history="1">
        <w:r w:rsidRPr="007957C0">
          <w:rPr>
            <w:rStyle w:val="Hyperlink"/>
            <w:noProof w:val="0"/>
            <w:spacing w:val="-2"/>
            <w:rtl/>
            <w:lang w:val="en-US" w:eastAsia="zh-CN"/>
          </w:rPr>
          <w:t xml:space="preserve">دعم 16 إدارة من إدارات الجماعة الإنمائية للجنوب الإفريقي </w:t>
        </w:r>
        <w:r w:rsidRPr="007957C0">
          <w:rPr>
            <w:rStyle w:val="Hyperlink"/>
            <w:noProof w:val="0"/>
            <w:spacing w:val="-2"/>
            <w:lang w:val="en-US" w:eastAsia="zh-CN" w:bidi="ar-EG"/>
          </w:rPr>
          <w:t>(SADC)</w:t>
        </w:r>
      </w:hyperlink>
      <w:r w:rsidR="00BE1C70" w:rsidRPr="007957C0">
        <w:rPr>
          <w:rFonts w:hint="cs"/>
          <w:spacing w:val="-2"/>
          <w:rtl/>
          <w:lang w:bidi="ar-EG"/>
        </w:rPr>
        <w:t xml:space="preserve"> </w:t>
      </w:r>
      <w:r w:rsidRPr="007957C0">
        <w:rPr>
          <w:spacing w:val="-2"/>
          <w:rtl/>
        </w:rPr>
        <w:t xml:space="preserve">في مبادرة الشبكة الساتلية المشتركة للجماعة الإنمائية للجنوب الإفريقي، من خلال ورش عمل حضورية واجتماعات افتراضية. وعززت دورات علمية أخرى، مثل </w:t>
      </w:r>
      <w:hyperlink r:id="rId342" w:history="1">
        <w:r w:rsidRPr="007957C0">
          <w:rPr>
            <w:rStyle w:val="Hyperlink"/>
            <w:noProof w:val="0"/>
            <w:spacing w:val="-2"/>
            <w:rtl/>
            <w:lang w:val="en-US" w:eastAsia="zh-CN"/>
          </w:rPr>
          <w:t>الحلقة الدراسية المشتركة بين المنظمة العالمية للأرصاد الجوية والاتحاد الدولي للاتصالات بشأن رصد الأرض من أجل تحقيق أهداف التنمية المستدامة</w:t>
        </w:r>
      </w:hyperlink>
      <w:r w:rsidRPr="007957C0">
        <w:rPr>
          <w:spacing w:val="-2"/>
          <w:rtl/>
        </w:rPr>
        <w:t>، و</w:t>
      </w:r>
      <w:hyperlink r:id="rId343" w:history="1">
        <w:r w:rsidRPr="007957C0">
          <w:rPr>
            <w:rStyle w:val="Hyperlink"/>
            <w:noProof w:val="0"/>
            <w:spacing w:val="-2"/>
            <w:rtl/>
            <w:lang w:val="en-US" w:eastAsia="zh-CN"/>
          </w:rPr>
          <w:t>ورشة عمل الاتحاد بشأن علم الفلك الراديوي</w:t>
        </w:r>
      </w:hyperlink>
      <w:r w:rsidRPr="007957C0">
        <w:rPr>
          <w:spacing w:val="-2"/>
          <w:rtl/>
        </w:rPr>
        <w:t>، دور مكتب الاتصالات الراديوية في النهوض بالمعارف المتعلقة بالاتصالات الراديوية والتنسيق العالمي للطيف.</w:t>
      </w:r>
    </w:p>
    <w:p w14:paraId="0CFBC7CB" w14:textId="77777777" w:rsidR="007C0894" w:rsidRPr="007C0894" w:rsidRDefault="007C0894" w:rsidP="00BE1C70">
      <w:pPr>
        <w:pStyle w:val="Headingb"/>
        <w:rPr>
          <w:lang w:val="ar-SA" w:bidi="ar-EG"/>
        </w:rPr>
      </w:pPr>
      <w:bookmarkStart w:id="103" w:name="_Hlk72319163"/>
      <w:r w:rsidRPr="007C0894">
        <w:rPr>
          <w:rtl/>
        </w:rPr>
        <w:t xml:space="preserve">قطاع تقييس الاتصالات </w:t>
      </w:r>
      <w:r w:rsidRPr="007C0894">
        <w:rPr>
          <w:lang w:bidi="ar-EG"/>
        </w:rPr>
        <w:t>(ITU-T)</w:t>
      </w:r>
    </w:p>
    <w:p w14:paraId="322C81AD" w14:textId="63FFA4E6" w:rsidR="007C0894" w:rsidRPr="007C0894" w:rsidRDefault="007C0894" w:rsidP="00BE1C70">
      <w:pPr>
        <w:rPr>
          <w:spacing w:val="-2"/>
          <w:lang w:val="ar-SA" w:bidi="ar-EG"/>
        </w:rPr>
      </w:pPr>
      <w:r w:rsidRPr="007C0894">
        <w:rPr>
          <w:spacing w:val="-2"/>
          <w:rtl/>
        </w:rPr>
        <w:t xml:space="preserve">حافظ قطاع تقييس الاتصالات على مستوى عال من المشاركة من خلال الحلقات الدراسية وورش العمل والندوات والحلقات الدراسية الإلكترونية المتنوعة بشكل متزايد. ونظم القطاع العديد من </w:t>
      </w:r>
      <w:hyperlink r:id="rId344" w:anchor="/ar" w:history="1">
        <w:r w:rsidRPr="007C0894">
          <w:rPr>
            <w:rStyle w:val="Hyperlink"/>
            <w:noProof w:val="0"/>
            <w:spacing w:val="-2"/>
            <w:rtl/>
            <w:lang w:val="en-US" w:eastAsia="zh-CN"/>
          </w:rPr>
          <w:t>الأحداث غير الرسمية</w:t>
        </w:r>
      </w:hyperlink>
      <w:r w:rsidRPr="007C0894">
        <w:rPr>
          <w:spacing w:val="-2"/>
          <w:rtl/>
        </w:rPr>
        <w:t xml:space="preserve">، بأنساق افتراضية وهجينة وحضورية، تميزت بمشاركة قوية في </w:t>
      </w:r>
      <w:hyperlink r:id="rId345" w:history="1">
        <w:r w:rsidRPr="007C0894">
          <w:rPr>
            <w:rStyle w:val="Hyperlink"/>
            <w:noProof w:val="0"/>
            <w:spacing w:val="-2"/>
            <w:rtl/>
            <w:lang w:val="en-US" w:eastAsia="zh-CN"/>
          </w:rPr>
          <w:t>المؤتمر DC3</w:t>
        </w:r>
      </w:hyperlink>
      <w:r w:rsidRPr="007C0894">
        <w:rPr>
          <w:spacing w:val="-2"/>
          <w:rtl/>
        </w:rPr>
        <w:t xml:space="preserve"> بشأن العملات الرقمية. وزادت الأنشطة توسعاً، حيث عُقد أكثر من 100 ورشة عمل في الأعوام </w:t>
      </w:r>
      <w:hyperlink r:id="rId346" w:anchor="/ar" w:history="1">
        <w:r w:rsidRPr="007C0894">
          <w:rPr>
            <w:rStyle w:val="Hyperlink"/>
            <w:noProof w:val="0"/>
            <w:spacing w:val="-2"/>
            <w:rtl/>
            <w:lang w:val="en-US" w:eastAsia="zh-CN"/>
          </w:rPr>
          <w:t>2022</w:t>
        </w:r>
      </w:hyperlink>
      <w:r w:rsidRPr="007C0894">
        <w:rPr>
          <w:spacing w:val="-2"/>
          <w:rtl/>
        </w:rPr>
        <w:t xml:space="preserve"> و</w:t>
      </w:r>
      <w:hyperlink r:id="rId347" w:anchor="/ar" w:history="1">
        <w:r w:rsidRPr="007C0894">
          <w:rPr>
            <w:rStyle w:val="Hyperlink"/>
            <w:noProof w:val="0"/>
            <w:spacing w:val="-2"/>
            <w:rtl/>
            <w:lang w:val="en-US" w:eastAsia="zh-CN"/>
          </w:rPr>
          <w:t>2023</w:t>
        </w:r>
      </w:hyperlink>
      <w:r w:rsidRPr="007C0894">
        <w:rPr>
          <w:spacing w:val="-2"/>
          <w:rtl/>
        </w:rPr>
        <w:t xml:space="preserve"> و</w:t>
      </w:r>
      <w:hyperlink r:id="rId348" w:anchor="/ar" w:history="1">
        <w:r w:rsidRPr="007C0894">
          <w:rPr>
            <w:rStyle w:val="Hyperlink"/>
            <w:noProof w:val="0"/>
            <w:spacing w:val="-2"/>
            <w:rtl/>
            <w:lang w:val="en-US" w:eastAsia="zh-CN"/>
          </w:rPr>
          <w:t>2024</w:t>
        </w:r>
      </w:hyperlink>
      <w:r w:rsidRPr="007C0894">
        <w:rPr>
          <w:spacing w:val="-2"/>
          <w:rtl/>
        </w:rPr>
        <w:t xml:space="preserve"> و</w:t>
      </w:r>
      <w:hyperlink r:id="rId349" w:anchor="/ar" w:history="1">
        <w:r w:rsidRPr="007C0894">
          <w:rPr>
            <w:rStyle w:val="Hyperlink"/>
            <w:noProof w:val="0"/>
            <w:spacing w:val="-2"/>
            <w:rtl/>
            <w:lang w:val="en-US" w:eastAsia="zh-CN"/>
          </w:rPr>
          <w:t>2025</w:t>
        </w:r>
      </w:hyperlink>
      <w:r w:rsidRPr="007C0894">
        <w:rPr>
          <w:spacing w:val="-2"/>
          <w:rtl/>
        </w:rPr>
        <w:t xml:space="preserve">، إلى جانب البرمجة الأسبوعية على مدار العام لمنصة </w:t>
      </w:r>
      <w:hyperlink r:id="rId350" w:anchor="/ar" w:history="1">
        <w:r w:rsidRPr="007C0894">
          <w:rPr>
            <w:rStyle w:val="Hyperlink"/>
            <w:noProof w:val="0"/>
            <w:spacing w:val="-2"/>
            <w:rtl/>
            <w:lang w:val="en-US" w:eastAsia="zh-CN"/>
          </w:rPr>
          <w:t>الذكاء الاصطناعي من أجل المصلحة العامة</w:t>
        </w:r>
      </w:hyperlink>
      <w:r w:rsidRPr="007C0894">
        <w:rPr>
          <w:spacing w:val="-2"/>
          <w:rtl/>
        </w:rPr>
        <w:t>. وعززت هذه الأحداث التعاون مع الشركاء الخارجيين، وسلطت مزيداً من الضوء على أعمال التقييس التي يضطلع بها قطاع تقييس الاتصالات، ودعمت التعلم من الأقران، واجتذبت أعضاء جدداً. وتناولت هذه الأنشطة، مجتمعةً، الاتجاهات الناشئة في مجال التقييس العالمي وأسهمت في وضع المعايير الدولية وتنفيذها.</w:t>
      </w:r>
    </w:p>
    <w:p w14:paraId="707795E6" w14:textId="77777777" w:rsidR="007C0894" w:rsidRPr="007C0894" w:rsidRDefault="007C0894" w:rsidP="00BE1C70">
      <w:pPr>
        <w:pStyle w:val="Headingb"/>
        <w:rPr>
          <w:lang w:val="ar-SA" w:bidi="ar-EG"/>
        </w:rPr>
      </w:pPr>
      <w:r w:rsidRPr="007C0894">
        <w:rPr>
          <w:rtl/>
        </w:rPr>
        <w:t xml:space="preserve">قطاع تنمية الاتصالات </w:t>
      </w:r>
      <w:r w:rsidRPr="007C0894">
        <w:rPr>
          <w:lang w:bidi="ar-EG"/>
        </w:rPr>
        <w:t>(ITU-D)</w:t>
      </w:r>
      <w:bookmarkEnd w:id="103"/>
    </w:p>
    <w:bookmarkEnd w:id="97"/>
    <w:p w14:paraId="36BE8068" w14:textId="20E6E814" w:rsidR="007C0894" w:rsidRPr="007957C0" w:rsidRDefault="007C0894" w:rsidP="007957C0">
      <w:pPr>
        <w:rPr>
          <w:spacing w:val="-4"/>
          <w:lang w:val="ar-SA" w:bidi="ar-EG"/>
        </w:rPr>
      </w:pPr>
      <w:r w:rsidRPr="007957C0">
        <w:rPr>
          <w:spacing w:val="-4"/>
          <w:rtl/>
        </w:rPr>
        <w:t>واصلت </w:t>
      </w:r>
      <w:hyperlink r:id="rId351" w:history="1">
        <w:r w:rsidRPr="007957C0">
          <w:rPr>
            <w:rStyle w:val="Hyperlink"/>
            <w:noProof w:val="0"/>
            <w:spacing w:val="-4"/>
            <w:rtl/>
            <w:lang w:val="en-US" w:eastAsia="zh-CN"/>
          </w:rPr>
          <w:t>الحلقات الدراسية وورش العمل التي ينظمها قطاع تنمية الاتصالات</w:t>
        </w:r>
      </w:hyperlink>
      <w:r w:rsidRPr="007957C0">
        <w:rPr>
          <w:spacing w:val="-4"/>
          <w:rtl/>
        </w:rPr>
        <w:t xml:space="preserve"> أداء دورها كآليات أساسية لبناء القدرات ودعم التنمية. وفي عام 2022، نظم مكتب تنمية الاتصالات </w:t>
      </w:r>
      <w:r w:rsidRPr="007957C0">
        <w:rPr>
          <w:spacing w:val="-4"/>
          <w:lang w:bidi="ar-EG"/>
        </w:rPr>
        <w:t>(BDT)</w:t>
      </w:r>
      <w:r w:rsidRPr="007957C0">
        <w:rPr>
          <w:spacing w:val="-4"/>
          <w:rtl/>
        </w:rPr>
        <w:t xml:space="preserve"> بالاتحاد 57 حدثاً متماشياً مع </w:t>
      </w:r>
      <w:hyperlink r:id="rId352" w:history="1">
        <w:r w:rsidRPr="007957C0">
          <w:rPr>
            <w:rStyle w:val="Hyperlink"/>
            <w:noProof w:val="0"/>
            <w:spacing w:val="-4"/>
            <w:rtl/>
            <w:lang w:val="en-US" w:eastAsia="zh-CN"/>
          </w:rPr>
          <w:t>خطة عمل بوينس آيرس</w:t>
        </w:r>
      </w:hyperlink>
      <w:r w:rsidRPr="007957C0">
        <w:rPr>
          <w:spacing w:val="-4"/>
          <w:rtl/>
        </w:rPr>
        <w:t>، وفي عام</w:t>
      </w:r>
      <w:r w:rsidR="00F92A17">
        <w:rPr>
          <w:rFonts w:hint="cs"/>
          <w:spacing w:val="-4"/>
          <w:rtl/>
        </w:rPr>
        <w:t> </w:t>
      </w:r>
      <w:r w:rsidRPr="007957C0">
        <w:rPr>
          <w:spacing w:val="-4"/>
          <w:rtl/>
        </w:rPr>
        <w:t>2023، وصل هذا العدد إلى 143 حدثاً مع تنفيذ المشاريع و</w:t>
      </w:r>
      <w:hyperlink r:id="rId353" w:history="1">
        <w:r w:rsidRPr="007957C0">
          <w:rPr>
            <w:rStyle w:val="Hyperlink"/>
            <w:noProof w:val="0"/>
            <w:spacing w:val="-4"/>
            <w:rtl/>
            <w:lang w:val="en-US" w:eastAsia="zh-CN"/>
          </w:rPr>
          <w:t>خطة عمل كيغالي</w:t>
        </w:r>
      </w:hyperlink>
      <w:r w:rsidRPr="007957C0">
        <w:rPr>
          <w:spacing w:val="-4"/>
          <w:rtl/>
        </w:rPr>
        <w:t xml:space="preserve">. وبحلول عام 2024، وسّع القطاع نطاق مشاركته بشكل كبير، حيث عقد 211 حدثاً، بما يشمل حلقات دراسية وورش عمل وحلقات دراسية إلكترونية ومنتديات، ركزت على النهوض بالتحول الرقمي المستدام. وفي عام 2025، بلغ عدد الأحداث ذروته عند 220 حدثاً نُظمت في شكل دورات لبناء القدرات تناولت مواضيع الأمن السيبراني والنفاذ الرقمي وشمول الجنسين وتمكين الشباب والسياسة العامة والتنظيم والاستدامة البيئية وتعزيز المؤسسات. وشملت أبرز الأحداث </w:t>
      </w:r>
      <w:hyperlink r:id="rId354" w:history="1">
        <w:r w:rsidRPr="007957C0">
          <w:rPr>
            <w:rStyle w:val="Hyperlink"/>
            <w:noProof w:val="0"/>
            <w:spacing w:val="-4"/>
            <w:rtl/>
            <w:lang w:val="en-US" w:eastAsia="zh-CN"/>
          </w:rPr>
          <w:t>التدريبات السيبرانية</w:t>
        </w:r>
      </w:hyperlink>
      <w:r w:rsidRPr="007957C0">
        <w:rPr>
          <w:spacing w:val="-4"/>
          <w:rtl/>
        </w:rPr>
        <w:t xml:space="preserve"> في مناطق متعددة، وسلسلة تعميم المساواة بين الجنسين في قطاع تكنولوجيا المعلومات والاتصالات، والأحداث الإقليمية المتعلقة </w:t>
      </w:r>
      <w:hyperlink r:id="rId355" w:anchor="/ar" w:history="1">
        <w:r w:rsidRPr="007957C0">
          <w:rPr>
            <w:rStyle w:val="Hyperlink"/>
            <w:noProof w:val="0"/>
            <w:spacing w:val="-4"/>
            <w:rtl/>
            <w:lang w:val="en-US" w:eastAsia="zh-CN"/>
          </w:rPr>
          <w:t>باليوم الدولي للفتيات في مجال تكنولوجيا المعلومات والاتصالات</w:t>
        </w:r>
      </w:hyperlink>
      <w:r w:rsidRPr="007957C0">
        <w:rPr>
          <w:spacing w:val="-4"/>
          <w:rtl/>
        </w:rPr>
        <w:t xml:space="preserve">، والتدريب على التنظيم الرقمي، وورش العمل لأصحاب المصلحة في النطاق العريض والجيل الخامس، والحلقات الدراسية بشأن إدارة المخلفات الإلكترونية، والدورات المقدمة في إطار </w:t>
      </w:r>
      <w:hyperlink r:id="rId356" w:anchor="/ar" w:history="1">
        <w:r w:rsidRPr="007957C0">
          <w:rPr>
            <w:rStyle w:val="Hyperlink"/>
            <w:noProof w:val="0"/>
            <w:spacing w:val="-4"/>
            <w:rtl/>
            <w:lang w:val="en-US" w:eastAsia="zh-CN"/>
          </w:rPr>
          <w:t>مبادرة</w:t>
        </w:r>
        <w:r w:rsidR="00BE1C70" w:rsidRPr="007957C0">
          <w:rPr>
            <w:rStyle w:val="Hyperlink"/>
            <w:rFonts w:hint="cs"/>
            <w:noProof w:val="0"/>
            <w:spacing w:val="-4"/>
            <w:rtl/>
            <w:lang w:val="en-US" w:eastAsia="zh-CN"/>
          </w:rPr>
          <w:t xml:space="preserve"> </w:t>
        </w:r>
        <w:proofErr w:type="spellStart"/>
        <w:r w:rsidRPr="007957C0">
          <w:rPr>
            <w:rStyle w:val="Hyperlink"/>
            <w:noProof w:val="0"/>
            <w:spacing w:val="-4"/>
            <w:lang w:val="en-US" w:eastAsia="zh-CN" w:bidi="ar-EG"/>
          </w:rPr>
          <w:t>GovStack</w:t>
        </w:r>
        <w:proofErr w:type="spellEnd"/>
      </w:hyperlink>
      <w:r w:rsidRPr="007957C0">
        <w:rPr>
          <w:spacing w:val="-4"/>
          <w:rtl/>
        </w:rPr>
        <w:t xml:space="preserve"> ومراكز التدريب التابعة لأكاديمية الاتحاد </w:t>
      </w:r>
      <w:r w:rsidRPr="007957C0">
        <w:rPr>
          <w:spacing w:val="-4"/>
          <w:lang w:bidi="ar-EG"/>
        </w:rPr>
        <w:t>(</w:t>
      </w:r>
      <w:hyperlink r:id="rId357" w:anchor="/ar" w:history="1">
        <w:r w:rsidRPr="007957C0">
          <w:rPr>
            <w:rStyle w:val="Hyperlink"/>
            <w:noProof w:val="0"/>
            <w:spacing w:val="-4"/>
            <w:lang w:val="en-US" w:eastAsia="zh-CN" w:bidi="ar-EG"/>
          </w:rPr>
          <w:t>ATC</w:t>
        </w:r>
      </w:hyperlink>
      <w:r w:rsidRPr="007957C0">
        <w:rPr>
          <w:spacing w:val="-4"/>
          <w:lang w:bidi="ar-EG"/>
        </w:rPr>
        <w:t>)</w:t>
      </w:r>
      <w:r w:rsidRPr="007957C0">
        <w:rPr>
          <w:spacing w:val="-4"/>
          <w:rtl/>
        </w:rPr>
        <w:t>. ووفرت هذه المبادرات معارف عملية وعززت التعاون ودعمت الدول الأعضاء في بناء أنظمة إيكولوجية رقمية قادرة على الصمود وشاملة للجميع.</w:t>
      </w:r>
    </w:p>
    <w:p w14:paraId="4550E654" w14:textId="3007CA11" w:rsidR="007C0894" w:rsidRPr="007C0894" w:rsidRDefault="00BE1C70" w:rsidP="00BE1C70">
      <w:pPr>
        <w:pStyle w:val="Heading1"/>
        <w:pageBreakBefore/>
        <w:rPr>
          <w:lang w:val="ar-SA" w:bidi="ar-EG"/>
        </w:rPr>
      </w:pPr>
      <w:bookmarkStart w:id="104" w:name="_Toc224288825"/>
      <w:bookmarkStart w:id="105" w:name="_Toc227252599"/>
      <w:r>
        <w:t>5</w:t>
      </w:r>
      <w:r>
        <w:tab/>
      </w:r>
      <w:r w:rsidR="007C0894" w:rsidRPr="007C0894">
        <w:rPr>
          <w:rtl/>
        </w:rPr>
        <w:t>العوامل التمكينية</w:t>
      </w:r>
      <w:bookmarkEnd w:id="104"/>
      <w:bookmarkEnd w:id="105"/>
    </w:p>
    <w:p w14:paraId="4BA10878" w14:textId="78355787" w:rsidR="007C0894" w:rsidRPr="007C0894" w:rsidRDefault="007C0894" w:rsidP="007C0894">
      <w:pPr>
        <w:rPr>
          <w:lang w:val="ar-SA" w:bidi="ar-EG"/>
        </w:rPr>
      </w:pPr>
      <w:r w:rsidRPr="007C0894">
        <w:rPr>
          <w:rtl/>
        </w:rPr>
        <w:t xml:space="preserve">إن نهج الاتحاد </w:t>
      </w:r>
      <w:r w:rsidR="00010EBC">
        <w:rPr>
          <w:rFonts w:hint="cs"/>
          <w:rtl/>
        </w:rPr>
        <w:t>المتمحور حول الأعضاء</w:t>
      </w:r>
      <w:r w:rsidRPr="007C0894">
        <w:rPr>
          <w:rtl/>
        </w:rPr>
        <w:t>، وحضوره في مناطق العالم كافة، والتزامه بإشراك الجميع في المناقشات، كلها عوامل تمكِّن الاتحاد من تحقيق غاياته وأولوياته بفعالية وكفاءة.</w:t>
      </w:r>
    </w:p>
    <w:p w14:paraId="7BCEC945" w14:textId="1F4CAE70" w:rsidR="007C0894" w:rsidRPr="007C0894" w:rsidRDefault="00BE1C70" w:rsidP="00BE1C70">
      <w:pPr>
        <w:pStyle w:val="Heading2"/>
        <w:rPr>
          <w:lang w:val="ar-SA" w:bidi="ar-EG"/>
        </w:rPr>
      </w:pPr>
      <w:bookmarkStart w:id="106" w:name="_Toc224288826"/>
      <w:bookmarkStart w:id="107" w:name="_Toc227252600"/>
      <w:r>
        <w:t>1.5</w:t>
      </w:r>
      <w:r w:rsidR="007C0894" w:rsidRPr="007C0894">
        <w:rPr>
          <w:rtl/>
        </w:rPr>
        <w:tab/>
        <w:t xml:space="preserve">نهج </w:t>
      </w:r>
      <w:bookmarkEnd w:id="106"/>
      <w:r w:rsidR="00010EBC">
        <w:rPr>
          <w:rFonts w:hint="cs"/>
          <w:rtl/>
        </w:rPr>
        <w:t>محوره الأعضاء</w:t>
      </w:r>
      <w:bookmarkEnd w:id="107"/>
    </w:p>
    <w:p w14:paraId="68FF94BF" w14:textId="596B5117" w:rsidR="0089560B" w:rsidRDefault="007C0894" w:rsidP="007C0894">
      <w:pPr>
        <w:rPr>
          <w:rtl/>
        </w:rPr>
      </w:pPr>
      <w:r w:rsidRPr="007C0894">
        <w:rPr>
          <w:rtl/>
        </w:rPr>
        <w:t xml:space="preserve">في عام 2025، حقق الاتحاد أعلى مستوى له من العضوية، حيث بلغ عدد الكيانات الأعضاء </w:t>
      </w:r>
      <w:r w:rsidR="0097655C">
        <w:t>1 048</w:t>
      </w:r>
      <w:r w:rsidRPr="007C0894">
        <w:rPr>
          <w:rtl/>
        </w:rPr>
        <w:t xml:space="preserve"> كياناً، ما يمثل </w:t>
      </w:r>
      <w:r w:rsidR="00BE1C70">
        <w:t>1 386</w:t>
      </w:r>
      <w:r w:rsidR="00BE1C70">
        <w:rPr>
          <w:rFonts w:hint="cs"/>
          <w:rtl/>
          <w:lang w:bidi="ar-EG"/>
        </w:rPr>
        <w:t xml:space="preserve"> </w:t>
      </w:r>
      <w:r w:rsidRPr="007C0894">
        <w:rPr>
          <w:rtl/>
        </w:rPr>
        <w:t>عضو قطاع ومنتسب وهيئة أكاديمية، مع 402 عضواً جديداً (بزيادة صافية قدرها 139 عضواً جديداً) بين عامي 2022 و2025. ويعكس نمو العضوية عبر القطاعات والمناطق استمرار المشاركة والالتزام بأهداف الاتحاد، على الرغم من التحديات المتعلقة بالاحتفاظ بالأعضاء ومن المخاطر المالية.</w:t>
      </w:r>
    </w:p>
    <w:p w14:paraId="326CB94E" w14:textId="1FC3A247" w:rsidR="0089560B" w:rsidRDefault="007C0894" w:rsidP="007C0894">
      <w:pPr>
        <w:rPr>
          <w:rtl/>
        </w:rPr>
      </w:pPr>
      <w:r w:rsidRPr="007C0894">
        <w:rPr>
          <w:rtl/>
        </w:rPr>
        <w:t xml:space="preserve">ويؤكد فقدان 263 عضواً بين عامي 2022 و2025 وجود خطر دائم يهدد الاستقرار، سواء في الميزانية أو في الدراسات التقنية الجارية، فضلاً عن الحاجة إلى الحفاظ على نهج </w:t>
      </w:r>
      <w:r w:rsidR="00010EBC">
        <w:rPr>
          <w:rFonts w:hint="cs"/>
          <w:rtl/>
        </w:rPr>
        <w:t>محوره الأعضاء</w:t>
      </w:r>
      <w:r w:rsidRPr="007C0894">
        <w:rPr>
          <w:rtl/>
        </w:rPr>
        <w:t xml:space="preserve"> ومتجاوب وموجَّه نحو الخدمات في عمل الاتحاد. ومع ذلك، فقد تطورت عضوية الاتحاد ونمت بمرور الوقت لتجسد النظام الإيكولوجي الرقمي العالمي المتغير. ومع هذا التطور، يعمل الاتحاد باستمرار على تكييف مواضيعه وأساليب عمله ليظل منصة عالمية محايدة ذات أهمية لأعضائه.</w:t>
      </w:r>
    </w:p>
    <w:p w14:paraId="24CC26CF" w14:textId="2FFA5A73" w:rsidR="007C0894" w:rsidRPr="007C0894" w:rsidRDefault="007C0894" w:rsidP="007C0894">
      <w:pPr>
        <w:rPr>
          <w:lang w:val="ar-SA" w:bidi="ar-EG"/>
        </w:rPr>
      </w:pPr>
      <w:r w:rsidRPr="007C0894">
        <w:rPr>
          <w:rtl/>
        </w:rPr>
        <w:t xml:space="preserve">وفي نهاية عام 2025، وصل عدد أعضاء الاتحاد إلى </w:t>
      </w:r>
      <w:r w:rsidR="0097655C">
        <w:t>1 048</w:t>
      </w:r>
      <w:r w:rsidRPr="007C0894">
        <w:rPr>
          <w:rtl/>
        </w:rPr>
        <w:t xml:space="preserve"> كياناً متميزاً (بزيادة قدرها 102 كياناً جديداً</w:t>
      </w:r>
      <w:r w:rsidR="0089560B">
        <w:rPr>
          <w:rtl/>
        </w:rPr>
        <w:t>/</w:t>
      </w:r>
      <w:r w:rsidRPr="007C0894">
        <w:rPr>
          <w:rtl/>
        </w:rPr>
        <w:t>زيادة صافية قدرها 44 كياناً جديداً في سنة واحدة) بما فيهم أعضاء القطاعات والمنتسبون والهيئات الأكاديمية.</w:t>
      </w:r>
    </w:p>
    <w:p w14:paraId="46F98B9F" w14:textId="3D9C3D4D" w:rsidR="007C0894" w:rsidRPr="007C0894" w:rsidRDefault="007C0894" w:rsidP="007C0894">
      <w:pPr>
        <w:rPr>
          <w:lang w:val="ar-SA" w:bidi="ar-EG"/>
        </w:rPr>
      </w:pPr>
      <w:r w:rsidRPr="007C0894">
        <w:rPr>
          <w:rtl/>
        </w:rPr>
        <w:t>وفي الفترة من 2022 إلى 2025</w:t>
      </w:r>
      <w:r w:rsidRPr="007C0894">
        <w:rPr>
          <w:lang w:bidi="ar-EG"/>
        </w:rPr>
        <w:t>:</w:t>
      </w:r>
    </w:p>
    <w:p w14:paraId="7AF5ECCF" w14:textId="77777777" w:rsidR="0089560B" w:rsidRDefault="0097655C" w:rsidP="0097655C">
      <w:pPr>
        <w:pStyle w:val="enumlev1"/>
        <w:rPr>
          <w:rtl/>
        </w:rPr>
      </w:pPr>
      <w:r>
        <w:sym w:font="Wingdings 2" w:char="F097"/>
      </w:r>
      <w:r>
        <w:tab/>
        <w:t>1 386</w:t>
      </w:r>
      <w:r w:rsidR="007C0894" w:rsidRPr="007C0894">
        <w:rPr>
          <w:rtl/>
        </w:rPr>
        <w:t xml:space="preserve"> عضواً في جميع القطاعات: زيادة بمقدار 402 عضواً جديداً وانخفاض بمقدار 263 عضواً إما ألغيت عضويتهم أو استُبعدوا.</w:t>
      </w:r>
    </w:p>
    <w:p w14:paraId="1267507E" w14:textId="100DC2C6" w:rsidR="007C0894" w:rsidRPr="007C0894" w:rsidRDefault="0097655C" w:rsidP="0097655C">
      <w:pPr>
        <w:pStyle w:val="enumlev1"/>
        <w:rPr>
          <w:lang w:val="ar-SA" w:bidi="ar-EG"/>
        </w:rPr>
      </w:pPr>
      <w:r>
        <w:sym w:font="Wingdings 2" w:char="F097"/>
      </w:r>
      <w:r>
        <w:tab/>
      </w:r>
      <w:r w:rsidR="007C0894" w:rsidRPr="007C0894">
        <w:rPr>
          <w:rtl/>
        </w:rPr>
        <w:t xml:space="preserve">شكَّل أعضاء القطاعات 42 في </w:t>
      </w:r>
      <w:proofErr w:type="gramStart"/>
      <w:r w:rsidR="007C0894" w:rsidRPr="007C0894">
        <w:rPr>
          <w:rtl/>
        </w:rPr>
        <w:t>المائة</w:t>
      </w:r>
      <w:proofErr w:type="gramEnd"/>
      <w:r w:rsidR="007C0894" w:rsidRPr="007C0894">
        <w:rPr>
          <w:rtl/>
        </w:rPr>
        <w:t xml:space="preserve"> من مجموع الأعضاء الجدد، وشكّل المنتسبون 39 في </w:t>
      </w:r>
      <w:proofErr w:type="gramStart"/>
      <w:r w:rsidR="007C0894" w:rsidRPr="007C0894">
        <w:rPr>
          <w:rtl/>
        </w:rPr>
        <w:t>المائة</w:t>
      </w:r>
      <w:proofErr w:type="gramEnd"/>
      <w:r w:rsidR="007C0894" w:rsidRPr="007C0894">
        <w:rPr>
          <w:rtl/>
        </w:rPr>
        <w:t xml:space="preserve">، وشكَّلت الهيئات الأكاديمية 19 في </w:t>
      </w:r>
      <w:proofErr w:type="gramStart"/>
      <w:r w:rsidR="007C0894" w:rsidRPr="007C0894">
        <w:rPr>
          <w:rtl/>
        </w:rPr>
        <w:t>المائة</w:t>
      </w:r>
      <w:proofErr w:type="gramEnd"/>
      <w:r w:rsidR="007C0894" w:rsidRPr="007C0894">
        <w:rPr>
          <w:rtl/>
        </w:rPr>
        <w:t>.</w:t>
      </w:r>
    </w:p>
    <w:p w14:paraId="2087B270" w14:textId="6E0DD289" w:rsidR="007C0894" w:rsidRPr="007C0894" w:rsidRDefault="0097655C" w:rsidP="0097655C">
      <w:pPr>
        <w:pStyle w:val="enumlev1"/>
        <w:rPr>
          <w:lang w:val="ar-SA" w:bidi="ar-EG"/>
        </w:rPr>
      </w:pPr>
      <w:r>
        <w:sym w:font="Wingdings 2" w:char="F097"/>
      </w:r>
      <w:r>
        <w:tab/>
      </w:r>
      <w:r w:rsidR="007C0894" w:rsidRPr="007C0894">
        <w:rPr>
          <w:rtl/>
        </w:rPr>
        <w:t>اتجاه إيجابي في جميع القطاعات، حيث سُجلت زيادة صافية قدرها 34 عضواً جديداً في قطاع الاتصالات الراديوية</w:t>
      </w:r>
      <w:r>
        <w:rPr>
          <w:rFonts w:hint="eastAsia"/>
          <w:rtl/>
          <w:lang w:bidi="ar-EG"/>
        </w:rPr>
        <w:t> </w:t>
      </w:r>
      <w:r w:rsidR="007C0894" w:rsidRPr="007C0894">
        <w:rPr>
          <w:lang w:bidi="ar-EG"/>
        </w:rPr>
        <w:t>(ITU-R)</w:t>
      </w:r>
      <w:r w:rsidR="007C0894" w:rsidRPr="007C0894">
        <w:rPr>
          <w:rtl/>
        </w:rPr>
        <w:t xml:space="preserve">، و21 عضواً جديداً في قطاع تقييس الاتصالات </w:t>
      </w:r>
      <w:r w:rsidR="007C0894" w:rsidRPr="007C0894">
        <w:rPr>
          <w:lang w:bidi="ar-EG"/>
        </w:rPr>
        <w:t>(ITU-T)</w:t>
      </w:r>
      <w:r w:rsidR="007C0894" w:rsidRPr="007C0894">
        <w:rPr>
          <w:rtl/>
        </w:rPr>
        <w:t xml:space="preserve">، و57 عضواً جديداً في قطاع تنمية الاتصالات </w:t>
      </w:r>
      <w:r w:rsidR="007C0894" w:rsidRPr="007C0894">
        <w:rPr>
          <w:lang w:bidi="ar-EG"/>
        </w:rPr>
        <w:t>(ITU-D)</w:t>
      </w:r>
      <w:r w:rsidR="007C0894" w:rsidRPr="007C0894">
        <w:rPr>
          <w:rtl/>
        </w:rPr>
        <w:t>، و27 عضواً جديداً من الهيئات الأكاديمية.</w:t>
      </w:r>
    </w:p>
    <w:p w14:paraId="10D5432A" w14:textId="4F32226B" w:rsidR="007C0894" w:rsidRPr="007C0894" w:rsidRDefault="0097655C" w:rsidP="0097655C">
      <w:pPr>
        <w:pStyle w:val="enumlev1"/>
        <w:rPr>
          <w:lang w:val="ar-SA" w:bidi="ar-EG"/>
        </w:rPr>
      </w:pPr>
      <w:r>
        <w:sym w:font="Wingdings 2" w:char="F097"/>
      </w:r>
      <w:r>
        <w:tab/>
      </w:r>
      <w:r w:rsidR="007C0894" w:rsidRPr="007C0894">
        <w:rPr>
          <w:rtl/>
        </w:rPr>
        <w:t>وشهدت العضوية نمواً في جميع المناطق، غير أن الزيادة الإجمالية أعزيت أساساً إلى منطقة آسيا والمحيط الهادئ (بزيادة صافية قدرها 64 عضواً جديداً: +153/-59)، وأوروبا (بزيادة صافية قدرها 27 عضواً جديداً: +116/-89)، تلتها المنظمات الدولية والإقليمية (بزيادة صافية قدرها 22 عضواً جديداً: +26/-4).</w:t>
      </w:r>
    </w:p>
    <w:p w14:paraId="3033294A" w14:textId="77777777" w:rsidR="0089560B" w:rsidRDefault="0097655C" w:rsidP="0097655C">
      <w:pPr>
        <w:pStyle w:val="enumlev1"/>
        <w:rPr>
          <w:rtl/>
        </w:rPr>
      </w:pPr>
      <w:r>
        <w:sym w:font="Wingdings 2" w:char="F097"/>
      </w:r>
      <w:r>
        <w:tab/>
      </w:r>
      <w:r w:rsidR="007C0894" w:rsidRPr="007C0894">
        <w:rPr>
          <w:rtl/>
        </w:rPr>
        <w:t>على مدى فترة الأربع سنوات من 2022 إلى 2025، حققت المساهمات المتوقعة نمواً طفيفاً، لكنها ظلت أقل بقليل من 17 مليون فرنك سويسري، على الرغم من النمو الصافي في العضوية. ويُعزى ذلك إلى النمو المستمر في فئات الرسوم المنخفضة والكيانات المعفاة.</w:t>
      </w:r>
    </w:p>
    <w:p w14:paraId="45C210BD" w14:textId="77777777" w:rsidR="0089560B" w:rsidRDefault="0097655C" w:rsidP="0097655C">
      <w:pPr>
        <w:pStyle w:val="enumlev1"/>
        <w:rPr>
          <w:lang w:val="ar-SA" w:bidi="ar-EG"/>
        </w:rPr>
      </w:pPr>
      <w:r>
        <w:sym w:font="Wingdings 2" w:char="F097"/>
      </w:r>
      <w:r>
        <w:tab/>
      </w:r>
      <w:r w:rsidR="007C0894" w:rsidRPr="007C0894">
        <w:rPr>
          <w:rtl/>
        </w:rPr>
        <w:t xml:space="preserve">بعد بطء وتيرة النمو في عام 2024، يشهد مجتمع الشركات الصغيرة والمتوسطة </w:t>
      </w:r>
      <w:r w:rsidR="007C0894" w:rsidRPr="007C0894">
        <w:rPr>
          <w:lang w:bidi="ar-EG"/>
        </w:rPr>
        <w:t>(SME)</w:t>
      </w:r>
      <w:r w:rsidR="007C0894" w:rsidRPr="007C0894">
        <w:rPr>
          <w:rtl/>
        </w:rPr>
        <w:t xml:space="preserve"> نمواً مرة أخرى بوتيرة سريعة. وفيما يخص المنتسبين بخيار الرسوم المخفضة المحددة لفئة الشركات الصغيرة والمتوسطة، المتاح اعتباراً من يناير 2020، استفاد من الرسوم المخفضة 120 عضواً (33 من قطاع الاتصالات الراديوية و87 من قطاع تقييس الاتصالات). وسُجلت زيادة صافية قدرها 26 كياناً جديداً في عام 2025 (بلغت الزيادة الصافية 8 كيانات جديدة في عام 2024).</w:t>
      </w:r>
    </w:p>
    <w:p w14:paraId="7018F0C9" w14:textId="219AABEB" w:rsidR="007C0894" w:rsidRPr="007C0894" w:rsidRDefault="00E90B8C" w:rsidP="00E90B8C">
      <w:pPr>
        <w:pStyle w:val="Figure"/>
        <w:bidi/>
        <w:rPr>
          <w:rFonts w:eastAsia="MS Mincho"/>
          <w:lang w:bidi="ar-EG"/>
        </w:rPr>
      </w:pPr>
      <w:r>
        <w:rPr>
          <w:noProof/>
          <w:lang w:bidi="ar-EG"/>
        </w:rPr>
        <w:drawing>
          <wp:inline distT="0" distB="0" distL="0" distR="0" wp14:anchorId="4B7FF5FC" wp14:editId="23D4FD31">
            <wp:extent cx="5761355" cy="3243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inline>
        </w:drawing>
      </w:r>
    </w:p>
    <w:p w14:paraId="07DA46AF" w14:textId="77777777" w:rsidR="007C0894" w:rsidRPr="007C0894" w:rsidRDefault="007C0894" w:rsidP="00E90B8C">
      <w:pPr>
        <w:pStyle w:val="Figurelegend"/>
        <w:rPr>
          <w:color w:val="1F497D"/>
        </w:rPr>
      </w:pPr>
      <w:r w:rsidRPr="007C0894">
        <w:rPr>
          <w:color w:val="1F497D"/>
          <w:rtl/>
        </w:rPr>
        <w:t>الشكل 20 - تغيرات العضوية في الفترة 2022-2025</w:t>
      </w:r>
    </w:p>
    <w:p w14:paraId="5BD65E32" w14:textId="7010F61F" w:rsidR="007C0894" w:rsidRPr="007C0894" w:rsidRDefault="00E90B8C" w:rsidP="00E90B8C">
      <w:pPr>
        <w:pStyle w:val="Heading2"/>
        <w:rPr>
          <w:lang w:val="ar-SA" w:bidi="ar-EG"/>
        </w:rPr>
      </w:pPr>
      <w:bookmarkStart w:id="108" w:name="_Toc224288827"/>
      <w:bookmarkStart w:id="109" w:name="_Toc227252601"/>
      <w:r>
        <w:t>2.5</w:t>
      </w:r>
      <w:r w:rsidR="007C0894" w:rsidRPr="007C0894">
        <w:rPr>
          <w:rtl/>
        </w:rPr>
        <w:tab/>
        <w:t>الحضور الإقليمي</w:t>
      </w:r>
      <w:bookmarkEnd w:id="108"/>
      <w:bookmarkEnd w:id="109"/>
    </w:p>
    <w:p w14:paraId="49E88DF6" w14:textId="5F2E65F4" w:rsidR="007C0894" w:rsidRPr="007C0894" w:rsidRDefault="007C0894" w:rsidP="007C0894">
      <w:pPr>
        <w:rPr>
          <w:lang w:val="ar-SA" w:bidi="ar-EG"/>
        </w:rPr>
      </w:pPr>
      <w:r w:rsidRPr="007C0894">
        <w:rPr>
          <w:rtl/>
        </w:rPr>
        <w:t xml:space="preserve">يؤدي </w:t>
      </w:r>
      <w:hyperlink r:id="rId359" w:anchor="/ar" w:history="1">
        <w:r w:rsidRPr="007C0894">
          <w:rPr>
            <w:rStyle w:val="Hyperlink"/>
            <w:noProof w:val="0"/>
            <w:rtl/>
            <w:lang w:val="en-US" w:eastAsia="zh-CN"/>
          </w:rPr>
          <w:t>الحضور الإقليمي</w:t>
        </w:r>
      </w:hyperlink>
      <w:r w:rsidRPr="007C0894">
        <w:rPr>
          <w:rtl/>
        </w:rPr>
        <w:t>، باعتباره امتداداً للاتحاد ككل، دوراً حيوياً في تحقيق رسالة الاتحاد، وتعزيز فهمه للسياقات المحلية وقدرته على الاستجابة لاحتياجات البلدان بفعالية. ويعزز الحضور الإقليمي التخطيط الاستراتيجي على مستوى كل مكتب إقليمي/مكتب منطقة، وتنفيذ البرامج والمبادرات التي تتوافق مع الغايات الاستراتيجية والأولويات المواضيعية للاتحاد وتستند إليها. ومن خلال تطبيق المقاصد العالمية وتوضيح أولويات البرامج على المستوى الإقليمي، يسعى الاتحاد أيضاً إلى تعزيز فعاليته وتأثيره العالميين بشكل عام.</w:t>
      </w:r>
    </w:p>
    <w:p w14:paraId="799B027C" w14:textId="77777777" w:rsidR="007C0894" w:rsidRPr="007C0894" w:rsidRDefault="007C0894" w:rsidP="007C0894">
      <w:pPr>
        <w:rPr>
          <w:lang w:val="ar-SA" w:bidi="ar-EG"/>
        </w:rPr>
      </w:pPr>
      <w:r w:rsidRPr="007C0894">
        <w:rPr>
          <w:rtl/>
        </w:rPr>
        <w:t>ويعزز الحضور الإقليمي مكانة الاتحاد باعتباره جهة تصميم/تنفيذ ويعزز تعاون الأمم المتحدة، لتوفير فرص إقليمية معززة وبالتالي الوصول إلى المزيد من البلدان وتحديد أولويات أكثر وضوحاً وتأثيراً للمشاركات على المستوى القُطري. وتُبذل جهود أيضاً لتعزيز القدرات على المستوى الإقليمي لضمان قدرة المكاتب الإقليمية ومكاتب المناطق على تنفيذ البرامج والالتزامات المحددة بناءً على الغايات الاستراتيجية والأولويات المواضيعية للاتحاد.</w:t>
      </w:r>
    </w:p>
    <w:p w14:paraId="4ABB535F" w14:textId="4EFFBEEF" w:rsidR="007C0894" w:rsidRPr="007C0894" w:rsidRDefault="007C0894" w:rsidP="007C0894">
      <w:pPr>
        <w:rPr>
          <w:lang w:val="ar-SA" w:bidi="ar-EG"/>
        </w:rPr>
      </w:pPr>
      <w:r w:rsidRPr="007C0894">
        <w:rPr>
          <w:rtl/>
        </w:rPr>
        <w:t xml:space="preserve">ووفقاً للتوصيات المقدمة إلى المجلس في دورته لعام 2025 (تقرير رئيسة اللجنة الدائمة للتنظيم والإدارة، الفقرة 26 من الوثيقة </w:t>
      </w:r>
      <w:hyperlink r:id="rId360" w:history="1">
        <w:r w:rsidRPr="007C0894">
          <w:rPr>
            <w:rStyle w:val="Hyperlink"/>
            <w:noProof w:val="0"/>
            <w:rtl/>
            <w:lang w:val="en-US" w:eastAsia="zh-CN"/>
          </w:rPr>
          <w:t>C25/105</w:t>
        </w:r>
      </w:hyperlink>
      <w:r w:rsidRPr="007C0894">
        <w:rPr>
          <w:rtl/>
        </w:rPr>
        <w:t xml:space="preserve">، والملحق </w:t>
      </w:r>
      <w:r w:rsidRPr="007C0894">
        <w:rPr>
          <w:lang w:bidi="ar-EG"/>
        </w:rPr>
        <w:t>H</w:t>
      </w:r>
      <w:r w:rsidRPr="007C0894">
        <w:rPr>
          <w:rtl/>
        </w:rPr>
        <w:t xml:space="preserve">، والملحق </w:t>
      </w:r>
      <w:r w:rsidRPr="007C0894">
        <w:rPr>
          <w:lang w:bidi="ar-EG"/>
        </w:rPr>
        <w:t>A</w:t>
      </w:r>
      <w:r w:rsidRPr="007C0894">
        <w:rPr>
          <w:rtl/>
        </w:rPr>
        <w:t xml:space="preserve">، والملحق 1)، أجرت الأمانة استعراضاً للحضور الإقليمي للاتحاد منذ يوليو 2025. وتُوجت هذه الجهود بالتقرير النهائي بشأن استعراض الحضور الإقليمي للاتحاد (الوثيقة </w:t>
      </w:r>
      <w:hyperlink r:id="rId361" w:history="1">
        <w:r w:rsidRPr="007C0894">
          <w:rPr>
            <w:rStyle w:val="Hyperlink"/>
            <w:noProof w:val="0"/>
            <w:rtl/>
            <w:lang w:val="en-US" w:eastAsia="zh-CN"/>
          </w:rPr>
          <w:t>C26/24</w:t>
        </w:r>
      </w:hyperlink>
      <w:r w:rsidRPr="007C0894">
        <w:rPr>
          <w:rtl/>
          <w:lang w:bidi="ar-EG"/>
        </w:rPr>
        <w:t>)</w:t>
      </w:r>
      <w:r w:rsidRPr="007C0894">
        <w:rPr>
          <w:rtl/>
        </w:rPr>
        <w:t xml:space="preserve"> الذي سيقدَّم المجلس في دورته لعام 2026، المقرر عقدها في الفترة من 28 أبريل إلى 8 مايو 2026. وستتاح تفاصيل الاستعراض في</w:t>
      </w:r>
      <w:r w:rsidR="00083A78">
        <w:rPr>
          <w:rFonts w:hint="cs"/>
          <w:rtl/>
        </w:rPr>
        <w:t> </w:t>
      </w:r>
      <w:r w:rsidRPr="007C0894">
        <w:rPr>
          <w:rtl/>
        </w:rPr>
        <w:t xml:space="preserve">الوثيقة </w:t>
      </w:r>
      <w:hyperlink r:id="rId362" w:history="1">
        <w:r w:rsidRPr="007C0894">
          <w:rPr>
            <w:rStyle w:val="Hyperlink"/>
            <w:noProof w:val="0"/>
            <w:rtl/>
            <w:lang w:val="en-US" w:eastAsia="zh-CN"/>
          </w:rPr>
          <w:t>C26/INF/10</w:t>
        </w:r>
      </w:hyperlink>
      <w:r w:rsidRPr="007C0894">
        <w:rPr>
          <w:rtl/>
        </w:rPr>
        <w:t>.</w:t>
      </w:r>
    </w:p>
    <w:p w14:paraId="0F7A34F6" w14:textId="77777777" w:rsidR="007C0894" w:rsidRPr="007C0894" w:rsidRDefault="007C0894" w:rsidP="00E90B8C">
      <w:pPr>
        <w:pStyle w:val="Headingb"/>
        <w:rPr>
          <w:lang w:val="ar-SA" w:bidi="ar-EG"/>
        </w:rPr>
      </w:pPr>
      <w:r w:rsidRPr="007C0894">
        <w:rPr>
          <w:rtl/>
        </w:rPr>
        <w:t>المبادرات الإقليمية، 2026-2029</w:t>
      </w:r>
    </w:p>
    <w:p w14:paraId="5E4E85DA" w14:textId="7C7BBE6A" w:rsidR="007C0894" w:rsidRPr="007C0894" w:rsidRDefault="007C0894" w:rsidP="007C0894">
      <w:pPr>
        <w:rPr>
          <w:lang w:val="ar-SA" w:bidi="ar-EG"/>
        </w:rPr>
      </w:pPr>
      <w:r w:rsidRPr="007C0894">
        <w:rPr>
          <w:rtl/>
        </w:rPr>
        <w:t xml:space="preserve">وافق </w:t>
      </w:r>
      <w:hyperlink r:id="rId363" w:anchor="/ar" w:history="1">
        <w:r w:rsidRPr="007C0894">
          <w:rPr>
            <w:rStyle w:val="Hyperlink"/>
            <w:noProof w:val="0"/>
            <w:rtl/>
            <w:lang w:val="en-US" w:eastAsia="zh-CN"/>
          </w:rPr>
          <w:t xml:space="preserve">المؤتمر العالمي لتنمية الاتصالات </w:t>
        </w:r>
        <w:r w:rsidRPr="007C0894">
          <w:rPr>
            <w:rStyle w:val="Hyperlink"/>
            <w:noProof w:val="0"/>
            <w:lang w:val="en-US" w:eastAsia="zh-CN" w:bidi="ar-EG"/>
          </w:rPr>
          <w:t>(WTDC)</w:t>
        </w:r>
      </w:hyperlink>
      <w:r w:rsidRPr="007C0894">
        <w:rPr>
          <w:rtl/>
        </w:rPr>
        <w:t xml:space="preserve"> الذي عقده الاتحاد مؤخراً في باكو في نوفمبر 2025 على مجموعة جديدة من المبادرات الإقليمية للفترة 2026-2029. وتلبي هذه المبادرات المبينة في خطة عمل باكو الاحتياجات المحددة لكل منطقة من مناطق العالم الرئيسية للنهوض بالتحول الرقمي وتسريع وتيرته. انظر الصفحة الإلكترونية لقطاع تنمية الاتصالات </w:t>
      </w:r>
      <w:r w:rsidRPr="007C0894">
        <w:rPr>
          <w:lang w:bidi="ar-EG"/>
        </w:rPr>
        <w:t>(ITU-D)</w:t>
      </w:r>
      <w:r w:rsidRPr="007C0894">
        <w:rPr>
          <w:rtl/>
        </w:rPr>
        <w:t xml:space="preserve"> للاطلاع على مزيد من التفاصيل عن </w:t>
      </w:r>
      <w:hyperlink r:id="rId364" w:history="1">
        <w:r w:rsidRPr="007C0894">
          <w:rPr>
            <w:rStyle w:val="Hyperlink"/>
            <w:noProof w:val="0"/>
            <w:rtl/>
            <w:lang w:val="en-US" w:eastAsia="zh-CN"/>
          </w:rPr>
          <w:t>المبادرات الإقليمية</w:t>
        </w:r>
      </w:hyperlink>
      <w:r w:rsidRPr="007C0894">
        <w:rPr>
          <w:rtl/>
        </w:rPr>
        <w:t>.</w:t>
      </w:r>
    </w:p>
    <w:p w14:paraId="0571D6CA" w14:textId="0EB65099" w:rsidR="007C0894" w:rsidRPr="007C0894" w:rsidRDefault="00E90B8C" w:rsidP="00E90B8C">
      <w:pPr>
        <w:pStyle w:val="Heading2"/>
        <w:rPr>
          <w:lang w:val="ar-SA" w:bidi="ar-EG"/>
        </w:rPr>
      </w:pPr>
      <w:bookmarkStart w:id="110" w:name="_Toc224288828"/>
      <w:bookmarkStart w:id="111" w:name="_Toc227252602"/>
      <w:r>
        <w:t>3.5</w:t>
      </w:r>
      <w:r w:rsidR="007C0894" w:rsidRPr="007C0894">
        <w:rPr>
          <w:rtl/>
        </w:rPr>
        <w:tab/>
        <w:t>إشراك الجميع في المناقشات</w:t>
      </w:r>
      <w:bookmarkEnd w:id="110"/>
      <w:bookmarkEnd w:id="111"/>
    </w:p>
    <w:p w14:paraId="7B49A7A5" w14:textId="77777777" w:rsidR="007C0894" w:rsidRPr="00E90B8C" w:rsidRDefault="007C0894" w:rsidP="00E90B8C">
      <w:pPr>
        <w:pStyle w:val="Headingb"/>
        <w:rPr>
          <w:u w:val="single"/>
          <w:lang w:val="ar-SA" w:bidi="ar-EG"/>
        </w:rPr>
      </w:pPr>
      <w:bookmarkStart w:id="112" w:name="_Toc217486234"/>
      <w:r w:rsidRPr="00E90B8C">
        <w:rPr>
          <w:u w:val="single"/>
          <w:rtl/>
        </w:rPr>
        <w:t>ضمان تكافؤ الفرص للجميع في النفاذ إلى التكنولوجيا واستخدامها</w:t>
      </w:r>
    </w:p>
    <w:p w14:paraId="53B161D9" w14:textId="77777777" w:rsidR="007C0894" w:rsidRPr="007C0894" w:rsidRDefault="007C0894" w:rsidP="007C0894">
      <w:pPr>
        <w:rPr>
          <w:lang w:val="ar-SA" w:bidi="ar-EG"/>
        </w:rPr>
      </w:pPr>
      <w:r w:rsidRPr="007C0894">
        <w:rPr>
          <w:rtl/>
        </w:rPr>
        <w:t>أدى التنوع والشمول دوراً محورياً في تعزيز الشمول الرقمي العالمي من أجل بناء مجتمع رقمي شامل لجميع الناس مع التركيز بشكل خاص على الأشخاص الذين يعيشون في أوضاع هشة من بين الشباب والنساء والفتيات والأشخاص من المجتمعات الريفية والمجتمعات النائية ومجتمعات الشعوب الأصلية والأشخاص ذوي الإعاقة وكبار السن.</w:t>
      </w:r>
    </w:p>
    <w:p w14:paraId="570393E1" w14:textId="77777777" w:rsidR="007C0894" w:rsidRPr="007C0894" w:rsidRDefault="007C0894" w:rsidP="007C0894">
      <w:pPr>
        <w:rPr>
          <w:lang w:val="ar-SA" w:bidi="ar-EG"/>
        </w:rPr>
      </w:pPr>
      <w:r w:rsidRPr="007C0894">
        <w:rPr>
          <w:rtl/>
        </w:rPr>
        <w:t>ويسترشد الاتحاد في عمله المتعلق بالشمول الرقمي بنهج شمولي وتقاطعي يلبي الاحتياجات المتنوعة للناس على اختلاف سنهم وقدراتهم ونوعهم الاجتماعي وخلفيتهم التعليمية وحالتهم الاجتماعية والاقتصادية وموقعهم الجغرافي.</w:t>
      </w:r>
      <w:bookmarkStart w:id="113" w:name="_Hlk219987138"/>
      <w:bookmarkEnd w:id="113"/>
    </w:p>
    <w:p w14:paraId="3F4CF49B" w14:textId="77777777" w:rsidR="007C0894" w:rsidRPr="00E90B8C" w:rsidRDefault="007C0894" w:rsidP="00E90B8C">
      <w:pPr>
        <w:pStyle w:val="Headingb"/>
        <w:rPr>
          <w:u w:val="single"/>
          <w:lang w:val="ar-SA" w:bidi="ar-EG"/>
        </w:rPr>
      </w:pPr>
      <w:r w:rsidRPr="00E90B8C">
        <w:rPr>
          <w:u w:val="single"/>
          <w:rtl/>
        </w:rPr>
        <w:t xml:space="preserve">العمل </w:t>
      </w:r>
      <w:proofErr w:type="spellStart"/>
      <w:r w:rsidRPr="00E90B8C">
        <w:rPr>
          <w:u w:val="single"/>
          <w:rtl/>
        </w:rPr>
        <w:t>التقاطعي</w:t>
      </w:r>
      <w:proofErr w:type="spellEnd"/>
    </w:p>
    <w:p w14:paraId="0650BE4C" w14:textId="27E3B4C9" w:rsidR="007C0894" w:rsidRPr="007C0894" w:rsidRDefault="00010EBC" w:rsidP="00083A78">
      <w:pPr>
        <w:pStyle w:val="Figure"/>
        <w:bidi/>
        <w:rPr>
          <w:rFonts w:eastAsia="MS Mincho"/>
          <w:lang w:val="en-US" w:bidi="ar-EG"/>
        </w:rPr>
      </w:pPr>
      <w:r>
        <w:rPr>
          <w:rFonts w:eastAsia="MS Mincho"/>
          <w:noProof/>
          <w:lang w:val="en-US" w:bidi="ar-EG"/>
        </w:rPr>
        <w:drawing>
          <wp:inline distT="0" distB="0" distL="0" distR="0" wp14:anchorId="0FEBAF29" wp14:editId="69F645E1">
            <wp:extent cx="3462655" cy="284734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462655" cy="2847340"/>
                    </a:xfrm>
                    <a:prstGeom prst="rect">
                      <a:avLst/>
                    </a:prstGeom>
                    <a:noFill/>
                  </pic:spPr>
                </pic:pic>
              </a:graphicData>
            </a:graphic>
          </wp:inline>
        </w:drawing>
      </w:r>
    </w:p>
    <w:p w14:paraId="62A110DF" w14:textId="77777777" w:rsidR="007C0894" w:rsidRPr="007C0894" w:rsidRDefault="007C0894" w:rsidP="00E90B8C">
      <w:pPr>
        <w:pStyle w:val="Figurelegend"/>
        <w:rPr>
          <w:color w:val="1F497D"/>
          <w:rtl/>
        </w:rPr>
      </w:pPr>
      <w:r w:rsidRPr="007C0894">
        <w:rPr>
          <w:color w:val="1F497D"/>
          <w:rtl/>
        </w:rPr>
        <w:t>الشكل 21 - المجتمع الرقمي الشامل.</w:t>
      </w:r>
    </w:p>
    <w:p w14:paraId="3FEA194D" w14:textId="77777777" w:rsidR="007C0894" w:rsidRPr="007C0894" w:rsidRDefault="007C0894" w:rsidP="007C0894">
      <w:pPr>
        <w:rPr>
          <w:b/>
          <w:bCs/>
          <w:lang w:val="ar-SA" w:bidi="ar-EG"/>
        </w:rPr>
      </w:pPr>
      <w:r w:rsidRPr="007C0894">
        <w:rPr>
          <w:b/>
          <w:bCs/>
          <w:rtl/>
        </w:rPr>
        <w:t xml:space="preserve">تشمل الإنجازات الرئيسية في النهج الشمولي </w:t>
      </w:r>
      <w:proofErr w:type="spellStart"/>
      <w:r w:rsidRPr="007C0894">
        <w:rPr>
          <w:b/>
          <w:bCs/>
          <w:rtl/>
        </w:rPr>
        <w:t>والتقاطعي</w:t>
      </w:r>
      <w:proofErr w:type="spellEnd"/>
      <w:r w:rsidRPr="007C0894">
        <w:rPr>
          <w:b/>
          <w:bCs/>
          <w:rtl/>
        </w:rPr>
        <w:t xml:space="preserve"> لقطاع تنمية الاتصالات ما يلي:</w:t>
      </w:r>
    </w:p>
    <w:p w14:paraId="12D9760B" w14:textId="6E0649EF" w:rsidR="007C0894" w:rsidRPr="007C0894" w:rsidRDefault="00E90B8C" w:rsidP="00E90B8C">
      <w:pPr>
        <w:pStyle w:val="enumlev1"/>
        <w:rPr>
          <w:lang w:val="ar-SA" w:bidi="ar-EG"/>
        </w:rPr>
      </w:pPr>
      <w:r>
        <w:sym w:font="Wingdings 2" w:char="F097"/>
      </w:r>
      <w:r>
        <w:tab/>
      </w:r>
      <w:r w:rsidR="007C0894" w:rsidRPr="007C0894">
        <w:rPr>
          <w:rtl/>
        </w:rPr>
        <w:t xml:space="preserve">تعزيز القدرات بشأن مواضيع الشمول الرقمي لما يزيد على </w:t>
      </w:r>
      <w:r>
        <w:t>14 000</w:t>
      </w:r>
      <w:r w:rsidR="007C0894" w:rsidRPr="007C0894">
        <w:rPr>
          <w:rtl/>
        </w:rPr>
        <w:t xml:space="preserve"> من أعضاء الاتحاد وأصحاب المصلحة وواضعي السياسات من أكثر من 120 بلداً لدعم تصميم سياسات واستراتيجيات وطنية للشمول الرقمي وتنفيذها.</w:t>
      </w:r>
    </w:p>
    <w:p w14:paraId="3B923A05" w14:textId="3E960228" w:rsidR="007C0894" w:rsidRPr="007C0894" w:rsidRDefault="00E90B8C" w:rsidP="00E90B8C">
      <w:pPr>
        <w:pStyle w:val="enumlev1"/>
        <w:rPr>
          <w:lang w:val="ar-SA" w:bidi="ar-EG"/>
        </w:rPr>
      </w:pPr>
      <w:r>
        <w:sym w:font="Wingdings 2" w:char="F097"/>
      </w:r>
      <w:r>
        <w:tab/>
      </w:r>
      <w:r w:rsidR="007C0894" w:rsidRPr="007C0894">
        <w:rPr>
          <w:rtl/>
        </w:rPr>
        <w:t xml:space="preserve">تقديم دورات تدريبية مخصصة ومحلية بشأن الشمول الرقمي لما يزيد على </w:t>
      </w:r>
      <w:r>
        <w:t>13 000</w:t>
      </w:r>
      <w:r w:rsidR="007C0894" w:rsidRPr="007C0894">
        <w:rPr>
          <w:rtl/>
        </w:rPr>
        <w:t xml:space="preserve"> مستخدم نهائي في أكثر من 40 بلداً، بما في ذلك المستخدمون المكفوفون في باكستان والشباب في إفريقيا ومجتمعات الشعوب الأصلية في أمريكا اللاتينية.</w:t>
      </w:r>
    </w:p>
    <w:p w14:paraId="73C8AA3B" w14:textId="77A418B1" w:rsidR="007C0894" w:rsidRPr="00E90B8C" w:rsidRDefault="00E90B8C" w:rsidP="00E90B8C">
      <w:pPr>
        <w:pStyle w:val="enumlev1"/>
        <w:rPr>
          <w:spacing w:val="-4"/>
          <w:lang w:val="ar-SA" w:bidi="ar-EG"/>
        </w:rPr>
      </w:pPr>
      <w:r w:rsidRPr="00E90B8C">
        <w:rPr>
          <w:spacing w:val="-4"/>
        </w:rPr>
        <w:sym w:font="Wingdings 2" w:char="F097"/>
      </w:r>
      <w:r w:rsidRPr="00E90B8C">
        <w:rPr>
          <w:spacing w:val="-4"/>
        </w:rPr>
        <w:tab/>
      </w:r>
      <w:r w:rsidR="007C0894" w:rsidRPr="00E90B8C">
        <w:rPr>
          <w:spacing w:val="-4"/>
          <w:rtl/>
        </w:rPr>
        <w:t>تقديم دعم مستهدف إلى 12 بلداً من أقل البلدان نمواً والبلدان النامية غير الساحلية والدول الجزرية الصغيرة النامية.</w:t>
      </w:r>
    </w:p>
    <w:p w14:paraId="74378028" w14:textId="6D5436B5" w:rsidR="007C0894" w:rsidRPr="0001139A" w:rsidRDefault="00E90B8C" w:rsidP="00E90B8C">
      <w:pPr>
        <w:pStyle w:val="enumlev1"/>
        <w:rPr>
          <w:spacing w:val="-4"/>
          <w:lang w:val="ar-SA" w:bidi="ar-EG"/>
        </w:rPr>
      </w:pPr>
      <w:r w:rsidRPr="0001139A">
        <w:rPr>
          <w:spacing w:val="-4"/>
        </w:rPr>
        <w:sym w:font="Wingdings 2" w:char="F097"/>
      </w:r>
      <w:r w:rsidRPr="0001139A">
        <w:rPr>
          <w:spacing w:val="-4"/>
        </w:rPr>
        <w:tab/>
      </w:r>
      <w:r w:rsidR="007C0894" w:rsidRPr="0001139A">
        <w:rPr>
          <w:spacing w:val="-4"/>
          <w:rtl/>
        </w:rPr>
        <w:t>كان لعمل مكتب تنمية الاتصالات المتعلق بالشمول الرقمي تأثير ملموس في المجالات التالية على وجه الخصوص:</w:t>
      </w:r>
    </w:p>
    <w:p w14:paraId="103C7FF0" w14:textId="77777777" w:rsidR="007C0894" w:rsidRPr="007C0894" w:rsidRDefault="007C0894" w:rsidP="00E90B8C">
      <w:pPr>
        <w:pStyle w:val="Headingb"/>
        <w:rPr>
          <w:lang w:val="ar-SA" w:bidi="ar-EG"/>
        </w:rPr>
      </w:pPr>
      <w:r w:rsidRPr="007C0894">
        <w:rPr>
          <w:rtl/>
        </w:rPr>
        <w:t>المشورة المتخصصة وبناء القدرات لوضع سياسات واستراتيجيات الشمول الرقمي</w:t>
      </w:r>
    </w:p>
    <w:p w14:paraId="7C04C1F9" w14:textId="7EEEF699" w:rsidR="007C0894" w:rsidRPr="007C0894" w:rsidRDefault="007C0894" w:rsidP="007C0894">
      <w:pPr>
        <w:rPr>
          <w:lang w:val="ar-SA" w:bidi="ar-EG"/>
        </w:rPr>
      </w:pPr>
      <w:r w:rsidRPr="007C0894">
        <w:rPr>
          <w:rtl/>
        </w:rPr>
        <w:t xml:space="preserve">عزز مكتب تنمية الاتصالات القدرات بشأن سياسات الشمول الرقمي من خلال الدعم المتخصص والتدخلات المصممة حسب الاحتياجات، ما أدى إلى تمكين ما يزيد على </w:t>
      </w:r>
      <w:r w:rsidR="00E90B8C">
        <w:t>10 500</w:t>
      </w:r>
      <w:r w:rsidRPr="007C0894">
        <w:rPr>
          <w:rtl/>
        </w:rPr>
        <w:t xml:space="preserve"> من واضعي السياسات وصناع القرار وأصحاب المصلحة من أكثر من 120 بلداً عبر مناطق إفريقيا وآسيا والمحيط الهادئ وكومنولث الدول المستقلة والدول العربية </w:t>
      </w:r>
      <w:proofErr w:type="spellStart"/>
      <w:r w:rsidRPr="007C0894">
        <w:rPr>
          <w:rtl/>
        </w:rPr>
        <w:t>والأمريكتين</w:t>
      </w:r>
      <w:proofErr w:type="spellEnd"/>
      <w:r w:rsidRPr="007C0894">
        <w:rPr>
          <w:rtl/>
        </w:rPr>
        <w:t xml:space="preserve"> وأوروبا. وقد مكنهم بناء القدرات هذا من تصميم ووضع وتنفيذ استراتيجيات وسياسات وممارسات تعزز الشمول والإنصاف الرقميين، ما يضمن أن يتمكن جميع الناس - بمن فيهم النساء والفتيات وكبار السن والأشخاص ذوو الإعاقة وأفراد المجتمعات النائية ومجتمعات الشعوب الأصلية - من استخدام منتجات تكنولوجيا المعلومات والاتصالات وخدماتها بشكل منصف من أجل التواصل والمشاركة والازدهار في الفضاء الرقمي.</w:t>
      </w:r>
    </w:p>
    <w:p w14:paraId="5D92589A" w14:textId="77777777" w:rsidR="007C0894" w:rsidRPr="007C0894" w:rsidRDefault="007C0894" w:rsidP="007C0894">
      <w:pPr>
        <w:rPr>
          <w:lang w:val="ar-SA" w:bidi="ar-EG"/>
        </w:rPr>
      </w:pPr>
      <w:r w:rsidRPr="007C0894">
        <w:rPr>
          <w:rtl/>
        </w:rPr>
        <w:t>وتحقق هذا النقل المكثف للمعارف من خلال الدورات التدريبية وورش العمل التنفيذية المصممة حسب الاحتياجات والمقدمة وجهاً لوجه والمشاركة في المنصات الإقليمية والعالمية ومنصات الأمم المتحدة التي تتناول السياسات الرقمية الشاملة وتعميم مبدأ المساواة بين الجنسين وإمكانية النفاذ إلى تكنولوجيا المعلومات والاتصالات/النفاذ الرقمي والشيخوخة ومشاركة الشباب.</w:t>
      </w:r>
    </w:p>
    <w:p w14:paraId="525E028E" w14:textId="39A2EC42" w:rsidR="007C0894" w:rsidRPr="007C0894" w:rsidRDefault="007C0894" w:rsidP="007C0894">
      <w:pPr>
        <w:rPr>
          <w:lang w:val="ar-SA" w:bidi="ar-EG"/>
        </w:rPr>
      </w:pPr>
      <w:r w:rsidRPr="007C0894">
        <w:rPr>
          <w:rtl/>
        </w:rPr>
        <w:t xml:space="preserve">وبالإضافة إلى ذلك، قام أكثر من </w:t>
      </w:r>
      <w:r w:rsidR="00E90B8C">
        <w:t>3 500</w:t>
      </w:r>
      <w:r w:rsidRPr="007C0894">
        <w:rPr>
          <w:rtl/>
        </w:rPr>
        <w:t xml:space="preserve"> من أعضاء الاتحاد وأصحاب المصلحة بتعزيز قدراتهم بشأن مواضيع الشمول الرقمي من خلال المشاركة عن طريق التدريب الذاتي الوتيرة عبر الإنترنت المتاح من خلال منصات من قبيل أكاديمية الاتحاد. وتقدَّم هذه الدورات التدريبية مجاناً بأنساق يمكن النفاذ إليها رقمياً (يمكن للمكفوفين والصم استخدامها أيضاً)، وبلغات متعددة (مثل الإنكليزية والفرنسية والإسبانية والعربية والروسية والبرتغالية) مع محتوى محلي، ما يضمن شموليتها وإتاحتها على نطاق واسع.</w:t>
      </w:r>
    </w:p>
    <w:p w14:paraId="7B94F007" w14:textId="77777777" w:rsidR="007C0894" w:rsidRPr="007C0894" w:rsidRDefault="007C0894" w:rsidP="00E90B8C">
      <w:pPr>
        <w:pStyle w:val="Headingb"/>
        <w:rPr>
          <w:lang w:val="ar-SA" w:bidi="ar-EG"/>
        </w:rPr>
      </w:pPr>
      <w:r w:rsidRPr="007C0894">
        <w:rPr>
          <w:rtl/>
        </w:rPr>
        <w:t>الاستراتيجية الوطنية بشأن الشمول الرقمي - نموذج متطور</w:t>
      </w:r>
    </w:p>
    <w:p w14:paraId="1BC932B5" w14:textId="44DC36E4" w:rsidR="007C0894" w:rsidRPr="007C0894" w:rsidRDefault="007C0894" w:rsidP="007C0894">
      <w:pPr>
        <w:rPr>
          <w:lang w:val="ar-SA" w:bidi="ar-EG"/>
        </w:rPr>
      </w:pPr>
      <w:r w:rsidRPr="007C0894">
        <w:rPr>
          <w:rtl/>
        </w:rPr>
        <w:t xml:space="preserve">تم أيضاً تعزيز وتيسير الخبرة المتخصصة في هذا الموضوع لدعم وضع خطط استراتيجية وطنية بشأن الشمول الرقمي - مصممة من منظور شمولي وتقاطعي لضمان تلبية احتياجات ومتطلبات جميع المواطنين فيما يتعلق باستخدام التكنولوجيا والتواصل والمشاركة في المجتمع الرقمي. ونفذ مكتب تنمية الاتصالات خطة تجريبية في بوروندي بهدف تكرار هذا النهج وزيادة تطويره في بلدان ومناطق أخرى. وبالإضافة إلى ذلك، أُعدت تقارير عن سياسة المساواة بين الجنسين من أجل </w:t>
      </w:r>
      <w:hyperlink r:id="rId366" w:anchor="/ar" w:history="1">
        <w:r w:rsidRPr="007C0894">
          <w:rPr>
            <w:rStyle w:val="Hyperlink"/>
            <w:noProof w:val="0"/>
            <w:rtl/>
            <w:lang w:val="en-US" w:eastAsia="zh-CN"/>
          </w:rPr>
          <w:t>بوروندي</w:t>
        </w:r>
      </w:hyperlink>
      <w:r w:rsidRPr="007C0894">
        <w:rPr>
          <w:rtl/>
        </w:rPr>
        <w:t xml:space="preserve"> و</w:t>
      </w:r>
      <w:hyperlink r:id="rId367" w:anchor="/ar" w:history="1">
        <w:r w:rsidRPr="007C0894">
          <w:rPr>
            <w:rStyle w:val="Hyperlink"/>
            <w:noProof w:val="0"/>
            <w:rtl/>
            <w:lang w:val="en-US" w:eastAsia="zh-CN"/>
          </w:rPr>
          <w:t>إثيوبيا</w:t>
        </w:r>
      </w:hyperlink>
      <w:r w:rsidRPr="007C0894">
        <w:rPr>
          <w:rtl/>
        </w:rPr>
        <w:t xml:space="preserve"> وهايتي والجمهورية </w:t>
      </w:r>
      <w:proofErr w:type="spellStart"/>
      <w:r w:rsidRPr="007C0894">
        <w:rPr>
          <w:rtl/>
        </w:rPr>
        <w:t>الدومينيكية</w:t>
      </w:r>
      <w:proofErr w:type="spellEnd"/>
      <w:r w:rsidRPr="007C0894">
        <w:rPr>
          <w:rtl/>
        </w:rPr>
        <w:t xml:space="preserve"> وليبيا.</w:t>
      </w:r>
    </w:p>
    <w:p w14:paraId="10AB0E77" w14:textId="2144E4BF" w:rsidR="007C0894" w:rsidRPr="007C0894" w:rsidRDefault="00E90B8C" w:rsidP="00E90B8C">
      <w:pPr>
        <w:pStyle w:val="Heading3"/>
        <w:rPr>
          <w:lang w:val="ar-SA" w:bidi="ar-EG"/>
        </w:rPr>
      </w:pPr>
      <w:bookmarkStart w:id="114" w:name="_Toc224288829"/>
      <w:bookmarkStart w:id="115" w:name="_Toc227252603"/>
      <w:bookmarkEnd w:id="112"/>
      <w:r>
        <w:t>1.3.5</w:t>
      </w:r>
      <w:r w:rsidR="007C0894" w:rsidRPr="007C0894">
        <w:rPr>
          <w:rtl/>
        </w:rPr>
        <w:tab/>
        <w:t>المساواة بين الجنسين</w:t>
      </w:r>
      <w:bookmarkEnd w:id="114"/>
      <w:bookmarkEnd w:id="115"/>
    </w:p>
    <w:p w14:paraId="0D56B45D" w14:textId="02071A47" w:rsidR="007C0894" w:rsidRPr="007C0894" w:rsidRDefault="007C0894" w:rsidP="007C0894">
      <w:pPr>
        <w:rPr>
          <w:lang w:val="ar-SA" w:bidi="ar-EG"/>
        </w:rPr>
      </w:pPr>
      <w:r w:rsidRPr="007C0894">
        <w:rPr>
          <w:rtl/>
        </w:rPr>
        <w:t xml:space="preserve">تظهر البيانات الواردة في هذا التقرير أن </w:t>
      </w:r>
      <w:r w:rsidRPr="007C0894">
        <w:rPr>
          <w:b/>
          <w:bCs/>
          <w:rtl/>
        </w:rPr>
        <w:t>التفاوتات بين الجنسين في النفاذ الرقمي لا تزال قائمة</w:t>
      </w:r>
      <w:r w:rsidRPr="007C0894">
        <w:rPr>
          <w:rtl/>
        </w:rPr>
        <w:t xml:space="preserve"> إذ إن 77 في </w:t>
      </w:r>
      <w:proofErr w:type="gramStart"/>
      <w:r w:rsidRPr="007C0894">
        <w:rPr>
          <w:rtl/>
        </w:rPr>
        <w:t>المائة</w:t>
      </w:r>
      <w:proofErr w:type="gramEnd"/>
      <w:r w:rsidRPr="007C0894">
        <w:rPr>
          <w:rtl/>
        </w:rPr>
        <w:t xml:space="preserve"> من الرجال موصولون الإنترنت مق</w:t>
      </w:r>
      <w:r w:rsidR="00E90B8C">
        <w:rPr>
          <w:rFonts w:hint="cs"/>
          <w:rtl/>
        </w:rPr>
        <w:t>ا</w:t>
      </w:r>
      <w:r w:rsidRPr="007C0894">
        <w:rPr>
          <w:rtl/>
        </w:rPr>
        <w:t xml:space="preserve">بل 71 في </w:t>
      </w:r>
      <w:proofErr w:type="gramStart"/>
      <w:r w:rsidRPr="007C0894">
        <w:rPr>
          <w:rtl/>
        </w:rPr>
        <w:t>المائة</w:t>
      </w:r>
      <w:proofErr w:type="gramEnd"/>
      <w:r w:rsidRPr="007C0894">
        <w:rPr>
          <w:rtl/>
        </w:rPr>
        <w:t xml:space="preserve"> من النساء اللواتي يستخدمن الإنترنت في جميع أنحاء العالم. وظلت درجة التكافؤ بين الجنسين على الصعيد العالمي دون تغيير منذ عام 2019، عند القيمة 0,92، ما يدل على </w:t>
      </w:r>
      <w:r w:rsidRPr="007C0894">
        <w:rPr>
          <w:b/>
          <w:bCs/>
          <w:rtl/>
        </w:rPr>
        <w:t>عدم إحراز تقدم إجمالي</w:t>
      </w:r>
      <w:r w:rsidRPr="007C0894">
        <w:rPr>
          <w:rtl/>
        </w:rPr>
        <w:t xml:space="preserve"> في السنوات الأخيرة. وتقترب منطقة الأمريكتين ومنطقة أوروبا ومنطقة كومنولث الدول المستقلة والدول الجزرية الصغيرة النامية من التكافؤ، في حين لا تزال الفجوات كبيرة في منطقة آسيا والمحيط الهادئ (0,91) ومنطقة الدول العربية (0,86)، وتسجَّل أوسع الفجوات في منطقة إفريقيا، على الرغم من إحراز تقدم من 0,70 إلى 0,78 منذ عام 2019. والجدير بالذكر أن أقل البلدان نمواً والبلدان النامية غير الساحلية لا تزال تعاني من فجوات كبيرة. وعلى الرغم من زيادة التوصيلية العالمية، لا تزال النساء مستبعدات على نحو غير متناسب من المشاركة الكاملة في العالم الرقمي، خاصة في</w:t>
      </w:r>
      <w:r w:rsidR="0001139A">
        <w:rPr>
          <w:rFonts w:hint="cs"/>
          <w:rtl/>
        </w:rPr>
        <w:t> </w:t>
      </w:r>
      <w:r w:rsidRPr="007C0894">
        <w:rPr>
          <w:rtl/>
        </w:rPr>
        <w:t xml:space="preserve">البلدان ذات الدخل المنخفض (اطلع على المزيد في القسم </w:t>
      </w:r>
      <w:hyperlink w:anchor="_2.2.3_التحول_الرقمي" w:history="1">
        <w:r w:rsidRPr="007C0894">
          <w:rPr>
            <w:rStyle w:val="Hyperlink"/>
            <w:noProof w:val="0"/>
            <w:rtl/>
            <w:lang w:val="en-US" w:eastAsia="zh-CN"/>
          </w:rPr>
          <w:t>2.2.3</w:t>
        </w:r>
      </w:hyperlink>
      <w:r w:rsidRPr="007C0894">
        <w:rPr>
          <w:rtl/>
        </w:rPr>
        <w:t xml:space="preserve"> أعلاه).</w:t>
      </w:r>
    </w:p>
    <w:p w14:paraId="5252120D" w14:textId="77777777" w:rsidR="007C0894" w:rsidRPr="007C0894" w:rsidRDefault="007C0894" w:rsidP="007C0894">
      <w:pPr>
        <w:rPr>
          <w:lang w:val="ar-SA" w:bidi="ar-EG"/>
        </w:rPr>
      </w:pPr>
      <w:r w:rsidRPr="007C0894">
        <w:rPr>
          <w:rtl/>
        </w:rPr>
        <w:t>ويستخدم الاتحاد نهجاً مزدوجاً لمعالجة التفاوتات</w:t>
      </w:r>
      <w:r w:rsidRPr="007C0894">
        <w:rPr>
          <w:lang w:bidi="ar-EG"/>
        </w:rPr>
        <w:t xml:space="preserve">: </w:t>
      </w:r>
      <w:r w:rsidRPr="007C0894">
        <w:rPr>
          <w:rtl/>
        </w:rPr>
        <w:t>(1) تدخلات موجَّهة للتصدي مباشرة للفجوات بين الجنسين، (2) تعميم منظور المساواة بين الجنسين في جميع السياسات والبرامج وعمليات صنع القرار. ويستند التزام الاتحاد بدمج مبدأ المساواة بين الجنسين في جميع الأنشطة إلى القرار 70.</w:t>
      </w:r>
    </w:p>
    <w:p w14:paraId="318B5464" w14:textId="25554CD6" w:rsidR="007C0894" w:rsidRPr="0001139A" w:rsidRDefault="007C0894" w:rsidP="00E90B8C">
      <w:pPr>
        <w:rPr>
          <w:spacing w:val="-2"/>
          <w:lang w:val="ar-SA" w:bidi="ar-EG"/>
        </w:rPr>
      </w:pPr>
      <w:r w:rsidRPr="0001139A">
        <w:rPr>
          <w:spacing w:val="-2"/>
          <w:rtl/>
        </w:rPr>
        <w:t xml:space="preserve">وتشمل التدخلات الموجَّهة الداعمة للفتيات والنساء في مجال تكنولوجيا المعلومات والاتصالات </w:t>
      </w:r>
      <w:hyperlink r:id="rId368" w:anchor="/ar" w:history="1">
        <w:r w:rsidRPr="0001139A">
          <w:rPr>
            <w:rStyle w:val="Hyperlink"/>
            <w:noProof w:val="0"/>
            <w:spacing w:val="-2"/>
            <w:rtl/>
            <w:lang w:val="en-US" w:eastAsia="zh-CN"/>
          </w:rPr>
          <w:t>اليوم الدولي للفتيات في مجال تكنولوجيا المعلومات والاتصالات</w:t>
        </w:r>
      </w:hyperlink>
      <w:r w:rsidRPr="0001139A">
        <w:rPr>
          <w:spacing w:val="-2"/>
          <w:rtl/>
        </w:rPr>
        <w:t>، و</w:t>
      </w:r>
      <w:hyperlink r:id="rId369" w:history="1">
        <w:r w:rsidRPr="0001139A">
          <w:rPr>
            <w:rStyle w:val="Hyperlink"/>
            <w:noProof w:val="0"/>
            <w:spacing w:val="-2"/>
            <w:rtl/>
            <w:lang w:val="en-US" w:eastAsia="zh-CN"/>
          </w:rPr>
          <w:t xml:space="preserve">الشراكة العالمية </w:t>
        </w:r>
        <w:r w:rsidRPr="0001139A">
          <w:rPr>
            <w:rStyle w:val="Hyperlink"/>
            <w:noProof w:val="0"/>
            <w:spacing w:val="-2"/>
            <w:lang w:val="en-US" w:eastAsia="zh-CN" w:bidi="ar-EG"/>
          </w:rPr>
          <w:t>EQUALS</w:t>
        </w:r>
      </w:hyperlink>
      <w:r w:rsidRPr="0001139A">
        <w:rPr>
          <w:spacing w:val="-2"/>
          <w:rtl/>
        </w:rPr>
        <w:t xml:space="preserve">، ومبادرة </w:t>
      </w:r>
      <w:hyperlink r:id="rId370" w:history="1">
        <w:r w:rsidRPr="0001139A">
          <w:rPr>
            <w:rStyle w:val="Hyperlink"/>
            <w:noProof w:val="0"/>
            <w:spacing w:val="-2"/>
            <w:rtl/>
            <w:lang w:val="en-US" w:eastAsia="zh-CN"/>
          </w:rPr>
          <w:t>المرأة في المجال السيبراني</w:t>
        </w:r>
      </w:hyperlink>
      <w:r w:rsidRPr="0001139A">
        <w:rPr>
          <w:spacing w:val="-2"/>
          <w:rtl/>
        </w:rPr>
        <w:t xml:space="preserve">، وسلسلة المقابلات </w:t>
      </w:r>
      <w:hyperlink r:id="rId371" w:history="1">
        <w:r w:rsidRPr="0001139A">
          <w:rPr>
            <w:rStyle w:val="Hyperlink"/>
            <w:noProof w:val="0"/>
            <w:spacing w:val="-2"/>
            <w:rtl/>
            <w:lang w:val="en-US" w:eastAsia="zh-CN"/>
          </w:rPr>
          <w:t>لنتحدث عن التكنولوجيا</w:t>
        </w:r>
      </w:hyperlink>
      <w:r w:rsidRPr="0001139A">
        <w:rPr>
          <w:spacing w:val="-2"/>
          <w:rtl/>
        </w:rPr>
        <w:t xml:space="preserve">، وبرنامج </w:t>
      </w:r>
      <w:hyperlink r:id="rId372" w:history="1">
        <w:r w:rsidRPr="0001139A">
          <w:rPr>
            <w:rStyle w:val="Hyperlink"/>
            <w:noProof w:val="0"/>
            <w:spacing w:val="-2"/>
            <w:rtl/>
            <w:lang w:val="en-US" w:eastAsia="zh-CN"/>
          </w:rPr>
          <w:t>مهاراتها الرقمية</w:t>
        </w:r>
      </w:hyperlink>
      <w:r w:rsidRPr="0001139A">
        <w:rPr>
          <w:spacing w:val="-2"/>
          <w:rtl/>
        </w:rPr>
        <w:t xml:space="preserve">، ومبادرة </w:t>
      </w:r>
      <w:hyperlink r:id="rId373" w:history="1">
        <w:r w:rsidRPr="0001139A">
          <w:rPr>
            <w:rStyle w:val="Hyperlink"/>
            <w:noProof w:val="0"/>
            <w:spacing w:val="-2"/>
            <w:rtl/>
            <w:lang w:val="en-US" w:eastAsia="zh-CN"/>
          </w:rPr>
          <w:t>مساراتها السيبرانية</w:t>
        </w:r>
      </w:hyperlink>
      <w:r w:rsidRPr="0001139A">
        <w:rPr>
          <w:spacing w:val="-2"/>
          <w:rtl/>
        </w:rPr>
        <w:t xml:space="preserve">، ومبادرة الفتيات يستطعن التشفير في </w:t>
      </w:r>
      <w:hyperlink r:id="rId374" w:history="1">
        <w:r w:rsidRPr="0001139A">
          <w:rPr>
            <w:rStyle w:val="Hyperlink"/>
            <w:noProof w:val="0"/>
            <w:spacing w:val="-2"/>
            <w:rtl/>
            <w:lang w:val="en-US" w:eastAsia="zh-CN"/>
          </w:rPr>
          <w:t>إفريقيا</w:t>
        </w:r>
      </w:hyperlink>
      <w:r w:rsidRPr="0001139A">
        <w:rPr>
          <w:spacing w:val="-2"/>
          <w:rtl/>
        </w:rPr>
        <w:t xml:space="preserve"> </w:t>
      </w:r>
      <w:proofErr w:type="spellStart"/>
      <w:r w:rsidRPr="0001139A">
        <w:rPr>
          <w:spacing w:val="-2"/>
          <w:rtl/>
        </w:rPr>
        <w:t>و</w:t>
      </w:r>
      <w:hyperlink r:id="rId375" w:anchor="/ar" w:history="1">
        <w:r w:rsidRPr="0001139A">
          <w:rPr>
            <w:rStyle w:val="Hyperlink"/>
            <w:noProof w:val="0"/>
            <w:spacing w:val="-2"/>
            <w:rtl/>
            <w:lang w:val="en-US" w:eastAsia="zh-CN"/>
          </w:rPr>
          <w:t>الأمريكتين</w:t>
        </w:r>
        <w:proofErr w:type="spellEnd"/>
      </w:hyperlink>
      <w:r w:rsidRPr="0001139A">
        <w:rPr>
          <w:spacing w:val="-2"/>
          <w:rtl/>
        </w:rPr>
        <w:t xml:space="preserve">. وتوفر المبادرات التدريب والتوجيه والفرص لتحفيز الفتيات والشابات على اتباع مسارات وظيفية في مجال تكنولوجيا المعلومات والاتصالات. ففي عام 2024، على سبيل المثال، نظم برنامج "مهاراتها الرقمية" 21 ورشة عمل استفادت منها أكثر من </w:t>
      </w:r>
      <w:r w:rsidR="00E90B8C" w:rsidRPr="0001139A">
        <w:rPr>
          <w:spacing w:val="-2"/>
        </w:rPr>
        <w:t>1 700</w:t>
      </w:r>
      <w:r w:rsidRPr="0001139A">
        <w:rPr>
          <w:spacing w:val="-2"/>
          <w:rtl/>
        </w:rPr>
        <w:t xml:space="preserve"> مشاركة، بينما دُرب في إطار مبادرة "مساراتها السيبرانية" ما يقرب من</w:t>
      </w:r>
      <w:r w:rsidR="0001139A" w:rsidRPr="0001139A">
        <w:rPr>
          <w:rFonts w:hint="cs"/>
          <w:spacing w:val="-2"/>
          <w:rtl/>
        </w:rPr>
        <w:t> </w:t>
      </w:r>
      <w:r w:rsidRPr="0001139A">
        <w:rPr>
          <w:spacing w:val="-2"/>
          <w:rtl/>
        </w:rPr>
        <w:t>300 امرأة في مجال الأمن السيبراني.</w:t>
      </w:r>
    </w:p>
    <w:p w14:paraId="493147BC" w14:textId="1E9508AB" w:rsidR="007C0894" w:rsidRPr="007C0894" w:rsidRDefault="007C0894" w:rsidP="007C0894">
      <w:pPr>
        <w:rPr>
          <w:lang w:val="ar-SA" w:bidi="ar-EG"/>
        </w:rPr>
      </w:pPr>
      <w:r w:rsidRPr="007C0894">
        <w:rPr>
          <w:rtl/>
        </w:rPr>
        <w:t xml:space="preserve">وتجسد الشراكة العالمية EQUALS 2.0 مرحلتها الجديدة، حيث تم تحديث الهيكل الإداري والرؤية الاستراتيجية والرسالة، ما يؤكد من جديد الالتزامات بسد الفجوة الرقمية بين الجنسين. ويقدم </w:t>
      </w:r>
      <w:hyperlink r:id="rId376" w:history="1">
        <w:r w:rsidRPr="007C0894">
          <w:rPr>
            <w:rStyle w:val="Hyperlink"/>
            <w:noProof w:val="0"/>
            <w:rtl/>
            <w:lang w:val="en-US" w:eastAsia="zh-CN"/>
          </w:rPr>
          <w:t xml:space="preserve">التقرير البحثي للشراكة العالمية </w:t>
        </w:r>
        <w:r w:rsidRPr="007C0894">
          <w:rPr>
            <w:rStyle w:val="Hyperlink"/>
            <w:noProof w:val="0"/>
            <w:lang w:val="en-US" w:eastAsia="zh-CN" w:bidi="ar-EG"/>
          </w:rPr>
          <w:t>EQUALS</w:t>
        </w:r>
        <w:r w:rsidRPr="007C0894">
          <w:rPr>
            <w:rStyle w:val="Hyperlink"/>
            <w:noProof w:val="0"/>
            <w:rtl/>
            <w:lang w:val="en-US" w:eastAsia="zh-CN"/>
          </w:rPr>
          <w:t xml:space="preserve"> لعام 2025</w:t>
        </w:r>
        <w:r w:rsidRPr="007C0894">
          <w:rPr>
            <w:rStyle w:val="Hyperlink"/>
            <w:noProof w:val="0"/>
            <w:lang w:val="en-US" w:eastAsia="zh-CN" w:bidi="ar-EG"/>
          </w:rPr>
          <w:t>:</w:t>
        </w:r>
        <w:r w:rsidRPr="007C0894">
          <w:rPr>
            <w:rStyle w:val="Hyperlink"/>
            <w:noProof w:val="0"/>
            <w:rtl/>
            <w:lang w:val="en-US" w:eastAsia="zh-CN"/>
          </w:rPr>
          <w:t xml:space="preserve"> النهوض بتمكين المرأة في العصر الرقمي</w:t>
        </w:r>
      </w:hyperlink>
      <w:r w:rsidRPr="007C0894">
        <w:rPr>
          <w:rtl/>
        </w:rPr>
        <w:t xml:space="preserve"> أدلة عالمية محدَّثة بشأن الفجوات بين الجنسين في النفاذ والمهارات والقيادة والتكنولوجيات الناشئة. ويعرض الرقم القياسي لشمولية الجنسين للشراكة العالمية </w:t>
      </w:r>
      <w:r w:rsidRPr="007C0894">
        <w:rPr>
          <w:lang w:bidi="ar-EG"/>
        </w:rPr>
        <w:t>EQUALS</w:t>
      </w:r>
      <w:r w:rsidRPr="007C0894">
        <w:rPr>
          <w:rtl/>
        </w:rPr>
        <w:t xml:space="preserve"> لعام 2025 التقدم المحرز والفجوات المتبقية في النهوض بالمساواة بين الجنسين في قطاع الاتصالات المتنقلة.</w:t>
      </w:r>
    </w:p>
    <w:p w14:paraId="0299D51C" w14:textId="050E8A66" w:rsidR="007C0894" w:rsidRPr="007C0894" w:rsidRDefault="007C0894" w:rsidP="0001139A">
      <w:pPr>
        <w:keepLines/>
        <w:rPr>
          <w:lang w:val="ar-SA" w:bidi="ar-EG"/>
        </w:rPr>
      </w:pPr>
      <w:r w:rsidRPr="007C0894">
        <w:rPr>
          <w:rtl/>
        </w:rPr>
        <w:t xml:space="preserve">وتشمل جهود بناء القدرات الموسَّعة دورات منظمة وشهادات يمكن الحصول عليها من أكاديمية الاتحاد. ويتاح تدريب إلكتروني ذاتي الوتيرة بشأن </w:t>
      </w:r>
      <w:hyperlink r:id="rId377" w:anchor="/ar" w:history="1">
        <w:r w:rsidRPr="007C0894">
          <w:rPr>
            <w:rStyle w:val="Hyperlink"/>
            <w:noProof w:val="0"/>
            <w:rtl/>
            <w:lang w:val="en-US" w:eastAsia="zh-CN"/>
          </w:rPr>
          <w:t>تحليل قضايا الجنسين من أجل الشمول الرقمي</w:t>
        </w:r>
      </w:hyperlink>
      <w:r w:rsidRPr="007C0894">
        <w:rPr>
          <w:rtl/>
        </w:rPr>
        <w:t xml:space="preserve"> وتدريب آخر يستند إلى </w:t>
      </w:r>
      <w:hyperlink r:id="rId378" w:anchor="/ar" w:history="1">
        <w:r w:rsidRPr="007C0894">
          <w:rPr>
            <w:rStyle w:val="Hyperlink"/>
            <w:noProof w:val="0"/>
            <w:rtl/>
            <w:lang w:val="en-US" w:eastAsia="zh-CN"/>
          </w:rPr>
          <w:t>كتيب الاتحاد بشأن تعميم مراعاة منظور المساواة بين الجنسين في السياسات الرقمية</w:t>
        </w:r>
      </w:hyperlink>
      <w:r w:rsidRPr="007C0894">
        <w:rPr>
          <w:rtl/>
        </w:rPr>
        <w:t>، الذي يدعم دمج مبدأ المساواة بين الجنسين في الاستراتيجيات الوطنية. ولا يزال هذا الأمر أساسياً بالنظر إلى أن 94 بلداً كانت قد وضعت برامج رقمية وطنية بحلول عام 2022، غير أن 21 بلداً فقط أدرجت صراحةً النساء والفتيات.</w:t>
      </w:r>
    </w:p>
    <w:p w14:paraId="62915688" w14:textId="6852113C" w:rsidR="007C0894" w:rsidRPr="007C0894" w:rsidRDefault="007C0894" w:rsidP="007C0894">
      <w:pPr>
        <w:rPr>
          <w:spacing w:val="-4"/>
          <w:lang w:val="ar-SA" w:bidi="ar-EG"/>
        </w:rPr>
      </w:pPr>
      <w:r w:rsidRPr="007C0894">
        <w:rPr>
          <w:spacing w:val="-4"/>
          <w:rtl/>
        </w:rPr>
        <w:t xml:space="preserve">ويحظى مشروع "مهاراتها الرقمية" الذي أعده قطاع تنمية الاتصالات بدعم مساهمات، منها مساهمة من شركة </w:t>
      </w:r>
      <w:r w:rsidRPr="007C0894">
        <w:rPr>
          <w:spacing w:val="-4"/>
          <w:lang w:bidi="ar-EG"/>
        </w:rPr>
        <w:t>Qualcomm</w:t>
      </w:r>
      <w:r w:rsidRPr="007C0894">
        <w:rPr>
          <w:spacing w:val="-4"/>
          <w:rtl/>
        </w:rPr>
        <w:t xml:space="preserve"> </w:t>
      </w:r>
      <w:r w:rsidRPr="007C0894">
        <w:rPr>
          <w:rtl/>
        </w:rPr>
        <w:t xml:space="preserve">التي تدعم تنفيذ المشروع في الكاميرون وإثيوبيا وغانا وكينيا ونيجيريا، ومساهمة من شبكة الويب العالمية للمرأة ورابطة النظام العالمي للاتصالات المتنقلة </w:t>
      </w:r>
      <w:r w:rsidRPr="007C0894">
        <w:rPr>
          <w:lang w:bidi="ar-EG"/>
        </w:rPr>
        <w:t>(GSMA)</w:t>
      </w:r>
      <w:r w:rsidRPr="007C0894">
        <w:rPr>
          <w:rtl/>
        </w:rPr>
        <w:t xml:space="preserve"> وشركة </w:t>
      </w:r>
      <w:proofErr w:type="spellStart"/>
      <w:r w:rsidRPr="007C0894">
        <w:rPr>
          <w:rtl/>
        </w:rPr>
        <w:t>Ernst</w:t>
      </w:r>
      <w:proofErr w:type="spellEnd"/>
      <w:r w:rsidRPr="007C0894">
        <w:rPr>
          <w:rtl/>
        </w:rPr>
        <w:t xml:space="preserve"> &amp; </w:t>
      </w:r>
      <w:proofErr w:type="spellStart"/>
      <w:r w:rsidRPr="007C0894">
        <w:rPr>
          <w:rtl/>
        </w:rPr>
        <w:t>Young</w:t>
      </w:r>
      <w:proofErr w:type="spellEnd"/>
      <w:r w:rsidRPr="007C0894">
        <w:rPr>
          <w:rtl/>
        </w:rPr>
        <w:t xml:space="preserve"> (EY) التي دعمت إعداد محتوى المبادرة وتنفيذها في الفلبين وكينيا ونيبال وأوغندا وجنوب إفريقيا، وكذلك في منطقة البحر الكاريبي، بحيث شملت أكثر من 23 بلداً واستفادت منها نحو </w:t>
      </w:r>
      <w:r w:rsidR="00E90B8C" w:rsidRPr="00BA258F">
        <w:t>5 600</w:t>
      </w:r>
      <w:r w:rsidRPr="007C0894">
        <w:rPr>
          <w:rtl/>
        </w:rPr>
        <w:t xml:space="preserve"> شابة في المجموع.</w:t>
      </w:r>
    </w:p>
    <w:p w14:paraId="7CB1848F" w14:textId="2BABB9AB" w:rsidR="007C0894" w:rsidRPr="007C0894" w:rsidRDefault="007C0894" w:rsidP="00BA258F">
      <w:pPr>
        <w:rPr>
          <w:rtl/>
        </w:rPr>
      </w:pPr>
      <w:r w:rsidRPr="007C0894">
        <w:rPr>
          <w:rFonts w:hint="eastAsia"/>
          <w:rtl/>
        </w:rPr>
        <w:t>ويوصي</w:t>
      </w:r>
      <w:r w:rsidRPr="007C0894">
        <w:rPr>
          <w:rtl/>
        </w:rPr>
        <w:t xml:space="preserve"> </w:t>
      </w:r>
      <w:r w:rsidRPr="007C0894">
        <w:rPr>
          <w:rFonts w:hint="eastAsia"/>
          <w:rtl/>
        </w:rPr>
        <w:t>تقرير</w:t>
      </w:r>
      <w:r w:rsidRPr="007C0894">
        <w:rPr>
          <w:rtl/>
        </w:rPr>
        <w:t xml:space="preserve"> "</w:t>
      </w:r>
      <w:hyperlink r:id="rId379" w:history="1">
        <w:r w:rsidRPr="007C0894">
          <w:rPr>
            <w:rStyle w:val="Hyperlink"/>
            <w:rFonts w:hint="eastAsia"/>
            <w:noProof w:val="0"/>
            <w:rtl/>
            <w:lang w:val="en-US" w:eastAsia="zh-CN"/>
          </w:rPr>
          <w:t>مهاراتها</w:t>
        </w:r>
        <w:r w:rsidRPr="007C0894">
          <w:rPr>
            <w:rStyle w:val="Hyperlink"/>
            <w:noProof w:val="0"/>
            <w:rtl/>
            <w:lang w:val="en-US" w:eastAsia="zh-CN"/>
          </w:rPr>
          <w:t xml:space="preserve"> </w:t>
        </w:r>
        <w:r w:rsidRPr="007C0894">
          <w:rPr>
            <w:rStyle w:val="Hyperlink"/>
            <w:rFonts w:hint="eastAsia"/>
            <w:noProof w:val="0"/>
            <w:rtl/>
            <w:lang w:val="en-US" w:eastAsia="zh-CN"/>
          </w:rPr>
          <w:t>الرقمية</w:t>
        </w:r>
        <w:r w:rsidRPr="007C0894">
          <w:rPr>
            <w:rStyle w:val="Hyperlink"/>
            <w:noProof w:val="0"/>
            <w:rtl/>
            <w:lang w:val="en-US" w:eastAsia="zh-CN"/>
          </w:rPr>
          <w:t xml:space="preserve">: </w:t>
        </w:r>
        <w:r w:rsidRPr="007C0894">
          <w:rPr>
            <w:rStyle w:val="Hyperlink"/>
            <w:rFonts w:hint="eastAsia"/>
            <w:noProof w:val="0"/>
            <w:rtl/>
            <w:lang w:val="en-US" w:eastAsia="zh-CN"/>
          </w:rPr>
          <w:t>نحو</w:t>
        </w:r>
        <w:r w:rsidRPr="007C0894">
          <w:rPr>
            <w:rStyle w:val="Hyperlink"/>
            <w:noProof w:val="0"/>
            <w:rtl/>
            <w:lang w:val="en-US" w:eastAsia="zh-CN"/>
          </w:rPr>
          <w:t xml:space="preserve"> </w:t>
        </w:r>
        <w:r w:rsidRPr="007C0894">
          <w:rPr>
            <w:rStyle w:val="Hyperlink"/>
            <w:rFonts w:hint="eastAsia"/>
            <w:noProof w:val="0"/>
            <w:rtl/>
            <w:lang w:val="en-US" w:eastAsia="zh-CN"/>
          </w:rPr>
          <w:t>نهج</w:t>
        </w:r>
        <w:r w:rsidRPr="007C0894">
          <w:rPr>
            <w:rStyle w:val="Hyperlink"/>
            <w:noProof w:val="0"/>
            <w:rtl/>
            <w:lang w:val="en-US" w:eastAsia="zh-CN"/>
          </w:rPr>
          <w:t xml:space="preserve"> </w:t>
        </w:r>
        <w:r w:rsidRPr="007C0894">
          <w:rPr>
            <w:rStyle w:val="Hyperlink"/>
            <w:rFonts w:hint="eastAsia"/>
            <w:noProof w:val="0"/>
            <w:rtl/>
            <w:lang w:val="en-US" w:eastAsia="zh-CN"/>
          </w:rPr>
          <w:t>تحويلي</w:t>
        </w:r>
        <w:r w:rsidRPr="007C0894">
          <w:rPr>
            <w:rStyle w:val="Hyperlink"/>
            <w:noProof w:val="0"/>
            <w:rtl/>
            <w:lang w:val="en-US" w:eastAsia="zh-CN"/>
          </w:rPr>
          <w:t xml:space="preserve"> </w:t>
        </w:r>
        <w:r w:rsidRPr="007C0894">
          <w:rPr>
            <w:rStyle w:val="Hyperlink"/>
            <w:rFonts w:hint="eastAsia"/>
            <w:noProof w:val="0"/>
            <w:rtl/>
            <w:lang w:val="en-US" w:eastAsia="zh-CN"/>
          </w:rPr>
          <w:t>في</w:t>
        </w:r>
        <w:r w:rsidRPr="007C0894">
          <w:rPr>
            <w:rStyle w:val="Hyperlink"/>
            <w:noProof w:val="0"/>
            <w:rtl/>
            <w:lang w:val="en-US" w:eastAsia="zh-CN"/>
          </w:rPr>
          <w:t xml:space="preserve"> </w:t>
        </w:r>
        <w:r w:rsidRPr="007C0894">
          <w:rPr>
            <w:rStyle w:val="Hyperlink"/>
            <w:rFonts w:hint="eastAsia"/>
            <w:noProof w:val="0"/>
            <w:rtl/>
            <w:lang w:val="en-US" w:eastAsia="zh-CN"/>
          </w:rPr>
          <w:t>مجال</w:t>
        </w:r>
        <w:r w:rsidRPr="007C0894">
          <w:rPr>
            <w:rStyle w:val="Hyperlink"/>
            <w:noProof w:val="0"/>
            <w:rtl/>
            <w:lang w:val="en-US" w:eastAsia="zh-CN"/>
          </w:rPr>
          <w:t xml:space="preserve"> </w:t>
        </w:r>
        <w:r w:rsidRPr="007C0894">
          <w:rPr>
            <w:rStyle w:val="Hyperlink"/>
            <w:rFonts w:hint="eastAsia"/>
            <w:noProof w:val="0"/>
            <w:rtl/>
            <w:lang w:val="en-US" w:eastAsia="zh-CN"/>
          </w:rPr>
          <w:t>المساواة</w:t>
        </w:r>
        <w:r w:rsidRPr="007C0894">
          <w:rPr>
            <w:rStyle w:val="Hyperlink"/>
            <w:noProof w:val="0"/>
            <w:rtl/>
            <w:lang w:val="en-US" w:eastAsia="zh-CN"/>
          </w:rPr>
          <w:t xml:space="preserve"> </w:t>
        </w:r>
        <w:r w:rsidRPr="007C0894">
          <w:rPr>
            <w:rStyle w:val="Hyperlink"/>
            <w:rFonts w:hint="eastAsia"/>
            <w:noProof w:val="0"/>
            <w:rtl/>
            <w:lang w:val="en-US" w:eastAsia="zh-CN"/>
          </w:rPr>
          <w:t>بين</w:t>
        </w:r>
        <w:r w:rsidRPr="007C0894">
          <w:rPr>
            <w:rStyle w:val="Hyperlink"/>
            <w:noProof w:val="0"/>
            <w:rtl/>
            <w:lang w:val="en-US" w:eastAsia="zh-CN"/>
          </w:rPr>
          <w:t xml:space="preserve"> </w:t>
        </w:r>
        <w:r w:rsidRPr="007C0894">
          <w:rPr>
            <w:rStyle w:val="Hyperlink"/>
            <w:rFonts w:hint="eastAsia"/>
            <w:noProof w:val="0"/>
            <w:rtl/>
            <w:lang w:val="en-US" w:eastAsia="zh-CN"/>
          </w:rPr>
          <w:t>الجنسين</w:t>
        </w:r>
      </w:hyperlink>
      <w:r w:rsidRPr="007C0894">
        <w:rPr>
          <w:rtl/>
        </w:rPr>
        <w:t>"</w:t>
      </w:r>
      <w:r w:rsidRPr="007C0894">
        <w:rPr>
          <w:rFonts w:hint="eastAsia"/>
          <w:rtl/>
        </w:rPr>
        <w:t>،</w:t>
      </w:r>
      <w:r w:rsidRPr="007C0894">
        <w:rPr>
          <w:rtl/>
        </w:rPr>
        <w:t xml:space="preserve"> </w:t>
      </w:r>
      <w:r w:rsidRPr="007C0894">
        <w:rPr>
          <w:rFonts w:hint="eastAsia"/>
          <w:rtl/>
        </w:rPr>
        <w:t>وهو</w:t>
      </w:r>
      <w:r w:rsidRPr="007C0894">
        <w:rPr>
          <w:rtl/>
        </w:rPr>
        <w:t xml:space="preserve"> </w:t>
      </w:r>
      <w:r w:rsidRPr="007C0894">
        <w:rPr>
          <w:rFonts w:hint="eastAsia"/>
          <w:rtl/>
        </w:rPr>
        <w:t>إطار</w:t>
      </w:r>
      <w:r w:rsidRPr="007C0894">
        <w:rPr>
          <w:rtl/>
        </w:rPr>
        <w:t xml:space="preserve"> </w:t>
      </w:r>
      <w:r w:rsidRPr="007C0894">
        <w:rPr>
          <w:rFonts w:hint="eastAsia"/>
          <w:rtl/>
        </w:rPr>
        <w:t>ودليل</w:t>
      </w:r>
      <w:r w:rsidRPr="007C0894">
        <w:rPr>
          <w:rtl/>
        </w:rPr>
        <w:t xml:space="preserve"> </w:t>
      </w:r>
      <w:r w:rsidRPr="007C0894">
        <w:rPr>
          <w:rFonts w:hint="eastAsia"/>
          <w:rtl/>
        </w:rPr>
        <w:t>للأخصائيين</w:t>
      </w:r>
      <w:r w:rsidRPr="007C0894">
        <w:rPr>
          <w:rtl/>
        </w:rPr>
        <w:t xml:space="preserve"> </w:t>
      </w:r>
      <w:r w:rsidRPr="007C0894">
        <w:rPr>
          <w:rFonts w:hint="eastAsia"/>
          <w:rtl/>
        </w:rPr>
        <w:t>صدر</w:t>
      </w:r>
      <w:r w:rsidRPr="007C0894">
        <w:rPr>
          <w:rtl/>
        </w:rPr>
        <w:t xml:space="preserve"> </w:t>
      </w:r>
      <w:r w:rsidRPr="007C0894">
        <w:rPr>
          <w:rFonts w:hint="eastAsia"/>
          <w:rtl/>
        </w:rPr>
        <w:t>في</w:t>
      </w:r>
      <w:r w:rsidRPr="007C0894">
        <w:rPr>
          <w:rtl/>
        </w:rPr>
        <w:t xml:space="preserve"> </w:t>
      </w:r>
      <w:r w:rsidRPr="007C0894">
        <w:rPr>
          <w:rFonts w:hint="eastAsia"/>
          <w:rtl/>
        </w:rPr>
        <w:t>عام</w:t>
      </w:r>
      <w:r w:rsidRPr="007C0894">
        <w:rPr>
          <w:rtl/>
        </w:rPr>
        <w:t xml:space="preserve"> 2024</w:t>
      </w:r>
      <w:r w:rsidRPr="007C0894">
        <w:rPr>
          <w:rFonts w:hint="eastAsia"/>
          <w:rtl/>
        </w:rPr>
        <w:t>،</w:t>
      </w:r>
      <w:r w:rsidRPr="007C0894">
        <w:rPr>
          <w:rtl/>
        </w:rPr>
        <w:t xml:space="preserve"> </w:t>
      </w:r>
      <w:r w:rsidRPr="007C0894">
        <w:rPr>
          <w:rFonts w:hint="eastAsia"/>
          <w:rtl/>
        </w:rPr>
        <w:t>باعتماد</w:t>
      </w:r>
      <w:r w:rsidRPr="007C0894">
        <w:rPr>
          <w:rtl/>
        </w:rPr>
        <w:t xml:space="preserve"> </w:t>
      </w:r>
      <w:r w:rsidRPr="007C0894">
        <w:rPr>
          <w:rFonts w:hint="eastAsia"/>
          <w:rtl/>
        </w:rPr>
        <w:t>نهج</w:t>
      </w:r>
      <w:r w:rsidRPr="007C0894">
        <w:rPr>
          <w:rtl/>
        </w:rPr>
        <w:t xml:space="preserve"> </w:t>
      </w:r>
      <w:r w:rsidRPr="007C0894">
        <w:rPr>
          <w:rFonts w:hint="eastAsia"/>
          <w:rtl/>
        </w:rPr>
        <w:t>تحويلية</w:t>
      </w:r>
      <w:r w:rsidRPr="007C0894">
        <w:rPr>
          <w:rtl/>
        </w:rPr>
        <w:t xml:space="preserve"> </w:t>
      </w:r>
      <w:r w:rsidRPr="007C0894">
        <w:rPr>
          <w:rFonts w:hint="eastAsia"/>
          <w:rtl/>
        </w:rPr>
        <w:t>في</w:t>
      </w:r>
      <w:r w:rsidRPr="007C0894">
        <w:rPr>
          <w:rtl/>
        </w:rPr>
        <w:t xml:space="preserve"> </w:t>
      </w:r>
      <w:r w:rsidRPr="007C0894">
        <w:rPr>
          <w:rFonts w:hint="eastAsia"/>
          <w:rtl/>
        </w:rPr>
        <w:t>مجال</w:t>
      </w:r>
      <w:r w:rsidRPr="007C0894">
        <w:rPr>
          <w:rtl/>
        </w:rPr>
        <w:t xml:space="preserve"> </w:t>
      </w:r>
      <w:r w:rsidRPr="007C0894">
        <w:rPr>
          <w:rFonts w:hint="eastAsia"/>
          <w:rtl/>
        </w:rPr>
        <w:t>المساواة</w:t>
      </w:r>
      <w:r w:rsidRPr="007C0894">
        <w:rPr>
          <w:rtl/>
        </w:rPr>
        <w:t xml:space="preserve"> </w:t>
      </w:r>
      <w:r w:rsidRPr="007C0894">
        <w:rPr>
          <w:rFonts w:hint="eastAsia"/>
          <w:rtl/>
        </w:rPr>
        <w:t>بين</w:t>
      </w:r>
      <w:r w:rsidRPr="007C0894">
        <w:rPr>
          <w:rtl/>
        </w:rPr>
        <w:t xml:space="preserve"> </w:t>
      </w:r>
      <w:r w:rsidRPr="007C0894">
        <w:rPr>
          <w:rFonts w:hint="eastAsia"/>
          <w:rtl/>
        </w:rPr>
        <w:t>الجنسين</w:t>
      </w:r>
      <w:r w:rsidRPr="007C0894">
        <w:rPr>
          <w:rtl/>
        </w:rPr>
        <w:t xml:space="preserve"> </w:t>
      </w:r>
      <w:r w:rsidRPr="007C0894">
        <w:rPr>
          <w:rFonts w:hint="eastAsia"/>
          <w:rtl/>
        </w:rPr>
        <w:t>لتصميم</w:t>
      </w:r>
      <w:r w:rsidRPr="007C0894">
        <w:rPr>
          <w:rtl/>
        </w:rPr>
        <w:t xml:space="preserve"> </w:t>
      </w:r>
      <w:r w:rsidRPr="007C0894">
        <w:rPr>
          <w:rFonts w:hint="eastAsia"/>
          <w:rtl/>
        </w:rPr>
        <w:t>برامج</w:t>
      </w:r>
      <w:r w:rsidRPr="007C0894">
        <w:rPr>
          <w:rtl/>
        </w:rPr>
        <w:t xml:space="preserve"> </w:t>
      </w:r>
      <w:r w:rsidRPr="007C0894">
        <w:rPr>
          <w:rFonts w:hint="eastAsia"/>
          <w:rtl/>
        </w:rPr>
        <w:t>تعليم</w:t>
      </w:r>
      <w:r w:rsidRPr="007C0894">
        <w:rPr>
          <w:rtl/>
        </w:rPr>
        <w:t xml:space="preserve"> </w:t>
      </w:r>
      <w:r w:rsidRPr="007C0894">
        <w:rPr>
          <w:rFonts w:hint="eastAsia"/>
          <w:rtl/>
        </w:rPr>
        <w:t>المهارات</w:t>
      </w:r>
      <w:r w:rsidRPr="007C0894">
        <w:rPr>
          <w:rtl/>
        </w:rPr>
        <w:t xml:space="preserve"> </w:t>
      </w:r>
      <w:r w:rsidRPr="007C0894">
        <w:rPr>
          <w:rFonts w:hint="eastAsia"/>
          <w:rtl/>
        </w:rPr>
        <w:t>الرقمية،</w:t>
      </w:r>
      <w:r w:rsidRPr="007C0894">
        <w:rPr>
          <w:rtl/>
        </w:rPr>
        <w:t xml:space="preserve"> </w:t>
      </w:r>
      <w:r w:rsidRPr="007C0894">
        <w:rPr>
          <w:rFonts w:hint="eastAsia"/>
          <w:rtl/>
        </w:rPr>
        <w:t>داخل</w:t>
      </w:r>
      <w:r w:rsidRPr="007C0894">
        <w:rPr>
          <w:rtl/>
        </w:rPr>
        <w:t xml:space="preserve"> </w:t>
      </w:r>
      <w:r w:rsidRPr="007C0894">
        <w:rPr>
          <w:rFonts w:hint="eastAsia"/>
          <w:rtl/>
        </w:rPr>
        <w:t>الفصل</w:t>
      </w:r>
      <w:r w:rsidRPr="007C0894">
        <w:rPr>
          <w:rtl/>
        </w:rPr>
        <w:t xml:space="preserve"> </w:t>
      </w:r>
      <w:r w:rsidRPr="007C0894">
        <w:rPr>
          <w:rFonts w:hint="eastAsia"/>
          <w:rtl/>
        </w:rPr>
        <w:t>الدراسي</w:t>
      </w:r>
      <w:r w:rsidRPr="007C0894">
        <w:rPr>
          <w:rtl/>
        </w:rPr>
        <w:t xml:space="preserve"> </w:t>
      </w:r>
      <w:r w:rsidRPr="007C0894">
        <w:rPr>
          <w:rFonts w:hint="eastAsia"/>
          <w:rtl/>
        </w:rPr>
        <w:t>وخارجه</w:t>
      </w:r>
      <w:r w:rsidRPr="007C0894">
        <w:rPr>
          <w:rtl/>
        </w:rPr>
        <w:t>.</w:t>
      </w:r>
    </w:p>
    <w:p w14:paraId="41375B09" w14:textId="3AD86254" w:rsidR="007C0894" w:rsidRPr="007C0894" w:rsidRDefault="007C0894" w:rsidP="00BA258F">
      <w:pPr>
        <w:rPr>
          <w:lang w:val="ar-SA" w:bidi="ar-EG"/>
        </w:rPr>
      </w:pPr>
      <w:r w:rsidRPr="007C0894">
        <w:rPr>
          <w:rtl/>
        </w:rPr>
        <w:t>ونشأ برنامج قطاع تنمية الاتصالات "</w:t>
      </w:r>
      <w:hyperlink r:id="rId380" w:history="1">
        <w:r w:rsidRPr="007C0894">
          <w:rPr>
            <w:rStyle w:val="Hyperlink"/>
            <w:noProof w:val="0"/>
            <w:rtl/>
            <w:lang w:val="en-US" w:eastAsia="zh-CN"/>
          </w:rPr>
          <w:t>مسرِّع مهارات الذكاء الاصطناعي من أجل الفتيات</w:t>
        </w:r>
      </w:hyperlink>
      <w:r w:rsidRPr="007C0894">
        <w:rPr>
          <w:rtl/>
        </w:rPr>
        <w:t>" تلبيةً للحاجة إلى معالجة ضعف تمثيل المرأة في الأدوار المتعلقة بالذكاء الاصطناعي والأدوار القيادية في مجال التكنولوجيا. وهذا البرنامج تطبيقي وسيضم مجموعتين من الشابات اللواتي سيستفدن من أنشطته. وقد بدأت المجموعة الأولى في أكتوبر 2024 من خلال ورش عمل حضورية نُظمت في 6 بلدان (واحدة لكل منطقة من مناطق الاتحاد: باراغواي ومالطة وكينيا والهند وكازاخستان والأردن)، واعتباراً من أغسطس 2025، ستستفيد بلدان أخرى ضمن المجموعة الثانية (أوزبكستان وغواتيمالا ومصر وموزامبيق). وقد استفادت أكثر من 820 شابة من البرنامج.</w:t>
      </w:r>
    </w:p>
    <w:p w14:paraId="03AC3021" w14:textId="4AD3EE1A" w:rsidR="007C0894" w:rsidRPr="007C0894" w:rsidRDefault="007C0894" w:rsidP="007C0894">
      <w:pPr>
        <w:rPr>
          <w:lang w:val="ar-SA" w:bidi="ar-EG"/>
        </w:rPr>
      </w:pPr>
      <w:r w:rsidRPr="007C0894">
        <w:rPr>
          <w:rtl/>
        </w:rPr>
        <w:t xml:space="preserve">واستمر الاحتفال السنوي </w:t>
      </w:r>
      <w:hyperlink r:id="rId381" w:anchor="/ar" w:history="1">
        <w:r w:rsidRPr="007C0894">
          <w:rPr>
            <w:rStyle w:val="Hyperlink"/>
            <w:noProof w:val="0"/>
            <w:rtl/>
            <w:lang w:val="en-US" w:eastAsia="zh-CN"/>
          </w:rPr>
          <w:t>باليوم الدولي للفتيات في مجال تكنولوجيا المعلومات والاتصالات</w:t>
        </w:r>
      </w:hyperlink>
      <w:r w:rsidRPr="007C0894">
        <w:rPr>
          <w:rtl/>
        </w:rPr>
        <w:t xml:space="preserve"> في النمو كوسيلة لحشد المهارات والقيادة على الصعيد العالمي. وانتقلت مواضيع الفترة 2023-2025 من "المهارات الرقمية مدى الحياة" إلى "القيادة" ثم إلى "الفتيات في مجال تكنولوجيا المعلومات والاتصالات من أجل التحول الرقمي الشامل". وفي الفترة ما بين عامي 2023 و2025، شملت المبادرة تراكمياً أكثر من </w:t>
      </w:r>
      <w:r w:rsidR="00E90B8C">
        <w:t>76 000</w:t>
      </w:r>
      <w:r w:rsidRPr="007C0894">
        <w:rPr>
          <w:rtl/>
        </w:rPr>
        <w:t xml:space="preserve"> فتاة وشابة من خلال تنظيم 472 حدثاً في جميع مناطق الاتحاد الست.</w:t>
      </w:r>
    </w:p>
    <w:p w14:paraId="7FBF1CE1" w14:textId="22DD68C1" w:rsidR="007C0894" w:rsidRPr="007C0894" w:rsidRDefault="007C0894" w:rsidP="003B67D2">
      <w:pPr>
        <w:rPr>
          <w:lang w:val="ar-SA" w:bidi="ar-EG"/>
        </w:rPr>
      </w:pPr>
      <w:r w:rsidRPr="007C0894">
        <w:rPr>
          <w:rtl/>
        </w:rPr>
        <w:t xml:space="preserve">وتعمل مجتمعات </w:t>
      </w:r>
      <w:hyperlink r:id="rId382" w:anchor="/ar" w:history="1">
        <w:r w:rsidRPr="007C0894">
          <w:rPr>
            <w:rStyle w:val="Hyperlink"/>
            <w:noProof w:val="0"/>
            <w:rtl/>
            <w:lang w:val="en-US" w:eastAsia="zh-CN"/>
          </w:rPr>
          <w:t xml:space="preserve">شبكة المرأة </w:t>
        </w:r>
        <w:r w:rsidRPr="007C0894">
          <w:rPr>
            <w:rStyle w:val="Hyperlink"/>
            <w:noProof w:val="0"/>
            <w:lang w:val="en-US" w:eastAsia="zh-CN" w:bidi="ar-EG"/>
          </w:rPr>
          <w:t>(NoW)</w:t>
        </w:r>
      </w:hyperlink>
      <w:r w:rsidRPr="007C0894">
        <w:rPr>
          <w:rtl/>
        </w:rPr>
        <w:t xml:space="preserve"> التابعة للاتحاد في قطاعات الاتحاد الثلاثة جميعها</w:t>
      </w:r>
      <w:r w:rsidRPr="007C0894">
        <w:rPr>
          <w:rtl/>
          <w:lang w:bidi="ar-EG"/>
        </w:rPr>
        <w:t xml:space="preserve">: </w:t>
      </w:r>
      <w:hyperlink r:id="rId383" w:anchor="/ar" w:history="1">
        <w:r w:rsidRPr="007C0894">
          <w:rPr>
            <w:rStyle w:val="Hyperlink"/>
            <w:noProof w:val="0"/>
            <w:rtl/>
            <w:lang w:val="en-US" w:eastAsia="zh-CN"/>
          </w:rPr>
          <w:t>قطاع الاتصالات الراديوية</w:t>
        </w:r>
        <w:r w:rsidR="003B67D2">
          <w:rPr>
            <w:rStyle w:val="Hyperlink"/>
            <w:rFonts w:hint="cs"/>
            <w:noProof w:val="0"/>
            <w:rtl/>
            <w:lang w:val="en-US" w:eastAsia="zh-CN"/>
          </w:rPr>
          <w:t> </w:t>
        </w:r>
        <w:r w:rsidRPr="007C0894">
          <w:rPr>
            <w:rStyle w:val="Hyperlink"/>
            <w:noProof w:val="0"/>
            <w:lang w:val="en-US" w:eastAsia="zh-CN" w:bidi="ar-EG"/>
          </w:rPr>
          <w:t>(ITU-R)</w:t>
        </w:r>
      </w:hyperlink>
      <w:r w:rsidRPr="007C0894">
        <w:rPr>
          <w:rtl/>
        </w:rPr>
        <w:t xml:space="preserve"> و</w:t>
      </w:r>
      <w:hyperlink r:id="rId384" w:anchor="/ar" w:history="1">
        <w:r w:rsidRPr="007C0894">
          <w:rPr>
            <w:rStyle w:val="Hyperlink"/>
            <w:noProof w:val="0"/>
            <w:rtl/>
            <w:lang w:val="en-US" w:eastAsia="zh-CN"/>
          </w:rPr>
          <w:t xml:space="preserve">قطاع تقييس الاتصالات </w:t>
        </w:r>
        <w:r w:rsidRPr="007C0894">
          <w:rPr>
            <w:rStyle w:val="Hyperlink"/>
            <w:noProof w:val="0"/>
            <w:lang w:val="en-US" w:eastAsia="zh-CN" w:bidi="ar-EG"/>
          </w:rPr>
          <w:t>(ITU-T)</w:t>
        </w:r>
      </w:hyperlink>
      <w:r w:rsidRPr="007C0894">
        <w:rPr>
          <w:rtl/>
        </w:rPr>
        <w:t xml:space="preserve"> و</w:t>
      </w:r>
      <w:hyperlink r:id="rId385" w:history="1">
        <w:r w:rsidRPr="007C0894">
          <w:rPr>
            <w:rStyle w:val="Hyperlink"/>
            <w:noProof w:val="0"/>
            <w:rtl/>
            <w:lang w:val="en-US" w:eastAsia="zh-CN"/>
          </w:rPr>
          <w:t xml:space="preserve">قطاع تنمية الاتصالات </w:t>
        </w:r>
        <w:r w:rsidRPr="007C0894">
          <w:rPr>
            <w:rStyle w:val="Hyperlink"/>
            <w:noProof w:val="0"/>
            <w:lang w:val="en-US" w:eastAsia="zh-CN" w:bidi="ar-EG"/>
          </w:rPr>
          <w:t>(ITU-D)</w:t>
        </w:r>
      </w:hyperlink>
      <w:r w:rsidRPr="007C0894">
        <w:rPr>
          <w:rtl/>
        </w:rPr>
        <w:t>؛ وذلك بهدف زيادة تمثيل المرأة وتعزيز أدوارها القيادية في أعمال الاتحاد. وتوفر هذه الشبكات التوجيه والتدريب والدعم للمندوبات، خاصة في التحضير للمؤتمرات الكبرى:</w:t>
      </w:r>
    </w:p>
    <w:p w14:paraId="61C3DB19" w14:textId="26E8E86A" w:rsidR="007C0894" w:rsidRPr="0001139A" w:rsidRDefault="007C0894" w:rsidP="00716845">
      <w:pPr>
        <w:rPr>
          <w:spacing w:val="-2"/>
          <w:lang w:val="ar-SA" w:bidi="ar-EG"/>
        </w:rPr>
      </w:pPr>
      <w:r w:rsidRPr="0001139A">
        <w:rPr>
          <w:spacing w:val="-2"/>
          <w:rtl/>
        </w:rPr>
        <w:t xml:space="preserve">قطاع تنمية الاتصالات: بلغت مشاركة النساء في المؤتمرين العالميين لتنمية الاتصالات لعامي 2022 و2025 نسبة </w:t>
      </w:r>
      <w:r w:rsidR="00E90B8C" w:rsidRPr="0001139A">
        <w:rPr>
          <w:spacing w:val="-2"/>
          <w:lang w:bidi="ar-EG"/>
        </w:rPr>
        <w:t>%36</w:t>
      </w:r>
      <w:r w:rsidRPr="0001139A">
        <w:rPr>
          <w:spacing w:val="-2"/>
          <w:rtl/>
        </w:rPr>
        <w:t xml:space="preserve">؛ واستقطب البرنامج الإرشادي "تمكين القيادات النسائية" أكثر من 150 مشاركاً، بما في ذلك مرشَدون ذكور بنسبة </w:t>
      </w:r>
      <w:r w:rsidR="00E90B8C" w:rsidRPr="0001139A">
        <w:rPr>
          <w:spacing w:val="-2"/>
          <w:lang w:bidi="ar-EG"/>
        </w:rPr>
        <w:t>%30</w:t>
      </w:r>
      <w:r w:rsidRPr="0001139A">
        <w:rPr>
          <w:spacing w:val="-2"/>
          <w:rtl/>
        </w:rPr>
        <w:t xml:space="preserve">، ما يمثل محطة بارزة في إشراك الحلفاء. وجمعت "دورة تدريبية متقدمة لتعزيز الثقة" عُقدت في أغسطس 2025، عشية الندوة العالمية لمنظمي الاتصالات لعام 2025 (GSR-25) في المملكة العربية السعودية، أكثر من 60 مشاركاً من 40 بلداً، ما ساعدهم على تعزيز ثقتهم في التحدث أمام الجمهور، وتحسين تقنيات التواصل، والحصول على نصائح عملية لتقديم عروض ومداخلات فعالة. ونُظمت دورة تدريبية قبل المؤتمر العالمي لتنمية الاتصالات لعام 2025 (WTDC-25) قُدمت افتراضياً يوم 8 أكتوبر، وشارك فيها 143 مندوباً من 64 بلداً. وقُدمت أيضاً </w:t>
      </w:r>
      <w:hyperlink r:id="rId386" w:anchor="/ar" w:history="1">
        <w:r w:rsidRPr="0001139A">
          <w:rPr>
            <w:rStyle w:val="Hyperlink"/>
            <w:i/>
            <w:iCs/>
            <w:noProof w:val="0"/>
            <w:spacing w:val="-2"/>
            <w:rtl/>
            <w:lang w:val="en-US" w:eastAsia="zh-CN"/>
          </w:rPr>
          <w:t>سلسلة النساء الخارقات: عززي حضورك وتأثيرك وأثرك</w:t>
        </w:r>
      </w:hyperlink>
      <w:r w:rsidRPr="0001139A">
        <w:rPr>
          <w:spacing w:val="-2"/>
          <w:rtl/>
        </w:rPr>
        <w:t xml:space="preserve">، من خلال أكاديمية الاتحاد في الفترة من أكتوبر إلى نوفمبر. واستفادت من هذا التدريب أكثر من 107 مندوبات ممثلات لأكثر من 42 دولة عضواً. قطاع تقييس الاتصالات: بلغت مشاركة النساء في الجمعية العالمية لتقييس الاتصالات لعام 2024 (WTSA24) نسبة </w:t>
      </w:r>
      <w:r w:rsidR="00E90B8C" w:rsidRPr="0001139A">
        <w:rPr>
          <w:spacing w:val="-2"/>
          <w:lang w:bidi="ar-EG"/>
        </w:rPr>
        <w:t>%26</w:t>
      </w:r>
      <w:r w:rsidRPr="0001139A">
        <w:rPr>
          <w:spacing w:val="-2"/>
          <w:rtl/>
        </w:rPr>
        <w:t xml:space="preserve">؛ وساهمت شبكة المرأة من أجل الجمعية العالمية لتقييس الاتصالات </w:t>
      </w:r>
      <w:r w:rsidR="00E90B8C" w:rsidRPr="0001139A">
        <w:rPr>
          <w:spacing w:val="-2"/>
          <w:lang w:bidi="ar-EG"/>
        </w:rPr>
        <w:t>(NOW4WTSA24)</w:t>
      </w:r>
      <w:r w:rsidRPr="0001139A">
        <w:rPr>
          <w:spacing w:val="-2"/>
          <w:rtl/>
        </w:rPr>
        <w:t xml:space="preserve"> في أن تشغل النساء </w:t>
      </w:r>
      <w:r w:rsidR="00E90B8C" w:rsidRPr="0001139A">
        <w:rPr>
          <w:spacing w:val="-2"/>
          <w:lang w:bidi="ar-EG"/>
        </w:rPr>
        <w:t>%25</w:t>
      </w:r>
      <w:r w:rsidRPr="0001139A">
        <w:rPr>
          <w:spacing w:val="-2"/>
          <w:rtl/>
        </w:rPr>
        <w:t xml:space="preserve"> من المناصب القيادية (زيادة بنسبة </w:t>
      </w:r>
      <w:r w:rsidR="00E90B8C" w:rsidRPr="0001139A">
        <w:rPr>
          <w:spacing w:val="-2"/>
          <w:lang w:bidi="ar-EG"/>
        </w:rPr>
        <w:t>%25</w:t>
      </w:r>
      <w:r w:rsidRPr="0001139A">
        <w:rPr>
          <w:spacing w:val="-2"/>
          <w:rtl/>
        </w:rPr>
        <w:t xml:space="preserve">) وأن تمثلن </w:t>
      </w:r>
      <w:r w:rsidR="00E90B8C" w:rsidRPr="0001139A">
        <w:rPr>
          <w:spacing w:val="-2"/>
          <w:lang w:bidi="ar-EG"/>
        </w:rPr>
        <w:t>%28</w:t>
      </w:r>
      <w:r w:rsidRPr="0001139A">
        <w:rPr>
          <w:spacing w:val="-2"/>
          <w:rtl/>
        </w:rPr>
        <w:t xml:space="preserve"> من خبراء التقييس.</w:t>
      </w:r>
    </w:p>
    <w:p w14:paraId="31B9358F" w14:textId="06F3AB88" w:rsidR="007C0894" w:rsidRPr="007C0894" w:rsidRDefault="007C0894" w:rsidP="007C0894">
      <w:pPr>
        <w:rPr>
          <w:lang w:val="ar-SA" w:bidi="ar-EG"/>
        </w:rPr>
      </w:pPr>
      <w:r w:rsidRPr="007C0894">
        <w:rPr>
          <w:rtl/>
        </w:rPr>
        <w:t xml:space="preserve">قطاع الاتصالات الراديوية: ساهمت شبكة المرأة من أجل المؤتمر العالمي للاتصالات الراديوية </w:t>
      </w:r>
      <w:r w:rsidRPr="007C0894">
        <w:rPr>
          <w:lang w:bidi="ar-EG"/>
        </w:rPr>
        <w:t>(</w:t>
      </w:r>
      <w:r w:rsidRPr="007C0894">
        <w:t>NOW4WRC</w:t>
      </w:r>
      <w:r w:rsidRPr="007C0894">
        <w:rPr>
          <w:lang w:bidi="ar-EG"/>
        </w:rPr>
        <w:t>)</w:t>
      </w:r>
      <w:r w:rsidRPr="007C0894">
        <w:rPr>
          <w:rtl/>
        </w:rPr>
        <w:t xml:space="preserve"> في زيادة نسبة المندوبات من </w:t>
      </w:r>
      <w:r w:rsidR="00E90B8C">
        <w:t>%18</w:t>
      </w:r>
      <w:r w:rsidRPr="007C0894">
        <w:rPr>
          <w:rtl/>
        </w:rPr>
        <w:t xml:space="preserve"> (2019) إلى </w:t>
      </w:r>
      <w:r w:rsidR="00E90B8C">
        <w:t>%22</w:t>
      </w:r>
      <w:r w:rsidRPr="007C0894">
        <w:rPr>
          <w:rtl/>
        </w:rPr>
        <w:t xml:space="preserve"> (2023)؛ ويجري حالياً إعداد البرنامج التوجيهي لشبكة المرأة من أجل المؤتمر العالمي للاتصالات الراديوية لعام 2027 (NOW4WRC27).</w:t>
      </w:r>
    </w:p>
    <w:p w14:paraId="294882DF" w14:textId="5E1D21EB" w:rsidR="007C0894" w:rsidRPr="007C0894" w:rsidRDefault="007C0894" w:rsidP="007C0894">
      <w:pPr>
        <w:rPr>
          <w:lang w:val="ar-SA" w:bidi="ar-EG"/>
        </w:rPr>
      </w:pPr>
      <w:r w:rsidRPr="007C0894">
        <w:rPr>
          <w:rtl/>
        </w:rPr>
        <w:t xml:space="preserve">وفي قطاع تقييس الاتصالات، شجعت حملة </w:t>
      </w:r>
      <w:hyperlink r:id="rId387" w:anchor="/ar" w:history="1">
        <w:r w:rsidRPr="007C0894">
          <w:rPr>
            <w:rStyle w:val="Hyperlink"/>
            <w:noProof w:val="0"/>
            <w:rtl/>
            <w:lang w:val="en-US" w:eastAsia="zh-CN"/>
          </w:rPr>
          <w:t>NOW4WTSA24</w:t>
        </w:r>
      </w:hyperlink>
      <w:r w:rsidRPr="007C0894">
        <w:rPr>
          <w:rtl/>
        </w:rPr>
        <w:t xml:space="preserve"> على زيادة ترشيح النساء للأدوار القيادية، ما أسهم في أن تشغل النساء حوالي 25 في </w:t>
      </w:r>
      <w:proofErr w:type="gramStart"/>
      <w:r w:rsidRPr="007C0894">
        <w:rPr>
          <w:rtl/>
        </w:rPr>
        <w:t>المائة</w:t>
      </w:r>
      <w:proofErr w:type="gramEnd"/>
      <w:r w:rsidRPr="007C0894">
        <w:rPr>
          <w:rtl/>
        </w:rPr>
        <w:t xml:space="preserve"> من المناصب القيادية في قطاع تقييس الاتصالات، وأن تمثلن نحو 28 في </w:t>
      </w:r>
      <w:proofErr w:type="gramStart"/>
      <w:r w:rsidRPr="007C0894">
        <w:rPr>
          <w:rtl/>
        </w:rPr>
        <w:t>المائة</w:t>
      </w:r>
      <w:proofErr w:type="gramEnd"/>
      <w:r w:rsidRPr="007C0894">
        <w:rPr>
          <w:rtl/>
        </w:rPr>
        <w:t xml:space="preserve"> من خبراء التقييس.</w:t>
      </w:r>
    </w:p>
    <w:p w14:paraId="5DD16945" w14:textId="2547C49D" w:rsidR="007C0894" w:rsidRPr="007C0894" w:rsidRDefault="007C0894" w:rsidP="007C0894">
      <w:pPr>
        <w:rPr>
          <w:lang w:val="ar-SA" w:bidi="ar-EG"/>
        </w:rPr>
      </w:pPr>
      <w:r w:rsidRPr="007C0894">
        <w:rPr>
          <w:rtl/>
        </w:rPr>
        <w:t xml:space="preserve">واعتُمدت مبادرة </w:t>
      </w:r>
      <w:hyperlink r:id="rId388" w:history="1">
        <w:r w:rsidRPr="007C0894">
          <w:rPr>
            <w:rStyle w:val="Hyperlink"/>
            <w:noProof w:val="0"/>
            <w:rtl/>
            <w:lang w:val="en-US" w:eastAsia="zh-CN"/>
          </w:rPr>
          <w:t>NOW4WRC</w:t>
        </w:r>
      </w:hyperlink>
      <w:r w:rsidRPr="007C0894">
        <w:rPr>
          <w:rtl/>
        </w:rPr>
        <w:t xml:space="preserve"> لتعزيز المساواة بين الجنسين وسد فجوات المشاركة في أنشطة قطاع الاتصالات الراديوية. ومثلت النساء 22 في </w:t>
      </w:r>
      <w:proofErr w:type="gramStart"/>
      <w:r w:rsidRPr="007C0894">
        <w:rPr>
          <w:rtl/>
        </w:rPr>
        <w:t>المائة</w:t>
      </w:r>
      <w:proofErr w:type="gramEnd"/>
      <w:r w:rsidRPr="007C0894">
        <w:rPr>
          <w:rtl/>
        </w:rPr>
        <w:t xml:space="preserve"> من مندوبي جمعية الاتصالات الراديوية/المؤتمر العالمي للاتصالات الراديوية لعام</w:t>
      </w:r>
      <w:r w:rsidR="003B67D2">
        <w:rPr>
          <w:rFonts w:hint="cs"/>
          <w:rtl/>
        </w:rPr>
        <w:t> </w:t>
      </w:r>
      <w:r w:rsidRPr="007C0894">
        <w:rPr>
          <w:rtl/>
        </w:rPr>
        <w:t xml:space="preserve">2023، ما يمثل زيادة من 18 في </w:t>
      </w:r>
      <w:proofErr w:type="gramStart"/>
      <w:r w:rsidRPr="007C0894">
        <w:rPr>
          <w:rtl/>
        </w:rPr>
        <w:t>المائة</w:t>
      </w:r>
      <w:proofErr w:type="gramEnd"/>
      <w:r w:rsidRPr="007C0894">
        <w:rPr>
          <w:rtl/>
        </w:rPr>
        <w:t xml:space="preserve"> في عام 2019. وعُقد حدث جديد هو </w:t>
      </w:r>
      <w:hyperlink r:id="rId389" w:anchor="/ar" w:history="1">
        <w:r w:rsidRPr="007C0894">
          <w:rPr>
            <w:rStyle w:val="Hyperlink"/>
            <w:noProof w:val="0"/>
            <w:rtl/>
            <w:lang w:val="en-US" w:eastAsia="zh-CN"/>
          </w:rPr>
          <w:t>شبكة الوزيرات والقيادات النسائية في مجال تكنولوجيا المعلومات والاتصالات</w:t>
        </w:r>
      </w:hyperlink>
      <w:r w:rsidRPr="007C0894">
        <w:rPr>
          <w:rtl/>
        </w:rPr>
        <w:t xml:space="preserve"> خلال الحدث الرفيع المستوى WSIS+20 في يوليو 2024، وعُقد مرة أخرى خلال الحدث الرفيع المستوى WSIS+20 والقمة العالمية للذكاء الاصطناعي من أجل المصلحة العامة لعام 2025. ويجري حالياً إعداد البرنامج التوجيهي من أجل المؤتمر العالمي المقبل للاتصالات الراديوية </w:t>
      </w:r>
      <w:r w:rsidR="00716845" w:rsidRPr="00716845">
        <w:rPr>
          <w:lang w:bidi="ar-EG"/>
        </w:rPr>
        <w:t>(WRC-27)</w:t>
      </w:r>
      <w:r w:rsidRPr="007C0894">
        <w:rPr>
          <w:rtl/>
        </w:rPr>
        <w:t xml:space="preserve"> من خلال مبادرة</w:t>
      </w:r>
      <w:r w:rsidR="003B67D2">
        <w:rPr>
          <w:rFonts w:hint="cs"/>
          <w:rtl/>
        </w:rPr>
        <w:t> </w:t>
      </w:r>
      <w:r w:rsidRPr="007C0894">
        <w:rPr>
          <w:rtl/>
        </w:rPr>
        <w:t>NOW4WRC27. وقد أُطلقت آلية تنسيق جديدة لجميع شبكات المرأة في الاتحاد، بمشاركة مختلف أمانات شبكة المرأة، من أجل تبادل المعارف وأفضل الممارسات والأنشطة المشتركة.</w:t>
      </w:r>
    </w:p>
    <w:p w14:paraId="45C0681D" w14:textId="3E416A36" w:rsidR="007C0894" w:rsidRPr="007C0894" w:rsidRDefault="007C0894" w:rsidP="00716845">
      <w:pPr>
        <w:rPr>
          <w:lang w:val="ar-SA" w:bidi="ar-EG"/>
        </w:rPr>
      </w:pPr>
      <w:r w:rsidRPr="007C0894">
        <w:rPr>
          <w:rtl/>
        </w:rPr>
        <w:t xml:space="preserve">وفي عام 2024، قدم </w:t>
      </w:r>
      <w:hyperlink r:id="rId390" w:anchor="/ar" w:history="1">
        <w:r w:rsidRPr="007C0894">
          <w:rPr>
            <w:rStyle w:val="Hyperlink"/>
            <w:noProof w:val="0"/>
            <w:rtl/>
            <w:lang w:val="en-US" w:eastAsia="zh-CN"/>
          </w:rPr>
          <w:t>كتيب تعميم مراعاة منظور المساواة بين الجنسين في السياسات الرقمية</w:t>
        </w:r>
      </w:hyperlink>
      <w:r w:rsidRPr="007C0894">
        <w:rPr>
          <w:rtl/>
        </w:rPr>
        <w:t> إلى الدول الأعضاء ممارسات جيدة بشأن كيفية تعميم مراعاة هذا المنظور في السياسات الرقمية الحالية والمستقبلية.</w:t>
      </w:r>
    </w:p>
    <w:p w14:paraId="0166F788" w14:textId="6CD03783" w:rsidR="007C0894" w:rsidRPr="007C0894" w:rsidRDefault="007C0894" w:rsidP="00716845">
      <w:pPr>
        <w:rPr>
          <w:lang w:val="ar-SA" w:bidi="ar-EG"/>
        </w:rPr>
      </w:pPr>
      <w:r w:rsidRPr="007C0894">
        <w:rPr>
          <w:rtl/>
        </w:rPr>
        <w:t xml:space="preserve">واحتفل الاتحاد في عام 2025 </w:t>
      </w:r>
      <w:hyperlink r:id="rId391" w:anchor="/ar" w:history="1">
        <w:r w:rsidRPr="007C0894">
          <w:rPr>
            <w:rStyle w:val="Hyperlink"/>
            <w:noProof w:val="0"/>
            <w:rtl/>
            <w:lang w:val="en-US" w:eastAsia="zh-CN"/>
          </w:rPr>
          <w:t xml:space="preserve">بالذكرى السنوية الستين بعد </w:t>
        </w:r>
        <w:proofErr w:type="gramStart"/>
        <w:r w:rsidRPr="007C0894">
          <w:rPr>
            <w:rStyle w:val="Hyperlink"/>
            <w:noProof w:val="0"/>
            <w:rtl/>
            <w:lang w:val="en-US" w:eastAsia="zh-CN"/>
          </w:rPr>
          <w:t>المائة</w:t>
        </w:r>
        <w:proofErr w:type="gramEnd"/>
      </w:hyperlink>
      <w:r w:rsidRPr="007C0894">
        <w:rPr>
          <w:rtl/>
        </w:rPr>
        <w:t xml:space="preserve"> لتأسيسه، واحتفل أيضاً باليوم العالمي للاتصالات ومجتمع المعلومات </w:t>
      </w:r>
      <w:r w:rsidRPr="007C0894">
        <w:rPr>
          <w:lang w:bidi="ar-EG"/>
        </w:rPr>
        <w:t>(WTISD)</w:t>
      </w:r>
      <w:r w:rsidRPr="007C0894">
        <w:rPr>
          <w:rtl/>
        </w:rPr>
        <w:t xml:space="preserve"> تحت شعار </w:t>
      </w:r>
      <w:hyperlink r:id="rId392" w:anchor="/ar" w:history="1">
        <w:r w:rsidRPr="007C0894">
          <w:rPr>
            <w:rStyle w:val="Hyperlink"/>
            <w:noProof w:val="0"/>
            <w:rtl/>
            <w:lang w:val="en-US" w:eastAsia="zh-CN"/>
          </w:rPr>
          <w:t>المساواة بين الجنسين في التحول الرقمي</w:t>
        </w:r>
      </w:hyperlink>
      <w:r w:rsidRPr="007C0894">
        <w:rPr>
          <w:rtl/>
        </w:rPr>
        <w:t xml:space="preserve">. ويجسد </w:t>
      </w:r>
      <w:hyperlink r:id="rId393" w:anchor="/ar" w:history="1">
        <w:r w:rsidRPr="007C0894">
          <w:rPr>
            <w:rStyle w:val="Hyperlink"/>
            <w:noProof w:val="0"/>
            <w:rtl/>
            <w:lang w:val="en-US" w:eastAsia="zh-CN"/>
          </w:rPr>
          <w:t xml:space="preserve">مناصرو المساواة بين الجنسين في إطار الذكرى 160 لتأسيس الاتحاد </w:t>
        </w:r>
        <w:r w:rsidRPr="007C0894">
          <w:rPr>
            <w:rStyle w:val="Hyperlink"/>
            <w:noProof w:val="0"/>
            <w:lang w:val="en-US" w:eastAsia="zh-CN" w:bidi="ar-EG"/>
          </w:rPr>
          <w:t>(</w:t>
        </w:r>
        <w:r w:rsidRPr="007C0894">
          <w:rPr>
            <w:rStyle w:val="Hyperlink"/>
            <w:noProof w:val="0"/>
            <w:lang w:val="en-US" w:eastAsia="zh-CN"/>
          </w:rPr>
          <w:t>ITU160</w:t>
        </w:r>
        <w:r w:rsidRPr="007C0894">
          <w:rPr>
            <w:rStyle w:val="Hyperlink"/>
            <w:noProof w:val="0"/>
            <w:lang w:val="en-US" w:eastAsia="zh-CN" w:bidi="ar-EG"/>
          </w:rPr>
          <w:t>)</w:t>
        </w:r>
      </w:hyperlink>
      <w:r w:rsidRPr="007C0894">
        <w:rPr>
          <w:rtl/>
        </w:rPr>
        <w:t xml:space="preserve"> هذه الرؤية من خلال إبراز المهارات القيادية للشابات في التنمية الرقمية وقيادة مستقبل رقمي شامل ومنصف.</w:t>
      </w:r>
    </w:p>
    <w:p w14:paraId="6632CB76" w14:textId="28C496B8" w:rsidR="007C0894" w:rsidRPr="0001139A" w:rsidRDefault="007C0894" w:rsidP="007C0894">
      <w:pPr>
        <w:rPr>
          <w:spacing w:val="-4"/>
          <w:lang w:val="ar-SA" w:bidi="ar-EG"/>
        </w:rPr>
      </w:pPr>
      <w:r w:rsidRPr="0001139A">
        <w:rPr>
          <w:spacing w:val="-4"/>
          <w:rtl/>
        </w:rPr>
        <w:t xml:space="preserve">ويُدمج منظور المساواة بين الجنسين في الأنشطة السنوية لمنتدى القمة العالمية لمجتمع المعلومات. وتدعو </w:t>
      </w:r>
      <w:hyperlink r:id="rId394" w:history="1">
        <w:r w:rsidRPr="0001139A">
          <w:rPr>
            <w:rStyle w:val="Hyperlink"/>
            <w:noProof w:val="0"/>
            <w:spacing w:val="-4"/>
            <w:rtl/>
            <w:lang w:val="en-US" w:eastAsia="zh-CN"/>
          </w:rPr>
          <w:t xml:space="preserve">الوثيقة الختامية بشأن الاستعراض الشامل لتنفيذ </w:t>
        </w:r>
        <w:r w:rsidR="003B67D2">
          <w:rPr>
            <w:rStyle w:val="Hyperlink"/>
            <w:rFonts w:hint="cs"/>
            <w:noProof w:val="0"/>
            <w:spacing w:val="-4"/>
            <w:rtl/>
            <w:lang w:val="en-US" w:eastAsia="zh-CN"/>
          </w:rPr>
          <w:t>نواتج</w:t>
        </w:r>
        <w:r w:rsidRPr="0001139A">
          <w:rPr>
            <w:rStyle w:val="Hyperlink"/>
            <w:noProof w:val="0"/>
            <w:spacing w:val="-4"/>
            <w:rtl/>
            <w:lang w:val="en-US" w:eastAsia="zh-CN"/>
          </w:rPr>
          <w:t xml:space="preserve"> القمة العالمية لمجتمع المعلومات بعد 20 عاماً من انعقادها </w:t>
        </w:r>
        <w:r w:rsidR="004A3DBC" w:rsidRPr="0001139A">
          <w:rPr>
            <w:rStyle w:val="Hyperlink"/>
            <w:noProof w:val="0"/>
            <w:spacing w:val="-4"/>
            <w:lang w:val="en-US" w:eastAsia="zh-CN" w:bidi="ar-EG"/>
          </w:rPr>
          <w:t>(WSIS+20)</w:t>
        </w:r>
      </w:hyperlink>
      <w:r w:rsidRPr="0001139A">
        <w:rPr>
          <w:spacing w:val="-4"/>
          <w:rtl/>
        </w:rPr>
        <w:t>، التي اعتمدت في الجمعية العامة للأمم المتحدة في ديسمبر 2025، إلى التحول الرقمي المراعي للمساواة بين الجنسين، وتدمج مبدأ المساواة بين الجنسين في جميع خطوط عمل القمة.</w:t>
      </w:r>
    </w:p>
    <w:p w14:paraId="45B44A68" w14:textId="3E98673C" w:rsidR="007C0894" w:rsidRPr="007C0894" w:rsidRDefault="007C0894" w:rsidP="007C0894">
      <w:pPr>
        <w:rPr>
          <w:lang w:val="ar-SA" w:bidi="ar-EG"/>
        </w:rPr>
      </w:pPr>
      <w:r w:rsidRPr="007C0894">
        <w:rPr>
          <w:rtl/>
        </w:rPr>
        <w:t xml:space="preserve">وفي إطار حملة الستة عشر يوماً من النشاط الدعوي على مستوى الأمم المتحدة التي أُطلقت في عام 2025 تحت شعار "اتحدوا لإنهاء العنف الرقمي ضد جميع النساء والفتيات"، نظم الاتحاد حملة </w:t>
      </w:r>
      <w:proofErr w:type="spellStart"/>
      <w:r w:rsidRPr="007C0894">
        <w:rPr>
          <w:rtl/>
        </w:rPr>
        <w:t>فيديوية</w:t>
      </w:r>
      <w:proofErr w:type="spellEnd"/>
      <w:r w:rsidRPr="007C0894">
        <w:rPr>
          <w:rtl/>
        </w:rPr>
        <w:t xml:space="preserve"> على وسائل التواصل الاجتماعي، وشارك في تأليف </w:t>
      </w:r>
      <w:hyperlink r:id="rId395" w:anchor="/ar" w:history="1">
        <w:r w:rsidRPr="007C0894">
          <w:rPr>
            <w:rStyle w:val="Hyperlink"/>
            <w:noProof w:val="0"/>
            <w:rtl/>
            <w:lang w:val="en-US" w:eastAsia="zh-CN"/>
          </w:rPr>
          <w:t>مقال في مدونة</w:t>
        </w:r>
      </w:hyperlink>
      <w:r w:rsidRPr="007C0894">
        <w:rPr>
          <w:rtl/>
        </w:rPr>
        <w:t xml:space="preserve"> مع منظمة </w:t>
      </w:r>
      <w:r w:rsidRPr="007C0894">
        <w:t>Plan International</w:t>
      </w:r>
      <w:r w:rsidRPr="007C0894">
        <w:rPr>
          <w:rtl/>
        </w:rPr>
        <w:t>، وعقد جلسة افتراضية بشأن التحرش الجنسي في قطاع التكنولوجيا بشراكة مع هيئة الأمم المتحدة للمرأة. وبالإضافة إلى ذلك، شارك الاتحاد بنشاط في أعمال الهيئة الاستشارية التابعة لرئيس مجلس حقوق الإنسان المعنية بالمساواة بين الجنسين.</w:t>
      </w:r>
    </w:p>
    <w:p w14:paraId="3097433C" w14:textId="5BBEC1D0" w:rsidR="007C0894" w:rsidRPr="007C0894" w:rsidRDefault="007C0894" w:rsidP="00716845">
      <w:pPr>
        <w:rPr>
          <w:lang w:val="ar-SA" w:bidi="ar-EG"/>
        </w:rPr>
      </w:pPr>
      <w:r w:rsidRPr="007C0894">
        <w:rPr>
          <w:rtl/>
        </w:rPr>
        <w:t xml:space="preserve">ويواصل الاتحاد تقديم تقرير سنوي إلى خطة العمل على نطاق منظومة الأمم المتحدة بشأن المساواة بين الجنسين وتمكين المرأة </w:t>
      </w:r>
      <w:r w:rsidRPr="007C0894">
        <w:rPr>
          <w:lang w:bidi="ar-EG"/>
        </w:rPr>
        <w:t>(</w:t>
      </w:r>
      <w:hyperlink r:id="rId396" w:history="1">
        <w:r w:rsidRPr="007C0894">
          <w:rPr>
            <w:rStyle w:val="Hyperlink"/>
            <w:noProof w:val="0"/>
            <w:lang w:val="en-US" w:eastAsia="zh-CN" w:bidi="ar-EG"/>
          </w:rPr>
          <w:t>UN-SWAP</w:t>
        </w:r>
      </w:hyperlink>
      <w:r w:rsidRPr="007C0894">
        <w:rPr>
          <w:lang w:bidi="ar-EG"/>
        </w:rPr>
        <w:t>)</w:t>
      </w:r>
      <w:r w:rsidRPr="007C0894">
        <w:rPr>
          <w:rtl/>
        </w:rPr>
        <w:t xml:space="preserve">. وعُقد اجتماع </w:t>
      </w:r>
      <w:hyperlink r:id="rId397" w:history="1">
        <w:r w:rsidRPr="007C0894">
          <w:rPr>
            <w:rStyle w:val="Hyperlink"/>
            <w:noProof w:val="0"/>
            <w:rtl/>
            <w:lang w:val="en-US" w:eastAsia="zh-CN"/>
          </w:rPr>
          <w:t>شبكة الوزيرات والقيادات النسائية في مجال تكنولوجيا المعلومات والاتصالات</w:t>
        </w:r>
      </w:hyperlink>
      <w:r w:rsidRPr="007C0894">
        <w:rPr>
          <w:rtl/>
        </w:rPr>
        <w:t>. ولا يزال التوازن المؤسسي بين الجنسين يمثل تحدياً، إذ لم تزد نسبة النساء في المناصب القيادية العليا</w:t>
      </w:r>
      <w:r w:rsidR="003B67D2">
        <w:rPr>
          <w:rFonts w:hint="cs"/>
          <w:rtl/>
        </w:rPr>
        <w:t> </w:t>
      </w:r>
      <w:r w:rsidRPr="007C0894">
        <w:rPr>
          <w:lang w:bidi="ar-EG"/>
        </w:rPr>
        <w:t>(</w:t>
      </w:r>
      <w:r w:rsidRPr="007C0894">
        <w:t>D2-D1-P5</w:t>
      </w:r>
      <w:r w:rsidRPr="007C0894">
        <w:rPr>
          <w:lang w:bidi="ar-EG"/>
        </w:rPr>
        <w:t>)</w:t>
      </w:r>
      <w:r w:rsidRPr="007C0894">
        <w:rPr>
          <w:rtl/>
        </w:rPr>
        <w:t xml:space="preserve"> إلا من 31 في </w:t>
      </w:r>
      <w:proofErr w:type="gramStart"/>
      <w:r w:rsidRPr="007C0894">
        <w:rPr>
          <w:rtl/>
        </w:rPr>
        <w:t>المائة</w:t>
      </w:r>
      <w:proofErr w:type="gramEnd"/>
      <w:r w:rsidRPr="007C0894">
        <w:rPr>
          <w:rtl/>
        </w:rPr>
        <w:t xml:space="preserve"> (نهاية 2022) إلى 33 في </w:t>
      </w:r>
      <w:proofErr w:type="gramStart"/>
      <w:r w:rsidRPr="007C0894">
        <w:rPr>
          <w:rtl/>
        </w:rPr>
        <w:t>المائة</w:t>
      </w:r>
      <w:proofErr w:type="gramEnd"/>
      <w:r w:rsidRPr="007C0894">
        <w:rPr>
          <w:rtl/>
        </w:rPr>
        <w:t xml:space="preserve"> (نهاية 2025). وتشمل الجهود المبذولة لمعالجة هذا التحدي تعزيز أطر المساءلة، والثقافة التنظيمية، وتحسين تدابير جذب المواهب. وتهدف سياسة إجازة الوالدين الجديدة التي أُدخلت في عام 2023، والتي تمدد الإجازة إلى 16 أسبوعاً للوالدين بغض النظر عن الجنس، زيادةً على 10 أسابيع إضافية للأمهات بعد الولادة، إلى دعم التوازن بين العمل والحياة الشخصية والاحتفاظ بمواهب متنوعة. والتزم الاتحاد أيضاً بخطة الأمم المتحدة للتعجيل بالمساواة بين الجنسين </w:t>
      </w:r>
      <w:r w:rsidRPr="007C0894">
        <w:rPr>
          <w:lang w:bidi="ar-EG"/>
        </w:rPr>
        <w:t>(GEAP)</w:t>
      </w:r>
      <w:r w:rsidRPr="007C0894">
        <w:rPr>
          <w:rtl/>
        </w:rPr>
        <w:t>، حيث تعمل الإدارة العليا على تعميم مراعاة منظور المساواة بين الجنسين بفعالية.</w:t>
      </w:r>
    </w:p>
    <w:p w14:paraId="35FB2B44" w14:textId="401E3C2D" w:rsidR="007C0894" w:rsidRPr="007C0894" w:rsidRDefault="007C0894" w:rsidP="007C0894">
      <w:pPr>
        <w:rPr>
          <w:lang w:val="ar-SA" w:bidi="ar-EG"/>
        </w:rPr>
      </w:pPr>
      <w:r w:rsidRPr="007C0894">
        <w:rPr>
          <w:rtl/>
        </w:rPr>
        <w:t xml:space="preserve">ويمثل فريق المهام المعني بالمساواة بين الجنسين التابع للاتحاد آلية الاتحاد للتنسيق الداخلي بشأن المساواة بين الجنسين وتعميمها، وقد أنشئ لدعم تعميم مراعاة منظور </w:t>
      </w:r>
      <w:r w:rsidR="003B67D2">
        <w:rPr>
          <w:rFonts w:hint="cs"/>
          <w:rtl/>
        </w:rPr>
        <w:t>ا</w:t>
      </w:r>
      <w:r w:rsidRPr="007C0894">
        <w:rPr>
          <w:rtl/>
        </w:rPr>
        <w:t>لمساواة بين الجنسين في جميع القطاعات والأمانة العامة. وقد استُحدثت آلية داخلية جديدة للتنسيق والمساءلة لفريق المهام المعني بالمساواة بين الجنسين.</w:t>
      </w:r>
    </w:p>
    <w:p w14:paraId="7FB79AB4" w14:textId="62F76E9A" w:rsidR="007C0894" w:rsidRPr="007C0894" w:rsidRDefault="007C0894" w:rsidP="007C0894">
      <w:pPr>
        <w:rPr>
          <w:lang w:val="ar-SA" w:bidi="ar-EG"/>
        </w:rPr>
      </w:pPr>
      <w:r w:rsidRPr="007C0894">
        <w:rPr>
          <w:rtl/>
        </w:rPr>
        <w:t>واستُرشد بتقييم لقدرات الموظفين أجري في يناير 2024 لتحديد احتياجات جديدة في مجال تنمية القدرات والتكافؤ بين الجنسين، حيث قُدمت دورات تدريبية بشأن القيادة الشاملة والاعتداءات الصغيرة ومنع التحرش، ووضع</w:t>
      </w:r>
      <w:r w:rsidR="003B67D2">
        <w:rPr>
          <w:rFonts w:hint="cs"/>
          <w:rtl/>
        </w:rPr>
        <w:t>ت</w:t>
      </w:r>
      <w:r w:rsidRPr="007C0894">
        <w:rPr>
          <w:rtl/>
        </w:rPr>
        <w:t xml:space="preserve"> خطة الاتحاد للتكافؤ بين الجنسين في عام 2025. وأنشأ أول استقصاء لمشاركة الموظفين في الاتحاد في يناير 2025 دوراً مهماً في المراقبة يشكل عنصراً أساسياً للتحسين المستمر، بما يشمل التقدم نحو تحقيق المساواة بين الجنسين وتعميم مراعاة منظور المساواة بين الجنسين في الاتحاد.</w:t>
      </w:r>
    </w:p>
    <w:p w14:paraId="41B6E4C6" w14:textId="77777777" w:rsidR="007C0894" w:rsidRPr="007C0894" w:rsidRDefault="007C0894" w:rsidP="007C0894">
      <w:pPr>
        <w:rPr>
          <w:lang w:val="ar-SA" w:bidi="ar-EG"/>
        </w:rPr>
      </w:pPr>
      <w:r w:rsidRPr="007C0894">
        <w:rPr>
          <w:rtl/>
        </w:rPr>
        <w:t>ويعد الإنجاز الذي حققه الاتحاد على مستوى القيادة في مؤتمر المندوبين المفوضين لعام 2022، بانتخابه أول امرأة لمنصب الأمين العام للاتحاد، تولت مهامها في يناير 2023، دليلاً على التزام المنظمة بمبدأ المساواة بين الجنسين في جميع مستويات الإدارة.</w:t>
      </w:r>
    </w:p>
    <w:p w14:paraId="207363A9" w14:textId="36EE32FD" w:rsidR="007C0894" w:rsidRPr="007C0894" w:rsidRDefault="007C0894" w:rsidP="007C0894">
      <w:pPr>
        <w:rPr>
          <w:lang w:val="ar-SA" w:bidi="ar-EG"/>
        </w:rPr>
      </w:pPr>
      <w:r w:rsidRPr="007C0894">
        <w:rPr>
          <w:rtl/>
        </w:rPr>
        <w:t xml:space="preserve">ولمزيد من المعلومات، اطلع على الموقع </w:t>
      </w:r>
      <w:hyperlink r:id="rId398" w:anchor="/ar" w:history="1">
        <w:r w:rsidR="00716845" w:rsidRPr="007C0894">
          <w:rPr>
            <w:rStyle w:val="Hyperlink"/>
            <w:noProof w:val="0"/>
            <w:rtl/>
            <w:lang w:val="en-US" w:eastAsia="zh-CN"/>
          </w:rPr>
          <w:t>www.itu.int/gender</w:t>
        </w:r>
      </w:hyperlink>
      <w:r w:rsidRPr="007C0894">
        <w:rPr>
          <w:rtl/>
        </w:rPr>
        <w:t xml:space="preserve"> والتقارير السنوية المقدمة إلى المجلس</w:t>
      </w:r>
      <w:r w:rsidRPr="007C0894">
        <w:rPr>
          <w:lang w:bidi="ar-EG"/>
        </w:rPr>
        <w:t>:</w:t>
      </w:r>
      <w:r w:rsidRPr="007C0894">
        <w:rPr>
          <w:rtl/>
        </w:rPr>
        <w:t xml:space="preserve"> </w:t>
      </w:r>
      <w:hyperlink r:id="rId399" w:history="1">
        <w:r w:rsidRPr="007C0894">
          <w:rPr>
            <w:rStyle w:val="Hyperlink"/>
            <w:noProof w:val="0"/>
            <w:rtl/>
            <w:lang w:val="en-US" w:eastAsia="zh-CN"/>
          </w:rPr>
          <w:t>C25/6</w:t>
        </w:r>
      </w:hyperlink>
      <w:r w:rsidRPr="007C0894">
        <w:rPr>
          <w:rtl/>
        </w:rPr>
        <w:t xml:space="preserve"> و</w:t>
      </w:r>
      <w:hyperlink r:id="rId400" w:history="1">
        <w:r w:rsidRPr="007C0894">
          <w:rPr>
            <w:rStyle w:val="Hyperlink"/>
            <w:noProof w:val="0"/>
            <w:rtl/>
            <w:lang w:val="en-US" w:eastAsia="zh-CN"/>
          </w:rPr>
          <w:t>C24/6</w:t>
        </w:r>
      </w:hyperlink>
      <w:r w:rsidRPr="007C0894">
        <w:rPr>
          <w:rtl/>
        </w:rPr>
        <w:t xml:space="preserve"> و</w:t>
      </w:r>
      <w:hyperlink r:id="rId401" w:history="1">
        <w:r w:rsidRPr="007C0894">
          <w:rPr>
            <w:rStyle w:val="Hyperlink"/>
            <w:noProof w:val="0"/>
            <w:rtl/>
            <w:lang w:val="en-US" w:eastAsia="zh-CN"/>
          </w:rPr>
          <w:t>C23/6</w:t>
        </w:r>
      </w:hyperlink>
      <w:r w:rsidRPr="007C0894">
        <w:rPr>
          <w:rtl/>
        </w:rPr>
        <w:t>.</w:t>
      </w:r>
    </w:p>
    <w:p w14:paraId="05C31B2C" w14:textId="62C41617" w:rsidR="007C0894" w:rsidRPr="007C0894" w:rsidRDefault="00716845" w:rsidP="00716845">
      <w:pPr>
        <w:pStyle w:val="Heading3"/>
        <w:rPr>
          <w:lang w:val="ar-SA" w:bidi="ar-EG"/>
        </w:rPr>
      </w:pPr>
      <w:bookmarkStart w:id="116" w:name="_Toc224288830"/>
      <w:bookmarkStart w:id="117" w:name="_Toc227252604"/>
      <w:r>
        <w:t>2.3.5</w:t>
      </w:r>
      <w:r w:rsidR="007C0894" w:rsidRPr="007C0894">
        <w:rPr>
          <w:rtl/>
        </w:rPr>
        <w:tab/>
        <w:t>تمكين الشباب</w:t>
      </w:r>
      <w:bookmarkEnd w:id="116"/>
      <w:bookmarkEnd w:id="117"/>
    </w:p>
    <w:p w14:paraId="28F6131E" w14:textId="3A61917C" w:rsidR="007C0894" w:rsidRPr="007C0894" w:rsidRDefault="007C0894" w:rsidP="007C0894">
      <w:pPr>
        <w:rPr>
          <w:lang w:val="ar-SA" w:bidi="ar-EG"/>
        </w:rPr>
      </w:pPr>
      <w:hyperlink r:id="rId402" w:history="1">
        <w:r w:rsidRPr="007C0894">
          <w:rPr>
            <w:rStyle w:val="Hyperlink"/>
            <w:noProof w:val="0"/>
            <w:rtl/>
            <w:lang w:val="en-US" w:eastAsia="zh-CN"/>
          </w:rPr>
          <w:t>استراتيجية الاتحاد بشأن الشباب</w:t>
        </w:r>
      </w:hyperlink>
      <w:r w:rsidRPr="007C0894">
        <w:rPr>
          <w:rtl/>
        </w:rPr>
        <w:t xml:space="preserve"> هي الإطار التشغيلي لتعزيز قدرات الاتحاد في إشراك الشباب وتمكينهم من خلال تكنولوجيا المعلومات والاتصالات. وتهدف الاستراتيجية إلى أن تكون مناسبة للغرض وإلى تقليص الفجوة الرقمية بين الشباب، وهي مبنية على ثلاث ركائز: إنشاء مجتمع من القادة الشباب؛ جمع الشباب معاً للتواصل مع الاتحاد والأعضاء؛ تعزيز المشاركة في أنشطة الاتحاد.</w:t>
      </w:r>
    </w:p>
    <w:p w14:paraId="03483F38" w14:textId="5F8C4689" w:rsidR="007C0894" w:rsidRPr="007C0894" w:rsidRDefault="007C0894" w:rsidP="007C0894">
      <w:pPr>
        <w:rPr>
          <w:spacing w:val="-2"/>
          <w:lang w:val="ar-SA" w:bidi="ar-EG"/>
        </w:rPr>
      </w:pPr>
      <w:r w:rsidRPr="007C0894">
        <w:rPr>
          <w:spacing w:val="-2"/>
          <w:rtl/>
        </w:rPr>
        <w:t xml:space="preserve">واعتباراً من عام 2020، عزز قطاع تنمية الاتصالات إشراك الشباب من خلال </w:t>
      </w:r>
      <w:hyperlink r:id="rId403" w:history="1">
        <w:r w:rsidRPr="007C0894">
          <w:rPr>
            <w:rStyle w:val="Hyperlink"/>
            <w:noProof w:val="0"/>
            <w:spacing w:val="-2"/>
            <w:rtl/>
            <w:lang w:val="en-US" w:eastAsia="zh-CN"/>
          </w:rPr>
          <w:t>مبادرة توصيل الجيل</w:t>
        </w:r>
      </w:hyperlink>
      <w:r w:rsidRPr="007C0894">
        <w:rPr>
          <w:spacing w:val="-2"/>
          <w:rtl/>
        </w:rPr>
        <w:t xml:space="preserve">، وهي مبادرة تهدف إلى إشراك شباب العالم وتشجيع مشاركتهم كشركاء على قدم المساواة. وفي عام 2023، وسّعت مبادرة توصيل الجيل أنشطتها من خلال </w:t>
      </w:r>
      <w:hyperlink r:id="rId404" w:history="1">
        <w:r w:rsidRPr="007C0894">
          <w:rPr>
            <w:rStyle w:val="Hyperlink"/>
            <w:noProof w:val="0"/>
            <w:spacing w:val="-2"/>
            <w:rtl/>
            <w:lang w:val="en-US" w:eastAsia="zh-CN"/>
          </w:rPr>
          <w:t>قمة الشباب العالمية لتوصيل الجيل</w:t>
        </w:r>
      </w:hyperlink>
      <w:r w:rsidRPr="007C0894">
        <w:rPr>
          <w:spacing w:val="-2"/>
          <w:rtl/>
        </w:rPr>
        <w:t xml:space="preserve"> في كيغالي؛ ومشاركة المبعوثين الشباب في مؤتمر المندوبين المفوضين لعام 2022 في بوخارست؛ والحوارات بين الأجيال في لجنتي دراسات قطاع تنمية الاتصالات؛ والمساهمات في أحداث عالمية منها </w:t>
      </w:r>
      <w:hyperlink r:id="rId405" w:history="1">
        <w:r w:rsidRPr="007C0894">
          <w:rPr>
            <w:rStyle w:val="Hyperlink"/>
            <w:noProof w:val="0"/>
            <w:spacing w:val="-2"/>
            <w:rtl/>
            <w:lang w:val="en-US" w:eastAsia="zh-CN"/>
          </w:rPr>
          <w:t>منتدى الشباب التابع للمجلس الاقتصادي والاجتماعي للأمم المتحدة</w:t>
        </w:r>
      </w:hyperlink>
      <w:r w:rsidRPr="007C0894">
        <w:rPr>
          <w:spacing w:val="-2"/>
          <w:rtl/>
        </w:rPr>
        <w:t>، و</w:t>
      </w:r>
      <w:hyperlink r:id="rId406" w:history="1">
        <w:r w:rsidRPr="007C0894">
          <w:rPr>
            <w:rStyle w:val="Hyperlink"/>
            <w:noProof w:val="0"/>
            <w:spacing w:val="-2"/>
            <w:rtl/>
            <w:lang w:val="en-US" w:eastAsia="zh-CN"/>
          </w:rPr>
          <w:t>منتدى الأغذية العالمي</w:t>
        </w:r>
      </w:hyperlink>
      <w:r w:rsidRPr="007C0894">
        <w:rPr>
          <w:spacing w:val="-2"/>
          <w:rtl/>
        </w:rPr>
        <w:t xml:space="preserve">، ومنصة </w:t>
      </w:r>
      <w:hyperlink r:id="rId407" w:history="1">
        <w:r w:rsidRPr="007C0894">
          <w:rPr>
            <w:rStyle w:val="Hyperlink"/>
            <w:noProof w:val="0"/>
            <w:spacing w:val="-2"/>
            <w:lang w:val="en-US" w:eastAsia="zh-CN" w:bidi="ar-EG"/>
          </w:rPr>
          <w:t>YOUNGA</w:t>
        </w:r>
      </w:hyperlink>
      <w:r w:rsidRPr="007C0894">
        <w:rPr>
          <w:spacing w:val="-2"/>
          <w:rtl/>
        </w:rPr>
        <w:t>، ومنتدى مسك العالمي، و</w:t>
      </w:r>
      <w:hyperlink r:id="rId408" w:history="1">
        <w:r w:rsidRPr="007C0894">
          <w:rPr>
            <w:rStyle w:val="Hyperlink"/>
            <w:noProof w:val="0"/>
            <w:spacing w:val="-2"/>
            <w:rtl/>
            <w:lang w:val="en-US" w:eastAsia="zh-CN"/>
          </w:rPr>
          <w:t>مسار العمل المخصص للشباب في مؤتمر الأمم المتحدة الخامس المعني بأقل البلدان نمواً في الدوحة</w:t>
        </w:r>
      </w:hyperlink>
      <w:r w:rsidRPr="007C0894">
        <w:rPr>
          <w:spacing w:val="-2"/>
          <w:rtl/>
        </w:rPr>
        <w:t>، و</w:t>
      </w:r>
      <w:hyperlink r:id="rId409" w:history="1">
        <w:r w:rsidRPr="007C0894">
          <w:rPr>
            <w:rStyle w:val="Hyperlink"/>
            <w:noProof w:val="0"/>
            <w:spacing w:val="-2"/>
            <w:rtl/>
            <w:lang w:val="en-US" w:eastAsia="zh-CN"/>
          </w:rPr>
          <w:t>المؤتمر العالمي للاتصالات المتنقلة</w:t>
        </w:r>
      </w:hyperlink>
      <w:r w:rsidRPr="007C0894">
        <w:rPr>
          <w:spacing w:val="-2"/>
          <w:rtl/>
        </w:rPr>
        <w:t xml:space="preserve"> في برشلونة، وفي لجنة وضع المرأة </w:t>
      </w:r>
      <w:r w:rsidRPr="007C0894">
        <w:rPr>
          <w:spacing w:val="-2"/>
          <w:lang w:bidi="ar-EG"/>
        </w:rPr>
        <w:t>(</w:t>
      </w:r>
      <w:hyperlink r:id="rId410" w:history="1">
        <w:r w:rsidRPr="007C0894">
          <w:rPr>
            <w:rStyle w:val="Hyperlink"/>
            <w:noProof w:val="0"/>
            <w:spacing w:val="-2"/>
            <w:lang w:val="en-US" w:eastAsia="zh-CN"/>
          </w:rPr>
          <w:t>CSW-67</w:t>
        </w:r>
      </w:hyperlink>
      <w:r w:rsidRPr="007C0894">
        <w:rPr>
          <w:spacing w:val="-2"/>
          <w:lang w:bidi="ar-EG"/>
        </w:rPr>
        <w:t>)</w:t>
      </w:r>
      <w:r w:rsidRPr="007C0894">
        <w:rPr>
          <w:spacing w:val="-2"/>
          <w:rtl/>
        </w:rPr>
        <w:t xml:space="preserve"> في نيويورك.</w:t>
      </w:r>
    </w:p>
    <w:p w14:paraId="05ADE83E" w14:textId="238D0D1B" w:rsidR="007C0894" w:rsidRPr="007C0894" w:rsidRDefault="007C0894" w:rsidP="007C0894">
      <w:pPr>
        <w:rPr>
          <w:spacing w:val="-2"/>
          <w:lang w:val="ar-SA" w:bidi="ar-EG"/>
        </w:rPr>
      </w:pPr>
      <w:r w:rsidRPr="007C0894">
        <w:rPr>
          <w:spacing w:val="-2"/>
          <w:rtl/>
        </w:rPr>
        <w:t xml:space="preserve">وعُقدت نسخة عام 2025 من </w:t>
      </w:r>
      <w:hyperlink r:id="rId411" w:anchor="/ar" w:history="1">
        <w:r w:rsidRPr="007C0894">
          <w:rPr>
            <w:rStyle w:val="Hyperlink"/>
            <w:noProof w:val="0"/>
            <w:spacing w:val="-2"/>
            <w:rtl/>
            <w:lang w:val="en-US" w:eastAsia="zh-CN"/>
          </w:rPr>
          <w:t>قمة الشباب العالمية للاتحاد</w:t>
        </w:r>
      </w:hyperlink>
      <w:r w:rsidRPr="007C0894">
        <w:rPr>
          <w:spacing w:val="-2"/>
          <w:rtl/>
        </w:rPr>
        <w:t xml:space="preserve"> </w:t>
      </w:r>
      <w:r w:rsidR="00716845" w:rsidRPr="005B2AB5">
        <w:rPr>
          <w:spacing w:val="-2"/>
          <w:lang w:bidi="ar-EG"/>
        </w:rPr>
        <w:t>(GYS-25)</w:t>
      </w:r>
      <w:r w:rsidRPr="007C0894">
        <w:rPr>
          <w:spacing w:val="-2"/>
          <w:rtl/>
        </w:rPr>
        <w:t xml:space="preserve"> بقيادة قطاع تنمية </w:t>
      </w:r>
      <w:r w:rsidR="00716845" w:rsidRPr="005B2AB5">
        <w:rPr>
          <w:rFonts w:hint="cs"/>
          <w:spacing w:val="-2"/>
          <w:rtl/>
        </w:rPr>
        <w:t>الاتصالا</w:t>
      </w:r>
      <w:r w:rsidR="00716845" w:rsidRPr="005B2AB5">
        <w:rPr>
          <w:spacing w:val="-2"/>
          <w:rtl/>
        </w:rPr>
        <w:t>ت</w:t>
      </w:r>
      <w:r w:rsidRPr="007C0894">
        <w:rPr>
          <w:spacing w:val="-2"/>
          <w:rtl/>
        </w:rPr>
        <w:t xml:space="preserve"> في </w:t>
      </w:r>
      <w:proofErr w:type="spellStart"/>
      <w:r w:rsidRPr="007C0894">
        <w:rPr>
          <w:spacing w:val="-2"/>
          <w:rtl/>
        </w:rPr>
        <w:t>فاراديرو</w:t>
      </w:r>
      <w:proofErr w:type="spellEnd"/>
      <w:r w:rsidRPr="007C0894">
        <w:rPr>
          <w:spacing w:val="-2"/>
          <w:rtl/>
        </w:rPr>
        <w:t xml:space="preserve">، كوبا في الفترة من 11 إلى 13 مارس 2025 تحت شعار "إعلاء أصوات الشباب في مجال تكنولوجيا المعلومات والاتصالات من أجل مستقبل شامل وموصول". وكانت القمة GYS-25 الحدث السابع عشر للشباب الذي نظمه الاتحاد، استمراراً لمسيرة بدأت بأول منتدى للشباب على الإطلاق عقده الاتحاد في جوهانسبرغ، جنوب إفريقيا في عام 2001. وحضر الحدث نحو 400 مشارك من 31 بلداً من جميع مناطق الاتحاد، مع مراعاة التوازن بين الجنسين، وتمثيل أقل البلدان نمواً والبلدان النامية غير الساحلية والدول الجزرية الصغيرة النامية، إلى جانب اعتبارات أخرى. وشاركت في الحدث أيضاً حكومات ومنظمات دولية وإقليمية وكيانات من القطاع الخاص وهيئات أكاديمية، إلى جانب ممثلين لوكالات أخرى تابعة للأمم المتحدة، ومبعوثين شباب لمبادرة توصيل الجيل. واستفاد البرنامج من مدخلات فريق التنسيق غير الرسمي التابع للفريق الاستشاري لتنمية الاتصالات والمعني بقمة الشباب والاحتفال العالمي بالشباب </w:t>
      </w:r>
      <w:r w:rsidRPr="007C0894">
        <w:rPr>
          <w:spacing w:val="-2"/>
          <w:lang w:bidi="ar-EG"/>
        </w:rPr>
        <w:t>(TDAG-ICG-GYS)</w:t>
      </w:r>
      <w:r w:rsidRPr="007C0894">
        <w:rPr>
          <w:spacing w:val="-2"/>
          <w:rtl/>
        </w:rPr>
        <w:t xml:space="preserve"> ومشاورات الشباب المنظمة التي يسّرها مكتب تنمية الاتصالات في عملية تشاركية شارك فيها مبعوثون شباب لمبادرة توصيل الجيل من مناطق الاتحاد الست جميعها. ودعمت هذه العملية الشفافية والمواءمة والتنسيق بين مدخلات الشباب وهياكل صنع القرار بالاتحاد، ما أسهم في اعتماد نهج مؤسسي أكثر منهجية واتساقاً لإشراك الشباب إشراكاً هادفاً.</w:t>
      </w:r>
    </w:p>
    <w:p w14:paraId="7BB33C08" w14:textId="676F2255" w:rsidR="007C0894" w:rsidRPr="007C0894" w:rsidRDefault="007C0894" w:rsidP="005B2AB5">
      <w:pPr>
        <w:rPr>
          <w:lang w:val="ar-SA" w:bidi="ar-EG"/>
        </w:rPr>
      </w:pPr>
      <w:r w:rsidRPr="007C0894">
        <w:rPr>
          <w:rtl/>
        </w:rPr>
        <w:t xml:space="preserve">وفي عام 2022، أُطلقت </w:t>
      </w:r>
      <w:hyperlink r:id="rId412" w:anchor="/ar" w:history="1">
        <w:r w:rsidRPr="007C0894">
          <w:rPr>
            <w:rStyle w:val="Hyperlink"/>
            <w:noProof w:val="0"/>
            <w:rtl/>
            <w:lang w:val="en-US" w:eastAsia="zh-CN"/>
          </w:rPr>
          <w:t>شهادة التعلم الرقمي</w:t>
        </w:r>
      </w:hyperlink>
      <w:r w:rsidRPr="007C0894">
        <w:rPr>
          <w:rtl/>
        </w:rPr>
        <w:t xml:space="preserve"> لمبادرة توصيل الجيل من خلال أكاديمية الاتحاد، كما أُطلقت حلقات جديدة من </w:t>
      </w:r>
      <w:proofErr w:type="spellStart"/>
      <w:r w:rsidR="0099640B">
        <w:fldChar w:fldCharType="begin"/>
      </w:r>
      <w:r w:rsidR="0099640B">
        <w:instrText xml:space="preserve"> HYPERLINK "https://www.itu.int/generationconnect/ar/generation-connect-podcast/" </w:instrText>
      </w:r>
      <w:r w:rsidR="0099640B">
        <w:fldChar w:fldCharType="separate"/>
      </w:r>
      <w:r w:rsidRPr="007C0894">
        <w:rPr>
          <w:rStyle w:val="Hyperlink"/>
          <w:noProof w:val="0"/>
          <w:rtl/>
          <w:lang w:val="en-US" w:eastAsia="zh-CN"/>
        </w:rPr>
        <w:t>بودكاست</w:t>
      </w:r>
      <w:proofErr w:type="spellEnd"/>
      <w:r w:rsidR="0099640B">
        <w:rPr>
          <w:rStyle w:val="Hyperlink"/>
          <w:noProof w:val="0"/>
          <w:lang w:val="en-US" w:eastAsia="zh-CN"/>
        </w:rPr>
        <w:fldChar w:fldCharType="end"/>
      </w:r>
      <w:r w:rsidRPr="007C0894">
        <w:rPr>
          <w:rtl/>
        </w:rPr>
        <w:t xml:space="preserve"> مبادرة توصيل الجيل، وتعزز التعاون مع برنامج </w:t>
      </w:r>
      <w:hyperlink r:id="rId413" w:history="1">
        <w:r w:rsidRPr="007C0894">
          <w:rPr>
            <w:rStyle w:val="Hyperlink"/>
            <w:noProof w:val="0"/>
            <w:rtl/>
            <w:lang w:val="en-US" w:eastAsia="zh-CN"/>
          </w:rPr>
          <w:t>كوفي عنان لصانعي التغيير</w:t>
        </w:r>
      </w:hyperlink>
      <w:r w:rsidRPr="007C0894">
        <w:rPr>
          <w:rtl/>
        </w:rPr>
        <w:t xml:space="preserve">. ونمت المجموعات الإقليمية الست للمبعوثين الشباب لتضم 180 مبعوثاً في 120 بلداً، مع تنظيم أنشطة من قبيل جلسة تبادل الآراء بشأن التكنولوجيات الرقمية في إطار مجموعة أوروبا لمبادرة توصيل الجيل </w:t>
      </w:r>
      <w:r w:rsidRPr="007C0894">
        <w:rPr>
          <w:lang w:bidi="ar-EG"/>
        </w:rPr>
        <w:t>(</w:t>
      </w:r>
      <w:hyperlink r:id="rId414" w:history="1">
        <w:r w:rsidRPr="007C0894">
          <w:rPr>
            <w:rStyle w:val="Hyperlink"/>
            <w:noProof w:val="0"/>
            <w:lang w:val="en-US" w:eastAsia="zh-CN"/>
          </w:rPr>
          <w:t>GC-EUR Digital Jam</w:t>
        </w:r>
      </w:hyperlink>
      <w:r w:rsidRPr="007C0894">
        <w:rPr>
          <w:lang w:bidi="ar-EG"/>
        </w:rPr>
        <w:t>)</w:t>
      </w:r>
      <w:r w:rsidRPr="007C0894">
        <w:rPr>
          <w:rtl/>
        </w:rPr>
        <w:t xml:space="preserve"> والمشاركة في مشروع بذور المستقبل </w:t>
      </w:r>
      <w:r w:rsidRPr="007C0894">
        <w:rPr>
          <w:lang w:bidi="ar-EG"/>
        </w:rPr>
        <w:t>(</w:t>
      </w:r>
      <w:hyperlink r:id="rId415" w:history="1">
        <w:r w:rsidRPr="007C0894">
          <w:rPr>
            <w:rStyle w:val="Hyperlink"/>
            <w:noProof w:val="0"/>
            <w:lang w:val="en-US" w:eastAsia="zh-CN"/>
          </w:rPr>
          <w:t>Seeds for the Future</w:t>
        </w:r>
      </w:hyperlink>
      <w:r w:rsidRPr="007C0894">
        <w:rPr>
          <w:lang w:bidi="ar-EG"/>
        </w:rPr>
        <w:t>)</w:t>
      </w:r>
      <w:r w:rsidRPr="007C0894">
        <w:rPr>
          <w:rtl/>
        </w:rPr>
        <w:t xml:space="preserve"> لشركة </w:t>
      </w:r>
      <w:r w:rsidRPr="007C0894">
        <w:rPr>
          <w:lang w:bidi="ar-EG"/>
        </w:rPr>
        <w:t>Huawei</w:t>
      </w:r>
      <w:r w:rsidRPr="007C0894">
        <w:rPr>
          <w:rtl/>
        </w:rPr>
        <w:t xml:space="preserve"> في بانكوك.</w:t>
      </w:r>
    </w:p>
    <w:p w14:paraId="261307DE" w14:textId="3E9ED2D7" w:rsidR="007C0894" w:rsidRPr="007C0894" w:rsidRDefault="007C0894" w:rsidP="007C0894">
      <w:pPr>
        <w:rPr>
          <w:lang w:val="ar-SA" w:bidi="ar-EG"/>
        </w:rPr>
      </w:pPr>
      <w:r w:rsidRPr="007C0894">
        <w:rPr>
          <w:rtl/>
        </w:rPr>
        <w:t xml:space="preserve">وفي مارس 2023، أطلق منتدى القمة العالمية لمجتمع المعلومات ونموذج جنيف الدولي للأمم المتحدة </w:t>
      </w:r>
      <w:r w:rsidRPr="007C0894">
        <w:rPr>
          <w:lang w:bidi="ar-EG"/>
        </w:rPr>
        <w:t>(GIMUN)</w:t>
      </w:r>
      <w:r w:rsidRPr="007C0894">
        <w:rPr>
          <w:rtl/>
        </w:rPr>
        <w:t xml:space="preserve"> بشكل مشترك </w:t>
      </w:r>
      <w:hyperlink r:id="rId416" w:history="1">
        <w:r w:rsidRPr="007C0894">
          <w:rPr>
            <w:rStyle w:val="Hyperlink"/>
            <w:noProof w:val="0"/>
            <w:rtl/>
            <w:lang w:val="en-US" w:eastAsia="zh-CN"/>
          </w:rPr>
          <w:t xml:space="preserve">جائزة الشباب للقمة العالمية لمجتمع المعلومات </w:t>
        </w:r>
        <w:r w:rsidR="003B67D2">
          <w:rPr>
            <w:rStyle w:val="Hyperlink"/>
            <w:rFonts w:hint="cs"/>
            <w:noProof w:val="0"/>
            <w:rtl/>
            <w:lang w:val="en-US" w:eastAsia="zh-CN" w:bidi="ar-EG"/>
          </w:rPr>
          <w:t>و</w:t>
        </w:r>
        <w:r w:rsidRPr="007C0894">
          <w:rPr>
            <w:rStyle w:val="Hyperlink"/>
            <w:noProof w:val="0"/>
            <w:rtl/>
            <w:lang w:val="en-US" w:eastAsia="zh-CN"/>
          </w:rPr>
          <w:t>مبادرة توصيل الجيل</w:t>
        </w:r>
      </w:hyperlink>
      <w:r w:rsidRPr="007C0894">
        <w:rPr>
          <w:rtl/>
        </w:rPr>
        <w:t> تحت شعار "المستقبل الرقمي من خلال الشمول الهادف للشباب".</w:t>
      </w:r>
    </w:p>
    <w:p w14:paraId="43219BDA" w14:textId="25A66702" w:rsidR="007C0894" w:rsidRPr="007C0894" w:rsidRDefault="007C0894" w:rsidP="007C0894">
      <w:pPr>
        <w:rPr>
          <w:lang w:val="ar-SA" w:bidi="ar-EG"/>
        </w:rPr>
      </w:pPr>
      <w:r w:rsidRPr="007C0894">
        <w:rPr>
          <w:rtl/>
        </w:rPr>
        <w:t xml:space="preserve">وفي عام 2024، كثَّف الاتحاد تنفيذ القرار 198 لمؤتمر المندوبين المفوضين من خلال دمج وجهات نظر الشباب في البرامج والممارسات الإدارية وتنمية الموارد البشرية. وعزز فريق مهام معني بالشباب مؤلف من موظفين من جميع القطاعات والأمانة العامة أنشطة الدعوة الداخلية، في حين أنشئ </w:t>
      </w:r>
      <w:hyperlink r:id="rId417" w:anchor="/ar" w:history="1">
        <w:r w:rsidRPr="007C0894">
          <w:rPr>
            <w:rStyle w:val="Hyperlink"/>
            <w:noProof w:val="0"/>
            <w:rtl/>
            <w:lang w:val="en-US" w:eastAsia="zh-CN"/>
          </w:rPr>
          <w:t>المجلس الاستشاري للشباب التابع للأمينة العامة</w:t>
        </w:r>
      </w:hyperlink>
      <w:r w:rsidRPr="007C0894">
        <w:rPr>
          <w:rtl/>
        </w:rPr>
        <w:t xml:space="preserve"> لتقديم توصيات يقودها الشباب بشأن مواضيع من قبيل الذكاء الاصطناعي والفضاء والكبلات البحرية والقضايا البيئية. وأُعد </w:t>
      </w:r>
      <w:hyperlink r:id="rId418" w:history="1">
        <w:r w:rsidRPr="007C0894">
          <w:rPr>
            <w:rStyle w:val="Hyperlink"/>
            <w:noProof w:val="0"/>
            <w:rtl/>
            <w:lang w:val="en-US" w:eastAsia="zh-CN"/>
          </w:rPr>
          <w:t xml:space="preserve">برنامج القيادات الشابة لمبادرة توصيل الجيل </w:t>
        </w:r>
        <w:r w:rsidRPr="007C0894">
          <w:rPr>
            <w:rStyle w:val="Hyperlink"/>
            <w:noProof w:val="0"/>
            <w:lang w:val="en-US" w:eastAsia="zh-CN" w:bidi="ar-EG"/>
          </w:rPr>
          <w:t>(GCYLP)</w:t>
        </w:r>
      </w:hyperlink>
      <w:r w:rsidRPr="007C0894">
        <w:rPr>
          <w:rtl/>
        </w:rPr>
        <w:t xml:space="preserve"> لدعم ثلاثين مستفيداً من الشباب سنوياً بتقديم الإرشاد والتدريب والتمويل لتنفيذ مبادرات للتنمية الرقمية في مجتمعاتهم.</w:t>
      </w:r>
    </w:p>
    <w:p w14:paraId="7B64C99E" w14:textId="5D4E4BFA" w:rsidR="007C0894" w:rsidRPr="007C0894" w:rsidRDefault="007C0894" w:rsidP="007C0894">
      <w:pPr>
        <w:rPr>
          <w:lang w:val="ar-SA" w:bidi="ar-EG"/>
        </w:rPr>
      </w:pPr>
      <w:r w:rsidRPr="007C0894">
        <w:rPr>
          <w:rtl/>
        </w:rPr>
        <w:t xml:space="preserve">وفي الفترة 2024-2025، استقطب أول </w:t>
      </w:r>
      <w:hyperlink r:id="rId419" w:history="1">
        <w:r w:rsidRPr="007C0894">
          <w:rPr>
            <w:rStyle w:val="Hyperlink"/>
            <w:noProof w:val="0"/>
            <w:rtl/>
            <w:lang w:val="en-US" w:eastAsia="zh-CN"/>
          </w:rPr>
          <w:t>برنامج للمهنيين الشباب في الاتحاد</w:t>
        </w:r>
      </w:hyperlink>
      <w:r w:rsidRPr="007C0894">
        <w:rPr>
          <w:rtl/>
        </w:rPr>
        <w:t xml:space="preserve"> أكثر من </w:t>
      </w:r>
      <w:r w:rsidR="005B2AB5">
        <w:t>3 500</w:t>
      </w:r>
      <w:r w:rsidRPr="007C0894">
        <w:rPr>
          <w:rtl/>
        </w:rPr>
        <w:t xml:space="preserve"> مقدم طلب، ما أسفر عن </w:t>
      </w:r>
      <w:proofErr w:type="gramStart"/>
      <w:r w:rsidRPr="007C0894">
        <w:rPr>
          <w:rtl/>
        </w:rPr>
        <w:t>ستة</w:t>
      </w:r>
      <w:proofErr w:type="gramEnd"/>
      <w:r w:rsidRPr="007C0894">
        <w:rPr>
          <w:rtl/>
        </w:rPr>
        <w:t xml:space="preserve"> تعيينات برتبة P1 على مستوى المنظمة. وأكملت المجموعة العالمية الأولى </w:t>
      </w:r>
      <w:hyperlink r:id="rId420" w:history="1">
        <w:r w:rsidRPr="007C0894">
          <w:rPr>
            <w:rStyle w:val="Hyperlink"/>
            <w:noProof w:val="0"/>
            <w:rtl/>
            <w:lang w:val="en-US" w:eastAsia="zh-CN"/>
          </w:rPr>
          <w:t xml:space="preserve">لبرنامج القيادات الشابة لمبادرة توصيل الجيل </w:t>
        </w:r>
        <w:r w:rsidRPr="007C0894">
          <w:rPr>
            <w:rStyle w:val="Hyperlink"/>
            <w:noProof w:val="0"/>
            <w:lang w:val="en-US" w:eastAsia="zh-CN" w:bidi="ar-EG"/>
          </w:rPr>
          <w:t>(GCYLP)</w:t>
        </w:r>
      </w:hyperlink>
      <w:r w:rsidRPr="007C0894">
        <w:rPr>
          <w:rtl/>
        </w:rPr>
        <w:t xml:space="preserve"> التابع لقطاع تنمية الاتصالات، التي اختيرت من بين أكثر من </w:t>
      </w:r>
      <w:r w:rsidR="005B2AB5">
        <w:t>5 000</w:t>
      </w:r>
      <w:r w:rsidRPr="007C0894">
        <w:rPr>
          <w:rtl/>
        </w:rPr>
        <w:t xml:space="preserve"> مقدم طلب من أكثر من 200 بلد، عامها الافتتاحي، بينما بدأت في عام 2025 عملية اختيار المجموعة الثانية. وبحلول ذلك الوقت، كان الاتحاد قد دعم 184 مبعوثاً شاباً لمبادرة توصيل الجيل من 64 بلداً، بما يضمن تمثيل أصوات الشباب عبر منصات التنمية الرقمية العالمية. وواصل الاتحاد أيضاً نشر معلومات محدَّثة بشأن المبادرات المتعلقة بالشباب من خلال وثائق المجلس </w:t>
      </w:r>
      <w:hyperlink r:id="rId421" w:history="1">
        <w:r w:rsidRPr="007C0894">
          <w:rPr>
            <w:rStyle w:val="Hyperlink"/>
            <w:noProof w:val="0"/>
            <w:rtl/>
            <w:lang w:val="en-US" w:eastAsia="zh-CN"/>
          </w:rPr>
          <w:t>C24/31</w:t>
        </w:r>
      </w:hyperlink>
      <w:r w:rsidRPr="007C0894">
        <w:rPr>
          <w:rtl/>
        </w:rPr>
        <w:t xml:space="preserve"> و</w:t>
      </w:r>
      <w:hyperlink r:id="rId422" w:history="1">
        <w:r w:rsidRPr="007C0894">
          <w:rPr>
            <w:rStyle w:val="Hyperlink"/>
            <w:noProof w:val="0"/>
            <w:rtl/>
            <w:lang w:val="en-US" w:eastAsia="zh-CN"/>
          </w:rPr>
          <w:t>C24/32</w:t>
        </w:r>
      </w:hyperlink>
      <w:r w:rsidRPr="007C0894">
        <w:rPr>
          <w:rtl/>
        </w:rPr>
        <w:t xml:space="preserve"> و</w:t>
      </w:r>
      <w:hyperlink r:id="rId423" w:history="1">
        <w:r w:rsidRPr="007C0894">
          <w:rPr>
            <w:rStyle w:val="Hyperlink"/>
            <w:noProof w:val="0"/>
            <w:rtl/>
            <w:lang w:val="en-US" w:eastAsia="zh-CN"/>
          </w:rPr>
          <w:t>C25/32</w:t>
        </w:r>
      </w:hyperlink>
      <w:r w:rsidRPr="007C0894">
        <w:rPr>
          <w:rtl/>
        </w:rPr>
        <w:t>، في حين وثِّقت أنشطة الشباب بقطاع تنمية الاتصالات في تقارير مكتب تنمية الاتصالات المقدمة إلى الفريق الاستشاري لتنمية الاتصالات التابع للاتحاد.</w:t>
      </w:r>
    </w:p>
    <w:p w14:paraId="6497A0EA" w14:textId="77777777" w:rsidR="007C0894" w:rsidRPr="007C0894" w:rsidRDefault="007C0894" w:rsidP="007C0894">
      <w:pPr>
        <w:rPr>
          <w:lang w:val="ar-SA" w:bidi="ar-EG"/>
        </w:rPr>
      </w:pPr>
      <w:r w:rsidRPr="007C0894">
        <w:rPr>
          <w:rtl/>
        </w:rPr>
        <w:t xml:space="preserve">وفي عام 2025، أنشئ مكتب المساواة بين الجنسين والشباب </w:t>
      </w:r>
      <w:r w:rsidRPr="007C0894">
        <w:rPr>
          <w:lang w:bidi="ar-EG"/>
        </w:rPr>
        <w:t>(GYO)</w:t>
      </w:r>
      <w:r w:rsidRPr="007C0894">
        <w:rPr>
          <w:rtl/>
        </w:rPr>
        <w:t xml:space="preserve"> بالاتحاد وتشمل وظائفه ضمان إشراك الشباب بطريقة منسقة وهادفة في أنشطة الاتحاد كمنظمة موحدة. ويقود مكتب المساواة بين الجنسين والشباب أيضاً شبكة الأمم المتحدة لجهات الاتصال المعنية بالشباب الكائن مقرها بجنيف، والتي تضم حالياً 15 منظمة تعمل معاً لتعزيز التعاون بين الوكالات بشأن مبادرات الشباب وتعزيز فرص التطوير المهني للموظفين والمتدربين الشباب في الأمم المتحدة. وشارك الاتحاد بنشاط في فرقة عمل الأمم المتحدة المعنية بالمبادئ الأساسية لمشاركة الشباب الهادفة في عام 2025، وذلك في إطار الفريق العامل المعني بالشباب التابع لميثاق المستقبل بقيادة مكتب الأمم المتحدة للشباب في نيويورك.</w:t>
      </w:r>
    </w:p>
    <w:p w14:paraId="28052E37" w14:textId="77777777" w:rsidR="007C0894" w:rsidRPr="007C0894" w:rsidRDefault="007C0894" w:rsidP="007C0894">
      <w:pPr>
        <w:rPr>
          <w:lang w:val="ar-SA" w:bidi="ar-EG"/>
        </w:rPr>
      </w:pPr>
      <w:r w:rsidRPr="007C0894">
        <w:rPr>
          <w:rtl/>
        </w:rPr>
        <w:t xml:space="preserve">ويتواصل الاتحاد أيضاً مع الشباب على الصعيد العالمي من خلال وسائل التواصل الاجتماعي والمنصات الرقمية، بما في ذلك </w:t>
      </w:r>
      <w:r w:rsidRPr="007C0894">
        <w:rPr>
          <w:lang w:bidi="ar-EG"/>
        </w:rPr>
        <w:t>Instagram</w:t>
      </w:r>
      <w:r w:rsidRPr="007C0894">
        <w:rPr>
          <w:rtl/>
        </w:rPr>
        <w:t xml:space="preserve"> و</w:t>
      </w:r>
      <w:r w:rsidRPr="007C0894">
        <w:rPr>
          <w:lang w:bidi="ar-EG"/>
        </w:rPr>
        <w:t>Facebook</w:t>
      </w:r>
      <w:r w:rsidRPr="007C0894">
        <w:rPr>
          <w:rtl/>
        </w:rPr>
        <w:t xml:space="preserve"> و</w:t>
      </w:r>
      <w:r w:rsidRPr="007C0894">
        <w:rPr>
          <w:lang w:bidi="ar-EG"/>
        </w:rPr>
        <w:t>LinkedIn</w:t>
      </w:r>
      <w:r w:rsidRPr="007C0894">
        <w:rPr>
          <w:rtl/>
        </w:rPr>
        <w:t xml:space="preserve"> وحلقات </w:t>
      </w:r>
      <w:proofErr w:type="spellStart"/>
      <w:r w:rsidRPr="007C0894">
        <w:rPr>
          <w:rtl/>
        </w:rPr>
        <w:t>بودكاست</w:t>
      </w:r>
      <w:proofErr w:type="spellEnd"/>
      <w:r w:rsidRPr="007C0894">
        <w:rPr>
          <w:rtl/>
        </w:rPr>
        <w:t xml:space="preserve"> مخصصة. وبين عامي 2022 و2025، نُشرت 13 حلقة </w:t>
      </w:r>
      <w:proofErr w:type="spellStart"/>
      <w:r w:rsidRPr="007C0894">
        <w:rPr>
          <w:rtl/>
        </w:rPr>
        <w:t>بودكاست</w:t>
      </w:r>
      <w:proofErr w:type="spellEnd"/>
      <w:r w:rsidRPr="007C0894">
        <w:rPr>
          <w:rtl/>
        </w:rPr>
        <w:t xml:space="preserve"> للشباب أعدها الاتحاد وتناولت مواضيع من قبيل المهارات الرقمية، والذكاء الاصطناعي، والميتافيرس، والفضاء، والمناخ. وأُعدت مبادرة المراكز الرقمية للاتحاد من أجل طلاب المؤسسات الأكاديمية التابعة للاتحاد ليتم إطلاقها رسمياً في أوائل عام 2026. وتعزز هذه المبادرات التي يقودها الشباب جهود الاتحاد الرامية إلى التواصل مع جماهير الشباب، وتسهم في النهوض بولايته الرامية إلى تشجيع المشاركة الشاملة في المستقبل الرقمي.</w:t>
      </w:r>
    </w:p>
    <w:p w14:paraId="69CABB76" w14:textId="3B60FB80" w:rsidR="007C0894" w:rsidRPr="007C0894" w:rsidRDefault="007C0894" w:rsidP="007C0894">
      <w:pPr>
        <w:rPr>
          <w:lang w:val="ar-SA" w:bidi="ar-EG"/>
        </w:rPr>
      </w:pPr>
      <w:r w:rsidRPr="007C0894">
        <w:rPr>
          <w:rtl/>
        </w:rPr>
        <w:t xml:space="preserve">وقد زادت مشاركة الشباب في التكنولوجيات الناشئة، لا سيما الذكاء الاصطناعي والروبوتات، بشكل كبير خلال هذه الفترة. وفي عام 2024، تضمنت </w:t>
      </w:r>
      <w:hyperlink r:id="rId424" w:anchor="/ar" w:history="1">
        <w:r w:rsidRPr="007C0894">
          <w:rPr>
            <w:rStyle w:val="Hyperlink"/>
            <w:noProof w:val="0"/>
            <w:rtl/>
            <w:lang w:val="en-US" w:eastAsia="zh-CN"/>
          </w:rPr>
          <w:t>مسابقة الذكاء الاصطناعي/تعلم الآلة في شبكات الجيل الخامس</w:t>
        </w:r>
      </w:hyperlink>
      <w:r w:rsidRPr="007C0894">
        <w:rPr>
          <w:rtl/>
        </w:rPr>
        <w:t xml:space="preserve"> ثلاث عشرة مسابقة تركز على الشباب واستقطبت أكثر من </w:t>
      </w:r>
      <w:r w:rsidR="005B2AB5">
        <w:t>4 000</w:t>
      </w:r>
      <w:r w:rsidRPr="007C0894">
        <w:rPr>
          <w:rtl/>
        </w:rPr>
        <w:t xml:space="preserve"> مشارك من الشباب، في حين شارك في </w:t>
      </w:r>
      <w:hyperlink r:id="rId425" w:anchor="/ar" w:history="1">
        <w:r w:rsidRPr="007C0894">
          <w:rPr>
            <w:rStyle w:val="Hyperlink"/>
            <w:noProof w:val="0"/>
            <w:rtl/>
            <w:lang w:val="en-US" w:eastAsia="zh-CN"/>
          </w:rPr>
          <w:t>مسابقة الشباب بشأن الروبوتات من أجل المصلحة العامة</w:t>
        </w:r>
      </w:hyperlink>
      <w:r w:rsidRPr="007C0894">
        <w:rPr>
          <w:rtl/>
        </w:rPr>
        <w:t xml:space="preserve"> في الفترة 2024-2025 أكثر من </w:t>
      </w:r>
      <w:r w:rsidR="005B2AB5">
        <w:t>7 000</w:t>
      </w:r>
      <w:r w:rsidRPr="007C0894">
        <w:rPr>
          <w:rtl/>
        </w:rPr>
        <w:t xml:space="preserve"> شاب وشابة من أكثر من أربعين بلداً في تطوير حلول للتصدي للكوارث. ووسّعت منطقة مخصصة للشباب في حدثي القمة العالمية للذكاء الاصطناعي من أجل المصلحة العامة لعامي 2024 و2025 فرص التعلم والتعاون.</w:t>
      </w:r>
    </w:p>
    <w:p w14:paraId="218682A6" w14:textId="6E60208F" w:rsidR="007C0894" w:rsidRPr="007C0894" w:rsidRDefault="007C0894" w:rsidP="007C0894">
      <w:pPr>
        <w:rPr>
          <w:lang w:val="ar-SA" w:bidi="ar-EG"/>
        </w:rPr>
      </w:pPr>
      <w:r w:rsidRPr="007C0894">
        <w:rPr>
          <w:rtl/>
        </w:rPr>
        <w:t xml:space="preserve">ويتسع نطاق مشاركة الشباب ليشمل أيضاً البيئات الرقمية الغامرة والناشئة. وبناءً على مبادرات من قبيل </w:t>
      </w:r>
      <w:hyperlink r:id="rId426" w:history="1">
        <w:r w:rsidRPr="007C0894">
          <w:rPr>
            <w:rStyle w:val="Hyperlink"/>
            <w:noProof w:val="0"/>
            <w:rtl/>
            <w:lang w:val="en-US" w:eastAsia="zh-CN"/>
          </w:rPr>
          <w:t>مسابقة الأمم المتحدة لشحذ الأفكار في مجال الميتافيرس</w:t>
        </w:r>
      </w:hyperlink>
      <w:r w:rsidRPr="007C0894">
        <w:rPr>
          <w:rtl/>
        </w:rPr>
        <w:t xml:space="preserve"> و</w:t>
      </w:r>
      <w:hyperlink r:id="rId427" w:history="1">
        <w:r w:rsidRPr="007C0894">
          <w:rPr>
            <w:rStyle w:val="Hyperlink"/>
            <w:noProof w:val="0"/>
            <w:rtl/>
            <w:lang w:val="en-US" w:eastAsia="zh-CN"/>
          </w:rPr>
          <w:t xml:space="preserve">مسابقة الأمم المتحدة </w:t>
        </w:r>
        <w:proofErr w:type="spellStart"/>
        <w:r w:rsidRPr="007C0894">
          <w:rPr>
            <w:rStyle w:val="Hyperlink"/>
            <w:noProof w:val="0"/>
            <w:rtl/>
            <w:lang w:val="en-US" w:eastAsia="zh-CN"/>
          </w:rPr>
          <w:t>للسيتيفيرس</w:t>
        </w:r>
        <w:proofErr w:type="spellEnd"/>
      </w:hyperlink>
      <w:r w:rsidRPr="007C0894">
        <w:rPr>
          <w:rtl/>
        </w:rPr>
        <w:t xml:space="preserve">، دعي الشباب إلى تطوير حلول مبتكرة باستخدام العوالم الافتراضية والبنية التحتية الرقمية القائمة على </w:t>
      </w:r>
      <w:proofErr w:type="spellStart"/>
      <w:r w:rsidRPr="007C0894">
        <w:rPr>
          <w:rtl/>
        </w:rPr>
        <w:t>السيتيفيرس</w:t>
      </w:r>
      <w:proofErr w:type="spellEnd"/>
      <w:r w:rsidRPr="007C0894">
        <w:rPr>
          <w:rtl/>
        </w:rPr>
        <w:t>، بما يعزز الإبداع والمهارات الرقمية والتطبيقات الواقعية.</w:t>
      </w:r>
    </w:p>
    <w:p w14:paraId="404ED98B" w14:textId="71F9C96F" w:rsidR="007C0894" w:rsidRPr="007C0894" w:rsidRDefault="005B2AB5" w:rsidP="005B2AB5">
      <w:pPr>
        <w:pStyle w:val="Heading3"/>
        <w:rPr>
          <w:lang w:val="ar-SA" w:bidi="ar-EG"/>
        </w:rPr>
      </w:pPr>
      <w:bookmarkStart w:id="118" w:name="_Toc224288831"/>
      <w:bookmarkStart w:id="119" w:name="_Toc227252605"/>
      <w:r>
        <w:t>3.3.5</w:t>
      </w:r>
      <w:r w:rsidR="007C0894" w:rsidRPr="007C0894">
        <w:rPr>
          <w:rtl/>
        </w:rPr>
        <w:tab/>
        <w:t>إمكانية النفاذ إلى تكنولوجيا المعلومات والاتصالات/إمكانية النفاذ الرقمي</w:t>
      </w:r>
      <w:bookmarkEnd w:id="118"/>
      <w:bookmarkEnd w:id="119"/>
    </w:p>
    <w:p w14:paraId="2BFC8F07" w14:textId="6C124EAC" w:rsidR="007C0894" w:rsidRPr="007C0894" w:rsidRDefault="007C0894" w:rsidP="007C0894">
      <w:pPr>
        <w:rPr>
          <w:lang w:val="ar-SA" w:bidi="ar-EG"/>
        </w:rPr>
      </w:pPr>
      <w:r w:rsidRPr="007C0894">
        <w:rPr>
          <w:rtl/>
        </w:rPr>
        <w:t>اعتمد مجلس الاتحاد في عام 2021</w:t>
      </w:r>
      <w:r w:rsidR="005B2AB5">
        <w:rPr>
          <w:rFonts w:hint="cs"/>
          <w:rtl/>
          <w:lang w:bidi="ar-EG"/>
        </w:rPr>
        <w:t xml:space="preserve"> </w:t>
      </w:r>
      <w:hyperlink r:id="rId428" w:history="1">
        <w:r w:rsidRPr="007C0894">
          <w:rPr>
            <w:rStyle w:val="Hyperlink"/>
            <w:noProof w:val="0"/>
            <w:rtl/>
            <w:lang w:val="en-US" w:eastAsia="zh-CN"/>
          </w:rPr>
          <w:t>سياسة الاتحاد بشأن إمكانية النفاذ</w:t>
        </w:r>
      </w:hyperlink>
      <w:r w:rsidRPr="007C0894">
        <w:rPr>
          <w:rtl/>
        </w:rPr>
        <w:t xml:space="preserve"> التي تتناول على السواء إمكانية النفاذ الخارجية (إتاحة النفاذ إلى تكنولوجيا المعلومات والاتصالات) وإمكانية النفاذ الداخلية (إتاحة النفاذ إلى الاتحاد). وخلال الفترة المشمولة بالتقرير، واصل الاتحاد النهوض بإمكانية النفاذ الرقمي للأشخاص ذوي الإعاقة من خلال إذكاء الوعي، وتوسيع فرص التدريب، وتعميم إمكانية النفاذ عبر جميع قطاعات عمل الاتحاد. وعمل قطاع تنمية الاتصالات </w:t>
      </w:r>
      <w:r w:rsidRPr="007C0894">
        <w:rPr>
          <w:lang w:bidi="ar-EG"/>
        </w:rPr>
        <w:t>(ITU-D)</w:t>
      </w:r>
      <w:r w:rsidRPr="007C0894">
        <w:rPr>
          <w:rtl/>
        </w:rPr>
        <w:t xml:space="preserve"> وقطاع تقييس الاتصالات </w:t>
      </w:r>
      <w:r w:rsidRPr="007C0894">
        <w:rPr>
          <w:lang w:bidi="ar-EG"/>
        </w:rPr>
        <w:t>(ITU-T)</w:t>
      </w:r>
      <w:r w:rsidRPr="007C0894">
        <w:rPr>
          <w:rtl/>
        </w:rPr>
        <w:t xml:space="preserve"> وقطاع الاتصالات الراديوية </w:t>
      </w:r>
      <w:r w:rsidRPr="007C0894">
        <w:rPr>
          <w:lang w:bidi="ar-EG"/>
        </w:rPr>
        <w:t>(ITU-R)</w:t>
      </w:r>
      <w:r w:rsidRPr="007C0894">
        <w:rPr>
          <w:rtl/>
        </w:rPr>
        <w:t xml:space="preserve"> بشكل مشترك على ضمان إمكانية استفادة الأشخاص ذوي الإعاقة استفادة كاملة من التكنولوجيات الرقمية، وذلك من خلال دعم الدول الأعضاء بتقديم المشورة المتخصصة وبرامج بناء القدرات والموارد التقنية مثل الدورات التدريبية التنفيذية والأحداث الإقليمية والمشاركات في التحدث ونشر الممارسات الجيدة والأدوات. وأسهم عمل الاتحاد على الصعيد العالمي أيضاً في إحراز تقدم أوسع على المستوى القُطري، حيث ارتفع عدد الأطر التنظيمية الوطنية المتعلقة بإمكانية النفاذ إلى تكنولوجيا المعلومات والاتصالات إلى 127، ما يمثل زيادة كبيرة بعد سنوات من الركود.</w:t>
      </w:r>
    </w:p>
    <w:p w14:paraId="1307B7BE" w14:textId="4C70B4AF" w:rsidR="007C0894" w:rsidRPr="007C0894" w:rsidRDefault="007C0894" w:rsidP="00036109">
      <w:pPr>
        <w:rPr>
          <w:spacing w:val="-4"/>
          <w:lang w:val="ar-SA" w:bidi="ar-EG"/>
        </w:rPr>
      </w:pPr>
      <w:r w:rsidRPr="007C0894">
        <w:rPr>
          <w:spacing w:val="-4"/>
          <w:rtl/>
        </w:rPr>
        <w:t xml:space="preserve">وركزت أنشطة إمكانية النفاذ إلى تكنولوجيا المعلومات والاتصالات/إمكانية النفاذ الرقمي في قطاع تنمية الاتصالات </w:t>
      </w:r>
      <w:r w:rsidRPr="007C0894">
        <w:rPr>
          <w:spacing w:val="-4"/>
          <w:lang w:bidi="ar-EG"/>
        </w:rPr>
        <w:t>(</w:t>
      </w:r>
      <w:hyperlink r:id="rId429" w:anchor="/ar" w:history="1">
        <w:r w:rsidRPr="007C0894">
          <w:rPr>
            <w:rStyle w:val="Hyperlink"/>
            <w:noProof w:val="0"/>
            <w:spacing w:val="-4"/>
            <w:lang w:val="en-US" w:eastAsia="zh-CN" w:bidi="ar-EG"/>
          </w:rPr>
          <w:t>ITU-D</w:t>
        </w:r>
      </w:hyperlink>
      <w:r w:rsidRPr="007C0894">
        <w:rPr>
          <w:spacing w:val="-4"/>
          <w:lang w:bidi="ar-EG"/>
        </w:rPr>
        <w:t>)</w:t>
      </w:r>
      <w:r w:rsidRPr="007C0894">
        <w:rPr>
          <w:spacing w:val="-4"/>
          <w:rtl/>
        </w:rPr>
        <w:t xml:space="preserve"> على تعزيز قدرات الدول الأعضاء ودفع عجلة الشمول الرقمي. وقدم قطاع تنمية الاتصالات المشورة المتخصصة لواضعي السياسات، ودعم الأحداث الإقليمية بشأن "إمكانية نفاذ الجميع إلى تكنولوجيا المعلومات والاتصالات" </w:t>
      </w:r>
      <w:r w:rsidR="00036109">
        <w:rPr>
          <w:rFonts w:hint="cs"/>
          <w:spacing w:val="-4"/>
          <w:rtl/>
          <w:lang w:bidi="ar-EG"/>
        </w:rPr>
        <w:t>(</w:t>
      </w:r>
      <w:hyperlink r:id="rId430" w:history="1">
        <w:r w:rsidR="00036109" w:rsidRPr="007C0894">
          <w:rPr>
            <w:rStyle w:val="Hyperlink"/>
            <w:noProof w:val="0"/>
            <w:spacing w:val="-4"/>
            <w:rtl/>
            <w:lang w:val="en-US" w:eastAsia="zh-CN"/>
          </w:rPr>
          <w:t>https://www.itu.int/en/ITU-D/Regional-Presence/AsiaPacific/Pages/v2/regional-events.aspx</w:t>
        </w:r>
      </w:hyperlink>
      <w:r w:rsidR="00036109">
        <w:rPr>
          <w:rFonts w:hint="cs"/>
          <w:spacing w:val="-4"/>
          <w:rtl/>
        </w:rPr>
        <w:t xml:space="preserve"> </w:t>
      </w:r>
      <w:hyperlink r:id="rId431" w:anchor=":~:text=The%209th%20edition%20of%20Accessible,)%2C%20the%20Brazilian%20regulatory%20authority." w:history="1">
        <w:proofErr w:type="spellStart"/>
        <w:r w:rsidRPr="007C0894">
          <w:rPr>
            <w:rStyle w:val="Hyperlink"/>
            <w:noProof w:val="0"/>
            <w:spacing w:val="-4"/>
            <w:rtl/>
            <w:lang w:val="en-US" w:eastAsia="zh-CN"/>
          </w:rPr>
          <w:t>الأمريكتان</w:t>
        </w:r>
        <w:proofErr w:type="spellEnd"/>
      </w:hyperlink>
      <w:r w:rsidRPr="007C0894">
        <w:rPr>
          <w:spacing w:val="-4"/>
          <w:rtl/>
        </w:rPr>
        <w:t>،</w:t>
      </w:r>
      <w:r w:rsidR="0089560B">
        <w:rPr>
          <w:spacing w:val="-4"/>
          <w:rtl/>
        </w:rPr>
        <w:t xml:space="preserve"> </w:t>
      </w:r>
      <w:hyperlink r:id="rId432" w:anchor=":~:text=The%20special%20event%20for%20Europe,virtually%20on%206%20December%202022." w:history="1">
        <w:r w:rsidRPr="007C0894">
          <w:rPr>
            <w:rStyle w:val="Hyperlink"/>
            <w:noProof w:val="0"/>
            <w:spacing w:val="-4"/>
            <w:rtl/>
            <w:lang w:val="en-US" w:eastAsia="zh-CN"/>
          </w:rPr>
          <w:t>أوروبا</w:t>
        </w:r>
      </w:hyperlink>
      <w:r w:rsidRPr="007C0894">
        <w:rPr>
          <w:spacing w:val="-4"/>
          <w:rtl/>
        </w:rPr>
        <w:t xml:space="preserve">، </w:t>
      </w:r>
      <w:hyperlink r:id="rId433" w:history="1">
        <w:r w:rsidRPr="007C0894">
          <w:rPr>
            <w:rStyle w:val="Hyperlink"/>
            <w:noProof w:val="0"/>
            <w:spacing w:val="-4"/>
            <w:rtl/>
            <w:lang w:val="en-US" w:eastAsia="zh-CN"/>
          </w:rPr>
          <w:t>الدول العربية</w:t>
        </w:r>
      </w:hyperlink>
      <w:r w:rsidRPr="007C0894">
        <w:rPr>
          <w:spacing w:val="-4"/>
          <w:rtl/>
        </w:rPr>
        <w:t>) ومن خلال ورش العمل والمبادرات ذات الصلة في منطقة آسيا والمحيط الهادئ ومنطقة كومنولث الدول المستقلة ومنطقة إفريقيا. وساهم قطاع تنمية الاتصالات بانتظام بخبراته في المنتديات الدولية لتعزيز السياسات والاستراتيجيات الشاملة. وظل طلب أصحاب المصلحة على فرص التعلم عبر الإنترنت (</w:t>
      </w:r>
      <w:hyperlink r:id="rId434" w:anchor="/ar" w:history="1">
        <w:r w:rsidRPr="007C0894">
          <w:rPr>
            <w:rStyle w:val="Hyperlink"/>
            <w:noProof w:val="0"/>
            <w:spacing w:val="-4"/>
            <w:rtl/>
            <w:lang w:val="en-US" w:eastAsia="zh-CN"/>
          </w:rPr>
          <w:t>أكاديمية الاتحاد</w:t>
        </w:r>
      </w:hyperlink>
      <w:r w:rsidRPr="007C0894">
        <w:rPr>
          <w:spacing w:val="-4"/>
          <w:rtl/>
        </w:rPr>
        <w:t>) في قطاع تنمية الاتصالات مرتفعاً، حيث شارك الآلاف في برامج تدريبية ذاتية الوتيرة بشأن إمكانية النفاذ إلى الإنترنت، والاتصالات في حالات الطوارئ والأزمات، والشيخوخة في العصر الرقمي، والتوصيلية الشاملة للمجتمعات الريفية ومجتمعات الشعوب الأصلية. وتضمنت الموارد الجديدة أو المحدَّثة</w:t>
      </w:r>
      <w:r w:rsidRPr="007C0894">
        <w:rPr>
          <w:spacing w:val="-4"/>
          <w:u w:val="single"/>
          <w:rtl/>
        </w:rPr>
        <w:t xml:space="preserve"> </w:t>
      </w:r>
      <w:hyperlink r:id="rId435" w:history="1">
        <w:r w:rsidRPr="007C0894">
          <w:rPr>
            <w:rStyle w:val="Hyperlink"/>
            <w:noProof w:val="0"/>
            <w:spacing w:val="-4"/>
            <w:rtl/>
            <w:lang w:val="en-US" w:eastAsia="zh-CN"/>
          </w:rPr>
          <w:t>مجموعة أدوات الاتحاد ومنظمة العمل الدولية بشأن إمكانية النفاذ إلى أنظمة تقديم طلبات التوظيف</w:t>
        </w:r>
      </w:hyperlink>
      <w:r w:rsidRPr="007C0894">
        <w:rPr>
          <w:spacing w:val="-4"/>
          <w:rtl/>
        </w:rPr>
        <w:t>؛ ومجموعة أدوات قطاع تنمية الاتصالات لتنفيذ إمكانية النفاذ إلى تكنولوجيا المعلومات والاتصالات "</w:t>
      </w:r>
      <w:hyperlink r:id="rId436" w:history="1">
        <w:r w:rsidRPr="007C0894">
          <w:rPr>
            <w:rStyle w:val="Hyperlink"/>
            <w:noProof w:val="0"/>
            <w:spacing w:val="-4"/>
            <w:rtl/>
            <w:lang w:val="en-US" w:eastAsia="zh-CN"/>
          </w:rPr>
          <w:t>نحو مجتمعات رقمية شاملة</w:t>
        </w:r>
      </w:hyperlink>
      <w:r w:rsidRPr="007C0894">
        <w:rPr>
          <w:spacing w:val="-4"/>
          <w:rtl/>
        </w:rPr>
        <w:t xml:space="preserve">" (مع تقييم ذاتي باللغات </w:t>
      </w:r>
      <w:hyperlink r:id="rId437" w:history="1">
        <w:r w:rsidRPr="007C0894">
          <w:rPr>
            <w:rStyle w:val="Hyperlink"/>
            <w:noProof w:val="0"/>
            <w:spacing w:val="-4"/>
            <w:rtl/>
            <w:lang w:val="en-US" w:eastAsia="zh-CN"/>
          </w:rPr>
          <w:t>الإنكليزية</w:t>
        </w:r>
      </w:hyperlink>
      <w:r w:rsidRPr="007C0894">
        <w:rPr>
          <w:spacing w:val="-4"/>
          <w:rtl/>
        </w:rPr>
        <w:t xml:space="preserve"> و</w:t>
      </w:r>
      <w:hyperlink r:id="rId438" w:history="1">
        <w:r w:rsidRPr="007C0894">
          <w:rPr>
            <w:rStyle w:val="Hyperlink"/>
            <w:noProof w:val="0"/>
            <w:spacing w:val="-4"/>
            <w:rtl/>
            <w:lang w:val="en-US" w:eastAsia="zh-CN"/>
          </w:rPr>
          <w:t>الفرنسية</w:t>
        </w:r>
      </w:hyperlink>
      <w:r w:rsidRPr="007C0894">
        <w:rPr>
          <w:spacing w:val="-4"/>
          <w:rtl/>
        </w:rPr>
        <w:t xml:space="preserve"> و</w:t>
      </w:r>
      <w:hyperlink r:id="rId439" w:history="1">
        <w:r w:rsidRPr="007C0894">
          <w:rPr>
            <w:rStyle w:val="Hyperlink"/>
            <w:noProof w:val="0"/>
            <w:spacing w:val="-4"/>
            <w:rtl/>
            <w:lang w:val="en-US" w:eastAsia="zh-CN"/>
          </w:rPr>
          <w:t>الإسبانية</w:t>
        </w:r>
      </w:hyperlink>
      <w:r w:rsidRPr="007C0894">
        <w:rPr>
          <w:spacing w:val="-4"/>
          <w:rtl/>
        </w:rPr>
        <w:t xml:space="preserve">)؛ وفيديو متاح باللغات </w:t>
      </w:r>
      <w:hyperlink r:id="rId440" w:history="1">
        <w:r w:rsidRPr="007C0894">
          <w:rPr>
            <w:rStyle w:val="Hyperlink"/>
            <w:noProof w:val="0"/>
            <w:spacing w:val="-4"/>
            <w:rtl/>
            <w:lang w:val="en-US" w:eastAsia="zh-CN"/>
          </w:rPr>
          <w:t>العربية</w:t>
        </w:r>
      </w:hyperlink>
      <w:r w:rsidRPr="007C0894">
        <w:rPr>
          <w:spacing w:val="-4"/>
          <w:rtl/>
        </w:rPr>
        <w:t xml:space="preserve"> و</w:t>
      </w:r>
      <w:hyperlink r:id="rId441" w:history="1">
        <w:r w:rsidRPr="007C0894">
          <w:rPr>
            <w:rStyle w:val="Hyperlink"/>
            <w:noProof w:val="0"/>
            <w:spacing w:val="-4"/>
            <w:rtl/>
            <w:lang w:val="en-US" w:eastAsia="zh-CN"/>
          </w:rPr>
          <w:t>الصينية</w:t>
        </w:r>
      </w:hyperlink>
      <w:r w:rsidRPr="007C0894">
        <w:rPr>
          <w:spacing w:val="-4"/>
          <w:rtl/>
        </w:rPr>
        <w:t xml:space="preserve"> و</w:t>
      </w:r>
      <w:hyperlink r:id="rId442" w:history="1">
        <w:r w:rsidRPr="007C0894">
          <w:rPr>
            <w:rStyle w:val="Hyperlink"/>
            <w:noProof w:val="0"/>
            <w:spacing w:val="-4"/>
            <w:rtl/>
            <w:lang w:val="en-US" w:eastAsia="zh-CN"/>
          </w:rPr>
          <w:t>الإنكليزية</w:t>
        </w:r>
      </w:hyperlink>
      <w:r w:rsidRPr="007C0894">
        <w:rPr>
          <w:spacing w:val="-4"/>
          <w:rtl/>
        </w:rPr>
        <w:t xml:space="preserve"> و</w:t>
      </w:r>
      <w:hyperlink r:id="rId443" w:history="1">
        <w:r w:rsidRPr="007C0894">
          <w:rPr>
            <w:rStyle w:val="Hyperlink"/>
            <w:noProof w:val="0"/>
            <w:spacing w:val="-4"/>
            <w:rtl/>
            <w:lang w:val="en-US" w:eastAsia="zh-CN"/>
          </w:rPr>
          <w:t>الفرنسية</w:t>
        </w:r>
      </w:hyperlink>
      <w:r w:rsidRPr="007C0894">
        <w:rPr>
          <w:spacing w:val="-4"/>
          <w:rtl/>
        </w:rPr>
        <w:t xml:space="preserve"> و</w:t>
      </w:r>
      <w:hyperlink r:id="rId444" w:history="1">
        <w:r w:rsidRPr="007C0894">
          <w:rPr>
            <w:rStyle w:val="Hyperlink"/>
            <w:noProof w:val="0"/>
            <w:spacing w:val="-4"/>
            <w:rtl/>
            <w:lang w:val="en-US" w:eastAsia="zh-CN"/>
          </w:rPr>
          <w:t>الروسية</w:t>
        </w:r>
      </w:hyperlink>
      <w:r w:rsidRPr="007C0894">
        <w:rPr>
          <w:spacing w:val="-4"/>
          <w:rtl/>
        </w:rPr>
        <w:t xml:space="preserve"> و</w:t>
      </w:r>
      <w:hyperlink r:id="rId445" w:history="1">
        <w:r w:rsidRPr="007C0894">
          <w:rPr>
            <w:rStyle w:val="Hyperlink"/>
            <w:noProof w:val="0"/>
            <w:spacing w:val="-4"/>
            <w:rtl/>
            <w:lang w:val="en-US" w:eastAsia="zh-CN"/>
          </w:rPr>
          <w:t>الإسبانية</w:t>
        </w:r>
      </w:hyperlink>
      <w:r w:rsidRPr="007C0894">
        <w:rPr>
          <w:spacing w:val="-4"/>
          <w:rtl/>
        </w:rPr>
        <w:t xml:space="preserve">، وإرشادات متخصصة لبرامج القرى الذكية والجزر الذكية التي تكمِّل أكثر من 80 أداة ومورداً لدعم التنفيذ العالمي لتحول رقمي شامل للجميع. وظلت جميع موارد قطاع تنمية الاتصالات، بما في ذلك التقارير المواضيعية والدورات ذاتية الوتيرة عبر الإنترنت، مجانية، ومتاحة بأنساق يسهل النفاذ إليها، ومترجمة إلى عدة لغات من لغات </w:t>
      </w:r>
      <w:r w:rsidR="00A1764E">
        <w:rPr>
          <w:rFonts w:hint="cs"/>
          <w:spacing w:val="-4"/>
          <w:rtl/>
        </w:rPr>
        <w:t>ا</w:t>
      </w:r>
      <w:r w:rsidRPr="007C0894">
        <w:rPr>
          <w:spacing w:val="-4"/>
          <w:rtl/>
        </w:rPr>
        <w:t>لأمم المتحدة.</w:t>
      </w:r>
    </w:p>
    <w:p w14:paraId="2A20B058" w14:textId="6AE97859" w:rsidR="007C0894" w:rsidRPr="007C0894" w:rsidRDefault="007C0894" w:rsidP="007C0894">
      <w:pPr>
        <w:rPr>
          <w:lang w:val="ar-SA" w:bidi="ar-EG"/>
        </w:rPr>
      </w:pPr>
      <w:r w:rsidRPr="007C0894">
        <w:rPr>
          <w:rtl/>
        </w:rPr>
        <w:t xml:space="preserve">وأدى قطاع تنمية الاتصالات دوراً أساسياً في تمكين أعضاء الاتحاد من تعزيز المعارف وتبادل الخبرات ووضع سياسات واستراتيجيات قابلة للتنفيذ من أجل النهوض بإمكانية النفاذ الرقمي على المستويات العالمية والإقليمية والوطنية. وعلاوة على ذلك، أنشأ قطاع تنمية الاتصالات فضاءات دينامية لتبادل الممارسات الجيدة من أجل النهوض بالتنفيذ من خلال أحداث إقليمية رئيسية من قبيل حدث </w:t>
      </w:r>
      <w:r w:rsidRPr="007C0894">
        <w:rPr>
          <w:i/>
          <w:iCs/>
          <w:rtl/>
        </w:rPr>
        <w:t>إمكانية نفاذ الجميع إلى تكنولوجيا المعلومات والاتصالات</w:t>
      </w:r>
      <w:r w:rsidRPr="007C0894">
        <w:rPr>
          <w:rtl/>
        </w:rPr>
        <w:t xml:space="preserve"> (الذي عُقد في كوبا والمكسيك وغواتيمالا وإسبانيا وبلجيكا والمغرب والأردن)، بمشاركة أكثر من 80 في المائة من البلدان من كل منطقة و200 مشارك في المتوسط في كل حدث، بالاشتراك مع المنصات الرئيسية للشمول الرقمي وإمكانية النفاذ الرقمي بما في ذلك مؤتمرات الدول الأطراف في اتفاقية الأمم المتحدة لحقوق الأشخاص ذ</w:t>
      </w:r>
      <w:r w:rsidR="00036109">
        <w:rPr>
          <w:rFonts w:hint="cs"/>
          <w:rtl/>
        </w:rPr>
        <w:t>و</w:t>
      </w:r>
      <w:r w:rsidRPr="007C0894">
        <w:rPr>
          <w:rtl/>
        </w:rPr>
        <w:t xml:space="preserve">ي الإعاقة </w:t>
      </w:r>
      <w:r w:rsidRPr="007C0894">
        <w:rPr>
          <w:lang w:bidi="ar-EG"/>
        </w:rPr>
        <w:t>(CRPD)</w:t>
      </w:r>
      <w:r w:rsidRPr="007C0894">
        <w:rPr>
          <w:rtl/>
        </w:rPr>
        <w:t>، والمنتديات الإقليمية للشمول الرقمي (لمنطقة آسيا والمحيط الهادئ مثلاً)، والمنتدى العالمي للشيخوخة (اليابان)، ومنتدى إمكانية النفاذ الرقمي (الإمارات العربية المتحدة).</w:t>
      </w:r>
    </w:p>
    <w:p w14:paraId="4319DBE9" w14:textId="12107D28" w:rsidR="007C0894" w:rsidRPr="007C0894" w:rsidRDefault="007C0894" w:rsidP="00036109">
      <w:pPr>
        <w:rPr>
          <w:spacing w:val="-2"/>
          <w:rtl/>
        </w:rPr>
      </w:pPr>
      <w:r w:rsidRPr="007C0894">
        <w:rPr>
          <w:rFonts w:hint="eastAsia"/>
          <w:spacing w:val="-2"/>
          <w:rtl/>
        </w:rPr>
        <w:t>ونهض</w:t>
      </w:r>
      <w:r w:rsidRPr="007C0894">
        <w:rPr>
          <w:spacing w:val="-2"/>
          <w:rtl/>
        </w:rPr>
        <w:t xml:space="preserve"> </w:t>
      </w:r>
      <w:hyperlink r:id="rId446" w:history="1">
        <w:r w:rsidRPr="007C0894">
          <w:rPr>
            <w:rStyle w:val="Hyperlink"/>
            <w:rFonts w:hint="eastAsia"/>
            <w:noProof w:val="0"/>
            <w:spacing w:val="-2"/>
            <w:rtl/>
            <w:lang w:val="en-US" w:eastAsia="zh-CN"/>
          </w:rPr>
          <w:t>قطاع</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تقييس</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الاتصالات</w:t>
        </w:r>
      </w:hyperlink>
      <w:r w:rsidRPr="007C0894">
        <w:rPr>
          <w:spacing w:val="-2"/>
          <w:rtl/>
        </w:rPr>
        <w:t xml:space="preserve"> </w:t>
      </w:r>
      <w:r w:rsidRPr="007C0894">
        <w:rPr>
          <w:rFonts w:hint="eastAsia"/>
          <w:spacing w:val="-2"/>
          <w:rtl/>
        </w:rPr>
        <w:t>بإمكانية</w:t>
      </w:r>
      <w:r w:rsidRPr="007C0894">
        <w:rPr>
          <w:spacing w:val="-2"/>
          <w:rtl/>
        </w:rPr>
        <w:t xml:space="preserve"> </w:t>
      </w:r>
      <w:r w:rsidRPr="007C0894">
        <w:rPr>
          <w:rFonts w:hint="eastAsia"/>
          <w:spacing w:val="-2"/>
          <w:rtl/>
        </w:rPr>
        <w:t>النفاذ</w:t>
      </w:r>
      <w:r w:rsidRPr="007C0894">
        <w:rPr>
          <w:spacing w:val="-2"/>
          <w:rtl/>
        </w:rPr>
        <w:t xml:space="preserve"> </w:t>
      </w:r>
      <w:r w:rsidRPr="007C0894">
        <w:rPr>
          <w:rFonts w:hint="eastAsia"/>
          <w:spacing w:val="-2"/>
          <w:rtl/>
        </w:rPr>
        <w:t>من</w:t>
      </w:r>
      <w:r w:rsidRPr="007C0894">
        <w:rPr>
          <w:spacing w:val="-2"/>
          <w:rtl/>
        </w:rPr>
        <w:t xml:space="preserve"> </w:t>
      </w:r>
      <w:r w:rsidRPr="007C0894">
        <w:rPr>
          <w:rFonts w:hint="eastAsia"/>
          <w:spacing w:val="-2"/>
          <w:rtl/>
        </w:rPr>
        <w:t>خلال</w:t>
      </w:r>
      <w:r w:rsidRPr="007C0894">
        <w:rPr>
          <w:spacing w:val="-2"/>
          <w:rtl/>
        </w:rPr>
        <w:t xml:space="preserve"> </w:t>
      </w:r>
      <w:r w:rsidRPr="007C0894">
        <w:rPr>
          <w:rFonts w:hint="eastAsia"/>
          <w:spacing w:val="-2"/>
          <w:rtl/>
        </w:rPr>
        <w:t>العمل</w:t>
      </w:r>
      <w:r w:rsidRPr="007C0894">
        <w:rPr>
          <w:spacing w:val="-2"/>
          <w:rtl/>
        </w:rPr>
        <w:t xml:space="preserve"> </w:t>
      </w:r>
      <w:r w:rsidRPr="007C0894">
        <w:rPr>
          <w:rFonts w:hint="eastAsia"/>
          <w:spacing w:val="-2"/>
          <w:rtl/>
        </w:rPr>
        <w:t>على</w:t>
      </w:r>
      <w:r w:rsidRPr="007C0894">
        <w:rPr>
          <w:spacing w:val="-2"/>
          <w:rtl/>
        </w:rPr>
        <w:t xml:space="preserve"> </w:t>
      </w:r>
      <w:r w:rsidRPr="007C0894">
        <w:rPr>
          <w:rFonts w:hint="eastAsia"/>
          <w:spacing w:val="-2"/>
          <w:rtl/>
        </w:rPr>
        <w:t>تعميم</w:t>
      </w:r>
      <w:r w:rsidRPr="007C0894">
        <w:rPr>
          <w:spacing w:val="-2"/>
          <w:rtl/>
        </w:rPr>
        <w:t xml:space="preserve"> </w:t>
      </w:r>
      <w:r w:rsidRPr="007C0894">
        <w:rPr>
          <w:rFonts w:hint="eastAsia"/>
          <w:spacing w:val="-2"/>
          <w:rtl/>
        </w:rPr>
        <w:t>التصميم</w:t>
      </w:r>
      <w:r w:rsidRPr="007C0894">
        <w:rPr>
          <w:spacing w:val="-2"/>
          <w:rtl/>
        </w:rPr>
        <w:t xml:space="preserve"> </w:t>
      </w:r>
      <w:r w:rsidRPr="007C0894">
        <w:rPr>
          <w:rFonts w:hint="eastAsia"/>
          <w:spacing w:val="-2"/>
          <w:rtl/>
        </w:rPr>
        <w:t>الشامل</w:t>
      </w:r>
      <w:r w:rsidRPr="007C0894">
        <w:rPr>
          <w:spacing w:val="-2"/>
          <w:rtl/>
        </w:rPr>
        <w:t xml:space="preserve"> </w:t>
      </w:r>
      <w:r w:rsidRPr="007C0894">
        <w:rPr>
          <w:rFonts w:hint="eastAsia"/>
          <w:spacing w:val="-2"/>
          <w:rtl/>
        </w:rPr>
        <w:t>في</w:t>
      </w:r>
      <w:r w:rsidRPr="007C0894">
        <w:rPr>
          <w:spacing w:val="-2"/>
          <w:rtl/>
        </w:rPr>
        <w:t xml:space="preserve"> </w:t>
      </w:r>
      <w:r w:rsidRPr="007C0894">
        <w:rPr>
          <w:rFonts w:hint="eastAsia"/>
          <w:spacing w:val="-2"/>
          <w:rtl/>
        </w:rPr>
        <w:t>عملية</w:t>
      </w:r>
      <w:r w:rsidRPr="007C0894">
        <w:rPr>
          <w:spacing w:val="-2"/>
          <w:rtl/>
        </w:rPr>
        <w:t xml:space="preserve"> </w:t>
      </w:r>
      <w:r w:rsidRPr="007C0894">
        <w:rPr>
          <w:rFonts w:hint="eastAsia"/>
          <w:spacing w:val="-2"/>
          <w:rtl/>
        </w:rPr>
        <w:t>وضع</w:t>
      </w:r>
      <w:r w:rsidRPr="007C0894">
        <w:rPr>
          <w:spacing w:val="-2"/>
          <w:rtl/>
        </w:rPr>
        <w:t xml:space="preserve"> </w:t>
      </w:r>
      <w:r w:rsidRPr="007C0894">
        <w:rPr>
          <w:rFonts w:hint="eastAsia"/>
          <w:spacing w:val="-2"/>
          <w:rtl/>
        </w:rPr>
        <w:t>المعايير</w:t>
      </w:r>
      <w:r w:rsidRPr="007C0894">
        <w:rPr>
          <w:spacing w:val="-2"/>
          <w:rtl/>
        </w:rPr>
        <w:t xml:space="preserve"> </w:t>
      </w:r>
      <w:r w:rsidRPr="007C0894">
        <w:rPr>
          <w:rFonts w:hint="eastAsia"/>
          <w:spacing w:val="-2"/>
          <w:rtl/>
        </w:rPr>
        <w:t>وتحسين</w:t>
      </w:r>
      <w:r w:rsidRPr="007C0894">
        <w:rPr>
          <w:spacing w:val="-2"/>
          <w:rtl/>
        </w:rPr>
        <w:t xml:space="preserve"> </w:t>
      </w:r>
      <w:r w:rsidRPr="007C0894">
        <w:rPr>
          <w:rFonts w:hint="eastAsia"/>
          <w:spacing w:val="-2"/>
          <w:rtl/>
        </w:rPr>
        <w:t>المنصات</w:t>
      </w:r>
      <w:r w:rsidRPr="007C0894">
        <w:rPr>
          <w:spacing w:val="-2"/>
          <w:rtl/>
        </w:rPr>
        <w:t xml:space="preserve"> </w:t>
      </w:r>
      <w:r w:rsidRPr="007C0894">
        <w:rPr>
          <w:rFonts w:hint="eastAsia"/>
          <w:spacing w:val="-2"/>
          <w:rtl/>
        </w:rPr>
        <w:t>الرقمية</w:t>
      </w:r>
      <w:r w:rsidRPr="007C0894">
        <w:rPr>
          <w:spacing w:val="-2"/>
          <w:rtl/>
        </w:rPr>
        <w:t xml:space="preserve"> </w:t>
      </w:r>
      <w:r w:rsidRPr="007C0894">
        <w:rPr>
          <w:rFonts w:hint="eastAsia"/>
          <w:spacing w:val="-2"/>
          <w:rtl/>
        </w:rPr>
        <w:t>التي</w:t>
      </w:r>
      <w:r w:rsidRPr="007C0894">
        <w:rPr>
          <w:spacing w:val="-2"/>
          <w:rtl/>
        </w:rPr>
        <w:t xml:space="preserve"> </w:t>
      </w:r>
      <w:r w:rsidRPr="007C0894">
        <w:rPr>
          <w:rFonts w:hint="eastAsia"/>
          <w:spacing w:val="-2"/>
          <w:rtl/>
        </w:rPr>
        <w:t>تواجه</w:t>
      </w:r>
      <w:r w:rsidRPr="007C0894">
        <w:rPr>
          <w:spacing w:val="-2"/>
          <w:rtl/>
        </w:rPr>
        <w:t xml:space="preserve"> </w:t>
      </w:r>
      <w:r w:rsidRPr="007C0894">
        <w:rPr>
          <w:rFonts w:hint="eastAsia"/>
          <w:spacing w:val="-2"/>
          <w:rtl/>
        </w:rPr>
        <w:t>المستخدم</w:t>
      </w:r>
      <w:r w:rsidRPr="007C0894">
        <w:rPr>
          <w:spacing w:val="-2"/>
          <w:rtl/>
        </w:rPr>
        <w:t xml:space="preserve">. </w:t>
      </w:r>
      <w:r w:rsidRPr="007C0894">
        <w:rPr>
          <w:rFonts w:hint="eastAsia"/>
          <w:spacing w:val="-2"/>
          <w:rtl/>
        </w:rPr>
        <w:t>وعزز</w:t>
      </w:r>
      <w:r w:rsidRPr="007C0894">
        <w:rPr>
          <w:spacing w:val="-2"/>
          <w:rtl/>
        </w:rPr>
        <w:t xml:space="preserve"> </w:t>
      </w:r>
      <w:r w:rsidRPr="007C0894">
        <w:rPr>
          <w:rFonts w:hint="eastAsia"/>
          <w:spacing w:val="-2"/>
          <w:rtl/>
        </w:rPr>
        <w:t>قطاع</w:t>
      </w:r>
      <w:r w:rsidRPr="007C0894">
        <w:rPr>
          <w:spacing w:val="-2"/>
          <w:rtl/>
        </w:rPr>
        <w:t xml:space="preserve"> </w:t>
      </w:r>
      <w:r w:rsidRPr="007C0894">
        <w:rPr>
          <w:rFonts w:hint="eastAsia"/>
          <w:spacing w:val="-2"/>
          <w:rtl/>
        </w:rPr>
        <w:t>تقييس</w:t>
      </w:r>
      <w:r w:rsidRPr="007C0894">
        <w:rPr>
          <w:spacing w:val="-2"/>
          <w:rtl/>
        </w:rPr>
        <w:t xml:space="preserve"> </w:t>
      </w:r>
      <w:r w:rsidRPr="007C0894">
        <w:rPr>
          <w:rFonts w:hint="eastAsia"/>
          <w:spacing w:val="-2"/>
          <w:rtl/>
        </w:rPr>
        <w:t>الاتصالات</w:t>
      </w:r>
      <w:r w:rsidRPr="007C0894">
        <w:rPr>
          <w:spacing w:val="-2"/>
          <w:rtl/>
        </w:rPr>
        <w:t xml:space="preserve"> </w:t>
      </w:r>
      <w:r w:rsidRPr="007C0894">
        <w:rPr>
          <w:rFonts w:hint="eastAsia"/>
          <w:spacing w:val="-2"/>
          <w:rtl/>
        </w:rPr>
        <w:t>نظام</w:t>
      </w:r>
      <w:r w:rsidRPr="007C0894">
        <w:rPr>
          <w:spacing w:val="-2"/>
          <w:rtl/>
        </w:rPr>
        <w:t xml:space="preserve"> "</w:t>
      </w:r>
      <w:hyperlink r:id="rId447" w:history="1">
        <w:proofErr w:type="spellStart"/>
        <w:r w:rsidRPr="007C0894">
          <w:rPr>
            <w:rStyle w:val="Hyperlink"/>
            <w:noProof w:val="0"/>
            <w:spacing w:val="-2"/>
            <w:lang w:val="en-US" w:eastAsia="zh-CN" w:bidi="ar-EG"/>
          </w:rPr>
          <w:t>ITUSearch</w:t>
        </w:r>
        <w:proofErr w:type="spellEnd"/>
      </w:hyperlink>
      <w:r w:rsidRPr="007C0894">
        <w:rPr>
          <w:spacing w:val="-2"/>
          <w:rtl/>
        </w:rPr>
        <w:t xml:space="preserve">" </w:t>
      </w:r>
      <w:r w:rsidRPr="007C0894">
        <w:rPr>
          <w:rFonts w:hint="eastAsia"/>
          <w:spacing w:val="-2"/>
          <w:rtl/>
        </w:rPr>
        <w:t>بمواءمته</w:t>
      </w:r>
      <w:r w:rsidRPr="007C0894">
        <w:rPr>
          <w:spacing w:val="-2"/>
          <w:rtl/>
        </w:rPr>
        <w:t xml:space="preserve"> </w:t>
      </w:r>
      <w:r w:rsidRPr="007C0894">
        <w:rPr>
          <w:rFonts w:hint="eastAsia"/>
          <w:spacing w:val="-2"/>
          <w:rtl/>
        </w:rPr>
        <w:t>مع</w:t>
      </w:r>
      <w:r w:rsidRPr="007C0894">
        <w:rPr>
          <w:spacing w:val="-2"/>
          <w:rtl/>
        </w:rPr>
        <w:t xml:space="preserve"> </w:t>
      </w:r>
      <w:r w:rsidRPr="007C0894">
        <w:rPr>
          <w:rFonts w:hint="eastAsia"/>
          <w:spacing w:val="-2"/>
          <w:rtl/>
        </w:rPr>
        <w:t>المبادئ</w:t>
      </w:r>
      <w:r w:rsidRPr="007C0894">
        <w:rPr>
          <w:spacing w:val="-2"/>
          <w:rtl/>
        </w:rPr>
        <w:t xml:space="preserve"> </w:t>
      </w:r>
      <w:r w:rsidRPr="007C0894">
        <w:rPr>
          <w:rFonts w:hint="eastAsia"/>
          <w:spacing w:val="-2"/>
          <w:rtl/>
        </w:rPr>
        <w:t>التوجيهية</w:t>
      </w:r>
      <w:r w:rsidRPr="007C0894">
        <w:rPr>
          <w:spacing w:val="-2"/>
          <w:rtl/>
        </w:rPr>
        <w:t xml:space="preserve"> </w:t>
      </w:r>
      <w:r w:rsidRPr="007C0894">
        <w:rPr>
          <w:rFonts w:hint="eastAsia"/>
          <w:spacing w:val="-2"/>
          <w:rtl/>
        </w:rPr>
        <w:t>للتصميم</w:t>
      </w:r>
      <w:r w:rsidRPr="007C0894">
        <w:rPr>
          <w:spacing w:val="-2"/>
          <w:rtl/>
        </w:rPr>
        <w:t xml:space="preserve"> </w:t>
      </w:r>
      <w:r w:rsidRPr="007C0894">
        <w:rPr>
          <w:rFonts w:hint="eastAsia"/>
          <w:spacing w:val="-2"/>
          <w:rtl/>
        </w:rPr>
        <w:t>الصادرة</w:t>
      </w:r>
      <w:r w:rsidRPr="007C0894">
        <w:rPr>
          <w:spacing w:val="-2"/>
          <w:rtl/>
        </w:rPr>
        <w:t xml:space="preserve"> </w:t>
      </w:r>
      <w:r w:rsidRPr="007C0894">
        <w:rPr>
          <w:rFonts w:hint="eastAsia"/>
          <w:spacing w:val="-2"/>
          <w:rtl/>
        </w:rPr>
        <w:t>عن</w:t>
      </w:r>
      <w:r w:rsidRPr="007C0894">
        <w:rPr>
          <w:spacing w:val="-2"/>
          <w:rtl/>
        </w:rPr>
        <w:t xml:space="preserve"> </w:t>
      </w:r>
      <w:r w:rsidRPr="007C0894">
        <w:rPr>
          <w:rFonts w:hint="eastAsia"/>
          <w:spacing w:val="-2"/>
          <w:rtl/>
        </w:rPr>
        <w:t>الاتحاد</w:t>
      </w:r>
      <w:r w:rsidRPr="007C0894">
        <w:rPr>
          <w:spacing w:val="-2"/>
          <w:rtl/>
        </w:rPr>
        <w:t xml:space="preserve"> </w:t>
      </w:r>
      <w:r w:rsidRPr="007C0894">
        <w:rPr>
          <w:rFonts w:hint="eastAsia"/>
          <w:spacing w:val="-2"/>
          <w:rtl/>
        </w:rPr>
        <w:t>لجعل</w:t>
      </w:r>
      <w:r w:rsidRPr="007C0894">
        <w:rPr>
          <w:spacing w:val="-2"/>
          <w:rtl/>
        </w:rPr>
        <w:t xml:space="preserve"> </w:t>
      </w:r>
      <w:r w:rsidRPr="007C0894">
        <w:rPr>
          <w:rFonts w:hint="eastAsia"/>
          <w:spacing w:val="-2"/>
          <w:rtl/>
        </w:rPr>
        <w:t>التصفح</w:t>
      </w:r>
      <w:r w:rsidRPr="007C0894">
        <w:rPr>
          <w:spacing w:val="-2"/>
          <w:rtl/>
        </w:rPr>
        <w:t xml:space="preserve"> </w:t>
      </w:r>
      <w:r w:rsidRPr="007C0894">
        <w:rPr>
          <w:rFonts w:hint="eastAsia"/>
          <w:spacing w:val="-2"/>
          <w:rtl/>
        </w:rPr>
        <w:t>أوضح</w:t>
      </w:r>
      <w:r w:rsidRPr="007C0894">
        <w:rPr>
          <w:spacing w:val="-2"/>
          <w:rtl/>
        </w:rPr>
        <w:t xml:space="preserve"> </w:t>
      </w:r>
      <w:r w:rsidRPr="007C0894">
        <w:rPr>
          <w:rFonts w:hint="eastAsia"/>
          <w:spacing w:val="-2"/>
          <w:rtl/>
        </w:rPr>
        <w:t>وأيسر</w:t>
      </w:r>
      <w:r w:rsidRPr="007C0894">
        <w:rPr>
          <w:spacing w:val="-2"/>
          <w:rtl/>
        </w:rPr>
        <w:t xml:space="preserve">. </w:t>
      </w:r>
      <w:r w:rsidRPr="007C0894">
        <w:rPr>
          <w:rFonts w:hint="eastAsia"/>
          <w:spacing w:val="-2"/>
          <w:rtl/>
        </w:rPr>
        <w:t>وواصل</w:t>
      </w:r>
      <w:r w:rsidRPr="007C0894">
        <w:rPr>
          <w:spacing w:val="-2"/>
          <w:rtl/>
        </w:rPr>
        <w:t xml:space="preserve"> </w:t>
      </w:r>
      <w:r w:rsidRPr="007C0894">
        <w:rPr>
          <w:rFonts w:hint="eastAsia"/>
          <w:spacing w:val="-2"/>
          <w:rtl/>
        </w:rPr>
        <w:t>القطاع</w:t>
      </w:r>
      <w:r w:rsidRPr="007C0894">
        <w:rPr>
          <w:spacing w:val="-2"/>
          <w:rtl/>
        </w:rPr>
        <w:t xml:space="preserve"> </w:t>
      </w:r>
      <w:r w:rsidRPr="007C0894">
        <w:rPr>
          <w:rFonts w:hint="eastAsia"/>
          <w:spacing w:val="-2"/>
          <w:rtl/>
        </w:rPr>
        <w:t>أيضاً</w:t>
      </w:r>
      <w:r w:rsidRPr="007C0894">
        <w:rPr>
          <w:spacing w:val="-2"/>
          <w:rtl/>
        </w:rPr>
        <w:t xml:space="preserve"> </w:t>
      </w:r>
      <w:r w:rsidRPr="007C0894">
        <w:rPr>
          <w:rFonts w:hint="eastAsia"/>
          <w:spacing w:val="-2"/>
          <w:rtl/>
        </w:rPr>
        <w:t>دعم</w:t>
      </w:r>
      <w:r w:rsidRPr="007C0894">
        <w:rPr>
          <w:spacing w:val="-2"/>
          <w:rtl/>
        </w:rPr>
        <w:t xml:space="preserve"> </w:t>
      </w:r>
      <w:r w:rsidRPr="007C0894">
        <w:rPr>
          <w:rFonts w:hint="eastAsia"/>
          <w:spacing w:val="-2"/>
          <w:rtl/>
        </w:rPr>
        <w:t>العمل</w:t>
      </w:r>
      <w:r w:rsidRPr="007C0894">
        <w:rPr>
          <w:spacing w:val="-2"/>
          <w:rtl/>
        </w:rPr>
        <w:t xml:space="preserve"> </w:t>
      </w:r>
      <w:r w:rsidRPr="007C0894">
        <w:rPr>
          <w:rFonts w:hint="eastAsia"/>
          <w:spacing w:val="-2"/>
          <w:rtl/>
        </w:rPr>
        <w:t>المتصل</w:t>
      </w:r>
      <w:r w:rsidRPr="007C0894">
        <w:rPr>
          <w:spacing w:val="-2"/>
          <w:rtl/>
        </w:rPr>
        <w:t xml:space="preserve"> </w:t>
      </w:r>
      <w:r w:rsidRPr="007C0894">
        <w:rPr>
          <w:rFonts w:hint="eastAsia"/>
          <w:spacing w:val="-2"/>
          <w:rtl/>
        </w:rPr>
        <w:t>بالتكنولوجيات</w:t>
      </w:r>
      <w:r w:rsidRPr="007C0894">
        <w:rPr>
          <w:spacing w:val="-2"/>
          <w:rtl/>
        </w:rPr>
        <w:t xml:space="preserve"> </w:t>
      </w:r>
      <w:r w:rsidRPr="007C0894">
        <w:rPr>
          <w:rFonts w:hint="eastAsia"/>
          <w:spacing w:val="-2"/>
          <w:rtl/>
        </w:rPr>
        <w:t>الناشئة،</w:t>
      </w:r>
      <w:r w:rsidRPr="007C0894">
        <w:rPr>
          <w:spacing w:val="-2"/>
          <w:rtl/>
        </w:rPr>
        <w:t xml:space="preserve"> </w:t>
      </w:r>
      <w:r w:rsidRPr="007C0894">
        <w:rPr>
          <w:rFonts w:hint="eastAsia"/>
          <w:spacing w:val="-2"/>
          <w:rtl/>
        </w:rPr>
        <w:t>بطرق</w:t>
      </w:r>
      <w:r w:rsidRPr="007C0894">
        <w:rPr>
          <w:spacing w:val="-2"/>
          <w:rtl/>
        </w:rPr>
        <w:t xml:space="preserve"> </w:t>
      </w:r>
      <w:r w:rsidRPr="007C0894">
        <w:rPr>
          <w:rFonts w:hint="eastAsia"/>
          <w:spacing w:val="-2"/>
          <w:rtl/>
        </w:rPr>
        <w:t>منها</w:t>
      </w:r>
      <w:r w:rsidRPr="007C0894">
        <w:rPr>
          <w:spacing w:val="-2"/>
          <w:rtl/>
        </w:rPr>
        <w:t xml:space="preserve"> </w:t>
      </w:r>
      <w:r w:rsidRPr="007C0894">
        <w:rPr>
          <w:rFonts w:hint="eastAsia"/>
          <w:spacing w:val="-2"/>
          <w:rtl/>
        </w:rPr>
        <w:t>التعاون</w:t>
      </w:r>
      <w:r w:rsidRPr="007C0894">
        <w:rPr>
          <w:spacing w:val="-2"/>
          <w:rtl/>
        </w:rPr>
        <w:t xml:space="preserve"> </w:t>
      </w:r>
      <w:r w:rsidRPr="007C0894">
        <w:rPr>
          <w:rFonts w:hint="eastAsia"/>
          <w:spacing w:val="-2"/>
          <w:rtl/>
        </w:rPr>
        <w:t>مع</w:t>
      </w:r>
      <w:r w:rsidRPr="007C0894">
        <w:rPr>
          <w:spacing w:val="-2"/>
          <w:rtl/>
        </w:rPr>
        <w:t xml:space="preserve"> </w:t>
      </w:r>
      <w:r w:rsidRPr="007C0894">
        <w:rPr>
          <w:rFonts w:hint="eastAsia"/>
          <w:spacing w:val="-2"/>
          <w:rtl/>
        </w:rPr>
        <w:t>منظمة</w:t>
      </w:r>
      <w:r w:rsidRPr="007C0894">
        <w:rPr>
          <w:spacing w:val="-2"/>
          <w:rtl/>
        </w:rPr>
        <w:t xml:space="preserve"> </w:t>
      </w:r>
      <w:r w:rsidRPr="007C0894">
        <w:rPr>
          <w:rFonts w:hint="eastAsia"/>
          <w:spacing w:val="-2"/>
          <w:rtl/>
        </w:rPr>
        <w:t>الصحة</w:t>
      </w:r>
      <w:r w:rsidRPr="007C0894">
        <w:rPr>
          <w:spacing w:val="-2"/>
          <w:rtl/>
        </w:rPr>
        <w:t xml:space="preserve"> </w:t>
      </w:r>
      <w:r w:rsidRPr="007C0894">
        <w:rPr>
          <w:rFonts w:hint="eastAsia"/>
          <w:spacing w:val="-2"/>
          <w:rtl/>
        </w:rPr>
        <w:t>العالمية</w:t>
      </w:r>
      <w:r w:rsidRPr="007C0894">
        <w:rPr>
          <w:spacing w:val="-2"/>
          <w:rtl/>
        </w:rPr>
        <w:t xml:space="preserve"> (</w:t>
      </w:r>
      <w:r w:rsidRPr="007C0894">
        <w:rPr>
          <w:spacing w:val="-2"/>
          <w:lang w:bidi="ar-EG"/>
        </w:rPr>
        <w:t>WHO</w:t>
      </w:r>
      <w:r w:rsidRPr="007C0894">
        <w:rPr>
          <w:spacing w:val="-2"/>
          <w:rtl/>
        </w:rPr>
        <w:t xml:space="preserve">) </w:t>
      </w:r>
      <w:r w:rsidRPr="007C0894">
        <w:rPr>
          <w:rFonts w:hint="eastAsia"/>
          <w:spacing w:val="-2"/>
          <w:rtl/>
        </w:rPr>
        <w:t>بشأن</w:t>
      </w:r>
      <w:r w:rsidRPr="007C0894">
        <w:rPr>
          <w:spacing w:val="-2"/>
          <w:rtl/>
        </w:rPr>
        <w:t xml:space="preserve"> </w:t>
      </w:r>
      <w:hyperlink r:id="rId448" w:history="1">
        <w:r w:rsidRPr="007C0894">
          <w:rPr>
            <w:rStyle w:val="Hyperlink"/>
            <w:rFonts w:hint="eastAsia"/>
            <w:noProof w:val="0"/>
            <w:spacing w:val="-2"/>
            <w:rtl/>
            <w:lang w:val="en-US" w:eastAsia="zh-CN"/>
          </w:rPr>
          <w:t>إمكانية</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النفاذ</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إلى</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خدمات</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الرعاية</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الصحية</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عن</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بُعد</w:t>
        </w:r>
      </w:hyperlink>
      <w:r w:rsidRPr="007C0894">
        <w:rPr>
          <w:spacing w:val="-2"/>
          <w:rtl/>
        </w:rPr>
        <w:t xml:space="preserve"> </w:t>
      </w:r>
      <w:r w:rsidRPr="007C0894">
        <w:rPr>
          <w:rFonts w:hint="eastAsia"/>
          <w:spacing w:val="-2"/>
          <w:rtl/>
        </w:rPr>
        <w:t>والاستماع</w:t>
      </w:r>
      <w:r w:rsidRPr="007C0894">
        <w:rPr>
          <w:spacing w:val="-2"/>
          <w:rtl/>
        </w:rPr>
        <w:t xml:space="preserve"> </w:t>
      </w:r>
      <w:r w:rsidRPr="007C0894">
        <w:rPr>
          <w:rFonts w:hint="eastAsia"/>
          <w:spacing w:val="-2"/>
          <w:rtl/>
        </w:rPr>
        <w:t>الآمن</w:t>
      </w:r>
      <w:r w:rsidRPr="007C0894">
        <w:rPr>
          <w:spacing w:val="-2"/>
          <w:rtl/>
        </w:rPr>
        <w:t xml:space="preserve"> </w:t>
      </w:r>
      <w:r w:rsidRPr="007C0894">
        <w:rPr>
          <w:rFonts w:hint="eastAsia"/>
          <w:spacing w:val="-2"/>
          <w:rtl/>
        </w:rPr>
        <w:t>في</w:t>
      </w:r>
      <w:r w:rsidRPr="007C0894">
        <w:rPr>
          <w:spacing w:val="-2"/>
          <w:rtl/>
        </w:rPr>
        <w:t xml:space="preserve"> </w:t>
      </w:r>
      <w:hyperlink r:id="rId449" w:history="1">
        <w:r w:rsidRPr="007C0894">
          <w:rPr>
            <w:rStyle w:val="Hyperlink"/>
            <w:rFonts w:hint="eastAsia"/>
            <w:noProof w:val="0"/>
            <w:spacing w:val="-2"/>
            <w:rtl/>
            <w:lang w:val="en-US" w:eastAsia="zh-CN"/>
          </w:rPr>
          <w:t>أجهزة</w:t>
        </w:r>
      </w:hyperlink>
      <w:r w:rsidRPr="007C0894">
        <w:rPr>
          <w:spacing w:val="-2"/>
          <w:rtl/>
        </w:rPr>
        <w:t xml:space="preserve"> </w:t>
      </w:r>
      <w:r w:rsidRPr="007C0894">
        <w:rPr>
          <w:rFonts w:hint="eastAsia"/>
          <w:spacing w:val="-2"/>
          <w:rtl/>
        </w:rPr>
        <w:t>تشغيل</w:t>
      </w:r>
      <w:r w:rsidRPr="007C0894">
        <w:rPr>
          <w:spacing w:val="-2"/>
          <w:rtl/>
        </w:rPr>
        <w:t xml:space="preserve"> </w:t>
      </w:r>
      <w:r w:rsidRPr="007C0894">
        <w:rPr>
          <w:rFonts w:hint="eastAsia"/>
          <w:spacing w:val="-2"/>
          <w:rtl/>
        </w:rPr>
        <w:t>الموسيقى</w:t>
      </w:r>
      <w:r w:rsidRPr="007C0894">
        <w:rPr>
          <w:spacing w:val="-2"/>
          <w:rtl/>
        </w:rPr>
        <w:t xml:space="preserve"> </w:t>
      </w:r>
      <w:r w:rsidRPr="007C0894">
        <w:rPr>
          <w:rFonts w:hint="eastAsia"/>
          <w:spacing w:val="-2"/>
          <w:rtl/>
        </w:rPr>
        <w:t>و</w:t>
      </w:r>
      <w:hyperlink r:id="rId450" w:history="1">
        <w:r w:rsidRPr="007C0894">
          <w:rPr>
            <w:rStyle w:val="Hyperlink"/>
            <w:rFonts w:hint="eastAsia"/>
            <w:noProof w:val="0"/>
            <w:spacing w:val="-2"/>
            <w:rtl/>
            <w:lang w:val="en-US" w:eastAsia="zh-CN"/>
          </w:rPr>
          <w:t>مكبرات</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الصوت</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الشخصية</w:t>
        </w:r>
      </w:hyperlink>
      <w:r w:rsidRPr="007C0894">
        <w:rPr>
          <w:spacing w:val="-2"/>
          <w:rtl/>
        </w:rPr>
        <w:t xml:space="preserve"> </w:t>
      </w:r>
      <w:r w:rsidRPr="007C0894">
        <w:rPr>
          <w:rFonts w:hint="eastAsia"/>
          <w:spacing w:val="-2"/>
          <w:rtl/>
        </w:rPr>
        <w:t>و</w:t>
      </w:r>
      <w:hyperlink r:id="rId451" w:history="1">
        <w:r w:rsidRPr="007C0894">
          <w:rPr>
            <w:rStyle w:val="Hyperlink"/>
            <w:rFonts w:hint="eastAsia"/>
            <w:noProof w:val="0"/>
            <w:spacing w:val="-2"/>
            <w:rtl/>
            <w:lang w:val="en-US" w:eastAsia="zh-CN"/>
          </w:rPr>
          <w:t>الأماكن</w:t>
        </w:r>
      </w:hyperlink>
      <w:r w:rsidRPr="007C0894">
        <w:rPr>
          <w:spacing w:val="-2"/>
          <w:rtl/>
        </w:rPr>
        <w:t xml:space="preserve"> </w:t>
      </w:r>
      <w:r w:rsidRPr="007C0894">
        <w:rPr>
          <w:rFonts w:hint="eastAsia"/>
          <w:spacing w:val="-2"/>
          <w:rtl/>
        </w:rPr>
        <w:t>وممارسة</w:t>
      </w:r>
      <w:r w:rsidRPr="007C0894">
        <w:rPr>
          <w:spacing w:val="-2"/>
          <w:rtl/>
        </w:rPr>
        <w:t xml:space="preserve"> </w:t>
      </w:r>
      <w:hyperlink r:id="rId452" w:history="1">
        <w:r w:rsidRPr="007C0894">
          <w:rPr>
            <w:rStyle w:val="Hyperlink"/>
            <w:rFonts w:hint="eastAsia"/>
            <w:noProof w:val="0"/>
            <w:spacing w:val="-2"/>
            <w:rtl/>
            <w:lang w:val="en-US" w:eastAsia="zh-CN"/>
          </w:rPr>
          <w:t>ألعاب</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الفيديو</w:t>
        </w:r>
        <w:r w:rsidRPr="007C0894">
          <w:rPr>
            <w:rStyle w:val="Hyperlink"/>
            <w:noProof w:val="0"/>
            <w:spacing w:val="-2"/>
            <w:rtl/>
            <w:lang w:val="en-US" w:eastAsia="zh-CN"/>
          </w:rPr>
          <w:t>/</w:t>
        </w:r>
        <w:r w:rsidRPr="007C0894">
          <w:rPr>
            <w:rStyle w:val="Hyperlink"/>
            <w:rFonts w:hint="eastAsia"/>
            <w:noProof w:val="0"/>
            <w:spacing w:val="-2"/>
            <w:rtl/>
            <w:lang w:val="en-US" w:eastAsia="zh-CN"/>
          </w:rPr>
          <w:t>الرياضات</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الإلكترونية</w:t>
        </w:r>
      </w:hyperlink>
      <w:r w:rsidRPr="007C0894">
        <w:rPr>
          <w:rFonts w:hint="eastAsia"/>
          <w:spacing w:val="-2"/>
          <w:rtl/>
        </w:rPr>
        <w:t>،</w:t>
      </w:r>
      <w:r w:rsidRPr="007C0894">
        <w:rPr>
          <w:spacing w:val="-2"/>
          <w:rtl/>
        </w:rPr>
        <w:t xml:space="preserve"> </w:t>
      </w:r>
      <w:r w:rsidRPr="007C0894">
        <w:rPr>
          <w:rFonts w:hint="eastAsia"/>
          <w:spacing w:val="-2"/>
          <w:rtl/>
        </w:rPr>
        <w:t>فضلاً</w:t>
      </w:r>
      <w:r w:rsidRPr="007C0894">
        <w:rPr>
          <w:spacing w:val="-2"/>
          <w:rtl/>
        </w:rPr>
        <w:t xml:space="preserve"> </w:t>
      </w:r>
      <w:r w:rsidRPr="007C0894">
        <w:rPr>
          <w:rFonts w:hint="eastAsia"/>
          <w:spacing w:val="-2"/>
          <w:rtl/>
        </w:rPr>
        <w:t>عن</w:t>
      </w:r>
      <w:r w:rsidRPr="007C0894">
        <w:rPr>
          <w:spacing w:val="-2"/>
          <w:rtl/>
        </w:rPr>
        <w:t xml:space="preserve"> </w:t>
      </w:r>
      <w:r w:rsidRPr="007C0894">
        <w:rPr>
          <w:rFonts w:hint="eastAsia"/>
          <w:spacing w:val="-2"/>
          <w:rtl/>
        </w:rPr>
        <w:t>أطر</w:t>
      </w:r>
      <w:r w:rsidRPr="007C0894">
        <w:rPr>
          <w:spacing w:val="-2"/>
          <w:rtl/>
        </w:rPr>
        <w:t xml:space="preserve"> </w:t>
      </w:r>
      <w:r w:rsidRPr="007C0894">
        <w:rPr>
          <w:rFonts w:hint="eastAsia"/>
          <w:spacing w:val="-2"/>
          <w:rtl/>
        </w:rPr>
        <w:t>المقارنة</w:t>
      </w:r>
      <w:r w:rsidRPr="007C0894">
        <w:rPr>
          <w:spacing w:val="-2"/>
          <w:rtl/>
        </w:rPr>
        <w:t xml:space="preserve"> </w:t>
      </w:r>
      <w:r w:rsidRPr="007C0894">
        <w:rPr>
          <w:rFonts w:hint="eastAsia"/>
          <w:spacing w:val="-2"/>
          <w:rtl/>
        </w:rPr>
        <w:t>المرجعية</w:t>
      </w:r>
      <w:r w:rsidRPr="007C0894">
        <w:rPr>
          <w:spacing w:val="-2"/>
          <w:rtl/>
        </w:rPr>
        <w:t xml:space="preserve"> </w:t>
      </w:r>
      <w:r w:rsidRPr="007C0894">
        <w:rPr>
          <w:rFonts w:hint="eastAsia"/>
          <w:spacing w:val="-2"/>
          <w:rtl/>
        </w:rPr>
        <w:t>المتعلقة</w:t>
      </w:r>
      <w:r w:rsidRPr="007C0894">
        <w:rPr>
          <w:spacing w:val="-2"/>
          <w:rtl/>
        </w:rPr>
        <w:t xml:space="preserve"> </w:t>
      </w:r>
      <w:r w:rsidRPr="007C0894">
        <w:rPr>
          <w:rFonts w:hint="eastAsia"/>
          <w:spacing w:val="-2"/>
          <w:rtl/>
        </w:rPr>
        <w:t>بالذكاء</w:t>
      </w:r>
      <w:r w:rsidRPr="007C0894">
        <w:rPr>
          <w:spacing w:val="-2"/>
          <w:rtl/>
        </w:rPr>
        <w:t xml:space="preserve"> </w:t>
      </w:r>
      <w:r w:rsidRPr="007C0894">
        <w:rPr>
          <w:rFonts w:hint="eastAsia"/>
          <w:spacing w:val="-2"/>
          <w:rtl/>
        </w:rPr>
        <w:t>الاصطناعي</w:t>
      </w:r>
      <w:r w:rsidRPr="007C0894">
        <w:rPr>
          <w:spacing w:val="-2"/>
          <w:rtl/>
        </w:rPr>
        <w:t xml:space="preserve"> </w:t>
      </w:r>
      <w:r w:rsidRPr="007C0894">
        <w:rPr>
          <w:rFonts w:hint="eastAsia"/>
          <w:spacing w:val="-2"/>
          <w:rtl/>
        </w:rPr>
        <w:t>للتطبيقات</w:t>
      </w:r>
      <w:r w:rsidRPr="007C0894">
        <w:rPr>
          <w:spacing w:val="-2"/>
          <w:rtl/>
        </w:rPr>
        <w:t xml:space="preserve"> </w:t>
      </w:r>
      <w:r w:rsidRPr="007C0894">
        <w:rPr>
          <w:rFonts w:hint="eastAsia"/>
          <w:spacing w:val="-2"/>
          <w:rtl/>
        </w:rPr>
        <w:t>الصحية</w:t>
      </w:r>
      <w:r w:rsidRPr="007C0894">
        <w:rPr>
          <w:spacing w:val="-2"/>
          <w:rtl/>
        </w:rPr>
        <w:t xml:space="preserve"> </w:t>
      </w:r>
      <w:r w:rsidRPr="007C0894">
        <w:rPr>
          <w:rFonts w:hint="eastAsia"/>
          <w:spacing w:val="-2"/>
          <w:rtl/>
        </w:rPr>
        <w:t>التي</w:t>
      </w:r>
      <w:r w:rsidRPr="007C0894">
        <w:rPr>
          <w:spacing w:val="-2"/>
          <w:rtl/>
        </w:rPr>
        <w:t xml:space="preserve"> </w:t>
      </w:r>
      <w:r w:rsidRPr="007C0894">
        <w:rPr>
          <w:rFonts w:hint="eastAsia"/>
          <w:spacing w:val="-2"/>
          <w:rtl/>
        </w:rPr>
        <w:t>وُضعت</w:t>
      </w:r>
      <w:r w:rsidRPr="007C0894">
        <w:rPr>
          <w:spacing w:val="-2"/>
          <w:rtl/>
        </w:rPr>
        <w:t xml:space="preserve"> </w:t>
      </w:r>
      <w:r w:rsidRPr="007C0894">
        <w:rPr>
          <w:rFonts w:hint="eastAsia"/>
          <w:spacing w:val="-2"/>
          <w:rtl/>
        </w:rPr>
        <w:t>في</w:t>
      </w:r>
      <w:r w:rsidRPr="007C0894">
        <w:rPr>
          <w:spacing w:val="-2"/>
          <w:rtl/>
        </w:rPr>
        <w:t xml:space="preserve"> </w:t>
      </w:r>
      <w:r w:rsidRPr="007C0894">
        <w:rPr>
          <w:rFonts w:hint="eastAsia"/>
          <w:spacing w:val="-2"/>
          <w:rtl/>
        </w:rPr>
        <w:t>إطار</w:t>
      </w:r>
      <w:r w:rsidRPr="007C0894">
        <w:rPr>
          <w:spacing w:val="-2"/>
          <w:rtl/>
        </w:rPr>
        <w:t xml:space="preserve"> </w:t>
      </w:r>
      <w:hyperlink r:id="rId453" w:anchor="/ar" w:history="1">
        <w:r w:rsidRPr="007C0894">
          <w:rPr>
            <w:rStyle w:val="Hyperlink"/>
            <w:rFonts w:hint="eastAsia"/>
            <w:noProof w:val="0"/>
            <w:spacing w:val="-2"/>
            <w:rtl/>
            <w:lang w:val="en-US" w:eastAsia="zh-CN"/>
          </w:rPr>
          <w:t>فريق</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متخصص</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مشترك</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بين</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الاتحاد</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الدولي</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للاتصالات</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ومنظمة</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الصحة</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العالمية</w:t>
        </w:r>
      </w:hyperlink>
      <w:r w:rsidRPr="007C0894">
        <w:rPr>
          <w:spacing w:val="-2"/>
          <w:rtl/>
        </w:rPr>
        <w:t xml:space="preserve"> (</w:t>
      </w:r>
      <w:r w:rsidRPr="007C0894">
        <w:rPr>
          <w:rFonts w:hint="eastAsia"/>
          <w:spacing w:val="-2"/>
          <w:rtl/>
        </w:rPr>
        <w:t>في</w:t>
      </w:r>
      <w:r w:rsidRPr="007C0894">
        <w:rPr>
          <w:spacing w:val="-2"/>
          <w:rtl/>
        </w:rPr>
        <w:t xml:space="preserve"> </w:t>
      </w:r>
      <w:r w:rsidRPr="007C0894">
        <w:rPr>
          <w:rFonts w:hint="eastAsia"/>
          <w:spacing w:val="-2"/>
          <w:rtl/>
        </w:rPr>
        <w:t>إطار</w:t>
      </w:r>
      <w:r w:rsidRPr="007C0894">
        <w:rPr>
          <w:spacing w:val="-2"/>
          <w:rtl/>
        </w:rPr>
        <w:t xml:space="preserve"> </w:t>
      </w:r>
      <w:hyperlink r:id="rId454" w:anchor="/ar" w:history="1">
        <w:r w:rsidRPr="007C0894">
          <w:rPr>
            <w:rStyle w:val="Hyperlink"/>
            <w:rFonts w:hint="eastAsia"/>
            <w:noProof w:val="0"/>
            <w:spacing w:val="-2"/>
            <w:rtl/>
            <w:lang w:val="en-US" w:eastAsia="zh-CN"/>
          </w:rPr>
          <w:t>لجنة</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الدراسات</w:t>
        </w:r>
        <w:r w:rsidRPr="007C0894">
          <w:rPr>
            <w:rStyle w:val="Hyperlink"/>
            <w:noProof w:val="0"/>
            <w:spacing w:val="-2"/>
            <w:rtl/>
            <w:lang w:val="en-US" w:eastAsia="zh-CN"/>
          </w:rPr>
          <w:t xml:space="preserve"> 21 </w:t>
        </w:r>
        <w:r w:rsidRPr="007C0894">
          <w:rPr>
            <w:rStyle w:val="Hyperlink"/>
            <w:rFonts w:hint="eastAsia"/>
            <w:noProof w:val="0"/>
            <w:spacing w:val="-2"/>
            <w:rtl/>
            <w:lang w:val="en-US" w:eastAsia="zh-CN"/>
          </w:rPr>
          <w:t>لقطاع</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تقييس</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الاتصالات</w:t>
        </w:r>
      </w:hyperlink>
      <w:r w:rsidRPr="007C0894">
        <w:rPr>
          <w:rFonts w:hint="eastAsia"/>
          <w:spacing w:val="-2"/>
          <w:rtl/>
        </w:rPr>
        <w:t>،</w:t>
      </w:r>
      <w:r w:rsidR="0089560B">
        <w:rPr>
          <w:spacing w:val="-2"/>
          <w:rtl/>
        </w:rPr>
        <w:t xml:space="preserve"> </w:t>
      </w:r>
      <w:r w:rsidRPr="007C0894">
        <w:rPr>
          <w:rFonts w:hint="eastAsia"/>
          <w:spacing w:val="-2"/>
          <w:rtl/>
        </w:rPr>
        <w:t>لجنة</w:t>
      </w:r>
      <w:r w:rsidRPr="007C0894">
        <w:rPr>
          <w:spacing w:val="-2"/>
          <w:rtl/>
        </w:rPr>
        <w:t xml:space="preserve"> </w:t>
      </w:r>
      <w:r w:rsidRPr="007C0894">
        <w:rPr>
          <w:rFonts w:hint="eastAsia"/>
          <w:spacing w:val="-2"/>
          <w:rtl/>
        </w:rPr>
        <w:t>الدراسات</w:t>
      </w:r>
      <w:r w:rsidRPr="007C0894">
        <w:rPr>
          <w:spacing w:val="-2"/>
          <w:rtl/>
        </w:rPr>
        <w:t xml:space="preserve"> 16 </w:t>
      </w:r>
      <w:r w:rsidRPr="007C0894">
        <w:rPr>
          <w:rFonts w:hint="eastAsia"/>
          <w:spacing w:val="-2"/>
          <w:rtl/>
        </w:rPr>
        <w:t>سابقاً</w:t>
      </w:r>
      <w:r w:rsidRPr="007C0894">
        <w:rPr>
          <w:spacing w:val="-2"/>
          <w:rtl/>
        </w:rPr>
        <w:t xml:space="preserve">). </w:t>
      </w:r>
      <w:r w:rsidRPr="007C0894">
        <w:rPr>
          <w:rFonts w:hint="eastAsia"/>
          <w:spacing w:val="-2"/>
          <w:rtl/>
        </w:rPr>
        <w:t>وبالإضافة</w:t>
      </w:r>
      <w:r w:rsidRPr="007C0894">
        <w:rPr>
          <w:spacing w:val="-2"/>
          <w:rtl/>
        </w:rPr>
        <w:t xml:space="preserve"> </w:t>
      </w:r>
      <w:r w:rsidRPr="007C0894">
        <w:rPr>
          <w:rFonts w:hint="eastAsia"/>
          <w:spacing w:val="-2"/>
          <w:rtl/>
        </w:rPr>
        <w:t>إلى</w:t>
      </w:r>
      <w:r w:rsidRPr="007C0894">
        <w:rPr>
          <w:spacing w:val="-2"/>
          <w:rtl/>
        </w:rPr>
        <w:t xml:space="preserve"> </w:t>
      </w:r>
      <w:r w:rsidRPr="007C0894">
        <w:rPr>
          <w:rFonts w:hint="eastAsia"/>
          <w:spacing w:val="-2"/>
          <w:rtl/>
        </w:rPr>
        <w:t>ذلك،</w:t>
      </w:r>
      <w:r w:rsidRPr="007C0894">
        <w:rPr>
          <w:spacing w:val="-2"/>
          <w:rtl/>
        </w:rPr>
        <w:t xml:space="preserve"> أحرزت </w:t>
      </w:r>
      <w:hyperlink r:id="rId455" w:anchor="/ar" w:history="1">
        <w:r w:rsidRPr="007C0894">
          <w:rPr>
            <w:rStyle w:val="Hyperlink"/>
            <w:rFonts w:hint="eastAsia"/>
            <w:noProof w:val="0"/>
            <w:spacing w:val="-2"/>
            <w:rtl/>
            <w:lang w:val="en-US" w:eastAsia="zh-CN"/>
          </w:rPr>
          <w:t>لجنة</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الدراسات</w:t>
        </w:r>
        <w:r w:rsidRPr="007C0894">
          <w:rPr>
            <w:rStyle w:val="Hyperlink"/>
            <w:noProof w:val="0"/>
            <w:spacing w:val="-2"/>
            <w:rtl/>
            <w:lang w:val="en-US" w:eastAsia="zh-CN"/>
          </w:rPr>
          <w:t xml:space="preserve"> 20 </w:t>
        </w:r>
        <w:r w:rsidRPr="007C0894">
          <w:rPr>
            <w:rStyle w:val="Hyperlink"/>
            <w:rFonts w:hint="eastAsia"/>
            <w:noProof w:val="0"/>
            <w:spacing w:val="-2"/>
            <w:rtl/>
            <w:lang w:val="en-US" w:eastAsia="zh-CN"/>
          </w:rPr>
          <w:t>لقطاع</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ت</w:t>
        </w:r>
        <w:r w:rsidR="00036109" w:rsidRPr="00036109">
          <w:rPr>
            <w:rStyle w:val="Hyperlink"/>
            <w:rFonts w:hint="cs"/>
            <w:noProof w:val="0"/>
            <w:spacing w:val="-2"/>
            <w:rtl/>
            <w:lang w:val="en-US" w:eastAsia="zh-CN"/>
          </w:rPr>
          <w:t>ق</w:t>
        </w:r>
        <w:r w:rsidRPr="007C0894">
          <w:rPr>
            <w:rStyle w:val="Hyperlink"/>
            <w:rFonts w:hint="eastAsia"/>
            <w:noProof w:val="0"/>
            <w:spacing w:val="-2"/>
            <w:rtl/>
            <w:lang w:val="en-US" w:eastAsia="zh-CN"/>
          </w:rPr>
          <w:t>ييس</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الاتصالات</w:t>
        </w:r>
      </w:hyperlink>
      <w:r w:rsidRPr="007C0894">
        <w:rPr>
          <w:spacing w:val="-2"/>
          <w:rtl/>
        </w:rPr>
        <w:t xml:space="preserve"> تقدماً في </w:t>
      </w:r>
      <w:r w:rsidRPr="007C0894">
        <w:rPr>
          <w:rFonts w:hint="eastAsia"/>
          <w:spacing w:val="-2"/>
          <w:rtl/>
        </w:rPr>
        <w:t>أعمال</w:t>
      </w:r>
      <w:r w:rsidRPr="007C0894">
        <w:rPr>
          <w:spacing w:val="-2"/>
          <w:rtl/>
        </w:rPr>
        <w:t xml:space="preserve"> </w:t>
      </w:r>
      <w:r w:rsidRPr="007C0894">
        <w:rPr>
          <w:rFonts w:hint="eastAsia"/>
          <w:spacing w:val="-2"/>
          <w:rtl/>
        </w:rPr>
        <w:t>التقييس</w:t>
      </w:r>
      <w:r w:rsidRPr="007C0894">
        <w:rPr>
          <w:spacing w:val="-2"/>
          <w:rtl/>
        </w:rPr>
        <w:t xml:space="preserve"> </w:t>
      </w:r>
      <w:r w:rsidRPr="007C0894">
        <w:rPr>
          <w:rFonts w:hint="eastAsia"/>
          <w:spacing w:val="-2"/>
          <w:rtl/>
        </w:rPr>
        <w:t>المتعلقة</w:t>
      </w:r>
      <w:r w:rsidRPr="007C0894">
        <w:rPr>
          <w:spacing w:val="-2"/>
          <w:rtl/>
        </w:rPr>
        <w:t xml:space="preserve"> </w:t>
      </w:r>
      <w:r w:rsidRPr="007C0894">
        <w:rPr>
          <w:rFonts w:hint="eastAsia"/>
          <w:spacing w:val="-2"/>
          <w:rtl/>
        </w:rPr>
        <w:t>بالخدمات</w:t>
      </w:r>
      <w:r w:rsidRPr="007C0894">
        <w:rPr>
          <w:spacing w:val="-2"/>
          <w:rtl/>
        </w:rPr>
        <w:t xml:space="preserve"> </w:t>
      </w:r>
      <w:r w:rsidRPr="007C0894">
        <w:rPr>
          <w:rFonts w:hint="eastAsia"/>
          <w:spacing w:val="-2"/>
          <w:rtl/>
        </w:rPr>
        <w:t>الرقمية</w:t>
      </w:r>
      <w:r w:rsidRPr="007C0894">
        <w:rPr>
          <w:spacing w:val="-2"/>
          <w:rtl/>
        </w:rPr>
        <w:t xml:space="preserve"> </w:t>
      </w:r>
      <w:r w:rsidRPr="007C0894">
        <w:rPr>
          <w:rFonts w:hint="eastAsia"/>
          <w:spacing w:val="-2"/>
          <w:rtl/>
        </w:rPr>
        <w:t>المتمحورة</w:t>
      </w:r>
      <w:r w:rsidRPr="007C0894">
        <w:rPr>
          <w:spacing w:val="-2"/>
          <w:rtl/>
        </w:rPr>
        <w:t xml:space="preserve"> </w:t>
      </w:r>
      <w:r w:rsidRPr="007C0894">
        <w:rPr>
          <w:rFonts w:hint="eastAsia"/>
          <w:spacing w:val="-2"/>
          <w:rtl/>
        </w:rPr>
        <w:t>حول</w:t>
      </w:r>
      <w:r w:rsidRPr="007C0894">
        <w:rPr>
          <w:spacing w:val="-2"/>
          <w:rtl/>
        </w:rPr>
        <w:t xml:space="preserve"> </w:t>
      </w:r>
      <w:r w:rsidRPr="007C0894">
        <w:rPr>
          <w:rFonts w:hint="eastAsia"/>
          <w:spacing w:val="-2"/>
          <w:rtl/>
        </w:rPr>
        <w:t>الإنسان</w:t>
      </w:r>
      <w:r w:rsidRPr="007C0894">
        <w:rPr>
          <w:spacing w:val="-2"/>
          <w:rtl/>
        </w:rPr>
        <w:t xml:space="preserve"> </w:t>
      </w:r>
      <w:r w:rsidRPr="007C0894">
        <w:rPr>
          <w:rFonts w:hint="eastAsia"/>
          <w:spacing w:val="-2"/>
          <w:rtl/>
        </w:rPr>
        <w:t>التي</w:t>
      </w:r>
      <w:r w:rsidRPr="007C0894">
        <w:rPr>
          <w:spacing w:val="-2"/>
          <w:rtl/>
        </w:rPr>
        <w:t xml:space="preserve"> </w:t>
      </w:r>
      <w:r w:rsidRPr="007C0894">
        <w:rPr>
          <w:rFonts w:hint="eastAsia"/>
          <w:spacing w:val="-2"/>
          <w:rtl/>
        </w:rPr>
        <w:t>تتيحها</w:t>
      </w:r>
      <w:r w:rsidRPr="007C0894">
        <w:rPr>
          <w:spacing w:val="-2"/>
          <w:rtl/>
        </w:rPr>
        <w:t xml:space="preserve"> </w:t>
      </w:r>
      <w:r w:rsidRPr="007C0894">
        <w:rPr>
          <w:rFonts w:hint="eastAsia"/>
          <w:spacing w:val="-2"/>
          <w:rtl/>
        </w:rPr>
        <w:t>إنترنت</w:t>
      </w:r>
      <w:r w:rsidRPr="007C0894">
        <w:rPr>
          <w:spacing w:val="-2"/>
          <w:rtl/>
        </w:rPr>
        <w:t xml:space="preserve"> </w:t>
      </w:r>
      <w:r w:rsidRPr="007C0894">
        <w:rPr>
          <w:rFonts w:hint="eastAsia"/>
          <w:spacing w:val="-2"/>
          <w:rtl/>
        </w:rPr>
        <w:t>الأشياء</w:t>
      </w:r>
      <w:r w:rsidRPr="007C0894">
        <w:rPr>
          <w:spacing w:val="-2"/>
          <w:rtl/>
        </w:rPr>
        <w:t xml:space="preserve"> (</w:t>
      </w:r>
      <w:r w:rsidRPr="007C0894">
        <w:rPr>
          <w:spacing w:val="-2"/>
          <w:lang w:bidi="ar-EG"/>
        </w:rPr>
        <w:t>IoT</w:t>
      </w:r>
      <w:r w:rsidRPr="007C0894">
        <w:rPr>
          <w:spacing w:val="-2"/>
          <w:rtl/>
        </w:rPr>
        <w:t xml:space="preserve">) </w:t>
      </w:r>
      <w:r w:rsidRPr="007C0894">
        <w:rPr>
          <w:rFonts w:hint="eastAsia"/>
          <w:spacing w:val="-2"/>
          <w:rtl/>
        </w:rPr>
        <w:t>والمدن</w:t>
      </w:r>
      <w:r w:rsidRPr="007C0894">
        <w:rPr>
          <w:spacing w:val="-2"/>
          <w:rtl/>
        </w:rPr>
        <w:t xml:space="preserve"> </w:t>
      </w:r>
      <w:r w:rsidRPr="007C0894">
        <w:rPr>
          <w:rFonts w:hint="eastAsia"/>
          <w:spacing w:val="-2"/>
          <w:rtl/>
        </w:rPr>
        <w:t>والمجتمعات</w:t>
      </w:r>
      <w:r w:rsidRPr="007C0894">
        <w:rPr>
          <w:spacing w:val="-2"/>
          <w:rtl/>
        </w:rPr>
        <w:t xml:space="preserve"> </w:t>
      </w:r>
      <w:r w:rsidRPr="007C0894">
        <w:rPr>
          <w:rFonts w:hint="eastAsia"/>
          <w:spacing w:val="-2"/>
          <w:rtl/>
        </w:rPr>
        <w:t>الذكية</w:t>
      </w:r>
      <w:r w:rsidRPr="007C0894">
        <w:rPr>
          <w:spacing w:val="-2"/>
          <w:rtl/>
        </w:rPr>
        <w:t xml:space="preserve"> </w:t>
      </w:r>
      <w:r w:rsidRPr="007C0894">
        <w:rPr>
          <w:rFonts w:hint="eastAsia"/>
          <w:spacing w:val="-2"/>
          <w:rtl/>
        </w:rPr>
        <w:t>المستدامة،</w:t>
      </w:r>
      <w:r w:rsidRPr="007C0894">
        <w:rPr>
          <w:spacing w:val="-2"/>
          <w:rtl/>
        </w:rPr>
        <w:t xml:space="preserve"> </w:t>
      </w:r>
      <w:r w:rsidRPr="007C0894">
        <w:rPr>
          <w:rFonts w:hint="eastAsia"/>
          <w:spacing w:val="-2"/>
          <w:rtl/>
        </w:rPr>
        <w:t>مع</w:t>
      </w:r>
      <w:r w:rsidRPr="007C0894">
        <w:rPr>
          <w:spacing w:val="-2"/>
          <w:rtl/>
        </w:rPr>
        <w:t xml:space="preserve"> </w:t>
      </w:r>
      <w:r w:rsidRPr="007C0894">
        <w:rPr>
          <w:rFonts w:hint="eastAsia"/>
          <w:spacing w:val="-2"/>
          <w:rtl/>
        </w:rPr>
        <w:t>التركيز</w:t>
      </w:r>
      <w:r w:rsidRPr="007C0894">
        <w:rPr>
          <w:spacing w:val="-2"/>
          <w:rtl/>
        </w:rPr>
        <w:t xml:space="preserve"> </w:t>
      </w:r>
      <w:r w:rsidRPr="007C0894">
        <w:rPr>
          <w:rFonts w:hint="eastAsia"/>
          <w:spacing w:val="-2"/>
          <w:rtl/>
        </w:rPr>
        <w:t>بوجه</w:t>
      </w:r>
      <w:r w:rsidRPr="007C0894">
        <w:rPr>
          <w:spacing w:val="-2"/>
          <w:rtl/>
        </w:rPr>
        <w:t xml:space="preserve"> </w:t>
      </w:r>
      <w:r w:rsidRPr="007C0894">
        <w:rPr>
          <w:rFonts w:hint="eastAsia"/>
          <w:spacing w:val="-2"/>
          <w:rtl/>
        </w:rPr>
        <w:t>خاص</w:t>
      </w:r>
      <w:r w:rsidRPr="007C0894">
        <w:rPr>
          <w:spacing w:val="-2"/>
          <w:rtl/>
        </w:rPr>
        <w:t xml:space="preserve"> </w:t>
      </w:r>
      <w:r w:rsidRPr="007C0894">
        <w:rPr>
          <w:rFonts w:hint="eastAsia"/>
          <w:spacing w:val="-2"/>
          <w:rtl/>
        </w:rPr>
        <w:t>على</w:t>
      </w:r>
      <w:r w:rsidRPr="007C0894">
        <w:rPr>
          <w:spacing w:val="-2"/>
          <w:rtl/>
        </w:rPr>
        <w:t xml:space="preserve"> </w:t>
      </w:r>
      <w:r w:rsidRPr="007C0894">
        <w:rPr>
          <w:rFonts w:hint="eastAsia"/>
          <w:spacing w:val="-2"/>
          <w:rtl/>
        </w:rPr>
        <w:t>الصحة</w:t>
      </w:r>
      <w:r w:rsidRPr="007C0894">
        <w:rPr>
          <w:spacing w:val="-2"/>
          <w:rtl/>
        </w:rPr>
        <w:t xml:space="preserve"> </w:t>
      </w:r>
      <w:r w:rsidRPr="007C0894">
        <w:rPr>
          <w:rFonts w:hint="eastAsia"/>
          <w:spacing w:val="-2"/>
          <w:rtl/>
        </w:rPr>
        <w:t>الرقمية</w:t>
      </w:r>
      <w:r w:rsidRPr="007C0894">
        <w:rPr>
          <w:spacing w:val="-2"/>
          <w:rtl/>
        </w:rPr>
        <w:t xml:space="preserve"> </w:t>
      </w:r>
      <w:r w:rsidRPr="007C0894">
        <w:rPr>
          <w:rFonts w:hint="eastAsia"/>
          <w:spacing w:val="-2"/>
          <w:rtl/>
        </w:rPr>
        <w:t>وإمكانية</w:t>
      </w:r>
      <w:r w:rsidRPr="007C0894">
        <w:rPr>
          <w:spacing w:val="-2"/>
          <w:rtl/>
        </w:rPr>
        <w:t xml:space="preserve"> </w:t>
      </w:r>
      <w:r w:rsidRPr="007C0894">
        <w:rPr>
          <w:rFonts w:hint="eastAsia"/>
          <w:spacing w:val="-2"/>
          <w:rtl/>
        </w:rPr>
        <w:t>النفاذ</w:t>
      </w:r>
      <w:r w:rsidRPr="007C0894">
        <w:rPr>
          <w:spacing w:val="-2"/>
          <w:rtl/>
        </w:rPr>
        <w:t xml:space="preserve"> </w:t>
      </w:r>
      <w:r w:rsidRPr="007C0894">
        <w:rPr>
          <w:rFonts w:hint="eastAsia"/>
          <w:spacing w:val="-2"/>
          <w:rtl/>
        </w:rPr>
        <w:t>الرقمي</w:t>
      </w:r>
      <w:r w:rsidRPr="007C0894">
        <w:rPr>
          <w:spacing w:val="-2"/>
          <w:rtl/>
        </w:rPr>
        <w:t xml:space="preserve"> </w:t>
      </w:r>
      <w:r w:rsidRPr="007C0894">
        <w:rPr>
          <w:rFonts w:hint="eastAsia"/>
          <w:spacing w:val="-2"/>
          <w:rtl/>
        </w:rPr>
        <w:t>والشمول</w:t>
      </w:r>
      <w:r w:rsidRPr="007C0894">
        <w:rPr>
          <w:spacing w:val="-2"/>
          <w:rtl/>
        </w:rPr>
        <w:t xml:space="preserve"> </w:t>
      </w:r>
      <w:r w:rsidRPr="007C0894">
        <w:rPr>
          <w:rFonts w:hint="eastAsia"/>
          <w:spacing w:val="-2"/>
          <w:rtl/>
        </w:rPr>
        <w:t>الرقمي</w:t>
      </w:r>
      <w:r w:rsidRPr="007C0894">
        <w:rPr>
          <w:spacing w:val="-2"/>
          <w:rtl/>
        </w:rPr>
        <w:t xml:space="preserve">. </w:t>
      </w:r>
      <w:r w:rsidRPr="007C0894">
        <w:rPr>
          <w:rFonts w:hint="eastAsia"/>
          <w:spacing w:val="-2"/>
          <w:rtl/>
        </w:rPr>
        <w:t>وتكملةً</w:t>
      </w:r>
      <w:r w:rsidRPr="007C0894">
        <w:rPr>
          <w:spacing w:val="-2"/>
          <w:rtl/>
        </w:rPr>
        <w:t xml:space="preserve"> </w:t>
      </w:r>
      <w:r w:rsidRPr="007C0894">
        <w:rPr>
          <w:rFonts w:hint="eastAsia"/>
          <w:spacing w:val="-2"/>
          <w:rtl/>
        </w:rPr>
        <w:t>لهذه</w:t>
      </w:r>
      <w:r w:rsidRPr="007C0894">
        <w:rPr>
          <w:spacing w:val="-2"/>
          <w:rtl/>
        </w:rPr>
        <w:t xml:space="preserve"> </w:t>
      </w:r>
      <w:r w:rsidRPr="007C0894">
        <w:rPr>
          <w:rFonts w:hint="eastAsia"/>
          <w:spacing w:val="-2"/>
          <w:rtl/>
        </w:rPr>
        <w:t>الجهود،</w:t>
      </w:r>
      <w:r w:rsidRPr="007C0894">
        <w:rPr>
          <w:spacing w:val="-2"/>
          <w:rtl/>
        </w:rPr>
        <w:t xml:space="preserve"> </w:t>
      </w:r>
      <w:r w:rsidRPr="007C0894">
        <w:rPr>
          <w:rFonts w:hint="eastAsia"/>
          <w:spacing w:val="-2"/>
          <w:rtl/>
        </w:rPr>
        <w:t>تواصل</w:t>
      </w:r>
      <w:r w:rsidRPr="007C0894">
        <w:rPr>
          <w:spacing w:val="-2"/>
          <w:rtl/>
        </w:rPr>
        <w:t xml:space="preserve"> </w:t>
      </w:r>
      <w:hyperlink r:id="rId456" w:history="1">
        <w:r w:rsidRPr="007C0894">
          <w:rPr>
            <w:rStyle w:val="Hyperlink"/>
            <w:rFonts w:hint="eastAsia"/>
            <w:noProof w:val="0"/>
            <w:spacing w:val="-2"/>
            <w:rtl/>
            <w:lang w:val="en-US" w:eastAsia="zh-CN"/>
          </w:rPr>
          <w:t>المبادرة</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العالمية</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بشأن</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العوالم</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الافتراضية</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والذكاء</w:t>
        </w:r>
        <w:r w:rsidRPr="007C0894">
          <w:rPr>
            <w:rStyle w:val="Hyperlink"/>
            <w:noProof w:val="0"/>
            <w:spacing w:val="-2"/>
            <w:rtl/>
            <w:lang w:val="en-US" w:eastAsia="zh-CN"/>
          </w:rPr>
          <w:t xml:space="preserve"> </w:t>
        </w:r>
        <w:r w:rsidRPr="007C0894">
          <w:rPr>
            <w:rStyle w:val="Hyperlink"/>
            <w:rFonts w:hint="eastAsia"/>
            <w:noProof w:val="0"/>
            <w:spacing w:val="-2"/>
            <w:rtl/>
            <w:lang w:val="en-US" w:eastAsia="zh-CN"/>
          </w:rPr>
          <w:t>الاصطناعي</w:t>
        </w:r>
        <w:r w:rsidRPr="007C0894">
          <w:rPr>
            <w:rStyle w:val="Hyperlink"/>
            <w:noProof w:val="0"/>
            <w:spacing w:val="-2"/>
            <w:rtl/>
            <w:lang w:val="en-US" w:eastAsia="zh-CN"/>
          </w:rPr>
          <w:t xml:space="preserve"> - </w:t>
        </w:r>
        <w:r w:rsidRPr="007C0894">
          <w:rPr>
            <w:rStyle w:val="Hyperlink"/>
            <w:rFonts w:hint="eastAsia"/>
            <w:i/>
            <w:iCs/>
            <w:noProof w:val="0"/>
            <w:spacing w:val="-2"/>
            <w:rtl/>
            <w:lang w:val="en-US" w:eastAsia="zh-CN"/>
          </w:rPr>
          <w:t>اكتشاف</w:t>
        </w:r>
        <w:r w:rsidRPr="007C0894">
          <w:rPr>
            <w:rStyle w:val="Hyperlink"/>
            <w:i/>
            <w:iCs/>
            <w:noProof w:val="0"/>
            <w:spacing w:val="-2"/>
            <w:rtl/>
            <w:lang w:val="en-US" w:eastAsia="zh-CN"/>
          </w:rPr>
          <w:t xml:space="preserve"> </w:t>
        </w:r>
        <w:proofErr w:type="spellStart"/>
        <w:r w:rsidRPr="007C0894">
          <w:rPr>
            <w:rStyle w:val="Hyperlink"/>
            <w:rFonts w:hint="eastAsia"/>
            <w:i/>
            <w:iCs/>
            <w:noProof w:val="0"/>
            <w:spacing w:val="-2"/>
            <w:rtl/>
            <w:lang w:val="en-US" w:eastAsia="zh-CN"/>
          </w:rPr>
          <w:t>السيتيفيرس</w:t>
        </w:r>
        <w:proofErr w:type="spellEnd"/>
      </w:hyperlink>
      <w:r w:rsidRPr="007C0894">
        <w:rPr>
          <w:spacing w:val="-2"/>
          <w:rtl/>
        </w:rPr>
        <w:t xml:space="preserve"> </w:t>
      </w:r>
      <w:r w:rsidRPr="007C0894">
        <w:rPr>
          <w:rFonts w:hint="eastAsia"/>
          <w:spacing w:val="-2"/>
          <w:rtl/>
        </w:rPr>
        <w:t>معالجة</w:t>
      </w:r>
      <w:r w:rsidRPr="007C0894">
        <w:rPr>
          <w:spacing w:val="-2"/>
          <w:rtl/>
        </w:rPr>
        <w:t xml:space="preserve"> </w:t>
      </w:r>
      <w:r w:rsidRPr="007C0894">
        <w:rPr>
          <w:rFonts w:hint="eastAsia"/>
          <w:spacing w:val="-2"/>
          <w:rtl/>
        </w:rPr>
        <w:t>الشمول</w:t>
      </w:r>
      <w:r w:rsidRPr="007C0894">
        <w:rPr>
          <w:spacing w:val="-2"/>
          <w:rtl/>
        </w:rPr>
        <w:t xml:space="preserve"> </w:t>
      </w:r>
      <w:r w:rsidRPr="007C0894">
        <w:rPr>
          <w:rFonts w:hint="eastAsia"/>
          <w:spacing w:val="-2"/>
          <w:rtl/>
        </w:rPr>
        <w:t>الرقمي</w:t>
      </w:r>
      <w:r w:rsidRPr="007C0894">
        <w:rPr>
          <w:spacing w:val="-2"/>
          <w:rtl/>
        </w:rPr>
        <w:t xml:space="preserve"> </w:t>
      </w:r>
      <w:r w:rsidRPr="007C0894">
        <w:rPr>
          <w:rFonts w:hint="eastAsia"/>
          <w:spacing w:val="-2"/>
          <w:rtl/>
        </w:rPr>
        <w:t>وإمكانية</w:t>
      </w:r>
      <w:r w:rsidRPr="007C0894">
        <w:rPr>
          <w:spacing w:val="-2"/>
          <w:rtl/>
        </w:rPr>
        <w:t xml:space="preserve"> </w:t>
      </w:r>
      <w:r w:rsidRPr="007C0894">
        <w:rPr>
          <w:rFonts w:hint="eastAsia"/>
          <w:spacing w:val="-2"/>
          <w:rtl/>
        </w:rPr>
        <w:t>النفاذ</w:t>
      </w:r>
      <w:r w:rsidRPr="007C0894">
        <w:rPr>
          <w:spacing w:val="-2"/>
          <w:rtl/>
        </w:rPr>
        <w:t xml:space="preserve"> </w:t>
      </w:r>
      <w:r w:rsidRPr="007C0894">
        <w:rPr>
          <w:rFonts w:hint="eastAsia"/>
          <w:spacing w:val="-2"/>
          <w:rtl/>
        </w:rPr>
        <w:t>في</w:t>
      </w:r>
      <w:r w:rsidRPr="007C0894">
        <w:rPr>
          <w:spacing w:val="-2"/>
          <w:rtl/>
        </w:rPr>
        <w:t xml:space="preserve"> </w:t>
      </w:r>
      <w:r w:rsidRPr="007C0894">
        <w:rPr>
          <w:rFonts w:hint="eastAsia"/>
          <w:spacing w:val="-2"/>
          <w:rtl/>
        </w:rPr>
        <w:t>تكنولوجيا</w:t>
      </w:r>
      <w:r w:rsidRPr="007C0894">
        <w:rPr>
          <w:spacing w:val="-2"/>
          <w:rtl/>
        </w:rPr>
        <w:t xml:space="preserve"> </w:t>
      </w:r>
      <w:proofErr w:type="spellStart"/>
      <w:r w:rsidRPr="007C0894">
        <w:rPr>
          <w:rFonts w:hint="eastAsia"/>
          <w:spacing w:val="-2"/>
          <w:rtl/>
        </w:rPr>
        <w:t>السيتيفيرس</w:t>
      </w:r>
      <w:proofErr w:type="spellEnd"/>
      <w:r w:rsidRPr="007C0894">
        <w:rPr>
          <w:spacing w:val="-2"/>
          <w:rtl/>
        </w:rPr>
        <w:t xml:space="preserve"> </w:t>
      </w:r>
      <w:r w:rsidRPr="007C0894">
        <w:rPr>
          <w:rFonts w:hint="eastAsia"/>
          <w:spacing w:val="-2"/>
          <w:rtl/>
        </w:rPr>
        <w:t>والعوالم</w:t>
      </w:r>
      <w:r w:rsidRPr="007C0894">
        <w:rPr>
          <w:spacing w:val="-2"/>
          <w:rtl/>
        </w:rPr>
        <w:t xml:space="preserve"> </w:t>
      </w:r>
      <w:r w:rsidRPr="007C0894">
        <w:rPr>
          <w:rFonts w:hint="eastAsia"/>
          <w:spacing w:val="-2"/>
          <w:rtl/>
        </w:rPr>
        <w:t>الافتراضية،</w:t>
      </w:r>
      <w:r w:rsidRPr="007C0894">
        <w:rPr>
          <w:spacing w:val="-2"/>
          <w:rtl/>
        </w:rPr>
        <w:t xml:space="preserve"> </w:t>
      </w:r>
      <w:r w:rsidRPr="007C0894">
        <w:rPr>
          <w:rFonts w:hint="eastAsia"/>
          <w:spacing w:val="-2"/>
          <w:rtl/>
        </w:rPr>
        <w:t>مع</w:t>
      </w:r>
      <w:r w:rsidRPr="007C0894">
        <w:rPr>
          <w:spacing w:val="-2"/>
          <w:rtl/>
        </w:rPr>
        <w:t xml:space="preserve"> </w:t>
      </w:r>
      <w:r w:rsidRPr="007C0894">
        <w:rPr>
          <w:rFonts w:hint="eastAsia"/>
          <w:spacing w:val="-2"/>
          <w:rtl/>
        </w:rPr>
        <w:t>الاعتراف</w:t>
      </w:r>
      <w:r w:rsidRPr="007C0894">
        <w:rPr>
          <w:spacing w:val="-2"/>
          <w:rtl/>
        </w:rPr>
        <w:t xml:space="preserve"> </w:t>
      </w:r>
      <w:r w:rsidRPr="007C0894">
        <w:rPr>
          <w:rFonts w:hint="eastAsia"/>
          <w:spacing w:val="-2"/>
          <w:rtl/>
        </w:rPr>
        <w:t>بأن</w:t>
      </w:r>
      <w:r w:rsidRPr="007C0894">
        <w:rPr>
          <w:spacing w:val="-2"/>
          <w:rtl/>
        </w:rPr>
        <w:t xml:space="preserve"> </w:t>
      </w:r>
      <w:r w:rsidRPr="007C0894">
        <w:rPr>
          <w:rFonts w:hint="eastAsia"/>
          <w:spacing w:val="-2"/>
          <w:rtl/>
        </w:rPr>
        <w:t>إنشاء</w:t>
      </w:r>
      <w:r w:rsidRPr="007C0894">
        <w:rPr>
          <w:spacing w:val="-2"/>
          <w:rtl/>
        </w:rPr>
        <w:t xml:space="preserve"> </w:t>
      </w:r>
      <w:r w:rsidRPr="007C0894">
        <w:rPr>
          <w:rFonts w:hint="eastAsia"/>
          <w:spacing w:val="-2"/>
          <w:rtl/>
        </w:rPr>
        <w:t>بيئات</w:t>
      </w:r>
      <w:r w:rsidRPr="007C0894">
        <w:rPr>
          <w:spacing w:val="-2"/>
          <w:rtl/>
        </w:rPr>
        <w:t xml:space="preserve"> </w:t>
      </w:r>
      <w:r w:rsidRPr="007C0894">
        <w:rPr>
          <w:rFonts w:hint="eastAsia"/>
          <w:spacing w:val="-2"/>
          <w:rtl/>
        </w:rPr>
        <w:t>رقمية</w:t>
      </w:r>
      <w:r w:rsidRPr="007C0894">
        <w:rPr>
          <w:spacing w:val="-2"/>
          <w:rtl/>
        </w:rPr>
        <w:t xml:space="preserve"> </w:t>
      </w:r>
      <w:r w:rsidRPr="007C0894">
        <w:rPr>
          <w:rFonts w:hint="eastAsia"/>
          <w:spacing w:val="-2"/>
          <w:rtl/>
        </w:rPr>
        <w:t>جديدة</w:t>
      </w:r>
      <w:r w:rsidRPr="007C0894">
        <w:rPr>
          <w:spacing w:val="-2"/>
          <w:rtl/>
        </w:rPr>
        <w:t xml:space="preserve"> </w:t>
      </w:r>
      <w:r w:rsidRPr="007C0894">
        <w:rPr>
          <w:rFonts w:hint="eastAsia"/>
          <w:spacing w:val="-2"/>
          <w:rtl/>
        </w:rPr>
        <w:t>يثير</w:t>
      </w:r>
      <w:r w:rsidRPr="007C0894">
        <w:rPr>
          <w:spacing w:val="-2"/>
          <w:rtl/>
        </w:rPr>
        <w:t xml:space="preserve"> </w:t>
      </w:r>
      <w:r w:rsidRPr="007C0894">
        <w:rPr>
          <w:rFonts w:hint="eastAsia"/>
          <w:spacing w:val="-2"/>
          <w:rtl/>
        </w:rPr>
        <w:t>اعتبارات</w:t>
      </w:r>
      <w:r w:rsidRPr="007C0894">
        <w:rPr>
          <w:spacing w:val="-2"/>
          <w:rtl/>
        </w:rPr>
        <w:t xml:space="preserve"> </w:t>
      </w:r>
      <w:r w:rsidRPr="007C0894">
        <w:rPr>
          <w:rFonts w:hint="eastAsia"/>
          <w:spacing w:val="-2"/>
          <w:rtl/>
        </w:rPr>
        <w:t>إمكانية</w:t>
      </w:r>
      <w:r w:rsidRPr="007C0894">
        <w:rPr>
          <w:spacing w:val="-2"/>
          <w:rtl/>
        </w:rPr>
        <w:t xml:space="preserve"> </w:t>
      </w:r>
      <w:r w:rsidRPr="007C0894">
        <w:rPr>
          <w:rFonts w:hint="eastAsia"/>
          <w:spacing w:val="-2"/>
          <w:rtl/>
        </w:rPr>
        <w:t>النفاذ</w:t>
      </w:r>
      <w:r w:rsidRPr="007C0894">
        <w:rPr>
          <w:spacing w:val="-2"/>
          <w:rtl/>
        </w:rPr>
        <w:t xml:space="preserve"> </w:t>
      </w:r>
      <w:r w:rsidRPr="007C0894">
        <w:rPr>
          <w:rFonts w:hint="eastAsia"/>
          <w:spacing w:val="-2"/>
          <w:rtl/>
        </w:rPr>
        <w:t>المتعلقة</w:t>
      </w:r>
      <w:r w:rsidRPr="007C0894">
        <w:rPr>
          <w:spacing w:val="-2"/>
          <w:rtl/>
        </w:rPr>
        <w:t xml:space="preserve"> </w:t>
      </w:r>
      <w:r w:rsidRPr="007C0894">
        <w:rPr>
          <w:rFonts w:hint="eastAsia"/>
          <w:spacing w:val="-2"/>
          <w:rtl/>
        </w:rPr>
        <w:t>بالمهارات</w:t>
      </w:r>
      <w:r w:rsidRPr="007C0894">
        <w:rPr>
          <w:spacing w:val="-2"/>
          <w:rtl/>
        </w:rPr>
        <w:t xml:space="preserve"> </w:t>
      </w:r>
      <w:r w:rsidRPr="007C0894">
        <w:rPr>
          <w:rFonts w:hint="eastAsia"/>
          <w:spacing w:val="-2"/>
          <w:rtl/>
        </w:rPr>
        <w:t>الرقمية</w:t>
      </w:r>
      <w:r w:rsidRPr="007C0894">
        <w:rPr>
          <w:spacing w:val="-2"/>
          <w:rtl/>
        </w:rPr>
        <w:t xml:space="preserve"> </w:t>
      </w:r>
      <w:r w:rsidRPr="007C0894">
        <w:rPr>
          <w:rFonts w:hint="eastAsia"/>
          <w:spacing w:val="-2"/>
          <w:rtl/>
        </w:rPr>
        <w:t>وضعف</w:t>
      </w:r>
      <w:r w:rsidRPr="007C0894">
        <w:rPr>
          <w:spacing w:val="-2"/>
          <w:rtl/>
        </w:rPr>
        <w:t xml:space="preserve"> </w:t>
      </w:r>
      <w:r w:rsidRPr="007C0894">
        <w:rPr>
          <w:rFonts w:hint="eastAsia"/>
          <w:spacing w:val="-2"/>
          <w:rtl/>
        </w:rPr>
        <w:t>البصر</w:t>
      </w:r>
      <w:r w:rsidRPr="007C0894">
        <w:rPr>
          <w:spacing w:val="-2"/>
          <w:rtl/>
        </w:rPr>
        <w:t xml:space="preserve"> </w:t>
      </w:r>
      <w:r w:rsidRPr="007C0894">
        <w:rPr>
          <w:rFonts w:hint="eastAsia"/>
          <w:spacing w:val="-2"/>
          <w:rtl/>
        </w:rPr>
        <w:t>والتباين</w:t>
      </w:r>
      <w:r w:rsidRPr="007C0894">
        <w:rPr>
          <w:spacing w:val="-2"/>
          <w:rtl/>
        </w:rPr>
        <w:t xml:space="preserve"> </w:t>
      </w:r>
      <w:r w:rsidRPr="007C0894">
        <w:rPr>
          <w:rFonts w:hint="eastAsia"/>
          <w:spacing w:val="-2"/>
          <w:rtl/>
        </w:rPr>
        <w:t>العصبي</w:t>
      </w:r>
      <w:r w:rsidRPr="007C0894">
        <w:rPr>
          <w:spacing w:val="-2"/>
          <w:rtl/>
        </w:rPr>
        <w:t xml:space="preserve"> </w:t>
      </w:r>
      <w:r w:rsidRPr="007C0894">
        <w:rPr>
          <w:rFonts w:hint="eastAsia"/>
          <w:spacing w:val="-2"/>
          <w:rtl/>
        </w:rPr>
        <w:t>التي</w:t>
      </w:r>
      <w:r w:rsidRPr="007C0894">
        <w:rPr>
          <w:spacing w:val="-2"/>
          <w:rtl/>
        </w:rPr>
        <w:t xml:space="preserve"> </w:t>
      </w:r>
      <w:r w:rsidRPr="007C0894">
        <w:rPr>
          <w:rFonts w:hint="eastAsia"/>
          <w:spacing w:val="-2"/>
          <w:rtl/>
        </w:rPr>
        <w:t>يجب</w:t>
      </w:r>
      <w:r w:rsidRPr="007C0894">
        <w:rPr>
          <w:spacing w:val="-2"/>
          <w:rtl/>
        </w:rPr>
        <w:t xml:space="preserve"> </w:t>
      </w:r>
      <w:r w:rsidRPr="007C0894">
        <w:rPr>
          <w:rFonts w:hint="eastAsia"/>
          <w:spacing w:val="-2"/>
          <w:rtl/>
        </w:rPr>
        <w:t>معالجتها</w:t>
      </w:r>
      <w:r w:rsidRPr="007C0894">
        <w:rPr>
          <w:spacing w:val="-2"/>
          <w:rtl/>
        </w:rPr>
        <w:t xml:space="preserve"> </w:t>
      </w:r>
      <w:r w:rsidRPr="007C0894">
        <w:rPr>
          <w:rFonts w:hint="eastAsia"/>
          <w:spacing w:val="-2"/>
          <w:rtl/>
        </w:rPr>
        <w:t>بشكل</w:t>
      </w:r>
      <w:r w:rsidRPr="007C0894">
        <w:rPr>
          <w:spacing w:val="-2"/>
          <w:rtl/>
        </w:rPr>
        <w:t xml:space="preserve"> </w:t>
      </w:r>
      <w:r w:rsidRPr="007C0894">
        <w:rPr>
          <w:rFonts w:hint="eastAsia"/>
          <w:spacing w:val="-2"/>
          <w:rtl/>
        </w:rPr>
        <w:t>استباقي</w:t>
      </w:r>
      <w:r w:rsidRPr="007C0894">
        <w:rPr>
          <w:spacing w:val="-2"/>
          <w:rtl/>
        </w:rPr>
        <w:t xml:space="preserve">. </w:t>
      </w:r>
      <w:r w:rsidRPr="007C0894">
        <w:rPr>
          <w:rFonts w:hint="eastAsia"/>
          <w:spacing w:val="-2"/>
          <w:rtl/>
        </w:rPr>
        <w:t>واحتفظ</w:t>
      </w:r>
      <w:r w:rsidRPr="007C0894">
        <w:rPr>
          <w:spacing w:val="-2"/>
          <w:rtl/>
        </w:rPr>
        <w:t xml:space="preserve"> </w:t>
      </w:r>
      <w:r w:rsidRPr="007C0894">
        <w:rPr>
          <w:rFonts w:hint="eastAsia"/>
          <w:spacing w:val="-2"/>
          <w:rtl/>
        </w:rPr>
        <w:t>قطاع</w:t>
      </w:r>
      <w:r w:rsidRPr="007C0894">
        <w:rPr>
          <w:spacing w:val="-2"/>
          <w:rtl/>
        </w:rPr>
        <w:t xml:space="preserve"> </w:t>
      </w:r>
      <w:r w:rsidRPr="007C0894">
        <w:rPr>
          <w:rFonts w:hint="eastAsia"/>
          <w:spacing w:val="-2"/>
          <w:rtl/>
        </w:rPr>
        <w:t>تقييس</w:t>
      </w:r>
      <w:r w:rsidRPr="007C0894">
        <w:rPr>
          <w:spacing w:val="-2"/>
          <w:rtl/>
        </w:rPr>
        <w:t xml:space="preserve"> </w:t>
      </w:r>
      <w:r w:rsidRPr="007C0894">
        <w:rPr>
          <w:rFonts w:hint="eastAsia"/>
          <w:spacing w:val="-2"/>
          <w:rtl/>
        </w:rPr>
        <w:t>الاتصالات</w:t>
      </w:r>
      <w:r w:rsidRPr="007C0894">
        <w:rPr>
          <w:spacing w:val="-2"/>
          <w:rtl/>
        </w:rPr>
        <w:t xml:space="preserve"> </w:t>
      </w:r>
      <w:r w:rsidRPr="007C0894">
        <w:rPr>
          <w:rFonts w:hint="eastAsia"/>
          <w:spacing w:val="-2"/>
          <w:rtl/>
        </w:rPr>
        <w:t>بمستودعات</w:t>
      </w:r>
      <w:r w:rsidRPr="007C0894">
        <w:rPr>
          <w:spacing w:val="-2"/>
          <w:rtl/>
        </w:rPr>
        <w:t xml:space="preserve"> </w:t>
      </w:r>
      <w:r w:rsidRPr="007C0894">
        <w:rPr>
          <w:rFonts w:hint="eastAsia"/>
          <w:spacing w:val="-2"/>
          <w:rtl/>
        </w:rPr>
        <w:t>وقنوات</w:t>
      </w:r>
      <w:r w:rsidRPr="007C0894">
        <w:rPr>
          <w:spacing w:val="-2"/>
          <w:rtl/>
        </w:rPr>
        <w:t xml:space="preserve"> </w:t>
      </w:r>
      <w:r w:rsidRPr="007C0894">
        <w:rPr>
          <w:rFonts w:hint="eastAsia"/>
          <w:spacing w:val="-2"/>
          <w:rtl/>
        </w:rPr>
        <w:t>معلومات</w:t>
      </w:r>
      <w:r w:rsidRPr="007C0894">
        <w:rPr>
          <w:spacing w:val="-2"/>
          <w:rtl/>
        </w:rPr>
        <w:t xml:space="preserve"> </w:t>
      </w:r>
      <w:r w:rsidRPr="007C0894">
        <w:rPr>
          <w:rFonts w:hint="eastAsia"/>
          <w:spacing w:val="-2"/>
          <w:rtl/>
        </w:rPr>
        <w:t>مخصصة</w:t>
      </w:r>
      <w:r w:rsidRPr="007C0894">
        <w:rPr>
          <w:spacing w:val="-2"/>
          <w:rtl/>
        </w:rPr>
        <w:t xml:space="preserve"> </w:t>
      </w:r>
      <w:r w:rsidRPr="007C0894">
        <w:rPr>
          <w:rFonts w:hint="eastAsia"/>
          <w:spacing w:val="-2"/>
          <w:rtl/>
        </w:rPr>
        <w:t>لضمان</w:t>
      </w:r>
      <w:r w:rsidRPr="007C0894">
        <w:rPr>
          <w:spacing w:val="-2"/>
          <w:rtl/>
        </w:rPr>
        <w:t xml:space="preserve"> </w:t>
      </w:r>
      <w:r w:rsidRPr="007C0894">
        <w:rPr>
          <w:rFonts w:hint="eastAsia"/>
          <w:spacing w:val="-2"/>
          <w:rtl/>
        </w:rPr>
        <w:t>بقاء</w:t>
      </w:r>
      <w:r w:rsidRPr="007C0894">
        <w:rPr>
          <w:spacing w:val="-2"/>
          <w:rtl/>
        </w:rPr>
        <w:t xml:space="preserve"> </w:t>
      </w:r>
      <w:r w:rsidRPr="007C0894">
        <w:rPr>
          <w:rFonts w:hint="eastAsia"/>
          <w:spacing w:val="-2"/>
          <w:rtl/>
        </w:rPr>
        <w:t>اعتبارات</w:t>
      </w:r>
      <w:r w:rsidRPr="007C0894">
        <w:rPr>
          <w:spacing w:val="-2"/>
          <w:rtl/>
        </w:rPr>
        <w:t xml:space="preserve"> </w:t>
      </w:r>
      <w:r w:rsidRPr="007C0894">
        <w:rPr>
          <w:rFonts w:hint="eastAsia"/>
          <w:spacing w:val="-2"/>
          <w:rtl/>
        </w:rPr>
        <w:t>إمكانية</w:t>
      </w:r>
      <w:r w:rsidRPr="007C0894">
        <w:rPr>
          <w:spacing w:val="-2"/>
          <w:rtl/>
        </w:rPr>
        <w:t xml:space="preserve"> </w:t>
      </w:r>
      <w:r w:rsidRPr="007C0894">
        <w:rPr>
          <w:rFonts w:hint="eastAsia"/>
          <w:spacing w:val="-2"/>
          <w:rtl/>
        </w:rPr>
        <w:t>النفاذ</w:t>
      </w:r>
      <w:r w:rsidRPr="007C0894">
        <w:rPr>
          <w:spacing w:val="-2"/>
          <w:rtl/>
        </w:rPr>
        <w:t xml:space="preserve"> </w:t>
      </w:r>
      <w:r w:rsidRPr="007C0894">
        <w:rPr>
          <w:rFonts w:hint="eastAsia"/>
          <w:spacing w:val="-2"/>
          <w:rtl/>
        </w:rPr>
        <w:t>في</w:t>
      </w:r>
      <w:r w:rsidRPr="007C0894">
        <w:rPr>
          <w:spacing w:val="-2"/>
          <w:rtl/>
        </w:rPr>
        <w:t xml:space="preserve"> </w:t>
      </w:r>
      <w:r w:rsidRPr="007C0894">
        <w:rPr>
          <w:rFonts w:hint="eastAsia"/>
          <w:spacing w:val="-2"/>
          <w:rtl/>
        </w:rPr>
        <w:t>صميم</w:t>
      </w:r>
      <w:r w:rsidRPr="007C0894">
        <w:rPr>
          <w:spacing w:val="-2"/>
          <w:rtl/>
        </w:rPr>
        <w:t xml:space="preserve"> </w:t>
      </w:r>
      <w:r w:rsidRPr="007C0894">
        <w:rPr>
          <w:rFonts w:hint="eastAsia"/>
          <w:spacing w:val="-2"/>
          <w:rtl/>
        </w:rPr>
        <w:t>الأنشطة</w:t>
      </w:r>
      <w:r w:rsidRPr="007C0894">
        <w:rPr>
          <w:spacing w:val="-2"/>
          <w:rtl/>
        </w:rPr>
        <w:t xml:space="preserve"> </w:t>
      </w:r>
      <w:r w:rsidRPr="007C0894">
        <w:rPr>
          <w:rFonts w:hint="eastAsia"/>
          <w:spacing w:val="-2"/>
          <w:rtl/>
        </w:rPr>
        <w:t>المتعلقة</w:t>
      </w:r>
      <w:r w:rsidRPr="007C0894">
        <w:rPr>
          <w:spacing w:val="-2"/>
          <w:rtl/>
        </w:rPr>
        <w:t xml:space="preserve"> </w:t>
      </w:r>
      <w:r w:rsidRPr="007C0894">
        <w:rPr>
          <w:rFonts w:hint="eastAsia"/>
          <w:spacing w:val="-2"/>
          <w:rtl/>
        </w:rPr>
        <w:t>بالمعايير</w:t>
      </w:r>
      <w:r w:rsidRPr="007C0894">
        <w:rPr>
          <w:spacing w:val="-2"/>
          <w:rtl/>
        </w:rPr>
        <w:t xml:space="preserve"> </w:t>
      </w:r>
      <w:r w:rsidRPr="007C0894">
        <w:rPr>
          <w:rFonts w:hint="eastAsia"/>
          <w:spacing w:val="-2"/>
          <w:rtl/>
        </w:rPr>
        <w:t>وإمكانية</w:t>
      </w:r>
      <w:r w:rsidRPr="007C0894">
        <w:rPr>
          <w:spacing w:val="-2"/>
          <w:rtl/>
        </w:rPr>
        <w:t xml:space="preserve"> </w:t>
      </w:r>
      <w:r w:rsidRPr="007C0894">
        <w:rPr>
          <w:rFonts w:hint="eastAsia"/>
          <w:spacing w:val="-2"/>
          <w:rtl/>
        </w:rPr>
        <w:t>نفاذ</w:t>
      </w:r>
      <w:r w:rsidRPr="007C0894">
        <w:rPr>
          <w:spacing w:val="-2"/>
          <w:rtl/>
        </w:rPr>
        <w:t xml:space="preserve"> </w:t>
      </w:r>
      <w:r w:rsidRPr="007C0894">
        <w:rPr>
          <w:rFonts w:hint="eastAsia"/>
          <w:spacing w:val="-2"/>
          <w:rtl/>
        </w:rPr>
        <w:t>الأعضاء</w:t>
      </w:r>
      <w:r w:rsidRPr="007C0894">
        <w:rPr>
          <w:spacing w:val="-2"/>
          <w:rtl/>
        </w:rPr>
        <w:t xml:space="preserve"> </w:t>
      </w:r>
      <w:r w:rsidRPr="007C0894">
        <w:rPr>
          <w:rFonts w:hint="eastAsia"/>
          <w:spacing w:val="-2"/>
          <w:rtl/>
        </w:rPr>
        <w:t>وأصحاب</w:t>
      </w:r>
      <w:r w:rsidRPr="007C0894">
        <w:rPr>
          <w:spacing w:val="-2"/>
          <w:rtl/>
        </w:rPr>
        <w:t xml:space="preserve"> </w:t>
      </w:r>
      <w:r w:rsidRPr="007C0894">
        <w:rPr>
          <w:rFonts w:hint="eastAsia"/>
          <w:spacing w:val="-2"/>
          <w:rtl/>
        </w:rPr>
        <w:t>المصلحة</w:t>
      </w:r>
      <w:r w:rsidRPr="007C0894">
        <w:rPr>
          <w:spacing w:val="-2"/>
          <w:rtl/>
        </w:rPr>
        <w:t xml:space="preserve"> </w:t>
      </w:r>
      <w:r w:rsidRPr="007C0894">
        <w:rPr>
          <w:rFonts w:hint="eastAsia"/>
          <w:spacing w:val="-2"/>
          <w:rtl/>
        </w:rPr>
        <w:t>إليها</w:t>
      </w:r>
      <w:r w:rsidRPr="007C0894">
        <w:rPr>
          <w:spacing w:val="-2"/>
          <w:rtl/>
        </w:rPr>
        <w:t xml:space="preserve"> </w:t>
      </w:r>
      <w:r w:rsidRPr="007C0894">
        <w:rPr>
          <w:rFonts w:hint="eastAsia"/>
          <w:spacing w:val="-2"/>
          <w:rtl/>
        </w:rPr>
        <w:t>على</w:t>
      </w:r>
      <w:r w:rsidRPr="007C0894">
        <w:rPr>
          <w:spacing w:val="-2"/>
          <w:rtl/>
        </w:rPr>
        <w:t xml:space="preserve"> </w:t>
      </w:r>
      <w:r w:rsidRPr="007C0894">
        <w:rPr>
          <w:rFonts w:hint="eastAsia"/>
          <w:spacing w:val="-2"/>
          <w:rtl/>
        </w:rPr>
        <w:t>نطاق</w:t>
      </w:r>
      <w:r w:rsidRPr="007C0894">
        <w:rPr>
          <w:spacing w:val="-2"/>
          <w:rtl/>
        </w:rPr>
        <w:t xml:space="preserve"> </w:t>
      </w:r>
      <w:r w:rsidRPr="007C0894">
        <w:rPr>
          <w:rFonts w:hint="eastAsia"/>
          <w:spacing w:val="-2"/>
          <w:rtl/>
        </w:rPr>
        <w:t>واسع</w:t>
      </w:r>
      <w:r w:rsidRPr="007C0894">
        <w:rPr>
          <w:spacing w:val="-2"/>
          <w:rtl/>
        </w:rPr>
        <w:t>.</w:t>
      </w:r>
    </w:p>
    <w:p w14:paraId="52165F79" w14:textId="5688A432" w:rsidR="007C0894" w:rsidRPr="007C0894" w:rsidRDefault="007C0894" w:rsidP="007C0894">
      <w:pPr>
        <w:rPr>
          <w:lang w:val="ar-SA" w:bidi="ar-EG"/>
        </w:rPr>
      </w:pPr>
      <w:r w:rsidRPr="007C0894">
        <w:rPr>
          <w:rtl/>
        </w:rPr>
        <w:t xml:space="preserve">وعزز قطاع الاتصالات الراديوية </w:t>
      </w:r>
      <w:r w:rsidRPr="007C0894">
        <w:rPr>
          <w:lang w:bidi="ar-EG"/>
        </w:rPr>
        <w:t>(</w:t>
      </w:r>
      <w:hyperlink r:id="rId457" w:history="1">
        <w:r w:rsidRPr="007C0894">
          <w:rPr>
            <w:rStyle w:val="Hyperlink"/>
            <w:noProof w:val="0"/>
            <w:lang w:val="en-US" w:eastAsia="zh-CN" w:bidi="ar-EG"/>
          </w:rPr>
          <w:t>ITU-R</w:t>
        </w:r>
      </w:hyperlink>
      <w:r w:rsidRPr="007C0894">
        <w:rPr>
          <w:lang w:bidi="ar-EG"/>
        </w:rPr>
        <w:t>)</w:t>
      </w:r>
      <w:r w:rsidRPr="007C0894">
        <w:rPr>
          <w:rtl/>
        </w:rPr>
        <w:t xml:space="preserve"> إمكانية النفاذ من خلال تحديث العديد من المنشورات التقنية الرئيسية التي تتناول احتياجات الأشخاص ذوي الإعاقة والأشخاص ذوي الاحتياجات المحددة. وتمت مراجعة </w:t>
      </w:r>
      <w:proofErr w:type="gramStart"/>
      <w:r w:rsidRPr="007C0894">
        <w:rPr>
          <w:rtl/>
        </w:rPr>
        <w:t>خمسة</w:t>
      </w:r>
      <w:proofErr w:type="gramEnd"/>
      <w:r w:rsidRPr="007C0894">
        <w:rPr>
          <w:rtl/>
        </w:rPr>
        <w:t xml:space="preserve"> منشورات لقطاع الاتصالات الراديوية والموافقة عليها بموجب القرار </w:t>
      </w:r>
      <w:hyperlink r:id="rId458" w:history="1">
        <w:r w:rsidRPr="007C0894">
          <w:rPr>
            <w:rStyle w:val="Hyperlink"/>
            <w:noProof w:val="0"/>
            <w:rtl/>
            <w:lang w:val="en-US" w:eastAsia="zh-CN"/>
          </w:rPr>
          <w:t>ITU-R 67-2</w:t>
        </w:r>
      </w:hyperlink>
      <w:r w:rsidRPr="007C0894">
        <w:rPr>
          <w:rtl/>
        </w:rPr>
        <w:t xml:space="preserve"> بشأن إمكانية النفاذ إلى الاتصالات/تكنولوجيا المعلومات والاتصالات، لضمان استمرار أهميتها ومواءمتها مع السياقات التكنولوجية الناشئة. وشملت التحديثات التقرير </w:t>
      </w:r>
      <w:hyperlink r:id="rId459" w:history="1">
        <w:r w:rsidRPr="007C0894">
          <w:rPr>
            <w:rStyle w:val="Hyperlink"/>
            <w:noProof w:val="0"/>
            <w:rtl/>
            <w:lang w:val="en-US" w:eastAsia="zh-CN"/>
          </w:rPr>
          <w:t>ITU-R BT.2207</w:t>
        </w:r>
      </w:hyperlink>
      <w:r w:rsidRPr="007C0894">
        <w:rPr>
          <w:rtl/>
        </w:rPr>
        <w:t xml:space="preserve"> بشأن إمكانية النفاذ إلى الخدمات الإذاعية والتقرير </w:t>
      </w:r>
      <w:hyperlink r:id="rId460" w:history="1">
        <w:r w:rsidRPr="007C0894">
          <w:rPr>
            <w:rStyle w:val="Hyperlink"/>
            <w:noProof w:val="0"/>
            <w:rtl/>
            <w:lang w:val="en-US" w:eastAsia="zh-CN"/>
          </w:rPr>
          <w:t>ITU-R SM.2153</w:t>
        </w:r>
      </w:hyperlink>
      <w:r w:rsidRPr="007C0894">
        <w:rPr>
          <w:rtl/>
        </w:rPr>
        <w:t xml:space="preserve"> بشأن أجهزة الاتصالات الراديوية قصيرة المدى. ووافق قطاع الاتصالات الراديوية أيضاً على التوصية </w:t>
      </w:r>
      <w:hyperlink r:id="rId461" w:history="1">
        <w:r w:rsidRPr="007C0894">
          <w:rPr>
            <w:rStyle w:val="Hyperlink"/>
            <w:noProof w:val="0"/>
            <w:rtl/>
            <w:lang w:val="en-US" w:eastAsia="zh-CN"/>
          </w:rPr>
          <w:t>ITU-R BT.1702-3</w:t>
        </w:r>
      </w:hyperlink>
      <w:r w:rsidRPr="007C0894">
        <w:rPr>
          <w:rtl/>
        </w:rPr>
        <w:t xml:space="preserve"> التي تقدم توجيهات للحد من نوبات الصرع الحساس للضوء التي يسببها المحتوى التلفزيوني. كما يتناول كتيب "</w:t>
      </w:r>
      <w:hyperlink r:id="rId462" w:history="1">
        <w:r w:rsidRPr="007C0894">
          <w:rPr>
            <w:rStyle w:val="Hyperlink"/>
            <w:noProof w:val="0"/>
            <w:rtl/>
            <w:lang w:val="en-US" w:eastAsia="zh-CN"/>
          </w:rPr>
          <w:t>تنفيذ شبكات وأنظمة الإذاعة التلفزيونية الرقمية للأرض</w:t>
        </w:r>
      </w:hyperlink>
      <w:r w:rsidRPr="007C0894">
        <w:rPr>
          <w:rtl/>
        </w:rPr>
        <w:t>" قضايا إمكانية النفاذ وكيف يمكن أن يساعد تناول هذه القضايا الأشخاص ذوي الإعاقة والأشخاص ذوي الاحتياجات المحددة. ومن خلال هذه المراجعات، عزز قطاع الاتصالات الراديوية التزامه بضمان أن تظل أنظمة الاتصالات الراديوية والبيئات الإذاعية آمنة وشاملة ومتاحة لجميع المستخدمين.</w:t>
      </w:r>
    </w:p>
    <w:p w14:paraId="3183F311" w14:textId="77777777" w:rsidR="0089560B" w:rsidRDefault="007C0894" w:rsidP="007C0894">
      <w:pPr>
        <w:rPr>
          <w:rtl/>
        </w:rPr>
      </w:pPr>
      <w:r w:rsidRPr="007C0894">
        <w:rPr>
          <w:rtl/>
        </w:rPr>
        <w:t xml:space="preserve">وفيما يتعلق بالمكون الداخلي لسياسة الاتحاد بشأن إمكانية النفاذ، يُضطلع حالياً بعمل هام في كل مكون معني، مثل تصميم المبنى الجديد، والمرافق، والاتصالات، والمشتريات، ووظائف الموارد البشرية </w:t>
      </w:r>
      <w:r w:rsidRPr="007C0894">
        <w:rPr>
          <w:lang w:bidi="ar-EG"/>
        </w:rPr>
        <w:t>(HR)</w:t>
      </w:r>
      <w:r w:rsidRPr="007C0894">
        <w:rPr>
          <w:rtl/>
        </w:rPr>
        <w:t xml:space="preserve"> مثل التوظيف أو رفاه الموظفين، وأنظمة تكنولوجيا المعلومات </w:t>
      </w:r>
      <w:r w:rsidRPr="007C0894">
        <w:rPr>
          <w:lang w:bidi="ar-EG"/>
        </w:rPr>
        <w:t>(IT)</w:t>
      </w:r>
      <w:r w:rsidRPr="007C0894">
        <w:rPr>
          <w:rtl/>
        </w:rPr>
        <w:t xml:space="preserve">، والمؤتمرات والمنشورات، وما إلى ذلك. ويحرز الاتحاد تقدماً للوفاء بمعايير الأمم المتحدة وسياسة الاتحاد بشأن إمكانية النفاذ، ولكن بعض المجالات تحتاج إلى التعزيز وتحسين التنسيق. وبترتيب الأفكار هذا، واصل الاتحاد تقديم تقارير بشأن مؤشرات الأداء </w:t>
      </w:r>
      <w:r w:rsidRPr="007C0894">
        <w:rPr>
          <w:lang w:bidi="ar-EG"/>
        </w:rPr>
        <w:t>(PI)</w:t>
      </w:r>
      <w:r w:rsidRPr="007C0894">
        <w:rPr>
          <w:rtl/>
        </w:rPr>
        <w:t xml:space="preserve"> الخمسة عشر في النظام الموحد الخاصة باستراتيجية الأمم المتحدة لإدماج منظور الإعاقة </w:t>
      </w:r>
      <w:r w:rsidRPr="007C0894">
        <w:rPr>
          <w:lang w:bidi="ar-EG"/>
        </w:rPr>
        <w:t>(UNDIS)</w:t>
      </w:r>
      <w:r w:rsidRPr="007C0894">
        <w:rPr>
          <w:rtl/>
        </w:rPr>
        <w:t>. وتسعى هذه الاستراتيجية إلى ضمان أن تقوم منظومة الأمم المتحدة بإدماج منظور الإعاقة بشكل كامل في جميع الأنشطة، ما يوفر إطاراً للتقدم المستدام والتحويلي على مستوى المنظمة.</w:t>
      </w:r>
    </w:p>
    <w:p w14:paraId="6684D3BD" w14:textId="35C3BF05" w:rsidR="007C0894" w:rsidRPr="007C0894" w:rsidRDefault="007C0894" w:rsidP="007C0894">
      <w:pPr>
        <w:rPr>
          <w:lang w:val="ar-SA" w:bidi="ar-EG"/>
        </w:rPr>
      </w:pPr>
      <w:r w:rsidRPr="007C0894">
        <w:rPr>
          <w:rtl/>
        </w:rPr>
        <w:t xml:space="preserve">وتركز مؤشرات الأداء الخاصة بالاستراتيجية على </w:t>
      </w:r>
      <w:proofErr w:type="gramStart"/>
      <w:r w:rsidRPr="007C0894">
        <w:rPr>
          <w:rtl/>
        </w:rPr>
        <w:t>أربعة</w:t>
      </w:r>
      <w:proofErr w:type="gramEnd"/>
      <w:r w:rsidRPr="007C0894">
        <w:rPr>
          <w:rtl/>
        </w:rPr>
        <w:t xml:space="preserve"> مجالات أساسية، هي: القيادة والتخطيط الاستراتيجي والإدارة؛ </w:t>
      </w:r>
      <w:dir w:val="rtl">
        <w:r w:rsidRPr="007C0894">
          <w:rPr>
            <w:rtl/>
          </w:rPr>
          <w:t>الشمول</w:t>
        </w:r>
        <w:r w:rsidRPr="007C0894">
          <w:rPr>
            <w:rFonts w:ascii="Arial" w:hAnsi="Arial" w:cs="Arial" w:hint="cs"/>
            <w:rtl/>
          </w:rPr>
          <w:t>‬</w:t>
        </w:r>
        <w:r w:rsidRPr="007C0894">
          <w:rPr>
            <w:rtl/>
          </w:rPr>
          <w:t>؛ البرامج؛ ثقافة المنظمة. وفيما يلي نتائج التقييم الذاتي للاتحاد:</w:t>
        </w:r>
        <w:r w:rsidRPr="007C0894">
          <w:rPr>
            <w:rFonts w:ascii="Arial" w:hAnsi="Arial" w:cs="Arial"/>
            <w:lang w:bidi="ar-EG"/>
          </w:rPr>
          <w:t>‬</w:t>
        </w:r>
        <w:r w:rsidRPr="007C0894">
          <w:rPr>
            <w:rFonts w:ascii="Arial" w:hAnsi="Arial" w:cs="Arial"/>
            <w:lang w:bidi="ar-EG"/>
          </w:rPr>
          <w:t>‬</w:t>
        </w:r>
        <w:r w:rsidR="00207E2C">
          <w:t>‬</w:t>
        </w:r>
        <w:r w:rsidR="0099640B">
          <w:t>‬</w:t>
        </w:r>
        <w:r w:rsidR="008B3139">
          <w:t>‬</w:t>
        </w:r>
      </w:dir>
    </w:p>
    <w:p w14:paraId="122BF5FA" w14:textId="2CC82EA9" w:rsidR="007C0894" w:rsidRPr="007C0894" w:rsidRDefault="00F91E27" w:rsidP="00BB6F58">
      <w:pPr>
        <w:pStyle w:val="Figure"/>
        <w:bidi/>
        <w:rPr>
          <w:rFonts w:eastAsia="MS Mincho"/>
          <w:lang w:bidi="ar-EG"/>
        </w:rPr>
      </w:pPr>
      <w:r>
        <w:rPr>
          <w:rFonts w:eastAsia="MS Mincho"/>
          <w:noProof/>
        </w:rPr>
        <w:drawing>
          <wp:inline distT="0" distB="0" distL="0" distR="0" wp14:anchorId="41633A06" wp14:editId="16B5C8E1">
            <wp:extent cx="4385945" cy="2353901"/>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4407521" cy="2365481"/>
                    </a:xfrm>
                    <a:prstGeom prst="rect">
                      <a:avLst/>
                    </a:prstGeom>
                    <a:noFill/>
                  </pic:spPr>
                </pic:pic>
              </a:graphicData>
            </a:graphic>
          </wp:inline>
        </w:drawing>
      </w:r>
    </w:p>
    <w:p w14:paraId="3B881FD5" w14:textId="77777777" w:rsidR="007C0894" w:rsidRPr="00A1764E" w:rsidRDefault="007C0894" w:rsidP="00F91E27">
      <w:pPr>
        <w:pStyle w:val="Figurelegend"/>
        <w:rPr>
          <w:color w:val="1F497D"/>
          <w:rtl/>
        </w:rPr>
      </w:pPr>
      <w:r w:rsidRPr="00A1764E">
        <w:rPr>
          <w:color w:val="1F497D"/>
          <w:rtl/>
        </w:rPr>
        <w:t xml:space="preserve">الشكل 22 - التقييم الذاتي للاتحاد وفقاً لاستراتيجية الأمم المتحدة لإدماج منظور الإعاقة </w:t>
      </w:r>
      <w:r w:rsidRPr="00A1764E">
        <w:rPr>
          <w:color w:val="1F497D"/>
        </w:rPr>
        <w:t>(UNDIS)</w:t>
      </w:r>
      <w:r w:rsidRPr="00A1764E">
        <w:rPr>
          <w:color w:val="1F497D"/>
          <w:rtl/>
        </w:rPr>
        <w:t>.</w:t>
      </w:r>
    </w:p>
    <w:p w14:paraId="0CA894EE" w14:textId="277B36CF" w:rsidR="007C0894" w:rsidRPr="007C0894" w:rsidRDefault="00BB6F58" w:rsidP="00BB6F58">
      <w:pPr>
        <w:pStyle w:val="Heading3"/>
        <w:rPr>
          <w:lang w:val="ar-SA" w:bidi="ar-EG"/>
        </w:rPr>
      </w:pPr>
      <w:bookmarkStart w:id="120" w:name="_Toc224288832"/>
      <w:bookmarkStart w:id="121" w:name="_Toc227252606"/>
      <w:r>
        <w:t>4.3.5</w:t>
      </w:r>
      <w:r w:rsidR="007C0894" w:rsidRPr="007C0894">
        <w:rPr>
          <w:rtl/>
        </w:rPr>
        <w:tab/>
        <w:t>حلول للمجتمعات الريفية والمجتمعات النائية ومجتمعات الشعوب الأصلية</w:t>
      </w:r>
      <w:bookmarkEnd w:id="120"/>
      <w:bookmarkEnd w:id="121"/>
    </w:p>
    <w:p w14:paraId="3A6625AF" w14:textId="77777777" w:rsidR="007C0894" w:rsidRPr="007C0894" w:rsidRDefault="007C0894" w:rsidP="007C0894">
      <w:pPr>
        <w:rPr>
          <w:lang w:val="ar-SA" w:bidi="ar-EG"/>
        </w:rPr>
      </w:pPr>
      <w:r w:rsidRPr="007C0894">
        <w:rPr>
          <w:rtl/>
        </w:rPr>
        <w:t>سعى أعضاء الاتحاد منذ عام 2002 إلى تمكين مجتمعات الشعوب الأصلية من خلال التكنولوجيات، على النحو المنصوص عليه في القرارات المعتمدة والمجددة بصورة منهجية في إطار أعمال المؤتمر العالمي لتنمية الاتصالات ومؤتمر المندوبين المفوضين للاتحاد.</w:t>
      </w:r>
    </w:p>
    <w:p w14:paraId="7BC07F64" w14:textId="5F0A8A9F" w:rsidR="007C0894" w:rsidRPr="007C0894" w:rsidRDefault="007C0894" w:rsidP="007C0894">
      <w:pPr>
        <w:rPr>
          <w:lang w:val="ar-SA" w:bidi="ar-EG"/>
        </w:rPr>
      </w:pPr>
      <w:r w:rsidRPr="007C0894">
        <w:rPr>
          <w:rtl/>
        </w:rPr>
        <w:t xml:space="preserve">وفي عام 2023، قدم الاتحاد أول برنامج تدريبي عبر الإنترنت بعنوان </w:t>
      </w:r>
      <w:hyperlink r:id="rId464" w:anchor="/ar" w:history="1">
        <w:r w:rsidRPr="007C0894">
          <w:rPr>
            <w:rStyle w:val="Hyperlink"/>
            <w:noProof w:val="0"/>
            <w:rtl/>
            <w:lang w:val="en-US" w:eastAsia="zh-CN"/>
          </w:rPr>
          <w:t>أدوات اتصال مبتكرة لتعزيز قدرات مجتمعات الشعوب الأصلية</w:t>
        </w:r>
      </w:hyperlink>
      <w:r w:rsidRPr="007C0894">
        <w:rPr>
          <w:rtl/>
        </w:rPr>
        <w:t xml:space="preserve">، استقطب أكثر من 200 مشارك (45 في </w:t>
      </w:r>
      <w:proofErr w:type="gramStart"/>
      <w:r w:rsidRPr="007C0894">
        <w:rPr>
          <w:rtl/>
        </w:rPr>
        <w:t>المائة</w:t>
      </w:r>
      <w:proofErr w:type="gramEnd"/>
      <w:r w:rsidRPr="007C0894">
        <w:rPr>
          <w:rtl/>
        </w:rPr>
        <w:t xml:space="preserve"> من النساء) من 16 بلداً من بلدان أمريكا اللاتينية. ونُفذ برنامج مختلط ثان بعنوان </w:t>
      </w:r>
      <w:hyperlink r:id="rId465" w:anchor="/ar" w:history="1">
        <w:r w:rsidRPr="007C0894">
          <w:rPr>
            <w:rStyle w:val="Hyperlink"/>
            <w:noProof w:val="0"/>
            <w:rtl/>
            <w:lang w:val="en-US" w:eastAsia="zh-CN"/>
          </w:rPr>
          <w:t>مديرو شبكات تكنولوجيا المعلومات والاتصالات في مجتمعات الشعوب الأصلية والمجتمعات الريفية في أمريكا اللاتينية</w:t>
        </w:r>
      </w:hyperlink>
      <w:r w:rsidRPr="007C0894">
        <w:rPr>
          <w:rtl/>
        </w:rPr>
        <w:t>، قُدم من خلال أكاديمية الاتحاد وبالحضور الشخصي في كولومبيا، وتخرج منه 40 مهنياً مع تحقيق التوازن بين الجنسين. وأُطلقت أيضاً نسخة 2023 من برنامج المديرين هذا بهدف تكييف التدريب باستمرار مع الاحتياجات المتطورة لمجتمعات الشعوب الأصلية والمجتمعات الريفية. كما ساهم الاتحاد بخبرته الطويلة في جلسة مخصصة في إطار القمة العالمية لمجتمع المعلومات بشأن "</w:t>
      </w:r>
      <w:hyperlink r:id="rId466" w:history="1">
        <w:r w:rsidRPr="007C0894">
          <w:rPr>
            <w:rStyle w:val="Hyperlink"/>
            <w:noProof w:val="0"/>
            <w:rtl/>
            <w:lang w:val="en-US" w:eastAsia="zh-CN"/>
          </w:rPr>
          <w:t>بناء القدرات والبيئات التمكينية للنفاذ الهادف في مجتمعات الشعوب الأصلية والمجتمعات الريفية</w:t>
        </w:r>
      </w:hyperlink>
      <w:r w:rsidRPr="007C0894">
        <w:rPr>
          <w:rtl/>
        </w:rPr>
        <w:t>"، مسلطاً الضوء على الدروس المستفادة من 18 عاماً من العمل في هذا المجال. واستمر العمل خلال الفترة 2024-2025 بشأن أنشطة قطاع تنمية الاتصالات التي تلبي الاحتياجات المحددة للشعوب الأصلية من خلال التدريب الموجه وتبادل المعارف ودعم المشاريع.</w:t>
      </w:r>
    </w:p>
    <w:p w14:paraId="22E410D9" w14:textId="3E74B6C7" w:rsidR="007C0894" w:rsidRPr="007C0894" w:rsidRDefault="007C0894" w:rsidP="007C0894">
      <w:pPr>
        <w:rPr>
          <w:lang w:val="ar-SA" w:bidi="ar-EG"/>
        </w:rPr>
      </w:pPr>
      <w:r w:rsidRPr="007C0894">
        <w:rPr>
          <w:rtl/>
        </w:rPr>
        <w:t>ومنذ عام 2023، شهد عمل الاتحاد في مجال الشمول الرقمي للمجتمعات الريفية والمجتمعات النائية ومجتمعات الشعوب الأصلية توسعاً كبيراً. ففي أمريكا اللاتينية ومنطقة البحر الكاريبي، تخرج من الجيل الرابع لبرنامج التدريب المختلط 28 مدير شبكة من 9 بلدان (2023/2024)، في حين أن دورة قصيرة جديدة بشأن تصميم استراتيجيات التوصيلية المجتمعية منحت 50 مشاركاً من 10 بلدان شهادات في عام 2024. وقد ا</w:t>
      </w:r>
      <w:r w:rsidR="003B67D2">
        <w:rPr>
          <w:rFonts w:hint="cs"/>
          <w:rtl/>
        </w:rPr>
        <w:t>ن</w:t>
      </w:r>
      <w:r w:rsidRPr="007C0894">
        <w:rPr>
          <w:rtl/>
        </w:rPr>
        <w:t>ضم إلى الجيل الخامس الجاري</w:t>
      </w:r>
      <w:r w:rsidR="003B67D2">
        <w:rPr>
          <w:rFonts w:hint="cs"/>
          <w:rtl/>
        </w:rPr>
        <w:t> </w:t>
      </w:r>
      <w:r w:rsidRPr="007C0894">
        <w:rPr>
          <w:rtl/>
        </w:rPr>
        <w:t>(2025) بالفعل 69 مشاركاً من 12 بلداً. وبالتوازي مع ذلك، أُطلق البرنامج في إفريقيا للمرة الأولى في عام 2025، والتحق به حتى الآن 65 مشاركاً من 18 بلداً. وتعزز هذه الجهود القدرات المحلية وتمكِّن المجتمعات من قيادة التنمية الرقمية الخاصة بها.</w:t>
      </w:r>
    </w:p>
    <w:p w14:paraId="22670F81" w14:textId="2F0BCDC9" w:rsidR="007C0894" w:rsidRPr="007C0894" w:rsidRDefault="00767990" w:rsidP="00767990">
      <w:pPr>
        <w:pStyle w:val="Heading3"/>
        <w:rPr>
          <w:lang w:val="ar-SA" w:bidi="ar-EG"/>
        </w:rPr>
      </w:pPr>
      <w:bookmarkStart w:id="122" w:name="_Toc224288833"/>
      <w:bookmarkStart w:id="123" w:name="_Toc227252607"/>
      <w:r>
        <w:t>5.3.5</w:t>
      </w:r>
      <w:r w:rsidR="007C0894" w:rsidRPr="007C0894">
        <w:rPr>
          <w:rtl/>
        </w:rPr>
        <w:tab/>
        <w:t>دعم الفئات السكانية في مرحلة الشيخوخة</w:t>
      </w:r>
      <w:bookmarkEnd w:id="122"/>
      <w:bookmarkEnd w:id="123"/>
    </w:p>
    <w:p w14:paraId="66CA83F4" w14:textId="61543BB7" w:rsidR="007C0894" w:rsidRPr="007C0894" w:rsidRDefault="007C0894" w:rsidP="007C0894">
      <w:pPr>
        <w:rPr>
          <w:lang w:val="ar-SA" w:bidi="ar-EG"/>
        </w:rPr>
      </w:pPr>
      <w:r w:rsidRPr="007C0894">
        <w:rPr>
          <w:rtl/>
        </w:rPr>
        <w:t xml:space="preserve">بحلول عام 2050، سيتضاعف عدد سكان العالم الذين تبلغ أعمارهم 60 عاماً فما فوق (2,1 مليار نسمة). وفي سياق الاتجاهين العالميين العارمين، شيخوخة السكان وطفرة التكنولوجيا، سيواجه المشهد الاجتماعي والاقتصادي تغيرات وتحديات كبيرة. وعزز الاتحاد التزامه بدعم الفئات السكانية في مرحلة الشيخوخة في عالم يزداد رقمنةً، تماشياً مع عقد الأمم المتحدة للنهوض بالصحة في مرحلة الشيخوخة (2021-2030). وخلال هذه الفترة، ساهم الاتحاد بخبراته في 17 فعالية وورشة عمل دولية، مثل </w:t>
      </w:r>
      <w:hyperlink r:id="rId467" w:history="1">
        <w:r w:rsidRPr="007C0894">
          <w:rPr>
            <w:rStyle w:val="Hyperlink"/>
            <w:noProof w:val="0"/>
            <w:rtl/>
            <w:lang w:val="en-US" w:eastAsia="zh-CN"/>
          </w:rPr>
          <w:t xml:space="preserve">الحوار </w:t>
        </w:r>
        <w:proofErr w:type="spellStart"/>
        <w:r w:rsidRPr="007C0894">
          <w:rPr>
            <w:rStyle w:val="Hyperlink"/>
            <w:noProof w:val="0"/>
            <w:rtl/>
            <w:lang w:val="en-US" w:eastAsia="zh-CN"/>
          </w:rPr>
          <w:t>السياساتي</w:t>
        </w:r>
        <w:proofErr w:type="spellEnd"/>
        <w:r w:rsidRPr="007C0894">
          <w:rPr>
            <w:rStyle w:val="Hyperlink"/>
            <w:noProof w:val="0"/>
            <w:rtl/>
            <w:lang w:val="en-US" w:eastAsia="zh-CN"/>
          </w:rPr>
          <w:t xml:space="preserve"> العالمي بشأن الشيخوخة لإدارة الشؤون الاقتصادية والاجتماعية التابعة للأمم المتحدة </w:t>
        </w:r>
        <w:r w:rsidRPr="007C0894">
          <w:rPr>
            <w:rStyle w:val="Hyperlink"/>
            <w:noProof w:val="0"/>
            <w:lang w:val="en-US" w:eastAsia="zh-CN" w:bidi="ar-EG"/>
          </w:rPr>
          <w:t>(</w:t>
        </w:r>
        <w:r w:rsidRPr="007C0894">
          <w:rPr>
            <w:rStyle w:val="Hyperlink"/>
            <w:noProof w:val="0"/>
            <w:lang w:val="en-US" w:eastAsia="zh-CN"/>
          </w:rPr>
          <w:t>UN DESA</w:t>
        </w:r>
        <w:r w:rsidRPr="007C0894">
          <w:rPr>
            <w:rStyle w:val="Hyperlink"/>
            <w:noProof w:val="0"/>
            <w:lang w:val="en-US" w:eastAsia="zh-CN" w:bidi="ar-EG"/>
          </w:rPr>
          <w:t>)</w:t>
        </w:r>
      </w:hyperlink>
      <w:r w:rsidR="00767990" w:rsidRPr="00767990">
        <w:rPr>
          <w:rFonts w:hint="cs"/>
          <w:rtl/>
        </w:rPr>
        <w:t xml:space="preserve"> </w:t>
      </w:r>
      <w:r w:rsidRPr="007C0894">
        <w:rPr>
          <w:rtl/>
        </w:rPr>
        <w:t>و</w:t>
      </w:r>
      <w:hyperlink r:id="rId468" w:history="1">
        <w:r w:rsidRPr="007C0894">
          <w:rPr>
            <w:rStyle w:val="Hyperlink"/>
            <w:noProof w:val="0"/>
            <w:rtl/>
            <w:lang w:val="en-US" w:eastAsia="zh-CN"/>
          </w:rPr>
          <w:t>المنتدى الرفيع المستوى بشأن الاقتصاد الفضي</w:t>
        </w:r>
      </w:hyperlink>
      <w:r w:rsidRPr="007C0894">
        <w:rPr>
          <w:rtl/>
        </w:rPr>
        <w:t>، حيث عمل جنباً إلى جنب مع وكالات الأمم المتحدة وشركاء المجتمع المدني للنهوض بتحول رقمي شامل قائم على الحقوق لكبار السن.</w:t>
      </w:r>
    </w:p>
    <w:p w14:paraId="02351B69" w14:textId="5355D70E" w:rsidR="007C0894" w:rsidRPr="007C0894" w:rsidRDefault="007C0894" w:rsidP="007C0894">
      <w:pPr>
        <w:rPr>
          <w:spacing w:val="-2"/>
          <w:lang w:val="ar-SA" w:bidi="ar-EG"/>
        </w:rPr>
      </w:pPr>
      <w:r w:rsidRPr="007C0894">
        <w:rPr>
          <w:spacing w:val="-2"/>
          <w:rtl/>
        </w:rPr>
        <w:t xml:space="preserve">وتمثل أحد الإنجازات الرئيسية في نشر الموارد الرائدة للاتحاد، بما في ذلك </w:t>
      </w:r>
      <w:hyperlink r:id="rId469" w:history="1">
        <w:r w:rsidRPr="007C0894">
          <w:rPr>
            <w:rStyle w:val="Hyperlink"/>
            <w:noProof w:val="0"/>
            <w:spacing w:val="-2"/>
            <w:rtl/>
            <w:lang w:val="en-US" w:eastAsia="zh-CN"/>
          </w:rPr>
          <w:t>تقرير المبادئ التوجيهية: الشيخوخة في عالم رقمي، من التأثر إلى التأثير</w:t>
        </w:r>
      </w:hyperlink>
      <w:r w:rsidRPr="007C0894">
        <w:rPr>
          <w:spacing w:val="-2"/>
          <w:rtl/>
        </w:rPr>
        <w:t xml:space="preserve">، المكمَّل ببرامج تعليمية </w:t>
      </w:r>
      <w:proofErr w:type="spellStart"/>
      <w:r w:rsidRPr="007C0894">
        <w:rPr>
          <w:spacing w:val="-2"/>
          <w:rtl/>
        </w:rPr>
        <w:t>فيديوية</w:t>
      </w:r>
      <w:proofErr w:type="spellEnd"/>
      <w:r w:rsidRPr="007C0894">
        <w:rPr>
          <w:spacing w:val="-2"/>
          <w:rtl/>
        </w:rPr>
        <w:t xml:space="preserve"> متعددة اللغات و</w:t>
      </w:r>
      <w:hyperlink r:id="rId470" w:anchor="/ar" w:history="1">
        <w:r w:rsidRPr="007C0894">
          <w:rPr>
            <w:rStyle w:val="Hyperlink"/>
            <w:noProof w:val="0"/>
            <w:spacing w:val="-2"/>
            <w:rtl/>
            <w:lang w:val="en-US" w:eastAsia="zh-CN"/>
          </w:rPr>
          <w:t>برنامج تدريبي ذاتي الوتيرة بشأن تكنولوجيا المعلومات والاتصالات من أجل شيخوخة أفضل وسبل عيش أفضل</w:t>
        </w:r>
      </w:hyperlink>
      <w:r w:rsidRPr="007C0894">
        <w:rPr>
          <w:spacing w:val="-2"/>
          <w:rtl/>
        </w:rPr>
        <w:t xml:space="preserve">، يمكن النفاذ إليه عبر الإنترنت. ومكّنت هذه الأدوات الحكومات والممارسين وأصحاب المصلحة من تعزيز قدراتهم على تصميم تكنولوجيات شاملة، ودعم محو الأمية الرقمية بين كبار السن، وتحويل التحديات الديموغرافية إلى فرص للتنمية المستدامة. وشجع الاتحاد أيضاً وضع السياسات القائمة على الأدلة من خلال التقرير المشترك الصادر عن الاتحاد ومنظمة الصحة للبلدان الأمريكية بعنوان </w:t>
      </w:r>
      <w:hyperlink r:id="rId471" w:history="1">
        <w:r w:rsidRPr="007C0894">
          <w:rPr>
            <w:rStyle w:val="Hyperlink"/>
            <w:noProof w:val="0"/>
            <w:spacing w:val="-2"/>
            <w:rtl/>
            <w:lang w:val="en-US" w:eastAsia="zh-CN"/>
          </w:rPr>
          <w:t>دور التكنولوجيات الرقمية في الشيخوخة والصحة</w:t>
        </w:r>
      </w:hyperlink>
      <w:r w:rsidRPr="007C0894">
        <w:rPr>
          <w:spacing w:val="-2"/>
          <w:rtl/>
        </w:rPr>
        <w:t xml:space="preserve"> (2023)، الذي يسلط الضوء على الطريقة التي يمكن بها للحلول الرقمية الشاملة الميسور النفاذ إليها أن تحسن الخدمات الصحية، وتيسر العيش المستقل، وتعزز المشاركة الاجتماعية لكبار السن.</w:t>
      </w:r>
    </w:p>
    <w:p w14:paraId="4A69309C" w14:textId="77777777" w:rsidR="007C0894" w:rsidRPr="007C0894" w:rsidRDefault="007C0894" w:rsidP="007C0894">
      <w:pPr>
        <w:rPr>
          <w:lang w:val="ar-SA" w:bidi="ar-EG"/>
        </w:rPr>
      </w:pPr>
      <w:r w:rsidRPr="007C0894">
        <w:rPr>
          <w:rtl/>
        </w:rPr>
        <w:t xml:space="preserve">وفي الفترة من 2024 إلى 2025، واصل قطاع تنمية الاتصالات النهوض بالمبادرات العملية لدعم كبار السن، بما في ذلك تنمية المهارات الرقمية في غران </w:t>
      </w:r>
      <w:proofErr w:type="spellStart"/>
      <w:r w:rsidRPr="007C0894">
        <w:rPr>
          <w:rtl/>
        </w:rPr>
        <w:t>تشاكو</w:t>
      </w:r>
      <w:proofErr w:type="spellEnd"/>
      <w:r w:rsidRPr="007C0894">
        <w:rPr>
          <w:rtl/>
        </w:rPr>
        <w:t>، والتدريب على إدارة شبكات تكنولوجيا المعلومات والاتصالات في أمريكا اللاتينية، والتدريب على مستوى مجتمعات الشعوب الأصلية والمجتمعات الريفية، وكل ذلك مع التركيز على التوصيلية والوسائط المجتمعية واستدامة الأنظمة الإيكولوجية الرقمية المحلية.</w:t>
      </w:r>
    </w:p>
    <w:p w14:paraId="407AA39F" w14:textId="34B5D6F5" w:rsidR="007C0894" w:rsidRPr="007C0894" w:rsidRDefault="002E16E3" w:rsidP="002E16E3">
      <w:pPr>
        <w:pStyle w:val="Heading2"/>
        <w:rPr>
          <w:lang w:val="ar-SA" w:bidi="ar-EG"/>
        </w:rPr>
      </w:pPr>
      <w:bookmarkStart w:id="124" w:name="_4.5_الالتزام_بالاستدامة"/>
      <w:bookmarkStart w:id="125" w:name="_Toc224288834"/>
      <w:bookmarkStart w:id="126" w:name="_Toc227252608"/>
      <w:bookmarkEnd w:id="124"/>
      <w:r>
        <w:t>4.5</w:t>
      </w:r>
      <w:r w:rsidR="007C0894" w:rsidRPr="007C0894">
        <w:rPr>
          <w:rtl/>
        </w:rPr>
        <w:tab/>
        <w:t>الالتزام بالاستدامة البيئية</w:t>
      </w:r>
      <w:bookmarkEnd w:id="125"/>
      <w:bookmarkEnd w:id="126"/>
    </w:p>
    <w:p w14:paraId="3BE3D82A" w14:textId="77777777" w:rsidR="007C0894" w:rsidRPr="007C0894" w:rsidRDefault="007C0894" w:rsidP="007C0894">
      <w:pPr>
        <w:rPr>
          <w:bCs/>
          <w:lang w:val="ar-SA" w:bidi="ar-EG"/>
        </w:rPr>
      </w:pPr>
      <w:r w:rsidRPr="007C0894">
        <w:rPr>
          <w:rtl/>
        </w:rPr>
        <w:t xml:space="preserve">إجمالاً، تعكس المبادرات التي نفذها الاتحاد في الفترة من 2022 إلى 2025 التزاماً قوياً بالاستدامة البيئية من خلال العمل المناخي، والإدارة المسؤولة للمخلفات الإلكترونية، والحد من </w:t>
      </w:r>
      <w:proofErr w:type="gramStart"/>
      <w:r w:rsidRPr="007C0894">
        <w:rPr>
          <w:rtl/>
        </w:rPr>
        <w:t>مخاطر</w:t>
      </w:r>
      <w:proofErr w:type="gramEnd"/>
      <w:r w:rsidRPr="007C0894">
        <w:rPr>
          <w:rtl/>
        </w:rPr>
        <w:t xml:space="preserve"> الكوارث، وتعزيز التنمية الحضرية الذكية والمستدامة. ويؤكد النهج الشامل للاتحاد ضرورة التعاون بين مختلف أصحاب المصلحة لتحقيق أهداف الاستدامة العالمية بفعالية.</w:t>
      </w:r>
    </w:p>
    <w:p w14:paraId="2EE88F16" w14:textId="2180807A" w:rsidR="007C0894" w:rsidRPr="007C0894" w:rsidRDefault="007C0894" w:rsidP="007C0894">
      <w:pPr>
        <w:rPr>
          <w:lang w:val="ar-SA" w:bidi="ar-EG"/>
        </w:rPr>
      </w:pPr>
      <w:r w:rsidRPr="007C0894">
        <w:rPr>
          <w:rtl/>
        </w:rPr>
        <w:t xml:space="preserve">ولبلوغ ذلك، حفّز مسار العمل الرقمي المراعي للبيئة في الدورة 28 لمؤتمر الأطراف في اتفاقية الأمم المتحدة الإطارية بشأن تغيّر المناخ </w:t>
      </w:r>
      <w:r w:rsidR="008935EB" w:rsidRPr="008935EB">
        <w:rPr>
          <w:lang w:bidi="ar-EG"/>
        </w:rPr>
        <w:t>(COP28)</w:t>
      </w:r>
      <w:r w:rsidRPr="007C0894">
        <w:rPr>
          <w:rtl/>
        </w:rPr>
        <w:t xml:space="preserve"> التزامات الصناعة الرامية إلى خفض الانبعاثات وبناء إطار رصد للاستدامة داخل قطاع تكنولوجيا المعلومات والاتصالات.</w:t>
      </w:r>
    </w:p>
    <w:p w14:paraId="2AC611F0" w14:textId="77777777" w:rsidR="007C0894" w:rsidRPr="007C0894" w:rsidRDefault="007C0894" w:rsidP="002E16E3">
      <w:pPr>
        <w:pStyle w:val="Headingb"/>
        <w:rPr>
          <w:lang w:val="ar-SA" w:bidi="ar-EG"/>
        </w:rPr>
      </w:pPr>
      <w:r w:rsidRPr="007C0894">
        <w:rPr>
          <w:rtl/>
        </w:rPr>
        <w:t>إدارة المخلفات الإلكترونية والاقتصادات الدائرية</w:t>
      </w:r>
    </w:p>
    <w:p w14:paraId="4E2102C6" w14:textId="77777777" w:rsidR="0089560B" w:rsidRDefault="007C0894" w:rsidP="007C0894">
      <w:pPr>
        <w:rPr>
          <w:rtl/>
        </w:rPr>
      </w:pPr>
      <w:r w:rsidRPr="007C0894">
        <w:rPr>
          <w:rtl/>
        </w:rPr>
        <w:t xml:space="preserve">لا تزال إدارة المخلفات الإلكترونية مصدر قلق وتتطلب اهتماماً واتخاذ إجراءات على الفور، حيث إن كمية هذه المخلفات نمت منذ عام 2010 بمعدل يفوق بخمس مرات معدل عمليات الجمع وإعادة التدوير الممتثلة للمعايير. ووفقاً لتقرير المرصد العالمي للمخلفات الإلكترونية لعام 2024، من المتوقع أن يبلغ حجم المخلفات الإلكترونية التي ينتجها العالم سنوياً 82 مليار كيلوغرام بحلول عام 2030. وقام الاتحاد أيضاً، علاوة على شراكته مع معهد الأمم المتحدة للتدريب والبحث </w:t>
      </w:r>
      <w:r w:rsidRPr="007C0894">
        <w:rPr>
          <w:lang w:bidi="ar-EG"/>
        </w:rPr>
        <w:t>(UNITAR)</w:t>
      </w:r>
      <w:r w:rsidRPr="007C0894">
        <w:rPr>
          <w:rtl/>
        </w:rPr>
        <w:t xml:space="preserve"> ومؤسسة </w:t>
      </w:r>
      <w:proofErr w:type="spellStart"/>
      <w:r w:rsidRPr="007C0894">
        <w:rPr>
          <w:lang w:bidi="ar-EG"/>
        </w:rPr>
        <w:t>Carmignac</w:t>
      </w:r>
      <w:proofErr w:type="spellEnd"/>
      <w:r w:rsidRPr="007C0894">
        <w:rPr>
          <w:rtl/>
        </w:rPr>
        <w:t xml:space="preserve"> لإصدار هذا المنشور العالمي الرائد المتمثل في المرصد العالمي للمخلفات الإلكترونية، بتقديم الدعم في إعداد تقريرين إقليميين وتقريرين وطنيين من تقارير مرصد المخلفات الإلكترونية.</w:t>
      </w:r>
    </w:p>
    <w:p w14:paraId="3A503F2C" w14:textId="2E109B42" w:rsidR="007C0894" w:rsidRPr="007C0894" w:rsidRDefault="007C0894" w:rsidP="007C0894">
      <w:pPr>
        <w:rPr>
          <w:lang w:val="ar-SA" w:bidi="ar-EG"/>
        </w:rPr>
      </w:pPr>
      <w:r w:rsidRPr="007C0894">
        <w:rPr>
          <w:rtl/>
        </w:rPr>
        <w:t xml:space="preserve">كما يدعم الاتحاد بنشاط العديد من البلدان في مناطق الأمريكتين وإفريقيا وآسيا والمحيط الهادئ في وضع وتنفيذ لوائح بشأن مسؤولية المنتجين عن المخلفات الإلكترونية. وفي الفترة بين عامي 2023 و2025، قدم الاتحاد المساعدة التقنية بشأن الاقتصاد الدائري في 14 بلداً إلى جانب شركاء تمويل دوليين منهم برنامج الأمم المتحدة للبيئة ومعهد الأمم المتحدة للتدريب والبحث </w:t>
      </w:r>
      <w:r w:rsidRPr="007C0894">
        <w:rPr>
          <w:lang w:bidi="ar-EG"/>
        </w:rPr>
        <w:t>(UNITAR)</w:t>
      </w:r>
      <w:r w:rsidRPr="007C0894">
        <w:rPr>
          <w:rtl/>
        </w:rPr>
        <w:t xml:space="preserve">، والوكالة الألمانية للتعاون الدولي </w:t>
      </w:r>
      <w:r w:rsidRPr="007C0894">
        <w:rPr>
          <w:lang w:bidi="ar-EG"/>
        </w:rPr>
        <w:t>(GIZ)</w:t>
      </w:r>
      <w:r w:rsidRPr="007C0894">
        <w:rPr>
          <w:rtl/>
        </w:rPr>
        <w:t>، وحكومة المملكة العربية السعودية، وحكومة أستراليا، وحكومة كولومبيا.</w:t>
      </w:r>
    </w:p>
    <w:p w14:paraId="00517CA0" w14:textId="77777777" w:rsidR="0089560B" w:rsidRDefault="007C0894" w:rsidP="002E16E3">
      <w:pPr>
        <w:rPr>
          <w:rtl/>
        </w:rPr>
      </w:pPr>
      <w:r w:rsidRPr="007C0894">
        <w:rPr>
          <w:rtl/>
        </w:rPr>
        <w:t>وتشمل المنتجات المعرفية الإقليمية الجديرة بالذكر بشأن المخلفات الإلكترونية والاقتصاد الدائري، المنشورة بين عامي 2022 و2025، "</w:t>
      </w:r>
      <w:hyperlink r:id="rId472" w:history="1">
        <w:r w:rsidRPr="007C0894">
          <w:rPr>
            <w:rStyle w:val="Hyperlink"/>
            <w:noProof w:val="0"/>
            <w:rtl/>
            <w:lang w:val="en-US" w:eastAsia="zh-CN"/>
          </w:rPr>
          <w:t>إدارة مخلفات المعدات الكهربائية والإلكترونية في أمريكا اللاتينية: الوضع الراهن والآفاق المستقبلية</w:t>
        </w:r>
      </w:hyperlink>
      <w:r w:rsidRPr="007C0894">
        <w:rPr>
          <w:rtl/>
        </w:rPr>
        <w:t xml:space="preserve">"، و"المبادئ التوجيهية لتطوير الأنظمة الوطنية للإدارة المتكاملة لمخلفات المعدات الكهربائية والإلكترونية في أمريكا اللاتينية"، وكلاهما أُعد بالتنسيق مع منظمة الأمم المتحدة للتنمية الصناعية </w:t>
      </w:r>
      <w:r w:rsidRPr="007C0894">
        <w:rPr>
          <w:lang w:bidi="ar-EG"/>
        </w:rPr>
        <w:t>(UNIDO)</w:t>
      </w:r>
      <w:r w:rsidRPr="007C0894">
        <w:rPr>
          <w:rtl/>
        </w:rPr>
        <w:t>.</w:t>
      </w:r>
    </w:p>
    <w:p w14:paraId="57E720E2" w14:textId="77777777" w:rsidR="0089560B" w:rsidRDefault="007C0894" w:rsidP="007C0894">
      <w:pPr>
        <w:rPr>
          <w:spacing w:val="-2"/>
          <w:rtl/>
        </w:rPr>
      </w:pPr>
      <w:r w:rsidRPr="007C0894">
        <w:rPr>
          <w:spacing w:val="-2"/>
          <w:rtl/>
        </w:rPr>
        <w:t xml:space="preserve">وأطلق الاتحاد أيضاً العديد من المبادرات لتعزيز بناء القدرات وتبادل المعارف على الصعيد العالمي بشأن تنظيم المخلفات الإلكترونية، بما في ذلك الجولات الدراسية والحلقات الدراسية الإلكترونية والدورة الإلكترونية المفتوحة الحاشدة </w:t>
      </w:r>
      <w:r w:rsidRPr="007C0894">
        <w:rPr>
          <w:spacing w:val="-2"/>
          <w:lang w:bidi="ar-EG"/>
        </w:rPr>
        <w:t>(MOOC)</w:t>
      </w:r>
      <w:r w:rsidRPr="007C0894">
        <w:rPr>
          <w:spacing w:val="-2"/>
          <w:rtl/>
        </w:rPr>
        <w:t xml:space="preserve"> بعنوان "تحدي المخلفات الإلكترونية"، التي صُممت وأُعدت بالاشتراك مع برنامج الأمم المتحدة للبيئة </w:t>
      </w:r>
      <w:r w:rsidRPr="007C0894">
        <w:rPr>
          <w:spacing w:val="-2"/>
          <w:lang w:bidi="ar-EG"/>
        </w:rPr>
        <w:t>(UNEP)</w:t>
      </w:r>
      <w:r w:rsidRPr="007C0894">
        <w:rPr>
          <w:spacing w:val="-2"/>
          <w:rtl/>
        </w:rPr>
        <w:t xml:space="preserve"> وأمانة</w:t>
      </w:r>
      <w:r w:rsidR="002E16E3">
        <w:rPr>
          <w:rFonts w:hint="cs"/>
          <w:spacing w:val="-2"/>
          <w:rtl/>
        </w:rPr>
        <w:t> </w:t>
      </w:r>
      <w:r w:rsidRPr="007C0894">
        <w:rPr>
          <w:spacing w:val="-2"/>
          <w:rtl/>
        </w:rPr>
        <w:t xml:space="preserve">اتفاقية بازل، وشركة EIT </w:t>
      </w:r>
      <w:proofErr w:type="spellStart"/>
      <w:r w:rsidRPr="007C0894">
        <w:rPr>
          <w:spacing w:val="-2"/>
          <w:rtl/>
        </w:rPr>
        <w:t>RawMaterials</w:t>
      </w:r>
      <w:proofErr w:type="spellEnd"/>
      <w:r w:rsidRPr="007C0894">
        <w:rPr>
          <w:spacing w:val="-2"/>
          <w:rtl/>
        </w:rPr>
        <w:t xml:space="preserve">، وجامعة KU </w:t>
      </w:r>
      <w:proofErr w:type="spellStart"/>
      <w:r w:rsidRPr="007C0894">
        <w:rPr>
          <w:spacing w:val="-2"/>
          <w:rtl/>
        </w:rPr>
        <w:t>Leuven</w:t>
      </w:r>
      <w:proofErr w:type="spellEnd"/>
      <w:r w:rsidRPr="007C0894">
        <w:rPr>
          <w:spacing w:val="-2"/>
          <w:rtl/>
        </w:rPr>
        <w:t xml:space="preserve">، ومنظمة الصحة العالمية </w:t>
      </w:r>
      <w:r w:rsidRPr="007C0894">
        <w:rPr>
          <w:spacing w:val="-2"/>
          <w:lang w:bidi="ar-EG"/>
        </w:rPr>
        <w:t>(WHO)</w:t>
      </w:r>
      <w:r w:rsidRPr="007C0894">
        <w:rPr>
          <w:spacing w:val="-2"/>
          <w:rtl/>
        </w:rPr>
        <w:t>، ومنتدى الموارد</w:t>
      </w:r>
      <w:r w:rsidR="002E16E3">
        <w:rPr>
          <w:rFonts w:hint="eastAsia"/>
          <w:spacing w:val="-2"/>
          <w:rtl/>
          <w:lang w:bidi="ar-EG"/>
        </w:rPr>
        <w:t> </w:t>
      </w:r>
      <w:r w:rsidRPr="007C0894">
        <w:rPr>
          <w:spacing w:val="-2"/>
          <w:rtl/>
        </w:rPr>
        <w:t>العالمي.</w:t>
      </w:r>
    </w:p>
    <w:p w14:paraId="620352CD" w14:textId="5126C883" w:rsidR="007C0894" w:rsidRPr="007C0894" w:rsidRDefault="007C0894" w:rsidP="00935D68">
      <w:pPr>
        <w:rPr>
          <w:lang w:val="ar-SA" w:bidi="ar-EG"/>
        </w:rPr>
      </w:pPr>
      <w:r w:rsidRPr="007C0894">
        <w:rPr>
          <w:rtl/>
        </w:rPr>
        <w:t>ونهوضاً بالدائرية، أعد الاتحاد أدلة عملية وأدوات لأصحاب المصلحة الرئيسيين بشأن المشتريات العامة الدائرية والمستدامة، بما في ذلك مجموعة الأدوات بعنوان "</w:t>
      </w:r>
      <w:hyperlink r:id="rId473" w:history="1">
        <w:r w:rsidRPr="007C0894">
          <w:rPr>
            <w:rStyle w:val="Hyperlink"/>
            <w:noProof w:val="0"/>
            <w:rtl/>
            <w:lang w:val="en-US" w:eastAsia="zh-CN"/>
          </w:rPr>
          <w:t xml:space="preserve">الممارسات </w:t>
        </w:r>
        <w:proofErr w:type="spellStart"/>
        <w:r w:rsidRPr="007C0894">
          <w:rPr>
            <w:rStyle w:val="Hyperlink"/>
            <w:noProof w:val="0"/>
            <w:rtl/>
            <w:lang w:val="en-US" w:eastAsia="zh-CN"/>
          </w:rPr>
          <w:t>السياساتية</w:t>
        </w:r>
        <w:proofErr w:type="spellEnd"/>
        <w:r w:rsidRPr="007C0894">
          <w:rPr>
            <w:rStyle w:val="Hyperlink"/>
            <w:noProof w:val="0"/>
            <w:rtl/>
            <w:lang w:val="en-US" w:eastAsia="zh-CN"/>
          </w:rPr>
          <w:t xml:space="preserve"> لإدارة المخلفات الإلكترونية: أدوات من أجل اقتصاد دائري متوازن وعادل</w:t>
        </w:r>
      </w:hyperlink>
      <w:r w:rsidRPr="007C0894">
        <w:rPr>
          <w:rtl/>
        </w:rPr>
        <w:t xml:space="preserve">"، التي أُعدت بالتعاون مع هيئة الاتصالات والفضاء والتقنية </w:t>
      </w:r>
      <w:r w:rsidRPr="007C0894">
        <w:rPr>
          <w:lang w:bidi="ar-EG"/>
        </w:rPr>
        <w:t>(CST)</w:t>
      </w:r>
      <w:r w:rsidRPr="007C0894">
        <w:rPr>
          <w:rtl/>
        </w:rPr>
        <w:t xml:space="preserve"> في المملكة العربية السعودية، بالإضافة إلى "</w:t>
      </w:r>
      <w:hyperlink r:id="rId474" w:anchor="/ar" w:history="1">
        <w:r w:rsidRPr="007C0894">
          <w:rPr>
            <w:rStyle w:val="Hyperlink"/>
            <w:noProof w:val="0"/>
            <w:rtl/>
            <w:lang w:val="en-US" w:eastAsia="zh-CN"/>
          </w:rPr>
          <w:t>دليل المشتريات العامة الدائرية والمستدامة - معدات تكنولوجيا المعلومات والاتصالات</w:t>
        </w:r>
      </w:hyperlink>
      <w:r w:rsidRPr="007C0894">
        <w:rPr>
          <w:rtl/>
        </w:rPr>
        <w:t xml:space="preserve">" الذي صدر في إطار مبادرة </w:t>
      </w:r>
      <w:proofErr w:type="spellStart"/>
      <w:r w:rsidRPr="007C0894">
        <w:rPr>
          <w:rtl/>
        </w:rPr>
        <w:t>GovStack</w:t>
      </w:r>
      <w:proofErr w:type="spellEnd"/>
      <w:r w:rsidRPr="007C0894">
        <w:rPr>
          <w:rtl/>
        </w:rPr>
        <w:t>. وقد أُعد الدليل إلى جانب توصية قطاع تقييس الاتصالات "</w:t>
      </w:r>
      <w:hyperlink r:id="rId475" w:history="1">
        <w:r w:rsidRPr="007C0894">
          <w:rPr>
            <w:rStyle w:val="Hyperlink"/>
            <w:noProof w:val="0"/>
            <w:rtl/>
            <w:lang w:val="en-US" w:eastAsia="zh-CN"/>
          </w:rPr>
          <w:t>L.1061</w:t>
        </w:r>
        <w:r w:rsidRPr="007C0894">
          <w:rPr>
            <w:rStyle w:val="Hyperlink"/>
            <w:noProof w:val="0"/>
            <w:lang w:val="en-US" w:eastAsia="zh-CN" w:bidi="ar-EG"/>
          </w:rPr>
          <w:t>:</w:t>
        </w:r>
        <w:r w:rsidRPr="007C0894">
          <w:rPr>
            <w:rStyle w:val="Hyperlink"/>
            <w:noProof w:val="0"/>
            <w:rtl/>
            <w:lang w:val="en-US" w:eastAsia="zh-CN"/>
          </w:rPr>
          <w:t xml:space="preserve"> المشتريات العامة الدائرية لتكنولوجيا المعلومات والاتصالات</w:t>
        </w:r>
      </w:hyperlink>
      <w:r w:rsidRPr="007C0894">
        <w:rPr>
          <w:rtl/>
        </w:rPr>
        <w:t>"، التي تقدم توجيهات تقنية لمنظمات القطاع العام بشأن تعزيز ممارسات المشتريات وزيادة الإقبال على سلع وخدمات تكنولوجيا المعلومات والاتصالات الدائرية.</w:t>
      </w:r>
    </w:p>
    <w:p w14:paraId="348C76D6" w14:textId="77777777" w:rsidR="007C0894" w:rsidRPr="007C0894" w:rsidRDefault="007C0894" w:rsidP="007C0894">
      <w:pPr>
        <w:rPr>
          <w:lang w:val="ar-SA" w:bidi="ar-EG"/>
        </w:rPr>
      </w:pPr>
      <w:r w:rsidRPr="007C0894">
        <w:rPr>
          <w:rtl/>
        </w:rPr>
        <w:t>وبالمثل، أعد الاتحاد حالتي استخدام وطنيتين لدعم ‏تنفيذ المعايير الدولية لقطاع تقييس الاتصالات المتعلقة بالإدارة المستدامة للمعدات الكهربائية والإلكترونية: على الطريق نحو اقتصاد دائري‎. وفي عام 2024، أسهمت أعمال التقييس المتعلقة بجوازات المنتجات الرقمية وتطوير وسم الأداء البيئي في إحراز مزيد من التقدم في النهج المتبعة لتحقيق اقتصادات دائرية.</w:t>
      </w:r>
    </w:p>
    <w:p w14:paraId="0BB7CCF5" w14:textId="77777777" w:rsidR="007C0894" w:rsidRPr="007C0894" w:rsidRDefault="007C0894" w:rsidP="007C0894">
      <w:pPr>
        <w:rPr>
          <w:lang w:val="ar-SA" w:bidi="ar-EG"/>
        </w:rPr>
      </w:pPr>
      <w:r w:rsidRPr="007C0894">
        <w:rPr>
          <w:rtl/>
        </w:rPr>
        <w:t>وواصلت لجنة الدراسات 5 لقطاع تقييس الاتصالات، بدورها، وضع معايير دولية لتعزيز قطاع اتصالات/تكنولوجيا معلومات واتصالات مستدام بيئياً وقادر على الصمود وشامل للجميع. وفي الفترة بين عامي 2022 و2025، حظيت 110 توصيات بالموافقة أو القبول من لجنة الدراسات 5 في قطاع تقييس الاتصالات، في حين تم الاتفاق على 26 من المبادئ التوجيهية والإضافات.</w:t>
      </w:r>
    </w:p>
    <w:p w14:paraId="71576B20" w14:textId="77777777" w:rsidR="0089560B" w:rsidRDefault="007C0894" w:rsidP="007C0894">
      <w:pPr>
        <w:rPr>
          <w:rtl/>
        </w:rPr>
      </w:pPr>
      <w:r w:rsidRPr="007C0894">
        <w:rPr>
          <w:rtl/>
        </w:rPr>
        <w:t xml:space="preserve">وكانت معايير الاتحاد مفيدة بشكل خاص في قياس الأداء البيئي لتكنولوجيا المعلومات والاتصالات وتحسينه، بما يشمل كفاءة استخدام الطاقة ورصد الانبعاثات وكفاءة استخدام المواد في المنتجات التكنولوجية. وتشمل الأنشطة الرئيسية المتعلقة بالبنية التحتية لتكنولوجيا المعلومات والاتصالات ذات الكفاءة البيئية توصيات بشأن الشبكات وخدمات ومنتجات تكنولوجيا المعلومات والاتصالات، فضلاً عن مراكز البيانات. ونُشرت ورقتان بيضاوان بشأن سلامة تطبيقات بطاريات أيونات الليثيوم في مراكز البيانات وبشأن بطاريات الليثيوم لمواقع الاتصالات، بالتعاون مع شركة </w:t>
      </w:r>
      <w:proofErr w:type="spellStart"/>
      <w:r w:rsidRPr="007C0894">
        <w:rPr>
          <w:rtl/>
        </w:rPr>
        <w:t>Huawei</w:t>
      </w:r>
      <w:proofErr w:type="spellEnd"/>
      <w:r w:rsidRPr="007C0894">
        <w:rPr>
          <w:rtl/>
        </w:rPr>
        <w:t>.</w:t>
      </w:r>
    </w:p>
    <w:p w14:paraId="6A8070F1" w14:textId="58E5576A" w:rsidR="007C0894" w:rsidRPr="007C0894" w:rsidRDefault="007C0894" w:rsidP="00935D68">
      <w:pPr>
        <w:pStyle w:val="Headingb"/>
        <w:rPr>
          <w:lang w:val="ar-SA" w:bidi="ar-EG"/>
        </w:rPr>
      </w:pPr>
      <w:r w:rsidRPr="007C0894">
        <w:rPr>
          <w:rtl/>
        </w:rPr>
        <w:t>الاتصالات في حالات الطوارئ وإدارة الأزمات</w:t>
      </w:r>
    </w:p>
    <w:p w14:paraId="5C79ACA2" w14:textId="77777777" w:rsidR="007C0894" w:rsidRPr="007C0894" w:rsidRDefault="007C0894" w:rsidP="007C0894">
      <w:pPr>
        <w:rPr>
          <w:lang w:val="ar-SA" w:bidi="ar-EG"/>
        </w:rPr>
      </w:pPr>
      <w:r w:rsidRPr="007C0894">
        <w:rPr>
          <w:rtl/>
        </w:rPr>
        <w:t>تظل الاتصالات في حالات الطوارئ من مسارات عمل الاتحاد الرئيسية الرامية إلى تعزيز القدرة الوطنية على الصمود في وجه آثار تغير المناخ. وبحلول نهاية عام 2025، كان ما لا يقل عن 95 بلداً قد وضع خططاً وطنية للاتصالات في حالات الطوارئ، ما يمثل زيادة من 66 بلداً في عام 2021، ويعكس تحسناً في التأهب للكوارث والقدرة على الصمود أمامها في جميع أنحاء العالم.</w:t>
      </w:r>
    </w:p>
    <w:p w14:paraId="6FE90A09" w14:textId="7F156F51" w:rsidR="0089560B" w:rsidRPr="00BF51F7" w:rsidRDefault="007C0894" w:rsidP="00BF51F7">
      <w:pPr>
        <w:keepLines/>
        <w:rPr>
          <w:spacing w:val="-2"/>
          <w:rtl/>
        </w:rPr>
      </w:pPr>
      <w:r w:rsidRPr="00BF51F7">
        <w:rPr>
          <w:spacing w:val="-2"/>
          <w:rtl/>
        </w:rPr>
        <w:t xml:space="preserve">وفي الفترة من 2022 إلى 2025، عزز قطاع تنمية الاتصالات التأهب للكوارث والتصدي لها على الصعيد الوطني من خلال تعزيز استخدام تكنولوجيا المعلومات والاتصالات لأغراض الاتصالات في حالات الطوارئ في الدول الأعضاء. وخلال هذه الفترة، قدم قطاع تنمية الاتصالات الدعم لأكثر من 25 بلداً في وضع وتنفيذ خطط وطنية للاتصالات في حالات الطوارئ </w:t>
      </w:r>
      <w:r w:rsidRPr="00BF51F7">
        <w:rPr>
          <w:spacing w:val="-2"/>
          <w:lang w:bidi="ar-EG"/>
        </w:rPr>
        <w:t>(NETP)</w:t>
      </w:r>
      <w:r w:rsidRPr="00BF51F7">
        <w:rPr>
          <w:spacing w:val="-2"/>
          <w:rtl/>
        </w:rPr>
        <w:t xml:space="preserve">، ليبلغ مجموع الخطط التي أنجزت 41 خطة. وعززت هذه الجهود القدرة الوطنية على الصمود ومكّنت الاستجابة للطوارئ بشكل أكثر سرعة وفعالية. وأدت المنظمة أيضاً دوراً محورياً في تنفيذ مبادرة الإنذار المبكر للجميع </w:t>
      </w:r>
      <w:r w:rsidR="00935D68" w:rsidRPr="00BF51F7">
        <w:rPr>
          <w:spacing w:val="-2"/>
          <w:lang w:bidi="ar-EG"/>
        </w:rPr>
        <w:t>(EW4All)</w:t>
      </w:r>
      <w:r w:rsidRPr="00BF51F7">
        <w:rPr>
          <w:spacing w:val="-2"/>
          <w:rtl/>
        </w:rPr>
        <w:t xml:space="preserve">، التي قدم الاتحاد في إطارها الدعم إلى 30 بلداً بحلول عام 2025، بما في ذلك </w:t>
      </w:r>
      <w:proofErr w:type="gramStart"/>
      <w:r w:rsidRPr="00BF51F7">
        <w:rPr>
          <w:spacing w:val="-2"/>
          <w:rtl/>
        </w:rPr>
        <w:t>أربعة</w:t>
      </w:r>
      <w:proofErr w:type="gramEnd"/>
      <w:r w:rsidRPr="00BF51F7">
        <w:rPr>
          <w:spacing w:val="-2"/>
          <w:rtl/>
        </w:rPr>
        <w:t xml:space="preserve"> تطبيقات تجريبية للذكاء الاصطناعي في بلدان مشمولة بعمل الفريق الفرعي المعني بالذكاء الاصطناعي التابع لمبادرة EW4All من أجل تعزيز قدرات الإنذار المبكر. ويقود الاتحاد الركيزة 3 المتعلقة بنشر الإنذارات والإبلاغ بها. ومن خلال هذه المبادرة، يسّر قطاع تنمية الاتصالات التقييمات التقنية والاقتصادية والتنظيمية لدعم نشر التكنولوجيات الرئيسية لإنذار الجمهور، بما في ذلك بروتوكول الإنذار المشترك</w:t>
      </w:r>
      <w:r w:rsidR="00BF51F7">
        <w:rPr>
          <w:rFonts w:hint="cs"/>
          <w:spacing w:val="-2"/>
          <w:rtl/>
        </w:rPr>
        <w:t> </w:t>
      </w:r>
      <w:r w:rsidRPr="00BF51F7">
        <w:rPr>
          <w:spacing w:val="-2"/>
          <w:lang w:bidi="ar-EG"/>
        </w:rPr>
        <w:t>(CAP)</w:t>
      </w:r>
      <w:r w:rsidRPr="00BF51F7">
        <w:rPr>
          <w:spacing w:val="-2"/>
          <w:rtl/>
        </w:rPr>
        <w:t xml:space="preserve"> والإذاعة الخلوية </w:t>
      </w:r>
      <w:r w:rsidRPr="00BF51F7">
        <w:rPr>
          <w:spacing w:val="-2"/>
          <w:lang w:bidi="ar-EG"/>
        </w:rPr>
        <w:t>(CB)</w:t>
      </w:r>
      <w:r w:rsidRPr="00BF51F7">
        <w:rPr>
          <w:spacing w:val="-2"/>
          <w:rtl/>
        </w:rPr>
        <w:t xml:space="preserve"> وخدمة الرسائل القصيرة المستندة إلى الموقع </w:t>
      </w:r>
      <w:r w:rsidRPr="00BF51F7">
        <w:rPr>
          <w:spacing w:val="-2"/>
          <w:lang w:bidi="ar-EG"/>
        </w:rPr>
        <w:t>(LB-SMS)</w:t>
      </w:r>
      <w:r w:rsidRPr="00BF51F7">
        <w:rPr>
          <w:spacing w:val="-2"/>
          <w:rtl/>
        </w:rPr>
        <w:t xml:space="preserve">. وتمكّن هذه التكنولوجيات الاستخدام الفعال للشبكات والخدمات الرقمية والأجهزة المتنقلة لنشر التنبيهات في الوقت المناسب، ما يسهم في حماية الأرواح وسبل العيش. ومنذ عام 2022، اعتمد 28 بلداً تكنولوجيا الإذاعة الخلوية، وتعتمد 10 بلدان على تكنولوجيا </w:t>
      </w:r>
      <w:r w:rsidRPr="00BF51F7">
        <w:rPr>
          <w:spacing w:val="-2"/>
          <w:lang w:bidi="ar-EG"/>
        </w:rPr>
        <w:t>LB-SMS</w:t>
      </w:r>
      <w:r w:rsidRPr="00BF51F7">
        <w:rPr>
          <w:spacing w:val="-2"/>
          <w:rtl/>
        </w:rPr>
        <w:t>، ونشرت 6 بلدان كلتا التكنولوجيتين لتنبيه الجمهور.</w:t>
      </w:r>
    </w:p>
    <w:p w14:paraId="40CAC2BC" w14:textId="41B5A0DD" w:rsidR="007C0894" w:rsidRPr="007C0894" w:rsidRDefault="007C0894" w:rsidP="007C0894">
      <w:pPr>
        <w:rPr>
          <w:lang w:val="ar-SA" w:bidi="ar-EG"/>
        </w:rPr>
      </w:pPr>
      <w:r w:rsidRPr="007C0894">
        <w:rPr>
          <w:rtl/>
        </w:rPr>
        <w:t xml:space="preserve">وشملت جهود الاستجابة المباشرة للكوارث التموضع الاستراتيجي المسبق لمعدات الاتحاد الخاصة بالاتصالات في حالات الطوارئ في مواقع جغرافية متعددة للحد من أوقات الاستجابة في أعقاب الكوارث. وتشمل مواقع التموضع المسبق دبي (في مستودع برنامج الأغذية العالمي)، التي تخدم منطقة الدول العربية ومنطقة إفريقيا ومنطقة آسيا والمحيط الهادئ؛ وزمبابوي، التي تخدم الدول الأعضاء في الجماعة الإنمائية للجنوب الإفريقي </w:t>
      </w:r>
      <w:r w:rsidRPr="007C0894">
        <w:rPr>
          <w:lang w:bidi="ar-EG"/>
        </w:rPr>
        <w:t>(SADC)</w:t>
      </w:r>
      <w:r w:rsidRPr="007C0894">
        <w:rPr>
          <w:rtl/>
        </w:rPr>
        <w:t xml:space="preserve">؛ وبربادوس، التي تغطي الأمريكتين ومنطقة البحر الكاريبي. ونُشرت، منذ عام 2022، معدات الاتصالات </w:t>
      </w:r>
      <w:proofErr w:type="spellStart"/>
      <w:r w:rsidRPr="007C0894">
        <w:rPr>
          <w:rtl/>
        </w:rPr>
        <w:t>الساتلية</w:t>
      </w:r>
      <w:proofErr w:type="spellEnd"/>
      <w:r w:rsidRPr="007C0894">
        <w:rPr>
          <w:rtl/>
        </w:rPr>
        <w:t xml:space="preserve"> لدعم عمليات الاستجابة لحالات الطوارئ في عدة بلدان، منها تونغا في أعقاب ثوران بركان </w:t>
      </w:r>
      <w:r w:rsidRPr="007C0894">
        <w:t xml:space="preserve">Hunga Tonga-Hunga </w:t>
      </w:r>
      <w:proofErr w:type="spellStart"/>
      <w:r w:rsidRPr="007C0894">
        <w:t>Ha</w:t>
      </w:r>
      <w:r w:rsidRPr="007C0894">
        <w:rPr>
          <w:rFonts w:ascii="Arial" w:hAnsi="Arial" w:cs="Arial" w:hint="cs"/>
        </w:rPr>
        <w:t>ʻ</w:t>
      </w:r>
      <w:r w:rsidRPr="007C0894">
        <w:t>apai</w:t>
      </w:r>
      <w:proofErr w:type="spellEnd"/>
      <w:r w:rsidRPr="007C0894">
        <w:rPr>
          <w:rtl/>
        </w:rPr>
        <w:t xml:space="preserve">؛ ونيكاراغوا بعد إعصار جوليا؛ وملاوي وموزامبيق استجابةً لإعصار فريدي وإعصار </w:t>
      </w:r>
      <w:proofErr w:type="spellStart"/>
      <w:r w:rsidRPr="007C0894">
        <w:rPr>
          <w:rtl/>
        </w:rPr>
        <w:t>شيدو</w:t>
      </w:r>
      <w:proofErr w:type="spellEnd"/>
      <w:r w:rsidRPr="007C0894">
        <w:rPr>
          <w:rtl/>
        </w:rPr>
        <w:t xml:space="preserve">؛ وبابوا غينيا الجديدة عقب ثوران بركان جبل باغانا؛ وغرينادا وسانت فنسنت وغرينادين وجامايكا في أعقاب إعصاري </w:t>
      </w:r>
      <w:proofErr w:type="spellStart"/>
      <w:r w:rsidRPr="007C0894">
        <w:rPr>
          <w:rtl/>
        </w:rPr>
        <w:t>بيريل</w:t>
      </w:r>
      <w:proofErr w:type="spellEnd"/>
      <w:r w:rsidRPr="007C0894">
        <w:rPr>
          <w:rtl/>
        </w:rPr>
        <w:t xml:space="preserve"> وميليسا.</w:t>
      </w:r>
    </w:p>
    <w:p w14:paraId="3D9D8EBF" w14:textId="77777777" w:rsidR="007C0894" w:rsidRPr="007C0894" w:rsidRDefault="007C0894" w:rsidP="007C0894">
      <w:pPr>
        <w:rPr>
          <w:bCs/>
          <w:lang w:val="ar-SA" w:bidi="ar-EG"/>
        </w:rPr>
      </w:pPr>
      <w:r w:rsidRPr="007C0894">
        <w:rPr>
          <w:rtl/>
        </w:rPr>
        <w:t>وأعُدت وحدات تدريبية بشأن الاتصالات في حالات الطوارئ، بمشاركة كبيرة في مختلف البلدان، ما ساعد على ضمان أن تكون الاستجابة للكوارث منظمة وفعالة على السواء.</w:t>
      </w:r>
    </w:p>
    <w:p w14:paraId="607A172B" w14:textId="400F595C" w:rsidR="007C0894" w:rsidRPr="007C0894" w:rsidRDefault="007C0894" w:rsidP="007C0894">
      <w:pPr>
        <w:rPr>
          <w:bCs/>
          <w:lang w:val="ar-SA" w:bidi="ar-EG"/>
        </w:rPr>
      </w:pPr>
      <w:r w:rsidRPr="007C0894">
        <w:rPr>
          <w:rtl/>
        </w:rPr>
        <w:t xml:space="preserve">وخلال الدورة 28 لمؤتمر الأطراف في اتفاقية الأمم المتحدة الإطارية بشأن تغير المناخ </w:t>
      </w:r>
      <w:r w:rsidR="008935EB" w:rsidRPr="008935EB">
        <w:rPr>
          <w:lang w:bidi="ar-EG"/>
        </w:rPr>
        <w:t>(COP28)</w:t>
      </w:r>
      <w:r w:rsidRPr="007C0894">
        <w:rPr>
          <w:rtl/>
        </w:rPr>
        <w:t xml:space="preserve">، أطلق الاتحاد بالاشتراك مع رابطة النظام العالمي للاتصالات المتنقلة </w:t>
      </w:r>
      <w:r w:rsidRPr="007C0894">
        <w:rPr>
          <w:lang w:bidi="ar-EG"/>
        </w:rPr>
        <w:t>(GSMA)</w:t>
      </w:r>
      <w:r w:rsidRPr="007C0894">
        <w:rPr>
          <w:rtl/>
        </w:rPr>
        <w:t xml:space="preserve"> الدعوة إلى العمل لنشر الإذاعة الخلوية وخدمة الرسائل القصيرة المستندة إلى الموقع، واستجاب العديد من مشغلي الشبكات المتنقلة، بما في ذلك </w:t>
      </w:r>
      <w:r w:rsidRPr="007C0894">
        <w:rPr>
          <w:lang w:bidi="ar-EG"/>
        </w:rPr>
        <w:t>VEON</w:t>
      </w:r>
      <w:r w:rsidRPr="007C0894">
        <w:rPr>
          <w:rtl/>
        </w:rPr>
        <w:t xml:space="preserve"> و</w:t>
      </w:r>
      <w:r w:rsidRPr="007C0894">
        <w:rPr>
          <w:lang w:bidi="ar-EG"/>
        </w:rPr>
        <w:t>KDDI</w:t>
      </w:r>
      <w:r w:rsidRPr="007C0894">
        <w:rPr>
          <w:rtl/>
        </w:rPr>
        <w:t xml:space="preserve"> و</w:t>
      </w:r>
      <w:r w:rsidRPr="007C0894">
        <w:rPr>
          <w:lang w:bidi="ar-EG"/>
        </w:rPr>
        <w:t>Globe</w:t>
      </w:r>
      <w:r w:rsidRPr="007C0894">
        <w:rPr>
          <w:rtl/>
        </w:rPr>
        <w:t xml:space="preserve"> و</w:t>
      </w:r>
      <w:r w:rsidRPr="007C0894">
        <w:rPr>
          <w:lang w:bidi="ar-EG"/>
        </w:rPr>
        <w:t>Safaricom</w:t>
      </w:r>
      <w:r w:rsidRPr="007C0894">
        <w:rPr>
          <w:rtl/>
        </w:rPr>
        <w:t xml:space="preserve"> و</w:t>
      </w:r>
      <w:r w:rsidRPr="007C0894">
        <w:rPr>
          <w:lang w:bidi="ar-EG"/>
        </w:rPr>
        <w:t>Telefonica</w:t>
      </w:r>
      <w:r w:rsidRPr="007C0894">
        <w:rPr>
          <w:rtl/>
        </w:rPr>
        <w:t xml:space="preserve"> و</w:t>
      </w:r>
      <w:r w:rsidRPr="007C0894">
        <w:rPr>
          <w:lang w:bidi="ar-EG"/>
        </w:rPr>
        <w:t>MTN</w:t>
      </w:r>
      <w:r w:rsidRPr="007C0894">
        <w:rPr>
          <w:rtl/>
        </w:rPr>
        <w:t xml:space="preserve"> </w:t>
      </w:r>
      <w:proofErr w:type="spellStart"/>
      <w:r w:rsidRPr="007C0894">
        <w:rPr>
          <w:rtl/>
        </w:rPr>
        <w:t>وAxiata</w:t>
      </w:r>
      <w:proofErr w:type="spellEnd"/>
      <w:r w:rsidRPr="007C0894">
        <w:rPr>
          <w:rtl/>
        </w:rPr>
        <w:t xml:space="preserve"> Group، والتزموا باستخدام التوصيلية الرقمية لإنقاذ الأرواح.</w:t>
      </w:r>
    </w:p>
    <w:p w14:paraId="46D7A809" w14:textId="7E535C9E" w:rsidR="007C0894" w:rsidRPr="007C0894" w:rsidRDefault="007C0894" w:rsidP="007C0894">
      <w:pPr>
        <w:rPr>
          <w:bCs/>
          <w:lang w:val="ar-SA" w:bidi="ar-EG"/>
        </w:rPr>
      </w:pPr>
      <w:r w:rsidRPr="007C0894">
        <w:rPr>
          <w:rtl/>
        </w:rPr>
        <w:t>ويشارك الاتحاد أيضاً في ‏المبادرة العالمية بشأن القدرة على الصمود في مواجهة الأخطار الطبيعية من خلال حلول الذكاء الاصطناعي، وهي جهد تعاوني تقوده وكالات مختلفة تابعة للأمم المتحدة، بما فيه</w:t>
      </w:r>
      <w:r w:rsidR="005112CB">
        <w:rPr>
          <w:rFonts w:hint="cs"/>
          <w:rtl/>
        </w:rPr>
        <w:t>م</w:t>
      </w:r>
      <w:r w:rsidRPr="007C0894">
        <w:rPr>
          <w:rtl/>
        </w:rPr>
        <w:t xml:space="preserve"> الاتحاد الدولي للاتصالات</w:t>
      </w:r>
      <w:r w:rsidR="005112CB">
        <w:rPr>
          <w:rFonts w:hint="cs"/>
          <w:rtl/>
        </w:rPr>
        <w:t> </w:t>
      </w:r>
      <w:r w:rsidRPr="007C0894">
        <w:rPr>
          <w:lang w:bidi="ar-EG"/>
        </w:rPr>
        <w:t>(ITU)</w:t>
      </w:r>
      <w:r w:rsidRPr="007C0894">
        <w:rPr>
          <w:rtl/>
        </w:rPr>
        <w:t xml:space="preserve"> وبرنامج الأمم المتحدة للبيئة </w:t>
      </w:r>
      <w:r w:rsidRPr="007C0894">
        <w:rPr>
          <w:lang w:bidi="ar-EG"/>
        </w:rPr>
        <w:t>(‎UNEP)</w:t>
      </w:r>
      <w:r w:rsidRPr="007C0894">
        <w:rPr>
          <w:rtl/>
        </w:rPr>
        <w:t xml:space="preserve"> ‏واتفاقية الأمم المتحدة الإطارية بشأن تغير المناخ </w:t>
      </w:r>
      <w:r w:rsidRPr="007C0894">
        <w:rPr>
          <w:lang w:bidi="ar-EG"/>
        </w:rPr>
        <w:t>(‎UNFCCC)</w:t>
      </w:r>
      <w:r w:rsidRPr="007C0894">
        <w:rPr>
          <w:rtl/>
        </w:rPr>
        <w:t xml:space="preserve"> ‏والاتحاد البريدي العالمي </w:t>
      </w:r>
      <w:r w:rsidRPr="007C0894">
        <w:rPr>
          <w:lang w:bidi="ar-EG"/>
        </w:rPr>
        <w:t>(‎UPU)</w:t>
      </w:r>
      <w:r w:rsidRPr="007C0894">
        <w:rPr>
          <w:rtl/>
        </w:rPr>
        <w:t xml:space="preserve"> ‏والمنظمة العالمية للأرصاد الجوية </w:t>
      </w:r>
      <w:r w:rsidRPr="007C0894">
        <w:rPr>
          <w:lang w:bidi="ar-EG"/>
        </w:rPr>
        <w:t>(‎WMO)</w:t>
      </w:r>
      <w:r w:rsidRPr="007C0894">
        <w:rPr>
          <w:rtl/>
        </w:rPr>
        <w:t>، لاستكشاف كيفية استعمال الذكاء الاصطناعي بفعالية في إدارة الكوارث وتقديم التوجيه المتخصص والدعم في مجال البحث والابتكار ووضع المعايير‎.</w:t>
      </w:r>
    </w:p>
    <w:p w14:paraId="5A562BD2" w14:textId="77777777" w:rsidR="007C0894" w:rsidRPr="007C0894" w:rsidRDefault="007C0894" w:rsidP="00935D68">
      <w:pPr>
        <w:pStyle w:val="Headingb"/>
        <w:rPr>
          <w:lang w:val="ar-SA" w:bidi="ar-EG"/>
        </w:rPr>
      </w:pPr>
      <w:r w:rsidRPr="007C0894">
        <w:rPr>
          <w:rtl/>
        </w:rPr>
        <w:t>التحول الرقمي الذي يمكّن المدن المستدامة</w:t>
      </w:r>
    </w:p>
    <w:p w14:paraId="36DC0D3A" w14:textId="53C004A6" w:rsidR="007C0894" w:rsidRPr="007C0894" w:rsidRDefault="007C0894" w:rsidP="007C0894">
      <w:pPr>
        <w:rPr>
          <w:bCs/>
          <w:lang w:val="ar-SA" w:bidi="ar-EG"/>
        </w:rPr>
      </w:pPr>
      <w:r w:rsidRPr="007C0894">
        <w:rPr>
          <w:rtl/>
        </w:rPr>
        <w:t xml:space="preserve">أحرزت لجنة الدراسات 20 لقطاع تقييس الاتصالات تقدماً في مبادرات المدن الذكية من خلال مبادرة "متحدون من أجل مدن ذكية مستدامة </w:t>
      </w:r>
      <w:r w:rsidRPr="007C0894">
        <w:rPr>
          <w:lang w:bidi="ar-EG"/>
        </w:rPr>
        <w:t>(</w:t>
      </w:r>
      <w:r w:rsidRPr="007C0894">
        <w:t>U4SSC</w:t>
      </w:r>
      <w:r w:rsidRPr="007C0894">
        <w:rPr>
          <w:lang w:bidi="ar-EG"/>
        </w:rPr>
        <w:t>)</w:t>
      </w:r>
      <w:r w:rsidR="00935D68">
        <w:rPr>
          <w:rFonts w:hint="cs"/>
          <w:rtl/>
          <w:lang w:bidi="ar-EG"/>
        </w:rPr>
        <w:t>"</w:t>
      </w:r>
      <w:r w:rsidRPr="007C0894">
        <w:rPr>
          <w:rtl/>
        </w:rPr>
        <w:t>، بإشراك أكثر من 250 مدينة في اعتماد مؤشرات أداء قائمة على معايير الاتحاد. وانصب التركيز على إدارة المدن وتكامل البيانات لتعزيز التنمية الحضرية المستدامة.</w:t>
      </w:r>
    </w:p>
    <w:p w14:paraId="6ED25AB4" w14:textId="77777777" w:rsidR="0089560B" w:rsidRDefault="007C0894" w:rsidP="007C0894">
      <w:pPr>
        <w:rPr>
          <w:rtl/>
        </w:rPr>
      </w:pPr>
      <w:r w:rsidRPr="007C0894">
        <w:rPr>
          <w:rtl/>
        </w:rPr>
        <w:t>وقد أعد الاتحاد العديد من المنتجات المعرفية من خلال هذه المبادرة، بما في ذلك مبادئ توجيهية لتمكين المدن من تحقيق صافي انبعاثات كربونية صفري من خلال التحول الرقمي، بالإضافة إلى منهجية لتقييم التقدم المحرز في تحقيق صافي انبعاثات صفري في المدن.</w:t>
      </w:r>
    </w:p>
    <w:p w14:paraId="5F4E59C8" w14:textId="5A32ED9C" w:rsidR="007C0894" w:rsidRPr="007C0894" w:rsidRDefault="007C0894" w:rsidP="00935D68">
      <w:pPr>
        <w:pStyle w:val="Headingb"/>
        <w:rPr>
          <w:lang w:val="ar-SA" w:bidi="ar-EG"/>
        </w:rPr>
      </w:pPr>
      <w:r w:rsidRPr="007C0894">
        <w:rPr>
          <w:rtl/>
        </w:rPr>
        <w:t>المبادرات والتعاون في مجال تغير المناخ</w:t>
      </w:r>
    </w:p>
    <w:p w14:paraId="5BD73548" w14:textId="77777777" w:rsidR="007C0894" w:rsidRPr="007C0894" w:rsidRDefault="007C0894" w:rsidP="00207E2C">
      <w:pPr>
        <w:keepLines/>
        <w:rPr>
          <w:lang w:val="ar-SA" w:bidi="ar-EG"/>
        </w:rPr>
      </w:pPr>
      <w:r w:rsidRPr="007C0894">
        <w:rPr>
          <w:rtl/>
        </w:rPr>
        <w:t xml:space="preserve">استجابةً لتغير المناخ، أحرز الاتحاد خطوات كبيرة في دراسة استهلاك الطاقة وانبعاثات غازات الاحتباس الحراري </w:t>
      </w:r>
      <w:r w:rsidRPr="007C0894">
        <w:rPr>
          <w:lang w:bidi="ar-EG"/>
        </w:rPr>
        <w:t>(GHG)</w:t>
      </w:r>
      <w:r w:rsidRPr="007C0894">
        <w:rPr>
          <w:rtl/>
        </w:rPr>
        <w:t xml:space="preserve"> في قطاع التكنولوجيا على الصعيد العالمي. وتتيح سلسلة تقارير "نحو شركات رقمية مراعية للبيئة" ولوحة المعلومات الجديدة المرتبطة بها المتعلقة بجعل القطاع الرقمي مراعياً للبيئة التحليل استناداً إلى انبعاثات غازات الاحتباس الحراري وكميات استهلاك الطاقة المبلَّغ عنها من 200 شركة رقمية.</w:t>
      </w:r>
    </w:p>
    <w:p w14:paraId="58C48B62" w14:textId="77777777" w:rsidR="0089560B" w:rsidRDefault="007C0894" w:rsidP="00935D68">
      <w:pPr>
        <w:keepLines/>
        <w:rPr>
          <w:rtl/>
        </w:rPr>
      </w:pPr>
      <w:r w:rsidRPr="007C0894">
        <w:rPr>
          <w:rtl/>
        </w:rPr>
        <w:t>وتكملةً لهذه السلسلة الرائدة، نُشر في عام 2025 منتجان معرفيان بشأن البصمة البيئية لقطاع تكنولوجيا المعلومات والاتصالات: منشور مشترك مع البنك الدولي بعنوان "</w:t>
      </w:r>
      <w:hyperlink r:id="rId476" w:history="1">
        <w:r w:rsidRPr="007C0894">
          <w:rPr>
            <w:rStyle w:val="Hyperlink"/>
            <w:noProof w:val="0"/>
            <w:rtl/>
            <w:lang w:val="en-US" w:eastAsia="zh-CN"/>
          </w:rPr>
          <w:t xml:space="preserve">قياس الأثر البيئي لقطاع تكنولوجيا المعلومات والاتصالات على الصعيد الوطني: دراسة حالة مقدمة من هيئة تنظيم الاتصالات الإلكترونية والبريد </w:t>
        </w:r>
        <w:r w:rsidRPr="007C0894">
          <w:rPr>
            <w:rStyle w:val="Hyperlink"/>
            <w:noProof w:val="0"/>
            <w:lang w:val="en-US" w:eastAsia="zh-CN" w:bidi="ar-EG"/>
          </w:rPr>
          <w:t>(ARCEP) -</w:t>
        </w:r>
        <w:r w:rsidRPr="007C0894">
          <w:rPr>
            <w:rStyle w:val="Hyperlink"/>
            <w:noProof w:val="0"/>
            <w:rtl/>
            <w:lang w:val="en-US" w:eastAsia="zh-CN"/>
          </w:rPr>
          <w:t xml:space="preserve"> فرنسا</w:t>
        </w:r>
      </w:hyperlink>
      <w:r w:rsidRPr="007C0894">
        <w:rPr>
          <w:rtl/>
        </w:rPr>
        <w:t>"، و"</w:t>
      </w:r>
      <w:hyperlink r:id="rId477" w:history="1">
        <w:r w:rsidRPr="007C0894">
          <w:rPr>
            <w:rStyle w:val="Hyperlink"/>
            <w:noProof w:val="0"/>
            <w:rtl/>
            <w:lang w:val="en-US" w:eastAsia="zh-CN"/>
          </w:rPr>
          <w:t xml:space="preserve">ورقة بيضاء مشتركة بين الاتحاد الدولي للاتصالات ومؤسسة </w:t>
        </w:r>
        <w:proofErr w:type="spellStart"/>
        <w:r w:rsidRPr="007C0894">
          <w:rPr>
            <w:rStyle w:val="Hyperlink"/>
            <w:noProof w:val="0"/>
            <w:lang w:val="en-US" w:eastAsia="zh-CN" w:bidi="ar-EG"/>
          </w:rPr>
          <w:t>Resilio</w:t>
        </w:r>
        <w:proofErr w:type="spellEnd"/>
        <w:r w:rsidRPr="007C0894">
          <w:rPr>
            <w:rStyle w:val="Hyperlink"/>
            <w:noProof w:val="0"/>
            <w:rtl/>
            <w:lang w:val="en-US" w:eastAsia="zh-CN"/>
          </w:rPr>
          <w:t xml:space="preserve"> بشأن الآثار البيئية لقطاع تكنولوجيا المعلومات والاتصالات في سويسرا</w:t>
        </w:r>
      </w:hyperlink>
      <w:r w:rsidRPr="007C0894">
        <w:rPr>
          <w:rtl/>
        </w:rPr>
        <w:t>". ويستند هذان المخرجان إلى أعمال سابقة للاتحاد، بما في ذلك تقرير "</w:t>
      </w:r>
      <w:hyperlink r:id="rId478" w:history="1">
        <w:r w:rsidRPr="007C0894">
          <w:rPr>
            <w:rStyle w:val="Hyperlink"/>
            <w:noProof w:val="0"/>
            <w:rtl/>
            <w:lang w:val="en-US" w:eastAsia="zh-CN"/>
          </w:rPr>
          <w:t>قياس الانبعاثات وبصمة الطاقة لقطاع تكنولوجيا المعلومات والاتصالات: الآثار على العمل المناخي</w:t>
        </w:r>
      </w:hyperlink>
      <w:r w:rsidRPr="007C0894">
        <w:rPr>
          <w:rtl/>
        </w:rPr>
        <w:t>"، الذي أُعد بالاشتراك مع البنك الدولي في عام 2023 لتقديم تحليل شامل لمشهد الطاقة والانبعاثات في 30 بلداً، وينظر في شبكات التوصيلية ومراكز البيانات وأجهزة المستهلكين، ويقدم رؤى بشأن الأثر البيئي لقطاع تكنولوجيا المعلومات والاتصالات.</w:t>
      </w:r>
    </w:p>
    <w:p w14:paraId="7F486E78" w14:textId="16EE8DD9" w:rsidR="007C0894" w:rsidRPr="007C0894" w:rsidRDefault="007C0894" w:rsidP="00786838">
      <w:pPr>
        <w:rPr>
          <w:lang w:val="ar-SA" w:bidi="ar-EG"/>
        </w:rPr>
      </w:pPr>
      <w:r w:rsidRPr="007C0894">
        <w:rPr>
          <w:rtl/>
        </w:rPr>
        <w:t>ووضع الاتحاد أيضاً إرشادات وأدوات لدعم أصحاب المصلحة الرئيسيين في تعزيز مساهمات تكنولوجيا المعلومات والاتصالات في العمل المناخي والبيئي.</w:t>
      </w:r>
    </w:p>
    <w:p w14:paraId="18C2DE64" w14:textId="4E59EF94" w:rsidR="007C0894" w:rsidRPr="007C0894" w:rsidRDefault="007C0894" w:rsidP="00786838">
      <w:pPr>
        <w:rPr>
          <w:spacing w:val="-3"/>
          <w:lang w:val="ar-SA" w:bidi="ar-EG"/>
        </w:rPr>
      </w:pPr>
      <w:r w:rsidRPr="007C0894">
        <w:rPr>
          <w:spacing w:val="-3"/>
          <w:rtl/>
        </w:rPr>
        <w:t>ويهدف المنشور "</w:t>
      </w:r>
      <w:hyperlink r:id="rId479" w:history="1">
        <w:r w:rsidRPr="007C0894">
          <w:rPr>
            <w:rStyle w:val="Hyperlink"/>
            <w:noProof w:val="0"/>
            <w:spacing w:val="-3"/>
            <w:rtl/>
            <w:lang w:val="en-US" w:eastAsia="zh-CN"/>
          </w:rPr>
          <w:t>إرشادات لمشغلي الاتصالات بشأن الانبعاثات من المستوى 3</w:t>
        </w:r>
      </w:hyperlink>
      <w:r w:rsidRPr="007C0894">
        <w:rPr>
          <w:spacing w:val="-3"/>
          <w:lang w:bidi="ar-EG"/>
        </w:rPr>
        <w:t>"</w:t>
      </w:r>
      <w:r w:rsidRPr="007C0894">
        <w:rPr>
          <w:spacing w:val="-3"/>
          <w:rtl/>
        </w:rPr>
        <w:t xml:space="preserve"> الذي أُعد على نحو مشترك بين رابطة النظام العالمي للاتصالات المتنقلة </w:t>
      </w:r>
      <w:r w:rsidRPr="007C0894">
        <w:rPr>
          <w:spacing w:val="-3"/>
          <w:lang w:bidi="ar-EG"/>
        </w:rPr>
        <w:t>(GSMA)</w:t>
      </w:r>
      <w:r w:rsidRPr="007C0894">
        <w:rPr>
          <w:spacing w:val="-3"/>
          <w:rtl/>
        </w:rPr>
        <w:t xml:space="preserve"> والمبادرة العالمية لتمكين الاستدامة </w:t>
      </w:r>
      <w:r w:rsidRPr="007C0894">
        <w:rPr>
          <w:spacing w:val="-3"/>
          <w:lang w:bidi="ar-EG"/>
        </w:rPr>
        <w:t>(</w:t>
      </w:r>
      <w:proofErr w:type="spellStart"/>
      <w:r w:rsidRPr="007C0894">
        <w:rPr>
          <w:spacing w:val="-3"/>
          <w:lang w:bidi="ar-EG"/>
        </w:rPr>
        <w:t>GeSI</w:t>
      </w:r>
      <w:proofErr w:type="spellEnd"/>
      <w:r w:rsidRPr="007C0894">
        <w:rPr>
          <w:spacing w:val="-3"/>
          <w:lang w:bidi="ar-EG"/>
        </w:rPr>
        <w:t>)</w:t>
      </w:r>
      <w:r w:rsidRPr="007C0894">
        <w:rPr>
          <w:spacing w:val="-3"/>
          <w:rtl/>
        </w:rPr>
        <w:t xml:space="preserve"> والاتحاد الدولي للاتصالات </w:t>
      </w:r>
      <w:r w:rsidRPr="007C0894">
        <w:rPr>
          <w:spacing w:val="-3"/>
          <w:lang w:bidi="ar-EG"/>
        </w:rPr>
        <w:t>(ITU)</w:t>
      </w:r>
      <w:r w:rsidRPr="007C0894">
        <w:rPr>
          <w:spacing w:val="-3"/>
          <w:rtl/>
        </w:rPr>
        <w:t xml:space="preserve"> إلى تنسيق أساليب تقييم انبعاثات غازات الاحتباس الحراري من المستوى 3 والإبلاغ عنها. وأصدر الاتحاد، بالتعاون مع البنك الدولي، المنشور "</w:t>
      </w:r>
      <w:hyperlink r:id="rId480" w:history="1">
        <w:r w:rsidRPr="007C0894">
          <w:rPr>
            <w:rStyle w:val="Hyperlink"/>
            <w:noProof w:val="0"/>
            <w:spacing w:val="-3"/>
            <w:rtl/>
            <w:lang w:val="en-US" w:eastAsia="zh-CN"/>
          </w:rPr>
          <w:t>مراكز البيانات المراعية للبيئة: نحو تحول رقمي مستدام - دليل الممارس</w:t>
        </w:r>
      </w:hyperlink>
      <w:r w:rsidRPr="007C0894">
        <w:rPr>
          <w:spacing w:val="-3"/>
          <w:rtl/>
        </w:rPr>
        <w:t>" مع دورة تعليمية إلكترونية مصاحبة بعنوان "</w:t>
      </w:r>
      <w:hyperlink r:id="rId481" w:anchor="/ar" w:history="1">
        <w:r w:rsidRPr="007C0894">
          <w:rPr>
            <w:rStyle w:val="Hyperlink"/>
            <w:noProof w:val="0"/>
            <w:spacing w:val="-3"/>
            <w:rtl/>
            <w:lang w:val="en-US" w:eastAsia="zh-CN"/>
          </w:rPr>
          <w:t>مراكز البيانات المراعية للبيئة من أجل واضعي السياسات</w:t>
        </w:r>
      </w:hyperlink>
      <w:r w:rsidRPr="007C0894">
        <w:rPr>
          <w:spacing w:val="-3"/>
          <w:rtl/>
        </w:rPr>
        <w:t>" لجعل مراكز البيانات أكثر استدامة وقدرة على الصمود في وجه تغير المناخ وأكثر جاهزية من حيث السياسات من خلال استراتيجيات وأطر عملية وأمثلة واقعية.</w:t>
      </w:r>
    </w:p>
    <w:p w14:paraId="06DA7248" w14:textId="0E3DF922" w:rsidR="007C0894" w:rsidRPr="007C0894" w:rsidRDefault="007C0894" w:rsidP="007C0894">
      <w:pPr>
        <w:rPr>
          <w:bCs/>
          <w:lang w:val="ar-SA" w:bidi="ar-EG"/>
        </w:rPr>
      </w:pPr>
      <w:r w:rsidRPr="007C0894">
        <w:rPr>
          <w:rtl/>
        </w:rPr>
        <w:t xml:space="preserve">وفي نوفمبر 2025، نشر الاتحاد موجزاً جديداً يقيّم مراجع التكنولوجيات الرقمية في 53 </w:t>
      </w:r>
      <w:r w:rsidR="005112CB">
        <w:rPr>
          <w:rFonts w:hint="cs"/>
          <w:rtl/>
        </w:rPr>
        <w:t>مساهمة محددة وطنياً</w:t>
      </w:r>
      <w:r w:rsidRPr="007C0894">
        <w:rPr>
          <w:rtl/>
        </w:rPr>
        <w:t xml:space="preserve"> ويسلط الضوء على أربع حالات استخدام وطنية توضح الممارسات الجيدة في مجال العمل المناخي الرقمي.</w:t>
      </w:r>
    </w:p>
    <w:p w14:paraId="055EE05E" w14:textId="097CB16D" w:rsidR="007C0894" w:rsidRPr="007C0894" w:rsidRDefault="007C0894" w:rsidP="007C0894">
      <w:pPr>
        <w:rPr>
          <w:bCs/>
          <w:lang w:val="ar-SA" w:bidi="ar-EG"/>
        </w:rPr>
      </w:pPr>
      <w:r w:rsidRPr="007C0894">
        <w:rPr>
          <w:rtl/>
        </w:rPr>
        <w:t xml:space="preserve">وشارك الاتحاد بنشاط في تعزيز القدرة على الصمود في وجه آثار تغير المناخ من خلال شراكات مع كيانات مثل مكتب الأمم المتحدة للحد من </w:t>
      </w:r>
      <w:proofErr w:type="gramStart"/>
      <w:r w:rsidRPr="007C0894">
        <w:rPr>
          <w:rtl/>
        </w:rPr>
        <w:t>مخاطر</w:t>
      </w:r>
      <w:proofErr w:type="gramEnd"/>
      <w:r w:rsidRPr="007C0894">
        <w:rPr>
          <w:rtl/>
        </w:rPr>
        <w:t xml:space="preserve"> الكوارث </w:t>
      </w:r>
      <w:r w:rsidRPr="007C0894">
        <w:rPr>
          <w:lang w:bidi="ar-EG"/>
        </w:rPr>
        <w:t>(UNDRR)</w:t>
      </w:r>
      <w:r w:rsidRPr="007C0894">
        <w:rPr>
          <w:rtl/>
        </w:rPr>
        <w:t xml:space="preserve"> والمنظمة العالمية للأرصاد الجوية </w:t>
      </w:r>
      <w:r w:rsidRPr="007C0894">
        <w:rPr>
          <w:lang w:bidi="ar-EG"/>
        </w:rPr>
        <w:t>(WMO)</w:t>
      </w:r>
      <w:r w:rsidRPr="007C0894">
        <w:rPr>
          <w:rtl/>
        </w:rPr>
        <w:t xml:space="preserve"> والاتحاد الدولي لجمعيات الصليب الأحمر والهلال الأحمر؛ وكذلك مع المنظمة العالمية للأرصاد الجوية وبرنامج الأمم المتحدة للبيئة</w:t>
      </w:r>
      <w:r w:rsidR="005112CB">
        <w:rPr>
          <w:rFonts w:hint="cs"/>
          <w:rtl/>
        </w:rPr>
        <w:t> </w:t>
      </w:r>
      <w:r w:rsidRPr="007C0894">
        <w:rPr>
          <w:lang w:bidi="ar-EG"/>
        </w:rPr>
        <w:t>(UNEP)</w:t>
      </w:r>
      <w:r w:rsidRPr="007C0894">
        <w:rPr>
          <w:rtl/>
        </w:rPr>
        <w:t xml:space="preserve"> للاستفادة من الذكاء الاصطناعي في إدارة الكوارث. واعتُمد نهج شامل يتعاون الاتحاد بموجبه مع مختلف الكيانات الدولية لضمان توزيع الطيف الراديوي لخدمات الأرصاد الجوية الحيوية، وتعزيز الاتصالات في حالات الطوارئ.</w:t>
      </w:r>
    </w:p>
    <w:p w14:paraId="23D23012" w14:textId="7A3B47A2" w:rsidR="007C0894" w:rsidRPr="007C0894" w:rsidRDefault="007C0894" w:rsidP="007C0894">
      <w:pPr>
        <w:rPr>
          <w:lang w:val="ar-SA" w:bidi="ar-EG"/>
        </w:rPr>
      </w:pPr>
      <w:r w:rsidRPr="007C0894">
        <w:rPr>
          <w:rtl/>
        </w:rPr>
        <w:t xml:space="preserve">وفي إطار مبادرة "العمل الرقمي المراعي للبيئة"، يقود الاتحاد أيضاً ركيزة مواضيعية للحد من انبعاثات غازات الاحتباس الحراري الناجمة عن قطاع تكنولوجيا المعلومات والاتصالات من خلال التعاون والمساءلة القوية والإبلاغ الشفاف. للحصول على معلومات بشأن مبادرة "العمل الرقمي المراعي للبيئة"، انظر القسم </w:t>
      </w:r>
      <w:hyperlink w:anchor="_5.5_الشراكات_والتعاون" w:history="1">
        <w:r w:rsidRPr="007C0894">
          <w:rPr>
            <w:rStyle w:val="Hyperlink"/>
            <w:noProof w:val="0"/>
            <w:rtl/>
            <w:lang w:val="en-US" w:eastAsia="zh-CN"/>
          </w:rPr>
          <w:t>5.5</w:t>
        </w:r>
      </w:hyperlink>
      <w:r w:rsidRPr="007C0894">
        <w:rPr>
          <w:rtl/>
        </w:rPr>
        <w:t xml:space="preserve"> أدناه.</w:t>
      </w:r>
    </w:p>
    <w:p w14:paraId="0C61C8DB" w14:textId="77777777" w:rsidR="0089560B" w:rsidRDefault="007C0894" w:rsidP="009F5213">
      <w:pPr>
        <w:pStyle w:val="Headingb"/>
        <w:rPr>
          <w:rtl/>
        </w:rPr>
      </w:pPr>
      <w:r w:rsidRPr="007C0894">
        <w:rPr>
          <w:rtl/>
        </w:rPr>
        <w:t>المبادرات والتعاون في مجال الذكاء الاصطناعي المستدام</w:t>
      </w:r>
    </w:p>
    <w:p w14:paraId="5899EE18" w14:textId="0724085F" w:rsidR="007C0894" w:rsidRPr="007C0894" w:rsidRDefault="007C0894" w:rsidP="007C0894">
      <w:pPr>
        <w:rPr>
          <w:bCs/>
          <w:lang w:val="ar-SA" w:bidi="ar-EG"/>
        </w:rPr>
      </w:pPr>
      <w:r w:rsidRPr="007C0894">
        <w:rPr>
          <w:rtl/>
        </w:rPr>
        <w:t>في إطار الركيزة المواضيعية لمبادرة العمل الرقمي المراعي للبيئة المتعلقة بالحوسبة المراعية للبيئة، تناول الاتحاد الآثار البيئية للتكنولوجيات الناشئة من خلال استعراض النهج القائمة لتقييم أثرها البيئي. وبالنسبة للذكاء الاصطناعي، ينعكس هذا العمل في تقرير عام 2025 "</w:t>
      </w:r>
      <w:hyperlink r:id="rId482" w:anchor="/ar" w:history="1">
        <w:r w:rsidRPr="007C0894">
          <w:rPr>
            <w:rStyle w:val="Hyperlink"/>
            <w:noProof w:val="0"/>
            <w:rtl/>
            <w:lang w:val="en-US" w:eastAsia="zh-CN"/>
          </w:rPr>
          <w:t>قياس ما يهم: كيفية تقييم الأثر البيئي للذكاء الاصطناعي</w:t>
        </w:r>
      </w:hyperlink>
      <w:r w:rsidRPr="007C0894">
        <w:rPr>
          <w:rtl/>
        </w:rPr>
        <w:t xml:space="preserve">". وبالتوازي مع ذلك، شارك الاتحاد، بالتعاون مع شركة </w:t>
      </w:r>
      <w:proofErr w:type="spellStart"/>
      <w:r w:rsidRPr="007C0894">
        <w:rPr>
          <w:lang w:bidi="ar-EG"/>
        </w:rPr>
        <w:t>GoCodeGreen</w:t>
      </w:r>
      <w:proofErr w:type="spellEnd"/>
      <w:r w:rsidRPr="007C0894">
        <w:rPr>
          <w:rtl/>
        </w:rPr>
        <w:t xml:space="preserve">، في إنشاء </w:t>
      </w:r>
      <w:hyperlink r:id="rId483" w:anchor="/ar" w:history="1">
        <w:r w:rsidRPr="007C0894">
          <w:rPr>
            <w:rStyle w:val="Hyperlink"/>
            <w:noProof w:val="0"/>
            <w:rtl/>
            <w:lang w:val="en-US" w:eastAsia="zh-CN"/>
          </w:rPr>
          <w:t>مستودع مفتوح النفاذ يجمّع الممارسات المتعلقة بالبرمجيات المستدامة</w:t>
        </w:r>
      </w:hyperlink>
      <w:r w:rsidRPr="007C0894">
        <w:rPr>
          <w:rtl/>
        </w:rPr>
        <w:t xml:space="preserve"> من جميع أنحاء العالم، دعماً لتنمية رقمية أكثر مسؤولية بيئياً.</w:t>
      </w:r>
    </w:p>
    <w:p w14:paraId="244FFD2A" w14:textId="77777777" w:rsidR="007C0894" w:rsidRPr="007C0894" w:rsidRDefault="007C0894" w:rsidP="007C0894">
      <w:pPr>
        <w:rPr>
          <w:bCs/>
          <w:lang w:val="ar-SA" w:bidi="ar-EG"/>
        </w:rPr>
      </w:pPr>
      <w:r w:rsidRPr="007C0894">
        <w:rPr>
          <w:rtl/>
        </w:rPr>
        <w:t>وفيما يتعلق بالذكاء الاصطناعي والمعايير البيئية، أحرز معيار جديد بشأن "تقييم الأثر البيئي لأنظمة الذكاء الاصطناعي" الخطوة الأولى من خطوات الموافقة عليه في نهاية عام 2025.</w:t>
      </w:r>
    </w:p>
    <w:p w14:paraId="5E505D9A" w14:textId="77777777" w:rsidR="0089560B" w:rsidRDefault="007C0894" w:rsidP="00207E2C">
      <w:pPr>
        <w:keepLines/>
        <w:rPr>
          <w:rtl/>
        </w:rPr>
      </w:pPr>
      <w:r w:rsidRPr="007C0894">
        <w:rPr>
          <w:rtl/>
        </w:rPr>
        <w:t>ويتقدم الاتحاد أيضاً في عمله المتعلق بالذكاء الاصطناعي المسؤول والمستدام من خلال شراكات مختلفة، منها "تحالف الذكاء الاصطناعي المستدام"، الذي يضم شبكة متنوعة من الحكومات ودوائر الصناعة والهيئات الأكاديمية والمجتمع المدني لتسريع الإجراءات العملية. ومن خلال حوارات موجهة ومسارات عمل مشتركة، شجّع التحالف النهج المشتركة لتقييم البصمة البيئية لأنظمة الذكاء الاصطناعي والحد منها، مع دعم الشفافية وعمليات القياس والممارسات الجيدة التي يمكن لأصحاب المصلحة اعتمادها على مستويات مختلفة من القدرات.</w:t>
      </w:r>
    </w:p>
    <w:p w14:paraId="1A987816" w14:textId="1E6330B5" w:rsidR="007C0894" w:rsidRPr="007C0894" w:rsidRDefault="007C0894" w:rsidP="009F5213">
      <w:pPr>
        <w:pStyle w:val="Headingb"/>
        <w:rPr>
          <w:lang w:val="ar-SA" w:bidi="ar-EG"/>
        </w:rPr>
      </w:pPr>
      <w:r w:rsidRPr="007C0894">
        <w:rPr>
          <w:rtl/>
        </w:rPr>
        <w:t>المبادرات والتعاون في مجال الاقتصاد الدائري</w:t>
      </w:r>
    </w:p>
    <w:p w14:paraId="6643A627" w14:textId="64468344" w:rsidR="007C0894" w:rsidRPr="007C0894" w:rsidRDefault="007C0894" w:rsidP="007C0894">
      <w:pPr>
        <w:rPr>
          <w:lang w:val="ar-SA" w:bidi="ar-EG"/>
        </w:rPr>
      </w:pPr>
      <w:r w:rsidRPr="007C0894">
        <w:rPr>
          <w:rtl/>
        </w:rPr>
        <w:t>عزز الاتحاد مشاركته في أعمال التقييس المتعلقة بالاقتصاد الدائري من خلال مبادرة "الرقمنة من أجل الاقتصاد الدائري</w:t>
      </w:r>
      <w:r w:rsidR="009F5213">
        <w:rPr>
          <w:rFonts w:hint="eastAsia"/>
          <w:rtl/>
          <w:lang w:bidi="ar-EG"/>
        </w:rPr>
        <w:t> </w:t>
      </w:r>
      <w:r w:rsidRPr="007C0894">
        <w:rPr>
          <w:lang w:bidi="ar-EG"/>
        </w:rPr>
        <w:t>(</w:t>
      </w:r>
      <w:r w:rsidRPr="007C0894">
        <w:t>D4CE</w:t>
      </w:r>
      <w:r w:rsidRPr="007C0894">
        <w:rPr>
          <w:lang w:bidi="ar-EG"/>
        </w:rPr>
        <w:t>)</w:t>
      </w:r>
      <w:r w:rsidRPr="007C0894">
        <w:rPr>
          <w:rtl/>
          <w:lang w:bidi="ar-EG"/>
        </w:rPr>
        <w:t>"</w:t>
      </w:r>
      <w:r w:rsidRPr="007C0894">
        <w:rPr>
          <w:rtl/>
        </w:rPr>
        <w:t xml:space="preserve">، وذلك بالتعاون مع شركاء من الأمم المتحدة مثل شبكة كوكب واحد التابعة لبرنامج الأمم المتحدة للبيئة </w:t>
      </w:r>
      <w:r w:rsidRPr="007C0894">
        <w:rPr>
          <w:lang w:bidi="ar-EG"/>
        </w:rPr>
        <w:t>(UNEP)</w:t>
      </w:r>
      <w:r w:rsidRPr="007C0894">
        <w:rPr>
          <w:rtl/>
        </w:rPr>
        <w:t xml:space="preserve">، ومنظمة الأمم المتحدة للتنمية الصناعية </w:t>
      </w:r>
      <w:r w:rsidRPr="007C0894">
        <w:rPr>
          <w:lang w:bidi="ar-EG"/>
        </w:rPr>
        <w:t>(UNIDO)</w:t>
      </w:r>
      <w:r w:rsidRPr="007C0894">
        <w:rPr>
          <w:rtl/>
        </w:rPr>
        <w:t>، فضلاً عن تحالف واسع من أصحاب المصلحة للنهوض بالحلول الرقمية التي تمكّن استهلاكاً وإنتاجاً أكثر استدامة. ومن بين مسارات العمل الرئيسية، دعمت مبادرة</w:t>
      </w:r>
      <w:r w:rsidR="009F5213">
        <w:rPr>
          <w:rFonts w:hint="cs"/>
          <w:rtl/>
        </w:rPr>
        <w:t> </w:t>
      </w:r>
      <w:r w:rsidRPr="007C0894">
        <w:rPr>
          <w:rtl/>
        </w:rPr>
        <w:t>D4CE التعاون بشأن جوازات المنتجات الرقمية، مع تعزيز قابلية التشغيل البيني وإدارة البيانات والمعلومات ذات الصلة بالمستخدم التي يمكن أن تحسن النهج الدائرية وتحد من المخلفات الإلكترونية وتمكّن سلاسل قيمة أكثر كفاءة في استخدام الموارد.</w:t>
      </w:r>
    </w:p>
    <w:p w14:paraId="4C4A0EEB" w14:textId="77777777" w:rsidR="007C0894" w:rsidRPr="007C0894" w:rsidRDefault="007C0894" w:rsidP="001910D8">
      <w:pPr>
        <w:pStyle w:val="Headingb"/>
        <w:rPr>
          <w:lang w:val="ar-SA" w:bidi="ar-EG"/>
        </w:rPr>
      </w:pPr>
      <w:r w:rsidRPr="007C0894">
        <w:rPr>
          <w:rtl/>
        </w:rPr>
        <w:t>مبادرات الاستدامة الداخلية</w:t>
      </w:r>
    </w:p>
    <w:p w14:paraId="502B24A9" w14:textId="77777777" w:rsidR="007C0894" w:rsidRPr="007C0894" w:rsidRDefault="007C0894" w:rsidP="007C0894">
      <w:pPr>
        <w:rPr>
          <w:lang w:val="ar-SA" w:bidi="ar-EG"/>
        </w:rPr>
      </w:pPr>
      <w:r w:rsidRPr="007C0894">
        <w:rPr>
          <w:rtl/>
        </w:rPr>
        <w:t>بين عامي 2022 و2025، فعّل الاتحاد نظام الإدارة البيئية الخاص به تماشياً مع المعيار ISO 14001 ومتطلبات الأمم المتحدة "</w:t>
      </w:r>
      <w:proofErr w:type="spellStart"/>
      <w:r w:rsidRPr="007C0894">
        <w:rPr>
          <w:rtl/>
        </w:rPr>
        <w:t>خضرنة</w:t>
      </w:r>
      <w:proofErr w:type="spellEnd"/>
      <w:r w:rsidRPr="007C0894">
        <w:rPr>
          <w:rtl/>
        </w:rPr>
        <w:t xml:space="preserve"> المنظمة الزرقاء"، وأرسى حوكمة رسمية، وحدد أهدافاً على مستوى المنظمة، ووفر تدريباً إلزامياً للموظفين، ورصداً منهجياً للبيانات البيئية، ومراجعات داخلية، واستعراضات سنوية للإدارة. وشهدت هذه الفترة الانتقال من نية السياسة العامة إلى ممارسة راسخة، حيث دُمجت الاعتبارات البيئية تدريجياً في إدارة المرافق والأحداث والسفر والمشتريات وعمليات تكنولوجيا المعلومات والاتصالات، ما وفر أساساً منظماً للحد من غازات الاحتباس الحراري بشكل قابل للقياس وتحقيق كفاءات تشغيلية على المدى الطويل.</w:t>
      </w:r>
    </w:p>
    <w:p w14:paraId="222A58B0" w14:textId="4F7A00D6" w:rsidR="007C0894" w:rsidRPr="007C0894" w:rsidRDefault="001910D8" w:rsidP="001910D8">
      <w:pPr>
        <w:pStyle w:val="Heading2"/>
        <w:rPr>
          <w:lang w:val="ar-SA" w:bidi="ar-EG"/>
        </w:rPr>
      </w:pPr>
      <w:bookmarkStart w:id="127" w:name="_5.5_الشراكات_والتعاون"/>
      <w:bookmarkStart w:id="128" w:name="_5.5￼Partnerships_and_international"/>
      <w:bookmarkStart w:id="129" w:name="_Toc224288835"/>
      <w:bookmarkStart w:id="130" w:name="_Toc227252609"/>
      <w:bookmarkEnd w:id="127"/>
      <w:r>
        <w:t>5.5</w:t>
      </w:r>
      <w:r w:rsidR="007C0894" w:rsidRPr="007C0894">
        <w:rPr>
          <w:rtl/>
        </w:rPr>
        <w:tab/>
        <w:t>الشراكات والتعاون الدولي</w:t>
      </w:r>
      <w:bookmarkEnd w:id="128"/>
      <w:bookmarkEnd w:id="129"/>
      <w:bookmarkEnd w:id="130"/>
    </w:p>
    <w:p w14:paraId="4D9923FD" w14:textId="77777777" w:rsidR="007C0894" w:rsidRPr="007C0894" w:rsidRDefault="007C0894" w:rsidP="007C0894">
      <w:pPr>
        <w:rPr>
          <w:lang w:val="ar-SA" w:bidi="ar-EG"/>
        </w:rPr>
      </w:pPr>
      <w:r w:rsidRPr="007C0894">
        <w:rPr>
          <w:rtl/>
        </w:rPr>
        <w:t>يساعد التعاون وتقاسم الموارد والترتيبات التي تعود بالنفع على الحكومات والصناعة والمستخدمين في جعل التكنولوجيا خدمة تمكينية أساسية تعود بالنفع على الجميع. وقد عزز الاتحاد نظاماً إيكولوجياً واسعاً للشراكات والمبادرات الاستراتيجية لتسريع التحول الرقمي المستدام ودفع عجلة التقدم نحو تحقيق أهداف التنمية المستدامة التي وضعتها الأمم المتحدة. وبالعمل مع وكالات الأمم المتحدة والحكومات والقطاع الخاص والهيئات الأكاديمية والمجتمع المدني، ركّز الاتحاد على توسيع التوصيلية الهادفة، وتعزيز التنمية الرقمية الشاملة والمراعية للمساواة بين الجنسين، ودعم الاستخدامات المبتكرة للذكاء الاصطناعي والتكنولوجيات الناشئة، ودمج الاستدامة والقدرة على الصمود في المعايير والبنى التحتية والخدمات في جميع أنحاء العالم.</w:t>
      </w:r>
    </w:p>
    <w:p w14:paraId="070688C4" w14:textId="77777777" w:rsidR="007C0894" w:rsidRPr="007C0894" w:rsidRDefault="007C0894" w:rsidP="007C0894">
      <w:pPr>
        <w:rPr>
          <w:lang w:val="ar-SA" w:bidi="ar-EG"/>
        </w:rPr>
      </w:pPr>
      <w:r w:rsidRPr="007C0894">
        <w:rPr>
          <w:rtl/>
        </w:rPr>
        <w:t>ويلخص هذا القسم الشراكات الرئيسية خلال الفترة المشمولة بهذا التقرير.</w:t>
      </w:r>
    </w:p>
    <w:p w14:paraId="20B9713D" w14:textId="77777777" w:rsidR="007C0894" w:rsidRPr="007C0894" w:rsidRDefault="007C0894" w:rsidP="001910D8">
      <w:pPr>
        <w:pStyle w:val="Headingb"/>
        <w:rPr>
          <w:lang w:val="ar-SA" w:bidi="ar-EG"/>
        </w:rPr>
      </w:pPr>
      <w:r w:rsidRPr="007C0894">
        <w:rPr>
          <w:rtl/>
        </w:rPr>
        <w:t xml:space="preserve">الشراكة من أجل التوصيل </w:t>
      </w:r>
      <w:r w:rsidRPr="007C0894">
        <w:rPr>
          <w:lang w:bidi="ar-EG"/>
        </w:rPr>
        <w:t>(</w:t>
      </w:r>
      <w:r w:rsidRPr="007C0894">
        <w:t>Partner2Connect</w:t>
      </w:r>
      <w:r w:rsidRPr="007C0894">
        <w:rPr>
          <w:lang w:bidi="ar-EG"/>
        </w:rPr>
        <w:t>)</w:t>
      </w:r>
    </w:p>
    <w:p w14:paraId="053A072F" w14:textId="22312965" w:rsidR="007C0894" w:rsidRPr="007C0894" w:rsidRDefault="007C0894" w:rsidP="007C0894">
      <w:pPr>
        <w:rPr>
          <w:lang w:val="ar-SA" w:bidi="ar-EG"/>
        </w:rPr>
      </w:pPr>
      <w:r w:rsidRPr="007C0894">
        <w:rPr>
          <w:rtl/>
        </w:rPr>
        <w:t xml:space="preserve">تطور </w:t>
      </w:r>
      <w:hyperlink r:id="rId484" w:anchor="/ar" w:history="1">
        <w:r w:rsidRPr="007C0894">
          <w:rPr>
            <w:rStyle w:val="Hyperlink"/>
            <w:noProof w:val="0"/>
            <w:rtl/>
            <w:lang w:val="en-US" w:eastAsia="zh-CN"/>
          </w:rPr>
          <w:t xml:space="preserve">التحالف الرقمي للشراكة من أجل التوصيل </w:t>
        </w:r>
        <w:r w:rsidRPr="007C0894">
          <w:rPr>
            <w:rStyle w:val="Hyperlink"/>
            <w:noProof w:val="0"/>
            <w:lang w:val="en-US" w:eastAsia="zh-CN" w:bidi="ar-EG"/>
          </w:rPr>
          <w:t>(</w:t>
        </w:r>
        <w:r w:rsidRPr="007C0894">
          <w:rPr>
            <w:rStyle w:val="Hyperlink"/>
            <w:noProof w:val="0"/>
            <w:lang w:val="en-US" w:eastAsia="zh-CN"/>
          </w:rPr>
          <w:t>P2C</w:t>
        </w:r>
        <w:r w:rsidRPr="007C0894">
          <w:rPr>
            <w:rStyle w:val="Hyperlink"/>
            <w:noProof w:val="0"/>
            <w:lang w:val="en-US" w:eastAsia="zh-CN" w:bidi="ar-EG"/>
          </w:rPr>
          <w:t>)</w:t>
        </w:r>
      </w:hyperlink>
      <w:r w:rsidR="001910D8" w:rsidRPr="008935EB">
        <w:rPr>
          <w:rFonts w:hint="cs"/>
          <w:rtl/>
          <w:lang w:bidi="ar-EG"/>
        </w:rPr>
        <w:t xml:space="preserve"> </w:t>
      </w:r>
      <w:r w:rsidRPr="007C0894">
        <w:rPr>
          <w:rtl/>
        </w:rPr>
        <w:t xml:space="preserve">ليصبح تحالفاً رئيسياً متعدد أصحاب المصلحة في الاتحاد. وقد أطلقت هذه المنصة في عام 2021 بالتعاون الوثيق مع مكتب مبعوث الأمين العام للأمم المتحدة المعني بالتكنولوجيا، ومكتب ممثل الأمم المتحدة السامي لأقل البلدان نمواً </w:t>
      </w:r>
      <w:r w:rsidRPr="007C0894">
        <w:rPr>
          <w:lang w:bidi="ar-EG"/>
        </w:rPr>
        <w:t>(UN-OHRLLS)</w:t>
      </w:r>
      <w:r w:rsidRPr="007C0894">
        <w:rPr>
          <w:rtl/>
        </w:rPr>
        <w:t xml:space="preserve">، وخارطة طريق الأمين العام للأمم المتحدة من أجل التعاون الرقمي، وتعمل على تعبئة الموارد والشراكات والالتزامات لتحقيق توصيلية شاملة وهادفة وتحول رقمي مستدام. وعُقدت جلسات التحالف الرقمي للشراكة من أجل التوصيل في المنتديات الإقليمية للتنمية التي ينظمها الاتحاد، وأثناء القمة العالمية لمجتمع المعلومات وجلسات الذكاء الاصطناعي من أجل المصلحة العامة، وفي إطار حدث </w:t>
      </w:r>
      <w:proofErr w:type="spellStart"/>
      <w:r w:rsidRPr="007C0894">
        <w:rPr>
          <w:lang w:bidi="ar-EG"/>
        </w:rPr>
        <w:t>Digital@UNGA</w:t>
      </w:r>
      <w:proofErr w:type="spellEnd"/>
      <w:r w:rsidRPr="007C0894">
        <w:rPr>
          <w:rtl/>
        </w:rPr>
        <w:t xml:space="preserve">، وخلال مؤتمر الأمم المتحدة الثالث المعني بالبلدان النامية غير الساحلية </w:t>
      </w:r>
      <w:r w:rsidRPr="007C0894">
        <w:rPr>
          <w:lang w:bidi="ar-EG"/>
        </w:rPr>
        <w:t>(</w:t>
      </w:r>
      <w:r w:rsidRPr="007C0894">
        <w:t>LLDC</w:t>
      </w:r>
      <w:r w:rsidR="00B6322B">
        <w:t>3</w:t>
      </w:r>
      <w:r w:rsidRPr="007C0894">
        <w:rPr>
          <w:lang w:bidi="ar-EG"/>
        </w:rPr>
        <w:t>)</w:t>
      </w:r>
      <w:r w:rsidRPr="007C0894">
        <w:rPr>
          <w:rtl/>
        </w:rPr>
        <w:t xml:space="preserve">، وفي إطار مسرِّعات التوفيق الوطنية في منطقة البحر الكاريبي وغواتيمالا وجامايكا، ضمن </w:t>
      </w:r>
      <w:hyperlink r:id="rId485" w:anchor="/ar" w:history="1">
        <w:r w:rsidRPr="007C0894">
          <w:rPr>
            <w:rStyle w:val="Hyperlink"/>
            <w:noProof w:val="0"/>
            <w:rtl/>
            <w:lang w:val="en-US" w:eastAsia="zh-CN"/>
          </w:rPr>
          <w:t>أحداث أخرى</w:t>
        </w:r>
      </w:hyperlink>
      <w:r w:rsidRPr="007C0894">
        <w:rPr>
          <w:rtl/>
        </w:rPr>
        <w:t>. وأتيحت أيضاً في العديد من الحلقات الدراسية الإلكترونية وفي الاجتماع السنوي للشراكة من أجل التوصيل في ديسمبر 2025 فرص للإعلان والإبلاغ والتعاون.</w:t>
      </w:r>
    </w:p>
    <w:p w14:paraId="15527EB7" w14:textId="530DCD99" w:rsidR="0089560B" w:rsidRDefault="007C0894" w:rsidP="007C0894">
      <w:pPr>
        <w:rPr>
          <w:rtl/>
        </w:rPr>
      </w:pPr>
      <w:r w:rsidRPr="007C0894">
        <w:rPr>
          <w:rtl/>
        </w:rPr>
        <w:t xml:space="preserve">وقد حشدت الشراكة من أجل التوصيل حتى الآن </w:t>
      </w:r>
      <w:r w:rsidR="008935EB">
        <w:t>1 060</w:t>
      </w:r>
      <w:r w:rsidRPr="007C0894">
        <w:rPr>
          <w:rtl/>
        </w:rPr>
        <w:t xml:space="preserve"> تعهداً من 492 كياناً في 149 بلداً، بقيمة إجمالية تبلغ 80,72 مليار دولار أمريكي، بما في ذلك التزامات من 30 وكالة تابعة للأمم المتحدة. واليوم، قدمت 50 في </w:t>
      </w:r>
      <w:proofErr w:type="gramStart"/>
      <w:r w:rsidRPr="007C0894">
        <w:rPr>
          <w:rtl/>
        </w:rPr>
        <w:t>المائة</w:t>
      </w:r>
      <w:proofErr w:type="gramEnd"/>
      <w:r w:rsidRPr="007C0894">
        <w:rPr>
          <w:rtl/>
        </w:rPr>
        <w:t xml:space="preserve"> من الكيانات المشاركة تقارير مرحلية، ما يؤكد أن الشراكة من أجل التوصيل ليست مجرد منصة </w:t>
      </w:r>
      <w:proofErr w:type="gramStart"/>
      <w:r w:rsidRPr="007C0894">
        <w:rPr>
          <w:rtl/>
        </w:rPr>
        <w:t>للالتزامات</w:t>
      </w:r>
      <w:proofErr w:type="gramEnd"/>
      <w:r w:rsidRPr="007C0894">
        <w:rPr>
          <w:rtl/>
        </w:rPr>
        <w:t xml:space="preserve"> بل هي أيضاً آلية لتتبع التنفيذ والأثر على أرض الواقع. وتدعم الاجتماعات السنوية وحملات التعهدات المستهدفة ولوحات المعلومات لتتبع التعهدات والتقارير وميزات التوفيق المعززة الشركاء في الإعلان عن الالتزامات وتنفيذها، لا سيما لصالح أقل البلدان نمواً والبلدان النامية غير الساحلية والدول الجزرية الصغيرة النامية والسكان النازحين. ويسهم هذا العمل في برنامج طموح يهدف إلى حشد تعهدات بقيمة 100 مليار دولار أمريكي بحلول نهاية عام 2026. والتحالف الرقمي للشراكة من أجل التوصيل </w:t>
      </w:r>
      <w:r w:rsidRPr="007C0894">
        <w:rPr>
          <w:lang w:bidi="ar-EG"/>
        </w:rPr>
        <w:t>(</w:t>
      </w:r>
      <w:r w:rsidRPr="007C0894">
        <w:t>P2C</w:t>
      </w:r>
      <w:r w:rsidRPr="007C0894">
        <w:rPr>
          <w:lang w:bidi="ar-EG"/>
        </w:rPr>
        <w:t>)</w:t>
      </w:r>
      <w:r w:rsidRPr="007C0894">
        <w:rPr>
          <w:rtl/>
        </w:rPr>
        <w:t xml:space="preserve"> هو مشروع ممول من خارج الميزانية بنسبة 100 في </w:t>
      </w:r>
      <w:proofErr w:type="gramStart"/>
      <w:r w:rsidRPr="007C0894">
        <w:rPr>
          <w:rtl/>
        </w:rPr>
        <w:t>المائة</w:t>
      </w:r>
      <w:proofErr w:type="gramEnd"/>
      <w:r w:rsidRPr="007C0894">
        <w:rPr>
          <w:rtl/>
        </w:rPr>
        <w:t xml:space="preserve">، ويتلقى الدعم من خلال المساهمات المقدمة من مناصريه، وهو مفتوح لجميع أعضاء الاتحاد. ومناصرو التحالف، اعتباراً من ديسمبر 2025، هم </w:t>
      </w:r>
      <w:r w:rsidRPr="007C0894">
        <w:rPr>
          <w:lang w:bidi="ar-EG"/>
        </w:rPr>
        <w:t>Amazon</w:t>
      </w:r>
      <w:r w:rsidRPr="007C0894">
        <w:rPr>
          <w:rtl/>
        </w:rPr>
        <w:t xml:space="preserve"> و</w:t>
      </w:r>
      <w:r w:rsidRPr="007C0894">
        <w:rPr>
          <w:lang w:bidi="ar-EG"/>
        </w:rPr>
        <w:t>Google</w:t>
      </w:r>
      <w:r w:rsidRPr="007C0894">
        <w:rPr>
          <w:rtl/>
        </w:rPr>
        <w:t xml:space="preserve"> ومصرف التنمية للبلدان الأمريكية و</w:t>
      </w:r>
      <w:r w:rsidRPr="007C0894">
        <w:rPr>
          <w:lang w:bidi="ar-EG"/>
        </w:rPr>
        <w:t>Microsoft</w:t>
      </w:r>
      <w:r w:rsidRPr="007C0894">
        <w:rPr>
          <w:rtl/>
        </w:rPr>
        <w:t xml:space="preserve"> </w:t>
      </w:r>
      <w:proofErr w:type="spellStart"/>
      <w:r w:rsidRPr="007C0894">
        <w:rPr>
          <w:rtl/>
        </w:rPr>
        <w:t>وZTE</w:t>
      </w:r>
      <w:proofErr w:type="spellEnd"/>
      <w:r w:rsidRPr="007C0894">
        <w:rPr>
          <w:rtl/>
        </w:rPr>
        <w:t>.</w:t>
      </w:r>
    </w:p>
    <w:p w14:paraId="077F1774" w14:textId="4C23D295" w:rsidR="007C0894" w:rsidRPr="007C0894" w:rsidRDefault="007C0894" w:rsidP="008935EB">
      <w:pPr>
        <w:pStyle w:val="Headingb"/>
        <w:rPr>
          <w:lang w:val="ar-SA" w:bidi="ar-EG"/>
        </w:rPr>
      </w:pPr>
      <w:r w:rsidRPr="007C0894">
        <w:rPr>
          <w:rtl/>
        </w:rPr>
        <w:t>العمل الرقمي المراعي للبيئة</w:t>
      </w:r>
    </w:p>
    <w:p w14:paraId="31B37843" w14:textId="5770D41D" w:rsidR="007C0894" w:rsidRPr="007C0894" w:rsidRDefault="007C0894" w:rsidP="007C0894">
      <w:pPr>
        <w:rPr>
          <w:lang w:val="ar-SA" w:bidi="ar-EG"/>
        </w:rPr>
      </w:pPr>
      <w:r w:rsidRPr="007C0894">
        <w:rPr>
          <w:rtl/>
        </w:rPr>
        <w:t xml:space="preserve">أُطلقت مبادرة العمل الرقمي المراعي للبيئة في الدورة 28 لمؤتمر الأطراف في اتفاقية الأمم المتحدة الإطارية بشأن تغير المناخ </w:t>
      </w:r>
      <w:r w:rsidR="008935EB" w:rsidRPr="008935EB">
        <w:rPr>
          <w:lang w:bidi="ar-EG"/>
        </w:rPr>
        <w:t>(COP28)</w:t>
      </w:r>
      <w:r w:rsidRPr="007C0894">
        <w:rPr>
          <w:rtl/>
        </w:rPr>
        <w:t xml:space="preserve"> في عام 2023، كشراكة متعددة أصحاب المصلحة دعا إليها الاتحاد الدولي للاتصالات، وتضم أكثر من 40 شريكاً. وخلال مؤتمرات الأطراف </w:t>
      </w:r>
      <w:hyperlink r:id="rId486" w:history="1">
        <w:r w:rsidRPr="007C0894">
          <w:rPr>
            <w:rStyle w:val="Hyperlink"/>
            <w:noProof w:val="0"/>
            <w:rtl/>
            <w:lang w:val="en-US" w:eastAsia="zh-CN"/>
          </w:rPr>
          <w:t>COP28</w:t>
        </w:r>
      </w:hyperlink>
      <w:r w:rsidRPr="007C0894">
        <w:rPr>
          <w:rtl/>
        </w:rPr>
        <w:t xml:space="preserve"> و</w:t>
      </w:r>
      <w:hyperlink r:id="rId487" w:history="1">
        <w:r w:rsidRPr="007C0894">
          <w:rPr>
            <w:rStyle w:val="Hyperlink"/>
            <w:noProof w:val="0"/>
            <w:rtl/>
            <w:lang w:val="en-US" w:eastAsia="zh-CN"/>
          </w:rPr>
          <w:t>COP29</w:t>
        </w:r>
      </w:hyperlink>
      <w:r w:rsidRPr="007C0894">
        <w:rPr>
          <w:rtl/>
        </w:rPr>
        <w:t xml:space="preserve"> و</w:t>
      </w:r>
      <w:hyperlink r:id="rId488" w:history="1">
        <w:r w:rsidRPr="007C0894">
          <w:rPr>
            <w:rStyle w:val="Hyperlink"/>
            <w:noProof w:val="0"/>
            <w:rtl/>
            <w:lang w:val="en-US" w:eastAsia="zh-CN"/>
          </w:rPr>
          <w:t>COP30</w:t>
        </w:r>
      </w:hyperlink>
      <w:r w:rsidRPr="007C0894">
        <w:rPr>
          <w:rtl/>
        </w:rPr>
        <w:t xml:space="preserve">، عمل الاتحاد مع الشركاء على تنظيم مسار </w:t>
      </w:r>
      <w:hyperlink r:id="rId489" w:history="1">
        <w:r w:rsidRPr="007C0894">
          <w:rPr>
            <w:rStyle w:val="Hyperlink"/>
            <w:noProof w:val="0"/>
            <w:rtl/>
            <w:lang w:val="en-US" w:eastAsia="zh-CN"/>
          </w:rPr>
          <w:t>العمل الرقمي المراعي للبيئة</w:t>
        </w:r>
      </w:hyperlink>
      <w:r w:rsidRPr="007C0894">
        <w:rPr>
          <w:rtl/>
        </w:rPr>
        <w:t xml:space="preserve"> والنهوض به من خلال أكثر من 80 جلسة جمعت بين الحكومات ودوائر الصناعة والمجتمع المدني ووكالات الأمم المتحدة والمصارف المتعددة الأطراف، للترويج للتكنولوجيات الرقمية كوسيلة لتحقيق الأهداف المناخية العالمية. ومن خلال هذه الجهود المنسقة، رسَّخ الاتحاد السياسات الرقمية والتوصيلية والابتكار بوصفها عوامل تمكينية مركزية للتخفيف من آثار تغير المناخ وتعزيز الدائرية والقدرة على الصمود، مع التأكيد على الحاجة إلى استجابة على مستوى النظام الإيكولوجي بأكمله لمواجهة أزمة تغير المناخ.</w:t>
      </w:r>
    </w:p>
    <w:p w14:paraId="4D1961E1" w14:textId="5D4E1758" w:rsidR="007C0894" w:rsidRPr="007C0894" w:rsidRDefault="007C0894" w:rsidP="007C0894">
      <w:pPr>
        <w:rPr>
          <w:lang w:val="ar-SA" w:bidi="ar-EG"/>
        </w:rPr>
      </w:pPr>
      <w:r w:rsidRPr="007C0894">
        <w:rPr>
          <w:rtl/>
        </w:rPr>
        <w:t xml:space="preserve">وفي مؤتمر الأطراف COP30 الذي عُقد في </w:t>
      </w:r>
      <w:proofErr w:type="spellStart"/>
      <w:r w:rsidRPr="007C0894">
        <w:rPr>
          <w:rtl/>
        </w:rPr>
        <w:t>بيليم</w:t>
      </w:r>
      <w:proofErr w:type="spellEnd"/>
      <w:r w:rsidRPr="007C0894">
        <w:rPr>
          <w:rtl/>
        </w:rPr>
        <w:t xml:space="preserve">، البرازيل، شهد مسار العمل الرقمي المراعي للبيئة نسخته الثالثة، عقب الحدث التاريخي المتمثل في </w:t>
      </w:r>
      <w:hyperlink r:id="rId490" w:history="1">
        <w:r w:rsidRPr="007C0894">
          <w:rPr>
            <w:rStyle w:val="Hyperlink"/>
            <w:noProof w:val="0"/>
            <w:rtl/>
            <w:lang w:val="en-US" w:eastAsia="zh-CN"/>
          </w:rPr>
          <w:t>الإعلان الصادر في المؤتمر COP29 بشأن العمل الرقمي المراعي للبيئة</w:t>
        </w:r>
      </w:hyperlink>
      <w:r w:rsidRPr="007C0894">
        <w:rPr>
          <w:rtl/>
        </w:rPr>
        <w:t xml:space="preserve">، الذي حظي بتأييد أكثر من 80 بلداً ونحو </w:t>
      </w:r>
      <w:r w:rsidR="008935EB">
        <w:t>1 800</w:t>
      </w:r>
      <w:r w:rsidRPr="007C0894">
        <w:rPr>
          <w:rtl/>
        </w:rPr>
        <w:t xml:space="preserve"> من الشركات والمنظمات وأصحاب المصلحة الآخرين. ومن النتائج البارزة إنشاء </w:t>
      </w:r>
      <w:hyperlink r:id="rId491" w:history="1">
        <w:r w:rsidRPr="007C0894">
          <w:rPr>
            <w:rStyle w:val="Hyperlink"/>
            <w:noProof w:val="0"/>
            <w:rtl/>
            <w:lang w:val="en-US" w:eastAsia="zh-CN"/>
          </w:rPr>
          <w:t xml:space="preserve">مركز العمل الرقمي المراعي للبيئة </w:t>
        </w:r>
        <w:r w:rsidRPr="007C0894">
          <w:rPr>
            <w:rStyle w:val="Hyperlink"/>
            <w:noProof w:val="0"/>
            <w:lang w:val="en-US" w:eastAsia="zh-CN" w:bidi="ar-EG"/>
          </w:rPr>
          <w:t>(</w:t>
        </w:r>
        <w:r w:rsidRPr="007C0894">
          <w:rPr>
            <w:rStyle w:val="Hyperlink"/>
            <w:noProof w:val="0"/>
            <w:lang w:val="en-US" w:eastAsia="zh-CN"/>
          </w:rPr>
          <w:t>GDA Hub</w:t>
        </w:r>
        <w:r w:rsidRPr="007C0894">
          <w:rPr>
            <w:rStyle w:val="Hyperlink"/>
            <w:noProof w:val="0"/>
            <w:lang w:val="en-US" w:eastAsia="zh-CN" w:bidi="ar-EG"/>
          </w:rPr>
          <w:t>)</w:t>
        </w:r>
      </w:hyperlink>
      <w:r w:rsidRPr="007C0894">
        <w:rPr>
          <w:rtl/>
        </w:rPr>
        <w:t xml:space="preserve">، الذي أعلن عنه كإنجاز موروث عن مؤتمر الأطراف COP30 ومقره البرازيل، وسيكون بمثابة المركز العصبي لتنسيق الحلول المناخية الرقمية على المستوى العالمي. وتشمل أهداف المركز الرئيسية تفعيل </w:t>
      </w:r>
      <w:hyperlink r:id="rId492" w:history="1">
        <w:r w:rsidRPr="007C0894">
          <w:rPr>
            <w:rStyle w:val="Hyperlink"/>
            <w:noProof w:val="0"/>
            <w:rtl/>
            <w:lang w:val="en-US" w:eastAsia="zh-CN"/>
          </w:rPr>
          <w:t>معهد الذكاء الاصطناعي لأغراض المناخ</w:t>
        </w:r>
      </w:hyperlink>
      <w:r w:rsidRPr="007C0894">
        <w:rPr>
          <w:rtl/>
        </w:rPr>
        <w:t xml:space="preserve"> الذي أطلق حديثاً، والذي يركز على بناء القدرات التكنولوجية وتعزيز الابتكار المحلي في البلدان النامية كي يتمكن الذكاء الاصطناعي من دعم التخفيف من آثار تغير المناخ والتكيف معه بفعالية.</w:t>
      </w:r>
    </w:p>
    <w:p w14:paraId="61CCCFC6" w14:textId="4B206DA3" w:rsidR="007C0894" w:rsidRPr="007C0894" w:rsidRDefault="007C0894" w:rsidP="007C0894">
      <w:pPr>
        <w:rPr>
          <w:lang w:val="ar-SA" w:bidi="ar-EG"/>
        </w:rPr>
      </w:pPr>
      <w:r w:rsidRPr="007C0894">
        <w:rPr>
          <w:rtl/>
        </w:rPr>
        <w:t xml:space="preserve">وكثّفت </w:t>
      </w:r>
      <w:hyperlink r:id="rId493" w:history="1">
        <w:r w:rsidRPr="007C0894">
          <w:rPr>
            <w:rStyle w:val="Hyperlink"/>
            <w:noProof w:val="0"/>
            <w:rtl/>
            <w:lang w:val="en-US" w:eastAsia="zh-CN"/>
          </w:rPr>
          <w:t>قمة العمل الرقمي المراعي للبيئة</w:t>
        </w:r>
      </w:hyperlink>
      <w:r w:rsidRPr="007C0894">
        <w:rPr>
          <w:rtl/>
        </w:rPr>
        <w:t>، التي شاركت في استضافتها وكالة البيئة الألمانية، الجهود من خلال تقييم التقدم المحرز منذ مؤتمر الأطراف COP29 ودفع العمل الجماعي قبل مؤتمر الأطراف COP30. وجمعت القمة قرابة 50 متحدثاً وشملت 8 حلقات نقاش و4 كلمات رئيسية و3 دردشات جانبية وعرضاً فنياً رقمياً.</w:t>
      </w:r>
    </w:p>
    <w:p w14:paraId="094BD35F" w14:textId="0676AE8D" w:rsidR="007C0894" w:rsidRPr="007C0894" w:rsidRDefault="007C0894" w:rsidP="007C0894">
      <w:pPr>
        <w:rPr>
          <w:lang w:val="ar-SA" w:bidi="ar-EG"/>
        </w:rPr>
      </w:pPr>
      <w:r w:rsidRPr="007C0894">
        <w:rPr>
          <w:rtl/>
        </w:rPr>
        <w:t xml:space="preserve">وتواصل المبادرة تعزيز نظام إيكولوجي عالمي من </w:t>
      </w:r>
      <w:hyperlink r:id="rId494" w:history="1">
        <w:r w:rsidRPr="007C0894">
          <w:rPr>
            <w:rStyle w:val="Hyperlink"/>
            <w:noProof w:val="0"/>
            <w:rtl/>
            <w:lang w:val="en-US" w:eastAsia="zh-CN"/>
          </w:rPr>
          <w:t>الشركاء</w:t>
        </w:r>
      </w:hyperlink>
      <w:r w:rsidRPr="007C0894">
        <w:rPr>
          <w:rtl/>
        </w:rPr>
        <w:t xml:space="preserve"> و</w:t>
      </w:r>
      <w:hyperlink r:id="rId495" w:history="1">
        <w:r w:rsidRPr="007C0894">
          <w:rPr>
            <w:rStyle w:val="Hyperlink"/>
            <w:noProof w:val="0"/>
            <w:rtl/>
            <w:lang w:val="en-US" w:eastAsia="zh-CN"/>
          </w:rPr>
          <w:t>الالتزامات</w:t>
        </w:r>
      </w:hyperlink>
      <w:r w:rsidRPr="007C0894">
        <w:rPr>
          <w:rtl/>
        </w:rPr>
        <w:t xml:space="preserve">، حيث تعمل دوائر الصناعة والحكومات والمنظمات معاً لتعزيز التحول الرقمي المستدام وتسريع التقدم نحو تحقيق صافي انبعاثات صفري. وتدعم </w:t>
      </w:r>
      <w:hyperlink r:id="rId496" w:history="1">
        <w:r w:rsidRPr="007C0894">
          <w:rPr>
            <w:rStyle w:val="Hyperlink"/>
            <w:noProof w:val="0"/>
            <w:rtl/>
            <w:lang w:val="en-US" w:eastAsia="zh-CN"/>
          </w:rPr>
          <w:t>الأحداث</w:t>
        </w:r>
      </w:hyperlink>
      <w:r w:rsidRPr="007C0894">
        <w:rPr>
          <w:u w:val="single"/>
          <w:rtl/>
        </w:rPr>
        <w:t xml:space="preserve"> </w:t>
      </w:r>
      <w:r w:rsidRPr="007C0894">
        <w:rPr>
          <w:rtl/>
        </w:rPr>
        <w:t>المجتمعية وعمليات تبادل الحلول المناخية الرقمية ومجموعة متنامية من منشورات الاتحاد تبادل المعارف والابتكار عبر القطاعات. ومن خلال شراكات مع جهات من صناعة التكنولوجيا والمنظمات الدولية وواضعي السياسات والمجتمع المدني، يشكّل العمل الرقمي المراعي للبيئة حجر الزاوية لتسخير التكنولوجيات الرقمية لمواجهة تغير المناخ، وإرساء الأساس لمستقبل رقمي مستدام وشامل للجميع.</w:t>
      </w:r>
    </w:p>
    <w:p w14:paraId="3CF8A154" w14:textId="190F7481" w:rsidR="007C0894" w:rsidRPr="007C0894" w:rsidRDefault="007C0894" w:rsidP="007C0894">
      <w:pPr>
        <w:rPr>
          <w:lang w:val="ar-SA" w:bidi="ar-EG"/>
        </w:rPr>
      </w:pPr>
      <w:r w:rsidRPr="007C0894">
        <w:rPr>
          <w:rtl/>
        </w:rPr>
        <w:t xml:space="preserve">ولمزيد من المعلومات عن عمل الركيزة المواضيعية في إطار العمل الرقمي المراعي للبيئة، انظر القسم </w:t>
      </w:r>
      <w:hyperlink w:anchor="_4.5_الالتزام_بالاستدامة" w:history="1">
        <w:r w:rsidRPr="007C0894">
          <w:rPr>
            <w:rStyle w:val="Hyperlink"/>
            <w:noProof w:val="0"/>
            <w:rtl/>
            <w:lang w:val="en-US" w:eastAsia="zh-CN"/>
          </w:rPr>
          <w:t>4.5</w:t>
        </w:r>
      </w:hyperlink>
      <w:r w:rsidRPr="007C0894">
        <w:rPr>
          <w:rtl/>
        </w:rPr>
        <w:t xml:space="preserve"> أعلاه.</w:t>
      </w:r>
    </w:p>
    <w:p w14:paraId="2951E7BD" w14:textId="77777777" w:rsidR="007C0894" w:rsidRPr="007C0894" w:rsidRDefault="007C0894" w:rsidP="00447774">
      <w:pPr>
        <w:pStyle w:val="Headingb"/>
        <w:rPr>
          <w:lang w:val="ar-SA" w:bidi="ar-EG"/>
        </w:rPr>
      </w:pPr>
      <w:r w:rsidRPr="007C0894">
        <w:rPr>
          <w:rtl/>
        </w:rPr>
        <w:t xml:space="preserve">حدث </w:t>
      </w:r>
      <w:proofErr w:type="spellStart"/>
      <w:r w:rsidRPr="007C0894">
        <w:rPr>
          <w:lang w:bidi="ar-EG"/>
        </w:rPr>
        <w:t>Digital@UNGA</w:t>
      </w:r>
      <w:proofErr w:type="spellEnd"/>
    </w:p>
    <w:p w14:paraId="4633F76E" w14:textId="73BA5DCC" w:rsidR="007C0894" w:rsidRPr="007C0894" w:rsidRDefault="007C0894" w:rsidP="00207E2C">
      <w:pPr>
        <w:keepLines/>
        <w:rPr>
          <w:spacing w:val="-2"/>
          <w:lang w:val="ar-SA" w:bidi="ar-EG"/>
        </w:rPr>
      </w:pPr>
      <w:r w:rsidRPr="007C0894">
        <w:rPr>
          <w:spacing w:val="-2"/>
          <w:rtl/>
        </w:rPr>
        <w:t xml:space="preserve">لتسليط الضوء على الحلول الرقمية التي يمكن أن تسرّع التقدم نحو تحقيق خطة عام 2030، عقد الاتحاد الدولي للاتصالات وبرنامج الأمم المتحدة الإنمائي أحداثاً رئيسية للتنمية الرقمية في مقر الأمم المتحدة بنيويورك تحت شعاري SDG </w:t>
      </w:r>
      <w:proofErr w:type="spellStart"/>
      <w:r w:rsidRPr="007C0894">
        <w:rPr>
          <w:spacing w:val="-2"/>
          <w:rtl/>
        </w:rPr>
        <w:t>Digital</w:t>
      </w:r>
      <w:proofErr w:type="spellEnd"/>
      <w:r w:rsidRPr="007C0894">
        <w:rPr>
          <w:spacing w:val="-2"/>
          <w:rtl/>
        </w:rPr>
        <w:t xml:space="preserve"> </w:t>
      </w:r>
      <w:proofErr w:type="spellStart"/>
      <w:r w:rsidRPr="007C0894">
        <w:rPr>
          <w:spacing w:val="-2"/>
          <w:u w:val="single"/>
          <w:rtl/>
        </w:rPr>
        <w:t>و</w:t>
      </w:r>
      <w:hyperlink r:id="rId497" w:anchor="/ar" w:history="1">
        <w:r w:rsidRPr="007C0894">
          <w:rPr>
            <w:rStyle w:val="Hyperlink"/>
            <w:noProof w:val="0"/>
            <w:spacing w:val="-2"/>
            <w:rtl/>
            <w:lang w:val="en-US" w:eastAsia="zh-CN"/>
          </w:rPr>
          <w:t>Digital@UNGA</w:t>
        </w:r>
        <w:proofErr w:type="spellEnd"/>
      </w:hyperlink>
      <w:r w:rsidRPr="007C0894">
        <w:rPr>
          <w:spacing w:val="-2"/>
          <w:rtl/>
        </w:rPr>
        <w:t xml:space="preserve">. وعرضت </w:t>
      </w:r>
      <w:hyperlink r:id="rId498" w:history="1">
        <w:r w:rsidRPr="007C0894">
          <w:rPr>
            <w:rStyle w:val="Hyperlink"/>
            <w:noProof w:val="0"/>
            <w:spacing w:val="-2"/>
            <w:rtl/>
            <w:lang w:val="en-US" w:eastAsia="zh-CN"/>
          </w:rPr>
          <w:t>نسخة 2023</w:t>
        </w:r>
      </w:hyperlink>
      <w:r w:rsidRPr="007C0894">
        <w:rPr>
          <w:spacing w:val="-2"/>
          <w:rtl/>
        </w:rPr>
        <w:t>، التي عُقدت في إطار حدث "عطلة نهاية الأسبوع للعمل من أجل أهداف التنمية المستدامة"، و</w:t>
      </w:r>
      <w:hyperlink r:id="rId499" w:history="1">
        <w:r w:rsidRPr="007C0894">
          <w:rPr>
            <w:rStyle w:val="Hyperlink"/>
            <w:noProof w:val="0"/>
            <w:spacing w:val="-2"/>
            <w:rtl/>
            <w:lang w:val="en-US" w:eastAsia="zh-CN"/>
          </w:rPr>
          <w:t>نسخة 2024</w:t>
        </w:r>
      </w:hyperlink>
      <w:r w:rsidRPr="007C0894">
        <w:rPr>
          <w:spacing w:val="-2"/>
          <w:rtl/>
        </w:rPr>
        <w:t>، التي عُقدت قبل الجمعية العامة للأمم المتحدة ومؤتمر القمة المعني بالمستقبل، مبادرات رقمية قابلة للتوسع وشددتا على الدور الأساسي للتكنولوجيات الرقمية في النهوض بخطة عام 2030.</w:t>
      </w:r>
    </w:p>
    <w:p w14:paraId="52A81286" w14:textId="2E9FECC9" w:rsidR="007C0894" w:rsidRPr="007C0894" w:rsidRDefault="007C0894" w:rsidP="007C0894">
      <w:pPr>
        <w:rPr>
          <w:lang w:val="ar-SA" w:bidi="ar-EG"/>
        </w:rPr>
      </w:pPr>
      <w:r w:rsidRPr="007C0894">
        <w:rPr>
          <w:rtl/>
        </w:rPr>
        <w:t xml:space="preserve">وفي عام 2025، ولتسليط الضوء على الأهمية المتزايدة باستمرار للتكنولوجيات الرقمية في جميع مجالات التنمية، مضى حدث </w:t>
      </w:r>
      <w:hyperlink r:id="rId500" w:anchor="/ar" w:history="1">
        <w:proofErr w:type="spellStart"/>
        <w:r w:rsidRPr="007C0894">
          <w:rPr>
            <w:rStyle w:val="Hyperlink"/>
            <w:noProof w:val="0"/>
            <w:lang w:val="en-US" w:eastAsia="zh-CN" w:bidi="ar-EG"/>
          </w:rPr>
          <w:t>Digital@UNGA</w:t>
        </w:r>
        <w:proofErr w:type="spellEnd"/>
      </w:hyperlink>
      <w:r w:rsidRPr="007C0894">
        <w:rPr>
          <w:rtl/>
        </w:rPr>
        <w:t xml:space="preserve"> بهذا الإرث قدماً من خلال إبراز الابتكار الرقمي وعرضه والاحتفاء به خلال الجمعية العامة للأمم المتحدة في سبتمبر. وبالإضافة إلى حدث رئيسي اشترك في استضافته الاتحاد الدولي للاتصالات وبرنامج الأمم المتحدة الإنمائي، تضمن برنامج الحدث </w:t>
      </w:r>
      <w:proofErr w:type="spellStart"/>
      <w:r w:rsidRPr="007C0894">
        <w:rPr>
          <w:lang w:bidi="ar-EG"/>
        </w:rPr>
        <w:t>Digital@UNGA</w:t>
      </w:r>
      <w:proofErr w:type="spellEnd"/>
      <w:r w:rsidRPr="007C0894">
        <w:rPr>
          <w:rtl/>
        </w:rPr>
        <w:t xml:space="preserve"> أيضاً 46 جلسة جانبية قادتها أكثر من 80 منظمة، ما وسع بشكل كبير نطاق عمل الاتحاد وتأثيره خلال أسبوع الأمم المتحدة الرفيع المستوى. وعُقدت أيضاً في ديسمبر نسخة خاصة من حدث</w:t>
      </w:r>
      <w:r w:rsidR="00B6322B">
        <w:rPr>
          <w:rFonts w:hint="cs"/>
          <w:rtl/>
        </w:rPr>
        <w:t> </w:t>
      </w:r>
      <w:proofErr w:type="spellStart"/>
      <w:r w:rsidRPr="007C0894">
        <w:rPr>
          <w:lang w:bidi="ar-EG"/>
        </w:rPr>
        <w:t>Digital@UNGA</w:t>
      </w:r>
      <w:proofErr w:type="spellEnd"/>
      <w:r w:rsidRPr="007C0894">
        <w:rPr>
          <w:rtl/>
        </w:rPr>
        <w:t xml:space="preserve"> أطلق عليها اسم </w:t>
      </w:r>
      <w:proofErr w:type="spellStart"/>
      <w:r w:rsidRPr="007C0894">
        <w:rPr>
          <w:rtl/>
        </w:rPr>
        <w:t>Digital@UNGA</w:t>
      </w:r>
      <w:proofErr w:type="spellEnd"/>
      <w:r w:rsidRPr="007C0894">
        <w:rPr>
          <w:rtl/>
        </w:rPr>
        <w:t xml:space="preserve"> WSIS، وذلك قبل الاستعراض الرفيع المستوى لتنفيذ نتائج القمة العالمية لمجتمع المعلومات بعد 20 عاماً من انعقادها </w:t>
      </w:r>
      <w:r w:rsidR="004A3DBC" w:rsidRPr="004A3DBC">
        <w:rPr>
          <w:lang w:bidi="ar-EG"/>
        </w:rPr>
        <w:t>(WSIS+20)</w:t>
      </w:r>
      <w:r w:rsidRPr="007C0894">
        <w:rPr>
          <w:rtl/>
        </w:rPr>
        <w:t xml:space="preserve">. ومن خلال جمع قادة من الحكومات والمجتمع المدني والقطاع الخاص والشباب والأوساط الأكاديمية، شجع حدث </w:t>
      </w:r>
      <w:proofErr w:type="spellStart"/>
      <w:r w:rsidRPr="007C0894">
        <w:rPr>
          <w:lang w:bidi="ar-EG"/>
        </w:rPr>
        <w:t>Digital@UNGA</w:t>
      </w:r>
      <w:proofErr w:type="spellEnd"/>
      <w:r w:rsidRPr="007C0894">
        <w:rPr>
          <w:rtl/>
        </w:rPr>
        <w:t xml:space="preserve"> على استكشاف الاتجاهات والمخاطر والفرص التي تطرحها التكنولوجيات الرقمية والتكنولوجيات الناشئة.</w:t>
      </w:r>
    </w:p>
    <w:p w14:paraId="14DB772C" w14:textId="1634FCDA" w:rsidR="007C0894" w:rsidRPr="007C0894" w:rsidRDefault="007C0894" w:rsidP="00BF68A7">
      <w:pPr>
        <w:pStyle w:val="Headingb"/>
        <w:rPr>
          <w:lang w:val="ar-SA" w:bidi="ar-EG"/>
        </w:rPr>
      </w:pPr>
      <w:r w:rsidRPr="007C0894">
        <w:rPr>
          <w:rtl/>
        </w:rPr>
        <w:t>لجنة النطاق العريض - أثر 15 عاماً من ترسيخ النطاق العريض في برنامج السياسات الدولية</w:t>
      </w:r>
    </w:p>
    <w:p w14:paraId="42779A51" w14:textId="11CF6884" w:rsidR="007C0894" w:rsidRPr="007C0894" w:rsidRDefault="007C0894" w:rsidP="007C0894">
      <w:pPr>
        <w:rPr>
          <w:lang w:val="ar-SA" w:bidi="ar-EG"/>
        </w:rPr>
      </w:pPr>
      <w:r w:rsidRPr="007C0894">
        <w:rPr>
          <w:rtl/>
        </w:rPr>
        <w:t xml:space="preserve">أنشأ الاتحاد الدولي للاتصالات واليونسكو </w:t>
      </w:r>
      <w:r w:rsidRPr="007C0894">
        <w:rPr>
          <w:u w:val="single"/>
          <w:rtl/>
        </w:rPr>
        <w:t xml:space="preserve">لجنة </w:t>
      </w:r>
      <w:hyperlink r:id="rId501" w:history="1">
        <w:r w:rsidRPr="007C0894">
          <w:rPr>
            <w:rStyle w:val="Hyperlink"/>
            <w:noProof w:val="0"/>
            <w:rtl/>
            <w:lang w:val="en-US" w:eastAsia="zh-CN"/>
          </w:rPr>
          <w:t>النطاق العريض المعنية بالتنمية المستدامة</w:t>
        </w:r>
      </w:hyperlink>
      <w:r w:rsidRPr="007C0894">
        <w:rPr>
          <w:rtl/>
        </w:rPr>
        <w:t xml:space="preserve"> في عام 2010، تحت قيادة رئيس رواندا، فخامة الرئيس بول كاغامي، والسيد كارلوس سليم حلو، رئيس مؤسسة كارلوس سليم وأحد القادة في دوائر الصناعة في المكسيك، من أجل الدعوة إلى نشر توصيلية النطاق العريض الشاملة للنهوض بخطة الأمم المتحدة للتنمية المستدامة لعام 2030 و</w:t>
      </w:r>
      <w:hyperlink r:id="rId502" w:history="1">
        <w:r w:rsidRPr="007C0894">
          <w:rPr>
            <w:rStyle w:val="Hyperlink"/>
            <w:noProof w:val="0"/>
            <w:rtl/>
            <w:lang w:val="en-US" w:eastAsia="zh-CN"/>
          </w:rPr>
          <w:t>أهداف الدعوة العالمية السبعة</w:t>
        </w:r>
      </w:hyperlink>
      <w:r w:rsidRPr="007C0894">
        <w:rPr>
          <w:rtl/>
        </w:rPr>
        <w:t xml:space="preserve"> للجنة.</w:t>
      </w:r>
    </w:p>
    <w:p w14:paraId="0167EC46" w14:textId="2FEE56BB" w:rsidR="007C0894" w:rsidRPr="007C0894" w:rsidRDefault="007C0894" w:rsidP="007C0894">
      <w:pPr>
        <w:rPr>
          <w:lang w:val="ar-SA" w:bidi="ar-EG"/>
        </w:rPr>
      </w:pPr>
      <w:r w:rsidRPr="007C0894">
        <w:rPr>
          <w:rtl/>
        </w:rPr>
        <w:t xml:space="preserve">وفي عام 2025، احتفلت اللجنة بالذكرى السنوية الخامسة عشرة لتأسيسها، </w:t>
      </w:r>
      <w:proofErr w:type="spellStart"/>
      <w:r w:rsidRPr="007C0894">
        <w:rPr>
          <w:rtl/>
        </w:rPr>
        <w:t>محتفيةً</w:t>
      </w:r>
      <w:proofErr w:type="spellEnd"/>
      <w:r w:rsidRPr="007C0894">
        <w:rPr>
          <w:rtl/>
        </w:rPr>
        <w:t xml:space="preserve"> بإنجازها البارز في تتبع التقدم المحرز في النطاق العريض والشمول الرقمي. وبعد خمسة عشر عاماً من النهوض بتوصيلية النطاق العريض عن طريق الشراكات متعددة أصحاب المصلحة وأنشطة الدعوة، انتهت صلاحية الإطار الاستراتيجي للجنة النطاق العريض المعنية بالتنمية المستدامة، المتمثل في </w:t>
      </w:r>
      <w:hyperlink r:id="rId503" w:history="1">
        <w:r w:rsidRPr="007C0894">
          <w:rPr>
            <w:rStyle w:val="Hyperlink"/>
            <w:noProof w:val="0"/>
            <w:rtl/>
            <w:lang w:val="en-US" w:eastAsia="zh-CN"/>
          </w:rPr>
          <w:t>أهداف الدعوة إلى تنمية النطاق العريض</w:t>
        </w:r>
      </w:hyperlink>
      <w:r w:rsidRPr="007C0894">
        <w:rPr>
          <w:rtl/>
        </w:rPr>
        <w:t xml:space="preserve">، في نهاية عام 2025. ونشرت اللجنة على مدى فترة عملها أكثر من 100 منتج معرفي، بما في ذلك 15 تقريراً سنوياً رئيسياً عن </w:t>
      </w:r>
      <w:hyperlink r:id="rId504" w:history="1">
        <w:r w:rsidRPr="007C0894">
          <w:rPr>
            <w:rStyle w:val="Hyperlink"/>
            <w:noProof w:val="0"/>
            <w:rtl/>
            <w:lang w:val="en-US" w:eastAsia="zh-CN"/>
          </w:rPr>
          <w:t>حالة النطاق العريض</w:t>
        </w:r>
      </w:hyperlink>
      <w:r w:rsidRPr="007C0894">
        <w:rPr>
          <w:rtl/>
        </w:rPr>
        <w:t>، تعرض بيانات ورؤى وتحليلات للأثر</w:t>
      </w:r>
      <w:r w:rsidR="00BF68A7">
        <w:rPr>
          <w:rFonts w:hint="cs"/>
          <w:rtl/>
          <w:lang w:bidi="ar-EG"/>
        </w:rPr>
        <w:t xml:space="preserve"> </w:t>
      </w:r>
      <w:r w:rsidRPr="007C0894">
        <w:rPr>
          <w:rtl/>
        </w:rPr>
        <w:t xml:space="preserve">على الصعيد الإقليمي، وتقترح حلولاً لسد فجوات التوصيلية. وقدمت </w:t>
      </w:r>
      <w:hyperlink r:id="rId505" w:history="1">
        <w:r w:rsidRPr="007C0894">
          <w:rPr>
            <w:rStyle w:val="Hyperlink"/>
            <w:noProof w:val="0"/>
            <w:rtl/>
            <w:lang w:val="en-US" w:eastAsia="zh-CN"/>
          </w:rPr>
          <w:t>أفرقة العمل</w:t>
        </w:r>
      </w:hyperlink>
      <w:r w:rsidRPr="007C0894">
        <w:rPr>
          <w:rtl/>
        </w:rPr>
        <w:t xml:space="preserve"> التابعة للجنة، التي يزيد عددها على 35 فريقاً، بدعم من مجتمع يضم أكثر من 500 خبير دولي، أبحاثاً رائدة وتوصيات قابلة للتنفيذ في مجالات ذات أولوية، مثل الصحة الرقمية والتعليم والمساواة بين الجنسين والشمول الرقمي والتمويل، وغير ذلك. وفي عام 2025، استكمل فريق العمل </w:t>
      </w:r>
      <w:hyperlink r:id="rId506" w:history="1">
        <w:r w:rsidRPr="007C0894">
          <w:rPr>
            <w:rStyle w:val="Hyperlink"/>
            <w:noProof w:val="0"/>
            <w:rtl/>
            <w:lang w:val="en-US" w:eastAsia="zh-CN"/>
          </w:rPr>
          <w:t>المعني بإدارة البيانات</w:t>
        </w:r>
      </w:hyperlink>
      <w:r w:rsidRPr="007C0894">
        <w:rPr>
          <w:rtl/>
        </w:rPr>
        <w:t xml:space="preserve">، الذي يشترك في رئاسته الاتحاد الدولي للاتصالات واليونسكو وبرنامج الأمم المتحدة الإنمائي والاتحاد الإفريقي، </w:t>
      </w:r>
      <w:r w:rsidR="00B6322B">
        <w:rPr>
          <w:rFonts w:hint="cs"/>
          <w:rtl/>
        </w:rPr>
        <w:t>المنجزات</w:t>
      </w:r>
      <w:r w:rsidRPr="007C0894">
        <w:rPr>
          <w:rtl/>
        </w:rPr>
        <w:t xml:space="preserve"> الرئيسية وقدم تقريره النهائي بهذا الصدد.</w:t>
      </w:r>
    </w:p>
    <w:p w14:paraId="0ADFDA8D" w14:textId="5C55D6AF" w:rsidR="007C0894" w:rsidRPr="007C0894" w:rsidRDefault="007C0894" w:rsidP="007C0894">
      <w:pPr>
        <w:rPr>
          <w:lang w:val="ar-SA" w:bidi="ar-EG"/>
        </w:rPr>
      </w:pPr>
      <w:r w:rsidRPr="007C0894">
        <w:rPr>
          <w:rtl/>
        </w:rPr>
        <w:t xml:space="preserve">وقد صدر أكثر من 70 توصية </w:t>
      </w:r>
      <w:proofErr w:type="spellStart"/>
      <w:r w:rsidRPr="007C0894">
        <w:rPr>
          <w:rtl/>
        </w:rPr>
        <w:t>سياساتية</w:t>
      </w:r>
      <w:proofErr w:type="spellEnd"/>
      <w:r w:rsidRPr="007C0894">
        <w:rPr>
          <w:rtl/>
        </w:rPr>
        <w:t xml:space="preserve"> ملموسة تغطي مجالات حيوية مثل تقاسم البنية التحتية للنطاق العريض، والاستثمار، وسياسات الطيف، على سبيل المثال لا الحصر. وحددت اللجنة أيضاً سبعة أهداف معترف بها عالمياً للدعوة إلى تنمية النطاق العريض، كانت بمثابة دليل برنامجي للعمل الإقليمي والدولي في مجال تنمية النطاق العريض ولتحقيق التوصيلية الشاملة. ومن بين هذه الأهداف، اعتمدت الحكومات ودوائر الصناعة على الصعيد العالمي الهدف المتمثل في القدرة على تحمل التكاليف، الذي حُدد أولاً بنسبة 5 في </w:t>
      </w:r>
      <w:proofErr w:type="gramStart"/>
      <w:r w:rsidRPr="007C0894">
        <w:rPr>
          <w:rtl/>
        </w:rPr>
        <w:t>المائة</w:t>
      </w:r>
      <w:proofErr w:type="gramEnd"/>
      <w:r w:rsidRPr="007C0894">
        <w:rPr>
          <w:rtl/>
        </w:rPr>
        <w:t xml:space="preserve"> من الدخل الشهري ثم عُدل لاحقاً ليصبح 2 في </w:t>
      </w:r>
      <w:proofErr w:type="gramStart"/>
      <w:r w:rsidRPr="007C0894">
        <w:rPr>
          <w:rtl/>
        </w:rPr>
        <w:t>المائة</w:t>
      </w:r>
      <w:proofErr w:type="gramEnd"/>
      <w:r w:rsidRPr="007C0894">
        <w:rPr>
          <w:rtl/>
        </w:rPr>
        <w:t>، كمعيار مرجعي يقوم الاتحاد بقياسه سنوياً.</w:t>
      </w:r>
    </w:p>
    <w:p w14:paraId="48D011A4" w14:textId="276921AB" w:rsidR="007C0894" w:rsidRPr="007C0894" w:rsidRDefault="007C0894" w:rsidP="007C0894">
      <w:pPr>
        <w:rPr>
          <w:lang w:val="ar-SA" w:bidi="ar-EG"/>
        </w:rPr>
      </w:pPr>
      <w:r w:rsidRPr="007C0894">
        <w:rPr>
          <w:rtl/>
        </w:rPr>
        <w:t xml:space="preserve">وأصدرت اللجنة، في عام الذكرى السنوية الخامسة عشرة لتأسيسها، سلسلة جديدة من التقارير مكونة من أربعة أجزاء، في إطار تقرير حالة النطاق العريض لعام 2025. وعكَس هذا النهج الموسَع التعقيد المتزايد في النطاق العريض والنظام الإيكولوجي الرقمي، حيث قدّم رؤى مركَّزة بشأن مجالات محددة: التقدم نحو تحقيق </w:t>
      </w:r>
      <w:hyperlink r:id="rId507" w:history="1">
        <w:r w:rsidRPr="007C0894">
          <w:rPr>
            <w:rStyle w:val="Hyperlink"/>
            <w:noProof w:val="0"/>
            <w:rtl/>
            <w:lang w:val="en-US" w:eastAsia="zh-CN"/>
          </w:rPr>
          <w:t>أهداف الدعوة</w:t>
        </w:r>
      </w:hyperlink>
      <w:r w:rsidRPr="007C0894">
        <w:rPr>
          <w:rtl/>
        </w:rPr>
        <w:t xml:space="preserve"> السبعة للجنة؛ والتطورات الإقليمية مع تسليط الضوء على إفريقيا؛ والتكنولوجيات الساتلية والتكنولوجيات الأخرى الناشئة غير تكنولوجيات الأرض؛ والتحول الأوسع للمجتمعات الرقمية، بما في ذلك الذكاء الاصطناعي وإدارة البيانات والبنية التحتية الرقمية. ودُعم هذا الإصدار الخاص أيضاً </w:t>
      </w:r>
      <w:hyperlink r:id="rId508" w:history="1">
        <w:r w:rsidRPr="007C0894">
          <w:rPr>
            <w:rStyle w:val="Hyperlink"/>
            <w:noProof w:val="0"/>
            <w:rtl/>
            <w:lang w:val="en-US" w:eastAsia="zh-CN"/>
          </w:rPr>
          <w:t xml:space="preserve">بسلسلة من حلقات </w:t>
        </w:r>
        <w:proofErr w:type="spellStart"/>
        <w:r w:rsidRPr="007C0894">
          <w:rPr>
            <w:rStyle w:val="Hyperlink"/>
            <w:noProof w:val="0"/>
            <w:rtl/>
            <w:lang w:val="en-US" w:eastAsia="zh-CN"/>
          </w:rPr>
          <w:t>البودكاست</w:t>
        </w:r>
        <w:proofErr w:type="spellEnd"/>
      </w:hyperlink>
      <w:r w:rsidRPr="007C0894">
        <w:rPr>
          <w:rtl/>
        </w:rPr>
        <w:t>.</w:t>
      </w:r>
    </w:p>
    <w:p w14:paraId="71418B51" w14:textId="6EAF297D" w:rsidR="007C0894" w:rsidRPr="007C0894" w:rsidRDefault="007C0894" w:rsidP="007C0894">
      <w:pPr>
        <w:rPr>
          <w:spacing w:val="-2"/>
          <w:lang w:val="ar-SA" w:bidi="ar-EG"/>
        </w:rPr>
      </w:pPr>
      <w:r w:rsidRPr="007C0894">
        <w:rPr>
          <w:spacing w:val="-2"/>
          <w:rtl/>
        </w:rPr>
        <w:t xml:space="preserve">وساعدت اللجنة في تحفيز مبادرات عالمية من قبيل الشراكة العالمية </w:t>
      </w:r>
      <w:r w:rsidRPr="007C0894">
        <w:rPr>
          <w:spacing w:val="-2"/>
          <w:lang w:bidi="ar-EG"/>
        </w:rPr>
        <w:t>EQUALS</w:t>
      </w:r>
      <w:r w:rsidRPr="007C0894">
        <w:rPr>
          <w:spacing w:val="-2"/>
          <w:rtl/>
        </w:rPr>
        <w:t xml:space="preserve"> الرامية إلى سد الفجوة الرقمية بين الجنسين؛ ومبادرة </w:t>
      </w:r>
      <w:r w:rsidRPr="007C0894">
        <w:rPr>
          <w:spacing w:val="-2"/>
          <w:lang w:bidi="ar-EG"/>
        </w:rPr>
        <w:t>Giga</w:t>
      </w:r>
      <w:r w:rsidRPr="007C0894">
        <w:rPr>
          <w:spacing w:val="-2"/>
          <w:rtl/>
        </w:rPr>
        <w:t xml:space="preserve"> لتوصيل كل مدرسة بالإنترنت؛ ومبادرة المدارس الإلكترونية التي أطلقتها اليونسكو. وأسهمت اللجنة بتوجيهاتها في إطلاق الإعلان العالمي لسلامة الأطفال على الإنترنت، ونشرت </w:t>
      </w:r>
      <w:r w:rsidRPr="007C0894">
        <w:rPr>
          <w:i/>
          <w:iCs/>
          <w:spacing w:val="-2"/>
          <w:rtl/>
        </w:rPr>
        <w:t>برنامج عمل</w:t>
      </w:r>
      <w:r w:rsidRPr="007C0894">
        <w:rPr>
          <w:spacing w:val="-2"/>
          <w:rtl/>
        </w:rPr>
        <w:t xml:space="preserve"> لدعم استراتيجيات الاستجابة الرقمية أثناء جائحة كوفيد-19. وأرست اللجنة سابقة قيّمة في تأكيد أهمية العمل التعاوني لتوصيل غير الموصولين، وساعدت في وضع أسس المستقبل الرقمي. ولا يزال يُسترشد بالعديد من مسارات عمل اللجنة في أعمالها المشتركة من خلال مبادرات استراتيجية أخرى، منها </w:t>
      </w:r>
      <w:hyperlink r:id="rId509" w:history="1">
        <w:r w:rsidRPr="007C0894">
          <w:rPr>
            <w:rStyle w:val="Hyperlink"/>
            <w:noProof w:val="0"/>
            <w:spacing w:val="-2"/>
            <w:rtl/>
            <w:lang w:val="en-US" w:eastAsia="zh-CN"/>
          </w:rPr>
          <w:t xml:space="preserve">الشراكة العالمية </w:t>
        </w:r>
        <w:r w:rsidRPr="007C0894">
          <w:rPr>
            <w:rStyle w:val="Hyperlink"/>
            <w:noProof w:val="0"/>
            <w:spacing w:val="-2"/>
            <w:lang w:val="en-US" w:eastAsia="zh-CN" w:bidi="ar-EG"/>
          </w:rPr>
          <w:t>EQUALS</w:t>
        </w:r>
      </w:hyperlink>
      <w:r w:rsidRPr="007C0894">
        <w:rPr>
          <w:spacing w:val="-2"/>
          <w:rtl/>
        </w:rPr>
        <w:t>، و</w:t>
      </w:r>
      <w:hyperlink r:id="rId510" w:history="1">
        <w:r w:rsidRPr="007C0894">
          <w:rPr>
            <w:rStyle w:val="Hyperlink"/>
            <w:noProof w:val="0"/>
            <w:spacing w:val="-2"/>
            <w:rtl/>
            <w:lang w:val="en-US" w:eastAsia="zh-CN"/>
          </w:rPr>
          <w:t xml:space="preserve">مبادرة </w:t>
        </w:r>
        <w:r w:rsidRPr="007C0894">
          <w:rPr>
            <w:rStyle w:val="Hyperlink"/>
            <w:noProof w:val="0"/>
            <w:spacing w:val="-2"/>
            <w:lang w:val="en-US" w:eastAsia="zh-CN" w:bidi="ar-EG"/>
          </w:rPr>
          <w:t>Giga</w:t>
        </w:r>
        <w:r w:rsidRPr="007C0894">
          <w:rPr>
            <w:rStyle w:val="Hyperlink"/>
            <w:noProof w:val="0"/>
            <w:spacing w:val="-2"/>
            <w:rtl/>
            <w:lang w:val="en-US" w:eastAsia="zh-CN"/>
          </w:rPr>
          <w:t xml:space="preserve"> المشتركة بين اليونيسف والاتحاد الدولي للاتصالات</w:t>
        </w:r>
      </w:hyperlink>
      <w:r w:rsidRPr="007C0894">
        <w:rPr>
          <w:spacing w:val="-2"/>
          <w:rtl/>
        </w:rPr>
        <w:t>، و</w:t>
      </w:r>
      <w:hyperlink r:id="rId511" w:history="1">
        <w:r w:rsidRPr="007C0894">
          <w:rPr>
            <w:rStyle w:val="Hyperlink"/>
            <w:noProof w:val="0"/>
            <w:spacing w:val="-2"/>
            <w:rtl/>
            <w:lang w:val="en-US" w:eastAsia="zh-CN"/>
          </w:rPr>
          <w:t>مجموعة أدوات إدارة البيانات</w:t>
        </w:r>
      </w:hyperlink>
      <w:r w:rsidRPr="007C0894">
        <w:rPr>
          <w:spacing w:val="-2"/>
          <w:rtl/>
        </w:rPr>
        <w:t>، و</w:t>
      </w:r>
      <w:hyperlink r:id="rId512" w:anchor="/ar" w:history="1">
        <w:r w:rsidRPr="007C0894">
          <w:rPr>
            <w:rStyle w:val="Hyperlink"/>
            <w:noProof w:val="0"/>
            <w:spacing w:val="-2"/>
            <w:rtl/>
            <w:lang w:val="en-US" w:eastAsia="zh-CN"/>
          </w:rPr>
          <w:t>التحالف الرقمي للشراكة من أجل التوصيل للاتحاد</w:t>
        </w:r>
      </w:hyperlink>
      <w:r w:rsidRPr="007C0894">
        <w:rPr>
          <w:spacing w:val="-2"/>
          <w:rtl/>
        </w:rPr>
        <w:t>.</w:t>
      </w:r>
    </w:p>
    <w:p w14:paraId="7A8A9690" w14:textId="77777777" w:rsidR="007C0894" w:rsidRPr="007C0894" w:rsidRDefault="007C0894" w:rsidP="007C0894">
      <w:pPr>
        <w:rPr>
          <w:lang w:val="ar-SA" w:bidi="ar-EG"/>
        </w:rPr>
      </w:pPr>
      <w:r w:rsidRPr="007C0894">
        <w:rPr>
          <w:rtl/>
        </w:rPr>
        <w:t>وستنتقل لجنة النطاق العريض الآن إلى فصل جديد يوسِّع نطاق تجاربها وخبراتها ليشمل الذكاء الاصطناعي والعصر المعتمد على البيانات. ويوفر إرثها من التعاون الهادف والمستدام المتعدد أصحاب المصلحة منصة قوية لمواجهة الجيل التالي من التحديات الرقمية.</w:t>
      </w:r>
    </w:p>
    <w:p w14:paraId="31BF0122" w14:textId="77777777" w:rsidR="007C0894" w:rsidRPr="007C0894" w:rsidRDefault="007C0894" w:rsidP="00D200D6">
      <w:pPr>
        <w:pStyle w:val="Headingb"/>
        <w:rPr>
          <w:lang w:val="ar-SA" w:bidi="ar-EG"/>
        </w:rPr>
      </w:pPr>
      <w:r w:rsidRPr="007C0894">
        <w:rPr>
          <w:rtl/>
        </w:rPr>
        <w:t>الشراكة EQUALS - تعزيز النفاذ والمهارات والأدوار القيادية في مجال تكنولوجيا المعلومات والاتصالات لصالح النساء والفتيات</w:t>
      </w:r>
    </w:p>
    <w:p w14:paraId="079B41B5" w14:textId="25DF2A4C" w:rsidR="007C0894" w:rsidRPr="007C0894" w:rsidRDefault="007C0894" w:rsidP="00D200D6">
      <w:pPr>
        <w:rPr>
          <w:lang w:val="ar-SA" w:bidi="ar-EG"/>
        </w:rPr>
      </w:pPr>
      <w:r w:rsidRPr="007C0894">
        <w:rPr>
          <w:rtl/>
        </w:rPr>
        <w:t>عمل الاتحاد، بصفته مضيفاً وشريكاً مؤسساً</w:t>
      </w:r>
      <w:r w:rsidRPr="007C0894">
        <w:rPr>
          <w:u w:val="single"/>
          <w:rtl/>
        </w:rPr>
        <w:t xml:space="preserve"> </w:t>
      </w:r>
      <w:hyperlink r:id="rId513" w:history="1">
        <w:r w:rsidRPr="007C0894">
          <w:rPr>
            <w:rStyle w:val="Hyperlink"/>
            <w:noProof w:val="0"/>
            <w:rtl/>
            <w:lang w:val="en-US" w:eastAsia="zh-CN"/>
          </w:rPr>
          <w:t xml:space="preserve">للشراكة العالمية </w:t>
        </w:r>
        <w:r w:rsidRPr="007C0894">
          <w:rPr>
            <w:rStyle w:val="Hyperlink"/>
            <w:noProof w:val="0"/>
            <w:lang w:val="en-US" w:eastAsia="zh-CN" w:bidi="ar-EG"/>
          </w:rPr>
          <w:t>EQUALS</w:t>
        </w:r>
        <w:r w:rsidRPr="007C0894">
          <w:rPr>
            <w:rStyle w:val="Hyperlink"/>
            <w:noProof w:val="0"/>
            <w:rtl/>
            <w:lang w:val="en-US" w:eastAsia="zh-CN"/>
          </w:rPr>
          <w:t xml:space="preserve"> من أجل المساواة بين الجنسين في العصر الرقمي</w:t>
        </w:r>
      </w:hyperlink>
      <w:r w:rsidRPr="007C0894">
        <w:rPr>
          <w:rtl/>
        </w:rPr>
        <w:t xml:space="preserve">، مع أكثر من 100 شريك من جميع القطاعات لتقليص الفجوة الرقمية بين الجنسين، ودعم الجهود المبذولة في تحالفات </w:t>
      </w:r>
      <w:proofErr w:type="gramStart"/>
      <w:r w:rsidRPr="007C0894">
        <w:rPr>
          <w:rtl/>
        </w:rPr>
        <w:t>النفاذ</w:t>
      </w:r>
      <w:proofErr w:type="gramEnd"/>
      <w:r w:rsidRPr="007C0894">
        <w:rPr>
          <w:rtl/>
        </w:rPr>
        <w:t xml:space="preserve"> والمهارات والقيادة والبحوث. والشراكة العالمية </w:t>
      </w:r>
      <w:hyperlink r:id="rId514" w:history="1">
        <w:r w:rsidRPr="007C0894">
          <w:rPr>
            <w:rStyle w:val="Hyperlink"/>
            <w:noProof w:val="0"/>
            <w:lang w:val="en-US" w:eastAsia="zh-CN" w:bidi="ar-EG"/>
          </w:rPr>
          <w:t>EQUALS</w:t>
        </w:r>
      </w:hyperlink>
      <w:r w:rsidRPr="007C0894">
        <w:rPr>
          <w:rtl/>
        </w:rPr>
        <w:t xml:space="preserve"> من أجل المساواة بين الجنسين في العصر الرقمي هي مجموعة ملتزمة من قادة الشركات والحكومات ودوائر الأعمال والمنظمات غير الهادفة للربح والمؤسسات الأكاديمية والمنظمات غير الحكومية والجماعات المحلية في جميع أنحاء العالم، مكرسة لتعزيز التوازن بين الجنسين في قطاع التكنولوجيا من خلال دعم المساواة في النفاذ وتنمية المهارات والفرص المهنية للنساء والرجال على السواء.</w:t>
      </w:r>
    </w:p>
    <w:p w14:paraId="6A3473C0" w14:textId="26A94E76" w:rsidR="007C0894" w:rsidRPr="007C0894" w:rsidRDefault="007C0894" w:rsidP="007C0894">
      <w:pPr>
        <w:rPr>
          <w:lang w:val="ar-SA" w:bidi="ar-EG"/>
        </w:rPr>
      </w:pPr>
      <w:r w:rsidRPr="007C0894">
        <w:rPr>
          <w:rtl/>
        </w:rPr>
        <w:t xml:space="preserve">وتدعم هذه الشراكة التعاون وتوسيع نطاق المبادرات الناجحة عبر تحالفاتها في مجالات </w:t>
      </w:r>
      <w:hyperlink r:id="rId515" w:history="1">
        <w:r w:rsidRPr="007C0894">
          <w:rPr>
            <w:rStyle w:val="Hyperlink"/>
            <w:noProof w:val="0"/>
            <w:rtl/>
            <w:lang w:val="en-US" w:eastAsia="zh-CN"/>
          </w:rPr>
          <w:t>النفاذ</w:t>
        </w:r>
      </w:hyperlink>
      <w:r w:rsidRPr="007C0894">
        <w:rPr>
          <w:rtl/>
        </w:rPr>
        <w:t xml:space="preserve"> و</w:t>
      </w:r>
      <w:hyperlink r:id="rId516" w:history="1">
        <w:r w:rsidRPr="007C0894">
          <w:rPr>
            <w:rStyle w:val="Hyperlink"/>
            <w:noProof w:val="0"/>
            <w:rtl/>
            <w:lang w:val="en-US" w:eastAsia="zh-CN"/>
          </w:rPr>
          <w:t>المهارات</w:t>
        </w:r>
      </w:hyperlink>
      <w:r w:rsidRPr="007C0894">
        <w:rPr>
          <w:rtl/>
        </w:rPr>
        <w:t xml:space="preserve"> و</w:t>
      </w:r>
      <w:hyperlink r:id="rId517" w:history="1">
        <w:r w:rsidRPr="007C0894">
          <w:rPr>
            <w:rStyle w:val="Hyperlink"/>
            <w:noProof w:val="0"/>
            <w:rtl/>
            <w:lang w:val="en-US" w:eastAsia="zh-CN"/>
          </w:rPr>
          <w:t>القيادة</w:t>
        </w:r>
      </w:hyperlink>
      <w:r w:rsidRPr="007C0894">
        <w:rPr>
          <w:rtl/>
        </w:rPr>
        <w:t xml:space="preserve"> و</w:t>
      </w:r>
      <w:hyperlink r:id="rId518" w:history="1">
        <w:r w:rsidRPr="007C0894">
          <w:rPr>
            <w:rStyle w:val="Hyperlink"/>
            <w:noProof w:val="0"/>
            <w:rtl/>
            <w:lang w:val="en-US" w:eastAsia="zh-CN"/>
          </w:rPr>
          <w:t>البحوث</w:t>
        </w:r>
      </w:hyperlink>
      <w:r w:rsidRPr="007C0894">
        <w:rPr>
          <w:rtl/>
        </w:rPr>
        <w:t xml:space="preserve"> لعكس منحى الفجوة الرقمية المتنامية بين الجنسين وتسريع التقدم نحو تحقيق الهدف 5 من أهداف التنمية المستدامة، ولا سيما الغاية 5-باء بشأن تعزيز نفاذ المرأة إلى تكنولوجيا المعلومات والاتصالات من خلال </w:t>
      </w:r>
      <w:hyperlink r:id="rId519" w:history="1">
        <w:r w:rsidRPr="007C0894">
          <w:rPr>
            <w:rStyle w:val="Hyperlink"/>
            <w:noProof w:val="0"/>
            <w:rtl/>
            <w:lang w:val="en-US" w:eastAsia="zh-CN"/>
          </w:rPr>
          <w:t>ورش العمل</w:t>
        </w:r>
      </w:hyperlink>
      <w:r w:rsidRPr="007C0894">
        <w:rPr>
          <w:rtl/>
        </w:rPr>
        <w:t xml:space="preserve"> و</w:t>
      </w:r>
      <w:hyperlink r:id="rId520" w:history="1">
        <w:r w:rsidRPr="007C0894">
          <w:rPr>
            <w:rStyle w:val="Hyperlink"/>
            <w:noProof w:val="0"/>
            <w:rtl/>
            <w:lang w:val="en-US" w:eastAsia="zh-CN"/>
          </w:rPr>
          <w:t>الإرشاد الإلكتروني</w:t>
        </w:r>
      </w:hyperlink>
      <w:r w:rsidRPr="007C0894">
        <w:rPr>
          <w:rtl/>
        </w:rPr>
        <w:t xml:space="preserve"> مع مهنيين متمكنين في مجال التكنولوجيا و</w:t>
      </w:r>
      <w:hyperlink r:id="rId521" w:history="1">
        <w:r w:rsidRPr="007C0894">
          <w:rPr>
            <w:rStyle w:val="Hyperlink"/>
            <w:noProof w:val="0"/>
            <w:rtl/>
            <w:lang w:val="en-US" w:eastAsia="zh-CN"/>
          </w:rPr>
          <w:t>برنامج شارات</w:t>
        </w:r>
      </w:hyperlink>
      <w:r w:rsidRPr="007C0894">
        <w:rPr>
          <w:rtl/>
        </w:rPr>
        <w:t xml:space="preserve"> للحصول على شهادات.</w:t>
      </w:r>
    </w:p>
    <w:p w14:paraId="79497306" w14:textId="3E066AF9" w:rsidR="007C0894" w:rsidRPr="007C0894" w:rsidRDefault="007C0894" w:rsidP="00D200D6">
      <w:pPr>
        <w:rPr>
          <w:lang w:val="ar-SA" w:bidi="ar-EG"/>
        </w:rPr>
      </w:pPr>
      <w:r w:rsidRPr="007C0894">
        <w:rPr>
          <w:rtl/>
        </w:rPr>
        <w:t xml:space="preserve">وبالتعاون مع الشركاء، شجع الاتحاد برامج من قبيل برنامج </w:t>
      </w:r>
      <w:hyperlink r:id="rId522" w:history="1">
        <w:r w:rsidRPr="007C0894">
          <w:rPr>
            <w:rStyle w:val="Hyperlink"/>
            <w:noProof w:val="0"/>
            <w:rtl/>
            <w:lang w:val="en-US" w:eastAsia="zh-CN"/>
          </w:rPr>
          <w:t>مهاراتها الرقمية </w:t>
        </w:r>
      </w:hyperlink>
      <w:r w:rsidRPr="007C0894">
        <w:rPr>
          <w:rtl/>
        </w:rPr>
        <w:t xml:space="preserve">للشراكة </w:t>
      </w:r>
      <w:r w:rsidRPr="007C0894">
        <w:rPr>
          <w:lang w:bidi="ar-EG"/>
        </w:rPr>
        <w:t>EQUALS</w:t>
      </w:r>
      <w:r w:rsidRPr="007C0894">
        <w:rPr>
          <w:rtl/>
        </w:rPr>
        <w:t xml:space="preserve"> والمبادرة المشتركة بين الاتحاد الدولي للاتصالات والإطار المتكامل المعزَّز </w:t>
      </w:r>
      <w:r w:rsidRPr="007C0894">
        <w:rPr>
          <w:lang w:bidi="ar-EG"/>
        </w:rPr>
        <w:t>(EIF)</w:t>
      </w:r>
      <w:r w:rsidRPr="007C0894">
        <w:rPr>
          <w:rtl/>
        </w:rPr>
        <w:t xml:space="preserve"> والشراكة EQUALS "</w:t>
      </w:r>
      <w:hyperlink r:id="rId523" w:history="1">
        <w:r w:rsidRPr="007C0894">
          <w:rPr>
            <w:rStyle w:val="Hyperlink"/>
            <w:noProof w:val="0"/>
            <w:rtl/>
            <w:lang w:val="en-US" w:eastAsia="zh-CN"/>
          </w:rPr>
          <w:t>التكنولوجيا كمحرك للفرص الاقتصادية للمرأة</w:t>
        </w:r>
      </w:hyperlink>
      <w:r w:rsidRPr="007C0894">
        <w:rPr>
          <w:rtl/>
        </w:rPr>
        <w:t>"، وقدمت هذه البرامج للنساء والفتيات في بلدان وقطاعات متعددة ورش عمل وإرشادات ودعماً في</w:t>
      </w:r>
      <w:r w:rsidR="00D200D6">
        <w:rPr>
          <w:rFonts w:hint="cs"/>
          <w:rtl/>
        </w:rPr>
        <w:t> </w:t>
      </w:r>
      <w:r w:rsidRPr="007C0894">
        <w:rPr>
          <w:rtl/>
        </w:rPr>
        <w:t xml:space="preserve">ريادة الأعمال. وتواصل </w:t>
      </w:r>
      <w:hyperlink r:id="rId524" w:history="1">
        <w:r w:rsidRPr="007C0894">
          <w:rPr>
            <w:rStyle w:val="Hyperlink"/>
            <w:noProof w:val="0"/>
            <w:rtl/>
            <w:lang w:val="en-US" w:eastAsia="zh-CN"/>
          </w:rPr>
          <w:t>جوائز EQUALS in Tech</w:t>
        </w:r>
      </w:hyperlink>
      <w:r w:rsidRPr="007C0894">
        <w:rPr>
          <w:rtl/>
        </w:rPr>
        <w:t>، التي بلغت عامها العاشر، تكريم المبادرات المتميزة من جميع أنحاء العالم التي تعزز مشاركة المرأة واضطلاعها بأدوار قيادية في الاقتصاد الرقمي.</w:t>
      </w:r>
    </w:p>
    <w:p w14:paraId="11CEAB10" w14:textId="77777777" w:rsidR="007C0894" w:rsidRPr="007C0894" w:rsidRDefault="007C0894" w:rsidP="00D200D6">
      <w:pPr>
        <w:pStyle w:val="Headingb"/>
        <w:rPr>
          <w:lang w:val="ar-SA" w:bidi="ar-EG"/>
        </w:rPr>
      </w:pPr>
      <w:r w:rsidRPr="007C0894">
        <w:rPr>
          <w:rtl/>
        </w:rPr>
        <w:t xml:space="preserve">مبادرة </w:t>
      </w:r>
      <w:proofErr w:type="spellStart"/>
      <w:r w:rsidRPr="007C0894">
        <w:rPr>
          <w:rtl/>
        </w:rPr>
        <w:t>Giga</w:t>
      </w:r>
      <w:proofErr w:type="spellEnd"/>
      <w:r w:rsidRPr="007C0894">
        <w:rPr>
          <w:rtl/>
        </w:rPr>
        <w:t xml:space="preserve"> - العمل على توصيل كل مدرسة بالإنترنت</w:t>
      </w:r>
    </w:p>
    <w:p w14:paraId="40853E48" w14:textId="53229513" w:rsidR="007C0894" w:rsidRPr="007C0894" w:rsidRDefault="007C0894" w:rsidP="00D200D6">
      <w:pPr>
        <w:rPr>
          <w:lang w:val="ar-SA" w:bidi="ar-EG"/>
        </w:rPr>
      </w:pPr>
      <w:r w:rsidRPr="007C0894">
        <w:rPr>
          <w:rtl/>
        </w:rPr>
        <w:t xml:space="preserve">تدعم </w:t>
      </w:r>
      <w:hyperlink r:id="rId525" w:history="1">
        <w:r w:rsidRPr="007C0894">
          <w:rPr>
            <w:rStyle w:val="Hyperlink"/>
            <w:noProof w:val="0"/>
            <w:rtl/>
            <w:lang w:val="en-US" w:eastAsia="zh-CN"/>
          </w:rPr>
          <w:t xml:space="preserve">مبادرة </w:t>
        </w:r>
        <w:r w:rsidRPr="007C0894">
          <w:rPr>
            <w:rStyle w:val="Hyperlink"/>
            <w:noProof w:val="0"/>
            <w:lang w:val="en-US" w:eastAsia="zh-CN" w:bidi="ar-EG"/>
          </w:rPr>
          <w:t>Giga</w:t>
        </w:r>
      </w:hyperlink>
      <w:r w:rsidRPr="007C0894">
        <w:rPr>
          <w:rtl/>
        </w:rPr>
        <w:t xml:space="preserve"> المشتركة بين الاتحاد الدولي للاتصالات واليونيسف، التي أطلقت في عام 2019، الحكومات وأصحاب المصلحة الآخرين في سبيل توصيل كل مدرسة بالإنترنت وإتاحة المعلومات والفرص والخيارات لكل متعلم بحلول عام</w:t>
      </w:r>
      <w:r w:rsidR="00D200D6">
        <w:rPr>
          <w:rFonts w:hint="eastAsia"/>
          <w:rtl/>
          <w:lang w:bidi="ar-EG"/>
        </w:rPr>
        <w:t> </w:t>
      </w:r>
      <w:r w:rsidRPr="007C0894">
        <w:rPr>
          <w:rtl/>
        </w:rPr>
        <w:t xml:space="preserve">2030. ومنذ عام 2019، رسمت مبادرة </w:t>
      </w:r>
      <w:r w:rsidRPr="007C0894">
        <w:rPr>
          <w:lang w:bidi="ar-EG"/>
        </w:rPr>
        <w:t>Giga</w:t>
      </w:r>
      <w:r w:rsidRPr="007C0894">
        <w:rPr>
          <w:rtl/>
        </w:rPr>
        <w:t xml:space="preserve"> خرائط لأكثر من 2,2 مليون مدرسة في 218 بلداً، وأجريت نمذجة للبنية التحتية في سياق توصيل المدارس في 9 بلدان، فيما تُبذل حالياً جهود تعاونية للنهوض بهذا العمل في 21 بلداً آخر.</w:t>
      </w:r>
    </w:p>
    <w:p w14:paraId="52B33635" w14:textId="17429585" w:rsidR="007C0894" w:rsidRPr="007C0894" w:rsidRDefault="007C0894" w:rsidP="007C0894">
      <w:pPr>
        <w:rPr>
          <w:lang w:val="ar-SA" w:bidi="ar-EG"/>
        </w:rPr>
      </w:pPr>
      <w:r w:rsidRPr="007C0894">
        <w:rPr>
          <w:rtl/>
        </w:rPr>
        <w:t xml:space="preserve">وواصلت المبادرة دعم الحكومات بالأدوات والخدمات الاستشارية وبناء القدرات لتوفير التوصيلية في آلاف المدارس، والوصول إلى ملايين الطلاب في جميع أنحاء إفريقيا وآسيا الوسطى وأمريكا اللاتينية ومنطقة البحر الكاريبي ومناطق أخرى. ويتمحور عمل المبادرة حول أربع ركائز: تحديد المواقع الجغرافية للمدارس، رسم خرائط البنية التحتية + نمذجة البنية التحتية، تعبئة الموارد المالية، المشتريات + التعاقد من أجل التوصيلية. ويرتكز ذلك على توفير تنمية القدرات بالتعاون مع الحكومات عبر منصات منها مركز التعلم لمبادرة </w:t>
      </w:r>
      <w:r w:rsidRPr="007C0894">
        <w:rPr>
          <w:lang w:bidi="ar-EG"/>
        </w:rPr>
        <w:t>Giga</w:t>
      </w:r>
      <w:r w:rsidRPr="007C0894">
        <w:rPr>
          <w:rtl/>
        </w:rPr>
        <w:t xml:space="preserve"> الذي يقدم دورات تدريبية من خلال أكاديمية الاتحاد. وعُقدت في عام 2025 خمس دورات تدريبية (بالحضور الشخصي وعبر الإنترنت)، ما مكّن 128 مشاركاً من 52 بلداً من تعزيز قدراتهم في مختلف جوانب توفير توصيلية المدارس. وأنشأت مبادرة </w:t>
      </w:r>
      <w:r w:rsidRPr="007C0894">
        <w:rPr>
          <w:lang w:bidi="ar-EG"/>
        </w:rPr>
        <w:t>Giga</w:t>
      </w:r>
      <w:r w:rsidRPr="007C0894">
        <w:rPr>
          <w:rtl/>
        </w:rPr>
        <w:t xml:space="preserve"> أيضاً برنامج تسريع، وهو مبادرة لتطوير الأعمال تهدف إلى دعم الشركات في مراحلها الأولى من خلال تنمية المهارات والإرشاد والتمويل عبر مِنح لتسريع تطوير الحلول التي تعزز توصيلية المدارس على الصعيد العالمي. وتم اختيار 9 أفرقة من مختلف أنحاء العالم ضمن المجموعة الأولى التي بدأت في نوفمبر 2025 وستنتهي في مارس 2026.</w:t>
      </w:r>
    </w:p>
    <w:p w14:paraId="4033783B" w14:textId="77777777" w:rsidR="007C0894" w:rsidRPr="007C0894" w:rsidRDefault="007C0894" w:rsidP="007C0894">
      <w:pPr>
        <w:rPr>
          <w:lang w:val="ar-SA" w:bidi="ar-EG"/>
        </w:rPr>
      </w:pPr>
      <w:r w:rsidRPr="007C0894">
        <w:rPr>
          <w:rtl/>
        </w:rPr>
        <w:t xml:space="preserve">وبالاستفادة من مبادرة </w:t>
      </w:r>
      <w:r w:rsidRPr="007C0894">
        <w:rPr>
          <w:lang w:bidi="ar-EG"/>
        </w:rPr>
        <w:t>Giga</w:t>
      </w:r>
      <w:r w:rsidRPr="007C0894">
        <w:rPr>
          <w:rtl/>
        </w:rPr>
        <w:t xml:space="preserve"> ومنصة الذكاء الاصطناعي من أجل المصلحة العامة، دخل الاتحاد في شراكة مع </w:t>
      </w:r>
      <w:r w:rsidRPr="007C0894">
        <w:rPr>
          <w:lang w:bidi="ar-EG"/>
        </w:rPr>
        <w:t>Google</w:t>
      </w:r>
      <w:r w:rsidRPr="007C0894">
        <w:rPr>
          <w:rtl/>
        </w:rPr>
        <w:t>، ومع الموسيقي ورائد الأعمال في مجال التكنولوجيا وفاعل الخير will.i.am، لتقديم دورات تدريبية بشأن الذكاء الاصطناعي والروبوتات للطلاب في جميع أنحاء إفريقيا، بدءاً من 5 بلدان، هي: غانا وكوت ديفوار وكينيا ونيجيريا وجنوب إفريقيا. وسيشمل ذلك دعم البلدان في إنشاء نوادٍ مدرسية للذكاء الاصطناعي في المدارس الموصولة.</w:t>
      </w:r>
    </w:p>
    <w:p w14:paraId="11983545" w14:textId="77777777" w:rsidR="007C0894" w:rsidRPr="007C0894" w:rsidRDefault="007C0894" w:rsidP="007C0894">
      <w:pPr>
        <w:rPr>
          <w:lang w:val="ar-SA" w:bidi="ar-EG"/>
        </w:rPr>
      </w:pPr>
      <w:r w:rsidRPr="007C0894">
        <w:rPr>
          <w:rtl/>
        </w:rPr>
        <w:t xml:space="preserve">واعترف التعاهد الرقمي العالمي بمبادرة </w:t>
      </w:r>
      <w:r w:rsidRPr="007C0894">
        <w:rPr>
          <w:lang w:bidi="ar-EG"/>
        </w:rPr>
        <w:t>Giga</w:t>
      </w:r>
      <w:r w:rsidRPr="007C0894">
        <w:rPr>
          <w:rtl/>
        </w:rPr>
        <w:t xml:space="preserve"> كمبادرة رئيسية لتوصيل المدارس والمستشفيات. ويتماشى ذلك أيضاً مع الغاية 5.1 من الخطة الاستراتيجية للاتحاد وخط العمل جيم2 للقمة العالمية لمجتمع المعلومات "البنية التحتية للمعلومات والاتصالات".</w:t>
      </w:r>
    </w:p>
    <w:p w14:paraId="174056A2" w14:textId="77777777" w:rsidR="007C0894" w:rsidRPr="007C0894" w:rsidRDefault="007C0894" w:rsidP="00D200D6">
      <w:pPr>
        <w:pStyle w:val="Headingb"/>
        <w:rPr>
          <w:lang w:val="ar-SA" w:bidi="ar-EG"/>
        </w:rPr>
      </w:pPr>
      <w:bookmarkStart w:id="131" w:name="_Hlk120017847"/>
      <w:r w:rsidRPr="007C0894">
        <w:rPr>
          <w:rtl/>
        </w:rPr>
        <w:t>العوالم الافتراضية ومبادرة الذكاء الاصطناعي</w:t>
      </w:r>
    </w:p>
    <w:p w14:paraId="1A485208" w14:textId="5A18A122" w:rsidR="007C0894" w:rsidRPr="007C0894" w:rsidRDefault="007C0894" w:rsidP="007C0894">
      <w:pPr>
        <w:rPr>
          <w:lang w:val="ar-SA" w:bidi="ar-EG"/>
        </w:rPr>
      </w:pPr>
      <w:r w:rsidRPr="007C0894">
        <w:rPr>
          <w:rtl/>
        </w:rPr>
        <w:t xml:space="preserve">في يونيو 2024، أطلق الاتحاد الدولي للاتصالات، بالتعاون مع مركز الأمم المتحدة الدولي للحوسبة </w:t>
      </w:r>
      <w:r w:rsidRPr="007C0894">
        <w:rPr>
          <w:lang w:bidi="ar-EG"/>
        </w:rPr>
        <w:t>(UNICC)</w:t>
      </w:r>
      <w:r w:rsidRPr="007C0894">
        <w:rPr>
          <w:rtl/>
        </w:rPr>
        <w:t xml:space="preserve"> ودبي الرقمية، </w:t>
      </w:r>
      <w:hyperlink r:id="rId526" w:history="1">
        <w:r w:rsidRPr="007C0894">
          <w:rPr>
            <w:rStyle w:val="Hyperlink"/>
            <w:noProof w:val="0"/>
            <w:rtl/>
            <w:lang w:val="en-US" w:eastAsia="zh-CN"/>
          </w:rPr>
          <w:t xml:space="preserve">المبادرة العالمية بشأن العوالم الافتراضية والذكاء الاصطناعي "اكتشاف </w:t>
        </w:r>
        <w:proofErr w:type="spellStart"/>
        <w:r w:rsidRPr="007C0894">
          <w:rPr>
            <w:rStyle w:val="Hyperlink"/>
            <w:noProof w:val="0"/>
            <w:rtl/>
            <w:lang w:val="en-US" w:eastAsia="zh-CN"/>
          </w:rPr>
          <w:t>السيتيفيرس</w:t>
        </w:r>
        <w:proofErr w:type="spellEnd"/>
        <w:r w:rsidRPr="007C0894">
          <w:rPr>
            <w:rStyle w:val="Hyperlink"/>
            <w:noProof w:val="0"/>
            <w:rtl/>
            <w:lang w:val="en-US" w:eastAsia="zh-CN"/>
          </w:rPr>
          <w:t>"</w:t>
        </w:r>
      </w:hyperlink>
      <w:r w:rsidRPr="007C0894">
        <w:rPr>
          <w:rtl/>
        </w:rPr>
        <w:t xml:space="preserve">، بهدف تسخير إمكانات التكنولوجيات الغامرة والذكاء الاصطناعي لأغراض التنمية. وتُعتبر هذه المبادرة، التي يدعمها أكثر من 70 شريكاً، منصة عالمية لتعزيز عوالم افتراضية مدعومة بالذكاء الاصطناعي مفتوحة وقابلة للتشغيل البيني وموثوقة، لصالح الأفراد والشركات والخدمات العامة. ويستكشف </w:t>
      </w:r>
      <w:hyperlink r:id="rId527" w:anchor="/ar" w:history="1">
        <w:r w:rsidRPr="007C0894">
          <w:rPr>
            <w:rStyle w:val="Hyperlink"/>
            <w:noProof w:val="0"/>
            <w:rtl/>
            <w:lang w:val="en-US" w:eastAsia="zh-CN"/>
          </w:rPr>
          <w:t>يوم الأمم المتحدة للعوالم الافتراضية</w:t>
        </w:r>
      </w:hyperlink>
      <w:r w:rsidRPr="007C0894">
        <w:rPr>
          <w:rtl/>
        </w:rPr>
        <w:t xml:space="preserve">، الذي ينظَّم بالتعاون مع 17 كياناً من كيانات الأمم المتحدة، كيف يمكن للذكاء الاصطناعي والذكاء المكاني </w:t>
      </w:r>
      <w:proofErr w:type="spellStart"/>
      <w:r w:rsidRPr="007C0894">
        <w:rPr>
          <w:rtl/>
        </w:rPr>
        <w:t>والسيتيفيرس</w:t>
      </w:r>
      <w:proofErr w:type="spellEnd"/>
      <w:r w:rsidRPr="007C0894">
        <w:rPr>
          <w:rtl/>
        </w:rPr>
        <w:t xml:space="preserve"> دعم الأولويات العالمية في إطار ميثاق المستقبل والتعاهد الرقمي العالمي. وتسلط النسخة الافتتاحية التي نُظمت في </w:t>
      </w:r>
      <w:hyperlink r:id="rId528" w:history="1">
        <w:r w:rsidRPr="007C0894">
          <w:rPr>
            <w:rStyle w:val="Hyperlink"/>
            <w:noProof w:val="0"/>
            <w:rtl/>
            <w:lang w:val="en-US" w:eastAsia="zh-CN"/>
          </w:rPr>
          <w:t>جنيف عام 2024</w:t>
        </w:r>
      </w:hyperlink>
      <w:r w:rsidRPr="007C0894">
        <w:rPr>
          <w:rtl/>
        </w:rPr>
        <w:t xml:space="preserve"> والحدث الذي عُقد في </w:t>
      </w:r>
      <w:hyperlink r:id="rId529" w:anchor="/ar" w:history="1">
        <w:r w:rsidRPr="007C0894">
          <w:rPr>
            <w:rStyle w:val="Hyperlink"/>
            <w:noProof w:val="0"/>
            <w:rtl/>
            <w:lang w:val="en-US" w:eastAsia="zh-CN"/>
          </w:rPr>
          <w:t>تورينو عام 2025</w:t>
        </w:r>
      </w:hyperlink>
      <w:r w:rsidRPr="007C0894">
        <w:rPr>
          <w:rtl/>
        </w:rPr>
        <w:t xml:space="preserve"> الضوء على الطرق التي من خلالها يمكن للعوالم الافتراضية أن تساهم في البنية التحتية العامة الرقمية والتنمية الشاملة. وسيُعقد يوم الأمم المتحدة المقبل للعوالم الافتراضية في 11 مايو 2026، في جنيف.</w:t>
      </w:r>
    </w:p>
    <w:p w14:paraId="637FB3D4" w14:textId="77777777" w:rsidR="007C0894" w:rsidRPr="007C0894" w:rsidRDefault="007C0894" w:rsidP="00215757">
      <w:pPr>
        <w:pStyle w:val="Headingb"/>
        <w:rPr>
          <w:lang w:val="ar-SA" w:bidi="ar-EG"/>
        </w:rPr>
      </w:pPr>
      <w:bookmarkStart w:id="132" w:name="_Toc156392417"/>
      <w:r w:rsidRPr="007C0894">
        <w:rPr>
          <w:rtl/>
        </w:rPr>
        <w:t>التحول الرقمي من أجل مدن ومجتمعات ذكية</w:t>
      </w:r>
      <w:bookmarkEnd w:id="132"/>
    </w:p>
    <w:bookmarkEnd w:id="131"/>
    <w:p w14:paraId="3522AB53" w14:textId="72C36C84" w:rsidR="007C0894" w:rsidRPr="007C0894" w:rsidRDefault="007C0894" w:rsidP="007C0894">
      <w:pPr>
        <w:rPr>
          <w:lang w:val="ar-SA" w:bidi="ar-EG"/>
        </w:rPr>
      </w:pPr>
      <w:r w:rsidRPr="007C0894">
        <w:rPr>
          <w:rtl/>
        </w:rPr>
        <w:t>تواصل لجنة الدراسات 20 لقطاع تقييس الاتصالات النهوض بالتحول الرقمي من أجل مدن ومجتمعات ذكية من خلال مبادرة "</w:t>
      </w:r>
      <w:hyperlink r:id="rId530" w:anchor="/ar" w:history="1">
        <w:r w:rsidRPr="007C0894">
          <w:rPr>
            <w:rStyle w:val="Hyperlink"/>
            <w:noProof w:val="0"/>
            <w:rtl/>
            <w:lang w:val="en-US" w:eastAsia="zh-CN"/>
          </w:rPr>
          <w:t xml:space="preserve">متحدون من أجل مدن ذكية مستدامة </w:t>
        </w:r>
        <w:r w:rsidRPr="007C0894">
          <w:rPr>
            <w:rStyle w:val="Hyperlink"/>
            <w:noProof w:val="0"/>
            <w:lang w:val="en-US" w:eastAsia="zh-CN" w:bidi="ar-EG"/>
          </w:rPr>
          <w:t>(</w:t>
        </w:r>
        <w:r w:rsidRPr="007C0894">
          <w:rPr>
            <w:rStyle w:val="Hyperlink"/>
            <w:noProof w:val="0"/>
            <w:lang w:val="en-US" w:eastAsia="zh-CN"/>
          </w:rPr>
          <w:t>U4SSC</w:t>
        </w:r>
        <w:r w:rsidRPr="007C0894">
          <w:rPr>
            <w:rStyle w:val="Hyperlink"/>
            <w:noProof w:val="0"/>
            <w:lang w:val="en-US" w:eastAsia="zh-CN" w:bidi="ar-EG"/>
          </w:rPr>
          <w:t>)</w:t>
        </w:r>
      </w:hyperlink>
      <w:r w:rsidRPr="007C0894">
        <w:rPr>
          <w:rtl/>
          <w:lang w:bidi="ar-EG"/>
        </w:rPr>
        <w:t>"</w:t>
      </w:r>
      <w:r w:rsidRPr="007C0894">
        <w:rPr>
          <w:rtl/>
        </w:rPr>
        <w:t>، وذلك من خلال دعم المدن في اعتماد نهج قائمة على معايير الاتحاد للتنمية الحضرية المستدامة. ومع التركيز الشديد على إدارة المدن وتكامل البيانات والاستراتيجيات الرقمية التي تركز على الأشخاص، يساعد هذا العمل المدن على تخطيط الحلول الذكية المستدامة وتنفيذها وتوسيع نطاقها.</w:t>
      </w:r>
    </w:p>
    <w:p w14:paraId="0E136ACB" w14:textId="068348B5" w:rsidR="007C0894" w:rsidRPr="007C0894" w:rsidRDefault="007C0894" w:rsidP="007C0894">
      <w:pPr>
        <w:rPr>
          <w:spacing w:val="-2"/>
          <w:lang w:val="ar-SA" w:bidi="ar-EG"/>
        </w:rPr>
      </w:pPr>
      <w:r w:rsidRPr="007C0894">
        <w:rPr>
          <w:spacing w:val="-2"/>
          <w:rtl/>
        </w:rPr>
        <w:t xml:space="preserve">وبدعم من 20 كياناً من كيانات الأمم المتحدة، تسهم المبادرة U4SSC إسهاماً مباشراً في تحقيق الهدف 11 من أهداف التنمية المستدامة ("جعل المدن والمستوطنات البشرية شاملة للجميع وآمنة وقادرة على الصمود ومستدامة") وفي ميثاق المستقبل. وتوسعت المبادرة لتشمل أكثر من 250 مدينة حول العالم، مطبقة </w:t>
      </w:r>
      <w:hyperlink r:id="rId531" w:anchor="/ar" w:history="1">
        <w:r w:rsidRPr="007C0894">
          <w:rPr>
            <w:rStyle w:val="Hyperlink"/>
            <w:noProof w:val="0"/>
            <w:spacing w:val="-2"/>
            <w:rtl/>
            <w:lang w:val="en-US" w:eastAsia="zh-CN"/>
          </w:rPr>
          <w:t>مؤشرات الأداء الرئيسية لمبادرة U4SSC</w:t>
        </w:r>
      </w:hyperlink>
      <w:r w:rsidRPr="007C0894">
        <w:rPr>
          <w:spacing w:val="-2"/>
          <w:rtl/>
        </w:rPr>
        <w:t xml:space="preserve"> القائمة على معايير الاتحاد. وتُعرض النتائج من خلال </w:t>
      </w:r>
      <w:hyperlink r:id="rId532" w:anchor="/ar" w:history="1">
        <w:r w:rsidRPr="007C0894">
          <w:rPr>
            <w:rStyle w:val="Hyperlink"/>
            <w:noProof w:val="0"/>
            <w:spacing w:val="-2"/>
            <w:rtl/>
            <w:lang w:val="en-US" w:eastAsia="zh-CN"/>
          </w:rPr>
          <w:t>لقطات المدن والتقارير ودراسات الحالة</w:t>
        </w:r>
      </w:hyperlink>
      <w:r w:rsidRPr="007C0894">
        <w:rPr>
          <w:spacing w:val="-2"/>
          <w:rtl/>
        </w:rPr>
        <w:t>، التي توفر إرشادات قائمة على الأدلة بشأن التحول الرقمي الحضري.</w:t>
      </w:r>
    </w:p>
    <w:p w14:paraId="19F4A6D8" w14:textId="63A93A5B" w:rsidR="007C0894" w:rsidRPr="007C0894" w:rsidRDefault="007C0894" w:rsidP="007C0894">
      <w:pPr>
        <w:rPr>
          <w:lang w:val="ar-SA" w:bidi="ar-EG"/>
        </w:rPr>
      </w:pPr>
      <w:r w:rsidRPr="007C0894">
        <w:rPr>
          <w:rtl/>
        </w:rPr>
        <w:t xml:space="preserve">ووسعت المبادرة U4SSC نطاقها </w:t>
      </w:r>
      <w:proofErr w:type="spellStart"/>
      <w:r w:rsidRPr="007C0894">
        <w:rPr>
          <w:rtl/>
        </w:rPr>
        <w:t>المواضيعي</w:t>
      </w:r>
      <w:proofErr w:type="spellEnd"/>
      <w:r w:rsidRPr="007C0894">
        <w:rPr>
          <w:rtl/>
        </w:rPr>
        <w:t xml:space="preserve"> من خلال </w:t>
      </w:r>
      <w:proofErr w:type="gramStart"/>
      <w:r w:rsidRPr="007C0894">
        <w:rPr>
          <w:rtl/>
        </w:rPr>
        <w:t>سبعة</w:t>
      </w:r>
      <w:proofErr w:type="gramEnd"/>
      <w:r w:rsidRPr="007C0894">
        <w:rPr>
          <w:rtl/>
        </w:rPr>
        <w:t xml:space="preserve"> مجالات لإرشادات الخبراء، تقدَّم من خلال </w:t>
      </w:r>
      <w:hyperlink r:id="rId533" w:anchor="/ar" w:history="1">
        <w:r w:rsidRPr="007C0894">
          <w:rPr>
            <w:rStyle w:val="Hyperlink"/>
            <w:noProof w:val="0"/>
            <w:rtl/>
            <w:lang w:val="en-US" w:eastAsia="zh-CN"/>
          </w:rPr>
          <w:t>تقارير المبادرة</w:t>
        </w:r>
        <w:r w:rsidR="00215757" w:rsidRPr="00215757">
          <w:rPr>
            <w:rStyle w:val="Hyperlink"/>
            <w:noProof w:val="0"/>
            <w:lang w:val="en-US" w:eastAsia="zh-CN" w:bidi="ar-EG"/>
          </w:rPr>
          <w:t> </w:t>
        </w:r>
        <w:r w:rsidRPr="007C0894">
          <w:rPr>
            <w:rStyle w:val="Hyperlink"/>
            <w:noProof w:val="0"/>
            <w:rtl/>
            <w:lang w:val="en-US" w:eastAsia="zh-CN"/>
          </w:rPr>
          <w:t>U4SSC</w:t>
        </w:r>
      </w:hyperlink>
      <w:r w:rsidRPr="007C0894">
        <w:rPr>
          <w:rtl/>
        </w:rPr>
        <w:t xml:space="preserve">، وتغطي منصات المدن ومساحات البيانات؛ الذكاء الاصطناعي في المدن؛ التحول الرقمي من أجل مدن تركز على الناس؛ البنية التحتية العامة الرقمية؛ الطاقة الحضرية والمباني؛ الاستدامة الاجتماعية والثقافية؛ استشراف المستقبل. وعززت </w:t>
      </w:r>
      <w:hyperlink r:id="rId534" w:anchor="/ar" w:history="1">
        <w:r w:rsidRPr="007C0894">
          <w:rPr>
            <w:rStyle w:val="Hyperlink"/>
            <w:noProof w:val="0"/>
            <w:rtl/>
            <w:lang w:val="en-US" w:eastAsia="zh-CN"/>
          </w:rPr>
          <w:t>اجتماعات مبادرة U4SSC</w:t>
        </w:r>
      </w:hyperlink>
      <w:r w:rsidR="00215757" w:rsidRPr="00215757">
        <w:rPr>
          <w:rFonts w:hint="cs"/>
          <w:rtl/>
          <w:lang w:bidi="ar-EG"/>
        </w:rPr>
        <w:t xml:space="preserve"> </w:t>
      </w:r>
      <w:r w:rsidRPr="007C0894">
        <w:rPr>
          <w:rtl/>
        </w:rPr>
        <w:t>التي عُقدت بانتظام هياكل الإدارة من خلال مجموعات مواضيعية جديدة تدعم المدن في تصميم استراتيجيات رقمية مستدامة ومرنة وشاملة.</w:t>
      </w:r>
    </w:p>
    <w:p w14:paraId="59B16FAE" w14:textId="71DA14A8" w:rsidR="007C0894" w:rsidRPr="007C0894" w:rsidRDefault="007C0894" w:rsidP="007C0894">
      <w:pPr>
        <w:rPr>
          <w:lang w:val="ar-SA" w:bidi="ar-EG"/>
        </w:rPr>
      </w:pPr>
      <w:r w:rsidRPr="007C0894">
        <w:rPr>
          <w:rtl/>
        </w:rPr>
        <w:t>وتكملةً لهذا العمل، وفر</w:t>
      </w:r>
      <w:r w:rsidR="00B6322B">
        <w:rPr>
          <w:rFonts w:hint="cs"/>
          <w:rtl/>
        </w:rPr>
        <w:t>ت</w:t>
      </w:r>
      <w:r w:rsidRPr="007C0894">
        <w:rPr>
          <w:rtl/>
        </w:rPr>
        <w:t xml:space="preserve"> </w:t>
      </w:r>
      <w:hyperlink r:id="rId535" w:anchor="/ar" w:history="1">
        <w:r w:rsidRPr="007C0894">
          <w:rPr>
            <w:rStyle w:val="Hyperlink"/>
            <w:noProof w:val="0"/>
            <w:rtl/>
            <w:lang w:val="en-US" w:eastAsia="zh-CN"/>
          </w:rPr>
          <w:t>حوارات الاتحاد بشأن التحول الرقمي</w:t>
        </w:r>
      </w:hyperlink>
      <w:r w:rsidRPr="007C0894">
        <w:rPr>
          <w:rtl/>
        </w:rPr>
        <w:t> منصة دينامية لتبادل المعارف وتعميق فهم التكنولوجيات الناشئة والتقييس التقني في مختلف المجالات. ومن خلال جلسات تفاعلية، تعزز سلسلة الحوارات المناقشات المتعلقة بالمشهد الرقمي السريع التطور وتأثيره على الصناعات والمجتمع.</w:t>
      </w:r>
    </w:p>
    <w:p w14:paraId="07163D6E" w14:textId="5169AFB0" w:rsidR="007C0894" w:rsidRPr="007C0894" w:rsidRDefault="007C0894" w:rsidP="007C0894">
      <w:pPr>
        <w:rPr>
          <w:spacing w:val="-2"/>
          <w:lang w:val="ar-SA" w:bidi="ar-EG"/>
        </w:rPr>
      </w:pPr>
      <w:r w:rsidRPr="007C0894">
        <w:rPr>
          <w:spacing w:val="-2"/>
          <w:rtl/>
        </w:rPr>
        <w:t xml:space="preserve">ويعرض </w:t>
      </w:r>
      <w:hyperlink r:id="rId536" w:anchor="/ar" w:history="1">
        <w:r w:rsidRPr="007C0894">
          <w:rPr>
            <w:rStyle w:val="Hyperlink"/>
            <w:noProof w:val="0"/>
            <w:spacing w:val="-2"/>
            <w:rtl/>
            <w:lang w:val="en-US" w:eastAsia="zh-CN"/>
          </w:rPr>
          <w:t>ملخص التحول الرقمي والمدن الصادر عن الاتحاد</w:t>
        </w:r>
      </w:hyperlink>
      <w:r w:rsidRPr="007C0894">
        <w:rPr>
          <w:spacing w:val="-2"/>
          <w:rtl/>
        </w:rPr>
        <w:t xml:space="preserve"> آخر المستجدات بشأن أنشطة الاتحاد المتعلقة بالتحول الرقمي والمدن الذكية والعوالم الافتراضية والميتافيرس. ويتضمن أيضاً معلومات عن الأحداث القادمة والمنشورات الجديدة.</w:t>
      </w:r>
    </w:p>
    <w:p w14:paraId="7B3F68EB" w14:textId="56575C8D" w:rsidR="007C0894" w:rsidRPr="007C0894" w:rsidRDefault="007C0894" w:rsidP="007C0894">
      <w:pPr>
        <w:rPr>
          <w:lang w:val="ar-SA" w:bidi="ar-EG"/>
        </w:rPr>
      </w:pPr>
      <w:r w:rsidRPr="007C0894">
        <w:rPr>
          <w:rtl/>
        </w:rPr>
        <w:t xml:space="preserve">إضافة إلى ذلك، يواصل الاتحاد تنسيق كم وفير من المعارف من خلال </w:t>
      </w:r>
      <w:hyperlink r:id="rId537" w:anchor="/ar" w:history="1">
        <w:r w:rsidRPr="007C0894">
          <w:rPr>
            <w:rStyle w:val="Hyperlink"/>
            <w:noProof w:val="0"/>
            <w:rtl/>
            <w:lang w:val="en-US" w:eastAsia="zh-CN"/>
          </w:rPr>
          <w:t>مركز موارد التحول الرقمي</w:t>
        </w:r>
      </w:hyperlink>
      <w:r w:rsidRPr="007C0894">
        <w:rPr>
          <w:rtl/>
        </w:rPr>
        <w:t>، ويقدم منشورات عالية الجودة بشأن مواضيع التحول الرقمي الرئيسية. وتشمل هذه المواضيع البنية التحتية العامة الرقمية، والذكاء الاصطناعي، وإنترنت الأشياء، وسلسلة الكتل، والتوائم الرقمية، والميتاف</w:t>
      </w:r>
      <w:r w:rsidR="00B6322B">
        <w:rPr>
          <w:rFonts w:hint="cs"/>
          <w:rtl/>
        </w:rPr>
        <w:t>ي</w:t>
      </w:r>
      <w:r w:rsidRPr="007C0894">
        <w:rPr>
          <w:rtl/>
        </w:rPr>
        <w:t>رس والعوالم الافتراضية، واتجاهات التحول الرقمي الناشئة.</w:t>
      </w:r>
    </w:p>
    <w:p w14:paraId="4AA8F5E8" w14:textId="07B9C7A7" w:rsidR="007C0894" w:rsidRPr="007C0894" w:rsidRDefault="007C0894" w:rsidP="00215757">
      <w:pPr>
        <w:pStyle w:val="Headingb"/>
        <w:rPr>
          <w:lang w:val="ar-SA" w:bidi="ar-EG"/>
        </w:rPr>
      </w:pPr>
      <w:bookmarkStart w:id="133" w:name="_Toc156392418"/>
      <w:r w:rsidRPr="007C0894">
        <w:rPr>
          <w:rtl/>
        </w:rPr>
        <w:t>أنظمة النقل الذكية</w:t>
      </w:r>
      <w:bookmarkStart w:id="134" w:name="_Hlk92287189"/>
      <w:bookmarkEnd w:id="133"/>
    </w:p>
    <w:p w14:paraId="4EEEACE8" w14:textId="227C0870" w:rsidR="007C0894" w:rsidRPr="007C0894" w:rsidRDefault="007C0894" w:rsidP="007C0894">
      <w:pPr>
        <w:rPr>
          <w:lang w:val="ar-SA" w:bidi="ar-EG"/>
        </w:rPr>
      </w:pPr>
      <w:r w:rsidRPr="007C0894">
        <w:rPr>
          <w:rtl/>
        </w:rPr>
        <w:t xml:space="preserve">خلال الجمعية العالمية لتقييس الاتصالات لعام 2024 </w:t>
      </w:r>
      <w:r w:rsidR="00F742FD" w:rsidRPr="00F742FD">
        <w:t>(WTSA-24)</w:t>
      </w:r>
      <w:r w:rsidRPr="007C0894">
        <w:rPr>
          <w:rtl/>
        </w:rPr>
        <w:t xml:space="preserve">، اعتُمد </w:t>
      </w:r>
      <w:hyperlink r:id="rId538" w:history="1">
        <w:r w:rsidRPr="007C0894">
          <w:rPr>
            <w:rStyle w:val="Hyperlink"/>
            <w:noProof w:val="0"/>
            <w:rtl/>
            <w:lang w:val="en-US" w:eastAsia="zh-CN"/>
          </w:rPr>
          <w:t>القرار 104</w:t>
        </w:r>
      </w:hyperlink>
      <w:r w:rsidRPr="007C0894">
        <w:rPr>
          <w:rtl/>
        </w:rPr>
        <w:t xml:space="preserve"> الجديد بشأن تشجيع وتعزيز أنشطة التقييس لاتصالات المركبات. وفي إطار هذا القرار الجديد، وقّع الاتحاد </w:t>
      </w:r>
      <w:hyperlink r:id="rId539" w:history="1">
        <w:r w:rsidRPr="007C0894">
          <w:rPr>
            <w:rStyle w:val="Hyperlink"/>
            <w:noProof w:val="0"/>
            <w:rtl/>
            <w:lang w:val="en-US" w:eastAsia="zh-CN"/>
          </w:rPr>
          <w:t>مذكرة تفاهم مع شركة SAE International</w:t>
        </w:r>
      </w:hyperlink>
      <w:r w:rsidRPr="007C0894">
        <w:rPr>
          <w:rtl/>
        </w:rPr>
        <w:t xml:space="preserve"> في 11 يوليو 2025 لتوسيع التعاون بشأن أنشطة اتصالات المركبات وأنظمة النقل الذكية، ما من شأنه أن ييسر الجهود العالمية الرامية إلى تعزيز السلامة على الطرق، ودعم القيادة المؤتمتة، والمساهمة في تحقيق أهداف التنمية المستدامة ذات الصلة.</w:t>
      </w:r>
    </w:p>
    <w:p w14:paraId="356C2223" w14:textId="528373E4" w:rsidR="007C0894" w:rsidRPr="007C0894" w:rsidRDefault="007C0894" w:rsidP="007C0894">
      <w:pPr>
        <w:rPr>
          <w:spacing w:val="-2"/>
          <w:lang w:val="ar-SA" w:bidi="ar-EG"/>
        </w:rPr>
      </w:pPr>
      <w:r w:rsidRPr="007C0894">
        <w:rPr>
          <w:spacing w:val="-2"/>
          <w:rtl/>
        </w:rPr>
        <w:t xml:space="preserve">ورسخ التعاون بشأن معايير اتصالات أنظمة النقل الذكية </w:t>
      </w:r>
      <w:r w:rsidRPr="007C0894">
        <w:rPr>
          <w:spacing w:val="-2"/>
          <w:lang w:bidi="ar-EG"/>
        </w:rPr>
        <w:t>(</w:t>
      </w:r>
      <w:hyperlink r:id="rId540" w:history="1">
        <w:r w:rsidRPr="007C0894">
          <w:rPr>
            <w:rStyle w:val="Hyperlink"/>
            <w:noProof w:val="0"/>
            <w:spacing w:val="-2"/>
            <w:lang w:val="en-US" w:eastAsia="zh-CN" w:bidi="ar-EG"/>
          </w:rPr>
          <w:t>CITS</w:t>
        </w:r>
      </w:hyperlink>
      <w:r w:rsidRPr="007C0894">
        <w:rPr>
          <w:spacing w:val="-2"/>
          <w:lang w:bidi="ar-EG"/>
        </w:rPr>
        <w:t>)</w:t>
      </w:r>
      <w:r w:rsidRPr="007C0894">
        <w:rPr>
          <w:spacing w:val="-2"/>
          <w:rtl/>
        </w:rPr>
        <w:t xml:space="preserve"> مكانته كمنصة عالمية معترف بها تجمع خبراء من هيئات وضع المعايير ودوائر الصناعة والحكومات لتبادل المعلومات ودراسة </w:t>
      </w:r>
      <w:hyperlink r:id="rId541" w:history="1">
        <w:r w:rsidRPr="007C0894">
          <w:rPr>
            <w:rStyle w:val="Hyperlink"/>
            <w:noProof w:val="0"/>
            <w:spacing w:val="-2"/>
            <w:rtl/>
            <w:lang w:val="en-US" w:eastAsia="zh-CN"/>
          </w:rPr>
          <w:t xml:space="preserve">المعايير المتعلقة بأنظمة النقل الذكية </w:t>
        </w:r>
        <w:r w:rsidRPr="007C0894">
          <w:rPr>
            <w:rStyle w:val="Hyperlink"/>
            <w:noProof w:val="0"/>
            <w:spacing w:val="-2"/>
            <w:lang w:val="en-US" w:eastAsia="zh-CN" w:bidi="ar-EG"/>
          </w:rPr>
          <w:t>(ITS)</w:t>
        </w:r>
      </w:hyperlink>
      <w:r w:rsidRPr="007C0894">
        <w:rPr>
          <w:spacing w:val="-2"/>
          <w:rtl/>
        </w:rPr>
        <w:t xml:space="preserve"> على الصعيد العالمي. وأنشئ في إطار هذا التعاون </w:t>
      </w:r>
      <w:hyperlink r:id="rId542" w:anchor="/ar" w:history="1">
        <w:r w:rsidRPr="007C0894">
          <w:rPr>
            <w:rStyle w:val="Hyperlink"/>
            <w:noProof w:val="0"/>
            <w:spacing w:val="-2"/>
            <w:rtl/>
            <w:lang w:val="en-US" w:eastAsia="zh-CN"/>
          </w:rPr>
          <w:t>فريق الخبراء المعني بتكنولوجيا الاتصالات للقيادة المؤتمتة</w:t>
        </w:r>
      </w:hyperlink>
      <w:r w:rsidRPr="007C0894">
        <w:rPr>
          <w:spacing w:val="-2"/>
          <w:rtl/>
        </w:rPr>
        <w:t xml:space="preserve"> </w:t>
      </w:r>
      <w:r w:rsidRPr="007C0894">
        <w:rPr>
          <w:spacing w:val="-2"/>
          <w:lang w:bidi="ar-EG"/>
        </w:rPr>
        <w:t>(EG-</w:t>
      </w:r>
      <w:proofErr w:type="spellStart"/>
      <w:r w:rsidRPr="007C0894">
        <w:rPr>
          <w:spacing w:val="-2"/>
          <w:lang w:bidi="ar-EG"/>
        </w:rPr>
        <w:t>ComAD</w:t>
      </w:r>
      <w:proofErr w:type="spellEnd"/>
      <w:r w:rsidRPr="007C0894">
        <w:rPr>
          <w:spacing w:val="-2"/>
          <w:lang w:bidi="ar-EG"/>
        </w:rPr>
        <w:t>)</w:t>
      </w:r>
      <w:r w:rsidRPr="007C0894">
        <w:rPr>
          <w:spacing w:val="-2"/>
          <w:rtl/>
        </w:rPr>
        <w:t xml:space="preserve">. ويُضطلع بأنشطة فريق الخبراء </w:t>
      </w:r>
      <w:r w:rsidRPr="007C0894">
        <w:rPr>
          <w:spacing w:val="-2"/>
          <w:lang w:bidi="ar-EG"/>
        </w:rPr>
        <w:t>EG-</w:t>
      </w:r>
      <w:proofErr w:type="spellStart"/>
      <w:r w:rsidRPr="007C0894">
        <w:rPr>
          <w:spacing w:val="-2"/>
          <w:lang w:bidi="ar-EG"/>
        </w:rPr>
        <w:t>ComAD</w:t>
      </w:r>
      <w:proofErr w:type="spellEnd"/>
      <w:r w:rsidRPr="007C0894">
        <w:rPr>
          <w:spacing w:val="-2"/>
          <w:rtl/>
        </w:rPr>
        <w:t xml:space="preserve"> من خلال ثلاثة أفرقة عمل، هي: فريق العمل 1 (WG1) "</w:t>
      </w:r>
      <w:hyperlink r:id="rId543" w:anchor="/ar" w:history="1">
        <w:r w:rsidRPr="007C0894">
          <w:rPr>
            <w:rStyle w:val="Hyperlink"/>
            <w:i/>
            <w:iCs/>
            <w:noProof w:val="0"/>
            <w:spacing w:val="-2"/>
            <w:rtl/>
            <w:lang w:val="en-US" w:eastAsia="zh-CN"/>
          </w:rPr>
          <w:t>اتصالات المركبات من أجل الدمج التلقائي في الممرات المزدحمة</w:t>
        </w:r>
      </w:hyperlink>
      <w:r w:rsidRPr="007C0894">
        <w:rPr>
          <w:spacing w:val="-2"/>
          <w:rtl/>
        </w:rPr>
        <w:t>"، فريق العمل 2 (WG2) "</w:t>
      </w:r>
      <w:r w:rsidR="00215757" w:rsidRPr="00215757">
        <w:rPr>
          <w:rFonts w:hint="cs"/>
          <w:spacing w:val="-2"/>
          <w:rtl/>
        </w:rPr>
        <w:t> </w:t>
      </w:r>
      <w:hyperlink r:id="rId544" w:anchor="/ar" w:history="1">
        <w:r w:rsidRPr="007C0894">
          <w:rPr>
            <w:rStyle w:val="Hyperlink"/>
            <w:i/>
            <w:iCs/>
            <w:noProof w:val="0"/>
            <w:spacing w:val="-2"/>
            <w:rtl/>
            <w:lang w:val="en-US" w:eastAsia="zh-CN"/>
          </w:rPr>
          <w:t xml:space="preserve">اتصالات المركبات من أجل الكبح المتقدم في حالات الطوارئ، بما في ذلك حماية مستعملي الطرق المعرضين للخطر </w:t>
        </w:r>
        <w:r w:rsidRPr="007C0894">
          <w:rPr>
            <w:rStyle w:val="Hyperlink"/>
            <w:i/>
            <w:iCs/>
            <w:noProof w:val="0"/>
            <w:spacing w:val="-2"/>
            <w:lang w:val="en-US" w:eastAsia="zh-CN" w:bidi="ar-EG"/>
          </w:rPr>
          <w:t>(VRU)</w:t>
        </w:r>
      </w:hyperlink>
      <w:r w:rsidR="00215757" w:rsidRPr="00215757">
        <w:rPr>
          <w:rFonts w:hint="cs"/>
          <w:i/>
          <w:iCs/>
          <w:spacing w:val="-2"/>
          <w:rtl/>
        </w:rPr>
        <w:t>"</w:t>
      </w:r>
      <w:r w:rsidRPr="007C0894">
        <w:rPr>
          <w:spacing w:val="-2"/>
          <w:rtl/>
        </w:rPr>
        <w:t>، فريق العمل 3 (WG3) "</w:t>
      </w:r>
      <w:r w:rsidR="00215757" w:rsidRPr="00215757">
        <w:rPr>
          <w:rFonts w:hint="cs"/>
          <w:spacing w:val="-2"/>
          <w:rtl/>
        </w:rPr>
        <w:t> </w:t>
      </w:r>
      <w:hyperlink r:id="rId545" w:anchor="/ar" w:history="1">
        <w:r w:rsidRPr="007C0894">
          <w:rPr>
            <w:rStyle w:val="Hyperlink"/>
            <w:i/>
            <w:iCs/>
            <w:noProof w:val="0"/>
            <w:spacing w:val="-2"/>
            <w:rtl/>
            <w:lang w:val="en-US" w:eastAsia="zh-CN"/>
          </w:rPr>
          <w:t>الاستدامة التقنية والاقتصادية لاتصالات المركبات</w:t>
        </w:r>
      </w:hyperlink>
      <w:r w:rsidRPr="007C0894">
        <w:rPr>
          <w:spacing w:val="-2"/>
          <w:rtl/>
        </w:rPr>
        <w:t>".</w:t>
      </w:r>
    </w:p>
    <w:p w14:paraId="10667B19" w14:textId="0F226C5F" w:rsidR="007C0894" w:rsidRPr="007C0894" w:rsidRDefault="007C0894" w:rsidP="007C0894">
      <w:pPr>
        <w:rPr>
          <w:lang w:val="ar-SA" w:bidi="ar-EG"/>
        </w:rPr>
      </w:pPr>
      <w:r w:rsidRPr="007C0894">
        <w:rPr>
          <w:rtl/>
        </w:rPr>
        <w:t xml:space="preserve">ويواصل الاتحاد أيضاً تطوير أنظمة النقل الذكية </w:t>
      </w:r>
      <w:r w:rsidRPr="007C0894">
        <w:rPr>
          <w:lang w:bidi="ar-EG"/>
        </w:rPr>
        <w:t>(ITS)</w:t>
      </w:r>
      <w:r w:rsidRPr="007C0894">
        <w:rPr>
          <w:rtl/>
        </w:rPr>
        <w:t xml:space="preserve"> من خلال تعاونه مع لجنة الأمم المتحدة الاقتصادية لأوروبا</w:t>
      </w:r>
      <w:r w:rsidR="00B6322B">
        <w:rPr>
          <w:rFonts w:hint="cs"/>
          <w:rtl/>
        </w:rPr>
        <w:t> </w:t>
      </w:r>
      <w:r w:rsidRPr="007C0894">
        <w:rPr>
          <w:lang w:bidi="ar-EG"/>
        </w:rPr>
        <w:t>(UNECE)</w:t>
      </w:r>
      <w:r w:rsidRPr="007C0894">
        <w:rPr>
          <w:rtl/>
        </w:rPr>
        <w:t xml:space="preserve"> والنظام الإيكولوجي للسيارات. وتجمع </w:t>
      </w:r>
      <w:hyperlink r:id="rId546" w:history="1">
        <w:r w:rsidRPr="007C0894">
          <w:rPr>
            <w:rStyle w:val="Hyperlink"/>
            <w:noProof w:val="0"/>
            <w:rtl/>
            <w:lang w:val="en-US" w:eastAsia="zh-CN"/>
          </w:rPr>
          <w:t xml:space="preserve">ندوة سيارة المستقبل الموصولة شبكياً </w:t>
        </w:r>
        <w:r w:rsidRPr="007C0894">
          <w:rPr>
            <w:rStyle w:val="Hyperlink"/>
            <w:noProof w:val="0"/>
            <w:lang w:val="en-US" w:eastAsia="zh-CN" w:bidi="ar-EG"/>
          </w:rPr>
          <w:t>(FNC)</w:t>
        </w:r>
        <w:r w:rsidRPr="007C0894">
          <w:rPr>
            <w:rStyle w:val="Hyperlink"/>
            <w:noProof w:val="0"/>
            <w:rtl/>
            <w:lang w:val="en-US" w:eastAsia="zh-CN"/>
          </w:rPr>
          <w:t xml:space="preserve"> المشتركة بين الاتحاد الدولي للاتصالات ولجنة الأمم المتحدة الاقتصادية لأوروبا</w:t>
        </w:r>
      </w:hyperlink>
      <w:r w:rsidRPr="007C0894">
        <w:rPr>
          <w:rtl/>
        </w:rPr>
        <w:t> دوائر الصناعة والمنظمين والخبراء لدراسة آخر التطورات في أتمتة المركبات والتوصيلية والتنظيم. ونظم الاتحاد ولجنة الأمم المتحدة الاقتصادية لأوروبا عدة دورات من ندوة سيارة المستقبل الموصولة شبكياً، واحدة في عام 2022، واثنتان في عام 2023 (مع فعالية ذات صلة في قطر)، وواحدة في عام</w:t>
      </w:r>
      <w:r w:rsidR="00B6322B">
        <w:rPr>
          <w:rFonts w:hint="cs"/>
          <w:rtl/>
        </w:rPr>
        <w:t> </w:t>
      </w:r>
      <w:r w:rsidRPr="007C0894">
        <w:rPr>
          <w:rtl/>
        </w:rPr>
        <w:t xml:space="preserve">2024، واثنتان في عام 2025 حيث عُقدت الندوة في إطار </w:t>
      </w:r>
      <w:hyperlink r:id="rId547" w:anchor="/ar" w:history="1">
        <w:r w:rsidRPr="007C0894">
          <w:rPr>
            <w:rStyle w:val="Hyperlink"/>
            <w:noProof w:val="0"/>
            <w:rtl/>
            <w:lang w:val="en-US" w:eastAsia="zh-CN"/>
          </w:rPr>
          <w:t>قمة الذكاء الاصطناعي من أجل المصلحة العامة</w:t>
        </w:r>
      </w:hyperlink>
      <w:r w:rsidRPr="007C0894">
        <w:rPr>
          <w:rtl/>
        </w:rPr>
        <w:t xml:space="preserve">. انظر </w:t>
      </w:r>
      <w:hyperlink r:id="rId548" w:history="1">
        <w:r w:rsidRPr="007C0894">
          <w:rPr>
            <w:rStyle w:val="Hyperlink"/>
            <w:noProof w:val="0"/>
            <w:rtl/>
            <w:lang w:val="en-US" w:eastAsia="zh-CN"/>
          </w:rPr>
          <w:t>هنا</w:t>
        </w:r>
      </w:hyperlink>
      <w:r w:rsidRPr="007C0894">
        <w:rPr>
          <w:u w:val="single"/>
          <w:rtl/>
        </w:rPr>
        <w:t xml:space="preserve"> </w:t>
      </w:r>
      <w:r w:rsidRPr="007C0894">
        <w:rPr>
          <w:rtl/>
        </w:rPr>
        <w:t xml:space="preserve">للاطلاع على مختلف </w:t>
      </w:r>
      <w:hyperlink r:id="rId549" w:history="1">
        <w:r w:rsidRPr="007C0894">
          <w:rPr>
            <w:rStyle w:val="Hyperlink"/>
            <w:noProof w:val="0"/>
            <w:rtl/>
            <w:lang w:val="en-US" w:eastAsia="zh-CN"/>
          </w:rPr>
          <w:t>الأحداث ذات الصلة بأنظمة النقل الذكية</w:t>
        </w:r>
      </w:hyperlink>
      <w:r w:rsidRPr="007C0894">
        <w:rPr>
          <w:rtl/>
        </w:rPr>
        <w:t>.</w:t>
      </w:r>
    </w:p>
    <w:p w14:paraId="468D3484" w14:textId="77777777" w:rsidR="007C0894" w:rsidRPr="007C0894" w:rsidRDefault="007C0894" w:rsidP="00215757">
      <w:pPr>
        <w:pStyle w:val="Headingb"/>
        <w:rPr>
          <w:lang w:val="ar-SA" w:bidi="ar-EG"/>
        </w:rPr>
      </w:pPr>
      <w:bookmarkStart w:id="135" w:name="_5.6_CTO_and"/>
      <w:bookmarkStart w:id="136" w:name="_Toc156392419"/>
      <w:bookmarkEnd w:id="135"/>
      <w:r w:rsidRPr="007C0894">
        <w:rPr>
          <w:rtl/>
        </w:rPr>
        <w:t>اجتماعات كبار مسؤولي التكنولوجيا وكبار المسؤولين التنفيذيين</w:t>
      </w:r>
      <w:bookmarkEnd w:id="136"/>
    </w:p>
    <w:bookmarkEnd w:id="134"/>
    <w:p w14:paraId="32247BE7" w14:textId="77777777" w:rsidR="007C0894" w:rsidRPr="007C0894" w:rsidRDefault="007C0894" w:rsidP="007C0894">
      <w:pPr>
        <w:rPr>
          <w:lang w:val="ar-SA" w:bidi="ar-EG"/>
        </w:rPr>
      </w:pPr>
      <w:r w:rsidRPr="007C0894">
        <w:rPr>
          <w:rtl/>
        </w:rPr>
        <w:t xml:space="preserve">كانت اجتماعات المائدة المستديرة السنوية لكبار الرؤساء التنفيذيين </w:t>
      </w:r>
      <w:r w:rsidRPr="007C0894">
        <w:rPr>
          <w:lang w:bidi="ar-EG"/>
        </w:rPr>
        <w:t>(</w:t>
      </w:r>
      <w:proofErr w:type="spellStart"/>
      <w:r w:rsidRPr="007C0894">
        <w:rPr>
          <w:lang w:bidi="ar-EG"/>
        </w:rPr>
        <w:t>CxO</w:t>
      </w:r>
      <w:proofErr w:type="spellEnd"/>
      <w:r w:rsidRPr="007C0894">
        <w:rPr>
          <w:lang w:bidi="ar-EG"/>
        </w:rPr>
        <w:t>)</w:t>
      </w:r>
      <w:r w:rsidRPr="007C0894">
        <w:rPr>
          <w:rtl/>
        </w:rPr>
        <w:t xml:space="preserve"> للاتحاد خلال الفترة من ديسمبر 2023 إلى نوفمبر 2025 بمثابة منتديات رفيعة المستوى وبالغة الأهمية للمديرين التنفيذيين في دوائر الصناعة لمناقشة الأولويات وأنشطة التقييس في مجال الاتصالات والتكنولوجيات الناشئة المتطور بسرعة. وما برحت هذه الأحداث تبرز الحاجة إلى قيادة الاتحاد في تشكيل المشهد الرقمي المستقبلي.</w:t>
      </w:r>
    </w:p>
    <w:p w14:paraId="3CB21F7D" w14:textId="77777777" w:rsidR="007C0894" w:rsidRPr="007C0894" w:rsidRDefault="007C0894" w:rsidP="007C0894">
      <w:pPr>
        <w:rPr>
          <w:lang w:val="ar-SA" w:bidi="ar-EG"/>
        </w:rPr>
      </w:pPr>
      <w:r w:rsidRPr="007C0894">
        <w:rPr>
          <w:rtl/>
        </w:rPr>
        <w:t xml:space="preserve">وأكد اجتماع المائدة المستديرة الذي عُقد في ديسمبر 2023 في دبي دور الاتحاد في وضع المعايير لشبكات النقل من الجيل السادس </w:t>
      </w:r>
      <w:r w:rsidRPr="007C0894">
        <w:rPr>
          <w:lang w:bidi="ar-EG"/>
        </w:rPr>
        <w:t>(</w:t>
      </w:r>
      <w:r w:rsidRPr="007C0894">
        <w:t>6G</w:t>
      </w:r>
      <w:r w:rsidRPr="007C0894">
        <w:rPr>
          <w:lang w:bidi="ar-EG"/>
        </w:rPr>
        <w:t>)</w:t>
      </w:r>
      <w:r w:rsidRPr="007C0894">
        <w:rPr>
          <w:rtl/>
        </w:rPr>
        <w:t xml:space="preserve">، مع التركيز على حلول الألياف البصرية الفعالة من حيث التكلفة. وشددت المناقشات على أهمية الذكاء الاصطناعي وتعلم الآلة في تحسين أداء الشبكات، وإمكانات الشبكات غير شبكات الأرض </w:t>
      </w:r>
      <w:r w:rsidRPr="007C0894">
        <w:rPr>
          <w:lang w:bidi="ar-EG"/>
        </w:rPr>
        <w:t>(NTN)</w:t>
      </w:r>
      <w:r w:rsidRPr="007C0894">
        <w:rPr>
          <w:rtl/>
        </w:rPr>
        <w:t xml:space="preserve"> لإتاحة التوصيلية عن بُعد، وعلى أهمية تقييس توصيلية المركبات لأغراض التنقل الذكي والاستجابة للكوارث. وأدت الشواغل الأمنية الناشئة، مثل الاحتيال في حركة الصوت والتسجيل </w:t>
      </w:r>
      <w:proofErr w:type="spellStart"/>
      <w:r w:rsidRPr="007C0894">
        <w:rPr>
          <w:rtl/>
        </w:rPr>
        <w:t>البيومتري</w:t>
      </w:r>
      <w:proofErr w:type="spellEnd"/>
      <w:r w:rsidRPr="007C0894">
        <w:rPr>
          <w:rtl/>
        </w:rPr>
        <w:t xml:space="preserve"> لبطاقات </w:t>
      </w:r>
      <w:r w:rsidRPr="007C0894">
        <w:rPr>
          <w:lang w:bidi="ar-EG"/>
        </w:rPr>
        <w:t>SIM</w:t>
      </w:r>
      <w:r w:rsidRPr="007C0894">
        <w:rPr>
          <w:rtl/>
        </w:rPr>
        <w:t>، إلى إطلاق دعوات للحصول على توجيهات الاتحاد، إلى جانب الدعم في تقييس تكنولوجيات المعلومات الكمومية.</w:t>
      </w:r>
    </w:p>
    <w:p w14:paraId="186EDEB2" w14:textId="33480CF8" w:rsidR="007C0894" w:rsidRPr="007C0894" w:rsidRDefault="007C0894" w:rsidP="007C0894">
      <w:pPr>
        <w:rPr>
          <w:lang w:val="ar-SA" w:bidi="ar-EG"/>
        </w:rPr>
      </w:pPr>
      <w:r w:rsidRPr="007C0894">
        <w:rPr>
          <w:rtl/>
        </w:rPr>
        <w:t>وبعد عام واحد، واصل اجتماع المائدة المستديرة الذي عُقد في ديسمبر 2024، في دبي أيضاً، معالجة هذه المواضيع من خلال الدعوة إلى وضع خارطة طريق للتقييس لدى الاتحاد حتى عام 2030 للشبكات البصرية الداعمة للاتصالات المتنقلة الدولية-2030 (المعروفة أيضاً بالجيل السادس). وسلط مختلف كبار المسؤولين التنفيذيين</w:t>
      </w:r>
      <w:r w:rsidR="00215757" w:rsidRPr="007C0894">
        <w:rPr>
          <w:rtl/>
        </w:rPr>
        <w:t xml:space="preserve"> </w:t>
      </w:r>
      <w:r w:rsidR="00215757" w:rsidRPr="007C0894">
        <w:rPr>
          <w:lang w:bidi="ar-EG"/>
        </w:rPr>
        <w:t>(</w:t>
      </w:r>
      <w:proofErr w:type="spellStart"/>
      <w:r w:rsidR="00215757" w:rsidRPr="007C0894">
        <w:rPr>
          <w:lang w:bidi="ar-EG"/>
        </w:rPr>
        <w:t>CxO</w:t>
      </w:r>
      <w:proofErr w:type="spellEnd"/>
      <w:r w:rsidR="00215757" w:rsidRPr="007C0894">
        <w:rPr>
          <w:lang w:bidi="ar-EG"/>
        </w:rPr>
        <w:t>)</w:t>
      </w:r>
      <w:r w:rsidRPr="007C0894">
        <w:rPr>
          <w:rtl/>
        </w:rPr>
        <w:t xml:space="preserve"> الضوء على ذكاء الشبكة والاستدامة البيئية من خلال النماذج اللغوية الكبيرة </w:t>
      </w:r>
      <w:r w:rsidRPr="007C0894">
        <w:rPr>
          <w:lang w:bidi="ar-EG"/>
        </w:rPr>
        <w:t>(LLM)</w:t>
      </w:r>
      <w:r w:rsidRPr="007C0894">
        <w:rPr>
          <w:rtl/>
        </w:rPr>
        <w:t xml:space="preserve">، وتطوير الذكاء الاصطناعي المفتوح المصدر المتعدد اللغات. وشملت المناقشات الرئيسية مواءمة المعايير لتدفق البيانات عبر الحدود، وتنفيذ تدابير مضادة عالمية لمكافحة الاحتيال الصوتي (مثل قوائم "عدم إنشاء الاتصال")، وتقديم توجيهات الاتحاد بشأن اعتماد الشبكات </w:t>
      </w:r>
      <w:r w:rsidRPr="007C0894">
        <w:rPr>
          <w:lang w:bidi="ar-EG"/>
        </w:rPr>
        <w:t>NTN</w:t>
      </w:r>
      <w:r w:rsidRPr="007C0894">
        <w:rPr>
          <w:rtl/>
        </w:rPr>
        <w:t xml:space="preserve"> لتعزيز التوصيلية والسلامة العامة. كما أعطيت الأولوية لشبكات النطاق العريض الموثوقة لخدمات الطوارئ.</w:t>
      </w:r>
    </w:p>
    <w:p w14:paraId="706215CC" w14:textId="77777777" w:rsidR="007C0894" w:rsidRPr="007C0894" w:rsidRDefault="007C0894" w:rsidP="007C0894">
      <w:pPr>
        <w:rPr>
          <w:lang w:val="ar-SA" w:bidi="ar-EG"/>
        </w:rPr>
      </w:pPr>
      <w:r w:rsidRPr="007C0894">
        <w:rPr>
          <w:rtl/>
        </w:rPr>
        <w:t>وطور اجتماع المائدة المستديرة لكبار الرؤساء التنفيذيين الذي عُقد في نوفمبر 2025 في ميونيخ هذه المناقشات، مع التركيز على أولويات الصناعة الرئيسية حيث يؤدي الذكاء الاصطناعي دوراً محورياً: الأداء والقدرة على الصمود والاستدامة البيئية والأمن. وشدد اجتماع المائدة المستديرة على الحاجة إلى ذكاء اصطناعي مسؤول وموثوق، ودعا إلى وضع معايير بشأن الأخلاقيات وسلامة البيانات ومعماريات انعدام الثقة. وكانت ابتكارات مراكز البيانات، المدفوعة بأعباء عمل الذكاء الاصطناعي والتعاون مع قطاع الطاقة لتوفير الطاقة المتجددة، من المواضيع البارزة. وظلت الشبكات غير شبكات الأرض محط تركيز لتعزيز التوصيلية في المناطق الريفية ومناطق الطوارئ، مع الدعوة إلى وضع مؤشرات أداء جديدة. وحُددت ضمن جهود التقييس أيضاً تكنولوجيات ناشئة من قبيل تكنولوجيا الاستشعار الموزَّع بالألياف البصرية، وتكنولوجيا المعلومات الكمومية، والوسائط فائقة الوضوح.</w:t>
      </w:r>
    </w:p>
    <w:p w14:paraId="7DEB29B8" w14:textId="795FC669" w:rsidR="007C0894" w:rsidRPr="007C0894" w:rsidRDefault="007C0894" w:rsidP="007C0894">
      <w:pPr>
        <w:rPr>
          <w:lang w:val="ar-SA" w:bidi="ar-EG"/>
        </w:rPr>
      </w:pPr>
      <w:r w:rsidRPr="007C0894">
        <w:rPr>
          <w:rtl/>
        </w:rPr>
        <w:t xml:space="preserve">وأظهرت هذه الاجتماعات، مجتمعةً، تفويضاً متسقاً ومتطوراً للدور القيادي </w:t>
      </w:r>
      <w:r w:rsidR="00B6322B">
        <w:rPr>
          <w:rFonts w:hint="cs"/>
          <w:rtl/>
        </w:rPr>
        <w:t>ل</w:t>
      </w:r>
      <w:r w:rsidRPr="007C0894">
        <w:rPr>
          <w:rtl/>
        </w:rPr>
        <w:t xml:space="preserve">لاتحاد في وضع معايير عالمية للتكنولوجيات التحويلية مثل الذكاء الاصطناعي والجيل السادس والشبكات غير شبكات الأرض </w:t>
      </w:r>
      <w:r w:rsidRPr="007C0894">
        <w:rPr>
          <w:lang w:bidi="ar-EG"/>
        </w:rPr>
        <w:t>(NTN)</w:t>
      </w:r>
      <w:r w:rsidRPr="007C0894">
        <w:rPr>
          <w:rtl/>
        </w:rPr>
        <w:t xml:space="preserve"> والحوسبة الكمومية، مع التصدي في الوقت نفسه لتهديدات الأمن السيبراني وتعزيز الاستدامة البيئية داخل النظام الإيكولوجي الرقمي.</w:t>
      </w:r>
    </w:p>
    <w:p w14:paraId="41AC665D" w14:textId="77777777" w:rsidR="007C0894" w:rsidRPr="007C0894" w:rsidRDefault="007C0894" w:rsidP="00215757">
      <w:pPr>
        <w:pStyle w:val="Headingb"/>
        <w:rPr>
          <w:lang w:val="ar-SA" w:bidi="ar-EG"/>
        </w:rPr>
      </w:pPr>
      <w:r w:rsidRPr="007C0894">
        <w:rPr>
          <w:rtl/>
        </w:rPr>
        <w:t>التعاون العالمي في مجال المعايير</w:t>
      </w:r>
    </w:p>
    <w:p w14:paraId="0DDFD4A1" w14:textId="3FEE5D29" w:rsidR="007C0894" w:rsidRPr="007C0894" w:rsidRDefault="007C0894" w:rsidP="007C0894">
      <w:pPr>
        <w:rPr>
          <w:lang w:val="ar-SA" w:bidi="ar-EG"/>
        </w:rPr>
      </w:pPr>
      <w:hyperlink r:id="rId550" w:anchor="/ar" w:history="1">
        <w:r w:rsidRPr="007C0894">
          <w:rPr>
            <w:rStyle w:val="Hyperlink"/>
            <w:noProof w:val="0"/>
            <w:rtl/>
            <w:lang w:val="en-US" w:eastAsia="zh-CN"/>
          </w:rPr>
          <w:t>التعاون العالمي في مجال المعايير</w:t>
        </w:r>
      </w:hyperlink>
      <w:r w:rsidRPr="007C0894">
        <w:rPr>
          <w:rtl/>
        </w:rPr>
        <w:t xml:space="preserve"> هو شراكة بين الاتحاد الدولي للاتصالات </w:t>
      </w:r>
      <w:r w:rsidRPr="007C0894">
        <w:rPr>
          <w:lang w:bidi="ar-EG"/>
        </w:rPr>
        <w:t>(ITU)</w:t>
      </w:r>
      <w:r w:rsidRPr="007C0894">
        <w:rPr>
          <w:rtl/>
        </w:rPr>
        <w:t xml:space="preserve"> واللجنة الكهرتقنية الدولية </w:t>
      </w:r>
      <w:r w:rsidRPr="007C0894">
        <w:rPr>
          <w:lang w:bidi="ar-EG"/>
        </w:rPr>
        <w:t>(IEC)</w:t>
      </w:r>
      <w:r w:rsidRPr="007C0894">
        <w:rPr>
          <w:rtl/>
        </w:rPr>
        <w:t xml:space="preserve"> والمنظمة الدولية للتوحيد القياسي </w:t>
      </w:r>
      <w:r w:rsidRPr="007C0894">
        <w:rPr>
          <w:lang w:bidi="ar-EG"/>
        </w:rPr>
        <w:t>(ISO)</w:t>
      </w:r>
      <w:r w:rsidRPr="007C0894">
        <w:rPr>
          <w:rtl/>
        </w:rPr>
        <w:t xml:space="preserve"> للنهوض بنظام التقييس الدولي الطوعي القائم على توافق الآراء.</w:t>
      </w:r>
      <w:r w:rsidRPr="007C0894">
        <w:rPr>
          <w:rFonts w:ascii="Arial" w:hAnsi="Arial" w:cs="Arial" w:hint="cs"/>
          <w:rtl/>
        </w:rPr>
        <w:t> </w:t>
      </w:r>
    </w:p>
    <w:p w14:paraId="5EECEBF8" w14:textId="2BE0E7CB" w:rsidR="007C0894" w:rsidRPr="007C0894" w:rsidRDefault="007C0894" w:rsidP="007C0894">
      <w:pPr>
        <w:rPr>
          <w:lang w:val="ar-SA" w:bidi="ar-EG"/>
        </w:rPr>
      </w:pPr>
      <w:r w:rsidRPr="007C0894">
        <w:rPr>
          <w:rtl/>
        </w:rPr>
        <w:t>وتشمل الأنشطة المشتركة قيادة </w:t>
      </w:r>
      <w:hyperlink r:id="rId551" w:history="1">
        <w:r w:rsidRPr="007C0894">
          <w:rPr>
            <w:rStyle w:val="Hyperlink"/>
            <w:noProof w:val="0"/>
            <w:rtl/>
            <w:lang w:val="en-US" w:eastAsia="zh-CN"/>
          </w:rPr>
          <w:t>اليوم العالمي للمعايير</w:t>
        </w:r>
      </w:hyperlink>
      <w:r w:rsidRPr="007C0894">
        <w:rPr>
          <w:rtl/>
        </w:rPr>
        <w:t xml:space="preserve"> في إطار موضوع كيف توفر المعايير إطاراً مشتركاً يمكّن التعاون الهادف بين دوائر الصناعة والحكومات والمنظمات لتحقيق الأهداف المشتركة للتنمية المستدامة (انظر </w:t>
      </w:r>
      <w:hyperlink r:id="rId552" w:history="1">
        <w:r w:rsidRPr="007C0894">
          <w:rPr>
            <w:rStyle w:val="Hyperlink"/>
            <w:noProof w:val="0"/>
            <w:rtl/>
            <w:lang w:val="en-US" w:eastAsia="zh-CN"/>
          </w:rPr>
          <w:t>النسخ السابقة من اليوم العالمي للمعايير</w:t>
        </w:r>
      </w:hyperlink>
      <w:r w:rsidRPr="007C0894">
        <w:rPr>
          <w:rtl/>
        </w:rPr>
        <w:t>).</w:t>
      </w:r>
    </w:p>
    <w:p w14:paraId="42256DDF" w14:textId="5D4097E1" w:rsidR="007C0894" w:rsidRPr="007C0894" w:rsidRDefault="007C0894" w:rsidP="007C0894">
      <w:pPr>
        <w:rPr>
          <w:lang w:val="ar-SA" w:bidi="ar-EG"/>
        </w:rPr>
      </w:pPr>
      <w:r w:rsidRPr="007C0894">
        <w:rPr>
          <w:rtl/>
        </w:rPr>
        <w:t>وعمّق الشركاء أيضاً التعاون في مجالي الاستدامة والذكاء الاصطناعي، وشمل ذلك إصدار بيانات مشتركة في مؤتمري الأطراف</w:t>
      </w:r>
      <w:r w:rsidR="00215757">
        <w:rPr>
          <w:rFonts w:hint="cs"/>
          <w:rtl/>
          <w:lang w:bidi="ar-EG"/>
        </w:rPr>
        <w:t xml:space="preserve"> </w:t>
      </w:r>
      <w:hyperlink r:id="rId553" w:history="1">
        <w:r w:rsidRPr="007C0894">
          <w:rPr>
            <w:rStyle w:val="Hyperlink"/>
            <w:noProof w:val="0"/>
            <w:rtl/>
            <w:lang w:val="en-US" w:eastAsia="zh-CN"/>
          </w:rPr>
          <w:t>COP28</w:t>
        </w:r>
      </w:hyperlink>
      <w:r w:rsidRPr="007C0894">
        <w:rPr>
          <w:rtl/>
        </w:rPr>
        <w:t xml:space="preserve"> و</w:t>
      </w:r>
      <w:hyperlink r:id="rId554" w:history="1">
        <w:r w:rsidRPr="007C0894">
          <w:rPr>
            <w:rStyle w:val="Hyperlink"/>
            <w:noProof w:val="0"/>
            <w:rtl/>
            <w:lang w:val="en-US" w:eastAsia="zh-CN"/>
          </w:rPr>
          <w:t>COP29</w:t>
        </w:r>
      </w:hyperlink>
      <w:r w:rsidRPr="007C0894">
        <w:rPr>
          <w:rtl/>
        </w:rPr>
        <w:t xml:space="preserve"> بشأن دمج الاستدامة في المعايير التقنية منذ مرحلة التصميم، بهدف تحقيق صافي انبعاثات صفري واقتصاد يتسم بالكفاءة من حيث استخدام الموارد ودائري منخفض الكربون، وذلك من خلال التعاون في إطار مسار العمل الرقمي المراعي للبيئة. وحافظت الشراكة أيضاً على حضور مشترك في جناح المعايير في مؤتمر الأطراف</w:t>
      </w:r>
      <w:r w:rsidR="00B6322B">
        <w:rPr>
          <w:rFonts w:hint="cs"/>
          <w:rtl/>
        </w:rPr>
        <w:t> </w:t>
      </w:r>
      <w:r w:rsidRPr="007C0894">
        <w:rPr>
          <w:rtl/>
        </w:rPr>
        <w:t>COP29 وCOP30، ما يُظهر نهجاً موحداً في الترويج لدور المعايير الدولية في العمل المناخي.</w:t>
      </w:r>
    </w:p>
    <w:p w14:paraId="30F4E99E" w14:textId="4CFB2019" w:rsidR="007C0894" w:rsidRPr="007C0894" w:rsidRDefault="007C0894" w:rsidP="007C0894">
      <w:pPr>
        <w:rPr>
          <w:lang w:val="ar-SA" w:bidi="ar-EG"/>
        </w:rPr>
      </w:pPr>
      <w:r w:rsidRPr="007C0894">
        <w:rPr>
          <w:rtl/>
        </w:rPr>
        <w:t xml:space="preserve">وتشمل المبادرات التعاونية المشتركة الأخرى التي أُطلقت مؤخراً </w:t>
      </w:r>
      <w:hyperlink r:id="rId555" w:anchor="/ar" w:history="1">
        <w:r w:rsidRPr="007C0894">
          <w:rPr>
            <w:rStyle w:val="Hyperlink"/>
            <w:noProof w:val="0"/>
            <w:rtl/>
            <w:lang w:val="en-US" w:eastAsia="zh-CN"/>
          </w:rPr>
          <w:t xml:space="preserve">التعاون في مجال معايير أصالة الذكاء الاصطناعي والوسائط المتعددة </w:t>
        </w:r>
        <w:r w:rsidRPr="007C0894">
          <w:rPr>
            <w:rStyle w:val="Hyperlink"/>
            <w:noProof w:val="0"/>
            <w:lang w:val="en-US" w:eastAsia="zh-CN" w:bidi="ar-EG"/>
          </w:rPr>
          <w:t>(AMAS)</w:t>
        </w:r>
      </w:hyperlink>
      <w:r w:rsidRPr="007C0894">
        <w:rPr>
          <w:rtl/>
        </w:rPr>
        <w:t xml:space="preserve"> لمكافحة التزييف العميق والمعلومات المغلوطة والمعلومات المضلِّلة. ويجمع التعاون في مجال معايير أصالة الذكاء الاصطناعي والوسائط المتعددة هيئات وضع المعايير وقادة التكنولوجيا والخبراء الأكاديميين وواضعي السياسات والمجتمع المدني لبناء مستقبل يمكننا فيه الوثوق بالمحتوى الرقمي. ويركز عمل التعاون على رسم خريطة لمشهد معايير أصالة الوسائط المتعددة وإجراء تقييم للقوانين والسياسات المعتمدة من مختلف الحكومات ودوائر الصناعة والمجتمع المدني لمواجهة تحديات التزييف العميق والمعلومات المغلوطة والمعلومات المضلِّلة. وفي 11 يوليو 2025، أصدر الفريق الذي أنشأه التعاون، في </w:t>
      </w:r>
      <w:r w:rsidRPr="007C0894">
        <w:rPr>
          <w:i/>
          <w:iCs/>
          <w:rtl/>
        </w:rPr>
        <w:t>القمة العالمية للذكاء الاصطناعي من أجل المصلحة العامة</w:t>
      </w:r>
      <w:r w:rsidRPr="007C0894">
        <w:rPr>
          <w:rtl/>
        </w:rPr>
        <w:t xml:space="preserve">، </w:t>
      </w:r>
      <w:hyperlink r:id="rId556" w:anchor="/ar" w:history="1">
        <w:r w:rsidRPr="007C0894">
          <w:rPr>
            <w:rStyle w:val="Hyperlink"/>
            <w:noProof w:val="0"/>
            <w:rtl/>
            <w:lang w:val="en-US" w:eastAsia="zh-CN"/>
          </w:rPr>
          <w:t>تقريرين</w:t>
        </w:r>
      </w:hyperlink>
      <w:r w:rsidRPr="007C0894">
        <w:rPr>
          <w:rtl/>
        </w:rPr>
        <w:t xml:space="preserve"> - ورقة تقنية بشأن مشهد تقابل المعايير المتعلقة بأصالة الوسائط المتعددة، وورقة </w:t>
      </w:r>
      <w:proofErr w:type="spellStart"/>
      <w:r w:rsidRPr="007C0894">
        <w:rPr>
          <w:rtl/>
        </w:rPr>
        <w:t>سياساتية</w:t>
      </w:r>
      <w:proofErr w:type="spellEnd"/>
      <w:r w:rsidRPr="007C0894">
        <w:rPr>
          <w:rtl/>
        </w:rPr>
        <w:t xml:space="preserve"> تقدم توصيات لتوجيه حوكمة الذكاء الاصطناعي على الصعيد العالمي ومكافحة التزييف العميق والمعلومات المغلوطة والمعلومات المضلِّلة. وبالإضافة إلى ذلك، عقد الشركاء القمة الدولية لمعايير الذكاء الاصطناعي، وعُقدت نسختان رئيسيتان منها في </w:t>
      </w:r>
      <w:hyperlink r:id="rId557" w:anchor="/ar" w:history="1">
        <w:r w:rsidRPr="007C0894">
          <w:rPr>
            <w:rStyle w:val="Hyperlink"/>
            <w:noProof w:val="0"/>
            <w:rtl/>
            <w:lang w:val="en-US" w:eastAsia="zh-CN"/>
          </w:rPr>
          <w:t>نيودلهي (2024)</w:t>
        </w:r>
      </w:hyperlink>
      <w:r w:rsidRPr="007C0894">
        <w:rPr>
          <w:rtl/>
        </w:rPr>
        <w:t xml:space="preserve"> و</w:t>
      </w:r>
      <w:hyperlink r:id="rId558" w:anchor="/ar" w:history="1">
        <w:r w:rsidRPr="007C0894">
          <w:rPr>
            <w:rStyle w:val="Hyperlink"/>
            <w:noProof w:val="0"/>
            <w:rtl/>
            <w:lang w:val="en-US" w:eastAsia="zh-CN"/>
          </w:rPr>
          <w:t>سيول (2025)</w:t>
        </w:r>
      </w:hyperlink>
      <w:r w:rsidRPr="007C0894">
        <w:rPr>
          <w:rtl/>
        </w:rPr>
        <w:t xml:space="preserve">، فضلاً عن يوم مخصص لمعايير الذكاء الاصطناعي خلال القمة العالمية للذكاء الاصطناعي من أجل المصلحة العامة (يوليو 2025). وعُززت هذه الجهود بإطلاق </w:t>
      </w:r>
      <w:hyperlink r:id="rId559" w:anchor="/ar" w:history="1">
        <w:r w:rsidRPr="007C0894">
          <w:rPr>
            <w:rStyle w:val="Hyperlink"/>
            <w:noProof w:val="0"/>
            <w:rtl/>
            <w:lang w:val="en-US" w:eastAsia="zh-CN"/>
          </w:rPr>
          <w:t>قاعدة بيانات تبادل معايير الذكاء الاصطناعي</w:t>
        </w:r>
      </w:hyperlink>
      <w:r w:rsidRPr="007C0894">
        <w:rPr>
          <w:rtl/>
        </w:rPr>
        <w:t xml:space="preserve"> في عام 2025، التي توفر بوابة موحدة مع مرفق بحث للنفاذ إلى أكثر من 800 مورد من المعايير والتقارير التقنية المتعلقة بالذكاء الاصطناعي الصادرة عن الشركاء الثلاثة والهيئات المشارِكة الأخرى المعنية بوضع المعايير مثل معهد مهندسي الكهرباء والإلكترونيات </w:t>
      </w:r>
      <w:r w:rsidRPr="007C0894">
        <w:rPr>
          <w:lang w:bidi="ar-EG"/>
        </w:rPr>
        <w:t>(IEEE)</w:t>
      </w:r>
      <w:r w:rsidRPr="007C0894">
        <w:rPr>
          <w:rtl/>
        </w:rPr>
        <w:t xml:space="preserve"> وفريق مهام هندسة الإنترنت </w:t>
      </w:r>
      <w:r w:rsidRPr="007C0894">
        <w:rPr>
          <w:lang w:bidi="ar-EG"/>
        </w:rPr>
        <w:t>(IETF)</w:t>
      </w:r>
      <w:r w:rsidRPr="007C0894">
        <w:rPr>
          <w:rtl/>
        </w:rPr>
        <w:t>، التي تدعم وضع المعايير المنسقة والتطبيق العملي لمعايير الذكاء الاصطناعي الجدير بالثقة.</w:t>
      </w:r>
    </w:p>
    <w:p w14:paraId="3EB31190" w14:textId="62E6A922" w:rsidR="007C0894" w:rsidRPr="007C0894" w:rsidRDefault="007C0894" w:rsidP="00215757">
      <w:pPr>
        <w:pStyle w:val="Headingb"/>
        <w:rPr>
          <w:lang w:val="ar-SA" w:bidi="ar-EG"/>
        </w:rPr>
      </w:pPr>
      <w:r w:rsidRPr="007C0894">
        <w:rPr>
          <w:rtl/>
        </w:rPr>
        <w:t>الاستفادة من الذكاء الاصطناعي في إطار مبادرة نظم الإنذار المبكر للجميع</w:t>
      </w:r>
    </w:p>
    <w:p w14:paraId="76B59FDE" w14:textId="7DAC8393" w:rsidR="007C0894" w:rsidRPr="007C0894" w:rsidRDefault="007C0894" w:rsidP="007C0894">
      <w:pPr>
        <w:rPr>
          <w:lang w:val="ar-SA" w:bidi="ar-EG"/>
        </w:rPr>
      </w:pPr>
      <w:r w:rsidRPr="007C0894">
        <w:rPr>
          <w:rtl/>
        </w:rPr>
        <w:t xml:space="preserve">شكّل الاتحاد، بالاشتراك مع المنظمة العالمية للأرصاد الجوية </w:t>
      </w:r>
      <w:r w:rsidRPr="007C0894">
        <w:rPr>
          <w:lang w:bidi="ar-EG"/>
        </w:rPr>
        <w:t>(WMO)</w:t>
      </w:r>
      <w:r w:rsidRPr="007C0894">
        <w:rPr>
          <w:rtl/>
        </w:rPr>
        <w:t xml:space="preserve"> ومكتب الأمم المتحدة للحد من مخاطر الكوارث</w:t>
      </w:r>
      <w:r w:rsidR="00EC165E">
        <w:rPr>
          <w:rFonts w:hint="cs"/>
          <w:rtl/>
        </w:rPr>
        <w:t> </w:t>
      </w:r>
      <w:r w:rsidRPr="007C0894">
        <w:rPr>
          <w:lang w:bidi="ar-EG"/>
        </w:rPr>
        <w:t>(UNDRR)</w:t>
      </w:r>
      <w:r w:rsidRPr="007C0894">
        <w:rPr>
          <w:rtl/>
        </w:rPr>
        <w:t xml:space="preserve"> والاتحاد الدولي لجمعيات الصليب الأحمر والهلال الأحمر </w:t>
      </w:r>
      <w:r w:rsidRPr="007C0894">
        <w:rPr>
          <w:lang w:bidi="ar-EG"/>
        </w:rPr>
        <w:t>(IFRC)</w:t>
      </w:r>
      <w:r w:rsidRPr="007C0894">
        <w:rPr>
          <w:rtl/>
        </w:rPr>
        <w:t xml:space="preserve">، </w:t>
      </w:r>
      <w:hyperlink r:id="rId560" w:history="1">
        <w:r w:rsidRPr="007C0894">
          <w:rPr>
            <w:rStyle w:val="Hyperlink"/>
            <w:noProof w:val="0"/>
            <w:rtl/>
            <w:lang w:val="en-US" w:eastAsia="zh-CN"/>
          </w:rPr>
          <w:t>الفريق الفرعي المعني بالذكاء الاصطناعي التابع لمبادرة نظم الإنذار المبكر للجميع</w:t>
        </w:r>
      </w:hyperlink>
      <w:r w:rsidRPr="007C0894">
        <w:rPr>
          <w:rtl/>
        </w:rPr>
        <w:t xml:space="preserve"> للاستفادة من الذكاء الاصطناعي لتعزيز نظم الإنذار المبكر من خلال توحيد جهود الخبراء في مجال الذكاء الاصطناعي وعلوم البيانات وإدارة مخاطر الكوارث. ويعمل الفريق على سد الفجوة بين البحوث في مجال الذكاء الاصطناعي والاحتياجات العملية للعاملين في مجال الإنذار المبكر والمجتمعات المحلية في جميع أنحاء العالم، حيث يجري العمل على تيسير تنفيذ مبادرات تجريبية في البلدان. وتتمثل إحدى هذه المبادرات التجريبية في العمل المنجز باستخدام </w:t>
      </w:r>
      <w:hyperlink r:id="rId561" w:history="1">
        <w:r w:rsidRPr="007C0894">
          <w:rPr>
            <w:rStyle w:val="Hyperlink"/>
            <w:noProof w:val="0"/>
            <w:rtl/>
            <w:lang w:val="en-US" w:eastAsia="zh-CN"/>
          </w:rPr>
          <w:t>خريطة التوصيلية في حالات الكوارث</w:t>
        </w:r>
      </w:hyperlink>
      <w:r w:rsidRPr="007C0894">
        <w:rPr>
          <w:rtl/>
        </w:rPr>
        <w:t xml:space="preserve">، حيث أقام الاتحاد شراكة مع مختبر مايكروسوفت للذكاء الاصطناعي من أجل المصلحة العامة، وشركة </w:t>
      </w:r>
      <w:r w:rsidRPr="007C0894">
        <w:rPr>
          <w:lang w:bidi="ar-EG"/>
        </w:rPr>
        <w:t>Planet</w:t>
      </w:r>
      <w:r w:rsidRPr="007C0894">
        <w:rPr>
          <w:rtl/>
        </w:rPr>
        <w:t xml:space="preserve">، ومعهد القياسات الصحية والتقييم الصحي، لاستخدام الذكاء الاصطناعي لتحليل الصور الساتلية وإنشاء خرائط عالية الدقة للكثافة السكانية. وتُستخدم خريطة التوصيلية للإنذار المبكر </w:t>
      </w:r>
      <w:r w:rsidRPr="007C0894">
        <w:rPr>
          <w:lang w:bidi="ar-EG"/>
        </w:rPr>
        <w:t>(EWCM)</w:t>
      </w:r>
      <w:r w:rsidRPr="007C0894">
        <w:rPr>
          <w:rtl/>
        </w:rPr>
        <w:t xml:space="preserve"> هذه لإبراز "المناطق الباردة" الرقمية: أي المناطق التي لا تتوافر فيها التوصيلية ولا يمكن الوصول إلى سكانها أو إنذارهم عبر الشبكات الرقمية. وقد </w:t>
      </w:r>
      <w:hyperlink r:id="rId562" w:history="1">
        <w:r w:rsidRPr="007C0894">
          <w:rPr>
            <w:rStyle w:val="Hyperlink"/>
            <w:noProof w:val="0"/>
            <w:rtl/>
            <w:lang w:val="en-US" w:eastAsia="zh-CN"/>
          </w:rPr>
          <w:t>عُرضت</w:t>
        </w:r>
      </w:hyperlink>
      <w:r w:rsidRPr="007C0894">
        <w:rPr>
          <w:rtl/>
        </w:rPr>
        <w:t xml:space="preserve"> هذه الخريطة لتوضيح كيف يمكن لتحديد المناطق المحرومة من التوصيلية أن يساعد في حماية السكان من خلال نظم الإنذار المبكر. وقد جُرِّب هذا العمل في البداية في فيجي وتونغا وفانواتو، ويجري توسيع نطاقه ليشمل أكثر من 30 بلداً في إطار مبادرة نظم الإنذار المبكر للجميع.</w:t>
      </w:r>
    </w:p>
    <w:p w14:paraId="30C310B2" w14:textId="576BBAB0" w:rsidR="007C0894" w:rsidRPr="007C0894" w:rsidRDefault="007C0894" w:rsidP="00411A3D">
      <w:pPr>
        <w:pStyle w:val="Headingb"/>
        <w:rPr>
          <w:lang w:val="ar-SA" w:bidi="ar-EG"/>
        </w:rPr>
      </w:pPr>
      <w:r w:rsidRPr="007C0894">
        <w:rPr>
          <w:rtl/>
        </w:rPr>
        <w:t xml:space="preserve">تعزيز القدرة </w:t>
      </w:r>
      <w:r w:rsidR="00EC165E">
        <w:rPr>
          <w:rFonts w:hint="cs"/>
          <w:rtl/>
        </w:rPr>
        <w:t xml:space="preserve">على الصمود </w:t>
      </w:r>
      <w:r w:rsidRPr="007C0894">
        <w:rPr>
          <w:rtl/>
        </w:rPr>
        <w:t xml:space="preserve">المدفوعة بالذكاء الاصطناعي </w:t>
      </w:r>
      <w:r w:rsidR="00EC165E">
        <w:rPr>
          <w:rFonts w:hint="cs"/>
          <w:rtl/>
        </w:rPr>
        <w:t>في</w:t>
      </w:r>
      <w:r w:rsidRPr="007C0894">
        <w:rPr>
          <w:rtl/>
        </w:rPr>
        <w:t xml:space="preserve"> مواجهة الكوارث</w:t>
      </w:r>
    </w:p>
    <w:p w14:paraId="14F010C1" w14:textId="23D4F4B8" w:rsidR="0089560B" w:rsidRDefault="007C0894" w:rsidP="007C0894">
      <w:pPr>
        <w:rPr>
          <w:rtl/>
        </w:rPr>
      </w:pPr>
      <w:r w:rsidRPr="007C0894">
        <w:rPr>
          <w:rtl/>
        </w:rPr>
        <w:t xml:space="preserve">يعمل الاتحاد مع المنظمة العالمية للأرصاد الجوية </w:t>
      </w:r>
      <w:r w:rsidRPr="007C0894">
        <w:rPr>
          <w:lang w:bidi="ar-EG"/>
        </w:rPr>
        <w:t>(WMO)</w:t>
      </w:r>
      <w:r w:rsidRPr="007C0894">
        <w:rPr>
          <w:rtl/>
        </w:rPr>
        <w:t xml:space="preserve"> وبرنامج الأمم المتحدة للبيئة </w:t>
      </w:r>
      <w:r w:rsidRPr="007C0894">
        <w:rPr>
          <w:lang w:bidi="ar-EG"/>
        </w:rPr>
        <w:t>(UNEP)</w:t>
      </w:r>
      <w:r w:rsidRPr="007C0894">
        <w:rPr>
          <w:rtl/>
        </w:rPr>
        <w:t xml:space="preserve"> وشركاء آخرين لتعزيز القدرة المدفوعة بالذكاء الاصطناعي على مواجهة الكوارث، ووضع أسس للمعايير ذات الصلة بهذا المجال. وقد أعد </w:t>
      </w:r>
      <w:hyperlink r:id="rId563" w:anchor="/ar" w:history="1">
        <w:r w:rsidRPr="007C0894">
          <w:rPr>
            <w:rStyle w:val="Hyperlink"/>
            <w:noProof w:val="0"/>
            <w:rtl/>
            <w:lang w:val="en-US" w:eastAsia="zh-CN"/>
          </w:rPr>
          <w:t xml:space="preserve">الفريق المتخصص التابع للاتحاد الدولي للاتصالات/المنظمة العالمية للأرصاد الجوية/برنامج الأمم المتحدة للبيئة والمعني بالذكاء الاصطناعي من أجل إدارة الكوارث الطبيعية </w:t>
        </w:r>
        <w:r w:rsidRPr="007C0894">
          <w:rPr>
            <w:rStyle w:val="Hyperlink"/>
            <w:noProof w:val="0"/>
            <w:lang w:val="en-US" w:eastAsia="zh-CN" w:bidi="ar-EG"/>
          </w:rPr>
          <w:t>(</w:t>
        </w:r>
        <w:r w:rsidRPr="007C0894">
          <w:rPr>
            <w:rStyle w:val="Hyperlink"/>
            <w:noProof w:val="0"/>
            <w:lang w:val="en-US" w:eastAsia="zh-CN"/>
          </w:rPr>
          <w:t>FG-AI4NDM</w:t>
        </w:r>
        <w:r w:rsidRPr="007C0894">
          <w:rPr>
            <w:rStyle w:val="Hyperlink"/>
            <w:noProof w:val="0"/>
            <w:lang w:val="en-US" w:eastAsia="zh-CN" w:bidi="ar-EG"/>
          </w:rPr>
          <w:t>)</w:t>
        </w:r>
      </w:hyperlink>
      <w:r w:rsidRPr="007C0894">
        <w:rPr>
          <w:rtl/>
        </w:rPr>
        <w:t xml:space="preserve"> تقارير تقنية </w:t>
      </w:r>
      <w:proofErr w:type="spellStart"/>
      <w:r w:rsidRPr="007C0894">
        <w:rPr>
          <w:rtl/>
        </w:rPr>
        <w:t>و</w:t>
      </w:r>
      <w:hyperlink r:id="rId564" w:history="1">
        <w:r w:rsidRPr="007C0894">
          <w:rPr>
            <w:rStyle w:val="Hyperlink"/>
            <w:noProof w:val="0"/>
            <w:rtl/>
            <w:lang w:val="en-US" w:eastAsia="zh-CN"/>
          </w:rPr>
          <w:t>مسردات</w:t>
        </w:r>
        <w:proofErr w:type="spellEnd"/>
      </w:hyperlink>
      <w:r w:rsidRPr="007C0894">
        <w:rPr>
          <w:rtl/>
        </w:rPr>
        <w:t xml:space="preserve"> و</w:t>
      </w:r>
      <w:hyperlink r:id="rId565" w:history="1">
        <w:r w:rsidRPr="007C0894">
          <w:rPr>
            <w:rStyle w:val="Hyperlink"/>
            <w:noProof w:val="0"/>
            <w:rtl/>
            <w:lang w:val="en-US" w:eastAsia="zh-CN"/>
          </w:rPr>
          <w:t>خارطة طريق بشأن الاتجاهات والمعايير</w:t>
        </w:r>
      </w:hyperlink>
      <w:r w:rsidRPr="007C0894">
        <w:rPr>
          <w:rtl/>
        </w:rPr>
        <w:t xml:space="preserve"> وأفضل الممارسات في مجال تطبيق الذكاء الاصطناعي على </w:t>
      </w:r>
      <w:hyperlink r:id="rId566" w:history="1">
        <w:r w:rsidRPr="007C0894">
          <w:rPr>
            <w:rStyle w:val="Hyperlink"/>
            <w:noProof w:val="0"/>
            <w:rtl/>
            <w:lang w:val="en-US" w:eastAsia="zh-CN"/>
          </w:rPr>
          <w:t>جمع البيانات</w:t>
        </w:r>
      </w:hyperlink>
      <w:r w:rsidRPr="007C0894">
        <w:rPr>
          <w:rtl/>
        </w:rPr>
        <w:t xml:space="preserve"> و</w:t>
      </w:r>
      <w:hyperlink r:id="rId567" w:history="1">
        <w:r w:rsidRPr="007C0894">
          <w:rPr>
            <w:rStyle w:val="Hyperlink"/>
            <w:noProof w:val="0"/>
            <w:rtl/>
            <w:lang w:val="en-US" w:eastAsia="zh-CN"/>
          </w:rPr>
          <w:t>نمذجتها</w:t>
        </w:r>
      </w:hyperlink>
      <w:r w:rsidRPr="007C0894">
        <w:rPr>
          <w:rtl/>
        </w:rPr>
        <w:t xml:space="preserve"> و</w:t>
      </w:r>
      <w:hyperlink r:id="rId568" w:history="1">
        <w:r w:rsidRPr="007C0894">
          <w:rPr>
            <w:rStyle w:val="Hyperlink"/>
            <w:noProof w:val="0"/>
            <w:rtl/>
            <w:lang w:val="en-US" w:eastAsia="zh-CN"/>
          </w:rPr>
          <w:t>الابلاغ بها</w:t>
        </w:r>
      </w:hyperlink>
      <w:r w:rsidRPr="007C0894">
        <w:rPr>
          <w:rtl/>
        </w:rPr>
        <w:t xml:space="preserve"> في مختلف مراحل دورة إدارة الكوارث. ونظم الفريق 12 اجتماعاً و</w:t>
      </w:r>
      <w:hyperlink r:id="rId569" w:history="1">
        <w:r w:rsidRPr="007C0894">
          <w:rPr>
            <w:rStyle w:val="Hyperlink"/>
            <w:noProof w:val="0"/>
            <w:rtl/>
            <w:lang w:val="en-US" w:eastAsia="zh-CN"/>
          </w:rPr>
          <w:t>10 ورش عمل وحلقات دراسية إلكترونية</w:t>
        </w:r>
      </w:hyperlink>
      <w:r w:rsidRPr="007C0894">
        <w:rPr>
          <w:rtl/>
        </w:rPr>
        <w:t xml:space="preserve"> في</w:t>
      </w:r>
      <w:r w:rsidR="00411A3D">
        <w:rPr>
          <w:lang w:bidi="ar-EG"/>
        </w:rPr>
        <w:t> </w:t>
      </w:r>
      <w:r w:rsidRPr="007C0894">
        <w:rPr>
          <w:rtl/>
        </w:rPr>
        <w:t xml:space="preserve">السنوات الأربع الماضية. وتدعم </w:t>
      </w:r>
      <w:r w:rsidR="00EC165E">
        <w:rPr>
          <w:rFonts w:hint="cs"/>
          <w:rtl/>
        </w:rPr>
        <w:t>مخرجاته</w:t>
      </w:r>
      <w:r w:rsidRPr="007C0894">
        <w:rPr>
          <w:rtl/>
        </w:rPr>
        <w:t xml:space="preserve"> بالفعل مبادرات من قبيل مشروع </w:t>
      </w:r>
      <w:hyperlink r:id="rId570" w:history="1">
        <w:proofErr w:type="spellStart"/>
        <w:r w:rsidRPr="007C0894">
          <w:rPr>
            <w:rStyle w:val="Hyperlink"/>
            <w:noProof w:val="0"/>
            <w:lang w:val="en-US" w:eastAsia="zh-CN" w:bidi="ar-EG"/>
          </w:rPr>
          <w:t>MedEWSa</w:t>
        </w:r>
        <w:proofErr w:type="spellEnd"/>
      </w:hyperlink>
      <w:r w:rsidRPr="007C0894">
        <w:rPr>
          <w:rtl/>
        </w:rPr>
        <w:t xml:space="preserve"> المموَّل من الاتحاد الأوروبي. وبناءً على هذا العمل، تجمع </w:t>
      </w:r>
      <w:hyperlink r:id="rId571" w:history="1">
        <w:r w:rsidRPr="007C0894">
          <w:rPr>
            <w:rStyle w:val="Hyperlink"/>
            <w:noProof w:val="0"/>
            <w:rtl/>
            <w:lang w:val="en-US" w:eastAsia="zh-CN"/>
          </w:rPr>
          <w:t>المبادرة العالمية بشأن القدرة على الصمود في مواجهة الأخطار الطبيعية من خلال حلول الذكاء الاصطناعي</w:t>
        </w:r>
      </w:hyperlink>
      <w:r w:rsidRPr="007C0894">
        <w:rPr>
          <w:rtl/>
        </w:rPr>
        <w:t xml:space="preserve">، التي أطلقت في عام 2024، الاتحاد الدولي للاتصالات </w:t>
      </w:r>
      <w:r w:rsidRPr="007C0894">
        <w:rPr>
          <w:lang w:bidi="ar-EG"/>
        </w:rPr>
        <w:t>(ITU)</w:t>
      </w:r>
      <w:r w:rsidRPr="007C0894">
        <w:rPr>
          <w:rtl/>
        </w:rPr>
        <w:t xml:space="preserve"> والمنظمة العالمية للأرصاد الجوية</w:t>
      </w:r>
      <w:r w:rsidR="00411A3D">
        <w:rPr>
          <w:rFonts w:hint="cs"/>
          <w:rtl/>
        </w:rPr>
        <w:t> </w:t>
      </w:r>
      <w:r w:rsidRPr="007C0894">
        <w:rPr>
          <w:lang w:bidi="ar-EG"/>
        </w:rPr>
        <w:t>(WMO)</w:t>
      </w:r>
      <w:r w:rsidRPr="007C0894">
        <w:rPr>
          <w:rtl/>
        </w:rPr>
        <w:t xml:space="preserve"> وبرنامج الأمم المتحدة للبيئة </w:t>
      </w:r>
      <w:r w:rsidRPr="007C0894">
        <w:rPr>
          <w:lang w:bidi="ar-EG"/>
        </w:rPr>
        <w:t>(UNEP)</w:t>
      </w:r>
      <w:r w:rsidRPr="007C0894">
        <w:rPr>
          <w:rtl/>
        </w:rPr>
        <w:t xml:space="preserve"> ومن</w:t>
      </w:r>
      <w:r w:rsidR="00411A3D">
        <w:rPr>
          <w:rFonts w:hint="cs"/>
          <w:rtl/>
        </w:rPr>
        <w:t>ظم</w:t>
      </w:r>
      <w:r w:rsidRPr="007C0894">
        <w:rPr>
          <w:rtl/>
        </w:rPr>
        <w:t xml:space="preserve">ة الأمم المتحدة للتربية والعلم والثقافة (اليونسكو) واتفاقية الأمم المتحدة الإطارية بشأن تغير المناخ </w:t>
      </w:r>
      <w:r w:rsidRPr="007C0894">
        <w:rPr>
          <w:lang w:bidi="ar-EG"/>
        </w:rPr>
        <w:t>(UNFCCC)</w:t>
      </w:r>
      <w:r w:rsidRPr="007C0894">
        <w:rPr>
          <w:rtl/>
        </w:rPr>
        <w:t xml:space="preserve"> والاتحاد البريدي العالمي </w:t>
      </w:r>
      <w:r w:rsidRPr="007C0894">
        <w:rPr>
          <w:lang w:bidi="ar-EG"/>
        </w:rPr>
        <w:t>(UPU)</w:t>
      </w:r>
      <w:r w:rsidRPr="007C0894">
        <w:rPr>
          <w:rtl/>
        </w:rPr>
        <w:t xml:space="preserve"> لتوجيه البحوث والابتكار والمعايير المستقبلية التي تعزز القدرة على الصمود في مواجهة الأخطار الطبيعية في جميع أنحاء العالم. ومنذ عام 2022، دعم تمويل بنحو </w:t>
      </w:r>
      <w:r w:rsidR="00411A3D">
        <w:t>20 000</w:t>
      </w:r>
      <w:r w:rsidRPr="007C0894">
        <w:rPr>
          <w:rtl/>
        </w:rPr>
        <w:t xml:space="preserve"> دولار أمريكي قدمه الاتحاد الدولي </w:t>
      </w:r>
      <w:proofErr w:type="spellStart"/>
      <w:r w:rsidRPr="007C0894">
        <w:rPr>
          <w:rtl/>
        </w:rPr>
        <w:t>للجيوديسيا</w:t>
      </w:r>
      <w:proofErr w:type="spellEnd"/>
      <w:r w:rsidRPr="007C0894">
        <w:rPr>
          <w:rtl/>
        </w:rPr>
        <w:t xml:space="preserve"> والجيوفيزياء </w:t>
      </w:r>
      <w:r w:rsidRPr="007C0894">
        <w:rPr>
          <w:lang w:bidi="ar-EG"/>
        </w:rPr>
        <w:t>(IUGG)</w:t>
      </w:r>
      <w:r w:rsidRPr="007C0894">
        <w:rPr>
          <w:rtl/>
        </w:rPr>
        <w:t xml:space="preserve">، مشاركة الخبراء في اجتماعات وورش عمل الفريق المتخصص FG-AI4NDM والمبادرة العالمية، ما مكنهم من الإسهام بخبراتهم في النهوض بالمعايير وأفضل الممارسات في هذا المجال. وقد عقدت المبادرة العالمية، منذ إطلاقها، </w:t>
      </w:r>
      <w:proofErr w:type="gramStart"/>
      <w:r w:rsidRPr="007C0894">
        <w:rPr>
          <w:rtl/>
        </w:rPr>
        <w:t>ثلاثة</w:t>
      </w:r>
      <w:proofErr w:type="gramEnd"/>
      <w:r w:rsidRPr="007C0894">
        <w:rPr>
          <w:rtl/>
        </w:rPr>
        <w:t xml:space="preserve"> اجتماعات استُضيفت على التوالي في مركز برشلونة للحوسبة الفائقة في إسبانيا، ووكالة الفضاء الأوروبية في إيطاليا، والمفوضية الأوروبية في بروكسل. وركزت هذه الاجتماعات على استعراض المساهمات، وعقد جلسات بشأن الاستفادة من أدوات الذكاء الاصطناعي لإدارة الكوارث، والتقدم في صقل أفضل الممارسات وإعداد </w:t>
      </w:r>
      <w:r w:rsidR="00EC165E">
        <w:rPr>
          <w:rFonts w:hint="cs"/>
          <w:rtl/>
        </w:rPr>
        <w:t>منجزات</w:t>
      </w:r>
      <w:r w:rsidRPr="007C0894">
        <w:rPr>
          <w:rtl/>
        </w:rPr>
        <w:t xml:space="preserve"> أخرى.</w:t>
      </w:r>
    </w:p>
    <w:p w14:paraId="0DDF5803" w14:textId="18D3EB21" w:rsidR="007C0894" w:rsidRPr="007C0894" w:rsidRDefault="007C0894" w:rsidP="00411A3D">
      <w:pPr>
        <w:pStyle w:val="Headingb"/>
        <w:rPr>
          <w:lang w:val="ar-SA" w:bidi="ar-EG"/>
        </w:rPr>
      </w:pPr>
      <w:r w:rsidRPr="007C0894">
        <w:rPr>
          <w:rtl/>
        </w:rPr>
        <w:t>الذكاء الاصطناعي وإنترنت الأشياء من أجل الزراعة الرقمية</w:t>
      </w:r>
    </w:p>
    <w:p w14:paraId="4678BF60" w14:textId="77777777" w:rsidR="0089560B" w:rsidRDefault="007C0894" w:rsidP="007C0894">
      <w:pPr>
        <w:rPr>
          <w:rtl/>
        </w:rPr>
      </w:pPr>
      <w:r w:rsidRPr="007C0894">
        <w:rPr>
          <w:rtl/>
        </w:rPr>
        <w:t xml:space="preserve">في الميدان الزراعي، استكشف </w:t>
      </w:r>
      <w:hyperlink r:id="rId572" w:anchor="/ar" w:history="1">
        <w:r w:rsidRPr="007C0894">
          <w:rPr>
            <w:rStyle w:val="Hyperlink"/>
            <w:noProof w:val="0"/>
            <w:rtl/>
            <w:lang w:val="en-US" w:eastAsia="zh-CN"/>
          </w:rPr>
          <w:t xml:space="preserve">الفريق المتخصص المعني بالذكاء الاصطناعي من أجل الزراعة </w:t>
        </w:r>
        <w:r w:rsidRPr="007C0894">
          <w:rPr>
            <w:rStyle w:val="Hyperlink"/>
            <w:noProof w:val="0"/>
            <w:lang w:val="en-US" w:eastAsia="zh-CN" w:bidi="ar-EG"/>
          </w:rPr>
          <w:t>(</w:t>
        </w:r>
        <w:r w:rsidRPr="007C0894">
          <w:rPr>
            <w:rStyle w:val="Hyperlink"/>
            <w:noProof w:val="0"/>
            <w:lang w:val="en-US" w:eastAsia="zh-CN"/>
          </w:rPr>
          <w:t>FG-AI4A</w:t>
        </w:r>
        <w:r w:rsidRPr="007C0894">
          <w:rPr>
            <w:rStyle w:val="Hyperlink"/>
            <w:noProof w:val="0"/>
            <w:lang w:val="en-US" w:eastAsia="zh-CN" w:bidi="ar-EG"/>
          </w:rPr>
          <w:t>)</w:t>
        </w:r>
        <w:r w:rsidRPr="007C0894">
          <w:rPr>
            <w:rStyle w:val="Hyperlink"/>
            <w:noProof w:val="0"/>
            <w:rtl/>
            <w:lang w:val="en-US" w:eastAsia="zh-CN"/>
          </w:rPr>
          <w:t xml:space="preserve"> المشترك بين الاتحاد الدولي للاتصالات </w:t>
        </w:r>
        <w:r w:rsidRPr="007C0894">
          <w:rPr>
            <w:rStyle w:val="Hyperlink"/>
            <w:noProof w:val="0"/>
            <w:lang w:val="en-US" w:eastAsia="zh-CN" w:bidi="ar-EG"/>
          </w:rPr>
          <w:t>(ITU)</w:t>
        </w:r>
        <w:r w:rsidRPr="007C0894">
          <w:rPr>
            <w:rStyle w:val="Hyperlink"/>
            <w:noProof w:val="0"/>
            <w:rtl/>
            <w:lang w:val="en-US" w:eastAsia="zh-CN"/>
          </w:rPr>
          <w:t xml:space="preserve"> ومنظمة الأغذية والزراعة </w:t>
        </w:r>
        <w:r w:rsidRPr="007C0894">
          <w:rPr>
            <w:rStyle w:val="Hyperlink"/>
            <w:noProof w:val="0"/>
            <w:lang w:val="en-US" w:eastAsia="zh-CN" w:bidi="ar-EG"/>
          </w:rPr>
          <w:t>(FAO)</w:t>
        </w:r>
      </w:hyperlink>
      <w:r w:rsidRPr="007C0894">
        <w:rPr>
          <w:rtl/>
        </w:rPr>
        <w:t xml:space="preserve"> كيف يمكن لتكنولوجيات الذكاء الاصطناعي وإنترنت الأشياء والتكنولوجيات الناشئة أن تحسن الإنتاجية والقدرة على الصمود والاستدامة في النظم الغذائية. ومن خلال سلسلة من الاجتماعات، </w:t>
      </w:r>
      <w:hyperlink r:id="rId573" w:history="1">
        <w:r w:rsidRPr="007C0894">
          <w:rPr>
            <w:rStyle w:val="Hyperlink"/>
            <w:noProof w:val="0"/>
            <w:rtl/>
            <w:lang w:val="en-US" w:eastAsia="zh-CN"/>
          </w:rPr>
          <w:t>وأكثر من 11 ورشة عمل وحلقة دراسية إلكترونية</w:t>
        </w:r>
      </w:hyperlink>
      <w:r w:rsidRPr="007C0894">
        <w:rPr>
          <w:rtl/>
        </w:rPr>
        <w:t xml:space="preserve">، جمع الفريق خبراء من الحكومات والصناعة والأوساط الأكاديمية والمنظمات الدولية لتحديد الثغرات التقييسية وأفضل الممارسات المتعلقة بالزراعة الدقيقة والزراعة القادرة على تحمل تغير المناخ والاستخدام الأمثل للموارد. وتسهم نتائج الفريق، الواردة في التقارير الموجزة والتقارير التقنية، في تشكيل المعايير والإرشادات المستقبلية المتعلقة بالزراعة الممكّنة رقمياً التي تدعم الأمن الغذائي والتنمية الريفية المستدامة (على النحو المبين في </w:t>
      </w:r>
      <w:hyperlink r:id="rId574" w:anchor="p=1" w:history="1">
        <w:r w:rsidRPr="007C0894">
          <w:rPr>
            <w:rStyle w:val="Hyperlink"/>
            <w:noProof w:val="0"/>
            <w:rtl/>
            <w:lang w:val="en-US" w:eastAsia="zh-CN"/>
          </w:rPr>
          <w:t>التقرير الموجز للفريق FG-AI4A</w:t>
        </w:r>
      </w:hyperlink>
      <w:r w:rsidRPr="007C0894">
        <w:rPr>
          <w:rtl/>
          <w:lang w:bidi="ar-EG"/>
        </w:rPr>
        <w:t>)</w:t>
      </w:r>
      <w:r w:rsidRPr="007C0894">
        <w:rPr>
          <w:rtl/>
        </w:rPr>
        <w:t>.</w:t>
      </w:r>
    </w:p>
    <w:p w14:paraId="5166036B" w14:textId="1642F2DD" w:rsidR="007C0894" w:rsidRPr="007C0894" w:rsidRDefault="007C0894" w:rsidP="007C0894">
      <w:pPr>
        <w:rPr>
          <w:lang w:val="ar-SA" w:bidi="ar-EG"/>
        </w:rPr>
      </w:pPr>
      <w:r w:rsidRPr="007C0894">
        <w:rPr>
          <w:rtl/>
        </w:rPr>
        <w:t xml:space="preserve">وأحيلت </w:t>
      </w:r>
      <w:r w:rsidR="00EC165E">
        <w:rPr>
          <w:rFonts w:hint="cs"/>
          <w:rtl/>
        </w:rPr>
        <w:t>المنجزات</w:t>
      </w:r>
      <w:r w:rsidRPr="007C0894">
        <w:rPr>
          <w:rtl/>
        </w:rPr>
        <w:t xml:space="preserve"> إلى لجنة الدراسات 20 لقطاع تقييس الاتصالات التي تعمل حالياً على وضع معايير دولية بشأن حالات الاستخدام والنشر وأطر العمل والنماذج المعمارية للزراعة الرقمية.</w:t>
      </w:r>
    </w:p>
    <w:p w14:paraId="519E0027" w14:textId="5FADDB94" w:rsidR="007C0894" w:rsidRPr="007C0894" w:rsidRDefault="007C0894" w:rsidP="007C0894">
      <w:pPr>
        <w:rPr>
          <w:lang w:val="ar-SA" w:bidi="ar-EG"/>
        </w:rPr>
      </w:pPr>
      <w:r w:rsidRPr="007C0894">
        <w:rPr>
          <w:rtl/>
        </w:rPr>
        <w:t xml:space="preserve">وبناءً على أنشطة الفريق المتخصص، أطلقت </w:t>
      </w:r>
      <w:hyperlink r:id="rId575" w:anchor="/ar" w:history="1">
        <w:r w:rsidRPr="007C0894">
          <w:rPr>
            <w:rStyle w:val="Hyperlink"/>
            <w:noProof w:val="0"/>
            <w:rtl/>
            <w:lang w:val="en-US" w:eastAsia="zh-CN"/>
          </w:rPr>
          <w:t>المبادرة العالمية بشأن الذكاء الاصطناعي من أجل النظم الغذائية</w:t>
        </w:r>
      </w:hyperlink>
      <w:r w:rsidRPr="007C0894">
        <w:rPr>
          <w:rtl/>
        </w:rPr>
        <w:t xml:space="preserve"> خلال القمة العالمية للذكاء الاصطناعي من أجل المصلحة العامة في يوليو 2025، بالاشتراك مع برنامج الأغذية العالمي</w:t>
      </w:r>
      <w:r w:rsidR="00F10748">
        <w:rPr>
          <w:rFonts w:hint="cs"/>
          <w:rtl/>
        </w:rPr>
        <w:t> </w:t>
      </w:r>
      <w:r w:rsidRPr="007C0894">
        <w:rPr>
          <w:lang w:bidi="ar-EG"/>
        </w:rPr>
        <w:t>(WFP)</w:t>
      </w:r>
      <w:r w:rsidRPr="007C0894">
        <w:rPr>
          <w:rtl/>
        </w:rPr>
        <w:t xml:space="preserve"> ومنظمة الأغذية والزراعة </w:t>
      </w:r>
      <w:r w:rsidRPr="007C0894">
        <w:rPr>
          <w:lang w:bidi="ar-EG"/>
        </w:rPr>
        <w:t>(FAO)</w:t>
      </w:r>
      <w:r w:rsidRPr="007C0894">
        <w:rPr>
          <w:rtl/>
        </w:rPr>
        <w:t xml:space="preserve"> التابعة للأمم المتحدة والصندوق الدولي للتنمية الزراعية </w:t>
      </w:r>
      <w:r w:rsidRPr="007C0894">
        <w:rPr>
          <w:lang w:bidi="ar-EG"/>
        </w:rPr>
        <w:t>(IFAD)</w:t>
      </w:r>
      <w:r w:rsidRPr="007C0894">
        <w:rPr>
          <w:rtl/>
        </w:rPr>
        <w:t xml:space="preserve">. وتركز هذه المبادرة على دمج الحلول الرقمية وتبادل المعارف والشراكات </w:t>
      </w:r>
      <w:proofErr w:type="spellStart"/>
      <w:r w:rsidRPr="007C0894">
        <w:rPr>
          <w:rtl/>
        </w:rPr>
        <w:t>التآزرية</w:t>
      </w:r>
      <w:proofErr w:type="spellEnd"/>
      <w:r w:rsidRPr="007C0894">
        <w:rPr>
          <w:rtl/>
        </w:rPr>
        <w:t xml:space="preserve"> وإثبات المفهوم. وبمناسبة يوم الأغذية العالمي،</w:t>
      </w:r>
      <w:r w:rsidR="0089560B">
        <w:rPr>
          <w:rtl/>
        </w:rPr>
        <w:t xml:space="preserve"> </w:t>
      </w:r>
      <w:r w:rsidRPr="007C0894">
        <w:rPr>
          <w:rtl/>
        </w:rPr>
        <w:t xml:space="preserve">نُظمت في 16 أكتوبر 2025 جلسة بشأن الذكاء الاصطناعي من أجل الأغذية في إطار سلسلة استكشاف الذكاء الاصطناعي، بمشاركة ممثلين عن برنامج الأغذية العالمي والصندوق الدولي للتنمية الزراعية ولجنة الدراسات 20 لقطاع تقييس الاتصالات بالاتحاد الدولي للاتصالات ومؤسسة </w:t>
      </w:r>
      <w:r w:rsidRPr="007C0894">
        <w:rPr>
          <w:lang w:bidi="ar-EG"/>
        </w:rPr>
        <w:t>Rockefeller</w:t>
      </w:r>
      <w:r w:rsidRPr="007C0894">
        <w:rPr>
          <w:rtl/>
        </w:rPr>
        <w:t xml:space="preserve"> في حلقة النقاش، حيث تناولوا بالتفصيل كيف يمكن لمعايير الذكاء الاصطناعي أن تعزز النظم الزراعية والغذائية بطريقة أخلاقية وشفافة وقابلة للتشغيل البيني،</w:t>
      </w:r>
      <w:r w:rsidR="0089560B">
        <w:rPr>
          <w:rtl/>
        </w:rPr>
        <w:t xml:space="preserve"> </w:t>
      </w:r>
      <w:r w:rsidRPr="007C0894">
        <w:rPr>
          <w:rtl/>
        </w:rPr>
        <w:t>وتتصدى لتحديات الاعتماد، وتوسع نطاق الحلول على الصعيد العالمي.</w:t>
      </w:r>
    </w:p>
    <w:p w14:paraId="3578C1AB" w14:textId="77777777" w:rsidR="007C0894" w:rsidRPr="007C0894" w:rsidRDefault="007C0894" w:rsidP="00F10748">
      <w:pPr>
        <w:pStyle w:val="Headingb"/>
        <w:rPr>
          <w:lang w:val="ar-SA" w:bidi="ar-EG"/>
        </w:rPr>
      </w:pPr>
      <w:r w:rsidRPr="007C0894">
        <w:rPr>
          <w:rtl/>
        </w:rPr>
        <w:t>الذكاء الاصطناعي من أجل الصحة</w:t>
      </w:r>
    </w:p>
    <w:p w14:paraId="74AA8D5E" w14:textId="35433949" w:rsidR="007C0894" w:rsidRPr="007C0894" w:rsidRDefault="007C0894" w:rsidP="00F10748">
      <w:pPr>
        <w:keepLines/>
        <w:rPr>
          <w:spacing w:val="-2"/>
          <w:lang w:val="ar-SA" w:bidi="ar-EG"/>
        </w:rPr>
      </w:pPr>
      <w:r w:rsidRPr="007C0894">
        <w:rPr>
          <w:spacing w:val="-2"/>
          <w:rtl/>
        </w:rPr>
        <w:t xml:space="preserve">تسعى </w:t>
      </w:r>
      <w:hyperlink r:id="rId576" w:anchor="/ar" w:history="1">
        <w:r w:rsidRPr="007C0894">
          <w:rPr>
            <w:rStyle w:val="Hyperlink"/>
            <w:noProof w:val="0"/>
            <w:spacing w:val="-2"/>
            <w:rtl/>
            <w:lang w:val="en-US" w:eastAsia="zh-CN"/>
          </w:rPr>
          <w:t>المبادرة العالمية بشأن الذكاء الاصطناعي من أجل الصحة</w:t>
        </w:r>
      </w:hyperlink>
      <w:r w:rsidRPr="007C0894">
        <w:rPr>
          <w:spacing w:val="-2"/>
          <w:rtl/>
        </w:rPr>
        <w:t xml:space="preserve"> </w:t>
      </w:r>
      <w:r w:rsidRPr="007C0894">
        <w:rPr>
          <w:spacing w:val="-2"/>
          <w:lang w:bidi="ar-EG"/>
        </w:rPr>
        <w:t>(</w:t>
      </w:r>
      <w:r w:rsidRPr="007C0894">
        <w:rPr>
          <w:spacing w:val="-2"/>
        </w:rPr>
        <w:t>GI-AI4H</w:t>
      </w:r>
      <w:r w:rsidRPr="007C0894">
        <w:rPr>
          <w:spacing w:val="-2"/>
          <w:lang w:bidi="ar-EG"/>
        </w:rPr>
        <w:t>)</w:t>
      </w:r>
      <w:r w:rsidRPr="007C0894">
        <w:rPr>
          <w:spacing w:val="-2"/>
          <w:rtl/>
        </w:rPr>
        <w:t xml:space="preserve">، التي يقودها الاتحاد الدولي للاتصالات </w:t>
      </w:r>
      <w:r w:rsidRPr="007C0894">
        <w:rPr>
          <w:spacing w:val="-2"/>
          <w:lang w:bidi="ar-EG"/>
        </w:rPr>
        <w:t>(ITU)</w:t>
      </w:r>
      <w:r w:rsidRPr="007C0894">
        <w:rPr>
          <w:spacing w:val="-2"/>
          <w:rtl/>
        </w:rPr>
        <w:t xml:space="preserve"> ومنظمة الصحة العالمية </w:t>
      </w:r>
      <w:r w:rsidRPr="007C0894">
        <w:rPr>
          <w:spacing w:val="-2"/>
          <w:lang w:bidi="ar-EG"/>
        </w:rPr>
        <w:t>(WHO)</w:t>
      </w:r>
      <w:r w:rsidRPr="007C0894">
        <w:rPr>
          <w:spacing w:val="-2"/>
          <w:rtl/>
        </w:rPr>
        <w:t xml:space="preserve"> والمنظمة العالمية للملكية الفكرية </w:t>
      </w:r>
      <w:r w:rsidRPr="007C0894">
        <w:rPr>
          <w:spacing w:val="-2"/>
          <w:lang w:bidi="ar-EG"/>
        </w:rPr>
        <w:t>(WIPO)</w:t>
      </w:r>
      <w:r w:rsidRPr="007C0894">
        <w:rPr>
          <w:spacing w:val="-2"/>
          <w:rtl/>
        </w:rPr>
        <w:t xml:space="preserve"> على نحو مشترك، إلى تسريع الدمج الآمن والمنصف للذكاء الاصطناعي في الأنظمة الصحية في جميع أنحاء العالم. وبناءً على الزخم الذي اكتسبه </w:t>
      </w:r>
      <w:hyperlink r:id="rId577" w:anchor="/ar" w:history="1">
        <w:r w:rsidRPr="007C0894">
          <w:rPr>
            <w:rStyle w:val="Hyperlink"/>
            <w:noProof w:val="0"/>
            <w:spacing w:val="-2"/>
            <w:rtl/>
            <w:lang w:val="en-US" w:eastAsia="zh-CN"/>
          </w:rPr>
          <w:t xml:space="preserve">الفريق المتخصص المعني بالذكاء الاصطناعي من أجل الصحة </w:t>
        </w:r>
        <w:r w:rsidRPr="007C0894">
          <w:rPr>
            <w:rStyle w:val="Hyperlink"/>
            <w:noProof w:val="0"/>
            <w:spacing w:val="-2"/>
            <w:lang w:val="en-US" w:eastAsia="zh-CN" w:bidi="ar-EG"/>
          </w:rPr>
          <w:t>(</w:t>
        </w:r>
        <w:r w:rsidRPr="007C0894">
          <w:rPr>
            <w:rStyle w:val="Hyperlink"/>
            <w:noProof w:val="0"/>
            <w:spacing w:val="-2"/>
            <w:lang w:val="en-US" w:eastAsia="zh-CN"/>
          </w:rPr>
          <w:t>FG-AI4H</w:t>
        </w:r>
        <w:r w:rsidRPr="007C0894">
          <w:rPr>
            <w:rStyle w:val="Hyperlink"/>
            <w:noProof w:val="0"/>
            <w:spacing w:val="-2"/>
            <w:lang w:val="en-US" w:eastAsia="zh-CN" w:bidi="ar-EG"/>
          </w:rPr>
          <w:t>)</w:t>
        </w:r>
        <w:r w:rsidRPr="007C0894">
          <w:rPr>
            <w:rStyle w:val="Hyperlink"/>
            <w:noProof w:val="0"/>
            <w:spacing w:val="-2"/>
            <w:rtl/>
            <w:lang w:val="en-US" w:eastAsia="zh-CN"/>
          </w:rPr>
          <w:t xml:space="preserve"> المشترك بين الاتحاد الدولي للاتصالات ومنظمة الصحة العالمية</w:t>
        </w:r>
      </w:hyperlink>
      <w:r w:rsidRPr="007C0894">
        <w:rPr>
          <w:spacing w:val="-2"/>
          <w:rtl/>
        </w:rPr>
        <w:t xml:space="preserve">، تهدف المبادرة إلى وضع معايير تقنية وتوجيهات </w:t>
      </w:r>
      <w:proofErr w:type="spellStart"/>
      <w:r w:rsidRPr="007C0894">
        <w:rPr>
          <w:spacing w:val="-2"/>
          <w:rtl/>
        </w:rPr>
        <w:t>سياساتية</w:t>
      </w:r>
      <w:proofErr w:type="spellEnd"/>
      <w:r w:rsidRPr="007C0894">
        <w:rPr>
          <w:spacing w:val="-2"/>
          <w:rtl/>
        </w:rPr>
        <w:t xml:space="preserve"> وآليات تمكّن اعتماد الذكاء الاصطناعي المسؤول. ويتمثل أحد الأهداف الأساسية في دعم اتخاذ القرارات القائمة على الأدلة بشأن إدخال حلول الذكاء الاصطناعي مع تعزيز تبادل المعارف والبيانات على الصعيد العالمي لضمان استفادة جميع السكان من التقدم التكنولوجي.</w:t>
      </w:r>
    </w:p>
    <w:p w14:paraId="4DFE3D98" w14:textId="6DEDAA8F" w:rsidR="007C0894" w:rsidRPr="007C0894" w:rsidRDefault="007C0894" w:rsidP="007C0894">
      <w:pPr>
        <w:rPr>
          <w:spacing w:val="-2"/>
          <w:lang w:val="ar-SA" w:bidi="ar-EG"/>
        </w:rPr>
      </w:pPr>
      <w:r w:rsidRPr="007C0894">
        <w:rPr>
          <w:spacing w:val="-2"/>
          <w:rtl/>
        </w:rPr>
        <w:t xml:space="preserve">وعمل الفريق </w:t>
      </w:r>
      <w:hyperlink r:id="rId578" w:anchor="/ar" w:history="1">
        <w:r w:rsidRPr="007C0894">
          <w:rPr>
            <w:rStyle w:val="Hyperlink"/>
            <w:noProof w:val="0"/>
            <w:spacing w:val="-2"/>
            <w:rtl/>
            <w:lang w:val="en-US" w:eastAsia="zh-CN"/>
          </w:rPr>
          <w:t>FG-AI4H</w:t>
        </w:r>
      </w:hyperlink>
      <w:r w:rsidR="00F83890" w:rsidRPr="00F83890">
        <w:rPr>
          <w:rFonts w:hint="cs"/>
          <w:spacing w:val="-2"/>
          <w:rtl/>
        </w:rPr>
        <w:t xml:space="preserve"> </w:t>
      </w:r>
      <w:r w:rsidRPr="007C0894">
        <w:rPr>
          <w:spacing w:val="-2"/>
          <w:rtl/>
        </w:rPr>
        <w:t xml:space="preserve">بالشراكة مع منظمة الصحة العالمية لوضع إطار للمقارنة المرجعية قابل للتوسع يقيِّم الأساليب القائمة على الذكاء الاصطناعي لاتخاذ قرارات بشأن الصحة أو التشخيص أو الفرز أو العلاج. وبحلول عام 2025، انتهى الفريق من إعداد </w:t>
      </w:r>
      <w:r w:rsidRPr="007C0894">
        <w:rPr>
          <w:spacing w:val="-2"/>
          <w:u w:color="5B9BD5"/>
          <w:rtl/>
        </w:rPr>
        <w:t xml:space="preserve">36 </w:t>
      </w:r>
      <w:hyperlink r:id="rId579" w:history="1">
        <w:r w:rsidR="00EC165E">
          <w:rPr>
            <w:rStyle w:val="Hyperlink"/>
            <w:rFonts w:hint="cs"/>
            <w:noProof w:val="0"/>
            <w:spacing w:val="-2"/>
            <w:rtl/>
            <w:lang w:val="en-US" w:eastAsia="zh-CN"/>
          </w:rPr>
          <w:t>منجزاً</w:t>
        </w:r>
      </w:hyperlink>
      <w:r w:rsidRPr="007C0894">
        <w:rPr>
          <w:spacing w:val="-2"/>
          <w:rtl/>
        </w:rPr>
        <w:t>.</w:t>
      </w:r>
      <w:r w:rsidR="0089560B">
        <w:rPr>
          <w:spacing w:val="-2"/>
          <w:rtl/>
        </w:rPr>
        <w:t xml:space="preserve"> </w:t>
      </w:r>
      <w:r w:rsidRPr="007C0894">
        <w:rPr>
          <w:spacing w:val="-2"/>
          <w:rtl/>
        </w:rPr>
        <w:t>وبالإضافة إلى المعايير التي وضعها الفريق المتخصص، استخدم الفريق مِنحاً (حوالي</w:t>
      </w:r>
      <w:r w:rsidR="00F83890" w:rsidRPr="00F83890">
        <w:rPr>
          <w:spacing w:val="-2"/>
          <w:lang w:bidi="ar-EG"/>
        </w:rPr>
        <w:t> </w:t>
      </w:r>
      <w:r w:rsidR="00F83890" w:rsidRPr="00F83890">
        <w:rPr>
          <w:spacing w:val="-2"/>
        </w:rPr>
        <w:t>600 000</w:t>
      </w:r>
      <w:r w:rsidRPr="007C0894">
        <w:rPr>
          <w:spacing w:val="-2"/>
          <w:rtl/>
        </w:rPr>
        <w:t xml:space="preserve"> فرنك سويسري) من مؤسسة </w:t>
      </w:r>
      <w:proofErr w:type="spellStart"/>
      <w:r w:rsidRPr="007C0894">
        <w:rPr>
          <w:spacing w:val="-2"/>
          <w:lang w:bidi="ar-EG"/>
        </w:rPr>
        <w:t>Botnar</w:t>
      </w:r>
      <w:proofErr w:type="spellEnd"/>
      <w:r w:rsidRPr="007C0894">
        <w:rPr>
          <w:spacing w:val="-2"/>
          <w:rtl/>
        </w:rPr>
        <w:t xml:space="preserve"> لبناء تنفيذ مرجعي مكون من وحدات نمطية </w:t>
      </w:r>
      <w:r w:rsidRPr="007C0894">
        <w:rPr>
          <w:spacing w:val="-2"/>
          <w:lang w:bidi="ar-EG"/>
        </w:rPr>
        <w:t>(</w:t>
      </w:r>
      <w:proofErr w:type="spellStart"/>
      <w:r w:rsidRPr="007C0894">
        <w:rPr>
          <w:spacing w:val="-2"/>
          <w:lang w:bidi="ar-EG"/>
        </w:rPr>
        <w:t>DevSecOps</w:t>
      </w:r>
      <w:proofErr w:type="spellEnd"/>
      <w:r w:rsidRPr="007C0894">
        <w:rPr>
          <w:spacing w:val="-2"/>
          <w:lang w:bidi="ar-EG"/>
        </w:rPr>
        <w:t>)</w:t>
      </w:r>
      <w:r w:rsidRPr="007C0894">
        <w:rPr>
          <w:spacing w:val="-2"/>
          <w:rtl/>
        </w:rPr>
        <w:t xml:space="preserve"> وقائم على الشفرة المفتوحة لإطار المقارنة المرجعية، مع ترخيص يسمح للهيئات التنظيمية الصحية الوطنية وغيرها بالتكيف وفقاً لاحتياجاتها. وعلاوة على ذلك، استُخدمت المِنح لتمويل سفر خبراء البلدان المنخفضة أو المتوسطة الدخل </w:t>
      </w:r>
      <w:r w:rsidRPr="007C0894">
        <w:rPr>
          <w:spacing w:val="-2"/>
          <w:lang w:bidi="ar-EG"/>
        </w:rPr>
        <w:t>(LMIC)</w:t>
      </w:r>
      <w:r w:rsidRPr="007C0894">
        <w:rPr>
          <w:spacing w:val="-2"/>
          <w:rtl/>
        </w:rPr>
        <w:t>.</w:t>
      </w:r>
    </w:p>
    <w:p w14:paraId="2D8DC02B" w14:textId="77777777" w:rsidR="007C0894" w:rsidRPr="007C0894" w:rsidRDefault="007C0894" w:rsidP="00F83890">
      <w:pPr>
        <w:pStyle w:val="Headingb"/>
        <w:rPr>
          <w:lang w:val="ar-SA" w:bidi="ar-EG"/>
        </w:rPr>
      </w:pPr>
      <w:r w:rsidRPr="007C0894">
        <w:rPr>
          <w:rtl/>
        </w:rPr>
        <w:t>مبادرة الاستثمار في البنية التحتية الرقمية</w:t>
      </w:r>
    </w:p>
    <w:p w14:paraId="7B7DCD5D" w14:textId="77777777" w:rsidR="0089560B" w:rsidRDefault="007C0894" w:rsidP="007C0894">
      <w:pPr>
        <w:rPr>
          <w:rtl/>
        </w:rPr>
      </w:pPr>
      <w:r w:rsidRPr="007C0894">
        <w:rPr>
          <w:rtl/>
        </w:rPr>
        <w:t xml:space="preserve">أُطلقت مبادرة الاستثمار في البنية التحتية الرقمية </w:t>
      </w:r>
      <w:r w:rsidRPr="007C0894">
        <w:rPr>
          <w:lang w:bidi="ar-EG"/>
        </w:rPr>
        <w:t>(DIII)</w:t>
      </w:r>
      <w:r w:rsidRPr="007C0894">
        <w:rPr>
          <w:rtl/>
        </w:rPr>
        <w:t xml:space="preserve"> في عام 2024 في إطار رئاسة البرازيل لمجموعة العشرين </w:t>
      </w:r>
      <w:r w:rsidRPr="007C0894">
        <w:rPr>
          <w:lang w:bidi="ar-EG"/>
        </w:rPr>
        <w:t>(</w:t>
      </w:r>
      <w:r w:rsidRPr="007C0894">
        <w:t>G20</w:t>
      </w:r>
      <w:r w:rsidRPr="007C0894">
        <w:rPr>
          <w:lang w:bidi="ar-EG"/>
        </w:rPr>
        <w:t>)</w:t>
      </w:r>
      <w:r w:rsidRPr="007C0894">
        <w:rPr>
          <w:rtl/>
        </w:rPr>
        <w:t xml:space="preserve">، بهدف دراسة المدى الكامل لفجوة الاستثمار في البنية التحتية الرقمية، والحواجز الرئيسية أمام الاستثمار، ونُهج التمويل المبتكرة المطلوبة لمعالجتها. وبقيادة الاتحاد الدولي للاتصالات ومصارف تنمية متعددة الأطراف - مصرف التنمية الآسيوي </w:t>
      </w:r>
      <w:r w:rsidRPr="007C0894">
        <w:rPr>
          <w:lang w:bidi="ar-EG"/>
        </w:rPr>
        <w:t>(ADB)</w:t>
      </w:r>
      <w:r w:rsidRPr="007C0894">
        <w:rPr>
          <w:rtl/>
        </w:rPr>
        <w:t xml:space="preserve"> والمصرف الآسيوي للاستثمار في البنية التحتية </w:t>
      </w:r>
      <w:r w:rsidRPr="007C0894">
        <w:rPr>
          <w:lang w:bidi="ar-EG"/>
        </w:rPr>
        <w:t>(AIIB)</w:t>
      </w:r>
      <w:r w:rsidRPr="007C0894">
        <w:rPr>
          <w:rtl/>
        </w:rPr>
        <w:t xml:space="preserve"> ومصرف التنمية الإفريقي </w:t>
      </w:r>
      <w:r w:rsidRPr="007C0894">
        <w:rPr>
          <w:lang w:bidi="ar-EG"/>
        </w:rPr>
        <w:t>(AfDB)</w:t>
      </w:r>
      <w:r w:rsidRPr="007C0894">
        <w:rPr>
          <w:rtl/>
        </w:rPr>
        <w:t xml:space="preserve"> والمصرف الأوروبي للاستثمار </w:t>
      </w:r>
      <w:r w:rsidRPr="007C0894">
        <w:rPr>
          <w:lang w:bidi="ar-EG"/>
        </w:rPr>
        <w:t>(EIB)</w:t>
      </w:r>
      <w:r w:rsidRPr="007C0894">
        <w:rPr>
          <w:rtl/>
        </w:rPr>
        <w:t xml:space="preserve"> والمصرف الأوروبي لإعادة الإعمار والتنمية </w:t>
      </w:r>
      <w:r w:rsidRPr="007C0894">
        <w:rPr>
          <w:lang w:bidi="ar-EG"/>
        </w:rPr>
        <w:t>(EBRD)</w:t>
      </w:r>
      <w:r w:rsidRPr="007C0894">
        <w:rPr>
          <w:rtl/>
        </w:rPr>
        <w:t xml:space="preserve"> ومصرف التنمية للبلدان الأمريكية </w:t>
      </w:r>
      <w:r w:rsidRPr="007C0894">
        <w:rPr>
          <w:lang w:bidi="ar-EG"/>
        </w:rPr>
        <w:t>(IDB)</w:t>
      </w:r>
      <w:r w:rsidRPr="007C0894">
        <w:rPr>
          <w:rtl/>
        </w:rPr>
        <w:t xml:space="preserve"> والبنك الإسلامي للتنمية </w:t>
      </w:r>
      <w:r w:rsidRPr="007C0894">
        <w:rPr>
          <w:lang w:bidi="ar-EG"/>
        </w:rPr>
        <w:t>(</w:t>
      </w:r>
      <w:proofErr w:type="spellStart"/>
      <w:r w:rsidRPr="007C0894">
        <w:rPr>
          <w:lang w:bidi="ar-EG"/>
        </w:rPr>
        <w:t>IsDB</w:t>
      </w:r>
      <w:proofErr w:type="spellEnd"/>
      <w:r w:rsidRPr="007C0894">
        <w:rPr>
          <w:lang w:bidi="ar-EG"/>
        </w:rPr>
        <w:t>)</w:t>
      </w:r>
      <w:r w:rsidRPr="007C0894">
        <w:rPr>
          <w:rtl/>
        </w:rPr>
        <w:t xml:space="preserve"> ومؤسسة التمويل الدولية </w:t>
      </w:r>
      <w:r w:rsidRPr="007C0894">
        <w:rPr>
          <w:lang w:bidi="ar-EG"/>
        </w:rPr>
        <w:t>(IFC) -</w:t>
      </w:r>
      <w:r w:rsidRPr="007C0894">
        <w:rPr>
          <w:rtl/>
        </w:rPr>
        <w:t xml:space="preserve"> وبدعم من مجموعة بوسطن الاستشارية </w:t>
      </w:r>
      <w:r w:rsidRPr="007C0894">
        <w:rPr>
          <w:lang w:bidi="ar-EG"/>
        </w:rPr>
        <w:t>(BCG)</w:t>
      </w:r>
      <w:r w:rsidRPr="007C0894">
        <w:rPr>
          <w:rtl/>
        </w:rPr>
        <w:t xml:space="preserve"> كشريك معرفي، قدرت المبادرة أن هناك حاجة إلى 1,6 تريليون دولار أمريكي لسد فجوة الاستثمار في البنية التحتية الرقمية وضمان توصيلية شاملة وهادفة حتى عام 2030. وبناءً على الورقة البيضاء للمبادرة المنشورة في يناير 2025 - والتي ركزت حصرياً على البنية التحتية - نشر الاتحاد </w:t>
      </w:r>
      <w:hyperlink r:id="rId580" w:anchor="/ar" w:history="1">
        <w:r w:rsidRPr="007C0894">
          <w:rPr>
            <w:rStyle w:val="Hyperlink"/>
            <w:noProof w:val="0"/>
            <w:rtl/>
            <w:lang w:val="en-US" w:eastAsia="zh-CN"/>
          </w:rPr>
          <w:t>مخطط عمل لتوصيل البشرية: النهوض بالحلول المستدامة والميسورة التكلفة والمبتكرة</w:t>
        </w:r>
      </w:hyperlink>
      <w:r w:rsidRPr="007C0894">
        <w:rPr>
          <w:rtl/>
        </w:rPr>
        <w:t xml:space="preserve"> بدعم من المملكة العربية السعودية لتقدير التمويل الإجمالي المطلوب لسد الفجوة الرقمية العالمية عند إدراج عوامل جانب الطلب أيضاً. ويقدِّر مخطط توصيل البشرية أن هناك حاجة إلى مبلغ يتراوح بين 2,6 و2,8 تريليون دولار أمريكي لمعالجة الفجوات ليس فقط في البنية التحتية الرقمية، بل أيضاً في القدرة على تحمل التكاليف والمهارات الرقمية والسياسات العامة والتنظيم.</w:t>
      </w:r>
    </w:p>
    <w:p w14:paraId="7837AC15" w14:textId="2152AB2E" w:rsidR="007C0894" w:rsidRPr="007C0894" w:rsidRDefault="007C0894" w:rsidP="007C0894">
      <w:pPr>
        <w:rPr>
          <w:lang w:val="ar-SA" w:bidi="ar-EG"/>
        </w:rPr>
      </w:pPr>
      <w:r w:rsidRPr="007C0894">
        <w:rPr>
          <w:rtl/>
        </w:rPr>
        <w:t xml:space="preserve">ومتابعةً لمبادرة الاستثمار في البنية التحتية، أطلق الاتحاد في يوليو 2025 بالاشتراك مع الأونكتاد محفِّز الاستثمار في البنية التحتية الرقمية </w:t>
      </w:r>
      <w:r w:rsidRPr="007C0894">
        <w:rPr>
          <w:lang w:bidi="ar-EG"/>
        </w:rPr>
        <w:t>(DII)</w:t>
      </w:r>
      <w:r w:rsidRPr="007C0894">
        <w:rPr>
          <w:rtl/>
        </w:rPr>
        <w:t xml:space="preserve"> الجديد خلال المؤتمر الدولي الرابع لتمويل التنمية </w:t>
      </w:r>
      <w:r w:rsidRPr="007C0894">
        <w:rPr>
          <w:lang w:bidi="ar-EG"/>
        </w:rPr>
        <w:t>(</w:t>
      </w:r>
      <w:r w:rsidRPr="007C0894">
        <w:rPr>
          <w:rtl/>
        </w:rPr>
        <w:t>FfD4</w:t>
      </w:r>
      <w:r w:rsidRPr="007C0894">
        <w:rPr>
          <w:lang w:bidi="ar-EG"/>
        </w:rPr>
        <w:t>)</w:t>
      </w:r>
      <w:r w:rsidRPr="007C0894">
        <w:rPr>
          <w:rtl/>
        </w:rPr>
        <w:t xml:space="preserve"> في إشبيلية، إسبانيا، بدعم من حكومات البرازيل وإسبانيا وجنوب إفريقيا. وأُقر المحفز رسمياً في إطار منهاج عمل إشبيلية لدعم تنفيذ الوثيقة الختامية للمؤتمر الدولي الرابع لتمويل التنمية -</w:t>
      </w:r>
      <w:r w:rsidRPr="007C0894">
        <w:rPr>
          <w:i/>
          <w:iCs/>
          <w:rtl/>
        </w:rPr>
        <w:t xml:space="preserve"> </w:t>
      </w:r>
      <w:proofErr w:type="spellStart"/>
      <w:r w:rsidRPr="007C0894">
        <w:rPr>
          <w:i/>
          <w:iCs/>
          <w:rtl/>
        </w:rPr>
        <w:t>Compromiso</w:t>
      </w:r>
      <w:proofErr w:type="spellEnd"/>
      <w:r w:rsidRPr="007C0894">
        <w:rPr>
          <w:i/>
          <w:iCs/>
          <w:rtl/>
        </w:rPr>
        <w:t xml:space="preserve"> de </w:t>
      </w:r>
      <w:proofErr w:type="spellStart"/>
      <w:r w:rsidRPr="007C0894">
        <w:rPr>
          <w:i/>
          <w:iCs/>
          <w:rtl/>
        </w:rPr>
        <w:t>Sevilla</w:t>
      </w:r>
      <w:proofErr w:type="spellEnd"/>
      <w:r w:rsidRPr="007C0894">
        <w:rPr>
          <w:rtl/>
        </w:rPr>
        <w:t>. ويُعد هذا المحفز منصة متعددة أصحاب المصلحة تجمع بين منظومة الأمم المتحدة ومصارف التنمية المتعددة الأطراف - إلى جانب المستثمرين وشركات القطاع الخاص والحكومات والمجتمع المدني - لتبادل المعارف وتعزيز التعاون بهدف تسريع الاستثمار في نماذج البنية التحتية الرقمية المجدية والقابلة للتمويل. وهو يركز على ثلاث ركائز عمل</w:t>
      </w:r>
      <w:r w:rsidRPr="007C0894">
        <w:rPr>
          <w:lang w:bidi="ar-EG"/>
        </w:rPr>
        <w:t>:</w:t>
      </w:r>
      <w:r w:rsidRPr="007C0894">
        <w:rPr>
          <w:rtl/>
        </w:rPr>
        <w:t xml:space="preserve"> 1) البيانات والأدوات والنماذج المعيارية؛ 2) بناء القدرات في مجال سياسات الاستثمار والتمويل المبتكر؛ 3) الشراكات وفرص الاستثمار والتمويل.</w:t>
      </w:r>
    </w:p>
    <w:p w14:paraId="0AD18B22" w14:textId="4A1AE8F7" w:rsidR="007C0894" w:rsidRPr="007C0894" w:rsidRDefault="007C0894" w:rsidP="007C0894">
      <w:pPr>
        <w:rPr>
          <w:lang w:val="ar-SA" w:bidi="ar-EG"/>
        </w:rPr>
      </w:pPr>
      <w:r w:rsidRPr="007C0894">
        <w:rPr>
          <w:rtl/>
        </w:rPr>
        <w:t xml:space="preserve">وجرى تفعيل المحفز بحلول سبتمبر 2025 ويتشارك في قيادته الاتحاد والأونكتاد وثمانية من مصارف التنمية المتعددة الأطراف - مصرف التنمية الآسيوي </w:t>
      </w:r>
      <w:r w:rsidRPr="007C0894">
        <w:rPr>
          <w:lang w:bidi="ar-EG"/>
        </w:rPr>
        <w:t>(ADB)</w:t>
      </w:r>
      <w:r w:rsidRPr="007C0894">
        <w:rPr>
          <w:rtl/>
        </w:rPr>
        <w:t xml:space="preserve"> ومصرف التنمية الإفريقي </w:t>
      </w:r>
      <w:r w:rsidRPr="007C0894">
        <w:rPr>
          <w:lang w:bidi="ar-EG"/>
        </w:rPr>
        <w:t>(AfDB)</w:t>
      </w:r>
      <w:r w:rsidRPr="007C0894">
        <w:rPr>
          <w:rtl/>
        </w:rPr>
        <w:t xml:space="preserve"> والمصرف الآسيوي للاستثمار في البنية التحتية </w:t>
      </w:r>
      <w:r w:rsidRPr="007C0894">
        <w:rPr>
          <w:lang w:bidi="ar-EG"/>
        </w:rPr>
        <w:t>(AIIB)</w:t>
      </w:r>
      <w:r w:rsidRPr="007C0894">
        <w:rPr>
          <w:rtl/>
        </w:rPr>
        <w:t xml:space="preserve"> والمصرف الأوروبي لإعادة الإعمار والتنمية </w:t>
      </w:r>
      <w:r w:rsidRPr="007C0894">
        <w:rPr>
          <w:lang w:bidi="ar-EG"/>
        </w:rPr>
        <w:t>(EBRD)</w:t>
      </w:r>
      <w:r w:rsidRPr="007C0894">
        <w:rPr>
          <w:rtl/>
        </w:rPr>
        <w:t xml:space="preserve"> والمصرف الأوروبي للاستثمار </w:t>
      </w:r>
      <w:r w:rsidRPr="007C0894">
        <w:rPr>
          <w:lang w:bidi="ar-EG"/>
        </w:rPr>
        <w:t>(EIB)</w:t>
      </w:r>
      <w:r w:rsidRPr="007C0894">
        <w:rPr>
          <w:rtl/>
        </w:rPr>
        <w:t xml:space="preserve"> ومصرف التنمية للبلدان الأمريكية </w:t>
      </w:r>
      <w:r w:rsidRPr="007C0894">
        <w:rPr>
          <w:lang w:bidi="ar-EG"/>
        </w:rPr>
        <w:t>(IDB)</w:t>
      </w:r>
      <w:r w:rsidRPr="007C0894">
        <w:rPr>
          <w:rtl/>
        </w:rPr>
        <w:t xml:space="preserve"> والبنك الإسلامي للتنمية </w:t>
      </w:r>
      <w:r w:rsidRPr="007C0894">
        <w:rPr>
          <w:lang w:bidi="ar-EG"/>
        </w:rPr>
        <w:t>(</w:t>
      </w:r>
      <w:proofErr w:type="spellStart"/>
      <w:r w:rsidRPr="007C0894">
        <w:rPr>
          <w:lang w:bidi="ar-EG"/>
        </w:rPr>
        <w:t>IsDB</w:t>
      </w:r>
      <w:proofErr w:type="spellEnd"/>
      <w:r w:rsidRPr="007C0894">
        <w:rPr>
          <w:lang w:bidi="ar-EG"/>
        </w:rPr>
        <w:t>)</w:t>
      </w:r>
      <w:r w:rsidRPr="007C0894">
        <w:rPr>
          <w:rtl/>
        </w:rPr>
        <w:t xml:space="preserve"> ومجموعة البنك الدولي - مع فريق عمل يضم أكثر من 50 منظمة من مختلف القطاعات. وقد جمع محفز الاستثمار في البنية التحتية الرقمية حتى الآن أصحاب المصلحة على هامش الجمعية العامة للأمم المتحدة </w:t>
      </w:r>
      <w:r w:rsidRPr="007C0894">
        <w:rPr>
          <w:lang w:bidi="ar-EG"/>
        </w:rPr>
        <w:t>(UNGA</w:t>
      </w:r>
      <w:r w:rsidRPr="007C0894">
        <w:rPr>
          <w:rtl/>
        </w:rPr>
        <w:t>، سبتمبر 2025)، والقمة الدولية ل</w:t>
      </w:r>
      <w:r w:rsidR="00EC165E">
        <w:rPr>
          <w:rFonts w:hint="cs"/>
          <w:rtl/>
        </w:rPr>
        <w:t xml:space="preserve">قدرة </w:t>
      </w:r>
      <w:r w:rsidRPr="007C0894">
        <w:rPr>
          <w:rtl/>
        </w:rPr>
        <w:t xml:space="preserve">الكبلات البحرية </w:t>
      </w:r>
      <w:r w:rsidR="00EC165E">
        <w:rPr>
          <w:rFonts w:hint="cs"/>
          <w:rtl/>
        </w:rPr>
        <w:t xml:space="preserve">على الصمود </w:t>
      </w:r>
      <w:r w:rsidRPr="007C0894">
        <w:rPr>
          <w:rtl/>
        </w:rPr>
        <w:t>(فبراير 2026)، ومن خلال مكالمتين لفريق العمل (نوفمبر 2025 وفبراير 2026). وفي المستقبل، سيعمل المحفز على إعداد مستودع موارد بشأن الأدوات القائمة وموارد بناء القدرات التي يمكن أن تدعم تخطيط الاستثمار في البنية التحتية الرقمية، واستضافة أحداث مواءمة الاستثمارات، وإعداد دليل إرشادي بشأن الاستثمارات في البنية التحتية الرقمية والبنية التحتية للذكاء الاصطناعي.</w:t>
      </w:r>
    </w:p>
    <w:p w14:paraId="23D3413D" w14:textId="46189DBA" w:rsidR="007C0894" w:rsidRPr="007C0894" w:rsidRDefault="00F83890" w:rsidP="00F83890">
      <w:pPr>
        <w:pStyle w:val="Heading3"/>
        <w:rPr>
          <w:lang w:val="ar-SA" w:bidi="ar-EG"/>
        </w:rPr>
      </w:pPr>
      <w:bookmarkStart w:id="137" w:name="_Toc224288836"/>
      <w:bookmarkStart w:id="138" w:name="_Toc227252610"/>
      <w:r>
        <w:t>1.5.5</w:t>
      </w:r>
      <w:r w:rsidR="007C0894" w:rsidRPr="007C0894">
        <w:rPr>
          <w:rtl/>
        </w:rPr>
        <w:tab/>
        <w:t>التعاون مع منظومة الأمم المتحدة ومع عمليات حكومية دولية أخرى</w:t>
      </w:r>
      <w:bookmarkEnd w:id="137"/>
      <w:bookmarkEnd w:id="138"/>
    </w:p>
    <w:p w14:paraId="3A024159" w14:textId="77777777" w:rsidR="0089560B" w:rsidRDefault="007C0894" w:rsidP="007C0894">
      <w:pPr>
        <w:rPr>
          <w:rtl/>
        </w:rPr>
      </w:pPr>
      <w:r w:rsidRPr="007C0894">
        <w:rPr>
          <w:rtl/>
        </w:rPr>
        <w:t xml:space="preserve">يقود الاتحاد الدولي للاتصالات، بصفته وكالة الأمم المتحدة المتخصصة في مجال تكنولوجيا المعلومات والاتصالات، الجهود العالمية لمواءمة التكنولوجيات الرقمية مع خطة التنمية المستدامة لعام 2030 داخل منظومة الأمم المتحدة وخارجها. وعملاً </w:t>
      </w:r>
      <w:r w:rsidRPr="007C0894">
        <w:rPr>
          <w:i/>
          <w:iCs/>
          <w:rtl/>
        </w:rPr>
        <w:t>بخطتنا المشتركة</w:t>
      </w:r>
      <w:r w:rsidRPr="007C0894">
        <w:rPr>
          <w:rtl/>
        </w:rPr>
        <w:t xml:space="preserve"> للأمين العام للأمم المتحدة، التي أطلقت في سبتمبر 2021، اضطلع الاتحاد بدور قيادي رئيسي في وضع وتنفيذ </w:t>
      </w:r>
      <w:hyperlink r:id="rId581" w:history="1">
        <w:r w:rsidRPr="007C0894">
          <w:rPr>
            <w:rStyle w:val="Hyperlink"/>
            <w:noProof w:val="0"/>
            <w:rtl/>
            <w:lang w:val="en-US" w:eastAsia="zh-CN"/>
          </w:rPr>
          <w:t>ميثاق المستقبل</w:t>
        </w:r>
      </w:hyperlink>
      <w:r w:rsidRPr="007C0894">
        <w:rPr>
          <w:rtl/>
        </w:rPr>
        <w:t xml:space="preserve"> </w:t>
      </w:r>
      <w:r w:rsidRPr="007C0894">
        <w:rPr>
          <w:lang w:bidi="ar-EG"/>
        </w:rPr>
        <w:t>(A/RES/79/1)</w:t>
      </w:r>
      <w:r w:rsidRPr="007C0894">
        <w:rPr>
          <w:rtl/>
        </w:rPr>
        <w:t xml:space="preserve">، الذي اعتُمد في قمة المستقبل في سبتمبر 2024، بما في ذلك التعاهد الرقمي العالمي </w:t>
      </w:r>
      <w:r w:rsidRPr="007C0894">
        <w:rPr>
          <w:lang w:bidi="ar-EG"/>
        </w:rPr>
        <w:t>(GDC)</w:t>
      </w:r>
      <w:r w:rsidRPr="007C0894">
        <w:rPr>
          <w:rtl/>
        </w:rPr>
        <w:t xml:space="preserve"> الملحق به. ومن خلال المبادرات الرائدة والتعاون المعزز عبر عمليات الأمم المتحدة ومنتدياتها، يدعم الاتحاد اتساق الاستراتيجية والتنفيذ في المجال الرقمي عبر منظومة الأمم المتحدة.</w:t>
      </w:r>
    </w:p>
    <w:p w14:paraId="0B3105E5" w14:textId="77777777" w:rsidR="0089560B" w:rsidRDefault="007C0894" w:rsidP="00F83890">
      <w:pPr>
        <w:pStyle w:val="Heading9"/>
        <w:rPr>
          <w:rtl/>
        </w:rPr>
      </w:pPr>
      <w:r w:rsidRPr="007C0894">
        <w:rPr>
          <w:rtl/>
        </w:rPr>
        <w:t>تنفيذ ميثاق المستقبل</w:t>
      </w:r>
    </w:p>
    <w:p w14:paraId="125737DD" w14:textId="0391CB4D" w:rsidR="007C0894" w:rsidRPr="007C0894" w:rsidRDefault="007C0894" w:rsidP="007C0894">
      <w:pPr>
        <w:rPr>
          <w:lang w:val="ar-SA" w:bidi="ar-EG"/>
        </w:rPr>
      </w:pPr>
      <w:r w:rsidRPr="007C0894">
        <w:rPr>
          <w:rtl/>
        </w:rPr>
        <w:t xml:space="preserve">كما هو مُبين في </w:t>
      </w:r>
      <w:hyperlink r:id="rId582" w:history="1">
        <w:r w:rsidRPr="007C0894">
          <w:rPr>
            <w:rStyle w:val="Hyperlink"/>
            <w:noProof w:val="0"/>
            <w:rtl/>
            <w:lang w:val="en-US" w:eastAsia="zh-CN"/>
          </w:rPr>
          <w:t>خطة عمل الاتحاد لتنفيذ التعاهد الرقمي العالمي</w:t>
        </w:r>
      </w:hyperlink>
      <w:r w:rsidRPr="007C0894">
        <w:rPr>
          <w:rtl/>
        </w:rPr>
        <w:t xml:space="preserve">، دعم الاتحاد الدول الأعضاء وأصحاب المصلحة الآخرين في النهوض بالتوصيلية والتحول الرقمي المستدام من خلال مواءمة أهداف التعاهد الرقمي العالمي مع المبادرات القائمة أو الجديدة. وفي إطار اللجنة التوجيهية لتنفيذ الميثاق التابعة للأمين العام للأمم المتحدة، يشارك الاتحاد في قيادة فريق الأمم المتحدة العامل المعني بالتكنولوجيات الرقمية مع مكتب التكنولوجيات الرقمية والناشئة </w:t>
      </w:r>
      <w:r w:rsidRPr="007C0894">
        <w:rPr>
          <w:lang w:bidi="ar-EG"/>
        </w:rPr>
        <w:t>(ODET)</w:t>
      </w:r>
      <w:r w:rsidRPr="007C0894">
        <w:rPr>
          <w:rtl/>
        </w:rPr>
        <w:t xml:space="preserve">، حيث ينسق الالتزامات على نطاق المنظومة، وقد وضع </w:t>
      </w:r>
      <w:hyperlink r:id="rId583" w:history="1">
        <w:r w:rsidRPr="007C0894">
          <w:rPr>
            <w:rStyle w:val="Hyperlink"/>
            <w:noProof w:val="0"/>
            <w:rtl/>
            <w:lang w:val="en-US" w:eastAsia="zh-CN"/>
          </w:rPr>
          <w:t>خريطة تنفيذ التعاهد الرقمي العالمي</w:t>
        </w:r>
      </w:hyperlink>
      <w:r w:rsidRPr="007C0894">
        <w:rPr>
          <w:rtl/>
        </w:rPr>
        <w:t>.</w:t>
      </w:r>
    </w:p>
    <w:p w14:paraId="3706E26B" w14:textId="61158512" w:rsidR="007C0894" w:rsidRPr="007C0894" w:rsidRDefault="007C0894" w:rsidP="007C0894">
      <w:pPr>
        <w:rPr>
          <w:lang w:val="ar-SA" w:bidi="ar-EG"/>
        </w:rPr>
      </w:pPr>
      <w:r w:rsidRPr="007C0894">
        <w:rPr>
          <w:rtl/>
        </w:rPr>
        <w:t xml:space="preserve">وتماشياً مع تنفيذ التعاهد الرقمي العالمي، تُبرز مبادرات الاتحاد الأساسية - مبادرة </w:t>
      </w:r>
      <w:r w:rsidRPr="007C0894">
        <w:rPr>
          <w:lang w:bidi="ar-EG"/>
        </w:rPr>
        <w:t>Giga</w:t>
      </w:r>
      <w:r w:rsidRPr="007C0894">
        <w:rPr>
          <w:rtl/>
        </w:rPr>
        <w:t xml:space="preserve">، ومبادرة الشراكة من أجل التوصيل </w:t>
      </w:r>
      <w:r w:rsidRPr="007C0894">
        <w:rPr>
          <w:lang w:bidi="ar-EG"/>
        </w:rPr>
        <w:t>(</w:t>
      </w:r>
      <w:r w:rsidRPr="007C0894">
        <w:t>Partner2Connect</w:t>
      </w:r>
      <w:r w:rsidRPr="007C0894">
        <w:rPr>
          <w:lang w:bidi="ar-EG"/>
        </w:rPr>
        <w:t>)</w:t>
      </w:r>
      <w:r w:rsidRPr="007C0894">
        <w:rPr>
          <w:rtl/>
        </w:rPr>
        <w:t xml:space="preserve">، وتقرير "حقائق وأرقام"، والشراكة العالمية </w:t>
      </w:r>
      <w:r w:rsidRPr="007C0894">
        <w:rPr>
          <w:lang w:bidi="ar-EG"/>
        </w:rPr>
        <w:t>EQUALS</w:t>
      </w:r>
      <w:r w:rsidRPr="007C0894">
        <w:rPr>
          <w:rtl/>
        </w:rPr>
        <w:t xml:space="preserve">، ومبادرة العمل الرقمي المراعي للبيئة، والقمة العالمية للذكاء الاصطناعي من أجل المصلحة العامة (على سبيل المثال لا الحصر) - دوره القيادي في سد الفجوة الرقمية، وتعزيز المهارات الرقمية، وتسريع التحولات الرقمية المراعية للبيئة، ودمج النهج التي تركز على الإنسان في تطوير التكنولوجيا. وأطلق الاتحاد في عام 2024 مبادرة الاستثمار في البنية التحتية الرقمية </w:t>
      </w:r>
      <w:r w:rsidRPr="007C0894">
        <w:rPr>
          <w:lang w:bidi="ar-EG"/>
        </w:rPr>
        <w:t>(DIII)</w:t>
      </w:r>
      <w:r w:rsidRPr="007C0894">
        <w:rPr>
          <w:rtl/>
        </w:rPr>
        <w:t xml:space="preserve"> بالتعاون مع مصارف تنمية متعددة الأطراف لمعالجة عجز الاستثمار في البنية التحتية البالغ 1,6 تريليون دولار أمريكي. وينسق الاتحاد أيضاً المبادرة عالية التأثير بشأن البنية التحتية العامة الرقمية </w:t>
      </w:r>
      <w:r w:rsidRPr="007C0894">
        <w:rPr>
          <w:lang w:bidi="ar-EG"/>
        </w:rPr>
        <w:t>(DPI)</w:t>
      </w:r>
      <w:r w:rsidRPr="007C0894">
        <w:rPr>
          <w:rtl/>
        </w:rPr>
        <w:t xml:space="preserve">، بمشاركته في تنظيم القمة العالمية السنوية للبنية التحتية العامة الرقمية (القاهرة، 2024؛ كيب تاون 2025) ومؤتمر </w:t>
      </w:r>
      <w:proofErr w:type="spellStart"/>
      <w:r w:rsidRPr="007C0894">
        <w:rPr>
          <w:rtl/>
        </w:rPr>
        <w:t>Citizen</w:t>
      </w:r>
      <w:proofErr w:type="spellEnd"/>
      <w:r w:rsidRPr="007C0894">
        <w:rPr>
          <w:rtl/>
        </w:rPr>
        <w:t xml:space="preserve"> </w:t>
      </w:r>
      <w:proofErr w:type="spellStart"/>
      <w:r w:rsidRPr="007C0894">
        <w:rPr>
          <w:rtl/>
        </w:rPr>
        <w:t>Stack</w:t>
      </w:r>
      <w:proofErr w:type="spellEnd"/>
      <w:r w:rsidRPr="007C0894">
        <w:rPr>
          <w:rtl/>
        </w:rPr>
        <w:t xml:space="preserve"> (الهند، 2025)، لتعزيز الضمانات وقابلية التشغيل البيني على الصعيد العالمي.</w:t>
      </w:r>
    </w:p>
    <w:p w14:paraId="1E28E124" w14:textId="77777777" w:rsidR="007C0894" w:rsidRPr="007C0894" w:rsidRDefault="007C0894" w:rsidP="007C0894">
      <w:pPr>
        <w:rPr>
          <w:lang w:val="ar-SA" w:bidi="ar-EG"/>
        </w:rPr>
      </w:pPr>
      <w:r w:rsidRPr="007C0894">
        <w:rPr>
          <w:rtl/>
        </w:rPr>
        <w:t xml:space="preserve">وإلى جانب التعاهد الرقمي العالمي، يساهم الاتحاد في تنفيذ </w:t>
      </w:r>
      <w:r w:rsidRPr="007C0894">
        <w:rPr>
          <w:i/>
          <w:iCs/>
          <w:rtl/>
        </w:rPr>
        <w:t>ميثاق المستقبل</w:t>
      </w:r>
      <w:r w:rsidRPr="007C0894">
        <w:rPr>
          <w:rtl/>
        </w:rPr>
        <w:t xml:space="preserve"> من خلال الأفرقة العاملة للجنة التوجيهية التابعة للأمين العام للأمم المتحدة المعنية بأهداف التنمية المستدامة، والسلام والأمن، وإصلاح الهيكل المالي الدولي، وإصلاح الحوكمة في الأمم المتحدة، والشباب. ويشارك الاتحاد في قيادة الإجراء 27(ج) للميثاق بشأن سد الفجوات الرقمية في إطار مسار السلام والأمن، ويدعم الإجراء 24 (ب) بشأن مكافحة الجريمة المنظمة عبر الوطنية من خلال تعزيز استخدام شبكات رقمية آمنة وقادرة على الصمود. وفي إطار إصلاح حوكمة الأمم المتحدة، يعزز الاتحاد التعاون في مجال الفضاء مع مكتب الأمم المتحدة لشؤون الفضاء الخارجي </w:t>
      </w:r>
      <w:r w:rsidRPr="007C0894">
        <w:rPr>
          <w:lang w:bidi="ar-EG"/>
        </w:rPr>
        <w:t>(UNOOSA)</w:t>
      </w:r>
      <w:r w:rsidRPr="007C0894">
        <w:rPr>
          <w:rtl/>
        </w:rPr>
        <w:t xml:space="preserve"> ولجنة استخدام الفضاء الخارجي في الأغراض السلمية </w:t>
      </w:r>
      <w:r w:rsidRPr="007C0894">
        <w:rPr>
          <w:lang w:bidi="ar-EG"/>
        </w:rPr>
        <w:t>(COPUOS)</w:t>
      </w:r>
      <w:r w:rsidRPr="007C0894">
        <w:rPr>
          <w:rtl/>
        </w:rPr>
        <w:t xml:space="preserve"> من خلال بناء القدرات في مجال قانون الفضاء.</w:t>
      </w:r>
    </w:p>
    <w:p w14:paraId="2151D362" w14:textId="77777777" w:rsidR="007C0894" w:rsidRPr="007C0894" w:rsidRDefault="007C0894" w:rsidP="00F83890">
      <w:pPr>
        <w:pStyle w:val="Headingb"/>
        <w:rPr>
          <w:lang w:val="ar-SA" w:bidi="ar-EG"/>
        </w:rPr>
      </w:pPr>
      <w:r w:rsidRPr="007C0894">
        <w:rPr>
          <w:rtl/>
        </w:rPr>
        <w:t>التعاون على نطاق منظومة الأمم المتحدة في المجال الرقمي</w:t>
      </w:r>
    </w:p>
    <w:p w14:paraId="2920C864" w14:textId="77777777" w:rsidR="0089560B" w:rsidRDefault="007C0894" w:rsidP="007C0894">
      <w:pPr>
        <w:rPr>
          <w:rtl/>
        </w:rPr>
      </w:pPr>
      <w:r w:rsidRPr="007C0894">
        <w:rPr>
          <w:rtl/>
        </w:rPr>
        <w:t xml:space="preserve">يحافظ الاتحاد الدولي للاتصالات على حضور قوي عبر منظومة الأمم المتحدة، ما يعزز الاتساق بين الاستراتيجية والتنفيذ في المجال الرقمي. فداخل مجلس الرؤساء التنفيذيين واللجنة الرفيعة المستوى المعنية بالبرامج </w:t>
      </w:r>
      <w:r w:rsidRPr="007C0894">
        <w:rPr>
          <w:lang w:bidi="ar-EG"/>
        </w:rPr>
        <w:t>(HLCP)</w:t>
      </w:r>
      <w:r w:rsidRPr="007C0894">
        <w:rPr>
          <w:rtl/>
        </w:rPr>
        <w:t xml:space="preserve"> واللجنة الرفيعة المستوى المعنية بالإدارة </w:t>
      </w:r>
      <w:r w:rsidRPr="007C0894">
        <w:rPr>
          <w:lang w:bidi="ar-EG"/>
        </w:rPr>
        <w:t>(HLCM)</w:t>
      </w:r>
      <w:r w:rsidRPr="007C0894">
        <w:rPr>
          <w:rtl/>
        </w:rPr>
        <w:t xml:space="preserve"> التابعتين له، وداخل مجموعة الأمم المتحدة للتنمية المستدامة، يضطلع الاتحاد بدور قيادي في النهوض بالتوصيلية الشاملة وتوجيه التحول الرقمي، بما يشمل تطوير الذكاء الاصطناعي.</w:t>
      </w:r>
    </w:p>
    <w:p w14:paraId="4BF18DF3" w14:textId="77777777" w:rsidR="0089560B" w:rsidRDefault="007C0894" w:rsidP="007C0894">
      <w:pPr>
        <w:rPr>
          <w:spacing w:val="-2"/>
          <w:rtl/>
        </w:rPr>
      </w:pPr>
      <w:r w:rsidRPr="007C0894">
        <w:rPr>
          <w:spacing w:val="-2"/>
          <w:rtl/>
        </w:rPr>
        <w:t xml:space="preserve">ومن خلال مشاركته النشطة مع الدول الأعضاء وأصحاب المصلحة الآخرين في مؤتمرات الأمم المتحدة ومنتدياتها الرئيسية، يعزز الاتحاد استراتيجياً الدور الحاسم للتكنولوجيات الرقمية في تحقيق التنمية المستدامة. وشملت هذه المنصات، على سبيل المثال لا الحصر، المجلس الاقتصادي والاجتماعي ولجانه الوظيفية - مثل لجنة التنمية الاجتماعية </w:t>
      </w:r>
      <w:r w:rsidRPr="007C0894">
        <w:rPr>
          <w:spacing w:val="-2"/>
          <w:lang w:bidi="ar-EG"/>
        </w:rPr>
        <w:t>(</w:t>
      </w:r>
      <w:proofErr w:type="spellStart"/>
      <w:r w:rsidRPr="007C0894">
        <w:rPr>
          <w:spacing w:val="-2"/>
          <w:lang w:bidi="ar-EG"/>
        </w:rPr>
        <w:t>CSocD</w:t>
      </w:r>
      <w:proofErr w:type="spellEnd"/>
      <w:r w:rsidRPr="007C0894">
        <w:rPr>
          <w:spacing w:val="-2"/>
          <w:lang w:bidi="ar-EG"/>
        </w:rPr>
        <w:t>)</w:t>
      </w:r>
      <w:r w:rsidRPr="007C0894">
        <w:rPr>
          <w:spacing w:val="-2"/>
          <w:rtl/>
        </w:rPr>
        <w:t xml:space="preserve">، ولجنة وضع المرأة </w:t>
      </w:r>
      <w:r w:rsidRPr="007C0894">
        <w:rPr>
          <w:spacing w:val="-2"/>
          <w:lang w:bidi="ar-EG"/>
        </w:rPr>
        <w:t>(CSW)</w:t>
      </w:r>
      <w:r w:rsidRPr="007C0894">
        <w:rPr>
          <w:spacing w:val="-2"/>
          <w:rtl/>
        </w:rPr>
        <w:t xml:space="preserve">، والمنتدى المتعدد أصحاب المصلحة المعني بالعلم والتكنولوجيا والابتكار (منتدى </w:t>
      </w:r>
      <w:r w:rsidRPr="007C0894">
        <w:rPr>
          <w:spacing w:val="-2"/>
          <w:lang w:bidi="ar-EG"/>
        </w:rPr>
        <w:t>STI)</w:t>
      </w:r>
      <w:r w:rsidRPr="007C0894">
        <w:rPr>
          <w:spacing w:val="-2"/>
          <w:rtl/>
        </w:rPr>
        <w:t xml:space="preserve">، والمنتدى السياسي الرفيع المستوى </w:t>
      </w:r>
      <w:r w:rsidRPr="007C0894">
        <w:rPr>
          <w:spacing w:val="-2"/>
          <w:lang w:bidi="ar-EG"/>
        </w:rPr>
        <w:t>(HLPF)</w:t>
      </w:r>
      <w:r w:rsidRPr="007C0894">
        <w:rPr>
          <w:spacing w:val="-2"/>
          <w:rtl/>
        </w:rPr>
        <w:t xml:space="preserve">، ودورات الجمعية العامة للأمم المتحدة (مع حدث </w:t>
      </w:r>
      <w:proofErr w:type="spellStart"/>
      <w:r w:rsidRPr="007C0894">
        <w:rPr>
          <w:spacing w:val="-2"/>
          <w:lang w:bidi="ar-EG"/>
        </w:rPr>
        <w:t>Digital@UNGA</w:t>
      </w:r>
      <w:proofErr w:type="spellEnd"/>
      <w:r w:rsidRPr="007C0894">
        <w:rPr>
          <w:spacing w:val="-2"/>
          <w:lang w:bidi="ar-EG"/>
        </w:rPr>
        <w:t>)</w:t>
      </w:r>
      <w:r w:rsidRPr="007C0894">
        <w:rPr>
          <w:spacing w:val="-2"/>
          <w:rtl/>
        </w:rPr>
        <w:t xml:space="preserve">، ومؤتمرات الأمم المتحدة الأخرى، مثل مؤتمرات الأطراف </w:t>
      </w:r>
      <w:r w:rsidRPr="007C0894">
        <w:rPr>
          <w:spacing w:val="-2"/>
          <w:lang w:bidi="ar-EG"/>
        </w:rPr>
        <w:t>(COP)</w:t>
      </w:r>
      <w:r w:rsidRPr="007C0894">
        <w:rPr>
          <w:spacing w:val="-2"/>
          <w:rtl/>
        </w:rPr>
        <w:t xml:space="preserve"> والمؤتمرات المعنية بالدول الجزرية الصغيرة النامية </w:t>
      </w:r>
      <w:r w:rsidRPr="007C0894">
        <w:rPr>
          <w:spacing w:val="-2"/>
          <w:lang w:bidi="ar-EG"/>
        </w:rPr>
        <w:t>(SIDS)</w:t>
      </w:r>
      <w:r w:rsidRPr="007C0894">
        <w:rPr>
          <w:spacing w:val="-2"/>
          <w:rtl/>
        </w:rPr>
        <w:t xml:space="preserve"> وأقل البلدان نمواً </w:t>
      </w:r>
      <w:r w:rsidRPr="007C0894">
        <w:rPr>
          <w:spacing w:val="-2"/>
          <w:lang w:bidi="ar-EG"/>
        </w:rPr>
        <w:t>(LDC)</w:t>
      </w:r>
      <w:r w:rsidRPr="007C0894">
        <w:rPr>
          <w:spacing w:val="-2"/>
          <w:rtl/>
        </w:rPr>
        <w:t xml:space="preserve"> والبلدان النامية غير الساحلية </w:t>
      </w:r>
      <w:r w:rsidRPr="007C0894">
        <w:rPr>
          <w:spacing w:val="-2"/>
          <w:lang w:bidi="ar-EG"/>
        </w:rPr>
        <w:t>(LLDC)</w:t>
      </w:r>
      <w:r w:rsidRPr="007C0894">
        <w:rPr>
          <w:spacing w:val="-2"/>
          <w:rtl/>
        </w:rPr>
        <w:t xml:space="preserve"> في نيويورك وخارجها. وفي مؤتمر القمة العالمي الثاني للتنمية الاجتماعية </w:t>
      </w:r>
      <w:r w:rsidRPr="007C0894">
        <w:rPr>
          <w:spacing w:val="-2"/>
          <w:lang w:bidi="ar-EG"/>
        </w:rPr>
        <w:t>(</w:t>
      </w:r>
      <w:r w:rsidRPr="007C0894">
        <w:rPr>
          <w:spacing w:val="-2"/>
        </w:rPr>
        <w:t>WSSD2</w:t>
      </w:r>
      <w:r w:rsidRPr="007C0894">
        <w:rPr>
          <w:spacing w:val="-2"/>
          <w:lang w:bidi="ar-EG"/>
        </w:rPr>
        <w:t>)</w:t>
      </w:r>
      <w:r w:rsidRPr="007C0894">
        <w:rPr>
          <w:spacing w:val="-2"/>
          <w:rtl/>
        </w:rPr>
        <w:t xml:space="preserve"> الذي عُقد في الدوحة في نوفمبر 2025 على وجه الخصوص، ساهم الاتحاد في </w:t>
      </w:r>
      <w:hyperlink r:id="rId584" w:history="1">
        <w:r w:rsidRPr="007C0894">
          <w:rPr>
            <w:rStyle w:val="Hyperlink"/>
            <w:i/>
            <w:iCs/>
            <w:noProof w:val="0"/>
            <w:spacing w:val="-2"/>
            <w:rtl/>
            <w:lang w:val="en-US" w:eastAsia="zh-CN"/>
          </w:rPr>
          <w:t>إعلان الدوحة السياسي</w:t>
        </w:r>
      </w:hyperlink>
      <w:r w:rsidRPr="007C0894">
        <w:rPr>
          <w:spacing w:val="-2"/>
          <w:rtl/>
        </w:rPr>
        <w:t xml:space="preserve"> </w:t>
      </w:r>
      <w:r w:rsidRPr="007C0894">
        <w:rPr>
          <w:spacing w:val="-2"/>
          <w:lang w:bidi="ar-EG"/>
        </w:rPr>
        <w:t>(A/RES/80/5)</w:t>
      </w:r>
      <w:r w:rsidRPr="007C0894">
        <w:rPr>
          <w:spacing w:val="-2"/>
          <w:rtl/>
        </w:rPr>
        <w:t>، حيث شدد على دور الأدوات الرقمية والذكاء الاصطناعي في القضاء على الفقر، وتعزيز العمل اللائق، والحماية الاجتماعية، وضمان النفاذ المنصف.</w:t>
      </w:r>
    </w:p>
    <w:p w14:paraId="73FB0323" w14:textId="7E37A534" w:rsidR="0089560B" w:rsidRDefault="007C0894" w:rsidP="007C0894">
      <w:pPr>
        <w:rPr>
          <w:rtl/>
        </w:rPr>
      </w:pPr>
      <w:r w:rsidRPr="007C0894">
        <w:rPr>
          <w:rtl/>
        </w:rPr>
        <w:t>وحدد استقصاء أجرته الأمم المتحدة في عام 2022 أكثر من 500 مبادرة رقمية عبر منظومة الأمم المتحدة - ومن المر</w:t>
      </w:r>
      <w:r w:rsidR="00EC165E">
        <w:rPr>
          <w:rFonts w:hint="cs"/>
          <w:rtl/>
        </w:rPr>
        <w:t>جح</w:t>
      </w:r>
      <w:r w:rsidRPr="007C0894">
        <w:rPr>
          <w:rtl/>
        </w:rPr>
        <w:t xml:space="preserve"> أن يتزايد هذا العدد - إذ باتت المواضيع الرقمية تظهر بشكل متزايد في المؤتمرات والتقارير والقرارات والوثائق الختامية الرئيسية. ويتعاون الاتحاد مع وكالات الأمم المتحدة الشقيقة وغيرها من الكيانات بشأن الأنظمة الإيكولوجية الرقمية والبيانات والذكاء الاصطناعي والبنية التحتية العامة، مع تعزيز القدرة على الصمود على نطاق المنظومة من خلال شراكات التقييس مع اللجنة الكهرتقنية الدولية </w:t>
      </w:r>
      <w:r w:rsidRPr="007C0894">
        <w:rPr>
          <w:lang w:bidi="ar-EG"/>
        </w:rPr>
        <w:t>(IEC)</w:t>
      </w:r>
      <w:r w:rsidR="00F83890">
        <w:rPr>
          <w:rFonts w:hint="cs"/>
          <w:rtl/>
          <w:lang w:bidi="ar-EG"/>
        </w:rPr>
        <w:t>/</w:t>
      </w:r>
      <w:r w:rsidRPr="007C0894">
        <w:rPr>
          <w:rtl/>
        </w:rPr>
        <w:t xml:space="preserve">المنظمة الدولية للتوحيد القياسي </w:t>
      </w:r>
      <w:r w:rsidRPr="007C0894">
        <w:rPr>
          <w:lang w:bidi="ar-EG"/>
        </w:rPr>
        <w:t>(ISO)</w:t>
      </w:r>
      <w:r w:rsidRPr="007C0894">
        <w:rPr>
          <w:rtl/>
        </w:rPr>
        <w:t xml:space="preserve">، والتنسيق مع وكالتي الأمم المتحدة المعنيتين بالطيران المدني والشؤون البحرية (أي منظمة الطيران المدني الدولي </w:t>
      </w:r>
      <w:r w:rsidRPr="007C0894">
        <w:rPr>
          <w:lang w:bidi="ar-EG"/>
        </w:rPr>
        <w:t>(ICAO)</w:t>
      </w:r>
      <w:r w:rsidRPr="007C0894">
        <w:rPr>
          <w:rtl/>
        </w:rPr>
        <w:t xml:space="preserve"> والمنظمة البحرية الدولية </w:t>
      </w:r>
      <w:r w:rsidRPr="007C0894">
        <w:rPr>
          <w:lang w:bidi="ar-EG"/>
        </w:rPr>
        <w:t>(IMO)</w:t>
      </w:r>
      <w:r w:rsidRPr="007C0894">
        <w:rPr>
          <w:rtl/>
        </w:rPr>
        <w:t xml:space="preserve">). ويدعم الاتحاد أيضاً المبادرات الرقمية لصندوق الأمم المتحدة المشترك لأهداف التنمية المستدامة؛ ويعمل كوكالة رائدة لمركز موارد الذكاء الاصطناعي التابع للأمم المتحدة، وفريق العمل المشترك بين الوكالات المعني بالذكاء الاصطناعي، وفريق الأمم المتحدة المعني بمجتمع المعلومات </w:t>
      </w:r>
      <w:r w:rsidRPr="007C0894">
        <w:rPr>
          <w:lang w:bidi="ar-EG"/>
        </w:rPr>
        <w:t>(UNGIS)</w:t>
      </w:r>
      <w:r w:rsidRPr="007C0894">
        <w:rPr>
          <w:rtl/>
        </w:rPr>
        <w:t xml:space="preserve">، وعملية الاستعراض الشامل لتنفيذ نتائج القمة العالمية لمجتمع المعلومات بعد 20 عاماً من انعقادها </w:t>
      </w:r>
      <w:r w:rsidR="004A3DBC" w:rsidRPr="004A3DBC">
        <w:rPr>
          <w:lang w:bidi="ar-EG"/>
        </w:rPr>
        <w:t>(WSIS+20)</w:t>
      </w:r>
      <w:r w:rsidRPr="007C0894">
        <w:rPr>
          <w:rtl/>
        </w:rPr>
        <w:t xml:space="preserve">؛ ويسهم في إذكاء الوعي من خلال اليوم الدولي للفتيات في مجال تكنولوجيا المعلومات والاتصالات، واليوم الدولي للمرأة والفتاة في ميدان العلوم، واليوم الدولي للتعليم، فضلاً عن حوارات </w:t>
      </w:r>
      <w:proofErr w:type="spellStart"/>
      <w:r w:rsidRPr="007C0894">
        <w:rPr>
          <w:rtl/>
        </w:rPr>
        <w:t>وإحاطات</w:t>
      </w:r>
      <w:proofErr w:type="spellEnd"/>
      <w:r w:rsidRPr="007C0894">
        <w:rPr>
          <w:rtl/>
        </w:rPr>
        <w:t xml:space="preserve"> إقليمية أخرى متعددة أصحاب المصلحة.</w:t>
      </w:r>
    </w:p>
    <w:p w14:paraId="43F4EE42" w14:textId="77777777" w:rsidR="0089560B" w:rsidRDefault="007C0894" w:rsidP="00274B4B">
      <w:pPr>
        <w:pStyle w:val="Headingb"/>
        <w:rPr>
          <w:rtl/>
        </w:rPr>
      </w:pPr>
      <w:r w:rsidRPr="007C0894">
        <w:rPr>
          <w:rtl/>
        </w:rPr>
        <w:t>الدور القيادي للاتحاد في مبادرات الأمم المتحدة 80 (UN80)</w:t>
      </w:r>
    </w:p>
    <w:p w14:paraId="4FE15D2E" w14:textId="48731956" w:rsidR="007C0894" w:rsidRPr="007C0894" w:rsidRDefault="007C0894" w:rsidP="007C0894">
      <w:pPr>
        <w:rPr>
          <w:lang w:val="ar-SA" w:bidi="ar-EG"/>
        </w:rPr>
      </w:pPr>
      <w:r w:rsidRPr="007C0894">
        <w:rPr>
          <w:rtl/>
        </w:rPr>
        <w:t xml:space="preserve">في إطار مبادرات الأمم المتحدة 80 (UN80)، شاركت الأمينة العامة للاتحاد الدولي للاتصالات في قيادة مجموعة الوكالات المتخصصة مع منظمة العمل الدولية </w:t>
      </w:r>
      <w:r w:rsidRPr="007C0894">
        <w:rPr>
          <w:lang w:bidi="ar-EG"/>
        </w:rPr>
        <w:t>(ILO)</w:t>
      </w:r>
      <w:r w:rsidRPr="007C0894">
        <w:rPr>
          <w:rtl/>
        </w:rPr>
        <w:t xml:space="preserve">، لمواءمة التحول الرقمي مع </w:t>
      </w:r>
      <w:r w:rsidR="00EC165E">
        <w:rPr>
          <w:rFonts w:hint="cs"/>
          <w:rtl/>
        </w:rPr>
        <w:t>أولويات</w:t>
      </w:r>
      <w:r w:rsidRPr="007C0894">
        <w:rPr>
          <w:rtl/>
        </w:rPr>
        <w:t xml:space="preserve"> إصلاح الأمم المتحدة. وعقب تقرير الأمين العام للأمم المتحدة الصادر في سبتمبر 2025 بعنوان "</w:t>
      </w:r>
      <w:r w:rsidR="00274B4B">
        <w:rPr>
          <w:rFonts w:hint="eastAsia"/>
          <w:rtl/>
          <w:lang w:bidi="ar-EG"/>
        </w:rPr>
        <w:t> </w:t>
      </w:r>
      <w:hyperlink r:id="rId585" w:history="1">
        <w:r w:rsidRPr="007C0894">
          <w:rPr>
            <w:rStyle w:val="Hyperlink"/>
            <w:i/>
            <w:iCs/>
            <w:noProof w:val="0"/>
            <w:rtl/>
            <w:lang w:val="en-US" w:eastAsia="zh-CN"/>
          </w:rPr>
          <w:t>تغيير النماذج: متحدون من أجل الإنجاز</w:t>
        </w:r>
      </w:hyperlink>
      <w:r w:rsidRPr="007C0894">
        <w:rPr>
          <w:rtl/>
        </w:rPr>
        <w:t>" و</w:t>
      </w:r>
      <w:hyperlink r:id="rId586" w:history="1">
        <w:r w:rsidRPr="007C0894">
          <w:rPr>
            <w:rStyle w:val="Hyperlink"/>
            <w:i/>
            <w:iCs/>
            <w:noProof w:val="0"/>
            <w:rtl/>
            <w:lang w:val="en-US" w:eastAsia="zh-CN"/>
          </w:rPr>
          <w:t>خطة عمل مبادرة الأمم المتحدة 80</w:t>
        </w:r>
      </w:hyperlink>
      <w:r w:rsidRPr="007C0894">
        <w:rPr>
          <w:rtl/>
        </w:rPr>
        <w:t xml:space="preserve"> اللاحقة، دخلت المبادرة مرحلة التنفيذ الكامل في عام 2026. ويقود الاتحاد حزمة العمل رقم 8 (الخبرة عند الطلب) مع برنامج الأمم المتحدة الإنمائي </w:t>
      </w:r>
      <w:r w:rsidRPr="007C0894">
        <w:rPr>
          <w:lang w:bidi="ar-EG"/>
        </w:rPr>
        <w:t>(UNDP) -</w:t>
      </w:r>
      <w:r w:rsidRPr="007C0894">
        <w:rPr>
          <w:rtl/>
        </w:rPr>
        <w:t xml:space="preserve"> لربط أفرقة الأمم المتحدة القُطرية بالخبرات المتخصصة - ويشارك في قيادة حزمة العمل رقم 15 (التكنولوجيا) مع وكيل الأمين العام للسياسات ورئيس شبكة الأمم المتحدة الرقمية والتكنولوجية لتعزيز البنية التحتية الرقمية وإطلاق منصة </w:t>
      </w:r>
      <w:r w:rsidR="00F92A17">
        <w:rPr>
          <w:rFonts w:hint="cs"/>
          <w:rtl/>
        </w:rPr>
        <w:t>تسريع</w:t>
      </w:r>
      <w:r w:rsidRPr="007C0894">
        <w:rPr>
          <w:rtl/>
        </w:rPr>
        <w:t xml:space="preserve"> التكنولوجيا </w:t>
      </w:r>
      <w:r w:rsidRPr="007C0894">
        <w:rPr>
          <w:lang w:bidi="ar-EG"/>
        </w:rPr>
        <w:t>(TAP)</w:t>
      </w:r>
      <w:r w:rsidRPr="007C0894">
        <w:rPr>
          <w:rtl/>
        </w:rPr>
        <w:t>. ويساهم الاتحاد أيضاً في العديد من حزم العمل الأخرى، بما في ذلك حزمة العمل رقم 5 (إعادة تشكيل أفرقة الأمم المتحدة القُطرية)، وحزمة العمل رقم 6 (إعادة الترتيب الإقليمي)، وحزمة العمل رقم 7 (مراكز المعارف المشتركة)، وحزمة العمل رقم 12 (المنصات الإقليمية المتكاملة)، وحزمة العمل رقم 14 (خارطة طريق الخدمات الموحدة)، وحزمة العمل رقم</w:t>
      </w:r>
      <w:r w:rsidR="00274B4B">
        <w:rPr>
          <w:rFonts w:hint="cs"/>
          <w:rtl/>
        </w:rPr>
        <w:t> </w:t>
      </w:r>
      <w:r w:rsidRPr="007C0894">
        <w:rPr>
          <w:rtl/>
        </w:rPr>
        <w:t>16 (البيانات)، وحزمة العمل رقم 17 (التدريب والبحث)، وحزمة العمل رقم 21 (إدارة النتائج على نطاق المنظومة)، وحزمة العمل رقم 29 (سجلات وأدوات الولايات).</w:t>
      </w:r>
    </w:p>
    <w:p w14:paraId="1142C477" w14:textId="77777777" w:rsidR="0089560B" w:rsidRDefault="007C0894" w:rsidP="007C0894">
      <w:pPr>
        <w:rPr>
          <w:rtl/>
        </w:rPr>
      </w:pPr>
      <w:r w:rsidRPr="007C0894">
        <w:rPr>
          <w:rtl/>
        </w:rPr>
        <w:t>ويواصل الاتحاد التعاون مع منظومة الأمم المتحدة لتعزيز التعاون الرقمي وربط السياسات بالاستثمار والابتكار لضمان أن يسرِّع التحول الرقمي التقدم العالمي نحو تحقيق خطة التنمية المستدامة لعام 2030 مع حماية حقوق الإنسان وتعزيز الثقة في التقدم التكنولوجي.</w:t>
      </w:r>
    </w:p>
    <w:p w14:paraId="5AC6ED48" w14:textId="266524D5" w:rsidR="007C0894" w:rsidRPr="007C0894" w:rsidRDefault="00274B4B" w:rsidP="00274B4B">
      <w:pPr>
        <w:pStyle w:val="Heading2"/>
        <w:rPr>
          <w:lang w:val="ar-SA" w:bidi="ar-EG"/>
        </w:rPr>
      </w:pPr>
      <w:bookmarkStart w:id="139" w:name="_Toc224288837"/>
      <w:bookmarkStart w:id="140" w:name="_Toc227252611"/>
      <w:r>
        <w:t>6.5</w:t>
      </w:r>
      <w:r w:rsidR="007C0894" w:rsidRPr="007C0894">
        <w:rPr>
          <w:rtl/>
        </w:rPr>
        <w:tab/>
        <w:t>تعبئة الموارد</w:t>
      </w:r>
      <w:bookmarkEnd w:id="139"/>
      <w:bookmarkEnd w:id="140"/>
    </w:p>
    <w:p w14:paraId="1C89DA98" w14:textId="0115D304" w:rsidR="007C0894" w:rsidRPr="007C0894" w:rsidRDefault="007C0894" w:rsidP="007C0894">
      <w:pPr>
        <w:rPr>
          <w:lang w:val="ar-SA" w:bidi="ar-EG"/>
        </w:rPr>
      </w:pPr>
      <w:r w:rsidRPr="007C0894">
        <w:rPr>
          <w:rtl/>
        </w:rPr>
        <w:t xml:space="preserve">اعتمد مجلس الاتحاد، عملاً بتوجيهات مؤتمر المندوبين المفوضين لعام 2022 (PP-22)، </w:t>
      </w:r>
      <w:hyperlink r:id="rId587" w:history="1">
        <w:r w:rsidRPr="007C0894">
          <w:rPr>
            <w:rStyle w:val="Hyperlink"/>
            <w:noProof w:val="0"/>
            <w:rtl/>
            <w:lang w:val="en-US" w:eastAsia="zh-CN"/>
          </w:rPr>
          <w:t>استراتيجية لتعبئة الموارد</w:t>
        </w:r>
      </w:hyperlink>
      <w:r w:rsidRPr="007C0894">
        <w:rPr>
          <w:rtl/>
        </w:rPr>
        <w:t xml:space="preserve"> اقترحتها الأمينة العامة في دورة المجلس لعام 2024. وتستند الاستراتيجية إلى ثلاث ركائز رئيسية، منها تعزيز مشاركة الأعضاء وإيراداتهم، والاستفادة من الأحداث والمنتجات والخدمات، وزيادة المساهمات الطوعية.</w:t>
      </w:r>
    </w:p>
    <w:p w14:paraId="6F93C139" w14:textId="77777777" w:rsidR="007C0894" w:rsidRPr="007C0894" w:rsidRDefault="007C0894" w:rsidP="007C0894">
      <w:pPr>
        <w:rPr>
          <w:lang w:val="ar-SA" w:bidi="ar-EG"/>
        </w:rPr>
      </w:pPr>
      <w:r w:rsidRPr="007C0894">
        <w:rPr>
          <w:rtl/>
        </w:rPr>
        <w:t xml:space="preserve">وتمثل وحدات مساهمة الدول الأعضاء نحو 70 في المائة من إيرادات الميزانية العادية. ولدى إعداد الاستراتيجية من خلال فريق العمل التابع للمجلس والمعني بالموارد المالية والبشرية </w:t>
      </w:r>
      <w:r w:rsidRPr="007C0894">
        <w:rPr>
          <w:lang w:bidi="ar-EG"/>
        </w:rPr>
        <w:t>(CWG-FHR)</w:t>
      </w:r>
      <w:r w:rsidRPr="007C0894">
        <w:rPr>
          <w:rtl/>
        </w:rPr>
        <w:t>، طلب المندوبون من أمانة الاتحاد المساعدة في عرض الحجج المؤيدة للاتحاد داخل إداراتهم للإبقاء على وحدات مساهمتهم أو زيادتها. وأعدت الأمانة دراسة جدوى استثمارية للاتحاد، إلى جانب مواد إحاطة تنفيذية وموارد محدَثة ذات صلة منشورة على شبكة الإنترنت يمكن للوفود استخدامها لإجراء مشاورات داخلية.</w:t>
      </w:r>
    </w:p>
    <w:p w14:paraId="788193BE" w14:textId="77777777" w:rsidR="0089560B" w:rsidRDefault="007C0894" w:rsidP="007C0894">
      <w:pPr>
        <w:rPr>
          <w:rtl/>
        </w:rPr>
      </w:pPr>
      <w:r w:rsidRPr="007C0894">
        <w:rPr>
          <w:rtl/>
        </w:rPr>
        <w:t xml:space="preserve">وتبذل الأمانة أيضاً جهداً كبيراً لتحديث عملياتها، وإيجاد كفاءات جديدة، وإعداد تقارير أكثر تفصيلاً وشفافية للدول الأعضاء. وأخيرا، وبتوجيه من فريق العمل التابع للمجلس والمعني بالخطتين الاستراتيجية والمالية </w:t>
      </w:r>
      <w:r w:rsidRPr="007C0894">
        <w:rPr>
          <w:lang w:bidi="ar-EG"/>
        </w:rPr>
        <w:t>(CWG-SFP)</w:t>
      </w:r>
      <w:r w:rsidRPr="007C0894">
        <w:rPr>
          <w:rtl/>
        </w:rPr>
        <w:t>، تُبذل جهود على نطاق الاتحاد لتحسين عرض ميزانية الاتحاد وإقامة روابط أوضح بين الميزانية والخطط التشغيلية والاستراتيجية، وتحديد فجوات التمويل.</w:t>
      </w:r>
    </w:p>
    <w:p w14:paraId="5171E4AC" w14:textId="752DC8E9" w:rsidR="007C0894" w:rsidRPr="007C0894" w:rsidRDefault="007C0894" w:rsidP="007C0894">
      <w:pPr>
        <w:rPr>
          <w:lang w:val="ar-SA" w:bidi="ar-EG"/>
        </w:rPr>
      </w:pPr>
      <w:r w:rsidRPr="007C0894">
        <w:rPr>
          <w:rtl/>
        </w:rPr>
        <w:t>وبغية تعزيز مشاركة أعضاء القطاعات وإيراداتهم، التي تمثل نحو 10 في المائة من إيرادات الميزانية العادية، تدعو الاستراتيجية إلى استعراض عضوية القطاعات بالتشاور مع الأفرقة الاستشارية للقطاعات. ويشمل ذلك النظر في الفوائد التي من شأنها أن تشجع أعضاء القطاعات الحاليين على الانضمام إلى عضوية قطاعات متعددة وتشجيع المنتسبين على الارتقاء إلى العضوية الكاملة في القطاعات. ويشمل ذلك أيضاً استعراض الخدمات الرئيسية المقدمة للأعضاء مثل خدمات لجان الدراسات. وتم تحديد الأجزاء الممثلة تمثيلاً ضعيفاً في النظام الإيكولوجي الرقمي، وكذلك الدول الأعضاء التي ليس لديها تمثيل ضمن أعضاء القطاعات من أجل القيام بحملات مستهدفة لضمان أقصى قدر من التنوع في عضوية الاتحاد.</w:t>
      </w:r>
    </w:p>
    <w:p w14:paraId="1531E4E4" w14:textId="77777777" w:rsidR="0089560B" w:rsidRDefault="007C0894" w:rsidP="007C0894">
      <w:pPr>
        <w:rPr>
          <w:rtl/>
        </w:rPr>
      </w:pPr>
      <w:r w:rsidRPr="007C0894">
        <w:rPr>
          <w:rtl/>
        </w:rPr>
        <w:t>وتدعو استراتيجية تعبئة الموارد أيضاً إلى إجراء استعراضات لمختلف الأحداث والمنتجات والخدمات. وتمثل المنتجات والخدمات نحو 20 في المائة من الميزانية العادية من خلال استرداد التكاليف. ويأتي نصف ذلك تقريباً من بطاقات التبليغ عن الشبكات الساتلية. ويعكف فريق عمل في قطاع الاتصالات الراديوية على دراسة سبل تحديث بطاقات التبليغ عن الشبكات الساتلية بما يعكس تغيرات السوق. وقد ضُخَّت استثمارات في أنظمة جديدة لتحديث تقديم المنتجات البحرية، التي تمثل النصف الآخر من إيرادات استرداد التكاليف، ومن المخطط ضخ مزيد من الاستثمارات لدعم بيع المنتجات الرقمية وتحديث تجربة أحداث الاتحاد، وهو ما من شأنه أن يفتح الباب أمام تدفقات إيرادات جديدة محتملة.</w:t>
      </w:r>
    </w:p>
    <w:p w14:paraId="59C66D1F" w14:textId="1E0DDF07" w:rsidR="007C0894" w:rsidRPr="007C0894" w:rsidRDefault="007C0894" w:rsidP="007C0894">
      <w:pPr>
        <w:rPr>
          <w:lang w:val="ar-SA" w:bidi="ar-EG"/>
        </w:rPr>
      </w:pPr>
      <w:r w:rsidRPr="007C0894">
        <w:rPr>
          <w:rtl/>
        </w:rPr>
        <w:t xml:space="preserve">وفيما يتعلق بالمساهمات الطوعية، التي تُستخدم لتكملة الميزانية العادية، توفر خطة عمل باكو التي اعتمدها المؤتمر العالمي لتنمية الاتصالات في عام 2025 إطاراً عالمياً، إلى جانب مجموعة من المبادرات الإقليمية، لتوجيه جهود الأمانة نحو جمع الأموال للمشاريع والمبادرات. وبالإضافة إلى ذلك، تؤكد مبادرات مثل مبادرة </w:t>
      </w:r>
      <w:r w:rsidRPr="007C0894">
        <w:rPr>
          <w:lang w:bidi="ar-EG"/>
        </w:rPr>
        <w:t>Giga</w:t>
      </w:r>
      <w:r w:rsidRPr="007C0894">
        <w:rPr>
          <w:rtl/>
        </w:rPr>
        <w:t xml:space="preserve"> على إمكانية زيادة التمويل وتعظيم التأثير من خلال إقامة شراكات مع وكالات الأمم المتحدة الأخرى. وتعمل الأمانة أيضاً على معالجة العوامل التمكينية الرئيسية لتنفيذ المشاريع، بما في ذلك تبسيط عمليات التوظيف والشراء، وأنظمة تكنولوجيا المعلومات </w:t>
      </w:r>
      <w:r w:rsidRPr="007C0894">
        <w:rPr>
          <w:lang w:bidi="ar-EG"/>
        </w:rPr>
        <w:t>(IT)</w:t>
      </w:r>
      <w:r w:rsidRPr="007C0894">
        <w:rPr>
          <w:rtl/>
        </w:rPr>
        <w:t xml:space="preserve"> الجديدة لدعم التنسيق الفعال على نطاق الاتحاد للتواصل مع الأعضاء والشركاء، ووضع استراتيجية شراكة جديدة للاستفادة من الشراكات من أجل إحداث التأثير المطلوب وتوفير قدر أكبر من الشفافية، مع حماية سمعة الاتحاد.</w:t>
      </w:r>
    </w:p>
    <w:p w14:paraId="2C552A29" w14:textId="2C8C3E01" w:rsidR="007C0894" w:rsidRPr="007C0894" w:rsidRDefault="00274B4B" w:rsidP="00274B4B">
      <w:pPr>
        <w:pStyle w:val="Heading2"/>
        <w:rPr>
          <w:lang w:val="ar-SA" w:bidi="ar-EG"/>
        </w:rPr>
      </w:pPr>
      <w:bookmarkStart w:id="141" w:name="_Toc224288838"/>
      <w:bookmarkStart w:id="142" w:name="_Toc227252612"/>
      <w:r>
        <w:t>7.5</w:t>
      </w:r>
      <w:r w:rsidR="007C0894" w:rsidRPr="007C0894">
        <w:rPr>
          <w:rtl/>
        </w:rPr>
        <w:tab/>
        <w:t>عملية التحول: تحقيق التميز المؤسسي</w:t>
      </w:r>
      <w:bookmarkEnd w:id="141"/>
      <w:bookmarkEnd w:id="142"/>
    </w:p>
    <w:p w14:paraId="5A3F2FF3" w14:textId="77777777" w:rsidR="007C0894" w:rsidRPr="007C0894" w:rsidRDefault="007C0894" w:rsidP="007C0894">
      <w:pPr>
        <w:rPr>
          <w:lang w:val="ar-SA" w:bidi="ar-EG"/>
        </w:rPr>
      </w:pPr>
      <w:r w:rsidRPr="007C0894">
        <w:rPr>
          <w:rtl/>
        </w:rPr>
        <w:t>أطلق الاتحاد مبادرته للتحول في عام 2023 استناداً إلى عملية شاملة لبلورة الرؤية وبرنامج لصانعي التغيير بمشاركة موظفين من جميع مستويات المنظمة. ووفر ذلك أساساً للتغيير وأشرك الموظفين في جهد جماعي لإعداد الاتحاد للمستقبل. وبينما يحدث التحول في الأمانة العامة والمكاتب، انصب تركيز مبادرة التحول على تحقيق التميز التشغيلي في الأمانة العامة، باعتبارها مقدم خدمات للمكاتب والأعضاء.</w:t>
      </w:r>
    </w:p>
    <w:p w14:paraId="451F5AF0" w14:textId="79901490" w:rsidR="007C0894" w:rsidRPr="007C0894" w:rsidRDefault="007C0894" w:rsidP="007C0894">
      <w:pPr>
        <w:rPr>
          <w:lang w:val="ar-SA" w:bidi="ar-EG"/>
        </w:rPr>
      </w:pPr>
      <w:r w:rsidRPr="007C0894">
        <w:rPr>
          <w:rtl/>
        </w:rPr>
        <w:t xml:space="preserve">ومع نضوج جهود الاتحاد المتعلقة بالتحول، انتقلت الأمانة من الأفكار إلى التنفيذ. ويقوم أصحاب الأعمال بإدراج التوصيات، حيثما أمكن، في خططهم التشغيلية وميزانياتهم، مع إعطاء الأولوية للمبادرات الرئيسية. ويجري دمج التحول في التخطيط الاستراتيجي والمالي كعامل تمكيني للأداء وليس كمشروع منفصل، وبما يتماشى مع </w:t>
      </w:r>
      <w:r w:rsidR="00481268">
        <w:rPr>
          <w:rFonts w:hint="cs"/>
          <w:rtl/>
        </w:rPr>
        <w:t>النواتج</w:t>
      </w:r>
      <w:r w:rsidRPr="007C0894">
        <w:rPr>
          <w:rtl/>
        </w:rPr>
        <w:t xml:space="preserve"> الاستراتيجية ومؤشرات الأداء الرئيسية المتفق عليها. وقد تم تناول تطور هذه العملية في التقارير المنتظمة المقدمة إلى المجلس، بما في ذلك التقريران </w:t>
      </w:r>
      <w:hyperlink r:id="rId588" w:history="1">
        <w:r w:rsidRPr="007C0894">
          <w:rPr>
            <w:rStyle w:val="Hyperlink"/>
            <w:noProof w:val="0"/>
            <w:rtl/>
            <w:lang w:val="en-US" w:eastAsia="zh-CN"/>
          </w:rPr>
          <w:t>C24/52</w:t>
        </w:r>
      </w:hyperlink>
      <w:r w:rsidRPr="007C0894">
        <w:rPr>
          <w:rtl/>
        </w:rPr>
        <w:t xml:space="preserve"> و</w:t>
      </w:r>
      <w:hyperlink r:id="rId589" w:history="1">
        <w:r w:rsidRPr="007C0894">
          <w:rPr>
            <w:rStyle w:val="Hyperlink"/>
            <w:noProof w:val="0"/>
            <w:rtl/>
            <w:lang w:val="en-US" w:eastAsia="zh-CN"/>
          </w:rPr>
          <w:t>C25/55</w:t>
        </w:r>
      </w:hyperlink>
      <w:r w:rsidRPr="007C0894">
        <w:rPr>
          <w:rtl/>
        </w:rPr>
        <w:t xml:space="preserve">، فضلاً عن التقارير المقدمة إلى فريق العمل التابع للمجلس والمعني بالموارد المالية والبشرية </w:t>
      </w:r>
      <w:r w:rsidRPr="007C0894">
        <w:rPr>
          <w:lang w:bidi="ar-EG"/>
        </w:rPr>
        <w:t>(CWG-FHR)</w:t>
      </w:r>
      <w:r w:rsidRPr="007C0894">
        <w:rPr>
          <w:rtl/>
        </w:rPr>
        <w:t xml:space="preserve">، وكان آخرها التقرير </w:t>
      </w:r>
      <w:hyperlink r:id="rId590" w:history="1">
        <w:r w:rsidRPr="007C0894">
          <w:rPr>
            <w:rStyle w:val="Hyperlink"/>
            <w:noProof w:val="0"/>
            <w:rtl/>
            <w:lang w:val="en-US" w:eastAsia="zh-CN"/>
          </w:rPr>
          <w:t>CWG-FHR-22/15</w:t>
        </w:r>
      </w:hyperlink>
      <w:r w:rsidRPr="007C0894">
        <w:rPr>
          <w:rtl/>
        </w:rPr>
        <w:t>.</w:t>
      </w:r>
    </w:p>
    <w:p w14:paraId="5EF084F9" w14:textId="77777777" w:rsidR="007C0894" w:rsidRPr="007C0894" w:rsidRDefault="007C0894" w:rsidP="00274B4B">
      <w:pPr>
        <w:pStyle w:val="Headingb"/>
        <w:rPr>
          <w:lang w:val="ar-SA" w:bidi="ar-EG"/>
        </w:rPr>
      </w:pPr>
      <w:r w:rsidRPr="007C0894">
        <w:rPr>
          <w:rtl/>
        </w:rPr>
        <w:t>الإنجازات الرئيسية</w:t>
      </w:r>
    </w:p>
    <w:p w14:paraId="4C2A31DA" w14:textId="015445B5" w:rsidR="007C0894" w:rsidRPr="007C0894" w:rsidRDefault="007C0894" w:rsidP="00207E2C">
      <w:pPr>
        <w:keepNext/>
        <w:rPr>
          <w:spacing w:val="-4"/>
          <w:lang w:val="ar-SA" w:bidi="ar-EG"/>
        </w:rPr>
      </w:pPr>
      <w:r w:rsidRPr="007C0894">
        <w:rPr>
          <w:spacing w:val="-4"/>
          <w:rtl/>
        </w:rPr>
        <w:t xml:space="preserve">بحلول عام 2025، كان الاتحاد قد حقق العديد من </w:t>
      </w:r>
      <w:r w:rsidR="00481268">
        <w:rPr>
          <w:rFonts w:hint="cs"/>
          <w:spacing w:val="-4"/>
          <w:rtl/>
        </w:rPr>
        <w:t>نواتج</w:t>
      </w:r>
      <w:r w:rsidRPr="007C0894">
        <w:rPr>
          <w:spacing w:val="-4"/>
          <w:rtl/>
        </w:rPr>
        <w:t xml:space="preserve"> التحول الأساسية التي عززت الإدارة والمساءلة والفعالية التشغيلية.</w:t>
      </w:r>
    </w:p>
    <w:p w14:paraId="09C75988" w14:textId="77777777" w:rsidR="007C0894" w:rsidRPr="007C0894" w:rsidRDefault="007C0894" w:rsidP="007C0894">
      <w:pPr>
        <w:rPr>
          <w:lang w:val="ar-SA" w:bidi="ar-EG"/>
        </w:rPr>
      </w:pPr>
      <w:r w:rsidRPr="007C0894">
        <w:rPr>
          <w:rtl/>
        </w:rPr>
        <w:t>وتشمل الإنجازات الرئيسية إنشاء وحدة رقابة تتضمن وظيفة تقييم، إلى جانب تقديم تدريب على التقييم للموظفين، والإنشاء الرسمي لوظيفة أمين المظالم. وأعيد تصميم عملية التخطيط التشغيلي لتحسين مواءمة الأولويات الاستراتيجية مع الخطط التشغيلية والأطر المالية، بما يعزز التماسك والانضباط التنفيذي على جميع مستويات المنظمة.</w:t>
      </w:r>
    </w:p>
    <w:p w14:paraId="3FC26802" w14:textId="48C16E79" w:rsidR="007C0894" w:rsidRPr="007C0894" w:rsidRDefault="007C0894" w:rsidP="007C0894">
      <w:pPr>
        <w:rPr>
          <w:lang w:val="ar-SA" w:bidi="ar-EG"/>
        </w:rPr>
      </w:pPr>
      <w:r w:rsidRPr="007C0894">
        <w:rPr>
          <w:rtl/>
        </w:rPr>
        <w:t xml:space="preserve">وأُحرز تقدم كبير في الإدارة والمراقبة الماليتين شمل تحويل عجز الميزانية إلى فائض ثابت، وإعادة عملية المراجعة الخارجية للحسابات إلى مسارها الصحيح والامتثال التام للمعايير المحاسبية الدولية للقطاع العام </w:t>
      </w:r>
      <w:r w:rsidRPr="007C0894">
        <w:rPr>
          <w:lang w:bidi="ar-EG"/>
        </w:rPr>
        <w:t>(IPSAS)</w:t>
      </w:r>
      <w:r w:rsidRPr="007C0894">
        <w:rPr>
          <w:rtl/>
        </w:rPr>
        <w:t>، وإدخال تحسينات على عمليات الخزينة، وإدارة الأموال من خارج الميزانية، وإدارة الوظائف. بالإضافة إلى</w:t>
      </w:r>
      <w:r w:rsidR="00274B4B">
        <w:rPr>
          <w:rFonts w:hint="cs"/>
          <w:rtl/>
          <w:lang w:bidi="ar-EG"/>
        </w:rPr>
        <w:t xml:space="preserve"> </w:t>
      </w:r>
      <w:r w:rsidRPr="007C0894">
        <w:rPr>
          <w:rtl/>
        </w:rPr>
        <w:t xml:space="preserve">ذلك، أعيد تصميم مشروع مبنى المقر الجديد لضمان ملاءمته للميزانية مع تلبية الاحتياجات المستقبلية. وأحرزت إصلاحات الموارد البشرية تقدماً من خلال أداة مبسطة للنظام الإلكتروني لإدارة الأداء وتطويره </w:t>
      </w:r>
      <w:r w:rsidRPr="007C0894">
        <w:rPr>
          <w:lang w:bidi="ar-EG"/>
        </w:rPr>
        <w:t>(</w:t>
      </w:r>
      <w:proofErr w:type="spellStart"/>
      <w:r w:rsidRPr="007C0894">
        <w:rPr>
          <w:lang w:bidi="ar-EG"/>
        </w:rPr>
        <w:t>ePMDS</w:t>
      </w:r>
      <w:proofErr w:type="spellEnd"/>
      <w:r w:rsidRPr="007C0894">
        <w:rPr>
          <w:lang w:bidi="ar-EG"/>
        </w:rPr>
        <w:t>)</w:t>
      </w:r>
      <w:r w:rsidRPr="007C0894">
        <w:rPr>
          <w:rtl/>
        </w:rPr>
        <w:t xml:space="preserve"> والتدريب الموجه، وتعزيز النهج المتبعة في معالجة الأداء الضعيف، ووضع سياسات جديدة لتبسيط عمليات التوظيف. ودعماً لتنمية الثقافة والقيادة، قُدم برنامج شامل للقيادة إلى الموظفين والإدارة. وردا على نتائج استقصاء مشاركة الموظفين، أعلنت الأمينة العامة عن استحداث إطار للمكافآت والتقدير، فضلاً عن تخصيص وقت للأنشطة المتعلقة بالتعلم والابتكار. وبالتوازي مع ذلك، وضع الاتحاد أول مبادئ توجيهية تنظيمية بشأن الاستخدام المسؤول للذكاء الاصطناعي التوليدي، ما يمثل خطوة مهمة نحو الاعتماد المنظم للتكنولوجيات الناشئة.</w:t>
      </w:r>
    </w:p>
    <w:p w14:paraId="201CF802" w14:textId="77777777" w:rsidR="007C0894" w:rsidRPr="007C0894" w:rsidRDefault="007C0894" w:rsidP="007C0894">
      <w:pPr>
        <w:rPr>
          <w:lang w:val="ar-SA" w:bidi="ar-EG"/>
        </w:rPr>
      </w:pPr>
      <w:r w:rsidRPr="007C0894">
        <w:rPr>
          <w:rtl/>
        </w:rPr>
        <w:t xml:space="preserve">وفي عام 2025، رحب الاتحاد أيضاً بكبير موظفي المعلومات </w:t>
      </w:r>
      <w:r w:rsidRPr="007C0894">
        <w:rPr>
          <w:lang w:bidi="ar-EG"/>
        </w:rPr>
        <w:t>(CIO)</w:t>
      </w:r>
      <w:r w:rsidRPr="007C0894">
        <w:rPr>
          <w:rtl/>
        </w:rPr>
        <w:t xml:space="preserve"> الجديد الذي تولى دوراً قيادياً في تمكين التحول وتسريعه. ويقود كبير موظفي المعلومات برنامج التحول والتحديث الرقميين الداخلي للاتحاد، مع التركيز على تحديث الأنظمة والأدوات والعمليات، مع إرساء أساس مؤسسي قوي للبيانات والذكاء الاصطناعي باعتبارهما عاملين تمكينيين حاسمين للتميز التشغيلي والابتكار والتأثير.</w:t>
      </w:r>
    </w:p>
    <w:p w14:paraId="1263320E" w14:textId="005B0695" w:rsidR="007C0894" w:rsidRPr="007C0894" w:rsidRDefault="00274B4B" w:rsidP="00274B4B">
      <w:pPr>
        <w:pStyle w:val="Heading2"/>
        <w:rPr>
          <w:lang w:val="ar-SA" w:bidi="ar-EG"/>
        </w:rPr>
      </w:pPr>
      <w:bookmarkStart w:id="143" w:name="_Toc224288839"/>
      <w:bookmarkStart w:id="144" w:name="_Toc227252613"/>
      <w:r>
        <w:t>8.5</w:t>
      </w:r>
      <w:r w:rsidR="007C0894" w:rsidRPr="007C0894">
        <w:rPr>
          <w:rtl/>
        </w:rPr>
        <w:tab/>
        <w:t>‏الموارد البشرية</w:t>
      </w:r>
      <w:bookmarkEnd w:id="143"/>
      <w:bookmarkEnd w:id="144"/>
    </w:p>
    <w:p w14:paraId="028407F3" w14:textId="77777777" w:rsidR="007C0894" w:rsidRPr="007C0894" w:rsidRDefault="007C0894" w:rsidP="007C0894">
      <w:pPr>
        <w:rPr>
          <w:lang w:val="ar-SA" w:bidi="ar-EG"/>
        </w:rPr>
      </w:pPr>
      <w:r w:rsidRPr="007C0894">
        <w:rPr>
          <w:rtl/>
        </w:rPr>
        <w:t>يُعد تطور الموارد البشرية للاتحاد من المكونات المركزية لتحوله المؤسسي الأوسع نطاقاً. وقد تسارعت وتيرة هذا التقدم طوال عامي 2024 و2025، بهدف بناء قوة عاملة مرنة وقادرة ومركِّزة على الأشخاص للاستجابة للأولويات المتطورة والوفاء بولاية الاتحاد.</w:t>
      </w:r>
    </w:p>
    <w:p w14:paraId="1E31A5FC" w14:textId="301B91FB" w:rsidR="007C0894" w:rsidRPr="00274B4B" w:rsidRDefault="00274B4B" w:rsidP="00274B4B">
      <w:pPr>
        <w:pStyle w:val="enumlev1"/>
        <w:rPr>
          <w:b/>
          <w:bCs/>
          <w:lang w:val="ar-SA" w:bidi="ar-EG"/>
        </w:rPr>
      </w:pPr>
      <w:r>
        <w:rPr>
          <w:rFonts w:hint="eastAsia"/>
          <w:b/>
          <w:bCs/>
          <w:rtl/>
          <w:lang w:bidi="ar-EG"/>
        </w:rPr>
        <w:t> </w:t>
      </w:r>
      <w:r>
        <w:rPr>
          <w:rFonts w:hint="cs"/>
          <w:b/>
          <w:bCs/>
          <w:rtl/>
          <w:lang w:bidi="ar-EG"/>
        </w:rPr>
        <w:t>أ )</w:t>
      </w:r>
      <w:r>
        <w:rPr>
          <w:b/>
          <w:bCs/>
          <w:rtl/>
          <w:lang w:bidi="ar-EG"/>
        </w:rPr>
        <w:tab/>
      </w:r>
      <w:r w:rsidR="007C0894" w:rsidRPr="00274B4B">
        <w:rPr>
          <w:b/>
          <w:bCs/>
          <w:rtl/>
        </w:rPr>
        <w:t>الأشخاص</w:t>
      </w:r>
      <w:r w:rsidR="007C0894" w:rsidRPr="00274B4B">
        <w:rPr>
          <w:b/>
          <w:bCs/>
          <w:lang w:bidi="ar-EG"/>
        </w:rPr>
        <w:t>:</w:t>
      </w:r>
    </w:p>
    <w:p w14:paraId="71B96A92" w14:textId="73BCBD94" w:rsidR="007C0894" w:rsidRPr="007C0894" w:rsidRDefault="00274B4B" w:rsidP="00274B4B">
      <w:pPr>
        <w:pStyle w:val="enumlev2"/>
        <w:rPr>
          <w:rStyle w:val="enumlev1Char"/>
          <w:lang w:val="ar-SA" w:bidi="ar-EG"/>
        </w:rPr>
      </w:pPr>
      <w:r>
        <w:rPr>
          <w:rStyle w:val="enumlev1Char"/>
        </w:rPr>
        <w:sym w:font="Wingdings 2" w:char="F097"/>
      </w:r>
      <w:r>
        <w:rPr>
          <w:rStyle w:val="enumlev1Char"/>
        </w:rPr>
        <w:tab/>
      </w:r>
      <w:r w:rsidR="007C0894" w:rsidRPr="007C0894">
        <w:rPr>
          <w:rStyle w:val="enumlev1Char"/>
          <w:rtl/>
        </w:rPr>
        <w:t xml:space="preserve">تم تعزيز التعلم والتطوير من خلال خطة تعلم شاملة وفعالة من حيث التكلفة؛ وتعزز الظهور من خلال النشرة الإخبارية "لنتعلم" وموقع </w:t>
      </w:r>
      <w:r w:rsidR="007C0894" w:rsidRPr="007C0894">
        <w:rPr>
          <w:rStyle w:val="enumlev1Char"/>
          <w:lang w:bidi="ar-EG"/>
        </w:rPr>
        <w:t>SharePoint</w:t>
      </w:r>
      <w:r w:rsidR="007C0894" w:rsidRPr="007C0894">
        <w:rPr>
          <w:rStyle w:val="enumlev1Char"/>
          <w:rtl/>
        </w:rPr>
        <w:t xml:space="preserve"> مركزي، مع المواظبة على مراقبة الخطة وتحديثها بما يتماشى مع الاحتياجات الناشئة.</w:t>
      </w:r>
    </w:p>
    <w:p w14:paraId="713A5274" w14:textId="6255B6EB" w:rsidR="007C0894" w:rsidRPr="007C0894" w:rsidRDefault="00274B4B" w:rsidP="00274B4B">
      <w:pPr>
        <w:pStyle w:val="enumlev2"/>
        <w:rPr>
          <w:rStyle w:val="enumlev1Char"/>
          <w:lang w:val="ar-SA" w:bidi="ar-EG"/>
        </w:rPr>
      </w:pPr>
      <w:r>
        <w:rPr>
          <w:rStyle w:val="enumlev1Char"/>
        </w:rPr>
        <w:sym w:font="Wingdings 2" w:char="F097"/>
      </w:r>
      <w:r>
        <w:rPr>
          <w:rStyle w:val="enumlev1Char"/>
        </w:rPr>
        <w:tab/>
      </w:r>
      <w:r w:rsidR="007C0894" w:rsidRPr="007C0894">
        <w:rPr>
          <w:rStyle w:val="enumlev1Char"/>
          <w:rtl/>
        </w:rPr>
        <w:t>اعتُمدت في أغسطس 2024 سياسة جديدة للتعلم الإلزامي بهدف تعزيز الثقافة التنظيمية للاتحاد وترسيخ فهم مشترك لمعايير السلوك المتوقعة. وتم تعزيز الامتثال من خلال شراكة أوثق مع جهات الاتصال المعنية بالموارد البشرية، حيث ارتفعت معدلات الإنجاز من 5 في المائة إلى 45,7 في المائة اعتباراً من يناير 2026، ووضعت دائرة إدارة الموارد البشرية آلية مراقبة منهجية لمساعدة المديرين على إحراز تقدم في معدلات الإنجاز.</w:t>
      </w:r>
    </w:p>
    <w:p w14:paraId="04EF5362" w14:textId="77777777" w:rsidR="0089560B" w:rsidRDefault="00274B4B" w:rsidP="00274B4B">
      <w:pPr>
        <w:pStyle w:val="enumlev2"/>
        <w:rPr>
          <w:rStyle w:val="enumlev1Char"/>
          <w:rtl/>
        </w:rPr>
      </w:pPr>
      <w:r>
        <w:rPr>
          <w:rStyle w:val="enumlev1Char"/>
        </w:rPr>
        <w:sym w:font="Wingdings 2" w:char="F097"/>
      </w:r>
      <w:r>
        <w:rPr>
          <w:rStyle w:val="enumlev1Char"/>
        </w:rPr>
        <w:tab/>
      </w:r>
      <w:r w:rsidR="007C0894" w:rsidRPr="007C0894">
        <w:rPr>
          <w:rStyle w:val="enumlev1Char"/>
          <w:rtl/>
        </w:rPr>
        <w:t xml:space="preserve">أحرز تقدم في إدارة الأداء من خلال تبسيط العملية وإدخال أداة </w:t>
      </w:r>
      <w:proofErr w:type="spellStart"/>
      <w:r w:rsidR="007C0894" w:rsidRPr="007C0894">
        <w:rPr>
          <w:rStyle w:val="enumlev1Char"/>
          <w:lang w:bidi="ar-EG"/>
        </w:rPr>
        <w:t>ePMDS</w:t>
      </w:r>
      <w:proofErr w:type="spellEnd"/>
      <w:r w:rsidR="007C0894" w:rsidRPr="007C0894">
        <w:rPr>
          <w:rStyle w:val="enumlev1Char"/>
          <w:rtl/>
        </w:rPr>
        <w:t xml:space="preserve"> المبسَّطة، ما أتاح زيادة الكفاءة في المناقشات والتعليقات المتعلقة بالأداء مع تقليص الوقت الذي يقضيه المشرفون في عمليات تقييم الأداء بنسبة 50 في المائة على الأقل، واستُكمل ذلك بتقديم تدريب موجَّه على إدارة الأداء للموظفين والمشرفين.</w:t>
      </w:r>
    </w:p>
    <w:p w14:paraId="0287CB92" w14:textId="77777777" w:rsidR="0089560B" w:rsidRDefault="00274B4B" w:rsidP="00274B4B">
      <w:pPr>
        <w:pStyle w:val="enumlev2"/>
        <w:rPr>
          <w:rStyle w:val="enumlev1Char"/>
          <w:rtl/>
        </w:rPr>
      </w:pPr>
      <w:r>
        <w:rPr>
          <w:rStyle w:val="enumlev1Char"/>
        </w:rPr>
        <w:sym w:font="Wingdings 2" w:char="F097"/>
      </w:r>
      <w:r>
        <w:rPr>
          <w:rStyle w:val="enumlev1Char"/>
        </w:rPr>
        <w:tab/>
      </w:r>
      <w:r w:rsidR="007C0894" w:rsidRPr="007C0894">
        <w:rPr>
          <w:rStyle w:val="enumlev1Char"/>
          <w:rtl/>
        </w:rPr>
        <w:t>شُرع في استعراض شامل لعملية التوظيف في أوائل عام 2025، شمل وضع السياسات وتقييم العمليات ومؤشرات الأداء الرئيسية وتدابير المساءلة، واستُرشد فيه بالمقارنة المرجعية داخل منظومة الأمم المتحدة، لضمان عملية اختيار تتسم بالكفاءة والعدل والشفافية.</w:t>
      </w:r>
    </w:p>
    <w:p w14:paraId="4A62496C" w14:textId="77777777" w:rsidR="0089560B" w:rsidRDefault="00274B4B" w:rsidP="00274B4B">
      <w:pPr>
        <w:pStyle w:val="enumlev2"/>
        <w:rPr>
          <w:rStyle w:val="enumlev1Char"/>
          <w:rtl/>
        </w:rPr>
      </w:pPr>
      <w:r>
        <w:rPr>
          <w:rStyle w:val="enumlev1Char"/>
        </w:rPr>
        <w:sym w:font="Wingdings 2" w:char="F097"/>
      </w:r>
      <w:r>
        <w:rPr>
          <w:rStyle w:val="enumlev1Char"/>
        </w:rPr>
        <w:tab/>
      </w:r>
      <w:r w:rsidR="007C0894" w:rsidRPr="007C0894">
        <w:rPr>
          <w:rStyle w:val="enumlev1Char"/>
          <w:rtl/>
        </w:rPr>
        <w:t xml:space="preserve">تعززت تنمية المواهب ومرونة القوى العاملة من خلال </w:t>
      </w:r>
      <w:hyperlink r:id="rId591" w:history="1">
        <w:r w:rsidR="007C0894" w:rsidRPr="000D3D6E">
          <w:rPr>
            <w:rStyle w:val="Hyperlink"/>
            <w:rFonts w:ascii="Calibri" w:hAnsi="Calibri"/>
            <w:noProof w:val="0"/>
            <w:sz w:val="24"/>
            <w:rtl/>
            <w:lang w:val="en-US" w:eastAsia="zh-CN"/>
          </w:rPr>
          <w:t>برنامج المهنيين الشباب</w:t>
        </w:r>
      </w:hyperlink>
      <w:r w:rsidR="007C0894" w:rsidRPr="007C0894">
        <w:rPr>
          <w:rStyle w:val="enumlev1Char"/>
          <w:rtl/>
        </w:rPr>
        <w:t xml:space="preserve">، وتوسيع نطاق برنامج الموظفين المهنيين المبتدئين، والاتفاق مع متطوعي الأمم المتحدة </w:t>
      </w:r>
      <w:r w:rsidR="007C0894" w:rsidRPr="007C0894">
        <w:rPr>
          <w:rStyle w:val="enumlev1Char"/>
          <w:lang w:bidi="ar-EG"/>
        </w:rPr>
        <w:t>(UNV)</w:t>
      </w:r>
      <w:r w:rsidR="007C0894" w:rsidRPr="007C0894">
        <w:rPr>
          <w:rStyle w:val="enumlev1Char"/>
          <w:rtl/>
        </w:rPr>
        <w:t xml:space="preserve">. وتم تعيين مهنيين شباب من أقل البلدان نمواً </w:t>
      </w:r>
      <w:r w:rsidR="007C0894" w:rsidRPr="007C0894">
        <w:rPr>
          <w:rStyle w:val="enumlev1Char"/>
          <w:lang w:bidi="ar-EG"/>
        </w:rPr>
        <w:t>(LDC)</w:t>
      </w:r>
      <w:r w:rsidR="007C0894" w:rsidRPr="007C0894">
        <w:rPr>
          <w:rStyle w:val="enumlev1Char"/>
          <w:rtl/>
        </w:rPr>
        <w:t>، ما ساهم في التنوع الجغرافي للاتحاد، والتحق بالقوى العاملة ستة مهنيين شباب في عام 2025.</w:t>
      </w:r>
    </w:p>
    <w:p w14:paraId="0A838DC2" w14:textId="2E994E6C" w:rsidR="007C0894" w:rsidRPr="007C0894" w:rsidRDefault="00274B4B" w:rsidP="00274B4B">
      <w:pPr>
        <w:pStyle w:val="enumlev2"/>
        <w:rPr>
          <w:rStyle w:val="enumlev1Char"/>
          <w:lang w:val="ar-SA" w:bidi="ar-EG"/>
        </w:rPr>
      </w:pPr>
      <w:r>
        <w:rPr>
          <w:rStyle w:val="enumlev1Char"/>
        </w:rPr>
        <w:sym w:font="Wingdings 2" w:char="F097"/>
      </w:r>
      <w:r>
        <w:rPr>
          <w:rStyle w:val="enumlev1Char"/>
        </w:rPr>
        <w:tab/>
      </w:r>
      <w:r w:rsidR="007C0894" w:rsidRPr="007C0894">
        <w:rPr>
          <w:rStyle w:val="enumlev1Char"/>
          <w:rtl/>
        </w:rPr>
        <w:t>واصل الاتحاد جهوده الرامية إلى تعزيز التكافؤ بين الجنسين والتنوع الجغرافي في القوى العاملة، ويتم تتبع هذه المقاييس طوال عملية التوظيف. ووُضعت خطة تنفيذ التكافؤ بين الجنسين لدعم أهداف الأمم المتحدة المتعلقة بالتكافؤ بين الجنسين وتوضيح الخطوات الفعالة لتعزيز المساواة.</w:t>
      </w:r>
    </w:p>
    <w:p w14:paraId="316427B0" w14:textId="77777777" w:rsidR="0089560B" w:rsidRDefault="00274B4B" w:rsidP="00274B4B">
      <w:pPr>
        <w:pStyle w:val="enumlev2"/>
        <w:rPr>
          <w:rStyle w:val="enumlev1Char"/>
          <w:rtl/>
        </w:rPr>
      </w:pPr>
      <w:r>
        <w:rPr>
          <w:rStyle w:val="enumlev1Char"/>
        </w:rPr>
        <w:sym w:font="Wingdings 2" w:char="F097"/>
      </w:r>
      <w:r>
        <w:rPr>
          <w:rStyle w:val="enumlev1Char"/>
        </w:rPr>
        <w:tab/>
      </w:r>
      <w:r w:rsidR="007C0894" w:rsidRPr="007C0894">
        <w:rPr>
          <w:rStyle w:val="enumlev1Char"/>
          <w:rtl/>
        </w:rPr>
        <w:t xml:space="preserve">أُطلق برنامج إنهاء الخدمة الطوعي </w:t>
      </w:r>
      <w:r w:rsidR="007C0894" w:rsidRPr="007C0894">
        <w:rPr>
          <w:rStyle w:val="enumlev1Char"/>
          <w:lang w:bidi="ar-EG"/>
        </w:rPr>
        <w:t>(VSP)</w:t>
      </w:r>
      <w:r w:rsidR="007C0894" w:rsidRPr="007C0894">
        <w:rPr>
          <w:rStyle w:val="enumlev1Char"/>
          <w:rtl/>
        </w:rPr>
        <w:t xml:space="preserve"> في مارس 2023، وأطلق شريحة ثانية من البرنامج في نوفمبر 2024، ما أتاح المرونة لدعم إعادة المواءمة الهيكلية، وتزويد الاتحاد بمهارات وكفاءات إضافية، وتخصيص الموارد على النحو الأمثل.</w:t>
      </w:r>
    </w:p>
    <w:p w14:paraId="3F3E10FA" w14:textId="37A789F4" w:rsidR="007C0894" w:rsidRPr="007C0894" w:rsidRDefault="00274B4B" w:rsidP="00274B4B">
      <w:pPr>
        <w:pStyle w:val="enumlev2"/>
        <w:rPr>
          <w:rStyle w:val="enumlev1Char"/>
          <w:lang w:val="ar-SA" w:bidi="ar-EG"/>
        </w:rPr>
      </w:pPr>
      <w:r>
        <w:rPr>
          <w:rStyle w:val="enumlev1Char"/>
        </w:rPr>
        <w:sym w:font="Wingdings 2" w:char="F097"/>
      </w:r>
      <w:r>
        <w:rPr>
          <w:rStyle w:val="enumlev1Char"/>
        </w:rPr>
        <w:tab/>
      </w:r>
      <w:r w:rsidR="007C0894" w:rsidRPr="007C0894">
        <w:rPr>
          <w:rStyle w:val="enumlev1Char"/>
          <w:rtl/>
        </w:rPr>
        <w:t xml:space="preserve">تعززت الشفافية وعملية صنع القرار القائمة على الأدلة من خلال تحليلات الموارد البشرية، بما في ذلك </w:t>
      </w:r>
      <w:hyperlink r:id="rId592" w:history="1">
        <w:r w:rsidR="007C0894" w:rsidRPr="000D3D6E">
          <w:rPr>
            <w:rStyle w:val="Hyperlink"/>
            <w:rFonts w:ascii="Calibri" w:hAnsi="Calibri"/>
            <w:noProof w:val="0"/>
            <w:sz w:val="24"/>
            <w:rtl/>
            <w:lang w:val="en-US" w:eastAsia="zh-CN"/>
          </w:rPr>
          <w:t>لوحة معلومات تحليلات القوى العاملة</w:t>
        </w:r>
      </w:hyperlink>
      <w:r w:rsidR="007C0894" w:rsidRPr="007C0894">
        <w:rPr>
          <w:rStyle w:val="enumlev1Char"/>
          <w:rtl/>
        </w:rPr>
        <w:t>، التي أتيحت للدول الأعضاء من خلال بوابة المجلس، ويجري تحسينها باستمرار بناءً على التعليقات الواردة.</w:t>
      </w:r>
    </w:p>
    <w:p w14:paraId="5EEBB8A6" w14:textId="77777777" w:rsidR="007C0894" w:rsidRPr="007C0894" w:rsidRDefault="007C0894" w:rsidP="00F91E27">
      <w:pPr>
        <w:pStyle w:val="Figure"/>
        <w:bidi/>
        <w:rPr>
          <w:rFonts w:eastAsia="SimSun"/>
          <w:lang w:bidi="ar-EG"/>
        </w:rPr>
      </w:pPr>
      <w:r w:rsidRPr="00F91E27">
        <w:rPr>
          <w:rFonts w:eastAsia="SimSun"/>
          <w:noProof/>
          <w:lang w:bidi="ar-EG"/>
        </w:rPr>
        <w:drawing>
          <wp:inline distT="0" distB="0" distL="0" distR="0" wp14:anchorId="0A8349A2" wp14:editId="69AC835F">
            <wp:extent cx="3813806" cy="2174242"/>
            <wp:effectExtent l="0" t="0" r="0" b="0"/>
            <wp:docPr id="438162130" name="Picture 2"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3"/>
                    <a:srcRect/>
                    <a:stretch>
                      <a:fillRect/>
                    </a:stretch>
                  </pic:blipFill>
                  <pic:spPr>
                    <a:xfrm>
                      <a:off x="0" y="0"/>
                      <a:ext cx="3813806" cy="2174242"/>
                    </a:xfrm>
                    <a:prstGeom prst="rect">
                      <a:avLst/>
                    </a:prstGeom>
                    <a:noFill/>
                    <a:ln>
                      <a:noFill/>
                      <a:prstDash/>
                    </a:ln>
                  </pic:spPr>
                </pic:pic>
              </a:graphicData>
            </a:graphic>
          </wp:inline>
        </w:drawing>
      </w:r>
    </w:p>
    <w:p w14:paraId="1417AC12" w14:textId="6DD4282F" w:rsidR="007C0894" w:rsidRPr="007C0894" w:rsidRDefault="00274B4B" w:rsidP="00274B4B">
      <w:pPr>
        <w:pStyle w:val="enumlev1"/>
        <w:rPr>
          <w:b/>
          <w:bCs/>
          <w:lang w:bidi="ar-EG"/>
        </w:rPr>
      </w:pPr>
      <w:r>
        <w:rPr>
          <w:rFonts w:hint="cs"/>
          <w:b/>
          <w:bCs/>
          <w:rtl/>
          <w:lang w:bidi="ar-EG"/>
        </w:rPr>
        <w:t>ب)</w:t>
      </w:r>
      <w:r>
        <w:rPr>
          <w:b/>
          <w:bCs/>
          <w:rtl/>
          <w:lang w:bidi="ar-EG"/>
        </w:rPr>
        <w:tab/>
      </w:r>
      <w:r w:rsidR="007C0894" w:rsidRPr="007C0894">
        <w:rPr>
          <w:b/>
          <w:bCs/>
          <w:rtl/>
          <w:lang w:bidi="ar-EG"/>
        </w:rPr>
        <w:t>الثقافة</w:t>
      </w:r>
      <w:r w:rsidR="007C0894" w:rsidRPr="007C0894">
        <w:rPr>
          <w:b/>
          <w:bCs/>
          <w:lang w:bidi="ar-EG"/>
        </w:rPr>
        <w:t>:</w:t>
      </w:r>
    </w:p>
    <w:p w14:paraId="6B30FA5D" w14:textId="45F63ACC" w:rsidR="007C0894" w:rsidRPr="007C0894" w:rsidRDefault="000D3D6E" w:rsidP="000D3D6E">
      <w:pPr>
        <w:pStyle w:val="enumlev2"/>
        <w:rPr>
          <w:lang w:val="ar-SA" w:bidi="ar-EG"/>
        </w:rPr>
      </w:pPr>
      <w:r>
        <w:sym w:font="Wingdings 2" w:char="F097"/>
      </w:r>
      <w:r>
        <w:tab/>
      </w:r>
      <w:r w:rsidR="007C0894" w:rsidRPr="007C0894">
        <w:rPr>
          <w:rtl/>
        </w:rPr>
        <w:t>أُطلق برنامج شامل لتنمية المهارات القيادية في نوفمبر 2024. وركز البرنامج على القيادة الشاملة (للموظفين من الفئة P5 وما فوقها) مع وحدة مخصصة للمساواة بين الجنسين، فضلاً عن تدريب للقيادات العليا. وتواصل تعزيز بناء القدرات القيادية من خلال ورش العمل المقدمة من أفرقة القيادة التكيفية إلى الموظفين من الفئة P4 وما فوقها، ومن خلال برنامج "قادة الاتحاد في المستقبل" الموجه لصانعي التغيير، ما عزز قيادة التغيير وفعالية الأفرقة.</w:t>
      </w:r>
    </w:p>
    <w:p w14:paraId="5101BB18" w14:textId="032627CA" w:rsidR="007C0894" w:rsidRPr="007C0894" w:rsidRDefault="000D3D6E" w:rsidP="000D3D6E">
      <w:pPr>
        <w:pStyle w:val="enumlev2"/>
        <w:rPr>
          <w:lang w:val="ar-SA" w:bidi="ar-EG"/>
        </w:rPr>
      </w:pPr>
      <w:r>
        <w:sym w:font="Wingdings 2" w:char="F097"/>
      </w:r>
      <w:r>
        <w:tab/>
      </w:r>
      <w:r w:rsidR="007C0894" w:rsidRPr="007C0894">
        <w:rPr>
          <w:rtl/>
        </w:rPr>
        <w:t xml:space="preserve">وُضعت أول نسخة على الإطلاق من خطة العمل المتعلقة بالصحة العقلية والرفاه استجابة لنتائج الاستقصاء الصحي على نطاق الأمم المتحدة لعام 2023، وهي </w:t>
      </w:r>
      <w:r w:rsidR="00EC165E">
        <w:rPr>
          <w:rFonts w:hint="cs"/>
          <w:rtl/>
        </w:rPr>
        <w:t>ر</w:t>
      </w:r>
      <w:r w:rsidR="007C0894" w:rsidRPr="007C0894">
        <w:rPr>
          <w:rtl/>
        </w:rPr>
        <w:t>كيزة أساسية في جدول الأعمال المتعلق بالأشخاص والثقافة. وتتبع الخطة نهجاً شاملاً إزاء الرفاهية - يشمل الأبعاد الجسدية والنفسية والاجتماعية - مع تركيز قوي على الوقاية والتدخل المبكر والدعم المستدام.</w:t>
      </w:r>
    </w:p>
    <w:p w14:paraId="4A73648E" w14:textId="496EBBC9" w:rsidR="007C0894" w:rsidRPr="007C0894" w:rsidRDefault="000D3D6E" w:rsidP="000D3D6E">
      <w:pPr>
        <w:pStyle w:val="enumlev2"/>
        <w:rPr>
          <w:lang w:val="ar-SA" w:bidi="ar-EG"/>
        </w:rPr>
      </w:pPr>
      <w:r>
        <w:sym w:font="Wingdings 2" w:char="F097"/>
      </w:r>
      <w:r>
        <w:tab/>
      </w:r>
      <w:r w:rsidR="007C0894" w:rsidRPr="007C0894">
        <w:rPr>
          <w:rtl/>
        </w:rPr>
        <w:t xml:space="preserve">أجرى الاتحاد أول استقصاء لمشاركة الموظفين في يناير 2025، وحقق معدل مشاركة بنسبة 72 في المائة. وعقدت المنظمة لقاء مفتوحاً لجميع الموظفين وورشة عمل لمناقشة النتائج ووضع حلول مشتركة للتحديات المحددة. وتشمل خطة عمل المتابعة مبادرات على مستوى المنظمة - جلسات الأبواب المفتوحة مع المسؤولين المنتخَبين، وأيام الابتكار، وسلسلة لقاءات وقت الغداء غير رسمية </w:t>
      </w:r>
      <w:r w:rsidR="007C0894" w:rsidRPr="007C0894">
        <w:rPr>
          <w:lang w:bidi="ar-EG"/>
        </w:rPr>
        <w:t>(</w:t>
      </w:r>
      <w:r w:rsidR="007C0894" w:rsidRPr="007C0894">
        <w:t>Brown Bag Lunches</w:t>
      </w:r>
      <w:r w:rsidR="007C0894" w:rsidRPr="007C0894">
        <w:rPr>
          <w:lang w:bidi="ar-EG"/>
        </w:rPr>
        <w:t>)</w:t>
      </w:r>
      <w:r w:rsidR="007C0894" w:rsidRPr="007C0894">
        <w:rPr>
          <w:rtl/>
        </w:rPr>
        <w:t>، وبرنامج إرشادي على مستوى الاتحاد - بالإضافة إلى إجراءات على مستوى الإدارات والمكاتب شارك في إعدادها الموظفون.</w:t>
      </w:r>
    </w:p>
    <w:p w14:paraId="47E57773" w14:textId="3826E40A" w:rsidR="007C0894" w:rsidRPr="007C0894" w:rsidRDefault="000D3D6E" w:rsidP="000D3D6E">
      <w:pPr>
        <w:pStyle w:val="enumlev2"/>
        <w:rPr>
          <w:lang w:val="ar-SA" w:bidi="ar-EG"/>
        </w:rPr>
      </w:pPr>
      <w:r>
        <w:sym w:font="Wingdings 2" w:char="F097"/>
      </w:r>
      <w:r>
        <w:tab/>
      </w:r>
      <w:r w:rsidR="007C0894" w:rsidRPr="007C0894">
        <w:rPr>
          <w:rtl/>
        </w:rPr>
        <w:t xml:space="preserve">يجري العمل على تعزيز المكافآت والتقدير من خلال إطار شامل للاحتفاء بالخدمة والأداء. وقد أقيم حفل تكريم الخدمة الطويلة الأمد، في 8 ديسمبر 2025، احتفاءً بما مجموعه 210 زملاء كرسوا أكثر من 20 عاماً من الخدمة للاتحاد، وتكريماً لهم. وبناء على هذا الزخم، سيواصَل تفعيل الإطار في عام 2026 بإطلاق الركيزة الثانية، "جوائز الفريق"، اعترافاً بالإنجازات الجماعية وتعزيزاً للمشاركة والتعاون والشعور القوي بالغاية والانتماء على جميع مستويات الاتحاد، ويُكمَّل ذلك </w:t>
      </w:r>
      <w:proofErr w:type="spellStart"/>
      <w:r w:rsidR="007C0894" w:rsidRPr="007C0894">
        <w:rPr>
          <w:rtl/>
        </w:rPr>
        <w:t>بإشادات</w:t>
      </w:r>
      <w:proofErr w:type="spellEnd"/>
      <w:r w:rsidR="007C0894" w:rsidRPr="007C0894">
        <w:rPr>
          <w:rtl/>
        </w:rPr>
        <w:t xml:space="preserve"> غير رسمية وتقدير يقوده المديرون لضمان شعور الأشخاص بأنهم محل تقدير.</w:t>
      </w:r>
    </w:p>
    <w:p w14:paraId="492444C7" w14:textId="47071B30" w:rsidR="007C0894" w:rsidRPr="007C0894" w:rsidRDefault="000D3D6E" w:rsidP="000D3D6E">
      <w:pPr>
        <w:pStyle w:val="enumlev2"/>
        <w:rPr>
          <w:lang w:val="ar-SA" w:bidi="ar-EG"/>
        </w:rPr>
      </w:pPr>
      <w:r>
        <w:sym w:font="Wingdings 2" w:char="F097"/>
      </w:r>
      <w:r>
        <w:tab/>
      </w:r>
      <w:r w:rsidR="007C0894" w:rsidRPr="007C0894">
        <w:rPr>
          <w:rtl/>
        </w:rPr>
        <w:t xml:space="preserve">بموجب مذكرات التفاهم </w:t>
      </w:r>
      <w:r w:rsidR="007C0894" w:rsidRPr="007C0894">
        <w:rPr>
          <w:lang w:bidi="ar-EG"/>
        </w:rPr>
        <w:t>(MOU)</w:t>
      </w:r>
      <w:r w:rsidR="007C0894" w:rsidRPr="007C0894">
        <w:rPr>
          <w:rtl/>
        </w:rPr>
        <w:t xml:space="preserve"> التي وقعها الاتحاد، وبالشراكة مع المنظمة العالمية للملكية الفكرية </w:t>
      </w:r>
      <w:r w:rsidR="007C0894" w:rsidRPr="007C0894">
        <w:rPr>
          <w:lang w:bidi="ar-EG"/>
        </w:rPr>
        <w:t>(WIPO)</w:t>
      </w:r>
      <w:r w:rsidR="007C0894" w:rsidRPr="007C0894">
        <w:rPr>
          <w:rtl/>
        </w:rPr>
        <w:t xml:space="preserve">، ومكتب أمين المظالم وخدمات الوساطة في الأمم المتحدة </w:t>
      </w:r>
      <w:r w:rsidR="007C0894" w:rsidRPr="007C0894">
        <w:rPr>
          <w:lang w:bidi="ar-EG"/>
        </w:rPr>
        <w:t>(UNOMS)</w:t>
      </w:r>
      <w:r w:rsidR="007C0894" w:rsidRPr="007C0894">
        <w:rPr>
          <w:rtl/>
        </w:rPr>
        <w:t>، بدأت أمينة المظالم الجديدة مهامها في الاتحاد في 5 يناير 2026.</w:t>
      </w:r>
    </w:p>
    <w:p w14:paraId="0F6F6382" w14:textId="37AA3C5C" w:rsidR="007C0894" w:rsidRPr="007C0894" w:rsidRDefault="000D3D6E" w:rsidP="000D3D6E">
      <w:pPr>
        <w:pStyle w:val="enumlev1"/>
        <w:keepNext/>
        <w:rPr>
          <w:b/>
          <w:bCs/>
          <w:lang w:bidi="ar-EG"/>
        </w:rPr>
      </w:pPr>
      <w:r>
        <w:rPr>
          <w:rFonts w:hint="cs"/>
          <w:b/>
          <w:bCs/>
          <w:rtl/>
          <w:lang w:bidi="ar-EG"/>
        </w:rPr>
        <w:t>ج)</w:t>
      </w:r>
      <w:r>
        <w:rPr>
          <w:b/>
          <w:bCs/>
          <w:rtl/>
          <w:lang w:bidi="ar-EG"/>
        </w:rPr>
        <w:tab/>
      </w:r>
      <w:r w:rsidR="007C0894" w:rsidRPr="007C0894">
        <w:rPr>
          <w:b/>
          <w:bCs/>
          <w:rtl/>
          <w:lang w:bidi="ar-EG"/>
        </w:rPr>
        <w:t>الخدمات</w:t>
      </w:r>
      <w:r w:rsidR="007C0894" w:rsidRPr="007C0894">
        <w:rPr>
          <w:b/>
          <w:bCs/>
          <w:lang w:bidi="ar-EG"/>
        </w:rPr>
        <w:t>:</w:t>
      </w:r>
    </w:p>
    <w:p w14:paraId="3F492434" w14:textId="0086377B" w:rsidR="007C0894" w:rsidRPr="007C0894" w:rsidRDefault="000D3D6E" w:rsidP="000D3D6E">
      <w:pPr>
        <w:pStyle w:val="enumlev2"/>
        <w:rPr>
          <w:lang w:val="ar-SA" w:bidi="ar-EG"/>
        </w:rPr>
      </w:pPr>
      <w:r>
        <w:sym w:font="Wingdings 2" w:char="F097"/>
      </w:r>
      <w:r>
        <w:tab/>
      </w:r>
      <w:r w:rsidR="007C0894" w:rsidRPr="007C0894">
        <w:rPr>
          <w:rtl/>
        </w:rPr>
        <w:t xml:space="preserve">واصلت دائرة إدارة الموارد البشرية </w:t>
      </w:r>
      <w:r w:rsidR="007C0894" w:rsidRPr="007C0894">
        <w:rPr>
          <w:lang w:bidi="ar-EG"/>
        </w:rPr>
        <w:t>(HRMD)</w:t>
      </w:r>
      <w:r w:rsidR="007C0894" w:rsidRPr="007C0894">
        <w:rPr>
          <w:rtl/>
        </w:rPr>
        <w:t xml:space="preserve"> تحديث الإطار التنظيمي للاتحاد من خلال تحديث السياسات القائمة وإدخال سياسات جديدة لدعم القوى العاملة المتطورة في الاتحاد على نحو أفضل. وشملت الاستعراضات الجارية مجالات رئيسية، بما في ذلك التوظيف لمدة محددة، وعقود الاستشاريين، والتوظيف قصير الأجل، فضلاً عن الاستحقاقات والمزايا مثل إعانة الإيجار ومنحة التعليم واستحقاقات الإعالة.</w:t>
      </w:r>
    </w:p>
    <w:p w14:paraId="1BB59ED2" w14:textId="77777777" w:rsidR="0089560B" w:rsidRDefault="000D3D6E" w:rsidP="000D3D6E">
      <w:pPr>
        <w:pStyle w:val="enumlev2"/>
        <w:rPr>
          <w:rtl/>
        </w:rPr>
      </w:pPr>
      <w:r>
        <w:sym w:font="Wingdings 2" w:char="F097"/>
      </w:r>
      <w:r>
        <w:tab/>
      </w:r>
      <w:r w:rsidR="007C0894" w:rsidRPr="007C0894">
        <w:rPr>
          <w:rtl/>
        </w:rPr>
        <w:t xml:space="preserve">أُدخلت المرحلة الأولى من إطار تفويض السلطة </w:t>
      </w:r>
      <w:r w:rsidR="007C0894" w:rsidRPr="007C0894">
        <w:rPr>
          <w:lang w:bidi="ar-EG"/>
        </w:rPr>
        <w:t>(</w:t>
      </w:r>
      <w:proofErr w:type="spellStart"/>
      <w:r w:rsidR="007C0894" w:rsidRPr="007C0894">
        <w:rPr>
          <w:lang w:bidi="ar-EG"/>
        </w:rPr>
        <w:t>DoA</w:t>
      </w:r>
      <w:proofErr w:type="spellEnd"/>
      <w:r w:rsidR="007C0894" w:rsidRPr="007C0894">
        <w:rPr>
          <w:lang w:bidi="ar-EG"/>
        </w:rPr>
        <w:t>)</w:t>
      </w:r>
      <w:r w:rsidR="007C0894" w:rsidRPr="007C0894">
        <w:rPr>
          <w:rtl/>
        </w:rPr>
        <w:t xml:space="preserve"> الخاص بالموارد البشرية لتبسيط عمليات الموافقة المتعلقة بالموارد البشرية، ما يمكّن من اتخاذ قرارات أسرع بشأن القضايا الرئيسية ذات الصلة بالموارد البشرية. وعلاوة على ذلك، تقود دائرة إدارة الموارد البشرية حالياً مبادرة على مستوى الاتحاد ككل لوضع إطار شامل لتفويض السلطة في الاتحاد.</w:t>
      </w:r>
    </w:p>
    <w:p w14:paraId="0EE4C564" w14:textId="5086F1DB" w:rsidR="007C0894" w:rsidRPr="007C0894" w:rsidRDefault="000D3D6E" w:rsidP="000D3D6E">
      <w:pPr>
        <w:pStyle w:val="enumlev2"/>
        <w:rPr>
          <w:lang w:val="ar-SA" w:bidi="ar-EG"/>
        </w:rPr>
      </w:pPr>
      <w:r>
        <w:sym w:font="Wingdings 2" w:char="F097"/>
      </w:r>
      <w:r>
        <w:tab/>
      </w:r>
      <w:r w:rsidR="007C0894" w:rsidRPr="007C0894">
        <w:rPr>
          <w:rtl/>
        </w:rPr>
        <w:t xml:space="preserve">وُضع إجراء تشغيل موحد </w:t>
      </w:r>
      <w:r w:rsidR="007C0894" w:rsidRPr="007C0894">
        <w:rPr>
          <w:lang w:bidi="ar-EG"/>
        </w:rPr>
        <w:t>(SOP)</w:t>
      </w:r>
      <w:r w:rsidR="007C0894" w:rsidRPr="007C0894">
        <w:rPr>
          <w:rtl/>
        </w:rPr>
        <w:t xml:space="preserve"> لدفع فواتير اتفاقات الخدمة الخاصة </w:t>
      </w:r>
      <w:r w:rsidR="007C0894" w:rsidRPr="007C0894">
        <w:rPr>
          <w:lang w:bidi="ar-EG"/>
        </w:rPr>
        <w:t>(SSA)</w:t>
      </w:r>
      <w:r w:rsidR="007C0894" w:rsidRPr="007C0894">
        <w:rPr>
          <w:rtl/>
        </w:rPr>
        <w:t xml:space="preserve"> لضمان إغلاق العقود في الوقت المناسب، ويشمل الإجراء إقرار المديرين بأن </w:t>
      </w:r>
      <w:r w:rsidR="00481268">
        <w:rPr>
          <w:rFonts w:hint="cs"/>
          <w:rtl/>
        </w:rPr>
        <w:t>المخرجات</w:t>
      </w:r>
      <w:r w:rsidR="007C0894" w:rsidRPr="007C0894">
        <w:rPr>
          <w:rtl/>
        </w:rPr>
        <w:t xml:space="preserve"> قد تحققت بنجاح. وبالإضافة إلى ذلك، اعتُمد مبدأ توجيهي بشأن تضارب المصالح فيما يتعلق باتفاقات الخدمة الخاصة لتيسير الإعلان عن حالات التضارب الفعلية أو المحتملة ومراقبتها، وضمان الامتثال للمعايير الأخلاقية.</w:t>
      </w:r>
    </w:p>
    <w:p w14:paraId="79755422" w14:textId="5748920A" w:rsidR="007C0894" w:rsidRPr="007C0894" w:rsidRDefault="000D3D6E" w:rsidP="000D3D6E">
      <w:pPr>
        <w:pStyle w:val="enumlev2"/>
        <w:rPr>
          <w:lang w:val="ar-SA" w:bidi="ar-EG"/>
        </w:rPr>
      </w:pPr>
      <w:r>
        <w:sym w:font="Wingdings 2" w:char="F097"/>
      </w:r>
      <w:r>
        <w:tab/>
      </w:r>
      <w:r w:rsidR="007C0894" w:rsidRPr="007C0894">
        <w:rPr>
          <w:rtl/>
        </w:rPr>
        <w:t>عززت دائرة إدارة الموارد البشرية التزامها بالمساءلة من خلال المراقبة المنهجية لتوصيات المراجعة المعلقة ومعالجتها، باستخدام نهج منظم يتماشى مع أولويات إدارة المخاطر في الاتحاد.</w:t>
      </w:r>
    </w:p>
    <w:p w14:paraId="25298F25" w14:textId="2BD46CA0" w:rsidR="007C0894" w:rsidRPr="007C0894" w:rsidRDefault="000D3D6E" w:rsidP="000D3D6E">
      <w:pPr>
        <w:pStyle w:val="enumlev2"/>
        <w:rPr>
          <w:lang w:val="ar-SA" w:bidi="ar-EG"/>
        </w:rPr>
      </w:pPr>
      <w:r>
        <w:sym w:font="Wingdings 2" w:char="F097"/>
      </w:r>
      <w:r>
        <w:tab/>
      </w:r>
      <w:r w:rsidR="007C0894" w:rsidRPr="007C0894">
        <w:rPr>
          <w:rtl/>
        </w:rPr>
        <w:t>يتواصل العمل بشأن سياسة ترتيبات العمل عن بُعد وترتيبات العمل المرنة. وأُعد الأمر الإداري ذي الصلة، مع التخطيط للتواصل والتدريب لضمان الانتقال السلس.</w:t>
      </w:r>
    </w:p>
    <w:p w14:paraId="46653C68" w14:textId="63F93C85" w:rsidR="007C0894" w:rsidRPr="007C0894" w:rsidRDefault="000D3D6E" w:rsidP="000D3D6E">
      <w:pPr>
        <w:pStyle w:val="enumlev2"/>
        <w:rPr>
          <w:lang w:val="ar-SA" w:bidi="ar-EG"/>
        </w:rPr>
      </w:pPr>
      <w:r>
        <w:sym w:font="Wingdings 2" w:char="F097"/>
      </w:r>
      <w:r>
        <w:tab/>
      </w:r>
      <w:r w:rsidR="007C0894" w:rsidRPr="007C0894">
        <w:rPr>
          <w:rtl/>
        </w:rPr>
        <w:t xml:space="preserve">وُضعت إجراءات تشغيل موحدة </w:t>
      </w:r>
      <w:r w:rsidR="007C0894" w:rsidRPr="007C0894">
        <w:rPr>
          <w:lang w:bidi="ar-EG"/>
        </w:rPr>
        <w:t>(SOP)</w:t>
      </w:r>
      <w:r w:rsidR="007C0894" w:rsidRPr="007C0894">
        <w:rPr>
          <w:rtl/>
        </w:rPr>
        <w:t xml:space="preserve"> لحالات الطوارئ للموظفين في المكاتب الميدانية وفي المهمات الرسمية بالتعاون الوثيق مع مجلس الموظفين لتعزيز بروتوكولات الاتحاد بشأن التأهب لحالات الطوارئ وأمن الموظفين.</w:t>
      </w:r>
    </w:p>
    <w:p w14:paraId="34CB43F0" w14:textId="018F3ECB" w:rsidR="007C0894" w:rsidRPr="007C0894" w:rsidRDefault="000D3D6E" w:rsidP="000D3D6E">
      <w:pPr>
        <w:pStyle w:val="enumlev2"/>
        <w:rPr>
          <w:lang w:val="ar-SA" w:bidi="ar-EG"/>
        </w:rPr>
      </w:pPr>
      <w:r>
        <w:sym w:font="Wingdings 2" w:char="F097"/>
      </w:r>
      <w:r>
        <w:tab/>
      </w:r>
      <w:r w:rsidR="007C0894" w:rsidRPr="007C0894">
        <w:rPr>
          <w:rtl/>
        </w:rPr>
        <w:t>شارك الاتحاد بنشاط في أول مشروع مشترك بين وكالات منظومة الأمم المتحدة بشأن الذكاء الاصطناعي التوليدي، حيث قاد تطوير روبوت دردشة قائم على الذكاء الاصطناعي لتحليل سياسة الموارد البشرية واستفسارات الموظفين. ويجري حالياً توسيع نطاقه ليشمل جميع موظفي الاتحاد، ومن المقرر تقييم المشروع على مدار عام 2026.</w:t>
      </w:r>
    </w:p>
    <w:p w14:paraId="74FA2613" w14:textId="79EB2CE4" w:rsidR="007C0894" w:rsidRPr="007C0894" w:rsidRDefault="000D3D6E" w:rsidP="000D3D6E">
      <w:pPr>
        <w:pStyle w:val="Heading2"/>
        <w:rPr>
          <w:lang w:val="ar-SA" w:bidi="ar-EG"/>
        </w:rPr>
      </w:pPr>
      <w:bookmarkStart w:id="145" w:name="_Toc224288840"/>
      <w:bookmarkStart w:id="146" w:name="_Toc227252614"/>
      <w:r>
        <w:t>9.5</w:t>
      </w:r>
      <w:r w:rsidR="007C0894" w:rsidRPr="007C0894">
        <w:rPr>
          <w:rtl/>
        </w:rPr>
        <w:tab/>
        <w:t>حالة تنفيذ قرارات مؤتمر المندوبين المفوضين</w:t>
      </w:r>
      <w:bookmarkEnd w:id="145"/>
      <w:bookmarkEnd w:id="146"/>
    </w:p>
    <w:p w14:paraId="3B93A994" w14:textId="5057E5BD" w:rsidR="007C0894" w:rsidRPr="007C0894" w:rsidRDefault="007C0894" w:rsidP="007C0894">
      <w:pPr>
        <w:rPr>
          <w:lang w:val="ar-SA" w:bidi="ar-EG"/>
        </w:rPr>
      </w:pPr>
      <w:r w:rsidRPr="007C0894">
        <w:rPr>
          <w:rtl/>
        </w:rPr>
        <w:t xml:space="preserve">يمكن الاطلاع على حالة تنفيذ قرارات مؤتمر المندوبين المفوضين في المنصة الإلكترونية المخصصة </w:t>
      </w:r>
      <w:hyperlink r:id="rId594" w:history="1">
        <w:r w:rsidRPr="007C0894">
          <w:rPr>
            <w:rStyle w:val="Hyperlink"/>
            <w:b/>
            <w:bCs/>
            <w:noProof w:val="0"/>
            <w:rtl/>
            <w:lang w:val="en-US" w:eastAsia="zh-CN"/>
          </w:rPr>
          <w:t>هنا</w:t>
        </w:r>
      </w:hyperlink>
      <w:r w:rsidRPr="007C0894">
        <w:rPr>
          <w:rtl/>
        </w:rPr>
        <w:t>.</w:t>
      </w:r>
    </w:p>
    <w:p w14:paraId="0FEF865F" w14:textId="77777777" w:rsidR="00F50E3F" w:rsidRDefault="00D63735" w:rsidP="00D63735">
      <w:pPr>
        <w:spacing w:before="600"/>
        <w:jc w:val="center"/>
        <w:rPr>
          <w:rtl/>
          <w:lang w:bidi="ar-EG"/>
        </w:rPr>
      </w:pPr>
      <w:r>
        <w:rPr>
          <w:rFonts w:hint="cs"/>
          <w:rtl/>
          <w:lang w:bidi="ar-EG"/>
        </w:rPr>
        <w:t>ــــــــــــــــــــــــــــــــــــــــــــــــــــــــــــــــــــــــــــــــــــــــــــــــ</w:t>
      </w:r>
    </w:p>
    <w:sectPr w:rsidR="00F50E3F" w:rsidSect="00F00721">
      <w:footerReference w:type="default" r:id="rId595"/>
      <w:headerReference w:type="first" r:id="rId596"/>
      <w:footerReference w:type="first" r:id="rId597"/>
      <w:type w:val="oddPage"/>
      <w:pgSz w:w="11907" w:h="16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3E5EE" w14:textId="77777777" w:rsidR="00E02C7F" w:rsidRDefault="00E02C7F" w:rsidP="006C3242">
      <w:pPr>
        <w:spacing w:before="0" w:line="240" w:lineRule="auto"/>
      </w:pPr>
      <w:r>
        <w:separator/>
      </w:r>
    </w:p>
  </w:endnote>
  <w:endnote w:type="continuationSeparator" w:id="0">
    <w:p w14:paraId="228DA89A" w14:textId="77777777" w:rsidR="00E02C7F" w:rsidRDefault="00E02C7F"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Traditional Arabic">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PMingLiU">
    <w:panose1 w:val="02010601000101010101"/>
    <w:charset w:val="88"/>
    <w:family w:val="roman"/>
    <w:pitch w:val="variable"/>
    <w:sig w:usb0="A00002FF" w:usb1="28CFFCFA" w:usb2="00000016" w:usb3="00000000" w:csb0="00100001" w:csb1="00000000"/>
  </w:font>
  <w:font w:name="Avenir Nxt2 W1G">
    <w:panose1 w:val="00000000000000000000"/>
    <w:charset w:val="00"/>
    <w:family w:val="swiss"/>
    <w:notTrueType/>
    <w:pitch w:val="variable"/>
    <w:sig w:usb0="A00002EF" w:usb1="00000003" w:usb2="00000000" w:usb3="00000000" w:csb0="0000019F" w:csb1="00000000"/>
  </w:font>
  <w:font w:name="AvenirNext LT Pro Light">
    <w:charset w:val="00"/>
    <w:family w:val="swiss"/>
    <w:pitch w:val="variable"/>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7"/>
      <w:gridCol w:w="7874"/>
      <w:gridCol w:w="443"/>
    </w:tblGrid>
    <w:tr w:rsidR="00F50E3F" w:rsidRPr="007B0AA0" w14:paraId="207CA4B5" w14:textId="77777777" w:rsidTr="00A67F05">
      <w:trPr>
        <w:jc w:val="center"/>
      </w:trPr>
      <w:tc>
        <w:tcPr>
          <w:tcW w:w="868" w:type="pct"/>
          <w:vAlign w:val="center"/>
        </w:tcPr>
        <w:p w14:paraId="56D87D88" w14:textId="59F9AB64" w:rsidR="00F50E3F" w:rsidRPr="007B0AA0" w:rsidRDefault="00621959" w:rsidP="006F363C">
          <w:pPr>
            <w:tabs>
              <w:tab w:val="clear" w:pos="794"/>
            </w:tabs>
            <w:overflowPunct w:val="0"/>
            <w:autoSpaceDE w:val="0"/>
            <w:autoSpaceDN w:val="0"/>
            <w:bidi w:val="0"/>
            <w:adjustRightInd w:val="0"/>
            <w:spacing w:before="0" w:line="240" w:lineRule="auto"/>
            <w:jc w:val="right"/>
            <w:textAlignment w:val="baseline"/>
            <w:rPr>
              <w:rFonts w:ascii="Calibri" w:hAnsi="Calibri" w:cs="Arial"/>
              <w:noProof/>
              <w:sz w:val="18"/>
            </w:rPr>
          </w:pPr>
          <w:r w:rsidRPr="00621959">
            <w:rPr>
              <w:rFonts w:ascii="Calibri" w:hAnsi="Calibri" w:cs="Arial"/>
              <w:sz w:val="18"/>
              <w:szCs w:val="14"/>
            </w:rPr>
            <w:t>2600624</w:t>
          </w:r>
        </w:p>
      </w:tc>
      <w:tc>
        <w:tcPr>
          <w:tcW w:w="3912" w:type="pct"/>
        </w:tcPr>
        <w:p w14:paraId="4A54B3C1" w14:textId="1BBD1165" w:rsidR="00F50E3F" w:rsidRPr="007B0AA0" w:rsidRDefault="00F50E3F" w:rsidP="006F363C">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sidR="000116AF">
            <w:rPr>
              <w:rFonts w:ascii="Calibri" w:hAnsi="Calibri" w:cs="Arial"/>
              <w:bCs/>
              <w:color w:val="7F7F7F"/>
              <w:sz w:val="18"/>
            </w:rPr>
            <w:t>6</w:t>
          </w:r>
          <w:r w:rsidRPr="007B0AA0">
            <w:rPr>
              <w:rFonts w:ascii="Calibri" w:hAnsi="Calibri" w:cs="Arial"/>
              <w:bCs/>
              <w:color w:val="7F7F7F"/>
              <w:sz w:val="18"/>
            </w:rPr>
            <w:t>/</w:t>
          </w:r>
          <w:r w:rsidR="00621959">
            <w:rPr>
              <w:rFonts w:ascii="Calibri" w:hAnsi="Calibri" w:cs="Arial"/>
              <w:bCs/>
              <w:color w:val="7F7F7F"/>
              <w:sz w:val="18"/>
            </w:rPr>
            <w:t>35</w:t>
          </w:r>
          <w:r w:rsidRPr="007B0AA0">
            <w:rPr>
              <w:rFonts w:ascii="Calibri" w:hAnsi="Calibri" w:cs="Arial"/>
              <w:bCs/>
              <w:color w:val="7F7F7F"/>
              <w:sz w:val="18"/>
            </w:rPr>
            <w:t>-</w:t>
          </w:r>
          <w:r>
            <w:rPr>
              <w:rFonts w:ascii="Calibri" w:hAnsi="Calibri" w:cs="Arial"/>
              <w:bCs/>
              <w:color w:val="7F7F7F"/>
              <w:sz w:val="18"/>
            </w:rPr>
            <w:t>A</w:t>
          </w:r>
        </w:p>
      </w:tc>
      <w:tc>
        <w:tcPr>
          <w:tcW w:w="220" w:type="pct"/>
        </w:tcPr>
        <w:p w14:paraId="2E80DBCA" w14:textId="77777777" w:rsidR="00F50E3F" w:rsidRPr="007B0AA0" w:rsidRDefault="00F50E3F" w:rsidP="006F363C">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cs="Arial"/>
              <w:color w:val="7F7F7F"/>
              <w:sz w:val="18"/>
            </w:rPr>
            <w:t>1</w:t>
          </w:r>
          <w:r w:rsidRPr="007B0AA0">
            <w:rPr>
              <w:rFonts w:ascii="Calibri" w:hAnsi="Calibri" w:cs="Arial"/>
              <w:noProof/>
              <w:color w:val="7F7F7F"/>
              <w:sz w:val="18"/>
            </w:rPr>
            <w:fldChar w:fldCharType="end"/>
          </w:r>
        </w:p>
      </w:tc>
    </w:tr>
  </w:tbl>
  <w:p w14:paraId="68C782CD" w14:textId="77777777" w:rsidR="006C3242" w:rsidRPr="00077A58" w:rsidRDefault="006C3242" w:rsidP="00077A58">
    <w:pPr>
      <w:pStyle w:val="Footer"/>
      <w:tabs>
        <w:tab w:val="clear" w:pos="4153"/>
        <w:tab w:val="clear" w:pos="8306"/>
        <w:tab w:val="center" w:pos="5103"/>
        <w:tab w:val="right" w:pos="9639"/>
      </w:tabs>
      <w:spacing w:after="0"/>
      <w:rPr>
        <w:sz w:val="2"/>
        <w:szCs w:val="2"/>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9"/>
      <w:gridCol w:w="7584"/>
      <w:gridCol w:w="441"/>
    </w:tblGrid>
    <w:tr w:rsidR="007B0AA0" w:rsidRPr="007B0AA0" w14:paraId="30A34A41" w14:textId="77777777" w:rsidTr="00A67F05">
      <w:trPr>
        <w:jc w:val="center"/>
      </w:trPr>
      <w:tc>
        <w:tcPr>
          <w:tcW w:w="1013" w:type="pct"/>
          <w:vAlign w:val="center"/>
        </w:tcPr>
        <w:p w14:paraId="79BDEAA8" w14:textId="77777777" w:rsidR="007B0AA0" w:rsidRPr="000116AF" w:rsidRDefault="000116AF" w:rsidP="000116AF">
          <w:pPr>
            <w:tabs>
              <w:tab w:val="clear" w:pos="794"/>
            </w:tabs>
            <w:overflowPunct w:val="0"/>
            <w:autoSpaceDE w:val="0"/>
            <w:autoSpaceDN w:val="0"/>
            <w:bidi w:val="0"/>
            <w:adjustRightInd w:val="0"/>
            <w:spacing w:before="0" w:line="240" w:lineRule="auto"/>
            <w:jc w:val="right"/>
            <w:textAlignment w:val="baseline"/>
            <w:rPr>
              <w:rFonts w:ascii="Calibri" w:hAnsi="Calibri" w:cs="Arial"/>
              <w:noProof/>
              <w:color w:val="7F7F7F"/>
              <w:sz w:val="18"/>
              <w:szCs w:val="18"/>
            </w:rPr>
          </w:pPr>
          <w:hyperlink r:id="rId1" w:anchor="/ar" w:history="1">
            <w:r w:rsidRPr="000116AF">
              <w:rPr>
                <w:rStyle w:val="Hyperlink"/>
                <w:noProof w:val="0"/>
                <w:sz w:val="18"/>
                <w:szCs w:val="18"/>
                <w:lang w:val="en-US"/>
              </w:rPr>
              <w:t>council.itu.int/2026</w:t>
            </w:r>
          </w:hyperlink>
        </w:p>
      </w:tc>
      <w:tc>
        <w:tcPr>
          <w:tcW w:w="3768" w:type="pct"/>
        </w:tcPr>
        <w:p w14:paraId="05E01F34" w14:textId="6483A0DB" w:rsidR="007B0AA0" w:rsidRPr="007B0AA0" w:rsidRDefault="007B0AA0" w:rsidP="006F363C">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sidR="000116AF">
            <w:rPr>
              <w:rFonts w:ascii="Calibri" w:hAnsi="Calibri" w:cs="Arial"/>
              <w:bCs/>
              <w:color w:val="7F7F7F"/>
              <w:sz w:val="18"/>
            </w:rPr>
            <w:t>6</w:t>
          </w:r>
          <w:r w:rsidRPr="007B0AA0">
            <w:rPr>
              <w:rFonts w:ascii="Calibri" w:hAnsi="Calibri" w:cs="Arial"/>
              <w:bCs/>
              <w:color w:val="7F7F7F"/>
              <w:sz w:val="18"/>
            </w:rPr>
            <w:t>/</w:t>
          </w:r>
          <w:r w:rsidR="00621959">
            <w:rPr>
              <w:rFonts w:ascii="Calibri" w:hAnsi="Calibri" w:cs="Arial"/>
              <w:bCs/>
              <w:color w:val="7F7F7F"/>
              <w:sz w:val="18"/>
            </w:rPr>
            <w:t>35</w:t>
          </w:r>
          <w:r w:rsidRPr="007B0AA0">
            <w:rPr>
              <w:rFonts w:ascii="Calibri" w:hAnsi="Calibri" w:cs="Arial"/>
              <w:bCs/>
              <w:color w:val="7F7F7F"/>
              <w:sz w:val="18"/>
            </w:rPr>
            <w:t>-</w:t>
          </w:r>
          <w:r>
            <w:rPr>
              <w:rFonts w:ascii="Calibri" w:hAnsi="Calibri" w:cs="Arial"/>
              <w:bCs/>
              <w:color w:val="7F7F7F"/>
              <w:sz w:val="18"/>
            </w:rPr>
            <w:t>A</w:t>
          </w:r>
        </w:p>
      </w:tc>
      <w:tc>
        <w:tcPr>
          <w:tcW w:w="220" w:type="pct"/>
        </w:tcPr>
        <w:p w14:paraId="0219BE39" w14:textId="77777777" w:rsidR="007B0AA0" w:rsidRPr="007B0AA0" w:rsidRDefault="00F50E3F" w:rsidP="006F363C">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cs="Arial"/>
              <w:color w:val="7F7F7F"/>
              <w:sz w:val="18"/>
            </w:rPr>
            <w:t>1</w:t>
          </w:r>
          <w:r w:rsidRPr="007B0AA0">
            <w:rPr>
              <w:rFonts w:ascii="Calibri" w:hAnsi="Calibri" w:cs="Arial"/>
              <w:noProof/>
              <w:color w:val="7F7F7F"/>
              <w:sz w:val="18"/>
            </w:rPr>
            <w:fldChar w:fldCharType="end"/>
          </w:r>
        </w:p>
      </w:tc>
    </w:tr>
  </w:tbl>
  <w:p w14:paraId="03646647" w14:textId="77777777" w:rsidR="0006468A" w:rsidRPr="00077A58" w:rsidRDefault="0006468A" w:rsidP="00077A58">
    <w:pPr>
      <w:pStyle w:val="Footer"/>
      <w:tabs>
        <w:tab w:val="clear" w:pos="4153"/>
        <w:tab w:val="clear" w:pos="8306"/>
        <w:tab w:val="center" w:pos="5103"/>
        <w:tab w:val="right" w:pos="9639"/>
      </w:tabs>
      <w:spacing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2AD92" w14:textId="77777777" w:rsidR="00E02C7F" w:rsidRDefault="00E02C7F" w:rsidP="006C3242">
      <w:pPr>
        <w:spacing w:before="0" w:line="240" w:lineRule="auto"/>
      </w:pPr>
      <w:r>
        <w:separator/>
      </w:r>
    </w:p>
  </w:footnote>
  <w:footnote w:type="continuationSeparator" w:id="0">
    <w:p w14:paraId="7B7F6AEC" w14:textId="77777777" w:rsidR="00E02C7F" w:rsidRDefault="00E02C7F"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860F7" w14:textId="77777777" w:rsidR="001A3E13" w:rsidRPr="00057769" w:rsidRDefault="001A3E13" w:rsidP="001A3E13">
    <w:pPr>
      <w:pStyle w:val="Header"/>
    </w:pPr>
    <w:r>
      <w:rPr>
        <w:noProof/>
      </w:rPr>
      <w:drawing>
        <wp:inline distT="0" distB="0" distL="0" distR="0" wp14:anchorId="62C30364" wp14:editId="6E65F22F">
          <wp:extent cx="5760085" cy="840740"/>
          <wp:effectExtent l="0" t="0" r="0" b="0"/>
          <wp:docPr id="1496537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37511" name="Picture 1496537511"/>
                  <pic:cNvPicPr/>
                </pic:nvPicPr>
                <pic:blipFill>
                  <a:blip r:embed="rId1">
                    <a:extLst>
                      <a:ext uri="{28A0092B-C50C-407E-A947-70E740481C1C}">
                        <a14:useLocalDpi xmlns:a14="http://schemas.microsoft.com/office/drawing/2010/main" val="0"/>
                      </a:ext>
                    </a:extLst>
                  </a:blip>
                  <a:stretch>
                    <a:fillRect/>
                  </a:stretch>
                </pic:blipFill>
                <pic:spPr>
                  <a:xfrm>
                    <a:off x="0" y="0"/>
                    <a:ext cx="5760085" cy="8407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635E9A"/>
    <w:multiLevelType w:val="multilevel"/>
    <w:tmpl w:val="1C7AFD2C"/>
    <w:lvl w:ilvl="0">
      <w:numFmt w:val="bullet"/>
      <w:lvlText w:val="-"/>
      <w:lvlJc w:val="left"/>
      <w:pPr>
        <w:ind w:left="1080" w:hanging="360"/>
      </w:pPr>
      <w:rPr>
        <w:rFonts w:ascii="Calibri" w:eastAsia="MS Mincho"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15:restartNumberingAfterBreak="0">
    <w:nsid w:val="06CD254F"/>
    <w:multiLevelType w:val="multilevel"/>
    <w:tmpl w:val="07CA1244"/>
    <w:lvl w:ilvl="0">
      <w:start w:val="1"/>
      <w:numFmt w:val="decimal"/>
      <w:lvlText w:val="%1."/>
      <w:lvlJc w:val="left"/>
      <w:pPr>
        <w:ind w:left="720" w:hanging="360"/>
      </w:pPr>
    </w:lvl>
    <w:lvl w:ilvl="1">
      <w:start w:val="6"/>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0797670E"/>
    <w:multiLevelType w:val="multilevel"/>
    <w:tmpl w:val="BBB486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0FA26BC0"/>
    <w:multiLevelType w:val="multilevel"/>
    <w:tmpl w:val="E87ECB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0484645"/>
    <w:multiLevelType w:val="multilevel"/>
    <w:tmpl w:val="3474A0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15:restartNumberingAfterBreak="0">
    <w:nsid w:val="1110352C"/>
    <w:multiLevelType w:val="multilevel"/>
    <w:tmpl w:val="2E68D3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CAF24CE"/>
    <w:multiLevelType w:val="multilevel"/>
    <w:tmpl w:val="49FEEA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15:restartNumberingAfterBreak="0">
    <w:nsid w:val="1D445D8B"/>
    <w:multiLevelType w:val="multilevel"/>
    <w:tmpl w:val="B7A4A7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 w15:restartNumberingAfterBreak="0">
    <w:nsid w:val="20940A14"/>
    <w:multiLevelType w:val="multilevel"/>
    <w:tmpl w:val="BB22A838"/>
    <w:lvl w:ilvl="0">
      <w:start w:val="4"/>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26D74A0D"/>
    <w:multiLevelType w:val="multilevel"/>
    <w:tmpl w:val="50FC4C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 w15:restartNumberingAfterBreak="0">
    <w:nsid w:val="28BA3325"/>
    <w:multiLevelType w:val="multilevel"/>
    <w:tmpl w:val="AEF8E5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2B7B3882"/>
    <w:multiLevelType w:val="multilevel"/>
    <w:tmpl w:val="281AF7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 w15:restartNumberingAfterBreak="0">
    <w:nsid w:val="2C23660D"/>
    <w:multiLevelType w:val="multilevel"/>
    <w:tmpl w:val="9232F9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15:restartNumberingAfterBreak="0">
    <w:nsid w:val="351F29C2"/>
    <w:multiLevelType w:val="multilevel"/>
    <w:tmpl w:val="7902B2CC"/>
    <w:lvl w:ilvl="0">
      <w:numFmt w:val="bullet"/>
      <w:lvlText w:val="·"/>
      <w:lvlJc w:val="left"/>
      <w:pPr>
        <w:ind w:left="720" w:hanging="360"/>
      </w:pPr>
      <w:rPr>
        <w:rFonts w:ascii="Symbol" w:hAnsi="Symbol"/>
        <w:sz w:val="20"/>
      </w:rPr>
    </w:lvl>
    <w:lvl w:ilvl="1">
      <w:start w:val="1"/>
      <w:numFmt w:val="lowerLetter"/>
      <w:lvlText w:val="%2."/>
      <w:lvlJc w:val="left"/>
      <w:pPr>
        <w:ind w:left="1440" w:hanging="360"/>
      </w:p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5" w15:restartNumberingAfterBreak="0">
    <w:nsid w:val="35345464"/>
    <w:multiLevelType w:val="multilevel"/>
    <w:tmpl w:val="734461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39F119F7"/>
    <w:multiLevelType w:val="multilevel"/>
    <w:tmpl w:val="1F54595C"/>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3DB80066"/>
    <w:multiLevelType w:val="hybridMultilevel"/>
    <w:tmpl w:val="ED7433A4"/>
    <w:lvl w:ilvl="0" w:tplc="7F7426F4">
      <w:start w:val="1"/>
      <w:numFmt w:val="lowerRoman"/>
      <w:lvlText w:val="%1."/>
      <w:lvlJc w:val="right"/>
      <w:pPr>
        <w:ind w:left="720" w:hanging="360"/>
      </w:pPr>
    </w:lvl>
    <w:lvl w:ilvl="1" w:tplc="A0B25CA2">
      <w:start w:val="1"/>
      <w:numFmt w:val="lowerRoman"/>
      <w:lvlText w:val="%2."/>
      <w:lvlJc w:val="right"/>
      <w:pPr>
        <w:ind w:left="720" w:hanging="360"/>
      </w:pPr>
    </w:lvl>
    <w:lvl w:ilvl="2" w:tplc="3AEA80FE">
      <w:start w:val="1"/>
      <w:numFmt w:val="lowerRoman"/>
      <w:lvlText w:val="%3."/>
      <w:lvlJc w:val="right"/>
      <w:pPr>
        <w:ind w:left="720" w:hanging="360"/>
      </w:pPr>
    </w:lvl>
    <w:lvl w:ilvl="3" w:tplc="2A020178">
      <w:start w:val="1"/>
      <w:numFmt w:val="lowerRoman"/>
      <w:lvlText w:val="%4."/>
      <w:lvlJc w:val="right"/>
      <w:pPr>
        <w:ind w:left="720" w:hanging="360"/>
      </w:pPr>
    </w:lvl>
    <w:lvl w:ilvl="4" w:tplc="ABE03F24">
      <w:start w:val="1"/>
      <w:numFmt w:val="lowerRoman"/>
      <w:lvlText w:val="%5."/>
      <w:lvlJc w:val="right"/>
      <w:pPr>
        <w:ind w:left="720" w:hanging="360"/>
      </w:pPr>
    </w:lvl>
    <w:lvl w:ilvl="5" w:tplc="A6827696">
      <w:start w:val="1"/>
      <w:numFmt w:val="lowerRoman"/>
      <w:lvlText w:val="%6."/>
      <w:lvlJc w:val="right"/>
      <w:pPr>
        <w:ind w:left="720" w:hanging="360"/>
      </w:pPr>
    </w:lvl>
    <w:lvl w:ilvl="6" w:tplc="B270E166">
      <w:start w:val="1"/>
      <w:numFmt w:val="lowerRoman"/>
      <w:lvlText w:val="%7."/>
      <w:lvlJc w:val="right"/>
      <w:pPr>
        <w:ind w:left="720" w:hanging="360"/>
      </w:pPr>
    </w:lvl>
    <w:lvl w:ilvl="7" w:tplc="A38EEC48">
      <w:start w:val="1"/>
      <w:numFmt w:val="lowerRoman"/>
      <w:lvlText w:val="%8."/>
      <w:lvlJc w:val="right"/>
      <w:pPr>
        <w:ind w:left="720" w:hanging="360"/>
      </w:pPr>
    </w:lvl>
    <w:lvl w:ilvl="8" w:tplc="2AB6E062">
      <w:start w:val="1"/>
      <w:numFmt w:val="lowerRoman"/>
      <w:lvlText w:val="%9."/>
      <w:lvlJc w:val="right"/>
      <w:pPr>
        <w:ind w:left="720" w:hanging="360"/>
      </w:pPr>
    </w:lvl>
  </w:abstractNum>
  <w:abstractNum w:abstractNumId="28" w15:restartNumberingAfterBreak="0">
    <w:nsid w:val="3F542F9B"/>
    <w:multiLevelType w:val="multilevel"/>
    <w:tmpl w:val="FCE202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9" w15:restartNumberingAfterBreak="0">
    <w:nsid w:val="418415F4"/>
    <w:multiLevelType w:val="hybridMultilevel"/>
    <w:tmpl w:val="D80A7984"/>
    <w:lvl w:ilvl="0" w:tplc="212E6812">
      <w:start w:val="1"/>
      <w:numFmt w:val="decimal"/>
      <w:lvlText w:val="%1-"/>
      <w:lvlJc w:val="left"/>
      <w:pPr>
        <w:ind w:left="1080" w:hanging="360"/>
      </w:pPr>
      <w:rPr>
        <w:rFonts w:hint="default"/>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2310D1B"/>
    <w:multiLevelType w:val="hybridMultilevel"/>
    <w:tmpl w:val="A5D8B810"/>
    <w:lvl w:ilvl="0" w:tplc="ECDEBF9E">
      <w:start w:val="1"/>
      <w:numFmt w:val="decimal"/>
      <w:lvlText w:val="%1-"/>
      <w:lvlJc w:val="left"/>
      <w:pPr>
        <w:ind w:left="975" w:hanging="615"/>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C52B06"/>
    <w:multiLevelType w:val="multilevel"/>
    <w:tmpl w:val="96EED012"/>
    <w:lvl w:ilvl="0">
      <w:numFmt w:val="bullet"/>
      <w:lvlText w:val=""/>
      <w:lvlJc w:val="left"/>
      <w:pPr>
        <w:ind w:left="768" w:hanging="360"/>
      </w:pPr>
      <w:rPr>
        <w:rFonts w:ascii="Symbol" w:hAnsi="Symbol"/>
      </w:r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abstractNum w:abstractNumId="32" w15:restartNumberingAfterBreak="0">
    <w:nsid w:val="496F6328"/>
    <w:multiLevelType w:val="multilevel"/>
    <w:tmpl w:val="69E86F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4E652C5B"/>
    <w:multiLevelType w:val="multilevel"/>
    <w:tmpl w:val="A6F0CF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4FB46BD2"/>
    <w:multiLevelType w:val="multilevel"/>
    <w:tmpl w:val="43A22C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510B6459"/>
    <w:multiLevelType w:val="multilevel"/>
    <w:tmpl w:val="CFC08528"/>
    <w:lvl w:ilvl="0">
      <w:numFmt w:val="bullet"/>
      <w:lvlText w:val=""/>
      <w:lvlJc w:val="left"/>
      <w:pPr>
        <w:ind w:left="360" w:hanging="360"/>
      </w:pPr>
      <w:rPr>
        <w:rFonts w:ascii="Symbol" w:hAnsi="Symbol"/>
      </w:r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5671743F"/>
    <w:multiLevelType w:val="multilevel"/>
    <w:tmpl w:val="E3B66A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59531E81"/>
    <w:multiLevelType w:val="multilevel"/>
    <w:tmpl w:val="04929B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8" w15:restartNumberingAfterBreak="0">
    <w:nsid w:val="5D6F2930"/>
    <w:multiLevelType w:val="multilevel"/>
    <w:tmpl w:val="98AC7E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9" w15:restartNumberingAfterBreak="0">
    <w:nsid w:val="5EDD0224"/>
    <w:multiLevelType w:val="multilevel"/>
    <w:tmpl w:val="92C889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0" w15:restartNumberingAfterBreak="0">
    <w:nsid w:val="63E043CE"/>
    <w:multiLevelType w:val="multilevel"/>
    <w:tmpl w:val="DC7AB8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41" w15:restartNumberingAfterBreak="0">
    <w:nsid w:val="6D6A386E"/>
    <w:multiLevelType w:val="multilevel"/>
    <w:tmpl w:val="0C0433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2" w15:restartNumberingAfterBreak="0">
    <w:nsid w:val="6F3E684C"/>
    <w:multiLevelType w:val="multilevel"/>
    <w:tmpl w:val="D3B2ED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3" w15:restartNumberingAfterBreak="0">
    <w:nsid w:val="7244701F"/>
    <w:multiLevelType w:val="multilevel"/>
    <w:tmpl w:val="6C2096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4" w15:restartNumberingAfterBreak="0">
    <w:nsid w:val="73E85C3C"/>
    <w:multiLevelType w:val="multilevel"/>
    <w:tmpl w:val="84A6676C"/>
    <w:lvl w:ilvl="0">
      <w:start w:val="1"/>
      <w:numFmt w:val="lowerRoman"/>
      <w:lvlText w:val="%1."/>
      <w:lvlJc w:val="left"/>
      <w:pPr>
        <w:ind w:left="1350" w:hanging="720"/>
      </w:pPr>
      <w:rPr>
        <w:rFonts w:ascii="Calibri" w:eastAsia="Times New Roman" w:hAnsi="Calibri" w:cs="Times New Roman"/>
        <w:b/>
        <w:bCs w:val="0"/>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5" w15:restartNumberingAfterBreak="0">
    <w:nsid w:val="76D05636"/>
    <w:multiLevelType w:val="multilevel"/>
    <w:tmpl w:val="5B1810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6" w15:restartNumberingAfterBreak="0">
    <w:nsid w:val="79976B1E"/>
    <w:multiLevelType w:val="multilevel"/>
    <w:tmpl w:val="38CC4F10"/>
    <w:lvl w:ilvl="0">
      <w:start w:val="3"/>
      <w:numFmt w:val="lowerLetter"/>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47" w15:restartNumberingAfterBreak="0">
    <w:nsid w:val="7B9316BD"/>
    <w:multiLevelType w:val="multilevel"/>
    <w:tmpl w:val="EE3059F8"/>
    <w:styleLink w:val="LFO4"/>
    <w:lvl w:ilvl="0">
      <w:numFmt w:val="bullet"/>
      <w:pStyle w:val="Boxbullet2"/>
      <w:lvlText w:val="•"/>
      <w:lvlJc w:val="left"/>
      <w:pPr>
        <w:ind w:left="720" w:hanging="360"/>
      </w:pPr>
      <w:rPr>
        <w:rFonts w:ascii="Arial" w:hAnsi="Aria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rPr>
    </w:lvl>
    <w:lvl w:ilvl="3">
      <w:numFmt w:val="bullet"/>
      <w:lvlText w:val="•"/>
      <w:lvlJc w:val="left"/>
      <w:pPr>
        <w:ind w:left="2880" w:hanging="360"/>
      </w:pPr>
      <w:rPr>
        <w:rFonts w:ascii="Arial" w:hAnsi="Arial"/>
      </w:rPr>
    </w:lvl>
    <w:lvl w:ilvl="4">
      <w:numFmt w:val="bullet"/>
      <w:lvlText w:val="•"/>
      <w:lvlJc w:val="left"/>
      <w:pPr>
        <w:ind w:left="3600" w:hanging="360"/>
      </w:pPr>
      <w:rPr>
        <w:rFonts w:ascii="Arial" w:hAnsi="Arial"/>
      </w:rPr>
    </w:lvl>
    <w:lvl w:ilvl="5">
      <w:numFmt w:val="bullet"/>
      <w:lvlText w:val="•"/>
      <w:lvlJc w:val="left"/>
      <w:pPr>
        <w:ind w:left="4320" w:hanging="360"/>
      </w:pPr>
      <w:rPr>
        <w:rFonts w:ascii="Arial" w:hAnsi="Arial"/>
      </w:rPr>
    </w:lvl>
    <w:lvl w:ilvl="6">
      <w:numFmt w:val="bullet"/>
      <w:lvlText w:val="•"/>
      <w:lvlJc w:val="left"/>
      <w:pPr>
        <w:ind w:left="5040" w:hanging="360"/>
      </w:pPr>
      <w:rPr>
        <w:rFonts w:ascii="Arial" w:hAnsi="Arial"/>
      </w:rPr>
    </w:lvl>
    <w:lvl w:ilvl="7">
      <w:numFmt w:val="bullet"/>
      <w:lvlText w:val="•"/>
      <w:lvlJc w:val="left"/>
      <w:pPr>
        <w:ind w:left="5760" w:hanging="360"/>
      </w:pPr>
      <w:rPr>
        <w:rFonts w:ascii="Arial" w:hAnsi="Arial"/>
      </w:rPr>
    </w:lvl>
    <w:lvl w:ilvl="8">
      <w:numFmt w:val="bullet"/>
      <w:lvlText w:val="•"/>
      <w:lvlJc w:val="left"/>
      <w:pPr>
        <w:ind w:left="6480" w:hanging="360"/>
      </w:pPr>
      <w:rPr>
        <w:rFonts w:ascii="Arial" w:hAnsi="Arial"/>
      </w:rPr>
    </w:lvl>
  </w:abstractNum>
  <w:abstractNum w:abstractNumId="48" w15:restartNumberingAfterBreak="0">
    <w:nsid w:val="7CFA696A"/>
    <w:multiLevelType w:val="multilevel"/>
    <w:tmpl w:val="B1FEEADC"/>
    <w:styleLink w:val="LFO3"/>
    <w:lvl w:ilvl="0">
      <w:start w:val="1"/>
      <w:numFmt w:val="decimal"/>
      <w:pStyle w:val="normalWSIS"/>
      <w:lvlText w:val="%1."/>
      <w:lvlJc w:val="left"/>
      <w:pPr>
        <w:ind w:left="3195" w:hanging="360"/>
      </w:pPr>
      <w:rPr>
        <w:b w:val="0"/>
        <w:bCs w:val="0"/>
        <w:color w:val="auto"/>
        <w:sz w:val="20"/>
        <w:szCs w:val="20"/>
      </w:rPr>
    </w:lvl>
    <w:lvl w:ilvl="1">
      <w:start w:val="1"/>
      <w:numFmt w:val="lowerLetter"/>
      <w:lvlText w:val="%2."/>
      <w:lvlJc w:val="left"/>
      <w:pPr>
        <w:ind w:left="3566" w:hanging="360"/>
      </w:pPr>
    </w:lvl>
    <w:lvl w:ilvl="2">
      <w:start w:val="1"/>
      <w:numFmt w:val="lowerRoman"/>
      <w:lvlText w:val="%3."/>
      <w:lvlJc w:val="right"/>
      <w:pPr>
        <w:ind w:left="4286" w:hanging="180"/>
      </w:pPr>
    </w:lvl>
    <w:lvl w:ilvl="3">
      <w:start w:val="1"/>
      <w:numFmt w:val="decimal"/>
      <w:lvlText w:val="%4."/>
      <w:lvlJc w:val="left"/>
      <w:pPr>
        <w:ind w:left="5006" w:hanging="360"/>
      </w:pPr>
    </w:lvl>
    <w:lvl w:ilvl="4">
      <w:start w:val="1"/>
      <w:numFmt w:val="lowerLetter"/>
      <w:lvlText w:val="%5."/>
      <w:lvlJc w:val="left"/>
      <w:pPr>
        <w:ind w:left="5726" w:hanging="360"/>
      </w:pPr>
    </w:lvl>
    <w:lvl w:ilvl="5">
      <w:start w:val="1"/>
      <w:numFmt w:val="lowerRoman"/>
      <w:lvlText w:val="%6."/>
      <w:lvlJc w:val="right"/>
      <w:pPr>
        <w:ind w:left="6446" w:hanging="180"/>
      </w:pPr>
    </w:lvl>
    <w:lvl w:ilvl="6">
      <w:start w:val="1"/>
      <w:numFmt w:val="decimal"/>
      <w:lvlText w:val="%7."/>
      <w:lvlJc w:val="left"/>
      <w:pPr>
        <w:ind w:left="7166" w:hanging="360"/>
      </w:pPr>
    </w:lvl>
    <w:lvl w:ilvl="7">
      <w:start w:val="1"/>
      <w:numFmt w:val="lowerLetter"/>
      <w:lvlText w:val="%8."/>
      <w:lvlJc w:val="left"/>
      <w:pPr>
        <w:ind w:left="7886" w:hanging="360"/>
      </w:pPr>
    </w:lvl>
    <w:lvl w:ilvl="8">
      <w:start w:val="1"/>
      <w:numFmt w:val="lowerRoman"/>
      <w:lvlText w:val="%9."/>
      <w:lvlJc w:val="right"/>
      <w:pPr>
        <w:ind w:left="8606" w:hanging="180"/>
      </w:pPr>
    </w:lvl>
  </w:abstractNum>
  <w:abstractNum w:abstractNumId="49" w15:restartNumberingAfterBreak="0">
    <w:nsid w:val="7EC10B87"/>
    <w:multiLevelType w:val="hybridMultilevel"/>
    <w:tmpl w:val="B4A240D0"/>
    <w:lvl w:ilvl="0" w:tplc="E8F45550">
      <w:start w:val="1"/>
      <w:numFmt w:val="decimal"/>
      <w:lvlText w:val="%1."/>
      <w:lvlJc w:val="left"/>
      <w:pPr>
        <w:ind w:left="1962" w:hanging="360"/>
      </w:pPr>
      <w:rPr>
        <w:rFonts w:hint="default"/>
        <w:b w:val="0"/>
        <w:bCs w:val="0"/>
        <w:i w:val="0"/>
        <w:iCs w:val="0"/>
        <w:caps w:val="0"/>
        <w:strike w:val="0"/>
        <w:dstrike w:val="0"/>
        <w:vanish w:val="0"/>
        <w:color w:val="000000" w:themeColor="text1"/>
        <w:spacing w:val="0"/>
        <w:vertAlign w:val="baseline"/>
      </w:r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num w:numId="1" w16cid:durableId="838345589">
    <w:abstractNumId w:val="9"/>
  </w:num>
  <w:num w:numId="2" w16cid:durableId="1774472849">
    <w:abstractNumId w:val="7"/>
  </w:num>
  <w:num w:numId="3" w16cid:durableId="923494626">
    <w:abstractNumId w:val="6"/>
  </w:num>
  <w:num w:numId="4" w16cid:durableId="442574474">
    <w:abstractNumId w:val="5"/>
  </w:num>
  <w:num w:numId="5" w16cid:durableId="1628318554">
    <w:abstractNumId w:val="4"/>
  </w:num>
  <w:num w:numId="6" w16cid:durableId="2075542342">
    <w:abstractNumId w:val="8"/>
  </w:num>
  <w:num w:numId="7" w16cid:durableId="1174762821">
    <w:abstractNumId w:val="3"/>
  </w:num>
  <w:num w:numId="8" w16cid:durableId="201795547">
    <w:abstractNumId w:val="2"/>
  </w:num>
  <w:num w:numId="9" w16cid:durableId="355010693">
    <w:abstractNumId w:val="1"/>
  </w:num>
  <w:num w:numId="10" w16cid:durableId="844200481">
    <w:abstractNumId w:val="0"/>
  </w:num>
  <w:num w:numId="11" w16cid:durableId="1104838316">
    <w:abstractNumId w:val="16"/>
  </w:num>
  <w:num w:numId="12" w16cid:durableId="1892688081">
    <w:abstractNumId w:val="48"/>
  </w:num>
  <w:num w:numId="13" w16cid:durableId="949434923">
    <w:abstractNumId w:val="47"/>
  </w:num>
  <w:num w:numId="14" w16cid:durableId="935282704">
    <w:abstractNumId w:val="44"/>
  </w:num>
  <w:num w:numId="15" w16cid:durableId="1239561733">
    <w:abstractNumId w:val="41"/>
  </w:num>
  <w:num w:numId="16" w16cid:durableId="691763486">
    <w:abstractNumId w:val="38"/>
  </w:num>
  <w:num w:numId="17" w16cid:durableId="1088425930">
    <w:abstractNumId w:val="23"/>
  </w:num>
  <w:num w:numId="18" w16cid:durableId="1770390047">
    <w:abstractNumId w:val="42"/>
  </w:num>
  <w:num w:numId="19" w16cid:durableId="349962567">
    <w:abstractNumId w:val="20"/>
  </w:num>
  <w:num w:numId="20" w16cid:durableId="608968167">
    <w:abstractNumId w:val="12"/>
  </w:num>
  <w:num w:numId="21" w16cid:durableId="1623610943">
    <w:abstractNumId w:val="22"/>
  </w:num>
  <w:num w:numId="22" w16cid:durableId="1948152340">
    <w:abstractNumId w:val="45"/>
  </w:num>
  <w:num w:numId="23" w16cid:durableId="1098870357">
    <w:abstractNumId w:val="15"/>
  </w:num>
  <w:num w:numId="24" w16cid:durableId="2110805750">
    <w:abstractNumId w:val="43"/>
  </w:num>
  <w:num w:numId="25" w16cid:durableId="1535195189">
    <w:abstractNumId w:val="28"/>
  </w:num>
  <w:num w:numId="26" w16cid:durableId="459226388">
    <w:abstractNumId w:val="17"/>
  </w:num>
  <w:num w:numId="27" w16cid:durableId="1768890655">
    <w:abstractNumId w:val="21"/>
  </w:num>
  <w:num w:numId="28" w16cid:durableId="1689868850">
    <w:abstractNumId w:val="18"/>
  </w:num>
  <w:num w:numId="29" w16cid:durableId="1937132668">
    <w:abstractNumId w:val="36"/>
  </w:num>
  <w:num w:numId="30" w16cid:durableId="1922181970">
    <w:abstractNumId w:val="13"/>
  </w:num>
  <w:num w:numId="31" w16cid:durableId="495729747">
    <w:abstractNumId w:val="34"/>
  </w:num>
  <w:num w:numId="32" w16cid:durableId="1793941181">
    <w:abstractNumId w:val="31"/>
  </w:num>
  <w:num w:numId="33" w16cid:durableId="1000893860">
    <w:abstractNumId w:val="10"/>
  </w:num>
  <w:num w:numId="34" w16cid:durableId="103237015">
    <w:abstractNumId w:val="32"/>
  </w:num>
  <w:num w:numId="35" w16cid:durableId="1898853037">
    <w:abstractNumId w:val="14"/>
  </w:num>
  <w:num w:numId="36" w16cid:durableId="1280843061">
    <w:abstractNumId w:val="11"/>
  </w:num>
  <w:num w:numId="37" w16cid:durableId="1120998492">
    <w:abstractNumId w:val="39"/>
  </w:num>
  <w:num w:numId="38" w16cid:durableId="1161388086">
    <w:abstractNumId w:val="19"/>
  </w:num>
  <w:num w:numId="39" w16cid:durableId="906690804">
    <w:abstractNumId w:val="35"/>
  </w:num>
  <w:num w:numId="40" w16cid:durableId="1198808879">
    <w:abstractNumId w:val="33"/>
  </w:num>
  <w:num w:numId="41" w16cid:durableId="1288202263">
    <w:abstractNumId w:val="25"/>
  </w:num>
  <w:num w:numId="42" w16cid:durableId="1957901843">
    <w:abstractNumId w:val="24"/>
  </w:num>
  <w:num w:numId="43" w16cid:durableId="1214922032">
    <w:abstractNumId w:val="37"/>
  </w:num>
  <w:num w:numId="44" w16cid:durableId="288973773">
    <w:abstractNumId w:val="46"/>
  </w:num>
  <w:num w:numId="45" w16cid:durableId="1912620552">
    <w:abstractNumId w:val="40"/>
  </w:num>
  <w:num w:numId="46" w16cid:durableId="1829980720">
    <w:abstractNumId w:val="29"/>
  </w:num>
  <w:num w:numId="47" w16cid:durableId="1547451782">
    <w:abstractNumId w:val="30"/>
  </w:num>
  <w:num w:numId="48" w16cid:durableId="262540564">
    <w:abstractNumId w:val="49"/>
  </w:num>
  <w:num w:numId="49" w16cid:durableId="973561073">
    <w:abstractNumId w:val="26"/>
  </w:num>
  <w:num w:numId="50" w16cid:durableId="14909445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C7F"/>
    <w:rsid w:val="00010EBC"/>
    <w:rsid w:val="0001139A"/>
    <w:rsid w:val="000116AF"/>
    <w:rsid w:val="00012C9F"/>
    <w:rsid w:val="00024527"/>
    <w:rsid w:val="000313FD"/>
    <w:rsid w:val="00036109"/>
    <w:rsid w:val="00044F6A"/>
    <w:rsid w:val="00056A18"/>
    <w:rsid w:val="000635D5"/>
    <w:rsid w:val="0006468A"/>
    <w:rsid w:val="00077A58"/>
    <w:rsid w:val="00083A78"/>
    <w:rsid w:val="00090574"/>
    <w:rsid w:val="000A7072"/>
    <w:rsid w:val="000B66B5"/>
    <w:rsid w:val="000C1C0E"/>
    <w:rsid w:val="000C548A"/>
    <w:rsid w:val="000D3D6E"/>
    <w:rsid w:val="0010011D"/>
    <w:rsid w:val="001012B8"/>
    <w:rsid w:val="001063F9"/>
    <w:rsid w:val="001120B6"/>
    <w:rsid w:val="00123932"/>
    <w:rsid w:val="00147DCC"/>
    <w:rsid w:val="00153CB5"/>
    <w:rsid w:val="00191059"/>
    <w:rsid w:val="001910D8"/>
    <w:rsid w:val="001A3E13"/>
    <w:rsid w:val="001B6E2B"/>
    <w:rsid w:val="001C0169"/>
    <w:rsid w:val="001C0C21"/>
    <w:rsid w:val="001C6FF5"/>
    <w:rsid w:val="001D1D50"/>
    <w:rsid w:val="001D64C7"/>
    <w:rsid w:val="001D6745"/>
    <w:rsid w:val="001E446E"/>
    <w:rsid w:val="001F03AD"/>
    <w:rsid w:val="00203449"/>
    <w:rsid w:val="00207E2C"/>
    <w:rsid w:val="002154EE"/>
    <w:rsid w:val="00215757"/>
    <w:rsid w:val="002212B3"/>
    <w:rsid w:val="002276D2"/>
    <w:rsid w:val="0023283D"/>
    <w:rsid w:val="00234D8F"/>
    <w:rsid w:val="002415A2"/>
    <w:rsid w:val="00241D22"/>
    <w:rsid w:val="00254393"/>
    <w:rsid w:val="0026373E"/>
    <w:rsid w:val="00270125"/>
    <w:rsid w:val="00271C43"/>
    <w:rsid w:val="00274B4B"/>
    <w:rsid w:val="00286CA0"/>
    <w:rsid w:val="00290728"/>
    <w:rsid w:val="002978F4"/>
    <w:rsid w:val="002B028D"/>
    <w:rsid w:val="002B748F"/>
    <w:rsid w:val="002C3F32"/>
    <w:rsid w:val="002E16E3"/>
    <w:rsid w:val="002E6541"/>
    <w:rsid w:val="002E6967"/>
    <w:rsid w:val="00334924"/>
    <w:rsid w:val="003409BC"/>
    <w:rsid w:val="00353D19"/>
    <w:rsid w:val="00357185"/>
    <w:rsid w:val="00377903"/>
    <w:rsid w:val="00380793"/>
    <w:rsid w:val="00383829"/>
    <w:rsid w:val="00385214"/>
    <w:rsid w:val="00393CB8"/>
    <w:rsid w:val="003972A1"/>
    <w:rsid w:val="003B67D2"/>
    <w:rsid w:val="003C4B57"/>
    <w:rsid w:val="003F1CCA"/>
    <w:rsid w:val="003F4B29"/>
    <w:rsid w:val="004012E7"/>
    <w:rsid w:val="00410B26"/>
    <w:rsid w:val="00411A3D"/>
    <w:rsid w:val="00420F8A"/>
    <w:rsid w:val="0042686F"/>
    <w:rsid w:val="004317D8"/>
    <w:rsid w:val="0043260A"/>
    <w:rsid w:val="00434183"/>
    <w:rsid w:val="00443869"/>
    <w:rsid w:val="00447774"/>
    <w:rsid w:val="00447F32"/>
    <w:rsid w:val="004709B2"/>
    <w:rsid w:val="00475726"/>
    <w:rsid w:val="00481268"/>
    <w:rsid w:val="00486343"/>
    <w:rsid w:val="00491BA9"/>
    <w:rsid w:val="00494119"/>
    <w:rsid w:val="004A3DBC"/>
    <w:rsid w:val="004A4701"/>
    <w:rsid w:val="004B6E12"/>
    <w:rsid w:val="004B7334"/>
    <w:rsid w:val="004E11DC"/>
    <w:rsid w:val="005112CB"/>
    <w:rsid w:val="00512475"/>
    <w:rsid w:val="005130DE"/>
    <w:rsid w:val="00513157"/>
    <w:rsid w:val="00525DDD"/>
    <w:rsid w:val="005409AC"/>
    <w:rsid w:val="00541570"/>
    <w:rsid w:val="005434E0"/>
    <w:rsid w:val="005546CF"/>
    <w:rsid w:val="0055516A"/>
    <w:rsid w:val="00566ED9"/>
    <w:rsid w:val="0058491B"/>
    <w:rsid w:val="00592EA5"/>
    <w:rsid w:val="005A3170"/>
    <w:rsid w:val="005B2AB5"/>
    <w:rsid w:val="005C37ED"/>
    <w:rsid w:val="005D419C"/>
    <w:rsid w:val="005D51DE"/>
    <w:rsid w:val="005D6555"/>
    <w:rsid w:val="005F3A14"/>
    <w:rsid w:val="00600769"/>
    <w:rsid w:val="00607644"/>
    <w:rsid w:val="00621959"/>
    <w:rsid w:val="006336CD"/>
    <w:rsid w:val="006428D5"/>
    <w:rsid w:val="00657019"/>
    <w:rsid w:val="00660DEA"/>
    <w:rsid w:val="006755A3"/>
    <w:rsid w:val="00677396"/>
    <w:rsid w:val="00683F16"/>
    <w:rsid w:val="0069200F"/>
    <w:rsid w:val="006A65CB"/>
    <w:rsid w:val="006B12E5"/>
    <w:rsid w:val="006B6E69"/>
    <w:rsid w:val="006B758D"/>
    <w:rsid w:val="006C3242"/>
    <w:rsid w:val="006C7CC0"/>
    <w:rsid w:val="006C7D2D"/>
    <w:rsid w:val="006F19C7"/>
    <w:rsid w:val="006F363C"/>
    <w:rsid w:val="006F63F7"/>
    <w:rsid w:val="007014C7"/>
    <w:rsid w:val="007025C7"/>
    <w:rsid w:val="00704A2A"/>
    <w:rsid w:val="00706D7A"/>
    <w:rsid w:val="00716845"/>
    <w:rsid w:val="0071698B"/>
    <w:rsid w:val="00722F0D"/>
    <w:rsid w:val="00735081"/>
    <w:rsid w:val="0074420E"/>
    <w:rsid w:val="00751A79"/>
    <w:rsid w:val="007648A6"/>
    <w:rsid w:val="00767990"/>
    <w:rsid w:val="0077110E"/>
    <w:rsid w:val="00774B22"/>
    <w:rsid w:val="00783E26"/>
    <w:rsid w:val="00786838"/>
    <w:rsid w:val="007957C0"/>
    <w:rsid w:val="007A6684"/>
    <w:rsid w:val="007B0AA0"/>
    <w:rsid w:val="007C0894"/>
    <w:rsid w:val="007C2CA0"/>
    <w:rsid w:val="007C3BC7"/>
    <w:rsid w:val="007C3BCD"/>
    <w:rsid w:val="007D4ACF"/>
    <w:rsid w:val="007D533C"/>
    <w:rsid w:val="007E0D1D"/>
    <w:rsid w:val="007F0787"/>
    <w:rsid w:val="00810B7B"/>
    <w:rsid w:val="0082358A"/>
    <w:rsid w:val="008235CD"/>
    <w:rsid w:val="008247DE"/>
    <w:rsid w:val="008339C0"/>
    <w:rsid w:val="00840B10"/>
    <w:rsid w:val="008513CB"/>
    <w:rsid w:val="008741C8"/>
    <w:rsid w:val="00874E9F"/>
    <w:rsid w:val="008850F5"/>
    <w:rsid w:val="008935EB"/>
    <w:rsid w:val="0089560B"/>
    <w:rsid w:val="008A4622"/>
    <w:rsid w:val="008A5A1B"/>
    <w:rsid w:val="008A7F84"/>
    <w:rsid w:val="008B1928"/>
    <w:rsid w:val="008B3139"/>
    <w:rsid w:val="008C5DEF"/>
    <w:rsid w:val="008D4655"/>
    <w:rsid w:val="008E4FF0"/>
    <w:rsid w:val="0091702E"/>
    <w:rsid w:val="00923B0C"/>
    <w:rsid w:val="00924F46"/>
    <w:rsid w:val="0092519C"/>
    <w:rsid w:val="00933E22"/>
    <w:rsid w:val="00935AAC"/>
    <w:rsid w:val="00935D68"/>
    <w:rsid w:val="0093725D"/>
    <w:rsid w:val="0094021C"/>
    <w:rsid w:val="009466C4"/>
    <w:rsid w:val="00952F86"/>
    <w:rsid w:val="009614D6"/>
    <w:rsid w:val="0096716C"/>
    <w:rsid w:val="00972572"/>
    <w:rsid w:val="0097655C"/>
    <w:rsid w:val="00982B28"/>
    <w:rsid w:val="009868AC"/>
    <w:rsid w:val="0099640B"/>
    <w:rsid w:val="009D313F"/>
    <w:rsid w:val="009F5213"/>
    <w:rsid w:val="00A1764E"/>
    <w:rsid w:val="00A47A5A"/>
    <w:rsid w:val="00A56A01"/>
    <w:rsid w:val="00A63AE6"/>
    <w:rsid w:val="00A6683B"/>
    <w:rsid w:val="00A67F05"/>
    <w:rsid w:val="00A721FE"/>
    <w:rsid w:val="00A73CAC"/>
    <w:rsid w:val="00A77BE2"/>
    <w:rsid w:val="00A97F94"/>
    <w:rsid w:val="00AA7EA2"/>
    <w:rsid w:val="00AB456E"/>
    <w:rsid w:val="00AB5A56"/>
    <w:rsid w:val="00AC172E"/>
    <w:rsid w:val="00AC3D57"/>
    <w:rsid w:val="00AE1C8A"/>
    <w:rsid w:val="00AE51BF"/>
    <w:rsid w:val="00B01F6A"/>
    <w:rsid w:val="00B03099"/>
    <w:rsid w:val="00B05BC8"/>
    <w:rsid w:val="00B10383"/>
    <w:rsid w:val="00B30F5E"/>
    <w:rsid w:val="00B458A7"/>
    <w:rsid w:val="00B6322B"/>
    <w:rsid w:val="00B64B47"/>
    <w:rsid w:val="00B65B96"/>
    <w:rsid w:val="00B84FE1"/>
    <w:rsid w:val="00B86D75"/>
    <w:rsid w:val="00B95654"/>
    <w:rsid w:val="00B97F32"/>
    <w:rsid w:val="00BA04B2"/>
    <w:rsid w:val="00BA258F"/>
    <w:rsid w:val="00BB6F58"/>
    <w:rsid w:val="00BE1C70"/>
    <w:rsid w:val="00BF51F7"/>
    <w:rsid w:val="00BF68A7"/>
    <w:rsid w:val="00C002DE"/>
    <w:rsid w:val="00C0129D"/>
    <w:rsid w:val="00C0602B"/>
    <w:rsid w:val="00C224DA"/>
    <w:rsid w:val="00C40C45"/>
    <w:rsid w:val="00C4312D"/>
    <w:rsid w:val="00C53BF8"/>
    <w:rsid w:val="00C66157"/>
    <w:rsid w:val="00C66DC8"/>
    <w:rsid w:val="00C674FE"/>
    <w:rsid w:val="00C67501"/>
    <w:rsid w:val="00C67ABB"/>
    <w:rsid w:val="00C75633"/>
    <w:rsid w:val="00CA28EE"/>
    <w:rsid w:val="00CA2CFC"/>
    <w:rsid w:val="00CE126E"/>
    <w:rsid w:val="00CE2EE1"/>
    <w:rsid w:val="00CE3349"/>
    <w:rsid w:val="00CE36E5"/>
    <w:rsid w:val="00CE4360"/>
    <w:rsid w:val="00CF27F5"/>
    <w:rsid w:val="00CF3FFD"/>
    <w:rsid w:val="00D10CCF"/>
    <w:rsid w:val="00D11F3C"/>
    <w:rsid w:val="00D13941"/>
    <w:rsid w:val="00D200D6"/>
    <w:rsid w:val="00D23D15"/>
    <w:rsid w:val="00D23F5F"/>
    <w:rsid w:val="00D43F7D"/>
    <w:rsid w:val="00D502AE"/>
    <w:rsid w:val="00D6243E"/>
    <w:rsid w:val="00D63735"/>
    <w:rsid w:val="00D76E13"/>
    <w:rsid w:val="00D77D0F"/>
    <w:rsid w:val="00D93838"/>
    <w:rsid w:val="00DA1CF0"/>
    <w:rsid w:val="00DA6A30"/>
    <w:rsid w:val="00DC1E02"/>
    <w:rsid w:val="00DC24B4"/>
    <w:rsid w:val="00DC5FB0"/>
    <w:rsid w:val="00DE3DE4"/>
    <w:rsid w:val="00DF16DC"/>
    <w:rsid w:val="00DF72B8"/>
    <w:rsid w:val="00E02C7F"/>
    <w:rsid w:val="00E20B66"/>
    <w:rsid w:val="00E2462E"/>
    <w:rsid w:val="00E259D5"/>
    <w:rsid w:val="00E2742A"/>
    <w:rsid w:val="00E33BC6"/>
    <w:rsid w:val="00E45211"/>
    <w:rsid w:val="00E473C5"/>
    <w:rsid w:val="00E47773"/>
    <w:rsid w:val="00E61BE8"/>
    <w:rsid w:val="00E7338F"/>
    <w:rsid w:val="00E74524"/>
    <w:rsid w:val="00E76879"/>
    <w:rsid w:val="00E83FF1"/>
    <w:rsid w:val="00E90B8C"/>
    <w:rsid w:val="00E92863"/>
    <w:rsid w:val="00E979B2"/>
    <w:rsid w:val="00EA6D94"/>
    <w:rsid w:val="00EB0DC4"/>
    <w:rsid w:val="00EB796D"/>
    <w:rsid w:val="00EC165E"/>
    <w:rsid w:val="00F00721"/>
    <w:rsid w:val="00F058DC"/>
    <w:rsid w:val="00F10748"/>
    <w:rsid w:val="00F21C87"/>
    <w:rsid w:val="00F24FC4"/>
    <w:rsid w:val="00F2676C"/>
    <w:rsid w:val="00F363FE"/>
    <w:rsid w:val="00F41161"/>
    <w:rsid w:val="00F50E3F"/>
    <w:rsid w:val="00F54EBF"/>
    <w:rsid w:val="00F742FD"/>
    <w:rsid w:val="00F83890"/>
    <w:rsid w:val="00F84366"/>
    <w:rsid w:val="00F85089"/>
    <w:rsid w:val="00F91E27"/>
    <w:rsid w:val="00F92A17"/>
    <w:rsid w:val="00F92FDB"/>
    <w:rsid w:val="00F974C5"/>
    <w:rsid w:val="00FA3763"/>
    <w:rsid w:val="00FA6F46"/>
    <w:rsid w:val="00FB505F"/>
    <w:rsid w:val="00FC0E94"/>
    <w:rsid w:val="00FC4592"/>
    <w:rsid w:val="00FC7A00"/>
    <w:rsid w:val="00FD527F"/>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773962"/>
  <w15:chartTrackingRefBased/>
  <w15:docId w15:val="{334505E9-526C-4E04-842C-0018BC89E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0"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735081"/>
    <w:pPr>
      <w:tabs>
        <w:tab w:val="left" w:pos="794"/>
      </w:tabs>
      <w:bidi/>
      <w:spacing w:before="120" w:after="120" w:line="192" w:lineRule="auto"/>
      <w:jc w:val="both"/>
    </w:pPr>
    <w:rPr>
      <w:rFonts w:ascii="Dubai" w:hAnsi="Dubai" w:cs="Dubai"/>
    </w:rPr>
  </w:style>
  <w:style w:type="paragraph" w:styleId="Heading1">
    <w:name w:val="heading 1"/>
    <w:basedOn w:val="Normal"/>
    <w:next w:val="Normal"/>
    <w:link w:val="Heading1Char"/>
    <w:uiPriority w:val="9"/>
    <w:qFormat/>
    <w:rsid w:val="00600769"/>
    <w:pPr>
      <w:keepNext/>
      <w:keepLines/>
      <w:spacing w:before="360"/>
      <w:ind w:left="794" w:hanging="794"/>
      <w:outlineLvl w:val="0"/>
    </w:pPr>
    <w:rPr>
      <w:rFonts w:eastAsiaTheme="majorEastAsia"/>
      <w:b/>
      <w:bCs/>
      <w:color w:val="1F497D"/>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rsid w:val="007C3BC7"/>
    <w:pPr>
      <w:spacing w:after="0" w:line="240" w:lineRule="auto"/>
    </w:pPr>
    <w:rPr>
      <w:color w:val="FF0000"/>
    </w:rPr>
  </w:style>
  <w:style w:type="character" w:customStyle="1" w:styleId="Heading1Char">
    <w:name w:val="Heading 1 Char"/>
    <w:basedOn w:val="DefaultParagraphFont"/>
    <w:link w:val="Heading1"/>
    <w:rsid w:val="00600769"/>
    <w:rPr>
      <w:rFonts w:ascii="Dubai" w:eastAsiaTheme="majorEastAsia" w:hAnsi="Dubai" w:cs="Dubai"/>
      <w:b/>
      <w:bCs/>
      <w:color w:val="1F497D"/>
      <w:sz w:val="26"/>
      <w:szCs w:val="26"/>
    </w:rPr>
  </w:style>
  <w:style w:type="character" w:customStyle="1" w:styleId="Heading2Char">
    <w:name w:val="Heading 2 Char"/>
    <w:basedOn w:val="DefaultParagraphFont"/>
    <w:link w:val="Heading2"/>
    <w:rsid w:val="00F974C5"/>
    <w:rPr>
      <w:rFonts w:ascii="Dubai" w:eastAsiaTheme="majorEastAsia" w:hAnsi="Dubai" w:cs="Dubai"/>
      <w:b/>
      <w:bCs/>
      <w:sz w:val="24"/>
      <w:szCs w:val="24"/>
    </w:rPr>
  </w:style>
  <w:style w:type="character" w:customStyle="1" w:styleId="Heading3Char">
    <w:name w:val="Heading 3 Char"/>
    <w:basedOn w:val="DefaultParagraphFont"/>
    <w:link w:val="Heading3"/>
    <w:rsid w:val="00F974C5"/>
    <w:rPr>
      <w:rFonts w:ascii="Dubai" w:eastAsiaTheme="majorEastAsia" w:hAnsi="Dubai" w:cs="Dubai"/>
      <w:b/>
      <w:bCs/>
    </w:rPr>
  </w:style>
  <w:style w:type="character" w:customStyle="1" w:styleId="Heading4Char">
    <w:name w:val="Heading 4 Char"/>
    <w:basedOn w:val="DefaultParagraphFont"/>
    <w:link w:val="Heading4"/>
    <w:rsid w:val="00F974C5"/>
    <w:rPr>
      <w:rFonts w:ascii="Dubai" w:eastAsiaTheme="majorEastAsia" w:hAnsi="Dubai" w:cs="Dubai"/>
      <w:b/>
      <w:bCs/>
    </w:rPr>
  </w:style>
  <w:style w:type="character" w:customStyle="1" w:styleId="Heading5Char">
    <w:name w:val="Heading 5 Char"/>
    <w:basedOn w:val="DefaultParagraphFont"/>
    <w:link w:val="Heading5"/>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rsid w:val="00F974C5"/>
    <w:rPr>
      <w:rFonts w:ascii="Dubai" w:eastAsiaTheme="majorEastAsia" w:hAnsi="Dubai" w:cs="Dubai"/>
      <w:b/>
      <w:bCs/>
    </w:rPr>
  </w:style>
  <w:style w:type="paragraph" w:customStyle="1" w:styleId="Headingi">
    <w:name w:val="Heading_i"/>
    <w:basedOn w:val="Normal"/>
    <w:qFormat/>
    <w:rsid w:val="00F974C5"/>
    <w:pPr>
      <w:keepNext/>
      <w:keepLines/>
      <w:spacing w:before="160"/>
    </w:pPr>
    <w:rPr>
      <w:i/>
      <w:iCs/>
    </w:rPr>
  </w:style>
  <w:style w:type="paragraph" w:customStyle="1" w:styleId="AgendaItem">
    <w:name w:val="Agenda Item"/>
    <w:basedOn w:val="Normal"/>
    <w:qFormat/>
    <w:rsid w:val="00F974C5"/>
    <w:pPr>
      <w:spacing w:before="360"/>
      <w:jc w:val="center"/>
    </w:pPr>
    <w:rPr>
      <w:sz w:val="26"/>
      <w:szCs w:val="26"/>
      <w:lang w:bidi="ar-SY"/>
    </w:rPr>
  </w:style>
  <w:style w:type="paragraph" w:customStyle="1" w:styleId="AnnexNo">
    <w:name w:val="Annex_No"/>
    <w:basedOn w:val="AgendaItem"/>
    <w:qFormat/>
    <w:rsid w:val="00F974C5"/>
  </w:style>
  <w:style w:type="paragraph" w:customStyle="1" w:styleId="Annextitle">
    <w:name w:val="Annex_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_No"/>
    <w:basedOn w:val="Normal"/>
    <w:qFormat/>
    <w:rsid w:val="00F974C5"/>
    <w:pPr>
      <w:keepNext/>
      <w:keepLines/>
      <w:spacing w:before="360"/>
      <w:jc w:val="center"/>
    </w:pPr>
    <w:rPr>
      <w:sz w:val="26"/>
      <w:szCs w:val="26"/>
      <w:lang w:bidi="ar-SY"/>
    </w:rPr>
  </w:style>
  <w:style w:type="paragraph" w:customStyle="1" w:styleId="Appendixtitle">
    <w:name w:val="Appendix_title"/>
    <w:basedOn w:val="Normal"/>
    <w:qFormat/>
    <w:rsid w:val="00F974C5"/>
    <w:pPr>
      <w:keepNext/>
      <w:keepLines/>
      <w:spacing w:after="360"/>
      <w:jc w:val="center"/>
    </w:pPr>
    <w:rPr>
      <w:b/>
      <w:bCs/>
      <w:sz w:val="28"/>
      <w:szCs w:val="28"/>
    </w:rPr>
  </w:style>
  <w:style w:type="paragraph" w:customStyle="1" w:styleId="ArticleNo">
    <w:name w:val="Article_No"/>
    <w:basedOn w:val="Normal"/>
    <w:qFormat/>
    <w:rsid w:val="00F974C5"/>
    <w:pPr>
      <w:keepNext/>
      <w:keepLines/>
      <w:spacing w:after="360"/>
      <w:jc w:val="center"/>
    </w:pPr>
    <w:rPr>
      <w:sz w:val="26"/>
      <w:szCs w:val="26"/>
      <w:lang w:bidi="ar-SY"/>
    </w:rPr>
  </w:style>
  <w:style w:type="paragraph" w:customStyle="1" w:styleId="Articletitle">
    <w:name w:val="Article_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_No"/>
    <w:basedOn w:val="Normal"/>
    <w:qFormat/>
    <w:rsid w:val="00F974C5"/>
    <w:pPr>
      <w:keepNext/>
      <w:keepLines/>
      <w:spacing w:before="600"/>
      <w:jc w:val="center"/>
    </w:pPr>
    <w:rPr>
      <w:sz w:val="28"/>
      <w:szCs w:val="28"/>
      <w:lang w:bidi="ar-SY"/>
    </w:rPr>
  </w:style>
  <w:style w:type="paragraph" w:customStyle="1" w:styleId="Chaptertitle">
    <w:name w:val="Chapter_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1"/>
    <w:basedOn w:val="Normal"/>
    <w:qFormat/>
    <w:rsid w:val="00C67ABB"/>
    <w:pPr>
      <w:spacing w:before="80" w:after="80"/>
      <w:ind w:left="794" w:hanging="794"/>
    </w:pPr>
    <w:rPr>
      <w:lang w:bidi="ar-SY"/>
    </w:rPr>
  </w:style>
  <w:style w:type="paragraph" w:customStyle="1" w:styleId="enumlev2">
    <w:name w:val="enumlev2"/>
    <w:basedOn w:val="Normal"/>
    <w:next w:val="enumlev1"/>
    <w:qFormat/>
    <w:rsid w:val="00C67ABB"/>
    <w:pPr>
      <w:spacing w:before="80" w:after="80"/>
      <w:ind w:left="1588" w:hanging="794"/>
    </w:pPr>
  </w:style>
  <w:style w:type="paragraph" w:customStyle="1" w:styleId="enumlev3">
    <w:name w:val="enumlev3"/>
    <w:basedOn w:val="Normal"/>
    <w:qFormat/>
    <w:rsid w:val="00C67ABB"/>
    <w:pPr>
      <w:spacing w:before="80" w:after="80"/>
      <w:ind w:left="2382" w:hanging="794"/>
    </w:pPr>
    <w:rPr>
      <w:lang w:bidi="ar-SY"/>
    </w:rPr>
  </w:style>
  <w:style w:type="paragraph" w:customStyle="1" w:styleId="Figurelegend">
    <w:name w:val="Figure_legend"/>
    <w:basedOn w:val="Normal"/>
    <w:qFormat/>
    <w:rsid w:val="008850F5"/>
    <w:pPr>
      <w:spacing w:before="60"/>
      <w:jc w:val="center"/>
    </w:pPr>
    <w:rPr>
      <w:i/>
      <w:iCs/>
      <w:sz w:val="18"/>
      <w:szCs w:val="18"/>
      <w:lang w:bidi="ar-SY"/>
    </w:rPr>
  </w:style>
  <w:style w:type="paragraph" w:styleId="FootnoteText">
    <w:name w:val="footnote text"/>
    <w:basedOn w:val="Normal"/>
    <w:link w:val="FootnoteTextChar"/>
    <w:unhideWhenUsed/>
    <w:qFormat/>
    <w:rsid w:val="002E6541"/>
    <w:pPr>
      <w:spacing w:before="60" w:line="168" w:lineRule="auto"/>
    </w:pPr>
    <w:rPr>
      <w:sz w:val="20"/>
      <w:szCs w:val="26"/>
    </w:rPr>
  </w:style>
  <w:style w:type="character" w:styleId="FootnoteReference">
    <w:name w:val="footnote reference"/>
    <w:aliases w:val="Footnote_Reference"/>
    <w:basedOn w:val="DefaultParagraphFont"/>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_No"/>
    <w:basedOn w:val="Normal"/>
    <w:qFormat/>
    <w:rsid w:val="00F974C5"/>
    <w:pPr>
      <w:keepNext/>
      <w:keepLines/>
      <w:spacing w:before="360"/>
      <w:jc w:val="center"/>
    </w:pPr>
    <w:rPr>
      <w:sz w:val="26"/>
      <w:szCs w:val="26"/>
    </w:rPr>
  </w:style>
  <w:style w:type="paragraph" w:customStyle="1" w:styleId="Parttitle">
    <w:name w:val="Part_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_1"/>
    <w:basedOn w:val="Normal"/>
    <w:qFormat/>
    <w:rsid w:val="00F974C5"/>
    <w:pPr>
      <w:keepNext/>
      <w:spacing w:before="360" w:after="240"/>
      <w:jc w:val="center"/>
    </w:pPr>
    <w:rPr>
      <w:b/>
      <w:bCs/>
      <w:sz w:val="26"/>
      <w:szCs w:val="26"/>
      <w:lang w:bidi="ar-SY"/>
    </w:rPr>
  </w:style>
  <w:style w:type="paragraph" w:customStyle="1" w:styleId="Section2">
    <w:name w:val="Section_2"/>
    <w:basedOn w:val="Section1"/>
    <w:qFormat/>
    <w:rsid w:val="00F974C5"/>
    <w:pPr>
      <w:spacing w:before="240"/>
    </w:pPr>
    <w:rPr>
      <w:b w:val="0"/>
      <w:bCs w:val="0"/>
    </w:rPr>
  </w:style>
  <w:style w:type="paragraph" w:customStyle="1" w:styleId="SectionNo">
    <w:name w:val="Section_No"/>
    <w:basedOn w:val="Normal"/>
    <w:qFormat/>
    <w:rsid w:val="00F974C5"/>
    <w:pPr>
      <w:keepNext/>
      <w:keepLines/>
      <w:spacing w:before="36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jc w:val="center"/>
    </w:pPr>
    <w:rPr>
      <w:b/>
      <w:bCs/>
      <w:sz w:val="32"/>
      <w:szCs w:val="32"/>
    </w:rPr>
  </w:style>
  <w:style w:type="paragraph" w:customStyle="1" w:styleId="FigureNo">
    <w:name w:val="Figure_No"/>
    <w:basedOn w:val="Normal"/>
    <w:qFormat/>
    <w:rsid w:val="00F974C5"/>
    <w:pPr>
      <w:keepNext/>
      <w:spacing w:before="240"/>
      <w:jc w:val="center"/>
    </w:pPr>
    <w:rPr>
      <w:lang w:bidi="ar-SY"/>
    </w:rPr>
  </w:style>
  <w:style w:type="paragraph" w:customStyle="1" w:styleId="Figuretitle">
    <w:name w:val="Figure_title"/>
    <w:basedOn w:val="Normal"/>
    <w:qFormat/>
    <w:rsid w:val="00F974C5"/>
    <w:pPr>
      <w:keepNext/>
      <w:spacing w:after="240"/>
      <w:jc w:val="center"/>
    </w:pPr>
    <w:rPr>
      <w:b/>
      <w:bCs/>
    </w:rPr>
  </w:style>
  <w:style w:type="paragraph" w:customStyle="1" w:styleId="TableNo">
    <w:name w:val="Table_No"/>
    <w:basedOn w:val="Normal"/>
    <w:qFormat/>
    <w:rsid w:val="00F974C5"/>
    <w:pPr>
      <w:keepNext/>
      <w:spacing w:before="240"/>
      <w:jc w:val="center"/>
    </w:pPr>
    <w:rPr>
      <w:lang w:bidi="ar-SY"/>
    </w:rPr>
  </w:style>
  <w:style w:type="paragraph" w:customStyle="1" w:styleId="Tabletitle">
    <w:name w:val="Table_title"/>
    <w:basedOn w:val="TableNo"/>
    <w:qFormat/>
    <w:rsid w:val="00F974C5"/>
    <w:pPr>
      <w:spacing w:before="120" w:after="240"/>
    </w:pPr>
    <w:rPr>
      <w:b/>
      <w:bCs/>
    </w:rPr>
  </w:style>
  <w:style w:type="paragraph" w:customStyle="1" w:styleId="Tablehead">
    <w:name w:val="Table_head"/>
    <w:basedOn w:val="Normal"/>
    <w:qFormat/>
    <w:rsid w:val="00F974C5"/>
    <w:pPr>
      <w:keepNext/>
      <w:spacing w:before="60" w:after="60" w:line="260" w:lineRule="exact"/>
      <w:jc w:val="center"/>
    </w:pPr>
    <w:rPr>
      <w:b/>
      <w:bCs/>
      <w:sz w:val="20"/>
      <w:szCs w:val="20"/>
    </w:rPr>
  </w:style>
  <w:style w:type="paragraph" w:customStyle="1" w:styleId="Tabletexte">
    <w:name w:val="Table_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00721"/>
    <w:pPr>
      <w:tabs>
        <w:tab w:val="clear" w:pos="794"/>
        <w:tab w:val="left" w:pos="567"/>
        <w:tab w:val="left" w:leader="dot" w:pos="8505"/>
        <w:tab w:val="right" w:pos="9072"/>
      </w:tabs>
      <w:spacing w:before="80" w:after="80"/>
      <w:ind w:left="567" w:hanging="567"/>
    </w:pPr>
  </w:style>
  <w:style w:type="paragraph" w:styleId="TOC2">
    <w:name w:val="toc 2"/>
    <w:basedOn w:val="Normal"/>
    <w:next w:val="Normal"/>
    <w:autoRedefine/>
    <w:uiPriority w:val="39"/>
    <w:unhideWhenUsed/>
    <w:rsid w:val="00481268"/>
    <w:pPr>
      <w:tabs>
        <w:tab w:val="clear" w:pos="794"/>
        <w:tab w:val="left" w:pos="1134"/>
        <w:tab w:val="left" w:leader="dot" w:pos="8505"/>
        <w:tab w:val="right" w:pos="9072"/>
      </w:tabs>
      <w:spacing w:before="80" w:after="80"/>
      <w:ind w:left="1134" w:right="567" w:hanging="567"/>
    </w:pPr>
    <w:rPr>
      <w:spacing w:val="2"/>
    </w:rPr>
  </w:style>
  <w:style w:type="paragraph" w:styleId="TOC3">
    <w:name w:val="toc 3"/>
    <w:basedOn w:val="Normal"/>
    <w:next w:val="Normal"/>
    <w:autoRedefine/>
    <w:uiPriority w:val="39"/>
    <w:unhideWhenUsed/>
    <w:rsid w:val="00F00721"/>
    <w:pPr>
      <w:tabs>
        <w:tab w:val="clear" w:pos="794"/>
        <w:tab w:val="left" w:pos="1701"/>
        <w:tab w:val="left" w:leader="dot" w:pos="8505"/>
        <w:tab w:val="right" w:pos="9072"/>
      </w:tabs>
      <w:spacing w:before="80" w:after="80"/>
      <w:ind w:left="1701" w:right="567" w:hanging="567"/>
    </w:pPr>
  </w:style>
  <w:style w:type="paragraph" w:styleId="TOC4">
    <w:name w:val="toc 4"/>
    <w:basedOn w:val="Normal"/>
    <w:next w:val="Normal"/>
    <w:autoRedefine/>
    <w:unhideWhenUsed/>
    <w:rsid w:val="0023283D"/>
    <w:pPr>
      <w:ind w:left="3045" w:hanging="720"/>
    </w:pPr>
  </w:style>
  <w:style w:type="paragraph" w:styleId="TOC5">
    <w:name w:val="toc 5"/>
    <w:basedOn w:val="Normal"/>
    <w:next w:val="Normal"/>
    <w:autoRedefine/>
    <w:unhideWhenUsed/>
    <w:rsid w:val="0023283D"/>
    <w:pPr>
      <w:ind w:left="3782" w:hanging="720"/>
    </w:pPr>
  </w:style>
  <w:style w:type="paragraph" w:styleId="TOC6">
    <w:name w:val="toc 6"/>
    <w:basedOn w:val="Normal"/>
    <w:next w:val="Normal"/>
    <w:autoRedefine/>
    <w:unhideWhenUsed/>
    <w:rsid w:val="0023283D"/>
    <w:pPr>
      <w:ind w:left="4519" w:hanging="720"/>
    </w:pPr>
  </w:style>
  <w:style w:type="paragraph" w:styleId="TOC7">
    <w:name w:val="toc 7"/>
    <w:basedOn w:val="Normal"/>
    <w:next w:val="Normal"/>
    <w:autoRedefine/>
    <w:unhideWhenUsed/>
    <w:rsid w:val="0023283D"/>
    <w:pPr>
      <w:ind w:left="5256" w:hanging="720"/>
    </w:pPr>
  </w:style>
  <w:style w:type="paragraph" w:styleId="TOC8">
    <w:name w:val="toc 8"/>
    <w:basedOn w:val="Normal"/>
    <w:next w:val="Normal"/>
    <w:autoRedefine/>
    <w:unhideWhenUsed/>
    <w:rsid w:val="0023283D"/>
    <w:pPr>
      <w:ind w:left="6050" w:hanging="720"/>
    </w:pPr>
    <w:rPr>
      <w:lang w:bidi="ar-SY"/>
    </w:rPr>
  </w:style>
  <w:style w:type="paragraph" w:styleId="TOC9">
    <w:name w:val="toc 9"/>
    <w:basedOn w:val="Normal"/>
    <w:next w:val="Normal"/>
    <w:autoRedefine/>
    <w:unhideWhenUsed/>
    <w:rsid w:val="0023283D"/>
    <w:pPr>
      <w:ind w:left="6787" w:hanging="720"/>
    </w:pPr>
  </w:style>
  <w:style w:type="paragraph" w:customStyle="1" w:styleId="VolumeNo">
    <w:name w:val="Volume_No"/>
    <w:basedOn w:val="Normal"/>
    <w:qFormat/>
    <w:rsid w:val="00F974C5"/>
    <w:pPr>
      <w:keepNext/>
      <w:spacing w:before="360"/>
      <w:jc w:val="center"/>
    </w:pPr>
    <w:rPr>
      <w:sz w:val="26"/>
      <w:szCs w:val="26"/>
      <w:lang w:bidi="ar-SY"/>
    </w:rPr>
  </w:style>
  <w:style w:type="paragraph" w:customStyle="1" w:styleId="Volumetitle">
    <w:name w:val="Volume_title"/>
    <w:basedOn w:val="VolumeNo"/>
    <w:qFormat/>
    <w:rsid w:val="00F974C5"/>
    <w:pPr>
      <w:spacing w:before="120" w:after="360"/>
    </w:pPr>
    <w:rPr>
      <w:b/>
      <w:bCs/>
      <w:sz w:val="28"/>
      <w:szCs w:val="28"/>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_No"/>
    <w:basedOn w:val="Normal"/>
    <w:qFormat/>
    <w:rsid w:val="00F974C5"/>
    <w:pPr>
      <w:keepNext/>
      <w:keepLines/>
      <w:spacing w:before="360"/>
      <w:jc w:val="center"/>
    </w:pPr>
    <w:rPr>
      <w:sz w:val="26"/>
      <w:szCs w:val="26"/>
    </w:rPr>
  </w:style>
  <w:style w:type="paragraph" w:customStyle="1" w:styleId="Opiniontitle">
    <w:name w:val="Opinion_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rsid w:val="00F974C5"/>
    <w:rPr>
      <w:rFonts w:ascii="Dubai" w:hAnsi="Dubai" w:cs="Dubai"/>
    </w:rPr>
  </w:style>
  <w:style w:type="character" w:styleId="Hyperlink">
    <w:name w:val="Hyperlink"/>
    <w:basedOn w:val="DefaultParagraphFont"/>
    <w:uiPriority w:val="99"/>
    <w:unhideWhenUsed/>
    <w:rsid w:val="0096716C"/>
    <w:rPr>
      <w:rFonts w:ascii="Dubai" w:hAnsi="Dubai" w:cs="Dubai"/>
      <w:noProof/>
      <w:color w:val="5B9BD5"/>
      <w:u w:val="single" w:color="5B9BD5"/>
      <w:lang w:val="en-GB" w:eastAsia="en-US"/>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rsid w:val="007C3BC7"/>
    <w:rPr>
      <w:i/>
      <w:iCs/>
      <w:color w:val="FF0000"/>
    </w:rPr>
  </w:style>
  <w:style w:type="paragraph" w:customStyle="1" w:styleId="Footnotetexte">
    <w:name w:val="Footnote_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qFormat/>
    <w:rsid w:val="007C3BC7"/>
    <w:rPr>
      <w:i/>
      <w:iCs/>
      <w:color w:val="FF0000"/>
    </w:rPr>
  </w:style>
  <w:style w:type="paragraph" w:styleId="IntenseQuote">
    <w:name w:val="Intense Quote"/>
    <w:basedOn w:val="Normal"/>
    <w:next w:val="Normal"/>
    <w:link w:val="IntenseQuoteChar"/>
    <w:uiPriority w:val="30"/>
    <w:qFormat/>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qFormat/>
    <w:rsid w:val="007C3BC7"/>
    <w:rPr>
      <w:b/>
      <w:bCs/>
      <w:smallCaps/>
      <w:color w:val="FF0000"/>
      <w:spacing w:val="5"/>
    </w:rPr>
  </w:style>
  <w:style w:type="paragraph" w:styleId="ListParagraph">
    <w:name w:val="List Paragraph"/>
    <w:basedOn w:val="Normal"/>
    <w:qFormat/>
    <w:rsid w:val="00F974C5"/>
    <w:pPr>
      <w:spacing w:before="80"/>
      <w:ind w:left="720"/>
      <w:contextualSpacing/>
    </w:pPr>
  </w:style>
  <w:style w:type="paragraph" w:styleId="Quote">
    <w:name w:val="Quote"/>
    <w:basedOn w:val="Normal"/>
    <w:next w:val="Normal"/>
    <w:link w:val="QuoteChar"/>
    <w:uiPriority w:val="29"/>
    <w:qFormat/>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qFormat/>
    <w:rsid w:val="007C3BC7"/>
    <w:rPr>
      <w:b/>
      <w:bCs/>
      <w:color w:val="FF0000"/>
    </w:rPr>
  </w:style>
  <w:style w:type="paragraph" w:styleId="Subtitle">
    <w:name w:val="Subtitle"/>
    <w:basedOn w:val="Normal"/>
    <w:next w:val="Normal"/>
    <w:link w:val="SubtitleChar"/>
    <w:uiPriority w:val="11"/>
    <w:qFormat/>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_legend"/>
    <w:basedOn w:val="Normal"/>
    <w:qFormat/>
    <w:rsid w:val="00203449"/>
    <w:pPr>
      <w:spacing w:before="80" w:after="80"/>
    </w:pPr>
    <w:rPr>
      <w:i/>
      <w:iCs/>
      <w:sz w:val="20"/>
      <w:szCs w:val="20"/>
      <w:lang w:bidi="ar-SY"/>
    </w:rPr>
  </w:style>
  <w:style w:type="paragraph" w:customStyle="1" w:styleId="Headingb">
    <w:name w:val="Heading_b"/>
    <w:basedOn w:val="Normal"/>
    <w:qFormat/>
    <w:rsid w:val="002E6967"/>
    <w:pPr>
      <w:keepNext/>
      <w:spacing w:before="240"/>
    </w:pPr>
    <w:rPr>
      <w:b/>
      <w:bCs/>
      <w:sz w:val="24"/>
      <w:szCs w:val="24"/>
    </w:rPr>
  </w:style>
  <w:style w:type="table" w:styleId="GridTable5Dark-Accent1">
    <w:name w:val="Grid Table 5 Dark Accent 1"/>
    <w:basedOn w:val="TableNormal"/>
    <w:uiPriority w:val="50"/>
    <w:rsid w:val="00E61BE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Subtitle0">
    <w:name w:val="Sub_title"/>
    <w:basedOn w:val="Normal"/>
    <w:qFormat/>
    <w:rsid w:val="007B0AA0"/>
    <w:rPr>
      <w:sz w:val="30"/>
      <w:szCs w:val="30"/>
      <w:lang w:bidi="ar-EG"/>
    </w:rPr>
  </w:style>
  <w:style w:type="table" w:customStyle="1" w:styleId="TableGrid1">
    <w:name w:val="Table Grid1"/>
    <w:basedOn w:val="TableNormal"/>
    <w:next w:val="TableGrid"/>
    <w:uiPriority w:val="39"/>
    <w:rsid w:val="007B0AA0"/>
    <w:pPr>
      <w:spacing w:after="0" w:line="240" w:lineRule="auto"/>
    </w:pPr>
    <w:rPr>
      <w:rFonts w:eastAsia="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nhideWhenUsed/>
    <w:rsid w:val="00660DEA"/>
    <w:rPr>
      <w:color w:val="605E5C"/>
      <w:shd w:val="clear" w:color="auto" w:fill="E1DFDD"/>
    </w:rPr>
  </w:style>
  <w:style w:type="character" w:styleId="FollowedHyperlink">
    <w:name w:val="FollowedHyperlink"/>
    <w:basedOn w:val="DefaultParagraphFont"/>
    <w:unhideWhenUsed/>
    <w:rsid w:val="000116AF"/>
    <w:rPr>
      <w:color w:val="954F72" w:themeColor="followedHyperlink"/>
      <w:u w:val="single"/>
    </w:rPr>
  </w:style>
  <w:style w:type="paragraph" w:styleId="Title">
    <w:name w:val="Title"/>
    <w:basedOn w:val="Normal"/>
    <w:next w:val="Normal"/>
    <w:link w:val="TitleChar"/>
    <w:uiPriority w:val="10"/>
    <w:qFormat/>
    <w:rsid w:val="00621959"/>
    <w:pPr>
      <w:tabs>
        <w:tab w:val="clear" w:pos="794"/>
        <w:tab w:val="left" w:pos="567"/>
        <w:tab w:val="left" w:pos="1134"/>
        <w:tab w:val="left" w:pos="1701"/>
        <w:tab w:val="left" w:pos="2268"/>
        <w:tab w:val="left" w:pos="2835"/>
      </w:tabs>
      <w:overflowPunct w:val="0"/>
      <w:autoSpaceDE w:val="0"/>
      <w:autoSpaceDN w:val="0"/>
      <w:bidi w:val="0"/>
      <w:adjustRightInd w:val="0"/>
      <w:spacing w:after="80" w:line="240" w:lineRule="auto"/>
      <w:contextualSpacing/>
      <w:jc w:val="left"/>
      <w:textAlignment w:val="baseline"/>
    </w:pPr>
    <w:rPr>
      <w:rFonts w:asciiTheme="majorHAnsi" w:eastAsiaTheme="majorEastAsia" w:hAnsiTheme="majorHAnsi" w:cstheme="majorBidi"/>
      <w:spacing w:val="-10"/>
      <w:kern w:val="28"/>
      <w:sz w:val="56"/>
      <w:szCs w:val="56"/>
      <w:lang w:val="en-GB" w:eastAsia="en-US"/>
    </w:rPr>
  </w:style>
  <w:style w:type="character" w:customStyle="1" w:styleId="TitleChar">
    <w:name w:val="Title Char"/>
    <w:basedOn w:val="DefaultParagraphFont"/>
    <w:link w:val="Title"/>
    <w:uiPriority w:val="10"/>
    <w:rsid w:val="00621959"/>
    <w:rPr>
      <w:rFonts w:asciiTheme="majorHAnsi" w:eastAsiaTheme="majorEastAsia" w:hAnsiTheme="majorHAnsi" w:cstheme="majorBidi"/>
      <w:spacing w:val="-10"/>
      <w:kern w:val="28"/>
      <w:sz w:val="56"/>
      <w:szCs w:val="56"/>
      <w:lang w:val="en-GB" w:eastAsia="en-US"/>
    </w:rPr>
  </w:style>
  <w:style w:type="paragraph" w:styleId="Index7">
    <w:name w:val="index 7"/>
    <w:basedOn w:val="Normal"/>
    <w:next w:val="Normal"/>
    <w:rsid w:val="00621959"/>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ind w:left="1698"/>
      <w:jc w:val="left"/>
      <w:textAlignment w:val="baseline"/>
    </w:pPr>
    <w:rPr>
      <w:rFonts w:ascii="Calibri" w:eastAsia="Times New Roman" w:hAnsi="Calibri" w:cs="Times New Roman"/>
      <w:sz w:val="24"/>
      <w:szCs w:val="20"/>
      <w:lang w:val="en-GB" w:eastAsia="en-US"/>
    </w:rPr>
  </w:style>
  <w:style w:type="paragraph" w:styleId="Index6">
    <w:name w:val="index 6"/>
    <w:basedOn w:val="Normal"/>
    <w:next w:val="Normal"/>
    <w:rsid w:val="00621959"/>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ind w:left="1415"/>
      <w:jc w:val="left"/>
      <w:textAlignment w:val="baseline"/>
    </w:pPr>
    <w:rPr>
      <w:rFonts w:ascii="Calibri" w:eastAsia="Times New Roman" w:hAnsi="Calibri" w:cs="Times New Roman"/>
      <w:sz w:val="24"/>
      <w:szCs w:val="20"/>
      <w:lang w:val="en-GB" w:eastAsia="en-US"/>
    </w:rPr>
  </w:style>
  <w:style w:type="paragraph" w:styleId="Index5">
    <w:name w:val="index 5"/>
    <w:basedOn w:val="Normal"/>
    <w:next w:val="Normal"/>
    <w:rsid w:val="00621959"/>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ind w:left="1132"/>
      <w:jc w:val="left"/>
      <w:textAlignment w:val="baseline"/>
    </w:pPr>
    <w:rPr>
      <w:rFonts w:ascii="Calibri" w:eastAsia="Times New Roman" w:hAnsi="Calibri" w:cs="Times New Roman"/>
      <w:sz w:val="24"/>
      <w:szCs w:val="20"/>
      <w:lang w:val="en-GB" w:eastAsia="en-US"/>
    </w:rPr>
  </w:style>
  <w:style w:type="paragraph" w:styleId="Index4">
    <w:name w:val="index 4"/>
    <w:basedOn w:val="Normal"/>
    <w:next w:val="Normal"/>
    <w:rsid w:val="00621959"/>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ind w:left="849"/>
      <w:jc w:val="left"/>
      <w:textAlignment w:val="baseline"/>
    </w:pPr>
    <w:rPr>
      <w:rFonts w:ascii="Calibri" w:eastAsia="Times New Roman" w:hAnsi="Calibri" w:cs="Times New Roman"/>
      <w:sz w:val="24"/>
      <w:szCs w:val="20"/>
      <w:lang w:val="en-GB" w:eastAsia="en-US"/>
    </w:rPr>
  </w:style>
  <w:style w:type="paragraph" w:styleId="Index3">
    <w:name w:val="index 3"/>
    <w:basedOn w:val="Normal"/>
    <w:next w:val="Normal"/>
    <w:rsid w:val="00621959"/>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ind w:left="566"/>
      <w:jc w:val="left"/>
      <w:textAlignment w:val="baseline"/>
    </w:pPr>
    <w:rPr>
      <w:rFonts w:ascii="Calibri" w:eastAsia="Times New Roman" w:hAnsi="Calibri" w:cs="Times New Roman"/>
      <w:sz w:val="24"/>
      <w:szCs w:val="20"/>
      <w:lang w:val="en-GB" w:eastAsia="en-US"/>
    </w:rPr>
  </w:style>
  <w:style w:type="paragraph" w:styleId="Index2">
    <w:name w:val="index 2"/>
    <w:basedOn w:val="Normal"/>
    <w:next w:val="Normal"/>
    <w:rsid w:val="00621959"/>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ind w:left="283"/>
      <w:jc w:val="left"/>
      <w:textAlignment w:val="baseline"/>
    </w:pPr>
    <w:rPr>
      <w:rFonts w:ascii="Calibri" w:eastAsia="Times New Roman" w:hAnsi="Calibri" w:cs="Times New Roman"/>
      <w:sz w:val="24"/>
      <w:szCs w:val="20"/>
      <w:lang w:val="en-GB" w:eastAsia="en-US"/>
    </w:rPr>
  </w:style>
  <w:style w:type="paragraph" w:styleId="Index1">
    <w:name w:val="index 1"/>
    <w:basedOn w:val="Normal"/>
    <w:next w:val="Normal"/>
    <w:rsid w:val="00621959"/>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jc w:val="left"/>
      <w:textAlignment w:val="baseline"/>
    </w:pPr>
    <w:rPr>
      <w:rFonts w:ascii="Calibri" w:eastAsia="Times New Roman" w:hAnsi="Calibri" w:cs="Times New Roman"/>
      <w:sz w:val="24"/>
      <w:szCs w:val="20"/>
      <w:lang w:val="en-GB" w:eastAsia="en-US"/>
    </w:rPr>
  </w:style>
  <w:style w:type="character" w:styleId="LineNumber">
    <w:name w:val="line number"/>
    <w:basedOn w:val="DefaultParagraphFont"/>
    <w:rsid w:val="00621959"/>
    <w:rPr>
      <w:rFonts w:asciiTheme="minorHAnsi" w:hAnsiTheme="minorHAnsi"/>
      <w:sz w:val="24"/>
    </w:rPr>
  </w:style>
  <w:style w:type="paragraph" w:styleId="IndexHeading">
    <w:name w:val="index heading"/>
    <w:basedOn w:val="Normal"/>
    <w:next w:val="Index1"/>
    <w:rsid w:val="00621959"/>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jc w:val="left"/>
      <w:textAlignment w:val="baseline"/>
    </w:pPr>
    <w:rPr>
      <w:rFonts w:ascii="Calibri" w:eastAsia="Times New Roman" w:hAnsi="Calibri" w:cs="Times New Roman"/>
      <w:sz w:val="24"/>
      <w:szCs w:val="20"/>
      <w:lang w:val="en-GB" w:eastAsia="en-US"/>
    </w:rPr>
  </w:style>
  <w:style w:type="paragraph" w:styleId="NormalIndent">
    <w:name w:val="Normal Indent"/>
    <w:basedOn w:val="Normal"/>
    <w:rsid w:val="00621959"/>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ind w:left="567"/>
      <w:jc w:val="left"/>
      <w:textAlignment w:val="baseline"/>
    </w:pPr>
    <w:rPr>
      <w:rFonts w:ascii="Calibri" w:eastAsia="Times New Roman" w:hAnsi="Calibri" w:cs="Times New Roman"/>
      <w:sz w:val="24"/>
      <w:szCs w:val="20"/>
      <w:lang w:val="en-GB" w:eastAsia="en-US"/>
    </w:rPr>
  </w:style>
  <w:style w:type="paragraph" w:customStyle="1" w:styleId="Head">
    <w:name w:val="Head"/>
    <w:basedOn w:val="Normal"/>
    <w:rsid w:val="00621959"/>
    <w:pPr>
      <w:tabs>
        <w:tab w:val="clear" w:pos="794"/>
        <w:tab w:val="left" w:pos="567"/>
        <w:tab w:val="left" w:pos="1134"/>
        <w:tab w:val="left" w:pos="1701"/>
        <w:tab w:val="left" w:pos="2268"/>
        <w:tab w:val="left" w:pos="2835"/>
        <w:tab w:val="left" w:pos="6663"/>
      </w:tabs>
      <w:bidi w:val="0"/>
      <w:spacing w:before="0" w:after="0" w:line="240" w:lineRule="auto"/>
      <w:jc w:val="left"/>
    </w:pPr>
    <w:rPr>
      <w:rFonts w:ascii="Calibri" w:eastAsia="Times New Roman" w:hAnsi="Calibri" w:cs="Times New Roman"/>
      <w:sz w:val="24"/>
      <w:szCs w:val="20"/>
      <w:lang w:val="en-GB" w:eastAsia="en-US"/>
    </w:rPr>
  </w:style>
  <w:style w:type="paragraph" w:customStyle="1" w:styleId="toc0">
    <w:name w:val="toc 0"/>
    <w:basedOn w:val="Normal"/>
    <w:next w:val="TOC1"/>
    <w:rsid w:val="00621959"/>
    <w:pPr>
      <w:tabs>
        <w:tab w:val="clear" w:pos="794"/>
        <w:tab w:val="right" w:pos="9781"/>
      </w:tabs>
      <w:overflowPunct w:val="0"/>
      <w:autoSpaceDE w:val="0"/>
      <w:autoSpaceDN w:val="0"/>
      <w:bidi w:val="0"/>
      <w:adjustRightInd w:val="0"/>
      <w:spacing w:after="0" w:line="240" w:lineRule="auto"/>
      <w:jc w:val="left"/>
      <w:textAlignment w:val="baseline"/>
    </w:pPr>
    <w:rPr>
      <w:rFonts w:ascii="Calibri" w:eastAsia="Times New Roman" w:hAnsi="Calibri" w:cs="Times New Roman"/>
      <w:b/>
      <w:sz w:val="24"/>
      <w:szCs w:val="20"/>
      <w:lang w:val="en-GB" w:eastAsia="en-US"/>
    </w:rPr>
  </w:style>
  <w:style w:type="paragraph" w:styleId="List">
    <w:name w:val="List"/>
    <w:basedOn w:val="Normal"/>
    <w:rsid w:val="00621959"/>
    <w:pPr>
      <w:tabs>
        <w:tab w:val="clear" w:pos="794"/>
        <w:tab w:val="left" w:pos="567"/>
        <w:tab w:val="left" w:pos="1134"/>
        <w:tab w:val="left" w:pos="1701"/>
        <w:tab w:val="left" w:pos="2127"/>
        <w:tab w:val="left" w:pos="2268"/>
        <w:tab w:val="left" w:pos="2835"/>
      </w:tabs>
      <w:overflowPunct w:val="0"/>
      <w:autoSpaceDE w:val="0"/>
      <w:autoSpaceDN w:val="0"/>
      <w:bidi w:val="0"/>
      <w:adjustRightInd w:val="0"/>
      <w:spacing w:after="0" w:line="240" w:lineRule="auto"/>
      <w:ind w:left="2127" w:hanging="2127"/>
      <w:jc w:val="left"/>
      <w:textAlignment w:val="baseline"/>
    </w:pPr>
    <w:rPr>
      <w:rFonts w:ascii="Calibri" w:eastAsia="Times New Roman" w:hAnsi="Calibri" w:cs="Times New Roman"/>
      <w:sz w:val="24"/>
      <w:szCs w:val="20"/>
      <w:lang w:val="en-GB" w:eastAsia="en-US"/>
    </w:rPr>
  </w:style>
  <w:style w:type="paragraph" w:customStyle="1" w:styleId="Part">
    <w:name w:val="Part"/>
    <w:basedOn w:val="Normal"/>
    <w:next w:val="Normal"/>
    <w:rsid w:val="00621959"/>
    <w:pPr>
      <w:tabs>
        <w:tab w:val="clear" w:pos="794"/>
      </w:tabs>
      <w:overflowPunct w:val="0"/>
      <w:autoSpaceDE w:val="0"/>
      <w:autoSpaceDN w:val="0"/>
      <w:bidi w:val="0"/>
      <w:adjustRightInd w:val="0"/>
      <w:spacing w:before="600" w:after="0" w:line="240" w:lineRule="auto"/>
      <w:jc w:val="center"/>
      <w:textAlignment w:val="baseline"/>
    </w:pPr>
    <w:rPr>
      <w:rFonts w:ascii="Calibri" w:eastAsia="Times New Roman" w:hAnsi="Calibri" w:cs="Times New Roman"/>
      <w:caps/>
      <w:sz w:val="28"/>
      <w:szCs w:val="20"/>
      <w:lang w:val="en-GB" w:eastAsia="en-US"/>
    </w:rPr>
  </w:style>
  <w:style w:type="paragraph" w:customStyle="1" w:styleId="meeting">
    <w:name w:val="meeting"/>
    <w:basedOn w:val="Head"/>
    <w:next w:val="Head"/>
    <w:rsid w:val="00621959"/>
    <w:pPr>
      <w:tabs>
        <w:tab w:val="left" w:pos="7371"/>
      </w:tabs>
      <w:spacing w:after="567"/>
    </w:pPr>
  </w:style>
  <w:style w:type="paragraph" w:customStyle="1" w:styleId="Subject">
    <w:name w:val="Subject"/>
    <w:basedOn w:val="Normal"/>
    <w:next w:val="Source"/>
    <w:rsid w:val="00621959"/>
    <w:pPr>
      <w:tabs>
        <w:tab w:val="clear" w:pos="794"/>
        <w:tab w:val="left" w:pos="567"/>
        <w:tab w:val="left" w:pos="1134"/>
        <w:tab w:val="left" w:pos="1701"/>
        <w:tab w:val="left" w:pos="2268"/>
        <w:tab w:val="left" w:pos="2835"/>
      </w:tabs>
      <w:overflowPunct w:val="0"/>
      <w:autoSpaceDE w:val="0"/>
      <w:autoSpaceDN w:val="0"/>
      <w:bidi w:val="0"/>
      <w:adjustRightInd w:val="0"/>
      <w:spacing w:before="0" w:after="0" w:line="240" w:lineRule="auto"/>
      <w:ind w:left="1134" w:hanging="1134"/>
      <w:jc w:val="left"/>
      <w:textAlignment w:val="baseline"/>
    </w:pPr>
    <w:rPr>
      <w:rFonts w:ascii="Calibri" w:eastAsia="Times New Roman" w:hAnsi="Calibri" w:cs="Times New Roman"/>
      <w:sz w:val="24"/>
      <w:szCs w:val="20"/>
      <w:lang w:val="en-GB" w:eastAsia="en-US"/>
    </w:rPr>
  </w:style>
  <w:style w:type="paragraph" w:customStyle="1" w:styleId="Object">
    <w:name w:val="Object"/>
    <w:basedOn w:val="Subject"/>
    <w:next w:val="Subject"/>
    <w:rsid w:val="00621959"/>
  </w:style>
  <w:style w:type="paragraph" w:customStyle="1" w:styleId="Data">
    <w:name w:val="Data"/>
    <w:basedOn w:val="Subject"/>
    <w:next w:val="Subject"/>
    <w:rsid w:val="00621959"/>
  </w:style>
  <w:style w:type="paragraph" w:customStyle="1" w:styleId="FirstFooter">
    <w:name w:val="FirstFooter"/>
    <w:basedOn w:val="Footer"/>
    <w:rsid w:val="00621959"/>
    <w:pPr>
      <w:tabs>
        <w:tab w:val="clear" w:pos="794"/>
        <w:tab w:val="clear" w:pos="4153"/>
        <w:tab w:val="clear" w:pos="8306"/>
        <w:tab w:val="left" w:pos="5954"/>
        <w:tab w:val="right" w:pos="9639"/>
      </w:tabs>
      <w:overflowPunct w:val="0"/>
      <w:autoSpaceDE w:val="0"/>
      <w:autoSpaceDN w:val="0"/>
      <w:adjustRightInd w:val="0"/>
      <w:spacing w:after="0"/>
      <w:textAlignment w:val="baseline"/>
    </w:pPr>
    <w:rPr>
      <w:rFonts w:ascii="Calibri" w:hAnsi="Calibri" w:cs="Times New Roman"/>
      <w:noProof/>
      <w:sz w:val="16"/>
      <w:lang w:val="en-GB"/>
    </w:rPr>
  </w:style>
  <w:style w:type="paragraph" w:customStyle="1" w:styleId="Title4">
    <w:name w:val="Title 4"/>
    <w:basedOn w:val="Title3"/>
    <w:next w:val="Heading1"/>
    <w:rsid w:val="00621959"/>
    <w:pPr>
      <w:keepNext w:val="0"/>
      <w:framePr w:hSpace="181" w:wrap="around" w:vAnchor="page" w:hAnchor="page" w:x="1589" w:y="2314"/>
      <w:tabs>
        <w:tab w:val="clear" w:pos="794"/>
        <w:tab w:val="left" w:pos="567"/>
        <w:tab w:val="left" w:pos="1134"/>
        <w:tab w:val="left" w:pos="1701"/>
        <w:tab w:val="left" w:pos="2268"/>
        <w:tab w:val="left" w:pos="2835"/>
      </w:tabs>
      <w:overflowPunct w:val="0"/>
      <w:autoSpaceDE w:val="0"/>
      <w:autoSpaceDN w:val="0"/>
      <w:adjustRightInd w:val="0"/>
      <w:spacing w:after="0" w:line="240" w:lineRule="auto"/>
      <w:jc w:val="both"/>
      <w:textAlignment w:val="baseline"/>
    </w:pPr>
    <w:rPr>
      <w:rFonts w:eastAsia="Times New Roman"/>
      <w:bCs/>
      <w:sz w:val="28"/>
      <w:szCs w:val="28"/>
      <w:lang w:val="en-GB" w:eastAsia="en-US"/>
    </w:rPr>
  </w:style>
  <w:style w:type="paragraph" w:customStyle="1" w:styleId="dnum">
    <w:name w:val="dnum"/>
    <w:basedOn w:val="Normal"/>
    <w:rsid w:val="00621959"/>
    <w:pPr>
      <w:framePr w:hSpace="181" w:wrap="around" w:vAnchor="page" w:hAnchor="margin" w:y="852"/>
      <w:shd w:val="solid" w:color="FFFFFF" w:fill="FFFFFF"/>
      <w:tabs>
        <w:tab w:val="clear" w:pos="794"/>
        <w:tab w:val="left" w:pos="567"/>
        <w:tab w:val="left" w:pos="1134"/>
        <w:tab w:val="left" w:pos="1701"/>
        <w:tab w:val="left" w:pos="1871"/>
        <w:tab w:val="left" w:pos="2268"/>
        <w:tab w:val="left" w:pos="2835"/>
      </w:tabs>
      <w:overflowPunct w:val="0"/>
      <w:autoSpaceDE w:val="0"/>
      <w:autoSpaceDN w:val="0"/>
      <w:bidi w:val="0"/>
      <w:adjustRightInd w:val="0"/>
      <w:spacing w:after="0" w:line="240" w:lineRule="auto"/>
      <w:jc w:val="left"/>
      <w:textAlignment w:val="baseline"/>
    </w:pPr>
    <w:rPr>
      <w:rFonts w:ascii="Calibri" w:eastAsia="Times New Roman" w:hAnsi="Calibri" w:cs="Times New Roman"/>
      <w:b/>
      <w:bCs/>
      <w:sz w:val="24"/>
      <w:szCs w:val="20"/>
      <w:lang w:val="en-GB" w:eastAsia="en-US"/>
    </w:rPr>
  </w:style>
  <w:style w:type="paragraph" w:customStyle="1" w:styleId="ddate">
    <w:name w:val="ddate"/>
    <w:basedOn w:val="Normal"/>
    <w:rsid w:val="00621959"/>
    <w:pPr>
      <w:framePr w:hSpace="181" w:wrap="around" w:vAnchor="page" w:hAnchor="margin" w:y="852"/>
      <w:shd w:val="solid" w:color="FFFFFF" w:fill="FFFFFF"/>
      <w:tabs>
        <w:tab w:val="clear" w:pos="794"/>
        <w:tab w:val="left" w:pos="567"/>
        <w:tab w:val="left" w:pos="1134"/>
        <w:tab w:val="left" w:pos="1701"/>
        <w:tab w:val="left" w:pos="1871"/>
        <w:tab w:val="left" w:pos="2268"/>
        <w:tab w:val="left" w:pos="2835"/>
      </w:tabs>
      <w:overflowPunct w:val="0"/>
      <w:autoSpaceDE w:val="0"/>
      <w:autoSpaceDN w:val="0"/>
      <w:bidi w:val="0"/>
      <w:adjustRightInd w:val="0"/>
      <w:spacing w:before="0" w:after="0" w:line="240" w:lineRule="auto"/>
      <w:jc w:val="left"/>
      <w:textAlignment w:val="baseline"/>
    </w:pPr>
    <w:rPr>
      <w:rFonts w:ascii="Calibri" w:eastAsia="Times New Roman" w:hAnsi="Calibri" w:cs="Times New Roman"/>
      <w:b/>
      <w:bCs/>
      <w:sz w:val="24"/>
      <w:szCs w:val="20"/>
      <w:lang w:val="en-GB" w:eastAsia="en-US"/>
    </w:rPr>
  </w:style>
  <w:style w:type="paragraph" w:customStyle="1" w:styleId="dorlang">
    <w:name w:val="dorlang"/>
    <w:basedOn w:val="Normal"/>
    <w:rsid w:val="00621959"/>
    <w:pPr>
      <w:framePr w:hSpace="181" w:wrap="around" w:vAnchor="page" w:hAnchor="margin" w:y="852"/>
      <w:shd w:val="solid" w:color="FFFFFF" w:fill="FFFFFF"/>
      <w:tabs>
        <w:tab w:val="clear" w:pos="794"/>
        <w:tab w:val="left" w:pos="567"/>
        <w:tab w:val="left" w:pos="1134"/>
        <w:tab w:val="left" w:pos="1701"/>
        <w:tab w:val="left" w:pos="1871"/>
        <w:tab w:val="left" w:pos="2268"/>
        <w:tab w:val="left" w:pos="2835"/>
      </w:tabs>
      <w:overflowPunct w:val="0"/>
      <w:autoSpaceDE w:val="0"/>
      <w:autoSpaceDN w:val="0"/>
      <w:bidi w:val="0"/>
      <w:adjustRightInd w:val="0"/>
      <w:spacing w:before="0" w:after="0" w:line="240" w:lineRule="auto"/>
      <w:jc w:val="left"/>
      <w:textAlignment w:val="baseline"/>
    </w:pPr>
    <w:rPr>
      <w:rFonts w:ascii="Calibri" w:eastAsia="Times New Roman" w:hAnsi="Calibri" w:cs="Times New Roman"/>
      <w:b/>
      <w:bCs/>
      <w:sz w:val="24"/>
      <w:szCs w:val="20"/>
      <w:lang w:val="en-GB" w:eastAsia="en-US"/>
    </w:rPr>
  </w:style>
  <w:style w:type="paragraph" w:customStyle="1" w:styleId="Annexref">
    <w:name w:val="Annex_ref"/>
    <w:basedOn w:val="Normal"/>
    <w:next w:val="Annextitle"/>
    <w:qFormat/>
    <w:rsid w:val="00621959"/>
    <w:pPr>
      <w:keepNext/>
      <w:keepLines/>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jc w:val="center"/>
      <w:textAlignment w:val="baseline"/>
    </w:pPr>
    <w:rPr>
      <w:rFonts w:ascii="Calibri" w:eastAsia="Times New Roman" w:hAnsi="Calibri" w:cs="Times New Roman"/>
      <w:sz w:val="24"/>
      <w:szCs w:val="20"/>
      <w:lang w:val="en-GB" w:eastAsia="en-US"/>
    </w:rPr>
  </w:style>
  <w:style w:type="paragraph" w:customStyle="1" w:styleId="Figure">
    <w:name w:val="Figure"/>
    <w:basedOn w:val="Normal"/>
    <w:next w:val="Figuretitle"/>
    <w:qFormat/>
    <w:rsid w:val="00EA6D94"/>
    <w:pPr>
      <w:keepNext/>
      <w:tabs>
        <w:tab w:val="clear" w:pos="794"/>
        <w:tab w:val="left" w:pos="567"/>
        <w:tab w:val="left" w:pos="1134"/>
        <w:tab w:val="left" w:pos="1701"/>
        <w:tab w:val="left" w:pos="2268"/>
        <w:tab w:val="left" w:pos="2835"/>
      </w:tabs>
      <w:overflowPunct w:val="0"/>
      <w:autoSpaceDE w:val="0"/>
      <w:autoSpaceDN w:val="0"/>
      <w:bidi w:val="0"/>
      <w:adjustRightInd w:val="0"/>
      <w:spacing w:after="240" w:line="240" w:lineRule="auto"/>
      <w:jc w:val="center"/>
      <w:textAlignment w:val="baseline"/>
    </w:pPr>
    <w:rPr>
      <w:rFonts w:eastAsia="Times New Roman"/>
      <w:lang w:val="en-GB" w:eastAsia="en-US"/>
    </w:rPr>
  </w:style>
  <w:style w:type="paragraph" w:customStyle="1" w:styleId="Figurewithouttitle">
    <w:name w:val="Figure_without_title"/>
    <w:basedOn w:val="Figure"/>
    <w:next w:val="Normalaftertitle"/>
    <w:rsid w:val="00621959"/>
  </w:style>
  <w:style w:type="character" w:styleId="PageNumber">
    <w:name w:val="page number"/>
    <w:basedOn w:val="DefaultParagraphFont"/>
    <w:rsid w:val="00621959"/>
    <w:rPr>
      <w:rFonts w:ascii="Calibri" w:hAnsi="Calibri"/>
    </w:rPr>
  </w:style>
  <w:style w:type="paragraph" w:customStyle="1" w:styleId="Partref">
    <w:name w:val="Part_ref"/>
    <w:basedOn w:val="Annexref"/>
    <w:next w:val="Normalaftertitle"/>
    <w:rsid w:val="00621959"/>
  </w:style>
  <w:style w:type="paragraph" w:customStyle="1" w:styleId="Recref">
    <w:name w:val="Rec_ref"/>
    <w:basedOn w:val="Rectitle"/>
    <w:next w:val="Recdate"/>
    <w:rsid w:val="00621959"/>
    <w:pPr>
      <w:keepNext w:val="0"/>
      <w:keepLines w:val="0"/>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textAlignment w:val="baseline"/>
    </w:pPr>
    <w:rPr>
      <w:rFonts w:ascii="Times New Roman" w:eastAsia="Times New Roman" w:hAnsi="Times New Roman" w:cs="Times New Roman"/>
      <w:b w:val="0"/>
      <w:bCs w:val="0"/>
      <w:sz w:val="24"/>
      <w:szCs w:val="20"/>
      <w:lang w:val="en-GB" w:eastAsia="en-US"/>
    </w:rPr>
  </w:style>
  <w:style w:type="paragraph" w:customStyle="1" w:styleId="Recdate">
    <w:name w:val="Rec_date"/>
    <w:basedOn w:val="Recref"/>
    <w:next w:val="Normalaftertitle"/>
    <w:rsid w:val="00621959"/>
    <w:pPr>
      <w:jc w:val="right"/>
    </w:pPr>
    <w:rPr>
      <w:sz w:val="22"/>
    </w:rPr>
  </w:style>
  <w:style w:type="paragraph" w:customStyle="1" w:styleId="Questiondate">
    <w:name w:val="Question_date"/>
    <w:basedOn w:val="Recdate"/>
    <w:next w:val="Normalaftertitle"/>
    <w:rsid w:val="00621959"/>
  </w:style>
  <w:style w:type="paragraph" w:customStyle="1" w:styleId="QuestionNo">
    <w:name w:val="Question_No"/>
    <w:basedOn w:val="RecNo"/>
    <w:next w:val="Questiontitle"/>
    <w:rsid w:val="00621959"/>
    <w:pPr>
      <w:keepNext w:val="0"/>
      <w:keepLines w:val="0"/>
      <w:tabs>
        <w:tab w:val="clear" w:pos="794"/>
        <w:tab w:val="left" w:pos="567"/>
        <w:tab w:val="left" w:pos="1134"/>
        <w:tab w:val="left" w:pos="1701"/>
        <w:tab w:val="left" w:pos="2268"/>
        <w:tab w:val="left" w:pos="2835"/>
      </w:tabs>
      <w:overflowPunct w:val="0"/>
      <w:autoSpaceDE w:val="0"/>
      <w:autoSpaceDN w:val="0"/>
      <w:bidi w:val="0"/>
      <w:adjustRightInd w:val="0"/>
      <w:spacing w:before="720" w:after="0" w:line="240" w:lineRule="auto"/>
      <w:textAlignment w:val="baseline"/>
    </w:pPr>
    <w:rPr>
      <w:rFonts w:ascii="Calibri" w:eastAsia="Times New Roman" w:hAnsi="Calibri" w:cs="Times New Roman"/>
      <w:caps/>
      <w:sz w:val="28"/>
      <w:szCs w:val="20"/>
      <w:lang w:val="en-GB" w:eastAsia="en-US"/>
    </w:rPr>
  </w:style>
  <w:style w:type="paragraph" w:customStyle="1" w:styleId="Questionref">
    <w:name w:val="Question_ref"/>
    <w:basedOn w:val="Recref"/>
    <w:next w:val="Questiondate"/>
    <w:rsid w:val="00621959"/>
  </w:style>
  <w:style w:type="paragraph" w:customStyle="1" w:styleId="Questiontitle">
    <w:name w:val="Question_title"/>
    <w:basedOn w:val="Rectitle"/>
    <w:next w:val="Questionref"/>
    <w:rsid w:val="00621959"/>
    <w:pPr>
      <w:keepNext w:val="0"/>
      <w:keepLines w:val="0"/>
      <w:tabs>
        <w:tab w:val="clear" w:pos="794"/>
        <w:tab w:val="left" w:pos="567"/>
        <w:tab w:val="left" w:pos="1134"/>
        <w:tab w:val="left" w:pos="1701"/>
        <w:tab w:val="left" w:pos="2268"/>
        <w:tab w:val="left" w:pos="2835"/>
      </w:tabs>
      <w:overflowPunct w:val="0"/>
      <w:autoSpaceDE w:val="0"/>
      <w:autoSpaceDN w:val="0"/>
      <w:bidi w:val="0"/>
      <w:adjustRightInd w:val="0"/>
      <w:spacing w:before="240" w:after="0" w:line="240" w:lineRule="auto"/>
      <w:textAlignment w:val="baseline"/>
    </w:pPr>
    <w:rPr>
      <w:rFonts w:ascii="Calibri" w:eastAsia="Times New Roman" w:hAnsi="Calibri" w:cs="Times New Roman"/>
      <w:bCs w:val="0"/>
      <w:szCs w:val="20"/>
      <w:lang w:val="en-GB" w:eastAsia="en-US"/>
    </w:rPr>
  </w:style>
  <w:style w:type="paragraph" w:customStyle="1" w:styleId="Reftext">
    <w:name w:val="Ref_text"/>
    <w:basedOn w:val="Normal"/>
    <w:rsid w:val="00621959"/>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ind w:left="567" w:hanging="567"/>
      <w:jc w:val="left"/>
      <w:textAlignment w:val="baseline"/>
    </w:pPr>
    <w:rPr>
      <w:rFonts w:ascii="Calibri" w:eastAsia="Times New Roman" w:hAnsi="Calibri" w:cs="Times New Roman"/>
      <w:sz w:val="24"/>
      <w:szCs w:val="20"/>
      <w:lang w:val="en-GB" w:eastAsia="en-US"/>
    </w:rPr>
  </w:style>
  <w:style w:type="paragraph" w:customStyle="1" w:styleId="Resdate">
    <w:name w:val="Res_date"/>
    <w:basedOn w:val="Recdate"/>
    <w:next w:val="Normalaftertitle"/>
    <w:rsid w:val="00621959"/>
  </w:style>
  <w:style w:type="paragraph" w:customStyle="1" w:styleId="Resref">
    <w:name w:val="Res_ref"/>
    <w:basedOn w:val="Recref"/>
    <w:next w:val="Resdate"/>
    <w:rsid w:val="00621959"/>
  </w:style>
  <w:style w:type="paragraph" w:customStyle="1" w:styleId="Sectiontitle0">
    <w:name w:val="Section_title"/>
    <w:basedOn w:val="Normal"/>
    <w:next w:val="Normalaftertitle"/>
    <w:rsid w:val="00621959"/>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jc w:val="left"/>
      <w:textAlignment w:val="baseline"/>
    </w:pPr>
    <w:rPr>
      <w:rFonts w:ascii="Calibri" w:eastAsia="Times New Roman" w:hAnsi="Calibri" w:cs="Times New Roman"/>
      <w:sz w:val="28"/>
      <w:szCs w:val="20"/>
      <w:lang w:val="en-GB" w:eastAsia="en-US"/>
    </w:rPr>
  </w:style>
  <w:style w:type="paragraph" w:customStyle="1" w:styleId="Tableref">
    <w:name w:val="Table_ref"/>
    <w:basedOn w:val="Normal"/>
    <w:next w:val="Tabletitle"/>
    <w:rsid w:val="00621959"/>
    <w:pPr>
      <w:keepNext/>
      <w:tabs>
        <w:tab w:val="clear" w:pos="794"/>
        <w:tab w:val="left" w:pos="567"/>
        <w:tab w:val="left" w:pos="1134"/>
        <w:tab w:val="left" w:pos="1701"/>
        <w:tab w:val="left" w:pos="2268"/>
        <w:tab w:val="left" w:pos="2835"/>
      </w:tabs>
      <w:overflowPunct w:val="0"/>
      <w:autoSpaceDE w:val="0"/>
      <w:autoSpaceDN w:val="0"/>
      <w:bidi w:val="0"/>
      <w:adjustRightInd w:val="0"/>
      <w:spacing w:before="567" w:after="0" w:line="240" w:lineRule="auto"/>
      <w:jc w:val="center"/>
      <w:textAlignment w:val="baseline"/>
    </w:pPr>
    <w:rPr>
      <w:rFonts w:ascii="Calibri" w:eastAsia="Times New Roman" w:hAnsi="Calibri" w:cs="Times New Roman"/>
      <w:sz w:val="24"/>
      <w:szCs w:val="20"/>
      <w:lang w:val="en-GB" w:eastAsia="en-US"/>
    </w:rPr>
  </w:style>
  <w:style w:type="paragraph" w:customStyle="1" w:styleId="Artheading">
    <w:name w:val="Art_heading"/>
    <w:basedOn w:val="Normal"/>
    <w:next w:val="Normalaftertitle"/>
    <w:qFormat/>
    <w:rsid w:val="00621959"/>
    <w:pPr>
      <w:keepNext/>
      <w:keepLines/>
      <w:tabs>
        <w:tab w:val="clear" w:pos="794"/>
      </w:tabs>
      <w:overflowPunct w:val="0"/>
      <w:autoSpaceDE w:val="0"/>
      <w:autoSpaceDN w:val="0"/>
      <w:bidi w:val="0"/>
      <w:adjustRightInd w:val="0"/>
      <w:spacing w:before="360" w:after="0" w:line="240" w:lineRule="auto"/>
      <w:jc w:val="center"/>
      <w:textAlignment w:val="baseline"/>
    </w:pPr>
    <w:rPr>
      <w:rFonts w:ascii="Calibri" w:eastAsia="Times New Roman" w:hAnsi="Calibri" w:cs="Times New Roman"/>
      <w:b/>
      <w:sz w:val="24"/>
      <w:szCs w:val="20"/>
      <w:lang w:val="en-GB" w:eastAsia="en-US"/>
    </w:rPr>
  </w:style>
  <w:style w:type="paragraph" w:customStyle="1" w:styleId="ArtNo">
    <w:name w:val="Art_No"/>
    <w:basedOn w:val="Normal"/>
    <w:next w:val="Arttitle"/>
    <w:qFormat/>
    <w:rsid w:val="00621959"/>
    <w:pPr>
      <w:keepNext/>
      <w:keepLines/>
      <w:tabs>
        <w:tab w:val="clear" w:pos="794"/>
      </w:tabs>
      <w:overflowPunct w:val="0"/>
      <w:autoSpaceDE w:val="0"/>
      <w:autoSpaceDN w:val="0"/>
      <w:bidi w:val="0"/>
      <w:adjustRightInd w:val="0"/>
      <w:spacing w:before="480" w:after="0" w:line="240" w:lineRule="auto"/>
      <w:jc w:val="center"/>
      <w:textAlignment w:val="baseline"/>
    </w:pPr>
    <w:rPr>
      <w:rFonts w:ascii="Calibri" w:eastAsia="Times New Roman" w:hAnsi="Calibri" w:cs="Times New Roman"/>
      <w:caps/>
      <w:sz w:val="28"/>
      <w:szCs w:val="20"/>
      <w:lang w:val="en-GB" w:eastAsia="en-US"/>
    </w:rPr>
  </w:style>
  <w:style w:type="paragraph" w:customStyle="1" w:styleId="Arttitle">
    <w:name w:val="Art_title"/>
    <w:basedOn w:val="Normal"/>
    <w:next w:val="Normal"/>
    <w:qFormat/>
    <w:rsid w:val="00621959"/>
    <w:pPr>
      <w:keepNext/>
      <w:keepLines/>
      <w:tabs>
        <w:tab w:val="clear" w:pos="794"/>
      </w:tabs>
      <w:overflowPunct w:val="0"/>
      <w:autoSpaceDE w:val="0"/>
      <w:autoSpaceDN w:val="0"/>
      <w:bidi w:val="0"/>
      <w:adjustRightInd w:val="0"/>
      <w:spacing w:after="240" w:line="240" w:lineRule="auto"/>
      <w:jc w:val="center"/>
      <w:textAlignment w:val="baseline"/>
    </w:pPr>
    <w:rPr>
      <w:rFonts w:ascii="Calibri" w:eastAsia="Times New Roman" w:hAnsi="Calibri" w:cs="Times New Roman"/>
      <w:b/>
      <w:sz w:val="28"/>
      <w:szCs w:val="20"/>
      <w:lang w:val="en-GB" w:eastAsia="en-US"/>
    </w:rPr>
  </w:style>
  <w:style w:type="paragraph" w:customStyle="1" w:styleId="ChapNo">
    <w:name w:val="Chap_No"/>
    <w:basedOn w:val="ArtNo"/>
    <w:next w:val="Chaptitle"/>
    <w:qFormat/>
    <w:rsid w:val="00621959"/>
  </w:style>
  <w:style w:type="paragraph" w:customStyle="1" w:styleId="Chaptitle">
    <w:name w:val="Chap_title"/>
    <w:basedOn w:val="Arttitle"/>
    <w:next w:val="Normal"/>
    <w:qFormat/>
    <w:rsid w:val="00621959"/>
  </w:style>
  <w:style w:type="paragraph" w:styleId="TOCHeading">
    <w:name w:val="TOC Heading"/>
    <w:basedOn w:val="Heading1"/>
    <w:next w:val="Normal"/>
    <w:unhideWhenUsed/>
    <w:qFormat/>
    <w:rsid w:val="00621959"/>
    <w:pPr>
      <w:tabs>
        <w:tab w:val="clear" w:pos="794"/>
        <w:tab w:val="left" w:pos="567"/>
        <w:tab w:val="left" w:pos="1134"/>
        <w:tab w:val="left" w:pos="1701"/>
        <w:tab w:val="left" w:pos="2268"/>
        <w:tab w:val="left" w:pos="2835"/>
      </w:tabs>
      <w:overflowPunct w:val="0"/>
      <w:autoSpaceDE w:val="0"/>
      <w:autoSpaceDN w:val="0"/>
      <w:bidi w:val="0"/>
      <w:adjustRightInd w:val="0"/>
      <w:spacing w:before="240" w:after="0" w:line="240" w:lineRule="auto"/>
      <w:ind w:left="0" w:firstLine="0"/>
      <w:jc w:val="left"/>
      <w:textAlignment w:val="baseline"/>
      <w:outlineLvl w:val="9"/>
    </w:pPr>
    <w:rPr>
      <w:rFonts w:asciiTheme="majorHAnsi" w:hAnsiTheme="majorHAnsi" w:cstheme="majorBidi"/>
      <w:b w:val="0"/>
      <w:bCs w:val="0"/>
      <w:color w:val="2E74B5" w:themeColor="accent1" w:themeShade="BF"/>
      <w:sz w:val="32"/>
      <w:szCs w:val="32"/>
      <w:lang w:val="en-GB" w:eastAsia="en-US"/>
    </w:rPr>
  </w:style>
  <w:style w:type="paragraph" w:customStyle="1" w:styleId="Appendixref">
    <w:name w:val="Appendix_ref"/>
    <w:basedOn w:val="Annexref"/>
    <w:next w:val="Appendixtitle"/>
    <w:rsid w:val="00621959"/>
    <w:pPr>
      <w:keepNext w:val="0"/>
      <w:keepLines w:val="0"/>
      <w:suppressAutoHyphens/>
      <w:adjustRightInd/>
    </w:pPr>
    <w:rPr>
      <w:rFonts w:eastAsia="MS Mincho"/>
      <w:sz w:val="22"/>
    </w:rPr>
  </w:style>
  <w:style w:type="character" w:customStyle="1" w:styleId="findhit">
    <w:name w:val="findhit"/>
    <w:basedOn w:val="DefaultParagraphFont"/>
    <w:rsid w:val="00621959"/>
  </w:style>
  <w:style w:type="paragraph" w:customStyle="1" w:styleId="msonormal0">
    <w:name w:val="msonormal"/>
    <w:basedOn w:val="Normal"/>
    <w:rsid w:val="00621959"/>
    <w:pPr>
      <w:tabs>
        <w:tab w:val="clear" w:pos="794"/>
      </w:tabs>
      <w:suppressAutoHyphens/>
      <w:autoSpaceDN w:val="0"/>
      <w:bidi w:val="0"/>
      <w:spacing w:before="100" w:after="100" w:line="240" w:lineRule="auto"/>
    </w:pPr>
    <w:rPr>
      <w:rFonts w:ascii="Times New Roman" w:eastAsia="MS Mincho" w:hAnsi="Times New Roman" w:cs="Times New Roman"/>
      <w:szCs w:val="24"/>
      <w:lang w:val="en-GB" w:eastAsia="en-GB"/>
    </w:rPr>
  </w:style>
  <w:style w:type="paragraph" w:customStyle="1" w:styleId="paragraph">
    <w:name w:val="paragraph"/>
    <w:basedOn w:val="Normal"/>
    <w:rsid w:val="00621959"/>
    <w:pPr>
      <w:tabs>
        <w:tab w:val="clear" w:pos="794"/>
      </w:tabs>
      <w:suppressAutoHyphens/>
      <w:autoSpaceDN w:val="0"/>
      <w:bidi w:val="0"/>
      <w:spacing w:before="100" w:after="100" w:line="240" w:lineRule="auto"/>
    </w:pPr>
    <w:rPr>
      <w:rFonts w:ascii="Times New Roman" w:eastAsia="MS Mincho" w:hAnsi="Times New Roman" w:cs="Times New Roman"/>
      <w:szCs w:val="24"/>
      <w:lang w:val="en-GB" w:eastAsia="en-GB"/>
    </w:rPr>
  </w:style>
  <w:style w:type="character" w:customStyle="1" w:styleId="eop">
    <w:name w:val="eop"/>
    <w:basedOn w:val="DefaultParagraphFont"/>
    <w:rsid w:val="00621959"/>
  </w:style>
  <w:style w:type="character" w:customStyle="1" w:styleId="textrun">
    <w:name w:val="textrun"/>
    <w:basedOn w:val="DefaultParagraphFont"/>
    <w:rsid w:val="00621959"/>
  </w:style>
  <w:style w:type="character" w:customStyle="1" w:styleId="normaltextrun">
    <w:name w:val="normaltextrun"/>
    <w:basedOn w:val="DefaultParagraphFont"/>
    <w:rsid w:val="00621959"/>
  </w:style>
  <w:style w:type="paragraph" w:customStyle="1" w:styleId="outlineelement">
    <w:name w:val="outlineelement"/>
    <w:basedOn w:val="Normal"/>
    <w:rsid w:val="00621959"/>
    <w:pPr>
      <w:tabs>
        <w:tab w:val="clear" w:pos="794"/>
      </w:tabs>
      <w:suppressAutoHyphens/>
      <w:autoSpaceDN w:val="0"/>
      <w:bidi w:val="0"/>
      <w:spacing w:before="100" w:after="100" w:line="240" w:lineRule="auto"/>
    </w:pPr>
    <w:rPr>
      <w:rFonts w:ascii="Times New Roman" w:eastAsia="MS Mincho" w:hAnsi="Times New Roman" w:cs="Times New Roman"/>
      <w:szCs w:val="24"/>
      <w:lang w:val="en-GB" w:eastAsia="en-GB"/>
    </w:rPr>
  </w:style>
  <w:style w:type="character" w:customStyle="1" w:styleId="trackchangetextdeletion">
    <w:name w:val="trackchangetextdeletion"/>
    <w:basedOn w:val="DefaultParagraphFont"/>
    <w:rsid w:val="00621959"/>
  </w:style>
  <w:style w:type="character" w:customStyle="1" w:styleId="trackchangetextinsertion">
    <w:name w:val="trackchangetextinsertion"/>
    <w:basedOn w:val="DefaultParagraphFont"/>
    <w:rsid w:val="00621959"/>
  </w:style>
  <w:style w:type="character" w:customStyle="1" w:styleId="pagebreakblob">
    <w:name w:val="pagebreakblob"/>
    <w:basedOn w:val="DefaultParagraphFont"/>
    <w:rsid w:val="00621959"/>
  </w:style>
  <w:style w:type="character" w:customStyle="1" w:styleId="pagebreakborderspan">
    <w:name w:val="pagebreakborderspan"/>
    <w:basedOn w:val="DefaultParagraphFont"/>
    <w:rsid w:val="00621959"/>
  </w:style>
  <w:style w:type="character" w:customStyle="1" w:styleId="pagebreaktextspan">
    <w:name w:val="pagebreaktextspan"/>
    <w:basedOn w:val="DefaultParagraphFont"/>
    <w:rsid w:val="00621959"/>
  </w:style>
  <w:style w:type="character" w:customStyle="1" w:styleId="superscript">
    <w:name w:val="superscript"/>
    <w:basedOn w:val="DefaultParagraphFont"/>
    <w:rsid w:val="00621959"/>
  </w:style>
  <w:style w:type="character" w:customStyle="1" w:styleId="linebreakblob">
    <w:name w:val="linebreakblob"/>
    <w:basedOn w:val="DefaultParagraphFont"/>
    <w:rsid w:val="00621959"/>
  </w:style>
  <w:style w:type="character" w:customStyle="1" w:styleId="bcx7">
    <w:name w:val="bcx7"/>
    <w:basedOn w:val="DefaultParagraphFont"/>
    <w:rsid w:val="00621959"/>
  </w:style>
  <w:style w:type="character" w:customStyle="1" w:styleId="UnresolvedMention1">
    <w:name w:val="Unresolved Mention1"/>
    <w:basedOn w:val="DefaultParagraphFont"/>
    <w:rsid w:val="00621959"/>
    <w:rPr>
      <w:color w:val="605E5C"/>
      <w:shd w:val="clear" w:color="auto" w:fill="E1DFDD"/>
    </w:rPr>
  </w:style>
  <w:style w:type="character" w:customStyle="1" w:styleId="scxw33153122">
    <w:name w:val="scxw33153122"/>
    <w:basedOn w:val="DefaultParagraphFont"/>
    <w:rsid w:val="00621959"/>
  </w:style>
  <w:style w:type="paragraph" w:styleId="BalloonText">
    <w:name w:val="Balloon Text"/>
    <w:basedOn w:val="Normal"/>
    <w:link w:val="BalloonTextChar"/>
    <w:rsid w:val="00621959"/>
    <w:pPr>
      <w:tabs>
        <w:tab w:val="clear" w:pos="794"/>
      </w:tabs>
      <w:suppressAutoHyphens/>
      <w:autoSpaceDN w:val="0"/>
      <w:bidi w:val="0"/>
      <w:spacing w:before="0" w:after="0" w:line="240" w:lineRule="auto"/>
    </w:pPr>
    <w:rPr>
      <w:rFonts w:ascii="Segoe UI" w:eastAsia="Calibri" w:hAnsi="Segoe UI" w:cs="Segoe UI"/>
      <w:sz w:val="18"/>
      <w:szCs w:val="18"/>
      <w:lang w:val="en-GB" w:eastAsia="en-US"/>
    </w:rPr>
  </w:style>
  <w:style w:type="character" w:customStyle="1" w:styleId="BalloonTextChar">
    <w:name w:val="Balloon Text Char"/>
    <w:basedOn w:val="DefaultParagraphFont"/>
    <w:link w:val="BalloonText"/>
    <w:rsid w:val="00621959"/>
    <w:rPr>
      <w:rFonts w:ascii="Segoe UI" w:eastAsia="Calibri" w:hAnsi="Segoe UI" w:cs="Segoe UI"/>
      <w:sz w:val="18"/>
      <w:szCs w:val="18"/>
      <w:lang w:val="en-GB" w:eastAsia="en-US"/>
    </w:rPr>
  </w:style>
  <w:style w:type="character" w:styleId="CommentReference">
    <w:name w:val="annotation reference"/>
    <w:rsid w:val="00621959"/>
    <w:rPr>
      <w:sz w:val="16"/>
      <w:szCs w:val="16"/>
    </w:rPr>
  </w:style>
  <w:style w:type="paragraph" w:styleId="CommentText">
    <w:name w:val="annotation text"/>
    <w:basedOn w:val="Normal"/>
    <w:link w:val="CommentTextChar"/>
    <w:rsid w:val="00621959"/>
    <w:pPr>
      <w:tabs>
        <w:tab w:val="clear" w:pos="794"/>
      </w:tabs>
      <w:suppressAutoHyphens/>
      <w:autoSpaceDN w:val="0"/>
      <w:bidi w:val="0"/>
      <w:spacing w:after="0" w:line="240" w:lineRule="auto"/>
    </w:pPr>
    <w:rPr>
      <w:rFonts w:ascii="Calibri" w:eastAsia="SimSun" w:hAnsi="Calibri" w:cs="Times New Roman"/>
      <w:sz w:val="20"/>
      <w:lang w:eastAsia="fr-FR"/>
    </w:rPr>
  </w:style>
  <w:style w:type="character" w:customStyle="1" w:styleId="CommentTextChar">
    <w:name w:val="Comment Text Char"/>
    <w:basedOn w:val="DefaultParagraphFont"/>
    <w:link w:val="CommentText"/>
    <w:rsid w:val="00621959"/>
    <w:rPr>
      <w:rFonts w:ascii="Calibri" w:eastAsia="SimSun" w:hAnsi="Calibri" w:cs="Times New Roman"/>
      <w:sz w:val="20"/>
      <w:lang w:eastAsia="fr-FR"/>
    </w:rPr>
  </w:style>
  <w:style w:type="character" w:customStyle="1" w:styleId="ListParagraphChar">
    <w:name w:val="List Paragraph Char"/>
    <w:basedOn w:val="DefaultParagraphFont"/>
    <w:rsid w:val="00621959"/>
    <w:rPr>
      <w:rFonts w:ascii="Calibri" w:eastAsia="PMingLiU" w:hAnsi="Calibri"/>
      <w:sz w:val="22"/>
      <w:szCs w:val="22"/>
      <w:lang w:eastAsia="zh-TW"/>
    </w:rPr>
  </w:style>
  <w:style w:type="paragraph" w:customStyle="1" w:styleId="Tableheadwhitecentred">
    <w:name w:val="Table head white centred"/>
    <w:basedOn w:val="Normal"/>
    <w:rsid w:val="00621959"/>
    <w:pPr>
      <w:tabs>
        <w:tab w:val="clear" w:pos="794"/>
      </w:tabs>
      <w:suppressAutoHyphens/>
      <w:autoSpaceDN w:val="0"/>
      <w:bidi w:val="0"/>
      <w:spacing w:after="0" w:line="240" w:lineRule="auto"/>
    </w:pPr>
    <w:rPr>
      <w:rFonts w:ascii="Calibri" w:eastAsia="SimSun" w:hAnsi="Calibri" w:cs="Times New Roman"/>
      <w:sz w:val="21"/>
      <w:lang w:eastAsia="fr-FR"/>
    </w:rPr>
  </w:style>
  <w:style w:type="paragraph" w:customStyle="1" w:styleId="boxtext">
    <w:name w:val="box_text"/>
    <w:basedOn w:val="Normal"/>
    <w:rsid w:val="00621959"/>
    <w:pPr>
      <w:tabs>
        <w:tab w:val="clear" w:pos="794"/>
      </w:tabs>
      <w:suppressAutoHyphens/>
      <w:autoSpaceDN w:val="0"/>
      <w:bidi w:val="0"/>
      <w:spacing w:before="60" w:after="60" w:line="240" w:lineRule="auto"/>
    </w:pPr>
    <w:rPr>
      <w:rFonts w:ascii="Calibri" w:eastAsia="SimSun" w:hAnsi="Calibri" w:cs="Calibri"/>
      <w:lang w:eastAsia="fr-FR"/>
    </w:rPr>
  </w:style>
  <w:style w:type="character" w:customStyle="1" w:styleId="boxtextChar">
    <w:name w:val="box_text Char"/>
    <w:basedOn w:val="DefaultParagraphFont"/>
    <w:rsid w:val="00621959"/>
    <w:rPr>
      <w:rFonts w:ascii="Calibri" w:eastAsia="SimSun" w:hAnsi="Calibri" w:cs="Calibri"/>
      <w:sz w:val="22"/>
      <w:szCs w:val="22"/>
      <w:lang w:eastAsia="fr-FR"/>
    </w:rPr>
  </w:style>
  <w:style w:type="paragraph" w:customStyle="1" w:styleId="Tabletextcentred">
    <w:name w:val="Table text centred"/>
    <w:basedOn w:val="Normal"/>
    <w:rsid w:val="00621959"/>
    <w:pPr>
      <w:tabs>
        <w:tab w:val="clear" w:pos="794"/>
      </w:tabs>
      <w:suppressAutoHyphens/>
      <w:autoSpaceDN w:val="0"/>
      <w:bidi w:val="0"/>
      <w:spacing w:after="0" w:line="240" w:lineRule="auto"/>
    </w:pPr>
    <w:rPr>
      <w:rFonts w:ascii="Calibri" w:eastAsia="SimSun" w:hAnsi="Calibri" w:cs="Times New Roman"/>
      <w:sz w:val="21"/>
      <w:lang w:val="en-GB" w:eastAsia="fr-FR"/>
    </w:rPr>
  </w:style>
  <w:style w:type="paragraph" w:customStyle="1" w:styleId="Tabletextrightaligned">
    <w:name w:val="Table text right aligned"/>
    <w:basedOn w:val="Normal"/>
    <w:rsid w:val="00621959"/>
    <w:pPr>
      <w:tabs>
        <w:tab w:val="clear" w:pos="794"/>
      </w:tabs>
      <w:suppressAutoHyphens/>
      <w:autoSpaceDN w:val="0"/>
      <w:bidi w:val="0"/>
      <w:spacing w:after="0" w:line="240" w:lineRule="auto"/>
    </w:pPr>
    <w:rPr>
      <w:rFonts w:ascii="Calibri" w:eastAsia="SimSun" w:hAnsi="Calibri" w:cs="Times New Roman"/>
      <w:sz w:val="21"/>
      <w:lang w:val="en-GB" w:eastAsia="fr-FR"/>
    </w:rPr>
  </w:style>
  <w:style w:type="paragraph" w:styleId="NormalWeb">
    <w:name w:val="Normal (Web)"/>
    <w:basedOn w:val="Normal"/>
    <w:rsid w:val="00621959"/>
    <w:pPr>
      <w:tabs>
        <w:tab w:val="clear" w:pos="794"/>
      </w:tabs>
      <w:suppressAutoHyphens/>
      <w:autoSpaceDN w:val="0"/>
      <w:bidi w:val="0"/>
      <w:spacing w:before="100" w:after="100" w:line="240" w:lineRule="auto"/>
    </w:pPr>
    <w:rPr>
      <w:rFonts w:ascii="Calibri" w:eastAsia="SimSun" w:hAnsi="Calibri" w:cs="Times New Roman"/>
      <w:sz w:val="21"/>
      <w:szCs w:val="24"/>
    </w:rPr>
  </w:style>
  <w:style w:type="character" w:customStyle="1" w:styleId="NormalWebChar">
    <w:name w:val="Normal (Web) Char"/>
    <w:rsid w:val="00621959"/>
    <w:rPr>
      <w:rFonts w:ascii="Calibri" w:eastAsia="SimSun" w:hAnsi="Calibri"/>
      <w:sz w:val="21"/>
      <w:szCs w:val="24"/>
    </w:rPr>
  </w:style>
  <w:style w:type="paragraph" w:styleId="PlainText">
    <w:name w:val="Plain Text"/>
    <w:basedOn w:val="Normal"/>
    <w:link w:val="PlainTextChar"/>
    <w:rsid w:val="00621959"/>
    <w:pPr>
      <w:tabs>
        <w:tab w:val="clear" w:pos="794"/>
      </w:tabs>
      <w:suppressAutoHyphens/>
      <w:autoSpaceDN w:val="0"/>
      <w:bidi w:val="0"/>
      <w:spacing w:before="0" w:after="0" w:line="240" w:lineRule="auto"/>
    </w:pPr>
    <w:rPr>
      <w:rFonts w:ascii="Courier New" w:eastAsia="SimSun" w:hAnsi="Courier New" w:cs="Courier New"/>
      <w:sz w:val="20"/>
    </w:rPr>
  </w:style>
  <w:style w:type="character" w:customStyle="1" w:styleId="PlainTextChar">
    <w:name w:val="Plain Text Char"/>
    <w:basedOn w:val="DefaultParagraphFont"/>
    <w:link w:val="PlainText"/>
    <w:rsid w:val="00621959"/>
    <w:rPr>
      <w:rFonts w:ascii="Courier New" w:eastAsia="SimSun" w:hAnsi="Courier New" w:cs="Courier New"/>
      <w:sz w:val="20"/>
    </w:rPr>
  </w:style>
  <w:style w:type="character" w:customStyle="1" w:styleId="normalWSISChar">
    <w:name w:val="normal WSIS Char"/>
    <w:basedOn w:val="DefaultParagraphFont"/>
    <w:rsid w:val="00621959"/>
    <w:rPr>
      <w:rFonts w:ascii="Calibri" w:eastAsia="SimSun" w:hAnsi="Calibri" w:cs="Arial"/>
    </w:rPr>
  </w:style>
  <w:style w:type="paragraph" w:customStyle="1" w:styleId="normalWSIS">
    <w:name w:val="normal WSIS"/>
    <w:basedOn w:val="ListParagraph"/>
    <w:rsid w:val="00621959"/>
    <w:pPr>
      <w:numPr>
        <w:numId w:val="12"/>
      </w:numPr>
      <w:tabs>
        <w:tab w:val="clear" w:pos="794"/>
        <w:tab w:val="left" w:pos="-2259"/>
        <w:tab w:val="left" w:pos="567"/>
        <w:tab w:val="left" w:pos="1134"/>
        <w:tab w:val="left" w:pos="1701"/>
        <w:tab w:val="left" w:pos="2268"/>
        <w:tab w:val="left" w:pos="2835"/>
      </w:tabs>
      <w:suppressAutoHyphens/>
      <w:overflowPunct w:val="0"/>
      <w:autoSpaceDE w:val="0"/>
      <w:autoSpaceDN w:val="0"/>
      <w:bidi w:val="0"/>
      <w:adjustRightInd w:val="0"/>
      <w:spacing w:before="120" w:after="200" w:line="240" w:lineRule="auto"/>
      <w:contextualSpacing w:val="0"/>
      <w:textAlignment w:val="baseline"/>
    </w:pPr>
    <w:rPr>
      <w:rFonts w:ascii="Calibri" w:eastAsia="SimSun" w:hAnsi="Calibri" w:cs="Arial"/>
      <w:sz w:val="20"/>
      <w:szCs w:val="20"/>
      <w:lang w:val="en-GB"/>
    </w:rPr>
  </w:style>
  <w:style w:type="paragraph" w:styleId="Revision">
    <w:name w:val="Revision"/>
    <w:rsid w:val="00621959"/>
    <w:pPr>
      <w:suppressAutoHyphens/>
      <w:autoSpaceDN w:val="0"/>
      <w:spacing w:after="0" w:line="240" w:lineRule="auto"/>
      <w:textAlignment w:val="baseline"/>
    </w:pPr>
    <w:rPr>
      <w:rFonts w:ascii="Calibri" w:eastAsia="Calibri" w:hAnsi="Calibri" w:cs="Arial"/>
      <w:lang w:val="en-GB" w:eastAsia="en-US"/>
    </w:rPr>
  </w:style>
  <w:style w:type="paragraph" w:styleId="CommentSubject">
    <w:name w:val="annotation subject"/>
    <w:basedOn w:val="CommentText"/>
    <w:next w:val="CommentText"/>
    <w:link w:val="CommentSubjectChar"/>
    <w:rsid w:val="00621959"/>
    <w:pPr>
      <w:spacing w:before="0"/>
    </w:pPr>
    <w:rPr>
      <w:rFonts w:eastAsia="Calibri" w:cs="Arial"/>
      <w:b/>
      <w:bCs/>
      <w:szCs w:val="20"/>
      <w:lang w:val="en-GB" w:eastAsia="en-US"/>
    </w:rPr>
  </w:style>
  <w:style w:type="character" w:customStyle="1" w:styleId="CommentSubjectChar">
    <w:name w:val="Comment Subject Char"/>
    <w:basedOn w:val="CommentTextChar"/>
    <w:link w:val="CommentSubject"/>
    <w:rsid w:val="00621959"/>
    <w:rPr>
      <w:rFonts w:ascii="Calibri" w:eastAsia="Calibri" w:hAnsi="Calibri" w:cs="Arial"/>
      <w:b/>
      <w:bCs/>
      <w:sz w:val="20"/>
      <w:szCs w:val="20"/>
      <w:lang w:val="en-GB" w:eastAsia="en-US"/>
    </w:rPr>
  </w:style>
  <w:style w:type="character" w:customStyle="1" w:styleId="Mention1">
    <w:name w:val="Mention1"/>
    <w:basedOn w:val="DefaultParagraphFont"/>
    <w:rsid w:val="00621959"/>
    <w:rPr>
      <w:color w:val="2B579A"/>
      <w:shd w:val="clear" w:color="auto" w:fill="E1DFDD"/>
    </w:rPr>
  </w:style>
  <w:style w:type="paragraph" w:customStyle="1" w:styleId="xmsolistparagraph">
    <w:name w:val="x_msolistparagraph"/>
    <w:basedOn w:val="Normal"/>
    <w:rsid w:val="00621959"/>
    <w:pPr>
      <w:tabs>
        <w:tab w:val="clear" w:pos="794"/>
      </w:tabs>
      <w:suppressAutoHyphens/>
      <w:autoSpaceDN w:val="0"/>
      <w:bidi w:val="0"/>
      <w:spacing w:before="0" w:after="0" w:line="240" w:lineRule="auto"/>
      <w:ind w:left="720"/>
    </w:pPr>
    <w:rPr>
      <w:rFonts w:ascii="Calibri" w:eastAsia="Calibri" w:hAnsi="Calibri" w:cs="Calibri"/>
      <w:lang w:val="en-GB" w:eastAsia="en-GB"/>
    </w:rPr>
  </w:style>
  <w:style w:type="paragraph" w:customStyle="1" w:styleId="Table">
    <w:name w:val="Table_#"/>
    <w:basedOn w:val="Normal"/>
    <w:next w:val="Normal"/>
    <w:rsid w:val="00621959"/>
    <w:pPr>
      <w:keepNext/>
      <w:tabs>
        <w:tab w:val="left" w:pos="1191"/>
        <w:tab w:val="left" w:pos="1588"/>
        <w:tab w:val="left" w:pos="1985"/>
      </w:tabs>
      <w:suppressAutoHyphens/>
      <w:autoSpaceDN w:val="0"/>
      <w:bidi w:val="0"/>
      <w:spacing w:before="560" w:line="240" w:lineRule="auto"/>
      <w:jc w:val="center"/>
    </w:pPr>
    <w:rPr>
      <w:rFonts w:ascii="Times New Roman" w:eastAsia="MS Mincho" w:hAnsi="Times New Roman" w:cs="Times New Roman"/>
      <w:caps/>
      <w:szCs w:val="20"/>
      <w:lang w:val="en-GB" w:eastAsia="en-US"/>
    </w:rPr>
  </w:style>
  <w:style w:type="character" w:customStyle="1" w:styleId="apple-style-span">
    <w:name w:val="apple-style-span"/>
    <w:basedOn w:val="DefaultParagraphFont"/>
    <w:rsid w:val="00621959"/>
  </w:style>
  <w:style w:type="paragraph" w:customStyle="1" w:styleId="boxhead">
    <w:name w:val="box_head"/>
    <w:basedOn w:val="Normal"/>
    <w:rsid w:val="00621959"/>
    <w:pPr>
      <w:tabs>
        <w:tab w:val="clear" w:pos="794"/>
      </w:tabs>
      <w:suppressAutoHyphens/>
      <w:autoSpaceDN w:val="0"/>
      <w:bidi w:val="0"/>
      <w:spacing w:after="60" w:line="240" w:lineRule="auto"/>
    </w:pPr>
    <w:rPr>
      <w:rFonts w:ascii="Calibri" w:eastAsia="Calibri" w:hAnsi="Calibri" w:cs="Calibri"/>
      <w:b/>
      <w:u w:val="single"/>
      <w:lang w:val="en-GB"/>
    </w:rPr>
  </w:style>
  <w:style w:type="paragraph" w:customStyle="1" w:styleId="boxbullet">
    <w:name w:val="box_bullet"/>
    <w:basedOn w:val="Normal"/>
    <w:rsid w:val="00621959"/>
    <w:pPr>
      <w:tabs>
        <w:tab w:val="clear" w:pos="794"/>
        <w:tab w:val="left" w:pos="720"/>
      </w:tabs>
      <w:suppressAutoHyphens/>
      <w:autoSpaceDN w:val="0"/>
      <w:bidi w:val="0"/>
      <w:spacing w:before="60" w:after="60" w:line="240" w:lineRule="auto"/>
      <w:ind w:left="714" w:hanging="357"/>
    </w:pPr>
    <w:rPr>
      <w:rFonts w:ascii="Calibri" w:eastAsia="SimSun" w:hAnsi="Calibri" w:cs="Calibri"/>
      <w:lang w:val="en-GB"/>
    </w:rPr>
  </w:style>
  <w:style w:type="paragraph" w:customStyle="1" w:styleId="Boxbullet2">
    <w:name w:val="Box_bullet2"/>
    <w:basedOn w:val="Normal"/>
    <w:rsid w:val="00621959"/>
    <w:pPr>
      <w:numPr>
        <w:numId w:val="13"/>
      </w:numPr>
      <w:tabs>
        <w:tab w:val="clear" w:pos="794"/>
        <w:tab w:val="left" w:pos="1440"/>
      </w:tabs>
      <w:suppressAutoHyphens/>
      <w:autoSpaceDN w:val="0"/>
      <w:bidi w:val="0"/>
      <w:spacing w:before="60" w:after="60" w:line="240" w:lineRule="auto"/>
    </w:pPr>
    <w:rPr>
      <w:rFonts w:ascii="Calibri" w:eastAsia="SimSun" w:hAnsi="Calibri" w:cs="Times New Roman"/>
      <w:lang w:val="en-GB"/>
    </w:rPr>
  </w:style>
  <w:style w:type="character" w:customStyle="1" w:styleId="A0">
    <w:name w:val="A0"/>
    <w:rsid w:val="00621959"/>
    <w:rPr>
      <w:color w:val="404041"/>
      <w:sz w:val="21"/>
      <w:szCs w:val="21"/>
    </w:rPr>
  </w:style>
  <w:style w:type="paragraph" w:customStyle="1" w:styleId="Bulletlist1">
    <w:name w:val="Bullet list 1"/>
    <w:basedOn w:val="Normal"/>
    <w:rsid w:val="00621959"/>
    <w:pPr>
      <w:tabs>
        <w:tab w:val="clear" w:pos="794"/>
      </w:tabs>
      <w:suppressAutoHyphens/>
      <w:autoSpaceDN w:val="0"/>
      <w:bidi w:val="0"/>
      <w:spacing w:after="0" w:line="240" w:lineRule="auto"/>
      <w:ind w:left="425" w:hanging="425"/>
    </w:pPr>
    <w:rPr>
      <w:rFonts w:ascii="Calibri" w:eastAsia="SimSun" w:hAnsi="Calibri" w:cs="Times New Roman"/>
      <w:sz w:val="21"/>
      <w:lang w:eastAsia="fr-FR"/>
    </w:rPr>
  </w:style>
  <w:style w:type="paragraph" w:customStyle="1" w:styleId="xxxmsonormal">
    <w:name w:val="x_xxmsonormal"/>
    <w:basedOn w:val="Normal"/>
    <w:rsid w:val="00621959"/>
    <w:pPr>
      <w:tabs>
        <w:tab w:val="clear" w:pos="794"/>
      </w:tabs>
      <w:suppressAutoHyphens/>
      <w:autoSpaceDN w:val="0"/>
      <w:bidi w:val="0"/>
      <w:spacing w:before="0" w:after="0" w:line="240" w:lineRule="auto"/>
    </w:pPr>
    <w:rPr>
      <w:rFonts w:ascii="Calibri" w:eastAsia="Calibri" w:hAnsi="Calibri" w:cs="Calibri"/>
      <w:lang w:val="en-GB" w:eastAsia="en-GB"/>
    </w:rPr>
  </w:style>
  <w:style w:type="character" w:customStyle="1" w:styleId="SmartLink1">
    <w:name w:val="SmartLink1"/>
    <w:basedOn w:val="DefaultParagraphFont"/>
    <w:rsid w:val="00621959"/>
    <w:rPr>
      <w:color w:val="0000FF"/>
      <w:u w:val="single"/>
      <w:shd w:val="clear" w:color="auto" w:fill="F3F2F1"/>
    </w:rPr>
  </w:style>
  <w:style w:type="character" w:customStyle="1" w:styleId="apple-converted-space">
    <w:name w:val="apple-converted-space"/>
    <w:basedOn w:val="DefaultParagraphFont"/>
    <w:rsid w:val="00621959"/>
  </w:style>
  <w:style w:type="character" w:customStyle="1" w:styleId="ms-rtethemeforecolor-2-0">
    <w:name w:val="ms-rtethemeforecolor-2-0"/>
    <w:basedOn w:val="DefaultParagraphFont"/>
    <w:rsid w:val="00621959"/>
  </w:style>
  <w:style w:type="character" w:customStyle="1" w:styleId="UnresolvedMention10">
    <w:name w:val="Unresolved Mention10"/>
    <w:basedOn w:val="DefaultParagraphFont"/>
    <w:rsid w:val="00621959"/>
    <w:rPr>
      <w:color w:val="605E5C"/>
      <w:shd w:val="clear" w:color="auto" w:fill="E1DFDD"/>
    </w:rPr>
  </w:style>
  <w:style w:type="character" w:customStyle="1" w:styleId="Mention10">
    <w:name w:val="Mention10"/>
    <w:basedOn w:val="DefaultParagraphFont"/>
    <w:rsid w:val="00621959"/>
    <w:rPr>
      <w:color w:val="2B579A"/>
      <w:shd w:val="clear" w:color="auto" w:fill="E1DFDD"/>
    </w:rPr>
  </w:style>
  <w:style w:type="character" w:customStyle="1" w:styleId="UnresolvedMention2">
    <w:name w:val="Unresolved Mention2"/>
    <w:basedOn w:val="DefaultParagraphFont"/>
    <w:rsid w:val="00621959"/>
    <w:rPr>
      <w:color w:val="605E5C"/>
      <w:shd w:val="clear" w:color="auto" w:fill="E1DFDD"/>
    </w:rPr>
  </w:style>
  <w:style w:type="character" w:customStyle="1" w:styleId="Mention2">
    <w:name w:val="Mention2"/>
    <w:basedOn w:val="DefaultParagraphFont"/>
    <w:rsid w:val="00621959"/>
    <w:rPr>
      <w:color w:val="2B579A"/>
      <w:shd w:val="clear" w:color="auto" w:fill="E1DFDD"/>
    </w:rPr>
  </w:style>
  <w:style w:type="paragraph" w:styleId="EndnoteText">
    <w:name w:val="endnote text"/>
    <w:basedOn w:val="Normal"/>
    <w:link w:val="EndnoteTextChar"/>
    <w:rsid w:val="00621959"/>
    <w:pPr>
      <w:tabs>
        <w:tab w:val="clear" w:pos="794"/>
      </w:tabs>
      <w:suppressAutoHyphens/>
      <w:autoSpaceDN w:val="0"/>
      <w:bidi w:val="0"/>
      <w:spacing w:before="0" w:after="0" w:line="240" w:lineRule="auto"/>
    </w:pPr>
    <w:rPr>
      <w:rFonts w:ascii="Calibri" w:eastAsia="Calibri" w:hAnsi="Calibri" w:cs="Arial"/>
      <w:sz w:val="20"/>
      <w:szCs w:val="20"/>
      <w:lang w:val="en-GB" w:eastAsia="en-US"/>
    </w:rPr>
  </w:style>
  <w:style w:type="character" w:customStyle="1" w:styleId="EndnoteTextChar">
    <w:name w:val="Endnote Text Char"/>
    <w:basedOn w:val="DefaultParagraphFont"/>
    <w:link w:val="EndnoteText"/>
    <w:rsid w:val="00621959"/>
    <w:rPr>
      <w:rFonts w:ascii="Calibri" w:eastAsia="Calibri" w:hAnsi="Calibri" w:cs="Arial"/>
      <w:sz w:val="20"/>
      <w:szCs w:val="20"/>
      <w:lang w:val="en-GB" w:eastAsia="en-US"/>
    </w:rPr>
  </w:style>
  <w:style w:type="character" w:styleId="EndnoteReference">
    <w:name w:val="endnote reference"/>
    <w:basedOn w:val="DefaultParagraphFont"/>
    <w:rsid w:val="00621959"/>
    <w:rPr>
      <w:position w:val="0"/>
      <w:vertAlign w:val="superscript"/>
    </w:rPr>
  </w:style>
  <w:style w:type="paragraph" w:customStyle="1" w:styleId="yiv3170009829msonormal">
    <w:name w:val="yiv3170009829msonormal"/>
    <w:basedOn w:val="Normal"/>
    <w:rsid w:val="00621959"/>
    <w:pPr>
      <w:tabs>
        <w:tab w:val="clear" w:pos="794"/>
      </w:tabs>
      <w:suppressAutoHyphens/>
      <w:autoSpaceDN w:val="0"/>
      <w:bidi w:val="0"/>
      <w:spacing w:before="100" w:after="100" w:line="240" w:lineRule="auto"/>
      <w:textAlignment w:val="baseline"/>
    </w:pPr>
    <w:rPr>
      <w:rFonts w:ascii="Times New Roman" w:eastAsia="MS Mincho" w:hAnsi="Times New Roman" w:cs="Times New Roman"/>
      <w:szCs w:val="24"/>
      <w:lang w:val="fr-CH" w:eastAsia="fr-CH"/>
    </w:rPr>
  </w:style>
  <w:style w:type="character" w:customStyle="1" w:styleId="yiv3170009829msohyperlink">
    <w:name w:val="yiv3170009829msohyperlink"/>
    <w:basedOn w:val="DefaultParagraphFont"/>
    <w:rsid w:val="00621959"/>
  </w:style>
  <w:style w:type="character" w:customStyle="1" w:styleId="tabchar">
    <w:name w:val="tabchar"/>
    <w:basedOn w:val="DefaultParagraphFont"/>
    <w:rsid w:val="00621959"/>
  </w:style>
  <w:style w:type="character" w:customStyle="1" w:styleId="ui-provider">
    <w:name w:val="ui-provider"/>
    <w:basedOn w:val="DefaultParagraphFont"/>
    <w:rsid w:val="00621959"/>
  </w:style>
  <w:style w:type="paragraph" w:customStyle="1" w:styleId="Subtitle1">
    <w:name w:val="Subtitle1"/>
    <w:basedOn w:val="Title1"/>
    <w:rsid w:val="00621959"/>
    <w:pPr>
      <w:keepNext w:val="0"/>
      <w:framePr w:wrap="auto" w:hAnchor="text" w:x="1589"/>
      <w:tabs>
        <w:tab w:val="clear" w:pos="794"/>
        <w:tab w:val="left" w:pos="567"/>
        <w:tab w:val="left" w:pos="1134"/>
        <w:tab w:val="left" w:pos="1701"/>
        <w:tab w:val="left" w:pos="2268"/>
        <w:tab w:val="left" w:pos="2835"/>
      </w:tabs>
      <w:suppressAutoHyphens/>
      <w:overflowPunct w:val="0"/>
      <w:autoSpaceDE w:val="0"/>
      <w:autoSpaceDN w:val="0"/>
      <w:spacing w:before="120" w:after="160" w:line="240" w:lineRule="auto"/>
      <w:jc w:val="both"/>
      <w:textAlignment w:val="baseline"/>
    </w:pPr>
    <w:rPr>
      <w:rFonts w:eastAsia="MS Mincho"/>
      <w:b/>
      <w:bCs/>
      <w:w w:val="100"/>
      <w:lang w:val="en-GB" w:eastAsia="en-US"/>
    </w:rPr>
  </w:style>
  <w:style w:type="paragraph" w:customStyle="1" w:styleId="xmsonormal">
    <w:name w:val="x_msonormal"/>
    <w:basedOn w:val="Normal"/>
    <w:rsid w:val="00621959"/>
    <w:pPr>
      <w:tabs>
        <w:tab w:val="clear" w:pos="794"/>
      </w:tabs>
      <w:suppressAutoHyphens/>
      <w:autoSpaceDN w:val="0"/>
      <w:bidi w:val="0"/>
      <w:spacing w:before="0" w:after="0" w:line="240" w:lineRule="auto"/>
    </w:pPr>
    <w:rPr>
      <w:rFonts w:ascii="Calibri" w:eastAsia="Calibri" w:hAnsi="Calibri" w:cs="Calibri"/>
      <w:lang w:val="en-GB" w:eastAsia="en-GB"/>
    </w:rPr>
  </w:style>
  <w:style w:type="paragraph" w:customStyle="1" w:styleId="pf0">
    <w:name w:val="pf0"/>
    <w:basedOn w:val="Normal"/>
    <w:rsid w:val="00621959"/>
    <w:pPr>
      <w:tabs>
        <w:tab w:val="clear" w:pos="794"/>
      </w:tabs>
      <w:suppressAutoHyphens/>
      <w:autoSpaceDN w:val="0"/>
      <w:bidi w:val="0"/>
      <w:spacing w:before="100" w:after="100" w:line="240" w:lineRule="auto"/>
    </w:pPr>
    <w:rPr>
      <w:rFonts w:ascii="Times New Roman" w:eastAsia="MS Mincho" w:hAnsi="Times New Roman" w:cs="Times New Roman"/>
      <w:szCs w:val="24"/>
      <w:lang w:val="en-GB" w:eastAsia="en-GB"/>
    </w:rPr>
  </w:style>
  <w:style w:type="character" w:customStyle="1" w:styleId="cf01">
    <w:name w:val="cf01"/>
    <w:basedOn w:val="DefaultParagraphFont"/>
    <w:rsid w:val="00621959"/>
    <w:rPr>
      <w:rFonts w:ascii="Segoe UI" w:hAnsi="Segoe UI" w:cs="Segoe UI"/>
      <w:b/>
      <w:bCs/>
      <w:sz w:val="24"/>
      <w:szCs w:val="24"/>
    </w:rPr>
  </w:style>
  <w:style w:type="character" w:styleId="Mention">
    <w:name w:val="Mention"/>
    <w:basedOn w:val="DefaultParagraphFont"/>
    <w:rsid w:val="00621959"/>
    <w:rPr>
      <w:color w:val="2B579A"/>
      <w:shd w:val="clear" w:color="auto" w:fill="E1DFDD"/>
    </w:rPr>
  </w:style>
  <w:style w:type="character" w:customStyle="1" w:styleId="wacimagecontainer">
    <w:name w:val="wacimagecontainer"/>
    <w:basedOn w:val="DefaultParagraphFont"/>
    <w:rsid w:val="00621959"/>
  </w:style>
  <w:style w:type="paragraph" w:styleId="BodyText">
    <w:name w:val="Body Text"/>
    <w:basedOn w:val="Normal"/>
    <w:link w:val="BodyTextChar"/>
    <w:rsid w:val="00621959"/>
    <w:pPr>
      <w:widowControl w:val="0"/>
      <w:tabs>
        <w:tab w:val="clear" w:pos="794"/>
      </w:tabs>
      <w:suppressAutoHyphens/>
      <w:autoSpaceDE w:val="0"/>
      <w:autoSpaceDN w:val="0"/>
      <w:bidi w:val="0"/>
      <w:spacing w:before="0" w:after="0" w:line="240" w:lineRule="auto"/>
      <w:ind w:left="426"/>
      <w:jc w:val="left"/>
    </w:pPr>
    <w:rPr>
      <w:rFonts w:ascii="Calibri" w:eastAsia="Calibri" w:hAnsi="Calibri" w:cs="Calibri"/>
      <w:lang w:eastAsia="en-US"/>
    </w:rPr>
  </w:style>
  <w:style w:type="character" w:customStyle="1" w:styleId="BodyTextChar">
    <w:name w:val="Body Text Char"/>
    <w:basedOn w:val="DefaultParagraphFont"/>
    <w:link w:val="BodyText"/>
    <w:rsid w:val="00621959"/>
    <w:rPr>
      <w:rFonts w:ascii="Calibri" w:eastAsia="Calibri" w:hAnsi="Calibri" w:cs="Calibri"/>
      <w:lang w:eastAsia="en-US"/>
    </w:rPr>
  </w:style>
  <w:style w:type="paragraph" w:customStyle="1" w:styleId="Sourcetext">
    <w:name w:val="Source text"/>
    <w:basedOn w:val="Normal"/>
    <w:rsid w:val="00621959"/>
    <w:pPr>
      <w:widowControl w:val="0"/>
      <w:tabs>
        <w:tab w:val="clear" w:pos="794"/>
        <w:tab w:val="left" w:pos="567"/>
        <w:tab w:val="left" w:pos="1134"/>
        <w:tab w:val="left" w:pos="1701"/>
        <w:tab w:val="left" w:pos="2268"/>
        <w:tab w:val="left" w:pos="2835"/>
        <w:tab w:val="left" w:pos="3402"/>
        <w:tab w:val="left" w:pos="3969"/>
      </w:tabs>
      <w:suppressAutoHyphens/>
      <w:autoSpaceDE w:val="0"/>
      <w:autoSpaceDN w:val="0"/>
      <w:bidi w:val="0"/>
      <w:spacing w:before="0" w:line="240" w:lineRule="auto"/>
      <w:jc w:val="left"/>
      <w:textAlignment w:val="center"/>
    </w:pPr>
    <w:rPr>
      <w:rFonts w:ascii="Avenir Nxt2 W1G" w:eastAsia="SimSun" w:hAnsi="Avenir Nxt2 W1G" w:cs="AvenirNext LT Pro Light"/>
      <w:color w:val="000000"/>
      <w:sz w:val="16"/>
      <w:szCs w:val="28"/>
      <w:lang w:val="fr-CH" w:eastAsia="en-US"/>
    </w:rPr>
  </w:style>
  <w:style w:type="paragraph" w:styleId="Caption">
    <w:name w:val="caption"/>
    <w:basedOn w:val="Normal"/>
    <w:next w:val="Normal"/>
    <w:rsid w:val="00621959"/>
    <w:pPr>
      <w:tabs>
        <w:tab w:val="clear" w:pos="794"/>
        <w:tab w:val="left" w:pos="567"/>
        <w:tab w:val="left" w:pos="1134"/>
        <w:tab w:val="left" w:pos="1701"/>
        <w:tab w:val="left" w:pos="2268"/>
        <w:tab w:val="left" w:pos="2835"/>
      </w:tabs>
      <w:suppressAutoHyphens/>
      <w:overflowPunct w:val="0"/>
      <w:autoSpaceDE w:val="0"/>
      <w:autoSpaceDN w:val="0"/>
      <w:bidi w:val="0"/>
      <w:spacing w:before="0" w:after="200" w:line="240" w:lineRule="auto"/>
      <w:textAlignment w:val="baseline"/>
    </w:pPr>
    <w:rPr>
      <w:rFonts w:ascii="Calibri" w:eastAsia="MS Mincho" w:hAnsi="Calibri" w:cs="Times New Roman"/>
      <w:i/>
      <w:iCs/>
      <w:color w:val="1F497D"/>
      <w:sz w:val="18"/>
      <w:szCs w:val="18"/>
      <w:lang w:val="en-GB" w:eastAsia="en-US"/>
    </w:rPr>
  </w:style>
  <w:style w:type="numbering" w:customStyle="1" w:styleId="LFO3">
    <w:name w:val="LFO3"/>
    <w:basedOn w:val="NoList"/>
    <w:rsid w:val="00621959"/>
    <w:pPr>
      <w:numPr>
        <w:numId w:val="12"/>
      </w:numPr>
    </w:pPr>
  </w:style>
  <w:style w:type="numbering" w:customStyle="1" w:styleId="LFO4">
    <w:name w:val="LFO4"/>
    <w:basedOn w:val="NoList"/>
    <w:rsid w:val="00621959"/>
    <w:pPr>
      <w:numPr>
        <w:numId w:val="13"/>
      </w:numPr>
    </w:pPr>
  </w:style>
  <w:style w:type="character" w:customStyle="1" w:styleId="enumlev1Char">
    <w:name w:val="enumlev1 Char"/>
    <w:basedOn w:val="DefaultParagraphFont"/>
    <w:rsid w:val="007C0894"/>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41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pub/R-REG-RR-2024" TargetMode="External"/><Relationship Id="rId21" Type="http://schemas.openxmlformats.org/officeDocument/2006/relationships/hyperlink" Target="https://www.itu.int/cities/year-in-review-2023/fg-ai4a/" TargetMode="External"/><Relationship Id="rId324" Type="http://schemas.openxmlformats.org/officeDocument/2006/relationships/hyperlink" Target="https://aiforgood.itu.int/summit26/" TargetMode="External"/><Relationship Id="rId531" Type="http://schemas.openxmlformats.org/officeDocument/2006/relationships/hyperlink" Target="https://u4ssc.itu.int/u4ssc-kpi/" TargetMode="External"/><Relationship Id="rId170" Type="http://schemas.openxmlformats.org/officeDocument/2006/relationships/hyperlink" Target="https://www.itu.int/digital-resilience/submarine-cables/wp-content/uploads/sites/2/2026/02/Porto-Summit-Declaration.pdf" TargetMode="External"/><Relationship Id="rId268" Type="http://schemas.openxmlformats.org/officeDocument/2006/relationships/hyperlink" Target="http://www.wsis.org/" TargetMode="External"/><Relationship Id="rId475" Type="http://schemas.openxmlformats.org/officeDocument/2006/relationships/hyperlink" Target="https://www.itu.int/rec/T-REC-L.1061/en" TargetMode="External"/><Relationship Id="rId32" Type="http://schemas.openxmlformats.org/officeDocument/2006/relationships/hyperlink" Target="https://www.itu.int/partner2connect/" TargetMode="External"/><Relationship Id="rId128" Type="http://schemas.openxmlformats.org/officeDocument/2006/relationships/hyperlink" Target="https://www.itu.int/epublications/ar/publication/itu-t-tr-mmwf-2025-02-methodologies-to-mitigate-wangiri-fraud" TargetMode="External"/><Relationship Id="rId335" Type="http://schemas.openxmlformats.org/officeDocument/2006/relationships/hyperlink" Target="https://www.itu.int/en/ITU-R/study-groups/rsg4/Pages/Workshop-ITU-in-Service-of-Space.aspx" TargetMode="External"/><Relationship Id="rId542" Type="http://schemas.openxmlformats.org/officeDocument/2006/relationships/hyperlink" Target="https://www.itu.int/en/ITU-T/extcoop/cits/egcomad/Pages/default.aspx" TargetMode="External"/><Relationship Id="rId181" Type="http://schemas.openxmlformats.org/officeDocument/2006/relationships/hyperlink" Target="https://www.itu.int/en/action/ai/Pages/default.aspx" TargetMode="External"/><Relationship Id="rId402" Type="http://schemas.openxmlformats.org/officeDocument/2006/relationships/hyperlink" Target="https://www.itu.int/generationconnect/wp-content/uploads/2020/11/ITU_Youth_Strategy.pdf" TargetMode="External"/><Relationship Id="rId279" Type="http://schemas.openxmlformats.org/officeDocument/2006/relationships/hyperlink" Target="https://www.itu.int/en/itu-wsis/Pages/Contribution.aspx" TargetMode="External"/><Relationship Id="rId486" Type="http://schemas.openxmlformats.org/officeDocument/2006/relationships/hyperlink" Target="https://www.itu.int/initiatives/green-digital-action/events/all/cop28/" TargetMode="External"/><Relationship Id="rId43" Type="http://schemas.openxmlformats.org/officeDocument/2006/relationships/image" Target="media/image1.png"/><Relationship Id="rId139" Type="http://schemas.openxmlformats.org/officeDocument/2006/relationships/hyperlink" Target="https://aiforgood.itu.int/ai-standards-exchange/" TargetMode="External"/><Relationship Id="rId346" Type="http://schemas.openxmlformats.org/officeDocument/2006/relationships/hyperlink" Target="https://www.itu.int/en/ITU-T/Workshops-and-Seminars/2022/Pages/default.aspx" TargetMode="External"/><Relationship Id="rId553" Type="http://schemas.openxmlformats.org/officeDocument/2006/relationships/hyperlink" Target="https://www.worldstandardscooperation.org/what-we-do/world-standards-day/" TargetMode="External"/><Relationship Id="rId192" Type="http://schemas.openxmlformats.org/officeDocument/2006/relationships/hyperlink" Target="https://www.worldstandardscooperation.org/" TargetMode="External"/><Relationship Id="rId206" Type="http://schemas.openxmlformats.org/officeDocument/2006/relationships/hyperlink" Target="https://unsceb.org/sites/default/files/2024-04/United%20Nations%20System%20White%20Paper%20on%20AI%20Governance.pdf" TargetMode="External"/><Relationship Id="rId413" Type="http://schemas.openxmlformats.org/officeDocument/2006/relationships/hyperlink" Target="https://www.itu.int/generationconnect/ar/generation-connect-podcast/" TargetMode="External"/><Relationship Id="rId497" Type="http://schemas.openxmlformats.org/officeDocument/2006/relationships/hyperlink" Target="https://www.itu.int/initiatives/digital-unga2025/" TargetMode="External"/><Relationship Id="rId357" Type="http://schemas.openxmlformats.org/officeDocument/2006/relationships/hyperlink" Target="https://www.itu.int/itu-d/sites/digital-impact-unlocked/building-digital-capacity-for-the-future-atc-programme-update/" TargetMode="External"/><Relationship Id="rId54" Type="http://schemas.openxmlformats.org/officeDocument/2006/relationships/hyperlink" Target="https://www.itu.int/pub/R-RES-R.1" TargetMode="External"/><Relationship Id="rId217" Type="http://schemas.openxmlformats.org/officeDocument/2006/relationships/hyperlink" Target="https://www.itu.int/en/ITU-T/studygroups/2025-2028/17/Pages/default.aspx" TargetMode="External"/><Relationship Id="rId564" Type="http://schemas.openxmlformats.org/officeDocument/2006/relationships/hyperlink" Target="https://ituint.sharepoint.com/sites/DocsC2635andPP2620/Shared%20Documents/General/itu.int/pub/publications.aspx?lang=en&amp;parent=T-FG-AI4NDM-2022-1" TargetMode="External"/><Relationship Id="rId424" Type="http://schemas.openxmlformats.org/officeDocument/2006/relationships/hyperlink" Target="https://aiforgood.itu.int/the-5th-edition-of-the-itu-ai-ml-in-5g-challenge-a-year-of-competitions-in-review/" TargetMode="External"/><Relationship Id="rId270" Type="http://schemas.openxmlformats.org/officeDocument/2006/relationships/hyperlink" Target="https://www.itu.int/md/S24-CL-C-0141/en" TargetMode="External"/><Relationship Id="rId65" Type="http://schemas.openxmlformats.org/officeDocument/2006/relationships/hyperlink" Target="https://www.itu.int/ar/ITU-T/studygroups/2022-2024/09/Pages/default.aspx" TargetMode="External"/><Relationship Id="rId130" Type="http://schemas.openxmlformats.org/officeDocument/2006/relationships/hyperlink" Target="https://www.itu.int/dms_pub/itu-t/opb/res/T-RES-T.91-2024-PDF-a.pdf" TargetMode="External"/><Relationship Id="rId368" Type="http://schemas.openxmlformats.org/officeDocument/2006/relationships/hyperlink" Target="https://www.itu.int/women-and-girls/girls-in-ict/international-girls-in-ict-day-2026/overview/" TargetMode="External"/><Relationship Id="rId575" Type="http://schemas.openxmlformats.org/officeDocument/2006/relationships/hyperlink" Target="https://aiforgood.itu.int/ai-for-food-systems/" TargetMode="External"/><Relationship Id="rId228" Type="http://schemas.openxmlformats.org/officeDocument/2006/relationships/hyperlink" Target="https://aiforgood.itu.int/the-future-leaders-in-quantum-hackathon/" TargetMode="External"/><Relationship Id="rId435" Type="http://schemas.openxmlformats.org/officeDocument/2006/relationships/hyperlink" Target="https://www.itu.int/en/ITU-D/Digital-Inclusion/Pages/itu-ilo/default.aspx" TargetMode="External"/><Relationship Id="rId281" Type="http://schemas.openxmlformats.org/officeDocument/2006/relationships/hyperlink" Target="https://www.itu.int/net4/wsis/forum/2023/ar" TargetMode="External"/><Relationship Id="rId502" Type="http://schemas.openxmlformats.org/officeDocument/2006/relationships/hyperlink" Target="https://eur03.safelinks.protection.outlook.com/?url=https%3A%2F%2Fwww.broadbandcommission.org%2Fadvocacy-targets%2F&amp;data=05|02|fernando.rivera%40itu.int|25850ebcdcaa42ef3ee508de787057c6|23e464d704e64b87913c24bd89219fd3|0|0|639080621055817585|Unknown|TWFpbGZsb3d8eyJFbXB0eU1hcGkiOnRydWUsIlYiOiIwLjAuMDAwMCIsIlAiOiJXaW4zMiIsIkFOIjoiTWFpbCIsIldUIjoyfQ%3D%3D|0|||&amp;sdata=J8lDblSbqY2Xrn%2B5MyEFSqfWmw1%2F6GX1YMEfzfleFJU%3D&amp;reserved=0" TargetMode="External"/><Relationship Id="rId76" Type="http://schemas.openxmlformats.org/officeDocument/2006/relationships/hyperlink" Target="https://www.itu.int/itu-d/meetings/wtdc25/wp-content/uploads/sites/29/2025/12/Study-Group-Questions-2026-2029.pdf" TargetMode="External"/><Relationship Id="rId141" Type="http://schemas.openxmlformats.org/officeDocument/2006/relationships/hyperlink" Target="https://www.itu.int/pub/T-RES-T.44-2024" TargetMode="External"/><Relationship Id="rId379" Type="http://schemas.openxmlformats.org/officeDocument/2006/relationships/hyperlink" Target="https://www.equalsintech.org/_files/ugd/04bfff_cc8e6f166c2e41beabc88cbb3226f66f.pdf" TargetMode="External"/><Relationship Id="rId586" Type="http://schemas.openxmlformats.org/officeDocument/2006/relationships/hyperlink" Target="https://www.un.org/un80-initiative/sites/default/files/2025-11/UN80_Initiative_Action_Plan.pdf" TargetMode="External"/><Relationship Id="rId7" Type="http://schemas.openxmlformats.org/officeDocument/2006/relationships/endnotes" Target="endnotes.xml"/><Relationship Id="rId239" Type="http://schemas.openxmlformats.org/officeDocument/2006/relationships/hyperlink" Target="https://www.itu.int/en/ITU-T/studygroups/2025-2028/20/Pages/default.aspx" TargetMode="External"/><Relationship Id="rId446" Type="http://schemas.openxmlformats.org/officeDocument/2006/relationships/hyperlink" Target="https://www.itu.int/en/ITU-T/accessibility/Pages/default.aspx" TargetMode="External"/><Relationship Id="rId292" Type="http://schemas.openxmlformats.org/officeDocument/2006/relationships/hyperlink" Target="https://docs.un.org/ar/E/RES/2025/18" TargetMode="External"/><Relationship Id="rId306" Type="http://schemas.openxmlformats.org/officeDocument/2006/relationships/hyperlink" Target="https://gss.itu.int/" TargetMode="External"/><Relationship Id="rId87" Type="http://schemas.openxmlformats.org/officeDocument/2006/relationships/hyperlink" Target="https://www.itu.int/itu-d/reports/statistics/2025/10/15/ff25-mobile-network-coverage/" TargetMode="External"/><Relationship Id="rId513" Type="http://schemas.openxmlformats.org/officeDocument/2006/relationships/hyperlink" Target="https://www.equalsintech.org/" TargetMode="External"/><Relationship Id="rId597" Type="http://schemas.openxmlformats.org/officeDocument/2006/relationships/footer" Target="footer2.xml"/><Relationship Id="rId152" Type="http://schemas.openxmlformats.org/officeDocument/2006/relationships/hyperlink" Target="https://www.itu.int/pub/T-RES-T.67-2024" TargetMode="External"/><Relationship Id="rId457" Type="http://schemas.openxmlformats.org/officeDocument/2006/relationships/hyperlink" Target="https://www.itu.int/ar/ITU-R/information/Pages/disabilities-divide.aspx" TargetMode="External"/><Relationship Id="rId261" Type="http://schemas.openxmlformats.org/officeDocument/2006/relationships/hyperlink" Target="https://academy.itu.int/research-advocacy-and-convening-platforms/research-publications/digital-skills-toolkit" TargetMode="External"/><Relationship Id="rId499" Type="http://schemas.openxmlformats.org/officeDocument/2006/relationships/hyperlink" Target="https://www.itu.int/initiatives/sdgdigital2024/" TargetMode="External"/><Relationship Id="rId14" Type="http://schemas.openxmlformats.org/officeDocument/2006/relationships/hyperlink" Target="https://pp.itu.int/2022/ar/" TargetMode="External"/><Relationship Id="rId56" Type="http://schemas.openxmlformats.org/officeDocument/2006/relationships/hyperlink" Target="https://www.itu.int/pub/R-RES-R.56" TargetMode="External"/><Relationship Id="rId317" Type="http://schemas.openxmlformats.org/officeDocument/2006/relationships/hyperlink" Target="https://www.itu.int/hub/2025/09/new-itu-academic-collaboration-on-technology-trends/" TargetMode="External"/><Relationship Id="rId359" Type="http://schemas.openxmlformats.org/officeDocument/2006/relationships/hyperlink" Target="https://www.itu.int/itu-d/sites/priorities/enablers-of-itu-d-priorities/regional-presence/" TargetMode="External"/><Relationship Id="rId524" Type="http://schemas.openxmlformats.org/officeDocument/2006/relationships/hyperlink" Target="https://www.equalsintech.org/awards" TargetMode="External"/><Relationship Id="rId566" Type="http://schemas.openxmlformats.org/officeDocument/2006/relationships/hyperlink" Target="https://www.itu.int/pub/T-FG-AI4NDM-2023-3" TargetMode="External"/><Relationship Id="rId98" Type="http://schemas.openxmlformats.org/officeDocument/2006/relationships/image" Target="media/image9.png"/><Relationship Id="rId121" Type="http://schemas.openxmlformats.org/officeDocument/2006/relationships/hyperlink" Target="https://www.itu.int/sales/digital-publications/pub/r-sp-lm.mm" TargetMode="External"/><Relationship Id="rId163" Type="http://schemas.openxmlformats.org/officeDocument/2006/relationships/hyperlink" Target="https://www.itu.int/en/ITU-D/Cybersecurity/Pages/global-cybersecurity-index.aspx" TargetMode="External"/><Relationship Id="rId219" Type="http://schemas.openxmlformats.org/officeDocument/2006/relationships/hyperlink" Target="https://www.itu.int/rec/T-REC-Y.3809/en" TargetMode="External"/><Relationship Id="rId370" Type="http://schemas.openxmlformats.org/officeDocument/2006/relationships/hyperlink" Target="https://www.itu.int/en/ITU-D/Cybersecurity/Pages/Women-in-Cyber/Women-in-Cyber-Mentorship-Programme.aspx" TargetMode="External"/><Relationship Id="rId426" Type="http://schemas.openxmlformats.org/officeDocument/2006/relationships/hyperlink" Target="https://www.itu.int/metaverse/un-virtual-worlds-day/thinkathon/" TargetMode="External"/><Relationship Id="rId230" Type="http://schemas.openxmlformats.org/officeDocument/2006/relationships/hyperlink" Target="https://www.itu.int/en/ITU-T/focusgroups/mv/Pages/default.aspx" TargetMode="External"/><Relationship Id="rId468" Type="http://schemas.openxmlformats.org/officeDocument/2006/relationships/hyperlink" Target="https://www.silvereconomyforum.com/" TargetMode="External"/><Relationship Id="rId25" Type="http://schemas.openxmlformats.org/officeDocument/2006/relationships/hyperlink" Target="https://academy.itu.int/" TargetMode="External"/><Relationship Id="rId67" Type="http://schemas.openxmlformats.org/officeDocument/2006/relationships/hyperlink" Target="https://www.itu.int/en/ITU-T/studygroups/2025-2028/21/Pages/default.aspx" TargetMode="External"/><Relationship Id="rId272" Type="http://schemas.openxmlformats.org/officeDocument/2006/relationships/hyperlink" Target="https://www.itu.int/itu-d/meetings/wtdc25/wp-content/uploads/sites/29/2025/11/090-E.pdf" TargetMode="External"/><Relationship Id="rId328" Type="http://schemas.openxmlformats.org/officeDocument/2006/relationships/hyperlink" Target="https://www.itu.int/en/ITU-R/seminars/rrs/rrs-22-ee/Pages/default.aspx" TargetMode="External"/><Relationship Id="rId535" Type="http://schemas.openxmlformats.org/officeDocument/2006/relationships/hyperlink" Target="https://www.itu.int/cities/digitaltransformationdialogues/" TargetMode="External"/><Relationship Id="rId577" Type="http://schemas.openxmlformats.org/officeDocument/2006/relationships/hyperlink" Target="https://www.itu.int/en/ITU-T/focusgroups/ai4h/Pages/default.aspx" TargetMode="External"/><Relationship Id="rId132" Type="http://schemas.openxmlformats.org/officeDocument/2006/relationships/hyperlink" Target="https://www.itu.int/pub/R-REC/ar" TargetMode="External"/><Relationship Id="rId174" Type="http://schemas.openxmlformats.org/officeDocument/2006/relationships/hyperlink" Target="https://www.itu.int/en/ITU-T/publications/Pages/recs.aspx" TargetMode="External"/><Relationship Id="rId381" Type="http://schemas.openxmlformats.org/officeDocument/2006/relationships/hyperlink" Target="https://www.itu.int/women-and-girls/girls-in-ict/international-girls-in-ict-day-2026/overview/" TargetMode="External"/><Relationship Id="rId241" Type="http://schemas.openxmlformats.org/officeDocument/2006/relationships/hyperlink" Target="https://www.itu.int/ITU-T/recommendations/index_sg.aspx?sg=20" TargetMode="External"/><Relationship Id="rId437" Type="http://schemas.openxmlformats.org/officeDocument/2006/relationships/hyperlink" Target="https://www.itu.int/en/ITU-D/Digital-Inclusion/Persons-with-Disabilities/Documents/Toolkit_Interactive_Self-Assessment_in_ICT_Accessibility.xlsm" TargetMode="External"/><Relationship Id="rId479" Type="http://schemas.openxmlformats.org/officeDocument/2006/relationships/hyperlink" Target="https://www.itu.int/en/action/environment-and-climate-change/Documents/publications/2023/Scope-3-Guidance-2023.pdf" TargetMode="External"/><Relationship Id="rId36" Type="http://schemas.openxmlformats.org/officeDocument/2006/relationships/hyperlink" Target="https://www.itu.int/initiatives/green-digital-action/" TargetMode="External"/><Relationship Id="rId283" Type="http://schemas.openxmlformats.org/officeDocument/2006/relationships/hyperlink" Target="https://www.itu.int/net4/wsis/forum/2026/ar" TargetMode="External"/><Relationship Id="rId339" Type="http://schemas.openxmlformats.org/officeDocument/2006/relationships/hyperlink" Target="https://www.itu.int/en/ITU-R/seminars/Fixed-Wireless-Service/Pages/default.aspx" TargetMode="External"/><Relationship Id="rId490" Type="http://schemas.openxmlformats.org/officeDocument/2006/relationships/hyperlink" Target="https://www.itu.int/initiatives/green-digital-action/events/all/cop29/declaration/" TargetMode="External"/><Relationship Id="rId504" Type="http://schemas.openxmlformats.org/officeDocument/2006/relationships/hyperlink" Target="https://eur03.safelinks.protection.outlook.com/?url=https%3A%2F%2Fbroadbandcommission.org%2Fstate-of-broadband-archive%2F&amp;data=05|02|fernando.rivera%40itu.int|25850ebcdcaa42ef3ee508de787057c6|23e464d704e64b87913c24bd89219fd3|0|0|639080621055853452|Unknown|TWFpbGZsb3d8eyJFbXB0eU1hcGkiOnRydWUsIlYiOiIwLjAuMDAwMCIsIlAiOiJXaW4zMiIsIkFOIjoiTWFpbCIsIldUIjoyfQ%3D%3D|0|||&amp;sdata=UyIYANuTJEqw2Dvx2tBLtNjokDOK5uGxDM%2Bh%2BEcZTJI%3D&amp;reserved=0" TargetMode="External"/><Relationship Id="rId546" Type="http://schemas.openxmlformats.org/officeDocument/2006/relationships/hyperlink" Target="https://fnc.itu.int/" TargetMode="External"/><Relationship Id="rId78" Type="http://schemas.openxmlformats.org/officeDocument/2006/relationships/hyperlink" Target="https://www.itu.int/md/meetingdoc.asp?lang=en&amp;parent=D22-WTDC25-INF-0008" TargetMode="External"/><Relationship Id="rId101" Type="http://schemas.openxmlformats.org/officeDocument/2006/relationships/hyperlink" Target="https://www.itu.int/itu-d/reports/statistics/2025/10/15/ff25-internet-use/" TargetMode="External"/><Relationship Id="rId143" Type="http://schemas.openxmlformats.org/officeDocument/2006/relationships/image" Target="media/image15.png"/><Relationship Id="rId185" Type="http://schemas.openxmlformats.org/officeDocument/2006/relationships/hyperlink" Target="https://www.itu.int/en/ITU-T/focusgroups/ai4ndm/Pages/default.aspx" TargetMode="External"/><Relationship Id="rId350" Type="http://schemas.openxmlformats.org/officeDocument/2006/relationships/hyperlink" Target="https://aiforgood.itu.int/ai-events-calendar/" TargetMode="External"/><Relationship Id="rId406" Type="http://schemas.openxmlformats.org/officeDocument/2006/relationships/hyperlink" Target="https://www.youtube.com/watch?v=j1o2mY676TA" TargetMode="External"/><Relationship Id="rId588" Type="http://schemas.openxmlformats.org/officeDocument/2006/relationships/hyperlink" Target="https://www.itu.int/md/S24-CL-C-0052/en" TargetMode="External"/><Relationship Id="rId9" Type="http://schemas.openxmlformats.org/officeDocument/2006/relationships/hyperlink" Target="https://www.itu.int/en/council/Documents/basic-texts-2023/RES-071-a.pdf" TargetMode="External"/><Relationship Id="rId210" Type="http://schemas.openxmlformats.org/officeDocument/2006/relationships/hyperlink" Target="https://docs.un.org/ar/A/RES/80/173" TargetMode="External"/><Relationship Id="rId392" Type="http://schemas.openxmlformats.org/officeDocument/2006/relationships/hyperlink" Target="https://wtisd.itu.int/2025/about/2025-theme/" TargetMode="External"/><Relationship Id="rId448" Type="http://schemas.openxmlformats.org/officeDocument/2006/relationships/hyperlink" Target="https://www.itu.int/rec/T-REC-F.780.2" TargetMode="External"/><Relationship Id="rId252" Type="http://schemas.openxmlformats.org/officeDocument/2006/relationships/hyperlink" Target="https://www.itu.int/en/ITU-D/Statistics/Pages/capacitydev/default.aspx" TargetMode="External"/><Relationship Id="rId294" Type="http://schemas.openxmlformats.org/officeDocument/2006/relationships/hyperlink" Target="https://www.itu.int/en/itu-wsis/Pages/WSIS-Fund-in-Trust.aspx" TargetMode="External"/><Relationship Id="rId308" Type="http://schemas.openxmlformats.org/officeDocument/2006/relationships/hyperlink" Target="https://www.itu.int/en/ITU-D/Conferences/GSR/Pages/GSR.aspx" TargetMode="External"/><Relationship Id="rId515" Type="http://schemas.openxmlformats.org/officeDocument/2006/relationships/hyperlink" Target="https://www.equalsintech.org/access" TargetMode="External"/><Relationship Id="rId47" Type="http://schemas.openxmlformats.org/officeDocument/2006/relationships/hyperlink" Target="https://www.itu.int/en/council/Documents/basic-texts-2023/DEC-005-a.pdf" TargetMode="External"/><Relationship Id="rId89" Type="http://schemas.openxmlformats.org/officeDocument/2006/relationships/hyperlink" Target="https://datahub.itu.int/data/?e=KAZ&amp;i=36056" TargetMode="External"/><Relationship Id="rId112" Type="http://schemas.openxmlformats.org/officeDocument/2006/relationships/hyperlink" Target="https://www.itu.int/itu-d/reports/statistics/global-connectivity-report-2025/" TargetMode="External"/><Relationship Id="rId154" Type="http://schemas.openxmlformats.org/officeDocument/2006/relationships/hyperlink" Target="https://www.itu.int/en/ITU-T/gap/Documents/nss-rep-may.pdf" TargetMode="External"/><Relationship Id="rId361" Type="http://schemas.openxmlformats.org/officeDocument/2006/relationships/hyperlink" Target="https://www.itu.int/md/S26-CL-C-0024/en" TargetMode="External"/><Relationship Id="rId557" Type="http://schemas.openxmlformats.org/officeDocument/2006/relationships/hyperlink" Target="https://aiforgood.itu.int/ai-standards/" TargetMode="External"/><Relationship Id="rId599" Type="http://schemas.openxmlformats.org/officeDocument/2006/relationships/theme" Target="theme/theme1.xml"/><Relationship Id="rId196" Type="http://schemas.openxmlformats.org/officeDocument/2006/relationships/hyperlink" Target="https://aiforgood.itu.int/robotics-for-good-youth-challenge/" TargetMode="External"/><Relationship Id="rId417" Type="http://schemas.openxmlformats.org/officeDocument/2006/relationships/hyperlink" Target="https://www.itu.int/en/action/youth/Pages/itu-secretary-generals-youth-advisory-board.aspx" TargetMode="External"/><Relationship Id="rId459" Type="http://schemas.openxmlformats.org/officeDocument/2006/relationships/hyperlink" Target="https://www.itu.int/pub/R-REP-BT.2207" TargetMode="External"/><Relationship Id="rId16" Type="http://schemas.openxmlformats.org/officeDocument/2006/relationships/hyperlink" Target="https://www.itu.int/ra-23/" TargetMode="External"/><Relationship Id="rId221" Type="http://schemas.openxmlformats.org/officeDocument/2006/relationships/hyperlink" Target="https://www.itu.int/en/ITU-T/jca/qkdn/Pages/default.aspx" TargetMode="External"/><Relationship Id="rId263" Type="http://schemas.openxmlformats.org/officeDocument/2006/relationships/hyperlink" Target="https://aiforgood.itu.int/ai-skills-coalition/" TargetMode="External"/><Relationship Id="rId319" Type="http://schemas.openxmlformats.org/officeDocument/2006/relationships/hyperlink" Target="https://www.itu.int/en/journal/j-fet/webinars/Pages/default.aspx" TargetMode="External"/><Relationship Id="rId470" Type="http://schemas.openxmlformats.org/officeDocument/2006/relationships/hyperlink" Target="https://academy.itu.int/training-courses/full-catalogue/icts-better-ageing-and-livelihood-digital-landscape-1" TargetMode="External"/><Relationship Id="rId526" Type="http://schemas.openxmlformats.org/officeDocument/2006/relationships/hyperlink" Target="https://www.itu.int/metaverse/virtual-worlds/about/" TargetMode="External"/><Relationship Id="rId58" Type="http://schemas.openxmlformats.org/officeDocument/2006/relationships/hyperlink" Target="https://www.itu.int/pub/R-RES-R.72" TargetMode="External"/><Relationship Id="rId123" Type="http://schemas.openxmlformats.org/officeDocument/2006/relationships/hyperlink" Target="https://www.itu.int/ITU-R/terrasys" TargetMode="External"/><Relationship Id="rId330" Type="http://schemas.openxmlformats.org/officeDocument/2006/relationships/hyperlink" Target="https://www.itu.int/en/ITU-R/seminars/rrs/RRS-23-Americas/Pages/default.aspx" TargetMode="External"/><Relationship Id="rId568" Type="http://schemas.openxmlformats.org/officeDocument/2006/relationships/hyperlink" Target="https://www.itu.int/pub/T-FG-AI4NDM-2023-2" TargetMode="External"/><Relationship Id="rId165" Type="http://schemas.openxmlformats.org/officeDocument/2006/relationships/hyperlink" Target="https://academy.itu.int/training-courses/full-catalogue/her-cybertracks" TargetMode="External"/><Relationship Id="rId372" Type="http://schemas.openxmlformats.org/officeDocument/2006/relationships/hyperlink" Target="https://www.equalsintech.org/her-digital-skills" TargetMode="External"/><Relationship Id="rId428" Type="http://schemas.openxmlformats.org/officeDocument/2006/relationships/hyperlink" Target="https://www.itu.int/md/S21-CL-C-0072/en" TargetMode="External"/><Relationship Id="rId232" Type="http://schemas.openxmlformats.org/officeDocument/2006/relationships/hyperlink" Target="https://www.itu.int/en/ITU-T/focusgroups/mv/Pages/FG-MV-structure-and-workplan.aspx" TargetMode="External"/><Relationship Id="rId274" Type="http://schemas.openxmlformats.org/officeDocument/2006/relationships/hyperlink" Target="https://www.itu.int/pub/R-RES-R.61" TargetMode="External"/><Relationship Id="rId481" Type="http://schemas.openxmlformats.org/officeDocument/2006/relationships/hyperlink" Target="https://academy.itu.int/training-courses/full-catalogue/green-data-centres-policy-makers" TargetMode="External"/><Relationship Id="rId27" Type="http://schemas.openxmlformats.org/officeDocument/2006/relationships/hyperlink" Target="https://www.itu.int/itu-d/meetings/digital-skills-forum/" TargetMode="External"/><Relationship Id="rId69" Type="http://schemas.openxmlformats.org/officeDocument/2006/relationships/hyperlink" Target="https://www.itu.int/dms_pub/itu-t/opb/res/T-RES-T.2-2024-PDF-a.pdf" TargetMode="External"/><Relationship Id="rId134" Type="http://schemas.openxmlformats.org/officeDocument/2006/relationships/hyperlink" Target="https://www.itu.int/en/ITU-T/focusgroups/Pages/default.aspx" TargetMode="External"/><Relationship Id="rId537" Type="http://schemas.openxmlformats.org/officeDocument/2006/relationships/hyperlink" Target="https://www.itu.int/cities/dt-resource-hub/" TargetMode="External"/><Relationship Id="rId579" Type="http://schemas.openxmlformats.org/officeDocument/2006/relationships/hyperlink" Target="https://www.itu.int/en/ITU-T/focusgroups/ai4h/Pages/deliverables.aspx" TargetMode="External"/><Relationship Id="rId80" Type="http://schemas.openxmlformats.org/officeDocument/2006/relationships/hyperlink" Target="https://www.itu.int/highlights-report-activities/connect2030-agenda/" TargetMode="External"/><Relationship Id="rId176" Type="http://schemas.openxmlformats.org/officeDocument/2006/relationships/hyperlink" Target="https://itu.int/go/SIG-SECURITY" TargetMode="External"/><Relationship Id="rId341" Type="http://schemas.openxmlformats.org/officeDocument/2006/relationships/hyperlink" Target="https://www.itu.int/en/ITU-D/Regional-Presence/Africa/Pages/EVENTS/2024/SADC-NETP-EW4All-Workshop.aspx" TargetMode="External"/><Relationship Id="rId383" Type="http://schemas.openxmlformats.org/officeDocument/2006/relationships/hyperlink" Target="https://www.itu.int/now4wrc/" TargetMode="External"/><Relationship Id="rId439" Type="http://schemas.openxmlformats.org/officeDocument/2006/relationships/hyperlink" Target="https://www.itu.int/en/ITU-D/Digital-Inclusion/Documents/Formato%20de%20evaluaci&#243;n%20UIT%20para%20la%20Accesibilidad%20TIC%20-%20FINAL_1.xlsm" TargetMode="External"/><Relationship Id="rId590" Type="http://schemas.openxmlformats.org/officeDocument/2006/relationships/hyperlink" Target="https://www.itu.int/md/S26-CWGFHR22-C-0015/en" TargetMode="External"/><Relationship Id="rId201" Type="http://schemas.openxmlformats.org/officeDocument/2006/relationships/hyperlink" Target="https://academy.itu.int/" TargetMode="External"/><Relationship Id="rId243" Type="http://schemas.openxmlformats.org/officeDocument/2006/relationships/image" Target="media/image17.png"/><Relationship Id="rId285" Type="http://schemas.openxmlformats.org/officeDocument/2006/relationships/hyperlink" Target="https://www.itu.int/md/S22-CL-C-0059/en" TargetMode="External"/><Relationship Id="rId450" Type="http://schemas.openxmlformats.org/officeDocument/2006/relationships/hyperlink" Target="https://www.itu.int/rec/T-REC-H.871" TargetMode="External"/><Relationship Id="rId506" Type="http://schemas.openxmlformats.org/officeDocument/2006/relationships/hyperlink" Target="https://eur03.safelinks.protection.outlook.com/?url=https%3A%2F%2Fwww.broadbandcommission.org%2Fworking-groups%2Fdata-governance%2F&amp;data=05|02|fernando.rivera%40itu.int|25850ebcdcaa42ef3ee508de787057c6|23e464d704e64b87913c24bd89219fd3|0|0|639080621056101043|Unknown|TWFpbGZsb3d8eyJFbXB0eU1hcGkiOnRydWUsIlYiOiIwLjAuMDAwMCIsIlAiOiJXaW4zMiIsIkFOIjoiTWFpbCIsIldUIjoyfQ%3D%3D|0|||&amp;sdata=GAN1gBpXIDcfVxFX%2FTj49L4aDTzWNI7VfYHi3MWtRjg%3D&amp;reserved=0" TargetMode="External"/><Relationship Id="rId38" Type="http://schemas.openxmlformats.org/officeDocument/2006/relationships/hyperlink" Target="https://www.itu.int/digital-resilience/submarine-cables/events/about-porto-summit/" TargetMode="External"/><Relationship Id="rId103" Type="http://schemas.openxmlformats.org/officeDocument/2006/relationships/hyperlink" Target="https://www.itu.int/itu-d/reports/statistics/2025/10/15/ff25-the-gender-digital-divide/" TargetMode="External"/><Relationship Id="rId310" Type="http://schemas.openxmlformats.org/officeDocument/2006/relationships/hyperlink" Target="https://www.itu.int/en/ITU-D/Regulatory-Market/Documents/GSR23/GSR-23_Best%20Practice%20Guidelines-E.pdf" TargetMode="External"/><Relationship Id="rId492" Type="http://schemas.openxmlformats.org/officeDocument/2006/relationships/hyperlink" Target="https://www.itu.int/initiatives/green-digital-action/ai-climate-institute/" TargetMode="External"/><Relationship Id="rId548" Type="http://schemas.openxmlformats.org/officeDocument/2006/relationships/hyperlink" Target="https://www.itu.int/en/ITU-T/extcoop/cits/Pages/related-events.aspx" TargetMode="External"/><Relationship Id="rId91" Type="http://schemas.openxmlformats.org/officeDocument/2006/relationships/hyperlink" Target="https://datahub.itu.int/data/?e=KAZ&amp;i=36056" TargetMode="External"/><Relationship Id="rId145" Type="http://schemas.openxmlformats.org/officeDocument/2006/relationships/hyperlink" Target="https://www.itu.int/en/ITU-T/regionalgroups/Pages/default.aspx" TargetMode="External"/><Relationship Id="rId187" Type="http://schemas.openxmlformats.org/officeDocument/2006/relationships/hyperlink" Target="https://www.itu.int/en/ITU-T/extcoop/ai4resilience/Pages/default.aspx" TargetMode="External"/><Relationship Id="rId352" Type="http://schemas.openxmlformats.org/officeDocument/2006/relationships/hyperlink" Target="https://www.itu.int/net4/ITU-D/CDS/sg/doc/rgq/2018/D18-SG01-RGQ05.1-en.pdf" TargetMode="External"/><Relationship Id="rId394" Type="http://schemas.openxmlformats.org/officeDocument/2006/relationships/hyperlink" Target="https://publicadministration.desa.un.org/ar/node/2824" TargetMode="External"/><Relationship Id="rId408" Type="http://schemas.openxmlformats.org/officeDocument/2006/relationships/hyperlink" Target="https://www.itu.int/generationconnect/generation-connect-at-ldc5/" TargetMode="External"/><Relationship Id="rId212" Type="http://schemas.openxmlformats.org/officeDocument/2006/relationships/hyperlink" Target="https://www.itu.int/epublications/ar/publication/the-annual-ai-governance-report-2025-steering-the-future-of-ai" TargetMode="External"/><Relationship Id="rId254" Type="http://schemas.openxmlformats.org/officeDocument/2006/relationships/hyperlink" Target="https://www.itu.int/en/ITU-D/Statistics/Pages/intlcoop/default.aspx" TargetMode="External"/><Relationship Id="rId49" Type="http://schemas.openxmlformats.org/officeDocument/2006/relationships/hyperlink" Target="https://pp.itu.int/2022/ar/elections/elections-results/" TargetMode="External"/><Relationship Id="rId114" Type="http://schemas.openxmlformats.org/officeDocument/2006/relationships/hyperlink" Target="https://www.itu.int/en/ITU-D/Environment/Documents/Publications/2025/d-gen-e_waste.01-2024-pdf-e.pdf" TargetMode="External"/><Relationship Id="rId296" Type="http://schemas.openxmlformats.org/officeDocument/2006/relationships/hyperlink" Target="https://datahub.itu.int/" TargetMode="External"/><Relationship Id="rId461" Type="http://schemas.openxmlformats.org/officeDocument/2006/relationships/hyperlink" Target="http://www.itu.int/rec/R-REC-BT.1702" TargetMode="External"/><Relationship Id="rId517" Type="http://schemas.openxmlformats.org/officeDocument/2006/relationships/hyperlink" Target="https://www.equalsintech.org/leadership" TargetMode="External"/><Relationship Id="rId559" Type="http://schemas.openxmlformats.org/officeDocument/2006/relationships/hyperlink" Target="https://aiforgood.itu.int/ai-standards-exchange/" TargetMode="External"/><Relationship Id="rId60" Type="http://schemas.openxmlformats.org/officeDocument/2006/relationships/hyperlink" Target="https://www.itu.int/pub/R-RES-R.74" TargetMode="External"/><Relationship Id="rId156" Type="http://schemas.openxmlformats.org/officeDocument/2006/relationships/hyperlink" Target="https://www.itu.int/en/ITU-T/dfs/seclab/Pages/default.aspx" TargetMode="External"/><Relationship Id="rId198" Type="http://schemas.openxmlformats.org/officeDocument/2006/relationships/hyperlink" Target="https://aiforgood.itu.int/event/impact-africa/" TargetMode="External"/><Relationship Id="rId321" Type="http://schemas.openxmlformats.org/officeDocument/2006/relationships/hyperlink" Target="https://www.itu.int/en/ITU-T/academia/kaleidoscope/Pages/default.aspx" TargetMode="External"/><Relationship Id="rId363" Type="http://schemas.openxmlformats.org/officeDocument/2006/relationships/hyperlink" Target="https://www.itu.int/itu-d/meetings/wtdc25/" TargetMode="External"/><Relationship Id="rId419" Type="http://schemas.openxmlformats.org/officeDocument/2006/relationships/hyperlink" Target="https://www.itu.int/ar/action/youth/Pages/YPP.aspx" TargetMode="External"/><Relationship Id="rId570" Type="http://schemas.openxmlformats.org/officeDocument/2006/relationships/hyperlink" Target="https://www.medewsa.eu/" TargetMode="External"/><Relationship Id="rId223" Type="http://schemas.openxmlformats.org/officeDocument/2006/relationships/hyperlink" Target="https://www.itu.int/itu-t/landscape/?topic=tx467&amp;group=g&amp;search_text=" TargetMode="External"/><Relationship Id="rId430" Type="http://schemas.openxmlformats.org/officeDocument/2006/relationships/hyperlink" Target="https://www.itu.int/en/ITU-D/Regional-Presence/AsiaPacific/Pages/v2/regional-events.aspx" TargetMode="External"/><Relationship Id="rId18" Type="http://schemas.openxmlformats.org/officeDocument/2006/relationships/hyperlink" Target="https://www.itu.int/itu-d/meetings/wtdc25/" TargetMode="External"/><Relationship Id="rId265" Type="http://schemas.openxmlformats.org/officeDocument/2006/relationships/image" Target="media/image21.emf"/><Relationship Id="rId472" Type="http://schemas.openxmlformats.org/officeDocument/2006/relationships/hyperlink" Target="https://www.itu.int/dms_pub/itu-t/opb/env/T-ENV-ENV-2025-3-PDF-E.pdf" TargetMode="External"/><Relationship Id="rId528" Type="http://schemas.openxmlformats.org/officeDocument/2006/relationships/hyperlink" Target="https://www.itu.int/un-virtual-worlds-day/2024/" TargetMode="External"/><Relationship Id="rId125" Type="http://schemas.openxmlformats.org/officeDocument/2006/relationships/hyperlink" Target="https://www.itu.int/rec/T-REC-E.1120-202502-I" TargetMode="External"/><Relationship Id="rId167" Type="http://schemas.openxmlformats.org/officeDocument/2006/relationships/hyperlink" Target="https://meetings.unoda.org/meeting/57871" TargetMode="External"/><Relationship Id="rId332" Type="http://schemas.openxmlformats.org/officeDocument/2006/relationships/hyperlink" Target="https://www.itu.int/en/ITU-R/seminars/rrs/rrs-24-cis/Pages/default.aspx" TargetMode="External"/><Relationship Id="rId374" Type="http://schemas.openxmlformats.org/officeDocument/2006/relationships/hyperlink" Target="https://www.itu.int/en/ITU-D/Regional-Presence/Africa/Pages/African-Girls-Can-Code-Initiative-(AGCCI)-II.aspx" TargetMode="External"/><Relationship Id="rId581" Type="http://schemas.openxmlformats.org/officeDocument/2006/relationships/hyperlink" Target="https://www.un.org/sites/un2.un.org/files/sotf-pact_for_the_future_adopted.pdf" TargetMode="External"/><Relationship Id="rId71" Type="http://schemas.openxmlformats.org/officeDocument/2006/relationships/hyperlink" Target="https://www.itu.int/itu-d/meetings/wtdc25/" TargetMode="External"/><Relationship Id="rId234" Type="http://schemas.openxmlformats.org/officeDocument/2006/relationships/hyperlink" Target="https://www.itu.int/un-virtual-worlds-day/2025/" TargetMode="External"/><Relationship Id="rId2" Type="http://schemas.openxmlformats.org/officeDocument/2006/relationships/numbering" Target="numbering.xml"/><Relationship Id="rId29" Type="http://schemas.openxmlformats.org/officeDocument/2006/relationships/hyperlink" Target="https://www.itu.int/net4/wsis/forum/2026/ar" TargetMode="External"/><Relationship Id="rId276" Type="http://schemas.openxmlformats.org/officeDocument/2006/relationships/hyperlink" Target="http://www.wsis.org/stocktaking" TargetMode="External"/><Relationship Id="rId441" Type="http://schemas.openxmlformats.org/officeDocument/2006/relationships/hyperlink" Target="https://youtu.be/QHgdiGdzb6E" TargetMode="External"/><Relationship Id="rId483" Type="http://schemas.openxmlformats.org/officeDocument/2006/relationships/hyperlink" Target="https://www.itu.int/hub/2025/10/open-access-repository-for-sustainable-software-options/" TargetMode="External"/><Relationship Id="rId539" Type="http://schemas.openxmlformats.org/officeDocument/2006/relationships/hyperlink" Target="https://www.itu.int/en/ITU-T/extcoop/Documents/mou/ITU-SAE_International-20250711.pdf" TargetMode="External"/><Relationship Id="rId40" Type="http://schemas.openxmlformats.org/officeDocument/2006/relationships/hyperlink" Target="https://www.itu.int/md/S26-PP-C-0020/en" TargetMode="External"/><Relationship Id="rId136" Type="http://schemas.openxmlformats.org/officeDocument/2006/relationships/hyperlink" Target="https://www.itu.int/md/meetingdoc.asp?lang=en&amp;parent=T25-SG11-260303-TD-GEN-0909" TargetMode="External"/><Relationship Id="rId178" Type="http://schemas.openxmlformats.org/officeDocument/2006/relationships/hyperlink" Target="https://u4ssc.itu.int/" TargetMode="External"/><Relationship Id="rId301" Type="http://schemas.openxmlformats.org/officeDocument/2006/relationships/hyperlink" Target="https://aiforgood.itu.int/summit23/" TargetMode="External"/><Relationship Id="rId343" Type="http://schemas.openxmlformats.org/officeDocument/2006/relationships/hyperlink" Target="https://www.itu.int/en/ITU-R/study-groups/rsg7/rwp7d/Pages/seminar-radio-astronomy-2024.aspx" TargetMode="External"/><Relationship Id="rId550" Type="http://schemas.openxmlformats.org/officeDocument/2006/relationships/hyperlink" Target="https://www.itu.int/en/ITU-T/extcoop/Pages/wsc.aspx" TargetMode="External"/><Relationship Id="rId82" Type="http://schemas.openxmlformats.org/officeDocument/2006/relationships/hyperlink" Target="https://www.itu.int/highlights-report-activities/connect2030-agenda/" TargetMode="External"/><Relationship Id="rId203" Type="http://schemas.openxmlformats.org/officeDocument/2006/relationships/hyperlink" Target="https://www.itu.int/itu-d/meetings/wtdc25/wp-content/uploads/sites/29/2025/11/090-E.pdf" TargetMode="External"/><Relationship Id="rId385" Type="http://schemas.openxmlformats.org/officeDocument/2006/relationships/hyperlink" Target="https://www.itu.int/en/ITU-D/Digital-Inclusion/Women-and-Girls/NoW/Pages/default.aspx" TargetMode="External"/><Relationship Id="rId592" Type="http://schemas.openxmlformats.org/officeDocument/2006/relationships/hyperlink" Target="https://www.itu.int/en/council/dashboard/Pages/HumanResourcesReport.aspx" TargetMode="External"/><Relationship Id="rId245" Type="http://schemas.openxmlformats.org/officeDocument/2006/relationships/hyperlink" Target="https://www.itu.int/cities/digitaltransformationdialogues/" TargetMode="External"/><Relationship Id="rId287" Type="http://schemas.openxmlformats.org/officeDocument/2006/relationships/hyperlink" Target="https://www.itu.int/en/itu-wsis/Pages/CWG-WSIS%26SDG_Call_for_Inputs_2025.aspx" TargetMode="External"/><Relationship Id="rId410" Type="http://schemas.openxmlformats.org/officeDocument/2006/relationships/hyperlink" Target="https://indico.un.org/event/1002946/" TargetMode="External"/><Relationship Id="rId452" Type="http://schemas.openxmlformats.org/officeDocument/2006/relationships/hyperlink" Target="https://www.itu.int/rec/T-REC-H.872" TargetMode="External"/><Relationship Id="rId494" Type="http://schemas.openxmlformats.org/officeDocument/2006/relationships/hyperlink" Target="https://www.itu.int/initiatives/green-digital-action/about-us/partners/" TargetMode="External"/><Relationship Id="rId508" Type="http://schemas.openxmlformats.org/officeDocument/2006/relationships/hyperlink" Target="https://eur03.safelinks.protection.outlook.com/?url=https%3A%2F%2Fbroadbandcommission.org%2Fstate-of-broadband-2025-podcast%2F&amp;data=05|02|fernando.rivera%40itu.int|25850ebcdcaa42ef3ee508de787057c6|23e464d704e64b87913c24bd89219fd3|0|0|639080621056137338|Unknown|TWFpbGZsb3d8eyJFbXB0eU1hcGkiOnRydWUsIlYiOiIwLjAuMDAwMCIsIlAiOiJXaW4zMiIsIkFOIjoiTWFpbCIsIldUIjoyfQ%3D%3D|0|||&amp;sdata=STYv%2BQQk0dQHhLXOxFJqtX3LkVsMebGazJSl408zVp8%3D&amp;reserved=0" TargetMode="External"/><Relationship Id="rId105" Type="http://schemas.openxmlformats.org/officeDocument/2006/relationships/hyperlink" Target="https://www.itu.int/itu-d/reports/statistics/2025/10/15/ff25-youth-internet-use/" TargetMode="External"/><Relationship Id="rId147" Type="http://schemas.openxmlformats.org/officeDocument/2006/relationships/hyperlink" Target="https://www.itu.int/bsg/training-modules/" TargetMode="External"/><Relationship Id="rId312" Type="http://schemas.openxmlformats.org/officeDocument/2006/relationships/hyperlink" Target="https://www.itu.int/net/epub/BDT/2025-GSR-25-Best-Practice-Guidelines/index.html" TargetMode="External"/><Relationship Id="rId354" Type="http://schemas.openxmlformats.org/officeDocument/2006/relationships/hyperlink" Target="https://www.itu.int/en/ITU-D/Cybersecurity/pages/cyberdrills.aspx" TargetMode="External"/><Relationship Id="rId51" Type="http://schemas.openxmlformats.org/officeDocument/2006/relationships/hyperlink" Target="https://www.itu.int/en/publications/ITU-R/pages/publications.aspx?parent=R-ACT-WRC.16-2024&amp;media=electronic" TargetMode="External"/><Relationship Id="rId93" Type="http://schemas.openxmlformats.org/officeDocument/2006/relationships/image" Target="media/image7.png"/><Relationship Id="rId189" Type="http://schemas.openxmlformats.org/officeDocument/2006/relationships/hyperlink" Target="https://www.itu.int/hub/2023/07/new-un-initiative-aims-to-step-up-ais-contribution-to-health/" TargetMode="External"/><Relationship Id="rId396" Type="http://schemas.openxmlformats.org/officeDocument/2006/relationships/hyperlink" Target="https://www.unwomen.org/en/how-we-work/un-system-coordination/promoting-un-accountability" TargetMode="External"/><Relationship Id="rId561" Type="http://schemas.openxmlformats.org/officeDocument/2006/relationships/hyperlink" Target="https://dcm.itu.int/" TargetMode="External"/><Relationship Id="rId214" Type="http://schemas.openxmlformats.org/officeDocument/2006/relationships/hyperlink" Target="https://www.itu.int/net4/wsis/forum/2026/ar" TargetMode="External"/><Relationship Id="rId256" Type="http://schemas.openxmlformats.org/officeDocument/2006/relationships/image" Target="media/image18.png"/><Relationship Id="rId298" Type="http://schemas.openxmlformats.org/officeDocument/2006/relationships/hyperlink" Target="https://aiforgood.itu.int/ai-events-calendar/" TargetMode="External"/><Relationship Id="rId421" Type="http://schemas.openxmlformats.org/officeDocument/2006/relationships/hyperlink" Target="https://www.itu.int/md/S24-CL-C-0031/en" TargetMode="External"/><Relationship Id="rId463" Type="http://schemas.openxmlformats.org/officeDocument/2006/relationships/image" Target="media/image24.png"/><Relationship Id="rId519" Type="http://schemas.openxmlformats.org/officeDocument/2006/relationships/hyperlink" Target="https://www.equalsintech.org/tech4girls" TargetMode="External"/><Relationship Id="rId116" Type="http://schemas.openxmlformats.org/officeDocument/2006/relationships/hyperlink" Target="https://www.itu.int/wrc-27/" TargetMode="External"/><Relationship Id="rId158" Type="http://schemas.openxmlformats.org/officeDocument/2006/relationships/hyperlink" Target="https://www.itu.int/ar/ITU-T/C-I/Pages/default.aspx" TargetMode="External"/><Relationship Id="rId323" Type="http://schemas.openxmlformats.org/officeDocument/2006/relationships/hyperlink" Target="https://www.itu.int/en/ITU-T/academia/kaleidoscope/2026/Pages/default.aspx" TargetMode="External"/><Relationship Id="rId530" Type="http://schemas.openxmlformats.org/officeDocument/2006/relationships/hyperlink" Target="https://u4ssc.itu.int/" TargetMode="External"/><Relationship Id="rId20" Type="http://schemas.openxmlformats.org/officeDocument/2006/relationships/hyperlink" Target="https://www.itu.int/en/ITU-T/jca/mv/Pages/default.aspx" TargetMode="External"/><Relationship Id="rId62" Type="http://schemas.openxmlformats.org/officeDocument/2006/relationships/hyperlink" Target="https://www.itu.int/md/R23-WRC23-C-0217/en" TargetMode="External"/><Relationship Id="rId365" Type="http://schemas.openxmlformats.org/officeDocument/2006/relationships/image" Target="media/image23.png"/><Relationship Id="rId572" Type="http://schemas.openxmlformats.org/officeDocument/2006/relationships/hyperlink" Target="https://www.itu.int/en/ITU-T/focusgroups/ai4a/Pages/default.aspx" TargetMode="External"/><Relationship Id="rId225" Type="http://schemas.openxmlformats.org/officeDocument/2006/relationships/hyperlink" Target="https://aiforgood.itu.int/quantum-for-good/" TargetMode="External"/><Relationship Id="rId267" Type="http://schemas.openxmlformats.org/officeDocument/2006/relationships/hyperlink" Target="https://www.itu.int/en/ITU-D/Projects/Pages/reports/default.aspx" TargetMode="External"/><Relationship Id="rId432" Type="http://schemas.openxmlformats.org/officeDocument/2006/relationships/hyperlink" Target="https://www.itu.int/en/ITU-D/Regional-Presence/Europe/Pages/Events/2022/Accessible%20Europe%20ICT%204%20All%20Forum%20-%206%20Dec%202022/Accessible-Europe-ICT-4-All-Forum--Celebration-of-the-International-Day-of-Persons-with-Disabilities-.aspx" TargetMode="External"/><Relationship Id="rId474" Type="http://schemas.openxmlformats.org/officeDocument/2006/relationships/hyperlink" Target="https://www.itu.int/hub/publication/d-hdb-guidelines-04-2023/" TargetMode="External"/><Relationship Id="rId127" Type="http://schemas.openxmlformats.org/officeDocument/2006/relationships/hyperlink" Target="https://www.itu.int/dms_pub/itu-t/opb/res/T-RES-T.61-2024-PDF-a.pdf" TargetMode="External"/><Relationship Id="rId31" Type="http://schemas.openxmlformats.org/officeDocument/2006/relationships/hyperlink" Target="https://www.itu.int/en/ITU-T/extcoop/Pages/wsc.aspx" TargetMode="External"/><Relationship Id="rId73" Type="http://schemas.openxmlformats.org/officeDocument/2006/relationships/hyperlink" Target="https://www.itu.int/itu-d/meetings/wtdc25/wp-content/uploads/sites/29/2025/11/090-E.pdf" TargetMode="External"/><Relationship Id="rId169" Type="http://schemas.openxmlformats.org/officeDocument/2006/relationships/hyperlink" Target="https://www.itu.int/digital-resilience/submarine-cables/events/about-porto-summit/" TargetMode="External"/><Relationship Id="rId334" Type="http://schemas.openxmlformats.org/officeDocument/2006/relationships/hyperlink" Target="https://www.itu.int/en/ITU-R/conferences/wrc/2023/irwsp/Pages/2023.aspx" TargetMode="External"/><Relationship Id="rId376" Type="http://schemas.openxmlformats.org/officeDocument/2006/relationships/hyperlink" Target="https://www.equalsintech.org/post/evidence-to-impact-advancing-gender-empowerment-in-the-digital-age" TargetMode="External"/><Relationship Id="rId541" Type="http://schemas.openxmlformats.org/officeDocument/2006/relationships/hyperlink" Target="https://www.itu.int/itu-t/landscape/?topic=tx21&amp;group=g&amp;search_text=" TargetMode="External"/><Relationship Id="rId583" Type="http://schemas.openxmlformats.org/officeDocument/2006/relationships/hyperlink" Target="https://unctad.org/system/files/information-document/gdc_implementation_map_en.pdf" TargetMode="External"/><Relationship Id="rId4" Type="http://schemas.openxmlformats.org/officeDocument/2006/relationships/settings" Target="settings.xml"/><Relationship Id="rId180" Type="http://schemas.openxmlformats.org/officeDocument/2006/relationships/hyperlink" Target="https://www.itu.int/en/action/cybersecurity/Pages/default.aspx" TargetMode="External"/><Relationship Id="rId236" Type="http://schemas.openxmlformats.org/officeDocument/2006/relationships/hyperlink" Target="https://www.itu.int/net/epub/TSB/2024-UN-Executive-Briefing-on-unlocking-potential/index.html" TargetMode="External"/><Relationship Id="rId278" Type="http://schemas.openxmlformats.org/officeDocument/2006/relationships/hyperlink" Target="https://www.itu.int/md/S26-CWGWSIS44-C-0002/en" TargetMode="External"/><Relationship Id="rId401" Type="http://schemas.openxmlformats.org/officeDocument/2006/relationships/hyperlink" Target="https://www.itu.int/md/S23-CL-C-0006/en" TargetMode="External"/><Relationship Id="rId443" Type="http://schemas.openxmlformats.org/officeDocument/2006/relationships/hyperlink" Target="https://youtu.be/wJmsFRl5x-k" TargetMode="External"/><Relationship Id="rId303" Type="http://schemas.openxmlformats.org/officeDocument/2006/relationships/hyperlink" Target="https://aiforgood.itu.int/ai-skills-coalition/" TargetMode="External"/><Relationship Id="rId485" Type="http://schemas.openxmlformats.org/officeDocument/2006/relationships/hyperlink" Target="https://www.itu.int/partner2connect/events/past-events/" TargetMode="External"/><Relationship Id="rId42" Type="http://schemas.openxmlformats.org/officeDocument/2006/relationships/hyperlink" Target="https://www.itu.int/en/council/Documents/basic-texts-2023/RES-071-a.pdf" TargetMode="External"/><Relationship Id="rId84" Type="http://schemas.openxmlformats.org/officeDocument/2006/relationships/image" Target="media/image3.png"/><Relationship Id="rId138" Type="http://schemas.openxmlformats.org/officeDocument/2006/relationships/hyperlink" Target="https://www.itu.int/md/meetingdoc.asp?lang=en&amp;parent=T25-SG11-260303-TD-GEN-0939" TargetMode="External"/><Relationship Id="rId345" Type="http://schemas.openxmlformats.org/officeDocument/2006/relationships/hyperlink" Target="https://www.itu.int/en/ITU-T/Workshops-and-Seminars/2022/0125/Pages/default.aspx" TargetMode="External"/><Relationship Id="rId387" Type="http://schemas.openxmlformats.org/officeDocument/2006/relationships/hyperlink" Target="https://www.itu.int/wtsa/2024/now/about/" TargetMode="External"/><Relationship Id="rId510" Type="http://schemas.openxmlformats.org/officeDocument/2006/relationships/hyperlink" Target="https://eur03.safelinks.protection.outlook.com/?url=https%3A%2F%2Fgiga.global%2F&amp;data=05|02|fernando.rivera%40itu.int|25850ebcdcaa42ef3ee508de787057c6|23e464d704e64b87913c24bd89219fd3|0|0|639080621056172495|Unknown|TWFpbGZsb3d8eyJFbXB0eU1hcGkiOnRydWUsIlYiOiIwLjAuMDAwMCIsIlAiOiJXaW4zMiIsIkFOIjoiTWFpbCIsIldUIjoyfQ%3D%3D|0|||&amp;sdata=tl3GCQkO8KZAPu%2Byf%2FsaAnkMY%2FSkG1y66JtrIhcLX5A%3D&amp;reserved=0" TargetMode="External"/><Relationship Id="rId552" Type="http://schemas.openxmlformats.org/officeDocument/2006/relationships/hyperlink" Target="https://www.worldstandardscooperation.org/what-we-do/world-standards-day/" TargetMode="External"/><Relationship Id="rId594" Type="http://schemas.openxmlformats.org/officeDocument/2006/relationships/hyperlink" Target="https://www.itu.int/net4/Search/CL26/Main/Reader" TargetMode="External"/><Relationship Id="rId191" Type="http://schemas.openxmlformats.org/officeDocument/2006/relationships/hyperlink" Target="https://www.itu.int/metaverse/virtual-worlds/" TargetMode="External"/><Relationship Id="rId205" Type="http://schemas.openxmlformats.org/officeDocument/2006/relationships/hyperlink" Target="https://unsceb.org/sites/default/files/2022-09/Principles%20for%20the%20Ethical%20Use%20of%20AI%20in%20the%20UN%20System_1.pdf" TargetMode="External"/><Relationship Id="rId247" Type="http://schemas.openxmlformats.org/officeDocument/2006/relationships/hyperlink" Target="https://www.itu.int/itu-d/sites/statistics/ar/" TargetMode="External"/><Relationship Id="rId412" Type="http://schemas.openxmlformats.org/officeDocument/2006/relationships/hyperlink" Target="https://academy.itu.int/training-courses/full-catalogue/generation-connect-digital-learning" TargetMode="External"/><Relationship Id="rId107" Type="http://schemas.openxmlformats.org/officeDocument/2006/relationships/hyperlink" Target="https://www.itu.int/itu-d/reports/statistics/2025/10/15/ff25-internet-use-in-urban-and-rural-areas/" TargetMode="External"/><Relationship Id="rId289" Type="http://schemas.openxmlformats.org/officeDocument/2006/relationships/hyperlink" Target="http://www.ungis.org/" TargetMode="External"/><Relationship Id="rId454" Type="http://schemas.openxmlformats.org/officeDocument/2006/relationships/hyperlink" Target="https://www.itu.int/en/ITU-T/studygroups/2025-2028/21/Pages/default.aspx" TargetMode="External"/><Relationship Id="rId496" Type="http://schemas.openxmlformats.org/officeDocument/2006/relationships/hyperlink" Target="https://www.itu.int/initiatives/green-digital-action/events/all/green-digital-action-summit-2025/" TargetMode="External"/><Relationship Id="rId11" Type="http://schemas.openxmlformats.org/officeDocument/2006/relationships/hyperlink" Target="https://www.itu.int/en/council/Documents/basic-texts/Convention-a.pdf" TargetMode="External"/><Relationship Id="rId53" Type="http://schemas.openxmlformats.org/officeDocument/2006/relationships/hyperlink" Target="https://www.itu.int/ra-23/" TargetMode="External"/><Relationship Id="rId149" Type="http://schemas.openxmlformats.org/officeDocument/2006/relationships/hyperlink" Target="https://www.itu.int/pub/T-RES-T.107-2024" TargetMode="External"/><Relationship Id="rId314" Type="http://schemas.openxmlformats.org/officeDocument/2006/relationships/hyperlink" Target="https://www.itu.int/en/journal/j-fet/Pages/default.aspx" TargetMode="External"/><Relationship Id="rId356" Type="http://schemas.openxmlformats.org/officeDocument/2006/relationships/hyperlink" Target="https://www.itu.int/en/ITU-D/ICT-Applications/Pages/digital-government.aspx" TargetMode="External"/><Relationship Id="rId398" Type="http://schemas.openxmlformats.org/officeDocument/2006/relationships/hyperlink" Target="https://www.itu.int/initiatives/gender-equality/gender-dashboard/" TargetMode="External"/><Relationship Id="rId521" Type="http://schemas.openxmlformats.org/officeDocument/2006/relationships/hyperlink" Target="https://www.equalsintech.org/equals-badge" TargetMode="External"/><Relationship Id="rId563" Type="http://schemas.openxmlformats.org/officeDocument/2006/relationships/hyperlink" Target="https://www.itu.int/en/ITU-T/focusgroups/ai4ndm/Pages/default.aspx" TargetMode="External"/><Relationship Id="rId95" Type="http://schemas.openxmlformats.org/officeDocument/2006/relationships/hyperlink" Target="https://www.unesco.org/en/sdg4scorecard-dashboard" TargetMode="External"/><Relationship Id="rId160" Type="http://schemas.openxmlformats.org/officeDocument/2006/relationships/hyperlink" Target="https://www.itu.int/en/ITU-D/Cybersecurity/Pages/cybersecurity-national-strategies.aspx" TargetMode="External"/><Relationship Id="rId216" Type="http://schemas.openxmlformats.org/officeDocument/2006/relationships/hyperlink" Target="https://www.itu.int/en/ITU-T/studygroups/2025-2028/13/Pages/default.aspx" TargetMode="External"/><Relationship Id="rId423" Type="http://schemas.openxmlformats.org/officeDocument/2006/relationships/hyperlink" Target="https://www.itu.int/md/S25-CL-C-0032/en" TargetMode="External"/><Relationship Id="rId258" Type="http://schemas.openxmlformats.org/officeDocument/2006/relationships/image" Target="media/image19.png"/><Relationship Id="rId465" Type="http://schemas.openxmlformats.org/officeDocument/2006/relationships/hyperlink" Target="https://academy.itu.int/training-courses/full-catalogue/formacion-de-promotoras-y-promotores-tecnicos-en-comunidades-indigenas-en-telecomunicaciones-y-0" TargetMode="External"/><Relationship Id="rId22" Type="http://schemas.openxmlformats.org/officeDocument/2006/relationships/hyperlink" Target="https://aiforgood.itu.int/ai-for-health/" TargetMode="External"/><Relationship Id="rId64" Type="http://schemas.openxmlformats.org/officeDocument/2006/relationships/hyperlink" Target="https://gss.itu.int/" TargetMode="External"/><Relationship Id="rId118" Type="http://schemas.openxmlformats.org/officeDocument/2006/relationships/hyperlink" Target="https://www.itu.int/hub/publication/r-reg-rr5-2020/" TargetMode="External"/><Relationship Id="rId325" Type="http://schemas.openxmlformats.org/officeDocument/2006/relationships/hyperlink" Target="https://www.itu.int/wrs-22/" TargetMode="External"/><Relationship Id="rId367" Type="http://schemas.openxmlformats.org/officeDocument/2006/relationships/hyperlink" Target="https://www.itu.int/hub/publication/d-phcb-equal-03-2023/" TargetMode="External"/><Relationship Id="rId532" Type="http://schemas.openxmlformats.org/officeDocument/2006/relationships/hyperlink" Target="https://u4ssc.itu.int/u4ssc-kpis-report/" TargetMode="External"/><Relationship Id="rId574" Type="http://schemas.openxmlformats.org/officeDocument/2006/relationships/hyperlink" Target="https://www.itu.int/net/epub/TSB/2025-Digital-Agriculture-A-Standards-Snapshot/index.html" TargetMode="External"/><Relationship Id="rId171" Type="http://schemas.openxmlformats.org/officeDocument/2006/relationships/hyperlink" Target="https://www.itu.int/en/ITU-D/Cybersecurity/Pages/COP/POP.aspx" TargetMode="External"/><Relationship Id="rId227" Type="http://schemas.openxmlformats.org/officeDocument/2006/relationships/hyperlink" Target="https://www.quantum-course.com/" TargetMode="External"/><Relationship Id="rId269" Type="http://schemas.openxmlformats.org/officeDocument/2006/relationships/hyperlink" Target="https://www.itu.int/en/council/Documents/basic-texts-2023/RES-140-a.pdf" TargetMode="External"/><Relationship Id="rId434" Type="http://schemas.openxmlformats.org/officeDocument/2006/relationships/hyperlink" Target="https://academy.itu.int/" TargetMode="External"/><Relationship Id="rId476" Type="http://schemas.openxmlformats.org/officeDocument/2006/relationships/hyperlink" Target="https://www.itu.int/pub/D-IND-CLIM-2025" TargetMode="External"/><Relationship Id="rId33" Type="http://schemas.openxmlformats.org/officeDocument/2006/relationships/hyperlink" Target="https://giga.global/" TargetMode="External"/><Relationship Id="rId129" Type="http://schemas.openxmlformats.org/officeDocument/2006/relationships/hyperlink" Target="https://www.itu.int/pub/T-SP/e" TargetMode="External"/><Relationship Id="rId280" Type="http://schemas.openxmlformats.org/officeDocument/2006/relationships/hyperlink" Target="https://www.itu.int/net4/wsis/forum/2026/ar" TargetMode="External"/><Relationship Id="rId336" Type="http://schemas.openxmlformats.org/officeDocument/2006/relationships/hyperlink" Target="https://www.itu.int/en/ITU-R/study-groups/workshops/sg6-itu-ebu-btc-2023/Pages/default.aspx" TargetMode="External"/><Relationship Id="rId501" Type="http://schemas.openxmlformats.org/officeDocument/2006/relationships/hyperlink" Target="https://eur03.safelinks.protection.outlook.com/?url=https%3A%2F%2Fwww.broadbandcommission.org%2F&amp;data=05|02|fernando.rivera%40itu.int|25850ebcdcaa42ef3ee508de787057c6|23e464d704e64b87913c24bd89219fd3|0|0|639080621055789927|Unknown|TWFpbGZsb3d8eyJFbXB0eU1hcGkiOnRydWUsIlYiOiIwLjAuMDAwMCIsIlAiOiJXaW4zMiIsIkFOIjoiTWFpbCIsIldUIjoyfQ%3D%3D|0|||&amp;sdata=y81PkW0WoIAEOVlgiySwVwj7XKoF7E5dABbKz%2BAA0Gk%3D&amp;reserved=0" TargetMode="External"/><Relationship Id="rId543" Type="http://schemas.openxmlformats.org/officeDocument/2006/relationships/hyperlink" Target="https://www.itu.int/en/ITU-T/extcoop/cits/egcomad/wg01/Pages/default.aspx" TargetMode="External"/><Relationship Id="rId75" Type="http://schemas.openxmlformats.org/officeDocument/2006/relationships/hyperlink" Target="https://www.itu.int/itu-d/meetings/wtdc25/wp-content/uploads/sites/29/2025/11/090-E.pdf" TargetMode="External"/><Relationship Id="rId140" Type="http://schemas.openxmlformats.org/officeDocument/2006/relationships/hyperlink" Target="https://www.itu.int/pub/R-REC/ar" TargetMode="External"/><Relationship Id="rId182" Type="http://schemas.openxmlformats.org/officeDocument/2006/relationships/hyperlink" Target="https://www.itu.int/en/council/Documents/basic-texts-2023/RES-214-a.pdf" TargetMode="External"/><Relationship Id="rId378" Type="http://schemas.openxmlformats.org/officeDocument/2006/relationships/hyperlink" Target="https://www.itu.int/hub/publication/d-hdb-gender-2023-01/" TargetMode="External"/><Relationship Id="rId403" Type="http://schemas.openxmlformats.org/officeDocument/2006/relationships/hyperlink" Target="https://www.itu.int/generationconnect/wp-content/uploads/2020/11/ITU_Youth_Strategy.pdf" TargetMode="External"/><Relationship Id="rId585" Type="http://schemas.openxmlformats.org/officeDocument/2006/relationships/hyperlink" Target="https://www.un.org/un80-initiative/sites/default/files/2025-09/UN80_WS3-1_250921_1238.pdf" TargetMode="External"/><Relationship Id="rId6" Type="http://schemas.openxmlformats.org/officeDocument/2006/relationships/footnotes" Target="footnotes.xml"/><Relationship Id="rId238" Type="http://schemas.openxmlformats.org/officeDocument/2006/relationships/hyperlink" Target="https://www.itu.int/en/ITU-T/techwatch/Pages/internetofthings.aspx" TargetMode="External"/><Relationship Id="rId445" Type="http://schemas.openxmlformats.org/officeDocument/2006/relationships/hyperlink" Target="https://youtu.be/FsFOxfCois0" TargetMode="External"/><Relationship Id="rId487" Type="http://schemas.openxmlformats.org/officeDocument/2006/relationships/hyperlink" Target="https://www.itu.int/initiatives/green-digital-action/events/all/cop29/declaration/" TargetMode="External"/><Relationship Id="rId291" Type="http://schemas.openxmlformats.org/officeDocument/2006/relationships/hyperlink" Target="http://www.wsis.org/stocktaking" TargetMode="External"/><Relationship Id="rId305" Type="http://schemas.openxmlformats.org/officeDocument/2006/relationships/hyperlink" Target="https://aiforgood.itu.int/event/impact-africa/" TargetMode="External"/><Relationship Id="rId347" Type="http://schemas.openxmlformats.org/officeDocument/2006/relationships/hyperlink" Target="https://www.itu.int/en/ITU-T/Workshops-and-Seminars/2023/Pages/default.aspx" TargetMode="External"/><Relationship Id="rId512" Type="http://schemas.openxmlformats.org/officeDocument/2006/relationships/hyperlink" Target="https://www.itu.int/partner2connect/" TargetMode="External"/><Relationship Id="rId44" Type="http://schemas.openxmlformats.org/officeDocument/2006/relationships/hyperlink" Target="https://pp.itu.int/2022/ar/" TargetMode="External"/><Relationship Id="rId86" Type="http://schemas.openxmlformats.org/officeDocument/2006/relationships/image" Target="media/image4.png"/><Relationship Id="rId151" Type="http://schemas.openxmlformats.org/officeDocument/2006/relationships/hyperlink" Target="https://www.itu.int/pub/T-RES-T.32-2024" TargetMode="External"/><Relationship Id="rId389" Type="http://schemas.openxmlformats.org/officeDocument/2006/relationships/hyperlink" Target="https://www.itu.int/initiatives/gender-equality/network-of-women/network-of-women-ministers-and-leaders-in-ict/" TargetMode="External"/><Relationship Id="rId554" Type="http://schemas.openxmlformats.org/officeDocument/2006/relationships/hyperlink" Target="https://www.itu.int/initiatives/green-digital-action/events/all/cop29/world-standards-cooperation-paving-the-path-for-sustainability-by-design/" TargetMode="External"/><Relationship Id="rId596" Type="http://schemas.openxmlformats.org/officeDocument/2006/relationships/header" Target="header1.xml"/><Relationship Id="rId193" Type="http://schemas.openxmlformats.org/officeDocument/2006/relationships/hyperlink" Target="https://www.itu.int/dms_pub/itu-t/opb/res/T-RES-T.101-2024-PDF-a.pdf" TargetMode="External"/><Relationship Id="rId207" Type="http://schemas.openxmlformats.org/officeDocument/2006/relationships/hyperlink" Target="https://unaihub.aiforgood.itu.int/" TargetMode="External"/><Relationship Id="rId249" Type="http://schemas.openxmlformats.org/officeDocument/2006/relationships/hyperlink" Target="https://datahub.itu.int/" TargetMode="External"/><Relationship Id="rId414" Type="http://schemas.openxmlformats.org/officeDocument/2006/relationships/hyperlink" Target="https://www.youtube.com/watch?v=uB2eLaPDdDc" TargetMode="External"/><Relationship Id="rId456" Type="http://schemas.openxmlformats.org/officeDocument/2006/relationships/hyperlink" Target="https://www.itu.int/metaverse/virtual-worlds/" TargetMode="External"/><Relationship Id="rId498" Type="http://schemas.openxmlformats.org/officeDocument/2006/relationships/hyperlink" Target="https://www.itu.int/initiatives/sdgdigital/" TargetMode="External"/><Relationship Id="rId13" Type="http://schemas.openxmlformats.org/officeDocument/2006/relationships/hyperlink" Target="https://www.itu.int/en/council/Documents/basic-texts-2023/RES-071-a.pdf" TargetMode="External"/><Relationship Id="rId109" Type="http://schemas.openxmlformats.org/officeDocument/2006/relationships/hyperlink" Target="https://www.itu.int/hub/publication/d-gdc-clim-2025/" TargetMode="External"/><Relationship Id="rId260" Type="http://schemas.openxmlformats.org/officeDocument/2006/relationships/hyperlink" Target="https://www.itu.int/itu-d/meetings/digital-skills-forum/" TargetMode="External"/><Relationship Id="rId316" Type="http://schemas.openxmlformats.org/officeDocument/2006/relationships/hyperlink" Target="https://www.itu.int/hub/2025/09/new-itu-academic-collaboration-on-technology-trends/" TargetMode="External"/><Relationship Id="rId523" Type="http://schemas.openxmlformats.org/officeDocument/2006/relationships/hyperlink" Target="https://www.itu.int/en/ITU-D/Digital-Inclusion/Pages/EIF-Regional-Project-.aspx" TargetMode="External"/><Relationship Id="rId55" Type="http://schemas.openxmlformats.org/officeDocument/2006/relationships/hyperlink" Target="https://www.itu.int/pub/R-RES-R.5" TargetMode="External"/><Relationship Id="rId97" Type="http://schemas.openxmlformats.org/officeDocument/2006/relationships/hyperlink" Target="https://databrowser.uis.unesco.org/" TargetMode="External"/><Relationship Id="rId120" Type="http://schemas.openxmlformats.org/officeDocument/2006/relationships/hyperlink" Target="https://www.itu.int/ITU-R/BR-GeoCatalogue" TargetMode="External"/><Relationship Id="rId358" Type="http://schemas.openxmlformats.org/officeDocument/2006/relationships/image" Target="media/image22.png"/><Relationship Id="rId565" Type="http://schemas.openxmlformats.org/officeDocument/2006/relationships/hyperlink" Target="https://www.itu.int/pub/publications.aspx?lang=en&amp;parent=T-FG-AI4NDM-2022" TargetMode="External"/><Relationship Id="rId162" Type="http://schemas.openxmlformats.org/officeDocument/2006/relationships/hyperlink" Target="https://www.itu.int/en/ITU-D/Cybersecurity/Pages/cyberdrills.aspx" TargetMode="External"/><Relationship Id="rId218" Type="http://schemas.openxmlformats.org/officeDocument/2006/relationships/hyperlink" Target="https://www.itu.int/rec/T-REC-X.1715/es" TargetMode="External"/><Relationship Id="rId425" Type="http://schemas.openxmlformats.org/officeDocument/2006/relationships/hyperlink" Target="https://aiforgood.itu.int/robotics-for-good-youth-challenge/" TargetMode="External"/><Relationship Id="rId467" Type="http://schemas.openxmlformats.org/officeDocument/2006/relationships/hyperlink" Target="https://desapublications.un.org/policy-dialogues/leaving-no-one-behind-ageing-world-un-desa-global-policy-dialogue" TargetMode="External"/><Relationship Id="rId271" Type="http://schemas.openxmlformats.org/officeDocument/2006/relationships/hyperlink" Target="https://www.itu.int/md/S23-CL-C-0120/en" TargetMode="External"/><Relationship Id="rId24" Type="http://schemas.openxmlformats.org/officeDocument/2006/relationships/hyperlink" Target="https://www.itu.int/itu-d/reports/statistics/global-connectivity-report-2025/" TargetMode="External"/><Relationship Id="rId66" Type="http://schemas.openxmlformats.org/officeDocument/2006/relationships/hyperlink" Target="https://www.itu.int/ar/ITU-T/studygroups/2022-2024/16/Pages/default.aspx" TargetMode="External"/><Relationship Id="rId131" Type="http://schemas.openxmlformats.org/officeDocument/2006/relationships/hyperlink" Target="https://www.itu.int/ar/ITU-T/publications/Pages/recs.aspx" TargetMode="External"/><Relationship Id="rId327" Type="http://schemas.openxmlformats.org/officeDocument/2006/relationships/hyperlink" Target="https://www.itu.int/en/ITU-R/seminars/rrs/2022-Arab/Pages/default.aspx" TargetMode="External"/><Relationship Id="rId369" Type="http://schemas.openxmlformats.org/officeDocument/2006/relationships/hyperlink" Target="https://www.equalsintech.org/" TargetMode="External"/><Relationship Id="rId534" Type="http://schemas.openxmlformats.org/officeDocument/2006/relationships/hyperlink" Target="https://u4ssc.itu.int/latest-meetings/" TargetMode="External"/><Relationship Id="rId576" Type="http://schemas.openxmlformats.org/officeDocument/2006/relationships/hyperlink" Target="https://www.itu.int/en/ITU-T/focusgroups/ai4a/Pages/default.aspx" TargetMode="External"/><Relationship Id="rId173" Type="http://schemas.openxmlformats.org/officeDocument/2006/relationships/hyperlink" Target="https://www.itu.int/hub/publication/d-str-cyb_joint-2025/" TargetMode="External"/><Relationship Id="rId229" Type="http://schemas.openxmlformats.org/officeDocument/2006/relationships/hyperlink" Target="https://www.itu.int/metaverse/5th-forum-metaverse/" TargetMode="External"/><Relationship Id="rId380" Type="http://schemas.openxmlformats.org/officeDocument/2006/relationships/hyperlink" Target="https://www.itu.int/women-and-girls/women-in-ict/ai-skills-accelerator-for-girls/" TargetMode="External"/><Relationship Id="rId436" Type="http://schemas.openxmlformats.org/officeDocument/2006/relationships/hyperlink" Target="https://www.itu.int/en/ITU-D/Digital-Inclusion/Pages/ICT-digital-accessibility/toolkits/towards-building-inclusive-digital-communities/2023/default.aspx" TargetMode="External"/><Relationship Id="rId240" Type="http://schemas.openxmlformats.org/officeDocument/2006/relationships/hyperlink" Target="https://www.itu.int/en/ITU-T/studygroups/2025-2028/20/Pages/default.aspx" TargetMode="External"/><Relationship Id="rId478" Type="http://schemas.openxmlformats.org/officeDocument/2006/relationships/hyperlink" Target="https://www.itu.int/en/ITU-D/Environment/Pages/Publications/Measuring-Emissions-and-Energy-Footprint-ICT-Sector.aspx" TargetMode="External"/><Relationship Id="rId35" Type="http://schemas.openxmlformats.org/officeDocument/2006/relationships/hyperlink" Target="https://www.equalsintech.org/" TargetMode="External"/><Relationship Id="rId77" Type="http://schemas.openxmlformats.org/officeDocument/2006/relationships/hyperlink" Target="https://www.itu.int/md/meetingdoc.asp?lang=en&amp;parent=D22-WTDC25-C-0002" TargetMode="External"/><Relationship Id="rId100" Type="http://schemas.openxmlformats.org/officeDocument/2006/relationships/image" Target="media/image10.png"/><Relationship Id="rId282" Type="http://schemas.openxmlformats.org/officeDocument/2006/relationships/hyperlink" Target="https://www.itu.int/net4/wsis/forum/2024/ar" TargetMode="External"/><Relationship Id="rId338" Type="http://schemas.openxmlformats.org/officeDocument/2006/relationships/hyperlink" Target="https://www.itu.int/en/ITU-R/seminars/Future-of-tv-europe/Documents/Demos%20on%20Future%20of%20Broadcasting.pdf" TargetMode="External"/><Relationship Id="rId503" Type="http://schemas.openxmlformats.org/officeDocument/2006/relationships/hyperlink" Target="https://eur03.safelinks.protection.outlook.com/?url=https%3A%2F%2Fwww.broadbandcommission.org%2Fadvocacy-targets%2F&amp;data=05|02|fernando.rivera%40itu.int|25850ebcdcaa42ef3ee508de787057c6|23e464d704e64b87913c24bd89219fd3|0|0|639080621055836163|Unknown|TWFpbGZsb3d8eyJFbXB0eU1hcGkiOnRydWUsIlYiOiIwLjAuMDAwMCIsIlAiOiJXaW4zMiIsIkFOIjoiTWFpbCIsIldUIjoyfQ%3D%3D|0|||&amp;sdata=qS8dAdJ1cDPPPgJ1oz64M7zuDrd7O8OfLzRSXDAENuQ%3D&amp;reserved=0" TargetMode="External"/><Relationship Id="rId545" Type="http://schemas.openxmlformats.org/officeDocument/2006/relationships/hyperlink" Target="https://www.itu.int/en/ITU-T/extcoop/cits/egcomad/wg03/Pages/default.aspx" TargetMode="External"/><Relationship Id="rId587" Type="http://schemas.openxmlformats.org/officeDocument/2006/relationships/hyperlink" Target="https://www.itu.int/md/S24-CL-C-0070/en" TargetMode="External"/><Relationship Id="rId8" Type="http://schemas.openxmlformats.org/officeDocument/2006/relationships/hyperlink" Target="https://www.itu.int/md/S26-PP-C-0020/en" TargetMode="External"/><Relationship Id="rId142" Type="http://schemas.openxmlformats.org/officeDocument/2006/relationships/hyperlink" Target="https://www.itu.int/en/council/Documents/basic-texts-2023/RES-123-a.pdf" TargetMode="External"/><Relationship Id="rId184" Type="http://schemas.openxmlformats.org/officeDocument/2006/relationships/hyperlink" Target="https://www.itu.int/en/ITU-T/focusgroups/ai4a/Pages/default.aspx" TargetMode="External"/><Relationship Id="rId391" Type="http://schemas.openxmlformats.org/officeDocument/2006/relationships/hyperlink" Target="https://www.itu.int/160/" TargetMode="External"/><Relationship Id="rId405" Type="http://schemas.openxmlformats.org/officeDocument/2006/relationships/hyperlink" Target="https://www.youtube.com/watch?v=zZFNByEQ15k" TargetMode="External"/><Relationship Id="rId447" Type="http://schemas.openxmlformats.org/officeDocument/2006/relationships/hyperlink" Target="https://www.itu.int/net4/itu-t/search" TargetMode="External"/><Relationship Id="rId251" Type="http://schemas.openxmlformats.org/officeDocument/2006/relationships/hyperlink" Target="https://www.itu.int/itu-d/sites/bigdata/" TargetMode="External"/><Relationship Id="rId489" Type="http://schemas.openxmlformats.org/officeDocument/2006/relationships/hyperlink" Target="https://www.itu.int/initiatives/green-digital-action/events/cop30/" TargetMode="External"/><Relationship Id="rId46" Type="http://schemas.openxmlformats.org/officeDocument/2006/relationships/hyperlink" Target="https://www.itu.int/en/council/Documents/basic-texts-2023/RES-071-a.pdf" TargetMode="External"/><Relationship Id="rId293" Type="http://schemas.openxmlformats.org/officeDocument/2006/relationships/hyperlink" Target="http://www.wsis.org/prizes" TargetMode="External"/><Relationship Id="rId307" Type="http://schemas.openxmlformats.org/officeDocument/2006/relationships/hyperlink" Target="https://www.itu.int/net/epub/TSB/2024-GSS-Conclusions/index.html" TargetMode="External"/><Relationship Id="rId349" Type="http://schemas.openxmlformats.org/officeDocument/2006/relationships/hyperlink" Target="https://www.itu.int/en/ITU-T/Workshops-and-Seminars/2025/Pages/default.aspx" TargetMode="External"/><Relationship Id="rId514" Type="http://schemas.openxmlformats.org/officeDocument/2006/relationships/hyperlink" Target="https://www.equalsintech.org/" TargetMode="External"/><Relationship Id="rId556" Type="http://schemas.openxmlformats.org/officeDocument/2006/relationships/hyperlink" Target="https://aiforgood.itu.int/multimedia-authenticity/" TargetMode="External"/><Relationship Id="rId88" Type="http://schemas.openxmlformats.org/officeDocument/2006/relationships/image" Target="media/image5.png"/><Relationship Id="rId111" Type="http://schemas.openxmlformats.org/officeDocument/2006/relationships/hyperlink" Target="https://www.itu.int/itu-d/reports/statistics/facts-figures-for-lldc/" TargetMode="External"/><Relationship Id="rId153" Type="http://schemas.openxmlformats.org/officeDocument/2006/relationships/hyperlink" Target="https://www.itu.int/en/ITU-D/Regional-Presence/AsiaPacific/Pages/Projects/AI%20Technology%20and%20Standards%20Capacity%20Building%20in%20Asia%20Pacific/Artificial-Intelligence-Technology-and-Standards-Capacity-Building-in-Asia-Pacific-.aspx" TargetMode="External"/><Relationship Id="rId195" Type="http://schemas.openxmlformats.org/officeDocument/2006/relationships/hyperlink" Target="https://aiforgood.itu.int/young-ai-leaders-community/" TargetMode="External"/><Relationship Id="rId209" Type="http://schemas.openxmlformats.org/officeDocument/2006/relationships/hyperlink" Target="https://docs.un.org/ar/A/RES/79/325" TargetMode="External"/><Relationship Id="rId360" Type="http://schemas.openxmlformats.org/officeDocument/2006/relationships/hyperlink" Target="https://www.itu.int/md/S25-CL-C-0105/en" TargetMode="External"/><Relationship Id="rId416" Type="http://schemas.openxmlformats.org/officeDocument/2006/relationships/hyperlink" Target="https://www.itu.int/net4/wsis/forum/2023/ar/Home/ICTsYouthPrize" TargetMode="External"/><Relationship Id="rId598" Type="http://schemas.openxmlformats.org/officeDocument/2006/relationships/fontTable" Target="fontTable.xml"/><Relationship Id="rId220" Type="http://schemas.openxmlformats.org/officeDocument/2006/relationships/hyperlink" Target="https://www.itu.int/rec/T-REC-Y.3814/en" TargetMode="External"/><Relationship Id="rId458" Type="http://schemas.openxmlformats.org/officeDocument/2006/relationships/hyperlink" Target="https://www.itu.int/pub/R-RES-R.67" TargetMode="External"/><Relationship Id="rId15" Type="http://schemas.openxmlformats.org/officeDocument/2006/relationships/hyperlink" Target="https://www.itu.int/wrc-23/" TargetMode="External"/><Relationship Id="rId57" Type="http://schemas.openxmlformats.org/officeDocument/2006/relationships/hyperlink" Target="https://www.itu.int/pub/R-RES-R.65" TargetMode="External"/><Relationship Id="rId262" Type="http://schemas.openxmlformats.org/officeDocument/2006/relationships/hyperlink" Target="https://www.itu.int/en/ITU-T/info/Pages/resources.aspx" TargetMode="External"/><Relationship Id="rId318" Type="http://schemas.openxmlformats.org/officeDocument/2006/relationships/hyperlink" Target="https://www.itu.int/en/journal/j-fet/Pages/default.aspx" TargetMode="External"/><Relationship Id="rId525" Type="http://schemas.openxmlformats.org/officeDocument/2006/relationships/hyperlink" Target="https://giga.global/" TargetMode="External"/><Relationship Id="rId567" Type="http://schemas.openxmlformats.org/officeDocument/2006/relationships/hyperlink" Target="https://www.itu.int/en/ITU-T/focusgroups/ai4ndm/Documents/Deliverables/FG-AI4NDM%20WG-MODELING%20-%20AI%20for%20Modeling.pdf" TargetMode="External"/><Relationship Id="rId99" Type="http://schemas.openxmlformats.org/officeDocument/2006/relationships/hyperlink" Target="https://www.itu.int/itu-d/reports/statistics/2025/10/15/ff25-internet-use/" TargetMode="External"/><Relationship Id="rId122" Type="http://schemas.openxmlformats.org/officeDocument/2006/relationships/hyperlink" Target="https://www.itu.int/epublications/brific-space/ar/home/index" TargetMode="External"/><Relationship Id="rId164" Type="http://schemas.openxmlformats.org/officeDocument/2006/relationships/hyperlink" Target="https://www.itu.int/en/ITU-D/Cybersecurity/Pages/Cyber4Good/Cyber4Good.aspx" TargetMode="External"/><Relationship Id="rId371" Type="http://schemas.openxmlformats.org/officeDocument/2006/relationships/hyperlink" Target="https://www.youtube.com/playlist?list=PLdCp2BJdjaQAJmm_GD2T15HgepUAuENQ-" TargetMode="External"/><Relationship Id="rId427" Type="http://schemas.openxmlformats.org/officeDocument/2006/relationships/hyperlink" Target="https://www.itu.int/metaverse/virtual-worlds/1st-un-citiverse-challenge/" TargetMode="External"/><Relationship Id="rId469" Type="http://schemas.openxmlformats.org/officeDocument/2006/relationships/hyperlink" Target="https://www.itu.int/pub/D-PHCB-DIG_AGE-2021" TargetMode="External"/><Relationship Id="rId26" Type="http://schemas.openxmlformats.org/officeDocument/2006/relationships/hyperlink" Target="https://academy.itu.int/digital-skills-communities/digital-transformation-centres-initiative" TargetMode="External"/><Relationship Id="rId231" Type="http://schemas.openxmlformats.org/officeDocument/2006/relationships/hyperlink" Target="https://www.itu.int/metaverse/5th-forum-metaverse/" TargetMode="External"/><Relationship Id="rId273" Type="http://schemas.openxmlformats.org/officeDocument/2006/relationships/hyperlink" Target="https://www.itu.int/pub/T-RES-T.75-2022" TargetMode="External"/><Relationship Id="rId329" Type="http://schemas.openxmlformats.org/officeDocument/2006/relationships/hyperlink" Target="https://www.itu.int/en/ITU-R/seminars/rrs/RRS-22-Asia-Pacific/Pages/default.aspx" TargetMode="External"/><Relationship Id="rId480" Type="http://schemas.openxmlformats.org/officeDocument/2006/relationships/hyperlink" Target="https://www.itu.int/en/ITU-D/Environment/Documents/Publications/2025/ITU-World%20Bank%20Green%20data%20centers_2023.pdf" TargetMode="External"/><Relationship Id="rId536" Type="http://schemas.openxmlformats.org/officeDocument/2006/relationships/hyperlink" Target="https://www.itu.int/cities/dt-digest/" TargetMode="External"/><Relationship Id="rId68" Type="http://schemas.openxmlformats.org/officeDocument/2006/relationships/hyperlink" Target="https://www.itu.int/wtsa/2024/candidates/" TargetMode="External"/><Relationship Id="rId133" Type="http://schemas.openxmlformats.org/officeDocument/2006/relationships/hyperlink" Target="https://www.itu.int/en/ITU-T/studygroups/2025-2028/Pages/default.aspx" TargetMode="External"/><Relationship Id="rId175" Type="http://schemas.openxmlformats.org/officeDocument/2006/relationships/hyperlink" Target="https://www.itu.int/itu-t/workprog/wp_search.aspx?sg=17" TargetMode="External"/><Relationship Id="rId340" Type="http://schemas.openxmlformats.org/officeDocument/2006/relationships/hyperlink" Target="https://www.itu.int/en/ITU-R/seminars/ntfa/Pages/default.aspx" TargetMode="External"/><Relationship Id="rId578" Type="http://schemas.openxmlformats.org/officeDocument/2006/relationships/hyperlink" Target="https://www.itu.int/en/ITU-T/focusgroups/ai4h/Pages/default.aspx" TargetMode="External"/><Relationship Id="rId200" Type="http://schemas.openxmlformats.org/officeDocument/2006/relationships/hyperlink" Target="https://www.itu.int/en/ITU-D/Emergency-Telecommunications/Pages/AI-Sub-Group-EW4All-.aspx" TargetMode="External"/><Relationship Id="rId382" Type="http://schemas.openxmlformats.org/officeDocument/2006/relationships/hyperlink" Target="https://www.itu.int/initiatives/gender-equality/network-of-women/" TargetMode="External"/><Relationship Id="rId438" Type="http://schemas.openxmlformats.org/officeDocument/2006/relationships/hyperlink" Target="https://www.itu.int/en/ITU-D/Digital-Inclusion/Documents/Auto-evaluation%20UIT%20pour%20la%20mise%20en%20oeuvre%20de%20TIC%20accessibles%20-%20FINAL_1.xlsm" TargetMode="External"/><Relationship Id="rId242" Type="http://schemas.openxmlformats.org/officeDocument/2006/relationships/hyperlink" Target="https://u4ssc.itu.int/" TargetMode="External"/><Relationship Id="rId284" Type="http://schemas.openxmlformats.org/officeDocument/2006/relationships/hyperlink" Target="https://publicadministration.desa.un.org/ar/node/2824" TargetMode="External"/><Relationship Id="rId491" Type="http://schemas.openxmlformats.org/officeDocument/2006/relationships/hyperlink" Target="https://www.itu.int/en/mediacentre/Pages/PR-2025-11-10-Green-Digital-Action-COP30-announcement.aspx" TargetMode="External"/><Relationship Id="rId505" Type="http://schemas.openxmlformats.org/officeDocument/2006/relationships/hyperlink" Target="https://eur03.safelinks.protection.outlook.com/?url=https%3A%2F%2Fbroadbandcommission.org%2Fworking-groups%2F&amp;data=05|02|fernando.rivera%40itu.int|25850ebcdcaa42ef3ee508de787057c6|23e464d704e64b87913c24bd89219fd3|0|0|639080621056073225|Unknown|TWFpbGZsb3d8eyJFbXB0eU1hcGkiOnRydWUsIlYiOiIwLjAuMDAwMCIsIlAiOiJXaW4zMiIsIkFOIjoiTWFpbCIsIldUIjoyfQ%3D%3D|0|||&amp;sdata=v3zmw5nMd5didUxUL7wp%2FuXMCFlJ1mb8sUSSPJZV21U%3D&amp;reserved=0" TargetMode="External"/><Relationship Id="rId37" Type="http://schemas.openxmlformats.org/officeDocument/2006/relationships/hyperlink" Target="https://www.itu.int/digital-resilience/submarine-cables/events/about-nigeria-summit/" TargetMode="External"/><Relationship Id="rId79" Type="http://schemas.openxmlformats.org/officeDocument/2006/relationships/hyperlink" Target="https://www.itu.int/md/D22-WTDC25-251117/sum/en" TargetMode="External"/><Relationship Id="rId102" Type="http://schemas.openxmlformats.org/officeDocument/2006/relationships/image" Target="media/image11.png"/><Relationship Id="rId144" Type="http://schemas.openxmlformats.org/officeDocument/2006/relationships/hyperlink" Target="https://www.itu.int/bsg/" TargetMode="External"/><Relationship Id="rId547" Type="http://schemas.openxmlformats.org/officeDocument/2006/relationships/hyperlink" Target="https://aiforgood.itu.int/" TargetMode="External"/><Relationship Id="rId589" Type="http://schemas.openxmlformats.org/officeDocument/2006/relationships/hyperlink" Target="https://www.itu.int/md/S25-CL-C-0055/en" TargetMode="External"/><Relationship Id="rId90" Type="http://schemas.openxmlformats.org/officeDocument/2006/relationships/image" Target="media/image6.png"/><Relationship Id="rId186" Type="http://schemas.openxmlformats.org/officeDocument/2006/relationships/hyperlink" Target="https://www.itu.int/en/ITU-T/focusgroups/ai4h/Pages/default.aspx" TargetMode="External"/><Relationship Id="rId351" Type="http://schemas.openxmlformats.org/officeDocument/2006/relationships/hyperlink" Target="https://www.itu.int/en/events/Pages/Calendar-Events.aspx?sector=ITU-D%5c" TargetMode="External"/><Relationship Id="rId393" Type="http://schemas.openxmlformats.org/officeDocument/2006/relationships/hyperlink" Target="https://wtisd.itu.int/2025/itu160-gender-champions/" TargetMode="External"/><Relationship Id="rId407" Type="http://schemas.openxmlformats.org/officeDocument/2006/relationships/hyperlink" Target="https://youngaglobal.com/" TargetMode="External"/><Relationship Id="rId449" Type="http://schemas.openxmlformats.org/officeDocument/2006/relationships/hyperlink" Target="https://www.itu.int/rec/T-REC-H.870" TargetMode="External"/><Relationship Id="rId211" Type="http://schemas.openxmlformats.org/officeDocument/2006/relationships/hyperlink" Target="https://aiforgood.itu.int/" TargetMode="External"/><Relationship Id="rId253" Type="http://schemas.openxmlformats.org/officeDocument/2006/relationships/hyperlink" Target="https://www.itu.int/itu-d/meetings/wtis25/" TargetMode="External"/><Relationship Id="rId295" Type="http://schemas.openxmlformats.org/officeDocument/2006/relationships/hyperlink" Target="https://www.itu.int/en/ITU-D/Statistics/Pages/intlcoop/partnership/default.aspx" TargetMode="External"/><Relationship Id="rId309" Type="http://schemas.openxmlformats.org/officeDocument/2006/relationships/hyperlink" Target="https://www.itu.int/en/ITU-D/Regulatory-Market/Pages/bestpractices.aspx" TargetMode="External"/><Relationship Id="rId460" Type="http://schemas.openxmlformats.org/officeDocument/2006/relationships/hyperlink" Target="https://www.itu.int/pub/R-REP-SM.2153" TargetMode="External"/><Relationship Id="rId516" Type="http://schemas.openxmlformats.org/officeDocument/2006/relationships/hyperlink" Target="https://www.equalsintech.org/skills" TargetMode="External"/><Relationship Id="rId48" Type="http://schemas.openxmlformats.org/officeDocument/2006/relationships/hyperlink" Target="https://www.itu.int/dms_pub/itu-s/opb/conf/S-CONF-ACTF-2022-PDF-a.pdf" TargetMode="External"/><Relationship Id="rId113" Type="http://schemas.openxmlformats.org/officeDocument/2006/relationships/image" Target="media/image14.png"/><Relationship Id="rId320" Type="http://schemas.openxmlformats.org/officeDocument/2006/relationships/hyperlink" Target="https://www.itu.int/en/journal/j-fet/webinars/Pages/default.aspx" TargetMode="External"/><Relationship Id="rId558" Type="http://schemas.openxmlformats.org/officeDocument/2006/relationships/hyperlink" Target="https://aiforgood.itu.int/event/international-ai-standards-summit-2/" TargetMode="External"/><Relationship Id="rId155" Type="http://schemas.openxmlformats.org/officeDocument/2006/relationships/hyperlink" Target="https://www.itu.int/en/action/environment-and-climate-change/Pages/ewaste.aspx" TargetMode="External"/><Relationship Id="rId197" Type="http://schemas.openxmlformats.org/officeDocument/2006/relationships/hyperlink" Target="https://aiforgood.itu.int/about-us/innovation-factory/" TargetMode="External"/><Relationship Id="rId362" Type="http://schemas.openxmlformats.org/officeDocument/2006/relationships/hyperlink" Target="https://www.itu.int/md/S26-CL-INF-0010/en" TargetMode="External"/><Relationship Id="rId418" Type="http://schemas.openxmlformats.org/officeDocument/2006/relationships/hyperlink" Target="https://www.itu.int/generationconnect/empower/generation-connect-young-leadership-programme-in-partnership-with-huawei-v2/" TargetMode="External"/><Relationship Id="rId222" Type="http://schemas.openxmlformats.org/officeDocument/2006/relationships/hyperlink" Target="https://www.itu.int/en/ITU-T/jca/qkdn/Pages/default.aspx" TargetMode="External"/><Relationship Id="rId264" Type="http://schemas.openxmlformats.org/officeDocument/2006/relationships/image" Target="media/image20.emf"/><Relationship Id="rId471" Type="http://schemas.openxmlformats.org/officeDocument/2006/relationships/hyperlink" Target="https://www.itu.int/cities/wp-content/uploads/2023/04/The-role-of-Digital-Technologies-in-Aging-and-Health.pdf" TargetMode="External"/><Relationship Id="rId17" Type="http://schemas.openxmlformats.org/officeDocument/2006/relationships/hyperlink" Target="https://www.itu.int/wtsa/2024/" TargetMode="External"/><Relationship Id="rId59" Type="http://schemas.openxmlformats.org/officeDocument/2006/relationships/hyperlink" Target="https://www.itu.int/pub/R-RES-R.73" TargetMode="External"/><Relationship Id="rId124" Type="http://schemas.openxmlformats.org/officeDocument/2006/relationships/hyperlink" Target="https://www.itu.int/ITU-R/BR-GeoCatalogue" TargetMode="External"/><Relationship Id="rId527" Type="http://schemas.openxmlformats.org/officeDocument/2006/relationships/hyperlink" Target="https://www.itu.int/un-virtual-worlds-day/2026/" TargetMode="External"/><Relationship Id="rId569" Type="http://schemas.openxmlformats.org/officeDocument/2006/relationships/hyperlink" Target="https://www.itu.int/en/ITU-T/focusgroups/ai4ndm/Pages/events.aspx" TargetMode="External"/><Relationship Id="rId70" Type="http://schemas.openxmlformats.org/officeDocument/2006/relationships/hyperlink" Target="https://www.itu.int/rec/T-REC-A.25-202410-I/es" TargetMode="External"/><Relationship Id="rId166" Type="http://schemas.openxmlformats.org/officeDocument/2006/relationships/hyperlink" Target="https://academy.itu.int/" TargetMode="External"/><Relationship Id="rId331" Type="http://schemas.openxmlformats.org/officeDocument/2006/relationships/hyperlink" Target="https://www.itu.int/en/ITU-R/seminars/rrs/RRS-23-Africa/Pages/default.aspx" TargetMode="External"/><Relationship Id="rId373" Type="http://schemas.openxmlformats.org/officeDocument/2006/relationships/hyperlink" Target="https://www.itu.int/en/ITU-D/Cybersecurity/Pages/Skills-Development/Her-CyberTracks.aspx" TargetMode="External"/><Relationship Id="rId429" Type="http://schemas.openxmlformats.org/officeDocument/2006/relationships/hyperlink" Target="https://www.itu.int/itu-d/sites/digital-inclusion-accessibility-for-all/" TargetMode="External"/><Relationship Id="rId580" Type="http://schemas.openxmlformats.org/officeDocument/2006/relationships/hyperlink" Target="https://www.itu.int/hub/publication/s-gen-invest-con-2025/" TargetMode="External"/><Relationship Id="rId1" Type="http://schemas.openxmlformats.org/officeDocument/2006/relationships/customXml" Target="../customXml/item1.xml"/><Relationship Id="rId233" Type="http://schemas.openxmlformats.org/officeDocument/2006/relationships/hyperlink" Target="https://www.itu.int/metaverse/un-virtual-worlds-day/thinkathon/" TargetMode="External"/><Relationship Id="rId440" Type="http://schemas.openxmlformats.org/officeDocument/2006/relationships/hyperlink" Target="https://youtu.be/IJmo71yujBY" TargetMode="External"/><Relationship Id="rId28" Type="http://schemas.openxmlformats.org/officeDocument/2006/relationships/hyperlink" Target="https://academy.itu.int/research-advocacy-and-convening-platforms/research-publications/digital-skills-toolkit" TargetMode="External"/><Relationship Id="rId275" Type="http://schemas.openxmlformats.org/officeDocument/2006/relationships/hyperlink" Target="https://www.itu.int/net4/wsis/forum/2026/ar" TargetMode="External"/><Relationship Id="rId300" Type="http://schemas.openxmlformats.org/officeDocument/2006/relationships/hyperlink" Target="https://aiforgood.itu.int/" TargetMode="External"/><Relationship Id="rId482" Type="http://schemas.openxmlformats.org/officeDocument/2006/relationships/hyperlink" Target="https://www.itu.int/hub/publication/s-gen-gda-001-2025/" TargetMode="External"/><Relationship Id="rId538" Type="http://schemas.openxmlformats.org/officeDocument/2006/relationships/hyperlink" Target="https://www.itu.int/en/ITU-T/ITS/Pages/WTSA-Resolution-104.aspx" TargetMode="External"/><Relationship Id="rId81" Type="http://schemas.openxmlformats.org/officeDocument/2006/relationships/image" Target="media/image2.png"/><Relationship Id="rId135" Type="http://schemas.openxmlformats.org/officeDocument/2006/relationships/hyperlink" Target="https://itu.int/tdata/pubs/" TargetMode="External"/><Relationship Id="rId177" Type="http://schemas.openxmlformats.org/officeDocument/2006/relationships/hyperlink" Target="https://www.itu.int/en/ITU-T/studygroups/2025-2028/20/Pages/default.aspx" TargetMode="External"/><Relationship Id="rId342" Type="http://schemas.openxmlformats.org/officeDocument/2006/relationships/hyperlink" Target="https://www.itu.int/Global-ITU-WMO/" TargetMode="External"/><Relationship Id="rId384" Type="http://schemas.openxmlformats.org/officeDocument/2006/relationships/hyperlink" Target="https://www.itu.int/en/ITU-T/NoW/Pages/default.aspx" TargetMode="External"/><Relationship Id="rId591" Type="http://schemas.openxmlformats.org/officeDocument/2006/relationships/hyperlink" Target="https://www.itu.int/ar/action/youth/Pages/YPP.aspx" TargetMode="External"/><Relationship Id="rId202" Type="http://schemas.openxmlformats.org/officeDocument/2006/relationships/hyperlink" Target="https://www.itu.int/en/ITU-D/Regional-Presence/AsiaPacific/Pages/Projects/AI%20Technology%20and%20Standards%20Capacity%20Building%20in%20Asia%20Pacific/Artificial-Intelligence-Technology-and-Standards-Capacity-Building-in-Asia-Pacific-.aspx" TargetMode="External"/><Relationship Id="rId244" Type="http://schemas.openxmlformats.org/officeDocument/2006/relationships/hyperlink" Target="https://toolkit-dt4c.itu.int/" TargetMode="External"/><Relationship Id="rId39" Type="http://schemas.openxmlformats.org/officeDocument/2006/relationships/hyperlink" Target="https://pp.itu.int/2026/en/" TargetMode="External"/><Relationship Id="rId286" Type="http://schemas.openxmlformats.org/officeDocument/2006/relationships/hyperlink" Target="https://www.itu.int/en/itu-wsis/Documents/WSIS20/WSIS+20Report.pdf" TargetMode="External"/><Relationship Id="rId451" Type="http://schemas.openxmlformats.org/officeDocument/2006/relationships/hyperlink" Target="https://www.itu.int/pub/T-TUT-EHT-2024-3" TargetMode="External"/><Relationship Id="rId493" Type="http://schemas.openxmlformats.org/officeDocument/2006/relationships/hyperlink" Target="https://www.itu.int/initiatives/green-digital-action/events/all/green-digital-action-summit-2025/" TargetMode="External"/><Relationship Id="rId507" Type="http://schemas.openxmlformats.org/officeDocument/2006/relationships/hyperlink" Target="https://eur03.safelinks.protection.outlook.com/?url=https%3A%2F%2Fwww.broadbandcommission.org%2Fadvocacy-targets%2F&amp;data=05|02|fernando.rivera%40itu.int|25850ebcdcaa42ef3ee508de787057c6|23e464d704e64b87913c24bd89219fd3|0|0|639080621056119294|Unknown|TWFpbGZsb3d8eyJFbXB0eU1hcGkiOnRydWUsIlYiOiIwLjAuMDAwMCIsIlAiOiJXaW4zMiIsIkFOIjoiTWFpbCIsIldUIjoyfQ%3D%3D|0|||&amp;sdata=ZySl%2FncpRrEwmJw1ekS6rEjXuZNK22c8lgWdGz%2Bkj2A%3D&amp;reserved=0" TargetMode="External"/><Relationship Id="rId549" Type="http://schemas.openxmlformats.org/officeDocument/2006/relationships/hyperlink" Target="https://www.itu.int/en/ITU-T/extcoop/cits/Pages/related-events.aspx" TargetMode="External"/><Relationship Id="rId50" Type="http://schemas.openxmlformats.org/officeDocument/2006/relationships/hyperlink" Target="https://www.itu.int/wrc-23/" TargetMode="External"/><Relationship Id="rId104" Type="http://schemas.openxmlformats.org/officeDocument/2006/relationships/image" Target="media/image12.png"/><Relationship Id="rId146" Type="http://schemas.openxmlformats.org/officeDocument/2006/relationships/hyperlink" Target="https://www.itu.int/en/ITU-T/regionalgroups/sg15-afr/Pages/default.aspx" TargetMode="External"/><Relationship Id="rId188" Type="http://schemas.openxmlformats.org/officeDocument/2006/relationships/hyperlink" Target="https://aiforgood.itu.int/ai-for-food-systems/" TargetMode="External"/><Relationship Id="rId311" Type="http://schemas.openxmlformats.org/officeDocument/2006/relationships/hyperlink" Target="https://www.itu.int/itu-d/meetings/gsr-24/wp-content/uploads/sites/24/2024/08/GSR-2024_BestPracticeGuidelines.pdf" TargetMode="External"/><Relationship Id="rId353" Type="http://schemas.openxmlformats.org/officeDocument/2006/relationships/hyperlink" Target="https://www.itu.int/md/S22-PP-C-0094" TargetMode="External"/><Relationship Id="rId395" Type="http://schemas.openxmlformats.org/officeDocument/2006/relationships/hyperlink" Target="https://www.itu.int/hub/2025/11/lets-end-digital-violence-against-women-and-girls/" TargetMode="External"/><Relationship Id="rId409" Type="http://schemas.openxmlformats.org/officeDocument/2006/relationships/hyperlink" Target="https://www.mwcbarcelona.com/" TargetMode="External"/><Relationship Id="rId560" Type="http://schemas.openxmlformats.org/officeDocument/2006/relationships/hyperlink" Target="https://www.itu.int/en/ITU-D/Emergency-Telecommunications/Pages/AI-Sub-Group-EW4All-.aspx" TargetMode="External"/><Relationship Id="rId92" Type="http://schemas.openxmlformats.org/officeDocument/2006/relationships/hyperlink" Target="https://www.itu.int/en/ITU-D/Statistics/Pages/ICTprices/default.aspx" TargetMode="External"/><Relationship Id="rId213" Type="http://schemas.openxmlformats.org/officeDocument/2006/relationships/hyperlink" Target="https://aiforgood.itu.int/summit26/" TargetMode="External"/><Relationship Id="rId420" Type="http://schemas.openxmlformats.org/officeDocument/2006/relationships/hyperlink" Target="https://www.itu.int/generationconnect/empower/generation-connect-young-leadership-programme-in-partnership-with-huawei-v2/" TargetMode="External"/><Relationship Id="rId255" Type="http://schemas.openxmlformats.org/officeDocument/2006/relationships/hyperlink" Target="https://academy.itu.int/" TargetMode="External"/><Relationship Id="rId297" Type="http://schemas.openxmlformats.org/officeDocument/2006/relationships/hyperlink" Target="https://aiforgood.itu.int/" TargetMode="External"/><Relationship Id="rId462" Type="http://schemas.openxmlformats.org/officeDocument/2006/relationships/hyperlink" Target="http://www.itu.int/pub/R-HDB-63" TargetMode="External"/><Relationship Id="rId518" Type="http://schemas.openxmlformats.org/officeDocument/2006/relationships/hyperlink" Target="https://www.equalsintech.org/research" TargetMode="External"/><Relationship Id="rId115" Type="http://schemas.openxmlformats.org/officeDocument/2006/relationships/hyperlink" Target="https://www.itu.int/wrc-23/" TargetMode="External"/><Relationship Id="rId157" Type="http://schemas.openxmlformats.org/officeDocument/2006/relationships/hyperlink" Target="https://u4ssc.itu.int/" TargetMode="External"/><Relationship Id="rId322" Type="http://schemas.openxmlformats.org/officeDocument/2006/relationships/hyperlink" Target="https://www.itu.int/en/ITU-T/academia/kaleidoscope/2024/Pages/default.aspx" TargetMode="External"/><Relationship Id="rId364" Type="http://schemas.openxmlformats.org/officeDocument/2006/relationships/hyperlink" Target="https://www.itu.int/en/ITU-D/Pages/regional-initiatives-2026-2029.aspx" TargetMode="External"/><Relationship Id="rId61" Type="http://schemas.openxmlformats.org/officeDocument/2006/relationships/hyperlink" Target="https://www.itu.int/pub/R-RES-R.75" TargetMode="External"/><Relationship Id="rId199" Type="http://schemas.openxmlformats.org/officeDocument/2006/relationships/hyperlink" Target="https://www.itu.int/md/S25-SG-CIR-0052/en" TargetMode="External"/><Relationship Id="rId571" Type="http://schemas.openxmlformats.org/officeDocument/2006/relationships/hyperlink" Target="https://www.itu.int/en/ITU-T/extcoop/ai4resilience/Pages/default.aspx" TargetMode="External"/><Relationship Id="rId19" Type="http://schemas.openxmlformats.org/officeDocument/2006/relationships/hyperlink" Target="https://aiforgood.itu.int/quantum-for-good/" TargetMode="External"/><Relationship Id="rId224" Type="http://schemas.openxmlformats.org/officeDocument/2006/relationships/hyperlink" Target="https://docs.un.org/ar/A/RES/78/287" TargetMode="External"/><Relationship Id="rId266" Type="http://schemas.openxmlformats.org/officeDocument/2006/relationships/hyperlink" Target="https://www.itu.int/itu-d/sites/projects/home/projects/" TargetMode="External"/><Relationship Id="rId431" Type="http://schemas.openxmlformats.org/officeDocument/2006/relationships/hyperlink" Target="https://www.itu.int/en/ITU-D/Regional-Presence/Americas/Pages/EVENTS/2022/AA-2022.aspx" TargetMode="External"/><Relationship Id="rId473" Type="http://schemas.openxmlformats.org/officeDocument/2006/relationships/hyperlink" Target="https://www.itu.int/en/ITU-D/Environment/Pages/Publications/WEEE-Saudi-Arabia-Toolkit.aspx" TargetMode="External"/><Relationship Id="rId529" Type="http://schemas.openxmlformats.org/officeDocument/2006/relationships/hyperlink" Target="https://www.itu.int/un-virtual-worlds-day/2025/" TargetMode="External"/><Relationship Id="rId30" Type="http://schemas.openxmlformats.org/officeDocument/2006/relationships/hyperlink" Target="https://aiforgood.itu.int/" TargetMode="External"/><Relationship Id="rId126" Type="http://schemas.openxmlformats.org/officeDocument/2006/relationships/hyperlink" Target="https://www.itu.int/rec/T-REC-E.1121-202406-I" TargetMode="External"/><Relationship Id="rId168" Type="http://schemas.openxmlformats.org/officeDocument/2006/relationships/hyperlink" Target="https://www.itu.int/digital-resilience/submarine-cables/events/about-nigeria-summit/" TargetMode="External"/><Relationship Id="rId333" Type="http://schemas.openxmlformats.org/officeDocument/2006/relationships/hyperlink" Target="https://www.itu.int/wrs-24/" TargetMode="External"/><Relationship Id="rId540" Type="http://schemas.openxmlformats.org/officeDocument/2006/relationships/hyperlink" Target="https://www.itu.int/en/ITU-T/extcoop/cits/Pages/default.aspx" TargetMode="External"/><Relationship Id="rId72" Type="http://schemas.openxmlformats.org/officeDocument/2006/relationships/hyperlink" Target="https://www.itu.int/itu-d/meetings/wtdc25/wp-content/uploads/sites/29/2025/11/WTDC-25-Declaration.pdf" TargetMode="External"/><Relationship Id="rId375" Type="http://schemas.openxmlformats.org/officeDocument/2006/relationships/hyperlink" Target="https://www.itu.int/hub/2020/12/americas-girls-can-code-leveling-the-tech-playing-field-for-girls-and-women/" TargetMode="External"/><Relationship Id="rId582" Type="http://schemas.openxmlformats.org/officeDocument/2006/relationships/hyperlink" Target="https://www.itu.int/md/S25-CWGWSIS42-C-0010/en" TargetMode="External"/><Relationship Id="rId3" Type="http://schemas.openxmlformats.org/officeDocument/2006/relationships/styles" Target="styles.xml"/><Relationship Id="rId235" Type="http://schemas.openxmlformats.org/officeDocument/2006/relationships/hyperlink" Target="https://www.itu.int/metaverse/virtual-worlds/1st-un-citiverse-challenge/" TargetMode="External"/><Relationship Id="rId277" Type="http://schemas.openxmlformats.org/officeDocument/2006/relationships/hyperlink" Target="http://www.wsis.org/prizes" TargetMode="External"/><Relationship Id="rId400" Type="http://schemas.openxmlformats.org/officeDocument/2006/relationships/hyperlink" Target="https://www.itu.int/md/S24-CL-C-0006/en" TargetMode="External"/><Relationship Id="rId442" Type="http://schemas.openxmlformats.org/officeDocument/2006/relationships/hyperlink" Target="https://youtu.be/KDDTwsxAaqs" TargetMode="External"/><Relationship Id="rId484" Type="http://schemas.openxmlformats.org/officeDocument/2006/relationships/hyperlink" Target="https://www.itu.int/partner2connect/" TargetMode="External"/><Relationship Id="rId137" Type="http://schemas.openxmlformats.org/officeDocument/2006/relationships/hyperlink" Target="https://www.itu.int/en/gmpcs/Pages/default.aspx" TargetMode="External"/><Relationship Id="rId302" Type="http://schemas.openxmlformats.org/officeDocument/2006/relationships/hyperlink" Target="https://aiforgood.itu.int/summit24/" TargetMode="External"/><Relationship Id="rId344" Type="http://schemas.openxmlformats.org/officeDocument/2006/relationships/hyperlink" Target="https://www.itu.int/en/ITU-T/Workshops-and-Seminars/pages/default.aspx" TargetMode="External"/><Relationship Id="rId41" Type="http://schemas.openxmlformats.org/officeDocument/2006/relationships/hyperlink" Target="https://www.itu.int/en/council/planning/Documents/ITU_Strategic_plan_2020-2023.pdf" TargetMode="External"/><Relationship Id="rId83" Type="http://schemas.openxmlformats.org/officeDocument/2006/relationships/hyperlink" Target="https://www.itu.int/en/ITU-D/Statistics/pages/facts/default.aspx" TargetMode="External"/><Relationship Id="rId179" Type="http://schemas.openxmlformats.org/officeDocument/2006/relationships/hyperlink" Target="https://www.itu.int/metaverse/virtual-worlds/" TargetMode="External"/><Relationship Id="rId386" Type="http://schemas.openxmlformats.org/officeDocument/2006/relationships/hyperlink" Target="https://academy.itu.int/training-courses/full-catalogue/super-women-series-enhance-your-presence-influence-and-impact" TargetMode="External"/><Relationship Id="rId551" Type="http://schemas.openxmlformats.org/officeDocument/2006/relationships/hyperlink" Target="https://www.worldstandardsday.org/home.html" TargetMode="External"/><Relationship Id="rId593" Type="http://schemas.openxmlformats.org/officeDocument/2006/relationships/image" Target="media/image25.png"/><Relationship Id="rId190" Type="http://schemas.openxmlformats.org/officeDocument/2006/relationships/hyperlink" Target="https://www.itu.int/en/ITU-T/extcoop/ai-data-commons/Pages/default.aspx" TargetMode="External"/><Relationship Id="rId204" Type="http://schemas.openxmlformats.org/officeDocument/2006/relationships/hyperlink" Target="https://www.itu.int/en/action/ai/Pages/UN-inter-agency-working-group-on-AI.aspx" TargetMode="External"/><Relationship Id="rId246" Type="http://schemas.openxmlformats.org/officeDocument/2006/relationships/hyperlink" Target="https://www.itu.int/cities/dt-digest/" TargetMode="External"/><Relationship Id="rId288" Type="http://schemas.openxmlformats.org/officeDocument/2006/relationships/hyperlink" Target="https://www.itu.int/md/meetingdoc.asp?lang=en&amp;parent=S26-CWGWSIS44-C-0005" TargetMode="External"/><Relationship Id="rId411" Type="http://schemas.openxmlformats.org/officeDocument/2006/relationships/hyperlink" Target="https://www.itu.int/itu-d/meetings/global-youth-summit-25/" TargetMode="External"/><Relationship Id="rId453" Type="http://schemas.openxmlformats.org/officeDocument/2006/relationships/hyperlink" Target="https://www.itu.int/en/ITU-T/focusgroups/ai4h/Pages/default.aspx" TargetMode="External"/><Relationship Id="rId509" Type="http://schemas.openxmlformats.org/officeDocument/2006/relationships/hyperlink" Target="https://eur03.safelinks.protection.outlook.com/?url=https%3A%2F%2Fwww.equalsintech.org%2F&amp;data=05|02|fernando.rivera%40itu.int|25850ebcdcaa42ef3ee508de787057c6|23e464d704e64b87913c24bd89219fd3|0|0|639080621056155187|Unknown|TWFpbGZsb3d8eyJFbXB0eU1hcGkiOnRydWUsIlYiOiIwLjAuMDAwMCIsIlAiOiJXaW4zMiIsIkFOIjoiTWFpbCIsIldUIjoyfQ%3D%3D|0|||&amp;sdata=NOL9h1C6LtYF1ELJBO6tSrHKhasuKmx15clz77i8sk4%3D&amp;reserved=0" TargetMode="External"/><Relationship Id="rId106" Type="http://schemas.openxmlformats.org/officeDocument/2006/relationships/image" Target="media/image13.png"/><Relationship Id="rId313" Type="http://schemas.openxmlformats.org/officeDocument/2006/relationships/hyperlink" Target="https://www.itu.int/hub/membership/" TargetMode="External"/><Relationship Id="rId495" Type="http://schemas.openxmlformats.org/officeDocument/2006/relationships/hyperlink" Target="https://www.itu.int/initiatives/green-digital-action/impact/all/" TargetMode="External"/><Relationship Id="rId10" Type="http://schemas.openxmlformats.org/officeDocument/2006/relationships/hyperlink" Target="https://www.itu.int/en/council/Documents/basic-texts-2023/RES-200-a.pdf" TargetMode="External"/><Relationship Id="rId52" Type="http://schemas.openxmlformats.org/officeDocument/2006/relationships/hyperlink" Target="https://www.itu.int/pub/R-REG-RR-2024" TargetMode="External"/><Relationship Id="rId94" Type="http://schemas.openxmlformats.org/officeDocument/2006/relationships/hyperlink" Target="https://www.itu.int/itu-d/reports/statistics/2025/10/15/ff25-mobile-phone-ownership/" TargetMode="External"/><Relationship Id="rId148" Type="http://schemas.openxmlformats.org/officeDocument/2006/relationships/hyperlink" Target="https://www.itu.int/pub/T-RES-T.55-2024" TargetMode="External"/><Relationship Id="rId355" Type="http://schemas.openxmlformats.org/officeDocument/2006/relationships/hyperlink" Target="https://www.itu.int/women-and-girls/girls-in-ict/international-girls-in-ict-day-2026/overview/" TargetMode="External"/><Relationship Id="rId397" Type="http://schemas.openxmlformats.org/officeDocument/2006/relationships/hyperlink" Target="https://www.unwomen.org/en/how-we-work/un-system-coordination/promoting-un-accountability" TargetMode="External"/><Relationship Id="rId520" Type="http://schemas.openxmlformats.org/officeDocument/2006/relationships/hyperlink" Target="https://www.equalsintech.org/e-mentoring" TargetMode="External"/><Relationship Id="rId562" Type="http://schemas.openxmlformats.org/officeDocument/2006/relationships/hyperlink" Target="https://www.youtube.com/watch?v=xjKjamBKHAw" TargetMode="External"/><Relationship Id="rId215" Type="http://schemas.openxmlformats.org/officeDocument/2006/relationships/hyperlink" Target="https://www.itu.int/en/ITU-T/studygroups/2025-2028/11/Pages/default.aspx" TargetMode="External"/><Relationship Id="rId257" Type="http://schemas.openxmlformats.org/officeDocument/2006/relationships/hyperlink" Target="https://academy.itu.int/digital-capacity-governments/itu-academy-training-centres" TargetMode="External"/><Relationship Id="rId422" Type="http://schemas.openxmlformats.org/officeDocument/2006/relationships/hyperlink" Target="https://www.itu.int/md/S24-CL-C-0032/en" TargetMode="External"/><Relationship Id="rId464" Type="http://schemas.openxmlformats.org/officeDocument/2006/relationships/hyperlink" Target="https://academy.itu.int/training-courses/full-catalogue/formacion-en-herramientas-innovadoras-de-comunicacion-para-el-fortalecimiento-de-las-capacidades-de-2" TargetMode="External"/><Relationship Id="rId299" Type="http://schemas.openxmlformats.org/officeDocument/2006/relationships/hyperlink" Target="https://aiforgood.itu.int/neural-network/" TargetMode="External"/><Relationship Id="rId63" Type="http://schemas.openxmlformats.org/officeDocument/2006/relationships/hyperlink" Target="https://www.itu.int/wtsa/2024/" TargetMode="External"/><Relationship Id="rId159" Type="http://schemas.openxmlformats.org/officeDocument/2006/relationships/hyperlink" Target="https://www.itu.int/en/ITU-T/studygroups/2022-2024/16/Pages/sl.aspx" TargetMode="External"/><Relationship Id="rId366" Type="http://schemas.openxmlformats.org/officeDocument/2006/relationships/hyperlink" Target="https://www.itu.int/hub/publication/d-phcb-equal-02-2023/" TargetMode="External"/><Relationship Id="rId573" Type="http://schemas.openxmlformats.org/officeDocument/2006/relationships/hyperlink" Target="https://www.itu.int/en/ITU-T/focusgroups/ai4a/Pages/events.aspx" TargetMode="External"/><Relationship Id="rId226" Type="http://schemas.openxmlformats.org/officeDocument/2006/relationships/hyperlink" Target="https://aiforgood.itu.int/search-result-programme/?keyword=&amp;category=802&amp;event-venue=&amp;enddate=&amp;startdate=" TargetMode="External"/><Relationship Id="rId433" Type="http://schemas.openxmlformats.org/officeDocument/2006/relationships/hyperlink" Target="https://www.itu.int/net/events/eventdetails.asp?lang=en&amp;eventid=23284" TargetMode="External"/><Relationship Id="rId74" Type="http://schemas.openxmlformats.org/officeDocument/2006/relationships/hyperlink" Target="https://www.itu.int/en/ITU-D/Pages/regional-initiatives-2026-2029.aspx" TargetMode="External"/><Relationship Id="rId377" Type="http://schemas.openxmlformats.org/officeDocument/2006/relationships/hyperlink" Target="https://academy.itu.int/training-courses/full-catalogue/gender-analysis-and-digital-inclusion-how-achieve-gender-equality-digital-sector" TargetMode="External"/><Relationship Id="rId500" Type="http://schemas.openxmlformats.org/officeDocument/2006/relationships/hyperlink" Target="https://www.itu.int/initiatives/digital-unga2025/" TargetMode="External"/><Relationship Id="rId584" Type="http://schemas.openxmlformats.org/officeDocument/2006/relationships/hyperlink" Target="https://social.desa.un.org/ar/world-summit-2025/documents/alan-aldwht-alsyasy-lqmt-altnmyt-alajtmayt-alalmyt-bnwan-alqmt-alalmyt" TargetMode="External"/><Relationship Id="rId5" Type="http://schemas.openxmlformats.org/officeDocument/2006/relationships/webSettings" Target="webSettings.xml"/><Relationship Id="rId237" Type="http://schemas.openxmlformats.org/officeDocument/2006/relationships/image" Target="media/image16.jpeg"/><Relationship Id="rId444" Type="http://schemas.openxmlformats.org/officeDocument/2006/relationships/hyperlink" Target="https://youtu.be/SpCcmMSrCz8" TargetMode="External"/><Relationship Id="rId290" Type="http://schemas.openxmlformats.org/officeDocument/2006/relationships/hyperlink" Target="https://www.itu.int/net4/wsis/ungis/Articles/View/2239" TargetMode="External"/><Relationship Id="rId304" Type="http://schemas.openxmlformats.org/officeDocument/2006/relationships/hyperlink" Target="https://aiforgood.itu.int/impact-initiative/" TargetMode="External"/><Relationship Id="rId388" Type="http://schemas.openxmlformats.org/officeDocument/2006/relationships/hyperlink" Target="https://www.itu.int/now4wrc23/ar/" TargetMode="External"/><Relationship Id="rId511" Type="http://schemas.openxmlformats.org/officeDocument/2006/relationships/hyperlink" Target="https://eur03.safelinks.protection.outlook.com/?url=https%3A%2F%2Fwww.broadbandcommission.org%2Fworking-groups%2Fdata-governance%2F&amp;data=05|02|fernando.rivera%40itu.int|25850ebcdcaa42ef3ee508de787057c6|23e464d704e64b87913c24bd89219fd3|0|0|639080621056189478|Unknown|TWFpbGZsb3d8eyJFbXB0eU1hcGkiOnRydWUsIlYiOiIwLjAuMDAwMCIsIlAiOiJXaW4zMiIsIkFOIjoiTWFpbCIsIldUIjoyfQ%3D%3D|0|||&amp;sdata=3y4UEJMAfevInE%2FLd8QEoDl1nwRHmyFMTZJLmU%2BY3VE%3D&amp;reserved=0" TargetMode="External"/><Relationship Id="rId85" Type="http://schemas.openxmlformats.org/officeDocument/2006/relationships/hyperlink" Target="https://www.itu.int/itu-d/reports/statistics/2025/10/15/ff25-mobile-network-coverage/" TargetMode="External"/><Relationship Id="rId150" Type="http://schemas.openxmlformats.org/officeDocument/2006/relationships/hyperlink" Target="https://www.itu.int/myworkspace" TargetMode="External"/><Relationship Id="rId595" Type="http://schemas.openxmlformats.org/officeDocument/2006/relationships/footer" Target="footer1.xml"/><Relationship Id="rId248" Type="http://schemas.openxmlformats.org/officeDocument/2006/relationships/hyperlink" Target="https://www.itu.int/en/ITU-D/Statistics/Pages/definitions/default.aspx" TargetMode="External"/><Relationship Id="rId455" Type="http://schemas.openxmlformats.org/officeDocument/2006/relationships/hyperlink" Target="https://www.itu.int/en/ITU-T/studygroups/2025-2028/20/Pages/default.aspx" TargetMode="External"/><Relationship Id="rId12" Type="http://schemas.openxmlformats.org/officeDocument/2006/relationships/hyperlink" Target="https://www.itu.int/en/council/Documents/basic-texts/RES-071-a.pdf" TargetMode="External"/><Relationship Id="rId108" Type="http://schemas.openxmlformats.org/officeDocument/2006/relationships/hyperlink" Target="https://www.itu.int/en/ITU-D/Statistics/Documents/publications/manual/ITU_HHManual_ICTskills_rev2025.pdf" TargetMode="External"/><Relationship Id="rId315" Type="http://schemas.openxmlformats.org/officeDocument/2006/relationships/hyperlink" Target="https://www.itu.int/en/ITU-T/academia/kaleidoscope/Pages/default.aspx" TargetMode="External"/><Relationship Id="rId522" Type="http://schemas.openxmlformats.org/officeDocument/2006/relationships/hyperlink" Target="https://www.equalsintech.org/her-digital-skills" TargetMode="External"/><Relationship Id="rId96" Type="http://schemas.openxmlformats.org/officeDocument/2006/relationships/image" Target="media/image8.png"/><Relationship Id="rId161" Type="http://schemas.openxmlformats.org/officeDocument/2006/relationships/hyperlink" Target="https://www.itu.int/en/ITU-D/Cybersecurity/Pages/national-CIRT.aspx" TargetMode="External"/><Relationship Id="rId399" Type="http://schemas.openxmlformats.org/officeDocument/2006/relationships/hyperlink" Target="https://www.itu.int/md/S25-CL-C-0006/en" TargetMode="External"/><Relationship Id="rId259" Type="http://schemas.openxmlformats.org/officeDocument/2006/relationships/hyperlink" Target="https://academy.itu.int/digital-skills-communities/digital-transformation-centres-initiative" TargetMode="External"/><Relationship Id="rId466" Type="http://schemas.openxmlformats.org/officeDocument/2006/relationships/hyperlink" Target="https://www.itu.int/net4/wsis/forum/2023/ar/Agenda/Session/383" TargetMode="External"/><Relationship Id="rId23" Type="http://schemas.openxmlformats.org/officeDocument/2006/relationships/hyperlink" Target="https://www.itu.int/itu-d/reports/statistics/facts-figures-2025/" TargetMode="External"/><Relationship Id="rId119" Type="http://schemas.openxmlformats.org/officeDocument/2006/relationships/hyperlink" Target="https://www.itu.int/hub/publication/r-reg-rrx-2025/" TargetMode="External"/><Relationship Id="rId326" Type="http://schemas.openxmlformats.org/officeDocument/2006/relationships/hyperlink" Target="https://www.itu.int/ar/ITU-R/seminars/Pages/default.aspx" TargetMode="External"/><Relationship Id="rId533" Type="http://schemas.openxmlformats.org/officeDocument/2006/relationships/hyperlink" Target="https://u4ssc.itu.int/publications/" TargetMode="External"/><Relationship Id="rId172" Type="http://schemas.openxmlformats.org/officeDocument/2006/relationships/hyperlink" Target="https://www.itu.int/en/ITU-D/Cybersecurity/Pages/COP/COP%20Industry%20Connect/COP-Industry-Connect.aspx" TargetMode="External"/><Relationship Id="rId477" Type="http://schemas.openxmlformats.org/officeDocument/2006/relationships/hyperlink" Target="https://www.itu.int/en/ITU-T/Workshops-and-Seminars/2025/1125/Documents/Louise%20Aubet.pdf" TargetMode="External"/><Relationship Id="rId337" Type="http://schemas.openxmlformats.org/officeDocument/2006/relationships/hyperlink" Target="https://www.itu.int/en/ITU-R/seminars/Future-of-tv-europe/Pages/default.aspx" TargetMode="External"/><Relationship Id="rId34" Type="http://schemas.openxmlformats.org/officeDocument/2006/relationships/hyperlink" Target="https://www.broadbandcommission.org/" TargetMode="External"/><Relationship Id="rId544" Type="http://schemas.openxmlformats.org/officeDocument/2006/relationships/hyperlink" Target="https://www.itu.int/en/ITU-T/extcoop/cits/egcomad/wg02/Pages/default.aspx" TargetMode="External"/><Relationship Id="rId183" Type="http://schemas.openxmlformats.org/officeDocument/2006/relationships/hyperlink" Target="https://www.itu.int/en/ITU-T/focusgroups/ainn/Pages/default.aspx" TargetMode="External"/><Relationship Id="rId390" Type="http://schemas.openxmlformats.org/officeDocument/2006/relationships/hyperlink" Target="https://www.itu.int/hub/publication/d-hdb-gender-2023-01/" TargetMode="External"/><Relationship Id="rId404" Type="http://schemas.openxmlformats.org/officeDocument/2006/relationships/hyperlink" Target="https://www.itu.int/generationconnect/ar/%d8%a7%d9%84%d9%82%d9%85%d8%a9-%d8%a7%d9%84%d8%b9%d8%a7%d9%84%d9%85%d9%8a%d8%a9-%d9%84%d9%84%d8%b4%d8%a8%d8%a7%d8%a8-%d8%a8%d8%b4%d8%a3%d9%86-%d8%aa%d9%88%d8%b5%d9%8a%d9%84-%d8%a7%d9%84%d8%ac%d9%8a/" TargetMode="External"/><Relationship Id="rId250" Type="http://schemas.openxmlformats.org/officeDocument/2006/relationships/hyperlink" Target="https://www.itu.int/en/ITU-D/Statistics/Pages/publications/default.aspx" TargetMode="External"/><Relationship Id="rId488" Type="http://schemas.openxmlformats.org/officeDocument/2006/relationships/hyperlink" Target="https://www.itu.int/initiatives/green-digital-action/events/cop30/" TargetMode="External"/><Relationship Id="rId45" Type="http://schemas.openxmlformats.org/officeDocument/2006/relationships/hyperlink" Target="https://www.itu.int/en/council/Documents/basic-texts-2023/RES-071-a.pdf" TargetMode="External"/><Relationship Id="rId110" Type="http://schemas.openxmlformats.org/officeDocument/2006/relationships/hyperlink" Target="https://www.itu.int/en/ITU-D/Statistics/Pages/facts/default.aspx" TargetMode="External"/><Relationship Id="rId348" Type="http://schemas.openxmlformats.org/officeDocument/2006/relationships/hyperlink" Target="https://www.itu.int/en/ITU-T/Workshops-and-Seminars/2024/Pages/default.aspx" TargetMode="External"/><Relationship Id="rId555" Type="http://schemas.openxmlformats.org/officeDocument/2006/relationships/hyperlink" Target="https://aiforgood.itu.int/multimedia-authenticity/" TargetMode="External"/><Relationship Id="rId194" Type="http://schemas.openxmlformats.org/officeDocument/2006/relationships/hyperlink" Target="https://aiforgood.itu.int/ai-skills-coalition/" TargetMode="External"/><Relationship Id="rId208" Type="http://schemas.openxmlformats.org/officeDocument/2006/relationships/hyperlink" Target="https://www.itu.int/pub/S-GEN-UNACT-2024" TargetMode="External"/><Relationship Id="rId415" Type="http://schemas.openxmlformats.org/officeDocument/2006/relationships/hyperlink" Target="https://www.huawei.com/en/news/2022/8/seeds-for-future-cam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2026/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28108-4966-4581-8805-B68FC035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54926</Words>
  <Characters>255960</Characters>
  <Application>Microsoft Office Word</Application>
  <DocSecurity>0</DocSecurity>
  <Lines>6094</Lines>
  <Paragraphs>3657</Paragraphs>
  <ScaleCrop>false</ScaleCrop>
  <HeadingPairs>
    <vt:vector size="2" baseType="variant">
      <vt:variant>
        <vt:lpstr>Title</vt:lpstr>
      </vt:variant>
      <vt:variant>
        <vt:i4>1</vt:i4>
      </vt:variant>
    </vt:vector>
  </HeadingPairs>
  <TitlesOfParts>
    <vt:vector size="1" baseType="lpstr">
      <vt:lpstr/>
    </vt:vector>
  </TitlesOfParts>
  <Company>International Telecommunication Union</Company>
  <LinksUpToDate>false</LinksUpToDate>
  <CharactersWithSpaces>307229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implementation of the Strategic plan and the activities of the Union, March 2022 - December 2025</dc:title>
  <dc:subject>ITU Council 2026</dc:subject>
  <dc:creator>GBS</dc:creator>
  <cp:keywords>C26; C2026; Council 2026; PP26</cp:keywords>
  <dc:description/>
  <cp:lastModifiedBy>GBS</cp:lastModifiedBy>
  <cp:revision>2</cp:revision>
  <dcterms:created xsi:type="dcterms:W3CDTF">2026-04-17T10:24:00Z</dcterms:created>
  <dcterms:modified xsi:type="dcterms:W3CDTF">2026-04-17T10:24:00Z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4764bc0ed8aab6cc3f228418da0bf4d692034987165b3c327d8e9737cd820415</vt:lpwstr>
  </property>
</Properties>
</file>