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D81552" w14:paraId="4C6B7D02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8804437" w14:textId="10A78457" w:rsidR="00796BD3" w:rsidRPr="00D81552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D81552">
              <w:rPr>
                <w:b/>
                <w:lang w:val="ru-RU"/>
              </w:rPr>
              <w:t>Пункт повестки дня:</w:t>
            </w:r>
            <w:r w:rsidR="00EC12FC" w:rsidRPr="00D81552">
              <w:rPr>
                <w:b/>
                <w:lang w:val="ru-RU"/>
              </w:rPr>
              <w:t xml:space="preserve"> </w:t>
            </w:r>
            <w:r w:rsidR="00EC12FC" w:rsidRPr="00D81552">
              <w:rPr>
                <w:b/>
                <w:bCs/>
                <w:color w:val="000000"/>
                <w:lang w:val="ru-RU"/>
              </w:rPr>
              <w:t>ADM 1</w:t>
            </w:r>
          </w:p>
        </w:tc>
        <w:tc>
          <w:tcPr>
            <w:tcW w:w="5245" w:type="dxa"/>
          </w:tcPr>
          <w:p w14:paraId="5BC5C034" w14:textId="33F4C382" w:rsidR="00796BD3" w:rsidRPr="00D81552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81552">
              <w:rPr>
                <w:b/>
                <w:lang w:val="ru-RU"/>
              </w:rPr>
              <w:t xml:space="preserve">Документ </w:t>
            </w:r>
            <w:r w:rsidR="00796BD3" w:rsidRPr="00D81552">
              <w:rPr>
                <w:b/>
                <w:lang w:val="ru-RU"/>
              </w:rPr>
              <w:t>C2</w:t>
            </w:r>
            <w:r w:rsidR="00BE00DD" w:rsidRPr="00D81552">
              <w:rPr>
                <w:b/>
                <w:lang w:val="ru-RU"/>
              </w:rPr>
              <w:t>6</w:t>
            </w:r>
            <w:r w:rsidR="00796BD3" w:rsidRPr="00D81552">
              <w:rPr>
                <w:b/>
                <w:lang w:val="ru-RU"/>
              </w:rPr>
              <w:t>/</w:t>
            </w:r>
            <w:r w:rsidR="00EC12FC" w:rsidRPr="00D81552">
              <w:rPr>
                <w:b/>
                <w:lang w:val="ru-RU"/>
              </w:rPr>
              <w:t>34</w:t>
            </w:r>
            <w:r w:rsidR="00796BD3" w:rsidRPr="00D81552">
              <w:rPr>
                <w:b/>
                <w:lang w:val="ru-RU"/>
              </w:rPr>
              <w:t>-R</w:t>
            </w:r>
          </w:p>
        </w:tc>
      </w:tr>
      <w:tr w:rsidR="00796BD3" w:rsidRPr="00D81552" w14:paraId="31AECCF3" w14:textId="77777777" w:rsidTr="00D17718">
        <w:trPr>
          <w:cantSplit/>
        </w:trPr>
        <w:tc>
          <w:tcPr>
            <w:tcW w:w="3969" w:type="dxa"/>
            <w:vMerge/>
          </w:tcPr>
          <w:p w14:paraId="52A781B4" w14:textId="77777777" w:rsidR="00796BD3" w:rsidRPr="00D8155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27B745" w14:textId="19B0577F" w:rsidR="00796BD3" w:rsidRPr="00D81552" w:rsidRDefault="00EC12FC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D81552">
              <w:rPr>
                <w:b/>
                <w:lang w:val="ru-RU"/>
              </w:rPr>
              <w:t>3 марта 2026 года</w:t>
            </w:r>
          </w:p>
        </w:tc>
      </w:tr>
      <w:tr w:rsidR="00796BD3" w:rsidRPr="00D81552" w14:paraId="0392008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9F95BEC" w14:textId="77777777" w:rsidR="00796BD3" w:rsidRPr="00D8155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E4837D1" w14:textId="77777777" w:rsidR="00796BD3" w:rsidRPr="00D81552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81552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D81552" w14:paraId="27D55605" w14:textId="77777777" w:rsidTr="00D17718">
        <w:trPr>
          <w:cantSplit/>
          <w:trHeight w:val="23"/>
        </w:trPr>
        <w:tc>
          <w:tcPr>
            <w:tcW w:w="3969" w:type="dxa"/>
          </w:tcPr>
          <w:p w14:paraId="132C00D6" w14:textId="77777777" w:rsidR="00796BD3" w:rsidRPr="00D8155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A28BC87" w14:textId="77777777" w:rsidR="00796BD3" w:rsidRPr="00D81552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D81552" w14:paraId="61A07E2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51C287" w14:textId="77777777" w:rsidR="00796BD3" w:rsidRPr="00D81552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D81552">
              <w:t>Отчет Генерального секретаря</w:t>
            </w:r>
          </w:p>
        </w:tc>
      </w:tr>
      <w:tr w:rsidR="00796BD3" w:rsidRPr="003A3695" w14:paraId="7BA958B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515429C" w14:textId="6E7FD286" w:rsidR="00796BD3" w:rsidRPr="00D81552" w:rsidRDefault="00EC12FC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D81552">
              <w:t>ФОНД РАЗВИТИЯ ИНФОРМАЦИОННО-КОММУНИКАЦИОННЫХ ТЕХНОЛОГИЙ (ФРИКТ)</w:t>
            </w:r>
          </w:p>
        </w:tc>
      </w:tr>
      <w:tr w:rsidR="00796BD3" w:rsidRPr="003A3695" w14:paraId="1E7598D7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ABCB8CD" w14:textId="77777777" w:rsidR="00796BD3" w:rsidRPr="00D81552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81552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250A47FF" w14:textId="4B5DC4AE" w:rsidR="00796BD3" w:rsidRPr="00D81552" w:rsidRDefault="00EC12FC" w:rsidP="00541902">
            <w:pPr>
              <w:jc w:val="both"/>
              <w:rPr>
                <w:lang w:val="ru-RU"/>
              </w:rPr>
            </w:pPr>
            <w:r w:rsidRPr="00D81552">
              <w:rPr>
                <w:lang w:val="ru-RU"/>
              </w:rPr>
              <w:t>В настоящем документе представлен отчет о состоянии Фонда развития информационно­коммуникационных технологий (ФРИКТ) в отношении его использования для</w:t>
            </w:r>
            <w:r w:rsidR="00D81552">
              <w:rPr>
                <w:lang w:val="en-US"/>
              </w:rPr>
              <w:t> </w:t>
            </w:r>
            <w:r w:rsidRPr="00D81552">
              <w:rPr>
                <w:lang w:val="ru-RU"/>
              </w:rPr>
              <w:t>реализации проектов в области развития. В нем также представлена информация о</w:t>
            </w:r>
            <w:r w:rsidR="00D81552">
              <w:rPr>
                <w:lang w:val="en-US"/>
              </w:rPr>
              <w:t> </w:t>
            </w:r>
            <w:r w:rsidRPr="00D81552">
              <w:rPr>
                <w:lang w:val="ru-RU"/>
              </w:rPr>
              <w:t>средствах, имеющихся в Оборотном выставочном фонде (ОВФ), счете движения капитала ФРИКТ и суммах за административные и оперативные услуги (AOS) по состоянию на конец 2025</w:t>
            </w:r>
            <w:r w:rsidR="00D81552">
              <w:rPr>
                <w:lang w:val="en-US"/>
              </w:rPr>
              <w:t> </w:t>
            </w:r>
            <w:r w:rsidRPr="00D81552">
              <w:rPr>
                <w:lang w:val="ru-RU"/>
              </w:rPr>
              <w:t>года.</w:t>
            </w:r>
          </w:p>
          <w:p w14:paraId="1678CBF8" w14:textId="77777777" w:rsidR="00796BD3" w:rsidRPr="00D81552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81552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6D1DC953" w14:textId="61EA5EF0" w:rsidR="00EC12FC" w:rsidRPr="00D81552" w:rsidRDefault="00EC12FC" w:rsidP="00541902">
            <w:pPr>
              <w:jc w:val="both"/>
              <w:rPr>
                <w:color w:val="000000"/>
                <w:sz w:val="24"/>
                <w:lang w:val="ru-RU"/>
              </w:rPr>
            </w:pPr>
            <w:r w:rsidRPr="00D81552">
              <w:rPr>
                <w:lang w:val="ru-RU"/>
              </w:rPr>
              <w:t>В конце 2025 года было зафиксировано активное сальдо в размере 559 800 швейцарских франков по сравнению с заложенными в бюджете суммами за AOS в размере 900 000</w:t>
            </w:r>
            <w:r w:rsidR="00D81552">
              <w:rPr>
                <w:lang w:val="en-US"/>
              </w:rPr>
              <w:t> </w:t>
            </w:r>
            <w:r w:rsidRPr="00D81552">
              <w:rPr>
                <w:lang w:val="ru-RU"/>
              </w:rPr>
              <w:t xml:space="preserve">швейцарских франков. В Документе </w:t>
            </w:r>
            <w:hyperlink r:id="rId7" w:history="1">
              <w:r w:rsidRPr="00D81552">
                <w:rPr>
                  <w:rStyle w:val="Hyperlink"/>
                  <w:lang w:val="ru-RU"/>
                </w:rPr>
                <w:t>C26/42</w:t>
              </w:r>
            </w:hyperlink>
            <w:r w:rsidRPr="00D81552">
              <w:rPr>
                <w:lang w:val="ru-RU"/>
              </w:rPr>
              <w:t xml:space="preserve"> на утверждение Советом-26 представлено предложение о переводе этой суммы во ФРИКТ.</w:t>
            </w:r>
            <w:r w:rsidRPr="00D81552">
              <w:rPr>
                <w:color w:val="000000"/>
                <w:sz w:val="24"/>
                <w:lang w:val="ru-RU"/>
              </w:rPr>
              <w:t xml:space="preserve"> </w:t>
            </w:r>
          </w:p>
          <w:p w14:paraId="3335A3C4" w14:textId="1539FFFA" w:rsidR="00796BD3" w:rsidRPr="00D81552" w:rsidRDefault="00EC12FC" w:rsidP="00EC12FC">
            <w:pPr>
              <w:rPr>
                <w:lang w:val="ru-RU"/>
              </w:rPr>
            </w:pPr>
            <w:r w:rsidRPr="00D81552">
              <w:rPr>
                <w:lang w:val="ru-RU"/>
              </w:rPr>
              <w:t xml:space="preserve">Совету предлагается </w:t>
            </w:r>
            <w:r w:rsidRPr="00D81552">
              <w:rPr>
                <w:b/>
                <w:bCs/>
                <w:lang w:val="ru-RU"/>
              </w:rPr>
              <w:t xml:space="preserve">принять к сведению </w:t>
            </w:r>
            <w:r w:rsidRPr="00D81552">
              <w:rPr>
                <w:lang w:val="ru-RU"/>
              </w:rPr>
              <w:t>настоящий документ.</w:t>
            </w:r>
          </w:p>
          <w:p w14:paraId="2BD8524C" w14:textId="77777777" w:rsidR="00796BD3" w:rsidRPr="00D81552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81552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24D9FB03" w14:textId="7645F004" w:rsidR="00796BD3" w:rsidRPr="00D81552" w:rsidRDefault="00EC12FC" w:rsidP="00EC12FC">
            <w:pPr>
              <w:rPr>
                <w:lang w:val="ru-RU"/>
              </w:rPr>
            </w:pPr>
            <w:r w:rsidRPr="00D81552">
              <w:rPr>
                <w:lang w:val="ru-RU"/>
              </w:rPr>
              <w:t>Предоставление технической помощи, партнерства и международное сотрудничество.</w:t>
            </w:r>
          </w:p>
          <w:p w14:paraId="597F6DEB" w14:textId="77777777" w:rsidR="00796BD3" w:rsidRPr="00D81552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81552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08A8A352" w14:textId="036F8A3B" w:rsidR="00345D2A" w:rsidRPr="00D81552" w:rsidRDefault="00EC12FC" w:rsidP="00162917">
            <w:pPr>
              <w:rPr>
                <w:szCs w:val="22"/>
                <w:lang w:val="ru-RU"/>
              </w:rPr>
            </w:pPr>
            <w:r w:rsidRPr="00D81552">
              <w:rPr>
                <w:szCs w:val="22"/>
                <w:lang w:val="ru-RU"/>
              </w:rPr>
              <w:t>В Документе C26/42 будет предусмотрен перевод 559 800 швейцарских франков из активного сальдо по AOS, сформированного в 2025 году, на счет движения капитала ФРИКТ.</w:t>
            </w:r>
          </w:p>
          <w:p w14:paraId="488E3730" w14:textId="77777777" w:rsidR="00796BD3" w:rsidRPr="00D81552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D81552">
              <w:rPr>
                <w:sz w:val="20"/>
                <w:szCs w:val="18"/>
                <w:lang w:val="ru-RU"/>
              </w:rPr>
              <w:t>__________________</w:t>
            </w:r>
          </w:p>
          <w:p w14:paraId="12E80156" w14:textId="77777777" w:rsidR="00796BD3" w:rsidRPr="00D81552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D81552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6987EC00" w14:textId="1F888DB5" w:rsidR="00796BD3" w:rsidRPr="00D81552" w:rsidRDefault="00EC12FC" w:rsidP="00EC12FC">
            <w:pPr>
              <w:spacing w:after="160"/>
              <w:rPr>
                <w:i/>
                <w:iCs/>
                <w:lang w:val="ru-RU"/>
              </w:rPr>
            </w:pPr>
            <w:hyperlink r:id="rId8" w:history="1">
              <w:r w:rsidRPr="00D81552">
                <w:rPr>
                  <w:rStyle w:val="Hyperlink"/>
                  <w:i/>
                  <w:iCs/>
                  <w:lang w:val="ru-RU"/>
                </w:rPr>
                <w:t>Резолюция 11 (Пересм. Дубай, 2018 г.)</w:t>
              </w:r>
            </w:hyperlink>
            <w:r w:rsidRPr="00D81552">
              <w:rPr>
                <w:i/>
                <w:iCs/>
                <w:lang w:val="ru-RU"/>
              </w:rPr>
              <w:t xml:space="preserve"> Полномочной конференции; </w:t>
            </w:r>
            <w:hyperlink r:id="rId9" w:history="1">
              <w:r w:rsidRPr="00D81552">
                <w:rPr>
                  <w:rStyle w:val="Hyperlink"/>
                  <w:i/>
                  <w:iCs/>
                  <w:lang w:val="ru-RU"/>
                </w:rPr>
                <w:t>Заключительные акты (Часть III)</w:t>
              </w:r>
            </w:hyperlink>
            <w:r w:rsidRPr="00D81552">
              <w:rPr>
                <w:i/>
                <w:iCs/>
                <w:lang w:val="ru-RU"/>
              </w:rPr>
              <w:t xml:space="preserve"> и </w:t>
            </w:r>
            <w:hyperlink r:id="rId10" w:history="1">
              <w:r w:rsidRPr="00D81552">
                <w:rPr>
                  <w:rStyle w:val="Hyperlink"/>
                  <w:i/>
                  <w:iCs/>
                  <w:lang w:val="ru-RU"/>
                </w:rPr>
                <w:t>Протокол шестнадцатого пленарного заседания (разделы 2.3 и 5.2)</w:t>
              </w:r>
            </w:hyperlink>
            <w:r w:rsidRPr="00D81552">
              <w:rPr>
                <w:i/>
                <w:iCs/>
                <w:lang w:val="ru-RU"/>
              </w:rPr>
              <w:t xml:space="preserve"> Полномочной конференции 2022 года; Резолюции </w:t>
            </w:r>
            <w:hyperlink r:id="rId11">
              <w:r w:rsidRPr="00D81552">
                <w:rPr>
                  <w:rStyle w:val="Hyperlink"/>
                  <w:i/>
                  <w:iCs/>
                  <w:lang w:val="ru-RU"/>
                </w:rPr>
                <w:t>1111</w:t>
              </w:r>
            </w:hyperlink>
            <w:r w:rsidRPr="00D81552">
              <w:rPr>
                <w:i/>
                <w:iCs/>
                <w:lang w:val="ru-RU"/>
              </w:rPr>
              <w:t xml:space="preserve"> ,</w:t>
            </w:r>
            <w:hyperlink r:id="rId12">
              <w:r w:rsidRPr="00D81552">
                <w:rPr>
                  <w:rStyle w:val="Hyperlink"/>
                  <w:i/>
                  <w:iCs/>
                  <w:lang w:val="ru-RU"/>
                </w:rPr>
                <w:t>1338</w:t>
              </w:r>
            </w:hyperlink>
            <w:r w:rsidRPr="00D81552">
              <w:rPr>
                <w:i/>
                <w:iCs/>
                <w:lang w:val="ru-RU"/>
              </w:rPr>
              <w:t xml:space="preserve">, </w:t>
            </w:r>
            <w:hyperlink r:id="rId13">
              <w:r w:rsidRPr="00D81552">
                <w:rPr>
                  <w:rStyle w:val="Hyperlink"/>
                  <w:i/>
                  <w:iCs/>
                  <w:lang w:val="ru-RU"/>
                </w:rPr>
                <w:t>1418</w:t>
              </w:r>
            </w:hyperlink>
            <w:r w:rsidRPr="00D81552">
              <w:rPr>
                <w:i/>
                <w:iCs/>
                <w:lang w:val="ru-RU"/>
              </w:rPr>
              <w:t xml:space="preserve">, </w:t>
            </w:r>
            <w:hyperlink r:id="rId14" w:history="1">
              <w:r w:rsidRPr="00D81552">
                <w:rPr>
                  <w:rStyle w:val="Hyperlink"/>
                  <w:i/>
                  <w:iCs/>
                  <w:lang w:val="ru-RU"/>
                </w:rPr>
                <w:t>1427</w:t>
              </w:r>
            </w:hyperlink>
            <w:r w:rsidRPr="00D81552">
              <w:rPr>
                <w:i/>
                <w:iCs/>
                <w:lang w:val="ru-RU"/>
              </w:rPr>
              <w:t xml:space="preserve"> и </w:t>
            </w:r>
            <w:hyperlink r:id="rId15" w:history="1">
              <w:r w:rsidRPr="00D81552">
                <w:rPr>
                  <w:rStyle w:val="Hyperlink"/>
                  <w:i/>
                  <w:iCs/>
                  <w:lang w:val="ru-RU"/>
                </w:rPr>
                <w:t>1434</w:t>
              </w:r>
            </w:hyperlink>
            <w:r w:rsidRPr="00D81552">
              <w:rPr>
                <w:i/>
                <w:iCs/>
                <w:lang w:val="ru-RU"/>
              </w:rPr>
              <w:t xml:space="preserve"> Совета; Документы </w:t>
            </w:r>
            <w:hyperlink r:id="rId16">
              <w:r w:rsidRPr="00D81552">
                <w:rPr>
                  <w:rStyle w:val="Hyperlink"/>
                  <w:i/>
                  <w:iCs/>
                  <w:lang w:val="ru-RU"/>
                </w:rPr>
                <w:t>C23/34</w:t>
              </w:r>
            </w:hyperlink>
            <w:r w:rsidRPr="00D81552">
              <w:rPr>
                <w:i/>
                <w:iCs/>
                <w:lang w:val="ru-RU"/>
              </w:rPr>
              <w:t xml:space="preserve">, </w:t>
            </w:r>
            <w:hyperlink r:id="rId17" w:history="1">
              <w:r w:rsidRPr="00D81552">
                <w:rPr>
                  <w:rStyle w:val="Hyperlink"/>
                  <w:i/>
                  <w:iCs/>
                  <w:lang w:val="ru-RU"/>
                </w:rPr>
                <w:t>C24/19</w:t>
              </w:r>
            </w:hyperlink>
            <w:r w:rsidRPr="00D81552">
              <w:rPr>
                <w:i/>
                <w:iCs/>
                <w:lang w:val="ru-RU"/>
              </w:rPr>
              <w:t xml:space="preserve">, </w:t>
            </w:r>
            <w:hyperlink r:id="rId18" w:history="1">
              <w:r w:rsidRPr="00D81552">
                <w:rPr>
                  <w:rStyle w:val="Hyperlink"/>
                  <w:i/>
                  <w:iCs/>
                  <w:lang w:val="ru-RU"/>
                </w:rPr>
                <w:t>C24/34</w:t>
              </w:r>
            </w:hyperlink>
            <w:r w:rsidRPr="00D81552">
              <w:rPr>
                <w:i/>
                <w:iCs/>
                <w:lang w:val="ru-RU"/>
              </w:rPr>
              <w:t xml:space="preserve">, </w:t>
            </w:r>
            <w:hyperlink r:id="rId19" w:history="1">
              <w:r w:rsidRPr="00D81552">
                <w:rPr>
                  <w:rStyle w:val="Hyperlink"/>
                  <w:i/>
                  <w:iCs/>
                  <w:lang w:val="ru-RU"/>
                </w:rPr>
                <w:t>C25/34</w:t>
              </w:r>
            </w:hyperlink>
            <w:r w:rsidRPr="00D81552">
              <w:rPr>
                <w:i/>
                <w:iCs/>
                <w:lang w:val="ru-RU"/>
              </w:rPr>
              <w:t xml:space="preserve">, </w:t>
            </w:r>
            <w:hyperlink r:id="rId20" w:history="1">
              <w:r w:rsidRPr="00D81552">
                <w:rPr>
                  <w:rStyle w:val="Hyperlink"/>
                  <w:i/>
                  <w:iCs/>
                  <w:lang w:val="ru-RU"/>
                </w:rPr>
                <w:t>C25/43</w:t>
              </w:r>
            </w:hyperlink>
            <w:r w:rsidRPr="00D81552">
              <w:rPr>
                <w:i/>
                <w:iCs/>
                <w:lang w:val="ru-RU"/>
              </w:rPr>
              <w:t xml:space="preserve"> и </w:t>
            </w:r>
            <w:hyperlink r:id="rId21" w:history="1">
              <w:r w:rsidRPr="00D81552">
                <w:rPr>
                  <w:rStyle w:val="Hyperlink"/>
                  <w:i/>
                  <w:iCs/>
                  <w:lang w:val="ru-RU"/>
                </w:rPr>
                <w:t>C26/42</w:t>
              </w:r>
            </w:hyperlink>
            <w:r w:rsidRPr="00D81552">
              <w:rPr>
                <w:i/>
                <w:iCs/>
                <w:lang w:val="ru-RU"/>
              </w:rPr>
              <w:t xml:space="preserve"> Совета; Документ </w:t>
            </w:r>
            <w:hyperlink r:id="rId22" w:history="1">
              <w:r w:rsidRPr="00D81552">
                <w:rPr>
                  <w:rStyle w:val="Hyperlink"/>
                  <w:i/>
                  <w:iCs/>
                  <w:lang w:val="ru-RU"/>
                </w:rPr>
                <w:t>C26/INF/3</w:t>
              </w:r>
            </w:hyperlink>
          </w:p>
        </w:tc>
      </w:tr>
      <w:bookmarkEnd w:id="2"/>
      <w:bookmarkEnd w:id="6"/>
    </w:tbl>
    <w:p w14:paraId="2075259B" w14:textId="77777777" w:rsidR="00796BD3" w:rsidRPr="00D81552" w:rsidRDefault="00796BD3" w:rsidP="00796BD3">
      <w:pPr>
        <w:rPr>
          <w:lang w:val="ru-RU"/>
        </w:rPr>
      </w:pPr>
    </w:p>
    <w:p w14:paraId="4930794F" w14:textId="77777777" w:rsidR="00D17718" w:rsidRPr="00D81552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63AAA8E8" w14:textId="77777777" w:rsidR="00165D06" w:rsidRPr="00D81552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D81552">
        <w:rPr>
          <w:lang w:val="ru-RU"/>
        </w:rPr>
        <w:br w:type="page"/>
      </w:r>
    </w:p>
    <w:p w14:paraId="2455E28E" w14:textId="77777777" w:rsidR="00E71C96" w:rsidRPr="00E71C96" w:rsidRDefault="00E71C96" w:rsidP="002B7CAF">
      <w:pPr>
        <w:pStyle w:val="Heading1"/>
        <w:rPr>
          <w:lang w:val="ru-RU"/>
        </w:rPr>
      </w:pPr>
      <w:r w:rsidRPr="00E71C96">
        <w:rPr>
          <w:lang w:val="ru-RU"/>
        </w:rPr>
        <w:lastRenderedPageBreak/>
        <w:t>1</w:t>
      </w:r>
      <w:r w:rsidRPr="00E71C96">
        <w:rPr>
          <w:lang w:val="ru-RU"/>
        </w:rPr>
        <w:tab/>
        <w:t>Введение</w:t>
      </w:r>
    </w:p>
    <w:p w14:paraId="0DE120C1" w14:textId="77777777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1.1</w:t>
      </w:r>
      <w:r w:rsidRPr="00E71C96">
        <w:rPr>
          <w:lang w:val="ru-RU"/>
        </w:rPr>
        <w:tab/>
        <w:t xml:space="preserve">Созданный в 1997 году </w:t>
      </w:r>
      <w:hyperlink r:id="rId23" w:history="1">
        <w:r w:rsidRPr="00E71C96">
          <w:rPr>
            <w:rStyle w:val="Hyperlink"/>
            <w:lang w:val="ru-RU"/>
          </w:rPr>
          <w:t>Фонд развития информационно-коммуникационных технологий (ФРИКТ)</w:t>
        </w:r>
      </w:hyperlink>
      <w:r w:rsidRPr="00E71C96">
        <w:rPr>
          <w:lang w:val="ru-RU"/>
        </w:rPr>
        <w:t xml:space="preserve"> поддерживает реализацию проектов на основе партнерств с участием многих заинтересованных сторон, заключаемых между Государствами – Членами МСЭ, Членами Секторов, структурами государственного и частного секторов, многосторонними организациями, фондами, финансовыми учреждениями и организациями в области развития.</w:t>
      </w:r>
      <w:hyperlink r:id="rId24" w:history="1"/>
    </w:p>
    <w:p w14:paraId="10B24450" w14:textId="77777777" w:rsidR="00E71C96" w:rsidRPr="00E71C96" w:rsidRDefault="00E71C96" w:rsidP="002B7CAF">
      <w:pPr>
        <w:pStyle w:val="Heading1"/>
        <w:rPr>
          <w:lang w:val="ru-RU"/>
        </w:rPr>
      </w:pPr>
      <w:r w:rsidRPr="00E71C96">
        <w:rPr>
          <w:lang w:val="ru-RU"/>
        </w:rPr>
        <w:t>2</w:t>
      </w:r>
      <w:r w:rsidRPr="00E71C96">
        <w:rPr>
          <w:lang w:val="ru-RU"/>
        </w:rPr>
        <w:tab/>
        <w:t>Основные правила и процедуры ФРИКТ</w:t>
      </w:r>
    </w:p>
    <w:p w14:paraId="21F36D62" w14:textId="77777777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2.1</w:t>
      </w:r>
      <w:r w:rsidRPr="00E71C96">
        <w:rPr>
          <w:lang w:val="ru-RU"/>
        </w:rPr>
        <w:tab/>
        <w:t>В принципе, ФРИКТ финансирует до 25 процентов от общего взноса денежных средств проекта. В порядке исключения ФРИКТ может финансировать более 25 процентов стоимости проекта. Это начальное финансирование, предоставленное ФРИКТ, служит для привлечения внебюджетных средств, собираемых путем мобилизации ресурсов для финансирования проектов на национальном, региональном и межрегиональном уровнях.</w:t>
      </w:r>
    </w:p>
    <w:p w14:paraId="12B8048C" w14:textId="77777777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2.2</w:t>
      </w:r>
      <w:r w:rsidRPr="00E71C96">
        <w:rPr>
          <w:lang w:val="ru-RU"/>
        </w:rPr>
        <w:tab/>
        <w:t>Предложения по проектам представляются на рассмотрение Руководящим комитетом ФРИКТ (РК ФРИКТ) и оцениваются на соответствие, в частности, следующим критериям отбора и требованиям</w:t>
      </w:r>
      <w:r w:rsidRPr="002B7CAF">
        <w:rPr>
          <w:rStyle w:val="FootnoteReference"/>
        </w:rPr>
        <w:footnoteReference w:id="1"/>
      </w:r>
      <w:r w:rsidRPr="00E71C96">
        <w:rPr>
          <w:lang w:val="ru-RU"/>
        </w:rPr>
        <w:t>:</w:t>
      </w:r>
    </w:p>
    <w:p w14:paraId="38932E53" w14:textId="77777777" w:rsidR="00E71C96" w:rsidRPr="00E71C96" w:rsidRDefault="00E71C96" w:rsidP="00541902">
      <w:pPr>
        <w:pStyle w:val="enumlev1"/>
        <w:jc w:val="both"/>
        <w:rPr>
          <w:lang w:val="ru-RU"/>
        </w:rPr>
      </w:pPr>
      <w:r w:rsidRPr="00E71C96">
        <w:rPr>
          <w:lang w:val="ru-RU"/>
        </w:rPr>
        <w:t>–</w:t>
      </w:r>
      <w:r w:rsidRPr="00E71C96">
        <w:rPr>
          <w:lang w:val="ru-RU"/>
        </w:rPr>
        <w:tab/>
        <w:t>к числу бенефициаров проекта должны относиться одна или несколько стран из числа наименее развитых стран (НРС), малых островных развивающихся государств (СИДС), развивающихся стран, не имеющих выхода к морю (ЛЛДС), стран с переходной экономикой и стран, находящихся в особо трудном положении;</w:t>
      </w:r>
    </w:p>
    <w:p w14:paraId="0164FA3A" w14:textId="77777777" w:rsidR="00E71C96" w:rsidRPr="00E71C96" w:rsidRDefault="00E71C96" w:rsidP="00541902">
      <w:pPr>
        <w:pStyle w:val="enumlev1"/>
        <w:jc w:val="both"/>
        <w:rPr>
          <w:lang w:val="ru-RU"/>
        </w:rPr>
      </w:pPr>
      <w:r w:rsidRPr="00E71C96">
        <w:rPr>
          <w:lang w:val="ru-RU"/>
        </w:rPr>
        <w:t>–</w:t>
      </w:r>
      <w:r w:rsidRPr="00E71C96">
        <w:rPr>
          <w:lang w:val="ru-RU"/>
        </w:rPr>
        <w:tab/>
        <w:t>проект должен относиться к одной из категорий/тем, принятых Всемирной конференцией по развитию электросвязи (ВКРЭ), или к любым другим темам, которые РК ФРИКТ считает важными;</w:t>
      </w:r>
    </w:p>
    <w:p w14:paraId="19E02EE8" w14:textId="77777777" w:rsidR="00E71C96" w:rsidRPr="00E71C96" w:rsidRDefault="00E71C96" w:rsidP="00541902">
      <w:pPr>
        <w:pStyle w:val="enumlev1"/>
        <w:jc w:val="both"/>
        <w:rPr>
          <w:lang w:val="ru-RU"/>
        </w:rPr>
      </w:pPr>
      <w:r w:rsidRPr="00E71C96">
        <w:rPr>
          <w:lang w:val="ru-RU"/>
        </w:rPr>
        <w:t xml:space="preserve">– </w:t>
      </w:r>
      <w:r w:rsidRPr="00E71C96">
        <w:rPr>
          <w:lang w:val="ru-RU"/>
        </w:rPr>
        <w:tab/>
        <w:t>предложения должны поддерживаться за счет взносов партнеров наличными.</w:t>
      </w:r>
    </w:p>
    <w:p w14:paraId="487437B9" w14:textId="1CB9B4C1" w:rsidR="00E71C96" w:rsidRPr="00E71C96" w:rsidRDefault="00E71C96" w:rsidP="00541902">
      <w:pPr>
        <w:jc w:val="both"/>
        <w:rPr>
          <w:lang w:val="ru-RU"/>
        </w:rPr>
      </w:pPr>
      <w:bookmarkStart w:id="7" w:name="dnote"/>
      <w:bookmarkEnd w:id="7"/>
      <w:r w:rsidRPr="00E71C96">
        <w:rPr>
          <w:lang w:val="ru-RU"/>
        </w:rPr>
        <w:t>2.3</w:t>
      </w:r>
      <w:r w:rsidRPr="00E71C96">
        <w:rPr>
          <w:lang w:val="ru-RU"/>
        </w:rPr>
        <w:tab/>
        <w:t>РК ФРИКТ: a)</w:t>
      </w:r>
      <w:r w:rsidR="00A20401">
        <w:rPr>
          <w:lang w:val="en-US"/>
        </w:rPr>
        <w:t> </w:t>
      </w:r>
      <w:r w:rsidRPr="00E71C96">
        <w:rPr>
          <w:lang w:val="ru-RU"/>
        </w:rPr>
        <w:t>рассматривает и утверждает представляемые проекты ФРИКТ; b)</w:t>
      </w:r>
      <w:r w:rsidR="00A20401">
        <w:rPr>
          <w:lang w:val="en-US"/>
        </w:rPr>
        <w:t> </w:t>
      </w:r>
      <w:r w:rsidRPr="00E71C96">
        <w:rPr>
          <w:lang w:val="ru-RU"/>
        </w:rPr>
        <w:t>утверждает размеры финансирования, выделяемого на проекты ФРИКТ; c)</w:t>
      </w:r>
      <w:r w:rsidR="00A20401">
        <w:rPr>
          <w:lang w:val="en-US"/>
        </w:rPr>
        <w:t> </w:t>
      </w:r>
      <w:r w:rsidRPr="00E71C96">
        <w:rPr>
          <w:lang w:val="ru-RU"/>
        </w:rPr>
        <w:t>контролирует реализацию проектов ФРИКТ и исполнение их бюджета.</w:t>
      </w:r>
    </w:p>
    <w:p w14:paraId="2D8A9773" w14:textId="187ACAD9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2.4</w:t>
      </w:r>
      <w:r w:rsidRPr="00E71C96">
        <w:rPr>
          <w:lang w:val="ru-RU"/>
        </w:rPr>
        <w:tab/>
        <w:t xml:space="preserve">После утверждения Резолюции </w:t>
      </w:r>
      <w:hyperlink r:id="rId25" w:history="1">
        <w:r w:rsidRPr="00E71C96">
          <w:rPr>
            <w:rStyle w:val="Hyperlink"/>
            <w:lang w:val="ru-RU"/>
          </w:rPr>
          <w:t>1418</w:t>
        </w:r>
      </w:hyperlink>
      <w:r w:rsidRPr="00E71C96">
        <w:rPr>
          <w:lang w:val="ru-RU"/>
        </w:rPr>
        <w:t xml:space="preserve"> на Совете-23 о переводе 3 млн. швейцарских франков из Оборотного выставочного фонда (ОВФ) на счет движения капитала ФРИКТ для</w:t>
      </w:r>
      <w:r w:rsidR="00A20401">
        <w:rPr>
          <w:lang w:val="en-US"/>
        </w:rPr>
        <w:t> </w:t>
      </w:r>
      <w:r w:rsidRPr="00E71C96">
        <w:rPr>
          <w:lang w:val="ru-RU"/>
        </w:rPr>
        <w:t>расширения поддержки, оказываемой ФРИКТ региональным инициативам ВКРЭ, РК ФРИКТ выполнил поручения Совета и в принципе согласился с тем, что предложения по проектам региональных инициатив также могут быть рассмотрены для участия ФРИКТ в финансировании до</w:t>
      </w:r>
      <w:r w:rsidR="00A20401">
        <w:rPr>
          <w:lang w:val="en-US"/>
        </w:rPr>
        <w:t> </w:t>
      </w:r>
      <w:r w:rsidRPr="00E71C96">
        <w:rPr>
          <w:lang w:val="ru-RU"/>
        </w:rPr>
        <w:t>50</w:t>
      </w:r>
      <w:r w:rsidR="00A20401">
        <w:rPr>
          <w:lang w:val="en-US"/>
        </w:rPr>
        <w:t> </w:t>
      </w:r>
      <w:r w:rsidRPr="00E71C96">
        <w:rPr>
          <w:lang w:val="ru-RU"/>
        </w:rPr>
        <w:t>процентов.</w:t>
      </w:r>
      <w:hyperlink r:id="rId26" w:history="1"/>
    </w:p>
    <w:p w14:paraId="38E0F3D7" w14:textId="77777777" w:rsidR="00E71C96" w:rsidRPr="00E71C96" w:rsidRDefault="00E71C96" w:rsidP="002B7CAF">
      <w:pPr>
        <w:pStyle w:val="Heading1"/>
        <w:rPr>
          <w:lang w:val="ru-RU"/>
        </w:rPr>
      </w:pPr>
      <w:r w:rsidRPr="00E71C96">
        <w:rPr>
          <w:lang w:val="ru-RU"/>
        </w:rPr>
        <w:t>3</w:t>
      </w:r>
      <w:r w:rsidRPr="00E71C96">
        <w:rPr>
          <w:lang w:val="ru-RU"/>
        </w:rPr>
        <w:tab/>
        <w:t>Ход работы ФРИКТ</w:t>
      </w:r>
    </w:p>
    <w:p w14:paraId="28F74983" w14:textId="36405618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3.1</w:t>
      </w:r>
      <w:r w:rsidRPr="00E71C96">
        <w:rPr>
          <w:lang w:val="ru-RU"/>
        </w:rPr>
        <w:tab/>
        <w:t>Веб-страница с информацией о ФРИКТ и других проектах по странам, регионам, областям деятельности и стадиям реализации проектов (текущие и завершенные) доступна по</w:t>
      </w:r>
      <w:r w:rsidR="00A20401">
        <w:rPr>
          <w:lang w:val="en-US"/>
        </w:rPr>
        <w:t> </w:t>
      </w:r>
      <w:r w:rsidRPr="00E71C96">
        <w:rPr>
          <w:lang w:val="ru-RU"/>
        </w:rPr>
        <w:t xml:space="preserve">адресу: </w:t>
      </w:r>
      <w:hyperlink r:id="rId27" w:history="1">
        <w:r w:rsidRPr="00E71C96">
          <w:rPr>
            <w:rStyle w:val="Hyperlink"/>
            <w:lang w:val="ru-RU"/>
          </w:rPr>
          <w:t>www.itu.int/en/ITU-D/Projects</w:t>
        </w:r>
      </w:hyperlink>
      <w:r w:rsidRPr="00E71C96">
        <w:rPr>
          <w:lang w:val="ru-RU"/>
        </w:rPr>
        <w:t>. По состоянию на 31</w:t>
      </w:r>
      <w:r w:rsidR="00A20401">
        <w:rPr>
          <w:lang w:val="en-US"/>
        </w:rPr>
        <w:t> </w:t>
      </w:r>
      <w:r w:rsidRPr="00E71C96">
        <w:rPr>
          <w:lang w:val="ru-RU"/>
        </w:rPr>
        <w:t>января 2026</w:t>
      </w:r>
      <w:r w:rsidR="00A20401">
        <w:rPr>
          <w:lang w:val="en-US"/>
        </w:rPr>
        <w:t> </w:t>
      </w:r>
      <w:r w:rsidRPr="00E71C96">
        <w:rPr>
          <w:lang w:val="ru-RU"/>
        </w:rPr>
        <w:t>года ФРИКТ насчитывал 26</w:t>
      </w:r>
      <w:r w:rsidR="00A20401">
        <w:rPr>
          <w:lang w:val="en-US"/>
        </w:rPr>
        <w:t> </w:t>
      </w:r>
      <w:r w:rsidRPr="00E71C96">
        <w:rPr>
          <w:lang w:val="ru-RU"/>
        </w:rPr>
        <w:t xml:space="preserve">текущих проектов (список приведен в Документе </w:t>
      </w:r>
      <w:hyperlink r:id="rId28" w:history="1">
        <w:r w:rsidRPr="00E71C96">
          <w:rPr>
            <w:rStyle w:val="Hyperlink"/>
            <w:lang w:val="ru-RU"/>
          </w:rPr>
          <w:t>C26/INF/3</w:t>
        </w:r>
      </w:hyperlink>
      <w:r w:rsidRPr="00E71C96">
        <w:rPr>
          <w:lang w:val="ru-RU"/>
        </w:rPr>
        <w:t xml:space="preserve">). Их распределение в разбивке по регионам показано на </w:t>
      </w:r>
      <w:r w:rsidR="00162917">
        <w:rPr>
          <w:lang w:val="ru-RU"/>
        </w:rPr>
        <w:t>Р</w:t>
      </w:r>
      <w:r w:rsidRPr="00E71C96">
        <w:rPr>
          <w:lang w:val="ru-RU"/>
        </w:rPr>
        <w:t>исунке</w:t>
      </w:r>
      <w:r w:rsidR="00E65B9E">
        <w:t> </w:t>
      </w:r>
      <w:r w:rsidRPr="00E71C96">
        <w:rPr>
          <w:lang w:val="ru-RU"/>
        </w:rPr>
        <w:t>1, ниже.</w:t>
      </w:r>
      <w:hyperlink r:id="rId29" w:history="1"/>
      <w:hyperlink r:id="rId30" w:history="1"/>
    </w:p>
    <w:p w14:paraId="31CBE83A" w14:textId="4E6B76A7" w:rsidR="00E71C96" w:rsidRPr="00E71C96" w:rsidRDefault="00E71C96" w:rsidP="002B7CAF">
      <w:pPr>
        <w:pStyle w:val="FigureNo"/>
        <w:rPr>
          <w:lang w:val="ru-RU"/>
        </w:rPr>
      </w:pPr>
      <w:r w:rsidRPr="00E71C96">
        <w:rPr>
          <w:lang w:val="ru-RU"/>
        </w:rPr>
        <w:lastRenderedPageBreak/>
        <w:t>РИСУНОК 1</w:t>
      </w:r>
    </w:p>
    <w:p w14:paraId="7698D767" w14:textId="62B88100" w:rsidR="00E71C96" w:rsidRPr="00E71C96" w:rsidRDefault="00E71C96" w:rsidP="002B7CAF">
      <w:pPr>
        <w:pStyle w:val="Figuretitle"/>
        <w:rPr>
          <w:lang w:val="ru-RU"/>
        </w:rPr>
      </w:pPr>
      <w:r w:rsidRPr="00E71C96">
        <w:rPr>
          <w:lang w:val="ru-RU"/>
        </w:rPr>
        <w:t xml:space="preserve">Текущие проекты, финансируемые ФРИКТ </w:t>
      </w:r>
      <w:r w:rsidR="006903F4">
        <w:rPr>
          <w:lang w:val="ru-RU"/>
        </w:rPr>
        <w:br/>
      </w:r>
      <w:r w:rsidRPr="00E71C96">
        <w:rPr>
          <w:lang w:val="ru-RU"/>
        </w:rPr>
        <w:t>(январь 2026 г.)</w:t>
      </w:r>
    </w:p>
    <w:p w14:paraId="38FE9AED" w14:textId="1DCF218C" w:rsidR="009B69AF" w:rsidRDefault="009B69AF" w:rsidP="009B69AF">
      <w:pPr>
        <w:jc w:val="center"/>
        <w:rPr>
          <w:lang w:val="ru-RU"/>
        </w:rPr>
      </w:pPr>
      <w:r w:rsidRPr="009B69AF">
        <w:rPr>
          <w:noProof/>
        </w:rPr>
        <w:drawing>
          <wp:inline distT="0" distB="0" distL="0" distR="0" wp14:anchorId="2E46B0BB" wp14:editId="68F6CA9A">
            <wp:extent cx="4307205" cy="2932430"/>
            <wp:effectExtent l="0" t="0" r="0" b="1270"/>
            <wp:docPr id="88829690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5EE85C2-0238-45AF-83AA-805552BB2E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7C979BD4" w14:textId="71D950D3" w:rsidR="00CE352A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3.2</w:t>
      </w:r>
      <w:r w:rsidRPr="00E71C96">
        <w:rPr>
          <w:lang w:val="ru-RU"/>
        </w:rPr>
        <w:tab/>
        <w:t>С 2016 года финансирование из ФРИКТ получили в общей сложности 37 проектов. На</w:t>
      </w:r>
      <w:r w:rsidR="005C5D17">
        <w:rPr>
          <w:lang w:val="ru-RU"/>
        </w:rPr>
        <w:t> </w:t>
      </w:r>
      <w:r w:rsidR="00162917">
        <w:rPr>
          <w:lang w:val="ru-RU"/>
        </w:rPr>
        <w:t>Р</w:t>
      </w:r>
      <w:r w:rsidRPr="00E71C96">
        <w:rPr>
          <w:lang w:val="ru-RU"/>
        </w:rPr>
        <w:t>исунке</w:t>
      </w:r>
      <w:r w:rsidR="005C5D17">
        <w:rPr>
          <w:lang w:val="ru-RU"/>
        </w:rPr>
        <w:t> </w:t>
      </w:r>
      <w:r w:rsidRPr="00E71C96">
        <w:rPr>
          <w:lang w:val="ru-RU"/>
        </w:rPr>
        <w:t xml:space="preserve">2 представлено состояние этих проектов, а на </w:t>
      </w:r>
      <w:r w:rsidR="00162917">
        <w:rPr>
          <w:lang w:val="ru-RU"/>
        </w:rPr>
        <w:t>Р</w:t>
      </w:r>
      <w:r w:rsidRPr="00E71C96">
        <w:rPr>
          <w:lang w:val="ru-RU"/>
        </w:rPr>
        <w:t xml:space="preserve">исунке 3 − механизмы финансирования. На </w:t>
      </w:r>
      <w:r w:rsidR="00162917">
        <w:rPr>
          <w:lang w:val="ru-RU"/>
        </w:rPr>
        <w:t>Р</w:t>
      </w:r>
      <w:r w:rsidRPr="00E71C96">
        <w:rPr>
          <w:lang w:val="ru-RU"/>
        </w:rPr>
        <w:t>исунке</w:t>
      </w:r>
      <w:r w:rsidR="00901F45">
        <w:t> </w:t>
      </w:r>
      <w:r w:rsidRPr="00E71C96">
        <w:rPr>
          <w:lang w:val="ru-RU"/>
        </w:rPr>
        <w:t>4 представлено распределение финансирования проектов в</w:t>
      </w:r>
      <w:r w:rsidR="005C5D17">
        <w:t> </w:t>
      </w:r>
      <w:r w:rsidRPr="00E71C96">
        <w:rPr>
          <w:lang w:val="ru-RU"/>
        </w:rPr>
        <w:t>разбивке по регионам. Эти показатели отражают значение ФРИКТ как основного инструмента поддержки усилий МСЭ по сбору средств на проекты. Внешние взносы наличными также определяются приоритетами партнеров по финансированию, и ассигнования ФРИКТ определены в соответствии с внешними средствами, предоставляемыми для совместного финансирования проектов.</w:t>
      </w: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1"/>
      </w:tblGrid>
      <w:tr w:rsidR="00E71C96" w:rsidRPr="003A3695" w14:paraId="2B886EB8" w14:textId="77777777" w:rsidTr="00C14F7C">
        <w:tc>
          <w:tcPr>
            <w:tcW w:w="4530" w:type="dxa"/>
          </w:tcPr>
          <w:p w14:paraId="13E2EE10" w14:textId="77777777" w:rsidR="00E71C96" w:rsidRPr="00E71C96" w:rsidRDefault="00E71C96" w:rsidP="00C14F7C">
            <w:pPr>
              <w:pStyle w:val="FigureNo"/>
              <w:rPr>
                <w:lang w:val="ru-RU"/>
              </w:rPr>
            </w:pPr>
            <w:r w:rsidRPr="00E71C96">
              <w:rPr>
                <w:lang w:val="ru-RU"/>
              </w:rPr>
              <w:t>РИСУНОК 2</w:t>
            </w:r>
          </w:p>
          <w:p w14:paraId="03D38BD8" w14:textId="639230D3" w:rsidR="00E71C96" w:rsidRPr="00E71C96" w:rsidRDefault="00E71C96" w:rsidP="00C14F7C">
            <w:pPr>
              <w:pStyle w:val="Figuretitle"/>
              <w:rPr>
                <w:lang w:val="ru-RU"/>
              </w:rPr>
            </w:pPr>
            <w:r w:rsidRPr="00E71C96">
              <w:rPr>
                <w:lang w:val="ru-RU"/>
              </w:rPr>
              <w:t>Обзор проектов, финансируемых ФРИКТ</w:t>
            </w:r>
            <w:r w:rsidR="007C2464">
              <w:rPr>
                <w:lang w:val="ru-RU"/>
              </w:rPr>
              <w:br/>
            </w:r>
            <w:r w:rsidRPr="00E71C96">
              <w:rPr>
                <w:lang w:val="ru-RU"/>
              </w:rPr>
              <w:t>(2016 г. – январь 2026 г.)</w:t>
            </w:r>
          </w:p>
        </w:tc>
        <w:tc>
          <w:tcPr>
            <w:tcW w:w="4531" w:type="dxa"/>
          </w:tcPr>
          <w:p w14:paraId="65A8A180" w14:textId="77777777" w:rsidR="00E71C96" w:rsidRPr="00E71C96" w:rsidRDefault="00E71C96" w:rsidP="00C14F7C">
            <w:pPr>
              <w:pStyle w:val="FigureNo"/>
              <w:rPr>
                <w:lang w:val="ru-RU"/>
              </w:rPr>
            </w:pPr>
            <w:r w:rsidRPr="00E71C96">
              <w:rPr>
                <w:lang w:val="ru-RU"/>
              </w:rPr>
              <w:t>РИСУНОК 3</w:t>
            </w:r>
          </w:p>
          <w:p w14:paraId="1148A902" w14:textId="0314CFFF" w:rsidR="00E71C96" w:rsidRPr="00E71C96" w:rsidRDefault="00E71C96" w:rsidP="00C14F7C">
            <w:pPr>
              <w:pStyle w:val="Figuretitle"/>
              <w:rPr>
                <w:lang w:val="ru-RU"/>
              </w:rPr>
            </w:pPr>
            <w:r w:rsidRPr="00E71C96">
              <w:rPr>
                <w:lang w:val="ru-RU"/>
              </w:rPr>
              <w:t>Финансирование, предоставленное ФРИКТ</w:t>
            </w:r>
            <w:r w:rsidR="007C2464">
              <w:rPr>
                <w:lang w:val="ru-RU"/>
              </w:rPr>
              <w:br/>
            </w:r>
            <w:r w:rsidRPr="00E71C96">
              <w:rPr>
                <w:lang w:val="ru-RU"/>
              </w:rPr>
              <w:t>(2016 г. – январь 2026 г.)</w:t>
            </w:r>
          </w:p>
        </w:tc>
      </w:tr>
      <w:tr w:rsidR="00E71C96" w:rsidRPr="00E71C96" w14:paraId="3B9F9F5E" w14:textId="77777777" w:rsidTr="00EF6E46">
        <w:tc>
          <w:tcPr>
            <w:tcW w:w="4530" w:type="dxa"/>
          </w:tcPr>
          <w:p w14:paraId="2C0C5D24" w14:textId="6BE72D79" w:rsidR="00E71C96" w:rsidRPr="00E71C96" w:rsidRDefault="00EF6E46" w:rsidP="00BF6134">
            <w:pPr>
              <w:jc w:val="center"/>
              <w:rPr>
                <w:lang w:val="ru-RU"/>
              </w:rPr>
            </w:pPr>
            <w:r w:rsidRPr="00EF6E46">
              <w:rPr>
                <w:noProof/>
              </w:rPr>
              <w:drawing>
                <wp:inline distT="0" distB="0" distL="0" distR="0" wp14:anchorId="1EC875EB" wp14:editId="0B606EB3">
                  <wp:extent cx="2739390" cy="1903095"/>
                  <wp:effectExtent l="0" t="0" r="3810" b="1905"/>
                  <wp:docPr id="1053022317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FC0B26-18B9-A41A-FA1D-CA0366385C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15DEED0" w14:textId="640C2F97" w:rsidR="00E71C96" w:rsidRPr="00E71C96" w:rsidRDefault="00EF6E46" w:rsidP="005C5D17">
            <w:pPr>
              <w:jc w:val="center"/>
              <w:rPr>
                <w:lang w:val="ru-RU"/>
              </w:rPr>
            </w:pPr>
            <w:r w:rsidRPr="00EF6E46">
              <w:rPr>
                <w:noProof/>
              </w:rPr>
              <w:drawing>
                <wp:inline distT="0" distB="0" distL="0" distR="0" wp14:anchorId="428AA572" wp14:editId="153446E9">
                  <wp:extent cx="2811731" cy="2028092"/>
                  <wp:effectExtent l="0" t="0" r="8255" b="0"/>
                  <wp:docPr id="552986768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2477EA-966B-D64F-FB8B-463BABBA3D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</w:tr>
    </w:tbl>
    <w:p w14:paraId="75B1B216" w14:textId="20998A22" w:rsidR="00E71C96" w:rsidRPr="00E71C96" w:rsidRDefault="00E71C96" w:rsidP="00C14F7C">
      <w:pPr>
        <w:pStyle w:val="FigureNo"/>
        <w:rPr>
          <w:lang w:val="ru-RU"/>
        </w:rPr>
      </w:pPr>
      <w:r w:rsidRPr="00E71C96">
        <w:rPr>
          <w:lang w:val="ru-RU"/>
        </w:rPr>
        <w:lastRenderedPageBreak/>
        <w:t>РИСУНОК 4</w:t>
      </w:r>
    </w:p>
    <w:p w14:paraId="3D09E722" w14:textId="77777777" w:rsidR="00E71C96" w:rsidRPr="00E71C96" w:rsidRDefault="00E71C96" w:rsidP="00C14F7C">
      <w:pPr>
        <w:pStyle w:val="Figuretitle"/>
        <w:rPr>
          <w:lang w:val="ru-RU"/>
        </w:rPr>
      </w:pPr>
      <w:r w:rsidRPr="00E71C96">
        <w:rPr>
          <w:lang w:val="ru-RU"/>
        </w:rPr>
        <w:t>Стоимость текущих проектов ФРИКТ в разбивке по регионам</w:t>
      </w:r>
    </w:p>
    <w:p w14:paraId="50BA9595" w14:textId="0B46A810" w:rsidR="008E302D" w:rsidRDefault="008E302D" w:rsidP="00A20401">
      <w:pPr>
        <w:jc w:val="center"/>
        <w:rPr>
          <w:lang w:val="ru-RU"/>
        </w:rPr>
      </w:pPr>
      <w:r w:rsidRPr="008E302D">
        <w:rPr>
          <w:noProof/>
          <w:lang w:val="ru-RU"/>
        </w:rPr>
        <w:drawing>
          <wp:inline distT="0" distB="0" distL="0" distR="0" wp14:anchorId="79637D4E" wp14:editId="56EDB712">
            <wp:extent cx="5402820" cy="2620108"/>
            <wp:effectExtent l="0" t="0" r="762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829" cy="262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45FDA" w14:textId="62D28005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3.3</w:t>
      </w:r>
      <w:r w:rsidRPr="00E71C96">
        <w:rPr>
          <w:lang w:val="ru-RU"/>
        </w:rPr>
        <w:tab/>
        <w:t xml:space="preserve">В 2025 году было утверждено распределение средств из ФРИКТ для двенадцати (12) новых проектов. На данный момент подписаны соглашения по восьми (8) проектам, которые отражены в Документе </w:t>
      </w:r>
      <w:hyperlink r:id="rId35" w:history="1">
        <w:r w:rsidRPr="00E71C96">
          <w:rPr>
            <w:rStyle w:val="Hyperlink"/>
            <w:lang w:val="ru-RU"/>
          </w:rPr>
          <w:t>C26/INF/3</w:t>
        </w:r>
      </w:hyperlink>
      <w:r w:rsidRPr="00E71C96">
        <w:rPr>
          <w:lang w:val="ru-RU"/>
        </w:rPr>
        <w:t>. Четыре (4) оставшихся проекта близки к</w:t>
      </w:r>
      <w:r w:rsidR="004B513D">
        <w:rPr>
          <w:lang w:val="en-US"/>
        </w:rPr>
        <w:t> </w:t>
      </w:r>
      <w:r w:rsidRPr="00E71C96">
        <w:rPr>
          <w:lang w:val="ru-RU"/>
        </w:rPr>
        <w:t>подписанию (перечислены в Таблице 1, ниже).</w:t>
      </w:r>
      <w:hyperlink r:id="rId36" w:history="1"/>
    </w:p>
    <w:p w14:paraId="588DF59A" w14:textId="77777777" w:rsidR="00E71C96" w:rsidRPr="00E71C96" w:rsidRDefault="00E71C96" w:rsidP="00C14F7C">
      <w:pPr>
        <w:pStyle w:val="TableNo"/>
        <w:rPr>
          <w:lang w:val="ru-RU"/>
        </w:rPr>
      </w:pPr>
      <w:r w:rsidRPr="00E71C96">
        <w:rPr>
          <w:lang w:val="ru-RU"/>
        </w:rPr>
        <w:t>ТАБЛИЦА 1</w:t>
      </w:r>
    </w:p>
    <w:p w14:paraId="5913F2C1" w14:textId="77777777" w:rsidR="00E71C96" w:rsidRPr="00E71C96" w:rsidRDefault="00E71C96" w:rsidP="00C14F7C">
      <w:pPr>
        <w:pStyle w:val="Tabletitle"/>
        <w:rPr>
          <w:lang w:val="ru-RU"/>
        </w:rPr>
      </w:pPr>
      <w:r w:rsidRPr="00E71C96">
        <w:rPr>
          <w:lang w:val="ru-RU"/>
        </w:rPr>
        <w:t>Проекты, утвержденные для совместного финансирования из ФРИКТ в 2025 году и ожидающие подписания</w:t>
      </w:r>
    </w:p>
    <w:tbl>
      <w:tblPr>
        <w:tblStyle w:val="TableGrid"/>
        <w:tblW w:w="918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5"/>
        <w:gridCol w:w="3403"/>
        <w:gridCol w:w="1261"/>
        <w:gridCol w:w="1262"/>
      </w:tblGrid>
      <w:tr w:rsidR="00E71C96" w:rsidRPr="00E71C96" w14:paraId="27824EE9" w14:textId="77777777" w:rsidTr="00094B58">
        <w:trPr>
          <w:trHeight w:val="240"/>
          <w:jc w:val="center"/>
        </w:trPr>
        <w:tc>
          <w:tcPr>
            <w:tcW w:w="3255" w:type="dxa"/>
          </w:tcPr>
          <w:p w14:paraId="6D54BFD6" w14:textId="77777777" w:rsidR="00E71C96" w:rsidRPr="00E71C96" w:rsidRDefault="00E71C96" w:rsidP="00C14F7C">
            <w:pPr>
              <w:pStyle w:val="Tablehead"/>
              <w:rPr>
                <w:lang w:val="ru-RU"/>
              </w:rPr>
            </w:pPr>
            <w:r w:rsidRPr="00E71C96">
              <w:rPr>
                <w:lang w:val="ru-RU"/>
              </w:rPr>
              <w:t>Название</w:t>
            </w:r>
          </w:p>
        </w:tc>
        <w:tc>
          <w:tcPr>
            <w:tcW w:w="3403" w:type="dxa"/>
          </w:tcPr>
          <w:p w14:paraId="675059E5" w14:textId="77777777" w:rsidR="00E71C96" w:rsidRPr="00E71C96" w:rsidRDefault="00E71C96" w:rsidP="00C14F7C">
            <w:pPr>
              <w:pStyle w:val="Tablehead"/>
              <w:rPr>
                <w:lang w:val="ru-RU"/>
              </w:rPr>
            </w:pPr>
            <w:r w:rsidRPr="00E71C96">
              <w:rPr>
                <w:lang w:val="ru-RU"/>
              </w:rPr>
              <w:t>Партнер</w:t>
            </w:r>
          </w:p>
        </w:tc>
        <w:tc>
          <w:tcPr>
            <w:tcW w:w="1261" w:type="dxa"/>
          </w:tcPr>
          <w:p w14:paraId="1095886D" w14:textId="77777777" w:rsidR="00E71C96" w:rsidRPr="00E71C96" w:rsidRDefault="00E71C96" w:rsidP="00C14F7C">
            <w:pPr>
              <w:pStyle w:val="Tablehead"/>
              <w:rPr>
                <w:lang w:val="ru-RU"/>
              </w:rPr>
            </w:pPr>
            <w:r w:rsidRPr="00E71C96">
              <w:rPr>
                <w:lang w:val="ru-RU"/>
              </w:rPr>
              <w:t>Партнерские средства</w:t>
            </w:r>
          </w:p>
        </w:tc>
        <w:tc>
          <w:tcPr>
            <w:tcW w:w="1262" w:type="dxa"/>
          </w:tcPr>
          <w:p w14:paraId="539F7618" w14:textId="1E7E009E" w:rsidR="00E71C96" w:rsidRPr="00E71C96" w:rsidRDefault="00E71C96" w:rsidP="00C14F7C">
            <w:pPr>
              <w:pStyle w:val="Tablehead"/>
              <w:rPr>
                <w:lang w:val="ru-RU"/>
              </w:rPr>
            </w:pPr>
            <w:r w:rsidRPr="00E71C96">
              <w:rPr>
                <w:lang w:val="ru-RU"/>
              </w:rPr>
              <w:t>ФРИКТ</w:t>
            </w:r>
          </w:p>
        </w:tc>
      </w:tr>
      <w:tr w:rsidR="00E71C96" w:rsidRPr="00E71C96" w14:paraId="7B978D30" w14:textId="77777777" w:rsidTr="00094B58">
        <w:trPr>
          <w:jc w:val="center"/>
        </w:trPr>
        <w:tc>
          <w:tcPr>
            <w:tcW w:w="3255" w:type="dxa"/>
          </w:tcPr>
          <w:p w14:paraId="4D1A1277" w14:textId="71D690D5" w:rsidR="00E71C96" w:rsidRPr="00E71C96" w:rsidRDefault="00E71C96" w:rsidP="00C14F7C">
            <w:pPr>
              <w:pStyle w:val="Tabletext"/>
              <w:rPr>
                <w:lang w:val="ru-RU"/>
              </w:rPr>
            </w:pPr>
            <w:r w:rsidRPr="00E71C96">
              <w:rPr>
                <w:lang w:val="ru-RU"/>
              </w:rPr>
              <w:t>Расширение масштабов раннего предупреждения и связи в рамках инициативы Генерального секретаря Организации Объединенных Наций "Раннее предупреждение для всех" (EW4All)</w:t>
            </w:r>
          </w:p>
        </w:tc>
        <w:tc>
          <w:tcPr>
            <w:tcW w:w="3403" w:type="dxa"/>
          </w:tcPr>
          <w:p w14:paraId="7C43468E" w14:textId="77777777" w:rsidR="00E71C96" w:rsidRPr="00E71C96" w:rsidRDefault="00E71C96" w:rsidP="00C14F7C">
            <w:pPr>
              <w:pStyle w:val="Tabletext"/>
              <w:rPr>
                <w:lang w:val="ru-RU"/>
              </w:rPr>
            </w:pPr>
            <w:r w:rsidRPr="00E71C96">
              <w:rPr>
                <w:lang w:val="ru-RU"/>
              </w:rPr>
              <w:t>Зеленый климатический фонд (GCF)</w:t>
            </w:r>
          </w:p>
        </w:tc>
        <w:tc>
          <w:tcPr>
            <w:tcW w:w="1261" w:type="dxa"/>
          </w:tcPr>
          <w:p w14:paraId="3BF6A1EF" w14:textId="77777777" w:rsidR="00E71C96" w:rsidRPr="00E71C96" w:rsidRDefault="00E71C96" w:rsidP="006903F4">
            <w:pPr>
              <w:pStyle w:val="Tabletext"/>
              <w:jc w:val="center"/>
              <w:rPr>
                <w:lang w:val="ru-RU"/>
              </w:rPr>
            </w:pPr>
            <w:r w:rsidRPr="00E71C96">
              <w:rPr>
                <w:lang w:val="ru-RU"/>
              </w:rPr>
              <w:t>7 480 000 долл. США</w:t>
            </w:r>
          </w:p>
        </w:tc>
        <w:tc>
          <w:tcPr>
            <w:tcW w:w="1262" w:type="dxa"/>
          </w:tcPr>
          <w:p w14:paraId="7FAF1A79" w14:textId="77777777" w:rsidR="00E71C96" w:rsidRPr="00E71C96" w:rsidRDefault="00E71C96" w:rsidP="006903F4">
            <w:pPr>
              <w:pStyle w:val="Tabletext"/>
              <w:jc w:val="center"/>
              <w:rPr>
                <w:lang w:val="ru-RU"/>
              </w:rPr>
            </w:pPr>
            <w:r w:rsidRPr="00E71C96">
              <w:rPr>
                <w:lang w:val="ru-RU"/>
              </w:rPr>
              <w:t>930 000 долл. США</w:t>
            </w:r>
          </w:p>
        </w:tc>
      </w:tr>
      <w:tr w:rsidR="00E71C96" w:rsidRPr="00E71C96" w14:paraId="7BCFCC03" w14:textId="77777777" w:rsidTr="00094B58">
        <w:trPr>
          <w:jc w:val="center"/>
        </w:trPr>
        <w:tc>
          <w:tcPr>
            <w:tcW w:w="3255" w:type="dxa"/>
          </w:tcPr>
          <w:p w14:paraId="001066BF" w14:textId="77777777" w:rsidR="00E71C96" w:rsidRPr="00E71C96" w:rsidRDefault="00E71C96" w:rsidP="00C14F7C">
            <w:pPr>
              <w:pStyle w:val="Tabletext"/>
              <w:rPr>
                <w:lang w:val="ru-RU"/>
              </w:rPr>
            </w:pPr>
            <w:r w:rsidRPr="00E71C96">
              <w:rPr>
                <w:lang w:val="ru-RU"/>
              </w:rPr>
              <w:t>Создание отраслевой CIRT в области электросвязи в Иордании и развитие потенциала в регионе</w:t>
            </w:r>
          </w:p>
        </w:tc>
        <w:tc>
          <w:tcPr>
            <w:tcW w:w="3403" w:type="dxa"/>
          </w:tcPr>
          <w:p w14:paraId="10426E0E" w14:textId="77777777" w:rsidR="00E71C96" w:rsidRPr="00E71C96" w:rsidRDefault="00E71C96" w:rsidP="00C14F7C">
            <w:pPr>
              <w:pStyle w:val="Tabletext"/>
              <w:rPr>
                <w:lang w:val="ru-RU"/>
              </w:rPr>
            </w:pPr>
            <w:r w:rsidRPr="00E71C96">
              <w:rPr>
                <w:lang w:val="ru-RU"/>
              </w:rPr>
              <w:t>Комиссия по регулированию электросвязи Иордании</w:t>
            </w:r>
          </w:p>
        </w:tc>
        <w:tc>
          <w:tcPr>
            <w:tcW w:w="1261" w:type="dxa"/>
          </w:tcPr>
          <w:p w14:paraId="5F84B932" w14:textId="52ECA96E" w:rsidR="00E71C96" w:rsidRPr="00E71C96" w:rsidRDefault="00E71C96" w:rsidP="006903F4">
            <w:pPr>
              <w:pStyle w:val="Tabletext"/>
              <w:jc w:val="center"/>
              <w:rPr>
                <w:lang w:val="ru-RU"/>
              </w:rPr>
            </w:pPr>
            <w:r w:rsidRPr="00E71C96">
              <w:rPr>
                <w:lang w:val="ru-RU"/>
              </w:rPr>
              <w:t>311 750 долл. США</w:t>
            </w:r>
          </w:p>
        </w:tc>
        <w:tc>
          <w:tcPr>
            <w:tcW w:w="1262" w:type="dxa"/>
          </w:tcPr>
          <w:p w14:paraId="01C19DCF" w14:textId="77777777" w:rsidR="00E71C96" w:rsidRPr="00E71C96" w:rsidRDefault="00E71C96" w:rsidP="006903F4">
            <w:pPr>
              <w:pStyle w:val="Tabletext"/>
              <w:jc w:val="center"/>
              <w:rPr>
                <w:lang w:val="ru-RU"/>
              </w:rPr>
            </w:pPr>
            <w:r w:rsidRPr="00E71C96">
              <w:rPr>
                <w:lang w:val="ru-RU"/>
              </w:rPr>
              <w:t>124 000 долл. США</w:t>
            </w:r>
          </w:p>
        </w:tc>
      </w:tr>
      <w:tr w:rsidR="00E71C96" w:rsidRPr="00E71C96" w14:paraId="0CBA479A" w14:textId="77777777" w:rsidTr="00094B58">
        <w:trPr>
          <w:jc w:val="center"/>
        </w:trPr>
        <w:tc>
          <w:tcPr>
            <w:tcW w:w="3255" w:type="dxa"/>
          </w:tcPr>
          <w:p w14:paraId="6DD289AC" w14:textId="77777777" w:rsidR="00E71C96" w:rsidRPr="00E71C96" w:rsidRDefault="00E71C96" w:rsidP="00C14F7C">
            <w:pPr>
              <w:pStyle w:val="Tabletext"/>
              <w:rPr>
                <w:lang w:val="ru-RU"/>
              </w:rPr>
            </w:pPr>
            <w:r w:rsidRPr="00E71C96">
              <w:rPr>
                <w:lang w:val="ru-RU"/>
              </w:rPr>
              <w:t>Укрепление национального потенциала по управлению операциями в кризисных ситуациях в области кибербезопасности</w:t>
            </w:r>
          </w:p>
        </w:tc>
        <w:tc>
          <w:tcPr>
            <w:tcW w:w="3403" w:type="dxa"/>
          </w:tcPr>
          <w:p w14:paraId="40F882B2" w14:textId="77777777" w:rsidR="00E71C96" w:rsidRPr="00E71C96" w:rsidRDefault="00E71C96" w:rsidP="00C14F7C">
            <w:pPr>
              <w:pStyle w:val="Tabletext"/>
              <w:rPr>
                <w:lang w:val="ru-RU"/>
              </w:rPr>
            </w:pPr>
            <w:r w:rsidRPr="00E71C96">
              <w:rPr>
                <w:lang w:val="ru-RU"/>
              </w:rPr>
              <w:t>Министерство науки и ИКТ (MSIT) Республики Корея</w:t>
            </w:r>
          </w:p>
        </w:tc>
        <w:tc>
          <w:tcPr>
            <w:tcW w:w="1261" w:type="dxa"/>
          </w:tcPr>
          <w:p w14:paraId="18BAC035" w14:textId="77777777" w:rsidR="00E71C96" w:rsidRPr="00E71C96" w:rsidRDefault="00E71C96" w:rsidP="006903F4">
            <w:pPr>
              <w:pStyle w:val="Tabletext"/>
              <w:jc w:val="center"/>
              <w:rPr>
                <w:lang w:val="ru-RU"/>
              </w:rPr>
            </w:pPr>
            <w:r w:rsidRPr="00E71C96">
              <w:rPr>
                <w:lang w:val="ru-RU"/>
              </w:rPr>
              <w:t>160 000 долл. США</w:t>
            </w:r>
          </w:p>
        </w:tc>
        <w:tc>
          <w:tcPr>
            <w:tcW w:w="1262" w:type="dxa"/>
          </w:tcPr>
          <w:p w14:paraId="4F6C670D" w14:textId="77777777" w:rsidR="00E71C96" w:rsidRPr="00E71C96" w:rsidRDefault="00E71C96" w:rsidP="006903F4">
            <w:pPr>
              <w:pStyle w:val="Tabletext"/>
              <w:jc w:val="center"/>
              <w:rPr>
                <w:lang w:val="ru-RU"/>
              </w:rPr>
            </w:pPr>
            <w:r w:rsidRPr="00E71C96">
              <w:rPr>
                <w:lang w:val="ru-RU"/>
              </w:rPr>
              <w:t>160 000 долл. США</w:t>
            </w:r>
          </w:p>
        </w:tc>
      </w:tr>
      <w:tr w:rsidR="00E71C96" w:rsidRPr="00E71C96" w14:paraId="3FEB134C" w14:textId="77777777" w:rsidTr="00094B58">
        <w:trPr>
          <w:jc w:val="center"/>
        </w:trPr>
        <w:tc>
          <w:tcPr>
            <w:tcW w:w="3255" w:type="dxa"/>
          </w:tcPr>
          <w:p w14:paraId="6159854F" w14:textId="77777777" w:rsidR="00E71C96" w:rsidRPr="00E71C96" w:rsidRDefault="00E71C96" w:rsidP="00C14F7C">
            <w:pPr>
              <w:pStyle w:val="Tabletext"/>
              <w:rPr>
                <w:lang w:val="ru-RU"/>
              </w:rPr>
            </w:pPr>
            <w:r w:rsidRPr="00E71C96">
              <w:rPr>
                <w:lang w:val="ru-RU"/>
              </w:rPr>
              <w:t>Создание учитывающих гендерные аспекты экосистем цифровой торговли в Сенегале – этап 1</w:t>
            </w:r>
          </w:p>
        </w:tc>
        <w:tc>
          <w:tcPr>
            <w:tcW w:w="3403" w:type="dxa"/>
          </w:tcPr>
          <w:p w14:paraId="425C018A" w14:textId="77777777" w:rsidR="00E71C96" w:rsidRPr="00E71C96" w:rsidRDefault="00E71C96" w:rsidP="00C14F7C">
            <w:pPr>
              <w:pStyle w:val="Tabletext"/>
              <w:rPr>
                <w:lang w:val="ru-RU"/>
              </w:rPr>
            </w:pPr>
            <w:r w:rsidRPr="00E71C96">
              <w:rPr>
                <w:lang w:val="ru-RU"/>
              </w:rPr>
              <w:t>Регуляторный орган электросвязи и почт (ARTP) Сенегала</w:t>
            </w:r>
          </w:p>
        </w:tc>
        <w:tc>
          <w:tcPr>
            <w:tcW w:w="1261" w:type="dxa"/>
          </w:tcPr>
          <w:p w14:paraId="5EB3DCCE" w14:textId="2DD47979" w:rsidR="00E71C96" w:rsidRPr="00E71C96" w:rsidRDefault="00E71C96" w:rsidP="006903F4">
            <w:pPr>
              <w:pStyle w:val="Tabletext"/>
              <w:jc w:val="center"/>
              <w:rPr>
                <w:lang w:val="ru-RU"/>
              </w:rPr>
            </w:pPr>
            <w:r w:rsidRPr="00E71C96">
              <w:rPr>
                <w:lang w:val="ru-RU"/>
              </w:rPr>
              <w:t xml:space="preserve">88 762 </w:t>
            </w:r>
            <w:r w:rsidR="006903F4">
              <w:rPr>
                <w:lang w:val="ru-RU"/>
              </w:rPr>
              <w:br/>
            </w:r>
            <w:r w:rsidRPr="00E71C96">
              <w:rPr>
                <w:lang w:val="ru-RU"/>
              </w:rPr>
              <w:t>долл. США</w:t>
            </w:r>
          </w:p>
        </w:tc>
        <w:tc>
          <w:tcPr>
            <w:tcW w:w="1262" w:type="dxa"/>
          </w:tcPr>
          <w:p w14:paraId="352AA43A" w14:textId="66048B31" w:rsidR="00E71C96" w:rsidRPr="00E71C96" w:rsidRDefault="00E71C96" w:rsidP="009B69AF">
            <w:pPr>
              <w:pStyle w:val="Tabletext"/>
              <w:jc w:val="center"/>
              <w:rPr>
                <w:lang w:val="ru-RU"/>
              </w:rPr>
            </w:pPr>
            <w:r w:rsidRPr="00E71C96">
              <w:rPr>
                <w:lang w:val="ru-RU"/>
              </w:rPr>
              <w:t>88 762</w:t>
            </w:r>
            <w:r w:rsidR="009B69AF">
              <w:rPr>
                <w:lang w:val="ru-RU"/>
              </w:rPr>
              <w:br/>
            </w:r>
            <w:r w:rsidRPr="00E71C96">
              <w:rPr>
                <w:lang w:val="ru-RU"/>
              </w:rPr>
              <w:t>долл. США</w:t>
            </w:r>
          </w:p>
        </w:tc>
      </w:tr>
    </w:tbl>
    <w:p w14:paraId="3DDC93CB" w14:textId="77777777" w:rsidR="00541902" w:rsidRDefault="00541902" w:rsidP="00541902">
      <w:pPr>
        <w:pStyle w:val="Tablefin"/>
      </w:pPr>
    </w:p>
    <w:p w14:paraId="7376B9C2" w14:textId="30F4E406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3.4</w:t>
      </w:r>
      <w:r w:rsidRPr="00E71C96">
        <w:rPr>
          <w:lang w:val="ru-RU"/>
        </w:rPr>
        <w:tab/>
        <w:t>В 2026 году, по состоянию на 31 января, еще три (3) новых проекта были одобрены для</w:t>
      </w:r>
      <w:r w:rsidR="004B513D">
        <w:rPr>
          <w:lang w:val="en-US"/>
        </w:rPr>
        <w:t> </w:t>
      </w:r>
      <w:r w:rsidRPr="00E71C96">
        <w:rPr>
          <w:lang w:val="ru-RU"/>
        </w:rPr>
        <w:t>финансирования РК ФРИКТ и, как ожидается, будут подписаны в ближайшие месяцы (список приведен в Таблице 2, ниже).</w:t>
      </w:r>
    </w:p>
    <w:p w14:paraId="2CC14EB9" w14:textId="77777777" w:rsidR="00E71C96" w:rsidRPr="00E71C96" w:rsidRDefault="00E71C96" w:rsidP="00C14F7C">
      <w:pPr>
        <w:pStyle w:val="TableNo"/>
        <w:rPr>
          <w:lang w:val="ru-RU"/>
        </w:rPr>
      </w:pPr>
      <w:r w:rsidRPr="00E71C96">
        <w:rPr>
          <w:lang w:val="ru-RU"/>
        </w:rPr>
        <w:lastRenderedPageBreak/>
        <w:t>ТАБЛИЦА 2</w:t>
      </w:r>
    </w:p>
    <w:p w14:paraId="0EF5E3CE" w14:textId="3BFFF48D" w:rsidR="00E71C96" w:rsidRPr="00E71C96" w:rsidRDefault="00E71C96" w:rsidP="00C14F7C">
      <w:pPr>
        <w:pStyle w:val="Tabletitle"/>
        <w:rPr>
          <w:lang w:val="ru-RU"/>
        </w:rPr>
      </w:pPr>
      <w:r w:rsidRPr="00E71C96">
        <w:rPr>
          <w:lang w:val="ru-RU"/>
        </w:rPr>
        <w:t xml:space="preserve">Проекты, утвержденные для совместного финансирования из ФРИКТ в 2026 году </w:t>
      </w:r>
      <w:r w:rsidR="004B513D">
        <w:rPr>
          <w:lang w:val="ru-RU"/>
        </w:rPr>
        <w:br/>
      </w:r>
      <w:r w:rsidRPr="00E71C96">
        <w:rPr>
          <w:lang w:val="ru-RU"/>
        </w:rPr>
        <w:t>(по состоянию на 14 апреля) и ожидающие подписания</w:t>
      </w:r>
    </w:p>
    <w:tbl>
      <w:tblPr>
        <w:tblStyle w:val="TableGrid"/>
        <w:tblW w:w="920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6"/>
        <w:gridCol w:w="3402"/>
        <w:gridCol w:w="1275"/>
        <w:gridCol w:w="1276"/>
      </w:tblGrid>
      <w:tr w:rsidR="00E71C96" w:rsidRPr="00E71C96" w14:paraId="745B39BC" w14:textId="77777777" w:rsidTr="004B513D">
        <w:trPr>
          <w:jc w:val="center"/>
        </w:trPr>
        <w:tc>
          <w:tcPr>
            <w:tcW w:w="3256" w:type="dxa"/>
          </w:tcPr>
          <w:p w14:paraId="0A310C16" w14:textId="77777777" w:rsidR="00E71C96" w:rsidRPr="00E71C96" w:rsidRDefault="00E71C96" w:rsidP="00C14F7C">
            <w:pPr>
              <w:pStyle w:val="Tablehead"/>
              <w:rPr>
                <w:lang w:val="ru-RU"/>
              </w:rPr>
            </w:pPr>
            <w:r w:rsidRPr="00E71C96">
              <w:rPr>
                <w:lang w:val="ru-RU"/>
              </w:rPr>
              <w:t>Название</w:t>
            </w:r>
          </w:p>
        </w:tc>
        <w:tc>
          <w:tcPr>
            <w:tcW w:w="3402" w:type="dxa"/>
          </w:tcPr>
          <w:p w14:paraId="16A96EF4" w14:textId="77777777" w:rsidR="00E71C96" w:rsidRPr="00E71C96" w:rsidRDefault="00E71C96" w:rsidP="00C14F7C">
            <w:pPr>
              <w:pStyle w:val="Tablehead"/>
              <w:rPr>
                <w:lang w:val="ru-RU"/>
              </w:rPr>
            </w:pPr>
            <w:r w:rsidRPr="00E71C96">
              <w:rPr>
                <w:lang w:val="ru-RU"/>
              </w:rPr>
              <w:t>Партнер</w:t>
            </w:r>
          </w:p>
        </w:tc>
        <w:tc>
          <w:tcPr>
            <w:tcW w:w="1275" w:type="dxa"/>
          </w:tcPr>
          <w:p w14:paraId="7D123AA3" w14:textId="77777777" w:rsidR="00E71C96" w:rsidRPr="00E71C96" w:rsidRDefault="00E71C96" w:rsidP="00C14F7C">
            <w:pPr>
              <w:pStyle w:val="Tablehead"/>
              <w:rPr>
                <w:lang w:val="ru-RU"/>
              </w:rPr>
            </w:pPr>
            <w:r w:rsidRPr="00E71C96">
              <w:rPr>
                <w:lang w:val="ru-RU"/>
              </w:rPr>
              <w:t>Партнерские средства</w:t>
            </w:r>
          </w:p>
        </w:tc>
        <w:tc>
          <w:tcPr>
            <w:tcW w:w="1276" w:type="dxa"/>
          </w:tcPr>
          <w:p w14:paraId="3F6081AA" w14:textId="77777777" w:rsidR="00E71C96" w:rsidRPr="00E71C96" w:rsidRDefault="00E71C96" w:rsidP="00C14F7C">
            <w:pPr>
              <w:pStyle w:val="Tablehead"/>
              <w:rPr>
                <w:lang w:val="ru-RU"/>
              </w:rPr>
            </w:pPr>
            <w:r w:rsidRPr="00E71C96">
              <w:rPr>
                <w:lang w:val="ru-RU"/>
              </w:rPr>
              <w:t>ФРИКТ</w:t>
            </w:r>
          </w:p>
        </w:tc>
      </w:tr>
      <w:tr w:rsidR="00E71C96" w:rsidRPr="00E71C96" w14:paraId="6F32313B" w14:textId="77777777" w:rsidTr="004B513D">
        <w:trPr>
          <w:jc w:val="center"/>
        </w:trPr>
        <w:tc>
          <w:tcPr>
            <w:tcW w:w="3256" w:type="dxa"/>
          </w:tcPr>
          <w:p w14:paraId="6AC2DF79" w14:textId="77777777" w:rsidR="00E71C96" w:rsidRPr="00162917" w:rsidRDefault="00E71C96" w:rsidP="00C14F7C">
            <w:pPr>
              <w:pStyle w:val="Tabletext"/>
            </w:pPr>
            <w:r w:rsidRPr="00162917">
              <w:t>"</w:t>
            </w:r>
            <w:r w:rsidRPr="00E71C96">
              <w:rPr>
                <w:lang w:val="ru-RU"/>
              </w:rPr>
              <w:t>Ее</w:t>
            </w:r>
            <w:r w:rsidRPr="00162917">
              <w:t xml:space="preserve"> </w:t>
            </w:r>
            <w:r w:rsidRPr="00E71C96">
              <w:rPr>
                <w:lang w:val="ru-RU"/>
              </w:rPr>
              <w:t>киберследы</w:t>
            </w:r>
            <w:r w:rsidRPr="00162917">
              <w:t xml:space="preserve">" (Her CyberTracks) – </w:t>
            </w:r>
            <w:r w:rsidRPr="00E71C96">
              <w:rPr>
                <w:lang w:val="ru-RU"/>
              </w:rPr>
              <w:t>этап</w:t>
            </w:r>
            <w:r w:rsidRPr="00162917">
              <w:t xml:space="preserve"> 3</w:t>
            </w:r>
          </w:p>
        </w:tc>
        <w:tc>
          <w:tcPr>
            <w:tcW w:w="3402" w:type="dxa"/>
          </w:tcPr>
          <w:p w14:paraId="510420AA" w14:textId="77777777" w:rsidR="00E71C96" w:rsidRPr="00E71C96" w:rsidRDefault="00E71C96" w:rsidP="00C14F7C">
            <w:pPr>
              <w:pStyle w:val="Tabletext"/>
              <w:rPr>
                <w:lang w:val="ru-RU"/>
              </w:rPr>
            </w:pPr>
            <w:r w:rsidRPr="00E71C96">
              <w:rPr>
                <w:lang w:val="ru-RU"/>
              </w:rPr>
              <w:t>Германское агентство по международному сотрудничеству (GIZ), Германия</w:t>
            </w:r>
          </w:p>
        </w:tc>
        <w:tc>
          <w:tcPr>
            <w:tcW w:w="1275" w:type="dxa"/>
          </w:tcPr>
          <w:p w14:paraId="2665EF54" w14:textId="4B44D299" w:rsidR="00E71C96" w:rsidRPr="00E71C96" w:rsidRDefault="00E71C96" w:rsidP="006903F4">
            <w:pPr>
              <w:pStyle w:val="Tabletext"/>
              <w:jc w:val="center"/>
              <w:rPr>
                <w:lang w:val="ru-RU"/>
              </w:rPr>
            </w:pPr>
            <w:r w:rsidRPr="00E71C96">
              <w:rPr>
                <w:lang w:val="ru-RU"/>
              </w:rPr>
              <w:t xml:space="preserve">520 000 </w:t>
            </w:r>
            <w:r w:rsidR="006903F4">
              <w:rPr>
                <w:lang w:val="ru-RU"/>
              </w:rPr>
              <w:br/>
            </w:r>
            <w:r w:rsidRPr="00E71C96">
              <w:rPr>
                <w:lang w:val="ru-RU"/>
              </w:rPr>
              <w:t>евро</w:t>
            </w:r>
          </w:p>
        </w:tc>
        <w:tc>
          <w:tcPr>
            <w:tcW w:w="1276" w:type="dxa"/>
          </w:tcPr>
          <w:p w14:paraId="2F9B2DA0" w14:textId="2A5027E7" w:rsidR="00E71C96" w:rsidRPr="00E71C96" w:rsidRDefault="00E71C96" w:rsidP="006903F4">
            <w:pPr>
              <w:pStyle w:val="Tabletext"/>
              <w:jc w:val="center"/>
              <w:rPr>
                <w:lang w:val="ru-RU"/>
              </w:rPr>
            </w:pPr>
            <w:r w:rsidRPr="00E71C96">
              <w:rPr>
                <w:lang w:val="ru-RU"/>
              </w:rPr>
              <w:t xml:space="preserve">173 000 </w:t>
            </w:r>
            <w:r w:rsidR="006903F4">
              <w:rPr>
                <w:lang w:val="ru-RU"/>
              </w:rPr>
              <w:br/>
            </w:r>
            <w:r w:rsidRPr="00E71C96">
              <w:rPr>
                <w:lang w:val="ru-RU"/>
              </w:rPr>
              <w:t>евро</w:t>
            </w:r>
          </w:p>
        </w:tc>
      </w:tr>
      <w:tr w:rsidR="00E71C96" w:rsidRPr="00E71C96" w14:paraId="7F0E996E" w14:textId="77777777" w:rsidTr="004B513D">
        <w:trPr>
          <w:jc w:val="center"/>
        </w:trPr>
        <w:tc>
          <w:tcPr>
            <w:tcW w:w="3256" w:type="dxa"/>
          </w:tcPr>
          <w:p w14:paraId="7397AA07" w14:textId="1D5FE18B" w:rsidR="00E71C96" w:rsidRPr="00E71C96" w:rsidRDefault="00E71C96" w:rsidP="00C14F7C">
            <w:pPr>
              <w:pStyle w:val="Tabletext"/>
              <w:rPr>
                <w:lang w:val="ru-RU"/>
              </w:rPr>
            </w:pPr>
            <w:r w:rsidRPr="00E71C96">
              <w:rPr>
                <w:lang w:val="ru-RU"/>
              </w:rPr>
              <w:t>Создание циркуляционной экономики для электроники в</w:t>
            </w:r>
            <w:r w:rsidR="004B513D">
              <w:rPr>
                <w:lang w:val="en-US"/>
              </w:rPr>
              <w:t> </w:t>
            </w:r>
            <w:r w:rsidRPr="00E71C96">
              <w:rPr>
                <w:lang w:val="ru-RU"/>
              </w:rPr>
              <w:t>островных государствах Тихого океана</w:t>
            </w:r>
          </w:p>
        </w:tc>
        <w:tc>
          <w:tcPr>
            <w:tcW w:w="3402" w:type="dxa"/>
          </w:tcPr>
          <w:p w14:paraId="1C62C9A7" w14:textId="77777777" w:rsidR="00E71C96" w:rsidRPr="00E71C96" w:rsidRDefault="00E71C96" w:rsidP="00C14F7C">
            <w:pPr>
              <w:pStyle w:val="Tabletext"/>
              <w:rPr>
                <w:lang w:val="ru-RU"/>
              </w:rPr>
            </w:pPr>
            <w:bookmarkStart w:id="8" w:name="_Hlk219461052"/>
            <w:r w:rsidRPr="00E71C96">
              <w:rPr>
                <w:lang w:val="ru-RU"/>
              </w:rPr>
              <w:t>Министерство инфраструктуры, транспорта, регионального развития, связи, спорта и искусств (DITRDCSA), Австралия</w:t>
            </w:r>
            <w:bookmarkEnd w:id="8"/>
          </w:p>
        </w:tc>
        <w:tc>
          <w:tcPr>
            <w:tcW w:w="1275" w:type="dxa"/>
          </w:tcPr>
          <w:p w14:paraId="14DECFEE" w14:textId="6017871B" w:rsidR="00E71C96" w:rsidRPr="00E71C96" w:rsidRDefault="00E71C96" w:rsidP="006903F4">
            <w:pPr>
              <w:pStyle w:val="Tabletext"/>
              <w:jc w:val="center"/>
              <w:rPr>
                <w:lang w:val="ru-RU"/>
              </w:rPr>
            </w:pPr>
            <w:r w:rsidRPr="00E71C96">
              <w:rPr>
                <w:lang w:val="ru-RU"/>
              </w:rPr>
              <w:t xml:space="preserve">375 035 </w:t>
            </w:r>
            <w:r w:rsidR="006903F4">
              <w:rPr>
                <w:lang w:val="ru-RU"/>
              </w:rPr>
              <w:br/>
            </w:r>
            <w:r w:rsidRPr="00E71C96">
              <w:rPr>
                <w:lang w:val="ru-RU"/>
              </w:rPr>
              <w:t>долл. США</w:t>
            </w:r>
            <w:bookmarkStart w:id="9" w:name="_Hlk219460570"/>
            <w:bookmarkEnd w:id="9"/>
          </w:p>
        </w:tc>
        <w:tc>
          <w:tcPr>
            <w:tcW w:w="1276" w:type="dxa"/>
          </w:tcPr>
          <w:p w14:paraId="42DBA325" w14:textId="01A70DE0" w:rsidR="00E71C96" w:rsidRPr="00E71C96" w:rsidRDefault="00E71C96" w:rsidP="006903F4">
            <w:pPr>
              <w:pStyle w:val="Tabletext"/>
              <w:jc w:val="center"/>
              <w:rPr>
                <w:lang w:val="ru-RU"/>
              </w:rPr>
            </w:pPr>
            <w:r w:rsidRPr="00E71C96">
              <w:rPr>
                <w:lang w:val="ru-RU"/>
              </w:rPr>
              <w:t xml:space="preserve">125 000 </w:t>
            </w:r>
            <w:r w:rsidR="006903F4">
              <w:rPr>
                <w:lang w:val="ru-RU"/>
              </w:rPr>
              <w:br/>
            </w:r>
            <w:r w:rsidRPr="00E71C96">
              <w:rPr>
                <w:lang w:val="ru-RU"/>
              </w:rPr>
              <w:t>долл. США</w:t>
            </w:r>
          </w:p>
        </w:tc>
      </w:tr>
      <w:tr w:rsidR="00E71C96" w:rsidRPr="00E71C96" w14:paraId="68AFFF41" w14:textId="77777777" w:rsidTr="004B513D">
        <w:trPr>
          <w:jc w:val="center"/>
        </w:trPr>
        <w:tc>
          <w:tcPr>
            <w:tcW w:w="3256" w:type="dxa"/>
          </w:tcPr>
          <w:p w14:paraId="6E210CBD" w14:textId="1AC23DDB" w:rsidR="00E71C96" w:rsidRPr="00E71C96" w:rsidRDefault="00E71C96" w:rsidP="00C14F7C">
            <w:pPr>
              <w:pStyle w:val="Tabletext"/>
              <w:rPr>
                <w:lang w:val="ru-RU"/>
              </w:rPr>
            </w:pPr>
            <w:bookmarkStart w:id="10" w:name="_Hlk219461012"/>
            <w:r w:rsidRPr="00E71C96">
              <w:rPr>
                <w:lang w:val="ru-RU"/>
              </w:rPr>
              <w:t>Ускорение цифровой трансформации в Азиатско-Тихоокеанском регионе – этап 2</w:t>
            </w:r>
            <w:bookmarkEnd w:id="10"/>
          </w:p>
        </w:tc>
        <w:tc>
          <w:tcPr>
            <w:tcW w:w="3402" w:type="dxa"/>
          </w:tcPr>
          <w:p w14:paraId="04F2B190" w14:textId="77777777" w:rsidR="00E71C96" w:rsidRPr="00E71C96" w:rsidRDefault="00E71C96" w:rsidP="00C14F7C">
            <w:pPr>
              <w:pStyle w:val="Tabletext"/>
              <w:rPr>
                <w:lang w:val="ru-RU"/>
              </w:rPr>
            </w:pPr>
            <w:r w:rsidRPr="00E71C96">
              <w:rPr>
                <w:lang w:val="ru-RU"/>
              </w:rPr>
              <w:t>Министерство инфраструктуры, транспорта, регионального развития, связи, спорта и искусств (DITRDCSA), Австралия</w:t>
            </w:r>
          </w:p>
        </w:tc>
        <w:tc>
          <w:tcPr>
            <w:tcW w:w="1275" w:type="dxa"/>
          </w:tcPr>
          <w:p w14:paraId="6D92A160" w14:textId="2AB15E92" w:rsidR="00E71C96" w:rsidRPr="00E71C96" w:rsidRDefault="00E71C96" w:rsidP="006903F4">
            <w:pPr>
              <w:pStyle w:val="Tabletext"/>
              <w:jc w:val="center"/>
              <w:rPr>
                <w:lang w:val="ru-RU"/>
              </w:rPr>
            </w:pPr>
            <w:r w:rsidRPr="00E71C96">
              <w:rPr>
                <w:lang w:val="ru-RU"/>
              </w:rPr>
              <w:t xml:space="preserve">376 920 </w:t>
            </w:r>
            <w:r w:rsidR="006903F4">
              <w:rPr>
                <w:lang w:val="ru-RU"/>
              </w:rPr>
              <w:br/>
            </w:r>
            <w:r w:rsidRPr="00E71C96">
              <w:rPr>
                <w:lang w:val="ru-RU"/>
              </w:rPr>
              <w:t>долл. США</w:t>
            </w:r>
          </w:p>
        </w:tc>
        <w:tc>
          <w:tcPr>
            <w:tcW w:w="1276" w:type="dxa"/>
          </w:tcPr>
          <w:p w14:paraId="2D45C554" w14:textId="00CBEF8B" w:rsidR="00E71C96" w:rsidRPr="00E71C96" w:rsidRDefault="00E71C96" w:rsidP="006903F4">
            <w:pPr>
              <w:pStyle w:val="Tabletext"/>
              <w:jc w:val="center"/>
              <w:rPr>
                <w:lang w:val="ru-RU"/>
              </w:rPr>
            </w:pPr>
            <w:bookmarkStart w:id="11" w:name="_Hlk205987706"/>
            <w:r w:rsidRPr="00E71C96">
              <w:rPr>
                <w:lang w:val="ru-RU"/>
              </w:rPr>
              <w:t xml:space="preserve">115 000 </w:t>
            </w:r>
            <w:r w:rsidR="006903F4">
              <w:rPr>
                <w:lang w:val="ru-RU"/>
              </w:rPr>
              <w:br/>
            </w:r>
            <w:r w:rsidRPr="00E71C96">
              <w:rPr>
                <w:lang w:val="ru-RU"/>
              </w:rPr>
              <w:t>долл. США</w:t>
            </w:r>
            <w:bookmarkEnd w:id="11"/>
          </w:p>
        </w:tc>
      </w:tr>
    </w:tbl>
    <w:p w14:paraId="4E42B629" w14:textId="77777777" w:rsidR="00541902" w:rsidRDefault="00541902" w:rsidP="00541902">
      <w:pPr>
        <w:pStyle w:val="Tablefin"/>
      </w:pPr>
    </w:p>
    <w:p w14:paraId="33373763" w14:textId="267AC0C9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3.5</w:t>
      </w:r>
      <w:r w:rsidRPr="00E71C96">
        <w:rPr>
          <w:lang w:val="ru-RU"/>
        </w:rPr>
        <w:tab/>
        <w:t>Ряд проектов в настоящее время находится на стадии разработки и завершения в этом году. БРЭ будет и далее контролировать реализацию осуществляемых проектов для их эффективного завершения. РК ФРИКТ продолжит рассмотрение предложений по проектам и поддержку отобранных проектов в различных областях деятельности, уделяя особое внимание недавно утвержденным РИ ВКРЭ-25 в рамках счета движения капитала ФРИКТ.</w:t>
      </w:r>
    </w:p>
    <w:p w14:paraId="685494B3" w14:textId="77777777" w:rsidR="00E71C96" w:rsidRPr="00E71C96" w:rsidRDefault="00E71C96" w:rsidP="00C14F7C">
      <w:pPr>
        <w:pStyle w:val="Heading1"/>
        <w:rPr>
          <w:lang w:val="ru-RU"/>
        </w:rPr>
      </w:pPr>
      <w:bookmarkStart w:id="12" w:name="_Hlk160707433"/>
      <w:bookmarkStart w:id="13" w:name="_Hlk129943685"/>
      <w:bookmarkStart w:id="14" w:name="_Hlk160706504"/>
      <w:r w:rsidRPr="00E71C96">
        <w:rPr>
          <w:lang w:val="ru-RU"/>
        </w:rPr>
        <w:t>4</w:t>
      </w:r>
      <w:r w:rsidRPr="00E71C96">
        <w:rPr>
          <w:lang w:val="ru-RU"/>
        </w:rPr>
        <w:tab/>
        <w:t>Динамика счета движения капитала ФРИКТ</w:t>
      </w:r>
    </w:p>
    <w:p w14:paraId="0FD978AA" w14:textId="6FFED3A9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4.1</w:t>
      </w:r>
      <w:r w:rsidRPr="00E71C96">
        <w:rPr>
          <w:lang w:val="ru-RU"/>
        </w:rPr>
        <w:tab/>
        <w:t>Общая сумма поступлений на счет движения капитала ФРИКТ к концу 2025 года и по</w:t>
      </w:r>
      <w:r w:rsidR="004B513D">
        <w:rPr>
          <w:lang w:val="en-US"/>
        </w:rPr>
        <w:t> </w:t>
      </w:r>
      <w:r w:rsidRPr="00E71C96">
        <w:rPr>
          <w:lang w:val="ru-RU"/>
        </w:rPr>
        <w:t>линии процентов по проектам составила 50 784 швейцарских франка.</w:t>
      </w:r>
    </w:p>
    <w:p w14:paraId="24F6B8DF" w14:textId="1BB4A0F3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4.2</w:t>
      </w:r>
      <w:r w:rsidRPr="00E71C96">
        <w:rPr>
          <w:lang w:val="ru-RU"/>
        </w:rPr>
        <w:tab/>
        <w:t xml:space="preserve">Остаток средств на счете движения капитала ФРИКТ на конец 2025 года составил 2 878 297 швейцарских франков. (см. </w:t>
      </w:r>
      <w:r w:rsidR="009B69AF">
        <w:rPr>
          <w:lang w:val="ru-RU"/>
        </w:rPr>
        <w:t>Р</w:t>
      </w:r>
      <w:r w:rsidRPr="00E71C96">
        <w:rPr>
          <w:lang w:val="ru-RU"/>
        </w:rPr>
        <w:t>исунок 5, ниже).</w:t>
      </w:r>
    </w:p>
    <w:p w14:paraId="281F15CF" w14:textId="77777777" w:rsidR="00E71C96" w:rsidRPr="00E71C96" w:rsidRDefault="00E71C96" w:rsidP="00C14F7C">
      <w:pPr>
        <w:pStyle w:val="FigureNo"/>
        <w:rPr>
          <w:lang w:val="ru-RU"/>
        </w:rPr>
      </w:pPr>
      <w:r w:rsidRPr="00E71C96">
        <w:rPr>
          <w:lang w:val="ru-RU"/>
        </w:rPr>
        <w:t>РИСУНОК 5</w:t>
      </w:r>
    </w:p>
    <w:p w14:paraId="4B947506" w14:textId="1E0AE9AA" w:rsidR="00E71C96" w:rsidRDefault="00E71C96" w:rsidP="00C14F7C">
      <w:pPr>
        <w:pStyle w:val="Figuretitle"/>
        <w:rPr>
          <w:lang w:val="ru-RU"/>
        </w:rPr>
      </w:pPr>
      <w:r w:rsidRPr="00E71C96">
        <w:rPr>
          <w:lang w:val="ru-RU"/>
        </w:rPr>
        <w:t>Динамика счета движения капитала ФРИКТ (долл. США)</w:t>
      </w:r>
    </w:p>
    <w:p w14:paraId="45D33743" w14:textId="6947728A" w:rsidR="00985F18" w:rsidRPr="00985F18" w:rsidRDefault="00985F18" w:rsidP="00985F18">
      <w:pPr>
        <w:pStyle w:val="Figure"/>
        <w:rPr>
          <w:lang w:val="ru-RU"/>
        </w:rPr>
      </w:pPr>
      <w:r w:rsidRPr="00985F18">
        <w:rPr>
          <w:noProof/>
        </w:rPr>
        <w:drawing>
          <wp:inline distT="0" distB="0" distL="0" distR="0" wp14:anchorId="75020B86" wp14:editId="6A80FA08">
            <wp:extent cx="4479731" cy="1565303"/>
            <wp:effectExtent l="0" t="0" r="0" b="0"/>
            <wp:docPr id="14589033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587051F-EB87-4A19-A001-F1ED2CDE1B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36FBA8CC" w14:textId="6FA97DC6" w:rsidR="00E71C96" w:rsidRPr="00E71C96" w:rsidRDefault="00E71C96" w:rsidP="00541902">
      <w:pPr>
        <w:jc w:val="both"/>
        <w:rPr>
          <w:lang w:val="ru-RU"/>
        </w:rPr>
      </w:pPr>
      <w:bookmarkStart w:id="15" w:name="_Hlk65835106"/>
      <w:bookmarkEnd w:id="12"/>
      <w:bookmarkEnd w:id="13"/>
      <w:bookmarkEnd w:id="14"/>
      <w:r w:rsidRPr="00E71C96">
        <w:rPr>
          <w:lang w:val="ru-RU"/>
        </w:rPr>
        <w:t>4.3</w:t>
      </w:r>
      <w:r w:rsidRPr="00E71C96">
        <w:rPr>
          <w:lang w:val="ru-RU"/>
        </w:rPr>
        <w:tab/>
        <w:t xml:space="preserve">Резолюция 11 (Пересм. Дубай, 2018 г.) Полномочной конференции о мероприятиях </w:t>
      </w:r>
      <w:r w:rsidRPr="006903F4">
        <w:rPr>
          <w:lang w:val="ru-RU"/>
        </w:rPr>
        <w:t>ITU</w:t>
      </w:r>
      <w:r w:rsidR="00B757B7" w:rsidRPr="006903F4">
        <w:rPr>
          <w:lang w:val="en-US"/>
        </w:rPr>
        <w:t> </w:t>
      </w:r>
      <w:r w:rsidRPr="006903F4">
        <w:rPr>
          <w:lang w:val="ru-RU"/>
        </w:rPr>
        <w:t>Telecom</w:t>
      </w:r>
      <w:r w:rsidRPr="00E71C96">
        <w:rPr>
          <w:lang w:val="ru-RU"/>
        </w:rPr>
        <w:t xml:space="preserve"> была аннулирована Полномочной конференцией (Бухарест, 2022 г.). Конференция также утвердила рекомендацию (см. </w:t>
      </w:r>
      <w:hyperlink r:id="rId38" w:history="1">
        <w:r w:rsidRPr="00E71C96">
          <w:rPr>
            <w:rStyle w:val="Hyperlink"/>
            <w:lang w:val="ru-RU"/>
          </w:rPr>
          <w:t>Протокол шестнадцатого пленарного заседания (раздел</w:t>
        </w:r>
        <w:r w:rsidR="00B757B7">
          <w:rPr>
            <w:rStyle w:val="Hyperlink"/>
            <w:lang w:val="en-US"/>
          </w:rPr>
          <w:t> </w:t>
        </w:r>
        <w:r w:rsidRPr="00E71C96">
          <w:rPr>
            <w:rStyle w:val="Hyperlink"/>
            <w:lang w:val="ru-RU"/>
          </w:rPr>
          <w:t>2.3)</w:t>
        </w:r>
      </w:hyperlink>
      <w:r w:rsidRPr="00E71C96">
        <w:rPr>
          <w:lang w:val="ru-RU"/>
        </w:rPr>
        <w:t>), согласно которой следует "аннулировать Резолюцию 11 (Пересм. Дубай, 2018 г.) о</w:t>
      </w:r>
      <w:r w:rsidR="00B757B7">
        <w:rPr>
          <w:lang w:val="en-US"/>
        </w:rPr>
        <w:t> </w:t>
      </w:r>
      <w:r w:rsidRPr="00E71C96">
        <w:rPr>
          <w:lang w:val="ru-RU"/>
        </w:rPr>
        <w:t xml:space="preserve">мероприятиях ITU Telecom и вследствие этого рекомендовать, чтобы пленарное заседание </w:t>
      </w:r>
      <w:r w:rsidRPr="00E71C96">
        <w:rPr>
          <w:lang w:val="ru-RU"/>
        </w:rPr>
        <w:lastRenderedPageBreak/>
        <w:t>поручило Совету на его очередной сессии перевести остаток средств Оборотного выставочного фонда в Фонд развития ИКТ". На конец 2025 года имеющийся остаток средств в ОВФ составляет 188 350 швейцарских франков. Однако остальные средства будут перечислены после ликвидации всех финансовых обязательств ITU Telecom и окончательного закрытия счетов. На</w:t>
      </w:r>
      <w:r w:rsidR="00B757B7">
        <w:rPr>
          <w:lang w:val="en-US"/>
        </w:rPr>
        <w:t> </w:t>
      </w:r>
      <w:r w:rsidRPr="00E71C96">
        <w:rPr>
          <w:lang w:val="ru-RU"/>
        </w:rPr>
        <w:t>сессии Совета в 2027 году будет представлен отчет с информацией об остатке средств, сохраняемых в ОВФ.</w:t>
      </w:r>
      <w:hyperlink r:id="rId39" w:history="1"/>
      <w:bookmarkStart w:id="16" w:name="_Hlk129942447"/>
      <w:bookmarkEnd w:id="15"/>
      <w:bookmarkEnd w:id="16"/>
    </w:p>
    <w:p w14:paraId="6F877DFC" w14:textId="725C9A5C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4.4</w:t>
      </w:r>
      <w:r w:rsidRPr="00E71C96">
        <w:rPr>
          <w:lang w:val="ru-RU"/>
        </w:rPr>
        <w:tab/>
        <w:t>В качестве дополнительной меры по пополнению ФРИКТ, представленной на Совете</w:t>
      </w:r>
      <w:r w:rsidR="00CE352A">
        <w:rPr>
          <w:lang w:val="ru-RU"/>
        </w:rPr>
        <w:noBreakHyphen/>
      </w:r>
      <w:r w:rsidRPr="00E71C96">
        <w:rPr>
          <w:lang w:val="ru-RU"/>
        </w:rPr>
        <w:t xml:space="preserve">24, весь объем активного сальдо по AOS, превышающий бюджетную сумму, ежегодно начиная с 2024 года должен направляться обратно на счет движения капитала ФРИКТ, при этом основной целью использования таких средств будет поддержка осуществления проектов. После принятия Резолюции </w:t>
      </w:r>
      <w:hyperlink r:id="rId40" w:history="1">
        <w:r w:rsidRPr="00E71C96">
          <w:rPr>
            <w:rStyle w:val="Hyperlink"/>
            <w:lang w:val="ru-RU"/>
          </w:rPr>
          <w:t>1434</w:t>
        </w:r>
      </w:hyperlink>
      <w:r w:rsidRPr="00E71C96">
        <w:rPr>
          <w:lang w:val="ru-RU"/>
        </w:rPr>
        <w:t xml:space="preserve"> на 8-м пленарном заседании Совета-25 524 000 швейцарских франков были переведены из AOS за 2024 год на счет движения капитала ФРИКТ.</w:t>
      </w:r>
      <w:hyperlink r:id="rId41" w:history="1"/>
    </w:p>
    <w:p w14:paraId="3BF9319F" w14:textId="54197206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4.5</w:t>
      </w:r>
      <w:r w:rsidRPr="00E71C96">
        <w:rPr>
          <w:lang w:val="ru-RU"/>
        </w:rPr>
        <w:tab/>
        <w:t>На конец 2025 года сумма по AOS составила 1 459 800 швейцарских франков, что</w:t>
      </w:r>
      <w:r w:rsidR="00CE352A">
        <w:rPr>
          <w:lang w:val="en-US"/>
        </w:rPr>
        <w:t> </w:t>
      </w:r>
      <w:r w:rsidRPr="00E71C96">
        <w:rPr>
          <w:lang w:val="ru-RU"/>
        </w:rPr>
        <w:t>на</w:t>
      </w:r>
      <w:r w:rsidR="00B757B7">
        <w:rPr>
          <w:lang w:val="en-US"/>
        </w:rPr>
        <w:t> </w:t>
      </w:r>
      <w:r w:rsidRPr="00E71C96">
        <w:rPr>
          <w:lang w:val="ru-RU"/>
        </w:rPr>
        <w:t>559 800 швейцарских франков больше запланированной в бюджете суммы в размере 900 000</w:t>
      </w:r>
      <w:r w:rsidR="00B757B7">
        <w:rPr>
          <w:lang w:val="en-US"/>
        </w:rPr>
        <w:t> </w:t>
      </w:r>
      <w:r w:rsidRPr="00E71C96">
        <w:rPr>
          <w:lang w:val="ru-RU"/>
        </w:rPr>
        <w:t>швейцарских франков.</w:t>
      </w:r>
    </w:p>
    <w:p w14:paraId="61F16B04" w14:textId="004E6C61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4.6</w:t>
      </w:r>
      <w:r w:rsidRPr="00E71C96">
        <w:rPr>
          <w:lang w:val="ru-RU"/>
        </w:rPr>
        <w:tab/>
        <w:t>В Документе C26/42 на утверждение Советом-26 представлен проект резолюции о</w:t>
      </w:r>
      <w:r w:rsidR="00B757B7">
        <w:rPr>
          <w:lang w:val="en-US"/>
        </w:rPr>
        <w:t> </w:t>
      </w:r>
      <w:r w:rsidRPr="00E71C96">
        <w:rPr>
          <w:lang w:val="ru-RU"/>
        </w:rPr>
        <w:t>переводе 559 800 швейцарских франков из активного сальдо по AOS на счет движения капитала ФРИКТ. Остаток средств на счете движения капитала ФРИКТ составит после этого перевода 3 438 097 швейцарских франков.</w:t>
      </w:r>
    </w:p>
    <w:p w14:paraId="05A35285" w14:textId="77777777" w:rsidR="00E71C96" w:rsidRPr="00E71C96" w:rsidRDefault="00E71C96" w:rsidP="00C14F7C">
      <w:pPr>
        <w:pStyle w:val="Heading1"/>
        <w:rPr>
          <w:lang w:val="ru-RU"/>
        </w:rPr>
      </w:pPr>
      <w:r w:rsidRPr="00E71C96">
        <w:rPr>
          <w:lang w:val="ru-RU"/>
        </w:rPr>
        <w:t>5</w:t>
      </w:r>
      <w:r w:rsidRPr="00E71C96">
        <w:rPr>
          <w:lang w:val="ru-RU"/>
        </w:rPr>
        <w:tab/>
        <w:t>Дальнейшие действия</w:t>
      </w:r>
    </w:p>
    <w:p w14:paraId="65A17887" w14:textId="6EE7F6C8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5.1</w:t>
      </w:r>
      <w:r w:rsidRPr="00E71C96">
        <w:rPr>
          <w:lang w:val="ru-RU"/>
        </w:rPr>
        <w:tab/>
        <w:t>Регулярно будет проводиться анализ хода осуществления проектов ФРИКТ, и его</w:t>
      </w:r>
      <w:r w:rsidR="00CE352A">
        <w:rPr>
          <w:lang w:val="en-US"/>
        </w:rPr>
        <w:t> </w:t>
      </w:r>
      <w:r w:rsidRPr="00E71C96">
        <w:rPr>
          <w:lang w:val="ru-RU"/>
        </w:rPr>
        <w:t>результаты будут размещаться по адресу</w:t>
      </w:r>
      <w:r w:rsidRPr="004775C6">
        <w:rPr>
          <w:lang w:val="ru-RU"/>
        </w:rPr>
        <w:t xml:space="preserve">: </w:t>
      </w:r>
      <w:hyperlink r:id="rId42" w:history="1">
        <w:r w:rsidRPr="004775C6">
          <w:rPr>
            <w:rStyle w:val="Hyperlink"/>
            <w:lang w:val="ru-RU"/>
          </w:rPr>
          <w:t>www.itu.int/en/ITU=D/Projects/ICT­DF.aspx</w:t>
        </w:r>
      </w:hyperlink>
      <w:r w:rsidRPr="00E71C96">
        <w:rPr>
          <w:lang w:val="ru-RU"/>
        </w:rPr>
        <w:t>. На</w:t>
      </w:r>
      <w:r w:rsidR="00CE352A">
        <w:rPr>
          <w:lang w:val="en-US"/>
        </w:rPr>
        <w:t> </w:t>
      </w:r>
      <w:r w:rsidRPr="00E71C96">
        <w:rPr>
          <w:lang w:val="ru-RU"/>
        </w:rPr>
        <w:t>71</w:t>
      </w:r>
      <w:r w:rsidR="00CE352A">
        <w:rPr>
          <w:lang w:val="ru-RU"/>
        </w:rPr>
        <w:noBreakHyphen/>
      </w:r>
      <w:r w:rsidRPr="00E71C96">
        <w:rPr>
          <w:lang w:val="ru-RU"/>
        </w:rPr>
        <w:t>м</w:t>
      </w:r>
      <w:r w:rsidR="00CE352A">
        <w:rPr>
          <w:lang w:val="en-US"/>
        </w:rPr>
        <w:t> </w:t>
      </w:r>
      <w:r w:rsidRPr="00E71C96">
        <w:rPr>
          <w:lang w:val="ru-RU"/>
        </w:rPr>
        <w:t>собрании РК ФРИКТ, состоявшемся 28 января 2026</w:t>
      </w:r>
      <w:r w:rsidR="00CE352A">
        <w:rPr>
          <w:lang w:val="en-US"/>
        </w:rPr>
        <w:t> </w:t>
      </w:r>
      <w:r w:rsidRPr="00E71C96">
        <w:rPr>
          <w:lang w:val="ru-RU"/>
        </w:rPr>
        <w:t>года, была начата оценка реализации проектов, финансируемых при участии ФРИКТ.</w:t>
      </w:r>
      <w:hyperlink r:id="rId43" w:history="1"/>
    </w:p>
    <w:p w14:paraId="7E99C66E" w14:textId="62643A3A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5.2</w:t>
      </w:r>
      <w:r w:rsidRPr="00E71C96">
        <w:rPr>
          <w:lang w:val="ru-RU"/>
        </w:rPr>
        <w:tab/>
        <w:t>Учитывая, что ФРИКТ ориентирован на спрос и его цель заключается в обеспечении начального финансирования, РК ФРИКТ будет и далее рассматривать предложения по</w:t>
      </w:r>
      <w:r w:rsidR="00CE352A">
        <w:rPr>
          <w:lang w:val="en-US"/>
        </w:rPr>
        <w:t> </w:t>
      </w:r>
      <w:r w:rsidRPr="00E71C96">
        <w:rPr>
          <w:lang w:val="ru-RU"/>
        </w:rPr>
        <w:t>проектам на основании правил и критериев, а также в пределах счета движения капитала ФРИКТ, с тем чтобы поддерживать развитие электросвязи/ИКТ в Государствах − Членах МСЭ и содействовать достижению Целей в области устойчивого развития.</w:t>
      </w:r>
    </w:p>
    <w:p w14:paraId="6C5E5FAC" w14:textId="2AA36113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5.3</w:t>
      </w:r>
      <w:r w:rsidRPr="00E71C96">
        <w:rPr>
          <w:lang w:val="ru-RU"/>
        </w:rPr>
        <w:tab/>
        <w:t>Весь объем активного сальдо по AOS, превышающий бюджетную сумму, ежегодно начиная с 2024 года планируется направлять обратно на счет движения капитала ФРИКТ, при</w:t>
      </w:r>
      <w:r w:rsidR="00CE352A">
        <w:rPr>
          <w:lang w:val="en-US"/>
        </w:rPr>
        <w:t> </w:t>
      </w:r>
      <w:r w:rsidRPr="00E71C96">
        <w:rPr>
          <w:lang w:val="ru-RU"/>
        </w:rPr>
        <w:t>этом основной целью использования таких средств будет поддержка осуществления проектов.</w:t>
      </w:r>
    </w:p>
    <w:p w14:paraId="7B89311B" w14:textId="77777777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5.4</w:t>
      </w:r>
      <w:r w:rsidRPr="00E71C96">
        <w:rPr>
          <w:lang w:val="ru-RU"/>
        </w:rPr>
        <w:tab/>
        <w:t>Для обеспечения устойчивости в долгосрочной перспективе и дальнейшей непрерывности деятельности ФРИКТ Членам МСЭ настоятельно рекомендуется рассмотреть возможность внесения новых добровольных взносов на счет движения капитала ФРИКТ, который доказал свою пользу для поддержки проектов в области развития.</w:t>
      </w:r>
    </w:p>
    <w:p w14:paraId="592DE11A" w14:textId="58F6F779" w:rsidR="00E71C96" w:rsidRPr="00E71C96" w:rsidRDefault="00E71C96" w:rsidP="00541902">
      <w:pPr>
        <w:jc w:val="both"/>
        <w:rPr>
          <w:lang w:val="ru-RU"/>
        </w:rPr>
      </w:pPr>
      <w:r w:rsidRPr="00E71C96">
        <w:rPr>
          <w:lang w:val="ru-RU"/>
        </w:rPr>
        <w:t>5.5</w:t>
      </w:r>
      <w:r w:rsidRPr="00E71C96">
        <w:rPr>
          <w:lang w:val="ru-RU"/>
        </w:rPr>
        <w:tab/>
        <w:t>Будут и далее предприниматься шаги с целью получения согласия партнеров по</w:t>
      </w:r>
      <w:r w:rsidR="00CE352A">
        <w:rPr>
          <w:lang w:val="en-US"/>
        </w:rPr>
        <w:t> </w:t>
      </w:r>
      <w:r w:rsidRPr="00E71C96">
        <w:rPr>
          <w:lang w:val="ru-RU"/>
        </w:rPr>
        <w:t>финансированию на перевод любых оставшихся средств после осуществления проекта на</w:t>
      </w:r>
      <w:r w:rsidR="00CE352A">
        <w:rPr>
          <w:lang w:val="en-US"/>
        </w:rPr>
        <w:t> </w:t>
      </w:r>
      <w:r w:rsidRPr="00E71C96">
        <w:rPr>
          <w:lang w:val="ru-RU"/>
        </w:rPr>
        <w:t>счет движения капитала ФРИКТ.</w:t>
      </w:r>
    </w:p>
    <w:p w14:paraId="50218BDE" w14:textId="77777777" w:rsidR="00E71C96" w:rsidRPr="00E71C96" w:rsidRDefault="00E71C96" w:rsidP="00541902">
      <w:pPr>
        <w:keepLines/>
        <w:jc w:val="both"/>
        <w:rPr>
          <w:lang w:val="ru-RU"/>
        </w:rPr>
      </w:pPr>
      <w:r w:rsidRPr="00E71C96">
        <w:rPr>
          <w:lang w:val="ru-RU"/>
        </w:rPr>
        <w:t xml:space="preserve">Совету также предлагается </w:t>
      </w:r>
      <w:r w:rsidRPr="00E71C96">
        <w:rPr>
          <w:b/>
          <w:bCs/>
          <w:lang w:val="ru-RU"/>
        </w:rPr>
        <w:t>принять к сведению</w:t>
      </w:r>
      <w:r w:rsidRPr="00E71C96">
        <w:rPr>
          <w:lang w:val="ru-RU"/>
        </w:rPr>
        <w:t xml:space="preserve"> настоящий отчет и </w:t>
      </w:r>
      <w:r w:rsidRPr="00E71C96">
        <w:rPr>
          <w:b/>
          <w:bCs/>
          <w:lang w:val="ru-RU"/>
        </w:rPr>
        <w:t>предоставить рекомендации</w:t>
      </w:r>
      <w:r w:rsidRPr="00E71C96">
        <w:rPr>
          <w:lang w:val="ru-RU"/>
        </w:rPr>
        <w:t>, которые он сочтет необходимыми.</w:t>
      </w:r>
    </w:p>
    <w:p w14:paraId="16FE606C" w14:textId="77777777" w:rsidR="00796BD3" w:rsidRPr="00D81552" w:rsidRDefault="00C462C5" w:rsidP="009B69AF">
      <w:pPr>
        <w:spacing w:before="720"/>
        <w:jc w:val="center"/>
        <w:rPr>
          <w:lang w:val="ru-RU"/>
        </w:rPr>
      </w:pPr>
      <w:r w:rsidRPr="00D81552">
        <w:rPr>
          <w:lang w:val="ru-RU"/>
        </w:rPr>
        <w:t>______________</w:t>
      </w:r>
    </w:p>
    <w:sectPr w:rsidR="00796BD3" w:rsidRPr="00D81552" w:rsidSect="00796BD3">
      <w:footerReference w:type="default" r:id="rId44"/>
      <w:headerReference w:type="first" r:id="rId45"/>
      <w:footerReference w:type="first" r:id="rId46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023C" w14:textId="77777777" w:rsidR="00934A2D" w:rsidRDefault="00934A2D">
      <w:r>
        <w:separator/>
      </w:r>
    </w:p>
  </w:endnote>
  <w:endnote w:type="continuationSeparator" w:id="0">
    <w:p w14:paraId="3EF2EBC6" w14:textId="77777777" w:rsidR="00934A2D" w:rsidRDefault="0093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81FF8C8" w14:textId="77777777" w:rsidTr="00E31DCE">
      <w:trPr>
        <w:jc w:val="center"/>
      </w:trPr>
      <w:tc>
        <w:tcPr>
          <w:tcW w:w="1803" w:type="dxa"/>
          <w:vAlign w:val="center"/>
        </w:tcPr>
        <w:p w14:paraId="5FE686E6" w14:textId="66880B70" w:rsidR="00672F8A" w:rsidRDefault="006903F4" w:rsidP="00672F8A">
          <w:pPr>
            <w:pStyle w:val="Header"/>
            <w:jc w:val="left"/>
            <w:rPr>
              <w:noProof/>
            </w:rPr>
          </w:pPr>
          <w:r w:rsidRPr="006903F4">
            <w:rPr>
              <w:noProof/>
            </w:rPr>
            <w:t>2600463</w:t>
          </w:r>
        </w:p>
      </w:tc>
      <w:tc>
        <w:tcPr>
          <w:tcW w:w="8261" w:type="dxa"/>
        </w:tcPr>
        <w:p w14:paraId="29D1FE92" w14:textId="6FAC0C59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D81552">
            <w:rPr>
              <w:bCs/>
            </w:rPr>
            <w:t>34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98176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B261859" w14:textId="77777777" w:rsidTr="00E31DCE">
      <w:trPr>
        <w:jc w:val="center"/>
      </w:trPr>
      <w:tc>
        <w:tcPr>
          <w:tcW w:w="1803" w:type="dxa"/>
          <w:vAlign w:val="center"/>
        </w:tcPr>
        <w:p w14:paraId="374AD1B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C5BDC7A" w14:textId="21267072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E71C96">
            <w:rPr>
              <w:bCs/>
            </w:rPr>
            <w:t>34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F80FAF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35B8" w14:textId="77777777" w:rsidR="00934A2D" w:rsidRDefault="00934A2D">
      <w:r>
        <w:t>____________________</w:t>
      </w:r>
    </w:p>
  </w:footnote>
  <w:footnote w:type="continuationSeparator" w:id="0">
    <w:p w14:paraId="3D33F4EA" w14:textId="77777777" w:rsidR="00934A2D" w:rsidRDefault="00934A2D">
      <w:r>
        <w:continuationSeparator/>
      </w:r>
    </w:p>
  </w:footnote>
  <w:footnote w:id="1">
    <w:p w14:paraId="08486448" w14:textId="77777777" w:rsidR="00E71C96" w:rsidRPr="00A20401" w:rsidRDefault="00E71C96" w:rsidP="00541902">
      <w:pPr>
        <w:pStyle w:val="FootnoteText"/>
        <w:jc w:val="both"/>
        <w:rPr>
          <w:lang w:val="ru-RU"/>
        </w:rPr>
      </w:pPr>
      <w:r w:rsidRPr="0075349B">
        <w:rPr>
          <w:rStyle w:val="FootnoteReference"/>
          <w:lang w:val="ru-RU"/>
        </w:rPr>
        <w:footnoteRef/>
      </w:r>
      <w:r>
        <w:rPr>
          <w:lang w:val="ru-RU"/>
        </w:rPr>
        <w:tab/>
        <w:t xml:space="preserve">В состав РК ФРИКТ входят Генеральный секретарь МСЭ (председатель), заместитель Генерального секретаря МСЭ и Директор </w:t>
      </w:r>
      <w:r w:rsidRPr="00A20401">
        <w:rPr>
          <w:lang w:val="ru-RU"/>
        </w:rPr>
        <w:t>БРЭ.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F1EA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0DBA7B02" wp14:editId="460DC28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54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29"/>
    <w:rsid w:val="00005BE0"/>
    <w:rsid w:val="0002183E"/>
    <w:rsid w:val="000569B4"/>
    <w:rsid w:val="0006007D"/>
    <w:rsid w:val="00080E82"/>
    <w:rsid w:val="000934DD"/>
    <w:rsid w:val="00094B58"/>
    <w:rsid w:val="000A10CA"/>
    <w:rsid w:val="000B2DE7"/>
    <w:rsid w:val="000B4E93"/>
    <w:rsid w:val="000E568E"/>
    <w:rsid w:val="00116963"/>
    <w:rsid w:val="0014229E"/>
    <w:rsid w:val="0014734F"/>
    <w:rsid w:val="00156890"/>
    <w:rsid w:val="0015710D"/>
    <w:rsid w:val="00162917"/>
    <w:rsid w:val="00163A32"/>
    <w:rsid w:val="00165D06"/>
    <w:rsid w:val="00185271"/>
    <w:rsid w:val="00192B41"/>
    <w:rsid w:val="001B74BD"/>
    <w:rsid w:val="001B7B09"/>
    <w:rsid w:val="001E6719"/>
    <w:rsid w:val="001E7F50"/>
    <w:rsid w:val="00213095"/>
    <w:rsid w:val="0021508B"/>
    <w:rsid w:val="00225368"/>
    <w:rsid w:val="00227FF0"/>
    <w:rsid w:val="00244C39"/>
    <w:rsid w:val="00276F05"/>
    <w:rsid w:val="00277DEA"/>
    <w:rsid w:val="00291EB6"/>
    <w:rsid w:val="002B7CAF"/>
    <w:rsid w:val="002C3F32"/>
    <w:rsid w:val="002D2A1F"/>
    <w:rsid w:val="002D2F57"/>
    <w:rsid w:val="002D48C5"/>
    <w:rsid w:val="0033025A"/>
    <w:rsid w:val="00345D2A"/>
    <w:rsid w:val="00381936"/>
    <w:rsid w:val="003935CB"/>
    <w:rsid w:val="003A3695"/>
    <w:rsid w:val="003B5047"/>
    <w:rsid w:val="003E6A56"/>
    <w:rsid w:val="003F099E"/>
    <w:rsid w:val="003F235E"/>
    <w:rsid w:val="00401FD7"/>
    <w:rsid w:val="004023E0"/>
    <w:rsid w:val="00402829"/>
    <w:rsid w:val="00403DD8"/>
    <w:rsid w:val="004070A0"/>
    <w:rsid w:val="00425CA7"/>
    <w:rsid w:val="00442515"/>
    <w:rsid w:val="0045686C"/>
    <w:rsid w:val="00460188"/>
    <w:rsid w:val="00465C35"/>
    <w:rsid w:val="00475A87"/>
    <w:rsid w:val="004775C6"/>
    <w:rsid w:val="004918C4"/>
    <w:rsid w:val="00497703"/>
    <w:rsid w:val="004A0374"/>
    <w:rsid w:val="004A45B5"/>
    <w:rsid w:val="004B513D"/>
    <w:rsid w:val="004D0129"/>
    <w:rsid w:val="00515795"/>
    <w:rsid w:val="00541902"/>
    <w:rsid w:val="00583CC3"/>
    <w:rsid w:val="005A64D5"/>
    <w:rsid w:val="005B3DEC"/>
    <w:rsid w:val="005C5D17"/>
    <w:rsid w:val="00601994"/>
    <w:rsid w:val="00660449"/>
    <w:rsid w:val="00662D76"/>
    <w:rsid w:val="00672F8A"/>
    <w:rsid w:val="006903F4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C246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E302D"/>
    <w:rsid w:val="008F7958"/>
    <w:rsid w:val="008F7C2C"/>
    <w:rsid w:val="00901F45"/>
    <w:rsid w:val="00934A2D"/>
    <w:rsid w:val="00940E96"/>
    <w:rsid w:val="00950A82"/>
    <w:rsid w:val="00985F18"/>
    <w:rsid w:val="009A4F47"/>
    <w:rsid w:val="009A76A8"/>
    <w:rsid w:val="009B0BAE"/>
    <w:rsid w:val="009B69AF"/>
    <w:rsid w:val="009C1C89"/>
    <w:rsid w:val="009C5528"/>
    <w:rsid w:val="009F3448"/>
    <w:rsid w:val="00A01CF9"/>
    <w:rsid w:val="00A01F4F"/>
    <w:rsid w:val="00A109AF"/>
    <w:rsid w:val="00A20401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757B7"/>
    <w:rsid w:val="00BA7D89"/>
    <w:rsid w:val="00BC0D39"/>
    <w:rsid w:val="00BC7BC0"/>
    <w:rsid w:val="00BD57B7"/>
    <w:rsid w:val="00BE00DD"/>
    <w:rsid w:val="00BE55F7"/>
    <w:rsid w:val="00BE63E2"/>
    <w:rsid w:val="00BF6134"/>
    <w:rsid w:val="00C0153E"/>
    <w:rsid w:val="00C14F7C"/>
    <w:rsid w:val="00C26C93"/>
    <w:rsid w:val="00C462C5"/>
    <w:rsid w:val="00C907C8"/>
    <w:rsid w:val="00CD2009"/>
    <w:rsid w:val="00CE352A"/>
    <w:rsid w:val="00CF629C"/>
    <w:rsid w:val="00D17718"/>
    <w:rsid w:val="00D223B6"/>
    <w:rsid w:val="00D61506"/>
    <w:rsid w:val="00D631AA"/>
    <w:rsid w:val="00D81552"/>
    <w:rsid w:val="00D92EEA"/>
    <w:rsid w:val="00DA5D4E"/>
    <w:rsid w:val="00DA770A"/>
    <w:rsid w:val="00DE6E16"/>
    <w:rsid w:val="00E05752"/>
    <w:rsid w:val="00E176BA"/>
    <w:rsid w:val="00E423EC"/>
    <w:rsid w:val="00E55121"/>
    <w:rsid w:val="00E65B9E"/>
    <w:rsid w:val="00E71C96"/>
    <w:rsid w:val="00EA16A3"/>
    <w:rsid w:val="00EB4FCB"/>
    <w:rsid w:val="00EC12FC"/>
    <w:rsid w:val="00EC6BC5"/>
    <w:rsid w:val="00EF1CF8"/>
    <w:rsid w:val="00EF6E46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FAF387E"/>
  <w15:docId w15:val="{6C818BE0-755D-4589-BBA9-5A7BCA0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customStyle="1" w:styleId="Tablefin">
    <w:name w:val="Table_fin"/>
    <w:basedOn w:val="Tabletext"/>
    <w:rsid w:val="00541902"/>
    <w:pPr>
      <w:spacing w:before="0" w:after="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3-CL-C-0116/en" TargetMode="External"/><Relationship Id="rId18" Type="http://schemas.openxmlformats.org/officeDocument/2006/relationships/hyperlink" Target="https://www.itu.int/md/S24-CL-C-0034/en" TargetMode="External"/><Relationship Id="rId26" Type="http://schemas.openxmlformats.org/officeDocument/2006/relationships/hyperlink" Target="https://www.itu.int/md/S23-CL-C-0116/en" TargetMode="External"/><Relationship Id="rId39" Type="http://schemas.openxmlformats.org/officeDocument/2006/relationships/hyperlink" Target="https://www.itu.int/md/S22-PP-C-0206/en" TargetMode="External"/><Relationship Id="rId21" Type="http://schemas.openxmlformats.org/officeDocument/2006/relationships/hyperlink" Target="https://www.itu.int/md/S26-CL-C-0042/en" TargetMode="External"/><Relationship Id="rId34" Type="http://schemas.openxmlformats.org/officeDocument/2006/relationships/image" Target="media/image1.emf"/><Relationship Id="rId42" Type="http://schemas.openxmlformats.org/officeDocument/2006/relationships/hyperlink" Target="https://www.itu.int/en/ITU-D/Projects/Pages/ICT-DF.aspx?ICTDF=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itu.int/md/S26-CL-C-0042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d/S23-CL-C-0034/en" TargetMode="External"/><Relationship Id="rId29" Type="http://schemas.openxmlformats.org/officeDocument/2006/relationships/hyperlink" Target="http://www.itu.int/en/ITU-D/Projec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itudoc/gs/council/c97/docs/res/131.html" TargetMode="External"/><Relationship Id="rId24" Type="http://schemas.openxmlformats.org/officeDocument/2006/relationships/hyperlink" Target="http://www.itu.int/en/ITU-D/Partners/Pages/ICT-DF/default.aspx" TargetMode="External"/><Relationship Id="rId32" Type="http://schemas.openxmlformats.org/officeDocument/2006/relationships/chart" Target="charts/chart2.xml"/><Relationship Id="rId37" Type="http://schemas.openxmlformats.org/officeDocument/2006/relationships/chart" Target="charts/chart4.xml"/><Relationship Id="rId40" Type="http://schemas.openxmlformats.org/officeDocument/2006/relationships/hyperlink" Target="https://www.itu.int/md/S25-CL-C-0118/en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5-CL-C-0118/en" TargetMode="External"/><Relationship Id="rId23" Type="http://schemas.openxmlformats.org/officeDocument/2006/relationships/hyperlink" Target="http://www.itu.int/en/ITU-D/Partners/Pages/ICT-DF/default.aspx" TargetMode="External"/><Relationship Id="rId28" Type="http://schemas.openxmlformats.org/officeDocument/2006/relationships/hyperlink" Target="https://www.itu.int/md/S26-CL-INF-0003/en" TargetMode="External"/><Relationship Id="rId36" Type="http://schemas.openxmlformats.org/officeDocument/2006/relationships/hyperlink" Target="https://www.itu.int/md/S26-CL-INF-0003/en" TargetMode="External"/><Relationship Id="rId10" Type="http://schemas.openxmlformats.org/officeDocument/2006/relationships/hyperlink" Target="https://www.itu.int/md/S22-PP-C-0206/en" TargetMode="External"/><Relationship Id="rId19" Type="http://schemas.openxmlformats.org/officeDocument/2006/relationships/hyperlink" Target="https://www.itu.int/md/S25-CL-C-0034/en" TargetMode="External"/><Relationship Id="rId31" Type="http://schemas.openxmlformats.org/officeDocument/2006/relationships/chart" Target="charts/chart1.xm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pub/S-CONF-ACTF-2022" TargetMode="External"/><Relationship Id="rId14" Type="http://schemas.openxmlformats.org/officeDocument/2006/relationships/hyperlink" Target="https://www.itu.int/md/S24-CL-C-0134/en" TargetMode="External"/><Relationship Id="rId22" Type="http://schemas.openxmlformats.org/officeDocument/2006/relationships/hyperlink" Target="https://www.itu.int/md/S26-CL-INF-0003/en" TargetMode="External"/><Relationship Id="rId27" Type="http://schemas.openxmlformats.org/officeDocument/2006/relationships/hyperlink" Target="file:///C:\Users\maloletk\Downloads\www.itu.int\en\ITU-D\Projects" TargetMode="External"/><Relationship Id="rId30" Type="http://schemas.openxmlformats.org/officeDocument/2006/relationships/hyperlink" Target="https://www.itu.int/md/S26-CL-INF-0003/en" TargetMode="External"/><Relationship Id="rId35" Type="http://schemas.openxmlformats.org/officeDocument/2006/relationships/hyperlink" Target="https://www.itu.int/md/S26-CL-INF-0003/en" TargetMode="External"/><Relationship Id="rId43" Type="http://schemas.openxmlformats.org/officeDocument/2006/relationships/hyperlink" Target="http://www.itu.int/en/ITU-D/Projects/ICT-DF.aspx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itu.int/en/council/Documents/basic-texts/RES-011-R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tu.int/md/S11-CL-C-0106/en" TargetMode="External"/><Relationship Id="rId17" Type="http://schemas.openxmlformats.org/officeDocument/2006/relationships/hyperlink" Target="https://www.itu.int/md/S24-CL-C-0019/en" TargetMode="External"/><Relationship Id="rId25" Type="http://schemas.openxmlformats.org/officeDocument/2006/relationships/hyperlink" Target="https://www.itu.int/md/S23-CL-C-0116/en" TargetMode="External"/><Relationship Id="rId33" Type="http://schemas.openxmlformats.org/officeDocument/2006/relationships/chart" Target="charts/chart3.xml"/><Relationship Id="rId38" Type="http://schemas.openxmlformats.org/officeDocument/2006/relationships/hyperlink" Target="https://www.itu.int/md/S22-PP-C-0206/en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www.itu.int/md/S25-CL-C-0043/en" TargetMode="External"/><Relationship Id="rId41" Type="http://schemas.openxmlformats.org/officeDocument/2006/relationships/hyperlink" Target="https://www.itu.int/md/S25-CL-C-0118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iulli\AppData\Roaming\Microsoft\Templates\POOL%20R%20-%20ITU\GS\PR_Council26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9932627702582931"/>
          <c:y val="6.7066971467276262E-2"/>
          <c:w val="0.35401895024559832"/>
          <c:h val="0.5241764456862246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4D3-4CE7-8053-BB303B41702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4D3-4CE7-8053-BB303B41702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4D3-4CE7-8053-BB303B41702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4D3-4CE7-8053-BB303B41702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4D3-4CE7-8053-BB303B41702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4D3-4CE7-8053-BB303B41702F}"/>
              </c:ext>
            </c:extLst>
          </c:dPt>
          <c:dPt>
            <c:idx val="6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4D3-4CE7-8053-BB303B41702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Sheet1!$A$3:$A$9</c:f>
              <c:strCache>
                <c:ptCount val="7"/>
                <c:pt idx="0">
                  <c:v>Африка</c:v>
                </c:pt>
                <c:pt idx="1">
                  <c:v>Северная и Южная Америка</c:v>
                </c:pt>
                <c:pt idx="2">
                  <c:v>Арабские государства</c:v>
                </c:pt>
                <c:pt idx="3">
                  <c:v>Азиатско-Тихоокеанский регион</c:v>
                </c:pt>
                <c:pt idx="4">
                  <c:v>Содружество Независимых Государств</c:v>
                </c:pt>
                <c:pt idx="5">
                  <c:v>Европа</c:v>
                </c:pt>
                <c:pt idx="6">
                  <c:v>Глобальные проекты или проекты с участием нескольких регионов</c:v>
                </c:pt>
              </c:strCache>
            </c:strRef>
          </c:cat>
          <c:val>
            <c:numRef>
              <c:f>Sheet1!$B$3:$B$9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7</c:v>
                </c:pt>
                <c:pt idx="4">
                  <c:v>2</c:v>
                </c:pt>
                <c:pt idx="5">
                  <c:v>1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4D3-4CE7-8053-BB303B4170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529691958439834"/>
          <c:y val="0.62629210058420104"/>
          <c:w val="0.87123946561321663"/>
          <c:h val="0.323255947845229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957525988126547"/>
          <c:y val="6.3063058996236529E-2"/>
          <c:w val="0.45583206577767449"/>
          <c:h val="0.6624686321094345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F8B-48B9-A2A3-E70AC37F973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F8B-48B9-A2A3-E70AC37F9732}"/>
              </c:ext>
            </c:extLst>
          </c:dPt>
          <c:dLbls>
            <c:dLbl>
              <c:idx val="0"/>
              <c:layout>
                <c:manualLayout>
                  <c:x val="-3.3640518212577235E-2"/>
                  <c:y val="-2.40163268770062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8B-48B9-A2A3-E70AC37F9732}"/>
                </c:ext>
              </c:extLst>
            </c:dLbl>
            <c:dLbl>
              <c:idx val="1"/>
              <c:layout>
                <c:manualLayout>
                  <c:x val="1.3916658461333935E-2"/>
                  <c:y val="-1.61142592483083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8B-48B9-A2A3-E70AC37F97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Sheet1!$A$23:$A$24</c:f>
              <c:strCache>
                <c:ptCount val="2"/>
                <c:pt idx="0">
                  <c:v>Завершенные</c:v>
                </c:pt>
                <c:pt idx="1">
                  <c:v>Текущие</c:v>
                </c:pt>
              </c:strCache>
            </c:strRef>
          </c:cat>
          <c:val>
            <c:numRef>
              <c:f>Sheet1!$B$23:$B$24</c:f>
              <c:numCache>
                <c:formatCode>General</c:formatCode>
                <c:ptCount val="2"/>
                <c:pt idx="0">
                  <c:v>11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8B-48B9-A2A3-E70AC37F973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047795105438787"/>
          <c:y val="0.8172597769183787"/>
          <c:w val="0.50271272959271629"/>
          <c:h val="8.52791319056193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571787467665994"/>
          <c:y val="0.17006501782669725"/>
          <c:w val="0.76094780867015144"/>
          <c:h val="0.503490015375675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Sheet1!$A$37</c:f>
              <c:strCache>
                <c:ptCount val="1"/>
                <c:pt idx="0">
                  <c:v>Завершенные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14,29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A27E-4936-8B20-EB9F6B668AE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27E-4936-8B20-EB9F6B668AE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17,28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A27E-4936-8B20-EB9F6B668A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Sheet1!$B$36:$D$36</c:f>
              <c:strCache>
                <c:ptCount val="3"/>
                <c:pt idx="0">
                  <c:v>Внешние 
средства</c:v>
                </c:pt>
                <c:pt idx="1">
                  <c:v>Средства 
ФРИКТ</c:v>
                </c:pt>
                <c:pt idx="2">
                  <c:v>Общая сумма средств 
(млн. шв. фр.)</c:v>
                </c:pt>
              </c:strCache>
            </c:strRef>
          </c:cat>
          <c:val>
            <c:numRef>
              <c:f>Sheet1!$B$37:$D$37</c:f>
              <c:numCache>
                <c:formatCode>0.00</c:formatCode>
                <c:ptCount val="3"/>
                <c:pt idx="0">
                  <c:v>14.29</c:v>
                </c:pt>
                <c:pt idx="1">
                  <c:v>2.996</c:v>
                </c:pt>
                <c:pt idx="2">
                  <c:v>17.28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27E-4936-8B20-EB9F6B668AEF}"/>
            </c:ext>
          </c:extLst>
        </c:ser>
        <c:ser>
          <c:idx val="1"/>
          <c:order val="1"/>
          <c:tx>
            <c:strRef>
              <c:f>Sheet1!$A$38</c:f>
              <c:strCache>
                <c:ptCount val="1"/>
                <c:pt idx="0">
                  <c:v>Текущие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36,68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A27E-4936-8B20-EB9F6B668AE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8,75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A27E-4936-8B20-EB9F6B668AE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45,43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A27E-4936-8B20-EB9F6B668A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Sheet1!$B$36:$D$36</c:f>
              <c:strCache>
                <c:ptCount val="3"/>
                <c:pt idx="0">
                  <c:v>Внешние 
средства</c:v>
                </c:pt>
                <c:pt idx="1">
                  <c:v>Средства 
ФРИКТ</c:v>
                </c:pt>
                <c:pt idx="2">
                  <c:v>Общая сумма средств 
(млн. шв. фр.)</c:v>
                </c:pt>
              </c:strCache>
            </c:strRef>
          </c:cat>
          <c:val>
            <c:numRef>
              <c:f>Sheet1!$B$38:$D$38</c:f>
              <c:numCache>
                <c:formatCode>0.00</c:formatCode>
                <c:ptCount val="3"/>
                <c:pt idx="0">
                  <c:v>36.679000000000002</c:v>
                </c:pt>
                <c:pt idx="1">
                  <c:v>8.7479999999999993</c:v>
                </c:pt>
                <c:pt idx="2">
                  <c:v>45.427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27E-4936-8B20-EB9F6B668A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28175"/>
        <c:axId val="15625775"/>
      </c:barChart>
      <c:catAx>
        <c:axId val="15628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25775"/>
        <c:crosses val="autoZero"/>
        <c:auto val="1"/>
        <c:lblAlgn val="ctr"/>
        <c:lblOffset val="100"/>
        <c:noMultiLvlLbl val="0"/>
      </c:catAx>
      <c:valAx>
        <c:axId val="15625775"/>
        <c:scaling>
          <c:orientation val="minMax"/>
          <c:max val="5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700"/>
                  <a:t>Миллионы</a:t>
                </a:r>
                <a:r>
                  <a:rPr lang="en-GB" sz="700"/>
                  <a:t> </a:t>
                </a:r>
              </a:p>
            </c:rich>
          </c:tx>
          <c:layout>
            <c:manualLayout>
              <c:xMode val="edge"/>
              <c:yMode val="edge"/>
              <c:x val="7.5642112518468266E-2"/>
              <c:y val="0.7007496538679508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28175"/>
        <c:crosses val="autoZero"/>
        <c:crossBetween val="between"/>
        <c:majorUnit val="10"/>
        <c:min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898061991337481"/>
          <c:y val="0.87320973808743796"/>
          <c:w val="0.50203876017325044"/>
          <c:h val="0.102495259365890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8065852257556638E-2"/>
          <c:y val="0.10254206441014541"/>
          <c:w val="0.88389129483814521"/>
          <c:h val="0.72088764946048411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8.3333333333333332E-3"/>
                  <c:y val="-2.7777777777777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D2-4415-85CD-B49FE9DE957C}"/>
                </c:ext>
              </c:extLst>
            </c:dLbl>
            <c:dLbl>
              <c:idx val="3"/>
              <c:layout>
                <c:manualLayout>
                  <c:x val="-3.2183907463410127E-3"/>
                  <c:y val="-1.7198259138944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D2-4415-85CD-B49FE9DE95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Sheet1!$A$73:$A$77</c:f>
              <c:strCache>
                <c:ptCount val="5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  <c:pt idx="3">
                  <c:v>2024 г.</c:v>
                </c:pt>
                <c:pt idx="4">
                  <c:v>2025 г.</c:v>
                </c:pt>
              </c:strCache>
            </c:strRef>
          </c:cat>
          <c:val>
            <c:numRef>
              <c:f>Sheet1!$B$73:$B$77</c:f>
              <c:numCache>
                <c:formatCode>0.00</c:formatCode>
                <c:ptCount val="5"/>
                <c:pt idx="0">
                  <c:v>3.47</c:v>
                </c:pt>
                <c:pt idx="1">
                  <c:v>2.77</c:v>
                </c:pt>
                <c:pt idx="2">
                  <c:v>5.53</c:v>
                </c:pt>
                <c:pt idx="3">
                  <c:v>4.04</c:v>
                </c:pt>
                <c:pt idx="4">
                  <c:v>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AD2-4415-85CD-B49FE9DE95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469712"/>
        <c:axId val="58470128"/>
      </c:lineChart>
      <c:catAx>
        <c:axId val="58469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470128"/>
        <c:crosses val="autoZero"/>
        <c:auto val="1"/>
        <c:lblAlgn val="ctr"/>
        <c:lblOffset val="100"/>
        <c:noMultiLvlLbl val="0"/>
      </c:catAx>
      <c:valAx>
        <c:axId val="58470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800"/>
                  <a:t>Миллионы</a:t>
                </a:r>
                <a:endParaRPr lang="en-US" sz="800"/>
              </a:p>
            </c:rich>
          </c:tx>
          <c:layout>
            <c:manualLayout>
              <c:xMode val="edge"/>
              <c:yMode val="edge"/>
              <c:x val="0"/>
              <c:y val="0.7018707424222134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469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2</TotalTime>
  <Pages>6</Pages>
  <Words>1556</Words>
  <Characters>12029</Characters>
  <Application>Microsoft Office Word</Application>
  <DocSecurity>0</DocSecurity>
  <Lines>1336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12786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and Communication Technologies Development Fund (ICT-DF)</dc:title>
  <dc:subject>ITU Council 2026</dc:subject>
  <cp:keywords>C26; C2026; Council 2026; PP26</cp:keywords>
  <dc:description/>
  <cp:lastPrinted>2006-03-28T16:12:00Z</cp:lastPrinted>
  <dcterms:created xsi:type="dcterms:W3CDTF">2026-04-20T13:37:00Z</dcterms:created>
  <dcterms:modified xsi:type="dcterms:W3CDTF">2026-04-20T13:38:00Z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