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C623D7" w14:paraId="66C1CF0C" w14:textId="77777777" w:rsidTr="00C623D7">
        <w:tc>
          <w:tcPr>
            <w:tcW w:w="6105" w:type="dxa"/>
          </w:tcPr>
          <w:p w14:paraId="0346AB0B" w14:textId="2F6FFA05" w:rsidR="00C623D7" w:rsidRPr="007B0AA0" w:rsidRDefault="00C623D7" w:rsidP="00C623D7">
            <w:pPr>
              <w:spacing w:before="60" w:after="60" w:line="260" w:lineRule="exact"/>
              <w:rPr>
                <w:b/>
                <w:bCs/>
                <w:rtl/>
                <w:lang w:bidi="ar-EG"/>
              </w:rPr>
            </w:pPr>
            <w:r w:rsidRPr="007B0AA0">
              <w:rPr>
                <w:rFonts w:hint="cs"/>
                <w:b/>
                <w:bCs/>
                <w:rtl/>
                <w:lang w:bidi="ar-EG"/>
              </w:rPr>
              <w:t>بند جدول الأعمال:</w:t>
            </w:r>
            <w:r>
              <w:rPr>
                <w:rFonts w:hint="cs"/>
                <w:b/>
                <w:bCs/>
                <w:rtl/>
              </w:rPr>
              <w:t xml:space="preserve"> </w:t>
            </w:r>
            <w:r>
              <w:rPr>
                <w:b/>
                <w:bCs/>
              </w:rPr>
              <w:t>ADM 1</w:t>
            </w:r>
          </w:p>
        </w:tc>
        <w:tc>
          <w:tcPr>
            <w:tcW w:w="2966" w:type="dxa"/>
          </w:tcPr>
          <w:p w14:paraId="491C8908" w14:textId="14B75BFE" w:rsidR="00C623D7" w:rsidRPr="007B0AA0" w:rsidRDefault="00C623D7" w:rsidP="00C623D7">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Pr>
                <w:b/>
                <w:bCs/>
                <w:lang w:bidi="ar-EG"/>
              </w:rPr>
              <w:t>6</w:t>
            </w:r>
            <w:r w:rsidRPr="007B0AA0">
              <w:rPr>
                <w:b/>
                <w:bCs/>
                <w:lang w:bidi="ar-EG"/>
              </w:rPr>
              <w:t>/</w:t>
            </w:r>
            <w:r>
              <w:rPr>
                <w:b/>
                <w:bCs/>
                <w:lang w:bidi="ar-EG"/>
              </w:rPr>
              <w:t>34</w:t>
            </w:r>
            <w:r w:rsidRPr="007B0AA0">
              <w:rPr>
                <w:b/>
                <w:bCs/>
                <w:lang w:bidi="ar-EG"/>
              </w:rPr>
              <w:t>-A</w:t>
            </w:r>
          </w:p>
        </w:tc>
      </w:tr>
      <w:tr w:rsidR="00C623D7" w14:paraId="5FF64177" w14:textId="77777777" w:rsidTr="00C623D7">
        <w:tc>
          <w:tcPr>
            <w:tcW w:w="6105" w:type="dxa"/>
          </w:tcPr>
          <w:p w14:paraId="3430F9B8" w14:textId="77777777" w:rsidR="00C623D7" w:rsidRPr="007B0AA0" w:rsidRDefault="00C623D7" w:rsidP="00C623D7">
            <w:pPr>
              <w:spacing w:before="60" w:after="60" w:line="260" w:lineRule="exact"/>
              <w:rPr>
                <w:b/>
                <w:bCs/>
                <w:rtl/>
                <w:lang w:bidi="ar-EG"/>
              </w:rPr>
            </w:pPr>
          </w:p>
        </w:tc>
        <w:tc>
          <w:tcPr>
            <w:tcW w:w="2966" w:type="dxa"/>
          </w:tcPr>
          <w:p w14:paraId="55E8D312" w14:textId="0E7DCCBC" w:rsidR="00C623D7" w:rsidRPr="007B0AA0" w:rsidRDefault="00C623D7" w:rsidP="00C623D7">
            <w:pPr>
              <w:spacing w:before="60" w:after="60" w:line="260" w:lineRule="exact"/>
              <w:rPr>
                <w:b/>
                <w:bCs/>
                <w:rtl/>
                <w:lang w:bidi="ar-EG"/>
              </w:rPr>
            </w:pPr>
            <w:r>
              <w:rPr>
                <w:b/>
                <w:bCs/>
              </w:rPr>
              <w:t>3</w:t>
            </w:r>
            <w:r>
              <w:rPr>
                <w:rFonts w:hint="cs"/>
                <w:b/>
                <w:bCs/>
                <w:rtl/>
              </w:rPr>
              <w:t>‏ مارس‏ 2026</w:t>
            </w:r>
          </w:p>
        </w:tc>
      </w:tr>
      <w:tr w:rsidR="00C623D7" w14:paraId="5F1DEA9D" w14:textId="77777777" w:rsidTr="00C623D7">
        <w:tc>
          <w:tcPr>
            <w:tcW w:w="6105" w:type="dxa"/>
          </w:tcPr>
          <w:p w14:paraId="053A499A" w14:textId="77777777" w:rsidR="00C623D7" w:rsidRPr="007B0AA0" w:rsidRDefault="00C623D7" w:rsidP="00C623D7">
            <w:pPr>
              <w:spacing w:before="60" w:after="60" w:line="260" w:lineRule="exact"/>
              <w:rPr>
                <w:b/>
                <w:bCs/>
                <w:rtl/>
                <w:lang w:bidi="ar-EG"/>
              </w:rPr>
            </w:pPr>
          </w:p>
        </w:tc>
        <w:tc>
          <w:tcPr>
            <w:tcW w:w="2966" w:type="dxa"/>
          </w:tcPr>
          <w:p w14:paraId="2826447B" w14:textId="7D5979CA" w:rsidR="00C623D7" w:rsidRPr="007B0AA0" w:rsidRDefault="00C623D7" w:rsidP="00C623D7">
            <w:pPr>
              <w:spacing w:before="60" w:after="60" w:line="260" w:lineRule="exact"/>
              <w:rPr>
                <w:b/>
                <w:bCs/>
                <w:rtl/>
                <w:lang w:bidi="ar-EG"/>
              </w:rPr>
            </w:pPr>
            <w:r w:rsidRPr="007B0AA0">
              <w:rPr>
                <w:rFonts w:hint="cs"/>
                <w:b/>
                <w:bCs/>
                <w:rtl/>
                <w:lang w:bidi="ar-EG"/>
              </w:rPr>
              <w:t>الأصل: بالإنكليزية</w:t>
            </w:r>
          </w:p>
        </w:tc>
      </w:tr>
      <w:tr w:rsidR="007B0AA0" w14:paraId="753EF9C1" w14:textId="77777777" w:rsidTr="00C623D7">
        <w:tc>
          <w:tcPr>
            <w:tcW w:w="6105" w:type="dxa"/>
          </w:tcPr>
          <w:p w14:paraId="19BE7143" w14:textId="77777777" w:rsidR="007B0AA0" w:rsidRDefault="007B0AA0" w:rsidP="00F363FE">
            <w:pPr>
              <w:spacing w:before="60" w:after="60" w:line="260" w:lineRule="exact"/>
              <w:rPr>
                <w:lang w:bidi="ar-EG"/>
              </w:rPr>
            </w:pPr>
          </w:p>
        </w:tc>
        <w:tc>
          <w:tcPr>
            <w:tcW w:w="2966" w:type="dxa"/>
          </w:tcPr>
          <w:p w14:paraId="3A0BE438" w14:textId="77777777" w:rsidR="007B0AA0" w:rsidRDefault="007B0AA0" w:rsidP="00F363FE">
            <w:pPr>
              <w:spacing w:before="60" w:after="60" w:line="260" w:lineRule="exact"/>
              <w:rPr>
                <w:rtl/>
                <w:lang w:bidi="ar-EG"/>
              </w:rPr>
            </w:pPr>
          </w:p>
        </w:tc>
      </w:tr>
      <w:tr w:rsidR="007B0AA0" w14:paraId="032CAE6D" w14:textId="77777777" w:rsidTr="00C623D7">
        <w:tc>
          <w:tcPr>
            <w:tcW w:w="9071" w:type="dxa"/>
            <w:gridSpan w:val="2"/>
          </w:tcPr>
          <w:p w14:paraId="0C0050E9" w14:textId="77777777" w:rsidR="007B0AA0" w:rsidRDefault="001D64C7" w:rsidP="007B0AA0">
            <w:pPr>
              <w:pStyle w:val="Source"/>
              <w:jc w:val="left"/>
              <w:rPr>
                <w:lang w:bidi="ar-EG"/>
              </w:rPr>
            </w:pPr>
            <w:r>
              <w:rPr>
                <w:rFonts w:hint="cs"/>
                <w:rtl/>
                <w:lang w:bidi="ar-EG"/>
              </w:rPr>
              <w:t>تقرير من الأمينة العامة</w:t>
            </w:r>
          </w:p>
        </w:tc>
      </w:tr>
      <w:tr w:rsidR="00C623D7" w14:paraId="0DB0CDC8" w14:textId="77777777" w:rsidTr="00C623D7">
        <w:tc>
          <w:tcPr>
            <w:tcW w:w="9071" w:type="dxa"/>
            <w:gridSpan w:val="2"/>
            <w:tcBorders>
              <w:bottom w:val="single" w:sz="4" w:space="0" w:color="auto"/>
            </w:tcBorders>
          </w:tcPr>
          <w:p w14:paraId="642C2C6A" w14:textId="17D2FAB4" w:rsidR="00C623D7" w:rsidRPr="005546CF" w:rsidRDefault="00C623D7" w:rsidP="00C623D7">
            <w:pPr>
              <w:pStyle w:val="Subtitle0"/>
              <w:rPr>
                <w:sz w:val="32"/>
                <w:szCs w:val="32"/>
              </w:rPr>
            </w:pPr>
            <w:r w:rsidRPr="00257D61">
              <w:rPr>
                <w:sz w:val="32"/>
                <w:szCs w:val="32"/>
                <w:rtl/>
              </w:rPr>
              <w:t>صندوق تنمية تكنولوجيا المعلومات والاتصالات (</w:t>
            </w:r>
            <w:r w:rsidRPr="00257D61">
              <w:rPr>
                <w:sz w:val="32"/>
                <w:szCs w:val="32"/>
              </w:rPr>
              <w:t>ICT-DF</w:t>
            </w:r>
            <w:r w:rsidRPr="00257D61">
              <w:rPr>
                <w:sz w:val="32"/>
                <w:szCs w:val="32"/>
                <w:rtl/>
              </w:rPr>
              <w:t>)</w:t>
            </w:r>
          </w:p>
        </w:tc>
      </w:tr>
      <w:tr w:rsidR="007B0AA0" w14:paraId="33F039D6" w14:textId="77777777" w:rsidTr="00C623D7">
        <w:tc>
          <w:tcPr>
            <w:tcW w:w="9071" w:type="dxa"/>
            <w:gridSpan w:val="2"/>
            <w:tcBorders>
              <w:top w:val="single" w:sz="4" w:space="0" w:color="auto"/>
              <w:bottom w:val="single" w:sz="4" w:space="0" w:color="auto"/>
            </w:tcBorders>
          </w:tcPr>
          <w:p w14:paraId="52D33205" w14:textId="77777777" w:rsidR="007B0AA0" w:rsidRPr="007B0AA0" w:rsidRDefault="007B0AA0" w:rsidP="007B0AA0">
            <w:pPr>
              <w:rPr>
                <w:b/>
                <w:bCs/>
                <w:rtl/>
              </w:rPr>
            </w:pPr>
            <w:r w:rsidRPr="00494119">
              <w:rPr>
                <w:rFonts w:hint="cs"/>
                <w:b/>
                <w:bCs/>
                <w:rtl/>
              </w:rPr>
              <w:t>الغرض</w:t>
            </w:r>
          </w:p>
          <w:p w14:paraId="0B32C4C8" w14:textId="6DC953F0" w:rsidR="007B0AA0" w:rsidRDefault="00C623D7" w:rsidP="00C623D7">
            <w:pPr>
              <w:rPr>
                <w:rtl/>
              </w:rPr>
            </w:pPr>
            <w:r w:rsidRPr="00257D61">
              <w:rPr>
                <w:rtl/>
              </w:rPr>
              <w:t>تقدِّم هذه الوثيقة تقريراً عن حالة صندوق تنمية تكنولوجيا المعلومات والاتصالات (</w:t>
            </w:r>
            <w:r w:rsidRPr="00257D61">
              <w:t>ICT-DF</w:t>
            </w:r>
            <w:r w:rsidRPr="00257D61">
              <w:rPr>
                <w:rtl/>
              </w:rPr>
              <w:t>) فيما يتعلق باستعماله في تنفيذ مشاريع التنمية. كما تقدم معلومات عن الأموال المتاحة في صندوق رأس المال العامل للمعارض (</w:t>
            </w:r>
            <w:r w:rsidRPr="00257D61">
              <w:t>EWCF</w:t>
            </w:r>
            <w:r w:rsidRPr="00257D61">
              <w:rPr>
                <w:rtl/>
              </w:rPr>
              <w:t>) وحساب رأس مال صندوق تنمية تكنولوجيا المعلومات والاتصالات ومبالغ الخدمات الإدارية والتشغيلية (</w:t>
            </w:r>
            <w:r w:rsidRPr="00257D61">
              <w:t>AOS</w:t>
            </w:r>
            <w:r w:rsidRPr="00257D61">
              <w:rPr>
                <w:rtl/>
              </w:rPr>
              <w:t>) المولَّدة في نهاية عام 2025.</w:t>
            </w:r>
          </w:p>
          <w:p w14:paraId="35B3F3C4" w14:textId="77777777" w:rsidR="007B0AA0" w:rsidRPr="007B0AA0" w:rsidRDefault="007B0AA0" w:rsidP="007B0AA0">
            <w:pPr>
              <w:rPr>
                <w:b/>
                <w:bCs/>
                <w:rtl/>
              </w:rPr>
            </w:pPr>
            <w:r w:rsidRPr="007B0AA0">
              <w:rPr>
                <w:rFonts w:hint="cs"/>
                <w:b/>
                <w:bCs/>
                <w:rtl/>
              </w:rPr>
              <w:t>الإجراء المطلوب من المجلس</w:t>
            </w:r>
          </w:p>
          <w:p w14:paraId="5F23A3B1" w14:textId="77777777" w:rsidR="00C623D7" w:rsidRDefault="00C623D7" w:rsidP="00C623D7">
            <w:r w:rsidRPr="00257D61">
              <w:rPr>
                <w:rtl/>
              </w:rPr>
              <w:t xml:space="preserve">في نهاية عام 2025، تحقق فائض قدره </w:t>
            </w:r>
            <w:r>
              <w:t>559 800</w:t>
            </w:r>
            <w:r w:rsidRPr="00257D61">
              <w:rPr>
                <w:rtl/>
              </w:rPr>
              <w:t xml:space="preserve"> فرنك سويسري عن تكاليف الخدمات الإدارية والتشغيلية المدرجة في الميزانية والبالغة </w:t>
            </w:r>
            <w:r>
              <w:t>900 000</w:t>
            </w:r>
            <w:r w:rsidRPr="00257D61">
              <w:rPr>
                <w:rtl/>
              </w:rPr>
              <w:t xml:space="preserve"> فرنك سويسري. ويُعرَض تحويل هذا المبلغ إلى صندوق تنمية تكنولوجيا المعلومات والاتصالات على المجلس لعام 2026من أجل الموافقة عليه في الوثيقة </w:t>
            </w:r>
            <w:hyperlink r:id="rId8" w:history="1">
              <w:r w:rsidRPr="00257D61">
                <w:rPr>
                  <w:rStyle w:val="Hyperlink"/>
                  <w:noProof w:val="0"/>
                  <w:lang w:val="en-US" w:eastAsia="zh-CN"/>
                </w:rPr>
                <w:t>C26/42</w:t>
              </w:r>
            </w:hyperlink>
            <w:r w:rsidRPr="00257D61">
              <w:rPr>
                <w:rtl/>
              </w:rPr>
              <w:t>.</w:t>
            </w:r>
          </w:p>
          <w:p w14:paraId="539B6824" w14:textId="58271123" w:rsidR="007B0AA0" w:rsidRDefault="00C623D7" w:rsidP="00C623D7">
            <w:pPr>
              <w:rPr>
                <w:rtl/>
              </w:rPr>
            </w:pPr>
            <w:r w:rsidRPr="00257D61">
              <w:rPr>
                <w:rtl/>
              </w:rPr>
              <w:t xml:space="preserve">يُدعى المجلس إلى </w:t>
            </w:r>
            <w:r w:rsidRPr="00257D61">
              <w:rPr>
                <w:b/>
                <w:bCs/>
                <w:rtl/>
              </w:rPr>
              <w:t>الإحاطة علماً</w:t>
            </w:r>
            <w:r w:rsidRPr="00257D61">
              <w:rPr>
                <w:rtl/>
              </w:rPr>
              <w:t xml:space="preserve"> بهذه الوثيقة.</w:t>
            </w:r>
          </w:p>
          <w:p w14:paraId="0BF700ED"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1DEB4164" w14:textId="6B9BEEDA" w:rsidR="007B0AA0" w:rsidRDefault="00C623D7" w:rsidP="00C623D7">
            <w:pPr>
              <w:rPr>
                <w:rtl/>
              </w:rPr>
            </w:pPr>
            <w:r w:rsidRPr="00257D61">
              <w:rPr>
                <w:rtl/>
              </w:rPr>
              <w:t>تقديم المساعدة التقنية والشراكات والتعاون الدولي.</w:t>
            </w:r>
          </w:p>
          <w:p w14:paraId="65386321" w14:textId="77777777" w:rsidR="007B0AA0" w:rsidRDefault="007B0AA0" w:rsidP="00B97F32">
            <w:pPr>
              <w:rPr>
                <w:b/>
                <w:bCs/>
              </w:rPr>
            </w:pPr>
            <w:r w:rsidRPr="007B0AA0">
              <w:rPr>
                <w:rFonts w:hint="cs"/>
                <w:b/>
                <w:bCs/>
                <w:rtl/>
              </w:rPr>
              <w:t>الآثار المالية</w:t>
            </w:r>
          </w:p>
          <w:p w14:paraId="3F3FE5F8" w14:textId="0CE5EC03" w:rsidR="006F363C" w:rsidRPr="005546CF" w:rsidRDefault="00C623D7" w:rsidP="00C623D7">
            <w:pPr>
              <w:rPr>
                <w:rtl/>
              </w:rPr>
            </w:pPr>
            <w:r w:rsidRPr="00257D61">
              <w:rPr>
                <w:rtl/>
              </w:rPr>
              <w:t xml:space="preserve">سيرد في الوثيقة </w:t>
            </w:r>
            <w:r w:rsidRPr="00257D61">
              <w:t>C26/42</w:t>
            </w:r>
            <w:r w:rsidRPr="00257D61">
              <w:rPr>
                <w:rtl/>
              </w:rPr>
              <w:t xml:space="preserve"> تحويل مبلغ </w:t>
            </w:r>
            <w:r>
              <w:t>559 800</w:t>
            </w:r>
            <w:r w:rsidRPr="00257D61">
              <w:rPr>
                <w:rtl/>
              </w:rPr>
              <w:t xml:space="preserve"> فرنك سويسري من فائض الخدمات الإدارية والتشغيلية المولَّدة في عام 2025 إلى حساب رأس مال صندوق تنمية تكنولوجيا المعلومات والاتصالات (</w:t>
            </w:r>
            <w:r w:rsidRPr="00257D61">
              <w:t>ICT-DF</w:t>
            </w:r>
            <w:r w:rsidRPr="00257D61">
              <w:rPr>
                <w:rtl/>
              </w:rPr>
              <w:t>).</w:t>
            </w:r>
          </w:p>
          <w:p w14:paraId="11663409"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18E7080D" w14:textId="77777777" w:rsidR="007B0AA0" w:rsidRPr="007B0AA0" w:rsidRDefault="007B0AA0" w:rsidP="007B0AA0">
            <w:pPr>
              <w:rPr>
                <w:b/>
                <w:bCs/>
                <w:rtl/>
              </w:rPr>
            </w:pPr>
            <w:r w:rsidRPr="007B0AA0">
              <w:rPr>
                <w:rFonts w:hint="cs"/>
                <w:b/>
                <w:bCs/>
                <w:rtl/>
              </w:rPr>
              <w:t>المراجع</w:t>
            </w:r>
          </w:p>
          <w:p w14:paraId="722C98D6" w14:textId="60FB2705" w:rsidR="007B0AA0" w:rsidRPr="005546CF" w:rsidRDefault="00C623D7" w:rsidP="00C60709">
            <w:pPr>
              <w:rPr>
                <w:i/>
                <w:iCs/>
                <w:rtl/>
              </w:rPr>
            </w:pPr>
            <w:hyperlink r:id="rId9" w:history="1">
              <w:r w:rsidRPr="00257D61">
                <w:rPr>
                  <w:rStyle w:val="Hyperlink"/>
                  <w:i/>
                  <w:iCs/>
                  <w:noProof w:val="0"/>
                  <w:rtl/>
                  <w:lang w:val="en-US" w:eastAsia="zh-CN"/>
                </w:rPr>
                <w:t>القرار 11 (المراجَع في دبي، 2018)</w:t>
              </w:r>
            </w:hyperlink>
            <w:r w:rsidRPr="00257D61">
              <w:rPr>
                <w:i/>
                <w:iCs/>
                <w:u w:color="5B9BD5"/>
                <w:rtl/>
              </w:rPr>
              <w:t xml:space="preserve"> لمؤتمر المندوبين المفوضين</w:t>
            </w:r>
            <w:r w:rsidRPr="00257D61">
              <w:rPr>
                <w:i/>
                <w:iCs/>
                <w:rtl/>
              </w:rPr>
              <w:t>؛</w:t>
            </w:r>
            <w:r w:rsidRPr="00257D61">
              <w:rPr>
                <w:rFonts w:hint="cs"/>
                <w:i/>
                <w:iCs/>
                <w:rtl/>
              </w:rPr>
              <w:t xml:space="preserve"> </w:t>
            </w:r>
            <w:hyperlink r:id="rId10" w:history="1">
              <w:r w:rsidRPr="00257D61">
                <w:rPr>
                  <w:rStyle w:val="Hyperlink"/>
                  <w:i/>
                  <w:iCs/>
                  <w:noProof w:val="0"/>
                  <w:rtl/>
                  <w:lang w:val="en-US" w:eastAsia="zh-CN"/>
                </w:rPr>
                <w:t>الوثائق الختامية (الجزء الثالث)</w:t>
              </w:r>
            </w:hyperlink>
            <w:r w:rsidRPr="00257D61">
              <w:rPr>
                <w:i/>
                <w:iCs/>
                <w:rtl/>
              </w:rPr>
              <w:t xml:space="preserve"> و</w:t>
            </w:r>
            <w:hyperlink r:id="rId11" w:history="1">
              <w:r w:rsidRPr="00257D61">
                <w:rPr>
                  <w:rStyle w:val="Hyperlink"/>
                  <w:i/>
                  <w:iCs/>
                  <w:noProof w:val="0"/>
                  <w:rtl/>
                  <w:lang w:val="en-US" w:eastAsia="zh-CN"/>
                </w:rPr>
                <w:t xml:space="preserve">محضر الجلسة العامة السادسة عشرة (القسمان </w:t>
              </w:r>
              <w:r w:rsidRPr="00257D61">
                <w:rPr>
                  <w:rStyle w:val="Hyperlink"/>
                  <w:i/>
                  <w:iCs/>
                  <w:noProof w:val="0"/>
                  <w:lang w:val="en-US" w:eastAsia="zh-CN"/>
                </w:rPr>
                <w:t>3</w:t>
              </w:r>
              <w:r w:rsidRPr="00257D61">
                <w:rPr>
                  <w:rStyle w:val="Hyperlink"/>
                  <w:i/>
                  <w:iCs/>
                </w:rPr>
                <w:t>.2</w:t>
              </w:r>
              <w:r w:rsidRPr="00257D61">
                <w:rPr>
                  <w:rStyle w:val="Hyperlink"/>
                  <w:i/>
                  <w:iCs/>
                  <w:noProof w:val="0"/>
                  <w:rtl/>
                  <w:lang w:val="en-US" w:eastAsia="zh-CN"/>
                </w:rPr>
                <w:t xml:space="preserve"> و</w:t>
              </w:r>
              <w:r w:rsidRPr="00257D61">
                <w:rPr>
                  <w:rStyle w:val="Hyperlink"/>
                  <w:i/>
                  <w:iCs/>
                  <w:noProof w:val="0"/>
                  <w:lang w:val="en-US" w:eastAsia="zh-CN"/>
                </w:rPr>
                <w:t>2</w:t>
              </w:r>
              <w:r w:rsidRPr="00257D61">
                <w:rPr>
                  <w:rStyle w:val="Hyperlink"/>
                  <w:i/>
                  <w:iCs/>
                </w:rPr>
                <w:t>.5</w:t>
              </w:r>
              <w:r w:rsidRPr="00257D61">
                <w:rPr>
                  <w:rStyle w:val="Hyperlink"/>
                  <w:i/>
                  <w:iCs/>
                  <w:noProof w:val="0"/>
                  <w:rtl/>
                  <w:lang w:val="en-US" w:eastAsia="zh-CN"/>
                </w:rPr>
                <w:t>)</w:t>
              </w:r>
            </w:hyperlink>
            <w:r w:rsidRPr="00257D61">
              <w:rPr>
                <w:i/>
                <w:iCs/>
                <w:rtl/>
              </w:rPr>
              <w:t xml:space="preserve"> لمؤتمر المندوبين المفوضين لعام 2022؛</w:t>
            </w:r>
            <w:r>
              <w:rPr>
                <w:i/>
                <w:iCs/>
              </w:rPr>
              <w:t xml:space="preserve"> </w:t>
            </w:r>
            <w:r w:rsidRPr="00257D61">
              <w:rPr>
                <w:i/>
                <w:iCs/>
                <w:rtl/>
              </w:rPr>
              <w:t xml:space="preserve">قرارات المجلس </w:t>
            </w:r>
            <w:hyperlink r:id="rId12" w:history="1">
              <w:r w:rsidRPr="00257D61">
                <w:rPr>
                  <w:rStyle w:val="Hyperlink"/>
                  <w:i/>
                  <w:iCs/>
                  <w:noProof w:val="0"/>
                  <w:rtl/>
                  <w:lang w:val="en-US" w:eastAsia="zh-CN"/>
                </w:rPr>
                <w:t>1111</w:t>
              </w:r>
            </w:hyperlink>
            <w:r w:rsidRPr="00257D61">
              <w:rPr>
                <w:i/>
                <w:iCs/>
                <w:rtl/>
              </w:rPr>
              <w:t xml:space="preserve"> و</w:t>
            </w:r>
            <w:hyperlink r:id="rId13" w:history="1">
              <w:r w:rsidRPr="00257D61">
                <w:rPr>
                  <w:rStyle w:val="Hyperlink"/>
                  <w:i/>
                  <w:iCs/>
                  <w:noProof w:val="0"/>
                  <w:rtl/>
                  <w:lang w:val="en-US" w:eastAsia="zh-CN"/>
                </w:rPr>
                <w:t>1338</w:t>
              </w:r>
            </w:hyperlink>
            <w:r w:rsidRPr="00257D61">
              <w:rPr>
                <w:i/>
                <w:iCs/>
                <w:rtl/>
              </w:rPr>
              <w:t xml:space="preserve"> و</w:t>
            </w:r>
            <w:hyperlink r:id="rId14" w:history="1">
              <w:r w:rsidRPr="00257D61">
                <w:rPr>
                  <w:rStyle w:val="Hyperlink"/>
                  <w:i/>
                  <w:iCs/>
                  <w:noProof w:val="0"/>
                  <w:rtl/>
                  <w:lang w:val="en-US" w:eastAsia="zh-CN"/>
                </w:rPr>
                <w:t>1418</w:t>
              </w:r>
            </w:hyperlink>
            <w:r w:rsidRPr="00257D61">
              <w:rPr>
                <w:i/>
                <w:iCs/>
                <w:rtl/>
              </w:rPr>
              <w:t xml:space="preserve"> و</w:t>
            </w:r>
            <w:hyperlink r:id="rId15" w:history="1">
              <w:r w:rsidRPr="00257D61">
                <w:rPr>
                  <w:rStyle w:val="Hyperlink"/>
                  <w:i/>
                  <w:iCs/>
                  <w:noProof w:val="0"/>
                  <w:rtl/>
                  <w:lang w:val="en-US" w:eastAsia="zh-CN"/>
                </w:rPr>
                <w:t>1427</w:t>
              </w:r>
            </w:hyperlink>
            <w:r w:rsidRPr="00257D61">
              <w:rPr>
                <w:i/>
                <w:iCs/>
                <w:rtl/>
              </w:rPr>
              <w:t xml:space="preserve"> و</w:t>
            </w:r>
            <w:hyperlink r:id="rId16" w:history="1">
              <w:r w:rsidRPr="00257D61">
                <w:rPr>
                  <w:rStyle w:val="Hyperlink"/>
                  <w:i/>
                  <w:iCs/>
                  <w:noProof w:val="0"/>
                  <w:rtl/>
                  <w:lang w:val="en-US" w:eastAsia="zh-CN"/>
                </w:rPr>
                <w:t>1434</w:t>
              </w:r>
            </w:hyperlink>
            <w:r w:rsidRPr="00257D61">
              <w:rPr>
                <w:i/>
                <w:iCs/>
                <w:rtl/>
              </w:rPr>
              <w:t>؛</w:t>
            </w:r>
            <w:r>
              <w:rPr>
                <w:i/>
                <w:iCs/>
              </w:rPr>
              <w:t xml:space="preserve"> </w:t>
            </w:r>
            <w:r w:rsidRPr="00257D61">
              <w:rPr>
                <w:i/>
                <w:iCs/>
                <w:rtl/>
              </w:rPr>
              <w:t xml:space="preserve">وثائق المجلس </w:t>
            </w:r>
            <w:hyperlink r:id="rId17" w:history="1">
              <w:r w:rsidRPr="00257D61">
                <w:rPr>
                  <w:rStyle w:val="Hyperlink"/>
                  <w:i/>
                  <w:iCs/>
                  <w:noProof w:val="0"/>
                  <w:lang w:val="en-US" w:eastAsia="zh-CN"/>
                </w:rPr>
                <w:t>C23/34</w:t>
              </w:r>
            </w:hyperlink>
            <w:r w:rsidRPr="00257D61">
              <w:rPr>
                <w:i/>
                <w:iCs/>
                <w:rtl/>
              </w:rPr>
              <w:t xml:space="preserve"> و</w:t>
            </w:r>
            <w:hyperlink r:id="rId18" w:history="1">
              <w:r w:rsidRPr="00257D61">
                <w:rPr>
                  <w:rStyle w:val="Hyperlink"/>
                  <w:i/>
                  <w:iCs/>
                  <w:noProof w:val="0"/>
                  <w:lang w:val="en-US" w:eastAsia="zh-CN"/>
                </w:rPr>
                <w:t>C24/19</w:t>
              </w:r>
            </w:hyperlink>
            <w:r w:rsidRPr="00257D61">
              <w:rPr>
                <w:i/>
                <w:iCs/>
                <w:rtl/>
              </w:rPr>
              <w:t xml:space="preserve"> و</w:t>
            </w:r>
            <w:hyperlink r:id="rId19" w:history="1">
              <w:r w:rsidRPr="00257D61">
                <w:rPr>
                  <w:rStyle w:val="Hyperlink"/>
                  <w:i/>
                  <w:iCs/>
                  <w:noProof w:val="0"/>
                  <w:lang w:val="en-US" w:eastAsia="zh-CN"/>
                </w:rPr>
                <w:t>C24/34</w:t>
              </w:r>
            </w:hyperlink>
            <w:r w:rsidRPr="00257D61">
              <w:rPr>
                <w:i/>
                <w:iCs/>
                <w:rtl/>
              </w:rPr>
              <w:t xml:space="preserve"> و</w:t>
            </w:r>
            <w:hyperlink r:id="rId20" w:history="1">
              <w:r w:rsidRPr="00257D61">
                <w:rPr>
                  <w:rStyle w:val="Hyperlink"/>
                  <w:i/>
                  <w:iCs/>
                  <w:noProof w:val="0"/>
                  <w:lang w:val="en-US" w:eastAsia="zh-CN"/>
                </w:rPr>
                <w:t>C25/34</w:t>
              </w:r>
            </w:hyperlink>
            <w:r w:rsidRPr="00257D61">
              <w:rPr>
                <w:i/>
                <w:iCs/>
                <w:rtl/>
              </w:rPr>
              <w:t xml:space="preserve"> و</w:t>
            </w:r>
            <w:hyperlink r:id="rId21" w:history="1">
              <w:r w:rsidRPr="00257D61">
                <w:rPr>
                  <w:rStyle w:val="Hyperlink"/>
                  <w:i/>
                  <w:iCs/>
                  <w:noProof w:val="0"/>
                  <w:lang w:val="en-US" w:eastAsia="zh-CN"/>
                </w:rPr>
                <w:t>C25/43</w:t>
              </w:r>
            </w:hyperlink>
            <w:r w:rsidRPr="00257D61">
              <w:rPr>
                <w:i/>
                <w:iCs/>
                <w:rtl/>
              </w:rPr>
              <w:t xml:space="preserve"> و</w:t>
            </w:r>
            <w:hyperlink r:id="rId22" w:history="1">
              <w:r w:rsidRPr="00257D61">
                <w:rPr>
                  <w:rStyle w:val="Hyperlink"/>
                  <w:i/>
                  <w:iCs/>
                  <w:noProof w:val="0"/>
                  <w:lang w:val="en-US" w:eastAsia="zh-CN"/>
                </w:rPr>
                <w:t>C26/42</w:t>
              </w:r>
            </w:hyperlink>
            <w:r w:rsidRPr="00257D61">
              <w:rPr>
                <w:i/>
                <w:iCs/>
                <w:rtl/>
              </w:rPr>
              <w:t>؛</w:t>
            </w:r>
            <w:r w:rsidR="00C60709">
              <w:rPr>
                <w:rFonts w:hint="cs"/>
                <w:i/>
                <w:iCs/>
                <w:rtl/>
                <w:lang w:bidi="ar-EG"/>
              </w:rPr>
              <w:t xml:space="preserve"> </w:t>
            </w:r>
            <w:hyperlink r:id="rId23" w:history="1">
              <w:r w:rsidRPr="00257D61">
                <w:rPr>
                  <w:rStyle w:val="Hyperlink"/>
                  <w:i/>
                  <w:iCs/>
                  <w:noProof w:val="0"/>
                  <w:rtl/>
                  <w:lang w:val="en-US" w:eastAsia="zh-CN"/>
                </w:rPr>
                <w:t xml:space="preserve">الوثيقة </w:t>
              </w:r>
              <w:r w:rsidRPr="00257D61">
                <w:rPr>
                  <w:rStyle w:val="Hyperlink"/>
                  <w:i/>
                  <w:iCs/>
                  <w:noProof w:val="0"/>
                  <w:lang w:val="en-US" w:eastAsia="zh-CN"/>
                </w:rPr>
                <w:t>C26/INF/3</w:t>
              </w:r>
            </w:hyperlink>
            <w:r w:rsidRPr="00257D61">
              <w:rPr>
                <w:i/>
                <w:iCs/>
                <w:rtl/>
              </w:rPr>
              <w:t>.</w:t>
            </w:r>
          </w:p>
        </w:tc>
      </w:tr>
    </w:tbl>
    <w:p w14:paraId="21E79665" w14:textId="77777777" w:rsidR="00E61BE8" w:rsidRDefault="00E61BE8" w:rsidP="00E61BE8">
      <w:pPr>
        <w:rPr>
          <w:rtl/>
          <w:lang w:bidi="ar-EG"/>
        </w:rPr>
      </w:pPr>
    </w:p>
    <w:p w14:paraId="4C815763" w14:textId="77777777" w:rsidR="00F50E3F" w:rsidRDefault="00F50E3F" w:rsidP="0043260A">
      <w:pPr>
        <w:rPr>
          <w:rtl/>
          <w:lang w:bidi="ar-EG"/>
        </w:rPr>
      </w:pPr>
      <w:r>
        <w:rPr>
          <w:rtl/>
          <w:lang w:bidi="ar-EG"/>
        </w:rPr>
        <w:br w:type="page"/>
      </w:r>
    </w:p>
    <w:p w14:paraId="71D2429F" w14:textId="77777777" w:rsidR="00C623D7" w:rsidRDefault="00C623D7" w:rsidP="00C623D7">
      <w:pPr>
        <w:pStyle w:val="Heading1"/>
        <w:rPr>
          <w:rtl/>
          <w:lang w:bidi="ar-EG"/>
        </w:rPr>
      </w:pPr>
      <w:r>
        <w:rPr>
          <w:rtl/>
          <w:lang w:bidi="ar-EG"/>
        </w:rPr>
        <w:lastRenderedPageBreak/>
        <w:t>1</w:t>
      </w:r>
      <w:r>
        <w:rPr>
          <w:rtl/>
          <w:lang w:bidi="ar-EG"/>
        </w:rPr>
        <w:tab/>
        <w:t>مقدمة</w:t>
      </w:r>
    </w:p>
    <w:p w14:paraId="2A52B311" w14:textId="01CEC68B" w:rsidR="00C623D7" w:rsidRDefault="00C623D7" w:rsidP="00C623D7">
      <w:pPr>
        <w:rPr>
          <w:rtl/>
          <w:lang w:bidi="ar-EG"/>
        </w:rPr>
      </w:pPr>
      <w:r>
        <w:rPr>
          <w:lang w:bidi="ar-EG"/>
        </w:rPr>
        <w:t>1.1</w:t>
      </w:r>
      <w:r>
        <w:rPr>
          <w:lang w:bidi="ar-EG"/>
        </w:rPr>
        <w:tab/>
      </w:r>
      <w:r>
        <w:rPr>
          <w:rtl/>
          <w:lang w:bidi="ar-EG"/>
        </w:rPr>
        <w:t xml:space="preserve">أُطلق صندوق تنمية تكنولوجيا المعلومات والاتصالات </w:t>
      </w:r>
      <w:r>
        <w:rPr>
          <w:lang w:bidi="ar-EG"/>
        </w:rPr>
        <w:t>(</w:t>
      </w:r>
      <w:hyperlink r:id="rId24" w:history="1">
        <w:r w:rsidRPr="00541403">
          <w:rPr>
            <w:rStyle w:val="Hyperlink"/>
            <w:noProof w:val="0"/>
            <w:lang w:val="en-US" w:eastAsia="zh-CN" w:bidi="ar-EG"/>
          </w:rPr>
          <w:t>ICT-DF</w:t>
        </w:r>
      </w:hyperlink>
      <w:r>
        <w:rPr>
          <w:lang w:bidi="ar-EG"/>
        </w:rPr>
        <w:t>)</w:t>
      </w:r>
      <w:r>
        <w:rPr>
          <w:rtl/>
          <w:lang w:bidi="ar-EG"/>
        </w:rPr>
        <w:t xml:space="preserve"> في عام 1997 وهو يدعم تنفيذ مشاريع تقوم على شراكات لأصحاب المصلحة المتعددين مع الدول الأعضاء في الاتحاد وأعضاء القطاعات، والقطاعين العام والخاص، ومنظمات متعددة الأطراف ومؤسسات </w:t>
      </w:r>
      <w:r w:rsidR="00C60709">
        <w:rPr>
          <w:rtl/>
          <w:lang w:bidi="ar-EG"/>
        </w:rPr>
        <w:t xml:space="preserve">ومؤسسات </w:t>
      </w:r>
      <w:r>
        <w:rPr>
          <w:rtl/>
          <w:lang w:bidi="ar-EG"/>
        </w:rPr>
        <w:t>مالية ووكالات إنمائية.</w:t>
      </w:r>
    </w:p>
    <w:p w14:paraId="41AC5CD5" w14:textId="77777777" w:rsidR="00C623D7" w:rsidRDefault="00C623D7" w:rsidP="00C623D7">
      <w:pPr>
        <w:pStyle w:val="Heading1"/>
        <w:rPr>
          <w:rtl/>
          <w:lang w:bidi="ar-EG"/>
        </w:rPr>
      </w:pPr>
      <w:r>
        <w:rPr>
          <w:rtl/>
          <w:lang w:bidi="ar-EG"/>
        </w:rPr>
        <w:t>2</w:t>
      </w:r>
      <w:r>
        <w:rPr>
          <w:rtl/>
          <w:lang w:bidi="ar-EG"/>
        </w:rPr>
        <w:tab/>
        <w:t>القواعد والإجراءات الرئيسية لصندوق تنمية تكنولوجيا المعلومات والاتصالات</w:t>
      </w:r>
    </w:p>
    <w:p w14:paraId="0C722010" w14:textId="77777777" w:rsidR="00C623D7" w:rsidRPr="00541403" w:rsidRDefault="00C623D7" w:rsidP="00C623D7">
      <w:pPr>
        <w:rPr>
          <w:spacing w:val="-3"/>
          <w:rtl/>
          <w:lang w:bidi="ar-EG"/>
        </w:rPr>
      </w:pPr>
      <w:r w:rsidRPr="00541403">
        <w:rPr>
          <w:spacing w:val="-3"/>
          <w:lang w:bidi="ar-EG"/>
        </w:rPr>
        <w:t>1.2</w:t>
      </w:r>
      <w:r w:rsidRPr="00541403">
        <w:rPr>
          <w:spacing w:val="-3"/>
          <w:rtl/>
          <w:lang w:bidi="ar-EG"/>
        </w:rPr>
        <w:tab/>
        <w:t xml:space="preserve">من حيث المبدأ، يمول صندوق تنمية تكنولوجيا المعلومات والاتصالات ما يصل إلى 25 في المائة من مجموع المساهمات النقدية في </w:t>
      </w:r>
      <w:r>
        <w:rPr>
          <w:rFonts w:hint="cs"/>
          <w:spacing w:val="-3"/>
          <w:rtl/>
          <w:lang w:bidi="ar-EG"/>
        </w:rPr>
        <w:t>ال</w:t>
      </w:r>
      <w:r w:rsidRPr="00541403">
        <w:rPr>
          <w:spacing w:val="-3"/>
          <w:rtl/>
          <w:lang w:bidi="ar-EG"/>
        </w:rPr>
        <w:t>مشروع. وعلى أساس استثنائي، يمكن أن يمول صندوق تنمية تكنولوجيا المعلومات والاتصالات أكثر من 25 في المائة. ويهدف هذا التمويل الأولي المقدم من صندوق تنمية تكنولوجيا المعلومات والاتصالات إلى اجتذاب أموال من خارج الميزانية تُجمع من خلال تعبئة الموارد لتمويل المشاريع على الأصعدة الوطنية والإقليمية والمتعددة الأقاليم.</w:t>
      </w:r>
    </w:p>
    <w:p w14:paraId="1144C0A2" w14:textId="1E2C9AB3" w:rsidR="00C623D7" w:rsidRPr="009645B1" w:rsidRDefault="00C623D7" w:rsidP="00C623D7">
      <w:pPr>
        <w:rPr>
          <w:rtl/>
          <w:lang w:bidi="ar-EG"/>
        </w:rPr>
      </w:pPr>
      <w:r w:rsidRPr="009645B1">
        <w:rPr>
          <w:lang w:bidi="ar-EG"/>
        </w:rPr>
        <w:t>2.2</w:t>
      </w:r>
      <w:r w:rsidRPr="009645B1">
        <w:rPr>
          <w:rtl/>
          <w:lang w:bidi="ar-EG"/>
        </w:rPr>
        <w:tab/>
        <w:t>وتقدَّم مقترحات المشاريع لتنظر فيها اللجنة التوجيهية لصندوق تنمية تكنولوجيا المعلومات والاتصالات</w:t>
      </w:r>
      <w:r w:rsidR="00C60709">
        <w:rPr>
          <w:rFonts w:hint="cs"/>
          <w:rtl/>
          <w:lang w:bidi="ar-EG"/>
        </w:rPr>
        <w:t> </w:t>
      </w:r>
      <w:r w:rsidRPr="009645B1">
        <w:rPr>
          <w:lang w:bidi="ar-EG"/>
        </w:rPr>
        <w:t>(IC</w:t>
      </w:r>
      <w:r w:rsidRPr="009645B1">
        <w:rPr>
          <w:lang w:bidi="ar-EG"/>
        </w:rPr>
        <w:noBreakHyphen/>
        <w:t>DF SC)</w:t>
      </w:r>
      <w:r w:rsidR="00C60709" w:rsidRPr="009645B1">
        <w:rPr>
          <w:rStyle w:val="FootnoteReference"/>
          <w:rtl/>
          <w:lang w:bidi="ar-EG"/>
        </w:rPr>
        <w:footnoteReference w:id="1"/>
      </w:r>
      <w:r w:rsidRPr="009645B1">
        <w:rPr>
          <w:rtl/>
          <w:lang w:bidi="ar-EG"/>
        </w:rPr>
        <w:t>، وتقيَّم لضمان امتثالها لمعايير الاختيار والأهلية التالية، من بين أمور أخرى:</w:t>
      </w:r>
    </w:p>
    <w:p w14:paraId="159ED0E2" w14:textId="77777777" w:rsidR="00C623D7" w:rsidRDefault="00C623D7" w:rsidP="00C623D7">
      <w:pPr>
        <w:pStyle w:val="enumlev1"/>
        <w:rPr>
          <w:rtl/>
        </w:rPr>
      </w:pPr>
      <w:r>
        <w:rPr>
          <w:rtl/>
        </w:rPr>
        <w:t>–</w:t>
      </w:r>
      <w:r>
        <w:rPr>
          <w:rtl/>
        </w:rPr>
        <w:tab/>
        <w:t xml:space="preserve">يشمل المستفيد من المشروع بلداً واحداً أو أكثر من أقل البلدان نمواً </w:t>
      </w:r>
      <w:r>
        <w:t>(LDC)</w:t>
      </w:r>
      <w:r>
        <w:rPr>
          <w:rtl/>
        </w:rPr>
        <w:t xml:space="preserve"> والدول الجزرية الصغيرة النامية</w:t>
      </w:r>
      <w:r>
        <w:rPr>
          <w:rFonts w:hint="eastAsia"/>
          <w:rtl/>
          <w:lang w:bidi="ar-SA"/>
        </w:rPr>
        <w:t> </w:t>
      </w:r>
      <w:r>
        <w:rPr>
          <w:rtl/>
        </w:rPr>
        <w:t>(</w:t>
      </w:r>
      <w:r>
        <w:t>SIDS</w:t>
      </w:r>
      <w:r>
        <w:rPr>
          <w:rtl/>
        </w:rPr>
        <w:t>) والبلدان النامية المحاطة باليابسة (</w:t>
      </w:r>
      <w:r>
        <w:t>LLDC</w:t>
      </w:r>
      <w:r>
        <w:rPr>
          <w:rtl/>
        </w:rPr>
        <w:t>) والبلدان التي تمر اقتصاداتها بمرحلة انتقالية والبلدان ذات الاحتياجات الخاصة.</w:t>
      </w:r>
    </w:p>
    <w:p w14:paraId="08C03344" w14:textId="77777777" w:rsidR="00C623D7" w:rsidRPr="00F43BF9" w:rsidRDefault="00C623D7" w:rsidP="00C623D7">
      <w:pPr>
        <w:pStyle w:val="enumlev1"/>
        <w:rPr>
          <w:spacing w:val="-4"/>
          <w:rtl/>
        </w:rPr>
      </w:pPr>
      <w:r w:rsidRPr="00F43BF9">
        <w:rPr>
          <w:spacing w:val="-4"/>
          <w:rtl/>
        </w:rPr>
        <w:t>–</w:t>
      </w:r>
      <w:r w:rsidRPr="00F43BF9">
        <w:rPr>
          <w:spacing w:val="-4"/>
          <w:rtl/>
        </w:rPr>
        <w:tab/>
        <w:t xml:space="preserve">يندرج المشروع ضمن إحدى الفئات/المواضيع التي يعتمدها المؤتمر العالمي لتنمية الاتصالات </w:t>
      </w:r>
      <w:r w:rsidRPr="00F43BF9">
        <w:rPr>
          <w:spacing w:val="-4"/>
        </w:rPr>
        <w:t>(WTDC)</w:t>
      </w:r>
      <w:r w:rsidRPr="00F43BF9">
        <w:rPr>
          <w:spacing w:val="-4"/>
          <w:rtl/>
        </w:rPr>
        <w:t xml:space="preserve"> أو أي مواضيع أخرى تعتبرها مهمة اللجنة التوجيهية لصندوق تنمية تكنولوجيا المعلومات والاتصالات </w:t>
      </w:r>
      <w:r w:rsidRPr="00F43BF9">
        <w:rPr>
          <w:spacing w:val="-4"/>
        </w:rPr>
        <w:t>(ICT-DF SC)</w:t>
      </w:r>
      <w:r w:rsidRPr="00F43BF9">
        <w:rPr>
          <w:spacing w:val="-4"/>
          <w:rtl/>
        </w:rPr>
        <w:t>.</w:t>
      </w:r>
    </w:p>
    <w:p w14:paraId="507B5DEA" w14:textId="77777777" w:rsidR="00C623D7" w:rsidRDefault="00C623D7" w:rsidP="00C623D7">
      <w:pPr>
        <w:pStyle w:val="enumlev1"/>
        <w:rPr>
          <w:rtl/>
        </w:rPr>
      </w:pPr>
      <w:r>
        <w:rPr>
          <w:rtl/>
        </w:rPr>
        <w:t>–</w:t>
      </w:r>
      <w:r>
        <w:rPr>
          <w:rtl/>
        </w:rPr>
        <w:tab/>
        <w:t>يجب أن تُدعم المقترحات بمساهمات الشركاء النقدية.</w:t>
      </w:r>
    </w:p>
    <w:p w14:paraId="27CECC46" w14:textId="77777777" w:rsidR="00C623D7" w:rsidRDefault="00C623D7" w:rsidP="00C623D7">
      <w:pPr>
        <w:rPr>
          <w:rtl/>
          <w:lang w:bidi="ar-EG"/>
        </w:rPr>
      </w:pPr>
      <w:r>
        <w:rPr>
          <w:lang w:bidi="ar-EG"/>
        </w:rPr>
        <w:t>3.2</w:t>
      </w:r>
      <w:r>
        <w:rPr>
          <w:rtl/>
          <w:lang w:bidi="ar-EG"/>
        </w:rPr>
        <w:tab/>
        <w:t>واللجنة التوجيهية لصندوق تنمية تكنولوجيا المعلومات والاتصالات (</w:t>
      </w:r>
      <w:r>
        <w:rPr>
          <w:lang w:bidi="ar-EG"/>
        </w:rPr>
        <w:t>ICT-DF SC</w:t>
      </w:r>
      <w:r>
        <w:rPr>
          <w:rtl/>
          <w:lang w:bidi="ar-EG"/>
        </w:rPr>
        <w:t xml:space="preserve">): </w:t>
      </w:r>
      <w:proofErr w:type="gramStart"/>
      <w:r>
        <w:rPr>
          <w:rtl/>
          <w:lang w:bidi="ar-EG"/>
        </w:rPr>
        <w:t>أ</w:t>
      </w:r>
      <w:r>
        <w:rPr>
          <w:rFonts w:hint="eastAsia"/>
          <w:rtl/>
        </w:rPr>
        <w:t> </w:t>
      </w:r>
      <w:r>
        <w:rPr>
          <w:rtl/>
          <w:lang w:bidi="ar-EG"/>
        </w:rPr>
        <w:t>)</w:t>
      </w:r>
      <w:proofErr w:type="gramEnd"/>
      <w:r>
        <w:rPr>
          <w:rtl/>
          <w:lang w:bidi="ar-EG"/>
        </w:rPr>
        <w:t xml:space="preserve"> تستعرض مشاريع صندوق تنمية تكنولوجيا المعلومات والاتصالات المقدمة وتوافق عليها؛ ب) توافق على مبلغ التمويل الذي سيخصص لمشاريع صندوق تنمية تكنولوجيا المعلومات والاتصالات؛ ج) تراقب تنفيذ مشاريع صندوق تنمية تكنولوجيا المعلومات والاتصالات هذه وأداء ميزانيتها.</w:t>
      </w:r>
    </w:p>
    <w:p w14:paraId="437F7358" w14:textId="77777777" w:rsidR="00C623D7" w:rsidRDefault="00C623D7" w:rsidP="00C623D7">
      <w:pPr>
        <w:rPr>
          <w:rtl/>
          <w:lang w:bidi="ar-EG"/>
        </w:rPr>
      </w:pPr>
      <w:r>
        <w:rPr>
          <w:lang w:bidi="ar-EG"/>
        </w:rPr>
        <w:t>4.2</w:t>
      </w:r>
      <w:r>
        <w:rPr>
          <w:rtl/>
          <w:lang w:bidi="ar-EG"/>
        </w:rPr>
        <w:tab/>
        <w:t xml:space="preserve">وبعد الموافقة على </w:t>
      </w:r>
      <w:hyperlink r:id="rId25" w:history="1">
        <w:r w:rsidRPr="00541403">
          <w:rPr>
            <w:rStyle w:val="Hyperlink"/>
            <w:noProof w:val="0"/>
            <w:rtl/>
            <w:lang w:val="en-US" w:eastAsia="zh-CN" w:bidi="ar-EG"/>
          </w:rPr>
          <w:t>القرار 1418</w:t>
        </w:r>
      </w:hyperlink>
      <w:r>
        <w:rPr>
          <w:rtl/>
          <w:lang w:bidi="ar-EG"/>
        </w:rPr>
        <w:t xml:space="preserve"> في دورة المجلس لعام 2023 بتحويل 3 ملايين فرنك سويسري من صندوق رأس المال العامل للمعارض (</w:t>
      </w:r>
      <w:r>
        <w:rPr>
          <w:lang w:bidi="ar-EG"/>
        </w:rPr>
        <w:t>EWCF</w:t>
      </w:r>
      <w:r>
        <w:rPr>
          <w:rtl/>
          <w:lang w:bidi="ar-EG"/>
        </w:rPr>
        <w:t>) إلى حساب رأس مال صندوق تنمية تكنولوجيا المعلومات والاتصالات بغية زيادة دعم هذا الصندوق للمبادرات الإقليمية</w:t>
      </w:r>
      <w:r>
        <w:rPr>
          <w:rFonts w:hint="cs"/>
          <w:rtl/>
          <w:lang w:bidi="ar-EG"/>
        </w:rPr>
        <w:t xml:space="preserve"> </w:t>
      </w:r>
      <w:r>
        <w:rPr>
          <w:lang w:bidi="ar-EG"/>
        </w:rPr>
        <w:t>(RI)</w:t>
      </w:r>
      <w:r>
        <w:rPr>
          <w:rtl/>
          <w:lang w:bidi="ar-EG"/>
        </w:rPr>
        <w:t xml:space="preserve"> التابعة للمؤتمر العالمي لتنمية الاتصالات، نفذت اللجنة التوجيهية لصندوق تنمية تكنولوجيا المعلومات والاتصالات (</w:t>
      </w:r>
      <w:r>
        <w:rPr>
          <w:lang w:bidi="ar-EG"/>
        </w:rPr>
        <w:t>ICT-DF SC</w:t>
      </w:r>
      <w:r>
        <w:rPr>
          <w:rtl/>
          <w:lang w:bidi="ar-EG"/>
        </w:rPr>
        <w:t>) تعليمات المجلس واتفقت، من حيث المبدأ، على إمكانية مراعاة مقترحات مشاريع المبادرات الإقليمية في التمويل المشترك للصندوق، لما يصل حتى 50 في المائة.</w:t>
      </w:r>
    </w:p>
    <w:p w14:paraId="0B78CF9D" w14:textId="77777777" w:rsidR="00C623D7" w:rsidRDefault="00C623D7" w:rsidP="00C623D7">
      <w:pPr>
        <w:pStyle w:val="Heading1"/>
        <w:rPr>
          <w:rtl/>
          <w:lang w:bidi="ar-EG"/>
        </w:rPr>
      </w:pPr>
      <w:r>
        <w:rPr>
          <w:lang w:bidi="ar-EG"/>
        </w:rPr>
        <w:t>3</w:t>
      </w:r>
      <w:r>
        <w:rPr>
          <w:rtl/>
          <w:lang w:bidi="ar-EG"/>
        </w:rPr>
        <w:tab/>
        <w:t>التقدم المحرز في صندوق تنمية تكنولوجيا المعلومات والاتصالات</w:t>
      </w:r>
    </w:p>
    <w:p w14:paraId="34C168F1" w14:textId="77777777" w:rsidR="00C623D7" w:rsidRDefault="00C623D7" w:rsidP="00C623D7">
      <w:pPr>
        <w:rPr>
          <w:rtl/>
          <w:lang w:bidi="ar-EG"/>
        </w:rPr>
      </w:pPr>
      <w:r>
        <w:rPr>
          <w:lang w:bidi="ar-EG"/>
        </w:rPr>
        <w:t>1.3</w:t>
      </w:r>
      <w:r>
        <w:rPr>
          <w:rtl/>
          <w:lang w:bidi="ar-EG"/>
        </w:rPr>
        <w:tab/>
        <w:t xml:space="preserve">تتاح عبر الرابط </w:t>
      </w:r>
      <w:hyperlink r:id="rId26" w:anchor="/ar" w:history="1">
        <w:r>
          <w:rPr>
            <w:rStyle w:val="Hyperlink"/>
            <w:noProof w:val="0"/>
            <w:lang w:val="en-US" w:eastAsia="zh-CN" w:bidi="ar-EG"/>
          </w:rPr>
          <w:t>www.itu.int/ITU-D/Projects</w:t>
        </w:r>
      </w:hyperlink>
      <w:r>
        <w:rPr>
          <w:rFonts w:hint="cs"/>
          <w:rtl/>
          <w:lang w:bidi="ar-EG"/>
        </w:rPr>
        <w:t xml:space="preserve"> </w:t>
      </w:r>
      <w:r>
        <w:rPr>
          <w:rtl/>
          <w:lang w:bidi="ar-EG"/>
        </w:rPr>
        <w:t xml:space="preserve">صفحة إلكترونية إعلامية عن صندوق تنمية تكنولوجيا المعلومات والاتصالات والمشاريع الأخرى التي يمكن البحث عنها بحسب البلد والمنطقة ومجالات العمل وحالة المشاريع (المستمرة والمنفَّذة). وحتى 31 يناير 2026، كان هناك 26 مشروعاً جارياً لصندوق تنمية تكنولوجيا المعلومات والاتصالات (ترد هذه المشاريع في الوثيقة </w:t>
      </w:r>
      <w:hyperlink r:id="rId27" w:history="1">
        <w:r w:rsidRPr="00541403">
          <w:rPr>
            <w:rStyle w:val="Hyperlink"/>
            <w:noProof w:val="0"/>
            <w:lang w:val="en-US" w:eastAsia="zh-CN" w:bidi="ar-EG"/>
          </w:rPr>
          <w:t>C26/INF/3</w:t>
        </w:r>
      </w:hyperlink>
      <w:r>
        <w:rPr>
          <w:rtl/>
          <w:lang w:bidi="ar-EG"/>
        </w:rPr>
        <w:t>). ويبين الشكل 1 أدناه توزيعها بحسب المنطقة.</w:t>
      </w:r>
    </w:p>
    <w:p w14:paraId="7AE3B426" w14:textId="77777777" w:rsidR="00C623D7" w:rsidRDefault="00C623D7" w:rsidP="00C623D7">
      <w:pPr>
        <w:pStyle w:val="FigureNo"/>
        <w:rPr>
          <w:rtl/>
        </w:rPr>
      </w:pPr>
      <w:r>
        <w:rPr>
          <w:rtl/>
        </w:rPr>
        <w:lastRenderedPageBreak/>
        <w:t>الشكل 1</w:t>
      </w:r>
    </w:p>
    <w:p w14:paraId="0C830467" w14:textId="77777777" w:rsidR="00C623D7" w:rsidRDefault="00C623D7" w:rsidP="00C623D7">
      <w:pPr>
        <w:pStyle w:val="Figuretitle"/>
        <w:rPr>
          <w:rtl/>
          <w:lang w:bidi="ar-EG"/>
        </w:rPr>
      </w:pPr>
      <w:r>
        <w:rPr>
          <w:rtl/>
          <w:lang w:bidi="ar-EG"/>
        </w:rPr>
        <w:t>المشاريع الجارية الممولة من صندوق تنمية تكنولوجيا المعلومات والاتصالات</w:t>
      </w:r>
      <w:r>
        <w:rPr>
          <w:lang w:bidi="ar-EG"/>
        </w:rPr>
        <w:br/>
      </w:r>
      <w:r>
        <w:rPr>
          <w:rtl/>
          <w:lang w:bidi="ar-EG"/>
        </w:rPr>
        <w:t>(يناير 2026)</w:t>
      </w:r>
    </w:p>
    <w:p w14:paraId="194C9ACB" w14:textId="7FEA27F8" w:rsidR="00C623D7" w:rsidRDefault="00C60709" w:rsidP="00C623D7">
      <w:pPr>
        <w:pStyle w:val="Figure"/>
        <w:rPr>
          <w:rtl/>
        </w:rPr>
      </w:pPr>
      <w:r>
        <w:rPr>
          <w:noProof/>
        </w:rPr>
        <w:drawing>
          <wp:inline distT="0" distB="0" distL="0" distR="0" wp14:anchorId="614C38FA" wp14:editId="28C20D10">
            <wp:extent cx="2254571" cy="18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54571" cy="1800000"/>
                    </a:xfrm>
                    <a:prstGeom prst="rect">
                      <a:avLst/>
                    </a:prstGeom>
                    <a:noFill/>
                  </pic:spPr>
                </pic:pic>
              </a:graphicData>
            </a:graphic>
          </wp:inline>
        </w:drawing>
      </w:r>
    </w:p>
    <w:p w14:paraId="2ADB1A24" w14:textId="2E4E0027" w:rsidR="00C623D7" w:rsidRDefault="00C623D7" w:rsidP="00C623D7">
      <w:pPr>
        <w:rPr>
          <w:rtl/>
          <w:lang w:bidi="ar-EG"/>
        </w:rPr>
      </w:pPr>
      <w:r>
        <w:rPr>
          <w:lang w:bidi="ar-EG"/>
        </w:rPr>
        <w:t>2.3</w:t>
      </w:r>
      <w:r>
        <w:rPr>
          <w:rtl/>
          <w:lang w:bidi="ar-EG"/>
        </w:rPr>
        <w:tab/>
        <w:t xml:space="preserve">ومنذ عام 2016، تلقى ما مجموعه 37 مشروعاً تمويلاً من صندوق تنمية تكنولوجيا المعلومات والاتصالات. ويعرض الشكل 2 حالة هذه المشاريع، في حين يعرض الشكل 3 ترتيبات التمويل. ويبين الشكل 4 توزيع </w:t>
      </w:r>
      <w:r w:rsidR="00C60709">
        <w:rPr>
          <w:rFonts w:hint="cs"/>
          <w:rtl/>
          <w:lang w:bidi="ar-EG"/>
        </w:rPr>
        <w:t xml:space="preserve">تمويل </w:t>
      </w:r>
      <w:r>
        <w:rPr>
          <w:rtl/>
          <w:lang w:bidi="ar-EG"/>
        </w:rPr>
        <w:t>المشاريع بحسب المنطقة. وتبين هذه الأرقام أهمية صندوق تنمية تكنولوجيا المعلومات والاتصالات كأداة رئيسية لدعم جهود الاتحاد في جمع أموال المشاريع. وتُحدَّد المساهمات النقدية الخارجية أيضاً حسب أولويات الشركاء الممولين، وقد حُدِّدت المخصصات من صندوق تنمية تكنولوجيا المعلومات والاتصالات تماشياً مع الأموال الخارجية المتاحة للمشاركة في</w:t>
      </w:r>
      <w:r>
        <w:rPr>
          <w:rFonts w:hint="eastAsia"/>
          <w:rtl/>
        </w:rPr>
        <w:t> </w:t>
      </w:r>
      <w:r>
        <w:rPr>
          <w:rtl/>
          <w:lang w:bidi="ar-EG"/>
        </w:rPr>
        <w:t>تمويل المشاريع.</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535"/>
      </w:tblGrid>
      <w:tr w:rsidR="00C623D7" w14:paraId="401ABC83" w14:textId="77777777" w:rsidTr="00745BBF">
        <w:trPr>
          <w:jc w:val="center"/>
        </w:trPr>
        <w:tc>
          <w:tcPr>
            <w:tcW w:w="4536" w:type="dxa"/>
          </w:tcPr>
          <w:p w14:paraId="328699FE" w14:textId="77777777" w:rsidR="00C623D7" w:rsidRDefault="00C623D7" w:rsidP="00745BBF">
            <w:pPr>
              <w:pStyle w:val="FigureNo"/>
              <w:rPr>
                <w:rtl/>
              </w:rPr>
            </w:pPr>
            <w:r>
              <w:rPr>
                <w:rtl/>
              </w:rPr>
              <w:t>الشكل 2</w:t>
            </w:r>
          </w:p>
          <w:p w14:paraId="70CE609D" w14:textId="01689B62" w:rsidR="00C623D7" w:rsidRDefault="00C623D7" w:rsidP="00745BBF">
            <w:pPr>
              <w:pStyle w:val="Figuretitle"/>
              <w:rPr>
                <w:rtl/>
                <w:lang w:bidi="ar-EG"/>
              </w:rPr>
            </w:pPr>
            <w:r>
              <w:rPr>
                <w:rtl/>
                <w:lang w:bidi="ar-EG"/>
              </w:rPr>
              <w:t>لمحة عن المشاريع الممولة من صندوق تنمية تكنولوجيا المعلومات والاتصالات</w:t>
            </w:r>
            <w:r>
              <w:rPr>
                <w:lang w:bidi="ar-EG"/>
              </w:rPr>
              <w:br/>
            </w:r>
            <w:r>
              <w:rPr>
                <w:rtl/>
                <w:lang w:bidi="ar-EG"/>
              </w:rPr>
              <w:t>(2016</w:t>
            </w:r>
            <w:r w:rsidR="00C60709">
              <w:rPr>
                <w:rFonts w:hint="cs"/>
                <w:rtl/>
                <w:lang w:bidi="ar-EG"/>
              </w:rPr>
              <w:t xml:space="preserve"> </w:t>
            </w:r>
            <w:r>
              <w:rPr>
                <w:rtl/>
                <w:lang w:bidi="ar-EG"/>
              </w:rPr>
              <w:t>- يناير 2026)</w:t>
            </w:r>
          </w:p>
        </w:tc>
        <w:tc>
          <w:tcPr>
            <w:tcW w:w="4535" w:type="dxa"/>
          </w:tcPr>
          <w:p w14:paraId="385D61D8" w14:textId="77777777" w:rsidR="00C623D7" w:rsidRDefault="00C623D7" w:rsidP="00745BBF">
            <w:pPr>
              <w:pStyle w:val="FigureNo"/>
              <w:rPr>
                <w:rtl/>
              </w:rPr>
            </w:pPr>
            <w:r>
              <w:rPr>
                <w:rtl/>
              </w:rPr>
              <w:t>الشكل 3</w:t>
            </w:r>
          </w:p>
          <w:p w14:paraId="717F6A37" w14:textId="77777777" w:rsidR="00C623D7" w:rsidRDefault="00C623D7" w:rsidP="00745BBF">
            <w:pPr>
              <w:pStyle w:val="Figuretitle"/>
              <w:rPr>
                <w:lang w:bidi="ar-EG"/>
              </w:rPr>
            </w:pPr>
            <w:r>
              <w:rPr>
                <w:rtl/>
                <w:lang w:bidi="ar-EG"/>
              </w:rPr>
              <w:t>التمويل الذي أتاحه صندوق تنمية تكنولوجيا المعلومات والاتصالات</w:t>
            </w:r>
            <w:r>
              <w:rPr>
                <w:lang w:bidi="ar-EG"/>
              </w:rPr>
              <w:br/>
            </w:r>
            <w:r>
              <w:rPr>
                <w:rtl/>
                <w:lang w:bidi="ar-EG"/>
              </w:rPr>
              <w:t>(2016 - يناير 2026)</w:t>
            </w:r>
          </w:p>
        </w:tc>
      </w:tr>
      <w:tr w:rsidR="00C623D7" w14:paraId="52862E5D" w14:textId="77777777" w:rsidTr="00745BBF">
        <w:trPr>
          <w:jc w:val="center"/>
        </w:trPr>
        <w:tc>
          <w:tcPr>
            <w:tcW w:w="4536" w:type="dxa"/>
          </w:tcPr>
          <w:p w14:paraId="5CBEC33B" w14:textId="7746E6D8" w:rsidR="00C623D7" w:rsidRDefault="00C60709" w:rsidP="00745BBF">
            <w:pPr>
              <w:pStyle w:val="Figure"/>
              <w:rPr>
                <w:rtl/>
              </w:rPr>
            </w:pPr>
            <w:r>
              <w:rPr>
                <w:noProof/>
              </w:rPr>
              <w:drawing>
                <wp:inline distT="0" distB="0" distL="0" distR="0" wp14:anchorId="70310E65" wp14:editId="1A040F0C">
                  <wp:extent cx="2816547" cy="1650231"/>
                  <wp:effectExtent l="0" t="0" r="317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29785" cy="1657987"/>
                          </a:xfrm>
                          <a:prstGeom prst="rect">
                            <a:avLst/>
                          </a:prstGeom>
                          <a:noFill/>
                        </pic:spPr>
                      </pic:pic>
                    </a:graphicData>
                  </a:graphic>
                </wp:inline>
              </w:drawing>
            </w:r>
          </w:p>
        </w:tc>
        <w:tc>
          <w:tcPr>
            <w:tcW w:w="4535" w:type="dxa"/>
          </w:tcPr>
          <w:p w14:paraId="1D549FE1" w14:textId="592F46E3" w:rsidR="00C623D7" w:rsidRDefault="00C60709" w:rsidP="00745BBF">
            <w:pPr>
              <w:pStyle w:val="Figure"/>
              <w:rPr>
                <w:rtl/>
              </w:rPr>
            </w:pPr>
            <w:r>
              <w:rPr>
                <w:noProof/>
              </w:rPr>
              <w:drawing>
                <wp:inline distT="0" distB="0" distL="0" distR="0" wp14:anchorId="4DBA70C6" wp14:editId="22D2B462">
                  <wp:extent cx="2855667" cy="1643269"/>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66045" cy="1649241"/>
                          </a:xfrm>
                          <a:prstGeom prst="rect">
                            <a:avLst/>
                          </a:prstGeom>
                          <a:noFill/>
                        </pic:spPr>
                      </pic:pic>
                    </a:graphicData>
                  </a:graphic>
                </wp:inline>
              </w:drawing>
            </w:r>
          </w:p>
        </w:tc>
      </w:tr>
    </w:tbl>
    <w:p w14:paraId="00AD8566" w14:textId="77777777" w:rsidR="00C623D7" w:rsidRDefault="00C623D7" w:rsidP="00C623D7">
      <w:pPr>
        <w:pStyle w:val="FigureNo"/>
        <w:rPr>
          <w:rtl/>
        </w:rPr>
      </w:pPr>
      <w:r>
        <w:rPr>
          <w:rtl/>
        </w:rPr>
        <w:lastRenderedPageBreak/>
        <w:t>الشكل 4</w:t>
      </w:r>
    </w:p>
    <w:p w14:paraId="1BE344D7" w14:textId="77777777" w:rsidR="00C623D7" w:rsidRDefault="00C623D7" w:rsidP="00C623D7">
      <w:pPr>
        <w:pStyle w:val="Figuretitle"/>
        <w:rPr>
          <w:rtl/>
          <w:lang w:bidi="ar-EG"/>
        </w:rPr>
      </w:pPr>
      <w:r>
        <w:rPr>
          <w:rtl/>
          <w:lang w:bidi="ar-EG"/>
        </w:rPr>
        <w:t>قيمة المشاريع الجارية لصندوق تنمية تكنولوجيا المعلومات والاتصالات بحسب المنطقة</w:t>
      </w:r>
    </w:p>
    <w:p w14:paraId="78D4BB14" w14:textId="578DA3AD" w:rsidR="00C623D7" w:rsidRDefault="00730035" w:rsidP="00C623D7">
      <w:pPr>
        <w:pStyle w:val="Figure"/>
      </w:pPr>
      <w:r>
        <w:rPr>
          <w:noProof/>
        </w:rPr>
        <w:drawing>
          <wp:inline distT="0" distB="0" distL="0" distR="0" wp14:anchorId="1E8149A8" wp14:editId="3767960E">
            <wp:extent cx="5760000" cy="282664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000" cy="2826649"/>
                    </a:xfrm>
                    <a:prstGeom prst="rect">
                      <a:avLst/>
                    </a:prstGeom>
                    <a:noFill/>
                  </pic:spPr>
                </pic:pic>
              </a:graphicData>
            </a:graphic>
          </wp:inline>
        </w:drawing>
      </w:r>
    </w:p>
    <w:p w14:paraId="1419E4D8" w14:textId="35D1E458" w:rsidR="00C623D7" w:rsidRDefault="00C623D7" w:rsidP="00C623D7">
      <w:pPr>
        <w:rPr>
          <w:rtl/>
          <w:lang w:bidi="ar-EG"/>
        </w:rPr>
      </w:pPr>
      <w:r>
        <w:rPr>
          <w:lang w:bidi="ar-EG"/>
        </w:rPr>
        <w:t>3.3</w:t>
      </w:r>
      <w:r>
        <w:rPr>
          <w:lang w:bidi="ar-EG"/>
        </w:rPr>
        <w:tab/>
      </w:r>
      <w:r>
        <w:rPr>
          <w:rtl/>
          <w:lang w:bidi="ar-EG"/>
        </w:rPr>
        <w:t xml:space="preserve">وفي عام 2025، تمت الموافقة على تمويل اثني عشر (12) مشروعاً جديداً من صندوق تنمية تكنولوجيا المعلومات والاتصالات. وتم التوقيع على ثمانية (8) مشاريع حتى الآن وهي مبينة في الوثيقة </w:t>
      </w:r>
      <w:hyperlink r:id="rId32" w:history="1">
        <w:r w:rsidRPr="00C929E7">
          <w:rPr>
            <w:rStyle w:val="Hyperlink"/>
            <w:noProof w:val="0"/>
            <w:lang w:val="en-US" w:eastAsia="zh-CN" w:bidi="ar-EG"/>
          </w:rPr>
          <w:t>C26/INF/3</w:t>
        </w:r>
      </w:hyperlink>
      <w:r>
        <w:rPr>
          <w:rtl/>
          <w:lang w:bidi="ar-EG"/>
        </w:rPr>
        <w:t>. ويوشك التوقيع على المشاريع الأربعة (4) المتبقية (مدرجة في الجدول 1 أدناه).</w:t>
      </w:r>
    </w:p>
    <w:p w14:paraId="406CE3FF" w14:textId="77777777" w:rsidR="00C623D7" w:rsidRDefault="00C623D7" w:rsidP="00C623D7">
      <w:pPr>
        <w:pStyle w:val="TableNo"/>
        <w:rPr>
          <w:rtl/>
        </w:rPr>
      </w:pPr>
      <w:r>
        <w:rPr>
          <w:rtl/>
        </w:rPr>
        <w:t>الجدول 1</w:t>
      </w:r>
    </w:p>
    <w:p w14:paraId="2C7389F3" w14:textId="0D6C8ECD" w:rsidR="00C623D7" w:rsidRPr="00E419EA" w:rsidRDefault="00C623D7" w:rsidP="00C623D7">
      <w:pPr>
        <w:pStyle w:val="Tabletitle"/>
        <w:rPr>
          <w:spacing w:val="-4"/>
          <w:rtl/>
        </w:rPr>
      </w:pPr>
      <w:r w:rsidRPr="00E419EA">
        <w:rPr>
          <w:spacing w:val="-4"/>
          <w:rtl/>
        </w:rPr>
        <w:t xml:space="preserve">المشاريع المعتمدة لنيل التمويل المشترك </w:t>
      </w:r>
      <w:r w:rsidR="00730035">
        <w:rPr>
          <w:spacing w:val="-4"/>
          <w:rtl/>
        </w:rPr>
        <w:br/>
      </w:r>
      <w:r w:rsidRPr="00E419EA">
        <w:rPr>
          <w:spacing w:val="-4"/>
          <w:rtl/>
        </w:rPr>
        <w:t xml:space="preserve">من صندوق </w:t>
      </w:r>
      <w:r w:rsidR="00730035">
        <w:rPr>
          <w:rFonts w:hint="cs"/>
          <w:spacing w:val="-4"/>
          <w:rtl/>
        </w:rPr>
        <w:t xml:space="preserve">تنمية </w:t>
      </w:r>
      <w:r w:rsidRPr="00E419EA">
        <w:rPr>
          <w:spacing w:val="-4"/>
          <w:rtl/>
        </w:rPr>
        <w:t>تكنولوجيا المعلومات والاتصالات لعام 2025 بانتظار التوقيع</w:t>
      </w:r>
    </w:p>
    <w:tbl>
      <w:tblPr>
        <w:tblStyle w:val="TableGrid"/>
        <w:bidiVisual/>
        <w:tblW w:w="5000" w:type="pct"/>
        <w:jc w:val="center"/>
        <w:tblLook w:val="04A0" w:firstRow="1" w:lastRow="0" w:firstColumn="1" w:lastColumn="0" w:noHBand="0" w:noVBand="1"/>
      </w:tblPr>
      <w:tblGrid>
        <w:gridCol w:w="2828"/>
        <w:gridCol w:w="2268"/>
        <w:gridCol w:w="1984"/>
        <w:gridCol w:w="1981"/>
      </w:tblGrid>
      <w:tr w:rsidR="00C623D7" w:rsidRPr="00E419EA" w14:paraId="3FE898DD" w14:textId="77777777" w:rsidTr="00745BBF">
        <w:trPr>
          <w:jc w:val="center"/>
        </w:trPr>
        <w:tc>
          <w:tcPr>
            <w:tcW w:w="2828" w:type="dxa"/>
          </w:tcPr>
          <w:p w14:paraId="678000B9" w14:textId="77777777" w:rsidR="00C623D7" w:rsidRPr="00E419EA" w:rsidRDefault="00C623D7" w:rsidP="00745BBF">
            <w:pPr>
              <w:pStyle w:val="Tablehead"/>
              <w:rPr>
                <w:position w:val="2"/>
                <w:rtl/>
                <w:lang w:bidi="ar-EG"/>
              </w:rPr>
            </w:pPr>
            <w:r w:rsidRPr="00E419EA">
              <w:rPr>
                <w:position w:val="2"/>
                <w:rtl/>
                <w:lang w:bidi="ar-EG"/>
              </w:rPr>
              <w:t>العنوان</w:t>
            </w:r>
          </w:p>
        </w:tc>
        <w:tc>
          <w:tcPr>
            <w:tcW w:w="2268" w:type="dxa"/>
          </w:tcPr>
          <w:p w14:paraId="34A8A40E" w14:textId="77777777" w:rsidR="00C623D7" w:rsidRPr="00E419EA" w:rsidRDefault="00C623D7" w:rsidP="00745BBF">
            <w:pPr>
              <w:pStyle w:val="Tablehead"/>
              <w:rPr>
                <w:position w:val="2"/>
                <w:rtl/>
                <w:lang w:bidi="ar-EG"/>
              </w:rPr>
            </w:pPr>
            <w:r w:rsidRPr="00E419EA">
              <w:rPr>
                <w:position w:val="2"/>
                <w:rtl/>
                <w:lang w:bidi="ar-EG"/>
              </w:rPr>
              <w:t>الشريك</w:t>
            </w:r>
          </w:p>
        </w:tc>
        <w:tc>
          <w:tcPr>
            <w:tcW w:w="1984" w:type="dxa"/>
          </w:tcPr>
          <w:p w14:paraId="44AA87AD" w14:textId="77777777" w:rsidR="00C623D7" w:rsidRPr="00E419EA" w:rsidRDefault="00C623D7" w:rsidP="00745BBF">
            <w:pPr>
              <w:pStyle w:val="Tablehead"/>
              <w:rPr>
                <w:position w:val="2"/>
                <w:rtl/>
                <w:lang w:bidi="ar-EG"/>
              </w:rPr>
            </w:pPr>
            <w:r w:rsidRPr="00E419EA">
              <w:rPr>
                <w:position w:val="2"/>
                <w:rtl/>
                <w:lang w:bidi="ar-EG"/>
              </w:rPr>
              <w:t>أموال الشركاء</w:t>
            </w:r>
          </w:p>
        </w:tc>
        <w:tc>
          <w:tcPr>
            <w:tcW w:w="1981" w:type="dxa"/>
          </w:tcPr>
          <w:p w14:paraId="5D23C27A" w14:textId="77777777" w:rsidR="00C623D7" w:rsidRPr="00E419EA" w:rsidRDefault="00C623D7" w:rsidP="00745BBF">
            <w:pPr>
              <w:pStyle w:val="Tablehead"/>
              <w:rPr>
                <w:spacing w:val="-4"/>
                <w:position w:val="2"/>
                <w:rtl/>
                <w:lang w:bidi="ar-EG"/>
              </w:rPr>
            </w:pPr>
            <w:r w:rsidRPr="00E419EA">
              <w:rPr>
                <w:spacing w:val="-4"/>
                <w:position w:val="2"/>
                <w:rtl/>
                <w:lang w:bidi="ar-EG"/>
              </w:rPr>
              <w:t>صندوق تنمية تكنولوجيا المعلومات والاتصالات</w:t>
            </w:r>
          </w:p>
        </w:tc>
      </w:tr>
      <w:tr w:rsidR="00C623D7" w:rsidRPr="00E419EA" w14:paraId="75AD2313" w14:textId="77777777" w:rsidTr="00745BBF">
        <w:trPr>
          <w:jc w:val="center"/>
        </w:trPr>
        <w:tc>
          <w:tcPr>
            <w:tcW w:w="2828" w:type="dxa"/>
          </w:tcPr>
          <w:p w14:paraId="593D2841" w14:textId="77777777" w:rsidR="00C623D7" w:rsidRPr="00E419EA" w:rsidRDefault="00C623D7" w:rsidP="00745BBF">
            <w:pPr>
              <w:pStyle w:val="Tabletexte"/>
              <w:rPr>
                <w:position w:val="2"/>
                <w:rtl/>
              </w:rPr>
            </w:pPr>
            <w:r w:rsidRPr="00E419EA">
              <w:rPr>
                <w:position w:val="2"/>
                <w:rtl/>
              </w:rPr>
              <w:t>توسيع نطاق نشر الإنذار المبكر والاتصالات بشأنه من خلال مبادرة الأمين العام للأمم المتحدة بشأن نظم الإنذار المبكر للجميع (</w:t>
            </w:r>
            <w:r w:rsidRPr="00E419EA">
              <w:rPr>
                <w:position w:val="2"/>
              </w:rPr>
              <w:t>EW4All</w:t>
            </w:r>
            <w:r w:rsidRPr="00E419EA">
              <w:rPr>
                <w:position w:val="2"/>
                <w:rtl/>
              </w:rPr>
              <w:t>)</w:t>
            </w:r>
          </w:p>
        </w:tc>
        <w:tc>
          <w:tcPr>
            <w:tcW w:w="2268" w:type="dxa"/>
          </w:tcPr>
          <w:p w14:paraId="1A3E3AE1" w14:textId="77777777" w:rsidR="00C623D7" w:rsidRPr="00E419EA" w:rsidRDefault="00C623D7" w:rsidP="00745BBF">
            <w:pPr>
              <w:pStyle w:val="Tabletexte"/>
              <w:rPr>
                <w:position w:val="2"/>
                <w:rtl/>
              </w:rPr>
            </w:pPr>
            <w:r w:rsidRPr="00E419EA">
              <w:rPr>
                <w:position w:val="2"/>
                <w:rtl/>
              </w:rPr>
              <w:t>الصندوق الأخضر للمناخ</w:t>
            </w:r>
          </w:p>
        </w:tc>
        <w:tc>
          <w:tcPr>
            <w:tcW w:w="1984" w:type="dxa"/>
          </w:tcPr>
          <w:p w14:paraId="6065877A" w14:textId="77777777" w:rsidR="00C623D7" w:rsidRPr="00E419EA" w:rsidRDefault="00C623D7" w:rsidP="00745BBF">
            <w:pPr>
              <w:pStyle w:val="Tabletexte"/>
              <w:rPr>
                <w:spacing w:val="-4"/>
                <w:position w:val="2"/>
                <w:rtl/>
              </w:rPr>
            </w:pPr>
            <w:r w:rsidRPr="00E419EA">
              <w:rPr>
                <w:spacing w:val="-4"/>
                <w:position w:val="2"/>
              </w:rPr>
              <w:t>7 480 000</w:t>
            </w:r>
            <w:r w:rsidRPr="00E419EA">
              <w:rPr>
                <w:spacing w:val="-4"/>
                <w:position w:val="2"/>
                <w:rtl/>
              </w:rPr>
              <w:t xml:space="preserve"> دولار أمريكي</w:t>
            </w:r>
          </w:p>
        </w:tc>
        <w:tc>
          <w:tcPr>
            <w:tcW w:w="1981" w:type="dxa"/>
          </w:tcPr>
          <w:p w14:paraId="320B46F0" w14:textId="77777777" w:rsidR="00C623D7" w:rsidRPr="00E419EA" w:rsidRDefault="00C623D7" w:rsidP="00745BBF">
            <w:pPr>
              <w:pStyle w:val="Tabletexte"/>
              <w:rPr>
                <w:position w:val="2"/>
                <w:rtl/>
              </w:rPr>
            </w:pPr>
            <w:r w:rsidRPr="00E419EA">
              <w:rPr>
                <w:position w:val="2"/>
              </w:rPr>
              <w:t>930 000</w:t>
            </w:r>
            <w:r w:rsidRPr="00E419EA">
              <w:rPr>
                <w:position w:val="2"/>
                <w:rtl/>
              </w:rPr>
              <w:t xml:space="preserve"> دولار أمريكي</w:t>
            </w:r>
          </w:p>
        </w:tc>
      </w:tr>
      <w:tr w:rsidR="00C623D7" w:rsidRPr="00E419EA" w14:paraId="2D1746A9" w14:textId="77777777" w:rsidTr="00745BBF">
        <w:trPr>
          <w:jc w:val="center"/>
        </w:trPr>
        <w:tc>
          <w:tcPr>
            <w:tcW w:w="2828" w:type="dxa"/>
          </w:tcPr>
          <w:p w14:paraId="0E279175" w14:textId="77777777" w:rsidR="00C623D7" w:rsidRPr="00BC0187" w:rsidRDefault="00C623D7" w:rsidP="00745BBF">
            <w:pPr>
              <w:pStyle w:val="Tabletexte"/>
              <w:rPr>
                <w:spacing w:val="-4"/>
                <w:position w:val="2"/>
                <w:rtl/>
              </w:rPr>
            </w:pPr>
            <w:r w:rsidRPr="00BC0187">
              <w:rPr>
                <w:spacing w:val="-4"/>
                <w:position w:val="2"/>
                <w:rtl/>
              </w:rPr>
              <w:t>إنشاء الفريق القطاعي للاتصالات المعني بالاستجابة للحوادث الحاسوبية في الأردن وتنمية القدرات الإقليمية</w:t>
            </w:r>
          </w:p>
        </w:tc>
        <w:tc>
          <w:tcPr>
            <w:tcW w:w="2268" w:type="dxa"/>
          </w:tcPr>
          <w:p w14:paraId="1F03EB3B" w14:textId="77777777" w:rsidR="00C623D7" w:rsidRPr="00E419EA" w:rsidRDefault="00C623D7" w:rsidP="00745BBF">
            <w:pPr>
              <w:pStyle w:val="Tabletexte"/>
              <w:rPr>
                <w:position w:val="2"/>
                <w:rtl/>
              </w:rPr>
            </w:pPr>
            <w:r w:rsidRPr="00E419EA">
              <w:rPr>
                <w:position w:val="2"/>
                <w:rtl/>
              </w:rPr>
              <w:t>هيئة تنظيم قطاع الاتصالات في الأردن</w:t>
            </w:r>
          </w:p>
        </w:tc>
        <w:tc>
          <w:tcPr>
            <w:tcW w:w="1984" w:type="dxa"/>
          </w:tcPr>
          <w:p w14:paraId="7463F2F9" w14:textId="77777777" w:rsidR="00C623D7" w:rsidRPr="00E419EA" w:rsidRDefault="00C623D7" w:rsidP="00745BBF">
            <w:pPr>
              <w:pStyle w:val="Tabletexte"/>
              <w:rPr>
                <w:position w:val="2"/>
                <w:rtl/>
              </w:rPr>
            </w:pPr>
            <w:r w:rsidRPr="00E419EA">
              <w:rPr>
                <w:position w:val="2"/>
              </w:rPr>
              <w:t>311 750</w:t>
            </w:r>
            <w:r w:rsidRPr="00E419EA">
              <w:rPr>
                <w:position w:val="2"/>
                <w:rtl/>
              </w:rPr>
              <w:t xml:space="preserve"> دولاراً أمريكياً</w:t>
            </w:r>
          </w:p>
        </w:tc>
        <w:tc>
          <w:tcPr>
            <w:tcW w:w="1981" w:type="dxa"/>
          </w:tcPr>
          <w:p w14:paraId="396D31AB" w14:textId="77777777" w:rsidR="00C623D7" w:rsidRPr="00E419EA" w:rsidRDefault="00C623D7" w:rsidP="00745BBF">
            <w:pPr>
              <w:pStyle w:val="Tabletexte"/>
              <w:rPr>
                <w:position w:val="2"/>
                <w:rtl/>
              </w:rPr>
            </w:pPr>
            <w:r w:rsidRPr="00E419EA">
              <w:rPr>
                <w:position w:val="2"/>
              </w:rPr>
              <w:t>124 000</w:t>
            </w:r>
            <w:r w:rsidRPr="00E419EA">
              <w:rPr>
                <w:position w:val="2"/>
                <w:rtl/>
              </w:rPr>
              <w:t xml:space="preserve"> دولار أمريكي</w:t>
            </w:r>
          </w:p>
        </w:tc>
      </w:tr>
      <w:tr w:rsidR="00C623D7" w:rsidRPr="00E419EA" w14:paraId="31E98CE2" w14:textId="77777777" w:rsidTr="00745BBF">
        <w:trPr>
          <w:jc w:val="center"/>
        </w:trPr>
        <w:tc>
          <w:tcPr>
            <w:tcW w:w="2828" w:type="dxa"/>
          </w:tcPr>
          <w:p w14:paraId="70FE9D8E" w14:textId="77777777" w:rsidR="00C623D7" w:rsidRPr="00E419EA" w:rsidRDefault="00C623D7" w:rsidP="00745BBF">
            <w:pPr>
              <w:pStyle w:val="Tabletexte"/>
              <w:rPr>
                <w:position w:val="2"/>
                <w:rtl/>
              </w:rPr>
            </w:pPr>
            <w:r w:rsidRPr="00E419EA">
              <w:rPr>
                <w:position w:val="2"/>
                <w:rtl/>
              </w:rPr>
              <w:t>تعزيز القدرات الوطنية لإدارة أزمات الأمن السيبراني</w:t>
            </w:r>
          </w:p>
        </w:tc>
        <w:tc>
          <w:tcPr>
            <w:tcW w:w="2268" w:type="dxa"/>
          </w:tcPr>
          <w:p w14:paraId="72EF3A75" w14:textId="77777777" w:rsidR="00C623D7" w:rsidRPr="00E419EA" w:rsidRDefault="00C623D7" w:rsidP="00745BBF">
            <w:pPr>
              <w:pStyle w:val="Tabletexte"/>
              <w:rPr>
                <w:position w:val="2"/>
                <w:rtl/>
              </w:rPr>
            </w:pPr>
            <w:r w:rsidRPr="00E419EA">
              <w:rPr>
                <w:position w:val="2"/>
                <w:rtl/>
              </w:rPr>
              <w:t>وزارة العلوم وتكنولوجيا المعلومات والاتصالات (</w:t>
            </w:r>
            <w:r w:rsidRPr="00E419EA">
              <w:rPr>
                <w:position w:val="2"/>
              </w:rPr>
              <w:t>MSIT</w:t>
            </w:r>
            <w:r w:rsidRPr="00E419EA">
              <w:rPr>
                <w:position w:val="2"/>
                <w:rtl/>
              </w:rPr>
              <w:t>) في جمهورية كوريا</w:t>
            </w:r>
          </w:p>
        </w:tc>
        <w:tc>
          <w:tcPr>
            <w:tcW w:w="1984" w:type="dxa"/>
          </w:tcPr>
          <w:p w14:paraId="5EA28DAB" w14:textId="77777777" w:rsidR="00C623D7" w:rsidRPr="00E419EA" w:rsidRDefault="00C623D7" w:rsidP="00745BBF">
            <w:pPr>
              <w:pStyle w:val="Tabletexte"/>
              <w:rPr>
                <w:position w:val="2"/>
                <w:rtl/>
              </w:rPr>
            </w:pPr>
            <w:r w:rsidRPr="00E419EA">
              <w:rPr>
                <w:position w:val="2"/>
              </w:rPr>
              <w:t>160 000</w:t>
            </w:r>
            <w:r w:rsidRPr="00E419EA">
              <w:rPr>
                <w:position w:val="2"/>
                <w:rtl/>
              </w:rPr>
              <w:t xml:space="preserve"> دولار أمريكي</w:t>
            </w:r>
          </w:p>
        </w:tc>
        <w:tc>
          <w:tcPr>
            <w:tcW w:w="1981" w:type="dxa"/>
          </w:tcPr>
          <w:p w14:paraId="1D21BA01" w14:textId="77777777" w:rsidR="00C623D7" w:rsidRPr="00E419EA" w:rsidRDefault="00C623D7" w:rsidP="00745BBF">
            <w:pPr>
              <w:pStyle w:val="Tabletexte"/>
              <w:rPr>
                <w:position w:val="2"/>
                <w:rtl/>
              </w:rPr>
            </w:pPr>
            <w:r w:rsidRPr="00E419EA">
              <w:rPr>
                <w:position w:val="2"/>
              </w:rPr>
              <w:t>160 000</w:t>
            </w:r>
            <w:r w:rsidRPr="00E419EA">
              <w:rPr>
                <w:position w:val="2"/>
                <w:rtl/>
              </w:rPr>
              <w:t xml:space="preserve"> دولار أمريكي</w:t>
            </w:r>
          </w:p>
        </w:tc>
      </w:tr>
      <w:tr w:rsidR="00C623D7" w:rsidRPr="00E419EA" w14:paraId="18F4D0A9" w14:textId="77777777" w:rsidTr="00745BBF">
        <w:trPr>
          <w:jc w:val="center"/>
        </w:trPr>
        <w:tc>
          <w:tcPr>
            <w:tcW w:w="2828" w:type="dxa"/>
          </w:tcPr>
          <w:p w14:paraId="67CE8FBE" w14:textId="77777777" w:rsidR="00C623D7" w:rsidRPr="00E419EA" w:rsidRDefault="00C623D7" w:rsidP="00745BBF">
            <w:pPr>
              <w:pStyle w:val="Tabletexte"/>
              <w:rPr>
                <w:position w:val="2"/>
                <w:rtl/>
              </w:rPr>
            </w:pPr>
            <w:r w:rsidRPr="00E419EA">
              <w:rPr>
                <w:position w:val="2"/>
                <w:rtl/>
              </w:rPr>
              <w:t>تمكين الأنظمة الإيكولوجية للتجارة الرقمية الشاملة للجنسين في السنغال- المرحلة 1</w:t>
            </w:r>
          </w:p>
        </w:tc>
        <w:tc>
          <w:tcPr>
            <w:tcW w:w="2268" w:type="dxa"/>
          </w:tcPr>
          <w:p w14:paraId="7A6D5D76" w14:textId="77777777" w:rsidR="00C623D7" w:rsidRPr="00E419EA" w:rsidRDefault="00C623D7" w:rsidP="00745BBF">
            <w:pPr>
              <w:pStyle w:val="Tabletexte"/>
              <w:rPr>
                <w:position w:val="2"/>
                <w:rtl/>
              </w:rPr>
            </w:pPr>
            <w:r w:rsidRPr="00E419EA">
              <w:rPr>
                <w:position w:val="2"/>
                <w:rtl/>
              </w:rPr>
              <w:t>هيئة تنظيم الاتصالات والبريد (</w:t>
            </w:r>
            <w:r w:rsidRPr="00E419EA">
              <w:rPr>
                <w:position w:val="2"/>
              </w:rPr>
              <w:t>ARTP</w:t>
            </w:r>
            <w:r w:rsidRPr="00E419EA">
              <w:rPr>
                <w:position w:val="2"/>
                <w:rtl/>
              </w:rPr>
              <w:t>) في السنغال</w:t>
            </w:r>
          </w:p>
        </w:tc>
        <w:tc>
          <w:tcPr>
            <w:tcW w:w="1984" w:type="dxa"/>
          </w:tcPr>
          <w:p w14:paraId="50A77838" w14:textId="77777777" w:rsidR="00C623D7" w:rsidRPr="00E419EA" w:rsidRDefault="00C623D7" w:rsidP="00745BBF">
            <w:pPr>
              <w:pStyle w:val="Tabletexte"/>
              <w:rPr>
                <w:position w:val="2"/>
                <w:rtl/>
              </w:rPr>
            </w:pPr>
            <w:r w:rsidRPr="00E419EA">
              <w:rPr>
                <w:position w:val="2"/>
              </w:rPr>
              <w:t>88 762</w:t>
            </w:r>
            <w:r w:rsidRPr="00E419EA">
              <w:rPr>
                <w:position w:val="2"/>
                <w:rtl/>
              </w:rPr>
              <w:t xml:space="preserve"> دولاراً أمريكياً</w:t>
            </w:r>
          </w:p>
        </w:tc>
        <w:tc>
          <w:tcPr>
            <w:tcW w:w="1981" w:type="dxa"/>
          </w:tcPr>
          <w:p w14:paraId="43BBDC07" w14:textId="77777777" w:rsidR="00C623D7" w:rsidRPr="00E419EA" w:rsidRDefault="00C623D7" w:rsidP="00745BBF">
            <w:pPr>
              <w:pStyle w:val="Tabletexte"/>
              <w:rPr>
                <w:position w:val="2"/>
                <w:rtl/>
              </w:rPr>
            </w:pPr>
            <w:r w:rsidRPr="00E419EA">
              <w:rPr>
                <w:position w:val="2"/>
              </w:rPr>
              <w:t>88 762</w:t>
            </w:r>
            <w:r w:rsidRPr="00E419EA">
              <w:rPr>
                <w:position w:val="2"/>
                <w:rtl/>
              </w:rPr>
              <w:t xml:space="preserve"> دولاراً أمريكياً</w:t>
            </w:r>
          </w:p>
        </w:tc>
      </w:tr>
    </w:tbl>
    <w:p w14:paraId="02F5AE40" w14:textId="77777777" w:rsidR="00C623D7" w:rsidRDefault="00C623D7" w:rsidP="00730035">
      <w:pPr>
        <w:spacing w:before="240"/>
        <w:rPr>
          <w:rtl/>
          <w:lang w:bidi="ar-EG"/>
        </w:rPr>
      </w:pPr>
      <w:r>
        <w:rPr>
          <w:lang w:bidi="ar-EG"/>
        </w:rPr>
        <w:t>4.3</w:t>
      </w:r>
      <w:r>
        <w:rPr>
          <w:rtl/>
          <w:lang w:bidi="ar-EG"/>
        </w:rPr>
        <w:tab/>
        <w:t>وفي عام 2026، وحتى 31 يناير، تمت الموافقة على أن تموِّل اللجنة التوجيهية لصندوق تنمية تكنولوجيا المعلومات والاتصالات ثلاثة (3) مشاريع جديدة أخرى، ومن المتوقع التوقيع عليها في الأشهر المقبلة (هذه المشاريع مدرجة في الجدول 2 أدناه).</w:t>
      </w:r>
    </w:p>
    <w:p w14:paraId="262A9256" w14:textId="77777777" w:rsidR="00C623D7" w:rsidRDefault="00C623D7" w:rsidP="00C623D7">
      <w:pPr>
        <w:pStyle w:val="TableNo"/>
        <w:rPr>
          <w:rtl/>
        </w:rPr>
      </w:pPr>
      <w:r>
        <w:rPr>
          <w:rtl/>
        </w:rPr>
        <w:lastRenderedPageBreak/>
        <w:t>الجدول 2</w:t>
      </w:r>
    </w:p>
    <w:p w14:paraId="4A3CB2DA" w14:textId="303CFEC2" w:rsidR="00C623D7" w:rsidRDefault="00C623D7" w:rsidP="00C623D7">
      <w:pPr>
        <w:pStyle w:val="Tabletitle"/>
        <w:rPr>
          <w:rtl/>
        </w:rPr>
      </w:pPr>
      <w:r>
        <w:rPr>
          <w:rtl/>
        </w:rPr>
        <w:t xml:space="preserve">المشاريع المعتمدة لنيل التمويل المشترك من صندوق </w:t>
      </w:r>
      <w:r w:rsidR="00730035">
        <w:rPr>
          <w:rFonts w:hint="cs"/>
          <w:rtl/>
        </w:rPr>
        <w:t xml:space="preserve">تنمية </w:t>
      </w:r>
      <w:r>
        <w:rPr>
          <w:rtl/>
        </w:rPr>
        <w:t>تكنولوجيا المعلومات والاتصالات لعام 2026 (حتى</w:t>
      </w:r>
      <w:r>
        <w:rPr>
          <w:rFonts w:hint="cs"/>
          <w:rtl/>
        </w:rPr>
        <w:t> </w:t>
      </w:r>
      <w:r>
        <w:rPr>
          <w:rtl/>
        </w:rPr>
        <w:t>31</w:t>
      </w:r>
      <w:r>
        <w:rPr>
          <w:rFonts w:hint="eastAsia"/>
          <w:rtl/>
          <w:lang w:bidi="ar-SA"/>
        </w:rPr>
        <w:t> </w:t>
      </w:r>
      <w:r>
        <w:rPr>
          <w:rtl/>
        </w:rPr>
        <w:t>يناير) بانتظار التوقيع</w:t>
      </w:r>
    </w:p>
    <w:tbl>
      <w:tblPr>
        <w:tblStyle w:val="TableGrid"/>
        <w:bidiVisual/>
        <w:tblW w:w="5000" w:type="pct"/>
        <w:jc w:val="center"/>
        <w:tblLook w:val="04A0" w:firstRow="1" w:lastRow="0" w:firstColumn="1" w:lastColumn="0" w:noHBand="0" w:noVBand="1"/>
      </w:tblPr>
      <w:tblGrid>
        <w:gridCol w:w="2402"/>
        <w:gridCol w:w="2694"/>
        <w:gridCol w:w="1984"/>
        <w:gridCol w:w="1981"/>
      </w:tblGrid>
      <w:tr w:rsidR="00C623D7" w:rsidRPr="00E419EA" w14:paraId="762164FC" w14:textId="77777777" w:rsidTr="00745BBF">
        <w:trPr>
          <w:jc w:val="center"/>
        </w:trPr>
        <w:tc>
          <w:tcPr>
            <w:tcW w:w="2402" w:type="dxa"/>
          </w:tcPr>
          <w:p w14:paraId="15A63C3A" w14:textId="77777777" w:rsidR="00C623D7" w:rsidRPr="00E419EA" w:rsidRDefault="00C623D7" w:rsidP="00745BBF">
            <w:pPr>
              <w:pStyle w:val="Tablehead"/>
              <w:rPr>
                <w:position w:val="2"/>
                <w:rtl/>
                <w:lang w:bidi="ar-EG"/>
              </w:rPr>
            </w:pPr>
            <w:r w:rsidRPr="00E419EA">
              <w:rPr>
                <w:position w:val="2"/>
                <w:rtl/>
                <w:lang w:bidi="ar-EG"/>
              </w:rPr>
              <w:t>العنوان</w:t>
            </w:r>
          </w:p>
        </w:tc>
        <w:tc>
          <w:tcPr>
            <w:tcW w:w="2694" w:type="dxa"/>
          </w:tcPr>
          <w:p w14:paraId="2561272F" w14:textId="77777777" w:rsidR="00C623D7" w:rsidRPr="00E419EA" w:rsidRDefault="00C623D7" w:rsidP="00745BBF">
            <w:pPr>
              <w:pStyle w:val="Tablehead"/>
              <w:rPr>
                <w:position w:val="2"/>
                <w:rtl/>
                <w:lang w:bidi="ar-EG"/>
              </w:rPr>
            </w:pPr>
            <w:r w:rsidRPr="00E419EA">
              <w:rPr>
                <w:position w:val="2"/>
                <w:rtl/>
                <w:lang w:bidi="ar-EG"/>
              </w:rPr>
              <w:t>الشريك</w:t>
            </w:r>
          </w:p>
        </w:tc>
        <w:tc>
          <w:tcPr>
            <w:tcW w:w="1984" w:type="dxa"/>
          </w:tcPr>
          <w:p w14:paraId="1B28ECB3" w14:textId="77777777" w:rsidR="00C623D7" w:rsidRPr="00E419EA" w:rsidRDefault="00C623D7" w:rsidP="00745BBF">
            <w:pPr>
              <w:pStyle w:val="Tablehead"/>
              <w:rPr>
                <w:position w:val="2"/>
                <w:rtl/>
                <w:lang w:bidi="ar-EG"/>
              </w:rPr>
            </w:pPr>
            <w:r w:rsidRPr="00E419EA">
              <w:rPr>
                <w:position w:val="2"/>
                <w:rtl/>
                <w:lang w:bidi="ar-EG"/>
              </w:rPr>
              <w:t>أموال الشركاء</w:t>
            </w:r>
          </w:p>
        </w:tc>
        <w:tc>
          <w:tcPr>
            <w:tcW w:w="1981" w:type="dxa"/>
          </w:tcPr>
          <w:p w14:paraId="0C0D5277" w14:textId="77777777" w:rsidR="00C623D7" w:rsidRPr="00E419EA" w:rsidRDefault="00C623D7" w:rsidP="00745BBF">
            <w:pPr>
              <w:pStyle w:val="Tablehead"/>
              <w:rPr>
                <w:spacing w:val="-4"/>
                <w:position w:val="2"/>
                <w:rtl/>
                <w:lang w:bidi="ar-EG"/>
              </w:rPr>
            </w:pPr>
            <w:r w:rsidRPr="00E419EA">
              <w:rPr>
                <w:spacing w:val="-4"/>
                <w:position w:val="2"/>
                <w:rtl/>
                <w:lang w:bidi="ar-EG"/>
              </w:rPr>
              <w:t>صندوق تنمية تكنولوجيا المعلومات والاتصالات</w:t>
            </w:r>
          </w:p>
        </w:tc>
      </w:tr>
      <w:tr w:rsidR="00C623D7" w:rsidRPr="00E419EA" w14:paraId="554F4230" w14:textId="77777777" w:rsidTr="00745BBF">
        <w:trPr>
          <w:jc w:val="center"/>
        </w:trPr>
        <w:tc>
          <w:tcPr>
            <w:tcW w:w="2402" w:type="dxa"/>
          </w:tcPr>
          <w:p w14:paraId="7A2C1BDE" w14:textId="77777777" w:rsidR="00C623D7" w:rsidRPr="00E419EA" w:rsidRDefault="00C623D7" w:rsidP="00745BBF">
            <w:pPr>
              <w:pStyle w:val="Tabletexte"/>
              <w:rPr>
                <w:spacing w:val="-4"/>
                <w:position w:val="2"/>
                <w:rtl/>
              </w:rPr>
            </w:pPr>
            <w:r w:rsidRPr="00E419EA">
              <w:rPr>
                <w:spacing w:val="-4"/>
                <w:rtl/>
              </w:rPr>
              <w:t xml:space="preserve">المرحلة 4 من مبادرة مساراتها السيبرانية </w:t>
            </w:r>
            <w:r w:rsidRPr="00E419EA">
              <w:rPr>
                <w:spacing w:val="-4"/>
              </w:rPr>
              <w:t xml:space="preserve">(Her </w:t>
            </w:r>
            <w:proofErr w:type="spellStart"/>
            <w:r w:rsidRPr="00E419EA">
              <w:rPr>
                <w:spacing w:val="-4"/>
              </w:rPr>
              <w:t>CyberTracks</w:t>
            </w:r>
            <w:proofErr w:type="spellEnd"/>
            <w:r w:rsidRPr="00E419EA">
              <w:rPr>
                <w:spacing w:val="-4"/>
              </w:rPr>
              <w:t>)</w:t>
            </w:r>
          </w:p>
        </w:tc>
        <w:tc>
          <w:tcPr>
            <w:tcW w:w="2694" w:type="dxa"/>
          </w:tcPr>
          <w:p w14:paraId="09360B76" w14:textId="77777777" w:rsidR="00C623D7" w:rsidRPr="00E419EA" w:rsidRDefault="00C623D7" w:rsidP="00745BBF">
            <w:pPr>
              <w:pStyle w:val="Tabletexte"/>
              <w:rPr>
                <w:position w:val="2"/>
                <w:rtl/>
              </w:rPr>
            </w:pPr>
            <w:r w:rsidRPr="00E419EA">
              <w:rPr>
                <w:rtl/>
              </w:rPr>
              <w:t>الوكالة الألمانية للتعاون الدولي (</w:t>
            </w:r>
            <w:r w:rsidRPr="00E419EA">
              <w:t>GIZ</w:t>
            </w:r>
            <w:r w:rsidRPr="00E419EA">
              <w:rPr>
                <w:rtl/>
              </w:rPr>
              <w:t>، ألمانيا)</w:t>
            </w:r>
          </w:p>
        </w:tc>
        <w:tc>
          <w:tcPr>
            <w:tcW w:w="1984" w:type="dxa"/>
          </w:tcPr>
          <w:p w14:paraId="7962726C" w14:textId="77777777" w:rsidR="00C623D7" w:rsidRPr="00E419EA" w:rsidRDefault="00C623D7" w:rsidP="00745BBF">
            <w:pPr>
              <w:pStyle w:val="Tabletexte"/>
              <w:rPr>
                <w:spacing w:val="-4"/>
                <w:position w:val="2"/>
                <w:rtl/>
              </w:rPr>
            </w:pPr>
            <w:r>
              <w:t>520 000</w:t>
            </w:r>
            <w:r w:rsidRPr="00E419EA">
              <w:rPr>
                <w:rtl/>
              </w:rPr>
              <w:t xml:space="preserve"> يورو</w:t>
            </w:r>
          </w:p>
        </w:tc>
        <w:tc>
          <w:tcPr>
            <w:tcW w:w="1981" w:type="dxa"/>
          </w:tcPr>
          <w:p w14:paraId="50CCA127" w14:textId="77777777" w:rsidR="00C623D7" w:rsidRPr="00E419EA" w:rsidRDefault="00C623D7" w:rsidP="00745BBF">
            <w:pPr>
              <w:pStyle w:val="Tabletexte"/>
              <w:rPr>
                <w:position w:val="2"/>
                <w:rtl/>
              </w:rPr>
            </w:pPr>
            <w:r>
              <w:t>173 000</w:t>
            </w:r>
            <w:r w:rsidRPr="00E419EA">
              <w:rPr>
                <w:rtl/>
              </w:rPr>
              <w:t xml:space="preserve"> يورو</w:t>
            </w:r>
          </w:p>
        </w:tc>
      </w:tr>
      <w:tr w:rsidR="00C623D7" w:rsidRPr="00E419EA" w14:paraId="59CED9E8" w14:textId="77777777" w:rsidTr="00745BBF">
        <w:trPr>
          <w:jc w:val="center"/>
        </w:trPr>
        <w:tc>
          <w:tcPr>
            <w:tcW w:w="2402" w:type="dxa"/>
          </w:tcPr>
          <w:p w14:paraId="5CAB104A" w14:textId="77777777" w:rsidR="00C623D7" w:rsidRPr="00E419EA" w:rsidRDefault="00C623D7" w:rsidP="00745BBF">
            <w:pPr>
              <w:pStyle w:val="Tabletexte"/>
              <w:rPr>
                <w:position w:val="2"/>
                <w:rtl/>
              </w:rPr>
            </w:pPr>
            <w:r w:rsidRPr="00E419EA">
              <w:rPr>
                <w:rtl/>
              </w:rPr>
              <w:t>إنشاء اقتصاد دائري للإلكترونيات في بلدان جزر المحيط الهادئ</w:t>
            </w:r>
          </w:p>
        </w:tc>
        <w:tc>
          <w:tcPr>
            <w:tcW w:w="2694" w:type="dxa"/>
          </w:tcPr>
          <w:p w14:paraId="299CD375" w14:textId="77777777" w:rsidR="00C623D7" w:rsidRPr="00E419EA" w:rsidRDefault="00C623D7" w:rsidP="00745BBF">
            <w:pPr>
              <w:pStyle w:val="Tabletexte"/>
              <w:rPr>
                <w:position w:val="2"/>
                <w:rtl/>
              </w:rPr>
            </w:pPr>
            <w:r w:rsidRPr="00E419EA">
              <w:rPr>
                <w:rtl/>
              </w:rPr>
              <w:t>وزارة البنية التحتية والنقل والتنمية الإقليمية والاتصالات والرياضة والفنون (</w:t>
            </w:r>
            <w:r w:rsidRPr="00E419EA">
              <w:t>DITRDCSA</w:t>
            </w:r>
            <w:r w:rsidRPr="00E419EA">
              <w:rPr>
                <w:rtl/>
              </w:rPr>
              <w:t>، أستراليا)</w:t>
            </w:r>
          </w:p>
        </w:tc>
        <w:tc>
          <w:tcPr>
            <w:tcW w:w="1984" w:type="dxa"/>
          </w:tcPr>
          <w:p w14:paraId="0068EA8D" w14:textId="77777777" w:rsidR="00C623D7" w:rsidRPr="00E419EA" w:rsidRDefault="00C623D7" w:rsidP="00745BBF">
            <w:pPr>
              <w:pStyle w:val="Tabletexte"/>
              <w:rPr>
                <w:position w:val="2"/>
                <w:rtl/>
              </w:rPr>
            </w:pPr>
            <w:r>
              <w:t>375 035</w:t>
            </w:r>
            <w:r w:rsidRPr="00E419EA">
              <w:rPr>
                <w:rtl/>
              </w:rPr>
              <w:t xml:space="preserve"> دولاراً أمريكياً</w:t>
            </w:r>
          </w:p>
        </w:tc>
        <w:tc>
          <w:tcPr>
            <w:tcW w:w="1981" w:type="dxa"/>
          </w:tcPr>
          <w:p w14:paraId="53FADBCB" w14:textId="77777777" w:rsidR="00C623D7" w:rsidRPr="00E419EA" w:rsidRDefault="00C623D7" w:rsidP="00745BBF">
            <w:pPr>
              <w:pStyle w:val="Tabletexte"/>
              <w:rPr>
                <w:position w:val="2"/>
                <w:rtl/>
              </w:rPr>
            </w:pPr>
            <w:r>
              <w:t>125 000</w:t>
            </w:r>
            <w:r w:rsidRPr="00E419EA">
              <w:rPr>
                <w:rtl/>
              </w:rPr>
              <w:t xml:space="preserve"> دولار أمريكي</w:t>
            </w:r>
          </w:p>
        </w:tc>
      </w:tr>
      <w:tr w:rsidR="00C623D7" w:rsidRPr="00E419EA" w14:paraId="06E70115" w14:textId="77777777" w:rsidTr="00745BBF">
        <w:trPr>
          <w:jc w:val="center"/>
        </w:trPr>
        <w:tc>
          <w:tcPr>
            <w:tcW w:w="2402" w:type="dxa"/>
          </w:tcPr>
          <w:p w14:paraId="6F8A755E" w14:textId="77777777" w:rsidR="00C623D7" w:rsidRPr="00E419EA" w:rsidRDefault="00C623D7" w:rsidP="00745BBF">
            <w:pPr>
              <w:pStyle w:val="Tabletexte"/>
              <w:rPr>
                <w:position w:val="2"/>
                <w:rtl/>
              </w:rPr>
            </w:pPr>
            <w:r w:rsidRPr="00E419EA">
              <w:rPr>
                <w:rtl/>
              </w:rPr>
              <w:t>تسريع التحول الرقمي في آسيا والمحيط الهادئ- المرحلة 2</w:t>
            </w:r>
          </w:p>
        </w:tc>
        <w:tc>
          <w:tcPr>
            <w:tcW w:w="2694" w:type="dxa"/>
          </w:tcPr>
          <w:p w14:paraId="2DC57A0E" w14:textId="77777777" w:rsidR="00C623D7" w:rsidRPr="00E419EA" w:rsidRDefault="00C623D7" w:rsidP="00745BBF">
            <w:pPr>
              <w:pStyle w:val="Tabletexte"/>
              <w:rPr>
                <w:position w:val="2"/>
                <w:rtl/>
              </w:rPr>
            </w:pPr>
            <w:r w:rsidRPr="00E419EA">
              <w:rPr>
                <w:rtl/>
              </w:rPr>
              <w:t>وزارة البنية التحتية والنقل والتنمية الإقليمية والاتصالات والرياضة والفنون (</w:t>
            </w:r>
            <w:r w:rsidRPr="00E419EA">
              <w:t>DITRDCSA</w:t>
            </w:r>
            <w:r w:rsidRPr="00E419EA">
              <w:rPr>
                <w:rtl/>
              </w:rPr>
              <w:t>، أستراليا)</w:t>
            </w:r>
          </w:p>
        </w:tc>
        <w:tc>
          <w:tcPr>
            <w:tcW w:w="1984" w:type="dxa"/>
          </w:tcPr>
          <w:p w14:paraId="0BE83BF0" w14:textId="77777777" w:rsidR="00C623D7" w:rsidRPr="00E419EA" w:rsidRDefault="00C623D7" w:rsidP="00745BBF">
            <w:pPr>
              <w:pStyle w:val="Tabletexte"/>
              <w:rPr>
                <w:position w:val="2"/>
                <w:rtl/>
              </w:rPr>
            </w:pPr>
            <w:r>
              <w:t>376 920</w:t>
            </w:r>
            <w:r w:rsidRPr="00E419EA">
              <w:rPr>
                <w:rtl/>
              </w:rPr>
              <w:t xml:space="preserve"> دولاراً أمريكياً</w:t>
            </w:r>
          </w:p>
        </w:tc>
        <w:tc>
          <w:tcPr>
            <w:tcW w:w="1981" w:type="dxa"/>
          </w:tcPr>
          <w:p w14:paraId="67501949" w14:textId="77777777" w:rsidR="00C623D7" w:rsidRPr="00E419EA" w:rsidRDefault="00C623D7" w:rsidP="00745BBF">
            <w:pPr>
              <w:pStyle w:val="Tabletexte"/>
              <w:rPr>
                <w:position w:val="2"/>
                <w:rtl/>
              </w:rPr>
            </w:pPr>
            <w:r>
              <w:t>115 000</w:t>
            </w:r>
            <w:r w:rsidRPr="00E419EA">
              <w:rPr>
                <w:rtl/>
              </w:rPr>
              <w:t xml:space="preserve"> دولار أمريكي</w:t>
            </w:r>
          </w:p>
        </w:tc>
      </w:tr>
    </w:tbl>
    <w:p w14:paraId="672123E5" w14:textId="77777777" w:rsidR="00C623D7" w:rsidRDefault="00C623D7" w:rsidP="00730035">
      <w:pPr>
        <w:spacing w:before="240"/>
        <w:rPr>
          <w:rtl/>
          <w:lang w:bidi="ar-EG"/>
        </w:rPr>
      </w:pPr>
      <w:r>
        <w:rPr>
          <w:lang w:bidi="ar-EG"/>
        </w:rPr>
        <w:t>5.3</w:t>
      </w:r>
      <w:r>
        <w:rPr>
          <w:rtl/>
          <w:lang w:bidi="ar-EG"/>
        </w:rPr>
        <w:tab/>
        <w:t>وهناك مجموعة من المشاريع قيد التطوير وستُستكمل هذا العام. وسيواصل مكتب تنمية الاتصالات مراقبة مشاريع صندوق تنمية تكنولوجيا المعلومات والاتصالات الجارية من أجل تنفيذها على نحو فعال. كما ستواصل اللجنة التوجيهية لصندوق تنمية تكنولوجيا المعلومات والاتصالات استعراض مقترحات المشاريع ودعم مشاريع مختارة في</w:t>
      </w:r>
      <w:r>
        <w:rPr>
          <w:rFonts w:hint="cs"/>
          <w:rtl/>
          <w:lang w:bidi="ar-EG"/>
        </w:rPr>
        <w:t> </w:t>
      </w:r>
      <w:r>
        <w:rPr>
          <w:rtl/>
          <w:lang w:bidi="ar-EG"/>
        </w:rPr>
        <w:t>مختلف مجالات العمل مع إيلاء اهتمام خاص للمبادرات الإقليمية المُعتَمَدة في الآونة الأخيرة للمؤتمر العالمي لتنمية الاتصالات لعام 2025، في حدود حساب رأس مال الصندوق.</w:t>
      </w:r>
    </w:p>
    <w:p w14:paraId="7D6AFAE7" w14:textId="77777777" w:rsidR="00C623D7" w:rsidRDefault="00C623D7" w:rsidP="00C623D7">
      <w:pPr>
        <w:pStyle w:val="Heading1"/>
        <w:rPr>
          <w:rtl/>
          <w:lang w:bidi="ar-EG"/>
        </w:rPr>
      </w:pPr>
      <w:r>
        <w:rPr>
          <w:lang w:bidi="ar-EG"/>
        </w:rPr>
        <w:t>4</w:t>
      </w:r>
      <w:r>
        <w:rPr>
          <w:rtl/>
          <w:lang w:bidi="ar-EG"/>
        </w:rPr>
        <w:tab/>
        <w:t>تطور حساب رأس مال صندوق تنمية تكنولوجيا المعلومات والاتصالات</w:t>
      </w:r>
    </w:p>
    <w:p w14:paraId="0C2873A5" w14:textId="77777777" w:rsidR="00C623D7" w:rsidRDefault="00C623D7" w:rsidP="00C623D7">
      <w:pPr>
        <w:rPr>
          <w:rtl/>
          <w:lang w:bidi="ar-EG"/>
        </w:rPr>
      </w:pPr>
      <w:r>
        <w:rPr>
          <w:lang w:bidi="ar-EG"/>
        </w:rPr>
        <w:t>1.4</w:t>
      </w:r>
      <w:r>
        <w:rPr>
          <w:rtl/>
          <w:lang w:bidi="ar-EG"/>
        </w:rPr>
        <w:tab/>
        <w:t xml:space="preserve">بلغ مجموع إيرادات الفوائد من حساب رأس مال صندوق تنمية تكنولوجيا المعلومات والاتصالات بحلول نهاية عام 2025 والفوائد في المشاريع </w:t>
      </w:r>
      <w:r>
        <w:rPr>
          <w:lang w:bidi="ar-EG"/>
        </w:rPr>
        <w:t>50 784</w:t>
      </w:r>
      <w:r>
        <w:rPr>
          <w:rtl/>
          <w:lang w:bidi="ar-EG"/>
        </w:rPr>
        <w:t xml:space="preserve"> فرنكاً سويسرياً.</w:t>
      </w:r>
    </w:p>
    <w:p w14:paraId="06E94102" w14:textId="77777777" w:rsidR="00C623D7" w:rsidRPr="00BC0187" w:rsidRDefault="00C623D7" w:rsidP="00C623D7">
      <w:pPr>
        <w:rPr>
          <w:spacing w:val="-2"/>
          <w:rtl/>
          <w:lang w:bidi="ar-EG"/>
        </w:rPr>
      </w:pPr>
      <w:r w:rsidRPr="00BC0187">
        <w:rPr>
          <w:spacing w:val="-2"/>
          <w:lang w:bidi="ar-EG"/>
        </w:rPr>
        <w:t>2.4</w:t>
      </w:r>
      <w:r w:rsidRPr="00BC0187">
        <w:rPr>
          <w:spacing w:val="-2"/>
          <w:rtl/>
          <w:lang w:bidi="ar-EG"/>
        </w:rPr>
        <w:tab/>
        <w:t>وبلغ الرصيد المتبقي من حساب رأس مال صندوق تنمية تكنولوجيا المعلومات والاتصالات في نهاية عام</w:t>
      </w:r>
      <w:r w:rsidRPr="00BC0187">
        <w:rPr>
          <w:rFonts w:hint="eastAsia"/>
          <w:spacing w:val="-2"/>
          <w:rtl/>
        </w:rPr>
        <w:t> </w:t>
      </w:r>
      <w:r w:rsidRPr="00BC0187">
        <w:rPr>
          <w:spacing w:val="-2"/>
          <w:rtl/>
          <w:lang w:bidi="ar-EG"/>
        </w:rPr>
        <w:t xml:space="preserve">2025 مبلغ </w:t>
      </w:r>
      <w:r>
        <w:rPr>
          <w:spacing w:val="-2"/>
          <w:lang w:bidi="ar-EG"/>
        </w:rPr>
        <w:t>2 878 297</w:t>
      </w:r>
      <w:r w:rsidRPr="00BC0187">
        <w:rPr>
          <w:spacing w:val="-2"/>
          <w:rtl/>
          <w:lang w:bidi="ar-EG"/>
        </w:rPr>
        <w:t xml:space="preserve"> فرنكاً سويسرياً (انظر الشكل 5 أدناه).</w:t>
      </w:r>
    </w:p>
    <w:p w14:paraId="3D6FA8D1" w14:textId="77777777" w:rsidR="00C623D7" w:rsidRDefault="00C623D7" w:rsidP="00C623D7">
      <w:pPr>
        <w:pStyle w:val="FigureNo"/>
        <w:rPr>
          <w:rtl/>
        </w:rPr>
      </w:pPr>
      <w:r>
        <w:rPr>
          <w:rtl/>
        </w:rPr>
        <w:t>الشكل 5</w:t>
      </w:r>
    </w:p>
    <w:p w14:paraId="7FAC3183" w14:textId="77777777" w:rsidR="00C623D7" w:rsidRDefault="00C623D7" w:rsidP="00C623D7">
      <w:pPr>
        <w:pStyle w:val="Figuretitle"/>
        <w:rPr>
          <w:rtl/>
        </w:rPr>
      </w:pPr>
      <w:r>
        <w:rPr>
          <w:rtl/>
        </w:rPr>
        <w:t>تطور حساب رأس مال صندوق تنمية تكنولوجيا المعلومات والاتصالات</w:t>
      </w:r>
      <w:r>
        <w:br/>
      </w:r>
      <w:r>
        <w:rPr>
          <w:rtl/>
        </w:rPr>
        <w:t>(بالدولار الأمريكي)</w:t>
      </w:r>
    </w:p>
    <w:p w14:paraId="0BF47BC2" w14:textId="5C116163" w:rsidR="00C623D7" w:rsidRDefault="00730035" w:rsidP="00C623D7">
      <w:pPr>
        <w:pStyle w:val="Figure"/>
        <w:rPr>
          <w:rtl/>
        </w:rPr>
      </w:pPr>
      <w:r>
        <w:rPr>
          <w:noProof/>
        </w:rPr>
        <w:drawing>
          <wp:inline distT="0" distB="0" distL="0" distR="0" wp14:anchorId="4F4B6BE8" wp14:editId="2A3E7B99">
            <wp:extent cx="5760000" cy="219696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000" cy="2196966"/>
                    </a:xfrm>
                    <a:prstGeom prst="rect">
                      <a:avLst/>
                    </a:prstGeom>
                    <a:noFill/>
                  </pic:spPr>
                </pic:pic>
              </a:graphicData>
            </a:graphic>
          </wp:inline>
        </w:drawing>
      </w:r>
    </w:p>
    <w:p w14:paraId="3D3C7D0C" w14:textId="77777777" w:rsidR="00C623D7" w:rsidRDefault="00C623D7" w:rsidP="00730035">
      <w:pPr>
        <w:spacing w:before="240"/>
        <w:rPr>
          <w:rtl/>
          <w:lang w:bidi="ar-EG"/>
        </w:rPr>
      </w:pPr>
      <w:r>
        <w:rPr>
          <w:lang w:bidi="ar-EG"/>
        </w:rPr>
        <w:lastRenderedPageBreak/>
        <w:t>3.4</w:t>
      </w:r>
      <w:r>
        <w:rPr>
          <w:rtl/>
          <w:lang w:bidi="ar-EG"/>
        </w:rPr>
        <w:tab/>
        <w:t xml:space="preserve">أُلغي القرار 11 (المراجَع في دبي، 2018) بشأن أحداث تليكوم الاتحاد في مؤتمر المندوبين المفوضين (بوخارست، 2022). ووافق المؤتمر أيضاً على التوصية (انظر </w:t>
      </w:r>
      <w:hyperlink r:id="rId34" w:history="1">
        <w:r w:rsidRPr="00BC0187">
          <w:rPr>
            <w:rStyle w:val="Hyperlink"/>
            <w:noProof w:val="0"/>
            <w:rtl/>
            <w:lang w:val="en-US" w:eastAsia="zh-CN" w:bidi="ar-EG"/>
          </w:rPr>
          <w:t>محضر الجلسة العامة السادسة عشرة</w:t>
        </w:r>
      </w:hyperlink>
      <w:r>
        <w:rPr>
          <w:rtl/>
          <w:lang w:bidi="ar-EG"/>
        </w:rPr>
        <w:t xml:space="preserve"> (القسم 3.2)) بإلغاء "القرار 11 (المراجَع في دبي، 2018) </w:t>
      </w:r>
      <w:r w:rsidRPr="00BC0187">
        <w:rPr>
          <w:rtl/>
          <w:lang w:bidi="ar-EG"/>
        </w:rPr>
        <w:t>بشأن أحداث تليكوم الاتحاد ونتيجة لذلك تكلف الجلسة العامة المجلس بأن ينقل في دورته العادية الرصيد المتبقي من صندوق رأس المال العامل للمعارض إلى صندوق تنمية تكنولوجيا المعلومات والاتصالات</w:t>
      </w:r>
      <w:r>
        <w:rPr>
          <w:rtl/>
          <w:lang w:bidi="ar-EG"/>
        </w:rPr>
        <w:t xml:space="preserve">". وفي نهاية عام 2025، يبلغ الرصيد المتاح في صندوق رأس المال العامل للمعارض </w:t>
      </w:r>
      <w:r>
        <w:rPr>
          <w:lang w:bidi="ar-EG"/>
        </w:rPr>
        <w:t>188 350</w:t>
      </w:r>
      <w:r>
        <w:rPr>
          <w:rtl/>
          <w:lang w:bidi="ar-EG"/>
        </w:rPr>
        <w:t xml:space="preserve"> فرنكاً سويسرياً. غير أن الأموال المتبقية ستُحوّل بعد تصفية جميع الالتزامات المالية لتليكوم الاتحاد والإغلاق النهائي للحسابات. وسيُقدم تقرير عن الرصيد المتبقي المحتفظ به في صندوق رأس المال العامل للمعارض إلى المجلس في دورته لعام 2027.</w:t>
      </w:r>
    </w:p>
    <w:p w14:paraId="5495F858" w14:textId="77777777" w:rsidR="00C623D7" w:rsidRDefault="00C623D7" w:rsidP="00C623D7">
      <w:pPr>
        <w:rPr>
          <w:rtl/>
          <w:lang w:bidi="ar-EG"/>
        </w:rPr>
      </w:pPr>
      <w:r>
        <w:rPr>
          <w:lang w:bidi="ar-EG"/>
        </w:rPr>
        <w:t>4.4</w:t>
      </w:r>
      <w:r>
        <w:rPr>
          <w:rtl/>
          <w:lang w:bidi="ar-EG"/>
        </w:rPr>
        <w:tab/>
        <w:t xml:space="preserve">وعلى النحو المعروض في دورة المجلس لعام 2024، هناك خطوة أخرى لتجديد موارد صندوق تنمية تكنولوجيا المعلومات والاتصالات تتمثل في إعادة تحويل أي فائض في تكاليف الخدمات الإدارية والتشغيلية يتجاوز المبلغ المرصود لها في الميزانية السنوية اعتباراً من عام 2024 فصاعداً، إلى حساب رأس مال صندوق تنمية تكنولوجيا المعلومات والاتصالات، على أن يكون الغرض الأساسي من هذه الأموال هو دعم تنفيذ المشروع. وبعد اعتماد </w:t>
      </w:r>
      <w:hyperlink r:id="rId35" w:history="1">
        <w:r w:rsidRPr="00BC0187">
          <w:rPr>
            <w:rStyle w:val="Hyperlink"/>
            <w:noProof w:val="0"/>
            <w:rtl/>
            <w:lang w:val="en-US" w:eastAsia="zh-CN" w:bidi="ar-EG"/>
          </w:rPr>
          <w:t>القرار 1434</w:t>
        </w:r>
      </w:hyperlink>
      <w:r>
        <w:rPr>
          <w:rtl/>
          <w:lang w:bidi="ar-EG"/>
        </w:rPr>
        <w:t xml:space="preserve"> في</w:t>
      </w:r>
      <w:r>
        <w:rPr>
          <w:rFonts w:hint="eastAsia"/>
          <w:rtl/>
        </w:rPr>
        <w:t> </w:t>
      </w:r>
      <w:r>
        <w:rPr>
          <w:rtl/>
          <w:lang w:bidi="ar-EG"/>
        </w:rPr>
        <w:t xml:space="preserve">الجلسة العامة الثامنة للمجلس في دورته لعام 2025، حُوِّل مبلغ </w:t>
      </w:r>
      <w:r>
        <w:rPr>
          <w:lang w:bidi="ar-EG"/>
        </w:rPr>
        <w:t>524 000</w:t>
      </w:r>
      <w:r>
        <w:rPr>
          <w:rtl/>
          <w:lang w:bidi="ar-EG"/>
        </w:rPr>
        <w:t xml:space="preserve"> فرنك سويسري من فائض الخدمات الإدارية والتشغيلية لعام 2024 إلى حساب رأس مال الصندوق المذكور.</w:t>
      </w:r>
    </w:p>
    <w:p w14:paraId="186530A5" w14:textId="77777777" w:rsidR="00C623D7" w:rsidRDefault="00C623D7" w:rsidP="00C623D7">
      <w:pPr>
        <w:rPr>
          <w:rtl/>
          <w:lang w:bidi="ar-EG"/>
        </w:rPr>
      </w:pPr>
      <w:r>
        <w:rPr>
          <w:lang w:bidi="ar-EG"/>
        </w:rPr>
        <w:t>5.4</w:t>
      </w:r>
      <w:r>
        <w:rPr>
          <w:rtl/>
          <w:lang w:bidi="ar-EG"/>
        </w:rPr>
        <w:tab/>
        <w:t xml:space="preserve">وفي نهاية عام 2025، بلغت تكاليف الخدمات الإدارية والتشغيلية </w:t>
      </w:r>
      <w:r>
        <w:rPr>
          <w:lang w:bidi="ar-EG"/>
        </w:rPr>
        <w:t>1 459 800</w:t>
      </w:r>
      <w:r>
        <w:rPr>
          <w:rtl/>
          <w:lang w:bidi="ar-EG"/>
        </w:rPr>
        <w:t xml:space="preserve"> فرنك سويسري، أي بفائض قدره </w:t>
      </w:r>
      <w:r>
        <w:rPr>
          <w:lang w:bidi="ar-EG"/>
        </w:rPr>
        <w:t>559 800</w:t>
      </w:r>
      <w:r>
        <w:rPr>
          <w:rtl/>
          <w:lang w:bidi="ar-EG"/>
        </w:rPr>
        <w:t xml:space="preserve"> فرنك سويسري عن المبلغ المخطط له في الميزانية والبالغ </w:t>
      </w:r>
      <w:r>
        <w:rPr>
          <w:lang w:bidi="ar-EG"/>
        </w:rPr>
        <w:t>900 000</w:t>
      </w:r>
      <w:r>
        <w:rPr>
          <w:rtl/>
          <w:lang w:bidi="ar-EG"/>
        </w:rPr>
        <w:t xml:space="preserve"> فرنك سويسري.</w:t>
      </w:r>
    </w:p>
    <w:p w14:paraId="7D07FA43" w14:textId="77777777" w:rsidR="00C623D7" w:rsidRPr="009443EA" w:rsidRDefault="00C623D7" w:rsidP="00C623D7">
      <w:pPr>
        <w:rPr>
          <w:spacing w:val="-4"/>
          <w:rtl/>
          <w:lang w:bidi="ar-EG"/>
        </w:rPr>
      </w:pPr>
      <w:r w:rsidRPr="009443EA">
        <w:rPr>
          <w:spacing w:val="-4"/>
          <w:lang w:bidi="ar-EG"/>
        </w:rPr>
        <w:t>6.4</w:t>
      </w:r>
      <w:r w:rsidRPr="009443EA">
        <w:rPr>
          <w:spacing w:val="-4"/>
          <w:rtl/>
          <w:lang w:bidi="ar-EG"/>
        </w:rPr>
        <w:tab/>
        <w:t xml:space="preserve">ويرد مشروع القرار المتعلق بتحويل مبلغ </w:t>
      </w:r>
      <w:r w:rsidRPr="009443EA">
        <w:rPr>
          <w:spacing w:val="-4"/>
          <w:lang w:bidi="ar-EG"/>
        </w:rPr>
        <w:t>559 800</w:t>
      </w:r>
      <w:r w:rsidRPr="009443EA">
        <w:rPr>
          <w:spacing w:val="-4"/>
          <w:rtl/>
          <w:lang w:bidi="ar-EG"/>
        </w:rPr>
        <w:t xml:space="preserve"> فرنك سويسري من الفائض في تكاليف الخدمات الإدارية والتشغيلية إلى حساب رأس مال صندوق تنمية تكنولوجيا المعلومات والاتصالات في الوثيقة </w:t>
      </w:r>
      <w:r w:rsidRPr="009443EA">
        <w:rPr>
          <w:spacing w:val="-4"/>
          <w:lang w:bidi="ar-EG"/>
        </w:rPr>
        <w:t>C26/42</w:t>
      </w:r>
      <w:r w:rsidRPr="009443EA">
        <w:rPr>
          <w:spacing w:val="-4"/>
          <w:rtl/>
          <w:lang w:bidi="ar-EG"/>
        </w:rPr>
        <w:t xml:space="preserve"> للموافقة عليه في</w:t>
      </w:r>
      <w:r w:rsidRPr="009443EA">
        <w:rPr>
          <w:rFonts w:hint="eastAsia"/>
          <w:spacing w:val="-4"/>
          <w:rtl/>
        </w:rPr>
        <w:t> </w:t>
      </w:r>
      <w:r w:rsidRPr="009443EA">
        <w:rPr>
          <w:spacing w:val="-4"/>
          <w:rtl/>
          <w:lang w:bidi="ar-EG"/>
        </w:rPr>
        <w:t>دورة المجلس لعام 2026. وسيبلغ الرصيد المتاح لحساب رأس مال صندوق تنمية تكنولوجيا المعلومات والاتصالات (</w:t>
      </w:r>
      <w:r w:rsidRPr="009443EA">
        <w:rPr>
          <w:spacing w:val="-4"/>
          <w:lang w:bidi="ar-EG"/>
        </w:rPr>
        <w:t>ICT-DF</w:t>
      </w:r>
      <w:r w:rsidRPr="009443EA">
        <w:rPr>
          <w:spacing w:val="-4"/>
          <w:rtl/>
          <w:lang w:bidi="ar-EG"/>
        </w:rPr>
        <w:t xml:space="preserve">) بعد هذا التحويل </w:t>
      </w:r>
      <w:r>
        <w:rPr>
          <w:spacing w:val="-4"/>
          <w:lang w:bidi="ar-EG"/>
        </w:rPr>
        <w:t>3 438 097</w:t>
      </w:r>
      <w:r w:rsidRPr="009443EA">
        <w:rPr>
          <w:spacing w:val="-4"/>
          <w:rtl/>
          <w:lang w:bidi="ar-EG"/>
        </w:rPr>
        <w:t xml:space="preserve"> ‏فرنكاً سويسرياً.</w:t>
      </w:r>
      <w:r w:rsidRPr="009443EA">
        <w:rPr>
          <w:spacing w:val="-4"/>
          <w:cs/>
          <w:lang w:bidi="ar-EG"/>
        </w:rPr>
        <w:t>‎</w:t>
      </w:r>
    </w:p>
    <w:p w14:paraId="3618D1C1" w14:textId="77777777" w:rsidR="00C623D7" w:rsidRDefault="00C623D7" w:rsidP="00C623D7">
      <w:pPr>
        <w:pStyle w:val="Heading1"/>
        <w:rPr>
          <w:rtl/>
          <w:lang w:bidi="ar-EG"/>
        </w:rPr>
      </w:pPr>
      <w:r>
        <w:rPr>
          <w:lang w:bidi="ar-EG"/>
        </w:rPr>
        <w:t>5</w:t>
      </w:r>
      <w:r>
        <w:rPr>
          <w:rtl/>
          <w:lang w:bidi="ar-EG"/>
        </w:rPr>
        <w:tab/>
        <w:t>آفاق المستقبل</w:t>
      </w:r>
    </w:p>
    <w:p w14:paraId="7133A4DD" w14:textId="77777777" w:rsidR="00C623D7" w:rsidRDefault="00C623D7" w:rsidP="00C623D7">
      <w:pPr>
        <w:rPr>
          <w:rtl/>
          <w:lang w:bidi="ar-EG"/>
        </w:rPr>
      </w:pPr>
      <w:r>
        <w:rPr>
          <w:lang w:bidi="ar-EG"/>
        </w:rPr>
        <w:t>1.5</w:t>
      </w:r>
      <w:r>
        <w:rPr>
          <w:rtl/>
          <w:lang w:bidi="ar-EG"/>
        </w:rPr>
        <w:tab/>
        <w:t xml:space="preserve">سيجري تحليل وتحديث التقدم المحرز في تنفيذ مشاريع صندوق تنمية تكنولوجيا المعلومات والاتصالات بشكل منتظم عبر الرابط التالي: </w:t>
      </w:r>
      <w:hyperlink r:id="rId36" w:history="1">
        <w:r w:rsidRPr="00EA3760">
          <w:rPr>
            <w:rStyle w:val="Hyperlink"/>
            <w:noProof w:val="0"/>
            <w:lang w:val="en-US" w:eastAsia="zh-CN" w:bidi="ar-EG"/>
          </w:rPr>
          <w:t>http://www.itu.int/en/ITU-D/Projects/ICT-DF.aspx</w:t>
        </w:r>
      </w:hyperlink>
      <w:r>
        <w:rPr>
          <w:rtl/>
          <w:lang w:bidi="ar-EG"/>
        </w:rPr>
        <w:t>. وفي الاجتماع الحادي والسبعين للجنة التوجيهية لصندوق تنمية تكنولوجيا المعلومات والاتصالات الذي عُقِد في 28 يناير 2026، استُهِلَّ تقييم بشأن تنفيذ المشاريع الممولة بالاشتراك مع الصندوق.</w:t>
      </w:r>
    </w:p>
    <w:p w14:paraId="6548A4A0" w14:textId="77777777" w:rsidR="00C623D7" w:rsidRPr="001C5D0A" w:rsidRDefault="00C623D7" w:rsidP="00C623D7">
      <w:pPr>
        <w:rPr>
          <w:spacing w:val="2"/>
          <w:rtl/>
          <w:lang w:bidi="ar-EG"/>
        </w:rPr>
      </w:pPr>
      <w:r w:rsidRPr="001C5D0A">
        <w:rPr>
          <w:spacing w:val="2"/>
          <w:lang w:bidi="ar-EG"/>
        </w:rPr>
        <w:t>2.5</w:t>
      </w:r>
      <w:r w:rsidRPr="001C5D0A">
        <w:rPr>
          <w:spacing w:val="2"/>
          <w:rtl/>
          <w:lang w:bidi="ar-EG"/>
        </w:rPr>
        <w:tab/>
        <w:t>وبالنظر إلى أن صندوق تنمية تكنولوجيا المعلومات والاتصالات يقوم على الطلب، وأن هدفه هو توفير تمويل أولي، ستواصل اللجنة التوجيهية لصندوق تنمية تكنولوجيا المعلومات والاتصالات النظر في مقترحات المشاريع استناداً إلى القواعد والمعايير مع بقائها ضمن حدود حساب رأس مال صندوق تنمية تكنولوجيا المعلومات والاتصالات، من أجل دعم تنمية الاتصالات/تكنولوجيا المعلومات والاتصالات في الدول الأعضاء في الاتحاد والمساهمة في تحقيق أهداف التنمية المستدامة.</w:t>
      </w:r>
    </w:p>
    <w:p w14:paraId="2EE06F29" w14:textId="77777777" w:rsidR="00C623D7" w:rsidRDefault="00C623D7" w:rsidP="00C623D7">
      <w:pPr>
        <w:rPr>
          <w:rtl/>
          <w:lang w:bidi="ar-EG"/>
        </w:rPr>
      </w:pPr>
      <w:r>
        <w:rPr>
          <w:lang w:bidi="ar-EG"/>
        </w:rPr>
        <w:t>3.5</w:t>
      </w:r>
      <w:r>
        <w:rPr>
          <w:rtl/>
          <w:lang w:bidi="ar-EG"/>
        </w:rPr>
        <w:tab/>
        <w:t>ومن المقرر إعادة تحويل أي فائض في تكاليف الخدمات الإدارية والتشغيلية يتجاوز المبلغ المرصود لها في</w:t>
      </w:r>
      <w:r>
        <w:rPr>
          <w:rFonts w:hint="eastAsia"/>
          <w:rtl/>
        </w:rPr>
        <w:t> </w:t>
      </w:r>
      <w:r>
        <w:rPr>
          <w:rtl/>
          <w:lang w:bidi="ar-EG"/>
        </w:rPr>
        <w:t>الميزانية السنوية اعتباراً من عام 2024 فصاعداً إلى حساب رأس مال صندوق تنمية تكنولوجيا المعلومات والاتصالات، على أن يكون الغرض الرئيسي من هذه الأموال هو دعم تنفيذ المشروع.</w:t>
      </w:r>
    </w:p>
    <w:p w14:paraId="731533FC" w14:textId="77777777" w:rsidR="00C623D7" w:rsidRDefault="00C623D7" w:rsidP="00C623D7">
      <w:pPr>
        <w:rPr>
          <w:rtl/>
          <w:lang w:bidi="ar-EG"/>
        </w:rPr>
      </w:pPr>
      <w:r>
        <w:rPr>
          <w:lang w:bidi="ar-EG"/>
        </w:rPr>
        <w:t>4.5</w:t>
      </w:r>
      <w:r>
        <w:rPr>
          <w:rtl/>
          <w:lang w:bidi="ar-EG"/>
        </w:rPr>
        <w:tab/>
        <w:t>ولاستدامة صندوق تنمية تكنولوجيا المعلومات والاتصالات واستمراريته في المستقبل على المدى الطويل، يشجع أعضاء الاتحاد على النظر في تقديم مساهمات طوعية جديدة إلى حساب رأس مال صندوق تنمية تكنولوجيا المعلومات والاتصالات الذي ثبتت فعاليته في دعم مشاريع التنمية.</w:t>
      </w:r>
    </w:p>
    <w:p w14:paraId="0F783E50" w14:textId="77777777" w:rsidR="00C623D7" w:rsidRDefault="00C623D7" w:rsidP="00C623D7">
      <w:pPr>
        <w:rPr>
          <w:rtl/>
          <w:lang w:bidi="ar-EG"/>
        </w:rPr>
      </w:pPr>
      <w:r>
        <w:rPr>
          <w:lang w:bidi="ar-EG"/>
        </w:rPr>
        <w:t>5.5</w:t>
      </w:r>
      <w:r>
        <w:rPr>
          <w:rtl/>
          <w:lang w:bidi="ar-EG"/>
        </w:rPr>
        <w:tab/>
        <w:t>ويتواصل اتخاذ خطوات للحصول على موافقة الشركاء الممولين على تحويل أي أموال متبقية بعد تنفيذ المشاريع إلى حساب رأس مال صندوق تنمية تكنولوجيا المعلومات والاتصالات.</w:t>
      </w:r>
    </w:p>
    <w:p w14:paraId="12FB4EF8" w14:textId="77777777" w:rsidR="00C623D7" w:rsidRDefault="00C623D7" w:rsidP="00C623D7">
      <w:pPr>
        <w:rPr>
          <w:rtl/>
          <w:lang w:bidi="ar-EG"/>
        </w:rPr>
      </w:pPr>
      <w:r>
        <w:rPr>
          <w:rtl/>
          <w:lang w:bidi="ar-EG"/>
        </w:rPr>
        <w:t xml:space="preserve">ويُدعى المجلس إلى </w:t>
      </w:r>
      <w:r w:rsidRPr="00287D15">
        <w:rPr>
          <w:b/>
          <w:bCs/>
          <w:rtl/>
          <w:lang w:bidi="ar-EG"/>
        </w:rPr>
        <w:t>الإحاطة علماً</w:t>
      </w:r>
      <w:r>
        <w:rPr>
          <w:rtl/>
          <w:lang w:bidi="ar-EG"/>
        </w:rPr>
        <w:t xml:space="preserve"> بهذا التقرير و</w:t>
      </w:r>
      <w:r w:rsidRPr="00287D15">
        <w:rPr>
          <w:b/>
          <w:bCs/>
          <w:rtl/>
          <w:lang w:bidi="ar-EG"/>
        </w:rPr>
        <w:t>إسداء المشورة</w:t>
      </w:r>
      <w:r>
        <w:rPr>
          <w:rtl/>
          <w:lang w:bidi="ar-EG"/>
        </w:rPr>
        <w:t xml:space="preserve"> التي يراها مناسبة.</w:t>
      </w:r>
    </w:p>
    <w:p w14:paraId="5EAB7FAB"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37"/>
      <w:headerReference w:type="first" r:id="rId38"/>
      <w:footerReference w:type="first" r:id="rId39"/>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4E1E" w14:textId="77777777" w:rsidR="00673EE3" w:rsidRDefault="00673EE3" w:rsidP="006C3242">
      <w:pPr>
        <w:spacing w:before="0" w:line="240" w:lineRule="auto"/>
      </w:pPr>
      <w:r>
        <w:separator/>
      </w:r>
    </w:p>
  </w:endnote>
  <w:endnote w:type="continuationSeparator" w:id="0">
    <w:p w14:paraId="5345E735" w14:textId="77777777" w:rsidR="00673EE3" w:rsidRDefault="00673EE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3731331B" w14:textId="77777777" w:rsidTr="00A67F05">
      <w:trPr>
        <w:jc w:val="center"/>
      </w:trPr>
      <w:tc>
        <w:tcPr>
          <w:tcW w:w="868" w:type="pct"/>
          <w:vAlign w:val="center"/>
        </w:tcPr>
        <w:p w14:paraId="5FB196EE" w14:textId="68411722" w:rsidR="00F50E3F" w:rsidRPr="007B0AA0" w:rsidRDefault="00C623D7" w:rsidP="002D78B9">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Pr>
              <w:rFonts w:ascii="Calibri" w:hAnsi="Calibri" w:cs="Arial"/>
              <w:sz w:val="18"/>
              <w:szCs w:val="14"/>
            </w:rPr>
            <w:t>2600463</w:t>
          </w:r>
        </w:p>
      </w:tc>
      <w:tc>
        <w:tcPr>
          <w:tcW w:w="3912" w:type="pct"/>
        </w:tcPr>
        <w:p w14:paraId="3AF814F5" w14:textId="22F21B30" w:rsidR="00F50E3F" w:rsidRPr="007B0AA0" w:rsidRDefault="00F50E3F" w:rsidP="002D78B9">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C623D7">
            <w:rPr>
              <w:rFonts w:ascii="Calibri" w:hAnsi="Calibri" w:cs="Arial"/>
              <w:bCs/>
              <w:color w:val="7F7F7F"/>
              <w:sz w:val="18"/>
            </w:rPr>
            <w:t>34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A48D571" w14:textId="77777777" w:rsidR="00F50E3F" w:rsidRPr="007B0AA0" w:rsidRDefault="00F50E3F" w:rsidP="002D78B9">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5827197"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034E5F4" w14:textId="77777777" w:rsidTr="00A67F05">
      <w:trPr>
        <w:jc w:val="center"/>
      </w:trPr>
      <w:tc>
        <w:tcPr>
          <w:tcW w:w="1013" w:type="pct"/>
          <w:vAlign w:val="center"/>
        </w:tcPr>
        <w:p w14:paraId="36BD5293" w14:textId="77777777" w:rsidR="007B0AA0" w:rsidRPr="000116AF" w:rsidRDefault="000116AF" w:rsidP="002D78B9">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1815B283" w14:textId="101B0762" w:rsidR="007B0AA0" w:rsidRPr="007B0AA0" w:rsidRDefault="007B0AA0" w:rsidP="002D78B9">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C623D7">
            <w:rPr>
              <w:rFonts w:ascii="Calibri" w:hAnsi="Calibri" w:cs="Arial"/>
              <w:bCs/>
              <w:color w:val="7F7F7F"/>
              <w:sz w:val="18"/>
            </w:rPr>
            <w:t>34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36E0EA7" w14:textId="77777777" w:rsidR="007B0AA0" w:rsidRPr="007B0AA0" w:rsidRDefault="00F50E3F" w:rsidP="002D78B9">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866677C"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DB1CA" w14:textId="77777777" w:rsidR="00673EE3" w:rsidRDefault="00673EE3" w:rsidP="006C3242">
      <w:pPr>
        <w:spacing w:before="0" w:line="240" w:lineRule="auto"/>
      </w:pPr>
      <w:r>
        <w:separator/>
      </w:r>
    </w:p>
  </w:footnote>
  <w:footnote w:type="continuationSeparator" w:id="0">
    <w:p w14:paraId="1DA765A1" w14:textId="77777777" w:rsidR="00673EE3" w:rsidRDefault="00673EE3" w:rsidP="006C3242">
      <w:pPr>
        <w:spacing w:before="0" w:line="240" w:lineRule="auto"/>
      </w:pPr>
      <w:r>
        <w:continuationSeparator/>
      </w:r>
    </w:p>
  </w:footnote>
  <w:footnote w:id="1">
    <w:p w14:paraId="3396DFCC" w14:textId="77777777" w:rsidR="00C60709" w:rsidRPr="00C60709" w:rsidRDefault="00C60709" w:rsidP="00C60709">
      <w:pPr>
        <w:pStyle w:val="FootnoteText"/>
        <w:ind w:left="397" w:hanging="397"/>
        <w:rPr>
          <w:sz w:val="18"/>
          <w:szCs w:val="18"/>
        </w:rPr>
      </w:pPr>
      <w:r w:rsidRPr="00C60709">
        <w:rPr>
          <w:rStyle w:val="FootnoteReference"/>
          <w:position w:val="0"/>
        </w:rPr>
        <w:footnoteRef/>
      </w:r>
      <w:r w:rsidRPr="00C60709">
        <w:rPr>
          <w:sz w:val="18"/>
          <w:szCs w:val="18"/>
          <w:rtl/>
        </w:rPr>
        <w:tab/>
        <w:t>تتألف اللجنة التوجيهية لصندوق تنمية تكنولوجيا المعلومات والاتصالات (</w:t>
      </w:r>
      <w:r w:rsidRPr="00C60709">
        <w:rPr>
          <w:sz w:val="18"/>
          <w:szCs w:val="18"/>
        </w:rPr>
        <w:t>ICT-DF SC</w:t>
      </w:r>
      <w:r w:rsidRPr="00C60709">
        <w:rPr>
          <w:sz w:val="18"/>
          <w:szCs w:val="18"/>
          <w:rtl/>
        </w:rPr>
        <w:t>) من الأمينة العامة للاتحاد (الرئيسة) ونائب الأمينة العامة ومدير مكتب تنمية الاتصالات.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B5FF" w14:textId="77777777" w:rsidR="001A3E13" w:rsidRPr="00057769" w:rsidRDefault="001A3E13" w:rsidP="001A3E13">
    <w:pPr>
      <w:pStyle w:val="Header"/>
    </w:pPr>
    <w:r>
      <w:rPr>
        <w:noProof/>
      </w:rPr>
      <w:drawing>
        <wp:inline distT="0" distB="0" distL="0" distR="0" wp14:anchorId="254D7B71" wp14:editId="28856ADB">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EE3"/>
    <w:rsid w:val="000116AF"/>
    <w:rsid w:val="0006468A"/>
    <w:rsid w:val="00077A58"/>
    <w:rsid w:val="00090574"/>
    <w:rsid w:val="000C1C0E"/>
    <w:rsid w:val="000C548A"/>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D78B9"/>
    <w:rsid w:val="002E6541"/>
    <w:rsid w:val="0031104E"/>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409AC"/>
    <w:rsid w:val="005434E0"/>
    <w:rsid w:val="005546CF"/>
    <w:rsid w:val="0055516A"/>
    <w:rsid w:val="0058491B"/>
    <w:rsid w:val="00592EA5"/>
    <w:rsid w:val="005A3170"/>
    <w:rsid w:val="00657019"/>
    <w:rsid w:val="00660DEA"/>
    <w:rsid w:val="00673EE3"/>
    <w:rsid w:val="00677396"/>
    <w:rsid w:val="00683F16"/>
    <w:rsid w:val="0069200F"/>
    <w:rsid w:val="006A65CB"/>
    <w:rsid w:val="006B12E5"/>
    <w:rsid w:val="006C3242"/>
    <w:rsid w:val="006C7CC0"/>
    <w:rsid w:val="006F363C"/>
    <w:rsid w:val="006F5E43"/>
    <w:rsid w:val="006F63F7"/>
    <w:rsid w:val="007025C7"/>
    <w:rsid w:val="00706D7A"/>
    <w:rsid w:val="00722F0D"/>
    <w:rsid w:val="00730035"/>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F84"/>
    <w:rsid w:val="0091702E"/>
    <w:rsid w:val="00923B0C"/>
    <w:rsid w:val="00924F46"/>
    <w:rsid w:val="00935AAC"/>
    <w:rsid w:val="0093725D"/>
    <w:rsid w:val="0094021C"/>
    <w:rsid w:val="00952F86"/>
    <w:rsid w:val="0096716C"/>
    <w:rsid w:val="00982B28"/>
    <w:rsid w:val="009868AC"/>
    <w:rsid w:val="009D313F"/>
    <w:rsid w:val="00A47A5A"/>
    <w:rsid w:val="00A63AE6"/>
    <w:rsid w:val="00A6683B"/>
    <w:rsid w:val="00A67F05"/>
    <w:rsid w:val="00A9011C"/>
    <w:rsid w:val="00A97F94"/>
    <w:rsid w:val="00AA7EA2"/>
    <w:rsid w:val="00AB5A56"/>
    <w:rsid w:val="00B03099"/>
    <w:rsid w:val="00B05BC8"/>
    <w:rsid w:val="00B30F5E"/>
    <w:rsid w:val="00B64B47"/>
    <w:rsid w:val="00B95654"/>
    <w:rsid w:val="00B97F32"/>
    <w:rsid w:val="00BA04B2"/>
    <w:rsid w:val="00C002DE"/>
    <w:rsid w:val="00C0602B"/>
    <w:rsid w:val="00C224DA"/>
    <w:rsid w:val="00C53BF8"/>
    <w:rsid w:val="00C60709"/>
    <w:rsid w:val="00C623D7"/>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45211"/>
    <w:rsid w:val="00E473C5"/>
    <w:rsid w:val="00E61BE8"/>
    <w:rsid w:val="00E83FF1"/>
    <w:rsid w:val="00E92863"/>
    <w:rsid w:val="00E979B2"/>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309EB"/>
  <w15:chartTrackingRefBased/>
  <w15:docId w15:val="{73481B74-0035-4280-9A65-FF5B6894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customStyle="1" w:styleId="Figure">
    <w:name w:val="Figure"/>
    <w:basedOn w:val="Normal"/>
    <w:qFormat/>
    <w:rsid w:val="00C623D7"/>
    <w:pPr>
      <w:spacing w:before="240" w:line="240" w:lineRule="auto"/>
      <w:jc w:val="center"/>
    </w:pPr>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md/S11-CL-C-0106/en" TargetMode="External"/><Relationship Id="rId18" Type="http://schemas.openxmlformats.org/officeDocument/2006/relationships/hyperlink" Target="https://www.itu.int/md/S24-CL-C-0019/en" TargetMode="External"/><Relationship Id="rId26" Type="http://schemas.openxmlformats.org/officeDocument/2006/relationships/hyperlink" Target="https://www.itu.int/itu-d/sites/projects/home/projects/" TargetMode="External"/><Relationship Id="rId39" Type="http://schemas.openxmlformats.org/officeDocument/2006/relationships/footer" Target="footer2.xml"/><Relationship Id="rId21" Type="http://schemas.openxmlformats.org/officeDocument/2006/relationships/hyperlink" Target="https://www.itu.int/md/S25-CL-C-0043/en" TargetMode="External"/><Relationship Id="rId34" Type="http://schemas.openxmlformats.org/officeDocument/2006/relationships/hyperlink" Target="https://www.itu.int/md/S22-PP-C-0206/e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S25-CL-C-0118/en" TargetMode="External"/><Relationship Id="rId20" Type="http://schemas.openxmlformats.org/officeDocument/2006/relationships/hyperlink" Target="https://www.itu.int/md/S25-CL-C-0034/en" TargetMode="External"/><Relationship Id="rId29" Type="http://schemas.openxmlformats.org/officeDocument/2006/relationships/image" Target="media/image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2-PP-C-0206/en" TargetMode="External"/><Relationship Id="rId24" Type="http://schemas.openxmlformats.org/officeDocument/2006/relationships/hyperlink" Target="http://www.itu.int/en/ITU-D/Partners/Pages/ICT-DF/default.aspx" TargetMode="External"/><Relationship Id="rId32" Type="http://schemas.openxmlformats.org/officeDocument/2006/relationships/hyperlink" Target="https://www.itu.int/md/S26-CL-INF-0003/en"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S24-CL-C-0134/en" TargetMode="External"/><Relationship Id="rId23" Type="http://schemas.openxmlformats.org/officeDocument/2006/relationships/hyperlink" Target="https://www.itu.int/md/S26-CL-INF-0003/en" TargetMode="External"/><Relationship Id="rId28" Type="http://schemas.openxmlformats.org/officeDocument/2006/relationships/image" Target="media/image1.png"/><Relationship Id="rId36" Type="http://schemas.openxmlformats.org/officeDocument/2006/relationships/hyperlink" Target="http://www.itu.int/en/ITU-D/Projects/ICT-DF.aspx" TargetMode="External"/><Relationship Id="rId10" Type="http://schemas.openxmlformats.org/officeDocument/2006/relationships/hyperlink" Target="https://www.itu.int/pub/S-CONF-ACTF-2022" TargetMode="External"/><Relationship Id="rId19" Type="http://schemas.openxmlformats.org/officeDocument/2006/relationships/hyperlink" Target="https://www.itu.int/md/S24-CL-C-0034/en"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itu.int/en/council/Documents/basic-texts/RES-011-a.pdf" TargetMode="External"/><Relationship Id="rId14" Type="http://schemas.openxmlformats.org/officeDocument/2006/relationships/hyperlink" Target="https://www.itu.int/md/S23-CL-C-0116/en" TargetMode="External"/><Relationship Id="rId22" Type="http://schemas.openxmlformats.org/officeDocument/2006/relationships/hyperlink" Target="https://www.itu.int/md/S26-CL-C-0042/en" TargetMode="External"/><Relationship Id="rId27" Type="http://schemas.openxmlformats.org/officeDocument/2006/relationships/hyperlink" Target="https://www.itu.int/md/S26-CL-INF-0003/en" TargetMode="External"/><Relationship Id="rId30" Type="http://schemas.openxmlformats.org/officeDocument/2006/relationships/image" Target="media/image3.png"/><Relationship Id="rId35" Type="http://schemas.openxmlformats.org/officeDocument/2006/relationships/hyperlink" Target="https://www.itu.int/md/S25-CL-C-0118/en" TargetMode="External"/><Relationship Id="rId8" Type="http://schemas.openxmlformats.org/officeDocument/2006/relationships/hyperlink" Target="https://www.itu.int/md/S26-CL-C-0042/en" TargetMode="External"/><Relationship Id="rId3" Type="http://schemas.openxmlformats.org/officeDocument/2006/relationships/styles" Target="styles.xml"/><Relationship Id="rId12" Type="http://schemas.openxmlformats.org/officeDocument/2006/relationships/hyperlink" Target="https://www.itu.int/itudoc/gs/council/c97/docs/res/131.html" TargetMode="External"/><Relationship Id="rId17" Type="http://schemas.openxmlformats.org/officeDocument/2006/relationships/hyperlink" Target="https://www.itu.int/md/S23-CL-C-0034/en" TargetMode="External"/><Relationship Id="rId25" Type="http://schemas.openxmlformats.org/officeDocument/2006/relationships/hyperlink" Target="https://www.itu.int/md/S23-CL-C-0116/en" TargetMode="External"/><Relationship Id="rId33" Type="http://schemas.openxmlformats.org/officeDocument/2006/relationships/image" Target="media/image5.png"/><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6</Pages>
  <Words>1757</Words>
  <Characters>11442</Characters>
  <Application>Microsoft Office Word</Application>
  <DocSecurity>0</DocSecurity>
  <Lines>635</Lines>
  <Paragraphs>399</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and Communication Technologies Development Fund (ICT-DF)</dc:title>
  <dc:subject>ITU Council 2026</dc:subject>
  <cp:keywords>C26; C2026; Council 2026; PP26</cp:keywords>
  <dc:description/>
  <dcterms:created xsi:type="dcterms:W3CDTF">2026-04-08T14:01:00Z</dcterms:created>
  <dcterms:modified xsi:type="dcterms:W3CDTF">2026-04-08T14:01:00Z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