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AC2DC0" w14:paraId="4C984E62" w14:textId="77777777" w:rsidTr="00C4421B">
        <w:trPr>
          <w:cantSplit/>
          <w:trHeight w:val="23"/>
        </w:trPr>
        <w:tc>
          <w:tcPr>
            <w:tcW w:w="3969" w:type="dxa"/>
            <w:vMerge w:val="restart"/>
            <w:tcMar>
              <w:left w:w="0" w:type="dxa"/>
            </w:tcMar>
          </w:tcPr>
          <w:p w14:paraId="2A1E17B3" w14:textId="440B56AE" w:rsidR="00FE57F6" w:rsidRPr="00AC2DC0" w:rsidRDefault="00836D1D" w:rsidP="00C4421B">
            <w:pPr>
              <w:tabs>
                <w:tab w:val="left" w:pos="851"/>
              </w:tabs>
              <w:spacing w:before="0" w:line="240" w:lineRule="atLeast"/>
              <w:rPr>
                <w:b/>
                <w:lang w:val="es-ES"/>
              </w:rPr>
            </w:pPr>
            <w:bookmarkStart w:id="0" w:name="_Hlk133421839"/>
            <w:r w:rsidRPr="00AC2DC0">
              <w:rPr>
                <w:b/>
                <w:lang w:val="es-ES"/>
              </w:rPr>
              <w:t>Punto del o</w:t>
            </w:r>
            <w:r w:rsidR="00BB6FD8" w:rsidRPr="00AC2DC0">
              <w:rPr>
                <w:b/>
                <w:lang w:val="es-ES"/>
              </w:rPr>
              <w:t>rden del día</w:t>
            </w:r>
            <w:r w:rsidR="00FE57F6" w:rsidRPr="00AC2DC0">
              <w:rPr>
                <w:b/>
                <w:lang w:val="es-ES"/>
              </w:rPr>
              <w:t xml:space="preserve">: </w:t>
            </w:r>
            <w:r w:rsidRPr="00AC2DC0">
              <w:rPr>
                <w:b/>
                <w:lang w:val="es-ES"/>
              </w:rPr>
              <w:t>PL-2</w:t>
            </w:r>
          </w:p>
        </w:tc>
        <w:tc>
          <w:tcPr>
            <w:tcW w:w="5245" w:type="dxa"/>
          </w:tcPr>
          <w:p w14:paraId="5F80004C" w14:textId="57998C52" w:rsidR="00FE57F6" w:rsidRPr="00AC2DC0" w:rsidRDefault="00FE57F6" w:rsidP="00C4421B">
            <w:pPr>
              <w:tabs>
                <w:tab w:val="left" w:pos="851"/>
              </w:tabs>
              <w:spacing w:before="0" w:line="240" w:lineRule="atLeast"/>
              <w:jc w:val="right"/>
              <w:rPr>
                <w:b/>
                <w:lang w:val="es-ES"/>
              </w:rPr>
            </w:pPr>
            <w:r w:rsidRPr="00AC2DC0">
              <w:rPr>
                <w:b/>
                <w:lang w:val="es-ES"/>
              </w:rPr>
              <w:t>Document</w:t>
            </w:r>
            <w:r w:rsidR="00F24B71" w:rsidRPr="00AC2DC0">
              <w:rPr>
                <w:b/>
                <w:lang w:val="es-ES"/>
              </w:rPr>
              <w:t>o</w:t>
            </w:r>
            <w:r w:rsidRPr="00AC2DC0">
              <w:rPr>
                <w:b/>
                <w:lang w:val="es-ES"/>
              </w:rPr>
              <w:t xml:space="preserve"> C2</w:t>
            </w:r>
            <w:r w:rsidR="00F85E5C" w:rsidRPr="00AC2DC0">
              <w:rPr>
                <w:b/>
                <w:lang w:val="es-ES"/>
              </w:rPr>
              <w:t>6</w:t>
            </w:r>
            <w:r w:rsidRPr="00AC2DC0">
              <w:rPr>
                <w:b/>
                <w:lang w:val="es-ES"/>
              </w:rPr>
              <w:t>/</w:t>
            </w:r>
            <w:r w:rsidR="00836D1D" w:rsidRPr="00AC2DC0">
              <w:rPr>
                <w:b/>
                <w:lang w:val="es-ES"/>
              </w:rPr>
              <w:t>33</w:t>
            </w:r>
            <w:r w:rsidRPr="00AC2DC0">
              <w:rPr>
                <w:b/>
                <w:lang w:val="es-ES"/>
              </w:rPr>
              <w:t>-</w:t>
            </w:r>
            <w:r w:rsidR="00F24B71" w:rsidRPr="00AC2DC0">
              <w:rPr>
                <w:b/>
                <w:lang w:val="es-ES"/>
              </w:rPr>
              <w:t>S</w:t>
            </w:r>
          </w:p>
        </w:tc>
      </w:tr>
      <w:tr w:rsidR="00FE57F6" w:rsidRPr="00AC2DC0" w14:paraId="385014AC" w14:textId="77777777" w:rsidTr="00C4421B">
        <w:trPr>
          <w:cantSplit/>
        </w:trPr>
        <w:tc>
          <w:tcPr>
            <w:tcW w:w="3969" w:type="dxa"/>
            <w:vMerge/>
          </w:tcPr>
          <w:p w14:paraId="0A03D93A" w14:textId="77777777" w:rsidR="00FE57F6" w:rsidRPr="00AC2DC0" w:rsidRDefault="00FE57F6" w:rsidP="00C4421B">
            <w:pPr>
              <w:tabs>
                <w:tab w:val="left" w:pos="851"/>
              </w:tabs>
              <w:spacing w:line="240" w:lineRule="atLeast"/>
              <w:rPr>
                <w:b/>
                <w:lang w:val="es-ES"/>
              </w:rPr>
            </w:pPr>
          </w:p>
        </w:tc>
        <w:tc>
          <w:tcPr>
            <w:tcW w:w="5245" w:type="dxa"/>
          </w:tcPr>
          <w:p w14:paraId="50B12E75" w14:textId="4457A6C1" w:rsidR="00FE57F6" w:rsidRPr="00AC2DC0" w:rsidRDefault="00836D1D" w:rsidP="00C4421B">
            <w:pPr>
              <w:tabs>
                <w:tab w:val="left" w:pos="851"/>
              </w:tabs>
              <w:spacing w:before="0"/>
              <w:jc w:val="right"/>
              <w:rPr>
                <w:b/>
                <w:lang w:val="es-ES"/>
              </w:rPr>
            </w:pPr>
            <w:r w:rsidRPr="00AC2DC0">
              <w:rPr>
                <w:b/>
                <w:lang w:val="es-ES"/>
              </w:rPr>
              <w:t>27 de marzo de 2026</w:t>
            </w:r>
          </w:p>
        </w:tc>
      </w:tr>
      <w:tr w:rsidR="00FE57F6" w:rsidRPr="00AC2DC0" w14:paraId="11AF1B63" w14:textId="77777777" w:rsidTr="00C4421B">
        <w:trPr>
          <w:cantSplit/>
          <w:trHeight w:val="23"/>
        </w:trPr>
        <w:tc>
          <w:tcPr>
            <w:tcW w:w="3969" w:type="dxa"/>
            <w:vMerge/>
          </w:tcPr>
          <w:p w14:paraId="7335DFFA" w14:textId="77777777" w:rsidR="00FE57F6" w:rsidRPr="00AC2DC0" w:rsidRDefault="00FE57F6" w:rsidP="00C4421B">
            <w:pPr>
              <w:tabs>
                <w:tab w:val="left" w:pos="851"/>
              </w:tabs>
              <w:spacing w:line="240" w:lineRule="atLeast"/>
              <w:rPr>
                <w:b/>
                <w:lang w:val="es-ES"/>
              </w:rPr>
            </w:pPr>
          </w:p>
        </w:tc>
        <w:tc>
          <w:tcPr>
            <w:tcW w:w="5245" w:type="dxa"/>
          </w:tcPr>
          <w:p w14:paraId="74DE5D52" w14:textId="77777777" w:rsidR="00FE57F6" w:rsidRPr="00AC2DC0" w:rsidRDefault="00F24B71" w:rsidP="00C4421B">
            <w:pPr>
              <w:tabs>
                <w:tab w:val="left" w:pos="851"/>
              </w:tabs>
              <w:spacing w:before="0" w:line="240" w:lineRule="atLeast"/>
              <w:jc w:val="right"/>
              <w:rPr>
                <w:b/>
                <w:bCs/>
                <w:lang w:val="es-ES"/>
              </w:rPr>
            </w:pPr>
            <w:r w:rsidRPr="00AC2DC0">
              <w:rPr>
                <w:rFonts w:cstheme="minorHAnsi"/>
                <w:b/>
                <w:bCs/>
                <w:lang w:val="es-ES"/>
              </w:rPr>
              <w:t>Original: inglés</w:t>
            </w:r>
          </w:p>
        </w:tc>
      </w:tr>
      <w:tr w:rsidR="00FE57F6" w:rsidRPr="00AC2DC0" w14:paraId="64728B29" w14:textId="77777777" w:rsidTr="00C4421B">
        <w:trPr>
          <w:cantSplit/>
          <w:trHeight w:val="23"/>
        </w:trPr>
        <w:tc>
          <w:tcPr>
            <w:tcW w:w="3969" w:type="dxa"/>
          </w:tcPr>
          <w:p w14:paraId="05BA5D8A" w14:textId="77777777" w:rsidR="00FE57F6" w:rsidRPr="00AC2DC0" w:rsidRDefault="00FE57F6" w:rsidP="00C4421B">
            <w:pPr>
              <w:tabs>
                <w:tab w:val="left" w:pos="851"/>
              </w:tabs>
              <w:spacing w:line="240" w:lineRule="atLeast"/>
              <w:rPr>
                <w:b/>
                <w:lang w:val="es-ES"/>
              </w:rPr>
            </w:pPr>
          </w:p>
        </w:tc>
        <w:tc>
          <w:tcPr>
            <w:tcW w:w="5245" w:type="dxa"/>
          </w:tcPr>
          <w:p w14:paraId="59A32FED" w14:textId="77777777" w:rsidR="00FE57F6" w:rsidRPr="00AC2DC0" w:rsidRDefault="00FE57F6" w:rsidP="00C4421B">
            <w:pPr>
              <w:tabs>
                <w:tab w:val="left" w:pos="851"/>
              </w:tabs>
              <w:spacing w:before="0" w:line="240" w:lineRule="atLeast"/>
              <w:jc w:val="right"/>
              <w:rPr>
                <w:b/>
                <w:lang w:val="es-ES"/>
              </w:rPr>
            </w:pPr>
          </w:p>
        </w:tc>
      </w:tr>
      <w:tr w:rsidR="00FE57F6" w:rsidRPr="00904957" w14:paraId="68652F0B" w14:textId="77777777" w:rsidTr="00C4421B">
        <w:trPr>
          <w:cantSplit/>
        </w:trPr>
        <w:tc>
          <w:tcPr>
            <w:tcW w:w="9214" w:type="dxa"/>
            <w:gridSpan w:val="2"/>
            <w:tcMar>
              <w:left w:w="0" w:type="dxa"/>
            </w:tcMar>
          </w:tcPr>
          <w:p w14:paraId="19518B99" w14:textId="77777777" w:rsidR="00FE57F6" w:rsidRPr="00AC2DC0" w:rsidRDefault="00157AC4" w:rsidP="00AF6C8A">
            <w:pPr>
              <w:pStyle w:val="Source"/>
              <w:framePr w:hSpace="0" w:wrap="auto" w:vAnchor="margin" w:hAnchor="text" w:xAlign="left" w:yAlign="inline"/>
            </w:pPr>
            <w:r w:rsidRPr="00AF6C8A">
              <w:t>Informe</w:t>
            </w:r>
            <w:r w:rsidRPr="00AC2DC0">
              <w:t xml:space="preserve"> de la Secretaria General</w:t>
            </w:r>
          </w:p>
        </w:tc>
      </w:tr>
      <w:tr w:rsidR="00FE57F6" w:rsidRPr="00904957" w14:paraId="531985C8" w14:textId="77777777" w:rsidTr="00C4421B">
        <w:trPr>
          <w:cantSplit/>
        </w:trPr>
        <w:tc>
          <w:tcPr>
            <w:tcW w:w="9214" w:type="dxa"/>
            <w:gridSpan w:val="2"/>
            <w:tcMar>
              <w:left w:w="0" w:type="dxa"/>
            </w:tcMar>
          </w:tcPr>
          <w:p w14:paraId="0CCA9742" w14:textId="43552601" w:rsidR="00FE57F6" w:rsidRPr="00AC2DC0" w:rsidRDefault="00904957" w:rsidP="00AF6C8A">
            <w:pPr>
              <w:pStyle w:val="Subtitle"/>
              <w:framePr w:hSpace="0" w:wrap="auto" w:hAnchor="text" w:xAlign="left" w:yAlign="inline"/>
              <w:spacing w:after="120"/>
              <w:rPr>
                <w:lang w:val="es-ES"/>
              </w:rPr>
            </w:pPr>
            <w:r w:rsidRPr="00AC2DC0">
              <w:rPr>
                <w:color w:val="000000"/>
                <w:lang w:val="es-ES"/>
              </w:rPr>
              <w:t>Actividades de la UIT en el ámbito de Internet:</w:t>
            </w:r>
            <w:r>
              <w:rPr>
                <w:color w:val="000000"/>
                <w:lang w:val="es-ES"/>
              </w:rPr>
              <w:t xml:space="preserve"> </w:t>
            </w:r>
            <w:r w:rsidRPr="00AC2DC0">
              <w:rPr>
                <w:color w:val="000000"/>
                <w:lang w:val="es-ES"/>
              </w:rPr>
              <w:t>Resoluciones 101, 102, 133, 180 y 206</w:t>
            </w:r>
          </w:p>
        </w:tc>
      </w:tr>
      <w:tr w:rsidR="00FE57F6" w:rsidRPr="00904957" w14:paraId="79242547" w14:textId="77777777" w:rsidTr="00C4421B">
        <w:trPr>
          <w:cantSplit/>
        </w:trPr>
        <w:tc>
          <w:tcPr>
            <w:tcW w:w="9214" w:type="dxa"/>
            <w:gridSpan w:val="2"/>
            <w:tcBorders>
              <w:top w:val="single" w:sz="4" w:space="0" w:color="auto"/>
              <w:bottom w:val="single" w:sz="4" w:space="0" w:color="auto"/>
            </w:tcBorders>
            <w:tcMar>
              <w:left w:w="0" w:type="dxa"/>
            </w:tcMar>
          </w:tcPr>
          <w:p w14:paraId="152E3C73" w14:textId="77777777" w:rsidR="00FE57F6" w:rsidRPr="00AC2DC0" w:rsidRDefault="00F24B71" w:rsidP="00C4421B">
            <w:pPr>
              <w:spacing w:before="160"/>
              <w:rPr>
                <w:b/>
                <w:bCs/>
                <w:sz w:val="26"/>
                <w:szCs w:val="26"/>
                <w:lang w:val="es-ES"/>
              </w:rPr>
            </w:pPr>
            <w:r w:rsidRPr="00AC2DC0">
              <w:rPr>
                <w:b/>
                <w:bCs/>
                <w:sz w:val="26"/>
                <w:szCs w:val="26"/>
                <w:lang w:val="es-ES"/>
              </w:rPr>
              <w:t>Finalidad</w:t>
            </w:r>
          </w:p>
          <w:p w14:paraId="29D1C5BF" w14:textId="44E9DBA7" w:rsidR="00FE57F6" w:rsidRPr="00AC2DC0" w:rsidRDefault="00836D1D" w:rsidP="00AF6C8A">
            <w:pPr>
              <w:spacing w:before="100"/>
              <w:jc w:val="both"/>
              <w:rPr>
                <w:lang w:val="es-ES"/>
              </w:rPr>
            </w:pPr>
            <w:r w:rsidRPr="00AC2DC0">
              <w:rPr>
                <w:lang w:val="es-ES"/>
              </w:rPr>
              <w:t>En el presente informe se resumen las actividades de la UIT relacionadas con la Resolución</w:t>
            </w:r>
            <w:r w:rsidR="0084233B" w:rsidRPr="00AC2DC0">
              <w:rPr>
                <w:lang w:val="es-ES"/>
              </w:rPr>
              <w:t> </w:t>
            </w:r>
            <w:r w:rsidRPr="00AC2DC0">
              <w:rPr>
                <w:lang w:val="es-ES"/>
              </w:rPr>
              <w:t>101 (Rev. Bucarest, 2022) de la Conferencia de Plenipotenciarios (PP), "Redes basadas en el protocolo Internet"; la Resolución 102 (Rev. Bucarest, 2022), "Función de la UIT con respecto a las cuestiones de política pública internacional relacionadas con Internet y la gestión de los recursos de Internet, incluidos los nombres de dominio y las direcciones"; la Resolución 133 (Rev. Bucarest, 2022), "Función de las Administraciones de los Estados Miembros en la gestión de los nombres de dominio internacionalizados (plurilingües)"; la Resolución 180 (Rev. Bucarest, 2022), "Promoción del despliegue del Protocolo de Internet versión 6"; y la Resolución 206 (Dubái, 2018), "OTT".</w:t>
            </w:r>
          </w:p>
          <w:p w14:paraId="6F9BEC2D" w14:textId="77777777" w:rsidR="00FE57F6" w:rsidRPr="00AC2DC0" w:rsidRDefault="00F24B71" w:rsidP="00C4421B">
            <w:pPr>
              <w:spacing w:before="160"/>
              <w:rPr>
                <w:b/>
                <w:bCs/>
                <w:sz w:val="26"/>
                <w:szCs w:val="26"/>
                <w:lang w:val="es-ES"/>
              </w:rPr>
            </w:pPr>
            <w:r w:rsidRPr="00AC2DC0">
              <w:rPr>
                <w:b/>
                <w:bCs/>
                <w:sz w:val="26"/>
                <w:szCs w:val="26"/>
                <w:lang w:val="es-ES"/>
              </w:rPr>
              <w:t xml:space="preserve">Acción solicitada </w:t>
            </w:r>
            <w:r w:rsidR="00677A97" w:rsidRPr="00AC2DC0">
              <w:rPr>
                <w:b/>
                <w:bCs/>
                <w:sz w:val="26"/>
                <w:szCs w:val="26"/>
                <w:lang w:val="es-ES"/>
              </w:rPr>
              <w:t>al</w:t>
            </w:r>
            <w:r w:rsidRPr="00AC2DC0">
              <w:rPr>
                <w:b/>
                <w:bCs/>
                <w:sz w:val="26"/>
                <w:szCs w:val="26"/>
                <w:lang w:val="es-ES"/>
              </w:rPr>
              <w:t xml:space="preserve"> Consejo</w:t>
            </w:r>
          </w:p>
          <w:p w14:paraId="4BC0789A" w14:textId="752E3057" w:rsidR="00F92BED" w:rsidRPr="00AC2DC0" w:rsidRDefault="00836D1D" w:rsidP="00AF6C8A">
            <w:pPr>
              <w:spacing w:before="100"/>
              <w:jc w:val="both"/>
              <w:rPr>
                <w:szCs w:val="24"/>
                <w:lang w:val="es-ES"/>
              </w:rPr>
            </w:pPr>
            <w:r w:rsidRPr="00AC2DC0">
              <w:rPr>
                <w:color w:val="000000"/>
                <w:lang w:val="es-ES"/>
              </w:rPr>
              <w:t xml:space="preserve">Se invita al Consejo a </w:t>
            </w:r>
            <w:r w:rsidRPr="00AC2DC0">
              <w:rPr>
                <w:b/>
                <w:bCs/>
                <w:color w:val="000000"/>
                <w:lang w:val="es-ES"/>
              </w:rPr>
              <w:t>tomar nota</w:t>
            </w:r>
            <w:r w:rsidRPr="00AC2DC0">
              <w:rPr>
                <w:color w:val="000000"/>
                <w:lang w:val="es-ES"/>
              </w:rPr>
              <w:t xml:space="preserve"> del informe. También se invita al Consejo a </w:t>
            </w:r>
            <w:r w:rsidRPr="00AC2DC0">
              <w:rPr>
                <w:b/>
                <w:bCs/>
                <w:color w:val="000000"/>
                <w:lang w:val="es-ES"/>
              </w:rPr>
              <w:t>refrendar</w:t>
            </w:r>
            <w:r w:rsidRPr="00AC2DC0">
              <w:rPr>
                <w:color w:val="000000"/>
                <w:lang w:val="es-ES"/>
              </w:rPr>
              <w:t xml:space="preserve"> la transmisión del Informe, junto con la recopilación de opiniones de los Estados Miembros del Consejo y los correspondientes resúmenes de los debates y una nota de presentación, al Secretario General de las Naciones Unidas.</w:t>
            </w:r>
          </w:p>
          <w:p w14:paraId="31DF8855" w14:textId="77777777" w:rsidR="00F92BED" w:rsidRPr="00AC2DC0" w:rsidRDefault="00F92BED" w:rsidP="00C4421B">
            <w:pPr>
              <w:spacing w:before="160"/>
              <w:rPr>
                <w:b/>
                <w:bCs/>
                <w:sz w:val="26"/>
                <w:szCs w:val="26"/>
                <w:lang w:val="es-ES"/>
              </w:rPr>
            </w:pPr>
            <w:r w:rsidRPr="00AC2DC0">
              <w:rPr>
                <w:b/>
                <w:bCs/>
                <w:sz w:val="26"/>
                <w:szCs w:val="26"/>
                <w:lang w:val="es-ES"/>
              </w:rPr>
              <w:t>Vínculo(s) pertinente(s) con el Plan Estratégico</w:t>
            </w:r>
          </w:p>
          <w:p w14:paraId="677DFD4B" w14:textId="3F3BD3B4" w:rsidR="00F92BED" w:rsidRPr="00AC2DC0" w:rsidRDefault="00836D1D" w:rsidP="00AF6C8A">
            <w:pPr>
              <w:spacing w:before="100"/>
              <w:jc w:val="both"/>
              <w:rPr>
                <w:lang w:val="es-ES"/>
              </w:rPr>
            </w:pPr>
            <w:r w:rsidRPr="00AC2DC0">
              <w:rPr>
                <w:color w:val="000000"/>
                <w:lang w:val="es-ES"/>
              </w:rPr>
              <w:t>Elaboración de normas internacionales; plataforma de convocación; desarrollo de capacidades; prestación de asistencia técnica.</w:t>
            </w:r>
          </w:p>
          <w:p w14:paraId="676B0CF8" w14:textId="77777777" w:rsidR="00F92BED" w:rsidRPr="00AC2DC0" w:rsidRDefault="00F92BED" w:rsidP="00C4421B">
            <w:pPr>
              <w:spacing w:before="160"/>
              <w:rPr>
                <w:b/>
                <w:bCs/>
                <w:sz w:val="26"/>
                <w:szCs w:val="26"/>
                <w:lang w:val="es-ES"/>
              </w:rPr>
            </w:pPr>
            <w:r w:rsidRPr="00AC2DC0">
              <w:rPr>
                <w:b/>
                <w:bCs/>
                <w:sz w:val="26"/>
                <w:szCs w:val="26"/>
                <w:lang w:val="es-ES"/>
              </w:rPr>
              <w:t>Repercusiones financieras</w:t>
            </w:r>
          </w:p>
          <w:p w14:paraId="10DD876C" w14:textId="187952C9" w:rsidR="00F92BED" w:rsidRPr="00AC2DC0" w:rsidRDefault="00836D1D" w:rsidP="00904957">
            <w:pPr>
              <w:spacing w:before="100"/>
              <w:rPr>
                <w:lang w:val="es-ES"/>
              </w:rPr>
            </w:pPr>
            <w:r w:rsidRPr="00AC2DC0">
              <w:rPr>
                <w:color w:val="000000"/>
                <w:lang w:val="es-ES"/>
              </w:rPr>
              <w:t>Con cargo al presupuesto asignado para 2025-2026.</w:t>
            </w:r>
          </w:p>
          <w:p w14:paraId="1DA10158" w14:textId="77777777" w:rsidR="00FE57F6" w:rsidRPr="00AC2DC0" w:rsidRDefault="00FE57F6" w:rsidP="00904957">
            <w:pPr>
              <w:spacing w:before="0"/>
              <w:rPr>
                <w:caps/>
                <w:sz w:val="22"/>
                <w:lang w:val="es-ES"/>
              </w:rPr>
            </w:pPr>
            <w:r w:rsidRPr="00AC2DC0">
              <w:rPr>
                <w:sz w:val="22"/>
                <w:lang w:val="es-ES"/>
              </w:rPr>
              <w:t>__________________</w:t>
            </w:r>
          </w:p>
          <w:p w14:paraId="44BD4EE8" w14:textId="77777777" w:rsidR="00FE57F6" w:rsidRPr="00AC2DC0" w:rsidRDefault="00F24B71" w:rsidP="00C4421B">
            <w:pPr>
              <w:spacing w:before="160"/>
              <w:rPr>
                <w:b/>
                <w:bCs/>
                <w:sz w:val="26"/>
                <w:szCs w:val="26"/>
                <w:lang w:val="es-ES"/>
              </w:rPr>
            </w:pPr>
            <w:r w:rsidRPr="00AC2DC0">
              <w:rPr>
                <w:b/>
                <w:bCs/>
                <w:sz w:val="26"/>
                <w:szCs w:val="26"/>
                <w:lang w:val="es-ES"/>
              </w:rPr>
              <w:t>Referencia</w:t>
            </w:r>
            <w:r w:rsidR="00F92BED" w:rsidRPr="00AC2DC0">
              <w:rPr>
                <w:b/>
                <w:bCs/>
                <w:sz w:val="26"/>
                <w:szCs w:val="26"/>
                <w:lang w:val="es-ES"/>
              </w:rPr>
              <w:t>s</w:t>
            </w:r>
            <w:r w:rsidR="00D375E0" w:rsidRPr="00AC2DC0">
              <w:rPr>
                <w:sz w:val="26"/>
                <w:szCs w:val="26"/>
                <w:lang w:val="es-ES"/>
              </w:rPr>
              <w:t xml:space="preserve"> </w:t>
            </w:r>
          </w:p>
          <w:p w14:paraId="2D88EE21" w14:textId="3327F86E" w:rsidR="00FE57F6" w:rsidRPr="00904957" w:rsidRDefault="00836D1D" w:rsidP="00904957">
            <w:pPr>
              <w:spacing w:after="120"/>
              <w:rPr>
                <w:i/>
                <w:iCs/>
                <w:spacing w:val="-3"/>
                <w:sz w:val="21"/>
                <w:szCs w:val="21"/>
                <w:lang w:val="es-ES"/>
              </w:rPr>
            </w:pPr>
            <w:r w:rsidRPr="00904957">
              <w:rPr>
                <w:i/>
                <w:iCs/>
                <w:color w:val="000000"/>
                <w:spacing w:val="-3"/>
                <w:sz w:val="21"/>
                <w:szCs w:val="21"/>
                <w:lang w:val="es-ES"/>
              </w:rPr>
              <w:t xml:space="preserve">Resoluciones </w:t>
            </w:r>
            <w:hyperlink r:id="rId6" w:history="1">
              <w:r w:rsidRPr="00904957">
                <w:rPr>
                  <w:rStyle w:val="Hyperlink"/>
                  <w:i/>
                  <w:iCs/>
                  <w:spacing w:val="-3"/>
                  <w:sz w:val="21"/>
                  <w:szCs w:val="21"/>
                  <w:lang w:val="es-ES"/>
                </w:rPr>
                <w:t>101</w:t>
              </w:r>
            </w:hyperlink>
            <w:r w:rsidRPr="00904957">
              <w:rPr>
                <w:i/>
                <w:iCs/>
                <w:color w:val="000000"/>
                <w:spacing w:val="-3"/>
                <w:sz w:val="21"/>
                <w:szCs w:val="21"/>
                <w:lang w:val="es-ES"/>
              </w:rPr>
              <w:t xml:space="preserve">, </w:t>
            </w:r>
            <w:hyperlink r:id="rId7" w:history="1">
              <w:r w:rsidRPr="00904957">
                <w:rPr>
                  <w:rStyle w:val="Hyperlink"/>
                  <w:i/>
                  <w:iCs/>
                  <w:spacing w:val="-3"/>
                  <w:sz w:val="21"/>
                  <w:szCs w:val="21"/>
                  <w:lang w:val="es-ES"/>
                </w:rPr>
                <w:t>102</w:t>
              </w:r>
            </w:hyperlink>
            <w:r w:rsidRPr="00904957">
              <w:rPr>
                <w:i/>
                <w:iCs/>
                <w:color w:val="000000"/>
                <w:spacing w:val="-3"/>
                <w:sz w:val="21"/>
                <w:szCs w:val="21"/>
                <w:lang w:val="es-ES"/>
              </w:rPr>
              <w:t xml:space="preserve">, </w:t>
            </w:r>
            <w:hyperlink r:id="rId8" w:history="1">
              <w:r w:rsidRPr="00904957">
                <w:rPr>
                  <w:rStyle w:val="Hyperlink"/>
                  <w:i/>
                  <w:iCs/>
                  <w:spacing w:val="-3"/>
                  <w:sz w:val="21"/>
                  <w:szCs w:val="21"/>
                  <w:lang w:val="es-ES"/>
                </w:rPr>
                <w:t>133</w:t>
              </w:r>
            </w:hyperlink>
            <w:r w:rsidRPr="00904957">
              <w:rPr>
                <w:i/>
                <w:iCs/>
                <w:color w:val="000000"/>
                <w:spacing w:val="-3"/>
                <w:sz w:val="21"/>
                <w:szCs w:val="21"/>
                <w:lang w:val="es-ES"/>
              </w:rPr>
              <w:t xml:space="preserve">, </w:t>
            </w:r>
            <w:hyperlink r:id="rId9" w:history="1">
              <w:r w:rsidRPr="00904957">
                <w:rPr>
                  <w:rStyle w:val="Hyperlink"/>
                  <w:i/>
                  <w:iCs/>
                  <w:spacing w:val="-3"/>
                  <w:sz w:val="21"/>
                  <w:szCs w:val="21"/>
                  <w:lang w:val="es-ES"/>
                </w:rPr>
                <w:t>180</w:t>
              </w:r>
            </w:hyperlink>
            <w:r w:rsidRPr="00904957">
              <w:rPr>
                <w:i/>
                <w:iCs/>
                <w:color w:val="000000"/>
                <w:spacing w:val="-3"/>
                <w:sz w:val="21"/>
                <w:szCs w:val="21"/>
                <w:lang w:val="es-ES"/>
              </w:rPr>
              <w:t xml:space="preserve"> (Rev. Bucarest, 2022) y </w:t>
            </w:r>
            <w:hyperlink r:id="rId10" w:history="1">
              <w:r w:rsidRPr="00904957">
                <w:rPr>
                  <w:rStyle w:val="Hyperlink"/>
                  <w:i/>
                  <w:iCs/>
                  <w:spacing w:val="-3"/>
                  <w:sz w:val="21"/>
                  <w:szCs w:val="21"/>
                  <w:lang w:val="es-ES"/>
                </w:rPr>
                <w:t>206</w:t>
              </w:r>
            </w:hyperlink>
            <w:r w:rsidRPr="00904957">
              <w:rPr>
                <w:i/>
                <w:iCs/>
                <w:color w:val="000000"/>
                <w:spacing w:val="-3"/>
                <w:sz w:val="21"/>
                <w:szCs w:val="21"/>
                <w:lang w:val="es-ES"/>
              </w:rPr>
              <w:t xml:space="preserve"> (Dubái, 2018) de la Conferencia de Plenipotenciarios;</w:t>
            </w:r>
            <w:r w:rsidRPr="00904957">
              <w:rPr>
                <w:color w:val="000000"/>
                <w:spacing w:val="-3"/>
                <w:sz w:val="21"/>
                <w:szCs w:val="21"/>
                <w:lang w:val="es-ES"/>
              </w:rPr>
              <w:t xml:space="preserve"> </w:t>
            </w:r>
            <w:r w:rsidRPr="00904957">
              <w:rPr>
                <w:i/>
                <w:iCs/>
                <w:color w:val="000000"/>
                <w:spacing w:val="-3"/>
                <w:sz w:val="21"/>
                <w:szCs w:val="21"/>
                <w:lang w:val="es-ES"/>
              </w:rPr>
              <w:t xml:space="preserve">Resoluciones </w:t>
            </w:r>
            <w:hyperlink r:id="rId11" w:history="1">
              <w:r w:rsidRPr="00904957">
                <w:rPr>
                  <w:rStyle w:val="Hyperlink"/>
                  <w:i/>
                  <w:iCs/>
                  <w:spacing w:val="-3"/>
                  <w:sz w:val="21"/>
                  <w:szCs w:val="21"/>
                  <w:lang w:val="es-ES"/>
                </w:rPr>
                <w:t>1305 (</w:t>
              </w:r>
              <w:proofErr w:type="spellStart"/>
              <w:r w:rsidRPr="00904957">
                <w:rPr>
                  <w:rStyle w:val="Hyperlink"/>
                  <w:i/>
                  <w:iCs/>
                  <w:spacing w:val="-3"/>
                  <w:sz w:val="21"/>
                  <w:szCs w:val="21"/>
                  <w:lang w:val="es-ES"/>
                </w:rPr>
                <w:t>C09</w:t>
              </w:r>
              <w:proofErr w:type="spellEnd"/>
              <w:r w:rsidRPr="00904957">
                <w:rPr>
                  <w:rStyle w:val="Hyperlink"/>
                  <w:i/>
                  <w:iCs/>
                  <w:spacing w:val="-3"/>
                  <w:sz w:val="21"/>
                  <w:szCs w:val="21"/>
                  <w:lang w:val="es-ES"/>
                </w:rPr>
                <w:t>)</w:t>
              </w:r>
            </w:hyperlink>
            <w:r w:rsidRPr="00904957">
              <w:rPr>
                <w:i/>
                <w:iCs/>
                <w:color w:val="000000"/>
                <w:spacing w:val="-3"/>
                <w:sz w:val="21"/>
                <w:szCs w:val="21"/>
                <w:lang w:val="es-ES"/>
              </w:rPr>
              <w:t xml:space="preserve">, </w:t>
            </w:r>
            <w:hyperlink r:id="rId12" w:history="1">
              <w:r w:rsidRPr="00904957">
                <w:rPr>
                  <w:rStyle w:val="Hyperlink"/>
                  <w:i/>
                  <w:iCs/>
                  <w:spacing w:val="-3"/>
                  <w:sz w:val="21"/>
                  <w:szCs w:val="21"/>
                  <w:lang w:val="es-ES"/>
                </w:rPr>
                <w:t>1336 (Mod.</w:t>
              </w:r>
              <w:r w:rsidRPr="00904957">
                <w:rPr>
                  <w:rStyle w:val="Hyperlink"/>
                  <w:spacing w:val="-3"/>
                  <w:sz w:val="21"/>
                  <w:szCs w:val="21"/>
                  <w:lang w:val="es-ES"/>
                </w:rPr>
                <w:t xml:space="preserve"> </w:t>
              </w:r>
              <w:r w:rsidRPr="00904957">
                <w:rPr>
                  <w:rStyle w:val="Hyperlink"/>
                  <w:i/>
                  <w:iCs/>
                  <w:spacing w:val="-3"/>
                  <w:sz w:val="21"/>
                  <w:szCs w:val="21"/>
                  <w:lang w:val="es-ES"/>
                </w:rPr>
                <w:t>2015)</w:t>
              </w:r>
            </w:hyperlink>
            <w:r w:rsidRPr="00904957">
              <w:rPr>
                <w:i/>
                <w:iCs/>
                <w:color w:val="000000"/>
                <w:spacing w:val="-3"/>
                <w:sz w:val="21"/>
                <w:szCs w:val="21"/>
                <w:lang w:val="es-ES"/>
              </w:rPr>
              <w:t>;</w:t>
            </w:r>
            <w:r w:rsidRPr="00904957">
              <w:rPr>
                <w:color w:val="000000"/>
                <w:spacing w:val="-3"/>
                <w:sz w:val="21"/>
                <w:szCs w:val="21"/>
                <w:lang w:val="es-ES"/>
              </w:rPr>
              <w:t xml:space="preserve"> </w:t>
            </w:r>
            <w:r w:rsidRPr="00904957">
              <w:rPr>
                <w:i/>
                <w:iCs/>
                <w:color w:val="000000"/>
                <w:spacing w:val="-3"/>
                <w:sz w:val="21"/>
                <w:szCs w:val="21"/>
                <w:lang w:val="es-ES"/>
              </w:rPr>
              <w:t xml:space="preserve">las Resoluciones </w:t>
            </w:r>
            <w:hyperlink r:id="rId13" w:history="1">
              <w:r w:rsidRPr="00904957">
                <w:rPr>
                  <w:rStyle w:val="Hyperlink"/>
                  <w:i/>
                  <w:iCs/>
                  <w:spacing w:val="-3"/>
                  <w:sz w:val="21"/>
                  <w:szCs w:val="21"/>
                  <w:lang w:val="es-ES"/>
                </w:rPr>
                <w:t>47 (Rev.</w:t>
              </w:r>
              <w:r w:rsidR="001C7361" w:rsidRPr="00904957">
                <w:rPr>
                  <w:rStyle w:val="Hyperlink"/>
                  <w:i/>
                  <w:iCs/>
                  <w:spacing w:val="-3"/>
                  <w:sz w:val="21"/>
                  <w:szCs w:val="21"/>
                  <w:lang w:val="es-ES"/>
                </w:rPr>
                <w:t> </w:t>
              </w:r>
              <w:r w:rsidRPr="00904957">
                <w:rPr>
                  <w:rStyle w:val="Hyperlink"/>
                  <w:i/>
                  <w:iCs/>
                  <w:spacing w:val="-3"/>
                  <w:sz w:val="21"/>
                  <w:szCs w:val="21"/>
                  <w:lang w:val="es-ES"/>
                </w:rPr>
                <w:t>Dubái, 2012)</w:t>
              </w:r>
            </w:hyperlink>
            <w:r w:rsidRPr="00904957">
              <w:rPr>
                <w:i/>
                <w:iCs/>
                <w:color w:val="000000"/>
                <w:spacing w:val="-3"/>
                <w:sz w:val="21"/>
                <w:szCs w:val="21"/>
                <w:lang w:val="es-ES"/>
              </w:rPr>
              <w:t xml:space="preserve">, </w:t>
            </w:r>
            <w:r w:rsidR="00AF6C8A">
              <w:rPr>
                <w:i/>
                <w:iCs/>
                <w:color w:val="000000"/>
                <w:spacing w:val="-3"/>
                <w:sz w:val="21"/>
                <w:szCs w:val="21"/>
                <w:lang w:val="es-ES"/>
              </w:rPr>
              <w:br/>
            </w:r>
            <w:hyperlink r:id="rId14" w:history="1">
              <w:r w:rsidRPr="00904957">
                <w:rPr>
                  <w:rStyle w:val="Hyperlink"/>
                  <w:i/>
                  <w:iCs/>
                  <w:spacing w:val="-3"/>
                  <w:sz w:val="21"/>
                  <w:szCs w:val="21"/>
                  <w:lang w:val="es-ES"/>
                </w:rPr>
                <w:t>48 (Rev. Nueva Delhi, 2024)</w:t>
              </w:r>
            </w:hyperlink>
            <w:r w:rsidRPr="00904957">
              <w:rPr>
                <w:i/>
                <w:iCs/>
                <w:color w:val="000000"/>
                <w:spacing w:val="-3"/>
                <w:sz w:val="21"/>
                <w:szCs w:val="21"/>
                <w:lang w:val="es-ES"/>
              </w:rPr>
              <w:t xml:space="preserve">, </w:t>
            </w:r>
            <w:hyperlink r:id="rId15" w:history="1">
              <w:r w:rsidRPr="00904957">
                <w:rPr>
                  <w:rStyle w:val="Hyperlink"/>
                  <w:i/>
                  <w:iCs/>
                  <w:spacing w:val="-3"/>
                  <w:sz w:val="21"/>
                  <w:szCs w:val="21"/>
                  <w:lang w:val="es-ES"/>
                </w:rPr>
                <w:t xml:space="preserve">49 (Rev. </w:t>
              </w:r>
              <w:proofErr w:type="spellStart"/>
              <w:r w:rsidRPr="00904957">
                <w:rPr>
                  <w:rStyle w:val="Hyperlink"/>
                  <w:i/>
                  <w:iCs/>
                  <w:spacing w:val="-3"/>
                  <w:sz w:val="21"/>
                  <w:szCs w:val="21"/>
                  <w:lang w:val="es-ES"/>
                </w:rPr>
                <w:t>Hammamet</w:t>
              </w:r>
              <w:proofErr w:type="spellEnd"/>
              <w:r w:rsidRPr="00904957">
                <w:rPr>
                  <w:rStyle w:val="Hyperlink"/>
                  <w:i/>
                  <w:iCs/>
                  <w:spacing w:val="-3"/>
                  <w:sz w:val="21"/>
                  <w:szCs w:val="21"/>
                  <w:lang w:val="es-ES"/>
                </w:rPr>
                <w:t>, 2016)</w:t>
              </w:r>
            </w:hyperlink>
            <w:r w:rsidRPr="00904957">
              <w:rPr>
                <w:i/>
                <w:iCs/>
                <w:color w:val="000000"/>
                <w:spacing w:val="-3"/>
                <w:sz w:val="21"/>
                <w:szCs w:val="21"/>
                <w:lang w:val="es-ES"/>
              </w:rPr>
              <w:t xml:space="preserve">, </w:t>
            </w:r>
            <w:hyperlink r:id="rId16" w:history="1">
              <w:r w:rsidRPr="00904957">
                <w:rPr>
                  <w:rStyle w:val="Hyperlink"/>
                  <w:i/>
                  <w:iCs/>
                  <w:spacing w:val="-3"/>
                  <w:sz w:val="21"/>
                  <w:szCs w:val="21"/>
                  <w:lang w:val="es-ES"/>
                </w:rPr>
                <w:t>50</w:t>
              </w:r>
            </w:hyperlink>
            <w:r w:rsidRPr="00904957">
              <w:rPr>
                <w:i/>
                <w:iCs/>
                <w:color w:val="000000"/>
                <w:spacing w:val="-3"/>
                <w:sz w:val="21"/>
                <w:szCs w:val="21"/>
                <w:lang w:val="es-ES"/>
              </w:rPr>
              <w:t xml:space="preserve">, </w:t>
            </w:r>
            <w:hyperlink r:id="rId17" w:history="1">
              <w:r w:rsidRPr="00904957">
                <w:rPr>
                  <w:rStyle w:val="Hyperlink"/>
                  <w:i/>
                  <w:iCs/>
                  <w:spacing w:val="-3"/>
                  <w:sz w:val="21"/>
                  <w:szCs w:val="21"/>
                  <w:lang w:val="es-ES"/>
                </w:rPr>
                <w:t>52</w:t>
              </w:r>
            </w:hyperlink>
            <w:r w:rsidRPr="00904957">
              <w:rPr>
                <w:i/>
                <w:iCs/>
                <w:color w:val="000000"/>
                <w:spacing w:val="-3"/>
                <w:sz w:val="21"/>
                <w:szCs w:val="21"/>
                <w:lang w:val="es-ES"/>
              </w:rPr>
              <w:t xml:space="preserve">, </w:t>
            </w:r>
            <w:hyperlink r:id="rId18" w:history="1">
              <w:r w:rsidRPr="00904957">
                <w:rPr>
                  <w:rStyle w:val="Hyperlink"/>
                  <w:i/>
                  <w:iCs/>
                  <w:spacing w:val="-3"/>
                  <w:sz w:val="21"/>
                  <w:szCs w:val="21"/>
                  <w:lang w:val="es-ES"/>
                </w:rPr>
                <w:t>58</w:t>
              </w:r>
            </w:hyperlink>
            <w:r w:rsidRPr="00904957">
              <w:rPr>
                <w:i/>
                <w:iCs/>
                <w:color w:val="000000"/>
                <w:spacing w:val="-3"/>
                <w:sz w:val="21"/>
                <w:szCs w:val="21"/>
                <w:lang w:val="es-ES"/>
              </w:rPr>
              <w:t xml:space="preserve">, </w:t>
            </w:r>
            <w:hyperlink r:id="rId19" w:history="1">
              <w:r w:rsidRPr="00904957">
                <w:rPr>
                  <w:rStyle w:val="Hyperlink"/>
                  <w:i/>
                  <w:iCs/>
                  <w:spacing w:val="-3"/>
                  <w:sz w:val="21"/>
                  <w:szCs w:val="21"/>
                  <w:lang w:val="es-ES"/>
                </w:rPr>
                <w:t>60</w:t>
              </w:r>
            </w:hyperlink>
            <w:r w:rsidRPr="00904957">
              <w:rPr>
                <w:i/>
                <w:iCs/>
                <w:color w:val="000000"/>
                <w:spacing w:val="-3"/>
                <w:sz w:val="21"/>
                <w:szCs w:val="21"/>
                <w:lang w:val="es-ES"/>
              </w:rPr>
              <w:t xml:space="preserve">, </w:t>
            </w:r>
            <w:hyperlink r:id="rId20" w:history="1">
              <w:r w:rsidRPr="00904957">
                <w:rPr>
                  <w:rStyle w:val="Hyperlink"/>
                  <w:i/>
                  <w:iCs/>
                  <w:spacing w:val="-3"/>
                  <w:sz w:val="21"/>
                  <w:szCs w:val="21"/>
                  <w:lang w:val="es-ES"/>
                </w:rPr>
                <w:t>64</w:t>
              </w:r>
            </w:hyperlink>
            <w:r w:rsidRPr="00904957">
              <w:rPr>
                <w:i/>
                <w:iCs/>
                <w:color w:val="000000"/>
                <w:spacing w:val="-3"/>
                <w:sz w:val="21"/>
                <w:szCs w:val="21"/>
                <w:lang w:val="es-ES"/>
              </w:rPr>
              <w:t xml:space="preserve"> (Rev. Nueva Delhi, 2024)</w:t>
            </w:r>
            <w:r w:rsidR="00FC268B" w:rsidRPr="00904957">
              <w:rPr>
                <w:i/>
                <w:iCs/>
                <w:color w:val="000000"/>
                <w:spacing w:val="-3"/>
                <w:sz w:val="21"/>
                <w:szCs w:val="21"/>
                <w:lang w:val="es-ES"/>
              </w:rPr>
              <w:t>,</w:t>
            </w:r>
            <w:hyperlink r:id="rId21" w:history="1">
              <w:r w:rsidR="00FC268B" w:rsidRPr="00904957">
                <w:rPr>
                  <w:rStyle w:val="Hyperlink"/>
                  <w:i/>
                  <w:iCs/>
                  <w:spacing w:val="-3"/>
                  <w:sz w:val="21"/>
                  <w:szCs w:val="21"/>
                  <w:lang w:val="es-ES"/>
                </w:rPr>
                <w:t>69 (Rev. </w:t>
              </w:r>
              <w:proofErr w:type="spellStart"/>
              <w:r w:rsidR="00FC268B" w:rsidRPr="00904957">
                <w:rPr>
                  <w:rStyle w:val="Hyperlink"/>
                  <w:i/>
                  <w:iCs/>
                  <w:spacing w:val="-3"/>
                  <w:sz w:val="21"/>
                  <w:szCs w:val="21"/>
                  <w:lang w:val="es-ES"/>
                </w:rPr>
                <w:t>Hammamet</w:t>
              </w:r>
              <w:proofErr w:type="spellEnd"/>
              <w:r w:rsidR="00FC268B" w:rsidRPr="00904957">
                <w:rPr>
                  <w:rStyle w:val="Hyperlink"/>
                  <w:i/>
                  <w:iCs/>
                  <w:spacing w:val="-3"/>
                  <w:sz w:val="21"/>
                  <w:szCs w:val="21"/>
                  <w:lang w:val="es-ES"/>
                </w:rPr>
                <w:t>, 2016)</w:t>
              </w:r>
            </w:hyperlink>
            <w:r w:rsidR="00FC268B" w:rsidRPr="00904957">
              <w:rPr>
                <w:i/>
                <w:iCs/>
                <w:spacing w:val="-3"/>
                <w:sz w:val="21"/>
                <w:szCs w:val="21"/>
                <w:lang w:val="es-ES"/>
              </w:rPr>
              <w:t xml:space="preserve">, </w:t>
            </w:r>
            <w:hyperlink r:id="rId22" w:history="1">
              <w:r w:rsidR="00FC268B" w:rsidRPr="00904957">
                <w:rPr>
                  <w:rStyle w:val="Hyperlink"/>
                  <w:i/>
                  <w:iCs/>
                  <w:spacing w:val="-3"/>
                  <w:sz w:val="21"/>
                  <w:szCs w:val="21"/>
                  <w:lang w:val="es-ES"/>
                </w:rPr>
                <w:t>75 (Rev. Ginebra, 2022)</w:t>
              </w:r>
            </w:hyperlink>
            <w:r w:rsidR="00FC268B" w:rsidRPr="00904957">
              <w:rPr>
                <w:i/>
                <w:iCs/>
                <w:spacing w:val="-3"/>
                <w:sz w:val="21"/>
                <w:szCs w:val="21"/>
                <w:lang w:val="es-ES"/>
              </w:rPr>
              <w:t xml:space="preserve">, </w:t>
            </w:r>
            <w:hyperlink r:id="rId23" w:history="1">
              <w:r w:rsidR="00FC268B" w:rsidRPr="00904957">
                <w:rPr>
                  <w:rStyle w:val="Hyperlink"/>
                  <w:i/>
                  <w:iCs/>
                  <w:spacing w:val="-3"/>
                  <w:sz w:val="21"/>
                  <w:szCs w:val="21"/>
                  <w:lang w:val="es-ES"/>
                </w:rPr>
                <w:t>98 (Rev. Nueva Delhi, 2024)</w:t>
              </w:r>
            </w:hyperlink>
            <w:r w:rsidRPr="00904957">
              <w:rPr>
                <w:i/>
                <w:iCs/>
                <w:color w:val="000000"/>
                <w:spacing w:val="-3"/>
                <w:sz w:val="21"/>
                <w:szCs w:val="21"/>
                <w:lang w:val="es-ES"/>
              </w:rPr>
              <w:t>;</w:t>
            </w:r>
            <w:r w:rsidR="00904957" w:rsidRPr="00904957">
              <w:rPr>
                <w:i/>
                <w:iCs/>
                <w:color w:val="000000"/>
                <w:spacing w:val="-3"/>
                <w:sz w:val="21"/>
                <w:szCs w:val="21"/>
                <w:lang w:val="es-ES"/>
              </w:rPr>
              <w:t xml:space="preserve"> </w:t>
            </w:r>
            <w:r w:rsidR="00AF6C8A">
              <w:rPr>
                <w:i/>
                <w:iCs/>
                <w:color w:val="000000"/>
                <w:spacing w:val="-3"/>
                <w:sz w:val="21"/>
                <w:szCs w:val="21"/>
                <w:lang w:val="es-ES"/>
              </w:rPr>
              <w:br/>
            </w:r>
            <w:r w:rsidRPr="00904957">
              <w:rPr>
                <w:i/>
                <w:iCs/>
                <w:color w:val="000000"/>
                <w:spacing w:val="-3"/>
                <w:sz w:val="21"/>
                <w:szCs w:val="21"/>
                <w:lang w:val="es-ES"/>
              </w:rPr>
              <w:t xml:space="preserve">Resoluciones </w:t>
            </w:r>
            <w:hyperlink r:id="rId24" w:history="1">
              <w:r w:rsidRPr="00904957">
                <w:rPr>
                  <w:rStyle w:val="Hyperlink"/>
                  <w:i/>
                  <w:iCs/>
                  <w:spacing w:val="-3"/>
                  <w:sz w:val="21"/>
                  <w:szCs w:val="21"/>
                  <w:lang w:val="es-ES"/>
                </w:rPr>
                <w:t>20 (Rev. Buenos Aires, 2017), 30, 45 y 63 (Rev. Kigali, 2022)</w:t>
              </w:r>
            </w:hyperlink>
            <w:r w:rsidRPr="00904957">
              <w:rPr>
                <w:i/>
                <w:iCs/>
                <w:color w:val="000000"/>
                <w:spacing w:val="-3"/>
                <w:sz w:val="21"/>
                <w:szCs w:val="21"/>
                <w:lang w:val="es-ES"/>
              </w:rPr>
              <w:t xml:space="preserve"> de la </w:t>
            </w:r>
            <w:proofErr w:type="spellStart"/>
            <w:r w:rsidRPr="00904957">
              <w:rPr>
                <w:i/>
                <w:iCs/>
                <w:color w:val="000000"/>
                <w:spacing w:val="-3"/>
                <w:sz w:val="21"/>
                <w:szCs w:val="21"/>
                <w:lang w:val="es-ES"/>
              </w:rPr>
              <w:t>CMDT</w:t>
            </w:r>
            <w:proofErr w:type="spellEnd"/>
            <w:r w:rsidRPr="00904957">
              <w:rPr>
                <w:i/>
                <w:iCs/>
                <w:color w:val="000000"/>
                <w:spacing w:val="-3"/>
                <w:sz w:val="21"/>
                <w:szCs w:val="21"/>
                <w:lang w:val="es-ES"/>
              </w:rPr>
              <w:t>;</w:t>
            </w:r>
            <w:r w:rsidRPr="00904957">
              <w:rPr>
                <w:color w:val="000000"/>
                <w:spacing w:val="-3"/>
                <w:sz w:val="21"/>
                <w:szCs w:val="21"/>
                <w:lang w:val="es-ES"/>
              </w:rPr>
              <w:t xml:space="preserve"> </w:t>
            </w:r>
            <w:hyperlink r:id="rId25" w:history="1">
              <w:r w:rsidRPr="00904957">
                <w:rPr>
                  <w:rStyle w:val="Hyperlink"/>
                  <w:i/>
                  <w:iCs/>
                  <w:spacing w:val="-3"/>
                  <w:sz w:val="21"/>
                  <w:szCs w:val="21"/>
                  <w:lang w:val="es-ES"/>
                </w:rPr>
                <w:t>Plan de Acción de Bakú</w:t>
              </w:r>
            </w:hyperlink>
            <w:r w:rsidRPr="00904957">
              <w:rPr>
                <w:i/>
                <w:iCs/>
                <w:color w:val="000000"/>
                <w:spacing w:val="-3"/>
                <w:sz w:val="21"/>
                <w:szCs w:val="21"/>
                <w:lang w:val="es-ES"/>
              </w:rPr>
              <w:t>;</w:t>
            </w:r>
            <w:r w:rsidRPr="00904957">
              <w:rPr>
                <w:color w:val="000000"/>
                <w:spacing w:val="-3"/>
                <w:sz w:val="21"/>
                <w:szCs w:val="21"/>
                <w:lang w:val="es-ES"/>
              </w:rPr>
              <w:t xml:space="preserve"> </w:t>
            </w:r>
            <w:r w:rsidRPr="00904957">
              <w:rPr>
                <w:i/>
                <w:iCs/>
                <w:color w:val="000000"/>
                <w:spacing w:val="-3"/>
                <w:sz w:val="21"/>
                <w:szCs w:val="21"/>
                <w:lang w:val="es-ES"/>
              </w:rPr>
              <w:t xml:space="preserve">Documentos </w:t>
            </w:r>
            <w:hyperlink r:id="rId26" w:history="1">
              <w:proofErr w:type="spellStart"/>
              <w:r w:rsidRPr="00904957">
                <w:rPr>
                  <w:rStyle w:val="Hyperlink"/>
                  <w:i/>
                  <w:iCs/>
                  <w:spacing w:val="-3"/>
                  <w:sz w:val="21"/>
                  <w:szCs w:val="21"/>
                  <w:lang w:val="es-ES"/>
                </w:rPr>
                <w:t>C16</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w:t>
            </w:r>
            <w:hyperlink r:id="rId27" w:history="1">
              <w:proofErr w:type="spellStart"/>
              <w:r w:rsidRPr="00904957">
                <w:rPr>
                  <w:rStyle w:val="Hyperlink"/>
                  <w:i/>
                  <w:iCs/>
                  <w:spacing w:val="-3"/>
                  <w:sz w:val="21"/>
                  <w:szCs w:val="21"/>
                  <w:lang w:val="es-ES"/>
                </w:rPr>
                <w:t>C17</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w:t>
            </w:r>
            <w:hyperlink r:id="rId28" w:history="1">
              <w:proofErr w:type="spellStart"/>
              <w:r w:rsidRPr="00904957">
                <w:rPr>
                  <w:rStyle w:val="Hyperlink"/>
                  <w:i/>
                  <w:iCs/>
                  <w:spacing w:val="-3"/>
                  <w:sz w:val="21"/>
                  <w:szCs w:val="21"/>
                  <w:lang w:val="es-ES"/>
                </w:rPr>
                <w:t>C18</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w:t>
            </w:r>
            <w:hyperlink r:id="rId29" w:history="1">
              <w:proofErr w:type="spellStart"/>
              <w:r w:rsidRPr="00904957">
                <w:rPr>
                  <w:rStyle w:val="Hyperlink"/>
                  <w:i/>
                  <w:iCs/>
                  <w:spacing w:val="-3"/>
                  <w:sz w:val="21"/>
                  <w:szCs w:val="21"/>
                  <w:lang w:val="es-ES"/>
                </w:rPr>
                <w:t>C19</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w:t>
            </w:r>
            <w:hyperlink r:id="rId30" w:history="1">
              <w:proofErr w:type="spellStart"/>
              <w:r w:rsidRPr="00904957">
                <w:rPr>
                  <w:rStyle w:val="Hyperlink"/>
                  <w:i/>
                  <w:iCs/>
                  <w:spacing w:val="-3"/>
                  <w:sz w:val="21"/>
                  <w:szCs w:val="21"/>
                  <w:lang w:val="es-ES"/>
                </w:rPr>
                <w:t>C20</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w:t>
            </w:r>
            <w:hyperlink r:id="rId31" w:history="1">
              <w:proofErr w:type="spellStart"/>
              <w:r w:rsidRPr="00904957">
                <w:rPr>
                  <w:rStyle w:val="Hyperlink"/>
                  <w:i/>
                  <w:iCs/>
                  <w:spacing w:val="-3"/>
                  <w:sz w:val="21"/>
                  <w:szCs w:val="21"/>
                  <w:lang w:val="es-ES"/>
                </w:rPr>
                <w:t>C21</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w:t>
            </w:r>
            <w:hyperlink r:id="rId32" w:history="1">
              <w:proofErr w:type="spellStart"/>
              <w:r w:rsidRPr="00904957">
                <w:rPr>
                  <w:rStyle w:val="Hyperlink"/>
                  <w:i/>
                  <w:iCs/>
                  <w:spacing w:val="-3"/>
                  <w:sz w:val="21"/>
                  <w:szCs w:val="21"/>
                  <w:lang w:val="es-ES"/>
                </w:rPr>
                <w:t>C22</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w:t>
            </w:r>
            <w:hyperlink r:id="rId33" w:history="1">
              <w:proofErr w:type="spellStart"/>
              <w:r w:rsidRPr="00904957">
                <w:rPr>
                  <w:rStyle w:val="Hyperlink"/>
                  <w:i/>
                  <w:iCs/>
                  <w:spacing w:val="-3"/>
                  <w:sz w:val="21"/>
                  <w:szCs w:val="21"/>
                  <w:lang w:val="es-ES"/>
                </w:rPr>
                <w:t>C23</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w:t>
            </w:r>
            <w:hyperlink r:id="rId34" w:history="1">
              <w:proofErr w:type="spellStart"/>
              <w:r w:rsidRPr="00904957">
                <w:rPr>
                  <w:rStyle w:val="Hyperlink"/>
                  <w:i/>
                  <w:iCs/>
                  <w:spacing w:val="-3"/>
                  <w:sz w:val="21"/>
                  <w:szCs w:val="21"/>
                  <w:lang w:val="es-ES"/>
                </w:rPr>
                <w:t>C24</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w:t>
            </w:r>
            <w:hyperlink r:id="rId35" w:history="1">
              <w:proofErr w:type="spellStart"/>
              <w:r w:rsidRPr="00904957">
                <w:rPr>
                  <w:rStyle w:val="Hyperlink"/>
                  <w:i/>
                  <w:iCs/>
                  <w:spacing w:val="-3"/>
                  <w:sz w:val="21"/>
                  <w:szCs w:val="21"/>
                  <w:lang w:val="es-ES"/>
                </w:rPr>
                <w:t>C25</w:t>
              </w:r>
              <w:proofErr w:type="spellEnd"/>
              <w:r w:rsidRPr="00904957">
                <w:rPr>
                  <w:rStyle w:val="Hyperlink"/>
                  <w:i/>
                  <w:iCs/>
                  <w:spacing w:val="-3"/>
                  <w:sz w:val="21"/>
                  <w:szCs w:val="21"/>
                  <w:lang w:val="es-ES"/>
                </w:rPr>
                <w:t>/33</w:t>
              </w:r>
            </w:hyperlink>
            <w:r w:rsidRPr="00904957">
              <w:rPr>
                <w:i/>
                <w:iCs/>
                <w:color w:val="000000"/>
                <w:spacing w:val="-3"/>
                <w:sz w:val="21"/>
                <w:szCs w:val="21"/>
                <w:lang w:val="es-ES"/>
              </w:rPr>
              <w:t xml:space="preserve"> del Consejo.</w:t>
            </w:r>
          </w:p>
        </w:tc>
      </w:tr>
      <w:bookmarkEnd w:id="0"/>
    </w:tbl>
    <w:p w14:paraId="5A46280F" w14:textId="77777777" w:rsidR="001559F5" w:rsidRPr="00904957" w:rsidRDefault="001559F5">
      <w:pPr>
        <w:tabs>
          <w:tab w:val="clear" w:pos="567"/>
          <w:tab w:val="clear" w:pos="1134"/>
          <w:tab w:val="clear" w:pos="1701"/>
          <w:tab w:val="clear" w:pos="2268"/>
          <w:tab w:val="clear" w:pos="2835"/>
        </w:tabs>
        <w:overflowPunct/>
        <w:autoSpaceDE/>
        <w:autoSpaceDN/>
        <w:adjustRightInd/>
        <w:spacing w:before="0"/>
        <w:textAlignment w:val="auto"/>
        <w:rPr>
          <w:sz w:val="10"/>
          <w:szCs w:val="10"/>
          <w:lang w:val="es-ES"/>
        </w:rPr>
      </w:pPr>
      <w:r w:rsidRPr="00904957">
        <w:rPr>
          <w:sz w:val="10"/>
          <w:szCs w:val="10"/>
          <w:lang w:val="es-ES"/>
        </w:rPr>
        <w:br w:type="page"/>
      </w:r>
    </w:p>
    <w:p w14:paraId="47DA72F5" w14:textId="77777777" w:rsidR="00836D1D" w:rsidRPr="00AC2DC0" w:rsidRDefault="00836D1D" w:rsidP="00836D1D">
      <w:pPr>
        <w:pStyle w:val="Heading1"/>
        <w:rPr>
          <w:rFonts w:eastAsia="SimSun"/>
          <w:lang w:val="es-ES"/>
        </w:rPr>
      </w:pPr>
      <w:bookmarkStart w:id="1" w:name="_Hlk133421428"/>
      <w:r w:rsidRPr="00AC2DC0">
        <w:rPr>
          <w:lang w:val="es-ES"/>
        </w:rPr>
        <w:lastRenderedPageBreak/>
        <w:t>1</w:t>
      </w:r>
      <w:r w:rsidRPr="00AC2DC0">
        <w:rPr>
          <w:lang w:val="es-ES"/>
        </w:rPr>
        <w:tab/>
        <w:t>Introducción</w:t>
      </w:r>
    </w:p>
    <w:p w14:paraId="227904A9" w14:textId="33AF4003" w:rsidR="00836D1D" w:rsidRPr="00AC2DC0" w:rsidRDefault="00836D1D" w:rsidP="00836D1D">
      <w:pPr>
        <w:jc w:val="both"/>
        <w:rPr>
          <w:rFonts w:eastAsia="SimSun"/>
          <w:spacing w:val="2"/>
          <w:lang w:val="es-ES"/>
        </w:rPr>
      </w:pPr>
      <w:r w:rsidRPr="00AC2DC0">
        <w:rPr>
          <w:lang w:val="es-ES"/>
        </w:rPr>
        <w:t>En el presente informe se describen las actividades de la UIT relacionadas con las Resoluciones</w:t>
      </w:r>
      <w:r w:rsidR="001C7361" w:rsidRPr="00AC2DC0">
        <w:rPr>
          <w:lang w:val="es-ES"/>
        </w:rPr>
        <w:t> </w:t>
      </w:r>
      <w:r w:rsidRPr="00AC2DC0">
        <w:rPr>
          <w:lang w:val="es-ES"/>
        </w:rPr>
        <w:t>101, 102, 133, 180 y 206 de la Conferencia de Plenipotenciarios de 2022 realizadas durante el periodo considerado, es decir, entre mayo de 2025 y febrero de 2026.</w:t>
      </w:r>
      <w:bookmarkStart w:id="2" w:name="_Hlt239152104"/>
      <w:bookmarkStart w:id="3" w:name="_Hlt239152105"/>
      <w:bookmarkStart w:id="4" w:name="_Hlt239151886"/>
      <w:bookmarkStart w:id="5" w:name="_Hlt239151887"/>
      <w:bookmarkStart w:id="6" w:name="_Hlt239152106"/>
      <w:bookmarkStart w:id="7" w:name="_Hlt239152114"/>
      <w:bookmarkStart w:id="8" w:name="_Hlt239153440"/>
      <w:bookmarkStart w:id="9" w:name="_Hlt239153441"/>
      <w:bookmarkEnd w:id="2"/>
      <w:bookmarkEnd w:id="3"/>
      <w:bookmarkEnd w:id="4"/>
      <w:bookmarkEnd w:id="5"/>
      <w:bookmarkEnd w:id="6"/>
      <w:bookmarkEnd w:id="7"/>
      <w:bookmarkEnd w:id="8"/>
      <w:bookmarkEnd w:id="9"/>
    </w:p>
    <w:p w14:paraId="17B49134" w14:textId="77777777" w:rsidR="00836D1D" w:rsidRPr="00AC2DC0" w:rsidRDefault="00836D1D" w:rsidP="00836D1D">
      <w:pPr>
        <w:pStyle w:val="Heading1"/>
        <w:rPr>
          <w:lang w:val="es-ES"/>
        </w:rPr>
      </w:pPr>
      <w:r w:rsidRPr="00AC2DC0">
        <w:rPr>
          <w:lang w:val="es-ES"/>
        </w:rPr>
        <w:t>2</w:t>
      </w:r>
      <w:r w:rsidRPr="00AC2DC0">
        <w:rPr>
          <w:lang w:val="es-ES"/>
        </w:rPr>
        <w:tab/>
        <w:t>Actividades relacionadas con las redes del protocolo Internet (IP), el desarrollo de redes de la próxima generación (NGN) y la Internet del futuro, incluidas las dificultades en materia de política y reglamentación</w:t>
      </w:r>
    </w:p>
    <w:p w14:paraId="05332826" w14:textId="77777777" w:rsidR="00836D1D" w:rsidRPr="00AC2DC0" w:rsidRDefault="00836D1D" w:rsidP="00836D1D">
      <w:pPr>
        <w:jc w:val="both"/>
        <w:rPr>
          <w:rFonts w:eastAsia="SimSun"/>
          <w:lang w:val="es-ES"/>
        </w:rPr>
      </w:pPr>
      <w:bookmarkStart w:id="10" w:name="_Hlk163199762"/>
      <w:r w:rsidRPr="00AC2DC0">
        <w:rPr>
          <w:lang w:val="es-ES"/>
        </w:rPr>
        <w:t xml:space="preserve">Entre el 1 de abril de 2025 y el 31 de marzo de 2026, el UIT-T aprobó 399 Recomendaciones UIT-T nuevas/revisadas y otros textos, incluidos los pertinentes a este Informe. Las </w:t>
      </w:r>
      <w:hyperlink r:id="rId36" w:history="1">
        <w:r w:rsidRPr="00AC2DC0">
          <w:rPr>
            <w:rStyle w:val="Hyperlink"/>
            <w:lang w:val="es-ES"/>
          </w:rPr>
          <w:t>Recomendaciones pertinentes</w:t>
        </w:r>
      </w:hyperlink>
      <w:r w:rsidRPr="00AC2DC0">
        <w:rPr>
          <w:lang w:val="es-ES"/>
        </w:rPr>
        <w:t xml:space="preserve"> pueden encontrarse en las diferentes Comisiones de Estudio (CE) del UIT-T. </w:t>
      </w:r>
      <w:bookmarkEnd w:id="10"/>
    </w:p>
    <w:p w14:paraId="1697EC62" w14:textId="77777777" w:rsidR="00836D1D" w:rsidRPr="00AC2DC0" w:rsidRDefault="00836D1D" w:rsidP="00836D1D">
      <w:pPr>
        <w:jc w:val="both"/>
        <w:rPr>
          <w:szCs w:val="24"/>
          <w:lang w:val="es-ES"/>
        </w:rPr>
      </w:pPr>
      <w:r w:rsidRPr="00AC2DC0">
        <w:rPr>
          <w:b/>
          <w:bCs/>
          <w:lang w:val="es-ES"/>
        </w:rPr>
        <w:t>2.1</w:t>
      </w:r>
      <w:r w:rsidRPr="00AC2DC0">
        <w:rPr>
          <w:lang w:val="es-ES"/>
        </w:rPr>
        <w:tab/>
      </w:r>
      <w:r w:rsidRPr="00AC2DC0">
        <w:rPr>
          <w:b/>
          <w:bCs/>
          <w:lang w:val="es-ES"/>
        </w:rPr>
        <w:t>IMT-2020 y sistemas posteriores</w:t>
      </w:r>
      <w:r w:rsidRPr="00AC2DC0">
        <w:rPr>
          <w:lang w:val="es-ES"/>
        </w:rPr>
        <w:t>: Las CE 5, 11 y 13 del UIT-T aprobaron 22 nuevas Recomendaciones. La CE 13 acordó un Suplemento revisado y las CE 2, 13 y 17 tienen 12 proyectos de Recomendación en fase de aprobación.</w:t>
      </w:r>
    </w:p>
    <w:p w14:paraId="5D543661" w14:textId="77777777" w:rsidR="00836D1D" w:rsidRPr="00AC2DC0" w:rsidRDefault="00836D1D" w:rsidP="00836D1D">
      <w:pPr>
        <w:jc w:val="both"/>
        <w:rPr>
          <w:rFonts w:asciiTheme="minorHAnsi" w:eastAsia="SimSun" w:hAnsiTheme="minorHAnsi" w:cstheme="minorBidi"/>
          <w:b/>
          <w:szCs w:val="24"/>
          <w:lang w:val="es-ES"/>
        </w:rPr>
      </w:pPr>
      <w:r w:rsidRPr="00AC2DC0">
        <w:rPr>
          <w:b/>
          <w:bCs/>
          <w:lang w:val="es-ES"/>
        </w:rPr>
        <w:t>2.2</w:t>
      </w:r>
      <w:r w:rsidRPr="00AC2DC0">
        <w:rPr>
          <w:lang w:val="es-ES"/>
        </w:rPr>
        <w:tab/>
      </w:r>
      <w:r w:rsidRPr="00AC2DC0">
        <w:rPr>
          <w:b/>
          <w:bCs/>
          <w:lang w:val="es-ES"/>
        </w:rPr>
        <w:t>Internet de las cosas (IoT) y ciudades inteligentes:</w:t>
      </w:r>
      <w:r w:rsidRPr="00AC2DC0">
        <w:rPr>
          <w:lang w:val="es-ES"/>
        </w:rPr>
        <w:t xml:space="preserve"> Las CE 2, 3, 5, 11, 13, 17 y 20 aprobaron 17 Recomendaciones y cuatro Suplementos. Las CE 17 y 20 están en fase de aprobación siete proyectos de Recomendaciones. La CE 20 del UIT-T sigue coordinando sus </w:t>
      </w:r>
      <w:hyperlink r:id="rId37" w:anchor="/es" w:history="1">
        <w:proofErr w:type="spellStart"/>
        <w:r w:rsidRPr="00AC2DC0">
          <w:rPr>
            <w:rStyle w:val="Hyperlink"/>
            <w:lang w:val="es-ES"/>
          </w:rPr>
          <w:t>JCA-IoT</w:t>
        </w:r>
        <w:proofErr w:type="spellEnd"/>
        <w:r w:rsidRPr="00AC2DC0">
          <w:rPr>
            <w:rStyle w:val="Hyperlink"/>
            <w:lang w:val="es-ES"/>
          </w:rPr>
          <w:t xml:space="preserve">, DT y </w:t>
        </w:r>
        <w:proofErr w:type="spellStart"/>
        <w:r w:rsidRPr="00AC2DC0">
          <w:rPr>
            <w:rStyle w:val="Hyperlink"/>
            <w:lang w:val="es-ES"/>
          </w:rPr>
          <w:t>SSC&amp;C</w:t>
        </w:r>
        <w:proofErr w:type="spellEnd"/>
        <w:r w:rsidRPr="00AC2DC0">
          <w:rPr>
            <w:rStyle w:val="Hyperlink"/>
            <w:lang w:val="es-ES"/>
          </w:rPr>
          <w:t xml:space="preserve"> del UIT-T</w:t>
        </w:r>
      </w:hyperlink>
      <w:r w:rsidRPr="00AC2DC0">
        <w:rPr>
          <w:lang w:val="es-ES"/>
        </w:rPr>
        <w:t>, y mantiene una estrecha colaboración+ con el IETF, oneM2M, W3C, LoRa Alliance y TMForum. La iniciativa Unidos por las Ciudades Inteligentes y Sostenibles (U4SSC), apoyada por 20 organismos de las Naciones Unidas, promueve los trabajos sobre inteligencia artificial en ciudades, plataformas urbanas, edificios sostenibles y otros ámbitos fundamentales del desarrollo urbano inteligente y sostenible.</w:t>
      </w:r>
      <w:hyperlink r:id="rId38" w:history="1"/>
      <w:hyperlink r:id="rId39" w:history="1"/>
    </w:p>
    <w:p w14:paraId="02B70BB9" w14:textId="77777777" w:rsidR="00836D1D" w:rsidRPr="00AC2DC0" w:rsidRDefault="00836D1D" w:rsidP="00836D1D">
      <w:pPr>
        <w:jc w:val="both"/>
        <w:rPr>
          <w:rFonts w:eastAsia="SimSun"/>
          <w:b/>
          <w:szCs w:val="24"/>
          <w:lang w:val="es-ES"/>
        </w:rPr>
      </w:pPr>
      <w:r w:rsidRPr="00AC2DC0">
        <w:rPr>
          <w:b/>
          <w:bCs/>
          <w:lang w:val="es-ES"/>
        </w:rPr>
        <w:t>2.3</w:t>
      </w:r>
      <w:r w:rsidRPr="00AC2DC0">
        <w:rPr>
          <w:lang w:val="es-ES"/>
        </w:rPr>
        <w:tab/>
      </w:r>
      <w:r w:rsidRPr="00AC2DC0">
        <w:rPr>
          <w:b/>
          <w:bCs/>
          <w:lang w:val="es-ES"/>
        </w:rPr>
        <w:t>Cable IP y TVIP</w:t>
      </w:r>
      <w:r w:rsidRPr="00AC2DC0">
        <w:rPr>
          <w:lang w:val="es-ES"/>
        </w:rPr>
        <w:t xml:space="preserve">: La CE 21 del UIT-T revisó la Recomendación UIT-T J.1 y el Suplemento </w:t>
      </w:r>
      <w:proofErr w:type="gramStart"/>
      <w:r w:rsidRPr="00AC2DC0">
        <w:rPr>
          <w:lang w:val="es-ES"/>
        </w:rPr>
        <w:t>J.Sup</w:t>
      </w:r>
      <w:proofErr w:type="gramEnd"/>
      <w:r w:rsidRPr="00AC2DC0">
        <w:rPr>
          <w:lang w:val="es-ES"/>
        </w:rPr>
        <w:t>11 sobre cable IP y elaboró el Corrigéndum H.741,5 Cor.1 sobre TVIP.</w:t>
      </w:r>
    </w:p>
    <w:p w14:paraId="43495B93" w14:textId="77777777" w:rsidR="00836D1D" w:rsidRPr="00AC2DC0" w:rsidRDefault="00836D1D" w:rsidP="00836D1D">
      <w:pPr>
        <w:jc w:val="both"/>
        <w:rPr>
          <w:rFonts w:asciiTheme="minorHAnsi" w:eastAsia="SimSun" w:hAnsiTheme="minorHAnsi" w:cstheme="minorBidi"/>
          <w:szCs w:val="24"/>
          <w:lang w:val="es-ES"/>
        </w:rPr>
      </w:pPr>
      <w:r w:rsidRPr="00AC2DC0">
        <w:rPr>
          <w:b/>
          <w:bCs/>
          <w:lang w:val="es-ES"/>
        </w:rPr>
        <w:t>2.4</w:t>
      </w:r>
      <w:r w:rsidRPr="00AC2DC0">
        <w:rPr>
          <w:lang w:val="es-ES"/>
        </w:rPr>
        <w:tab/>
      </w:r>
      <w:r w:rsidRPr="00AC2DC0">
        <w:rPr>
          <w:b/>
          <w:bCs/>
          <w:lang w:val="es-ES"/>
        </w:rPr>
        <w:t>Calidad de funcionamiento IP</w:t>
      </w:r>
      <w:r w:rsidRPr="00AC2DC0">
        <w:rPr>
          <w:lang w:val="es-ES"/>
        </w:rPr>
        <w:t>: La CE 12 del UIT-T elaboró el Informe técnico GSTR. Perf_Req sobre los requisitos de calidad de funcionamiento de las centrales IMS/PES/VoLTE/VoNR.</w:t>
      </w:r>
    </w:p>
    <w:p w14:paraId="704AE60D" w14:textId="77777777" w:rsidR="00836D1D" w:rsidRPr="00AC2DC0" w:rsidRDefault="00836D1D" w:rsidP="00836D1D">
      <w:pPr>
        <w:jc w:val="both"/>
        <w:rPr>
          <w:rFonts w:eastAsia="SimSun"/>
          <w:b/>
          <w:szCs w:val="24"/>
          <w:lang w:val="es-ES"/>
        </w:rPr>
      </w:pPr>
      <w:r w:rsidRPr="00AC2DC0">
        <w:rPr>
          <w:b/>
          <w:bCs/>
          <w:lang w:val="es-ES"/>
        </w:rPr>
        <w:t>2.5</w:t>
      </w:r>
      <w:r w:rsidRPr="00AC2DC0">
        <w:rPr>
          <w:lang w:val="es-ES"/>
        </w:rPr>
        <w:tab/>
      </w:r>
      <w:r w:rsidRPr="00AC2DC0">
        <w:rPr>
          <w:b/>
          <w:bCs/>
          <w:lang w:val="es-ES"/>
        </w:rPr>
        <w:t>Computación en la nube IP y macrodatos:</w:t>
      </w:r>
      <w:r w:rsidRPr="00AC2DC0">
        <w:rPr>
          <w:lang w:val="es-ES"/>
        </w:rPr>
        <w:t xml:space="preserve"> Las CE 11, 13, 17 Y 21 han aprobado 17 Recomendaciones.</w:t>
      </w:r>
    </w:p>
    <w:p w14:paraId="046874CA" w14:textId="3A6BDB43" w:rsidR="00836D1D" w:rsidRPr="00AC2DC0" w:rsidRDefault="00836D1D" w:rsidP="00836D1D">
      <w:pPr>
        <w:jc w:val="both"/>
        <w:rPr>
          <w:lang w:val="es-ES"/>
        </w:rPr>
      </w:pPr>
      <w:bookmarkStart w:id="11" w:name="_Hlk163199926"/>
      <w:r w:rsidRPr="00AC2DC0">
        <w:rPr>
          <w:b/>
          <w:bCs/>
          <w:lang w:val="es-ES"/>
        </w:rPr>
        <w:t>2.6</w:t>
      </w:r>
      <w:r w:rsidRPr="00AC2DC0">
        <w:rPr>
          <w:lang w:val="es-ES"/>
        </w:rPr>
        <w:tab/>
      </w:r>
      <w:r w:rsidRPr="00AC2DC0">
        <w:rPr>
          <w:b/>
          <w:bCs/>
          <w:lang w:val="es-ES"/>
        </w:rPr>
        <w:t>Seguridad:</w:t>
      </w:r>
      <w:r w:rsidRPr="00AC2DC0">
        <w:rPr>
          <w:lang w:val="es-ES"/>
        </w:rPr>
        <w:t xml:space="preserve"> Las CE 5, 13, 15, 17 y 20 del UIT-T aprobaron 17 Recomendaciones nuevas/revisadas, dos nuevos Suplementos y siete Informes técnicos sobre seguridad y confianza en las TIC. Las CE 13 17 y 20 tienen 17 proyectos de Recomendación en fase de aprobación. La información sobre las actividades de la UIT relacionadas con la creación de confianza y seguridad en la utilización de las TIC, incluida la labor de la CE 17, figura en el Documento </w:t>
      </w:r>
      <w:hyperlink r:id="rId40" w:history="1">
        <w:proofErr w:type="spellStart"/>
        <w:r w:rsidRPr="00AC2DC0">
          <w:rPr>
            <w:rStyle w:val="Hyperlink"/>
            <w:lang w:val="es-ES"/>
          </w:rPr>
          <w:t>C26</w:t>
        </w:r>
        <w:proofErr w:type="spellEnd"/>
        <w:r w:rsidRPr="00AC2DC0">
          <w:rPr>
            <w:rStyle w:val="Hyperlink"/>
            <w:lang w:val="es-ES"/>
          </w:rPr>
          <w:t>/35</w:t>
        </w:r>
      </w:hyperlink>
      <w:r w:rsidRPr="00AC2DC0">
        <w:rPr>
          <w:lang w:val="es-ES"/>
        </w:rPr>
        <w:t>. La CE 11 prosigue sus estudios relativos a la lucha contra las comunicaciones fraudulentas utilizando certificados de clave pública en el nivel de señalización (</w:t>
      </w:r>
      <w:hyperlink r:id="rId41" w:history="1">
        <w:r w:rsidRPr="00AC2DC0">
          <w:rPr>
            <w:rStyle w:val="Hyperlink"/>
            <w:lang w:val="es-ES"/>
          </w:rPr>
          <w:t>itu.int/</w:t>
        </w:r>
        <w:proofErr w:type="spellStart"/>
        <w:r w:rsidRPr="00AC2DC0">
          <w:rPr>
            <w:rStyle w:val="Hyperlink"/>
            <w:lang w:val="es-ES"/>
          </w:rPr>
          <w:t>go</w:t>
        </w:r>
        <w:proofErr w:type="spellEnd"/>
        <w:r w:rsidRPr="00AC2DC0">
          <w:rPr>
            <w:rStyle w:val="Hyperlink"/>
            <w:lang w:val="es-ES"/>
          </w:rPr>
          <w:t>/SIG-SECURITY</w:t>
        </w:r>
      </w:hyperlink>
      <w:r w:rsidRPr="00AC2DC0">
        <w:rPr>
          <w:lang w:val="es-ES"/>
        </w:rPr>
        <w:t>). En noviembre de 2025, la UIT organizó un taller sobre la seguridad de las redes telefónicas (</w:t>
      </w:r>
      <w:hyperlink r:id="rId42" w:history="1">
        <w:r w:rsidRPr="00AC2DC0">
          <w:rPr>
            <w:rStyle w:val="Hyperlink"/>
            <w:lang w:val="es-ES"/>
          </w:rPr>
          <w:t>itu.int/</w:t>
        </w:r>
        <w:proofErr w:type="spellStart"/>
        <w:r w:rsidRPr="00AC2DC0">
          <w:rPr>
            <w:rStyle w:val="Hyperlink"/>
            <w:lang w:val="es-ES"/>
          </w:rPr>
          <w:t>go</w:t>
        </w:r>
        <w:proofErr w:type="spellEnd"/>
        <w:r w:rsidRPr="00AC2DC0">
          <w:rPr>
            <w:rStyle w:val="Hyperlink"/>
            <w:lang w:val="es-ES"/>
          </w:rPr>
          <w:t>/</w:t>
        </w:r>
        <w:proofErr w:type="spellStart"/>
        <w:r w:rsidRPr="00AC2DC0">
          <w:rPr>
            <w:rStyle w:val="Hyperlink"/>
            <w:lang w:val="es-ES"/>
          </w:rPr>
          <w:t>WS-STN</w:t>
        </w:r>
        <w:proofErr w:type="spellEnd"/>
      </w:hyperlink>
      <w:r w:rsidRPr="00AC2DC0">
        <w:rPr>
          <w:lang w:val="es-ES"/>
        </w:rPr>
        <w:t xml:space="preserve">). La Iniciativa </w:t>
      </w:r>
      <w:hyperlink r:id="rId43" w:anchor="/es" w:history="1">
        <w:proofErr w:type="spellStart"/>
        <w:r w:rsidRPr="00AC2DC0">
          <w:rPr>
            <w:rStyle w:val="Hyperlink"/>
            <w:lang w:val="es-ES"/>
          </w:rPr>
          <w:t>U4SSC</w:t>
        </w:r>
        <w:proofErr w:type="spellEnd"/>
      </w:hyperlink>
      <w:r w:rsidRPr="00AC2DC0">
        <w:rPr>
          <w:lang w:val="es-ES"/>
        </w:rPr>
        <w:t xml:space="preserve"> también está avanzando en los trabajos sobre los aspectos de seguridad y privacidad relacionados con la infraestructura pública digital en las ciudades a través de su Grupo Temático sobre Infraestructura Pública Digital (</w:t>
      </w:r>
      <w:proofErr w:type="spellStart"/>
      <w:r w:rsidRPr="00AC2DC0">
        <w:rPr>
          <w:lang w:val="es-ES"/>
        </w:rPr>
        <w:t>IPD</w:t>
      </w:r>
      <w:proofErr w:type="spellEnd"/>
      <w:r w:rsidRPr="00AC2DC0">
        <w:rPr>
          <w:lang w:val="es-ES"/>
        </w:rPr>
        <w:t>) para las ciudades.</w:t>
      </w:r>
      <w:bookmarkEnd w:id="11"/>
      <w:r w:rsidRPr="00AC2DC0">
        <w:rPr>
          <w:lang w:val="es-ES"/>
        </w:rPr>
        <w:fldChar w:fldCharType="begin"/>
      </w:r>
      <w:r w:rsidRPr="00AC2DC0">
        <w:rPr>
          <w:lang w:val="es-ES"/>
        </w:rPr>
        <w:instrText>HYPERLINK "https://u4ssc.itu.int/"</w:instrText>
      </w:r>
      <w:r w:rsidRPr="00AC2DC0">
        <w:rPr>
          <w:lang w:val="es-ES"/>
        </w:rPr>
      </w:r>
      <w:r w:rsidRPr="00AC2DC0">
        <w:rPr>
          <w:lang w:val="es-ES"/>
        </w:rPr>
        <w:fldChar w:fldCharType="separate"/>
      </w:r>
      <w:r w:rsidRPr="00AC2DC0">
        <w:rPr>
          <w:lang w:val="es-ES"/>
        </w:rPr>
        <w:fldChar w:fldCharType="end"/>
      </w:r>
    </w:p>
    <w:p w14:paraId="36552ACC" w14:textId="416694C5" w:rsidR="00836D1D" w:rsidRPr="00AC2DC0" w:rsidRDefault="00836D1D" w:rsidP="00836D1D">
      <w:pPr>
        <w:jc w:val="both"/>
        <w:rPr>
          <w:rFonts w:eastAsia="SimSun"/>
          <w:szCs w:val="24"/>
          <w:lang w:val="es-ES"/>
        </w:rPr>
      </w:pPr>
      <w:r w:rsidRPr="00AC2DC0">
        <w:rPr>
          <w:b/>
          <w:bCs/>
          <w:lang w:val="es-ES"/>
        </w:rPr>
        <w:lastRenderedPageBreak/>
        <w:t>2.7</w:t>
      </w:r>
      <w:r w:rsidRPr="00AC2DC0">
        <w:rPr>
          <w:lang w:val="es-ES"/>
        </w:rPr>
        <w:tab/>
      </w:r>
      <w:r w:rsidRPr="00AC2DC0">
        <w:rPr>
          <w:b/>
          <w:bCs/>
          <w:lang w:val="es-ES"/>
        </w:rPr>
        <w:t>Grupos Temáticos del UIT-T:</w:t>
      </w:r>
      <w:r w:rsidRPr="00AC2DC0">
        <w:rPr>
          <w:lang w:val="es-ES"/>
        </w:rPr>
        <w:t xml:space="preserve"> El </w:t>
      </w:r>
      <w:hyperlink r:id="rId44" w:history="1">
        <w:r w:rsidRPr="00AC2DC0">
          <w:rPr>
            <w:rStyle w:val="Hyperlink"/>
            <w:lang w:val="es-ES"/>
          </w:rPr>
          <w:t>Grupo Temático sobre modelos de costes para servicios de datos asequibles (FG-CD)</w:t>
        </w:r>
      </w:hyperlink>
      <w:r w:rsidRPr="00AC2DC0">
        <w:rPr>
          <w:lang w:val="es-ES"/>
        </w:rPr>
        <w:t xml:space="preserve"> finalizó su labor el 1 de octubre de 2025. A fecha de octubre de 2025, hay dos Grupos Temáticos del UIT-T en funcionamiento, a saber, el </w:t>
      </w:r>
      <w:hyperlink r:id="rId45" w:history="1">
        <w:r w:rsidRPr="00AC2DC0">
          <w:rPr>
            <w:rStyle w:val="Hyperlink"/>
            <w:lang w:val="es-ES"/>
          </w:rPr>
          <w:t xml:space="preserve">Grupo Temático sobre Inteligencia Artificial Nativa para Redes de Telecomunicaciones (FG </w:t>
        </w:r>
        <w:proofErr w:type="spellStart"/>
        <w:r w:rsidRPr="00AC2DC0">
          <w:rPr>
            <w:rStyle w:val="Hyperlink"/>
            <w:lang w:val="es-ES"/>
          </w:rPr>
          <w:t>AINN</w:t>
        </w:r>
        <w:proofErr w:type="spellEnd"/>
        <w:r w:rsidRPr="00AC2DC0">
          <w:rPr>
            <w:rStyle w:val="Hyperlink"/>
            <w:lang w:val="es-ES"/>
          </w:rPr>
          <w:t>)</w:t>
        </w:r>
      </w:hyperlink>
      <w:r w:rsidRPr="00AC2DC0">
        <w:rPr>
          <w:lang w:val="es-ES"/>
        </w:rPr>
        <w:t xml:space="preserve"> y el </w:t>
      </w:r>
      <w:hyperlink r:id="rId46" w:history="1">
        <w:r w:rsidRPr="00AC2DC0">
          <w:rPr>
            <w:rStyle w:val="Hyperlink"/>
            <w:lang w:val="es-ES"/>
          </w:rPr>
          <w:t>Grupo Temático sobre IA incorporada para tecnologías multimedios (FG EAI)</w:t>
        </w:r>
      </w:hyperlink>
      <w:r w:rsidRPr="00AC2DC0">
        <w:rPr>
          <w:lang w:val="es-ES"/>
        </w:rPr>
        <w:t xml:space="preserve">. También continúan los trabajos del </w:t>
      </w:r>
      <w:hyperlink r:id="rId47" w:history="1">
        <w:r w:rsidRPr="00AC2DC0">
          <w:rPr>
            <w:rStyle w:val="Hyperlink"/>
            <w:lang w:val="es-ES"/>
          </w:rPr>
          <w:t>Grupo Temático UIT/OMM/</w:t>
        </w:r>
        <w:proofErr w:type="spellStart"/>
        <w:r w:rsidRPr="00AC2DC0">
          <w:rPr>
            <w:rStyle w:val="Hyperlink"/>
            <w:lang w:val="es-ES"/>
          </w:rPr>
          <w:t>PNUMA</w:t>
        </w:r>
        <w:proofErr w:type="spellEnd"/>
        <w:r w:rsidRPr="00AC2DC0">
          <w:rPr>
            <w:rStyle w:val="Hyperlink"/>
            <w:lang w:val="es-ES"/>
          </w:rPr>
          <w:t xml:space="preserve"> sobre IA para la gestión de catástrofes naturales (FG-AI4NDM)</w:t>
        </w:r>
      </w:hyperlink>
      <w:r w:rsidRPr="00AC2DC0">
        <w:rPr>
          <w:lang w:val="es-ES"/>
        </w:rPr>
        <w:t xml:space="preserve"> y del </w:t>
      </w:r>
      <w:hyperlink r:id="rId48" w:history="1">
        <w:r w:rsidRPr="00AC2DC0">
          <w:rPr>
            <w:rStyle w:val="Hyperlink"/>
            <w:lang w:val="es-ES"/>
          </w:rPr>
          <w:t>Grupo Temático UIT/FAO sobre Inteligencia Artificial (IA) e Internet de las cosas (IoT) para la agricultura digital (FG-AI4A)</w:t>
        </w:r>
      </w:hyperlink>
      <w:r w:rsidRPr="00AC2DC0">
        <w:rPr>
          <w:lang w:val="es-ES"/>
        </w:rPr>
        <w:t xml:space="preserve"> a través de la </w:t>
      </w:r>
      <w:hyperlink r:id="rId49" w:history="1">
        <w:r w:rsidRPr="00AC2DC0">
          <w:rPr>
            <w:rStyle w:val="Hyperlink"/>
            <w:lang w:val="es-ES"/>
          </w:rPr>
          <w:t>Iniciativa Mundial sobre Resiliencia ante Peligros Naturales mediante Soluciones de IA</w:t>
        </w:r>
      </w:hyperlink>
      <w:r w:rsidRPr="00AC2DC0">
        <w:rPr>
          <w:lang w:val="es-ES"/>
        </w:rPr>
        <w:t xml:space="preserve"> (coordinada por la UIT, PNUMA, OMM, UPU, UNESCO y </w:t>
      </w:r>
      <w:proofErr w:type="spellStart"/>
      <w:r w:rsidRPr="00AC2DC0">
        <w:rPr>
          <w:lang w:val="es-ES"/>
        </w:rPr>
        <w:t>CMNUCC</w:t>
      </w:r>
      <w:proofErr w:type="spellEnd"/>
      <w:r w:rsidRPr="00AC2DC0">
        <w:rPr>
          <w:lang w:val="es-ES"/>
        </w:rPr>
        <w:t xml:space="preserve">) y la </w:t>
      </w:r>
      <w:hyperlink r:id="rId50" w:anchor="/es" w:history="1">
        <w:r w:rsidRPr="00AC2DC0">
          <w:rPr>
            <w:rStyle w:val="Hyperlink"/>
            <w:lang w:val="es-ES"/>
          </w:rPr>
          <w:t>Iniciativa Mundial sobre IA para los sistemas alimentarios</w:t>
        </w:r>
      </w:hyperlink>
      <w:r w:rsidRPr="00AC2DC0">
        <w:rPr>
          <w:lang w:val="es-ES"/>
        </w:rPr>
        <w:t xml:space="preserve"> (coordinada con la FAO,</w:t>
      </w:r>
      <w:r w:rsidR="001C7361" w:rsidRPr="00AC2DC0">
        <w:rPr>
          <w:lang w:val="es-ES"/>
        </w:rPr>
        <w:t xml:space="preserve"> </w:t>
      </w:r>
      <w:r w:rsidRPr="00AC2DC0">
        <w:rPr>
          <w:lang w:val="es-ES"/>
        </w:rPr>
        <w:t>el PMA y el FIDA), respectivamente.</w:t>
      </w:r>
      <w:hyperlink r:id="rId51" w:history="1"/>
      <w:hyperlink r:id="rId52" w:history="1"/>
      <w:hyperlink r:id="rId53" w:history="1"/>
      <w:hyperlink r:id="rId54" w:history="1"/>
      <w:hyperlink r:id="rId55" w:history="1"/>
      <w:hyperlink r:id="rId56" w:history="1"/>
      <w:hyperlink r:id="rId57" w:history="1"/>
    </w:p>
    <w:p w14:paraId="7C579D89" w14:textId="77777777" w:rsidR="00836D1D" w:rsidRPr="00AC2DC0" w:rsidRDefault="00836D1D" w:rsidP="00836D1D">
      <w:pPr>
        <w:jc w:val="both"/>
        <w:rPr>
          <w:rFonts w:asciiTheme="minorHAnsi" w:eastAsia="SimSun" w:hAnsiTheme="minorHAnsi" w:cstheme="minorBidi"/>
          <w:szCs w:val="24"/>
          <w:lang w:val="es-ES"/>
        </w:rPr>
      </w:pPr>
      <w:r w:rsidRPr="00AC2DC0">
        <w:rPr>
          <w:b/>
          <w:bCs/>
          <w:lang w:val="es-ES"/>
        </w:rPr>
        <w:t>2.8</w:t>
      </w:r>
      <w:r w:rsidRPr="00AC2DC0">
        <w:rPr>
          <w:lang w:val="es-ES"/>
        </w:rPr>
        <w:tab/>
        <w:t xml:space="preserve">En el periodo abarcado por este informe, la TSB no ha recibido informes ni información sobre ningún incidente contemplado en la </w:t>
      </w:r>
      <w:hyperlink r:id="rId58" w:history="1">
        <w:r w:rsidRPr="00AC2DC0">
          <w:rPr>
            <w:rStyle w:val="Hyperlink"/>
            <w:lang w:val="es-ES"/>
          </w:rPr>
          <w:t xml:space="preserve">Resolución 69 de la </w:t>
        </w:r>
        <w:proofErr w:type="spellStart"/>
        <w:r w:rsidRPr="00AC2DC0">
          <w:rPr>
            <w:rStyle w:val="Hyperlink"/>
            <w:lang w:val="es-ES"/>
          </w:rPr>
          <w:t>AMNT</w:t>
        </w:r>
        <w:proofErr w:type="spellEnd"/>
      </w:hyperlink>
      <w:r w:rsidRPr="00AC2DC0">
        <w:rPr>
          <w:lang w:val="es-ES"/>
        </w:rPr>
        <w:t xml:space="preserve"> sobre acceso y utilización no discriminatorios de los recursos de Internet (hasta la fecha y </w:t>
      </w:r>
      <w:hyperlink r:id="rId59" w:history="1">
        <w:r w:rsidRPr="00AC2DC0">
          <w:rPr>
            <w:rStyle w:val="Hyperlink"/>
            <w:lang w:val="es-ES"/>
          </w:rPr>
          <w:t>desde 2009 ha habido 37 incidentes</w:t>
        </w:r>
      </w:hyperlink>
      <w:r w:rsidRPr="00AC2DC0">
        <w:rPr>
          <w:lang w:val="es-ES"/>
        </w:rPr>
        <w:t>).</w:t>
      </w:r>
      <w:hyperlink r:id="rId60"/>
      <w:hyperlink r:id="rId61"/>
    </w:p>
    <w:p w14:paraId="48439145" w14:textId="77777777" w:rsidR="00836D1D" w:rsidRPr="00AC2DC0" w:rsidRDefault="00836D1D" w:rsidP="00836D1D">
      <w:pPr>
        <w:jc w:val="both"/>
        <w:rPr>
          <w:rFonts w:asciiTheme="minorHAnsi" w:eastAsia="SimSun" w:hAnsiTheme="minorHAnsi" w:cstheme="minorBidi"/>
          <w:szCs w:val="24"/>
          <w:lang w:val="es-ES"/>
        </w:rPr>
      </w:pPr>
      <w:bookmarkStart w:id="12" w:name="a353677d2-7347-4cd3-8301-15d8ee365aeb"/>
      <w:bookmarkStart w:id="13" w:name="_Hlk500492095"/>
      <w:bookmarkEnd w:id="12"/>
      <w:r w:rsidRPr="00AC2DC0">
        <w:rPr>
          <w:b/>
          <w:bCs/>
          <w:lang w:val="es-ES"/>
        </w:rPr>
        <w:t>2.9</w:t>
      </w:r>
      <w:r w:rsidRPr="00AC2DC0">
        <w:rPr>
          <w:lang w:val="es-ES"/>
        </w:rPr>
        <w:tab/>
        <w:t xml:space="preserve">La CE 1 y la CE 2 del UIT-D prosiguen sus trabajos sobre cuestiones relacionadas con el IP y siguen organizando sesiones sobre conectividad por satélite de banda ancha IP, radiodifusión digital y soluciones técnicas híbridas. Para más información, véanse las </w:t>
      </w:r>
      <w:hyperlink r:id="rId62" w:history="1">
        <w:r w:rsidRPr="00AC2DC0">
          <w:rPr>
            <w:rStyle w:val="Hyperlink"/>
            <w:lang w:val="es-ES"/>
          </w:rPr>
          <w:t>Comisiones de Estudio de Desarrollo de la UIT</w:t>
        </w:r>
      </w:hyperlink>
      <w:r w:rsidRPr="00AC2DC0">
        <w:rPr>
          <w:lang w:val="es-ES"/>
        </w:rPr>
        <w:t xml:space="preserve">. </w:t>
      </w:r>
      <w:hyperlink r:id="rId63" w:history="1"/>
    </w:p>
    <w:bookmarkEnd w:id="13"/>
    <w:p w14:paraId="6328F1AF" w14:textId="77777777" w:rsidR="00836D1D" w:rsidRPr="00AC2DC0" w:rsidRDefault="00836D1D" w:rsidP="00836D1D">
      <w:pPr>
        <w:jc w:val="both"/>
        <w:rPr>
          <w:rFonts w:eastAsia="SimSun"/>
          <w:szCs w:val="24"/>
          <w:lang w:val="es-ES"/>
        </w:rPr>
      </w:pPr>
      <w:r w:rsidRPr="00AC2DC0">
        <w:rPr>
          <w:b/>
          <w:bCs/>
          <w:lang w:val="es-ES"/>
        </w:rPr>
        <w:t>2.10</w:t>
      </w:r>
      <w:r w:rsidRPr="00AC2DC0">
        <w:rPr>
          <w:lang w:val="es-ES"/>
        </w:rPr>
        <w:tab/>
        <w:t xml:space="preserve">La BDT organizó un taller conjunto con la CE 15 del UIT-T durante el Foro de la CMSI sobre los retos y soluciones para la adopción de la banda ancha IP. También están en curso otras iniciativas relacionadas con este tema, como GIGA y Partner2Connect. Puede encontrarse más información en el Documento </w:t>
      </w:r>
      <w:hyperlink r:id="rId64" w:history="1">
        <w:proofErr w:type="spellStart"/>
        <w:r w:rsidRPr="00AC2DC0">
          <w:rPr>
            <w:rStyle w:val="Hyperlink"/>
            <w:lang w:val="es-ES"/>
          </w:rPr>
          <w:t>C25</w:t>
        </w:r>
        <w:proofErr w:type="spellEnd"/>
        <w:r w:rsidRPr="00AC2DC0">
          <w:rPr>
            <w:rStyle w:val="Hyperlink"/>
            <w:lang w:val="es-ES"/>
          </w:rPr>
          <w:t>/35</w:t>
        </w:r>
      </w:hyperlink>
      <w:r w:rsidRPr="00AC2DC0">
        <w:rPr>
          <w:lang w:val="es-ES"/>
        </w:rPr>
        <w:t>.</w:t>
      </w:r>
    </w:p>
    <w:p w14:paraId="34CCBCD0" w14:textId="77777777" w:rsidR="00836D1D" w:rsidRPr="00AC2DC0" w:rsidRDefault="00836D1D" w:rsidP="00836D1D">
      <w:pPr>
        <w:jc w:val="both"/>
        <w:rPr>
          <w:rFonts w:asciiTheme="minorHAnsi" w:eastAsia="SimSun" w:hAnsiTheme="minorHAnsi" w:cstheme="minorBidi"/>
          <w:szCs w:val="24"/>
          <w:lang w:val="es-ES"/>
        </w:rPr>
      </w:pPr>
      <w:r w:rsidRPr="00AC2DC0">
        <w:rPr>
          <w:b/>
          <w:bCs/>
          <w:lang w:val="es-ES"/>
        </w:rPr>
        <w:t>2.11</w:t>
      </w:r>
      <w:r w:rsidRPr="00AC2DC0">
        <w:rPr>
          <w:lang w:val="es-ES"/>
        </w:rPr>
        <w:tab/>
        <w:t>El UIT-R aprobó la Recomendación UIT-R M.2083-0 sobre Concepción de las IMT – Marco y objetivos generales del futuro desarrollo de las IMT para 2020 y en adelante, la Resolución UIT-R 65 sobre Principios para el futuro desarrollo de las IMT para 2020 y años posteriores y la Resolución UIT-R 66 sobre estudios relativos a sistemas y aplicaciones inalámbricos para el desarrollo de la Internet de las cosas y el Informe UIT-R M.2440-0 sobre la utilización de la componente terrenal de las Telecomunicaciones Móviles Internacionales para las comunicaciones de tipo máquina de banda estrecha y banda ancha.</w:t>
      </w:r>
    </w:p>
    <w:p w14:paraId="2D74432B" w14:textId="1439F3E1" w:rsidR="00836D1D" w:rsidRPr="00AC2DC0" w:rsidRDefault="00836D1D" w:rsidP="00836D1D">
      <w:pPr>
        <w:jc w:val="both"/>
        <w:rPr>
          <w:rFonts w:asciiTheme="minorHAnsi" w:eastAsia="SimSun" w:hAnsiTheme="minorHAnsi" w:cstheme="minorBidi"/>
          <w:lang w:val="es-ES"/>
        </w:rPr>
      </w:pPr>
      <w:r w:rsidRPr="00AC2DC0">
        <w:rPr>
          <w:b/>
          <w:bCs/>
          <w:lang w:val="es-ES"/>
        </w:rPr>
        <w:t>2.12</w:t>
      </w:r>
      <w:r w:rsidRPr="00AC2DC0">
        <w:rPr>
          <w:lang w:val="es-ES"/>
        </w:rPr>
        <w:tab/>
        <w:t xml:space="preserve">Se impartieron varios cursos de formación a través de la </w:t>
      </w:r>
      <w:hyperlink r:id="rId65" w:anchor="/es" w:history="1">
        <w:r w:rsidRPr="00AC2DC0">
          <w:rPr>
            <w:rStyle w:val="Hyperlink"/>
            <w:lang w:val="es-ES"/>
          </w:rPr>
          <w:t>Academia de la UIT</w:t>
        </w:r>
      </w:hyperlink>
      <w:r w:rsidRPr="00AC2DC0">
        <w:rPr>
          <w:lang w:val="es-ES"/>
        </w:rPr>
        <w:t xml:space="preserve"> y de los </w:t>
      </w:r>
      <w:hyperlink r:id="rId66" w:anchor="/es" w:history="1">
        <w:r w:rsidRPr="00AC2DC0">
          <w:rPr>
            <w:rStyle w:val="Hyperlink"/>
            <w:lang w:val="es-ES"/>
          </w:rPr>
          <w:t>Centros de Formación de la Academia de la UIT</w:t>
        </w:r>
      </w:hyperlink>
      <w:r w:rsidRPr="00AC2DC0">
        <w:rPr>
          <w:lang w:val="es-ES"/>
        </w:rPr>
        <w:t xml:space="preserve">, sobre temas como </w:t>
      </w:r>
      <w:r w:rsidR="001C7361" w:rsidRPr="00AC2DC0">
        <w:rPr>
          <w:lang w:val="es-ES"/>
        </w:rPr>
        <w:t>"</w:t>
      </w:r>
      <w:r w:rsidRPr="00AC2DC0">
        <w:rPr>
          <w:lang w:val="es-ES"/>
        </w:rPr>
        <w:t>Tecnologías de acceso inalámbrico a la red Internet</w:t>
      </w:r>
      <w:r w:rsidR="001C7361" w:rsidRPr="00AC2DC0">
        <w:rPr>
          <w:lang w:val="es-ES"/>
        </w:rPr>
        <w:t>"</w:t>
      </w:r>
      <w:r w:rsidRPr="00AC2DC0">
        <w:rPr>
          <w:lang w:val="es-ES"/>
        </w:rPr>
        <w:t xml:space="preserve">, </w:t>
      </w:r>
      <w:r w:rsidR="001C7361" w:rsidRPr="00AC2DC0">
        <w:rPr>
          <w:lang w:val="es-ES"/>
        </w:rPr>
        <w:t>"</w:t>
      </w:r>
      <w:r w:rsidRPr="00AC2DC0">
        <w:rPr>
          <w:lang w:val="es-ES"/>
        </w:rPr>
        <w:t>Futura Internet de banda ancha fija y móvil, computación en la nube e IoT/IA</w:t>
      </w:r>
      <w:r w:rsidR="001C7361" w:rsidRPr="00AC2DC0">
        <w:rPr>
          <w:lang w:val="es-ES"/>
        </w:rPr>
        <w:t>"</w:t>
      </w:r>
      <w:r w:rsidRPr="00AC2DC0">
        <w:rPr>
          <w:lang w:val="es-ES"/>
        </w:rPr>
        <w:t xml:space="preserve">, </w:t>
      </w:r>
      <w:r w:rsidR="001C7361" w:rsidRPr="00AC2DC0">
        <w:rPr>
          <w:lang w:val="es-ES"/>
        </w:rPr>
        <w:t>"</w:t>
      </w:r>
      <w:r w:rsidRPr="00AC2DC0">
        <w:rPr>
          <w:lang w:val="es-ES"/>
        </w:rPr>
        <w:t>Aspectos técnicos, comerciales y reglamentarios de la inteligencia artificial y el metaverso para la Internet y las telecomunicaciones del futuro</w:t>
      </w:r>
      <w:r w:rsidR="001C7361" w:rsidRPr="00AC2DC0">
        <w:rPr>
          <w:lang w:val="es-ES"/>
        </w:rPr>
        <w:t>"</w:t>
      </w:r>
      <w:r w:rsidRPr="00AC2DC0">
        <w:rPr>
          <w:lang w:val="es-ES"/>
        </w:rPr>
        <w:t xml:space="preserve">, </w:t>
      </w:r>
      <w:r w:rsidR="001C7361" w:rsidRPr="00AC2DC0">
        <w:rPr>
          <w:lang w:val="es-ES"/>
        </w:rPr>
        <w:t>"</w:t>
      </w:r>
      <w:r w:rsidRPr="00AC2DC0">
        <w:rPr>
          <w:lang w:val="es-ES"/>
        </w:rPr>
        <w:t>Internet de las cosas</w:t>
      </w:r>
      <w:r w:rsidR="001C7361" w:rsidRPr="00AC2DC0">
        <w:rPr>
          <w:lang w:val="es-ES"/>
        </w:rPr>
        <w:t>"</w:t>
      </w:r>
      <w:r w:rsidRPr="00AC2DC0">
        <w:rPr>
          <w:lang w:val="es-ES"/>
        </w:rPr>
        <w:t xml:space="preserve">, </w:t>
      </w:r>
      <w:r w:rsidR="001C7361" w:rsidRPr="00AC2DC0">
        <w:rPr>
          <w:lang w:val="es-ES"/>
        </w:rPr>
        <w:t>"</w:t>
      </w:r>
      <w:r w:rsidRPr="00AC2DC0">
        <w:rPr>
          <w:lang w:val="es-ES"/>
        </w:rPr>
        <w:t>Fundamentos de la IoT:</w:t>
      </w:r>
      <w:r w:rsidR="001C7361" w:rsidRPr="00AC2DC0">
        <w:rPr>
          <w:lang w:val="es-ES"/>
        </w:rPr>
        <w:t xml:space="preserve"> </w:t>
      </w:r>
      <w:r w:rsidRPr="00AC2DC0">
        <w:rPr>
          <w:lang w:val="es-ES"/>
        </w:rPr>
        <w:t>arquitectura, aplicaciones y seguridad</w:t>
      </w:r>
      <w:r w:rsidR="001C7361" w:rsidRPr="00AC2DC0">
        <w:rPr>
          <w:lang w:val="es-ES"/>
        </w:rPr>
        <w:t>"</w:t>
      </w:r>
      <w:r w:rsidRPr="00AC2DC0">
        <w:rPr>
          <w:lang w:val="es-ES"/>
        </w:rPr>
        <w:t xml:space="preserve">, </w:t>
      </w:r>
      <w:r w:rsidR="001C7361" w:rsidRPr="00AC2DC0">
        <w:rPr>
          <w:lang w:val="es-ES"/>
        </w:rPr>
        <w:t>"</w:t>
      </w:r>
      <w:r w:rsidRPr="00AC2DC0">
        <w:rPr>
          <w:lang w:val="es-ES"/>
        </w:rPr>
        <w:t>Aspectos clave y gobernanza de Internet de las cosas, macrodatos e inteligencia artificial</w:t>
      </w:r>
      <w:r w:rsidR="001C7361" w:rsidRPr="00AC2DC0">
        <w:rPr>
          <w:lang w:val="es-ES"/>
        </w:rPr>
        <w:t>"</w:t>
      </w:r>
      <w:r w:rsidRPr="00AC2DC0">
        <w:rPr>
          <w:lang w:val="es-ES"/>
        </w:rPr>
        <w:t xml:space="preserve">, </w:t>
      </w:r>
      <w:r w:rsidR="001C7361" w:rsidRPr="00AC2DC0">
        <w:rPr>
          <w:lang w:val="es-ES"/>
        </w:rPr>
        <w:t>"</w:t>
      </w:r>
      <w:r w:rsidRPr="00AC2DC0">
        <w:rPr>
          <w:lang w:val="es-ES"/>
        </w:rPr>
        <w:t>Seguridad y QoS en la red de Internet</w:t>
      </w:r>
      <w:r w:rsidR="001C7361" w:rsidRPr="00AC2DC0">
        <w:rPr>
          <w:lang w:val="es-ES"/>
        </w:rPr>
        <w:t>"</w:t>
      </w:r>
      <w:r w:rsidRPr="00AC2DC0">
        <w:rPr>
          <w:lang w:val="es-ES"/>
        </w:rPr>
        <w:t xml:space="preserve"> y </w:t>
      </w:r>
      <w:r w:rsidR="001C7361" w:rsidRPr="00AC2DC0">
        <w:rPr>
          <w:lang w:val="es-ES"/>
        </w:rPr>
        <w:t>"</w:t>
      </w:r>
      <w:r w:rsidRPr="00AC2DC0">
        <w:rPr>
          <w:lang w:val="es-ES"/>
        </w:rPr>
        <w:t>Agricultura inteligente: aprovechar la IoT para el crecimiento de la agroindustria</w:t>
      </w:r>
      <w:r w:rsidR="001C7361" w:rsidRPr="00AC2DC0">
        <w:rPr>
          <w:lang w:val="es-ES"/>
        </w:rPr>
        <w:t>"</w:t>
      </w:r>
      <w:r w:rsidRPr="00AC2DC0">
        <w:rPr>
          <w:lang w:val="es-ES"/>
        </w:rPr>
        <w:t>. Durante el periodo de referencia (mayo de 2025-febrero de 2026), casi 300 alumnos se matricularon en estos cursos, de los cuales 139 recibieron un certificado. Además, también a través de la Academia de la UIT, se impartió formación sobre redes IP e IPv6 en colaboración con Nic.br.</w:t>
      </w:r>
      <w:hyperlink r:id="rId67"/>
      <w:hyperlink r:id="rId68"/>
    </w:p>
    <w:p w14:paraId="604186A9" w14:textId="77777777" w:rsidR="00836D1D" w:rsidRPr="00AC2DC0" w:rsidRDefault="00836D1D" w:rsidP="00836D1D">
      <w:pPr>
        <w:jc w:val="both"/>
        <w:rPr>
          <w:rFonts w:asciiTheme="minorHAnsi" w:eastAsia="SimSun" w:hAnsiTheme="minorHAnsi" w:cstheme="minorBidi"/>
          <w:b/>
          <w:bCs/>
          <w:szCs w:val="24"/>
          <w:lang w:val="es-ES"/>
        </w:rPr>
      </w:pPr>
      <w:r w:rsidRPr="00AC2DC0">
        <w:rPr>
          <w:b/>
          <w:bCs/>
          <w:lang w:val="es-ES"/>
        </w:rPr>
        <w:t>2.13</w:t>
      </w:r>
      <w:r w:rsidRPr="00AC2DC0">
        <w:rPr>
          <w:lang w:val="es-ES"/>
        </w:rPr>
        <w:tab/>
        <w:t xml:space="preserve">La </w:t>
      </w:r>
      <w:hyperlink r:id="rId69" w:history="1">
        <w:r w:rsidRPr="00AC2DC0">
          <w:rPr>
            <w:rStyle w:val="Hyperlink"/>
            <w:lang w:val="es-ES"/>
          </w:rPr>
          <w:t>Iniciativa mundial sobre mundos virtuales e IA – Descubriendo el urbaverso</w:t>
        </w:r>
      </w:hyperlink>
      <w:r w:rsidRPr="00AC2DC0">
        <w:rPr>
          <w:lang w:val="es-ES"/>
        </w:rPr>
        <w:t xml:space="preserve">, con el apoyo de más de 70 asociados, avanza la labor realizada en el marco de su vía de seguridad y </w:t>
      </w:r>
      <w:r w:rsidRPr="00AC2DC0">
        <w:rPr>
          <w:lang w:val="es-ES"/>
        </w:rPr>
        <w:lastRenderedPageBreak/>
        <w:t>confianza, abordando consideraciones fundamentales de seguridad, privacidad y confianza en el desarrollo del urbaverso y los mundos virtuales.</w:t>
      </w:r>
      <w:hyperlink r:id="rId70" w:history="1"/>
    </w:p>
    <w:p w14:paraId="4CD7EA85" w14:textId="77777777" w:rsidR="00836D1D" w:rsidRPr="00AC2DC0" w:rsidRDefault="00836D1D" w:rsidP="00836D1D">
      <w:pPr>
        <w:pStyle w:val="Heading1"/>
        <w:rPr>
          <w:lang w:val="es-ES"/>
        </w:rPr>
      </w:pPr>
      <w:r w:rsidRPr="00AC2DC0">
        <w:rPr>
          <w:lang w:val="es-ES"/>
        </w:rPr>
        <w:t>3</w:t>
      </w:r>
      <w:r w:rsidRPr="00AC2DC0">
        <w:rPr>
          <w:lang w:val="es-ES"/>
        </w:rPr>
        <w:tab/>
        <w:t>IPv6</w:t>
      </w:r>
    </w:p>
    <w:p w14:paraId="124CC417" w14:textId="77777777" w:rsidR="00836D1D" w:rsidRPr="00AC2DC0" w:rsidRDefault="00836D1D" w:rsidP="00836D1D">
      <w:pPr>
        <w:jc w:val="both"/>
        <w:rPr>
          <w:rFonts w:asciiTheme="minorHAnsi" w:eastAsia="SimSun" w:hAnsiTheme="minorHAnsi" w:cstheme="minorHAnsi"/>
          <w:szCs w:val="24"/>
          <w:lang w:val="es-ES"/>
        </w:rPr>
      </w:pPr>
      <w:r w:rsidRPr="00AC2DC0">
        <w:rPr>
          <w:b/>
          <w:bCs/>
          <w:lang w:val="es-ES"/>
        </w:rPr>
        <w:t>3.1</w:t>
      </w:r>
      <w:r w:rsidRPr="00AC2DC0">
        <w:rPr>
          <w:lang w:val="es-ES"/>
        </w:rPr>
        <w:tab/>
        <w:t xml:space="preserve">En la </w:t>
      </w:r>
      <w:hyperlink r:id="rId71" w:history="1">
        <w:r w:rsidRPr="00AC2DC0">
          <w:rPr>
            <w:rStyle w:val="Hyperlink"/>
            <w:lang w:val="es-ES"/>
          </w:rPr>
          <w:t xml:space="preserve">página web </w:t>
        </w:r>
        <w:proofErr w:type="spellStart"/>
        <w:r w:rsidRPr="00AC2DC0">
          <w:rPr>
            <w:rStyle w:val="Hyperlink"/>
            <w:lang w:val="es-ES"/>
          </w:rPr>
          <w:t>IPv6</w:t>
        </w:r>
        <w:proofErr w:type="spellEnd"/>
        <w:r w:rsidRPr="00AC2DC0">
          <w:rPr>
            <w:rStyle w:val="Hyperlink"/>
            <w:lang w:val="es-ES"/>
          </w:rPr>
          <w:t xml:space="preserve"> del UIT-T</w:t>
        </w:r>
      </w:hyperlink>
      <w:r w:rsidRPr="00AC2DC0">
        <w:rPr>
          <w:lang w:val="es-ES"/>
        </w:rPr>
        <w:t xml:space="preserve"> se destacan las actividades IPv6 del UIT-T. Se están organizando formaciones/cursos sobre todas las formas de conectividad IoT, incluida la seguridad y privacidad de la información.</w:t>
      </w:r>
      <w:hyperlink r:id="rId72" w:history="1"/>
    </w:p>
    <w:p w14:paraId="260B5CAE" w14:textId="77777777" w:rsidR="00836D1D" w:rsidRPr="00AC2DC0" w:rsidRDefault="00836D1D" w:rsidP="00836D1D">
      <w:pPr>
        <w:jc w:val="both"/>
        <w:rPr>
          <w:szCs w:val="24"/>
          <w:lang w:val="es-ES"/>
        </w:rPr>
      </w:pPr>
      <w:r w:rsidRPr="00AC2DC0">
        <w:rPr>
          <w:b/>
          <w:bCs/>
          <w:lang w:val="es-ES"/>
        </w:rPr>
        <w:t>3.2</w:t>
      </w:r>
      <w:r w:rsidRPr="00AC2DC0">
        <w:rPr>
          <w:lang w:val="es-ES"/>
        </w:rPr>
        <w:tab/>
        <w:t>La BDT comenzó a colaborar con Ripe NCC para impartir formación sobre IPv6 en la Región Árabe. El primer país que recibió asistencia fue Jordania.</w:t>
      </w:r>
    </w:p>
    <w:p w14:paraId="1CEF4D24" w14:textId="77777777" w:rsidR="00836D1D" w:rsidRPr="00AC2DC0" w:rsidRDefault="00836D1D" w:rsidP="00836D1D">
      <w:pPr>
        <w:jc w:val="both"/>
        <w:rPr>
          <w:szCs w:val="24"/>
          <w:lang w:val="es-ES"/>
        </w:rPr>
      </w:pPr>
      <w:r w:rsidRPr="00AC2DC0">
        <w:rPr>
          <w:b/>
          <w:bCs/>
          <w:lang w:val="es-ES"/>
        </w:rPr>
        <w:t>3.3</w:t>
      </w:r>
      <w:r w:rsidRPr="00AC2DC0">
        <w:rPr>
          <w:lang w:val="es-ES"/>
        </w:rPr>
        <w:tab/>
        <w:t>En colaboración con la Oficina Regional de la UIT, la BDT impartió cursos de formación sobre IPv6 centrados en las transiciones a representantes de reguladores en Iraq, el Estado de Palestina y Siria.</w:t>
      </w:r>
    </w:p>
    <w:p w14:paraId="236F0DF6" w14:textId="4C742074" w:rsidR="00836D1D" w:rsidRPr="00AC2DC0" w:rsidRDefault="00836D1D" w:rsidP="00836D1D">
      <w:pPr>
        <w:tabs>
          <w:tab w:val="clear" w:pos="567"/>
          <w:tab w:val="clear" w:pos="1134"/>
          <w:tab w:val="clear" w:pos="1701"/>
          <w:tab w:val="clear" w:pos="2268"/>
          <w:tab w:val="clear" w:pos="2835"/>
        </w:tabs>
        <w:spacing w:before="160" w:after="120"/>
        <w:jc w:val="both"/>
        <w:rPr>
          <w:szCs w:val="24"/>
          <w:lang w:val="es-ES"/>
        </w:rPr>
      </w:pPr>
      <w:r w:rsidRPr="00AC2DC0">
        <w:rPr>
          <w:b/>
          <w:bCs/>
          <w:lang w:val="es-ES"/>
        </w:rPr>
        <w:t>3.4</w:t>
      </w:r>
      <w:r w:rsidRPr="00AC2DC0">
        <w:rPr>
          <w:lang w:val="es-ES"/>
        </w:rPr>
        <w:tab/>
        <w:t>La BDT organizó un taller conjunto con la CE 15 del UIT-T durante el Foro de la CMSI sobre los retos y soluciones para la adopción de las redes de banda ancha IP</w:t>
      </w:r>
      <w:r w:rsidR="00AC2DC0" w:rsidRPr="00AC2DC0">
        <w:rPr>
          <w:lang w:val="es-ES"/>
        </w:rPr>
        <w:t>.</w:t>
      </w:r>
    </w:p>
    <w:p w14:paraId="76774C76" w14:textId="77777777" w:rsidR="00836D1D" w:rsidRPr="00AC2DC0" w:rsidRDefault="00836D1D" w:rsidP="00836D1D">
      <w:pPr>
        <w:pStyle w:val="Heading1"/>
        <w:rPr>
          <w:lang w:val="es-ES"/>
        </w:rPr>
      </w:pPr>
      <w:r w:rsidRPr="00AC2DC0">
        <w:rPr>
          <w:lang w:val="es-ES"/>
        </w:rPr>
        <w:t>4</w:t>
      </w:r>
      <w:r w:rsidRPr="00AC2DC0">
        <w:rPr>
          <w:lang w:val="es-ES"/>
        </w:rPr>
        <w:tab/>
        <w:t>Cuestiones de política pública relacionadas con Internet, incluida la gestión de los nombres de dominio y las direcciones</w:t>
      </w:r>
    </w:p>
    <w:p w14:paraId="59BD509D" w14:textId="77777777" w:rsidR="00836D1D" w:rsidRPr="00AC2DC0" w:rsidRDefault="00836D1D" w:rsidP="00836D1D">
      <w:pPr>
        <w:jc w:val="both"/>
        <w:rPr>
          <w:rFonts w:asciiTheme="minorHAnsi" w:eastAsia="SimSun" w:hAnsiTheme="minorHAnsi" w:cstheme="minorHAnsi"/>
          <w:szCs w:val="24"/>
          <w:lang w:val="es-ES"/>
        </w:rPr>
      </w:pPr>
      <w:r w:rsidRPr="00AC2DC0">
        <w:rPr>
          <w:b/>
          <w:bCs/>
          <w:lang w:val="es-ES"/>
        </w:rPr>
        <w:t>4.1</w:t>
      </w:r>
      <w:r w:rsidRPr="00AC2DC0">
        <w:rPr>
          <w:lang w:val="es-ES"/>
        </w:rPr>
        <w:tab/>
        <w:t xml:space="preserve">El </w:t>
      </w:r>
      <w:hyperlink r:id="rId73" w:history="1">
        <w:r w:rsidRPr="00AC2DC0">
          <w:rPr>
            <w:rStyle w:val="Hyperlink"/>
            <w:lang w:val="es-ES"/>
          </w:rPr>
          <w:t>Grupo de Trabajo del Consejo sobre cuestiones de política pública internacional relacionadas con Internet (GTC-Internet)</w:t>
        </w:r>
      </w:hyperlink>
      <w:r w:rsidRPr="00AC2DC0">
        <w:rPr>
          <w:lang w:val="es-ES"/>
        </w:rPr>
        <w:t xml:space="preserve"> celebró su vigesimosegunda y vigesimotercera reunión los días 15 y 16 de septiembre de 2025 y 20 de enero de 2026, respectivamente, en la Sede de la UIT en Ginebra (Suiza). En la vigésima segunda reunión, el Grupo examinó el resumen de la consulta abierta sobre </w:t>
      </w:r>
      <w:hyperlink r:id="rId74" w:history="1">
        <w:r w:rsidRPr="00AC2DC0">
          <w:rPr>
            <w:rStyle w:val="Hyperlink"/>
            <w:lang w:val="es-ES"/>
          </w:rPr>
          <w:t>garantizar una conectividad significativa a Internet para los países en desarrollo sin litoral (PDSL)</w:t>
        </w:r>
      </w:hyperlink>
      <w:r w:rsidRPr="00AC2DC0">
        <w:rPr>
          <w:lang w:val="es-ES"/>
        </w:rPr>
        <w:t xml:space="preserve"> y todas las contribuciones recibidas. En la vigésima tercera reunión, recordando la decisión adoptada por el GTC sobre la CMSI y los ODS de preparar un análisis de las deficiencias en las repercusiones de la CMSI+20 en los trabajos y mandatos en curso de la UIT, para su examen y consideración por el Consejo, el GTC-Internet pidió a la Secretaría que contribuyera a este esfuerzo en lo que respecta al mandato del GTC-Internet (para más información, véase el Documento </w:t>
      </w:r>
      <w:hyperlink r:id="rId75" w:history="1">
        <w:proofErr w:type="spellStart"/>
        <w:r w:rsidRPr="00AC2DC0">
          <w:rPr>
            <w:rStyle w:val="Hyperlink"/>
            <w:lang w:val="es-ES"/>
          </w:rPr>
          <w:t>C26</w:t>
        </w:r>
        <w:proofErr w:type="spellEnd"/>
        <w:r w:rsidRPr="00AC2DC0">
          <w:rPr>
            <w:rStyle w:val="Hyperlink"/>
            <w:lang w:val="es-ES"/>
          </w:rPr>
          <w:t>/60</w:t>
        </w:r>
      </w:hyperlink>
      <w:r w:rsidRPr="00AC2DC0">
        <w:rPr>
          <w:lang w:val="es-ES"/>
        </w:rPr>
        <w:t xml:space="preserve">). El Informe del Presidente para el Consejo se presenta en el Documento </w:t>
      </w:r>
      <w:hyperlink r:id="rId76" w:history="1">
        <w:proofErr w:type="spellStart"/>
        <w:r w:rsidRPr="00AC2DC0">
          <w:rPr>
            <w:rStyle w:val="Hyperlink"/>
            <w:lang w:val="es-ES"/>
          </w:rPr>
          <w:t>C26</w:t>
        </w:r>
        <w:proofErr w:type="spellEnd"/>
        <w:r w:rsidRPr="00AC2DC0">
          <w:rPr>
            <w:rStyle w:val="Hyperlink"/>
            <w:lang w:val="es-ES"/>
          </w:rPr>
          <w:t>/51</w:t>
        </w:r>
      </w:hyperlink>
      <w:r w:rsidRPr="00AC2DC0">
        <w:rPr>
          <w:lang w:val="es-ES"/>
        </w:rPr>
        <w:t>.</w:t>
      </w:r>
      <w:hyperlink r:id="rId77" w:history="1"/>
      <w:hyperlink r:id="rId78" w:history="1"/>
      <w:hyperlink r:id="rId79" w:history="1"/>
      <w:hyperlink r:id="rId80" w:history="1"/>
    </w:p>
    <w:p w14:paraId="4ECA79B7" w14:textId="60BC8CFA" w:rsidR="00836D1D" w:rsidRPr="00AC2DC0" w:rsidRDefault="00836D1D" w:rsidP="00836D1D">
      <w:pPr>
        <w:jc w:val="both"/>
        <w:rPr>
          <w:rFonts w:cstheme="minorBidi"/>
          <w:spacing w:val="-2"/>
          <w:szCs w:val="24"/>
          <w:lang w:val="es-ES"/>
        </w:rPr>
      </w:pPr>
      <w:r w:rsidRPr="00AC2DC0">
        <w:rPr>
          <w:b/>
          <w:bCs/>
          <w:lang w:val="es-ES"/>
        </w:rPr>
        <w:t>4.2</w:t>
      </w:r>
      <w:r w:rsidRPr="00AC2DC0">
        <w:rPr>
          <w:lang w:val="es-ES"/>
        </w:rPr>
        <w:tab/>
        <w:t>La UIT participó en la 20.ª reunión del IGF en Oslo (Noruega), del 23 al 27 de junio de 2025, incluidas la ceremonia de apertura y las sesiones de alto nivel. La UIT también organizó varias sesiones, entre ellas sobre el proceso CMSI+20, las consultas abiertas de la CMSI y el GTC-Internet.</w:t>
      </w:r>
    </w:p>
    <w:p w14:paraId="48AC43C9" w14:textId="77777777" w:rsidR="00836D1D" w:rsidRPr="00AC2DC0" w:rsidRDefault="00836D1D" w:rsidP="00836D1D">
      <w:pPr>
        <w:jc w:val="both"/>
        <w:rPr>
          <w:rFonts w:asciiTheme="minorHAnsi" w:eastAsia="SimSun" w:hAnsiTheme="minorHAnsi" w:cstheme="minorBidi"/>
          <w:szCs w:val="24"/>
          <w:lang w:val="es-ES"/>
        </w:rPr>
      </w:pPr>
      <w:r w:rsidRPr="00AC2DC0">
        <w:rPr>
          <w:b/>
          <w:bCs/>
          <w:lang w:val="es-ES"/>
        </w:rPr>
        <w:t>4.3</w:t>
      </w:r>
      <w:r w:rsidRPr="00AC2DC0">
        <w:rPr>
          <w:lang w:val="es-ES"/>
        </w:rPr>
        <w:tab/>
        <w:t>La UIT continúa realizando el seguimiento de la cuestión de la protección de los nombres y acrónimos de las organizaciones internacionales (OIG) en cualquier nuevo gTLD, como parte de la coalición de OIG integrada por 35 OIG incluidas la OCDE, las Naciones Unidas, la UPU, la OMS, la OMPI y el Banco Mundial.</w:t>
      </w:r>
    </w:p>
    <w:p w14:paraId="13B15BDA" w14:textId="77777777" w:rsidR="00836D1D" w:rsidRPr="00AC2DC0" w:rsidRDefault="00836D1D" w:rsidP="00836D1D">
      <w:pPr>
        <w:jc w:val="both"/>
        <w:rPr>
          <w:rFonts w:asciiTheme="minorHAnsi" w:eastAsia="SimSun" w:hAnsiTheme="minorHAnsi" w:cstheme="minorBidi"/>
          <w:szCs w:val="24"/>
          <w:lang w:val="es-ES"/>
        </w:rPr>
      </w:pPr>
      <w:r w:rsidRPr="00AC2DC0">
        <w:rPr>
          <w:b/>
          <w:bCs/>
          <w:lang w:val="es-ES"/>
        </w:rPr>
        <w:t>4.4</w:t>
      </w:r>
      <w:r w:rsidRPr="00AC2DC0">
        <w:rPr>
          <w:lang w:val="es-ES"/>
        </w:rPr>
        <w:tab/>
        <w:t>En todas las actividades enumeradas en las distintas secciones de este Informe, especialmente en lo que se refiere a los países beneficiarios de ayuda sobre IPv6, banda ancha y actividades de creación de capacidad, la UIT tiene como objetivo abordar los retos a los que se enfrentan los países en desarrollo sin litoral de acuerdo con el Programa de Acción de Viena.</w:t>
      </w:r>
    </w:p>
    <w:p w14:paraId="161D67E8" w14:textId="77777777" w:rsidR="00836D1D" w:rsidRPr="00AC2DC0" w:rsidRDefault="00836D1D" w:rsidP="00836D1D">
      <w:pPr>
        <w:jc w:val="both"/>
        <w:rPr>
          <w:rFonts w:asciiTheme="minorHAnsi" w:eastAsia="SimSun" w:hAnsiTheme="minorHAnsi" w:cstheme="minorHAnsi"/>
          <w:szCs w:val="24"/>
          <w:lang w:val="es-ES"/>
        </w:rPr>
      </w:pPr>
      <w:r w:rsidRPr="00AC2DC0">
        <w:rPr>
          <w:b/>
          <w:bCs/>
          <w:lang w:val="es-ES"/>
        </w:rPr>
        <w:t>4.5</w:t>
      </w:r>
      <w:r w:rsidRPr="00AC2DC0">
        <w:rPr>
          <w:lang w:val="es-ES"/>
        </w:rPr>
        <w:tab/>
        <w:t>La UIT sigue activamente los debates del GAC en calidad de observador.</w:t>
      </w:r>
    </w:p>
    <w:p w14:paraId="0127DB1E" w14:textId="77777777" w:rsidR="00836D1D" w:rsidRPr="00AC2DC0" w:rsidRDefault="00836D1D" w:rsidP="00836D1D">
      <w:pPr>
        <w:pStyle w:val="Heading1"/>
        <w:rPr>
          <w:lang w:val="es-ES"/>
        </w:rPr>
      </w:pPr>
      <w:r w:rsidRPr="00AC2DC0">
        <w:rPr>
          <w:lang w:val="es-ES"/>
        </w:rPr>
        <w:lastRenderedPageBreak/>
        <w:t>5</w:t>
      </w:r>
      <w:r w:rsidRPr="00AC2DC0">
        <w:rPr>
          <w:lang w:val="es-ES"/>
        </w:rPr>
        <w:tab/>
        <w:t>ENUM</w:t>
      </w:r>
    </w:p>
    <w:p w14:paraId="710DCB56" w14:textId="77777777" w:rsidR="00836D1D" w:rsidRPr="00AC2DC0" w:rsidRDefault="00836D1D" w:rsidP="00836D1D">
      <w:pPr>
        <w:jc w:val="both"/>
        <w:rPr>
          <w:rFonts w:asciiTheme="minorHAnsi" w:eastAsia="SimSun" w:hAnsiTheme="minorHAnsi" w:cstheme="minorHAnsi"/>
          <w:bCs/>
          <w:szCs w:val="24"/>
          <w:lang w:val="es-ES"/>
        </w:rPr>
      </w:pPr>
      <w:r w:rsidRPr="00AC2DC0">
        <w:rPr>
          <w:lang w:val="es-ES"/>
        </w:rPr>
        <w:t xml:space="preserve">El UIT-T mantiene </w:t>
      </w:r>
      <w:hyperlink r:id="rId81" w:history="1">
        <w:r w:rsidRPr="00AC2DC0">
          <w:rPr>
            <w:rStyle w:val="Hyperlink"/>
            <w:lang w:val="es-ES"/>
          </w:rPr>
          <w:t xml:space="preserve">información actualizada sobre </w:t>
        </w:r>
        <w:proofErr w:type="spellStart"/>
        <w:r w:rsidRPr="00AC2DC0">
          <w:rPr>
            <w:rStyle w:val="Hyperlink"/>
            <w:lang w:val="es-ES"/>
          </w:rPr>
          <w:t>ENUM</w:t>
        </w:r>
        <w:proofErr w:type="spellEnd"/>
      </w:hyperlink>
      <w:r w:rsidRPr="00AC2DC0">
        <w:rPr>
          <w:lang w:val="es-ES"/>
        </w:rPr>
        <w:t xml:space="preserve">. Dadas las pruebas de que el sistema no está en uso, la reunión de febrero de 2026 de la CE 2 del UIT-T acordó publicar una Carta Circular a todos los Estados Miembros solicitando su opinión sobre el posible cierre del sistema ENUM en virtud de e164.arpa. Las observaciones formuladas por los Estados Miembros se presentarán en la reunión de septiembre de 2026 de la CE 2 del UIT-T. A la espera de las conclusiones de las respuestas a la presente circular, entrarán en vigor los procedimientos provisionales ENUM revisados que se acordaron en la reunión de febrero de 2026 y que pueden consultarse </w:t>
      </w:r>
      <w:hyperlink r:id="rId82" w:history="1">
        <w:r w:rsidRPr="00AC2DC0">
          <w:rPr>
            <w:rStyle w:val="Hyperlink"/>
            <w:lang w:val="es-ES"/>
          </w:rPr>
          <w:t>aquí</w:t>
        </w:r>
      </w:hyperlink>
      <w:r w:rsidRPr="00AC2DC0">
        <w:rPr>
          <w:lang w:val="es-ES"/>
        </w:rPr>
        <w:t>.</w:t>
      </w:r>
    </w:p>
    <w:p w14:paraId="393EA059" w14:textId="77777777" w:rsidR="00836D1D" w:rsidRPr="00AC2DC0" w:rsidRDefault="00836D1D" w:rsidP="00836D1D">
      <w:pPr>
        <w:pStyle w:val="Heading1"/>
        <w:rPr>
          <w:lang w:val="es-ES"/>
        </w:rPr>
      </w:pPr>
      <w:bookmarkStart w:id="14" w:name="_Hlk133498507"/>
      <w:r w:rsidRPr="00AC2DC0">
        <w:rPr>
          <w:lang w:val="es-ES"/>
        </w:rPr>
        <w:t>6</w:t>
      </w:r>
      <w:r w:rsidRPr="00AC2DC0">
        <w:rPr>
          <w:lang w:val="es-ES"/>
        </w:rPr>
        <w:tab/>
        <w:t>Conectividad internacional a Internet (IIC)/centrales Internet (IXP)</w:t>
      </w:r>
    </w:p>
    <w:p w14:paraId="329A5052" w14:textId="77777777" w:rsidR="00836D1D" w:rsidRPr="00AC2DC0" w:rsidRDefault="00836D1D" w:rsidP="00836D1D">
      <w:pPr>
        <w:jc w:val="both"/>
        <w:rPr>
          <w:szCs w:val="24"/>
          <w:lang w:val="es-ES"/>
        </w:rPr>
      </w:pPr>
      <w:r w:rsidRPr="00AC2DC0">
        <w:rPr>
          <w:b/>
          <w:bCs/>
          <w:lang w:val="es-ES"/>
        </w:rPr>
        <w:t>6.1</w:t>
      </w:r>
      <w:r w:rsidRPr="00AC2DC0">
        <w:rPr>
          <w:lang w:val="es-ES"/>
        </w:rPr>
        <w:tab/>
        <w:t xml:space="preserve">La BDT prosigue su labor de prestación de asistencia sobre cuestiones relacionadas con las IXP. Las ubicaciones de los IXP pueden consultarse en la cartografía interactiva de infraestructuras de TIC: </w:t>
      </w:r>
      <w:hyperlink r:id="rId83" w:history="1">
        <w:r w:rsidRPr="00AC2DC0">
          <w:rPr>
            <w:rStyle w:val="Hyperlink"/>
            <w:lang w:val="es-ES"/>
          </w:rPr>
          <w:t>https://bbmaps.itu.int/bbmaps/</w:t>
        </w:r>
      </w:hyperlink>
      <w:r w:rsidRPr="00AC2DC0">
        <w:rPr>
          <w:lang w:val="es-ES"/>
        </w:rPr>
        <w:t>. La BDT actualiza constantemente la información sobre los datos de ubicación.</w:t>
      </w:r>
      <w:hyperlink r:id="rId84" w:history="1"/>
      <w:bookmarkEnd w:id="14"/>
    </w:p>
    <w:p w14:paraId="65083965" w14:textId="77777777" w:rsidR="00836D1D" w:rsidRPr="00AC2DC0" w:rsidRDefault="00836D1D" w:rsidP="00836D1D">
      <w:pPr>
        <w:jc w:val="both"/>
        <w:rPr>
          <w:szCs w:val="24"/>
          <w:lang w:val="es-ES"/>
        </w:rPr>
      </w:pPr>
      <w:r w:rsidRPr="00AC2DC0">
        <w:rPr>
          <w:b/>
          <w:bCs/>
          <w:lang w:val="es-ES"/>
        </w:rPr>
        <w:t>6.2</w:t>
      </w:r>
      <w:r w:rsidRPr="00AC2DC0">
        <w:rPr>
          <w:lang w:val="es-ES"/>
        </w:rPr>
        <w:tab/>
        <w:t xml:space="preserve">La CE 3 del UIT-T, a través de la </w:t>
      </w:r>
      <w:hyperlink r:id="rId85" w:history="1">
        <w:proofErr w:type="spellStart"/>
        <w:r w:rsidRPr="00AC2DC0">
          <w:rPr>
            <w:rStyle w:val="Hyperlink"/>
            <w:lang w:val="es-ES"/>
          </w:rPr>
          <w:t>C6</w:t>
        </w:r>
        <w:proofErr w:type="spellEnd"/>
        <w:r w:rsidRPr="00AC2DC0">
          <w:rPr>
            <w:rStyle w:val="Hyperlink"/>
            <w:lang w:val="es-ES"/>
          </w:rPr>
          <w:t>/3</w:t>
        </w:r>
      </w:hyperlink>
      <w:r w:rsidRPr="00AC2DC0">
        <w:rPr>
          <w:lang w:val="es-ES"/>
        </w:rPr>
        <w:t>, sigue estudiando los cables de fibra Internet internacionales y la conectividad a Internet por satélite, incluidos los aspectos pertinentes de los acuerdos de reciprocidad del protocolo Internet (IP), los puntos regionales de intercambio de tráfico, la optimización de los cables de fibra, el coste de la prestación de servicios y la repercusión del despliegue de la versión 6 del protocolo Internet (</w:t>
      </w:r>
      <w:proofErr w:type="spellStart"/>
      <w:r w:rsidRPr="00AC2DC0">
        <w:rPr>
          <w:lang w:val="es-ES"/>
        </w:rPr>
        <w:t>IPv6</w:t>
      </w:r>
      <w:proofErr w:type="spellEnd"/>
      <w:r w:rsidRPr="00AC2DC0">
        <w:rPr>
          <w:lang w:val="es-ES"/>
        </w:rPr>
        <w:t>).</w:t>
      </w:r>
      <w:hyperlink r:id="rId86" w:history="1"/>
    </w:p>
    <w:p w14:paraId="078ECF35" w14:textId="77777777" w:rsidR="00836D1D" w:rsidRPr="00AC2DC0" w:rsidRDefault="00836D1D" w:rsidP="00836D1D">
      <w:pPr>
        <w:pStyle w:val="Heading1"/>
        <w:rPr>
          <w:lang w:val="es-ES"/>
        </w:rPr>
      </w:pPr>
      <w:r w:rsidRPr="00AC2DC0">
        <w:rPr>
          <w:lang w:val="es-ES"/>
        </w:rPr>
        <w:t>7</w:t>
      </w:r>
      <w:r w:rsidRPr="00AC2DC0">
        <w:rPr>
          <w:lang w:val="es-ES"/>
        </w:rPr>
        <w:tab/>
        <w:t>OTT</w:t>
      </w:r>
    </w:p>
    <w:p w14:paraId="0CAFCCDE" w14:textId="77777777" w:rsidR="00836D1D" w:rsidRPr="00AC2DC0" w:rsidRDefault="00836D1D" w:rsidP="00836D1D">
      <w:pPr>
        <w:jc w:val="both"/>
        <w:rPr>
          <w:rFonts w:asciiTheme="minorHAnsi" w:eastAsia="SimSun" w:hAnsiTheme="minorHAnsi" w:cstheme="minorHAnsi"/>
          <w:szCs w:val="24"/>
          <w:lang w:val="es-ES"/>
        </w:rPr>
      </w:pPr>
      <w:r w:rsidRPr="00AC2DC0">
        <w:rPr>
          <w:b/>
          <w:bCs/>
          <w:lang w:val="es-ES"/>
        </w:rPr>
        <w:t>7.1</w:t>
      </w:r>
      <w:r w:rsidRPr="00AC2DC0">
        <w:rPr>
          <w:lang w:val="es-ES"/>
        </w:rPr>
        <w:tab/>
        <w:t xml:space="preserve">En el marco de la </w:t>
      </w:r>
      <w:r w:rsidRPr="00AC2DC0">
        <w:rPr>
          <w:b/>
          <w:bCs/>
          <w:lang w:val="es-ES"/>
        </w:rPr>
        <w:t>C3/1 del UIT-D</w:t>
      </w:r>
      <w:r w:rsidRPr="00AC2DC0">
        <w:rPr>
          <w:lang w:val="es-ES"/>
        </w:rPr>
        <w:t>, continúan los trabajos sobre la utilización de las telecomunicaciones/TIC para la reducción y gestión del riesgo de catástrofes.</w:t>
      </w:r>
    </w:p>
    <w:p w14:paraId="4F53255B" w14:textId="198C810D" w:rsidR="00836D1D" w:rsidRPr="00AC2DC0" w:rsidRDefault="00836D1D" w:rsidP="00836D1D">
      <w:pPr>
        <w:jc w:val="both"/>
        <w:rPr>
          <w:rFonts w:asciiTheme="minorHAnsi" w:eastAsia="SimSun" w:hAnsiTheme="minorHAnsi" w:cstheme="minorBidi"/>
          <w:spacing w:val="2"/>
          <w:szCs w:val="24"/>
          <w:lang w:val="es-ES"/>
        </w:rPr>
      </w:pPr>
      <w:r w:rsidRPr="00AC2DC0">
        <w:rPr>
          <w:b/>
          <w:bCs/>
          <w:lang w:val="es-ES"/>
        </w:rPr>
        <w:t>7.2</w:t>
      </w:r>
      <w:r w:rsidRPr="00AC2DC0">
        <w:rPr>
          <w:lang w:val="es-ES"/>
        </w:rPr>
        <w:tab/>
        <w:t xml:space="preserve">La </w:t>
      </w:r>
      <w:r w:rsidRPr="00AC2DC0">
        <w:rPr>
          <w:b/>
          <w:bCs/>
          <w:lang w:val="es-ES"/>
        </w:rPr>
        <w:t>CE 2 del UIT-T</w:t>
      </w:r>
      <w:r w:rsidRPr="00AC2DC0">
        <w:rPr>
          <w:lang w:val="es-ES"/>
        </w:rPr>
        <w:t xml:space="preserve"> está avanzando en tres temas de trabajo sobre OTT: OTTnum </w:t>
      </w:r>
      <w:r w:rsidR="001C7361" w:rsidRPr="00AC2DC0">
        <w:rPr>
          <w:lang w:val="es-ES"/>
        </w:rPr>
        <w:t>"</w:t>
      </w:r>
      <w:r w:rsidRPr="00AC2DC0">
        <w:rPr>
          <w:lang w:val="es-ES"/>
        </w:rPr>
        <w:t>Informe técnico: Utilización actual de números E.164 como identificadores para OTT</w:t>
      </w:r>
      <w:r w:rsidR="001C7361" w:rsidRPr="00AC2DC0">
        <w:rPr>
          <w:lang w:val="es-ES"/>
        </w:rPr>
        <w:t>"</w:t>
      </w:r>
      <w:r w:rsidRPr="00AC2DC0">
        <w:rPr>
          <w:lang w:val="es-ES"/>
        </w:rPr>
        <w:t xml:space="preserve">, cuya aprobación está prevista para 2026, TR. OTTNumMgt, </w:t>
      </w:r>
      <w:r w:rsidR="001C7361" w:rsidRPr="00AC2DC0">
        <w:rPr>
          <w:lang w:val="es-ES"/>
        </w:rPr>
        <w:t>"</w:t>
      </w:r>
      <w:r w:rsidRPr="00AC2DC0">
        <w:rPr>
          <w:lang w:val="es-ES"/>
        </w:rPr>
        <w:t>Informe técnico sobre la gestión de la numeración OTT</w:t>
      </w:r>
      <w:r w:rsidR="001C7361" w:rsidRPr="00AC2DC0">
        <w:rPr>
          <w:lang w:val="es-ES"/>
        </w:rPr>
        <w:t>"</w:t>
      </w:r>
      <w:r w:rsidRPr="00AC2DC0">
        <w:rPr>
          <w:lang w:val="es-ES"/>
        </w:rPr>
        <w:t xml:space="preserve"> y proyecto de Recomendación UIT-T E.ACP </w:t>
      </w:r>
      <w:r w:rsidR="001C7361" w:rsidRPr="00AC2DC0">
        <w:rPr>
          <w:lang w:val="es-ES"/>
        </w:rPr>
        <w:t>"</w:t>
      </w:r>
      <w:r w:rsidRPr="00AC2DC0">
        <w:rPr>
          <w:lang w:val="es-ES"/>
        </w:rPr>
        <w:t>Procedimientos alternativos de llamada</w:t>
      </w:r>
      <w:r w:rsidR="001C7361" w:rsidRPr="00AC2DC0">
        <w:rPr>
          <w:lang w:val="es-ES"/>
        </w:rPr>
        <w:t>"</w:t>
      </w:r>
      <w:r w:rsidRPr="00AC2DC0">
        <w:rPr>
          <w:lang w:val="es-ES"/>
        </w:rPr>
        <w:t>.</w:t>
      </w:r>
    </w:p>
    <w:p w14:paraId="43CD038D" w14:textId="2012E41F" w:rsidR="00836D1D" w:rsidRPr="00AC2DC0" w:rsidRDefault="00836D1D" w:rsidP="00836D1D">
      <w:pPr>
        <w:jc w:val="both"/>
        <w:rPr>
          <w:rFonts w:asciiTheme="minorHAnsi" w:eastAsia="SimSun" w:hAnsiTheme="minorHAnsi" w:cstheme="minorBidi"/>
          <w:lang w:val="es-ES"/>
        </w:rPr>
      </w:pPr>
      <w:r w:rsidRPr="00AC2DC0">
        <w:rPr>
          <w:b/>
          <w:bCs/>
          <w:lang w:val="es-ES"/>
        </w:rPr>
        <w:t>7.3</w:t>
      </w:r>
      <w:r w:rsidRPr="00AC2DC0">
        <w:rPr>
          <w:lang w:val="es-ES"/>
        </w:rPr>
        <w:tab/>
        <w:t xml:space="preserve">La </w:t>
      </w:r>
      <w:r w:rsidRPr="00AC2DC0">
        <w:rPr>
          <w:b/>
          <w:bCs/>
          <w:lang w:val="es-ES"/>
        </w:rPr>
        <w:t>CE 3 del UIT-T</w:t>
      </w:r>
      <w:r w:rsidRPr="00AC2DC0">
        <w:rPr>
          <w:lang w:val="es-ES"/>
        </w:rPr>
        <w:t xml:space="preserve"> avanzó en los temas de trabajo D.GuidelinesCostContribution, </w:t>
      </w:r>
      <w:r w:rsidR="001C7361" w:rsidRPr="00AC2DC0">
        <w:rPr>
          <w:lang w:val="es-ES"/>
        </w:rPr>
        <w:t>"</w:t>
      </w:r>
      <w:r w:rsidRPr="00AC2DC0">
        <w:rPr>
          <w:lang w:val="es-ES"/>
        </w:rPr>
        <w:t>Directrices sobre los posibles mecanismos de distribución de costes entre los proveedores de servicios OTT y los operadores de redes de telecomunicaciones para la expansión y el desarrollo de redes de telecomunicaciones de alta capacidad</w:t>
      </w:r>
      <w:r w:rsidR="001C7361" w:rsidRPr="00AC2DC0">
        <w:rPr>
          <w:lang w:val="es-ES"/>
        </w:rPr>
        <w:t>"</w:t>
      </w:r>
      <w:r w:rsidRPr="00AC2DC0">
        <w:rPr>
          <w:lang w:val="es-ES"/>
        </w:rPr>
        <w:t xml:space="preserve">, y Study_OTTs "Estudio de los aspectos políticos, reglamentarios y económicos de los OTT en el contexto de los servicios y las redes de telecomunicaciones/TIC internacionales". Otros temas de trabajo relacionados con los OTT en la CE 3 del UIT-T incluyen </w:t>
      </w:r>
      <w:proofErr w:type="gramStart"/>
      <w:r w:rsidRPr="00AC2DC0">
        <w:rPr>
          <w:lang w:val="es-ES"/>
        </w:rPr>
        <w:t>D.OTTBypass</w:t>
      </w:r>
      <w:proofErr w:type="gramEnd"/>
      <w:r w:rsidRPr="00AC2DC0">
        <w:rPr>
          <w:lang w:val="es-ES"/>
        </w:rPr>
        <w:t xml:space="preserve"> "Atajo OTT", D7_R_OTTBypass "Recomendación Regional (ARB) sobre el atajo OTT, incluida la colaboración nacional y regional entre Estados Miembros y operadores para abordar el problema del atajo OTT", y Study_OTTnetworkinvestment "Informe técnico regional (LAC) sobre la incidencia de los OTT en la inversión en redes de telecomunicaciones".</w:t>
      </w:r>
    </w:p>
    <w:p w14:paraId="2B0E1CDA" w14:textId="77777777" w:rsidR="00836D1D" w:rsidRPr="00AC2DC0" w:rsidRDefault="00836D1D" w:rsidP="00836D1D">
      <w:pPr>
        <w:jc w:val="both"/>
        <w:rPr>
          <w:rFonts w:asciiTheme="minorHAnsi" w:eastAsia="SimSun" w:hAnsiTheme="minorHAnsi" w:cstheme="minorBidi"/>
          <w:lang w:val="es-ES"/>
        </w:rPr>
      </w:pPr>
      <w:r w:rsidRPr="00AC2DC0">
        <w:rPr>
          <w:lang w:val="es-ES"/>
        </w:rPr>
        <w:t>En 2025, la CE 3 del UIT-T adoptó el nuevo Informe Técnico DSTR_OTTReporting "Establecimiento de normas internacionales de información para aplicaciones OTT".</w:t>
      </w:r>
    </w:p>
    <w:p w14:paraId="5775AEDC" w14:textId="77777777" w:rsidR="00836D1D" w:rsidRPr="00AC2DC0" w:rsidRDefault="00836D1D" w:rsidP="00836D1D">
      <w:pPr>
        <w:jc w:val="both"/>
        <w:rPr>
          <w:rFonts w:asciiTheme="minorHAnsi" w:eastAsia="SimSun" w:hAnsiTheme="minorHAnsi" w:cstheme="minorBidi"/>
          <w:lang w:val="es-ES"/>
        </w:rPr>
      </w:pPr>
      <w:r w:rsidRPr="00AC2DC0">
        <w:rPr>
          <w:lang w:val="es-ES"/>
        </w:rPr>
        <w:lastRenderedPageBreak/>
        <w:t>Además de lo anterior, en 2025, las CE 2 y 3 del UIT-T celebraron una reunión conjunta del Grupo de Relator sobre definiciones relacionadas con los OTT. En junio de 2026 se celebrará una reunión conjunta adicional.</w:t>
      </w:r>
    </w:p>
    <w:p w14:paraId="58C21BB1" w14:textId="77777777" w:rsidR="00836D1D" w:rsidRPr="00AC2DC0" w:rsidRDefault="00836D1D" w:rsidP="00836D1D">
      <w:pPr>
        <w:jc w:val="both"/>
        <w:rPr>
          <w:lang w:val="es-ES"/>
        </w:rPr>
      </w:pPr>
      <w:r w:rsidRPr="00AC2DC0">
        <w:rPr>
          <w:b/>
          <w:bCs/>
          <w:lang w:val="es-ES"/>
        </w:rPr>
        <w:t>7.4</w:t>
      </w:r>
      <w:r w:rsidRPr="00AC2DC0">
        <w:rPr>
          <w:lang w:val="es-ES"/>
        </w:rPr>
        <w:tab/>
        <w:t xml:space="preserve">La CE 12 del UIT-T comenzó a trabajar en un nuevo Informe técnico </w:t>
      </w:r>
      <w:hyperlink r:id="rId87" w:history="1">
        <w:proofErr w:type="spellStart"/>
        <w:r w:rsidRPr="00AC2DC0">
          <w:rPr>
            <w:rStyle w:val="Hyperlink"/>
            <w:lang w:val="es-ES"/>
          </w:rPr>
          <w:t>ESTR.OTTperf</w:t>
        </w:r>
        <w:proofErr w:type="spellEnd"/>
      </w:hyperlink>
      <w:r w:rsidRPr="00AC2DC0">
        <w:rPr>
          <w:lang w:val="es-ES"/>
        </w:rPr>
        <w:t xml:space="preserve">. "Estudios de caso sobre la supervisión de la calidad de funcionamiento de los OTT" y la CE 21 comenzaron a trabajar en un nuevo Informe técnico </w:t>
      </w:r>
      <w:hyperlink r:id="rId88" w:history="1">
        <w:proofErr w:type="spellStart"/>
        <w:r w:rsidRPr="00AC2DC0">
          <w:rPr>
            <w:rStyle w:val="Hyperlink"/>
            <w:lang w:val="es-ES"/>
          </w:rPr>
          <w:t>JSTR</w:t>
        </w:r>
        <w:proofErr w:type="spellEnd"/>
        <w:r w:rsidRPr="00AC2DC0">
          <w:rPr>
            <w:rStyle w:val="Hyperlink"/>
            <w:lang w:val="es-ES"/>
          </w:rPr>
          <w:t>. CASDRM-INT</w:t>
        </w:r>
      </w:hyperlink>
      <w:r w:rsidRPr="00AC2DC0">
        <w:rPr>
          <w:lang w:val="es-ES"/>
        </w:rPr>
        <w:t xml:space="preserve"> "Viabilidad técnica de la integración de CAS/SMS-DRM en los sistemas de radiodifusión, cable, TVIP y OTT".</w:t>
      </w:r>
      <w:hyperlink r:id="rId89" w:history="1"/>
      <w:hyperlink r:id="rId90" w:history="1"/>
    </w:p>
    <w:bookmarkEnd w:id="1"/>
    <w:p w14:paraId="1C18B6B0" w14:textId="77777777" w:rsidR="00836D1D" w:rsidRPr="00AC2DC0" w:rsidRDefault="00836D1D" w:rsidP="00411C49">
      <w:pPr>
        <w:pStyle w:val="Reasons"/>
        <w:rPr>
          <w:lang w:val="es-ES"/>
        </w:rPr>
      </w:pPr>
    </w:p>
    <w:p w14:paraId="7B2538C1" w14:textId="77777777" w:rsidR="00836D1D" w:rsidRPr="00AC2DC0" w:rsidRDefault="00836D1D">
      <w:pPr>
        <w:jc w:val="center"/>
        <w:rPr>
          <w:lang w:val="es-ES"/>
        </w:rPr>
      </w:pPr>
      <w:r w:rsidRPr="00AC2DC0">
        <w:rPr>
          <w:lang w:val="es-ES"/>
        </w:rPr>
        <w:t>______________</w:t>
      </w:r>
    </w:p>
    <w:sectPr w:rsidR="00836D1D" w:rsidRPr="00AC2DC0" w:rsidSect="00C538FC">
      <w:headerReference w:type="even" r:id="rId91"/>
      <w:headerReference w:type="default" r:id="rId92"/>
      <w:footerReference w:type="even" r:id="rId93"/>
      <w:footerReference w:type="default" r:id="rId94"/>
      <w:headerReference w:type="first" r:id="rId95"/>
      <w:footerReference w:type="first" r:id="rId9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F97B" w14:textId="77777777" w:rsidR="008B402D" w:rsidRDefault="008B402D">
      <w:r>
        <w:separator/>
      </w:r>
    </w:p>
  </w:endnote>
  <w:endnote w:type="continuationSeparator" w:id="0">
    <w:p w14:paraId="40DB4CF8" w14:textId="77777777" w:rsidR="008B402D" w:rsidRDefault="008B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F8DA" w14:textId="77777777" w:rsidR="00AF6C8A" w:rsidRDefault="00AF6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9EDF8A2" w14:textId="77777777" w:rsidTr="00E31DCE">
      <w:trPr>
        <w:jc w:val="center"/>
      </w:trPr>
      <w:tc>
        <w:tcPr>
          <w:tcW w:w="1803" w:type="dxa"/>
          <w:vAlign w:val="center"/>
        </w:tcPr>
        <w:p w14:paraId="6DB9E0C8" w14:textId="179309D8" w:rsidR="003273A4" w:rsidRDefault="002946E2" w:rsidP="003273A4">
          <w:pPr>
            <w:pStyle w:val="Header"/>
            <w:jc w:val="left"/>
            <w:rPr>
              <w:noProof/>
            </w:rPr>
          </w:pPr>
          <w:r>
            <w:rPr>
              <w:noProof/>
            </w:rPr>
            <w:t xml:space="preserve">gDoc </w:t>
          </w:r>
          <w:r w:rsidR="00AF6C8A">
            <w:rPr>
              <w:noProof/>
            </w:rPr>
            <w:t>2600696</w:t>
          </w:r>
        </w:p>
      </w:tc>
      <w:tc>
        <w:tcPr>
          <w:tcW w:w="8261" w:type="dxa"/>
        </w:tcPr>
        <w:p w14:paraId="0EF14B99" w14:textId="2632B3C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84233B">
            <w:rPr>
              <w:bCs/>
            </w:rPr>
            <w:t>33</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96846B4" w14:textId="77777777" w:rsidR="00760F1C" w:rsidRPr="003273A4" w:rsidRDefault="00760F1C" w:rsidP="003273A4">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D2DBE6A" w14:textId="77777777" w:rsidTr="00E31DCE">
      <w:trPr>
        <w:jc w:val="center"/>
      </w:trPr>
      <w:tc>
        <w:tcPr>
          <w:tcW w:w="1803" w:type="dxa"/>
          <w:vAlign w:val="center"/>
        </w:tcPr>
        <w:p w14:paraId="2B572035"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487B4C5F" w14:textId="70810521"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84233B">
            <w:rPr>
              <w:bCs/>
            </w:rPr>
            <w:t>33</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EEEC38C"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BE5E" w14:textId="77777777" w:rsidR="008B402D" w:rsidRDefault="008B402D">
      <w:r>
        <w:t>____________________</w:t>
      </w:r>
    </w:p>
  </w:footnote>
  <w:footnote w:type="continuationSeparator" w:id="0">
    <w:p w14:paraId="2B0C5516" w14:textId="77777777" w:rsidR="008B402D" w:rsidRDefault="008B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DCAF" w14:textId="77777777" w:rsidR="00AF6C8A" w:rsidRDefault="00AF6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32BF" w14:textId="77777777" w:rsidR="00AF6C8A" w:rsidRDefault="00AF6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1667" w14:textId="77777777" w:rsidR="001559F5" w:rsidRPr="00B1560D" w:rsidRDefault="00B1560D" w:rsidP="00B1560D">
    <w:pPr>
      <w:pStyle w:val="Header"/>
    </w:pPr>
    <w:r>
      <w:rPr>
        <w:noProof/>
      </w:rPr>
      <w:drawing>
        <wp:inline distT="0" distB="0" distL="0" distR="0" wp14:anchorId="08CC9296" wp14:editId="2B203E43">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2D"/>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67C64"/>
    <w:rsid w:val="001958F5"/>
    <w:rsid w:val="001B6E2B"/>
    <w:rsid w:val="001C7361"/>
    <w:rsid w:val="001F14A2"/>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3FE1"/>
    <w:rsid w:val="00677A97"/>
    <w:rsid w:val="006C1B56"/>
    <w:rsid w:val="006D4761"/>
    <w:rsid w:val="00726872"/>
    <w:rsid w:val="00760F1C"/>
    <w:rsid w:val="007657F0"/>
    <w:rsid w:val="0077110E"/>
    <w:rsid w:val="0077252D"/>
    <w:rsid w:val="007955DA"/>
    <w:rsid w:val="007E5DD3"/>
    <w:rsid w:val="007F350B"/>
    <w:rsid w:val="00820BE4"/>
    <w:rsid w:val="00836D1D"/>
    <w:rsid w:val="0084233B"/>
    <w:rsid w:val="008451E8"/>
    <w:rsid w:val="0084546D"/>
    <w:rsid w:val="008B402D"/>
    <w:rsid w:val="008F6ABC"/>
    <w:rsid w:val="00904957"/>
    <w:rsid w:val="00913B9C"/>
    <w:rsid w:val="00927F93"/>
    <w:rsid w:val="00956E77"/>
    <w:rsid w:val="009A338E"/>
    <w:rsid w:val="009A76A8"/>
    <w:rsid w:val="009F4811"/>
    <w:rsid w:val="00A01F4F"/>
    <w:rsid w:val="00A109AF"/>
    <w:rsid w:val="00A94438"/>
    <w:rsid w:val="00AA390C"/>
    <w:rsid w:val="00AC2DC0"/>
    <w:rsid w:val="00AD5A4D"/>
    <w:rsid w:val="00AF0EAC"/>
    <w:rsid w:val="00AF6C8A"/>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06E4"/>
    <w:rsid w:val="00F82FEE"/>
    <w:rsid w:val="00F85E5C"/>
    <w:rsid w:val="00F92BED"/>
    <w:rsid w:val="00FC268B"/>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955569"/>
  <w15:docId w15:val="{A3A265E8-B56B-4CFF-9131-A21FCE7F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AF6C8A"/>
    <w:pPr>
      <w:framePr w:hSpace="181" w:wrap="around" w:vAnchor="page" w:hAnchor="page" w:x="1589" w:y="2314"/>
      <w:spacing w:before="48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tu.int/md/S16-CL-C-0033/es" TargetMode="External"/><Relationship Id="rId21" Type="http://schemas.openxmlformats.org/officeDocument/2006/relationships/hyperlink" Target="https://www.itu.int/pub/T-RES-T.69-2024" TargetMode="External"/><Relationship Id="rId42" Type="http://schemas.openxmlformats.org/officeDocument/2006/relationships/hyperlink" Target="file:///\\blue\dfs\pool\ESP\gDocs\2026\itu.int\go\WS-STN" TargetMode="External"/><Relationship Id="rId47" Type="http://schemas.openxmlformats.org/officeDocument/2006/relationships/hyperlink" Target="https://www.itu.int/en/ITU-T/focusgroups/ai4ndm/Pages/default.aspx" TargetMode="External"/><Relationship Id="rId63" Type="http://schemas.openxmlformats.org/officeDocument/2006/relationships/hyperlink" Target="https://www.itu.int/itu-d/sites/studygroups/" TargetMode="External"/><Relationship Id="rId68" Type="http://schemas.openxmlformats.org/officeDocument/2006/relationships/hyperlink" Target="https://academy.itu.int/digital-capacity-governments/itu-academy-training-centres/events/atc-annual-meeting-2026" TargetMode="External"/><Relationship Id="rId84" Type="http://schemas.openxmlformats.org/officeDocument/2006/relationships/hyperlink" Target="https://bbmaps.itu.int/bbmaps/" TargetMode="External"/><Relationship Id="rId89" Type="http://schemas.openxmlformats.org/officeDocument/2006/relationships/hyperlink" Target="https://www.itu.int/myworkspace/t-wp/item?isn=23488" TargetMode="External"/><Relationship Id="rId16" Type="http://schemas.openxmlformats.org/officeDocument/2006/relationships/hyperlink" Target="https://www.itu.int/pub/T-RES-T.50-2024/es" TargetMode="External"/><Relationship Id="rId11" Type="http://schemas.openxmlformats.org/officeDocument/2006/relationships/hyperlink" Target="https://www.itu.int/md/S09-CL-C-0105/es" TargetMode="External"/><Relationship Id="rId32" Type="http://schemas.openxmlformats.org/officeDocument/2006/relationships/hyperlink" Target="https://www.itu.int/md/S22-CL-C-0033/es" TargetMode="External"/><Relationship Id="rId37" Type="http://schemas.openxmlformats.org/officeDocument/2006/relationships/hyperlink" Target="https://www.itu.int/en/ITU-T/jca/iot/Pages/default.aspx" TargetMode="External"/><Relationship Id="rId53" Type="http://schemas.openxmlformats.org/officeDocument/2006/relationships/hyperlink" Target="https://www.itu.int/en/ITU-T/focusgroups/eai" TargetMode="External"/><Relationship Id="rId58" Type="http://schemas.openxmlformats.org/officeDocument/2006/relationships/hyperlink" Target="https://www.itu.int/net/ITU-T/res69/Default.aspx" TargetMode="External"/><Relationship Id="rId74" Type="http://schemas.openxmlformats.org/officeDocument/2006/relationships/hyperlink" Target="https://www.itu.int/en/council/cwg-internet/Pages/consultation-mar2025.aspx" TargetMode="External"/><Relationship Id="rId79" Type="http://schemas.openxmlformats.org/officeDocument/2006/relationships/hyperlink" Target="https://www.itu.int/md/S26-CL-C-0060/en" TargetMode="External"/><Relationship Id="rId5" Type="http://schemas.openxmlformats.org/officeDocument/2006/relationships/endnotes" Target="endnotes.xml"/><Relationship Id="rId90" Type="http://schemas.openxmlformats.org/officeDocument/2006/relationships/hyperlink" Target="https://ituint-my.sharepoint.com/personal/sadhvi_saran_itu_int/Documents/Sadhvi%202/Council/Council%202026/Internet/itu.int/myworkspace/wp-external/item?isn=23677" TargetMode="External"/><Relationship Id="rId95" Type="http://schemas.openxmlformats.org/officeDocument/2006/relationships/header" Target="header3.xml"/><Relationship Id="rId22" Type="http://schemas.openxmlformats.org/officeDocument/2006/relationships/hyperlink" Target="https://www.itu.int/pub/T-RES-T.75-2024" TargetMode="External"/><Relationship Id="rId27" Type="http://schemas.openxmlformats.org/officeDocument/2006/relationships/hyperlink" Target="https://www.itu.int/md/S17-CL-C-0033/es" TargetMode="External"/><Relationship Id="rId43" Type="http://schemas.openxmlformats.org/officeDocument/2006/relationships/hyperlink" Target="https://u4ssc.itu.int/" TargetMode="External"/><Relationship Id="rId48" Type="http://schemas.openxmlformats.org/officeDocument/2006/relationships/hyperlink" Target="https://www.itu.int/en/ITU-T/focusgroups/ai4a/Pages/default.aspx" TargetMode="External"/><Relationship Id="rId64" Type="http://schemas.openxmlformats.org/officeDocument/2006/relationships/hyperlink" Target="https://www.itu.int/md/S25-CL-C-0035/es" TargetMode="External"/><Relationship Id="rId69" Type="http://schemas.openxmlformats.org/officeDocument/2006/relationships/hyperlink" Target="https://www.itu.int/metaverse/virtual-worlds/" TargetMode="External"/><Relationship Id="rId80" Type="http://schemas.openxmlformats.org/officeDocument/2006/relationships/hyperlink" Target="https://www.itu.int/md/S26-CL-C-0051/en" TargetMode="External"/><Relationship Id="rId85" Type="http://schemas.openxmlformats.org/officeDocument/2006/relationships/hyperlink" Target="https://www.itu.int/net4/ITU-T/lists/q-text.aspx?Group=3&amp;Period=18&amp;QNo=6&amp;Lang=en" TargetMode="External"/><Relationship Id="rId3" Type="http://schemas.openxmlformats.org/officeDocument/2006/relationships/webSettings" Target="webSettings.xml"/><Relationship Id="rId12" Type="http://schemas.openxmlformats.org/officeDocument/2006/relationships/hyperlink" Target="https://www.itu.int/md/S15-CL-C-0113/es" TargetMode="External"/><Relationship Id="rId17" Type="http://schemas.openxmlformats.org/officeDocument/2006/relationships/hyperlink" Target="https://www.itu.int/pub/T-RES-T.52-2024/es" TargetMode="External"/><Relationship Id="rId25" Type="http://schemas.openxmlformats.org/officeDocument/2006/relationships/hyperlink" Target="https://www.itu.int/en/ITU-D/Documents/BAP/D22-WTDC25-C-0090%21%21PDF-S.pdf" TargetMode="External"/><Relationship Id="rId33" Type="http://schemas.openxmlformats.org/officeDocument/2006/relationships/hyperlink" Target="https://www.itu.int/md/S23-CL-C-0033/es" TargetMode="External"/><Relationship Id="rId38" Type="http://schemas.openxmlformats.org/officeDocument/2006/relationships/hyperlink" Target="https://www.itu.int/en/ITU-T/jca/iot/Pages/default.aspx" TargetMode="External"/><Relationship Id="rId46" Type="http://schemas.openxmlformats.org/officeDocument/2006/relationships/hyperlink" Target="https://www.itu.int/en/ITU-T/focusgroups/eai/Pages/default.aspx" TargetMode="External"/><Relationship Id="rId59" Type="http://schemas.openxmlformats.org/officeDocument/2006/relationships/hyperlink" Target="https://www.itu.int/net/ITU-T/res69/secured/notifications.aspx" TargetMode="External"/><Relationship Id="rId67" Type="http://schemas.openxmlformats.org/officeDocument/2006/relationships/hyperlink" Target="https://academy.itu.int/" TargetMode="External"/><Relationship Id="rId20" Type="http://schemas.openxmlformats.org/officeDocument/2006/relationships/hyperlink" Target="https://www.itu.int/pub/T-RES-T.64-2024/es" TargetMode="External"/><Relationship Id="rId41" Type="http://schemas.openxmlformats.org/officeDocument/2006/relationships/hyperlink" Target="file:///\\blue\dfs\pool\ESP\gDocs\2026\itu.int\go\SIG-SECURITY" TargetMode="External"/><Relationship Id="rId54" Type="http://schemas.openxmlformats.org/officeDocument/2006/relationships/hyperlink" Target="https://www.itu.int/en/ITU-T/focusgroups/ai4ndm/Pages/default.aspx" TargetMode="External"/><Relationship Id="rId62" Type="http://schemas.openxmlformats.org/officeDocument/2006/relationships/hyperlink" Target="https://www.itu.int/itu-d/sites/studygroups/es/" TargetMode="External"/><Relationship Id="rId70" Type="http://schemas.openxmlformats.org/officeDocument/2006/relationships/hyperlink" Target="https://www.itu.int/metaverse/virtual-worlds/" TargetMode="External"/><Relationship Id="rId75" Type="http://schemas.openxmlformats.org/officeDocument/2006/relationships/hyperlink" Target="https://www.itu.int/md/meetingdoc.asp?lang=es&amp;parent=" TargetMode="External"/><Relationship Id="rId83" Type="http://schemas.openxmlformats.org/officeDocument/2006/relationships/hyperlink" Target="https://bbmaps.itu.int/bbmaps/" TargetMode="External"/><Relationship Id="rId88" Type="http://schemas.openxmlformats.org/officeDocument/2006/relationships/hyperlink" Target="https://ituint-my.sharepoint.com/personal/sadhvi_saran_itu_int/Documents/Sadhvi%202/Council/Council%202026/Internet/itu.int/myworkspace/wp-external/item?isn=23677"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itu.int/en/council/Documents/basic-texts-2023/RES-101-S.pdf" TargetMode="External"/><Relationship Id="rId15" Type="http://schemas.openxmlformats.org/officeDocument/2006/relationships/hyperlink" Target="https://www.itu.int/pub/T-RES-T.49-2024/es" TargetMode="External"/><Relationship Id="rId23" Type="http://schemas.openxmlformats.org/officeDocument/2006/relationships/hyperlink" Target="https://www.itu.int/pub/T-RES-T.98-2024/es" TargetMode="External"/><Relationship Id="rId28" Type="http://schemas.openxmlformats.org/officeDocument/2006/relationships/hyperlink" Target="https://www.itu.int/md/S18-CL-C-0033/es" TargetMode="External"/><Relationship Id="rId36" Type="http://schemas.openxmlformats.org/officeDocument/2006/relationships/hyperlink" Target="https://www.itu.int/itu-t/workprog/wp_search.aspx?isn_sp=9677&amp;isn_status=-1,8,1,3,7,2&amp;adf=2025-03-31&amp;adt=2026-03-31&amp;details=0&amp;view=tab&amp;field=acdefghijo" TargetMode="External"/><Relationship Id="rId49" Type="http://schemas.openxmlformats.org/officeDocument/2006/relationships/hyperlink" Target="https://www.itu.int/en/ITU-T/extcoop/ai4resilience/Pages/default.aspx" TargetMode="External"/><Relationship Id="rId57" Type="http://schemas.openxmlformats.org/officeDocument/2006/relationships/hyperlink" Target="https://aiforgood.itu.int/ai-for-food-systems/" TargetMode="External"/><Relationship Id="rId10" Type="http://schemas.openxmlformats.org/officeDocument/2006/relationships/hyperlink" Target="https://www.itu.int/en/council/Documents/basic-texts-2023/RES-206-S.pdf" TargetMode="External"/><Relationship Id="rId31" Type="http://schemas.openxmlformats.org/officeDocument/2006/relationships/hyperlink" Target="https://www.itu.int/md/S21-CL-C-0033/es" TargetMode="External"/><Relationship Id="rId44" Type="http://schemas.openxmlformats.org/officeDocument/2006/relationships/hyperlink" Target="https://www.itu.int/en/ITU-T/focusgroups/cd/Pages/default.aspx" TargetMode="External"/><Relationship Id="rId52" Type="http://schemas.openxmlformats.org/officeDocument/2006/relationships/hyperlink" Target="https://www.itu.int/en/ITU-T/focusgroups/ainn/Pages/default.aspx" TargetMode="External"/><Relationship Id="rId60" Type="http://schemas.openxmlformats.org/officeDocument/2006/relationships/hyperlink" Target="https://www.itu.int/net/ITU-T/res69/Default.aspx" TargetMode="External"/><Relationship Id="rId65" Type="http://schemas.openxmlformats.org/officeDocument/2006/relationships/hyperlink" Target="https://academy.itu.int/" TargetMode="External"/><Relationship Id="rId73" Type="http://schemas.openxmlformats.org/officeDocument/2006/relationships/hyperlink" Target="https://www.itu.int/en/council/cwg-internet/Pages/default.aspx" TargetMode="External"/><Relationship Id="rId78" Type="http://schemas.openxmlformats.org/officeDocument/2006/relationships/hyperlink" Target="https://www.itu.int/en/council/cwg-internet/Pages/consultation-mar2025.aspx" TargetMode="External"/><Relationship Id="rId81" Type="http://schemas.openxmlformats.org/officeDocument/2006/relationships/hyperlink" Target="https://www.itu.int/en/ITU-T/inr/enum/Pages/default.aspx" TargetMode="External"/><Relationship Id="rId86" Type="http://schemas.openxmlformats.org/officeDocument/2006/relationships/hyperlink" Target="https://www.itu.int/net4/ITU-T/lists/q-text.aspx?Group=3&amp;Period=18&amp;QNo=6&amp;Lang=en" TargetMode="External"/><Relationship Id="rId9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itu.int/en/council/Documents/basic-texts-2023/RES-180-S.pdf" TargetMode="External"/><Relationship Id="rId13" Type="http://schemas.openxmlformats.org/officeDocument/2006/relationships/hyperlink" Target="https://www.itu.int/pub/T-RES-T.47-2024" TargetMode="External"/><Relationship Id="rId18" Type="http://schemas.openxmlformats.org/officeDocument/2006/relationships/hyperlink" Target="https://www.itu.int/pub/T-RES-T.58-2024/es" TargetMode="External"/><Relationship Id="rId39" Type="http://schemas.openxmlformats.org/officeDocument/2006/relationships/hyperlink" Target="https://u4ssc.itu.int/" TargetMode="External"/><Relationship Id="rId34" Type="http://schemas.openxmlformats.org/officeDocument/2006/relationships/hyperlink" Target="https://www.itu.int/md/S24-CL-C-0033/es" TargetMode="External"/><Relationship Id="rId50" Type="http://schemas.openxmlformats.org/officeDocument/2006/relationships/hyperlink" Target="https://aiforgood.itu.int/ai-for-food-systems/" TargetMode="External"/><Relationship Id="rId55" Type="http://schemas.openxmlformats.org/officeDocument/2006/relationships/hyperlink" Target="https://www.itu.int/en/ITU-T/focusgroups/ai4a/Pages/default.aspx" TargetMode="External"/><Relationship Id="rId76" Type="http://schemas.openxmlformats.org/officeDocument/2006/relationships/hyperlink" Target="https://www.itu.int/md/S26-CL-C-0051/es" TargetMode="External"/><Relationship Id="rId97" Type="http://schemas.openxmlformats.org/officeDocument/2006/relationships/fontTable" Target="fontTable.xml"/><Relationship Id="rId7" Type="http://schemas.openxmlformats.org/officeDocument/2006/relationships/hyperlink" Target="https://www.itu.int/en/council/Documents/basic-texts-2023/RES-102-S.pdf" TargetMode="External"/><Relationship Id="rId71" Type="http://schemas.openxmlformats.org/officeDocument/2006/relationships/hyperlink" Target="https://www.itu.int/es/ITU-T/ipv6/Pages/default.aspx" TargetMode="External"/><Relationship Id="rId92"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s://www.itu.int/md/S19-CL-C-0033/es" TargetMode="External"/><Relationship Id="rId24" Type="http://schemas.openxmlformats.org/officeDocument/2006/relationships/hyperlink" Target="https://www.itu.int/en/ITU-D/Documents/BAP/D22-WTDC25-C-0090%21%21PDF-S.pdf" TargetMode="External"/><Relationship Id="rId40" Type="http://schemas.openxmlformats.org/officeDocument/2006/relationships/hyperlink" Target="https://www.itu.int/md/S26-CL-C-0035/eS" TargetMode="External"/><Relationship Id="rId45" Type="http://schemas.openxmlformats.org/officeDocument/2006/relationships/hyperlink" Target="https://www.itu.int/en/ITU-T/focusgroups/ainn/Pages/default.aspx" TargetMode="External"/><Relationship Id="rId66" Type="http://schemas.openxmlformats.org/officeDocument/2006/relationships/hyperlink" Target="https://academy.itu.int/digital-capacity-governments/itu-academy-training-centres/events/atc-annual-meeting-2026" TargetMode="External"/><Relationship Id="rId87" Type="http://schemas.openxmlformats.org/officeDocument/2006/relationships/hyperlink" Target="https://www.itu.int/myworkspace/t-wp/item?isn=23488" TargetMode="External"/><Relationship Id="rId61" Type="http://schemas.openxmlformats.org/officeDocument/2006/relationships/hyperlink" Target="https://www.itu.int/net/ITU-T/res69/secured/notifications.aspx" TargetMode="External"/><Relationship Id="rId82" Type="http://schemas.openxmlformats.org/officeDocument/2006/relationships/hyperlink" Target="https://www.itu.int/md/T25-SG02-260204-TD-PLEN-0423/es" TargetMode="External"/><Relationship Id="rId19" Type="http://schemas.openxmlformats.org/officeDocument/2006/relationships/hyperlink" Target="https://www.itu.int/pub/T-RES-T.60-2024/es" TargetMode="External"/><Relationship Id="rId14" Type="http://schemas.openxmlformats.org/officeDocument/2006/relationships/hyperlink" Target="https://www.itu.int/pub/T-RES-T.48-2024/es" TargetMode="External"/><Relationship Id="rId30" Type="http://schemas.openxmlformats.org/officeDocument/2006/relationships/hyperlink" Target="https://www.itu.int/md/S20-CL-C-0033/es" TargetMode="External"/><Relationship Id="rId35" Type="http://schemas.openxmlformats.org/officeDocument/2006/relationships/hyperlink" Target="https://www.itu.int/md/S25-CL-C-0033/es" TargetMode="External"/><Relationship Id="rId56" Type="http://schemas.openxmlformats.org/officeDocument/2006/relationships/hyperlink" Target="https://www.itu.int/en/ITU-T/extcoop/ai4resilience/Pages/default.aspx" TargetMode="External"/><Relationship Id="rId77" Type="http://schemas.openxmlformats.org/officeDocument/2006/relationships/hyperlink" Target="https://www.itu.int/en/council/cwg-internet/Pages/default.aspx" TargetMode="External"/><Relationship Id="rId8" Type="http://schemas.openxmlformats.org/officeDocument/2006/relationships/hyperlink" Target="https://www.itu.int/en/council/Documents/basic-texts-2023/RES-133-s.pdf" TargetMode="External"/><Relationship Id="rId51" Type="http://schemas.openxmlformats.org/officeDocument/2006/relationships/hyperlink" Target="https://www.itu.int/en/ITU-T/focusgroups/cd/Pages/default.aspx" TargetMode="External"/><Relationship Id="rId72" Type="http://schemas.openxmlformats.org/officeDocument/2006/relationships/hyperlink" Target="https://www.itu.int/en/ITU-T/ipv6/Pages/default.aspx" TargetMode="External"/><Relationship Id="rId93" Type="http://schemas.openxmlformats.org/officeDocument/2006/relationships/footer" Target="footer1.xml"/><Relationship Id="rId9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TotalTime>
  <Pages>6</Pages>
  <Words>3523</Words>
  <Characters>18604</Characters>
  <Application>Microsoft Office Word</Application>
  <DocSecurity>0</DocSecurity>
  <Lines>304</Lines>
  <Paragraphs>95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22032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de la UIT en el ámbito de Internet: Resoluciones 101, 102, 133, 180 y 206</dc:title>
  <dc:subject>Consejo 2026 de la UIT</dc:subject>
  <cp:keywords>C26; C2026; Council 2026; PP26</cp:keywords>
  <dc:description/>
  <cp:lastPrinted>2006-03-24T09:51:00Z</cp:lastPrinted>
  <dcterms:created xsi:type="dcterms:W3CDTF">2026-04-07T13:49:00Z</dcterms:created>
  <dcterms:modified xsi:type="dcterms:W3CDTF">2026-04-07T13:49:00Z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