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C0458D" w14:paraId="27019F64" w14:textId="77777777" w:rsidTr="00954C49">
        <w:trPr>
          <w:cantSplit/>
          <w:trHeight w:val="23"/>
        </w:trPr>
        <w:tc>
          <w:tcPr>
            <w:tcW w:w="3969" w:type="dxa"/>
            <w:vMerge w:val="restart"/>
            <w:tcMar>
              <w:left w:w="0" w:type="dxa"/>
            </w:tcMar>
          </w:tcPr>
          <w:p w14:paraId="61645E1B" w14:textId="3E27CF11" w:rsidR="00AD3606" w:rsidRPr="00C0458D" w:rsidRDefault="00AD3606"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C0458D">
              <w:rPr>
                <w:b/>
              </w:rPr>
              <w:t xml:space="preserve">Agenda item: </w:t>
            </w:r>
            <w:r w:rsidR="00945F10">
              <w:rPr>
                <w:b/>
              </w:rPr>
              <w:t>PL</w:t>
            </w:r>
            <w:r w:rsidR="000F25AA">
              <w:rPr>
                <w:b/>
              </w:rPr>
              <w:t>-</w:t>
            </w:r>
            <w:r w:rsidR="00945F10">
              <w:rPr>
                <w:b/>
              </w:rPr>
              <w:t>2</w:t>
            </w:r>
          </w:p>
        </w:tc>
        <w:tc>
          <w:tcPr>
            <w:tcW w:w="5245" w:type="dxa"/>
          </w:tcPr>
          <w:p w14:paraId="627B15D6" w14:textId="2904289B" w:rsidR="00AD3606" w:rsidRPr="00C0458D" w:rsidRDefault="00AD3606" w:rsidP="00954C49">
            <w:pPr>
              <w:tabs>
                <w:tab w:val="left" w:pos="851"/>
              </w:tabs>
              <w:spacing w:before="0" w:line="240" w:lineRule="atLeast"/>
              <w:jc w:val="right"/>
              <w:rPr>
                <w:b/>
              </w:rPr>
            </w:pPr>
            <w:r w:rsidRPr="00C0458D">
              <w:rPr>
                <w:b/>
              </w:rPr>
              <w:t>Document C2</w:t>
            </w:r>
            <w:r w:rsidR="00DE532B">
              <w:rPr>
                <w:b/>
              </w:rPr>
              <w:t>6</w:t>
            </w:r>
            <w:r w:rsidRPr="00C0458D">
              <w:rPr>
                <w:b/>
              </w:rPr>
              <w:t>/</w:t>
            </w:r>
            <w:r w:rsidR="00945F10">
              <w:rPr>
                <w:b/>
              </w:rPr>
              <w:t>33</w:t>
            </w:r>
            <w:r w:rsidRPr="00C0458D">
              <w:rPr>
                <w:b/>
              </w:rPr>
              <w:t>-E</w:t>
            </w:r>
          </w:p>
        </w:tc>
      </w:tr>
      <w:tr w:rsidR="00AD3606" w:rsidRPr="00C0458D" w14:paraId="65AB0567" w14:textId="77777777" w:rsidTr="00954C49">
        <w:trPr>
          <w:cantSplit/>
        </w:trPr>
        <w:tc>
          <w:tcPr>
            <w:tcW w:w="3969" w:type="dxa"/>
            <w:vMerge/>
          </w:tcPr>
          <w:p w14:paraId="044C8158" w14:textId="77777777" w:rsidR="00AD3606" w:rsidRPr="00C0458D" w:rsidRDefault="00AD3606" w:rsidP="00954C49">
            <w:pPr>
              <w:tabs>
                <w:tab w:val="left" w:pos="851"/>
              </w:tabs>
              <w:spacing w:line="240" w:lineRule="atLeast"/>
              <w:rPr>
                <w:b/>
              </w:rPr>
            </w:pPr>
            <w:bookmarkStart w:id="6" w:name="ddate" w:colFirst="1" w:colLast="1"/>
            <w:bookmarkEnd w:id="0"/>
            <w:bookmarkEnd w:id="1"/>
          </w:p>
        </w:tc>
        <w:tc>
          <w:tcPr>
            <w:tcW w:w="5245" w:type="dxa"/>
          </w:tcPr>
          <w:p w14:paraId="060AC16C" w14:textId="2B21AAD5" w:rsidR="00AD3606" w:rsidRPr="00C0458D" w:rsidRDefault="00276851" w:rsidP="00954C49">
            <w:pPr>
              <w:tabs>
                <w:tab w:val="left" w:pos="851"/>
              </w:tabs>
              <w:spacing w:before="0"/>
              <w:jc w:val="right"/>
              <w:rPr>
                <w:b/>
              </w:rPr>
            </w:pPr>
            <w:r>
              <w:rPr>
                <w:b/>
              </w:rPr>
              <w:t>27</w:t>
            </w:r>
            <w:r w:rsidR="00945F10">
              <w:rPr>
                <w:b/>
              </w:rPr>
              <w:t xml:space="preserve"> March 2026</w:t>
            </w:r>
          </w:p>
        </w:tc>
      </w:tr>
      <w:tr w:rsidR="00AD3606" w:rsidRPr="00C0458D" w14:paraId="2FF439A4" w14:textId="77777777" w:rsidTr="00954C49">
        <w:trPr>
          <w:cantSplit/>
          <w:trHeight w:val="23"/>
        </w:trPr>
        <w:tc>
          <w:tcPr>
            <w:tcW w:w="3969" w:type="dxa"/>
            <w:vMerge/>
          </w:tcPr>
          <w:p w14:paraId="6CFB30F5" w14:textId="77777777" w:rsidR="00AD3606" w:rsidRPr="00C0458D" w:rsidRDefault="00AD3606" w:rsidP="00954C49">
            <w:pPr>
              <w:tabs>
                <w:tab w:val="left" w:pos="851"/>
              </w:tabs>
              <w:spacing w:line="240" w:lineRule="atLeast"/>
              <w:rPr>
                <w:b/>
              </w:rPr>
            </w:pPr>
            <w:bookmarkStart w:id="7" w:name="dorlang" w:colFirst="1" w:colLast="1"/>
            <w:bookmarkEnd w:id="6"/>
          </w:p>
        </w:tc>
        <w:tc>
          <w:tcPr>
            <w:tcW w:w="5245" w:type="dxa"/>
          </w:tcPr>
          <w:p w14:paraId="7B922076" w14:textId="77777777" w:rsidR="00AD3606" w:rsidRPr="00C0458D" w:rsidRDefault="00AD3606" w:rsidP="00954C49">
            <w:pPr>
              <w:tabs>
                <w:tab w:val="left" w:pos="851"/>
              </w:tabs>
              <w:spacing w:before="0" w:line="240" w:lineRule="atLeast"/>
              <w:jc w:val="right"/>
              <w:rPr>
                <w:b/>
              </w:rPr>
            </w:pPr>
            <w:r w:rsidRPr="00C0458D">
              <w:rPr>
                <w:b/>
              </w:rPr>
              <w:t>Original: English</w:t>
            </w:r>
          </w:p>
        </w:tc>
      </w:tr>
      <w:tr w:rsidR="00472BAD" w:rsidRPr="00C0458D" w14:paraId="6693A6D9" w14:textId="77777777" w:rsidTr="00954C49">
        <w:trPr>
          <w:cantSplit/>
          <w:trHeight w:val="23"/>
        </w:trPr>
        <w:tc>
          <w:tcPr>
            <w:tcW w:w="3969" w:type="dxa"/>
          </w:tcPr>
          <w:p w14:paraId="47541C46" w14:textId="77777777" w:rsidR="00472BAD" w:rsidRPr="00C0458D" w:rsidRDefault="00472BAD" w:rsidP="00954C49">
            <w:pPr>
              <w:tabs>
                <w:tab w:val="left" w:pos="851"/>
              </w:tabs>
              <w:spacing w:line="240" w:lineRule="atLeast"/>
              <w:rPr>
                <w:b/>
              </w:rPr>
            </w:pPr>
          </w:p>
        </w:tc>
        <w:tc>
          <w:tcPr>
            <w:tcW w:w="5245" w:type="dxa"/>
          </w:tcPr>
          <w:p w14:paraId="00CD7F27" w14:textId="77777777" w:rsidR="00472BAD" w:rsidRPr="00C0458D" w:rsidRDefault="00472BAD" w:rsidP="00954C49">
            <w:pPr>
              <w:tabs>
                <w:tab w:val="left" w:pos="851"/>
              </w:tabs>
              <w:spacing w:before="0" w:line="240" w:lineRule="atLeast"/>
              <w:jc w:val="right"/>
              <w:rPr>
                <w:b/>
              </w:rPr>
            </w:pPr>
          </w:p>
        </w:tc>
      </w:tr>
      <w:tr w:rsidR="00AD3606" w:rsidRPr="00C0458D" w14:paraId="21388443" w14:textId="77777777" w:rsidTr="00954C49">
        <w:trPr>
          <w:cantSplit/>
        </w:trPr>
        <w:tc>
          <w:tcPr>
            <w:tcW w:w="9214" w:type="dxa"/>
            <w:gridSpan w:val="2"/>
            <w:tcMar>
              <w:left w:w="0" w:type="dxa"/>
            </w:tcMar>
          </w:tcPr>
          <w:p w14:paraId="4974CF10" w14:textId="77777777" w:rsidR="00AD3606" w:rsidRPr="00C0458D" w:rsidRDefault="00AD3606" w:rsidP="00954C49">
            <w:pPr>
              <w:pStyle w:val="Source"/>
              <w:framePr w:hSpace="0" w:wrap="auto" w:vAnchor="margin" w:hAnchor="text" w:yAlign="inline"/>
            </w:pPr>
            <w:bookmarkStart w:id="8" w:name="dsource" w:colFirst="0" w:colLast="0"/>
            <w:bookmarkEnd w:id="7"/>
            <w:r w:rsidRPr="00C0458D">
              <w:t>Report by the Secretary-General</w:t>
            </w:r>
          </w:p>
        </w:tc>
      </w:tr>
      <w:tr w:rsidR="00AD3606" w:rsidRPr="00C0458D" w14:paraId="2008114E" w14:textId="77777777" w:rsidTr="00954C49">
        <w:trPr>
          <w:cantSplit/>
        </w:trPr>
        <w:tc>
          <w:tcPr>
            <w:tcW w:w="9214" w:type="dxa"/>
            <w:gridSpan w:val="2"/>
            <w:tcMar>
              <w:left w:w="0" w:type="dxa"/>
            </w:tcMar>
          </w:tcPr>
          <w:p w14:paraId="1036C3F4" w14:textId="1C929EAC" w:rsidR="00AD3606" w:rsidRPr="00176F47" w:rsidRDefault="000F25AA" w:rsidP="00954C49">
            <w:pPr>
              <w:pStyle w:val="Subtitle"/>
              <w:framePr w:hSpace="0" w:wrap="auto" w:hAnchor="text" w:xAlign="left" w:yAlign="inline"/>
            </w:pPr>
            <w:bookmarkStart w:id="9" w:name="dtitle1" w:colFirst="0" w:colLast="0"/>
            <w:bookmarkEnd w:id="8"/>
            <w:r w:rsidRPr="00945F10">
              <w:t>ITU INTERNET ACTIVITIES: RESOLUTIONS 101, 102, 133, 180 AND 206</w:t>
            </w:r>
          </w:p>
        </w:tc>
      </w:tr>
      <w:tr w:rsidR="00AD3606" w:rsidRPr="00C0458D" w14:paraId="58526C68" w14:textId="77777777" w:rsidTr="00954C49">
        <w:trPr>
          <w:cantSplit/>
        </w:trPr>
        <w:tc>
          <w:tcPr>
            <w:tcW w:w="9214" w:type="dxa"/>
            <w:gridSpan w:val="2"/>
            <w:tcBorders>
              <w:top w:val="single" w:sz="4" w:space="0" w:color="auto"/>
              <w:bottom w:val="single" w:sz="4" w:space="0" w:color="auto"/>
            </w:tcBorders>
            <w:tcMar>
              <w:left w:w="0" w:type="dxa"/>
            </w:tcMar>
          </w:tcPr>
          <w:p w14:paraId="708C9082" w14:textId="77777777" w:rsidR="00AD3606" w:rsidRPr="00C0458D" w:rsidRDefault="00F16BAB" w:rsidP="00954C49">
            <w:pPr>
              <w:spacing w:before="160"/>
              <w:rPr>
                <w:b/>
                <w:bCs/>
                <w:sz w:val="26"/>
                <w:szCs w:val="26"/>
              </w:rPr>
            </w:pPr>
            <w:r w:rsidRPr="00C0458D">
              <w:rPr>
                <w:b/>
                <w:bCs/>
                <w:sz w:val="26"/>
                <w:szCs w:val="26"/>
              </w:rPr>
              <w:t>Purpose</w:t>
            </w:r>
          </w:p>
          <w:p w14:paraId="5B90CDC0" w14:textId="6A60B9E9" w:rsidR="00AD3606" w:rsidRPr="00C0458D" w:rsidRDefault="00945F10" w:rsidP="00945F10">
            <w:pPr>
              <w:jc w:val="both"/>
            </w:pPr>
            <w:r w:rsidRPr="00945F10">
              <w:t xml:space="preserve">This report summarizes ITU’s activities related to Plenipotentiary Conference (PP) Resolution 101 (Rev. Bucharest, 2022), </w:t>
            </w:r>
            <w:r w:rsidR="00691DCE">
              <w:t>“</w:t>
            </w:r>
            <w:r w:rsidRPr="00945F10">
              <w:t>Internet Protocol-based networks</w:t>
            </w:r>
            <w:r w:rsidR="00691DCE">
              <w:t>”</w:t>
            </w:r>
            <w:r w:rsidRPr="00945F10">
              <w:t>; Resolution 102 (Rev.</w:t>
            </w:r>
            <w:r w:rsidR="00276851">
              <w:t> </w:t>
            </w:r>
            <w:r w:rsidRPr="00945F10">
              <w:t xml:space="preserve">Bucharest, 2022), </w:t>
            </w:r>
            <w:r w:rsidR="00691DCE">
              <w:t>“</w:t>
            </w:r>
            <w:r w:rsidRPr="00945F10">
              <w:t>ITU’s role with regard to international public policy issues pertaining to the Internet and the management of Internet resources, including domain names and addresses</w:t>
            </w:r>
            <w:r w:rsidR="00691DCE">
              <w:t>”</w:t>
            </w:r>
            <w:r w:rsidRPr="00945F10">
              <w:t xml:space="preserve">; Resolution 133 (Rev. Bucharest, 2022), </w:t>
            </w:r>
            <w:r w:rsidR="00691DCE">
              <w:t>“</w:t>
            </w:r>
            <w:r w:rsidRPr="00945F10">
              <w:t>Roles of administrations of Member States in the management of Internationalized (multilingual) domain names</w:t>
            </w:r>
            <w:r w:rsidR="00691DCE">
              <w:t>”</w:t>
            </w:r>
            <w:r w:rsidRPr="00945F10">
              <w:t>; Resolution 180 (Rev.</w:t>
            </w:r>
            <w:r w:rsidR="00276851">
              <w:t> </w:t>
            </w:r>
            <w:r w:rsidRPr="00945F10">
              <w:t xml:space="preserve">Bucharest, 2022), </w:t>
            </w:r>
            <w:r w:rsidR="00691DCE">
              <w:t>“</w:t>
            </w:r>
            <w:r w:rsidRPr="00945F10">
              <w:t>Promoting deployment of Internet Protocol version 6</w:t>
            </w:r>
            <w:r w:rsidR="00691DCE">
              <w:t>”</w:t>
            </w:r>
            <w:r w:rsidR="00BB56B1">
              <w:t>;</w:t>
            </w:r>
            <w:r w:rsidRPr="00945F10">
              <w:t xml:space="preserve"> and Resolution 206 (Dubai, 2018), </w:t>
            </w:r>
            <w:r w:rsidR="00691DCE">
              <w:t>“</w:t>
            </w:r>
            <w:r w:rsidRPr="00945F10">
              <w:t>OTTs</w:t>
            </w:r>
            <w:r w:rsidR="00691DCE">
              <w:t>”</w:t>
            </w:r>
            <w:r w:rsidRPr="00945F10">
              <w:t>.</w:t>
            </w:r>
          </w:p>
          <w:p w14:paraId="5D3228C6" w14:textId="77777777" w:rsidR="00AD3606" w:rsidRDefault="00AD3606" w:rsidP="00954C49">
            <w:pPr>
              <w:spacing w:before="160"/>
              <w:rPr>
                <w:b/>
                <w:bCs/>
                <w:sz w:val="26"/>
                <w:szCs w:val="26"/>
              </w:rPr>
            </w:pPr>
            <w:r w:rsidRPr="00C0458D">
              <w:rPr>
                <w:b/>
                <w:bCs/>
                <w:sz w:val="26"/>
                <w:szCs w:val="26"/>
              </w:rPr>
              <w:t>Action required</w:t>
            </w:r>
            <w:r w:rsidR="00F16BAB" w:rsidRPr="00C0458D">
              <w:rPr>
                <w:b/>
                <w:bCs/>
                <w:sz w:val="26"/>
                <w:szCs w:val="26"/>
              </w:rPr>
              <w:t xml:space="preserve"> by the Council</w:t>
            </w:r>
          </w:p>
          <w:p w14:paraId="68530E97" w14:textId="614544EB" w:rsidR="00722551" w:rsidRDefault="00945F10" w:rsidP="00945F10">
            <w:pPr>
              <w:jc w:val="both"/>
            </w:pPr>
            <w:r w:rsidRPr="00945F10">
              <w:t xml:space="preserve">The Council is invited to </w:t>
            </w:r>
            <w:r w:rsidRPr="00945F10">
              <w:rPr>
                <w:b/>
                <w:bCs/>
              </w:rPr>
              <w:t>note</w:t>
            </w:r>
            <w:r w:rsidRPr="00945F10">
              <w:t xml:space="preserve"> the report. The Council is also invited to </w:t>
            </w:r>
            <w:r w:rsidRPr="00945F10">
              <w:rPr>
                <w:b/>
                <w:bCs/>
              </w:rPr>
              <w:t>endorse</w:t>
            </w:r>
            <w:r w:rsidRPr="00945F10">
              <w:t xml:space="preserve"> the transmission of the report, along with the compilation of views of Council Member States and the related summary records with a cover note, to the United Nations Secretary-General.</w:t>
            </w:r>
          </w:p>
          <w:p w14:paraId="5563AED1" w14:textId="77777777" w:rsidR="00722551" w:rsidRDefault="00722551" w:rsidP="00954C49">
            <w:pPr>
              <w:spacing w:before="160"/>
              <w:rPr>
                <w:b/>
                <w:bCs/>
                <w:sz w:val="26"/>
                <w:szCs w:val="26"/>
              </w:rPr>
            </w:pPr>
            <w:r>
              <w:rPr>
                <w:b/>
                <w:bCs/>
                <w:sz w:val="26"/>
                <w:szCs w:val="26"/>
              </w:rPr>
              <w:t>Relevant link</w:t>
            </w:r>
            <w:r w:rsidR="00176F47">
              <w:rPr>
                <w:b/>
                <w:bCs/>
                <w:sz w:val="26"/>
                <w:szCs w:val="26"/>
              </w:rPr>
              <w:t>(s)</w:t>
            </w:r>
            <w:r>
              <w:rPr>
                <w:b/>
                <w:bCs/>
                <w:sz w:val="26"/>
                <w:szCs w:val="26"/>
              </w:rPr>
              <w:t xml:space="preserve"> with the Strategic Plan</w:t>
            </w:r>
          </w:p>
          <w:p w14:paraId="6C365A58" w14:textId="1024D7CD" w:rsidR="00722551" w:rsidRPr="00F16BAB" w:rsidRDefault="00945F10" w:rsidP="00945F10">
            <w:pPr>
              <w:jc w:val="both"/>
            </w:pPr>
            <w:r w:rsidRPr="00945F10">
              <w:t>Development of international standards; convening platform; capacity development; provision of technical assistance.</w:t>
            </w:r>
          </w:p>
          <w:p w14:paraId="7C34DAAD" w14:textId="77777777" w:rsidR="00722551" w:rsidRDefault="00722551" w:rsidP="00954C49">
            <w:pPr>
              <w:spacing w:before="160"/>
              <w:rPr>
                <w:b/>
                <w:bCs/>
                <w:sz w:val="26"/>
                <w:szCs w:val="26"/>
              </w:rPr>
            </w:pPr>
            <w:r>
              <w:rPr>
                <w:b/>
                <w:bCs/>
                <w:sz w:val="26"/>
                <w:szCs w:val="26"/>
              </w:rPr>
              <w:t>Financial implications</w:t>
            </w:r>
          </w:p>
          <w:p w14:paraId="12B610AB" w14:textId="124ADD44" w:rsidR="00453079" w:rsidRPr="00453079" w:rsidRDefault="00945F10" w:rsidP="00954C49">
            <w:pPr>
              <w:spacing w:before="160"/>
              <w:rPr>
                <w:szCs w:val="24"/>
              </w:rPr>
            </w:pPr>
            <w:r w:rsidRPr="00945F10">
              <w:rPr>
                <w:szCs w:val="24"/>
              </w:rPr>
              <w:t>Within the allocated budget 2025-2026.</w:t>
            </w:r>
          </w:p>
          <w:p w14:paraId="6DAA204C" w14:textId="77777777" w:rsidR="00C0458D" w:rsidRDefault="00C0458D" w:rsidP="00954C49">
            <w:r>
              <w:t>_______________</w:t>
            </w:r>
          </w:p>
          <w:p w14:paraId="32A5FBF2" w14:textId="77777777" w:rsidR="00AD3606" w:rsidRPr="00C0458D" w:rsidRDefault="00AD3606" w:rsidP="00954C49">
            <w:pPr>
              <w:spacing w:before="160"/>
              <w:rPr>
                <w:b/>
                <w:bCs/>
                <w:sz w:val="26"/>
                <w:szCs w:val="26"/>
              </w:rPr>
            </w:pPr>
            <w:r w:rsidRPr="00C0458D">
              <w:rPr>
                <w:b/>
                <w:bCs/>
                <w:sz w:val="26"/>
                <w:szCs w:val="26"/>
              </w:rPr>
              <w:t>References</w:t>
            </w:r>
          </w:p>
          <w:p w14:paraId="24BF41F7" w14:textId="63F7EFB9" w:rsidR="00AD3606" w:rsidRPr="00BF5AD8" w:rsidRDefault="00945F10" w:rsidP="00945F10">
            <w:pPr>
              <w:spacing w:after="160"/>
              <w:rPr>
                <w:i/>
                <w:iCs/>
                <w:sz w:val="22"/>
                <w:szCs w:val="22"/>
              </w:rPr>
            </w:pPr>
            <w:r w:rsidRPr="00BF5AD8">
              <w:rPr>
                <w:i/>
                <w:iCs/>
                <w:sz w:val="22"/>
                <w:szCs w:val="22"/>
              </w:rPr>
              <w:t xml:space="preserve">Plenipotentiary Resolutions </w:t>
            </w:r>
            <w:hyperlink r:id="rId11" w:history="1">
              <w:r w:rsidRPr="00BF5AD8">
                <w:rPr>
                  <w:rStyle w:val="Hyperlink"/>
                  <w:i/>
                  <w:iCs/>
                  <w:sz w:val="22"/>
                  <w:szCs w:val="22"/>
                </w:rPr>
                <w:t>101</w:t>
              </w:r>
            </w:hyperlink>
            <w:r w:rsidRPr="00BF5AD8">
              <w:rPr>
                <w:i/>
                <w:iCs/>
                <w:sz w:val="22"/>
                <w:szCs w:val="22"/>
              </w:rPr>
              <w:t xml:space="preserve">, </w:t>
            </w:r>
            <w:hyperlink r:id="rId12" w:history="1">
              <w:r w:rsidRPr="00BF5AD8">
                <w:rPr>
                  <w:rStyle w:val="Hyperlink"/>
                  <w:i/>
                  <w:iCs/>
                  <w:sz w:val="22"/>
                  <w:szCs w:val="22"/>
                </w:rPr>
                <w:t>102</w:t>
              </w:r>
            </w:hyperlink>
            <w:r w:rsidRPr="00BF5AD8">
              <w:rPr>
                <w:i/>
                <w:iCs/>
                <w:sz w:val="22"/>
                <w:szCs w:val="22"/>
              </w:rPr>
              <w:t xml:space="preserve">, </w:t>
            </w:r>
            <w:hyperlink r:id="rId13" w:history="1">
              <w:r w:rsidRPr="00BF5AD8">
                <w:rPr>
                  <w:rStyle w:val="Hyperlink"/>
                  <w:i/>
                  <w:iCs/>
                  <w:sz w:val="22"/>
                  <w:szCs w:val="22"/>
                </w:rPr>
                <w:t>133</w:t>
              </w:r>
            </w:hyperlink>
            <w:r w:rsidRPr="00BF5AD8">
              <w:rPr>
                <w:i/>
                <w:iCs/>
                <w:sz w:val="22"/>
                <w:szCs w:val="22"/>
              </w:rPr>
              <w:t xml:space="preserve">, </w:t>
            </w:r>
            <w:hyperlink r:id="rId14" w:history="1">
              <w:r w:rsidRPr="00BF5AD8">
                <w:rPr>
                  <w:rStyle w:val="Hyperlink"/>
                  <w:i/>
                  <w:iCs/>
                  <w:sz w:val="22"/>
                  <w:szCs w:val="22"/>
                </w:rPr>
                <w:t>180</w:t>
              </w:r>
            </w:hyperlink>
            <w:r w:rsidRPr="00BF5AD8">
              <w:rPr>
                <w:i/>
                <w:iCs/>
                <w:sz w:val="22"/>
                <w:szCs w:val="22"/>
              </w:rPr>
              <w:t xml:space="preserve"> (Rev. Bucharest, 2022)</w:t>
            </w:r>
            <w:r w:rsidR="00BF5AD8">
              <w:rPr>
                <w:i/>
                <w:iCs/>
                <w:sz w:val="22"/>
                <w:szCs w:val="22"/>
              </w:rPr>
              <w:t xml:space="preserve"> and</w:t>
            </w:r>
            <w:r w:rsidRPr="00BF5AD8">
              <w:rPr>
                <w:i/>
                <w:iCs/>
                <w:sz w:val="22"/>
                <w:szCs w:val="22"/>
              </w:rPr>
              <w:t xml:space="preserve"> </w:t>
            </w:r>
            <w:hyperlink r:id="rId15" w:history="1">
              <w:r w:rsidRPr="00BF5AD8">
                <w:rPr>
                  <w:rStyle w:val="Hyperlink"/>
                  <w:i/>
                  <w:iCs/>
                  <w:sz w:val="22"/>
                  <w:szCs w:val="22"/>
                </w:rPr>
                <w:t>206 (Dubai, 2018)</w:t>
              </w:r>
            </w:hyperlink>
            <w:r w:rsidRPr="00BF5AD8">
              <w:rPr>
                <w:i/>
                <w:iCs/>
                <w:sz w:val="22"/>
                <w:szCs w:val="22"/>
              </w:rPr>
              <w:t>; Council</w:t>
            </w:r>
            <w:r w:rsidR="00BF5AD8">
              <w:rPr>
                <w:i/>
                <w:iCs/>
                <w:sz w:val="22"/>
                <w:szCs w:val="22"/>
              </w:rPr>
              <w:t> </w:t>
            </w:r>
            <w:r w:rsidRPr="00BF5AD8">
              <w:rPr>
                <w:i/>
                <w:iCs/>
                <w:sz w:val="22"/>
                <w:szCs w:val="22"/>
              </w:rPr>
              <w:t xml:space="preserve">Resolutions </w:t>
            </w:r>
            <w:hyperlink r:id="rId16" w:history="1">
              <w:r w:rsidRPr="00BF5AD8">
                <w:rPr>
                  <w:rStyle w:val="Hyperlink"/>
                  <w:i/>
                  <w:iCs/>
                  <w:sz w:val="22"/>
                  <w:szCs w:val="22"/>
                </w:rPr>
                <w:t>1305 (</w:t>
              </w:r>
              <w:proofErr w:type="spellStart"/>
              <w:r w:rsidR="00BF5AD8" w:rsidRPr="00BF5AD8">
                <w:rPr>
                  <w:rStyle w:val="Hyperlink"/>
                  <w:i/>
                  <w:iCs/>
                  <w:sz w:val="22"/>
                  <w:szCs w:val="22"/>
                </w:rPr>
                <w:t>C</w:t>
              </w:r>
              <w:r w:rsidRPr="00BF5AD8">
                <w:rPr>
                  <w:rStyle w:val="Hyperlink"/>
                  <w:i/>
                  <w:iCs/>
                  <w:sz w:val="22"/>
                  <w:szCs w:val="22"/>
                </w:rPr>
                <w:t>09</w:t>
              </w:r>
              <w:proofErr w:type="spellEnd"/>
              <w:r w:rsidRPr="00BF5AD8">
                <w:rPr>
                  <w:rStyle w:val="Hyperlink"/>
                  <w:i/>
                  <w:iCs/>
                  <w:sz w:val="22"/>
                  <w:szCs w:val="22"/>
                </w:rPr>
                <w:t>)</w:t>
              </w:r>
            </w:hyperlink>
            <w:r w:rsidRPr="00BF5AD8">
              <w:rPr>
                <w:i/>
                <w:iCs/>
                <w:sz w:val="22"/>
                <w:szCs w:val="22"/>
              </w:rPr>
              <w:t xml:space="preserve">, </w:t>
            </w:r>
            <w:hyperlink r:id="rId17" w:history="1">
              <w:r w:rsidRPr="00BF5AD8">
                <w:rPr>
                  <w:rStyle w:val="Hyperlink"/>
                  <w:i/>
                  <w:iCs/>
                  <w:sz w:val="22"/>
                  <w:szCs w:val="22"/>
                </w:rPr>
                <w:t>1336 (Mod. 2015)</w:t>
              </w:r>
            </w:hyperlink>
            <w:r w:rsidR="00BF5AD8">
              <w:rPr>
                <w:i/>
                <w:iCs/>
                <w:sz w:val="22"/>
                <w:szCs w:val="22"/>
              </w:rPr>
              <w:t>;</w:t>
            </w:r>
            <w:r w:rsidRPr="00BF5AD8">
              <w:rPr>
                <w:i/>
                <w:iCs/>
                <w:sz w:val="22"/>
                <w:szCs w:val="22"/>
              </w:rPr>
              <w:t xml:space="preserve"> WTSA Resolutions </w:t>
            </w:r>
            <w:hyperlink r:id="rId18" w:history="1">
              <w:r w:rsidRPr="00BF5AD8">
                <w:rPr>
                  <w:rStyle w:val="Hyperlink"/>
                  <w:i/>
                  <w:iCs/>
                  <w:sz w:val="22"/>
                  <w:szCs w:val="22"/>
                </w:rPr>
                <w:t>47 (Rev. Dubai, 2012)</w:t>
              </w:r>
            </w:hyperlink>
            <w:r w:rsidRPr="00BF5AD8">
              <w:rPr>
                <w:i/>
                <w:iCs/>
                <w:sz w:val="22"/>
                <w:szCs w:val="22"/>
              </w:rPr>
              <w:t xml:space="preserve">, </w:t>
            </w:r>
            <w:r w:rsidR="00BF5AD8">
              <w:rPr>
                <w:i/>
                <w:iCs/>
                <w:sz w:val="22"/>
                <w:szCs w:val="22"/>
              </w:rPr>
              <w:br/>
            </w:r>
            <w:hyperlink r:id="rId19" w:history="1">
              <w:r w:rsidRPr="00BF5AD8">
                <w:rPr>
                  <w:rStyle w:val="Hyperlink"/>
                  <w:i/>
                  <w:iCs/>
                  <w:sz w:val="22"/>
                  <w:szCs w:val="22"/>
                </w:rPr>
                <w:t xml:space="preserve">48 (Rev. </w:t>
              </w:r>
              <w:r w:rsidR="002C3B0F" w:rsidRPr="00BF5AD8">
                <w:rPr>
                  <w:rStyle w:val="Hyperlink"/>
                  <w:i/>
                  <w:iCs/>
                  <w:sz w:val="22"/>
                  <w:szCs w:val="22"/>
                </w:rPr>
                <w:t>New Delhi, 2024</w:t>
              </w:r>
              <w:r w:rsidRPr="00BF5AD8">
                <w:rPr>
                  <w:rStyle w:val="Hyperlink"/>
                  <w:i/>
                  <w:iCs/>
                  <w:sz w:val="22"/>
                  <w:szCs w:val="22"/>
                </w:rPr>
                <w:t>)</w:t>
              </w:r>
            </w:hyperlink>
            <w:r w:rsidRPr="00BF5AD8">
              <w:rPr>
                <w:i/>
                <w:iCs/>
                <w:sz w:val="22"/>
                <w:szCs w:val="22"/>
              </w:rPr>
              <w:t xml:space="preserve">, </w:t>
            </w:r>
            <w:hyperlink r:id="rId20" w:history="1">
              <w:r w:rsidRPr="00BF5AD8">
                <w:rPr>
                  <w:rStyle w:val="Hyperlink"/>
                  <w:i/>
                  <w:iCs/>
                  <w:sz w:val="22"/>
                  <w:szCs w:val="22"/>
                </w:rPr>
                <w:t>49 (Rev. Hammamet, 2016)</w:t>
              </w:r>
            </w:hyperlink>
            <w:r w:rsidRPr="00BF5AD8">
              <w:rPr>
                <w:i/>
                <w:iCs/>
                <w:sz w:val="22"/>
                <w:szCs w:val="22"/>
              </w:rPr>
              <w:t xml:space="preserve">, </w:t>
            </w:r>
            <w:hyperlink r:id="rId21" w:history="1">
              <w:r w:rsidRPr="00BF5AD8">
                <w:rPr>
                  <w:rStyle w:val="Hyperlink"/>
                  <w:i/>
                  <w:iCs/>
                  <w:sz w:val="22"/>
                  <w:szCs w:val="22"/>
                </w:rPr>
                <w:t>50</w:t>
              </w:r>
            </w:hyperlink>
            <w:r w:rsidRPr="00BF5AD8">
              <w:rPr>
                <w:i/>
                <w:iCs/>
                <w:sz w:val="22"/>
                <w:szCs w:val="22"/>
              </w:rPr>
              <w:t xml:space="preserve">, </w:t>
            </w:r>
            <w:hyperlink r:id="rId22" w:history="1">
              <w:r w:rsidRPr="00BF5AD8">
                <w:rPr>
                  <w:rStyle w:val="Hyperlink"/>
                  <w:i/>
                  <w:iCs/>
                  <w:sz w:val="22"/>
                  <w:szCs w:val="22"/>
                </w:rPr>
                <w:t>52</w:t>
              </w:r>
            </w:hyperlink>
            <w:r w:rsidRPr="00BF5AD8">
              <w:rPr>
                <w:i/>
                <w:iCs/>
                <w:sz w:val="22"/>
                <w:szCs w:val="22"/>
              </w:rPr>
              <w:t xml:space="preserve">, </w:t>
            </w:r>
            <w:hyperlink r:id="rId23" w:history="1">
              <w:r w:rsidRPr="00BF5AD8">
                <w:rPr>
                  <w:rStyle w:val="Hyperlink"/>
                  <w:i/>
                  <w:iCs/>
                  <w:sz w:val="22"/>
                  <w:szCs w:val="22"/>
                </w:rPr>
                <w:t>58</w:t>
              </w:r>
            </w:hyperlink>
            <w:r w:rsidRPr="00BF5AD8">
              <w:rPr>
                <w:i/>
                <w:iCs/>
                <w:sz w:val="22"/>
                <w:szCs w:val="22"/>
              </w:rPr>
              <w:t xml:space="preserve">, </w:t>
            </w:r>
            <w:hyperlink r:id="rId24" w:history="1">
              <w:r w:rsidRPr="00BF5AD8">
                <w:rPr>
                  <w:rStyle w:val="Hyperlink"/>
                  <w:i/>
                  <w:iCs/>
                  <w:sz w:val="22"/>
                  <w:szCs w:val="22"/>
                </w:rPr>
                <w:t>60</w:t>
              </w:r>
            </w:hyperlink>
            <w:r w:rsidRPr="00BF5AD8">
              <w:rPr>
                <w:i/>
                <w:iCs/>
                <w:sz w:val="22"/>
                <w:szCs w:val="22"/>
              </w:rPr>
              <w:t xml:space="preserve">, </w:t>
            </w:r>
            <w:hyperlink r:id="rId25" w:history="1">
              <w:r w:rsidRPr="00BF5AD8">
                <w:rPr>
                  <w:rStyle w:val="Hyperlink"/>
                  <w:i/>
                  <w:iCs/>
                  <w:sz w:val="22"/>
                  <w:szCs w:val="22"/>
                </w:rPr>
                <w:t>64</w:t>
              </w:r>
            </w:hyperlink>
            <w:r w:rsidRPr="00BF5AD8">
              <w:rPr>
                <w:i/>
                <w:iCs/>
                <w:sz w:val="22"/>
                <w:szCs w:val="22"/>
              </w:rPr>
              <w:t xml:space="preserve"> (</w:t>
            </w:r>
            <w:r w:rsidR="002C3B0F" w:rsidRPr="00BF5AD8">
              <w:rPr>
                <w:i/>
                <w:iCs/>
                <w:sz w:val="22"/>
                <w:szCs w:val="22"/>
              </w:rPr>
              <w:t>Rev. New Delhi, 2024</w:t>
            </w:r>
            <w:r w:rsidRPr="00BF5AD8">
              <w:rPr>
                <w:i/>
                <w:iCs/>
                <w:sz w:val="22"/>
                <w:szCs w:val="22"/>
              </w:rPr>
              <w:t xml:space="preserve">), </w:t>
            </w:r>
            <w:hyperlink r:id="rId26" w:history="1">
              <w:r w:rsidRPr="00BF5AD8">
                <w:rPr>
                  <w:rStyle w:val="Hyperlink"/>
                  <w:i/>
                  <w:iCs/>
                  <w:sz w:val="22"/>
                  <w:szCs w:val="22"/>
                </w:rPr>
                <w:t>69</w:t>
              </w:r>
              <w:r w:rsidR="002C3B0F" w:rsidRPr="00BF5AD8">
                <w:rPr>
                  <w:rStyle w:val="Hyperlink"/>
                  <w:i/>
                  <w:iCs/>
                  <w:sz w:val="22"/>
                  <w:szCs w:val="22"/>
                </w:rPr>
                <w:t> (Rev. Hammamet, 2016)</w:t>
              </w:r>
            </w:hyperlink>
            <w:r w:rsidRPr="00BF5AD8">
              <w:rPr>
                <w:i/>
                <w:iCs/>
                <w:sz w:val="22"/>
                <w:szCs w:val="22"/>
              </w:rPr>
              <w:t xml:space="preserve">, </w:t>
            </w:r>
            <w:hyperlink r:id="rId27" w:history="1">
              <w:r w:rsidRPr="00BF5AD8">
                <w:rPr>
                  <w:rStyle w:val="Hyperlink"/>
                  <w:i/>
                  <w:iCs/>
                  <w:sz w:val="22"/>
                  <w:szCs w:val="22"/>
                </w:rPr>
                <w:t>75 (Rev. Geneva, 2022)</w:t>
              </w:r>
            </w:hyperlink>
            <w:r w:rsidRPr="00BF5AD8">
              <w:rPr>
                <w:i/>
                <w:iCs/>
                <w:sz w:val="22"/>
                <w:szCs w:val="22"/>
              </w:rPr>
              <w:t xml:space="preserve">, </w:t>
            </w:r>
            <w:hyperlink r:id="rId28" w:history="1">
              <w:r w:rsidRPr="00BF5AD8">
                <w:rPr>
                  <w:rStyle w:val="Hyperlink"/>
                  <w:i/>
                  <w:iCs/>
                  <w:sz w:val="22"/>
                  <w:szCs w:val="22"/>
                </w:rPr>
                <w:t>98 (</w:t>
              </w:r>
              <w:r w:rsidR="002C3B0F" w:rsidRPr="00BF5AD8">
                <w:rPr>
                  <w:rStyle w:val="Hyperlink"/>
                  <w:i/>
                  <w:iCs/>
                  <w:sz w:val="22"/>
                  <w:szCs w:val="22"/>
                </w:rPr>
                <w:t>Rev. New Delhi, 2024</w:t>
              </w:r>
              <w:r w:rsidRPr="00BF5AD8">
                <w:rPr>
                  <w:rStyle w:val="Hyperlink"/>
                  <w:i/>
                  <w:iCs/>
                  <w:sz w:val="22"/>
                  <w:szCs w:val="22"/>
                </w:rPr>
                <w:t>)</w:t>
              </w:r>
            </w:hyperlink>
            <w:r w:rsidRPr="00BF5AD8">
              <w:rPr>
                <w:i/>
                <w:iCs/>
                <w:sz w:val="22"/>
                <w:szCs w:val="22"/>
              </w:rPr>
              <w:t xml:space="preserve">; </w:t>
            </w:r>
            <w:r w:rsidR="00D93829">
              <w:rPr>
                <w:i/>
                <w:iCs/>
                <w:sz w:val="22"/>
                <w:szCs w:val="22"/>
              </w:rPr>
              <w:br/>
            </w:r>
            <w:r w:rsidRPr="00BF5AD8">
              <w:rPr>
                <w:i/>
                <w:iCs/>
                <w:sz w:val="22"/>
                <w:szCs w:val="22"/>
              </w:rPr>
              <w:t xml:space="preserve">WTDC Resolutions </w:t>
            </w:r>
            <w:hyperlink r:id="rId29" w:history="1">
              <w:r w:rsidRPr="00BF5AD8">
                <w:rPr>
                  <w:rStyle w:val="Hyperlink"/>
                  <w:i/>
                  <w:iCs/>
                  <w:sz w:val="22"/>
                  <w:szCs w:val="22"/>
                </w:rPr>
                <w:t>20 (Rev. Buenos Aires, 2017)</w:t>
              </w:r>
              <w:r w:rsidR="007C60B1" w:rsidRPr="00BF5AD8">
                <w:rPr>
                  <w:rStyle w:val="Hyperlink"/>
                  <w:i/>
                  <w:iCs/>
                  <w:sz w:val="22"/>
                  <w:szCs w:val="22"/>
                </w:rPr>
                <w:t>,</w:t>
              </w:r>
              <w:r w:rsidRPr="00BF5AD8">
                <w:rPr>
                  <w:rStyle w:val="Hyperlink"/>
                  <w:i/>
                  <w:iCs/>
                  <w:sz w:val="22"/>
                  <w:szCs w:val="22"/>
                </w:rPr>
                <w:t xml:space="preserve"> </w:t>
              </w:r>
              <w:r w:rsidR="007C60B1" w:rsidRPr="00BF5AD8">
                <w:rPr>
                  <w:rStyle w:val="Hyperlink"/>
                  <w:i/>
                  <w:iCs/>
                  <w:sz w:val="22"/>
                  <w:szCs w:val="22"/>
                </w:rPr>
                <w:t>30, 45 and 63 (Rev. Kigali, 2022)</w:t>
              </w:r>
            </w:hyperlink>
            <w:r w:rsidRPr="00BF5AD8">
              <w:rPr>
                <w:i/>
                <w:iCs/>
                <w:sz w:val="22"/>
                <w:szCs w:val="22"/>
              </w:rPr>
              <w:t>;</w:t>
            </w:r>
            <w:r w:rsidR="003843C7">
              <w:rPr>
                <w:i/>
                <w:iCs/>
                <w:sz w:val="22"/>
                <w:szCs w:val="22"/>
              </w:rPr>
              <w:t xml:space="preserve"> </w:t>
            </w:r>
            <w:hyperlink r:id="rId30" w:history="1">
              <w:r w:rsidR="003843C7" w:rsidRPr="00D93829">
                <w:rPr>
                  <w:rStyle w:val="Hyperlink"/>
                  <w:i/>
                  <w:iCs/>
                  <w:sz w:val="22"/>
                  <w:szCs w:val="22"/>
                </w:rPr>
                <w:t>Baku Action Plan</w:t>
              </w:r>
            </w:hyperlink>
            <w:r w:rsidR="003843C7">
              <w:rPr>
                <w:i/>
                <w:iCs/>
                <w:sz w:val="22"/>
                <w:szCs w:val="22"/>
              </w:rPr>
              <w:t>;</w:t>
            </w:r>
            <w:r w:rsidRPr="00BF5AD8">
              <w:rPr>
                <w:i/>
                <w:iCs/>
                <w:sz w:val="22"/>
                <w:szCs w:val="22"/>
              </w:rPr>
              <w:t xml:space="preserve"> </w:t>
            </w:r>
            <w:r w:rsidRPr="00D93829">
              <w:rPr>
                <w:i/>
                <w:iCs/>
                <w:spacing w:val="-2"/>
                <w:sz w:val="22"/>
                <w:szCs w:val="22"/>
              </w:rPr>
              <w:t xml:space="preserve">Council Documents </w:t>
            </w:r>
            <w:hyperlink r:id="rId31" w:history="1">
              <w:r w:rsidRPr="00D93829">
                <w:rPr>
                  <w:rStyle w:val="Hyperlink"/>
                  <w:i/>
                  <w:iCs/>
                  <w:spacing w:val="-2"/>
                  <w:sz w:val="22"/>
                  <w:szCs w:val="22"/>
                </w:rPr>
                <w:t>C16/33</w:t>
              </w:r>
            </w:hyperlink>
            <w:r w:rsidRPr="00D93829">
              <w:rPr>
                <w:i/>
                <w:iCs/>
                <w:spacing w:val="-2"/>
                <w:sz w:val="22"/>
                <w:szCs w:val="22"/>
              </w:rPr>
              <w:t xml:space="preserve">, </w:t>
            </w:r>
            <w:hyperlink r:id="rId32" w:history="1">
              <w:r w:rsidRPr="00D93829">
                <w:rPr>
                  <w:rStyle w:val="Hyperlink"/>
                  <w:i/>
                  <w:iCs/>
                  <w:spacing w:val="-2"/>
                  <w:sz w:val="22"/>
                  <w:szCs w:val="22"/>
                </w:rPr>
                <w:t>C17/33</w:t>
              </w:r>
            </w:hyperlink>
            <w:r w:rsidRPr="00D93829">
              <w:rPr>
                <w:i/>
                <w:iCs/>
                <w:spacing w:val="-2"/>
                <w:sz w:val="22"/>
                <w:szCs w:val="22"/>
              </w:rPr>
              <w:t xml:space="preserve">, </w:t>
            </w:r>
            <w:hyperlink r:id="rId33" w:history="1">
              <w:r w:rsidRPr="00D93829">
                <w:rPr>
                  <w:rStyle w:val="Hyperlink"/>
                  <w:i/>
                  <w:iCs/>
                  <w:spacing w:val="-2"/>
                  <w:sz w:val="22"/>
                  <w:szCs w:val="22"/>
                </w:rPr>
                <w:t>C18/33</w:t>
              </w:r>
            </w:hyperlink>
            <w:r w:rsidRPr="00D93829">
              <w:rPr>
                <w:i/>
                <w:iCs/>
                <w:spacing w:val="-2"/>
                <w:sz w:val="22"/>
                <w:szCs w:val="22"/>
              </w:rPr>
              <w:t xml:space="preserve">, </w:t>
            </w:r>
            <w:hyperlink r:id="rId34" w:history="1">
              <w:r w:rsidRPr="00D93829">
                <w:rPr>
                  <w:rStyle w:val="Hyperlink"/>
                  <w:i/>
                  <w:iCs/>
                  <w:spacing w:val="-2"/>
                  <w:sz w:val="22"/>
                  <w:szCs w:val="22"/>
                </w:rPr>
                <w:t>C19/33</w:t>
              </w:r>
            </w:hyperlink>
            <w:r w:rsidRPr="00D93829">
              <w:rPr>
                <w:i/>
                <w:iCs/>
                <w:spacing w:val="-2"/>
                <w:sz w:val="22"/>
                <w:szCs w:val="22"/>
              </w:rPr>
              <w:t xml:space="preserve">, </w:t>
            </w:r>
            <w:hyperlink r:id="rId35" w:history="1">
              <w:r w:rsidRPr="00D93829">
                <w:rPr>
                  <w:rStyle w:val="Hyperlink"/>
                  <w:i/>
                  <w:iCs/>
                  <w:spacing w:val="-2"/>
                  <w:sz w:val="22"/>
                  <w:szCs w:val="22"/>
                </w:rPr>
                <w:t>C20/33</w:t>
              </w:r>
            </w:hyperlink>
            <w:r w:rsidRPr="00D93829">
              <w:rPr>
                <w:i/>
                <w:iCs/>
                <w:spacing w:val="-2"/>
                <w:sz w:val="22"/>
                <w:szCs w:val="22"/>
              </w:rPr>
              <w:t xml:space="preserve">, </w:t>
            </w:r>
            <w:hyperlink r:id="rId36" w:history="1">
              <w:r w:rsidRPr="00D93829">
                <w:rPr>
                  <w:rStyle w:val="Hyperlink"/>
                  <w:i/>
                  <w:iCs/>
                  <w:spacing w:val="-2"/>
                  <w:sz w:val="22"/>
                  <w:szCs w:val="22"/>
                </w:rPr>
                <w:t>C21/33</w:t>
              </w:r>
            </w:hyperlink>
            <w:r w:rsidRPr="00D93829">
              <w:rPr>
                <w:i/>
                <w:iCs/>
                <w:spacing w:val="-2"/>
                <w:sz w:val="22"/>
                <w:szCs w:val="22"/>
              </w:rPr>
              <w:t xml:space="preserve">, </w:t>
            </w:r>
            <w:hyperlink r:id="rId37" w:history="1">
              <w:r w:rsidRPr="00D93829">
                <w:rPr>
                  <w:rStyle w:val="Hyperlink"/>
                  <w:i/>
                  <w:iCs/>
                  <w:spacing w:val="-2"/>
                  <w:sz w:val="22"/>
                  <w:szCs w:val="22"/>
                </w:rPr>
                <w:t>C22/33</w:t>
              </w:r>
            </w:hyperlink>
            <w:r w:rsidRPr="00D93829">
              <w:rPr>
                <w:i/>
                <w:iCs/>
                <w:spacing w:val="-2"/>
                <w:sz w:val="22"/>
                <w:szCs w:val="22"/>
              </w:rPr>
              <w:t xml:space="preserve">, </w:t>
            </w:r>
            <w:hyperlink r:id="rId38" w:history="1">
              <w:r w:rsidRPr="00D93829">
                <w:rPr>
                  <w:rStyle w:val="Hyperlink"/>
                  <w:i/>
                  <w:iCs/>
                  <w:spacing w:val="-2"/>
                  <w:sz w:val="22"/>
                  <w:szCs w:val="22"/>
                </w:rPr>
                <w:t>C23/33</w:t>
              </w:r>
            </w:hyperlink>
            <w:r w:rsidRPr="00D93829">
              <w:rPr>
                <w:i/>
                <w:iCs/>
                <w:spacing w:val="-2"/>
                <w:sz w:val="22"/>
                <w:szCs w:val="22"/>
              </w:rPr>
              <w:t xml:space="preserve">, </w:t>
            </w:r>
            <w:hyperlink r:id="rId39" w:history="1">
              <w:r w:rsidRPr="00D93829">
                <w:rPr>
                  <w:rStyle w:val="Hyperlink"/>
                  <w:i/>
                  <w:iCs/>
                  <w:spacing w:val="-2"/>
                  <w:sz w:val="22"/>
                  <w:szCs w:val="22"/>
                </w:rPr>
                <w:t>C24/33</w:t>
              </w:r>
            </w:hyperlink>
            <w:r w:rsidRPr="00D93829">
              <w:rPr>
                <w:i/>
                <w:iCs/>
                <w:spacing w:val="-2"/>
                <w:sz w:val="22"/>
                <w:szCs w:val="22"/>
              </w:rPr>
              <w:t xml:space="preserve">, </w:t>
            </w:r>
            <w:hyperlink r:id="rId40" w:history="1">
              <w:r w:rsidRPr="00D93829">
                <w:rPr>
                  <w:rStyle w:val="Hyperlink"/>
                  <w:i/>
                  <w:iCs/>
                  <w:spacing w:val="-2"/>
                  <w:sz w:val="22"/>
                  <w:szCs w:val="22"/>
                </w:rPr>
                <w:t>C25/33</w:t>
              </w:r>
            </w:hyperlink>
            <w:r w:rsidRPr="00D93829">
              <w:rPr>
                <w:i/>
                <w:iCs/>
                <w:spacing w:val="-2"/>
                <w:sz w:val="22"/>
                <w:szCs w:val="22"/>
              </w:rPr>
              <w:t>.</w:t>
            </w:r>
          </w:p>
        </w:tc>
      </w:tr>
    </w:tbl>
    <w:p w14:paraId="65698D14" w14:textId="77777777" w:rsidR="00945F10" w:rsidRPr="00945F10" w:rsidRDefault="00945F10" w:rsidP="00924AD5">
      <w:pPr>
        <w:pStyle w:val="Heading1"/>
        <w:rPr>
          <w:rFonts w:eastAsia="SimSun"/>
        </w:rPr>
      </w:pPr>
      <w:bookmarkStart w:id="10" w:name="_Hlk133421428"/>
      <w:bookmarkEnd w:id="2"/>
      <w:bookmarkEnd w:id="9"/>
      <w:r w:rsidRPr="00945F10">
        <w:rPr>
          <w:rFonts w:eastAsia="SimSun"/>
        </w:rPr>
        <w:lastRenderedPageBreak/>
        <w:t>1</w:t>
      </w:r>
      <w:r w:rsidRPr="00945F10">
        <w:rPr>
          <w:rFonts w:eastAsia="SimSun"/>
        </w:rPr>
        <w:tab/>
        <w:t>Introduction</w:t>
      </w:r>
    </w:p>
    <w:p w14:paraId="1D561388" w14:textId="3EE56D75" w:rsidR="00945F10" w:rsidRPr="00924AD5" w:rsidRDefault="00945F10" w:rsidP="00924AD5">
      <w:pPr>
        <w:jc w:val="both"/>
        <w:rPr>
          <w:rFonts w:eastAsia="SimSun"/>
          <w:spacing w:val="2"/>
        </w:rPr>
      </w:pPr>
      <w:r w:rsidRPr="00924AD5">
        <w:rPr>
          <w:rFonts w:eastAsia="SimSun"/>
          <w:spacing w:val="2"/>
        </w:rPr>
        <w:t>This report describes ITU’s activities related to the 2022 Plenipotentiary Conference Resolutions</w:t>
      </w:r>
      <w:r w:rsidR="00924AD5" w:rsidRPr="00924AD5">
        <w:rPr>
          <w:rFonts w:eastAsia="SimSun"/>
          <w:spacing w:val="2"/>
        </w:rPr>
        <w:t> </w:t>
      </w:r>
      <w:r w:rsidRPr="00924AD5">
        <w:rPr>
          <w:rFonts w:eastAsia="SimSun"/>
          <w:spacing w:val="2"/>
        </w:rPr>
        <w:t>101, 102, 133, 180 and 206 for the reporting period from May 2025 to February</w:t>
      </w:r>
      <w:r w:rsidR="00924AD5">
        <w:rPr>
          <w:rFonts w:eastAsia="SimSun"/>
          <w:spacing w:val="2"/>
        </w:rPr>
        <w:t> </w:t>
      </w:r>
      <w:r w:rsidRPr="00924AD5">
        <w:rPr>
          <w:rFonts w:eastAsia="SimSun"/>
          <w:spacing w:val="2"/>
        </w:rPr>
        <w:t>2026.</w:t>
      </w:r>
      <w:bookmarkStart w:id="11" w:name="_Hlt239152104"/>
      <w:bookmarkStart w:id="12" w:name="_Hlt239152105"/>
      <w:bookmarkStart w:id="13" w:name="_Hlt239151886"/>
      <w:bookmarkStart w:id="14" w:name="_Hlt239151887"/>
      <w:bookmarkStart w:id="15" w:name="_Hlt239152106"/>
      <w:bookmarkStart w:id="16" w:name="_Hlt239152114"/>
      <w:bookmarkStart w:id="17" w:name="_Hlt239153440"/>
      <w:bookmarkStart w:id="18" w:name="_Hlt239153441"/>
      <w:bookmarkEnd w:id="11"/>
      <w:bookmarkEnd w:id="12"/>
      <w:bookmarkEnd w:id="13"/>
      <w:bookmarkEnd w:id="14"/>
      <w:bookmarkEnd w:id="15"/>
      <w:bookmarkEnd w:id="16"/>
      <w:bookmarkEnd w:id="17"/>
      <w:bookmarkEnd w:id="18"/>
    </w:p>
    <w:p w14:paraId="0A380507" w14:textId="77777777" w:rsidR="00945F10" w:rsidRPr="00945F10" w:rsidRDefault="00945F10" w:rsidP="00924AD5">
      <w:pPr>
        <w:pStyle w:val="Heading1"/>
        <w:rPr>
          <w:rFonts w:eastAsia="SimSun"/>
        </w:rPr>
      </w:pPr>
      <w:r w:rsidRPr="00945F10">
        <w:rPr>
          <w:rFonts w:eastAsia="SimSun"/>
        </w:rPr>
        <w:t>2</w:t>
      </w:r>
      <w:r w:rsidRPr="00945F10">
        <w:rPr>
          <w:rFonts w:eastAsia="SimSun"/>
        </w:rPr>
        <w:tab/>
        <w:t>Activities related to Internet Protocol (IP) networks, the development of next-generation networks (NGN) and future Internet, including policy and regulatory challenges</w:t>
      </w:r>
    </w:p>
    <w:p w14:paraId="22258EFF" w14:textId="08C58573" w:rsidR="00945F10" w:rsidRPr="00945F10" w:rsidRDefault="00945F10" w:rsidP="00924AD5">
      <w:pPr>
        <w:jc w:val="both"/>
        <w:rPr>
          <w:rFonts w:eastAsia="SimSun"/>
        </w:rPr>
      </w:pPr>
      <w:bookmarkStart w:id="19" w:name="_Hlk163199762"/>
      <w:r w:rsidRPr="00945F10">
        <w:rPr>
          <w:rFonts w:eastAsia="SimSun"/>
        </w:rPr>
        <w:t xml:space="preserve">ITU-T approved 399 new/revised ITU-T Recommendations and other texts from </w:t>
      </w:r>
      <w:r w:rsidRPr="00945F10">
        <w:rPr>
          <w:rFonts w:eastAsia="SimSun"/>
          <w:spacing w:val="-2"/>
        </w:rPr>
        <w:t>1 April 2025 to 31 March 2026</w:t>
      </w:r>
      <w:r w:rsidRPr="00945F10">
        <w:rPr>
          <w:rFonts w:eastAsia="SimSun"/>
        </w:rPr>
        <w:t>, including but not limited to those relevant to this Report</w:t>
      </w:r>
      <w:r w:rsidRPr="00945F10">
        <w:rPr>
          <w:rFonts w:eastAsia="SimSun"/>
          <w:spacing w:val="-2"/>
        </w:rPr>
        <w:t xml:space="preserve">. </w:t>
      </w:r>
      <w:bookmarkEnd w:id="19"/>
      <w:r w:rsidRPr="00945F10">
        <w:fldChar w:fldCharType="begin"/>
      </w:r>
      <w:r w:rsidRPr="00945F10">
        <w:instrText>HYPERLINK "https://www.itu.int/itu-t/workprog/wp_search.aspx?isn_sp=9677&amp;isn_status=-1,8,1,3,7,2&amp;adf=2025-03-31&amp;adt=2026-03-31&amp;details=0&amp;view=tab&amp;field=acdefghijo"</w:instrText>
      </w:r>
      <w:r w:rsidRPr="00945F10">
        <w:fldChar w:fldCharType="separate"/>
      </w:r>
      <w:r w:rsidRPr="00945F10">
        <w:rPr>
          <w:rFonts w:eastAsia="SimSun"/>
          <w:color w:val="0563C1"/>
          <w:spacing w:val="-2"/>
          <w:u w:val="single"/>
        </w:rPr>
        <w:t xml:space="preserve">Relevant </w:t>
      </w:r>
      <w:r w:rsidR="000E3517" w:rsidRPr="00945F10">
        <w:rPr>
          <w:rFonts w:eastAsia="SimSun"/>
          <w:color w:val="0563C1"/>
          <w:spacing w:val="-2"/>
          <w:u w:val="single"/>
        </w:rPr>
        <w:t>r</w:t>
      </w:r>
      <w:r w:rsidRPr="00945F10">
        <w:rPr>
          <w:rFonts w:eastAsia="SimSun"/>
          <w:color w:val="0563C1"/>
          <w:spacing w:val="-2"/>
          <w:u w:val="single"/>
        </w:rPr>
        <w:t>ecommendations</w:t>
      </w:r>
      <w:r w:rsidRPr="00945F10">
        <w:fldChar w:fldCharType="end"/>
      </w:r>
      <w:r w:rsidRPr="00945F10">
        <w:rPr>
          <w:rFonts w:eastAsia="SimSun"/>
          <w:spacing w:val="-2"/>
        </w:rPr>
        <w:t xml:space="preserve"> can be found under the different ITU-T Study Groups (SGs). </w:t>
      </w:r>
    </w:p>
    <w:p w14:paraId="15EBA1FC" w14:textId="77777777" w:rsidR="00945F10" w:rsidRPr="00945F10" w:rsidRDefault="00945F10" w:rsidP="00924AD5">
      <w:pPr>
        <w:jc w:val="both"/>
        <w:rPr>
          <w:szCs w:val="24"/>
        </w:rPr>
      </w:pPr>
      <w:r w:rsidRPr="00945F10">
        <w:rPr>
          <w:b/>
          <w:bCs/>
          <w:szCs w:val="24"/>
        </w:rPr>
        <w:t>2.1</w:t>
      </w:r>
      <w:r w:rsidRPr="00945F10">
        <w:rPr>
          <w:b/>
          <w:bCs/>
          <w:szCs w:val="24"/>
        </w:rPr>
        <w:tab/>
        <w:t>IMT-2020</w:t>
      </w:r>
      <w:r w:rsidRPr="00945F10">
        <w:rPr>
          <w:rFonts w:hint="eastAsia"/>
          <w:b/>
          <w:bCs/>
          <w:szCs w:val="24"/>
          <w:lang w:eastAsia="zh-CN"/>
        </w:rPr>
        <w:t xml:space="preserve"> and beyond</w:t>
      </w:r>
      <w:r w:rsidRPr="00945F10">
        <w:rPr>
          <w:b/>
          <w:bCs/>
          <w:szCs w:val="24"/>
        </w:rPr>
        <w:t>:</w:t>
      </w:r>
      <w:r w:rsidRPr="00945F10">
        <w:rPr>
          <w:szCs w:val="24"/>
        </w:rPr>
        <w:t xml:space="preserve"> </w:t>
      </w:r>
      <w:r w:rsidRPr="00945F10">
        <w:rPr>
          <w:szCs w:val="24"/>
          <w:lang w:eastAsia="zh-CN"/>
        </w:rPr>
        <w:t>22</w:t>
      </w:r>
      <w:r w:rsidRPr="00945F10">
        <w:rPr>
          <w:szCs w:val="24"/>
        </w:rPr>
        <w:t xml:space="preserve"> </w:t>
      </w:r>
      <w:r w:rsidRPr="00945F10">
        <w:rPr>
          <w:szCs w:val="24"/>
          <w:lang w:eastAsia="zh-CN"/>
        </w:rPr>
        <w:t xml:space="preserve">new </w:t>
      </w:r>
      <w:r w:rsidRPr="00945F10">
        <w:rPr>
          <w:szCs w:val="24"/>
        </w:rPr>
        <w:t xml:space="preserve">Recommendations were approved by ITU-T SGs 5, 11, and 13. One </w:t>
      </w:r>
      <w:r w:rsidRPr="00945F10">
        <w:rPr>
          <w:szCs w:val="24"/>
          <w:lang w:eastAsia="zh-CN"/>
        </w:rPr>
        <w:t xml:space="preserve">revised </w:t>
      </w:r>
      <w:r w:rsidRPr="00945F10">
        <w:rPr>
          <w:szCs w:val="24"/>
        </w:rPr>
        <w:t xml:space="preserve">Supplement was agreed by SG13, and </w:t>
      </w:r>
      <w:r w:rsidRPr="00945F10">
        <w:rPr>
          <w:szCs w:val="24"/>
          <w:lang w:eastAsia="zh-CN"/>
        </w:rPr>
        <w:t>12</w:t>
      </w:r>
      <w:r w:rsidRPr="00945F10">
        <w:rPr>
          <w:szCs w:val="24"/>
        </w:rPr>
        <w:t xml:space="preserve"> draft Recommendations are under approval in SGs 2, 13 and 17.</w:t>
      </w:r>
    </w:p>
    <w:p w14:paraId="0BB1EFC1" w14:textId="77777777" w:rsidR="00945F10" w:rsidRPr="00945F10" w:rsidRDefault="00945F10" w:rsidP="00924AD5">
      <w:pPr>
        <w:jc w:val="both"/>
        <w:rPr>
          <w:rFonts w:asciiTheme="minorHAnsi" w:eastAsia="SimSun" w:hAnsiTheme="minorHAnsi" w:cstheme="minorBidi"/>
          <w:b/>
          <w:szCs w:val="24"/>
        </w:rPr>
      </w:pPr>
      <w:r w:rsidRPr="00945F10">
        <w:rPr>
          <w:rFonts w:asciiTheme="minorHAnsi" w:eastAsia="SimSun" w:hAnsiTheme="minorHAnsi" w:cstheme="minorBidi"/>
          <w:b/>
          <w:bCs/>
          <w:szCs w:val="24"/>
        </w:rPr>
        <w:t>2.2</w:t>
      </w:r>
      <w:r w:rsidRPr="00945F10">
        <w:rPr>
          <w:rFonts w:eastAsia="SimSun"/>
          <w:b/>
          <w:szCs w:val="24"/>
        </w:rPr>
        <w:tab/>
      </w:r>
      <w:r w:rsidRPr="00945F10">
        <w:rPr>
          <w:rFonts w:asciiTheme="minorHAnsi" w:eastAsia="SimSun" w:hAnsiTheme="minorHAnsi" w:cstheme="minorBidi"/>
          <w:b/>
          <w:bCs/>
          <w:szCs w:val="24"/>
        </w:rPr>
        <w:t xml:space="preserve">Internet-of-things (IoT) and Smart Cities: </w:t>
      </w:r>
      <w:r w:rsidRPr="00945F10">
        <w:rPr>
          <w:rFonts w:asciiTheme="minorHAnsi" w:eastAsia="SimSun" w:hAnsiTheme="minorHAnsi" w:cstheme="minorBidi"/>
          <w:szCs w:val="24"/>
        </w:rPr>
        <w:t>17 Recommendations and four Supplements were approved by SGs 2, 3, 5, 11, 13, 17 and 20. Seven</w:t>
      </w:r>
      <w:r w:rsidRPr="00945F10">
        <w:rPr>
          <w:rFonts w:asciiTheme="minorHAnsi" w:eastAsia="SimSun" w:hAnsiTheme="minorHAnsi" w:cstheme="minorBidi" w:hint="eastAsia"/>
          <w:szCs w:val="24"/>
          <w:lang w:eastAsia="zh-CN"/>
        </w:rPr>
        <w:t xml:space="preserve"> </w:t>
      </w:r>
      <w:r w:rsidRPr="00945F10">
        <w:rPr>
          <w:rFonts w:asciiTheme="minorHAnsi" w:eastAsia="SimSun" w:hAnsiTheme="minorHAnsi" w:cstheme="minorBidi"/>
          <w:szCs w:val="24"/>
        </w:rPr>
        <w:t>draft Recommendations are under approval in SGs 17</w:t>
      </w:r>
      <w:r w:rsidRPr="00945F10">
        <w:rPr>
          <w:rFonts w:asciiTheme="minorHAnsi" w:eastAsia="SimSun" w:hAnsiTheme="minorHAnsi" w:cstheme="minorBidi"/>
          <w:szCs w:val="24"/>
          <w:lang w:val="en-US" w:eastAsia="zh-CN"/>
        </w:rPr>
        <w:t xml:space="preserve"> and </w:t>
      </w:r>
      <w:r w:rsidRPr="00945F10">
        <w:rPr>
          <w:rFonts w:asciiTheme="minorHAnsi" w:eastAsia="SimSun" w:hAnsiTheme="minorHAnsi" w:cstheme="minorBidi" w:hint="eastAsia"/>
          <w:szCs w:val="24"/>
          <w:lang w:eastAsia="zh-CN"/>
        </w:rPr>
        <w:t>20</w:t>
      </w:r>
      <w:r w:rsidRPr="00945F10">
        <w:rPr>
          <w:rFonts w:asciiTheme="minorHAnsi" w:eastAsia="SimSun" w:hAnsiTheme="minorHAnsi" w:cstheme="minorBidi"/>
          <w:szCs w:val="24"/>
        </w:rPr>
        <w:t xml:space="preserve">.ITU-T SG20 continued coordination in its ITU-T </w:t>
      </w:r>
      <w:hyperlink r:id="rId41" w:history="1">
        <w:r w:rsidRPr="00945F10">
          <w:rPr>
            <w:rFonts w:asciiTheme="minorHAnsi" w:eastAsia="SimSun" w:hAnsiTheme="minorHAnsi" w:cstheme="minorBidi"/>
            <w:color w:val="4F81BD" w:themeColor="accent1"/>
            <w:szCs w:val="24"/>
            <w:u w:val="single"/>
          </w:rPr>
          <w:t>JCA-IoT, DT and SSC&amp;C</w:t>
        </w:r>
      </w:hyperlink>
      <w:r w:rsidRPr="00945F10">
        <w:rPr>
          <w:rFonts w:asciiTheme="minorHAnsi" w:eastAsia="SimSun" w:hAnsiTheme="minorHAnsi" w:cstheme="minorBidi"/>
          <w:szCs w:val="24"/>
        </w:rPr>
        <w:t xml:space="preserve"> and is also in close collaboration with IETF, oneM2M, W3C, LoRa Alliance and </w:t>
      </w:r>
      <w:proofErr w:type="spellStart"/>
      <w:r w:rsidRPr="00945F10">
        <w:rPr>
          <w:rFonts w:asciiTheme="minorHAnsi" w:eastAsia="SimSun" w:hAnsiTheme="minorHAnsi" w:cstheme="minorBidi"/>
          <w:szCs w:val="24"/>
        </w:rPr>
        <w:t>TMForum</w:t>
      </w:r>
      <w:proofErr w:type="spellEnd"/>
      <w:r w:rsidRPr="00945F10">
        <w:rPr>
          <w:rFonts w:asciiTheme="minorHAnsi" w:eastAsia="SimSun" w:hAnsiTheme="minorHAnsi" w:cstheme="minorBidi"/>
          <w:szCs w:val="24"/>
        </w:rPr>
        <w:t>.</w:t>
      </w:r>
      <w:r w:rsidRPr="00945F10">
        <w:rPr>
          <w:rFonts w:asciiTheme="minorHAnsi" w:eastAsia="SimSun" w:hAnsiTheme="minorHAnsi" w:cstheme="minorBidi"/>
          <w:b/>
          <w:szCs w:val="24"/>
        </w:rPr>
        <w:t xml:space="preserve"> </w:t>
      </w:r>
      <w:r w:rsidRPr="00945F10">
        <w:rPr>
          <w:rFonts w:asciiTheme="minorHAnsi" w:eastAsia="SimSun" w:hAnsiTheme="minorHAnsi" w:cstheme="minorBidi"/>
          <w:szCs w:val="24"/>
          <w:lang w:eastAsia="zh-CN"/>
        </w:rPr>
        <w:t xml:space="preserve">The </w:t>
      </w:r>
      <w:hyperlink r:id="rId42" w:history="1">
        <w:r w:rsidRPr="00945F10">
          <w:rPr>
            <w:rFonts w:asciiTheme="minorHAnsi" w:eastAsia="SimSun" w:hAnsiTheme="minorHAnsi" w:cstheme="minorBidi"/>
            <w:color w:val="4F81BD" w:themeColor="accent1"/>
            <w:szCs w:val="24"/>
            <w:u w:val="single"/>
            <w:lang w:eastAsia="zh-CN"/>
          </w:rPr>
          <w:t>United for Smart Sustainable Cities (U4SSC) initiative</w:t>
        </w:r>
      </w:hyperlink>
      <w:r w:rsidRPr="00945F10">
        <w:rPr>
          <w:rFonts w:asciiTheme="minorHAnsi" w:eastAsia="SimSun" w:hAnsiTheme="minorHAnsi" w:cstheme="minorBidi"/>
          <w:szCs w:val="24"/>
          <w:lang w:eastAsia="zh-CN"/>
        </w:rPr>
        <w:t>, supported by 20 United Nations entities, advances work on artificial intelligence in cities, city platforms, sustainable buildings, and other key areas of smart and sustainable urban development.</w:t>
      </w:r>
    </w:p>
    <w:p w14:paraId="44478339" w14:textId="4EEB30B2" w:rsidR="00945F10" w:rsidRPr="00945F10" w:rsidRDefault="00945F10" w:rsidP="00924AD5">
      <w:pPr>
        <w:jc w:val="both"/>
        <w:rPr>
          <w:rFonts w:eastAsia="SimSun"/>
          <w:b/>
          <w:szCs w:val="24"/>
        </w:rPr>
      </w:pPr>
      <w:r w:rsidRPr="00945F10">
        <w:rPr>
          <w:rFonts w:asciiTheme="minorHAnsi" w:eastAsia="SimSun" w:hAnsiTheme="minorHAnsi" w:cstheme="minorBidi"/>
          <w:b/>
          <w:szCs w:val="24"/>
        </w:rPr>
        <w:t>2.3</w:t>
      </w:r>
      <w:r w:rsidRPr="00945F10">
        <w:rPr>
          <w:rFonts w:eastAsia="SimSun"/>
          <w:b/>
          <w:szCs w:val="24"/>
        </w:rPr>
        <w:tab/>
      </w:r>
      <w:r w:rsidRPr="00945F10">
        <w:rPr>
          <w:rFonts w:asciiTheme="minorHAnsi" w:eastAsia="SimSun" w:hAnsiTheme="minorHAnsi" w:cstheme="minorBidi"/>
          <w:b/>
          <w:szCs w:val="24"/>
        </w:rPr>
        <w:t xml:space="preserve">IP Cable and IPTV: </w:t>
      </w:r>
      <w:r w:rsidRPr="00945F10">
        <w:rPr>
          <w:rFonts w:asciiTheme="minorHAnsi" w:eastAsia="SimSun" w:hAnsiTheme="minorHAnsi" w:cstheme="minorBidi"/>
          <w:szCs w:val="24"/>
        </w:rPr>
        <w:t xml:space="preserve">ITU-T </w:t>
      </w:r>
      <w:proofErr w:type="spellStart"/>
      <w:r w:rsidRPr="00945F10">
        <w:rPr>
          <w:rFonts w:asciiTheme="minorHAnsi" w:eastAsia="SimSun" w:hAnsiTheme="minorHAnsi" w:cstheme="minorBidi"/>
          <w:szCs w:val="24"/>
        </w:rPr>
        <w:t>SG21</w:t>
      </w:r>
      <w:proofErr w:type="spellEnd"/>
      <w:r w:rsidRPr="00945F10">
        <w:rPr>
          <w:rFonts w:asciiTheme="minorHAnsi" w:eastAsia="SimSun" w:hAnsiTheme="minorHAnsi" w:cstheme="minorBidi"/>
          <w:szCs w:val="24"/>
        </w:rPr>
        <w:t xml:space="preserve"> revised Recommendation </w:t>
      </w:r>
      <w:r w:rsidR="00924AD5">
        <w:rPr>
          <w:rFonts w:asciiTheme="minorHAnsi" w:eastAsia="SimSun" w:hAnsiTheme="minorHAnsi" w:cstheme="minorBidi"/>
          <w:szCs w:val="24"/>
        </w:rPr>
        <w:t xml:space="preserve">ITU-T </w:t>
      </w:r>
      <w:proofErr w:type="spellStart"/>
      <w:r w:rsidRPr="00945F10">
        <w:rPr>
          <w:rFonts w:asciiTheme="minorHAnsi" w:eastAsia="SimSun" w:hAnsiTheme="minorHAnsi" w:cstheme="minorBidi"/>
          <w:szCs w:val="24"/>
        </w:rPr>
        <w:t>J.1</w:t>
      </w:r>
      <w:proofErr w:type="spellEnd"/>
      <w:r w:rsidRPr="00945F10">
        <w:rPr>
          <w:rFonts w:asciiTheme="minorHAnsi" w:eastAsia="SimSun" w:hAnsiTheme="minorHAnsi" w:cstheme="minorBidi"/>
          <w:szCs w:val="24"/>
        </w:rPr>
        <w:t xml:space="preserve"> and Supplement </w:t>
      </w:r>
      <w:proofErr w:type="spellStart"/>
      <w:proofErr w:type="gramStart"/>
      <w:r w:rsidRPr="00945F10">
        <w:rPr>
          <w:rFonts w:asciiTheme="minorHAnsi" w:eastAsia="SimSun" w:hAnsiTheme="minorHAnsi" w:cstheme="minorBidi"/>
          <w:szCs w:val="24"/>
        </w:rPr>
        <w:t>J.Sup</w:t>
      </w:r>
      <w:proofErr w:type="gramEnd"/>
      <w:r w:rsidRPr="00945F10">
        <w:rPr>
          <w:rFonts w:asciiTheme="minorHAnsi" w:eastAsia="SimSun" w:hAnsiTheme="minorHAnsi" w:cstheme="minorBidi"/>
          <w:szCs w:val="24"/>
        </w:rPr>
        <w:t>11</w:t>
      </w:r>
      <w:proofErr w:type="spellEnd"/>
      <w:r w:rsidRPr="00945F10">
        <w:rPr>
          <w:rFonts w:asciiTheme="minorHAnsi" w:eastAsia="SimSun" w:hAnsiTheme="minorHAnsi" w:cstheme="minorBidi"/>
          <w:szCs w:val="24"/>
        </w:rPr>
        <w:t xml:space="preserve"> on IP cable and developed Corrigendum H.741.5 Cor.1 on IPTV.</w:t>
      </w:r>
    </w:p>
    <w:p w14:paraId="4AF4A116" w14:textId="7C239299" w:rsidR="00945F10" w:rsidRPr="000D4AF5" w:rsidRDefault="00945F10" w:rsidP="00924AD5">
      <w:pPr>
        <w:jc w:val="both"/>
        <w:rPr>
          <w:rFonts w:asciiTheme="minorHAnsi" w:eastAsia="SimSun" w:hAnsiTheme="minorHAnsi" w:cstheme="minorBidi"/>
          <w:szCs w:val="24"/>
        </w:rPr>
      </w:pPr>
      <w:r w:rsidRPr="00945F10">
        <w:rPr>
          <w:rFonts w:asciiTheme="minorHAnsi" w:eastAsia="SimSun" w:hAnsiTheme="minorHAnsi" w:cstheme="minorBidi"/>
          <w:b/>
          <w:szCs w:val="24"/>
        </w:rPr>
        <w:t>2.4</w:t>
      </w:r>
      <w:r w:rsidRPr="00945F10">
        <w:rPr>
          <w:rFonts w:eastAsia="SimSun"/>
          <w:szCs w:val="24"/>
        </w:rPr>
        <w:tab/>
      </w:r>
      <w:r w:rsidRPr="00945F10">
        <w:rPr>
          <w:rFonts w:asciiTheme="minorHAnsi" w:eastAsia="SimSun" w:hAnsiTheme="minorHAnsi" w:cstheme="minorBidi"/>
          <w:b/>
          <w:szCs w:val="24"/>
        </w:rPr>
        <w:t xml:space="preserve">IP performance: </w:t>
      </w:r>
      <w:r w:rsidRPr="00945F10">
        <w:rPr>
          <w:rFonts w:asciiTheme="minorHAnsi" w:eastAsia="SimSun" w:hAnsiTheme="minorHAnsi" w:cstheme="minorBidi"/>
          <w:szCs w:val="24"/>
        </w:rPr>
        <w:t xml:space="preserve">ITU-T SG12 developed a Technical Report </w:t>
      </w:r>
      <w:proofErr w:type="spellStart"/>
      <w:r w:rsidRPr="00945F10">
        <w:rPr>
          <w:rFonts w:asciiTheme="minorHAnsi" w:eastAsia="SimSun" w:hAnsiTheme="minorHAnsi" w:cstheme="minorBidi"/>
          <w:szCs w:val="24"/>
        </w:rPr>
        <w:t>GSTR.Perf_Req</w:t>
      </w:r>
      <w:proofErr w:type="spellEnd"/>
      <w:r w:rsidRPr="00945F10">
        <w:rPr>
          <w:rFonts w:asciiTheme="minorHAnsi" w:eastAsia="SimSun" w:hAnsiTheme="minorHAnsi" w:cstheme="minorBidi"/>
          <w:szCs w:val="24"/>
        </w:rPr>
        <w:t xml:space="preserve"> </w:t>
      </w:r>
      <w:r w:rsidR="000D4AF5">
        <w:rPr>
          <w:rFonts w:asciiTheme="minorHAnsi" w:eastAsia="SimSun" w:hAnsiTheme="minorHAnsi" w:cstheme="minorBidi"/>
          <w:szCs w:val="24"/>
        </w:rPr>
        <w:t xml:space="preserve">on </w:t>
      </w:r>
      <w:r w:rsidRPr="000D4AF5">
        <w:rPr>
          <w:rFonts w:asciiTheme="minorHAnsi" w:eastAsia="SimSun" w:hAnsiTheme="minorHAnsi" w:cstheme="minorBidi"/>
          <w:szCs w:val="24"/>
        </w:rPr>
        <w:t>IMS/PES/VoLTE/</w:t>
      </w:r>
      <w:proofErr w:type="spellStart"/>
      <w:r w:rsidRPr="000D4AF5">
        <w:rPr>
          <w:rFonts w:asciiTheme="minorHAnsi" w:eastAsia="SimSun" w:hAnsiTheme="minorHAnsi" w:cstheme="minorBidi"/>
          <w:szCs w:val="24"/>
        </w:rPr>
        <w:t>VoNR</w:t>
      </w:r>
      <w:proofErr w:type="spellEnd"/>
      <w:r w:rsidRPr="000D4AF5">
        <w:rPr>
          <w:rFonts w:asciiTheme="minorHAnsi" w:eastAsia="SimSun" w:hAnsiTheme="minorHAnsi" w:cstheme="minorBidi"/>
          <w:szCs w:val="24"/>
        </w:rPr>
        <w:t xml:space="preserve"> exchange performance requirements.</w:t>
      </w:r>
    </w:p>
    <w:p w14:paraId="0681FFD2" w14:textId="24F69180" w:rsidR="00945F10" w:rsidRPr="00945F10" w:rsidRDefault="00945F10" w:rsidP="00924AD5">
      <w:pPr>
        <w:jc w:val="both"/>
        <w:rPr>
          <w:rFonts w:eastAsia="SimSun"/>
          <w:b/>
          <w:szCs w:val="24"/>
        </w:rPr>
      </w:pPr>
      <w:r w:rsidRPr="00945F10">
        <w:rPr>
          <w:rFonts w:asciiTheme="minorHAnsi" w:eastAsia="SimSun" w:hAnsiTheme="minorHAnsi" w:cstheme="minorBidi"/>
          <w:b/>
          <w:szCs w:val="24"/>
        </w:rPr>
        <w:t>2.5</w:t>
      </w:r>
      <w:r w:rsidRPr="00945F10">
        <w:rPr>
          <w:rFonts w:eastAsia="SimSun"/>
          <w:b/>
          <w:szCs w:val="24"/>
        </w:rPr>
        <w:tab/>
      </w:r>
      <w:r w:rsidRPr="00945F10">
        <w:rPr>
          <w:rFonts w:asciiTheme="minorHAnsi" w:eastAsia="SimSun" w:hAnsiTheme="minorHAnsi" w:cstheme="minorBidi"/>
          <w:b/>
          <w:szCs w:val="24"/>
        </w:rPr>
        <w:t xml:space="preserve">IP-based Cloud computing and Big Data: </w:t>
      </w:r>
      <w:r w:rsidRPr="00945F10">
        <w:rPr>
          <w:rFonts w:asciiTheme="minorHAnsi" w:eastAsia="SimSun" w:hAnsiTheme="minorHAnsi" w:cstheme="minorBidi"/>
          <w:bCs/>
          <w:szCs w:val="24"/>
          <w:lang w:eastAsia="zh-CN"/>
        </w:rPr>
        <w:t>17</w:t>
      </w:r>
      <w:r w:rsidRPr="00945F10">
        <w:rPr>
          <w:rFonts w:asciiTheme="minorHAnsi" w:eastAsia="SimSun" w:hAnsiTheme="minorHAnsi" w:cstheme="minorBidi"/>
          <w:szCs w:val="24"/>
          <w:lang w:eastAsia="zh-CN"/>
        </w:rPr>
        <w:t xml:space="preserve"> Recommendations were approved by </w:t>
      </w:r>
      <w:proofErr w:type="spellStart"/>
      <w:r w:rsidRPr="00945F10">
        <w:rPr>
          <w:rFonts w:asciiTheme="minorHAnsi" w:eastAsia="SimSun" w:hAnsiTheme="minorHAnsi" w:cstheme="minorBidi"/>
          <w:szCs w:val="24"/>
          <w:lang w:eastAsia="zh-CN"/>
        </w:rPr>
        <w:t>SGs</w:t>
      </w:r>
      <w:proofErr w:type="spellEnd"/>
      <w:r w:rsidR="000D4AF5">
        <w:rPr>
          <w:rFonts w:asciiTheme="minorHAnsi" w:eastAsia="SimSun" w:hAnsiTheme="minorHAnsi" w:cstheme="minorBidi"/>
          <w:szCs w:val="24"/>
          <w:lang w:eastAsia="zh-CN"/>
        </w:rPr>
        <w:t> </w:t>
      </w:r>
      <w:r w:rsidRPr="00945F10">
        <w:rPr>
          <w:rFonts w:asciiTheme="minorHAnsi" w:eastAsia="SimSun" w:hAnsiTheme="minorHAnsi" w:cstheme="minorBidi"/>
          <w:szCs w:val="24"/>
          <w:lang w:eastAsia="zh-CN"/>
        </w:rPr>
        <w:t>11, 13, 17 and 21.</w:t>
      </w:r>
    </w:p>
    <w:p w14:paraId="443FD429" w14:textId="6F2DE5DA" w:rsidR="00945F10" w:rsidRPr="00945F10" w:rsidRDefault="00945F10" w:rsidP="00924AD5">
      <w:pPr>
        <w:jc w:val="both"/>
        <w:rPr>
          <w:rFonts w:eastAsia="SimSun"/>
          <w:szCs w:val="24"/>
        </w:rPr>
      </w:pPr>
      <w:bookmarkStart w:id="20" w:name="_Hlk163199926"/>
      <w:r w:rsidRPr="00C84727">
        <w:rPr>
          <w:rFonts w:asciiTheme="minorHAnsi" w:eastAsia="SimSun" w:hAnsiTheme="minorHAnsi" w:cstheme="minorBidi"/>
          <w:b/>
          <w:szCs w:val="24"/>
        </w:rPr>
        <w:t>2.6</w:t>
      </w:r>
      <w:r w:rsidRPr="00C84727">
        <w:rPr>
          <w:rFonts w:eastAsia="SimSun"/>
          <w:b/>
          <w:szCs w:val="24"/>
        </w:rPr>
        <w:tab/>
      </w:r>
      <w:r w:rsidRPr="00C84727">
        <w:rPr>
          <w:rFonts w:asciiTheme="minorHAnsi" w:eastAsia="SimSun" w:hAnsiTheme="minorHAnsi" w:cstheme="minorBidi"/>
          <w:b/>
          <w:szCs w:val="24"/>
        </w:rPr>
        <w:t xml:space="preserve">Security: </w:t>
      </w:r>
      <w:r w:rsidRPr="00C84727">
        <w:rPr>
          <w:rFonts w:eastAsia="SimSun"/>
          <w:szCs w:val="24"/>
        </w:rPr>
        <w:t xml:space="preserve">ITU-T SGs 5, 13, 15, 17 and 20 approved 17 new/revised Recommendations, two new supplements and seven Technical Reports on ICT security and trust. </w:t>
      </w:r>
      <w:r w:rsidRPr="00C84727">
        <w:rPr>
          <w:rFonts w:asciiTheme="minorHAnsi" w:eastAsia="SimSun" w:hAnsiTheme="minorHAnsi" w:cstheme="minorBidi"/>
          <w:szCs w:val="24"/>
        </w:rPr>
        <w:t>17</w:t>
      </w:r>
      <w:r w:rsidRPr="00C84727">
        <w:rPr>
          <w:rFonts w:asciiTheme="minorHAnsi" w:eastAsia="SimSun" w:hAnsiTheme="minorHAnsi" w:cstheme="minorBidi" w:hint="eastAsia"/>
          <w:szCs w:val="24"/>
          <w:lang w:eastAsia="zh-CN"/>
        </w:rPr>
        <w:t xml:space="preserve"> </w:t>
      </w:r>
      <w:r w:rsidRPr="00C84727">
        <w:rPr>
          <w:rFonts w:asciiTheme="minorHAnsi" w:eastAsia="SimSun" w:hAnsiTheme="minorHAnsi" w:cstheme="minorBidi"/>
          <w:szCs w:val="24"/>
        </w:rPr>
        <w:t>draft Recommendations are under approval in SGs 13, 17 and</w:t>
      </w:r>
      <w:r w:rsidRPr="00C84727">
        <w:rPr>
          <w:rFonts w:asciiTheme="minorHAnsi" w:eastAsia="SimSun" w:hAnsiTheme="minorHAnsi" w:cstheme="minorBidi"/>
          <w:szCs w:val="24"/>
          <w:lang w:val="en-US" w:eastAsia="zh-CN"/>
        </w:rPr>
        <w:t xml:space="preserve"> </w:t>
      </w:r>
      <w:r w:rsidRPr="00C84727">
        <w:rPr>
          <w:rFonts w:asciiTheme="minorHAnsi" w:eastAsia="SimSun" w:hAnsiTheme="minorHAnsi" w:cstheme="minorBidi" w:hint="eastAsia"/>
          <w:szCs w:val="24"/>
          <w:lang w:eastAsia="zh-CN"/>
        </w:rPr>
        <w:t>20</w:t>
      </w:r>
      <w:r w:rsidRPr="00C84727">
        <w:rPr>
          <w:rFonts w:asciiTheme="minorHAnsi" w:eastAsia="SimSun" w:hAnsiTheme="minorHAnsi" w:cstheme="minorBidi"/>
          <w:szCs w:val="24"/>
        </w:rPr>
        <w:t xml:space="preserve">. </w:t>
      </w:r>
      <w:r w:rsidR="00915EDB" w:rsidRPr="00C84727">
        <w:rPr>
          <w:rFonts w:asciiTheme="minorHAnsi" w:eastAsia="SimSun" w:hAnsiTheme="minorHAnsi" w:cstheme="minorBidi"/>
          <w:szCs w:val="24"/>
        </w:rPr>
        <w:t>Information</w:t>
      </w:r>
      <w:r w:rsidRPr="00C84727">
        <w:rPr>
          <w:rFonts w:eastAsia="SimSun"/>
          <w:szCs w:val="24"/>
        </w:rPr>
        <w:t xml:space="preserve"> on ITU’s activities related to building confidence and security in the use of ICTs, including SG17’s work, is </w:t>
      </w:r>
      <w:r w:rsidR="00915EDB" w:rsidRPr="00C84727">
        <w:rPr>
          <w:rFonts w:eastAsia="SimSun"/>
          <w:szCs w:val="24"/>
        </w:rPr>
        <w:t xml:space="preserve">available in </w:t>
      </w:r>
      <w:r w:rsidRPr="00C84727">
        <w:rPr>
          <w:rFonts w:eastAsia="SimSun"/>
          <w:szCs w:val="24"/>
        </w:rPr>
        <w:t>Document </w:t>
      </w:r>
      <w:bookmarkEnd w:id="20"/>
      <w:proofErr w:type="spellStart"/>
      <w:r w:rsidR="009E719C" w:rsidRPr="00C84727">
        <w:rPr>
          <w:szCs w:val="24"/>
        </w:rPr>
        <w:fldChar w:fldCharType="begin"/>
      </w:r>
      <w:r w:rsidR="009E719C" w:rsidRPr="00C84727">
        <w:rPr>
          <w:szCs w:val="24"/>
        </w:rPr>
        <w:instrText>HYPERLINK "https://www.itu.int/md/S26-CL-C-0035/en"</w:instrText>
      </w:r>
      <w:r w:rsidR="009E719C" w:rsidRPr="00C84727">
        <w:rPr>
          <w:szCs w:val="24"/>
        </w:rPr>
      </w:r>
      <w:r w:rsidR="009E719C" w:rsidRPr="00C84727">
        <w:rPr>
          <w:szCs w:val="24"/>
        </w:rPr>
        <w:fldChar w:fldCharType="separate"/>
      </w:r>
      <w:r w:rsidRPr="00C84727">
        <w:rPr>
          <w:rStyle w:val="Hyperlink"/>
          <w:szCs w:val="24"/>
        </w:rPr>
        <w:t>C26</w:t>
      </w:r>
      <w:proofErr w:type="spellEnd"/>
      <w:r w:rsidRPr="00C84727">
        <w:rPr>
          <w:rStyle w:val="Hyperlink"/>
          <w:szCs w:val="24"/>
        </w:rPr>
        <w:t>/35</w:t>
      </w:r>
      <w:r w:rsidR="009E719C" w:rsidRPr="00C84727">
        <w:rPr>
          <w:szCs w:val="24"/>
        </w:rPr>
        <w:fldChar w:fldCharType="end"/>
      </w:r>
      <w:r w:rsidRPr="00C84727">
        <w:rPr>
          <w:rFonts w:eastAsia="SimSun"/>
          <w:szCs w:val="24"/>
        </w:rPr>
        <w:t>. SG11 continues its studies related to combating fraudulent communications using public-key certificates in signalling level (</w:t>
      </w:r>
      <w:proofErr w:type="spellStart"/>
      <w:r w:rsidRPr="00C84727">
        <w:fldChar w:fldCharType="begin"/>
      </w:r>
      <w:r w:rsidRPr="00C84727">
        <w:instrText>HYPERLINK "https://itu.int/go/SIG-SECURITY"</w:instrText>
      </w:r>
      <w:r w:rsidRPr="00C84727">
        <w:fldChar w:fldCharType="separate"/>
      </w:r>
      <w:r w:rsidRPr="00C84727">
        <w:rPr>
          <w:rFonts w:eastAsia="SimSun"/>
          <w:color w:val="4F81BD" w:themeColor="accent1"/>
          <w:szCs w:val="24"/>
          <w:u w:val="single"/>
        </w:rPr>
        <w:t>itu.int</w:t>
      </w:r>
      <w:proofErr w:type="spellEnd"/>
      <w:r w:rsidRPr="00C84727">
        <w:rPr>
          <w:rFonts w:eastAsia="SimSun"/>
          <w:color w:val="4F81BD" w:themeColor="accent1"/>
          <w:szCs w:val="24"/>
          <w:u w:val="single"/>
        </w:rPr>
        <w:t>/go/SIG-SECURITY</w:t>
      </w:r>
      <w:r w:rsidRPr="00C84727">
        <w:fldChar w:fldCharType="end"/>
      </w:r>
      <w:r w:rsidRPr="00C84727">
        <w:rPr>
          <w:rFonts w:eastAsia="SimSun"/>
          <w:szCs w:val="24"/>
        </w:rPr>
        <w:t>). In November 2025, ITU organized a Workshop on Securing Telephone Networks (</w:t>
      </w:r>
      <w:proofErr w:type="spellStart"/>
      <w:r w:rsidRPr="00C84727">
        <w:fldChar w:fldCharType="begin"/>
      </w:r>
      <w:r w:rsidRPr="00C84727">
        <w:instrText>HYPERLINK "https://itu.int/go/WS-STN"</w:instrText>
      </w:r>
      <w:r w:rsidRPr="00C84727">
        <w:fldChar w:fldCharType="separate"/>
      </w:r>
      <w:r w:rsidRPr="00C84727">
        <w:rPr>
          <w:rFonts w:eastAsia="SimSun"/>
          <w:color w:val="4F81BD" w:themeColor="accent1"/>
          <w:szCs w:val="24"/>
          <w:u w:val="single"/>
        </w:rPr>
        <w:t>itu.int</w:t>
      </w:r>
      <w:proofErr w:type="spellEnd"/>
      <w:r w:rsidRPr="00C84727">
        <w:rPr>
          <w:rFonts w:eastAsia="SimSun"/>
          <w:color w:val="4F81BD" w:themeColor="accent1"/>
          <w:szCs w:val="24"/>
          <w:u w:val="single"/>
        </w:rPr>
        <w:t>/go/</w:t>
      </w:r>
      <w:proofErr w:type="spellStart"/>
      <w:r w:rsidRPr="00C84727">
        <w:rPr>
          <w:rFonts w:eastAsia="SimSun"/>
          <w:color w:val="4F81BD" w:themeColor="accent1"/>
          <w:szCs w:val="24"/>
          <w:u w:val="single"/>
        </w:rPr>
        <w:t>WS-STN</w:t>
      </w:r>
      <w:proofErr w:type="spellEnd"/>
      <w:r w:rsidRPr="00C84727">
        <w:fldChar w:fldCharType="end"/>
      </w:r>
      <w:r w:rsidRPr="00C84727">
        <w:rPr>
          <w:rFonts w:eastAsia="SimSun"/>
          <w:szCs w:val="24"/>
        </w:rPr>
        <w:t xml:space="preserve">). </w:t>
      </w:r>
      <w:r w:rsidRPr="00C84727">
        <w:rPr>
          <w:rFonts w:asciiTheme="minorHAnsi" w:eastAsia="SimSun" w:hAnsiTheme="minorHAnsi" w:cstheme="minorBidi"/>
          <w:bCs/>
          <w:szCs w:val="24"/>
        </w:rPr>
        <w:t xml:space="preserve">The </w:t>
      </w:r>
      <w:hyperlink r:id="rId43" w:history="1">
        <w:r w:rsidRPr="00C84727">
          <w:rPr>
            <w:rFonts w:asciiTheme="minorHAnsi" w:eastAsia="SimSun" w:hAnsiTheme="minorHAnsi" w:cstheme="minorBidi"/>
            <w:bCs/>
            <w:color w:val="4F81BD" w:themeColor="accent1"/>
            <w:szCs w:val="24"/>
            <w:u w:val="single"/>
          </w:rPr>
          <w:t>U4SSC</w:t>
        </w:r>
      </w:hyperlink>
      <w:r w:rsidRPr="00C84727">
        <w:rPr>
          <w:rFonts w:asciiTheme="minorHAnsi" w:eastAsia="SimSun" w:hAnsiTheme="minorHAnsi" w:cstheme="minorBidi"/>
          <w:bCs/>
          <w:szCs w:val="24"/>
        </w:rPr>
        <w:t xml:space="preserve"> initiative, is also advancing work on security and privacy aspects related to digital public infrastructure in cities through its dedicated Thematic Group on Digital Public Infrastructure (DPI) for cities.</w:t>
      </w:r>
    </w:p>
    <w:p w14:paraId="5FBAFD90" w14:textId="7DFFED9A" w:rsidR="00945F10" w:rsidRPr="00945F10" w:rsidRDefault="00945F10" w:rsidP="00924AD5">
      <w:pPr>
        <w:jc w:val="both"/>
        <w:rPr>
          <w:rFonts w:eastAsia="SimSun"/>
          <w:szCs w:val="24"/>
        </w:rPr>
      </w:pPr>
      <w:r w:rsidRPr="00945F10">
        <w:rPr>
          <w:rFonts w:asciiTheme="minorHAnsi" w:eastAsia="SimSun" w:hAnsiTheme="minorHAnsi" w:cstheme="minorBidi"/>
          <w:b/>
          <w:szCs w:val="24"/>
        </w:rPr>
        <w:t>2.</w:t>
      </w:r>
      <w:r w:rsidRPr="00836231">
        <w:rPr>
          <w:rFonts w:asciiTheme="minorHAnsi" w:eastAsia="SimSun" w:hAnsiTheme="minorHAnsi" w:cstheme="minorBidi"/>
          <w:b/>
          <w:szCs w:val="24"/>
        </w:rPr>
        <w:t>7</w:t>
      </w:r>
      <w:r w:rsidRPr="00945F10">
        <w:rPr>
          <w:rFonts w:asciiTheme="minorHAnsi" w:eastAsia="SimSun" w:hAnsiTheme="minorHAnsi" w:cstheme="minorBidi"/>
          <w:b/>
          <w:szCs w:val="24"/>
        </w:rPr>
        <w:tab/>
        <w:t>ITU-T Focus Groups:</w:t>
      </w:r>
      <w:r w:rsidRPr="00945F10">
        <w:rPr>
          <w:rFonts w:asciiTheme="minorHAnsi" w:eastAsia="SimSun" w:hAnsiTheme="minorHAnsi" w:cstheme="minorBidi"/>
          <w:bCs/>
          <w:szCs w:val="24"/>
        </w:rPr>
        <w:t xml:space="preserve"> The </w:t>
      </w:r>
      <w:hyperlink r:id="rId44" w:history="1">
        <w:r w:rsidRPr="00945F10">
          <w:rPr>
            <w:rFonts w:eastAsia="Calibri" w:cs="Calibri"/>
            <w:color w:val="0563C1"/>
            <w:szCs w:val="24"/>
            <w:u w:val="single"/>
          </w:rPr>
          <w:t>Focus Group on costing models for affordable data services (FG-CD)</w:t>
        </w:r>
      </w:hyperlink>
      <w:r w:rsidRPr="00945F10">
        <w:rPr>
          <w:szCs w:val="24"/>
        </w:rPr>
        <w:t xml:space="preserve"> completed its work on 1 October 2025. </w:t>
      </w:r>
      <w:r w:rsidRPr="00945F10">
        <w:rPr>
          <w:rFonts w:asciiTheme="minorHAnsi" w:eastAsia="SimSun" w:hAnsiTheme="minorHAnsi" w:cstheme="minorBidi"/>
          <w:szCs w:val="24"/>
        </w:rPr>
        <w:t xml:space="preserve">As of October 2025, two ITU-T Focus Group are in operation: </w:t>
      </w:r>
      <w:r w:rsidRPr="00945F10">
        <w:rPr>
          <w:szCs w:val="24"/>
        </w:rPr>
        <w:t xml:space="preserve"> </w:t>
      </w:r>
      <w:hyperlink r:id="rId45" w:history="1">
        <w:r w:rsidRPr="00945F10">
          <w:rPr>
            <w:color w:val="4F81BD" w:themeColor="accent1"/>
            <w:szCs w:val="24"/>
            <w:u w:val="single"/>
          </w:rPr>
          <w:t>Focus Group on Artificial Intelligence Native for Telecommunication Networks (FG AINN)</w:t>
        </w:r>
      </w:hyperlink>
      <w:r w:rsidRPr="00945F10">
        <w:rPr>
          <w:szCs w:val="24"/>
        </w:rPr>
        <w:t xml:space="preserve"> and </w:t>
      </w:r>
      <w:hyperlink r:id="rId46" w:history="1">
        <w:r w:rsidRPr="00945F10">
          <w:rPr>
            <w:color w:val="4F81BD" w:themeColor="accent1"/>
            <w:szCs w:val="24"/>
            <w:u w:val="single"/>
          </w:rPr>
          <w:t>Focus Group on Embodied AI for Multimedia Technologies (FG EAI)</w:t>
        </w:r>
      </w:hyperlink>
      <w:r w:rsidRPr="00945F10">
        <w:rPr>
          <w:rFonts w:asciiTheme="minorHAnsi" w:eastAsia="SimSun" w:hAnsiTheme="minorHAnsi" w:cstheme="minorBidi"/>
          <w:szCs w:val="24"/>
        </w:rPr>
        <w:t>.</w:t>
      </w:r>
      <w:r w:rsidRPr="00836231">
        <w:rPr>
          <w:rFonts w:asciiTheme="minorHAnsi" w:eastAsia="SimSun" w:hAnsiTheme="minorHAnsi" w:cstheme="minorBidi"/>
          <w:szCs w:val="24"/>
        </w:rPr>
        <w:t xml:space="preserve"> </w:t>
      </w:r>
      <w:r w:rsidRPr="00945F10">
        <w:rPr>
          <w:rFonts w:asciiTheme="minorHAnsi" w:eastAsia="SimSun" w:hAnsiTheme="minorHAnsi" w:cstheme="minorBidi"/>
          <w:bCs/>
          <w:szCs w:val="24"/>
        </w:rPr>
        <w:t xml:space="preserve">Work also continues from the concluded </w:t>
      </w:r>
      <w:hyperlink r:id="rId47" w:history="1">
        <w:r w:rsidRPr="00945F10">
          <w:rPr>
            <w:rFonts w:asciiTheme="minorHAnsi" w:eastAsia="SimSun" w:hAnsiTheme="minorHAnsi" w:cstheme="minorBidi"/>
            <w:bCs/>
            <w:color w:val="4F81BD" w:themeColor="accent1"/>
            <w:szCs w:val="24"/>
            <w:u w:val="single"/>
          </w:rPr>
          <w:t>ITU/WMO/UNEP Focus Group on AI for Natural Disaster Management (FG-AI4NDM)</w:t>
        </w:r>
      </w:hyperlink>
      <w:r w:rsidRPr="00945F10">
        <w:rPr>
          <w:rFonts w:asciiTheme="minorHAnsi" w:eastAsia="SimSun" w:hAnsiTheme="minorHAnsi" w:cstheme="minorBidi"/>
          <w:bCs/>
          <w:szCs w:val="24"/>
        </w:rPr>
        <w:t xml:space="preserve"> and </w:t>
      </w:r>
      <w:hyperlink r:id="rId48" w:history="1">
        <w:r w:rsidRPr="00945F10">
          <w:rPr>
            <w:rFonts w:asciiTheme="minorHAnsi" w:eastAsia="SimSun" w:hAnsiTheme="minorHAnsi" w:cstheme="minorBidi"/>
            <w:bCs/>
            <w:color w:val="4F81BD" w:themeColor="accent1"/>
            <w:szCs w:val="24"/>
            <w:u w:val="single"/>
          </w:rPr>
          <w:t xml:space="preserve">ITU/FAO Focus Group on Artificial Intelligence (AI) </w:t>
        </w:r>
        <w:r w:rsidRPr="00945F10">
          <w:rPr>
            <w:rFonts w:asciiTheme="minorHAnsi" w:eastAsia="SimSun" w:hAnsiTheme="minorHAnsi" w:cstheme="minorBidi"/>
            <w:bCs/>
            <w:color w:val="4F81BD" w:themeColor="accent1"/>
            <w:szCs w:val="24"/>
            <w:u w:val="single"/>
          </w:rPr>
          <w:lastRenderedPageBreak/>
          <w:t>and Internet of Things (IoT) for Digital Agriculture (FG-AI4A)</w:t>
        </w:r>
      </w:hyperlink>
      <w:r w:rsidRPr="00945F10">
        <w:rPr>
          <w:szCs w:val="24"/>
        </w:rPr>
        <w:t xml:space="preserve"> </w:t>
      </w:r>
      <w:r w:rsidRPr="00945F10">
        <w:rPr>
          <w:rFonts w:asciiTheme="minorHAnsi" w:eastAsia="SimSun" w:hAnsiTheme="minorHAnsi" w:cstheme="minorBidi"/>
          <w:bCs/>
          <w:szCs w:val="24"/>
        </w:rPr>
        <w:t xml:space="preserve">through the </w:t>
      </w:r>
      <w:hyperlink r:id="rId49" w:history="1">
        <w:r w:rsidRPr="00945F10">
          <w:rPr>
            <w:rFonts w:asciiTheme="minorHAnsi" w:eastAsia="SimSun" w:hAnsiTheme="minorHAnsi" w:cstheme="minorBidi"/>
            <w:bCs/>
            <w:color w:val="4F81BD" w:themeColor="accent1"/>
            <w:szCs w:val="24"/>
            <w:u w:val="single"/>
          </w:rPr>
          <w:t>Global Initiative on Resilience to Natural Hazards through AI Solutions</w:t>
        </w:r>
      </w:hyperlink>
      <w:r w:rsidRPr="00945F10">
        <w:rPr>
          <w:rFonts w:asciiTheme="minorHAnsi" w:eastAsia="SimSun" w:hAnsiTheme="minorHAnsi" w:cstheme="minorBidi"/>
          <w:bCs/>
          <w:szCs w:val="24"/>
        </w:rPr>
        <w:t xml:space="preserve"> (coordinated by ITU, UNEP, WMO, UPU, UNESCO and UNFCCC) and </w:t>
      </w:r>
      <w:r w:rsidRPr="00945F10">
        <w:rPr>
          <w:szCs w:val="24"/>
        </w:rPr>
        <w:t xml:space="preserve">the </w:t>
      </w:r>
      <w:hyperlink r:id="rId50" w:history="1">
        <w:r w:rsidRPr="00945F10">
          <w:rPr>
            <w:color w:val="4F81BD" w:themeColor="accent1"/>
            <w:szCs w:val="24"/>
            <w:u w:val="single"/>
          </w:rPr>
          <w:t>Global Initiative on AI for Food Systems</w:t>
        </w:r>
      </w:hyperlink>
      <w:r w:rsidRPr="00945F10">
        <w:rPr>
          <w:szCs w:val="24"/>
        </w:rPr>
        <w:t xml:space="preserve"> (coordinated with FAO, WFP and IFAD), respectively.</w:t>
      </w:r>
    </w:p>
    <w:p w14:paraId="239E60E5" w14:textId="6847096E" w:rsidR="00945F10" w:rsidRPr="00945F10" w:rsidRDefault="00945F10" w:rsidP="00924AD5">
      <w:pPr>
        <w:jc w:val="both"/>
        <w:rPr>
          <w:rFonts w:asciiTheme="minorHAnsi" w:eastAsia="SimSun" w:hAnsiTheme="minorHAnsi" w:cstheme="minorBidi"/>
          <w:szCs w:val="24"/>
        </w:rPr>
      </w:pPr>
      <w:r w:rsidRPr="00945F10">
        <w:rPr>
          <w:rFonts w:asciiTheme="minorHAnsi" w:eastAsia="SimSun" w:hAnsiTheme="minorHAnsi" w:cstheme="minorBidi"/>
          <w:b/>
          <w:bCs/>
          <w:szCs w:val="24"/>
        </w:rPr>
        <w:t>2.</w:t>
      </w:r>
      <w:r w:rsidRPr="00836231">
        <w:rPr>
          <w:rFonts w:asciiTheme="minorHAnsi" w:eastAsia="SimSun" w:hAnsiTheme="minorHAnsi" w:cstheme="minorBidi"/>
          <w:b/>
          <w:bCs/>
          <w:szCs w:val="24"/>
        </w:rPr>
        <w:t>8</w:t>
      </w:r>
      <w:r w:rsidRPr="00945F10">
        <w:rPr>
          <w:rFonts w:eastAsia="SimSun"/>
          <w:szCs w:val="24"/>
        </w:rPr>
        <w:tab/>
      </w:r>
      <w:r w:rsidRPr="00945F10">
        <w:rPr>
          <w:rFonts w:asciiTheme="minorHAnsi" w:eastAsia="SimSun" w:hAnsiTheme="minorHAnsi" w:cstheme="minorBidi"/>
          <w:szCs w:val="24"/>
        </w:rPr>
        <w:t xml:space="preserve">In the reporting period, TSB has not received reports or information on concerning any incidents covered by </w:t>
      </w:r>
      <w:hyperlink r:id="rId51">
        <w:r w:rsidRPr="00945F10">
          <w:rPr>
            <w:rFonts w:asciiTheme="minorHAnsi" w:eastAsia="SimSun" w:hAnsiTheme="minorHAnsi" w:cstheme="minorBidi"/>
            <w:color w:val="0563C1"/>
            <w:szCs w:val="24"/>
            <w:u w:val="single"/>
          </w:rPr>
          <w:t>WTSA Resolution 69</w:t>
        </w:r>
      </w:hyperlink>
      <w:r w:rsidRPr="00945F10">
        <w:rPr>
          <w:rFonts w:asciiTheme="minorHAnsi" w:eastAsia="SimSun" w:hAnsiTheme="minorHAnsi" w:cstheme="minorBidi"/>
          <w:szCs w:val="24"/>
        </w:rPr>
        <w:t xml:space="preserve"> on </w:t>
      </w:r>
      <w:r w:rsidR="000D4AF5">
        <w:rPr>
          <w:rFonts w:asciiTheme="minorHAnsi" w:eastAsia="SimSun" w:hAnsiTheme="minorHAnsi" w:cstheme="minorBidi"/>
          <w:szCs w:val="24"/>
        </w:rPr>
        <w:t>n</w:t>
      </w:r>
      <w:r w:rsidRPr="00945F10">
        <w:rPr>
          <w:rFonts w:asciiTheme="minorHAnsi" w:eastAsia="SimSun" w:hAnsiTheme="minorHAnsi" w:cstheme="minorBidi"/>
          <w:szCs w:val="24"/>
        </w:rPr>
        <w:t xml:space="preserve">on-discriminatory access and use of Internet resources (so far, there have been </w:t>
      </w:r>
      <w:hyperlink r:id="rId52">
        <w:r w:rsidRPr="00945F10">
          <w:rPr>
            <w:rFonts w:asciiTheme="minorHAnsi" w:eastAsia="SimSun" w:hAnsiTheme="minorHAnsi" w:cstheme="minorBidi"/>
            <w:color w:val="0563C1"/>
            <w:szCs w:val="24"/>
            <w:u w:val="single"/>
          </w:rPr>
          <w:t>37 incidents since 2009</w:t>
        </w:r>
      </w:hyperlink>
      <w:r w:rsidRPr="00945F10">
        <w:rPr>
          <w:rFonts w:asciiTheme="minorHAnsi" w:eastAsia="SimSun" w:hAnsiTheme="minorHAnsi" w:cstheme="minorBidi"/>
          <w:szCs w:val="24"/>
        </w:rPr>
        <w:t>).</w:t>
      </w:r>
    </w:p>
    <w:p w14:paraId="0DF7F408" w14:textId="4E92F553" w:rsidR="00945F10" w:rsidRPr="00945F10" w:rsidRDefault="00945F10" w:rsidP="00924AD5">
      <w:pPr>
        <w:jc w:val="both"/>
        <w:rPr>
          <w:rFonts w:asciiTheme="minorHAnsi" w:eastAsia="SimSun" w:hAnsiTheme="minorHAnsi" w:cstheme="minorBidi"/>
          <w:szCs w:val="24"/>
        </w:rPr>
      </w:pPr>
      <w:bookmarkStart w:id="21" w:name="a353677d2-7347-4cd3-8301-15d8ee365aeb"/>
      <w:bookmarkStart w:id="22" w:name="_Hlk500492095"/>
      <w:bookmarkEnd w:id="21"/>
      <w:r w:rsidRPr="00945F10">
        <w:rPr>
          <w:rFonts w:asciiTheme="minorHAnsi" w:eastAsia="SimSun" w:hAnsiTheme="minorHAnsi" w:cstheme="minorBidi"/>
          <w:b/>
          <w:bCs/>
          <w:szCs w:val="24"/>
        </w:rPr>
        <w:t>2.</w:t>
      </w:r>
      <w:r w:rsidRPr="00836231">
        <w:rPr>
          <w:rFonts w:asciiTheme="minorHAnsi" w:eastAsia="SimSun" w:hAnsiTheme="minorHAnsi" w:cstheme="minorBidi"/>
          <w:b/>
          <w:bCs/>
          <w:szCs w:val="24"/>
        </w:rPr>
        <w:t>9</w:t>
      </w:r>
      <w:r w:rsidRPr="00945F10">
        <w:rPr>
          <w:rFonts w:eastAsia="SimSun"/>
          <w:szCs w:val="24"/>
        </w:rPr>
        <w:tab/>
      </w:r>
      <w:r w:rsidRPr="00945F10">
        <w:rPr>
          <w:rFonts w:asciiTheme="minorHAnsi" w:eastAsia="SimSun" w:hAnsiTheme="minorHAnsi" w:cstheme="minorBidi"/>
          <w:szCs w:val="24"/>
        </w:rPr>
        <w:t>ITU-D SG1 and SG2 continue their work on IP-related issues</w:t>
      </w:r>
      <w:r w:rsidRPr="00945F10">
        <w:rPr>
          <w:rFonts w:asciiTheme="minorHAnsi" w:hAnsiTheme="minorHAnsi" w:cstheme="minorBidi"/>
          <w:szCs w:val="24"/>
        </w:rPr>
        <w:t xml:space="preserve"> and continue to organize sessions on IP broadband satellite connectivity, digital broadcasting, including hybrid technical </w:t>
      </w:r>
      <w:r w:rsidRPr="00945F10">
        <w:rPr>
          <w:szCs w:val="24"/>
          <w:bdr w:val="none" w:sz="0" w:space="0" w:color="auto" w:frame="1"/>
          <w:shd w:val="clear" w:color="auto" w:fill="FFFFFF"/>
        </w:rPr>
        <w:t>solutions</w:t>
      </w:r>
      <w:r w:rsidRPr="00945F10">
        <w:rPr>
          <w:rFonts w:asciiTheme="minorHAnsi" w:hAnsiTheme="minorHAnsi" w:cstheme="minorBidi"/>
          <w:szCs w:val="24"/>
        </w:rPr>
        <w:t xml:space="preserve">. Details can be found at: </w:t>
      </w:r>
      <w:hyperlink r:id="rId53" w:history="1">
        <w:r w:rsidRPr="00945F10">
          <w:rPr>
            <w:rFonts w:asciiTheme="minorHAnsi" w:hAnsiTheme="minorHAnsi" w:cstheme="minorBidi"/>
            <w:color w:val="4F81BD" w:themeColor="accent1"/>
            <w:szCs w:val="24"/>
            <w:u w:val="single"/>
          </w:rPr>
          <w:t>ITU Development Study Groups</w:t>
        </w:r>
      </w:hyperlink>
      <w:r w:rsidRPr="00945F10">
        <w:rPr>
          <w:rFonts w:asciiTheme="minorHAnsi" w:eastAsia="SimSun" w:hAnsiTheme="minorHAnsi" w:cstheme="minorBidi"/>
          <w:szCs w:val="24"/>
        </w:rPr>
        <w:t xml:space="preserve">. </w:t>
      </w:r>
    </w:p>
    <w:bookmarkEnd w:id="22"/>
    <w:p w14:paraId="7C598B47" w14:textId="5C8B2637" w:rsidR="00945F10" w:rsidRPr="00945F10" w:rsidRDefault="00945F10" w:rsidP="00924AD5">
      <w:pPr>
        <w:jc w:val="both"/>
        <w:rPr>
          <w:rFonts w:eastAsia="SimSun"/>
          <w:szCs w:val="24"/>
        </w:rPr>
      </w:pPr>
      <w:r w:rsidRPr="00945F10">
        <w:rPr>
          <w:rFonts w:eastAsia="SimSun"/>
          <w:b/>
          <w:bCs/>
          <w:szCs w:val="24"/>
        </w:rPr>
        <w:t>2.</w:t>
      </w:r>
      <w:r w:rsidRPr="00836231">
        <w:rPr>
          <w:rFonts w:eastAsia="SimSun"/>
          <w:b/>
          <w:bCs/>
          <w:szCs w:val="24"/>
        </w:rPr>
        <w:t>10</w:t>
      </w:r>
      <w:r w:rsidRPr="00945F10">
        <w:rPr>
          <w:rFonts w:eastAsia="SimSun"/>
          <w:szCs w:val="24"/>
        </w:rPr>
        <w:tab/>
        <w:t xml:space="preserve">BDT delivered joint workshop with ITU-T SG15 during WSIS forum about challenges and solution for adoption of IP broadband. </w:t>
      </w:r>
      <w:r w:rsidRPr="00945F10">
        <w:rPr>
          <w:rFonts w:asciiTheme="minorHAnsi" w:eastAsia="SimSun" w:hAnsiTheme="minorHAnsi" w:cstheme="minorBidi"/>
          <w:szCs w:val="24"/>
        </w:rPr>
        <w:t>Other initiatives related to this subject are also ongoing, such as GIGA and Partner2Connect. More information is available in Document</w:t>
      </w:r>
      <w:r w:rsidR="000D4AF5">
        <w:rPr>
          <w:rFonts w:asciiTheme="minorHAnsi" w:eastAsia="SimSun" w:hAnsiTheme="minorHAnsi" w:cstheme="minorBidi"/>
          <w:szCs w:val="24"/>
        </w:rPr>
        <w:t> </w:t>
      </w:r>
      <w:proofErr w:type="spellStart"/>
      <w:r>
        <w:fldChar w:fldCharType="begin"/>
      </w:r>
      <w:r>
        <w:instrText>HYPERLINK "https://www.itu.int/md/S25-CL-C-0035/en"</w:instrText>
      </w:r>
      <w:r>
        <w:fldChar w:fldCharType="separate"/>
      </w:r>
      <w:r w:rsidRPr="00945F10">
        <w:rPr>
          <w:rFonts w:asciiTheme="minorHAnsi" w:eastAsia="SimSun" w:hAnsiTheme="minorHAnsi" w:cstheme="minorBidi"/>
          <w:color w:val="4F81BD" w:themeColor="accent1"/>
          <w:szCs w:val="24"/>
          <w:u w:val="single"/>
        </w:rPr>
        <w:t>C25</w:t>
      </w:r>
      <w:proofErr w:type="spellEnd"/>
      <w:r w:rsidRPr="00945F10">
        <w:rPr>
          <w:rFonts w:asciiTheme="minorHAnsi" w:eastAsia="SimSun" w:hAnsiTheme="minorHAnsi" w:cstheme="minorBidi"/>
          <w:color w:val="4F81BD" w:themeColor="accent1"/>
          <w:szCs w:val="24"/>
          <w:u w:val="single"/>
        </w:rPr>
        <w:t>/35</w:t>
      </w:r>
      <w:r>
        <w:fldChar w:fldCharType="end"/>
      </w:r>
      <w:r w:rsidRPr="00945F10">
        <w:rPr>
          <w:rFonts w:asciiTheme="minorHAnsi" w:eastAsia="SimSun" w:hAnsiTheme="minorHAnsi" w:cstheme="minorBidi"/>
          <w:szCs w:val="24"/>
        </w:rPr>
        <w:t>.</w:t>
      </w:r>
    </w:p>
    <w:p w14:paraId="124121BA" w14:textId="458907EB" w:rsidR="00945F10" w:rsidRPr="00945F10" w:rsidRDefault="00945F10" w:rsidP="00924AD5">
      <w:pPr>
        <w:jc w:val="both"/>
        <w:rPr>
          <w:rFonts w:asciiTheme="minorHAnsi" w:eastAsia="SimSun" w:hAnsiTheme="minorHAnsi" w:cstheme="minorBidi"/>
          <w:szCs w:val="24"/>
        </w:rPr>
      </w:pPr>
      <w:r w:rsidRPr="00945F10">
        <w:rPr>
          <w:rFonts w:asciiTheme="minorHAnsi" w:eastAsia="SimSun" w:hAnsiTheme="minorHAnsi" w:cstheme="minorBidi"/>
          <w:b/>
          <w:bCs/>
          <w:szCs w:val="24"/>
        </w:rPr>
        <w:t>2.</w:t>
      </w:r>
      <w:r w:rsidRPr="00945F10">
        <w:rPr>
          <w:rFonts w:asciiTheme="minorHAnsi" w:eastAsia="SimSun" w:hAnsiTheme="minorHAnsi" w:cstheme="minorBidi" w:hint="eastAsia"/>
          <w:b/>
          <w:bCs/>
          <w:szCs w:val="24"/>
          <w:lang w:eastAsia="zh-CN"/>
        </w:rPr>
        <w:t>1</w:t>
      </w:r>
      <w:r w:rsidRPr="00836231">
        <w:rPr>
          <w:rFonts w:asciiTheme="minorHAnsi" w:eastAsia="SimSun" w:hAnsiTheme="minorHAnsi" w:cstheme="minorBidi"/>
          <w:b/>
          <w:bCs/>
          <w:szCs w:val="24"/>
          <w:lang w:eastAsia="zh-CN"/>
        </w:rPr>
        <w:t>1</w:t>
      </w:r>
      <w:r w:rsidRPr="00945F10">
        <w:rPr>
          <w:rFonts w:eastAsia="SimSun"/>
          <w:szCs w:val="24"/>
        </w:rPr>
        <w:tab/>
      </w:r>
      <w:r w:rsidRPr="00945F10">
        <w:rPr>
          <w:rFonts w:asciiTheme="minorHAnsi" w:eastAsia="SimSun" w:hAnsiTheme="minorHAnsi" w:cstheme="minorBidi"/>
          <w:szCs w:val="24"/>
        </w:rPr>
        <w:t xml:space="preserve">ITU-R approved Recommendation ITU-R </w:t>
      </w:r>
      <w:proofErr w:type="spellStart"/>
      <w:r w:rsidRPr="00945F10">
        <w:rPr>
          <w:rFonts w:asciiTheme="minorHAnsi" w:eastAsia="SimSun" w:hAnsiTheme="minorHAnsi" w:cstheme="minorBidi"/>
          <w:szCs w:val="24"/>
        </w:rPr>
        <w:t>M.2083</w:t>
      </w:r>
      <w:proofErr w:type="spellEnd"/>
      <w:r w:rsidRPr="00945F10">
        <w:rPr>
          <w:rFonts w:asciiTheme="minorHAnsi" w:eastAsia="SimSun" w:hAnsiTheme="minorHAnsi" w:cstheme="minorBidi"/>
          <w:szCs w:val="24"/>
        </w:rPr>
        <w:t xml:space="preserve">-0 </w:t>
      </w:r>
      <w:r w:rsidR="000D4AF5">
        <w:rPr>
          <w:rFonts w:asciiTheme="minorHAnsi" w:eastAsia="SimSun" w:hAnsiTheme="minorHAnsi" w:cstheme="minorBidi"/>
          <w:szCs w:val="24"/>
        </w:rPr>
        <w:t xml:space="preserve">on </w:t>
      </w:r>
      <w:r w:rsidRPr="00945F10">
        <w:rPr>
          <w:rFonts w:asciiTheme="minorHAnsi" w:eastAsia="SimSun" w:hAnsiTheme="minorHAnsi" w:cstheme="minorBidi"/>
          <w:szCs w:val="24"/>
        </w:rPr>
        <w:t>IMT Vision – Framework and overall objectives of the future development of IMT for 2020 and beyond</w:t>
      </w:r>
      <w:r w:rsidR="000D4AF5">
        <w:rPr>
          <w:rFonts w:asciiTheme="minorHAnsi" w:eastAsia="SimSun" w:hAnsiTheme="minorHAnsi" w:cstheme="minorBidi"/>
          <w:szCs w:val="24"/>
        </w:rPr>
        <w:t>,</w:t>
      </w:r>
      <w:r w:rsidRPr="00945F10">
        <w:rPr>
          <w:rFonts w:asciiTheme="minorHAnsi" w:eastAsia="SimSun" w:hAnsiTheme="minorHAnsi" w:cstheme="minorBidi"/>
          <w:szCs w:val="24"/>
        </w:rPr>
        <w:t xml:space="preserve"> Resolution ITU-R 65 </w:t>
      </w:r>
      <w:r w:rsidR="000D4AF5">
        <w:rPr>
          <w:rFonts w:asciiTheme="minorHAnsi" w:eastAsia="SimSun" w:hAnsiTheme="minorHAnsi" w:cstheme="minorBidi"/>
          <w:szCs w:val="24"/>
        </w:rPr>
        <w:t>on p</w:t>
      </w:r>
      <w:r w:rsidRPr="00945F10">
        <w:rPr>
          <w:rFonts w:asciiTheme="minorHAnsi" w:eastAsia="SimSun" w:hAnsiTheme="minorHAnsi" w:cstheme="minorBidi"/>
          <w:szCs w:val="24"/>
        </w:rPr>
        <w:t xml:space="preserve">rinciples for the process of future development of IMT for 2020 and beyond and </w:t>
      </w:r>
      <w:r w:rsidR="000D4AF5">
        <w:rPr>
          <w:rFonts w:asciiTheme="minorHAnsi" w:eastAsia="SimSun" w:hAnsiTheme="minorHAnsi" w:cstheme="minorBidi"/>
          <w:szCs w:val="24"/>
        </w:rPr>
        <w:t xml:space="preserve">Resolution </w:t>
      </w:r>
      <w:r w:rsidRPr="00945F10">
        <w:rPr>
          <w:rFonts w:asciiTheme="minorHAnsi" w:eastAsia="SimSun" w:hAnsiTheme="minorHAnsi" w:cstheme="minorBidi"/>
          <w:szCs w:val="24"/>
        </w:rPr>
        <w:t xml:space="preserve">ITU-R 66 </w:t>
      </w:r>
      <w:r w:rsidR="000D4AF5">
        <w:rPr>
          <w:rFonts w:asciiTheme="minorHAnsi" w:eastAsia="SimSun" w:hAnsiTheme="minorHAnsi" w:cstheme="minorBidi"/>
          <w:szCs w:val="24"/>
        </w:rPr>
        <w:t>on s</w:t>
      </w:r>
      <w:r w:rsidRPr="00945F10">
        <w:rPr>
          <w:rFonts w:asciiTheme="minorHAnsi" w:eastAsia="SimSun" w:hAnsiTheme="minorHAnsi" w:cstheme="minorBidi"/>
          <w:szCs w:val="24"/>
        </w:rPr>
        <w:t xml:space="preserve">tudies related to wireless systems and applications for the development of the Internet of Things, and Report ITU-R </w:t>
      </w:r>
      <w:proofErr w:type="spellStart"/>
      <w:r w:rsidRPr="00945F10">
        <w:rPr>
          <w:rFonts w:asciiTheme="minorHAnsi" w:eastAsia="SimSun" w:hAnsiTheme="minorHAnsi" w:cstheme="minorBidi"/>
          <w:szCs w:val="24"/>
        </w:rPr>
        <w:t>M.2440</w:t>
      </w:r>
      <w:proofErr w:type="spellEnd"/>
      <w:r w:rsidRPr="00945F10">
        <w:rPr>
          <w:rFonts w:asciiTheme="minorHAnsi" w:eastAsia="SimSun" w:hAnsiTheme="minorHAnsi" w:cstheme="minorBidi"/>
          <w:szCs w:val="24"/>
        </w:rPr>
        <w:t xml:space="preserve">-0 </w:t>
      </w:r>
      <w:r w:rsidR="00C84727">
        <w:rPr>
          <w:rFonts w:asciiTheme="minorHAnsi" w:eastAsia="SimSun" w:hAnsiTheme="minorHAnsi" w:cstheme="minorBidi"/>
          <w:szCs w:val="24"/>
        </w:rPr>
        <w:t>on t</w:t>
      </w:r>
      <w:r w:rsidRPr="00945F10">
        <w:rPr>
          <w:rFonts w:asciiTheme="minorHAnsi" w:eastAsia="SimSun" w:hAnsiTheme="minorHAnsi" w:cstheme="minorBidi"/>
          <w:szCs w:val="24"/>
        </w:rPr>
        <w:t>he use of the terrestrial component of International Mobile Telecommunications for narrowband and broadband machine-type communications.</w:t>
      </w:r>
    </w:p>
    <w:p w14:paraId="67B784A8" w14:textId="117A64BE" w:rsidR="00945F10" w:rsidRPr="00945F10" w:rsidRDefault="00945F10" w:rsidP="00924AD5">
      <w:pPr>
        <w:jc w:val="both"/>
        <w:rPr>
          <w:rFonts w:asciiTheme="minorHAnsi" w:eastAsia="SimSun" w:hAnsiTheme="minorHAnsi" w:cstheme="minorBidi"/>
        </w:rPr>
      </w:pPr>
      <w:r w:rsidRPr="588CE184">
        <w:rPr>
          <w:rFonts w:asciiTheme="minorHAnsi" w:eastAsia="SimSun" w:hAnsiTheme="minorHAnsi" w:cstheme="minorBidi"/>
          <w:b/>
          <w:bCs/>
        </w:rPr>
        <w:t>2.</w:t>
      </w:r>
      <w:r w:rsidRPr="588CE184">
        <w:rPr>
          <w:rFonts w:asciiTheme="minorHAnsi" w:eastAsia="SimSun" w:hAnsiTheme="minorHAnsi" w:cstheme="minorBidi"/>
          <w:b/>
          <w:bCs/>
          <w:lang w:eastAsia="zh-CN"/>
        </w:rPr>
        <w:t>12</w:t>
      </w:r>
      <w:r>
        <w:tab/>
      </w:r>
      <w:r w:rsidRPr="588CE184">
        <w:rPr>
          <w:rFonts w:asciiTheme="minorHAnsi" w:eastAsia="SimSun" w:hAnsiTheme="minorHAnsi" w:cstheme="minorBidi"/>
        </w:rPr>
        <w:t xml:space="preserve">Several training courses were provided through the </w:t>
      </w:r>
      <w:hyperlink r:id="rId54">
        <w:r w:rsidRPr="588CE184">
          <w:rPr>
            <w:rFonts w:asciiTheme="minorHAnsi" w:eastAsia="SimSun" w:hAnsiTheme="minorHAnsi" w:cstheme="minorBidi"/>
            <w:color w:val="0563C1"/>
            <w:u w:val="single"/>
          </w:rPr>
          <w:t>ITU Academy</w:t>
        </w:r>
      </w:hyperlink>
      <w:r w:rsidRPr="588CE184">
        <w:rPr>
          <w:rFonts w:asciiTheme="minorHAnsi" w:eastAsia="SimSun" w:hAnsiTheme="minorHAnsi" w:cstheme="minorBidi"/>
        </w:rPr>
        <w:t xml:space="preserve"> and the</w:t>
      </w:r>
      <w:hyperlink r:id="rId55">
        <w:r w:rsidRPr="588CE184">
          <w:rPr>
            <w:rFonts w:asciiTheme="minorHAnsi" w:eastAsia="SimSun" w:hAnsiTheme="minorHAnsi" w:cstheme="minorBidi"/>
            <w:color w:val="4F81BD" w:themeColor="accent1"/>
            <w:u w:val="single"/>
          </w:rPr>
          <w:t xml:space="preserve"> ITU Academy Training Centres</w:t>
        </w:r>
      </w:hyperlink>
      <w:r w:rsidRPr="588CE184">
        <w:rPr>
          <w:rFonts w:asciiTheme="minorHAnsi" w:eastAsia="SimSun" w:hAnsiTheme="minorHAnsi" w:cstheme="minorBidi"/>
        </w:rPr>
        <w:t xml:space="preserve">, covering topics such as </w:t>
      </w:r>
      <w:r w:rsidR="00691DCE" w:rsidRPr="588CE184">
        <w:rPr>
          <w:rFonts w:asciiTheme="minorHAnsi" w:eastAsia="SimSun" w:hAnsiTheme="minorHAnsi" w:cstheme="minorBidi"/>
        </w:rPr>
        <w:t>“</w:t>
      </w:r>
      <w:r w:rsidRPr="588CE184">
        <w:rPr>
          <w:rFonts w:asciiTheme="minorHAnsi" w:eastAsia="SimSun" w:hAnsiTheme="minorHAnsi" w:cstheme="minorBidi"/>
        </w:rPr>
        <w:t>Wireless Access Technologies to Internet Network</w:t>
      </w:r>
      <w:r w:rsidR="00691DCE" w:rsidRPr="588CE184">
        <w:rPr>
          <w:rFonts w:asciiTheme="minorHAnsi" w:eastAsia="SimSun" w:hAnsiTheme="minorHAnsi" w:cstheme="minorBidi"/>
        </w:rPr>
        <w:t>”</w:t>
      </w:r>
      <w:r w:rsidRPr="588CE184">
        <w:rPr>
          <w:rFonts w:asciiTheme="minorHAnsi" w:eastAsia="SimSun" w:hAnsiTheme="minorHAnsi" w:cstheme="minorBidi"/>
        </w:rPr>
        <w:t xml:space="preserve">, </w:t>
      </w:r>
      <w:r w:rsidR="00691DCE" w:rsidRPr="588CE184">
        <w:rPr>
          <w:rFonts w:asciiTheme="minorHAnsi" w:eastAsia="SimSun" w:hAnsiTheme="minorHAnsi" w:cstheme="minorBidi"/>
        </w:rPr>
        <w:t>“</w:t>
      </w:r>
      <w:r w:rsidRPr="588CE184">
        <w:rPr>
          <w:rFonts w:asciiTheme="minorHAnsi" w:eastAsia="SimSun" w:hAnsiTheme="minorHAnsi" w:cstheme="minorBidi"/>
        </w:rPr>
        <w:t>Future fixed and mobile broadband internet, cloud computing and IoT/AI</w:t>
      </w:r>
      <w:r w:rsidR="00691DCE" w:rsidRPr="588CE184">
        <w:rPr>
          <w:rFonts w:asciiTheme="minorHAnsi" w:eastAsia="SimSun" w:hAnsiTheme="minorHAnsi" w:cstheme="minorBidi"/>
        </w:rPr>
        <w:t>”</w:t>
      </w:r>
      <w:r w:rsidRPr="588CE184">
        <w:rPr>
          <w:rFonts w:asciiTheme="minorHAnsi" w:eastAsia="SimSun" w:hAnsiTheme="minorHAnsi" w:cstheme="minorBidi"/>
        </w:rPr>
        <w:t xml:space="preserve">, </w:t>
      </w:r>
      <w:r w:rsidR="00691DCE" w:rsidRPr="588CE184">
        <w:rPr>
          <w:rFonts w:asciiTheme="minorHAnsi" w:eastAsia="SimSun" w:hAnsiTheme="minorHAnsi" w:cstheme="minorBidi"/>
        </w:rPr>
        <w:t>“</w:t>
      </w:r>
      <w:r w:rsidRPr="588CE184">
        <w:rPr>
          <w:rFonts w:asciiTheme="minorHAnsi" w:eastAsia="SimSun" w:hAnsiTheme="minorHAnsi" w:cstheme="minorBidi"/>
        </w:rPr>
        <w:t>Technical, business and regulatory aspects of Artificial Intelligence and Metaverse for future Internet and telecoms</w:t>
      </w:r>
      <w:r w:rsidR="00691DCE" w:rsidRPr="588CE184">
        <w:rPr>
          <w:rFonts w:asciiTheme="minorHAnsi" w:eastAsia="SimSun" w:hAnsiTheme="minorHAnsi" w:cstheme="minorBidi"/>
        </w:rPr>
        <w:t>”</w:t>
      </w:r>
      <w:r w:rsidRPr="588CE184">
        <w:rPr>
          <w:rFonts w:asciiTheme="minorHAnsi" w:eastAsia="SimSun" w:hAnsiTheme="minorHAnsi" w:cstheme="minorBidi"/>
        </w:rPr>
        <w:t xml:space="preserve">, </w:t>
      </w:r>
      <w:r w:rsidR="00691DCE" w:rsidRPr="588CE184">
        <w:rPr>
          <w:rFonts w:asciiTheme="minorHAnsi" w:eastAsia="SimSun" w:hAnsiTheme="minorHAnsi" w:cstheme="minorBidi"/>
        </w:rPr>
        <w:t>“</w:t>
      </w:r>
      <w:r w:rsidRPr="588CE184">
        <w:rPr>
          <w:rFonts w:asciiTheme="minorHAnsi" w:eastAsia="SimSun" w:hAnsiTheme="minorHAnsi" w:cstheme="minorBidi"/>
        </w:rPr>
        <w:t>Internet of Things</w:t>
      </w:r>
      <w:r w:rsidR="00691DCE" w:rsidRPr="588CE184">
        <w:rPr>
          <w:rFonts w:asciiTheme="minorHAnsi" w:eastAsia="SimSun" w:hAnsiTheme="minorHAnsi" w:cstheme="minorBidi"/>
        </w:rPr>
        <w:t>”</w:t>
      </w:r>
      <w:r w:rsidRPr="588CE184">
        <w:rPr>
          <w:rFonts w:asciiTheme="minorHAnsi" w:eastAsia="SimSun" w:hAnsiTheme="minorHAnsi" w:cstheme="minorBidi"/>
        </w:rPr>
        <w:t xml:space="preserve">, </w:t>
      </w:r>
      <w:r w:rsidR="00691DCE" w:rsidRPr="588CE184">
        <w:rPr>
          <w:rFonts w:asciiTheme="minorHAnsi" w:eastAsia="SimSun" w:hAnsiTheme="minorHAnsi" w:cstheme="minorBidi"/>
        </w:rPr>
        <w:t>“</w:t>
      </w:r>
      <w:r w:rsidRPr="588CE184">
        <w:rPr>
          <w:rFonts w:asciiTheme="minorHAnsi" w:eastAsia="SimSun" w:hAnsiTheme="minorHAnsi" w:cstheme="minorBidi"/>
        </w:rPr>
        <w:t>IoT essentials: architecture, applications, and security</w:t>
      </w:r>
      <w:r w:rsidR="00691DCE" w:rsidRPr="588CE184">
        <w:rPr>
          <w:rFonts w:asciiTheme="minorHAnsi" w:eastAsia="SimSun" w:hAnsiTheme="minorHAnsi" w:cstheme="minorBidi"/>
        </w:rPr>
        <w:t>”</w:t>
      </w:r>
      <w:r w:rsidRPr="588CE184">
        <w:rPr>
          <w:rFonts w:asciiTheme="minorHAnsi" w:eastAsia="SimSun" w:hAnsiTheme="minorHAnsi" w:cstheme="minorBidi"/>
        </w:rPr>
        <w:t xml:space="preserve">, </w:t>
      </w:r>
      <w:r w:rsidR="00691DCE" w:rsidRPr="588CE184">
        <w:rPr>
          <w:rFonts w:asciiTheme="minorHAnsi" w:eastAsia="SimSun" w:hAnsiTheme="minorHAnsi" w:cstheme="minorBidi"/>
        </w:rPr>
        <w:t>“</w:t>
      </w:r>
      <w:r w:rsidRPr="588CE184">
        <w:rPr>
          <w:rFonts w:asciiTheme="minorHAnsi" w:eastAsia="SimSun" w:hAnsiTheme="minorHAnsi" w:cstheme="minorBidi"/>
        </w:rPr>
        <w:t>Key aspects and Governance of Internet of Things, Big Data and Artificial Intelligence</w:t>
      </w:r>
      <w:r w:rsidR="00691DCE" w:rsidRPr="588CE184">
        <w:rPr>
          <w:rFonts w:asciiTheme="minorHAnsi" w:eastAsia="SimSun" w:hAnsiTheme="minorHAnsi" w:cstheme="minorBidi"/>
        </w:rPr>
        <w:t>”</w:t>
      </w:r>
      <w:r w:rsidRPr="588CE184">
        <w:rPr>
          <w:rFonts w:asciiTheme="minorHAnsi" w:eastAsia="SimSun" w:hAnsiTheme="minorHAnsi" w:cstheme="minorBidi"/>
        </w:rPr>
        <w:t xml:space="preserve">, </w:t>
      </w:r>
      <w:r w:rsidR="00691DCE" w:rsidRPr="588CE184">
        <w:rPr>
          <w:rFonts w:asciiTheme="minorHAnsi" w:eastAsia="SimSun" w:hAnsiTheme="minorHAnsi" w:cstheme="minorBidi"/>
        </w:rPr>
        <w:t>“</w:t>
      </w:r>
      <w:r w:rsidRPr="588CE184">
        <w:rPr>
          <w:rFonts w:asciiTheme="minorHAnsi" w:eastAsia="SimSun" w:hAnsiTheme="minorHAnsi" w:cstheme="minorBidi"/>
        </w:rPr>
        <w:t>Security and QoS in Internet Network</w:t>
      </w:r>
      <w:r w:rsidR="00691DCE" w:rsidRPr="588CE184">
        <w:rPr>
          <w:rFonts w:asciiTheme="minorHAnsi" w:eastAsia="SimSun" w:hAnsiTheme="minorHAnsi" w:cstheme="minorBidi"/>
        </w:rPr>
        <w:t>”</w:t>
      </w:r>
      <w:r w:rsidRPr="588CE184">
        <w:rPr>
          <w:rFonts w:asciiTheme="minorHAnsi" w:eastAsia="SimSun" w:hAnsiTheme="minorHAnsi" w:cstheme="minorBidi"/>
        </w:rPr>
        <w:t xml:space="preserve"> and </w:t>
      </w:r>
      <w:r w:rsidR="00691DCE" w:rsidRPr="588CE184">
        <w:rPr>
          <w:rFonts w:asciiTheme="minorHAnsi" w:eastAsia="SimSun" w:hAnsiTheme="minorHAnsi" w:cstheme="minorBidi"/>
        </w:rPr>
        <w:t>“</w:t>
      </w:r>
      <w:r w:rsidRPr="588CE184">
        <w:rPr>
          <w:rFonts w:asciiTheme="minorHAnsi" w:eastAsia="SimSun" w:hAnsiTheme="minorHAnsi" w:cstheme="minorBidi"/>
        </w:rPr>
        <w:t>Smart agriculture: leveraging IoT for agribusiness growth</w:t>
      </w:r>
      <w:r w:rsidR="00691DCE" w:rsidRPr="588CE184">
        <w:rPr>
          <w:rFonts w:asciiTheme="minorHAnsi" w:eastAsia="SimSun" w:hAnsiTheme="minorHAnsi" w:cstheme="minorBidi"/>
        </w:rPr>
        <w:t>”</w:t>
      </w:r>
      <w:r w:rsidRPr="588CE184">
        <w:rPr>
          <w:rFonts w:asciiTheme="minorHAnsi" w:eastAsia="SimSun" w:hAnsiTheme="minorHAnsi" w:cstheme="minorBidi"/>
        </w:rPr>
        <w:t>. For the reporting period (May 2025-February 2026), nearly 300 learners were enrolled in these courses, of which 139 received a certificate. In addition, also through the ITU Academy, IP Networks and IPv6 related training were provided in collaboration with Nic.br</w:t>
      </w:r>
      <w:r w:rsidR="00836231" w:rsidRPr="588CE184">
        <w:rPr>
          <w:rFonts w:asciiTheme="minorHAnsi" w:eastAsia="SimSun" w:hAnsiTheme="minorHAnsi" w:cstheme="minorBidi"/>
        </w:rPr>
        <w:t>.</w:t>
      </w:r>
    </w:p>
    <w:p w14:paraId="066901B1" w14:textId="0B8E87A3" w:rsidR="00945F10" w:rsidRPr="00945F10" w:rsidRDefault="00945F10" w:rsidP="00924AD5">
      <w:pPr>
        <w:jc w:val="both"/>
        <w:rPr>
          <w:rFonts w:asciiTheme="minorHAnsi" w:eastAsia="SimSun" w:hAnsiTheme="minorHAnsi" w:cstheme="minorBidi"/>
          <w:b/>
          <w:bCs/>
          <w:szCs w:val="24"/>
        </w:rPr>
      </w:pPr>
      <w:r w:rsidRPr="00945F10">
        <w:rPr>
          <w:rFonts w:asciiTheme="minorHAnsi" w:eastAsia="SimSun" w:hAnsiTheme="minorHAnsi" w:cstheme="minorBidi"/>
          <w:b/>
          <w:bCs/>
          <w:szCs w:val="24"/>
        </w:rPr>
        <w:t>2.1</w:t>
      </w:r>
      <w:r w:rsidRPr="00836231">
        <w:rPr>
          <w:rFonts w:asciiTheme="minorHAnsi" w:eastAsia="SimSun" w:hAnsiTheme="minorHAnsi" w:cstheme="minorBidi"/>
          <w:b/>
          <w:bCs/>
          <w:szCs w:val="24"/>
        </w:rPr>
        <w:t>3</w:t>
      </w:r>
      <w:r w:rsidRPr="00945F10">
        <w:rPr>
          <w:rFonts w:asciiTheme="minorHAnsi" w:eastAsia="SimSun" w:hAnsiTheme="minorHAnsi" w:cstheme="minorBidi"/>
          <w:b/>
          <w:bCs/>
          <w:szCs w:val="24"/>
        </w:rPr>
        <w:tab/>
      </w:r>
      <w:r w:rsidRPr="00945F10">
        <w:rPr>
          <w:rFonts w:asciiTheme="minorHAnsi" w:eastAsia="SimSun" w:hAnsiTheme="minorHAnsi" w:cstheme="minorBidi"/>
          <w:szCs w:val="24"/>
        </w:rPr>
        <w:t xml:space="preserve">The </w:t>
      </w:r>
      <w:hyperlink r:id="rId56" w:history="1">
        <w:r w:rsidRPr="00945F10">
          <w:rPr>
            <w:rFonts w:eastAsia="SimSun"/>
            <w:color w:val="4F81BD" w:themeColor="accent1"/>
            <w:szCs w:val="24"/>
            <w:u w:val="single"/>
          </w:rPr>
          <w:t xml:space="preserve">Global Initiative on Virtual Worlds and AI – Discovering the </w:t>
        </w:r>
        <w:proofErr w:type="spellStart"/>
        <w:r w:rsidRPr="00945F10">
          <w:rPr>
            <w:rFonts w:eastAsia="SimSun"/>
            <w:color w:val="4F81BD" w:themeColor="accent1"/>
            <w:szCs w:val="24"/>
            <w:u w:val="single"/>
          </w:rPr>
          <w:t>Citiverse</w:t>
        </w:r>
        <w:proofErr w:type="spellEnd"/>
      </w:hyperlink>
      <w:r w:rsidRPr="00945F10">
        <w:rPr>
          <w:rFonts w:asciiTheme="minorHAnsi" w:eastAsia="SimSun" w:hAnsiTheme="minorHAnsi" w:cstheme="minorBidi"/>
          <w:szCs w:val="24"/>
        </w:rPr>
        <w:t xml:space="preserve">, supported by more than 70 partners, advances work under its Security and Trust track, addressing key security, privacy and trust considerations in the development of the </w:t>
      </w:r>
      <w:proofErr w:type="spellStart"/>
      <w:r w:rsidRPr="00945F10">
        <w:rPr>
          <w:rFonts w:asciiTheme="minorHAnsi" w:eastAsia="SimSun" w:hAnsiTheme="minorHAnsi" w:cstheme="minorBidi"/>
          <w:szCs w:val="24"/>
        </w:rPr>
        <w:t>citiverse</w:t>
      </w:r>
      <w:proofErr w:type="spellEnd"/>
      <w:r w:rsidRPr="00945F10">
        <w:rPr>
          <w:rFonts w:asciiTheme="minorHAnsi" w:eastAsia="SimSun" w:hAnsiTheme="minorHAnsi" w:cstheme="minorBidi"/>
          <w:szCs w:val="24"/>
        </w:rPr>
        <w:t xml:space="preserve"> and virtual worlds.</w:t>
      </w:r>
    </w:p>
    <w:p w14:paraId="0572A2EB" w14:textId="77777777" w:rsidR="00945F10" w:rsidRPr="00945F10" w:rsidRDefault="00945F10" w:rsidP="00C84727">
      <w:pPr>
        <w:pStyle w:val="Heading1"/>
        <w:rPr>
          <w:rFonts w:eastAsia="SimSun"/>
        </w:rPr>
      </w:pPr>
      <w:r w:rsidRPr="00945F10">
        <w:rPr>
          <w:rFonts w:eastAsia="SimSun"/>
        </w:rPr>
        <w:t>3</w:t>
      </w:r>
      <w:r w:rsidRPr="00945F10">
        <w:rPr>
          <w:rFonts w:eastAsia="SimSun"/>
        </w:rPr>
        <w:tab/>
        <w:t>IPv6</w:t>
      </w:r>
    </w:p>
    <w:p w14:paraId="19E0CD04" w14:textId="77777777" w:rsidR="00945F10" w:rsidRPr="00945F10" w:rsidRDefault="00945F10" w:rsidP="00924AD5">
      <w:pPr>
        <w:jc w:val="both"/>
        <w:rPr>
          <w:rFonts w:asciiTheme="minorHAnsi" w:eastAsia="SimSun" w:hAnsiTheme="minorHAnsi" w:cstheme="minorHAnsi"/>
          <w:szCs w:val="24"/>
        </w:rPr>
      </w:pPr>
      <w:r w:rsidRPr="00945F10">
        <w:rPr>
          <w:rFonts w:asciiTheme="minorHAnsi" w:eastAsia="SimSun" w:hAnsiTheme="minorHAnsi" w:cstheme="minorHAnsi"/>
          <w:b/>
          <w:szCs w:val="24"/>
        </w:rPr>
        <w:t>3.1</w:t>
      </w:r>
      <w:r w:rsidRPr="00945F10">
        <w:rPr>
          <w:rFonts w:asciiTheme="minorHAnsi" w:eastAsia="SimSun" w:hAnsiTheme="minorHAnsi" w:cstheme="minorHAnsi"/>
          <w:szCs w:val="24"/>
        </w:rPr>
        <w:tab/>
      </w:r>
      <w:r w:rsidRPr="00945F10">
        <w:rPr>
          <w:rFonts w:asciiTheme="minorHAnsi" w:eastAsia="SimSun" w:hAnsiTheme="minorHAnsi" w:cstheme="minorHAnsi"/>
          <w:spacing w:val="-2"/>
          <w:szCs w:val="24"/>
        </w:rPr>
        <w:t xml:space="preserve">The </w:t>
      </w:r>
      <w:hyperlink r:id="rId57" w:history="1">
        <w:r w:rsidRPr="00945F10">
          <w:rPr>
            <w:rFonts w:asciiTheme="minorHAnsi" w:eastAsia="SimSun" w:hAnsiTheme="minorHAnsi" w:cstheme="minorHAnsi"/>
            <w:color w:val="0563C1"/>
            <w:spacing w:val="-2"/>
            <w:szCs w:val="24"/>
            <w:u w:val="single"/>
          </w:rPr>
          <w:t>ITU-T IPv6 webpage</w:t>
        </w:r>
      </w:hyperlink>
      <w:r w:rsidRPr="00945F10">
        <w:rPr>
          <w:rFonts w:asciiTheme="minorHAnsi" w:eastAsia="SimSun" w:hAnsiTheme="minorHAnsi" w:cstheme="minorHAnsi"/>
          <w:spacing w:val="-2"/>
          <w:szCs w:val="24"/>
        </w:rPr>
        <w:t xml:space="preserve"> highlights the IPv6 activities within ITU-T. </w:t>
      </w:r>
      <w:r w:rsidRPr="00945F10">
        <w:rPr>
          <w:rFonts w:asciiTheme="minorHAnsi" w:eastAsia="SimSun" w:hAnsiTheme="minorHAnsi" w:cstheme="minorHAnsi"/>
          <w:szCs w:val="24"/>
        </w:rPr>
        <w:t>Trainings/courses are being organized on all forms of IoT connectivity, including information security and privacy.</w:t>
      </w:r>
    </w:p>
    <w:p w14:paraId="6025DC68" w14:textId="77777777" w:rsidR="00945F10" w:rsidRPr="00945F10" w:rsidRDefault="00945F10" w:rsidP="00924AD5">
      <w:pPr>
        <w:jc w:val="both"/>
        <w:rPr>
          <w:szCs w:val="24"/>
        </w:rPr>
      </w:pPr>
      <w:r w:rsidRPr="00945F10">
        <w:rPr>
          <w:rFonts w:asciiTheme="minorHAnsi" w:eastAsia="SimSun" w:hAnsiTheme="minorHAnsi" w:cstheme="minorBidi"/>
          <w:b/>
          <w:bCs/>
          <w:szCs w:val="24"/>
        </w:rPr>
        <w:t>3.2</w:t>
      </w:r>
      <w:r w:rsidRPr="00945F10">
        <w:rPr>
          <w:szCs w:val="24"/>
        </w:rPr>
        <w:tab/>
        <w:t>BDT initiated collaboration with Ripe NCC to provide IPv6 trainings in the Arab region. The first country assisted was Jordan.</w:t>
      </w:r>
    </w:p>
    <w:p w14:paraId="27856656" w14:textId="0BA43FBF" w:rsidR="00945F10" w:rsidRPr="00945F10" w:rsidRDefault="00945F10" w:rsidP="00924AD5">
      <w:pPr>
        <w:jc w:val="both"/>
        <w:rPr>
          <w:szCs w:val="24"/>
        </w:rPr>
      </w:pPr>
      <w:r w:rsidRPr="00945F10">
        <w:rPr>
          <w:rFonts w:asciiTheme="minorHAnsi" w:eastAsia="SimSun" w:hAnsiTheme="minorHAnsi" w:cstheme="minorHAnsi"/>
          <w:b/>
          <w:color w:val="000000"/>
          <w:szCs w:val="24"/>
        </w:rPr>
        <w:t>3.3</w:t>
      </w:r>
      <w:r w:rsidRPr="00945F10">
        <w:rPr>
          <w:szCs w:val="24"/>
        </w:rPr>
        <w:tab/>
        <w:t>In collaboration with the ITU Regional Office, BDT provided IPv6 trainings with focus on transitions to regulator representatives for Iraq, State of Palestine</w:t>
      </w:r>
      <w:r w:rsidR="00372DAD">
        <w:rPr>
          <w:szCs w:val="24"/>
        </w:rPr>
        <w:t>,</w:t>
      </w:r>
      <w:r w:rsidRPr="00945F10">
        <w:rPr>
          <w:szCs w:val="24"/>
        </w:rPr>
        <w:t xml:space="preserve"> and Syria.</w:t>
      </w:r>
    </w:p>
    <w:p w14:paraId="43B3C1F1" w14:textId="77777777" w:rsidR="00945F10" w:rsidRPr="00945F10" w:rsidRDefault="00945F10" w:rsidP="00836231">
      <w:pPr>
        <w:tabs>
          <w:tab w:val="clear" w:pos="567"/>
          <w:tab w:val="clear" w:pos="1134"/>
          <w:tab w:val="clear" w:pos="1701"/>
          <w:tab w:val="clear" w:pos="2268"/>
          <w:tab w:val="clear" w:pos="2835"/>
        </w:tabs>
        <w:spacing w:before="160" w:after="120"/>
        <w:jc w:val="both"/>
        <w:rPr>
          <w:szCs w:val="24"/>
        </w:rPr>
      </w:pPr>
      <w:r w:rsidRPr="00945F10">
        <w:rPr>
          <w:rFonts w:asciiTheme="minorHAnsi" w:eastAsia="SimSun" w:hAnsiTheme="minorHAnsi" w:cstheme="minorBidi"/>
          <w:b/>
          <w:bCs/>
          <w:szCs w:val="24"/>
        </w:rPr>
        <w:lastRenderedPageBreak/>
        <w:t>3.4</w:t>
      </w:r>
      <w:r w:rsidRPr="00945F10">
        <w:rPr>
          <w:szCs w:val="24"/>
        </w:rPr>
        <w:tab/>
        <w:t>BDT delivered a joint workshop with ITU-T SG15 during WSIS forum about challenges and solution for adoption of IP broadband networks</w:t>
      </w:r>
    </w:p>
    <w:p w14:paraId="62240614" w14:textId="77777777" w:rsidR="00945F10" w:rsidRPr="00945F10" w:rsidRDefault="00945F10" w:rsidP="00C84727">
      <w:pPr>
        <w:pStyle w:val="Heading1"/>
        <w:rPr>
          <w:rFonts w:eastAsia="SimSun"/>
        </w:rPr>
      </w:pPr>
      <w:r w:rsidRPr="00945F10">
        <w:rPr>
          <w:rFonts w:eastAsia="SimSun"/>
        </w:rPr>
        <w:t>4</w:t>
      </w:r>
      <w:r w:rsidRPr="00945F10">
        <w:rPr>
          <w:rFonts w:eastAsia="SimSun"/>
        </w:rPr>
        <w:tab/>
        <w:t>Internet-related public policy issues including the management of domain names and addresses</w:t>
      </w:r>
    </w:p>
    <w:p w14:paraId="1B0A0AB4" w14:textId="54B6B93F" w:rsidR="00945F10" w:rsidRPr="00945F10" w:rsidRDefault="00945F10" w:rsidP="00924AD5">
      <w:pPr>
        <w:jc w:val="both"/>
        <w:rPr>
          <w:rFonts w:asciiTheme="minorHAnsi" w:eastAsia="SimSun" w:hAnsiTheme="minorHAnsi" w:cstheme="minorHAnsi"/>
          <w:szCs w:val="24"/>
        </w:rPr>
      </w:pPr>
      <w:r w:rsidRPr="00945F10">
        <w:rPr>
          <w:rFonts w:eastAsia="SimSun" w:cstheme="minorBidi"/>
          <w:b/>
          <w:bCs/>
          <w:szCs w:val="24"/>
        </w:rPr>
        <w:t>4.1</w:t>
      </w:r>
      <w:r w:rsidRPr="00945F10">
        <w:rPr>
          <w:rFonts w:eastAsia="SimSun" w:cstheme="minorBidi"/>
          <w:szCs w:val="24"/>
        </w:rPr>
        <w:tab/>
      </w:r>
      <w:r w:rsidRPr="00945F10">
        <w:rPr>
          <w:rFonts w:asciiTheme="minorHAnsi" w:eastAsia="SimSun" w:hAnsiTheme="minorHAnsi" w:cstheme="minorHAnsi"/>
          <w:szCs w:val="24"/>
        </w:rPr>
        <w:t xml:space="preserve">The </w:t>
      </w:r>
      <w:hyperlink r:id="rId58" w:history="1">
        <w:r w:rsidRPr="00945F10">
          <w:rPr>
            <w:rStyle w:val="Hyperlink"/>
            <w:rFonts w:asciiTheme="minorHAnsi" w:eastAsia="SimSun" w:hAnsiTheme="minorHAnsi" w:cstheme="minorHAnsi"/>
            <w:szCs w:val="24"/>
          </w:rPr>
          <w:t>Council Working Group on international Internet-related public policy issues (CWG-Internet)</w:t>
        </w:r>
      </w:hyperlink>
      <w:r w:rsidRPr="00945F10">
        <w:rPr>
          <w:rFonts w:asciiTheme="minorHAnsi" w:eastAsia="SimSun" w:hAnsiTheme="minorHAnsi" w:cstheme="minorHAnsi"/>
          <w:szCs w:val="24"/>
        </w:rPr>
        <w:t xml:space="preserve"> held its </w:t>
      </w:r>
      <w:r w:rsidRPr="00945F10">
        <w:rPr>
          <w:szCs w:val="24"/>
        </w:rPr>
        <w:t>twenty-second and twenty-third meeting of CWG-Internet on 15-16 September 2025 and 20 January 2026</w:t>
      </w:r>
      <w:r w:rsidRPr="00945F10">
        <w:rPr>
          <w:rFonts w:asciiTheme="minorHAnsi" w:eastAsia="SimSun" w:hAnsiTheme="minorHAnsi" w:cstheme="minorHAnsi"/>
          <w:szCs w:val="24"/>
        </w:rPr>
        <w:t xml:space="preserve">, respectively, at the ITU Headquarters in Geneva, Switzerland. At the twenty-second meeting, the Group discussed the </w:t>
      </w:r>
      <w:r w:rsidRPr="00945F10">
        <w:rPr>
          <w:bCs/>
          <w:szCs w:val="24"/>
        </w:rPr>
        <w:t xml:space="preserve">summary of the open consultation on </w:t>
      </w:r>
      <w:r w:rsidR="00691DCE">
        <w:rPr>
          <w:bCs/>
          <w:szCs w:val="24"/>
        </w:rPr>
        <w:t>“</w:t>
      </w:r>
      <w:hyperlink r:id="rId59" w:history="1">
        <w:r w:rsidRPr="00945F10">
          <w:rPr>
            <w:color w:val="4F81BD" w:themeColor="accent1"/>
            <w:szCs w:val="24"/>
            <w:u w:val="single"/>
          </w:rPr>
          <w:t>Ensuring meaningful connectivity to the Internet for landlocked developing countries (LLDCs)</w:t>
        </w:r>
      </w:hyperlink>
      <w:r w:rsidR="00691DCE">
        <w:rPr>
          <w:bCs/>
          <w:szCs w:val="24"/>
        </w:rPr>
        <w:t>“</w:t>
      </w:r>
      <w:r w:rsidRPr="00945F10">
        <w:rPr>
          <w:bCs/>
          <w:szCs w:val="24"/>
        </w:rPr>
        <w:t xml:space="preserve"> as well as all the contributions received</w:t>
      </w:r>
      <w:r w:rsidRPr="00945F10">
        <w:rPr>
          <w:rFonts w:asciiTheme="minorHAnsi" w:eastAsia="SimSun" w:hAnsiTheme="minorHAnsi" w:cstheme="minorHAnsi"/>
          <w:bCs/>
          <w:szCs w:val="24"/>
        </w:rPr>
        <w:t xml:space="preserve">. At the twenty-third meeting, recalling the decision made by the CWG on WSIS &amp; SDGs to prepare a gap analysis on the impact of WSIS+20 for ITU’s ongoing work and mandates, for </w:t>
      </w:r>
      <w:r w:rsidR="00291BE6">
        <w:rPr>
          <w:rFonts w:asciiTheme="minorHAnsi" w:eastAsia="SimSun" w:hAnsiTheme="minorHAnsi" w:cstheme="minorHAnsi"/>
          <w:bCs/>
          <w:szCs w:val="24"/>
        </w:rPr>
        <w:t xml:space="preserve">the </w:t>
      </w:r>
      <w:r w:rsidRPr="00945F10">
        <w:rPr>
          <w:rFonts w:asciiTheme="minorHAnsi" w:eastAsia="SimSun" w:hAnsiTheme="minorHAnsi" w:cstheme="minorHAnsi"/>
          <w:bCs/>
          <w:szCs w:val="24"/>
        </w:rPr>
        <w:t xml:space="preserve">Council’s review and consideration, the CWG-Internet requested the </w:t>
      </w:r>
      <w:r w:rsidR="00291BE6">
        <w:rPr>
          <w:rFonts w:asciiTheme="minorHAnsi" w:eastAsia="SimSun" w:hAnsiTheme="minorHAnsi" w:cstheme="minorHAnsi"/>
          <w:bCs/>
          <w:szCs w:val="24"/>
        </w:rPr>
        <w:t>s</w:t>
      </w:r>
      <w:r w:rsidRPr="00945F10">
        <w:rPr>
          <w:rFonts w:asciiTheme="minorHAnsi" w:eastAsia="SimSun" w:hAnsiTheme="minorHAnsi" w:cstheme="minorHAnsi"/>
          <w:bCs/>
          <w:szCs w:val="24"/>
        </w:rPr>
        <w:t>ecretariat to contribute to this effort where it concerns the CWG-Internet Terms of Reference (please refer to Document</w:t>
      </w:r>
      <w:r w:rsidR="00836231" w:rsidRPr="00836231">
        <w:rPr>
          <w:rFonts w:asciiTheme="minorHAnsi" w:eastAsia="SimSun" w:hAnsiTheme="minorHAnsi" w:cstheme="minorHAnsi"/>
          <w:bCs/>
          <w:szCs w:val="24"/>
        </w:rPr>
        <w:t xml:space="preserve"> </w:t>
      </w:r>
      <w:hyperlink r:id="rId60" w:history="1">
        <w:r w:rsidR="00836231" w:rsidRPr="00836231">
          <w:rPr>
            <w:rStyle w:val="Hyperlink"/>
            <w:rFonts w:asciiTheme="minorHAnsi" w:eastAsia="SimSun" w:hAnsiTheme="minorHAnsi" w:cstheme="minorHAnsi"/>
            <w:bCs/>
            <w:szCs w:val="24"/>
          </w:rPr>
          <w:t>C26/60</w:t>
        </w:r>
      </w:hyperlink>
      <w:r w:rsidRPr="00945F10">
        <w:rPr>
          <w:rFonts w:asciiTheme="minorHAnsi" w:eastAsia="SimSun" w:hAnsiTheme="minorHAnsi" w:cstheme="minorHAnsi"/>
          <w:bCs/>
          <w:szCs w:val="24"/>
        </w:rPr>
        <w:t xml:space="preserve"> – for more information).</w:t>
      </w:r>
      <w:r w:rsidRPr="00945F10">
        <w:rPr>
          <w:bCs/>
          <w:iCs/>
          <w:szCs w:val="24"/>
        </w:rPr>
        <w:t xml:space="preserve"> </w:t>
      </w:r>
      <w:r w:rsidRPr="00945F10">
        <w:rPr>
          <w:rFonts w:asciiTheme="minorHAnsi" w:eastAsia="SimSun" w:hAnsiTheme="minorHAnsi" w:cstheme="minorHAnsi"/>
          <w:szCs w:val="24"/>
        </w:rPr>
        <w:t xml:space="preserve">The Chair’s Report to </w:t>
      </w:r>
      <w:r w:rsidR="00291BE6">
        <w:rPr>
          <w:rFonts w:asciiTheme="minorHAnsi" w:eastAsia="SimSun" w:hAnsiTheme="minorHAnsi" w:cstheme="minorHAnsi"/>
          <w:szCs w:val="24"/>
        </w:rPr>
        <w:t xml:space="preserve">the </w:t>
      </w:r>
      <w:r w:rsidRPr="00945F10">
        <w:rPr>
          <w:rFonts w:asciiTheme="minorHAnsi" w:eastAsia="SimSun" w:hAnsiTheme="minorHAnsi" w:cstheme="minorHAnsi"/>
          <w:szCs w:val="24"/>
        </w:rPr>
        <w:t xml:space="preserve">Council </w:t>
      </w:r>
      <w:r w:rsidRPr="00945F10">
        <w:rPr>
          <w:rFonts w:asciiTheme="minorHAnsi" w:eastAsia="SimSun" w:hAnsiTheme="minorHAnsi" w:cstheme="minorHAnsi"/>
          <w:szCs w:val="24"/>
          <w:lang w:val="en-US"/>
        </w:rPr>
        <w:t xml:space="preserve">is presented in Document </w:t>
      </w:r>
      <w:hyperlink r:id="rId61" w:history="1">
        <w:r w:rsidRPr="00945F10">
          <w:rPr>
            <w:rStyle w:val="Hyperlink"/>
            <w:rFonts w:asciiTheme="minorHAnsi" w:eastAsia="SimSun" w:hAnsiTheme="minorHAnsi" w:cstheme="minorHAnsi"/>
            <w:szCs w:val="24"/>
            <w:lang w:val="en-US"/>
          </w:rPr>
          <w:t>C2</w:t>
        </w:r>
        <w:r w:rsidR="00836231" w:rsidRPr="00836231">
          <w:rPr>
            <w:rStyle w:val="Hyperlink"/>
            <w:rFonts w:asciiTheme="minorHAnsi" w:eastAsia="SimSun" w:hAnsiTheme="minorHAnsi" w:cstheme="minorHAnsi"/>
            <w:szCs w:val="24"/>
            <w:lang w:val="en-US"/>
          </w:rPr>
          <w:t>6</w:t>
        </w:r>
        <w:r w:rsidRPr="00945F10">
          <w:rPr>
            <w:rStyle w:val="Hyperlink"/>
            <w:rFonts w:asciiTheme="minorHAnsi" w:eastAsia="SimSun" w:hAnsiTheme="minorHAnsi" w:cstheme="minorHAnsi"/>
            <w:szCs w:val="24"/>
            <w:lang w:val="en-US"/>
          </w:rPr>
          <w:t>/51</w:t>
        </w:r>
      </w:hyperlink>
      <w:r w:rsidRPr="00945F10">
        <w:rPr>
          <w:rFonts w:asciiTheme="minorHAnsi" w:eastAsia="SimSun" w:hAnsiTheme="minorHAnsi" w:cstheme="minorHAnsi"/>
          <w:szCs w:val="24"/>
          <w:lang w:val="en-US"/>
        </w:rPr>
        <w:t>.</w:t>
      </w:r>
    </w:p>
    <w:p w14:paraId="6B496245" w14:textId="77777777" w:rsidR="00945F10" w:rsidRPr="00945F10" w:rsidRDefault="00945F10" w:rsidP="00924AD5">
      <w:pPr>
        <w:jc w:val="both"/>
        <w:rPr>
          <w:rFonts w:cstheme="minorBidi"/>
          <w:spacing w:val="-2"/>
          <w:szCs w:val="24"/>
        </w:rPr>
      </w:pPr>
      <w:r w:rsidRPr="00945F10">
        <w:rPr>
          <w:rFonts w:asciiTheme="minorHAnsi" w:eastAsia="SimSun" w:hAnsiTheme="minorHAnsi" w:cstheme="minorBidi"/>
          <w:b/>
          <w:bCs/>
          <w:spacing w:val="-2"/>
          <w:szCs w:val="24"/>
          <w:lang w:eastAsia="zh-CN"/>
        </w:rPr>
        <w:t>4.2</w:t>
      </w:r>
      <w:r w:rsidRPr="00945F10">
        <w:rPr>
          <w:rFonts w:asciiTheme="minorHAnsi" w:eastAsia="SimSun" w:hAnsiTheme="minorHAnsi" w:cstheme="minorBidi"/>
          <w:spacing w:val="-2"/>
          <w:szCs w:val="24"/>
          <w:lang w:eastAsia="zh-CN"/>
        </w:rPr>
        <w:tab/>
      </w:r>
      <w:r w:rsidRPr="00945F10">
        <w:rPr>
          <w:rFonts w:cstheme="minorBidi"/>
          <w:spacing w:val="-2"/>
          <w:szCs w:val="24"/>
        </w:rPr>
        <w:t>ITU participated in the 20</w:t>
      </w:r>
      <w:r w:rsidRPr="00945F10">
        <w:rPr>
          <w:rFonts w:cstheme="minorBidi"/>
          <w:spacing w:val="-2"/>
          <w:szCs w:val="24"/>
          <w:vertAlign w:val="superscript"/>
        </w:rPr>
        <w:t>th</w:t>
      </w:r>
      <w:r w:rsidRPr="00945F10">
        <w:rPr>
          <w:rFonts w:cstheme="minorBidi"/>
          <w:spacing w:val="-2"/>
          <w:szCs w:val="24"/>
        </w:rPr>
        <w:t xml:space="preserve"> </w:t>
      </w:r>
      <w:r w:rsidRPr="00945F10">
        <w:rPr>
          <w:spacing w:val="-2"/>
          <w:szCs w:val="24"/>
          <w:bdr w:val="none" w:sz="0" w:space="0" w:color="auto" w:frame="1"/>
          <w:shd w:val="clear" w:color="auto" w:fill="FFFFFF"/>
        </w:rPr>
        <w:t>IGF</w:t>
      </w:r>
      <w:r w:rsidRPr="00945F10">
        <w:rPr>
          <w:rFonts w:cstheme="minorBidi"/>
          <w:spacing w:val="-2"/>
          <w:szCs w:val="24"/>
        </w:rPr>
        <w:t xml:space="preserve"> meeting in Oslo, Norway, on 23-27 June 2025, including the opening ceremony and high-level sessions. ITU also organized several sessions, including on the WSIS+20 process, WSIS Open Consultation, and the CWG-Internet. </w:t>
      </w:r>
    </w:p>
    <w:p w14:paraId="794BEAD2" w14:textId="77777777" w:rsidR="00945F10" w:rsidRPr="00945F10" w:rsidRDefault="00945F10" w:rsidP="00924AD5">
      <w:pPr>
        <w:jc w:val="both"/>
        <w:rPr>
          <w:rFonts w:asciiTheme="minorHAnsi" w:eastAsia="SimSun" w:hAnsiTheme="minorHAnsi" w:cstheme="minorBidi"/>
          <w:szCs w:val="24"/>
          <w:lang w:eastAsia="zh-CN"/>
        </w:rPr>
      </w:pPr>
      <w:r w:rsidRPr="00945F10">
        <w:rPr>
          <w:rFonts w:asciiTheme="minorHAnsi" w:eastAsia="SimSun" w:hAnsiTheme="minorHAnsi" w:cstheme="minorBidi"/>
          <w:b/>
          <w:bCs/>
          <w:szCs w:val="24"/>
          <w:lang w:eastAsia="zh-CN"/>
        </w:rPr>
        <w:t>4.3</w:t>
      </w:r>
      <w:r w:rsidRPr="00945F10">
        <w:rPr>
          <w:rFonts w:asciiTheme="minorHAnsi" w:eastAsia="SimSun" w:hAnsiTheme="minorHAnsi" w:cstheme="minorBidi"/>
          <w:szCs w:val="24"/>
          <w:lang w:eastAsia="zh-CN"/>
        </w:rPr>
        <w:tab/>
        <w:t>ITU continues to follow the issue of protecting IGO names and acronyms in any new gTLDs, as part of the IGO coalition composed of 35 IGOs including OECD, UN, UPU, WHO, WIPO, and the World Bank.</w:t>
      </w:r>
    </w:p>
    <w:p w14:paraId="707C80EF" w14:textId="77777777" w:rsidR="00945F10" w:rsidRPr="00945F10" w:rsidRDefault="00945F10" w:rsidP="00924AD5">
      <w:pPr>
        <w:jc w:val="both"/>
        <w:rPr>
          <w:rFonts w:asciiTheme="minorHAnsi" w:eastAsia="SimSun" w:hAnsiTheme="minorHAnsi" w:cstheme="minorBidi"/>
          <w:szCs w:val="24"/>
        </w:rPr>
      </w:pPr>
      <w:r w:rsidRPr="00945F10">
        <w:rPr>
          <w:rFonts w:asciiTheme="minorHAnsi" w:eastAsia="SimSun" w:hAnsiTheme="minorHAnsi" w:cstheme="minorBidi"/>
          <w:b/>
          <w:bCs/>
          <w:szCs w:val="24"/>
        </w:rPr>
        <w:t>4.4</w:t>
      </w:r>
      <w:r w:rsidRPr="00945F10">
        <w:rPr>
          <w:rFonts w:eastAsia="SimSun"/>
          <w:szCs w:val="24"/>
        </w:rPr>
        <w:tab/>
      </w:r>
      <w:r w:rsidRPr="00945F10">
        <w:rPr>
          <w:rFonts w:asciiTheme="minorHAnsi" w:eastAsia="SimSun" w:hAnsiTheme="minorHAnsi" w:cstheme="minorBidi"/>
          <w:szCs w:val="24"/>
        </w:rPr>
        <w:t>In all</w:t>
      </w:r>
      <w:r w:rsidRPr="00945F10">
        <w:rPr>
          <w:rFonts w:asciiTheme="minorHAnsi" w:eastAsia="SimSun" w:hAnsiTheme="minorHAnsi" w:cstheme="minorBidi"/>
          <w:b/>
          <w:bCs/>
          <w:szCs w:val="24"/>
        </w:rPr>
        <w:t xml:space="preserve"> </w:t>
      </w:r>
      <w:r w:rsidRPr="00945F10">
        <w:rPr>
          <w:rFonts w:asciiTheme="minorHAnsi" w:eastAsia="SimSun" w:hAnsiTheme="minorHAnsi" w:cstheme="minorBidi"/>
          <w:szCs w:val="24"/>
        </w:rPr>
        <w:t xml:space="preserve">the activities listed in the various sections of this Report, particularly </w:t>
      </w:r>
      <w:proofErr w:type="gramStart"/>
      <w:r w:rsidRPr="00945F10">
        <w:rPr>
          <w:rFonts w:asciiTheme="minorHAnsi" w:eastAsia="SimSun" w:hAnsiTheme="minorHAnsi" w:cstheme="minorBidi"/>
          <w:szCs w:val="24"/>
        </w:rPr>
        <w:t>with regard to</w:t>
      </w:r>
      <w:proofErr w:type="gramEnd"/>
      <w:r w:rsidRPr="00945F10">
        <w:rPr>
          <w:rFonts w:asciiTheme="minorHAnsi" w:eastAsia="SimSun" w:hAnsiTheme="minorHAnsi" w:cstheme="minorBidi"/>
          <w:szCs w:val="24"/>
        </w:rPr>
        <w:t xml:space="preserve"> beneficiary countries on IPv6, broadband and capacity building activities, ITU aims to address the challenges faced by landlocked developing countries as per the Vienna Programme of Action.</w:t>
      </w:r>
    </w:p>
    <w:p w14:paraId="736B3A65" w14:textId="1B4CEE8B" w:rsidR="00945F10" w:rsidRPr="00945F10" w:rsidRDefault="00945F10" w:rsidP="00924AD5">
      <w:pPr>
        <w:jc w:val="both"/>
        <w:rPr>
          <w:rFonts w:asciiTheme="minorHAnsi" w:eastAsia="SimSun" w:hAnsiTheme="minorHAnsi" w:cstheme="minorHAnsi"/>
          <w:szCs w:val="24"/>
        </w:rPr>
      </w:pPr>
      <w:r w:rsidRPr="00945F10">
        <w:rPr>
          <w:rFonts w:asciiTheme="minorHAnsi" w:eastAsia="SimSun" w:hAnsiTheme="minorHAnsi" w:cstheme="minorHAnsi"/>
          <w:b/>
          <w:bCs/>
          <w:szCs w:val="24"/>
        </w:rPr>
        <w:t>4.5</w:t>
      </w:r>
      <w:r w:rsidRPr="00945F10">
        <w:rPr>
          <w:rFonts w:asciiTheme="minorHAnsi" w:eastAsia="SimSun" w:hAnsiTheme="minorHAnsi" w:cstheme="minorHAnsi"/>
          <w:b/>
          <w:bCs/>
          <w:szCs w:val="24"/>
        </w:rPr>
        <w:tab/>
      </w:r>
      <w:r w:rsidRPr="00945F10">
        <w:rPr>
          <w:rFonts w:asciiTheme="minorHAnsi" w:eastAsia="SimSun" w:hAnsiTheme="minorHAnsi" w:cstheme="minorHAnsi"/>
          <w:szCs w:val="24"/>
        </w:rPr>
        <w:t>ITU continues to actively follow discussions in GAC as an observer.</w:t>
      </w:r>
    </w:p>
    <w:p w14:paraId="73AC3258" w14:textId="77777777" w:rsidR="00945F10" w:rsidRPr="00945F10" w:rsidRDefault="00945F10" w:rsidP="00C84727">
      <w:pPr>
        <w:pStyle w:val="Heading1"/>
        <w:rPr>
          <w:rFonts w:eastAsia="SimSun"/>
        </w:rPr>
      </w:pPr>
      <w:r w:rsidRPr="00945F10">
        <w:rPr>
          <w:rFonts w:eastAsia="SimSun"/>
        </w:rPr>
        <w:t>5</w:t>
      </w:r>
      <w:r w:rsidRPr="00945F10">
        <w:rPr>
          <w:rFonts w:eastAsia="SimSun"/>
        </w:rPr>
        <w:tab/>
        <w:t>ENUM</w:t>
      </w:r>
    </w:p>
    <w:p w14:paraId="30144B56" w14:textId="166945B9" w:rsidR="00945F10" w:rsidRPr="00945F10" w:rsidRDefault="00945F10" w:rsidP="00924AD5">
      <w:pPr>
        <w:jc w:val="both"/>
        <w:rPr>
          <w:rFonts w:asciiTheme="minorHAnsi" w:eastAsia="SimSun" w:hAnsiTheme="minorHAnsi" w:cstheme="minorHAnsi"/>
          <w:bCs/>
          <w:szCs w:val="24"/>
        </w:rPr>
      </w:pPr>
      <w:hyperlink r:id="rId62" w:history="1">
        <w:r w:rsidRPr="00945F10">
          <w:rPr>
            <w:rFonts w:asciiTheme="minorHAnsi" w:eastAsia="SimSun" w:hAnsiTheme="minorHAnsi" w:cstheme="minorHAnsi"/>
            <w:bCs/>
            <w:color w:val="0563C1"/>
            <w:szCs w:val="24"/>
            <w:u w:val="single"/>
          </w:rPr>
          <w:t>Updated information on ENUM</w:t>
        </w:r>
      </w:hyperlink>
      <w:r w:rsidRPr="00945F10">
        <w:rPr>
          <w:rFonts w:asciiTheme="minorHAnsi" w:eastAsia="SimSun" w:hAnsiTheme="minorHAnsi" w:cstheme="minorHAnsi"/>
          <w:bCs/>
          <w:szCs w:val="24"/>
        </w:rPr>
        <w:t xml:space="preserve"> is being maintained by ITU-T. Given the evidence that the system is not in use, the February 2026 meeting of ITU-T SG2 agreed to publish a circular letter to all Member States soliciting their views on the possible closure of the ENUM system under e164.arpa. The feedback submitted by Member States will be submitted to the September 2026 meeting of ITU-T SG2. Pending the conclusions of the responses to this circular, the revised ENUM interim procedures which had been agreed at the February 2026 meeting and which are available </w:t>
      </w:r>
      <w:hyperlink r:id="rId63" w:history="1">
        <w:r w:rsidRPr="00945F10">
          <w:rPr>
            <w:rFonts w:asciiTheme="minorHAnsi" w:eastAsia="SimSun" w:hAnsiTheme="minorHAnsi" w:cstheme="minorHAnsi"/>
            <w:bCs/>
            <w:color w:val="4F81BD" w:themeColor="accent1"/>
            <w:szCs w:val="24"/>
            <w:u w:val="single"/>
          </w:rPr>
          <w:t>here</w:t>
        </w:r>
      </w:hyperlink>
      <w:r w:rsidRPr="00945F10">
        <w:rPr>
          <w:rFonts w:asciiTheme="minorHAnsi" w:eastAsia="SimSun" w:hAnsiTheme="minorHAnsi" w:cstheme="minorHAnsi"/>
          <w:bCs/>
          <w:szCs w:val="24"/>
        </w:rPr>
        <w:t xml:space="preserve"> will come into force.</w:t>
      </w:r>
    </w:p>
    <w:p w14:paraId="159AF557" w14:textId="77777777" w:rsidR="00945F10" w:rsidRPr="00945F10" w:rsidRDefault="00945F10" w:rsidP="00C84727">
      <w:pPr>
        <w:pStyle w:val="Heading1"/>
        <w:rPr>
          <w:rFonts w:eastAsia="SimSun"/>
        </w:rPr>
      </w:pPr>
      <w:bookmarkStart w:id="23" w:name="_Hlk133498507"/>
      <w:r w:rsidRPr="00945F10">
        <w:rPr>
          <w:rFonts w:eastAsia="SimSun"/>
        </w:rPr>
        <w:t>6</w:t>
      </w:r>
      <w:r w:rsidRPr="00945F10">
        <w:rPr>
          <w:rFonts w:eastAsia="SimSun"/>
        </w:rPr>
        <w:tab/>
        <w:t>International Internet Connectivity (IIC)/Internet Exchange Points (IXPs)</w:t>
      </w:r>
    </w:p>
    <w:p w14:paraId="74C2CEF0" w14:textId="3C1408BC" w:rsidR="00945F10" w:rsidRPr="00945F10" w:rsidRDefault="00945F10" w:rsidP="00924AD5">
      <w:pPr>
        <w:jc w:val="both"/>
        <w:rPr>
          <w:szCs w:val="24"/>
        </w:rPr>
      </w:pPr>
      <w:r w:rsidRPr="00945F10">
        <w:rPr>
          <w:b/>
          <w:bCs/>
          <w:szCs w:val="24"/>
        </w:rPr>
        <w:t>6.1</w:t>
      </w:r>
      <w:r w:rsidRPr="00945F10">
        <w:rPr>
          <w:szCs w:val="24"/>
        </w:rPr>
        <w:tab/>
        <w:t xml:space="preserve">BDT continues its work on </w:t>
      </w:r>
      <w:proofErr w:type="gramStart"/>
      <w:r w:rsidRPr="00945F10">
        <w:rPr>
          <w:szCs w:val="24"/>
        </w:rPr>
        <w:t>providing assistance</w:t>
      </w:r>
      <w:proofErr w:type="gramEnd"/>
      <w:r w:rsidRPr="00945F10">
        <w:rPr>
          <w:szCs w:val="24"/>
        </w:rPr>
        <w:t xml:space="preserve"> on IXP related issues. IXPs locations are available at the ICT Infrastructure interactive mapping: </w:t>
      </w:r>
      <w:hyperlink r:id="rId64" w:history="1">
        <w:r w:rsidR="00836231" w:rsidRPr="00945F10">
          <w:rPr>
            <w:rStyle w:val="Hyperlink"/>
            <w:szCs w:val="24"/>
          </w:rPr>
          <w:t>https://bbmaps.itu.int/bbmaps/</w:t>
        </w:r>
      </w:hyperlink>
      <w:bookmarkEnd w:id="23"/>
      <w:r w:rsidRPr="00945F10">
        <w:rPr>
          <w:szCs w:val="24"/>
        </w:rPr>
        <w:t xml:space="preserve">. </w:t>
      </w:r>
      <w:r w:rsidRPr="00945F10">
        <w:rPr>
          <w:rFonts w:asciiTheme="minorHAnsi" w:eastAsia="SimSun" w:hAnsiTheme="minorHAnsi" w:cstheme="minorHAnsi"/>
          <w:bCs/>
          <w:szCs w:val="24"/>
        </w:rPr>
        <w:t>BDT is constantly updating location data information.</w:t>
      </w:r>
    </w:p>
    <w:p w14:paraId="7089C033" w14:textId="77777777" w:rsidR="00945F10" w:rsidRPr="00945F10" w:rsidRDefault="00945F10" w:rsidP="00924AD5">
      <w:pPr>
        <w:jc w:val="both"/>
        <w:rPr>
          <w:szCs w:val="24"/>
        </w:rPr>
      </w:pPr>
      <w:r w:rsidRPr="00945F10">
        <w:rPr>
          <w:b/>
          <w:bCs/>
          <w:szCs w:val="24"/>
        </w:rPr>
        <w:t>6.2</w:t>
      </w:r>
      <w:r w:rsidRPr="00945F10">
        <w:rPr>
          <w:szCs w:val="24"/>
        </w:rPr>
        <w:tab/>
        <w:t xml:space="preserve">ITU-T SG3, through </w:t>
      </w:r>
      <w:hyperlink r:id="rId65" w:history="1">
        <w:r w:rsidRPr="00945F10">
          <w:rPr>
            <w:rFonts w:asciiTheme="minorHAnsi" w:eastAsia="SimSun" w:hAnsiTheme="minorHAnsi" w:cstheme="minorHAnsi"/>
            <w:bCs/>
            <w:color w:val="4F81BD" w:themeColor="accent1"/>
            <w:szCs w:val="24"/>
            <w:u w:val="single"/>
          </w:rPr>
          <w:t>Q6/3</w:t>
        </w:r>
      </w:hyperlink>
      <w:r w:rsidRPr="00945F10">
        <w:rPr>
          <w:szCs w:val="24"/>
        </w:rPr>
        <w:t xml:space="preserve">, continues to study the international Internet fibre cables and satellite Internet connectivity, including relevant aspects of Internet protocol (IP) peering, </w:t>
      </w:r>
      <w:r w:rsidRPr="00945F10">
        <w:rPr>
          <w:szCs w:val="24"/>
        </w:rPr>
        <w:lastRenderedPageBreak/>
        <w:t>regional traffic exchange points, fibre cables optimization, cost of provision of services, and impact of Internet protocol version 6 (IPv6) deployment.</w:t>
      </w:r>
    </w:p>
    <w:p w14:paraId="6F9F5DD5" w14:textId="77777777" w:rsidR="00945F10" w:rsidRPr="00945F10" w:rsidRDefault="00945F10" w:rsidP="00C84727">
      <w:pPr>
        <w:pStyle w:val="Heading1"/>
        <w:rPr>
          <w:rFonts w:eastAsia="SimSun"/>
        </w:rPr>
      </w:pPr>
      <w:r w:rsidRPr="00945F10">
        <w:rPr>
          <w:rFonts w:eastAsia="SimSun"/>
        </w:rPr>
        <w:t>7</w:t>
      </w:r>
      <w:r w:rsidRPr="00945F10">
        <w:rPr>
          <w:rFonts w:eastAsia="SimSun"/>
        </w:rPr>
        <w:tab/>
        <w:t>OTT</w:t>
      </w:r>
    </w:p>
    <w:p w14:paraId="4FDFB794" w14:textId="77777777" w:rsidR="00945F10" w:rsidRPr="00945F10" w:rsidRDefault="00945F10" w:rsidP="00924AD5">
      <w:pPr>
        <w:jc w:val="both"/>
        <w:rPr>
          <w:rFonts w:asciiTheme="minorHAnsi" w:eastAsia="SimSun" w:hAnsiTheme="minorHAnsi" w:cstheme="minorHAnsi"/>
          <w:szCs w:val="24"/>
        </w:rPr>
      </w:pPr>
      <w:r w:rsidRPr="00945F10">
        <w:rPr>
          <w:rFonts w:asciiTheme="minorHAnsi" w:eastAsia="SimSun" w:hAnsiTheme="minorHAnsi" w:cstheme="minorHAnsi"/>
          <w:b/>
          <w:szCs w:val="24"/>
        </w:rPr>
        <w:t>7.1</w:t>
      </w:r>
      <w:r w:rsidRPr="00945F10">
        <w:rPr>
          <w:rFonts w:asciiTheme="minorHAnsi" w:eastAsia="SimSun" w:hAnsiTheme="minorHAnsi" w:cstheme="minorHAnsi"/>
          <w:szCs w:val="24"/>
        </w:rPr>
        <w:tab/>
      </w:r>
      <w:r w:rsidRPr="00945F10">
        <w:rPr>
          <w:rFonts w:asciiTheme="minorHAnsi" w:eastAsia="SimSun" w:hAnsiTheme="minorHAnsi" w:cstheme="minorHAnsi"/>
          <w:spacing w:val="-2"/>
          <w:szCs w:val="24"/>
        </w:rPr>
        <w:t xml:space="preserve">Under </w:t>
      </w:r>
      <w:r w:rsidRPr="00945F10">
        <w:rPr>
          <w:rFonts w:asciiTheme="minorHAnsi" w:eastAsia="SimSun" w:hAnsiTheme="minorHAnsi" w:cstheme="minorHAnsi"/>
          <w:b/>
          <w:bCs/>
          <w:spacing w:val="-2"/>
          <w:szCs w:val="24"/>
        </w:rPr>
        <w:t>ITU-D Q3/1</w:t>
      </w:r>
      <w:r w:rsidRPr="00945F10">
        <w:rPr>
          <w:rFonts w:asciiTheme="minorHAnsi" w:eastAsia="SimSun" w:hAnsiTheme="minorHAnsi" w:cstheme="minorHAnsi"/>
          <w:spacing w:val="-2"/>
          <w:szCs w:val="24"/>
        </w:rPr>
        <w:t xml:space="preserve">, work </w:t>
      </w:r>
      <w:proofErr w:type="gramStart"/>
      <w:r w:rsidRPr="00945F10">
        <w:rPr>
          <w:rFonts w:asciiTheme="minorHAnsi" w:eastAsia="SimSun" w:hAnsiTheme="minorHAnsi" w:cstheme="minorHAnsi"/>
          <w:spacing w:val="-2"/>
          <w:szCs w:val="24"/>
        </w:rPr>
        <w:t>continues on</w:t>
      </w:r>
      <w:proofErr w:type="gramEnd"/>
      <w:r w:rsidRPr="00945F10">
        <w:rPr>
          <w:rFonts w:asciiTheme="minorHAnsi" w:eastAsia="SimSun" w:hAnsiTheme="minorHAnsi" w:cstheme="minorHAnsi"/>
          <w:spacing w:val="-2"/>
          <w:szCs w:val="24"/>
        </w:rPr>
        <w:t xml:space="preserve"> </w:t>
      </w:r>
      <w:r w:rsidRPr="00945F10">
        <w:rPr>
          <w:rFonts w:asciiTheme="minorHAnsi" w:hAnsiTheme="minorHAnsi" w:cstheme="minorHAnsi"/>
          <w:spacing w:val="-2"/>
          <w:szCs w:val="24"/>
        </w:rPr>
        <w:t>the use of telecommunications/ICTs for disaster risk reduction and management.</w:t>
      </w:r>
    </w:p>
    <w:p w14:paraId="549284B4" w14:textId="403F31A1" w:rsidR="00945F10" w:rsidRPr="00945F10" w:rsidRDefault="00945F10" w:rsidP="00924AD5">
      <w:pPr>
        <w:jc w:val="both"/>
        <w:rPr>
          <w:rFonts w:asciiTheme="minorHAnsi" w:eastAsia="SimSun" w:hAnsiTheme="minorHAnsi" w:cstheme="minorBidi"/>
          <w:spacing w:val="2"/>
          <w:szCs w:val="24"/>
        </w:rPr>
      </w:pPr>
      <w:r w:rsidRPr="00945F10">
        <w:rPr>
          <w:rFonts w:asciiTheme="minorHAnsi" w:eastAsia="SimSun" w:hAnsiTheme="minorHAnsi" w:cstheme="minorBidi"/>
          <w:b/>
          <w:bCs/>
          <w:szCs w:val="24"/>
        </w:rPr>
        <w:t>7.2</w:t>
      </w:r>
      <w:r w:rsidRPr="00945F10">
        <w:rPr>
          <w:rFonts w:asciiTheme="minorHAnsi" w:eastAsia="SimSun" w:hAnsiTheme="minorHAnsi" w:cstheme="minorHAnsi"/>
          <w:szCs w:val="24"/>
        </w:rPr>
        <w:tab/>
      </w:r>
      <w:r w:rsidRPr="00945F10">
        <w:rPr>
          <w:rFonts w:asciiTheme="minorHAnsi" w:eastAsia="SimSun" w:hAnsiTheme="minorHAnsi" w:cstheme="minorBidi"/>
          <w:b/>
          <w:bCs/>
          <w:spacing w:val="2"/>
          <w:szCs w:val="24"/>
        </w:rPr>
        <w:t>ITU-T SG2</w:t>
      </w:r>
      <w:r w:rsidRPr="00945F10">
        <w:rPr>
          <w:rFonts w:asciiTheme="minorHAnsi" w:eastAsia="SimSun" w:hAnsiTheme="minorHAnsi" w:cstheme="minorBidi"/>
          <w:spacing w:val="2"/>
          <w:szCs w:val="24"/>
        </w:rPr>
        <w:t xml:space="preserve"> is progressing three work items on OTTs:</w:t>
      </w:r>
      <w:r w:rsidR="00836231" w:rsidRPr="00836231">
        <w:rPr>
          <w:rFonts w:asciiTheme="minorHAnsi" w:eastAsia="SimSun" w:hAnsiTheme="minorHAnsi" w:cstheme="minorBidi"/>
          <w:spacing w:val="2"/>
          <w:szCs w:val="24"/>
        </w:rPr>
        <w:t xml:space="preserve"> </w:t>
      </w:r>
      <w:proofErr w:type="spellStart"/>
      <w:proofErr w:type="gramStart"/>
      <w:r w:rsidRPr="00945F10">
        <w:rPr>
          <w:rFonts w:asciiTheme="minorHAnsi" w:eastAsia="SimSun" w:hAnsiTheme="minorHAnsi" w:cstheme="minorBidi"/>
          <w:spacing w:val="2"/>
          <w:szCs w:val="24"/>
        </w:rPr>
        <w:t>TR.OTTnum</w:t>
      </w:r>
      <w:proofErr w:type="spellEnd"/>
      <w:proofErr w:type="gramEnd"/>
      <w:r w:rsidRPr="00945F10">
        <w:rPr>
          <w:rFonts w:asciiTheme="minorHAnsi" w:eastAsia="SimSun" w:hAnsiTheme="minorHAnsi" w:cstheme="minorBidi"/>
          <w:spacing w:val="2"/>
          <w:szCs w:val="24"/>
        </w:rPr>
        <w:t xml:space="preserve"> </w:t>
      </w:r>
      <w:r w:rsidR="00691DCE">
        <w:rPr>
          <w:rFonts w:asciiTheme="minorHAnsi" w:eastAsia="SimSun" w:hAnsiTheme="minorHAnsi" w:cstheme="minorBidi"/>
          <w:spacing w:val="2"/>
          <w:szCs w:val="24"/>
        </w:rPr>
        <w:t>“</w:t>
      </w:r>
      <w:r w:rsidRPr="00945F10">
        <w:rPr>
          <w:rFonts w:asciiTheme="minorHAnsi" w:eastAsia="SimSun" w:hAnsiTheme="minorHAnsi" w:cstheme="minorBidi"/>
          <w:spacing w:val="2"/>
          <w:szCs w:val="24"/>
        </w:rPr>
        <w:t>Technical report: Current use of E.164 numbers as identifiers for OTTs</w:t>
      </w:r>
      <w:r w:rsidR="00691DCE">
        <w:rPr>
          <w:rFonts w:asciiTheme="minorHAnsi" w:eastAsia="SimSun" w:hAnsiTheme="minorHAnsi" w:cstheme="minorBidi"/>
          <w:spacing w:val="2"/>
          <w:szCs w:val="24"/>
        </w:rPr>
        <w:t>”</w:t>
      </w:r>
      <w:r w:rsidRPr="00945F10">
        <w:rPr>
          <w:rFonts w:asciiTheme="minorHAnsi" w:eastAsia="SimSun" w:hAnsiTheme="minorHAnsi" w:cstheme="minorBidi"/>
          <w:spacing w:val="2"/>
          <w:szCs w:val="24"/>
        </w:rPr>
        <w:t xml:space="preserve">, which is scheduled to be agreed during 2026, </w:t>
      </w:r>
      <w:proofErr w:type="spellStart"/>
      <w:proofErr w:type="gramStart"/>
      <w:r w:rsidRPr="00945F10">
        <w:rPr>
          <w:rFonts w:asciiTheme="minorHAnsi" w:eastAsia="SimSun" w:hAnsiTheme="minorHAnsi" w:cstheme="minorBidi"/>
          <w:spacing w:val="2"/>
          <w:szCs w:val="24"/>
        </w:rPr>
        <w:t>TR.OTTNumMgt</w:t>
      </w:r>
      <w:proofErr w:type="spellEnd"/>
      <w:proofErr w:type="gramEnd"/>
      <w:r w:rsidRPr="00945F10">
        <w:rPr>
          <w:rFonts w:asciiTheme="minorHAnsi" w:eastAsia="SimSun" w:hAnsiTheme="minorHAnsi" w:cstheme="minorBidi"/>
          <w:spacing w:val="2"/>
          <w:szCs w:val="24"/>
        </w:rPr>
        <w:t xml:space="preserve">, </w:t>
      </w:r>
      <w:r w:rsidR="00691DCE">
        <w:rPr>
          <w:rFonts w:asciiTheme="minorHAnsi" w:eastAsia="SimSun" w:hAnsiTheme="minorHAnsi" w:cstheme="minorBidi"/>
          <w:spacing w:val="2"/>
          <w:szCs w:val="24"/>
        </w:rPr>
        <w:t>“</w:t>
      </w:r>
      <w:r w:rsidRPr="00945F10">
        <w:rPr>
          <w:rFonts w:asciiTheme="minorHAnsi" w:eastAsia="SimSun" w:hAnsiTheme="minorHAnsi" w:cstheme="minorBidi"/>
          <w:spacing w:val="2"/>
          <w:szCs w:val="24"/>
        </w:rPr>
        <w:t>Technical Report on OTT numbering management</w:t>
      </w:r>
      <w:r w:rsidR="00691DCE">
        <w:rPr>
          <w:rFonts w:asciiTheme="minorHAnsi" w:eastAsia="SimSun" w:hAnsiTheme="minorHAnsi" w:cstheme="minorBidi"/>
          <w:spacing w:val="2"/>
          <w:szCs w:val="24"/>
        </w:rPr>
        <w:t>”</w:t>
      </w:r>
      <w:r w:rsidRPr="00945F10">
        <w:rPr>
          <w:rFonts w:asciiTheme="minorHAnsi" w:eastAsia="SimSun" w:hAnsiTheme="minorHAnsi" w:cstheme="minorBidi"/>
          <w:spacing w:val="2"/>
          <w:szCs w:val="24"/>
        </w:rPr>
        <w:t xml:space="preserve"> </w:t>
      </w:r>
      <w:r w:rsidRPr="00945F10">
        <w:rPr>
          <w:rFonts w:asciiTheme="minorHAnsi" w:eastAsia="SimSun" w:hAnsiTheme="minorHAnsi" w:cstheme="minorBidi"/>
          <w:szCs w:val="24"/>
        </w:rPr>
        <w:t xml:space="preserve">and draft Recommendation ITU-T E.ACP </w:t>
      </w:r>
      <w:r w:rsidR="00691DCE">
        <w:rPr>
          <w:rFonts w:asciiTheme="minorHAnsi" w:eastAsia="SimSun" w:hAnsiTheme="minorHAnsi" w:cstheme="minorBidi"/>
          <w:szCs w:val="24"/>
        </w:rPr>
        <w:t>“</w:t>
      </w:r>
      <w:r w:rsidRPr="00945F10">
        <w:rPr>
          <w:rFonts w:asciiTheme="minorHAnsi" w:eastAsia="SimSun" w:hAnsiTheme="minorHAnsi" w:cstheme="minorBidi"/>
          <w:szCs w:val="24"/>
        </w:rPr>
        <w:t>Alternative calling procedures</w:t>
      </w:r>
      <w:r w:rsidR="00691DCE">
        <w:rPr>
          <w:rFonts w:asciiTheme="minorHAnsi" w:eastAsia="SimSun" w:hAnsiTheme="minorHAnsi" w:cstheme="minorBidi"/>
          <w:szCs w:val="24"/>
        </w:rPr>
        <w:t>”</w:t>
      </w:r>
      <w:r w:rsidRPr="00945F10">
        <w:rPr>
          <w:rFonts w:asciiTheme="minorHAnsi" w:eastAsia="SimSun" w:hAnsiTheme="minorHAnsi" w:cstheme="minorBidi"/>
          <w:spacing w:val="2"/>
          <w:szCs w:val="24"/>
        </w:rPr>
        <w:t>.</w:t>
      </w:r>
    </w:p>
    <w:p w14:paraId="13F9C25D" w14:textId="4C9AA9BB" w:rsidR="00945F10" w:rsidRPr="00945F10" w:rsidRDefault="00945F10" w:rsidP="00924AD5">
      <w:pPr>
        <w:jc w:val="both"/>
        <w:rPr>
          <w:rFonts w:asciiTheme="minorHAnsi" w:eastAsia="SimSun" w:hAnsiTheme="minorHAnsi" w:cstheme="minorBidi"/>
        </w:rPr>
      </w:pPr>
      <w:r w:rsidRPr="00945F10">
        <w:rPr>
          <w:rFonts w:asciiTheme="minorHAnsi" w:eastAsia="SimSun" w:hAnsiTheme="minorHAnsi" w:cstheme="minorBidi"/>
          <w:b/>
          <w:bCs/>
          <w:spacing w:val="2"/>
          <w:szCs w:val="24"/>
        </w:rPr>
        <w:t>7.3</w:t>
      </w:r>
      <w:r w:rsidRPr="00945F10">
        <w:rPr>
          <w:rFonts w:asciiTheme="minorHAnsi" w:eastAsia="SimSun" w:hAnsiTheme="minorHAnsi" w:cstheme="minorBidi"/>
          <w:spacing w:val="2"/>
          <w:szCs w:val="24"/>
        </w:rPr>
        <w:tab/>
      </w:r>
      <w:r w:rsidRPr="00945F10">
        <w:rPr>
          <w:rFonts w:asciiTheme="minorHAnsi" w:eastAsia="SimSun" w:hAnsiTheme="minorHAnsi" w:cstheme="minorBidi"/>
          <w:b/>
          <w:bCs/>
          <w:szCs w:val="24"/>
        </w:rPr>
        <w:t xml:space="preserve">ITU-T SG3 </w:t>
      </w:r>
      <w:r w:rsidRPr="00945F10">
        <w:rPr>
          <w:rFonts w:asciiTheme="minorHAnsi" w:eastAsia="SimSun" w:hAnsiTheme="minorHAnsi" w:cstheme="minorBidi"/>
          <w:szCs w:val="24"/>
        </w:rPr>
        <w:t>progressed on work</w:t>
      </w:r>
      <w:r w:rsidRPr="00945F10">
        <w:rPr>
          <w:szCs w:val="24"/>
        </w:rPr>
        <w:t xml:space="preserve"> </w:t>
      </w:r>
      <w:r w:rsidRPr="00945F10">
        <w:rPr>
          <w:rFonts w:asciiTheme="minorHAnsi" w:eastAsia="SimSun" w:hAnsiTheme="minorHAnsi" w:cstheme="minorBidi"/>
          <w:szCs w:val="24"/>
        </w:rPr>
        <w:t xml:space="preserve">items </w:t>
      </w:r>
      <w:proofErr w:type="spellStart"/>
      <w:proofErr w:type="gramStart"/>
      <w:r w:rsidRPr="00945F10">
        <w:rPr>
          <w:rFonts w:asciiTheme="minorHAnsi" w:eastAsia="SimSun" w:hAnsiTheme="minorHAnsi" w:cstheme="minorBidi"/>
          <w:szCs w:val="24"/>
        </w:rPr>
        <w:t>D.GuidelinesCostContribution</w:t>
      </w:r>
      <w:proofErr w:type="spellEnd"/>
      <w:proofErr w:type="gramEnd"/>
      <w:r w:rsidRPr="00945F10">
        <w:rPr>
          <w:rFonts w:asciiTheme="minorHAnsi" w:eastAsia="SimSun" w:hAnsiTheme="minorHAnsi" w:cstheme="minorBidi"/>
          <w:szCs w:val="24"/>
        </w:rPr>
        <w:t xml:space="preserve"> </w:t>
      </w:r>
      <w:r w:rsidR="00691DCE">
        <w:rPr>
          <w:rFonts w:asciiTheme="minorHAnsi" w:eastAsia="SimSun" w:hAnsiTheme="minorHAnsi" w:cstheme="minorBidi"/>
          <w:szCs w:val="24"/>
        </w:rPr>
        <w:t>“</w:t>
      </w:r>
      <w:r w:rsidRPr="00945F10">
        <w:rPr>
          <w:rFonts w:asciiTheme="minorHAnsi" w:eastAsia="SimSun" w:hAnsiTheme="minorHAnsi" w:cstheme="minorBidi"/>
          <w:szCs w:val="24"/>
        </w:rPr>
        <w:t>Guidelines on Potential Cost Contribution mechanisms between OTT service providers and telecom network service operators towards the expansion and development of high-capacity telecom networks</w:t>
      </w:r>
      <w:r w:rsidR="00691DCE">
        <w:rPr>
          <w:rFonts w:asciiTheme="minorHAnsi" w:eastAsia="SimSun" w:hAnsiTheme="minorHAnsi" w:cstheme="minorBidi"/>
          <w:szCs w:val="24"/>
        </w:rPr>
        <w:t>”</w:t>
      </w:r>
      <w:r w:rsidRPr="00945F10">
        <w:rPr>
          <w:rFonts w:asciiTheme="minorHAnsi" w:eastAsia="SimSun" w:hAnsiTheme="minorHAnsi" w:cstheme="minorBidi"/>
          <w:szCs w:val="24"/>
        </w:rPr>
        <w:t xml:space="preserve"> and </w:t>
      </w:r>
      <w:proofErr w:type="spellStart"/>
      <w:r w:rsidRPr="00945F10">
        <w:rPr>
          <w:rFonts w:asciiTheme="minorHAnsi" w:eastAsia="SimSun" w:hAnsiTheme="minorHAnsi" w:cstheme="minorBidi"/>
          <w:szCs w:val="24"/>
        </w:rPr>
        <w:t>Study_OTTs</w:t>
      </w:r>
      <w:proofErr w:type="spellEnd"/>
      <w:r w:rsidRPr="00945F10">
        <w:rPr>
          <w:rFonts w:asciiTheme="minorHAnsi" w:eastAsia="SimSun" w:hAnsiTheme="minorHAnsi" w:cstheme="minorBidi"/>
          <w:szCs w:val="24"/>
        </w:rPr>
        <w:t xml:space="preserve"> </w:t>
      </w:r>
      <w:r w:rsidR="00691DCE">
        <w:rPr>
          <w:rFonts w:asciiTheme="minorHAnsi" w:eastAsia="SimSun" w:hAnsiTheme="minorHAnsi" w:cstheme="minorBidi"/>
          <w:szCs w:val="24"/>
        </w:rPr>
        <w:t>“</w:t>
      </w:r>
      <w:r w:rsidRPr="00945F10">
        <w:rPr>
          <w:rFonts w:asciiTheme="minorHAnsi" w:eastAsia="SimSun" w:hAnsiTheme="minorHAnsi" w:cstheme="minorBidi"/>
          <w:szCs w:val="24"/>
        </w:rPr>
        <w:t>Study on policy, regulatory, and economic aspects</w:t>
      </w:r>
      <w:r w:rsidRPr="00945F10">
        <w:rPr>
          <w:rFonts w:asciiTheme="minorHAnsi" w:eastAsia="SimSun" w:hAnsiTheme="minorHAnsi" w:cstheme="minorBidi"/>
        </w:rPr>
        <w:t xml:space="preserve"> of OTTs in the context of international telecommunication/ICT services and networks</w:t>
      </w:r>
      <w:r w:rsidR="00691DCE">
        <w:rPr>
          <w:rFonts w:asciiTheme="minorHAnsi" w:eastAsia="SimSun" w:hAnsiTheme="minorHAnsi" w:cstheme="minorBidi"/>
        </w:rPr>
        <w:t>”</w:t>
      </w:r>
      <w:r w:rsidRPr="00945F10">
        <w:rPr>
          <w:rFonts w:asciiTheme="minorHAnsi" w:eastAsia="SimSun" w:hAnsiTheme="minorHAnsi" w:cstheme="minorBidi"/>
        </w:rPr>
        <w:t xml:space="preserve">. Other OTT related work items within ITU-T SG3 include </w:t>
      </w:r>
      <w:proofErr w:type="spellStart"/>
      <w:proofErr w:type="gramStart"/>
      <w:r w:rsidRPr="00945F10">
        <w:rPr>
          <w:rFonts w:asciiTheme="minorHAnsi" w:eastAsia="SimSun" w:hAnsiTheme="minorHAnsi" w:cstheme="minorBidi"/>
        </w:rPr>
        <w:t>D.OTTBypass</w:t>
      </w:r>
      <w:proofErr w:type="spellEnd"/>
      <w:proofErr w:type="gramEnd"/>
      <w:r w:rsidRPr="00945F10">
        <w:rPr>
          <w:rFonts w:asciiTheme="minorHAnsi" w:eastAsia="SimSun" w:hAnsiTheme="minorHAnsi" w:cstheme="minorBidi"/>
        </w:rPr>
        <w:t xml:space="preserve"> </w:t>
      </w:r>
      <w:r w:rsidR="00691DCE">
        <w:rPr>
          <w:rFonts w:asciiTheme="minorHAnsi" w:eastAsia="SimSun" w:hAnsiTheme="minorHAnsi" w:cstheme="minorBidi"/>
        </w:rPr>
        <w:t>“</w:t>
      </w:r>
      <w:r w:rsidRPr="00945F10">
        <w:rPr>
          <w:rFonts w:asciiTheme="minorHAnsi" w:eastAsia="SimSun" w:hAnsiTheme="minorHAnsi" w:cstheme="minorBidi"/>
        </w:rPr>
        <w:t>OTT Bypass</w:t>
      </w:r>
      <w:r w:rsidR="00691DCE">
        <w:rPr>
          <w:rFonts w:asciiTheme="minorHAnsi" w:eastAsia="SimSun" w:hAnsiTheme="minorHAnsi" w:cstheme="minorBidi"/>
        </w:rPr>
        <w:t>”</w:t>
      </w:r>
      <w:r w:rsidRPr="00945F10">
        <w:rPr>
          <w:rFonts w:asciiTheme="minorHAnsi" w:eastAsia="SimSun" w:hAnsiTheme="minorHAnsi" w:cstheme="minorBidi"/>
        </w:rPr>
        <w:t xml:space="preserve">, </w:t>
      </w:r>
      <w:proofErr w:type="spellStart"/>
      <w:r w:rsidRPr="00945F10">
        <w:rPr>
          <w:rFonts w:asciiTheme="minorHAnsi" w:eastAsia="SimSun" w:hAnsiTheme="minorHAnsi" w:cstheme="minorBidi"/>
        </w:rPr>
        <w:t>D7_R_OTTBypass</w:t>
      </w:r>
      <w:proofErr w:type="spellEnd"/>
      <w:r w:rsidRPr="00945F10">
        <w:rPr>
          <w:rFonts w:asciiTheme="minorHAnsi" w:eastAsia="SimSun" w:hAnsiTheme="minorHAnsi" w:cstheme="minorBidi"/>
        </w:rPr>
        <w:t xml:space="preserve"> </w:t>
      </w:r>
      <w:r w:rsidR="00691DCE">
        <w:rPr>
          <w:rFonts w:asciiTheme="minorHAnsi" w:eastAsia="SimSun" w:hAnsiTheme="minorHAnsi" w:cstheme="minorBidi"/>
        </w:rPr>
        <w:t>“</w:t>
      </w:r>
      <w:r w:rsidRPr="00945F10">
        <w:rPr>
          <w:rFonts w:asciiTheme="minorHAnsi" w:eastAsia="SimSun" w:hAnsiTheme="minorHAnsi" w:cstheme="minorBidi"/>
        </w:rPr>
        <w:t>Regional Recommendation (ARB) on OTT bypass including national and regional collaboration between Member States and operators to deal with the OTT bypass issue</w:t>
      </w:r>
      <w:r w:rsidR="00691DCE">
        <w:rPr>
          <w:rFonts w:asciiTheme="minorHAnsi" w:eastAsia="SimSun" w:hAnsiTheme="minorHAnsi" w:cstheme="minorBidi"/>
        </w:rPr>
        <w:t>”</w:t>
      </w:r>
      <w:r w:rsidRPr="00945F10">
        <w:rPr>
          <w:rFonts w:asciiTheme="minorHAnsi" w:eastAsia="SimSun" w:hAnsiTheme="minorHAnsi" w:cstheme="minorBidi"/>
        </w:rPr>
        <w:t xml:space="preserve">, and </w:t>
      </w:r>
      <w:proofErr w:type="spellStart"/>
      <w:r w:rsidRPr="00945F10">
        <w:rPr>
          <w:rFonts w:asciiTheme="minorHAnsi" w:eastAsia="SimSun" w:hAnsiTheme="minorHAnsi" w:cstheme="minorBidi"/>
        </w:rPr>
        <w:t>Study_OTTnetworkinvestment</w:t>
      </w:r>
      <w:proofErr w:type="spellEnd"/>
      <w:r w:rsidRPr="00945F10">
        <w:rPr>
          <w:rFonts w:asciiTheme="minorHAnsi" w:eastAsia="SimSun" w:hAnsiTheme="minorHAnsi" w:cstheme="minorBidi"/>
        </w:rPr>
        <w:t xml:space="preserve"> </w:t>
      </w:r>
      <w:r w:rsidR="00691DCE">
        <w:rPr>
          <w:rFonts w:asciiTheme="minorHAnsi" w:eastAsia="SimSun" w:hAnsiTheme="minorHAnsi" w:cstheme="minorBidi"/>
        </w:rPr>
        <w:t>“</w:t>
      </w:r>
      <w:r w:rsidRPr="00945F10">
        <w:rPr>
          <w:rFonts w:asciiTheme="minorHAnsi" w:eastAsia="SimSun" w:hAnsiTheme="minorHAnsi" w:cstheme="minorBidi"/>
        </w:rPr>
        <w:t>Regional Technical Report (LAC) on OTTs Impact on Telecommunications Network Investment</w:t>
      </w:r>
      <w:r w:rsidR="00691DCE">
        <w:rPr>
          <w:rFonts w:asciiTheme="minorHAnsi" w:eastAsia="SimSun" w:hAnsiTheme="minorHAnsi" w:cstheme="minorBidi"/>
        </w:rPr>
        <w:t>”</w:t>
      </w:r>
      <w:r w:rsidRPr="00945F10">
        <w:rPr>
          <w:rFonts w:asciiTheme="minorHAnsi" w:eastAsia="SimSun" w:hAnsiTheme="minorHAnsi" w:cstheme="minorBidi"/>
        </w:rPr>
        <w:t xml:space="preserve">.  </w:t>
      </w:r>
    </w:p>
    <w:p w14:paraId="6FA21C82" w14:textId="704EE31D" w:rsidR="00945F10" w:rsidRPr="00945F10" w:rsidRDefault="00945F10" w:rsidP="00924AD5">
      <w:pPr>
        <w:jc w:val="both"/>
        <w:rPr>
          <w:rFonts w:asciiTheme="minorHAnsi" w:eastAsia="SimSun" w:hAnsiTheme="minorHAnsi" w:cstheme="minorBidi"/>
        </w:rPr>
      </w:pPr>
      <w:r w:rsidRPr="00945F10">
        <w:rPr>
          <w:rFonts w:asciiTheme="minorHAnsi" w:eastAsia="SimSun" w:hAnsiTheme="minorHAnsi" w:cstheme="minorBidi"/>
        </w:rPr>
        <w:t xml:space="preserve">In 2025, ITU-T SG3 adopted new ITU-T Technical Report </w:t>
      </w:r>
      <w:proofErr w:type="spellStart"/>
      <w:r w:rsidRPr="00945F10">
        <w:rPr>
          <w:rFonts w:asciiTheme="minorHAnsi" w:eastAsia="SimSun" w:hAnsiTheme="minorHAnsi" w:cstheme="minorBidi"/>
        </w:rPr>
        <w:t>DSTR_OTTReporting</w:t>
      </w:r>
      <w:proofErr w:type="spellEnd"/>
      <w:r w:rsidRPr="00945F10">
        <w:rPr>
          <w:rFonts w:asciiTheme="minorHAnsi" w:eastAsia="SimSun" w:hAnsiTheme="minorHAnsi" w:cstheme="minorBidi"/>
        </w:rPr>
        <w:t xml:space="preserve"> </w:t>
      </w:r>
      <w:r w:rsidR="00691DCE">
        <w:rPr>
          <w:rFonts w:asciiTheme="minorHAnsi" w:eastAsia="SimSun" w:hAnsiTheme="minorHAnsi" w:cstheme="minorBidi"/>
        </w:rPr>
        <w:t>“</w:t>
      </w:r>
      <w:r w:rsidRPr="00945F10">
        <w:rPr>
          <w:rFonts w:asciiTheme="minorHAnsi" w:eastAsia="SimSun" w:hAnsiTheme="minorHAnsi" w:cstheme="minorBidi"/>
        </w:rPr>
        <w:t>Establishing International Reporting Standards for OTT Applications</w:t>
      </w:r>
      <w:r w:rsidR="00691DCE">
        <w:rPr>
          <w:rFonts w:asciiTheme="minorHAnsi" w:eastAsia="SimSun" w:hAnsiTheme="minorHAnsi" w:cstheme="minorBidi"/>
        </w:rPr>
        <w:t>”</w:t>
      </w:r>
      <w:r w:rsidRPr="00945F10">
        <w:rPr>
          <w:rFonts w:asciiTheme="minorHAnsi" w:eastAsia="SimSun" w:hAnsiTheme="minorHAnsi" w:cstheme="minorBidi"/>
        </w:rPr>
        <w:t>.</w:t>
      </w:r>
    </w:p>
    <w:p w14:paraId="392CA64E" w14:textId="67B62A38" w:rsidR="00945F10" w:rsidRPr="00945F10" w:rsidRDefault="00945F10" w:rsidP="00924AD5">
      <w:pPr>
        <w:jc w:val="both"/>
        <w:rPr>
          <w:rFonts w:asciiTheme="minorHAnsi" w:eastAsia="SimSun" w:hAnsiTheme="minorHAnsi" w:cstheme="minorBidi"/>
        </w:rPr>
      </w:pPr>
      <w:r w:rsidRPr="00945F10">
        <w:rPr>
          <w:rFonts w:asciiTheme="minorHAnsi" w:eastAsia="SimSun" w:hAnsiTheme="minorHAnsi" w:cstheme="minorBidi"/>
        </w:rPr>
        <w:t>In addition to the above, in 2025, ITU-T SGs 2 and 3 held a joint Rapporteur Group meeting on OTT related definitions. An additional joint meeting will be held in June 2026.</w:t>
      </w:r>
    </w:p>
    <w:p w14:paraId="4D0BBDB5" w14:textId="4DC51350" w:rsidR="00945F10" w:rsidRPr="00945F10" w:rsidRDefault="00945F10" w:rsidP="00924AD5">
      <w:pPr>
        <w:jc w:val="both"/>
      </w:pPr>
      <w:r w:rsidRPr="00945F10">
        <w:rPr>
          <w:rFonts w:asciiTheme="minorHAnsi" w:eastAsia="SimSun" w:hAnsiTheme="minorHAnsi" w:cstheme="minorBidi"/>
          <w:b/>
          <w:bCs/>
        </w:rPr>
        <w:t>7.4</w:t>
      </w:r>
      <w:r w:rsidRPr="00945F10">
        <w:rPr>
          <w:rFonts w:asciiTheme="minorHAnsi" w:eastAsia="SimSun" w:hAnsiTheme="minorHAnsi" w:cstheme="minorBidi"/>
        </w:rPr>
        <w:tab/>
        <w:t xml:space="preserve">ITU-T SG12 started working on a new Technical Report </w:t>
      </w:r>
      <w:hyperlink r:id="rId66" w:history="1">
        <w:proofErr w:type="spellStart"/>
        <w:r w:rsidRPr="00945F10">
          <w:rPr>
            <w:rFonts w:asciiTheme="minorHAnsi" w:eastAsia="SimSun" w:hAnsiTheme="minorHAnsi" w:cstheme="minorBidi"/>
            <w:color w:val="4F81BD" w:themeColor="accent1"/>
            <w:u w:val="single"/>
          </w:rPr>
          <w:t>ESTR.OTTperf</w:t>
        </w:r>
        <w:proofErr w:type="spellEnd"/>
      </w:hyperlink>
      <w:r w:rsidRPr="00945F10">
        <w:rPr>
          <w:rFonts w:asciiTheme="minorHAnsi" w:eastAsia="SimSun" w:hAnsiTheme="minorHAnsi" w:cstheme="minorBidi"/>
        </w:rPr>
        <w:t xml:space="preserve"> </w:t>
      </w:r>
      <w:r w:rsidR="00691DCE">
        <w:rPr>
          <w:rFonts w:asciiTheme="minorHAnsi" w:eastAsia="SimSun" w:hAnsiTheme="minorHAnsi" w:cstheme="minorBidi"/>
        </w:rPr>
        <w:t>“</w:t>
      </w:r>
      <w:r w:rsidRPr="00945F10">
        <w:rPr>
          <w:rFonts w:asciiTheme="minorHAnsi" w:eastAsia="SimSun" w:hAnsiTheme="minorHAnsi" w:cstheme="minorBidi"/>
        </w:rPr>
        <w:t>Case studies on monitoring OTT performance</w:t>
      </w:r>
      <w:r w:rsidR="00691DCE">
        <w:rPr>
          <w:rFonts w:asciiTheme="minorHAnsi" w:eastAsia="SimSun" w:hAnsiTheme="minorHAnsi" w:cstheme="minorBidi"/>
        </w:rPr>
        <w:t>”</w:t>
      </w:r>
      <w:r w:rsidRPr="00945F10">
        <w:rPr>
          <w:rFonts w:asciiTheme="minorHAnsi" w:eastAsia="SimSun" w:hAnsiTheme="minorHAnsi" w:cstheme="minorBidi"/>
        </w:rPr>
        <w:t xml:space="preserve"> and SG21 started working on a new Technical Report </w:t>
      </w:r>
      <w:hyperlink r:id="rId67" w:history="1">
        <w:r w:rsidRPr="00945F10">
          <w:rPr>
            <w:rFonts w:asciiTheme="minorHAnsi" w:eastAsia="SimSun" w:hAnsiTheme="minorHAnsi" w:cstheme="minorBidi"/>
            <w:color w:val="4F81BD" w:themeColor="accent1"/>
            <w:u w:val="single"/>
          </w:rPr>
          <w:t>JSTR.CASDRM-INT</w:t>
        </w:r>
      </w:hyperlink>
      <w:r w:rsidRPr="00945F10">
        <w:rPr>
          <w:rFonts w:asciiTheme="minorHAnsi" w:eastAsia="SimSun" w:hAnsiTheme="minorHAnsi" w:cstheme="minorBidi"/>
        </w:rPr>
        <w:t xml:space="preserve"> </w:t>
      </w:r>
      <w:r w:rsidR="00691DCE">
        <w:rPr>
          <w:rFonts w:asciiTheme="minorHAnsi" w:eastAsia="SimSun" w:hAnsiTheme="minorHAnsi" w:cstheme="minorBidi"/>
        </w:rPr>
        <w:t>“</w:t>
      </w:r>
      <w:r w:rsidRPr="00945F10">
        <w:rPr>
          <w:rFonts w:asciiTheme="minorHAnsi" w:eastAsia="SimSun" w:hAnsiTheme="minorHAnsi" w:cstheme="minorBidi"/>
        </w:rPr>
        <w:t>Technical Feasibility for CAS/SMS-DRM Integration across Broadcast, Cable, IPTV, and OTT Systems</w:t>
      </w:r>
      <w:r w:rsidR="00691DCE">
        <w:rPr>
          <w:rFonts w:asciiTheme="minorHAnsi" w:eastAsia="SimSun" w:hAnsiTheme="minorHAnsi" w:cstheme="minorBidi"/>
        </w:rPr>
        <w:t>”</w:t>
      </w:r>
      <w:r w:rsidRPr="00945F10">
        <w:rPr>
          <w:rFonts w:asciiTheme="minorHAnsi" w:eastAsia="SimSun" w:hAnsiTheme="minorHAnsi" w:cstheme="minorBidi"/>
        </w:rPr>
        <w:t>.</w:t>
      </w:r>
    </w:p>
    <w:p w14:paraId="5679AE6E" w14:textId="77777777" w:rsidR="00945F10" w:rsidRPr="00945F10" w:rsidRDefault="00945F10" w:rsidP="00945F10">
      <w:pPr>
        <w:spacing w:before="720"/>
        <w:jc w:val="center"/>
      </w:pPr>
      <w:r w:rsidRPr="00945F10">
        <w:t>______________</w:t>
      </w:r>
      <w:bookmarkEnd w:id="3"/>
      <w:bookmarkEnd w:id="4"/>
      <w:bookmarkEnd w:id="5"/>
      <w:bookmarkEnd w:id="10"/>
    </w:p>
    <w:sectPr w:rsidR="00945F10" w:rsidRPr="00945F10" w:rsidSect="00AD3606">
      <w:footerReference w:type="default" r:id="rId68"/>
      <w:headerReference w:type="first" r:id="rId69"/>
      <w:footerReference w:type="first" r:id="rId7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95685" w14:textId="77777777" w:rsidR="00B928F6" w:rsidRDefault="00B928F6">
      <w:r>
        <w:separator/>
      </w:r>
    </w:p>
  </w:endnote>
  <w:endnote w:type="continuationSeparator" w:id="0">
    <w:p w14:paraId="2F2BE12E" w14:textId="77777777" w:rsidR="00B928F6" w:rsidRDefault="00B92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3F43724F" w14:textId="77777777" w:rsidTr="0042469C">
      <w:trPr>
        <w:jc w:val="center"/>
      </w:trPr>
      <w:tc>
        <w:tcPr>
          <w:tcW w:w="1803" w:type="dxa"/>
          <w:vAlign w:val="center"/>
        </w:tcPr>
        <w:p w14:paraId="6595CA0F" w14:textId="77777777" w:rsidR="00EE49E8" w:rsidRDefault="00C6520B" w:rsidP="00EE49E8">
          <w:pPr>
            <w:pStyle w:val="Header"/>
            <w:jc w:val="left"/>
            <w:rPr>
              <w:noProof/>
            </w:rPr>
          </w:pPr>
          <w:r>
            <w:rPr>
              <w:noProof/>
            </w:rPr>
            <w:t>gDoc #</w:t>
          </w:r>
        </w:p>
      </w:tc>
      <w:tc>
        <w:tcPr>
          <w:tcW w:w="8261" w:type="dxa"/>
        </w:tcPr>
        <w:p w14:paraId="3E7590DE" w14:textId="3CBE2BF9"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945F10">
            <w:rPr>
              <w:bCs/>
            </w:rPr>
            <w:t>33</w:t>
          </w:r>
          <w:r w:rsidRPr="00623AE3">
            <w:rPr>
              <w:bCs/>
            </w:rPr>
            <w:t>-E</w:t>
          </w:r>
          <w:r>
            <w:rPr>
              <w:bCs/>
            </w:rPr>
            <w:tab/>
          </w:r>
          <w:r>
            <w:fldChar w:fldCharType="begin"/>
          </w:r>
          <w:r>
            <w:instrText>PAGE</w:instrText>
          </w:r>
          <w:r>
            <w:fldChar w:fldCharType="separate"/>
          </w:r>
          <w:r>
            <w:t>1</w:t>
          </w:r>
          <w:r>
            <w:rPr>
              <w:noProof/>
            </w:rPr>
            <w:fldChar w:fldCharType="end"/>
          </w:r>
        </w:p>
      </w:tc>
    </w:tr>
  </w:tbl>
  <w:p w14:paraId="19851C7D"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26FC2068" w14:textId="77777777" w:rsidTr="006B77F1">
      <w:trPr>
        <w:jc w:val="center"/>
      </w:trPr>
      <w:tc>
        <w:tcPr>
          <w:tcW w:w="1803" w:type="dxa"/>
          <w:vAlign w:val="center"/>
        </w:tcPr>
        <w:p w14:paraId="7478A3BA" w14:textId="77777777" w:rsidR="00EE49E8" w:rsidRPr="006B77F1" w:rsidRDefault="00DE532B" w:rsidP="00EE49E8">
          <w:pPr>
            <w:pStyle w:val="Header"/>
            <w:jc w:val="left"/>
            <w:rPr>
              <w:noProof/>
            </w:rPr>
          </w:pPr>
          <w:hyperlink r:id="rId1" w:history="1">
            <w:proofErr w:type="spellStart"/>
            <w:r>
              <w:rPr>
                <w:rStyle w:val="Hyperlink"/>
                <w:u w:val="none"/>
              </w:rPr>
              <w:t>council.itu.int</w:t>
            </w:r>
            <w:proofErr w:type="spellEnd"/>
            <w:r>
              <w:rPr>
                <w:rStyle w:val="Hyperlink"/>
                <w:u w:val="none"/>
              </w:rPr>
              <w:t>/2026</w:t>
            </w:r>
          </w:hyperlink>
        </w:p>
      </w:tc>
      <w:tc>
        <w:tcPr>
          <w:tcW w:w="8261" w:type="dxa"/>
        </w:tcPr>
        <w:p w14:paraId="532E017E" w14:textId="3E98CDF3"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945F10">
            <w:rPr>
              <w:bCs/>
            </w:rPr>
            <w:t>33</w:t>
          </w:r>
          <w:r w:rsidRPr="00623AE3">
            <w:rPr>
              <w:bCs/>
            </w:rPr>
            <w:t>-E</w:t>
          </w:r>
          <w:r>
            <w:rPr>
              <w:bCs/>
            </w:rPr>
            <w:tab/>
          </w:r>
          <w:r>
            <w:fldChar w:fldCharType="begin"/>
          </w:r>
          <w:r>
            <w:instrText>PAGE</w:instrText>
          </w:r>
          <w:r>
            <w:fldChar w:fldCharType="separate"/>
          </w:r>
          <w:r>
            <w:t>1</w:t>
          </w:r>
          <w:r>
            <w:rPr>
              <w:noProof/>
            </w:rPr>
            <w:fldChar w:fldCharType="end"/>
          </w:r>
        </w:p>
      </w:tc>
    </w:tr>
  </w:tbl>
  <w:p w14:paraId="31740342"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7FDE3" w14:textId="77777777" w:rsidR="00B928F6" w:rsidRDefault="00B928F6">
      <w:r>
        <w:t>____________________</w:t>
      </w:r>
    </w:p>
  </w:footnote>
  <w:footnote w:type="continuationSeparator" w:id="0">
    <w:p w14:paraId="40DE5BF4" w14:textId="77777777" w:rsidR="00B928F6" w:rsidRDefault="00B92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68EF" w14:textId="24152C43" w:rsidR="00AD3606" w:rsidRPr="00512087" w:rsidRDefault="00512087" w:rsidP="0049369C">
    <w:pPr>
      <w:pStyle w:val="Header"/>
    </w:pPr>
    <w:r>
      <w:rPr>
        <w:noProof/>
      </w:rPr>
      <w:drawing>
        <wp:inline distT="0" distB="0" distL="0" distR="0" wp14:anchorId="5B4FCA86" wp14:editId="1FAECDCE">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28"/>
    <w:rsid w:val="000210D4"/>
    <w:rsid w:val="000264CF"/>
    <w:rsid w:val="0006007D"/>
    <w:rsid w:val="00063016"/>
    <w:rsid w:val="00066795"/>
    <w:rsid w:val="00076AF6"/>
    <w:rsid w:val="00085CD5"/>
    <w:rsid w:val="00085CF2"/>
    <w:rsid w:val="000B1705"/>
    <w:rsid w:val="000D4AF5"/>
    <w:rsid w:val="000D75B2"/>
    <w:rsid w:val="000E3517"/>
    <w:rsid w:val="000E372C"/>
    <w:rsid w:val="000F25AA"/>
    <w:rsid w:val="000F5DDB"/>
    <w:rsid w:val="001121F5"/>
    <w:rsid w:val="001400DC"/>
    <w:rsid w:val="00140CE1"/>
    <w:rsid w:val="0015189A"/>
    <w:rsid w:val="0017539C"/>
    <w:rsid w:val="00175AC2"/>
    <w:rsid w:val="0017609F"/>
    <w:rsid w:val="00176F47"/>
    <w:rsid w:val="001A3154"/>
    <w:rsid w:val="001A7D1D"/>
    <w:rsid w:val="001B51DD"/>
    <w:rsid w:val="001C628E"/>
    <w:rsid w:val="001E0F7B"/>
    <w:rsid w:val="001F5569"/>
    <w:rsid w:val="0020487B"/>
    <w:rsid w:val="002076D0"/>
    <w:rsid w:val="002119FD"/>
    <w:rsid w:val="002130E0"/>
    <w:rsid w:val="00221F46"/>
    <w:rsid w:val="00264425"/>
    <w:rsid w:val="00265875"/>
    <w:rsid w:val="0027303B"/>
    <w:rsid w:val="00276851"/>
    <w:rsid w:val="00277DEA"/>
    <w:rsid w:val="0028109B"/>
    <w:rsid w:val="002916B4"/>
    <w:rsid w:val="00291BE6"/>
    <w:rsid w:val="002A0615"/>
    <w:rsid w:val="002A133E"/>
    <w:rsid w:val="002A2188"/>
    <w:rsid w:val="002B1F58"/>
    <w:rsid w:val="002C1C7A"/>
    <w:rsid w:val="002C3B0F"/>
    <w:rsid w:val="002C3F32"/>
    <w:rsid w:val="002C54E2"/>
    <w:rsid w:val="0030160F"/>
    <w:rsid w:val="00320223"/>
    <w:rsid w:val="00322D0D"/>
    <w:rsid w:val="00361465"/>
    <w:rsid w:val="00372DAD"/>
    <w:rsid w:val="003843C7"/>
    <w:rsid w:val="003877F5"/>
    <w:rsid w:val="003936D3"/>
    <w:rsid w:val="003942D4"/>
    <w:rsid w:val="003958A8"/>
    <w:rsid w:val="003B29C2"/>
    <w:rsid w:val="003B4FAF"/>
    <w:rsid w:val="003C2533"/>
    <w:rsid w:val="003D5A7F"/>
    <w:rsid w:val="003F0228"/>
    <w:rsid w:val="0040435A"/>
    <w:rsid w:val="00416A24"/>
    <w:rsid w:val="00431D9E"/>
    <w:rsid w:val="00433CE8"/>
    <w:rsid w:val="00434A5C"/>
    <w:rsid w:val="00453079"/>
    <w:rsid w:val="004543B5"/>
    <w:rsid w:val="004544D9"/>
    <w:rsid w:val="00472BAD"/>
    <w:rsid w:val="00484009"/>
    <w:rsid w:val="00490E72"/>
    <w:rsid w:val="00491157"/>
    <w:rsid w:val="00491BA9"/>
    <w:rsid w:val="004921C8"/>
    <w:rsid w:val="0049369C"/>
    <w:rsid w:val="00495615"/>
    <w:rsid w:val="00495B0B"/>
    <w:rsid w:val="004A1B8B"/>
    <w:rsid w:val="004D1851"/>
    <w:rsid w:val="004D599D"/>
    <w:rsid w:val="004E2EA5"/>
    <w:rsid w:val="004E3AEB"/>
    <w:rsid w:val="0050223C"/>
    <w:rsid w:val="00512087"/>
    <w:rsid w:val="005243FF"/>
    <w:rsid w:val="00564FBC"/>
    <w:rsid w:val="005800BC"/>
    <w:rsid w:val="00582442"/>
    <w:rsid w:val="005A1A13"/>
    <w:rsid w:val="005F3269"/>
    <w:rsid w:val="0061071E"/>
    <w:rsid w:val="00623AE3"/>
    <w:rsid w:val="0064737F"/>
    <w:rsid w:val="006535F1"/>
    <w:rsid w:val="0065557D"/>
    <w:rsid w:val="00660D50"/>
    <w:rsid w:val="00662984"/>
    <w:rsid w:val="006716BB"/>
    <w:rsid w:val="00675659"/>
    <w:rsid w:val="00691DCE"/>
    <w:rsid w:val="006A2F4B"/>
    <w:rsid w:val="006B1859"/>
    <w:rsid w:val="006B6680"/>
    <w:rsid w:val="006B6DCC"/>
    <w:rsid w:val="006B77F1"/>
    <w:rsid w:val="00702DEF"/>
    <w:rsid w:val="00706861"/>
    <w:rsid w:val="00722551"/>
    <w:rsid w:val="0075051B"/>
    <w:rsid w:val="00765C89"/>
    <w:rsid w:val="0077110E"/>
    <w:rsid w:val="00793188"/>
    <w:rsid w:val="00794D34"/>
    <w:rsid w:val="007A3FCD"/>
    <w:rsid w:val="007B19CF"/>
    <w:rsid w:val="007C60B1"/>
    <w:rsid w:val="007D01AF"/>
    <w:rsid w:val="007D023F"/>
    <w:rsid w:val="00813E5E"/>
    <w:rsid w:val="00820ED8"/>
    <w:rsid w:val="0083581B"/>
    <w:rsid w:val="00836231"/>
    <w:rsid w:val="0084546D"/>
    <w:rsid w:val="00863874"/>
    <w:rsid w:val="00864AFF"/>
    <w:rsid w:val="00865925"/>
    <w:rsid w:val="008A3520"/>
    <w:rsid w:val="008B4A6A"/>
    <w:rsid w:val="008C7E27"/>
    <w:rsid w:val="008F7448"/>
    <w:rsid w:val="0090147A"/>
    <w:rsid w:val="00915EDB"/>
    <w:rsid w:val="009173EF"/>
    <w:rsid w:val="00924AD5"/>
    <w:rsid w:val="00932906"/>
    <w:rsid w:val="0094555A"/>
    <w:rsid w:val="00945F10"/>
    <w:rsid w:val="00954C49"/>
    <w:rsid w:val="00961B0B"/>
    <w:rsid w:val="00962D33"/>
    <w:rsid w:val="009842A1"/>
    <w:rsid w:val="009A76A8"/>
    <w:rsid w:val="009B38C3"/>
    <w:rsid w:val="009E17BD"/>
    <w:rsid w:val="009E485A"/>
    <w:rsid w:val="009E5B2B"/>
    <w:rsid w:val="009E719C"/>
    <w:rsid w:val="00A04CEC"/>
    <w:rsid w:val="00A109AF"/>
    <w:rsid w:val="00A27F92"/>
    <w:rsid w:val="00A32257"/>
    <w:rsid w:val="00A36D20"/>
    <w:rsid w:val="00A457E7"/>
    <w:rsid w:val="00A514A4"/>
    <w:rsid w:val="00A55622"/>
    <w:rsid w:val="00A83502"/>
    <w:rsid w:val="00A94BAB"/>
    <w:rsid w:val="00AD15B3"/>
    <w:rsid w:val="00AD3606"/>
    <w:rsid w:val="00AD4A3D"/>
    <w:rsid w:val="00AF6E49"/>
    <w:rsid w:val="00B04A67"/>
    <w:rsid w:val="00B0583C"/>
    <w:rsid w:val="00B40A81"/>
    <w:rsid w:val="00B44910"/>
    <w:rsid w:val="00B72267"/>
    <w:rsid w:val="00B76EB6"/>
    <w:rsid w:val="00B7737B"/>
    <w:rsid w:val="00B824C8"/>
    <w:rsid w:val="00B84B9D"/>
    <w:rsid w:val="00B9131F"/>
    <w:rsid w:val="00B928F6"/>
    <w:rsid w:val="00BB0646"/>
    <w:rsid w:val="00BB56B1"/>
    <w:rsid w:val="00BC251A"/>
    <w:rsid w:val="00BC4A20"/>
    <w:rsid w:val="00BD032B"/>
    <w:rsid w:val="00BE01C6"/>
    <w:rsid w:val="00BE2640"/>
    <w:rsid w:val="00BF1FDE"/>
    <w:rsid w:val="00BF4843"/>
    <w:rsid w:val="00BF5AD8"/>
    <w:rsid w:val="00C01189"/>
    <w:rsid w:val="00C0458D"/>
    <w:rsid w:val="00C374DE"/>
    <w:rsid w:val="00C47AD4"/>
    <w:rsid w:val="00C52D81"/>
    <w:rsid w:val="00C55198"/>
    <w:rsid w:val="00C6520B"/>
    <w:rsid w:val="00C84727"/>
    <w:rsid w:val="00CA6393"/>
    <w:rsid w:val="00CA7995"/>
    <w:rsid w:val="00CB18FF"/>
    <w:rsid w:val="00CD0C08"/>
    <w:rsid w:val="00CE03FB"/>
    <w:rsid w:val="00CE433C"/>
    <w:rsid w:val="00CF0161"/>
    <w:rsid w:val="00CF33F3"/>
    <w:rsid w:val="00CF4A2B"/>
    <w:rsid w:val="00D024CA"/>
    <w:rsid w:val="00D06183"/>
    <w:rsid w:val="00D22C42"/>
    <w:rsid w:val="00D65041"/>
    <w:rsid w:val="00D93829"/>
    <w:rsid w:val="00D94E72"/>
    <w:rsid w:val="00DB1936"/>
    <w:rsid w:val="00DB384B"/>
    <w:rsid w:val="00DC165F"/>
    <w:rsid w:val="00DE532B"/>
    <w:rsid w:val="00DF0189"/>
    <w:rsid w:val="00E02A25"/>
    <w:rsid w:val="00E06FD5"/>
    <w:rsid w:val="00E10E80"/>
    <w:rsid w:val="00E124F0"/>
    <w:rsid w:val="00E227F3"/>
    <w:rsid w:val="00E545C6"/>
    <w:rsid w:val="00E60F04"/>
    <w:rsid w:val="00E65B24"/>
    <w:rsid w:val="00E854E4"/>
    <w:rsid w:val="00E86DBF"/>
    <w:rsid w:val="00E969AF"/>
    <w:rsid w:val="00EB0D6F"/>
    <w:rsid w:val="00EB2232"/>
    <w:rsid w:val="00EC5337"/>
    <w:rsid w:val="00EE49E8"/>
    <w:rsid w:val="00F16BAB"/>
    <w:rsid w:val="00F2150A"/>
    <w:rsid w:val="00F231D8"/>
    <w:rsid w:val="00F44C00"/>
    <w:rsid w:val="00F45D2C"/>
    <w:rsid w:val="00F46C5F"/>
    <w:rsid w:val="00F508E2"/>
    <w:rsid w:val="00F53D74"/>
    <w:rsid w:val="00F632C0"/>
    <w:rsid w:val="00F641E1"/>
    <w:rsid w:val="00F94A63"/>
    <w:rsid w:val="00FA1C28"/>
    <w:rsid w:val="00FB1279"/>
    <w:rsid w:val="00FB6B76"/>
    <w:rsid w:val="00FB7596"/>
    <w:rsid w:val="00FE4077"/>
    <w:rsid w:val="00FE500D"/>
    <w:rsid w:val="00FE77D2"/>
    <w:rsid w:val="00FF39B1"/>
    <w:rsid w:val="588CE1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DA2C7"/>
  <w15:docId w15:val="{00424C29-6CEC-4733-9AF9-1DC74FB38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character" w:styleId="CommentReference">
    <w:name w:val="annotation reference"/>
    <w:basedOn w:val="DefaultParagraphFont"/>
    <w:semiHidden/>
    <w:unhideWhenUsed/>
    <w:rsid w:val="00945F10"/>
    <w:rPr>
      <w:sz w:val="16"/>
      <w:szCs w:val="16"/>
    </w:rPr>
  </w:style>
  <w:style w:type="paragraph" w:styleId="CommentText">
    <w:name w:val="annotation text"/>
    <w:basedOn w:val="Normal"/>
    <w:link w:val="CommentTextChar"/>
    <w:unhideWhenUsed/>
    <w:rsid w:val="00945F10"/>
    <w:rPr>
      <w:rFonts w:eastAsia="SimSun"/>
      <w:sz w:val="20"/>
    </w:rPr>
  </w:style>
  <w:style w:type="character" w:customStyle="1" w:styleId="CommentTextChar">
    <w:name w:val="Comment Text Char"/>
    <w:basedOn w:val="DefaultParagraphFont"/>
    <w:link w:val="CommentText"/>
    <w:rsid w:val="00945F10"/>
    <w:rPr>
      <w:rFonts w:ascii="Calibri" w:eastAsia="SimSun" w:hAnsi="Calibr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pub/T-RES-T.69-2024" TargetMode="External"/><Relationship Id="rId21" Type="http://schemas.openxmlformats.org/officeDocument/2006/relationships/hyperlink" Target="https://www.itu.int/pub/T-RES-T.50-2024" TargetMode="External"/><Relationship Id="rId42" Type="http://schemas.openxmlformats.org/officeDocument/2006/relationships/hyperlink" Target="https://u4ssc.itu.int/" TargetMode="External"/><Relationship Id="rId47" Type="http://schemas.openxmlformats.org/officeDocument/2006/relationships/hyperlink" Target="https://www.itu.int/en/ITU-T/focusgroups/ai4ndm/Pages/default.aspx" TargetMode="External"/><Relationship Id="rId63" Type="http://schemas.openxmlformats.org/officeDocument/2006/relationships/hyperlink" Target="https://www.itu.int/md/T25-SG02-260204-TD-PLEN-0423/en" TargetMode="External"/><Relationship Id="rId68"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tu.int/md/S09-CL-C-0105" TargetMode="External"/><Relationship Id="rId29" Type="http://schemas.openxmlformats.org/officeDocument/2006/relationships/hyperlink" Target="http://itu.int/go/wtdc25-final-report" TargetMode="External"/><Relationship Id="rId11" Type="http://schemas.openxmlformats.org/officeDocument/2006/relationships/hyperlink" Target="https://www.itu.int/en/council/Documents/basic-texts-2023/RES-101-E.pdf" TargetMode="External"/><Relationship Id="rId24" Type="http://schemas.openxmlformats.org/officeDocument/2006/relationships/hyperlink" Target="https://www.itu.int/pub/T-RES-T.60-2024" TargetMode="External"/><Relationship Id="rId32" Type="http://schemas.openxmlformats.org/officeDocument/2006/relationships/hyperlink" Target="https://www.itu.int/md/S17-CL-C-0033/en" TargetMode="External"/><Relationship Id="rId37" Type="http://schemas.openxmlformats.org/officeDocument/2006/relationships/hyperlink" Target="https://www.itu.int/md/S22-CL-C-0033/en" TargetMode="External"/><Relationship Id="rId40" Type="http://schemas.openxmlformats.org/officeDocument/2006/relationships/hyperlink" Target="https://www.itu.int/md/S25-CL-C-0033/en" TargetMode="External"/><Relationship Id="rId45" Type="http://schemas.openxmlformats.org/officeDocument/2006/relationships/hyperlink" Target="https://www.itu.int/en/ITU-T/focusgroups/ainn/Pages/default.aspx" TargetMode="External"/><Relationship Id="rId53" Type="http://schemas.openxmlformats.org/officeDocument/2006/relationships/hyperlink" Target="https://www.itu.int/itu-d/sites/studygroups/" TargetMode="External"/><Relationship Id="rId58" Type="http://schemas.openxmlformats.org/officeDocument/2006/relationships/hyperlink" Target="https://www.itu.int/en/council/cwg-internet/Pages/default.aspx" TargetMode="External"/><Relationship Id="rId66" Type="http://schemas.openxmlformats.org/officeDocument/2006/relationships/hyperlink" Target="https://www.itu.int/myworkspace/t-wp/item?isn=23488" TargetMode="External"/><Relationship Id="rId5" Type="http://schemas.openxmlformats.org/officeDocument/2006/relationships/numbering" Target="numbering.xml"/><Relationship Id="rId61" Type="http://schemas.openxmlformats.org/officeDocument/2006/relationships/hyperlink" Target="https://www.itu.int/md/S26-CL-C-0051/en" TargetMode="External"/><Relationship Id="rId19" Type="http://schemas.openxmlformats.org/officeDocument/2006/relationships/hyperlink" Target="https://www.itu.int/pub/T-RES-T.48-2024" TargetMode="External"/><Relationship Id="rId14" Type="http://schemas.openxmlformats.org/officeDocument/2006/relationships/hyperlink" Target="https://www.itu.int/en/council/Documents/basic-texts-2023/RES-180-E.pdf" TargetMode="External"/><Relationship Id="rId22" Type="http://schemas.openxmlformats.org/officeDocument/2006/relationships/hyperlink" Target="https://www.itu.int/pub/T-RES-T.52-2024" TargetMode="External"/><Relationship Id="rId27" Type="http://schemas.openxmlformats.org/officeDocument/2006/relationships/hyperlink" Target="https://www.itu.int/pub/T-RES-T.75-2024" TargetMode="External"/><Relationship Id="rId30" Type="http://schemas.openxmlformats.org/officeDocument/2006/relationships/hyperlink" Target="https://www.itu.int/itu-d/meetings/wtdc25/wp-content/uploads/sites/29/2025/11/090-E.pdf" TargetMode="External"/><Relationship Id="rId35" Type="http://schemas.openxmlformats.org/officeDocument/2006/relationships/hyperlink" Target="https://www.itu.int/md/S20-CL-C-0033/en" TargetMode="External"/><Relationship Id="rId43" Type="http://schemas.openxmlformats.org/officeDocument/2006/relationships/hyperlink" Target="https://u4ssc.itu.int/" TargetMode="External"/><Relationship Id="rId48" Type="http://schemas.openxmlformats.org/officeDocument/2006/relationships/hyperlink" Target="https://www.itu.int/en/ITU-T/focusgroups/ai4a/Pages/default.aspx" TargetMode="External"/><Relationship Id="rId56" Type="http://schemas.openxmlformats.org/officeDocument/2006/relationships/hyperlink" Target="https://www.itu.int/metaverse/virtual-worlds/" TargetMode="External"/><Relationship Id="rId64" Type="http://schemas.openxmlformats.org/officeDocument/2006/relationships/hyperlink" Target="https://bbmaps.itu.int/bbmaps/"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itu.int/net/ITU-T/res69/Default.aspx"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itu.int/en/council/Documents/basic-texts-2023/RES-102-E.pdf" TargetMode="External"/><Relationship Id="rId17" Type="http://schemas.openxmlformats.org/officeDocument/2006/relationships/hyperlink" Target="http://www.itu.int/md/S15-CL-C-0113/en" TargetMode="External"/><Relationship Id="rId25" Type="http://schemas.openxmlformats.org/officeDocument/2006/relationships/hyperlink" Target="https://www.itu.int/pub/T-RES-T.64-2024" TargetMode="External"/><Relationship Id="rId33" Type="http://schemas.openxmlformats.org/officeDocument/2006/relationships/hyperlink" Target="https://www.itu.int/md/S18-CL-C-0033/en" TargetMode="External"/><Relationship Id="rId38" Type="http://schemas.openxmlformats.org/officeDocument/2006/relationships/hyperlink" Target="https://www.itu.int/md/S23-CL-C-0033/en" TargetMode="External"/><Relationship Id="rId46" Type="http://schemas.openxmlformats.org/officeDocument/2006/relationships/hyperlink" Target="https://www.itu.int/en/ITU-T/focusgroups/eai" TargetMode="External"/><Relationship Id="rId59" Type="http://schemas.openxmlformats.org/officeDocument/2006/relationships/hyperlink" Target="https://www.itu.int/en/council/cwg-internet/Pages/consultation-mar2025.aspx" TargetMode="External"/><Relationship Id="rId67" Type="http://schemas.openxmlformats.org/officeDocument/2006/relationships/hyperlink" Target="https://ituint-my.sharepoint.com/personal/sadhvi_saran_itu_int/Documents/Sadhvi%202/Council/Council%202026/Internet/itu.int/myworkspace/wp-external/item?isn=23677" TargetMode="External"/><Relationship Id="rId20" Type="http://schemas.openxmlformats.org/officeDocument/2006/relationships/hyperlink" Target="https://www.itu.int/pub/T-RES-T.49-2024" TargetMode="External"/><Relationship Id="rId41" Type="http://schemas.openxmlformats.org/officeDocument/2006/relationships/hyperlink" Target="https://www.itu.int/en/ITU-T/jca/iot/Pages/default.aspx" TargetMode="External"/><Relationship Id="rId54" Type="http://schemas.openxmlformats.org/officeDocument/2006/relationships/hyperlink" Target="https://academy.itu.int/" TargetMode="External"/><Relationship Id="rId62" Type="http://schemas.openxmlformats.org/officeDocument/2006/relationships/hyperlink" Target="http://www.itu.int/ITU-T/inr/enum/"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en/council/Documents/basic-texts-2023/RES-206-E.pdf" TargetMode="External"/><Relationship Id="rId23" Type="http://schemas.openxmlformats.org/officeDocument/2006/relationships/hyperlink" Target="https://www.itu.int/pub/T-RES-T.58-2024" TargetMode="External"/><Relationship Id="rId28" Type="http://schemas.openxmlformats.org/officeDocument/2006/relationships/hyperlink" Target="https://www.itu.int/pub/T-RES-T.96-2024" TargetMode="External"/><Relationship Id="rId36" Type="http://schemas.openxmlformats.org/officeDocument/2006/relationships/hyperlink" Target="https://www.itu.int/md/S21-CL-C-0033/en" TargetMode="External"/><Relationship Id="rId49" Type="http://schemas.openxmlformats.org/officeDocument/2006/relationships/hyperlink" Target="https://www.itu.int/en/ITU-T/extcoop/ai4resilience/Pages/default.aspx" TargetMode="External"/><Relationship Id="rId57" Type="http://schemas.openxmlformats.org/officeDocument/2006/relationships/hyperlink" Target="https://www.itu.int/en/ITU-T/ipv6/Pages/default.aspx" TargetMode="External"/><Relationship Id="rId10" Type="http://schemas.openxmlformats.org/officeDocument/2006/relationships/endnotes" Target="endnotes.xml"/><Relationship Id="rId31" Type="http://schemas.openxmlformats.org/officeDocument/2006/relationships/hyperlink" Target="http://www.itu.int/md/S16-CL-C-0033/en" TargetMode="External"/><Relationship Id="rId44" Type="http://schemas.openxmlformats.org/officeDocument/2006/relationships/hyperlink" Target="https://www.itu.int/en/ITU-T/focusgroups/cd/Pages/default.aspx" TargetMode="External"/><Relationship Id="rId52" Type="http://schemas.openxmlformats.org/officeDocument/2006/relationships/hyperlink" Target="https://www.itu.int/net/ITU-T/res69/secured/notifications.aspx" TargetMode="External"/><Relationship Id="rId60" Type="http://schemas.openxmlformats.org/officeDocument/2006/relationships/hyperlink" Target="https://www.itu.int/md/S26-CL-C-0060/en" TargetMode="External"/><Relationship Id="rId65" Type="http://schemas.openxmlformats.org/officeDocument/2006/relationships/hyperlink" Target="https://www.itu.int/net4/ITU-T/lists/q-text.aspx?Group=3&amp;Period=18&amp;QNo=6&amp;Lang=en"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tu.int/en/council/Documents/basic-texts-2023/RES-133-E.pdf" TargetMode="External"/><Relationship Id="rId18" Type="http://schemas.openxmlformats.org/officeDocument/2006/relationships/hyperlink" Target="https://www.itu.int/pub/T-RES-T.47-2024" TargetMode="External"/><Relationship Id="rId39" Type="http://schemas.openxmlformats.org/officeDocument/2006/relationships/hyperlink" Target="https://www.itu.int/md/S24-CL-C-0033/en" TargetMode="External"/><Relationship Id="rId34" Type="http://schemas.openxmlformats.org/officeDocument/2006/relationships/hyperlink" Target="https://www.itu.int/md/S19-CL-C-0033/en" TargetMode="External"/><Relationship Id="rId50" Type="http://schemas.openxmlformats.org/officeDocument/2006/relationships/hyperlink" Target="https://aiforgood.itu.int/ai-for-food-systems/" TargetMode="External"/><Relationship Id="rId55" Type="http://schemas.openxmlformats.org/officeDocument/2006/relationships/hyperlink" Target="https://academy.itu.int/digital-capacity-governments/itu-academy-training-centres/events/atc-annual-meeting-2026"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obereviewedatCoCo xmlns="a4c22657-7647-457b-a399-8471255bb16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4" ma:contentTypeDescription="Create a new document." ma:contentTypeScope="" ma:versionID="9be68409d3c2ab4dff34705b6aa0e722">
  <xsd:schema xmlns:xsd="http://www.w3.org/2001/XMLSchema" xmlns:xs="http://www.w3.org/2001/XMLSchema" xmlns:p="http://schemas.microsoft.com/office/2006/metadata/properties" xmlns:ns2="a4c22657-7647-457b-a399-8471255bb166" targetNamespace="http://schemas.microsoft.com/office/2006/metadata/properties" ma:root="true" ma:fieldsID="985c4305570bd1295e0dfd082e17e564"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obereviewedatCoC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obereviewedatCoCo" ma:index="11" nillable="true" ma:displayName="CoCo" ma:format="Dropdown" ma:internalName="TobereviewedatCoCo">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184A402E-B659-4794-A47F-EB786F8BE5FF}">
  <ds:schemaRefs>
    <ds:schemaRef ds:uri="a4c22657-7647-457b-a399-8471255bb166"/>
    <ds:schemaRef ds:uri="http://schemas.microsoft.com/office/infopath/2007/PartnerControl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380F3975-0E74-4594-A643-DB2D079622CB}">
  <ds:schemaRefs>
    <ds:schemaRef ds:uri="http://schemas.microsoft.com/sharepoint/v3/contenttype/forms"/>
  </ds:schemaRefs>
</ds:datastoreItem>
</file>

<file path=customXml/itemProps4.xml><?xml version="1.0" encoding="utf-8"?>
<ds:datastoreItem xmlns:ds="http://schemas.openxmlformats.org/officeDocument/2006/customXml" ds:itemID="{60D064B1-E427-41AF-A3A3-E92B4FA8D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PE_Council26.dotx</Template>
  <TotalTime>52</TotalTime>
  <Pages>5</Pages>
  <Words>1979</Words>
  <Characters>15747</Characters>
  <Application>Microsoft Office Word</Application>
  <DocSecurity>0</DocSecurity>
  <Lines>258</Lines>
  <Paragraphs>88</Paragraphs>
  <ScaleCrop>false</ScaleCrop>
  <HeadingPairs>
    <vt:vector size="2" baseType="variant">
      <vt:variant>
        <vt:lpstr>Title</vt:lpstr>
      </vt:variant>
      <vt:variant>
        <vt:i4>1</vt:i4>
      </vt:variant>
    </vt:vector>
  </HeadingPairs>
  <TitlesOfParts>
    <vt:vector size="1" baseType="lpstr">
      <vt:lpstr>ITU Internet activities: Resolutions 101, 102, 133, 180 and 206</vt:lpstr>
    </vt:vector>
  </TitlesOfParts>
  <Manager>General Secretariat</Manager>
  <Company>International Telecommunication Union (ITU)</Company>
  <LinksUpToDate>false</LinksUpToDate>
  <CharactersWithSpaces>17638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Internet activities: Resolutions 101, 102, 133, 180 and 206</dc:title>
  <dc:subject>ITU Council 2026</dc:subject>
  <cp:keywords>C26; C2026; Council 2026; PP26</cp:keywords>
  <dc:description/>
  <cp:revision>6</cp:revision>
  <cp:lastPrinted>2000-07-18T13:30:00Z</cp:lastPrinted>
  <dcterms:created xsi:type="dcterms:W3CDTF">2026-03-27T15:07:00Z</dcterms:created>
  <dcterms:modified xsi:type="dcterms:W3CDTF">2026-03-27T15:50:00Z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0x010100814E447ED7B9DA4C9F10BB2808D9DCA9</vt:lpwstr>
  </property>
  <property fmtid="{D5CDD505-2E9C-101B-9397-08002B2CF9AE}" pid="10" name="docLang">
    <vt:lpwstr>en</vt:lpwstr>
  </property>
</Properties>
</file>