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B6FD8" w14:paraId="3C1E8BED" w14:textId="77777777" w:rsidTr="00C4421B">
        <w:trPr>
          <w:cantSplit/>
          <w:trHeight w:val="23"/>
        </w:trPr>
        <w:tc>
          <w:tcPr>
            <w:tcW w:w="3969" w:type="dxa"/>
            <w:vMerge w:val="restart"/>
            <w:tcMar>
              <w:left w:w="0" w:type="dxa"/>
            </w:tcMar>
          </w:tcPr>
          <w:p w14:paraId="11C11E5A" w14:textId="0543FAA7" w:rsidR="00FE57F6" w:rsidRPr="008F48EB" w:rsidRDefault="008F48EB" w:rsidP="00C4421B">
            <w:pPr>
              <w:tabs>
                <w:tab w:val="left" w:pos="851"/>
              </w:tabs>
              <w:spacing w:before="0" w:line="240" w:lineRule="atLeast"/>
              <w:rPr>
                <w:b/>
                <w:lang w:val="es-ES"/>
              </w:rPr>
            </w:pPr>
            <w:bookmarkStart w:id="0" w:name="_Hlk133421839"/>
            <w:r w:rsidRPr="008F48EB">
              <w:rPr>
                <w:b/>
                <w:lang w:val="es-ES"/>
              </w:rPr>
              <w:t>Punto del o</w:t>
            </w:r>
            <w:r w:rsidR="00BB6FD8" w:rsidRPr="008F48EB">
              <w:rPr>
                <w:b/>
                <w:lang w:val="es-ES"/>
              </w:rPr>
              <w:t>rden del día</w:t>
            </w:r>
            <w:r w:rsidR="00FE57F6" w:rsidRPr="008F48EB">
              <w:rPr>
                <w:b/>
                <w:lang w:val="es-ES"/>
              </w:rPr>
              <w:t xml:space="preserve">: </w:t>
            </w:r>
            <w:r w:rsidRPr="008F48EB">
              <w:rPr>
                <w:b/>
                <w:lang w:val="es-ES"/>
              </w:rPr>
              <w:t>PL-2</w:t>
            </w:r>
          </w:p>
        </w:tc>
        <w:tc>
          <w:tcPr>
            <w:tcW w:w="5245" w:type="dxa"/>
          </w:tcPr>
          <w:p w14:paraId="38B613B3" w14:textId="5097618A" w:rsidR="00FE57F6" w:rsidRPr="00BB6FD8" w:rsidRDefault="00FE57F6" w:rsidP="00C4421B">
            <w:pPr>
              <w:tabs>
                <w:tab w:val="left" w:pos="851"/>
              </w:tabs>
              <w:spacing w:before="0" w:line="240" w:lineRule="atLeast"/>
              <w:jc w:val="right"/>
              <w:rPr>
                <w:b/>
              </w:rPr>
            </w:pPr>
            <w:proofErr w:type="spellStart"/>
            <w:r w:rsidRPr="00BB6FD8">
              <w:rPr>
                <w:b/>
              </w:rPr>
              <w:t>Document</w:t>
            </w:r>
            <w:r w:rsidR="00F24B71" w:rsidRPr="00BB6FD8">
              <w:rPr>
                <w:b/>
              </w:rPr>
              <w:t>o</w:t>
            </w:r>
            <w:proofErr w:type="spellEnd"/>
            <w:r w:rsidRPr="00BB6FD8">
              <w:rPr>
                <w:b/>
              </w:rPr>
              <w:t xml:space="preserve"> </w:t>
            </w:r>
            <w:proofErr w:type="spellStart"/>
            <w:r w:rsidRPr="00BB6FD8">
              <w:rPr>
                <w:b/>
              </w:rPr>
              <w:t>C2</w:t>
            </w:r>
            <w:r w:rsidR="00F85E5C">
              <w:rPr>
                <w:b/>
              </w:rPr>
              <w:t>6</w:t>
            </w:r>
            <w:proofErr w:type="spellEnd"/>
            <w:r w:rsidRPr="00BB6FD8">
              <w:rPr>
                <w:b/>
              </w:rPr>
              <w:t>/</w:t>
            </w:r>
            <w:r w:rsidR="008F48EB">
              <w:rPr>
                <w:b/>
              </w:rPr>
              <w:t>32</w:t>
            </w:r>
            <w:r w:rsidRPr="00BB6FD8">
              <w:rPr>
                <w:b/>
              </w:rPr>
              <w:t>-</w:t>
            </w:r>
            <w:r w:rsidR="00F24B71" w:rsidRPr="00BB6FD8">
              <w:rPr>
                <w:b/>
              </w:rPr>
              <w:t>S</w:t>
            </w:r>
          </w:p>
        </w:tc>
      </w:tr>
      <w:tr w:rsidR="00FE57F6" w:rsidRPr="00666D09" w14:paraId="50AC5984" w14:textId="77777777" w:rsidTr="00C4421B">
        <w:trPr>
          <w:cantSplit/>
        </w:trPr>
        <w:tc>
          <w:tcPr>
            <w:tcW w:w="3969" w:type="dxa"/>
            <w:vMerge/>
          </w:tcPr>
          <w:p w14:paraId="7AEACB07" w14:textId="77777777" w:rsidR="00FE57F6" w:rsidRPr="00BB6FD8" w:rsidRDefault="00FE57F6" w:rsidP="00C4421B">
            <w:pPr>
              <w:tabs>
                <w:tab w:val="left" w:pos="851"/>
              </w:tabs>
              <w:spacing w:line="240" w:lineRule="atLeast"/>
              <w:rPr>
                <w:b/>
              </w:rPr>
            </w:pPr>
          </w:p>
        </w:tc>
        <w:tc>
          <w:tcPr>
            <w:tcW w:w="5245" w:type="dxa"/>
          </w:tcPr>
          <w:p w14:paraId="1C7BB3C5" w14:textId="10DB7E93" w:rsidR="00FE57F6" w:rsidRPr="00666D09" w:rsidRDefault="008F48EB" w:rsidP="00C4421B">
            <w:pPr>
              <w:tabs>
                <w:tab w:val="left" w:pos="851"/>
              </w:tabs>
              <w:spacing w:before="0"/>
              <w:jc w:val="right"/>
              <w:rPr>
                <w:b/>
                <w:lang w:val="en-GB"/>
              </w:rPr>
            </w:pPr>
            <w:r>
              <w:rPr>
                <w:b/>
                <w:lang w:val="es-ES"/>
              </w:rPr>
              <w:t>9 de marzo de 2026</w:t>
            </w:r>
          </w:p>
        </w:tc>
      </w:tr>
      <w:tr w:rsidR="00FE57F6" w:rsidRPr="00BB6FD8" w14:paraId="29FE98D5" w14:textId="77777777" w:rsidTr="00C4421B">
        <w:trPr>
          <w:cantSplit/>
          <w:trHeight w:val="23"/>
        </w:trPr>
        <w:tc>
          <w:tcPr>
            <w:tcW w:w="3969" w:type="dxa"/>
            <w:vMerge/>
          </w:tcPr>
          <w:p w14:paraId="7EF30BB2" w14:textId="77777777" w:rsidR="00FE57F6" w:rsidRPr="00666D09" w:rsidRDefault="00FE57F6" w:rsidP="00C4421B">
            <w:pPr>
              <w:tabs>
                <w:tab w:val="left" w:pos="851"/>
              </w:tabs>
              <w:spacing w:line="240" w:lineRule="atLeast"/>
              <w:rPr>
                <w:b/>
                <w:lang w:val="en-GB"/>
              </w:rPr>
            </w:pPr>
          </w:p>
        </w:tc>
        <w:tc>
          <w:tcPr>
            <w:tcW w:w="5245" w:type="dxa"/>
          </w:tcPr>
          <w:p w14:paraId="4D149756" w14:textId="77777777" w:rsidR="00FE57F6" w:rsidRPr="00BB6FD8" w:rsidRDefault="00F24B71" w:rsidP="00C4421B">
            <w:pPr>
              <w:tabs>
                <w:tab w:val="left" w:pos="851"/>
              </w:tabs>
              <w:spacing w:before="0" w:line="240" w:lineRule="atLeast"/>
              <w:jc w:val="right"/>
              <w:rPr>
                <w:b/>
                <w:bCs/>
              </w:rPr>
            </w:pPr>
            <w:proofErr w:type="gramStart"/>
            <w:r w:rsidRPr="00BB6FD8">
              <w:rPr>
                <w:rFonts w:cstheme="minorHAnsi"/>
                <w:b/>
                <w:bCs/>
              </w:rPr>
              <w:t>Original:</w:t>
            </w:r>
            <w:proofErr w:type="gramEnd"/>
            <w:r w:rsidRPr="00BB6FD8">
              <w:rPr>
                <w:rFonts w:cstheme="minorHAnsi"/>
                <w:b/>
                <w:bCs/>
              </w:rPr>
              <w:t xml:space="preserve"> </w:t>
            </w:r>
            <w:proofErr w:type="spellStart"/>
            <w:r w:rsidRPr="00BB6FD8">
              <w:rPr>
                <w:rFonts w:cstheme="minorHAnsi"/>
                <w:b/>
                <w:bCs/>
              </w:rPr>
              <w:t>inglés</w:t>
            </w:r>
            <w:proofErr w:type="spellEnd"/>
          </w:p>
        </w:tc>
      </w:tr>
      <w:tr w:rsidR="00FE57F6" w:rsidRPr="00BB6FD8" w14:paraId="0540BE0B" w14:textId="77777777" w:rsidTr="00C4421B">
        <w:trPr>
          <w:cantSplit/>
          <w:trHeight w:val="23"/>
        </w:trPr>
        <w:tc>
          <w:tcPr>
            <w:tcW w:w="3969" w:type="dxa"/>
          </w:tcPr>
          <w:p w14:paraId="2739EE02" w14:textId="77777777" w:rsidR="00FE57F6" w:rsidRPr="00BB6FD8" w:rsidRDefault="00FE57F6" w:rsidP="00C4421B">
            <w:pPr>
              <w:tabs>
                <w:tab w:val="left" w:pos="851"/>
              </w:tabs>
              <w:spacing w:line="240" w:lineRule="atLeast"/>
              <w:rPr>
                <w:b/>
              </w:rPr>
            </w:pPr>
          </w:p>
        </w:tc>
        <w:tc>
          <w:tcPr>
            <w:tcW w:w="5245" w:type="dxa"/>
          </w:tcPr>
          <w:p w14:paraId="746C9944" w14:textId="77777777" w:rsidR="00FE57F6" w:rsidRPr="00BB6FD8" w:rsidRDefault="00FE57F6" w:rsidP="00C4421B">
            <w:pPr>
              <w:tabs>
                <w:tab w:val="left" w:pos="851"/>
              </w:tabs>
              <w:spacing w:before="0" w:line="240" w:lineRule="atLeast"/>
              <w:jc w:val="right"/>
              <w:rPr>
                <w:b/>
              </w:rPr>
            </w:pPr>
          </w:p>
        </w:tc>
      </w:tr>
      <w:tr w:rsidR="00FE57F6" w:rsidRPr="00881CAD" w14:paraId="3D088941" w14:textId="77777777" w:rsidTr="00C4421B">
        <w:trPr>
          <w:cantSplit/>
        </w:trPr>
        <w:tc>
          <w:tcPr>
            <w:tcW w:w="9214" w:type="dxa"/>
            <w:gridSpan w:val="2"/>
            <w:tcMar>
              <w:left w:w="0" w:type="dxa"/>
            </w:tcMar>
          </w:tcPr>
          <w:p w14:paraId="1FC754AF" w14:textId="77777777" w:rsidR="00FE57F6" w:rsidRPr="008F48EB" w:rsidRDefault="00157AC4" w:rsidP="00611749">
            <w:pPr>
              <w:pStyle w:val="Source"/>
              <w:framePr w:hSpace="0" w:wrap="auto" w:vAnchor="margin" w:hAnchor="text" w:xAlign="left" w:yAlign="inline"/>
            </w:pPr>
            <w:r w:rsidRPr="00611749">
              <w:t>Informe</w:t>
            </w:r>
            <w:r w:rsidRPr="008F48EB">
              <w:t xml:space="preserve"> de la Secretaria General</w:t>
            </w:r>
          </w:p>
        </w:tc>
      </w:tr>
      <w:tr w:rsidR="00FE57F6" w:rsidRPr="00881CAD" w14:paraId="397683C4" w14:textId="77777777" w:rsidTr="00C4421B">
        <w:trPr>
          <w:cantSplit/>
        </w:trPr>
        <w:tc>
          <w:tcPr>
            <w:tcW w:w="9214" w:type="dxa"/>
            <w:gridSpan w:val="2"/>
            <w:tcMar>
              <w:left w:w="0" w:type="dxa"/>
            </w:tcMar>
          </w:tcPr>
          <w:p w14:paraId="0B8647A0" w14:textId="40F7BF2E" w:rsidR="00FE57F6" w:rsidRPr="008F48EB" w:rsidRDefault="00611749" w:rsidP="00C4421B">
            <w:pPr>
              <w:pStyle w:val="Subtitle"/>
              <w:framePr w:hSpace="0" w:wrap="auto" w:hAnchor="text" w:xAlign="left" w:yAlign="inline"/>
              <w:rPr>
                <w:lang w:val="es-ES"/>
              </w:rPr>
            </w:pPr>
            <w:r w:rsidRPr="009A3975">
              <w:rPr>
                <w:lang w:val="es-ES"/>
              </w:rPr>
              <w:t>PROYECTO DE PLAN FINANCIERO PAR</w:t>
            </w:r>
            <w:r>
              <w:rPr>
                <w:lang w:val="es-ES"/>
              </w:rPr>
              <w:t>A</w:t>
            </w:r>
            <w:r w:rsidRPr="009A3975">
              <w:rPr>
                <w:lang w:val="es-ES"/>
              </w:rPr>
              <w:t xml:space="preserve"> 2028-2031</w:t>
            </w:r>
          </w:p>
        </w:tc>
      </w:tr>
      <w:tr w:rsidR="00FE57F6" w:rsidRPr="00881CAD" w14:paraId="2754E1D4" w14:textId="77777777" w:rsidTr="00C4421B">
        <w:trPr>
          <w:cantSplit/>
        </w:trPr>
        <w:tc>
          <w:tcPr>
            <w:tcW w:w="9214" w:type="dxa"/>
            <w:gridSpan w:val="2"/>
            <w:tcBorders>
              <w:top w:val="single" w:sz="4" w:space="0" w:color="auto"/>
              <w:bottom w:val="single" w:sz="4" w:space="0" w:color="auto"/>
            </w:tcBorders>
            <w:tcMar>
              <w:left w:w="0" w:type="dxa"/>
            </w:tcMar>
          </w:tcPr>
          <w:p w14:paraId="12A9CA5A" w14:textId="77777777" w:rsidR="00FE57F6" w:rsidRPr="008F48EB" w:rsidRDefault="00F24B71" w:rsidP="00C4421B">
            <w:pPr>
              <w:spacing w:before="160"/>
              <w:rPr>
                <w:b/>
                <w:bCs/>
                <w:sz w:val="26"/>
                <w:szCs w:val="26"/>
                <w:lang w:val="es-ES"/>
              </w:rPr>
            </w:pPr>
            <w:r w:rsidRPr="008F48EB">
              <w:rPr>
                <w:b/>
                <w:bCs/>
                <w:sz w:val="26"/>
                <w:szCs w:val="26"/>
                <w:lang w:val="es-ES"/>
              </w:rPr>
              <w:t>Finalidad</w:t>
            </w:r>
          </w:p>
          <w:p w14:paraId="16C49180" w14:textId="73E8F31A" w:rsidR="00FE57F6" w:rsidRPr="008F48EB" w:rsidRDefault="008F48EB" w:rsidP="00C4421B">
            <w:pPr>
              <w:rPr>
                <w:lang w:val="es-ES"/>
              </w:rPr>
            </w:pPr>
            <w:r w:rsidRPr="009A3975">
              <w:rPr>
                <w:lang w:val="es-ES"/>
              </w:rPr>
              <w:t xml:space="preserve">En este documento se presenta el </w:t>
            </w:r>
            <w:r>
              <w:rPr>
                <w:lang w:val="es-ES"/>
              </w:rPr>
              <w:t>proyecto de plan financiero para</w:t>
            </w:r>
            <w:r w:rsidRPr="009A3975">
              <w:rPr>
                <w:lang w:val="es-ES"/>
              </w:rPr>
              <w:t xml:space="preserve"> 2028-2031.</w:t>
            </w:r>
          </w:p>
          <w:p w14:paraId="0E0E94D3" w14:textId="77777777" w:rsidR="00FE57F6" w:rsidRPr="008F48EB" w:rsidRDefault="00F24B71" w:rsidP="00C4421B">
            <w:pPr>
              <w:spacing w:before="160"/>
              <w:rPr>
                <w:b/>
                <w:bCs/>
                <w:sz w:val="26"/>
                <w:szCs w:val="26"/>
                <w:lang w:val="es-ES"/>
              </w:rPr>
            </w:pPr>
            <w:r w:rsidRPr="008F48EB">
              <w:rPr>
                <w:b/>
                <w:bCs/>
                <w:sz w:val="26"/>
                <w:szCs w:val="26"/>
                <w:lang w:val="es-ES"/>
              </w:rPr>
              <w:t xml:space="preserve">Acción solicitada </w:t>
            </w:r>
            <w:r w:rsidR="00677A97" w:rsidRPr="008F48EB">
              <w:rPr>
                <w:b/>
                <w:bCs/>
                <w:sz w:val="26"/>
                <w:szCs w:val="26"/>
                <w:lang w:val="es-ES"/>
              </w:rPr>
              <w:t>al</w:t>
            </w:r>
            <w:r w:rsidRPr="008F48EB">
              <w:rPr>
                <w:b/>
                <w:bCs/>
                <w:sz w:val="26"/>
                <w:szCs w:val="26"/>
                <w:lang w:val="es-ES"/>
              </w:rPr>
              <w:t xml:space="preserve"> Consejo</w:t>
            </w:r>
          </w:p>
          <w:p w14:paraId="60701467" w14:textId="4AC30D48" w:rsidR="00F92BED" w:rsidRPr="00F92BED" w:rsidRDefault="008F48EB" w:rsidP="00EA4951">
            <w:pPr>
              <w:spacing w:before="160"/>
              <w:jc w:val="both"/>
              <w:rPr>
                <w:szCs w:val="24"/>
                <w:lang w:val="es-ES"/>
              </w:rPr>
            </w:pPr>
            <w:r w:rsidRPr="009A3975">
              <w:rPr>
                <w:lang w:val="es-ES"/>
              </w:rPr>
              <w:t xml:space="preserve">Se invita al Consejo a </w:t>
            </w:r>
            <w:r w:rsidRPr="009A3975">
              <w:rPr>
                <w:b/>
                <w:bCs/>
                <w:lang w:val="es-ES"/>
              </w:rPr>
              <w:t xml:space="preserve">examinar </w:t>
            </w:r>
            <w:r w:rsidRPr="009A3975">
              <w:rPr>
                <w:lang w:val="es-ES"/>
              </w:rPr>
              <w:t xml:space="preserve">el proyecto de Plan Financiero para 2028-2031 y a </w:t>
            </w:r>
            <w:r w:rsidRPr="009A3975">
              <w:rPr>
                <w:b/>
                <w:bCs/>
                <w:lang w:val="es-ES"/>
              </w:rPr>
              <w:t>proporcionar asesoramiento y or</w:t>
            </w:r>
            <w:r>
              <w:rPr>
                <w:b/>
                <w:bCs/>
                <w:lang w:val="es-ES"/>
              </w:rPr>
              <w:t xml:space="preserve">ientación </w:t>
            </w:r>
            <w:r>
              <w:rPr>
                <w:lang w:val="es-ES"/>
              </w:rPr>
              <w:t>para su comunicación posterior a la Conferencia de Plenipotenciarios de 2026</w:t>
            </w:r>
            <w:r w:rsidRPr="009A3975">
              <w:rPr>
                <w:lang w:val="es-ES"/>
              </w:rPr>
              <w:t>.</w:t>
            </w:r>
          </w:p>
          <w:p w14:paraId="46CBA4A2" w14:textId="77777777" w:rsidR="00F92BED" w:rsidRPr="00F24B71" w:rsidRDefault="00F92BED" w:rsidP="00C4421B">
            <w:pPr>
              <w:spacing w:before="160"/>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0D77C64D" w14:textId="00080146" w:rsidR="00F92BED" w:rsidRPr="00F24B71" w:rsidRDefault="008F48EB" w:rsidP="00EA4951">
            <w:pPr>
              <w:jc w:val="both"/>
              <w:rPr>
                <w:lang w:val="es-ES"/>
              </w:rPr>
            </w:pPr>
            <w:r w:rsidRPr="00F2708A">
              <w:rPr>
                <w:lang w:val="es-ES"/>
              </w:rPr>
              <w:t>En este documento se indican los límites financieros que se aplicarán a la implementación del Plan Estratégico para 2028-2031.</w:t>
            </w:r>
          </w:p>
          <w:p w14:paraId="46FF3D95" w14:textId="77777777" w:rsidR="00F92BED" w:rsidRPr="008F48EB" w:rsidRDefault="00F92BED" w:rsidP="00C4421B">
            <w:pPr>
              <w:spacing w:before="160"/>
              <w:rPr>
                <w:b/>
                <w:bCs/>
                <w:sz w:val="26"/>
                <w:szCs w:val="26"/>
                <w:lang w:val="es-ES"/>
              </w:rPr>
            </w:pPr>
            <w:r w:rsidRPr="008F48EB">
              <w:rPr>
                <w:b/>
                <w:bCs/>
                <w:sz w:val="26"/>
                <w:szCs w:val="26"/>
                <w:lang w:val="es-ES"/>
              </w:rPr>
              <w:t>Repercusiones financieras</w:t>
            </w:r>
          </w:p>
          <w:p w14:paraId="48EA4D27" w14:textId="110B7C2F" w:rsidR="00F92BED" w:rsidRPr="008F48EB" w:rsidRDefault="008F48EB" w:rsidP="00EA4951">
            <w:pPr>
              <w:jc w:val="both"/>
              <w:rPr>
                <w:lang w:val="es-ES"/>
              </w:rPr>
            </w:pPr>
            <w:r w:rsidRPr="00F2708A">
              <w:rPr>
                <w:lang w:val="es-ES"/>
              </w:rPr>
              <w:t>En este documento se indican los límites financieros que se aplicarán a la implementación del Plan Estratégico para 2028-2031</w:t>
            </w:r>
            <w:r w:rsidRPr="00F2708A">
              <w:rPr>
                <w:szCs w:val="24"/>
                <w:lang w:val="es-ES"/>
              </w:rPr>
              <w:t>.</w:t>
            </w:r>
          </w:p>
          <w:p w14:paraId="5F9EAAB5" w14:textId="77777777" w:rsidR="00FE57F6" w:rsidRPr="008F48EB" w:rsidRDefault="00FE57F6" w:rsidP="00C4421B">
            <w:pPr>
              <w:spacing w:before="160"/>
              <w:rPr>
                <w:caps/>
                <w:sz w:val="22"/>
                <w:lang w:val="es-ES"/>
              </w:rPr>
            </w:pPr>
            <w:r w:rsidRPr="008F48EB">
              <w:rPr>
                <w:sz w:val="22"/>
                <w:lang w:val="es-ES"/>
              </w:rPr>
              <w:t>__________________</w:t>
            </w:r>
          </w:p>
          <w:p w14:paraId="6507BDEA" w14:textId="77777777" w:rsidR="00FE57F6" w:rsidRPr="008F48EB" w:rsidRDefault="00F24B71" w:rsidP="00C4421B">
            <w:pPr>
              <w:spacing w:before="160"/>
              <w:rPr>
                <w:b/>
                <w:bCs/>
                <w:sz w:val="26"/>
                <w:szCs w:val="26"/>
                <w:lang w:val="es-ES"/>
              </w:rPr>
            </w:pPr>
            <w:r w:rsidRPr="008F48EB">
              <w:rPr>
                <w:b/>
                <w:bCs/>
                <w:sz w:val="26"/>
                <w:szCs w:val="26"/>
                <w:lang w:val="es-ES"/>
              </w:rPr>
              <w:t>Referencia</w:t>
            </w:r>
            <w:r w:rsidR="00F92BED" w:rsidRPr="008F48EB">
              <w:rPr>
                <w:b/>
                <w:bCs/>
                <w:sz w:val="26"/>
                <w:szCs w:val="26"/>
                <w:lang w:val="es-ES"/>
              </w:rPr>
              <w:t>s</w:t>
            </w:r>
            <w:r w:rsidR="00D375E0" w:rsidRPr="008F48EB">
              <w:rPr>
                <w:sz w:val="26"/>
                <w:szCs w:val="26"/>
                <w:lang w:val="es-ES"/>
              </w:rPr>
              <w:t xml:space="preserve"> </w:t>
            </w:r>
          </w:p>
          <w:p w14:paraId="750DA3E1" w14:textId="77C8D697" w:rsidR="00FE57F6" w:rsidRPr="000249AD" w:rsidRDefault="008F48EB" w:rsidP="00C4421B">
            <w:pPr>
              <w:spacing w:after="160"/>
              <w:rPr>
                <w:i/>
                <w:iCs/>
                <w:sz w:val="22"/>
                <w:szCs w:val="22"/>
                <w:lang w:val="es-ES"/>
              </w:rPr>
            </w:pPr>
            <w:hyperlink r:id="rId7" w:history="1">
              <w:r w:rsidRPr="000249AD">
                <w:rPr>
                  <w:rStyle w:val="Hyperlink"/>
                  <w:i/>
                  <w:iCs/>
                  <w:sz w:val="22"/>
                  <w:lang w:val="es-ES"/>
                </w:rPr>
                <w:t>Decisión 5 (Rev. Bucarest, 2022)</w:t>
              </w:r>
            </w:hyperlink>
            <w:r w:rsidRPr="000249AD">
              <w:rPr>
                <w:i/>
                <w:iCs/>
                <w:sz w:val="22"/>
                <w:szCs w:val="22"/>
                <w:lang w:val="es-ES"/>
              </w:rPr>
              <w:t xml:space="preserve"> de la Conferencia de Plenipotenciarios; </w:t>
            </w:r>
            <w:hyperlink r:id="rId8" w:history="1">
              <w:proofErr w:type="spellStart"/>
              <w:r w:rsidRPr="000249AD">
                <w:rPr>
                  <w:rStyle w:val="Hyperlink"/>
                  <w:i/>
                  <w:iCs/>
                  <w:sz w:val="22"/>
                  <w:lang w:val="es-ES"/>
                </w:rPr>
                <w:t>nº</w:t>
              </w:r>
              <w:proofErr w:type="spellEnd"/>
              <w:r w:rsidRPr="000249AD">
                <w:rPr>
                  <w:rStyle w:val="Hyperlink"/>
                  <w:i/>
                  <w:iCs/>
                  <w:sz w:val="22"/>
                  <w:lang w:val="es-ES"/>
                </w:rPr>
                <w:t xml:space="preserve"> 51 de la Constitución</w:t>
              </w:r>
            </w:hyperlink>
            <w:r w:rsidRPr="000249AD">
              <w:rPr>
                <w:i/>
                <w:iCs/>
                <w:sz w:val="22"/>
                <w:szCs w:val="22"/>
                <w:lang w:val="es-ES"/>
              </w:rPr>
              <w:t>.</w:t>
            </w:r>
          </w:p>
        </w:tc>
      </w:tr>
      <w:bookmarkEnd w:id="0"/>
    </w:tbl>
    <w:p w14:paraId="7E685BDA" w14:textId="77777777" w:rsidR="00093EEB" w:rsidRPr="008F48EB" w:rsidRDefault="00093EEB">
      <w:pPr>
        <w:rPr>
          <w:lang w:val="es-ES"/>
        </w:rPr>
      </w:pPr>
    </w:p>
    <w:p w14:paraId="0498B23C" w14:textId="77777777" w:rsidR="001559F5" w:rsidRPr="008F48EB"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8F48EB">
        <w:rPr>
          <w:lang w:val="es-ES"/>
        </w:rPr>
        <w:br w:type="page"/>
      </w:r>
    </w:p>
    <w:p w14:paraId="71CF9C24" w14:textId="64599289" w:rsidR="008F48EB" w:rsidRPr="008F48EB" w:rsidRDefault="008F48EB" w:rsidP="008F48EB">
      <w:pPr>
        <w:pStyle w:val="Heading1"/>
        <w:rPr>
          <w:lang w:val="es-ES" w:eastAsia="en-GB"/>
        </w:rPr>
      </w:pPr>
      <w:r w:rsidRPr="008F48EB">
        <w:rPr>
          <w:lang w:val="es-ES" w:eastAsia="en-GB"/>
        </w:rPr>
        <w:lastRenderedPageBreak/>
        <w:t>1</w:t>
      </w:r>
      <w:r w:rsidRPr="008F48EB">
        <w:rPr>
          <w:lang w:val="es-ES" w:eastAsia="en-GB"/>
        </w:rPr>
        <w:tab/>
        <w:t>Introducción</w:t>
      </w:r>
    </w:p>
    <w:p w14:paraId="44A5F34F" w14:textId="046E2951" w:rsidR="008F48EB" w:rsidRPr="008F48EB" w:rsidRDefault="008F48EB" w:rsidP="000249AD">
      <w:pPr>
        <w:jc w:val="both"/>
        <w:rPr>
          <w:bCs/>
          <w:szCs w:val="24"/>
          <w:lang w:val="es-ES" w:eastAsia="en-GB"/>
        </w:rPr>
      </w:pPr>
      <w:r w:rsidRPr="008F48EB">
        <w:rPr>
          <w:szCs w:val="24"/>
          <w:lang w:val="es-ES" w:eastAsia="en-GB"/>
        </w:rPr>
        <w:t>1.1</w:t>
      </w:r>
      <w:r w:rsidRPr="008F48EB">
        <w:rPr>
          <w:szCs w:val="24"/>
          <w:lang w:val="es-ES" w:eastAsia="en-GB"/>
        </w:rPr>
        <w:tab/>
      </w:r>
      <w:r w:rsidRPr="008F48EB">
        <w:rPr>
          <w:lang w:val="es-ES"/>
        </w:rPr>
        <w:t>El proyecto de Plan Financiero para 2028-2031 tiene por objeto dar un instrumento a la Conferencia de Plenipotenciarios de 2026 para establecer las bases de los presupuestos de la Unión para 2028</w:t>
      </w:r>
      <w:r w:rsidR="00E74C8F">
        <w:rPr>
          <w:lang w:val="es-ES"/>
        </w:rPr>
        <w:noBreakHyphen/>
      </w:r>
      <w:r w:rsidRPr="008F48EB">
        <w:rPr>
          <w:lang w:val="es-ES"/>
        </w:rPr>
        <w:t>2029 y 2030-2031. Tras fijar el importe de la unidad contributiva para el periodo 2028</w:t>
      </w:r>
      <w:r w:rsidR="00E74C8F">
        <w:rPr>
          <w:lang w:val="es-ES"/>
        </w:rPr>
        <w:noBreakHyphen/>
      </w:r>
      <w:r w:rsidRPr="008F48EB">
        <w:rPr>
          <w:lang w:val="es-ES"/>
        </w:rPr>
        <w:t>2031 y después de considerar todos los aspectos relevantes de las actividades de la Unión durante dicho periodo (número</w:t>
      </w:r>
      <w:r w:rsidR="00E74C8F">
        <w:rPr>
          <w:lang w:val="es-ES"/>
        </w:rPr>
        <w:t> </w:t>
      </w:r>
      <w:r w:rsidRPr="008F48EB">
        <w:rPr>
          <w:lang w:val="es-ES"/>
        </w:rPr>
        <w:t>51 del Artículo</w:t>
      </w:r>
      <w:r w:rsidR="00E74C8F">
        <w:rPr>
          <w:lang w:val="es-ES"/>
        </w:rPr>
        <w:t> </w:t>
      </w:r>
      <w:r w:rsidRPr="008F48EB">
        <w:rPr>
          <w:lang w:val="es-ES"/>
        </w:rPr>
        <w:t>8 de la Constitución), determina los límites financieros correspondientes hasta la siguiente Conferencia de Plenipotenciarios</w:t>
      </w:r>
      <w:r w:rsidRPr="008F48EB">
        <w:rPr>
          <w:bCs/>
          <w:szCs w:val="24"/>
          <w:lang w:val="es-ES" w:eastAsia="en-GB"/>
        </w:rPr>
        <w:t>.</w:t>
      </w:r>
    </w:p>
    <w:p w14:paraId="2D73FCA3" w14:textId="07A86B02" w:rsidR="008F48EB" w:rsidRPr="008F48EB" w:rsidRDefault="008F48EB" w:rsidP="000249AD">
      <w:pPr>
        <w:jc w:val="both"/>
        <w:rPr>
          <w:bCs/>
          <w:szCs w:val="24"/>
          <w:lang w:val="es-ES" w:eastAsia="en-GB"/>
        </w:rPr>
      </w:pPr>
      <w:r w:rsidRPr="008F48EB">
        <w:rPr>
          <w:bCs/>
          <w:szCs w:val="24"/>
          <w:lang w:val="es-ES" w:eastAsia="en-GB"/>
        </w:rPr>
        <w:t>1.2</w:t>
      </w:r>
      <w:r w:rsidRPr="008F48EB">
        <w:rPr>
          <w:bCs/>
          <w:szCs w:val="24"/>
          <w:lang w:val="es-ES" w:eastAsia="en-GB"/>
        </w:rPr>
        <w:tab/>
        <w:t>El Plan Financiero define el marco en el que se determinan los compromisos financieros de los Estados Miembros con la Unión para el periodo 2028</w:t>
      </w:r>
      <w:r w:rsidR="00E74C8F">
        <w:rPr>
          <w:bCs/>
          <w:szCs w:val="24"/>
          <w:lang w:val="es-ES" w:eastAsia="en-GB"/>
        </w:rPr>
        <w:noBreakHyphen/>
      </w:r>
      <w:r w:rsidRPr="008F48EB">
        <w:rPr>
          <w:bCs/>
          <w:szCs w:val="24"/>
          <w:lang w:val="es-ES" w:eastAsia="en-GB"/>
        </w:rPr>
        <w:t>2031 en función del importe aprobado de la unidad contributiva, y la manera en que sus contribuciones financieras a la Unión se atribuirán a las prioridades de los Miembros de la Unión, definidas en el Plan Estratégico.</w:t>
      </w:r>
    </w:p>
    <w:p w14:paraId="55AFB202" w14:textId="06CA07D1" w:rsidR="008F48EB" w:rsidRPr="008F48EB" w:rsidRDefault="008F48EB" w:rsidP="000249AD">
      <w:pPr>
        <w:jc w:val="both"/>
        <w:rPr>
          <w:lang w:val="es-ES" w:eastAsia="en-GB"/>
        </w:rPr>
      </w:pPr>
      <w:r w:rsidRPr="008F48EB">
        <w:rPr>
          <w:lang w:val="es-ES" w:eastAsia="en-GB"/>
        </w:rPr>
        <w:t>1.3</w:t>
      </w:r>
      <w:r w:rsidRPr="008F48EB">
        <w:rPr>
          <w:lang w:val="es-ES" w:eastAsia="en-GB"/>
        </w:rPr>
        <w:tab/>
        <w:t>De conformidad con el número</w:t>
      </w:r>
      <w:r w:rsidR="00E74C8F">
        <w:rPr>
          <w:lang w:val="es-ES" w:eastAsia="en-GB"/>
        </w:rPr>
        <w:t> </w:t>
      </w:r>
      <w:proofErr w:type="spellStart"/>
      <w:r w:rsidRPr="008F48EB">
        <w:rPr>
          <w:lang w:val="es-ES" w:eastAsia="en-GB"/>
        </w:rPr>
        <w:t>161B</w:t>
      </w:r>
      <w:proofErr w:type="spellEnd"/>
      <w:r w:rsidRPr="008F48EB">
        <w:rPr>
          <w:lang w:val="es-ES" w:eastAsia="en-GB"/>
        </w:rPr>
        <w:t xml:space="preserve"> del Artículo</w:t>
      </w:r>
      <w:r w:rsidR="00E74C8F">
        <w:rPr>
          <w:lang w:val="es-ES" w:eastAsia="en-GB"/>
        </w:rPr>
        <w:t> </w:t>
      </w:r>
      <w:r w:rsidRPr="008F48EB">
        <w:rPr>
          <w:lang w:val="es-ES" w:eastAsia="en-GB"/>
        </w:rPr>
        <w:t>28 de la Constitución, y conforme a la propuesta de la Secretaria General, el Consejo ha fijado el importe provisional de la unidad contributiva en 318 000</w:t>
      </w:r>
      <w:r w:rsidR="00E74C8F">
        <w:rPr>
          <w:lang w:val="es-ES" w:eastAsia="en-GB"/>
        </w:rPr>
        <w:t> </w:t>
      </w:r>
      <w:r w:rsidRPr="008F48EB">
        <w:rPr>
          <w:lang w:val="es-ES" w:eastAsia="en-GB"/>
        </w:rPr>
        <w:t>CHF.</w:t>
      </w:r>
    </w:p>
    <w:p w14:paraId="504CEACA" w14:textId="0D7D4970" w:rsidR="008F48EB" w:rsidRPr="008F48EB" w:rsidRDefault="008F48EB" w:rsidP="000249AD">
      <w:pPr>
        <w:jc w:val="both"/>
        <w:rPr>
          <w:lang w:val="es-ES" w:eastAsia="en-GB"/>
        </w:rPr>
      </w:pPr>
      <w:r w:rsidRPr="008F48EB">
        <w:rPr>
          <w:lang w:val="es-ES" w:eastAsia="en-GB"/>
        </w:rPr>
        <w:t>1.4</w:t>
      </w:r>
      <w:r w:rsidRPr="008F48EB">
        <w:rPr>
          <w:lang w:val="es-ES" w:eastAsia="en-GB"/>
        </w:rPr>
        <w:tab/>
        <w:t>La Conferencia de Plenipotenciarios de 2026 establecerá, por medio de una Decisión</w:t>
      </w:r>
      <w:r w:rsidR="00E74C8F">
        <w:rPr>
          <w:lang w:val="es-ES" w:eastAsia="en-GB"/>
        </w:rPr>
        <w:t> </w:t>
      </w:r>
      <w:r w:rsidRPr="008F48EB">
        <w:rPr>
          <w:lang w:val="es-ES" w:eastAsia="en-GB"/>
        </w:rPr>
        <w:t>5 revisada sobre los ingresos y gastos de la Unión para el periodo 2028</w:t>
      </w:r>
      <w:r w:rsidR="00E74C8F">
        <w:rPr>
          <w:lang w:val="es-ES" w:eastAsia="en-GB"/>
        </w:rPr>
        <w:noBreakHyphen/>
      </w:r>
      <w:r w:rsidRPr="008F48EB">
        <w:rPr>
          <w:lang w:val="es-ES" w:eastAsia="en-GB"/>
        </w:rPr>
        <w:t>2031 y los Planes Estratégico y Financiero para 2028</w:t>
      </w:r>
      <w:r w:rsidR="00E74C8F">
        <w:rPr>
          <w:lang w:val="es-ES" w:eastAsia="en-GB"/>
        </w:rPr>
        <w:noBreakHyphen/>
      </w:r>
      <w:r w:rsidRPr="008F48EB">
        <w:rPr>
          <w:lang w:val="es-ES" w:eastAsia="en-GB"/>
        </w:rPr>
        <w:t>2031, el marco y las directrices a partir de las cuales se determinarán los dos presupuestos bienales para 2028</w:t>
      </w:r>
      <w:r w:rsidR="00E74C8F">
        <w:rPr>
          <w:lang w:val="es-ES" w:eastAsia="en-GB"/>
        </w:rPr>
        <w:noBreakHyphen/>
      </w:r>
      <w:r w:rsidRPr="008F48EB">
        <w:rPr>
          <w:lang w:val="es-ES" w:eastAsia="en-GB"/>
        </w:rPr>
        <w:t>2029 y 2030</w:t>
      </w:r>
      <w:r w:rsidR="00E74C8F">
        <w:rPr>
          <w:lang w:val="es-ES" w:eastAsia="en-GB"/>
        </w:rPr>
        <w:noBreakHyphen/>
      </w:r>
      <w:r w:rsidRPr="008F48EB">
        <w:rPr>
          <w:lang w:val="es-ES" w:eastAsia="en-GB"/>
        </w:rPr>
        <w:t>2031. El Plan Financiero para 2028</w:t>
      </w:r>
      <w:r w:rsidR="00E74C8F">
        <w:rPr>
          <w:lang w:val="es-ES" w:eastAsia="en-GB"/>
        </w:rPr>
        <w:noBreakHyphen/>
      </w:r>
      <w:r w:rsidRPr="008F48EB">
        <w:rPr>
          <w:lang w:val="es-ES" w:eastAsia="en-GB"/>
        </w:rPr>
        <w:t>2031, revisado y aprobado por la Conferencia de Plenipotenciarios de 2026, se recogerá en el Anexo</w:t>
      </w:r>
      <w:r w:rsidR="0053587D">
        <w:rPr>
          <w:lang w:val="es-ES" w:eastAsia="en-GB"/>
        </w:rPr>
        <w:t> </w:t>
      </w:r>
      <w:r w:rsidRPr="008F48EB">
        <w:rPr>
          <w:lang w:val="es-ES" w:eastAsia="en-GB"/>
        </w:rPr>
        <w:t>1 a la Decisión 5.</w:t>
      </w:r>
    </w:p>
    <w:p w14:paraId="31D82F16" w14:textId="52B6C641" w:rsidR="008F48EB" w:rsidRPr="008F48EB" w:rsidRDefault="008F48EB" w:rsidP="008F48EB">
      <w:pPr>
        <w:pStyle w:val="Heading1"/>
        <w:rPr>
          <w:lang w:val="es-ES" w:eastAsia="en-GB"/>
        </w:rPr>
      </w:pPr>
      <w:r w:rsidRPr="008F48EB">
        <w:rPr>
          <w:lang w:val="es-ES" w:eastAsia="en-GB"/>
        </w:rPr>
        <w:t>2</w:t>
      </w:r>
      <w:r w:rsidRPr="008F48EB">
        <w:rPr>
          <w:lang w:val="es-ES" w:eastAsia="en-GB"/>
        </w:rPr>
        <w:tab/>
        <w:t>Plan Estratégico</w:t>
      </w:r>
    </w:p>
    <w:p w14:paraId="4D932174" w14:textId="520036AC" w:rsidR="008F48EB" w:rsidRPr="008F48EB" w:rsidRDefault="008F48EB" w:rsidP="000249AD">
      <w:pPr>
        <w:jc w:val="both"/>
        <w:rPr>
          <w:lang w:val="es-ES" w:eastAsia="en-GB"/>
        </w:rPr>
      </w:pPr>
      <w:r w:rsidRPr="008F48EB">
        <w:rPr>
          <w:lang w:val="es-ES" w:eastAsia="en-GB"/>
        </w:rPr>
        <w:t>2.1</w:t>
      </w:r>
      <w:r w:rsidRPr="008F48EB">
        <w:rPr>
          <w:lang w:val="es-ES" w:eastAsia="en-GB"/>
        </w:rPr>
        <w:tab/>
        <w:t>Este proyecto de Plan Financiero para 2028</w:t>
      </w:r>
      <w:r w:rsidR="0053587D">
        <w:rPr>
          <w:lang w:val="es-ES" w:eastAsia="en-GB"/>
        </w:rPr>
        <w:noBreakHyphen/>
      </w:r>
      <w:r w:rsidRPr="008F48EB">
        <w:rPr>
          <w:lang w:val="es-ES" w:eastAsia="en-GB"/>
        </w:rPr>
        <w:t>2031 se presentará y debatirá en el seno de la reunión conjunta del Grupo de Trabajo del Consejo sobre Recursos Humanos y Financieros (</w:t>
      </w:r>
      <w:proofErr w:type="spellStart"/>
      <w:r w:rsidRPr="008F48EB">
        <w:rPr>
          <w:lang w:val="es-ES" w:eastAsia="en-GB"/>
        </w:rPr>
        <w:t>GTC</w:t>
      </w:r>
      <w:r w:rsidR="0053587D">
        <w:rPr>
          <w:lang w:val="es-ES" w:eastAsia="en-GB"/>
        </w:rPr>
        <w:noBreakHyphen/>
      </w:r>
      <w:r w:rsidRPr="008F48EB">
        <w:rPr>
          <w:lang w:val="es-ES" w:eastAsia="en-GB"/>
        </w:rPr>
        <w:t>RHF</w:t>
      </w:r>
      <w:proofErr w:type="spellEnd"/>
      <w:r w:rsidRPr="008F48EB">
        <w:rPr>
          <w:lang w:val="es-ES" w:eastAsia="en-GB"/>
        </w:rPr>
        <w:t>) y el Grupo de Trabajo del Consejo sobre los Planes Estratégico y Financiero (</w:t>
      </w:r>
      <w:proofErr w:type="spellStart"/>
      <w:r w:rsidRPr="008F48EB">
        <w:rPr>
          <w:lang w:val="es-ES" w:eastAsia="en-GB"/>
        </w:rPr>
        <w:t>GTC</w:t>
      </w:r>
      <w:r w:rsidR="0053587D">
        <w:rPr>
          <w:lang w:val="es-ES" w:eastAsia="en-GB"/>
        </w:rPr>
        <w:noBreakHyphen/>
      </w:r>
      <w:r w:rsidRPr="008F48EB">
        <w:rPr>
          <w:lang w:val="es-ES" w:eastAsia="en-GB"/>
        </w:rPr>
        <w:t>PEF</w:t>
      </w:r>
      <w:proofErr w:type="spellEnd"/>
      <w:r w:rsidRPr="008F48EB">
        <w:rPr>
          <w:lang w:val="es-ES" w:eastAsia="en-GB"/>
        </w:rPr>
        <w:t>) en abril de 2026. Esos debates permitirán al Consejo revisar el proyecto de Plan Financiero de la Unión y considerar los recursos con que se implementará el Plan Estratégico para el periodo 2028</w:t>
      </w:r>
      <w:r w:rsidR="0053587D">
        <w:rPr>
          <w:lang w:val="es-ES" w:eastAsia="en-GB"/>
        </w:rPr>
        <w:noBreakHyphen/>
      </w:r>
      <w:r w:rsidRPr="008F48EB">
        <w:rPr>
          <w:lang w:val="es-ES" w:eastAsia="en-GB"/>
        </w:rPr>
        <w:t>2031.</w:t>
      </w:r>
    </w:p>
    <w:p w14:paraId="20773D67" w14:textId="6BA2E7FC" w:rsidR="008F48EB" w:rsidRPr="008F48EB" w:rsidRDefault="008F48EB" w:rsidP="000249AD">
      <w:pPr>
        <w:jc w:val="both"/>
        <w:rPr>
          <w:lang w:val="es-ES" w:eastAsia="en-GB"/>
        </w:rPr>
      </w:pPr>
      <w:r w:rsidRPr="008F48EB">
        <w:rPr>
          <w:lang w:val="es-ES" w:eastAsia="en-GB"/>
        </w:rPr>
        <w:t>2.2</w:t>
      </w:r>
      <w:r w:rsidRPr="008F48EB">
        <w:rPr>
          <w:sz w:val="18"/>
          <w:szCs w:val="18"/>
          <w:lang w:val="es-ES" w:eastAsia="en-GB"/>
        </w:rPr>
        <w:tab/>
      </w:r>
      <w:r w:rsidRPr="008F48EB">
        <w:rPr>
          <w:lang w:val="es-ES" w:eastAsia="en-GB"/>
        </w:rPr>
        <w:t xml:space="preserve">La preparación del Plan Estratégico se hace de conformidad con el </w:t>
      </w:r>
      <w:r w:rsidRPr="008F48EB">
        <w:rPr>
          <w:b/>
          <w:bCs/>
          <w:lang w:val="es-ES" w:eastAsia="en-GB"/>
        </w:rPr>
        <w:t>número</w:t>
      </w:r>
      <w:r w:rsidR="0053587D">
        <w:rPr>
          <w:b/>
          <w:bCs/>
          <w:lang w:val="es-ES" w:eastAsia="en-GB"/>
        </w:rPr>
        <w:t> </w:t>
      </w:r>
      <w:proofErr w:type="spellStart"/>
      <w:r w:rsidRPr="008F48EB">
        <w:rPr>
          <w:b/>
          <w:bCs/>
          <w:lang w:val="es-ES" w:eastAsia="en-GB"/>
        </w:rPr>
        <w:t>74A</w:t>
      </w:r>
      <w:proofErr w:type="spellEnd"/>
      <w:r w:rsidRPr="008F48EB">
        <w:rPr>
          <w:b/>
          <w:bCs/>
          <w:lang w:val="es-ES" w:eastAsia="en-GB"/>
        </w:rPr>
        <w:t xml:space="preserve"> del Artículo</w:t>
      </w:r>
      <w:r w:rsidR="0053587D">
        <w:rPr>
          <w:b/>
          <w:bCs/>
          <w:lang w:val="es-ES" w:eastAsia="en-GB"/>
        </w:rPr>
        <w:t> </w:t>
      </w:r>
      <w:r w:rsidRPr="008F48EB">
        <w:rPr>
          <w:b/>
          <w:bCs/>
          <w:lang w:val="es-ES" w:eastAsia="en-GB"/>
        </w:rPr>
        <w:t xml:space="preserve">11 de la Constitución de la UIT </w:t>
      </w:r>
      <w:r w:rsidRPr="008F48EB">
        <w:rPr>
          <w:lang w:val="es-ES" w:eastAsia="en-GB"/>
        </w:rPr>
        <w:t xml:space="preserve">y el </w:t>
      </w:r>
      <w:r w:rsidRPr="008F48EB">
        <w:rPr>
          <w:b/>
          <w:bCs/>
          <w:lang w:val="es-ES" w:eastAsia="en-GB"/>
        </w:rPr>
        <w:t xml:space="preserve">número </w:t>
      </w:r>
      <w:proofErr w:type="spellStart"/>
      <w:r w:rsidRPr="008F48EB">
        <w:rPr>
          <w:b/>
          <w:bCs/>
          <w:lang w:val="es-ES" w:eastAsia="en-GB"/>
        </w:rPr>
        <w:t>62A</w:t>
      </w:r>
      <w:proofErr w:type="spellEnd"/>
      <w:r w:rsidRPr="008F48EB">
        <w:rPr>
          <w:b/>
          <w:bCs/>
          <w:lang w:val="es-ES" w:eastAsia="en-GB"/>
        </w:rPr>
        <w:t xml:space="preserve"> del Artículo</w:t>
      </w:r>
      <w:r w:rsidR="0053587D">
        <w:rPr>
          <w:b/>
          <w:bCs/>
          <w:lang w:val="es-ES" w:eastAsia="en-GB"/>
        </w:rPr>
        <w:t> </w:t>
      </w:r>
      <w:r w:rsidRPr="008F48EB">
        <w:rPr>
          <w:b/>
          <w:bCs/>
          <w:lang w:val="es-ES" w:eastAsia="en-GB"/>
        </w:rPr>
        <w:t>4 del Convenio de la</w:t>
      </w:r>
      <w:r w:rsidR="0053587D">
        <w:rPr>
          <w:b/>
          <w:bCs/>
          <w:lang w:val="es-ES" w:eastAsia="en-GB"/>
        </w:rPr>
        <w:t> </w:t>
      </w:r>
      <w:r w:rsidRPr="008F48EB">
        <w:rPr>
          <w:b/>
          <w:bCs/>
          <w:lang w:val="es-ES" w:eastAsia="en-GB"/>
        </w:rPr>
        <w:t>UIT</w:t>
      </w:r>
      <w:r w:rsidRPr="008F48EB">
        <w:rPr>
          <w:lang w:val="es-ES" w:eastAsia="en-GB"/>
        </w:rPr>
        <w:t xml:space="preserve">, que estipulan que el Secretario General, con la asistencia del Comité de Coordinación, proporcionará a los Estados Miembros y los Miembros de los Sectores la documentación que pueda ser necesaria para la elaboración [...] de las políticas y el Plan Estratégico de la Unión, mientras el Consejo inicia la preparación del proyecto de Plan antes de la Conferencia de Plenipotenciarios. En virtud de la </w:t>
      </w:r>
      <w:r w:rsidRPr="008F48EB">
        <w:rPr>
          <w:b/>
          <w:bCs/>
          <w:lang w:val="es-ES" w:eastAsia="en-GB"/>
        </w:rPr>
        <w:t>Resolución 1428 (</w:t>
      </w:r>
      <w:proofErr w:type="spellStart"/>
      <w:r w:rsidRPr="008F48EB">
        <w:rPr>
          <w:b/>
          <w:bCs/>
          <w:lang w:val="es-ES" w:eastAsia="en-GB"/>
        </w:rPr>
        <w:t>C24</w:t>
      </w:r>
      <w:proofErr w:type="spellEnd"/>
      <w:r w:rsidRPr="008F48EB">
        <w:rPr>
          <w:b/>
          <w:bCs/>
          <w:lang w:val="es-ES" w:eastAsia="en-GB"/>
        </w:rPr>
        <w:t>) del Consejo</w:t>
      </w:r>
      <w:r w:rsidRPr="008F48EB">
        <w:rPr>
          <w:lang w:val="es-ES" w:eastAsia="en-GB"/>
        </w:rPr>
        <w:t xml:space="preserve">, el Consejo delega la preparación de los proyectos de Plan Estratégico y Plan Financiero en el </w:t>
      </w:r>
      <w:r w:rsidRPr="008F48EB">
        <w:rPr>
          <w:b/>
          <w:bCs/>
          <w:lang w:val="es-ES" w:eastAsia="en-GB"/>
        </w:rPr>
        <w:t>Grupo de Trabajo del Consejo sobre los Planes Estratégico y Financiero (</w:t>
      </w:r>
      <w:proofErr w:type="spellStart"/>
      <w:r w:rsidRPr="008F48EB">
        <w:rPr>
          <w:b/>
          <w:bCs/>
          <w:lang w:val="es-ES" w:eastAsia="en-GB"/>
        </w:rPr>
        <w:t>GTC</w:t>
      </w:r>
      <w:r w:rsidR="0053587D">
        <w:rPr>
          <w:b/>
          <w:bCs/>
          <w:lang w:val="es-ES" w:eastAsia="en-GB"/>
        </w:rPr>
        <w:noBreakHyphen/>
      </w:r>
      <w:r w:rsidRPr="008F48EB">
        <w:rPr>
          <w:b/>
          <w:bCs/>
          <w:lang w:val="es-ES" w:eastAsia="en-GB"/>
        </w:rPr>
        <w:t>PEF</w:t>
      </w:r>
      <w:proofErr w:type="spellEnd"/>
      <w:r w:rsidRPr="008F48EB">
        <w:rPr>
          <w:b/>
          <w:bCs/>
          <w:lang w:val="es-ES" w:eastAsia="en-GB"/>
        </w:rPr>
        <w:t>)</w:t>
      </w:r>
      <w:r w:rsidRPr="008F48EB">
        <w:rPr>
          <w:lang w:val="es-ES" w:eastAsia="en-GB"/>
        </w:rPr>
        <w:t>, en el que los Estados Miembros y los Miembros de Sector participan en igualdad de condiciones. Este proyecto de Plan Financiero está armonizado con las prioridades definidas en el actual proyecto de Plan Estratégico y se revisará, según sea necesario, para garantizar su plena armonía con el Plan Estratégico para 2028</w:t>
      </w:r>
      <w:r w:rsidR="0053587D">
        <w:rPr>
          <w:lang w:val="es-ES" w:eastAsia="en-GB"/>
        </w:rPr>
        <w:noBreakHyphen/>
      </w:r>
      <w:r w:rsidRPr="008F48EB">
        <w:rPr>
          <w:lang w:val="es-ES" w:eastAsia="en-GB"/>
        </w:rPr>
        <w:t>2031 definitivo aprobado.</w:t>
      </w:r>
    </w:p>
    <w:p w14:paraId="197B5F3A" w14:textId="21C5FE20" w:rsidR="008F48EB" w:rsidRPr="008F48EB" w:rsidRDefault="008F48EB" w:rsidP="000249AD">
      <w:pPr>
        <w:jc w:val="both"/>
        <w:rPr>
          <w:lang w:val="es-ES" w:eastAsia="en-GB"/>
        </w:rPr>
      </w:pPr>
      <w:r w:rsidRPr="008F48EB">
        <w:rPr>
          <w:lang w:val="es-ES" w:eastAsia="en-GB"/>
        </w:rPr>
        <w:lastRenderedPageBreak/>
        <w:t>2.3</w:t>
      </w:r>
      <w:r w:rsidRPr="008F48EB">
        <w:rPr>
          <w:lang w:val="es-ES" w:eastAsia="en-GB"/>
        </w:rPr>
        <w:tab/>
        <w:t>El Plan Financiero adopta un enfoque basado en resultados y atribuye los fondos procedentes de los ingresos previstos en el presupuesto ordinario a disposición de la Secretaría en 2028</w:t>
      </w:r>
      <w:r w:rsidR="0053587D">
        <w:rPr>
          <w:lang w:val="es-ES" w:eastAsia="en-GB"/>
        </w:rPr>
        <w:noBreakHyphen/>
      </w:r>
      <w:r w:rsidRPr="008F48EB">
        <w:rPr>
          <w:lang w:val="es-ES" w:eastAsia="en-GB"/>
        </w:rPr>
        <w:t>2031 a las prioridades definidas en el Plan Estratégico.</w:t>
      </w:r>
    </w:p>
    <w:p w14:paraId="2D010080" w14:textId="77777777" w:rsidR="008F48EB" w:rsidRPr="008F48EB" w:rsidRDefault="008F48EB" w:rsidP="000249AD">
      <w:pPr>
        <w:jc w:val="both"/>
        <w:rPr>
          <w:lang w:val="es-ES" w:eastAsia="en-GB"/>
        </w:rPr>
      </w:pPr>
      <w:r w:rsidRPr="008F48EB">
        <w:rPr>
          <w:lang w:val="es-ES" w:eastAsia="en-GB"/>
        </w:rPr>
        <w:t>2.4</w:t>
      </w:r>
      <w:r w:rsidRPr="008F48EB">
        <w:rPr>
          <w:lang w:val="es-ES" w:eastAsia="en-GB"/>
        </w:rPr>
        <w:tab/>
        <w:t>El Plan Financiero y el Plan Estratégico se traducirán en asignaciones financieras concretas a las Oficinas y la Secretaría General durante el proceso del Plan Operacional, facilitando así la financiación necesaria para que sus actividades alcancen los resultados previstos, de acuerdo con sus respectivas contribuciones al logro de cada prioridad. De este modo se garantizará una correspondencia clara entre las actividades planificadas y los recursos necesarios para su ejecución.</w:t>
      </w:r>
    </w:p>
    <w:p w14:paraId="1A7CEC78" w14:textId="77777777" w:rsidR="008F48EB" w:rsidRPr="008F48EB" w:rsidRDefault="008F48EB" w:rsidP="000249AD">
      <w:pPr>
        <w:jc w:val="both"/>
        <w:rPr>
          <w:lang w:val="es-ES" w:eastAsia="en-GB"/>
        </w:rPr>
      </w:pPr>
      <w:r w:rsidRPr="008F48EB">
        <w:rPr>
          <w:lang w:val="es-ES" w:eastAsia="en-GB"/>
        </w:rPr>
        <w:t>2.5</w:t>
      </w:r>
      <w:r w:rsidRPr="008F48EB">
        <w:rPr>
          <w:lang w:val="es-ES" w:eastAsia="en-GB"/>
        </w:rPr>
        <w:tab/>
        <w:t>Así, el proyecto de Plan Financiero se guía por una serie de parámetros y determinantes esenciales, entre los que se cuentan los siguientes:</w:t>
      </w:r>
    </w:p>
    <w:p w14:paraId="45887363" w14:textId="39CC661E" w:rsidR="008F48EB" w:rsidRPr="008F48EB" w:rsidRDefault="000249AD" w:rsidP="000249AD">
      <w:pPr>
        <w:pStyle w:val="enumlev1"/>
        <w:jc w:val="both"/>
        <w:rPr>
          <w:lang w:val="es-ES" w:eastAsia="en-GB"/>
        </w:rPr>
      </w:pPr>
      <w:r>
        <w:rPr>
          <w:lang w:val="es-ES" w:eastAsia="en-GB"/>
        </w:rPr>
        <w:t>–</w:t>
      </w:r>
      <w:r>
        <w:rPr>
          <w:lang w:val="es-ES" w:eastAsia="en-GB"/>
        </w:rPr>
        <w:tab/>
      </w:r>
      <w:r w:rsidR="0053587D">
        <w:rPr>
          <w:lang w:val="es-ES" w:eastAsia="en-GB"/>
        </w:rPr>
        <w:t>l</w:t>
      </w:r>
      <w:r w:rsidR="008F48EB" w:rsidRPr="008F48EB">
        <w:rPr>
          <w:lang w:val="es-ES" w:eastAsia="en-GB"/>
        </w:rPr>
        <w:t>as metas y prioridades estratégicas definidas en el Plan Estratégico;</w:t>
      </w:r>
    </w:p>
    <w:p w14:paraId="1EBF74DC" w14:textId="353996FD" w:rsidR="008F48EB" w:rsidRPr="008F48EB" w:rsidRDefault="000249AD" w:rsidP="000249AD">
      <w:pPr>
        <w:pStyle w:val="enumlev1"/>
        <w:jc w:val="both"/>
        <w:rPr>
          <w:lang w:val="es-ES" w:eastAsia="en-GB"/>
        </w:rPr>
      </w:pPr>
      <w:r>
        <w:rPr>
          <w:lang w:val="es-ES" w:eastAsia="en-GB"/>
        </w:rPr>
        <w:t>–</w:t>
      </w:r>
      <w:r>
        <w:rPr>
          <w:lang w:val="es-ES" w:eastAsia="en-GB"/>
        </w:rPr>
        <w:tab/>
      </w:r>
      <w:r w:rsidR="0053587D">
        <w:rPr>
          <w:lang w:val="es-ES" w:eastAsia="en-GB"/>
        </w:rPr>
        <w:t>e</w:t>
      </w:r>
      <w:r w:rsidR="008F48EB" w:rsidRPr="008F48EB">
        <w:rPr>
          <w:lang w:val="es-ES" w:eastAsia="en-GB"/>
        </w:rPr>
        <w:t>l nivel de la unidad contributiva aprobado por los Estados Miembros;</w:t>
      </w:r>
    </w:p>
    <w:p w14:paraId="31F2D1DF" w14:textId="4A693976" w:rsidR="008F48EB" w:rsidRPr="008F48EB" w:rsidRDefault="000249AD" w:rsidP="000249AD">
      <w:pPr>
        <w:pStyle w:val="enumlev1"/>
        <w:jc w:val="both"/>
        <w:rPr>
          <w:lang w:val="es-ES" w:eastAsia="en-GB"/>
        </w:rPr>
      </w:pPr>
      <w:r>
        <w:rPr>
          <w:lang w:val="es-ES" w:eastAsia="en-GB"/>
        </w:rPr>
        <w:t>–</w:t>
      </w:r>
      <w:r>
        <w:rPr>
          <w:lang w:val="es-ES" w:eastAsia="en-GB"/>
        </w:rPr>
        <w:tab/>
      </w:r>
      <w:r w:rsidR="0053587D">
        <w:rPr>
          <w:lang w:val="es-ES" w:eastAsia="en-GB"/>
        </w:rPr>
        <w:t>e</w:t>
      </w:r>
      <w:r w:rsidR="008F48EB" w:rsidRPr="008F48EB">
        <w:rPr>
          <w:lang w:val="es-ES" w:eastAsia="en-GB"/>
        </w:rPr>
        <w:t>l nivel previsto de ingresos a disposición de la Unión durante el periodo planificado, que fija el máximo global de los gastos previstos, y</w:t>
      </w:r>
    </w:p>
    <w:p w14:paraId="4B6A2975" w14:textId="7C979429" w:rsidR="008F48EB" w:rsidRPr="008F48EB" w:rsidRDefault="000249AD" w:rsidP="000249AD">
      <w:pPr>
        <w:pStyle w:val="enumlev1"/>
        <w:jc w:val="both"/>
        <w:rPr>
          <w:lang w:val="es-ES" w:eastAsia="en-GB"/>
        </w:rPr>
      </w:pPr>
      <w:r>
        <w:rPr>
          <w:lang w:val="es-ES" w:eastAsia="en-GB"/>
        </w:rPr>
        <w:t>–</w:t>
      </w:r>
      <w:r>
        <w:rPr>
          <w:lang w:val="es-ES" w:eastAsia="en-GB"/>
        </w:rPr>
        <w:tab/>
      </w:r>
      <w:r w:rsidR="0053587D">
        <w:rPr>
          <w:lang w:val="es-ES" w:eastAsia="en-GB"/>
        </w:rPr>
        <w:t>l</w:t>
      </w:r>
      <w:r w:rsidR="008F48EB" w:rsidRPr="008F48EB">
        <w:rPr>
          <w:lang w:val="es-ES" w:eastAsia="en-GB"/>
        </w:rPr>
        <w:t>os presupuestos aprobados anteriores y el rendimiento fiscal de los Sectores, las Oficinas y la Secretaría General.</w:t>
      </w:r>
    </w:p>
    <w:p w14:paraId="42C5585A" w14:textId="4A08983E" w:rsidR="008F48EB" w:rsidRPr="008F48EB" w:rsidRDefault="008F48EB" w:rsidP="000249AD">
      <w:pPr>
        <w:jc w:val="both"/>
        <w:rPr>
          <w:lang w:val="es-ES" w:eastAsia="en-GB"/>
        </w:rPr>
      </w:pPr>
      <w:r w:rsidRPr="008F48EB">
        <w:rPr>
          <w:lang w:val="es-ES" w:eastAsia="en-GB"/>
        </w:rPr>
        <w:t>2.</w:t>
      </w:r>
      <w:r w:rsidR="000249AD">
        <w:rPr>
          <w:lang w:val="es-ES" w:eastAsia="en-GB"/>
        </w:rPr>
        <w:t>6</w:t>
      </w:r>
      <w:r w:rsidRPr="008F48EB">
        <w:rPr>
          <w:lang w:val="es-ES" w:eastAsia="en-GB"/>
        </w:rPr>
        <w:tab/>
        <w:t>Dentro de esos límites el Plan Financiero establece la cuantía global de recursos a disposición de la Unión durante el periodo 2028</w:t>
      </w:r>
      <w:r w:rsidR="0053587D">
        <w:rPr>
          <w:lang w:val="es-ES" w:eastAsia="en-GB"/>
        </w:rPr>
        <w:noBreakHyphen/>
      </w:r>
      <w:r w:rsidRPr="008F48EB">
        <w:rPr>
          <w:lang w:val="es-ES" w:eastAsia="en-GB"/>
        </w:rPr>
        <w:t>2031. Por consiguiente, la implementación del Plan Estratégico deberá llevarse a cabo con ajuste a esos parámetros financieros, lo que exigirá la priorización de las actividades y la utilización eficiente de los recursos para garantizar que se alcanzan las prioridades de la Unión de manera financieramente sostenible.</w:t>
      </w:r>
    </w:p>
    <w:p w14:paraId="27DB4F49" w14:textId="77777777" w:rsidR="008F48EB" w:rsidRPr="008F48EB" w:rsidRDefault="008F48EB" w:rsidP="008F48EB">
      <w:pPr>
        <w:pStyle w:val="Heading1"/>
        <w:rPr>
          <w:lang w:val="es-ES" w:eastAsia="en-GB"/>
        </w:rPr>
      </w:pPr>
      <w:r w:rsidRPr="008F48EB">
        <w:rPr>
          <w:lang w:val="es-ES" w:eastAsia="en-GB"/>
        </w:rPr>
        <w:t>3</w:t>
      </w:r>
      <w:r w:rsidRPr="008F48EB">
        <w:rPr>
          <w:lang w:val="es-ES" w:eastAsia="en-GB"/>
        </w:rPr>
        <w:tab/>
        <w:t>Bases e hipótesis</w:t>
      </w:r>
    </w:p>
    <w:p w14:paraId="237D6E26" w14:textId="546F44E8" w:rsidR="008F48EB" w:rsidRPr="008F48EB" w:rsidRDefault="008F48EB" w:rsidP="000249AD">
      <w:pPr>
        <w:jc w:val="both"/>
        <w:rPr>
          <w:lang w:val="es-ES" w:eastAsia="en-GB"/>
        </w:rPr>
      </w:pPr>
      <w:r w:rsidRPr="008F48EB">
        <w:rPr>
          <w:lang w:val="es-ES" w:eastAsia="en-GB"/>
        </w:rPr>
        <w:t>3.1</w:t>
      </w:r>
      <w:r w:rsidRPr="008F48EB">
        <w:rPr>
          <w:lang w:val="es-ES" w:eastAsia="en-GB"/>
        </w:rPr>
        <w:tab/>
        <w:t>El nivel de ingresos refleja la situación imperante a 1 de enero de 2026 para las contribuciones previstas (Estados Miembros, Miembros de Sector, Asociados e Instituciones Académicas). Las contribuciones previstas representan más de las tres cuartas partes de los ingresos de la Unión. Cualquier cambio del número de unidades contributivas abonadas por los Estados Miembros repercutirá en la previsión de ingresos para 2028</w:t>
      </w:r>
      <w:r w:rsidR="0053587D">
        <w:rPr>
          <w:lang w:val="es-ES" w:eastAsia="en-GB"/>
        </w:rPr>
        <w:noBreakHyphen/>
      </w:r>
      <w:r w:rsidRPr="008F48EB">
        <w:rPr>
          <w:lang w:val="es-ES" w:eastAsia="en-GB"/>
        </w:rPr>
        <w:t>2031 y, por lo tanto, habrá que ajustar en consecuencia la previsión de gastos en el Plan Financiero.</w:t>
      </w:r>
    </w:p>
    <w:p w14:paraId="1DF77E59" w14:textId="2ACDC87E" w:rsidR="008F48EB" w:rsidRPr="008F48EB" w:rsidRDefault="008F48EB" w:rsidP="000249AD">
      <w:pPr>
        <w:jc w:val="both"/>
        <w:rPr>
          <w:lang w:val="es-ES" w:eastAsia="en-GB"/>
        </w:rPr>
      </w:pPr>
      <w:r w:rsidRPr="008F48EB">
        <w:rPr>
          <w:lang w:val="es-ES" w:eastAsia="en-GB"/>
        </w:rPr>
        <w:t>3.2</w:t>
      </w:r>
      <w:r w:rsidRPr="008F48EB">
        <w:rPr>
          <w:lang w:val="es-ES" w:eastAsia="en-GB"/>
        </w:rPr>
        <w:tab/>
        <w:t>El importe de la unidad contributiva, situado en 318</w:t>
      </w:r>
      <w:r w:rsidR="0053587D">
        <w:rPr>
          <w:lang w:val="es-ES" w:eastAsia="en-GB"/>
        </w:rPr>
        <w:t> </w:t>
      </w:r>
      <w:r w:rsidRPr="008F48EB">
        <w:rPr>
          <w:lang w:val="es-ES" w:eastAsia="en-GB"/>
        </w:rPr>
        <w:t>000</w:t>
      </w:r>
      <w:r w:rsidR="0053587D">
        <w:rPr>
          <w:lang w:val="es-ES" w:eastAsia="en-GB"/>
        </w:rPr>
        <w:t> </w:t>
      </w:r>
      <w:r w:rsidRPr="008F48EB">
        <w:rPr>
          <w:lang w:val="es-ES" w:eastAsia="en-GB"/>
        </w:rPr>
        <w:t>CHF por unidad, no ha cambiado desde 2006, lo que corresponde a un crecimiento nominal nulo. Durante el periodo entre enero de 2006 y enero de 2026, el índice de precios al consumo (IPC) de Ginebra ha aumentado un 10,5</w:t>
      </w:r>
      <w:r w:rsidR="0053587D">
        <w:rPr>
          <w:lang w:val="es-ES" w:eastAsia="en-GB"/>
        </w:rPr>
        <w:t> </w:t>
      </w:r>
      <w:r w:rsidRPr="008F48EB">
        <w:rPr>
          <w:lang w:val="es-ES" w:eastAsia="en-GB"/>
        </w:rPr>
        <w:t xml:space="preserve">%. De haberse indexado la unidad contributiva con el IPC de Ginebra, el importe de </w:t>
      </w:r>
      <w:proofErr w:type="gramStart"/>
      <w:r w:rsidRPr="008F48EB">
        <w:rPr>
          <w:lang w:val="es-ES" w:eastAsia="en-GB"/>
        </w:rPr>
        <w:t>la misma</w:t>
      </w:r>
      <w:proofErr w:type="gramEnd"/>
      <w:r w:rsidRPr="008F48EB">
        <w:rPr>
          <w:lang w:val="es-ES" w:eastAsia="en-GB"/>
        </w:rPr>
        <w:t xml:space="preserve"> sería actualmente de 351</w:t>
      </w:r>
      <w:r w:rsidR="0053587D">
        <w:rPr>
          <w:lang w:val="es-ES" w:eastAsia="en-GB"/>
        </w:rPr>
        <w:t> </w:t>
      </w:r>
      <w:r w:rsidRPr="008F48EB">
        <w:rPr>
          <w:lang w:val="es-ES" w:eastAsia="en-GB"/>
        </w:rPr>
        <w:t>400</w:t>
      </w:r>
      <w:r w:rsidR="0053587D">
        <w:rPr>
          <w:lang w:val="es-ES" w:eastAsia="en-GB"/>
        </w:rPr>
        <w:t> </w:t>
      </w:r>
      <w:r w:rsidRPr="008F48EB">
        <w:rPr>
          <w:lang w:val="es-ES" w:eastAsia="en-GB"/>
        </w:rPr>
        <w:t>CHF, un incremento de 33</w:t>
      </w:r>
      <w:r w:rsidR="0053587D">
        <w:rPr>
          <w:lang w:val="es-ES" w:eastAsia="en-GB"/>
        </w:rPr>
        <w:t> </w:t>
      </w:r>
      <w:r w:rsidRPr="008F48EB">
        <w:rPr>
          <w:lang w:val="es-ES" w:eastAsia="en-GB"/>
        </w:rPr>
        <w:t>400</w:t>
      </w:r>
      <w:r w:rsidR="0053587D">
        <w:rPr>
          <w:lang w:val="es-ES" w:eastAsia="en-GB"/>
        </w:rPr>
        <w:t> </w:t>
      </w:r>
      <w:r w:rsidRPr="008F48EB">
        <w:rPr>
          <w:lang w:val="es-ES" w:eastAsia="en-GB"/>
        </w:rPr>
        <w:t>CHF (crecimiento real nulo). El incremento de las contribuciones previstas ascendería a 54,6 millones CHF para el periodo de cuatro años, con lo que se habrían financiado adecuadamente las prioridades estratégicas. Dada la decisión de mantener la unidad contributiva a su nivel actual, el proyecto de Plan Financiero no podrá cubrir totalmente la financiación al nivel propuesto por las Oficinas y la Secretaría para lograr las prioridades estratégicas. Esto es necesario para garantizar que los gastos planificados se limitan a los ingresos previstos. En la sección 5 se presenta información sobre algunas de las limitaciones de financiación que afrontará la UIT a la hora de implementar este Plan Financiero.</w:t>
      </w:r>
    </w:p>
    <w:p w14:paraId="3AB6EE4E" w14:textId="00855F43" w:rsidR="008F48EB" w:rsidRPr="008F48EB" w:rsidRDefault="008F48EB" w:rsidP="000249AD">
      <w:pPr>
        <w:jc w:val="both"/>
        <w:rPr>
          <w:lang w:val="es-ES" w:eastAsia="en-GB"/>
        </w:rPr>
      </w:pPr>
      <w:r w:rsidRPr="008F48EB">
        <w:rPr>
          <w:lang w:val="es-ES" w:eastAsia="en-GB"/>
        </w:rPr>
        <w:lastRenderedPageBreak/>
        <w:t>3.3</w:t>
      </w:r>
      <w:r w:rsidRPr="008F48EB">
        <w:rPr>
          <w:lang w:val="es-ES" w:eastAsia="en-GB"/>
        </w:rPr>
        <w:tab/>
        <w:t>en lo que respecta a la recuperación de costes y otros ingresos, las proyecciones del proyecto de Plan Financiero para 2028</w:t>
      </w:r>
      <w:r w:rsidR="0053587D">
        <w:rPr>
          <w:lang w:val="es-ES" w:eastAsia="en-GB"/>
        </w:rPr>
        <w:noBreakHyphen/>
      </w:r>
      <w:r w:rsidRPr="008F48EB">
        <w:rPr>
          <w:lang w:val="es-ES" w:eastAsia="en-GB"/>
        </w:rPr>
        <w:t>2031 están globalmente armonizadas con los ingresos reales de la UIT durante el bienio 2024</w:t>
      </w:r>
      <w:r w:rsidR="0053587D">
        <w:rPr>
          <w:lang w:val="es-ES" w:eastAsia="en-GB"/>
        </w:rPr>
        <w:noBreakHyphen/>
      </w:r>
      <w:r w:rsidRPr="008F48EB">
        <w:rPr>
          <w:lang w:val="es-ES" w:eastAsia="en-GB"/>
        </w:rPr>
        <w:t>2025 y los ingresos previstos en el presupuesto para el bienio 2026</w:t>
      </w:r>
      <w:r w:rsidR="0053587D">
        <w:rPr>
          <w:lang w:val="es-ES" w:eastAsia="en-GB"/>
        </w:rPr>
        <w:noBreakHyphen/>
      </w:r>
      <w:r w:rsidRPr="008F48EB">
        <w:rPr>
          <w:lang w:val="es-ES" w:eastAsia="en-GB"/>
        </w:rPr>
        <w:t>2027. Cabe señalar que las predicciones de ingresos en concepto de notificaciones de redes de satélites han aumentado moderadamente. Si bien los ingresos en concepto de notificaciones de redes de satélites se prevén marginalmente superiores a los del bienio 2024</w:t>
      </w:r>
      <w:r w:rsidR="0053587D">
        <w:rPr>
          <w:lang w:val="es-ES" w:eastAsia="en-GB"/>
        </w:rPr>
        <w:noBreakHyphen/>
      </w:r>
      <w:r w:rsidRPr="008F48EB">
        <w:rPr>
          <w:lang w:val="es-ES" w:eastAsia="en-GB"/>
        </w:rPr>
        <w:t>2025 (16,2 millones CHF) para el bienio 2028</w:t>
      </w:r>
      <w:r w:rsidR="0053587D">
        <w:rPr>
          <w:lang w:val="es-ES" w:eastAsia="en-GB"/>
        </w:rPr>
        <w:noBreakHyphen/>
      </w:r>
      <w:r w:rsidRPr="008F48EB">
        <w:rPr>
          <w:lang w:val="es-ES" w:eastAsia="en-GB"/>
        </w:rPr>
        <w:t>2029 (20 millones</w:t>
      </w:r>
      <w:r w:rsidR="0053587D">
        <w:rPr>
          <w:lang w:val="es-ES" w:eastAsia="en-GB"/>
        </w:rPr>
        <w:t> </w:t>
      </w:r>
      <w:r w:rsidRPr="008F48EB">
        <w:rPr>
          <w:lang w:val="es-ES" w:eastAsia="en-GB"/>
        </w:rPr>
        <w:t>CHF), la previsión para el bienio 2030-2031 es ligeramente superior (25</w:t>
      </w:r>
      <w:r w:rsidR="0053587D">
        <w:rPr>
          <w:lang w:val="es-ES" w:eastAsia="en-GB"/>
        </w:rPr>
        <w:t> </w:t>
      </w:r>
      <w:r w:rsidRPr="008F48EB">
        <w:rPr>
          <w:lang w:val="es-ES" w:eastAsia="en-GB"/>
        </w:rPr>
        <w:t>millones</w:t>
      </w:r>
      <w:r w:rsidR="0053587D">
        <w:rPr>
          <w:lang w:val="es-ES" w:eastAsia="en-GB"/>
        </w:rPr>
        <w:t> </w:t>
      </w:r>
      <w:r w:rsidRPr="008F48EB">
        <w:rPr>
          <w:lang w:val="es-ES" w:eastAsia="en-GB"/>
        </w:rPr>
        <w:t>CHF), pues refleja los mayores volúmenes de tramitación que se conseguirán gracias a las inversiones sistémicas planificadas y los ajustes operacionales. Sin embargo, no se prevé que tal recuperación permita volver a los niveles de ingresos presupuestados más elevados de anteriores ciclos del Plan Estratégico.</w:t>
      </w:r>
    </w:p>
    <w:p w14:paraId="16E0F53D" w14:textId="5DC70B02" w:rsidR="008F48EB" w:rsidRPr="008F48EB" w:rsidRDefault="008F48EB" w:rsidP="000249AD">
      <w:pPr>
        <w:jc w:val="both"/>
        <w:rPr>
          <w:rFonts w:eastAsiaTheme="minorHAnsi"/>
          <w:lang w:val="es-ES" w:eastAsia="en-GB"/>
        </w:rPr>
      </w:pPr>
      <w:r w:rsidRPr="008F48EB">
        <w:rPr>
          <w:lang w:val="es-ES" w:eastAsia="en-GB"/>
        </w:rPr>
        <w:t>3.4</w:t>
      </w:r>
      <w:r w:rsidRPr="008F48EB">
        <w:rPr>
          <w:lang w:val="es-ES" w:eastAsia="en-GB"/>
        </w:rPr>
        <w:tab/>
        <w:t>De acuerdo con todo lo anterior, los ingresos previstos para 2028</w:t>
      </w:r>
      <w:r w:rsidR="0053587D">
        <w:rPr>
          <w:lang w:val="es-ES" w:eastAsia="en-GB"/>
        </w:rPr>
        <w:noBreakHyphen/>
      </w:r>
      <w:r w:rsidRPr="008F48EB">
        <w:rPr>
          <w:lang w:val="es-ES" w:eastAsia="en-GB"/>
        </w:rPr>
        <w:t>2031 se mantienen estáticos. Se prevé (como se indica en el Cuadro 1 siguiente) que los ingresos de la UIT se mantendrán a niveles similares a los observados durante el bienio 2024</w:t>
      </w:r>
      <w:r w:rsidR="0053587D">
        <w:rPr>
          <w:lang w:val="es-ES" w:eastAsia="en-GB"/>
        </w:rPr>
        <w:noBreakHyphen/>
      </w:r>
      <w:r w:rsidRPr="008F48EB">
        <w:rPr>
          <w:lang w:val="es-ES" w:eastAsia="en-GB"/>
        </w:rPr>
        <w:t>2025, con un crecimiento escaso o nulo y un riesgo moderado de reducción en determinados años, en función de la volatilidad del mercado de los elementos sujetos a recuperación de costes. En el Cuadro 1 siguiente se desglosan todos los ingresos y se presenta una comparación entre el presupuesto aprobado para</w:t>
      </w:r>
      <w:r w:rsidRPr="008F48EB">
        <w:rPr>
          <w:rFonts w:eastAsiaTheme="minorHAnsi"/>
          <w:lang w:val="es-ES"/>
        </w:rPr>
        <w:t xml:space="preserve"> 2026-2027 y los resultados reales de 2024</w:t>
      </w:r>
      <w:r w:rsidR="0053587D">
        <w:rPr>
          <w:rFonts w:eastAsiaTheme="minorHAnsi"/>
          <w:lang w:val="es-ES"/>
        </w:rPr>
        <w:noBreakHyphen/>
      </w:r>
      <w:r w:rsidRPr="008F48EB">
        <w:rPr>
          <w:rFonts w:eastAsiaTheme="minorHAnsi"/>
          <w:lang w:val="es-ES"/>
        </w:rPr>
        <w:t xml:space="preserve">2025 actual </w:t>
      </w:r>
      <w:proofErr w:type="spellStart"/>
      <w:r w:rsidRPr="008F48EB">
        <w:rPr>
          <w:rFonts w:eastAsiaTheme="minorHAnsi"/>
          <w:lang w:val="es-ES"/>
        </w:rPr>
        <w:t>results</w:t>
      </w:r>
      <w:proofErr w:type="spellEnd"/>
      <w:r w:rsidRPr="008F48EB">
        <w:rPr>
          <w:rFonts w:eastAsiaTheme="minorHAnsi"/>
          <w:lang w:val="es-ES"/>
        </w:rPr>
        <w:t>.</w:t>
      </w:r>
    </w:p>
    <w:p w14:paraId="6DDBCC12" w14:textId="77777777" w:rsidR="000249AD" w:rsidRDefault="008F48EB" w:rsidP="000249AD">
      <w:pPr>
        <w:pStyle w:val="TableNo"/>
        <w:rPr>
          <w:lang w:val="es-ES" w:eastAsia="en-GB"/>
        </w:rPr>
      </w:pPr>
      <w:r w:rsidRPr="008F48EB">
        <w:rPr>
          <w:lang w:val="es-ES" w:eastAsia="en-GB"/>
        </w:rPr>
        <w:t>Cuadro 1</w:t>
      </w:r>
    </w:p>
    <w:p w14:paraId="4F2CE2E7" w14:textId="46C80796" w:rsidR="008F48EB" w:rsidRPr="008F48EB" w:rsidRDefault="008F48EB" w:rsidP="000249AD">
      <w:pPr>
        <w:pStyle w:val="Tabletitle"/>
        <w:rPr>
          <w:lang w:val="es-ES" w:eastAsia="en-GB"/>
        </w:rPr>
      </w:pPr>
      <w:r w:rsidRPr="008F48EB">
        <w:rPr>
          <w:lang w:val="es-ES" w:eastAsia="en-GB"/>
        </w:rPr>
        <w:t xml:space="preserve">Ingresos por </w:t>
      </w:r>
      <w:proofErr w:type="spellStart"/>
      <w:r w:rsidRPr="000249AD">
        <w:t>origen</w:t>
      </w:r>
      <w:proofErr w:type="spellEnd"/>
      <w:r w:rsidRPr="008F48EB">
        <w:rPr>
          <w:lang w:val="es-ES" w:eastAsia="en-GB"/>
        </w:rPr>
        <w:t xml:space="preserve"> (2024 a 2031)</w:t>
      </w:r>
    </w:p>
    <w:p w14:paraId="0809852C" w14:textId="33E3FE3F" w:rsidR="008F48EB" w:rsidRPr="008F48EB" w:rsidRDefault="0053587D" w:rsidP="008F48EB">
      <w:pPr>
        <w:pStyle w:val="Figure"/>
        <w:rPr>
          <w:lang w:val="en-US" w:eastAsia="en-GB"/>
        </w:rPr>
      </w:pPr>
      <w:r w:rsidRPr="0053587D">
        <w:rPr>
          <w:noProof/>
        </w:rPr>
        <w:drawing>
          <wp:inline distT="0" distB="0" distL="0" distR="0" wp14:anchorId="126B7390" wp14:editId="72368340">
            <wp:extent cx="5760085" cy="3458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3458210"/>
                    </a:xfrm>
                    <a:prstGeom prst="rect">
                      <a:avLst/>
                    </a:prstGeom>
                    <a:noFill/>
                    <a:ln>
                      <a:noFill/>
                    </a:ln>
                  </pic:spPr>
                </pic:pic>
              </a:graphicData>
            </a:graphic>
          </wp:inline>
        </w:drawing>
      </w:r>
    </w:p>
    <w:p w14:paraId="617CBA90" w14:textId="2496CA1D" w:rsidR="008F48EB" w:rsidRPr="008F48EB" w:rsidRDefault="008F48EB" w:rsidP="008F48EB">
      <w:pPr>
        <w:pStyle w:val="Heading1"/>
        <w:rPr>
          <w:lang w:val="es-ES" w:eastAsia="en-GB"/>
        </w:rPr>
      </w:pPr>
      <w:r w:rsidRPr="008F48EB">
        <w:rPr>
          <w:lang w:val="es-ES" w:eastAsia="en-GB"/>
        </w:rPr>
        <w:t>4</w:t>
      </w:r>
      <w:r w:rsidRPr="008F48EB">
        <w:rPr>
          <w:lang w:val="es-ES" w:eastAsia="en-GB"/>
        </w:rPr>
        <w:tab/>
        <w:t xml:space="preserve">Utilización de </w:t>
      </w:r>
      <w:r w:rsidRPr="00F2708A">
        <w:rPr>
          <w:lang w:val="es-ES"/>
        </w:rPr>
        <w:t>recursos</w:t>
      </w:r>
      <w:r w:rsidRPr="008F48EB">
        <w:rPr>
          <w:lang w:val="es-ES" w:eastAsia="en-GB"/>
        </w:rPr>
        <w:t xml:space="preserve"> financieros</w:t>
      </w:r>
    </w:p>
    <w:p w14:paraId="090E0267" w14:textId="798C1356" w:rsidR="008F48EB" w:rsidRPr="008F48EB" w:rsidRDefault="008F48EB" w:rsidP="000249AD">
      <w:pPr>
        <w:jc w:val="both"/>
        <w:rPr>
          <w:lang w:val="es-ES" w:eastAsia="en-GB"/>
        </w:rPr>
      </w:pPr>
      <w:r w:rsidRPr="008F48EB">
        <w:rPr>
          <w:lang w:val="es-ES" w:eastAsia="en-GB"/>
        </w:rPr>
        <w:t>4.1</w:t>
      </w:r>
      <w:r w:rsidRPr="008F48EB">
        <w:rPr>
          <w:lang w:val="es-ES" w:eastAsia="en-GB"/>
        </w:rPr>
        <w:tab/>
        <w:t>En cuanto a los gastos, se prevé que los costes para la UIT aumenten debido a la inflación, el aumento de los sueldos, el aumento de los costes del seguro médico y demás factores inflacionarios. Por consiguiente, la implementación</w:t>
      </w:r>
      <w:r w:rsidR="00611749">
        <w:rPr>
          <w:lang w:val="es-ES" w:eastAsia="en-GB"/>
        </w:rPr>
        <w:t xml:space="preserve"> </w:t>
      </w:r>
      <w:r w:rsidRPr="008F48EB">
        <w:rPr>
          <w:lang w:val="es-ES" w:eastAsia="en-GB"/>
        </w:rPr>
        <w:t xml:space="preserve">del Plan Financiero por medio de </w:t>
      </w:r>
      <w:r w:rsidRPr="008F48EB">
        <w:rPr>
          <w:lang w:val="es-ES" w:eastAsia="en-GB"/>
        </w:rPr>
        <w:lastRenderedPageBreak/>
        <w:t>los presupuestos para 2028-2029 y 2030-2031 exigirá una detenida priorización para garantizar la continuidad de los mandatos esenciales y las funciones estatutarias en un contexto de aumento de los costes y estatismo de los ingresos.</w:t>
      </w:r>
    </w:p>
    <w:p w14:paraId="797EE5F5" w14:textId="7CE8C34E" w:rsidR="008F48EB" w:rsidRPr="008F48EB" w:rsidRDefault="008F48EB" w:rsidP="000249AD">
      <w:pPr>
        <w:jc w:val="both"/>
        <w:rPr>
          <w:lang w:val="es-ES" w:eastAsia="en-GB"/>
        </w:rPr>
      </w:pPr>
      <w:r w:rsidRPr="008F48EB">
        <w:rPr>
          <w:lang w:val="es-ES" w:eastAsia="en-GB"/>
        </w:rPr>
        <w:t>4.2</w:t>
      </w:r>
      <w:r w:rsidRPr="008F48EB">
        <w:rPr>
          <w:lang w:val="es-ES" w:eastAsia="en-GB"/>
        </w:rPr>
        <w:tab/>
        <w:t>Será necesario aplicar medidas de eficiencia para garantizar el equilibrio de los presupuestos bienales para 2028-2029 y 2030-2031, dentro de los límites globales del proyecto de Plan Financiero para 2028-2031. Para asegurar la disciplina presupuestaria y la sostenibilidad financiera a largo plazo será necesario aplicar durante el periodo 2028</w:t>
      </w:r>
      <w:r w:rsidR="0053587D">
        <w:rPr>
          <w:lang w:val="es-ES" w:eastAsia="en-GB"/>
        </w:rPr>
        <w:noBreakHyphen/>
      </w:r>
      <w:r w:rsidRPr="008F48EB">
        <w:rPr>
          <w:lang w:val="es-ES" w:eastAsia="en-GB"/>
        </w:rPr>
        <w:t>2031 una serie de medidas de eficiencia estructural, entre las que se cuentan las siguientes</w:t>
      </w:r>
      <w:r w:rsidR="0053587D">
        <w:rPr>
          <w:lang w:val="es-ES" w:eastAsia="en-GB"/>
        </w:rPr>
        <w:t>:</w:t>
      </w:r>
    </w:p>
    <w:p w14:paraId="1448DF38" w14:textId="49BEE7AC" w:rsidR="008F48EB" w:rsidRPr="008F48EB" w:rsidRDefault="00611749" w:rsidP="000249AD">
      <w:pPr>
        <w:pStyle w:val="enumlev1"/>
        <w:jc w:val="both"/>
        <w:rPr>
          <w:rFonts w:eastAsiaTheme="minorHAnsi"/>
          <w:lang w:val="es-ES"/>
        </w:rPr>
      </w:pPr>
      <w:r>
        <w:rPr>
          <w:lang w:val="es-ES" w:eastAsia="en-GB"/>
        </w:rPr>
        <w:t>–</w:t>
      </w:r>
      <w:r>
        <w:rPr>
          <w:lang w:val="es-ES" w:eastAsia="en-GB"/>
        </w:rPr>
        <w:tab/>
      </w:r>
      <w:r w:rsidR="008F48EB" w:rsidRPr="008F48EB">
        <w:rPr>
          <w:rFonts w:eastAsiaTheme="minorHAnsi"/>
          <w:lang w:val="es-ES"/>
        </w:rPr>
        <w:t xml:space="preserve">Los costes de personal deben permanecer dentro de la partida financiera disponible y las proyecciones actuales indican que será necesario </w:t>
      </w:r>
      <w:r w:rsidR="008F48EB" w:rsidRPr="00F2708A">
        <w:rPr>
          <w:rFonts w:eastAsiaTheme="minorHAnsi"/>
          <w:lang w:val="es-ES"/>
        </w:rPr>
        <w:t>reducir moderadamente el número total de trabajadores</w:t>
      </w:r>
      <w:r w:rsidR="008F48EB" w:rsidRPr="008F48EB">
        <w:rPr>
          <w:rFonts w:eastAsiaTheme="minorHAnsi"/>
          <w:lang w:val="es-ES"/>
        </w:rPr>
        <w:t xml:space="preserve"> para mantener armonizados los gastos con los ingresos previstos, en un contexto de crecimiento nominal cero de los ingresos y gastos al alza. La Secretaría empleará diversos métodos, entre los que se cuentan la gestión de vacantes, los programas de separación voluntaria, los ceses naturales y la redistribución del personal.</w:t>
      </w:r>
    </w:p>
    <w:p w14:paraId="4AA81A85" w14:textId="716BECFE" w:rsidR="008F48EB" w:rsidRPr="008F48EB" w:rsidRDefault="00611749" w:rsidP="000249AD">
      <w:pPr>
        <w:pStyle w:val="enumlev1"/>
        <w:jc w:val="both"/>
        <w:rPr>
          <w:rFonts w:eastAsiaTheme="minorHAnsi"/>
          <w:lang w:val="es-ES"/>
        </w:rPr>
      </w:pPr>
      <w:r>
        <w:rPr>
          <w:lang w:val="es-ES" w:eastAsia="en-GB"/>
        </w:rPr>
        <w:t>–</w:t>
      </w:r>
      <w:r>
        <w:rPr>
          <w:lang w:val="es-ES" w:eastAsia="en-GB"/>
        </w:rPr>
        <w:tab/>
      </w:r>
      <w:r w:rsidR="008F48EB" w:rsidRPr="008F48EB">
        <w:rPr>
          <w:rFonts w:eastAsiaTheme="minorHAnsi"/>
          <w:lang w:val="es-ES"/>
        </w:rPr>
        <w:t xml:space="preserve">La modernización en curso de los sistemas institucionales esenciales </w:t>
      </w:r>
      <w:r w:rsidR="0053587D" w:rsidRPr="0053587D">
        <w:rPr>
          <w:rFonts w:eastAsiaTheme="minorHAnsi"/>
          <w:lang w:val="es-ES"/>
        </w:rPr>
        <w:t>–</w:t>
      </w:r>
      <w:r w:rsidR="008F48EB" w:rsidRPr="008F48EB">
        <w:rPr>
          <w:rFonts w:eastAsiaTheme="minorHAnsi"/>
          <w:lang w:val="es-ES"/>
        </w:rPr>
        <w:t>incluidos SAP S/</w:t>
      </w:r>
      <w:proofErr w:type="spellStart"/>
      <w:r w:rsidR="008F48EB" w:rsidRPr="008F48EB">
        <w:rPr>
          <w:rFonts w:eastAsiaTheme="minorHAnsi"/>
          <w:lang w:val="es-ES"/>
        </w:rPr>
        <w:t>4HANA</w:t>
      </w:r>
      <w:proofErr w:type="spellEnd"/>
      <w:r w:rsidR="008F48EB" w:rsidRPr="008F48EB">
        <w:rPr>
          <w:rFonts w:eastAsiaTheme="minorHAnsi"/>
          <w:lang w:val="es-ES"/>
        </w:rPr>
        <w:t xml:space="preserve">, Microsoft Dynamics (CRM), </w:t>
      </w:r>
      <w:proofErr w:type="spellStart"/>
      <w:r w:rsidR="008F48EB" w:rsidRPr="008F48EB">
        <w:rPr>
          <w:rFonts w:eastAsiaTheme="minorHAnsi"/>
          <w:lang w:val="es-ES"/>
        </w:rPr>
        <w:t>Cvent</w:t>
      </w:r>
      <w:proofErr w:type="spellEnd"/>
      <w:r w:rsidR="008F48EB" w:rsidRPr="008F48EB">
        <w:rPr>
          <w:rFonts w:eastAsiaTheme="minorHAnsi"/>
          <w:lang w:val="es-ES"/>
        </w:rPr>
        <w:t xml:space="preserve"> y otras plataformas digitales afines– debe traducirse en una eficacia operativa mensurable. Se prevé que esas inversiones reduzcan los procesos manuales, eliminen sistemas de rastreo paralelos, afiancen la integridad de los datos y normalicen los flujos de trabajo de extremo a extremo en el ámbito de la gestión financiera, de recursos humanos, de adquisiciones y de proyectos. Con el tiempo, esta transformación digital debería dar lugar a estructuras administrativas más ligeras y a un mejor control de los costes.</w:t>
      </w:r>
    </w:p>
    <w:p w14:paraId="2E0E3C7B" w14:textId="5FE9B6A8" w:rsidR="008F48EB" w:rsidRPr="008F48EB" w:rsidRDefault="00611749" w:rsidP="000249AD">
      <w:pPr>
        <w:pStyle w:val="enumlev1"/>
        <w:jc w:val="both"/>
        <w:rPr>
          <w:rFonts w:eastAsiaTheme="minorHAnsi"/>
          <w:lang w:val="es-ES"/>
        </w:rPr>
      </w:pPr>
      <w:r>
        <w:rPr>
          <w:lang w:val="es-ES" w:eastAsia="en-GB"/>
        </w:rPr>
        <w:t>–</w:t>
      </w:r>
      <w:r>
        <w:rPr>
          <w:lang w:val="es-ES" w:eastAsia="en-GB"/>
        </w:rPr>
        <w:tab/>
      </w:r>
      <w:r w:rsidR="008F48EB" w:rsidRPr="008F48EB">
        <w:rPr>
          <w:rFonts w:eastAsiaTheme="minorHAnsi"/>
          <w:lang w:val="es-ES"/>
        </w:rPr>
        <w:t>Los gastos en concepto de viajes, reuniones y demás eventos exigirán una constante disciplina. La mayor utilización de los formatos híbrido y virtual para reuniones y eventos de la UIT, la mayor participación del personal de la UIT en reuniones y eventos mundiales a distancia, la mayor priorización de las misiones y un más estricto control de los viajes discrecionales serán indispensables para mantener los gastos de misión armonizados con los objetivos estratégicos. La modernización de la gestión de eventos y los sistemas de conferencias también deberían redundar en una utilización más eficaz de los recursos y una mejor planificación de las reuniones.</w:t>
      </w:r>
    </w:p>
    <w:p w14:paraId="7332FE31" w14:textId="732BA646" w:rsidR="008F48EB" w:rsidRPr="008F48EB" w:rsidRDefault="00611749" w:rsidP="000249AD">
      <w:pPr>
        <w:pStyle w:val="enumlev1"/>
        <w:jc w:val="both"/>
        <w:rPr>
          <w:rFonts w:eastAsiaTheme="minorHAnsi"/>
          <w:szCs w:val="24"/>
          <w:lang w:val="es-ES"/>
        </w:rPr>
      </w:pPr>
      <w:r>
        <w:rPr>
          <w:lang w:val="es-ES" w:eastAsia="en-GB"/>
        </w:rPr>
        <w:t>–</w:t>
      </w:r>
      <w:r>
        <w:rPr>
          <w:lang w:val="es-ES" w:eastAsia="en-GB"/>
        </w:rPr>
        <w:tab/>
      </w:r>
      <w:r w:rsidR="008F48EB" w:rsidRPr="008F48EB">
        <w:rPr>
          <w:rFonts w:eastAsiaTheme="minorHAnsi"/>
          <w:szCs w:val="24"/>
          <w:lang w:val="es-ES"/>
        </w:rPr>
        <w:t>Por último, se procurará seguir racionalizando las adquisiciones y aumentando las sinergias intersectoriales, incluso mediante la consolidación de los contratos, la reducción de servicios duplicados y una mejor coordinación de las funciones de apoyo en la Secretaría.</w:t>
      </w:r>
    </w:p>
    <w:p w14:paraId="064E90E5" w14:textId="77777777" w:rsidR="008F48EB" w:rsidRPr="008F48EB" w:rsidRDefault="008F48EB" w:rsidP="000249AD">
      <w:pPr>
        <w:jc w:val="both"/>
        <w:rPr>
          <w:u w:val="single"/>
          <w:lang w:val="es-ES" w:eastAsia="en-GB"/>
        </w:rPr>
      </w:pPr>
      <w:r w:rsidRPr="008F48EB">
        <w:rPr>
          <w:lang w:val="es-ES" w:eastAsia="en-GB"/>
        </w:rPr>
        <w:t>Tales medidas no son ajustes temporales, sino que deben formar parte del más amplio esfuerzo por armonizar la estructura de costes de la Unión con ingresos más limitados durante el periodo 2028-2031. En tales condiciones, mantener el equilibrio financiero exigirá una disciplina administrativa constante y la plena materialización de la eficiencia lograda gracias a las iniciativas de transformación presentes.</w:t>
      </w:r>
    </w:p>
    <w:p w14:paraId="0F1954AC" w14:textId="7538D16C" w:rsidR="008F48EB" w:rsidRPr="008F48EB" w:rsidRDefault="008F48EB" w:rsidP="000249AD">
      <w:pPr>
        <w:jc w:val="both"/>
        <w:rPr>
          <w:rFonts w:eastAsiaTheme="minorEastAsia"/>
          <w:color w:val="000000"/>
          <w:lang w:val="es-ES" w:eastAsia="zh-CN"/>
        </w:rPr>
      </w:pPr>
      <w:r w:rsidRPr="008F48EB">
        <w:rPr>
          <w:rFonts w:eastAsiaTheme="minorEastAsia"/>
          <w:lang w:val="es-ES" w:eastAsia="zh-CN"/>
        </w:rPr>
        <w:t>4.3</w:t>
      </w:r>
      <w:r w:rsidRPr="008F48EB">
        <w:rPr>
          <w:rFonts w:eastAsiaTheme="minorEastAsia"/>
          <w:lang w:val="es-ES" w:eastAsia="zh-CN"/>
        </w:rPr>
        <w:tab/>
        <w:t>Como se expone en la sección 2.2 anterior, este proyecto de Plan Financiero para</w:t>
      </w:r>
      <w:r w:rsidRPr="008F48EB">
        <w:rPr>
          <w:rFonts w:eastAsiaTheme="minorEastAsia"/>
          <w:color w:val="000000"/>
          <w:lang w:val="es-ES" w:eastAsia="zh-CN"/>
        </w:rPr>
        <w:t xml:space="preserve"> 2028</w:t>
      </w:r>
      <w:r w:rsidR="0053587D">
        <w:rPr>
          <w:rFonts w:eastAsiaTheme="minorEastAsia"/>
          <w:color w:val="000000"/>
          <w:lang w:val="es-ES" w:eastAsia="zh-CN"/>
        </w:rPr>
        <w:noBreakHyphen/>
      </w:r>
      <w:r w:rsidRPr="008F48EB">
        <w:rPr>
          <w:rFonts w:eastAsiaTheme="minorEastAsia"/>
          <w:color w:val="000000"/>
          <w:lang w:val="es-ES" w:eastAsia="zh-CN"/>
        </w:rPr>
        <w:t>2031 está armonizado con la elaboración del Plan Estratégico para 2028</w:t>
      </w:r>
      <w:r w:rsidR="0053587D">
        <w:rPr>
          <w:rFonts w:eastAsiaTheme="minorEastAsia"/>
          <w:color w:val="000000"/>
          <w:lang w:val="es-ES" w:eastAsia="zh-CN"/>
        </w:rPr>
        <w:noBreakHyphen/>
      </w:r>
      <w:r w:rsidRPr="008F48EB">
        <w:rPr>
          <w:rFonts w:eastAsiaTheme="minorEastAsia"/>
          <w:color w:val="000000"/>
          <w:lang w:val="es-ES" w:eastAsia="zh-CN"/>
        </w:rPr>
        <w:t xml:space="preserve">2031. El Consejo ha delegado la definición de los proyectos de Plan Estratégico y Plan Financiero en el </w:t>
      </w:r>
      <w:proofErr w:type="spellStart"/>
      <w:r w:rsidRPr="008F48EB">
        <w:rPr>
          <w:rFonts w:eastAsiaTheme="minorEastAsia"/>
          <w:color w:val="000000"/>
          <w:lang w:val="es-ES" w:eastAsia="zh-CN"/>
        </w:rPr>
        <w:t>GTC</w:t>
      </w:r>
      <w:r w:rsidR="0053587D">
        <w:rPr>
          <w:rFonts w:eastAsiaTheme="minorEastAsia"/>
          <w:color w:val="000000"/>
          <w:lang w:val="es-ES" w:eastAsia="zh-CN"/>
        </w:rPr>
        <w:noBreakHyphen/>
      </w:r>
      <w:r w:rsidRPr="008F48EB">
        <w:rPr>
          <w:rFonts w:eastAsiaTheme="minorEastAsia"/>
          <w:color w:val="000000"/>
          <w:lang w:val="es-ES" w:eastAsia="zh-CN"/>
        </w:rPr>
        <w:t>PEF</w:t>
      </w:r>
      <w:proofErr w:type="spellEnd"/>
      <w:r w:rsidRPr="008F48EB">
        <w:rPr>
          <w:rFonts w:eastAsiaTheme="minorEastAsia"/>
          <w:color w:val="000000"/>
          <w:lang w:val="es-ES" w:eastAsia="zh-CN"/>
        </w:rPr>
        <w:t>. Los recursos financieros disponibles durante el periodo 2028</w:t>
      </w:r>
      <w:r w:rsidR="0053587D">
        <w:rPr>
          <w:rFonts w:eastAsiaTheme="minorEastAsia"/>
          <w:color w:val="000000"/>
          <w:lang w:val="es-ES" w:eastAsia="zh-CN"/>
        </w:rPr>
        <w:noBreakHyphen/>
      </w:r>
      <w:r w:rsidRPr="008F48EB">
        <w:rPr>
          <w:rFonts w:eastAsiaTheme="minorEastAsia"/>
          <w:color w:val="000000"/>
          <w:lang w:val="es-ES" w:eastAsia="zh-CN"/>
        </w:rPr>
        <w:t xml:space="preserve">2031, como se expone en este documento, se utilizarán para lograr las metas y prioridades estratégicas identificadas en el Plan Estratégico para 2028-2031, cuya preparación sigue en curso, pero para el que la </w:t>
      </w:r>
      <w:r w:rsidRPr="008F48EB">
        <w:rPr>
          <w:rFonts w:eastAsiaTheme="minorEastAsia"/>
          <w:color w:val="000000"/>
          <w:lang w:val="es-ES" w:eastAsia="zh-CN"/>
        </w:rPr>
        <w:lastRenderedPageBreak/>
        <w:t>Secretaría ha identificado la armonización de los productos y servicios facilitados y los procesos de trabajo emprendidos actualmente por la UIT con los proyectos de nuevas prioridades y resultados que se proponen en el proyecto de Plan Estratégico (sobre la base de los planes de trabajo para 2026). A partir de esa armonización, la Secretaría ha propuesto la asignación de recursos financieros a dichos proyectos de prioridad que se presenta en el Cuadro</w:t>
      </w:r>
      <w:r w:rsidR="00345D75">
        <w:rPr>
          <w:rFonts w:eastAsiaTheme="minorEastAsia"/>
          <w:color w:val="000000"/>
          <w:lang w:val="es-ES" w:eastAsia="zh-CN"/>
        </w:rPr>
        <w:t> </w:t>
      </w:r>
      <w:r w:rsidRPr="008F48EB">
        <w:rPr>
          <w:rFonts w:eastAsiaTheme="minorEastAsia"/>
          <w:color w:val="000000"/>
          <w:lang w:val="es-ES" w:eastAsia="zh-CN"/>
        </w:rPr>
        <w:t>2 siguiente. Los costes necesarios para generar los factores habilitadores identificados en el proyecto de Plan Estratégico se incluyen en los costes para lograr las prioridades.</w:t>
      </w:r>
    </w:p>
    <w:p w14:paraId="59D1F5CB" w14:textId="4286EF9D" w:rsidR="008F48EB" w:rsidRPr="008F48EB" w:rsidRDefault="008F48EB" w:rsidP="00611749">
      <w:pPr>
        <w:jc w:val="both"/>
        <w:rPr>
          <w:rFonts w:eastAsiaTheme="minorEastAsia"/>
          <w:lang w:val="es-ES" w:eastAsia="zh-CN"/>
        </w:rPr>
      </w:pPr>
      <w:r w:rsidRPr="008F48EB">
        <w:rPr>
          <w:rFonts w:eastAsiaTheme="minorEastAsia"/>
          <w:lang w:val="es-ES" w:eastAsia="zh-CN"/>
        </w:rPr>
        <w:t>4.4</w:t>
      </w:r>
      <w:r w:rsidRPr="008F48EB">
        <w:rPr>
          <w:rFonts w:eastAsiaTheme="minorEastAsia"/>
          <w:lang w:val="es-ES" w:eastAsia="zh-CN"/>
        </w:rPr>
        <w:tab/>
        <w:t>Aunque la Secretaría ha formulado propuestas se asignación, se sabe que es posible que los Miembros modifiquen las prioridades del actual proyecto. Asimismo, es posible que los Miembros opten por ajustar el nivel de importancia atribuido a cada una de las prioridades modificando la parte de recursos de la UIT asignada a cada prioridad. Por consiguiente, antes de finalizar y aprobar el documento es posible que los Miembros ajusten las asignaciones propuestas en el proyecto de Plan Financiero para 2028</w:t>
      </w:r>
      <w:r w:rsidR="00345D75">
        <w:rPr>
          <w:rFonts w:eastAsiaTheme="minorEastAsia"/>
          <w:lang w:val="es-ES" w:eastAsia="zh-CN"/>
        </w:rPr>
        <w:noBreakHyphen/>
      </w:r>
      <w:r w:rsidRPr="008F48EB">
        <w:rPr>
          <w:rFonts w:eastAsiaTheme="minorEastAsia"/>
          <w:lang w:val="es-ES" w:eastAsia="zh-CN"/>
        </w:rPr>
        <w:t xml:space="preserve">2031 en la próxima reunión del </w:t>
      </w:r>
      <w:proofErr w:type="spellStart"/>
      <w:r w:rsidRPr="008F48EB">
        <w:rPr>
          <w:rFonts w:eastAsiaTheme="minorEastAsia"/>
          <w:lang w:val="es-ES" w:eastAsia="zh-CN"/>
        </w:rPr>
        <w:t>GTC</w:t>
      </w:r>
      <w:r w:rsidR="00345D75">
        <w:rPr>
          <w:rFonts w:eastAsiaTheme="minorEastAsia"/>
          <w:lang w:val="es-ES" w:eastAsia="zh-CN"/>
        </w:rPr>
        <w:noBreakHyphen/>
      </w:r>
      <w:r w:rsidRPr="008F48EB">
        <w:rPr>
          <w:rFonts w:eastAsiaTheme="minorEastAsia"/>
          <w:lang w:val="es-ES" w:eastAsia="zh-CN"/>
        </w:rPr>
        <w:t>PEF</w:t>
      </w:r>
      <w:proofErr w:type="spellEnd"/>
      <w:r w:rsidRPr="008F48EB">
        <w:rPr>
          <w:rFonts w:eastAsiaTheme="minorEastAsia"/>
          <w:lang w:val="es-ES" w:eastAsia="zh-CN"/>
        </w:rPr>
        <w:t xml:space="preserve"> o en la Conferencia de Plenipotenciarios de 2026.</w:t>
      </w:r>
    </w:p>
    <w:p w14:paraId="70F7AD0C" w14:textId="77777777" w:rsidR="00611749" w:rsidRDefault="008F48EB" w:rsidP="00611749">
      <w:pPr>
        <w:pStyle w:val="TableNo"/>
        <w:rPr>
          <w:rFonts w:eastAsiaTheme="minorEastAsia"/>
          <w:lang w:val="es-ES" w:eastAsia="zh-CN"/>
        </w:rPr>
      </w:pPr>
      <w:r w:rsidRPr="008F48EB">
        <w:rPr>
          <w:rFonts w:eastAsiaTheme="minorEastAsia"/>
          <w:lang w:val="es-ES" w:eastAsia="zh-CN"/>
        </w:rPr>
        <w:t>Cuadro 2</w:t>
      </w:r>
    </w:p>
    <w:p w14:paraId="66CF4622" w14:textId="6FCC2A9A" w:rsidR="008F48EB" w:rsidRPr="008F48EB" w:rsidRDefault="008F48EB" w:rsidP="00611749">
      <w:pPr>
        <w:pStyle w:val="Tabletitle"/>
        <w:rPr>
          <w:rFonts w:eastAsiaTheme="minorEastAsia"/>
          <w:lang w:val="es-ES" w:eastAsia="zh-CN"/>
        </w:rPr>
      </w:pPr>
      <w:r w:rsidRPr="008F48EB">
        <w:rPr>
          <w:rFonts w:eastAsiaTheme="minorEastAsia"/>
          <w:lang w:val="es-ES" w:eastAsia="zh-CN"/>
        </w:rPr>
        <w:t>Resumen de prioridades por bienio</w:t>
      </w:r>
    </w:p>
    <w:p w14:paraId="38C27AF1" w14:textId="614B5D79" w:rsidR="008F48EB" w:rsidRPr="008F48EB" w:rsidRDefault="00345D75" w:rsidP="008F48EB">
      <w:pPr>
        <w:pStyle w:val="Figure"/>
        <w:rPr>
          <w:rFonts w:eastAsiaTheme="minorEastAsia"/>
          <w:lang w:eastAsia="zh-CN"/>
        </w:rPr>
      </w:pPr>
      <w:r w:rsidRPr="00345D75">
        <w:rPr>
          <w:rFonts w:eastAsiaTheme="minorEastAsia"/>
          <w:noProof/>
        </w:rPr>
        <w:drawing>
          <wp:inline distT="0" distB="0" distL="0" distR="0" wp14:anchorId="1FF78C65" wp14:editId="5BC4ED01">
            <wp:extent cx="5760085" cy="1304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1304925"/>
                    </a:xfrm>
                    <a:prstGeom prst="rect">
                      <a:avLst/>
                    </a:prstGeom>
                    <a:noFill/>
                    <a:ln>
                      <a:noFill/>
                    </a:ln>
                  </pic:spPr>
                </pic:pic>
              </a:graphicData>
            </a:graphic>
          </wp:inline>
        </w:drawing>
      </w:r>
    </w:p>
    <w:p w14:paraId="17F33B4E" w14:textId="77777777" w:rsidR="008F48EB" w:rsidRPr="008F48EB" w:rsidRDefault="008F48EB" w:rsidP="008F48EB">
      <w:pPr>
        <w:pStyle w:val="Heading1"/>
        <w:rPr>
          <w:rFonts w:eastAsiaTheme="minorHAnsi"/>
          <w:lang w:val="es-ES"/>
        </w:rPr>
      </w:pPr>
      <w:r w:rsidRPr="008F48EB">
        <w:rPr>
          <w:rFonts w:eastAsiaTheme="minorHAnsi"/>
          <w:lang w:val="es-ES"/>
        </w:rPr>
        <w:t>5</w:t>
      </w:r>
      <w:r w:rsidRPr="008F48EB">
        <w:rPr>
          <w:rFonts w:eastAsiaTheme="minorHAnsi"/>
          <w:lang w:val="es-ES"/>
        </w:rPr>
        <w:tab/>
        <w:t>Restricciones financieras</w:t>
      </w:r>
    </w:p>
    <w:p w14:paraId="6936EB50" w14:textId="4C0762DC" w:rsidR="008F48EB" w:rsidRPr="00345D75" w:rsidRDefault="008F48EB" w:rsidP="000249AD">
      <w:pPr>
        <w:jc w:val="both"/>
        <w:rPr>
          <w:lang w:val="es-ES" w:eastAsia="en-GB"/>
        </w:rPr>
      </w:pPr>
      <w:r w:rsidRPr="008F48EB">
        <w:rPr>
          <w:lang w:val="es-ES" w:eastAsia="en-GB"/>
        </w:rPr>
        <w:t>5.1</w:t>
      </w:r>
      <w:r w:rsidRPr="008F48EB">
        <w:rPr>
          <w:lang w:val="es-ES" w:eastAsia="en-GB"/>
        </w:rPr>
        <w:tab/>
        <w:t>Habida cuenta de que no se prevé un aumento de los ingresos durante el periodo 2028</w:t>
      </w:r>
      <w:r w:rsidR="00345D75">
        <w:rPr>
          <w:lang w:val="es-ES" w:eastAsia="en-GB"/>
        </w:rPr>
        <w:noBreakHyphen/>
      </w:r>
      <w:r w:rsidRPr="008F48EB">
        <w:rPr>
          <w:lang w:val="es-ES" w:eastAsia="en-GB"/>
        </w:rPr>
        <w:t xml:space="preserve">2031, y que sí se prevé un aumento de los gastos de la Unión, no será posible financiar dentro del Plan Financiero algunas iniciativas que aumentarían la eficacia de la UIT y posiblemente repercutirían positivamente en el logro de las metas estratégicas. </w:t>
      </w:r>
      <w:r w:rsidRPr="00345D75">
        <w:rPr>
          <w:lang w:val="es-ES" w:eastAsia="en-GB"/>
        </w:rPr>
        <w:t>Entre esas iniciativas se cuentan las siguientes:</w:t>
      </w:r>
    </w:p>
    <w:p w14:paraId="7AEE3CF1" w14:textId="1BF5BFD5" w:rsidR="008F48EB" w:rsidRPr="008F48EB" w:rsidRDefault="00611749" w:rsidP="000249AD">
      <w:pPr>
        <w:pStyle w:val="enumlev1"/>
        <w:jc w:val="both"/>
        <w:rPr>
          <w:rFonts w:eastAsiaTheme="minorHAnsi"/>
          <w:lang w:val="es-ES"/>
        </w:rPr>
      </w:pPr>
      <w:r>
        <w:rPr>
          <w:lang w:val="es-ES" w:eastAsia="en-GB"/>
        </w:rPr>
        <w:t>–</w:t>
      </w:r>
      <w:r>
        <w:rPr>
          <w:lang w:val="es-ES" w:eastAsia="en-GB"/>
        </w:rPr>
        <w:tab/>
      </w:r>
      <w:r w:rsidR="008F48EB" w:rsidRPr="008F48EB">
        <w:rPr>
          <w:rFonts w:eastAsiaTheme="minorHAnsi"/>
          <w:b/>
          <w:lang w:val="es-ES"/>
        </w:rPr>
        <w:t>Partidas financieras para cubrir las consecuencias financieras de futuras Conferencias Mundiales:</w:t>
      </w:r>
      <w:r w:rsidR="008F48EB" w:rsidRPr="008F48EB">
        <w:rPr>
          <w:rFonts w:eastAsiaTheme="minorHAnsi"/>
          <w:lang w:val="es-ES"/>
        </w:rPr>
        <w:t xml:space="preserve"> Durante el periodo de cuatro años previo al presente Consejo se han celebrado tres Conferencias Mundiales que han adoptado Resoluciones nuevas o revisadas que, según las estimaciones de las propias conferencias, necesitarían para su aplicación financiación adicional por un valor superior a 15</w:t>
      </w:r>
      <w:r w:rsidR="00345D75">
        <w:rPr>
          <w:rFonts w:eastAsiaTheme="minorHAnsi"/>
          <w:lang w:val="es-ES"/>
        </w:rPr>
        <w:t> </w:t>
      </w:r>
      <w:r w:rsidR="008F48EB" w:rsidRPr="008F48EB">
        <w:rPr>
          <w:rFonts w:eastAsiaTheme="minorHAnsi"/>
          <w:lang w:val="es-ES"/>
        </w:rPr>
        <w:t>millones</w:t>
      </w:r>
      <w:r w:rsidR="00345D75">
        <w:rPr>
          <w:rFonts w:eastAsiaTheme="minorHAnsi"/>
          <w:lang w:val="es-ES"/>
        </w:rPr>
        <w:t> </w:t>
      </w:r>
      <w:r w:rsidR="008F48EB" w:rsidRPr="008F48EB">
        <w:rPr>
          <w:rFonts w:eastAsiaTheme="minorHAnsi"/>
          <w:lang w:val="es-ES"/>
        </w:rPr>
        <w:t>CHF, importe íntegramente fuera de la dotación presupuestaria establecida en los Planes Financieros pertinentes (2020</w:t>
      </w:r>
      <w:r w:rsidR="00345D75">
        <w:rPr>
          <w:rFonts w:eastAsiaTheme="minorHAnsi"/>
          <w:lang w:val="es-ES"/>
        </w:rPr>
        <w:noBreakHyphen/>
      </w:r>
      <w:r w:rsidR="008F48EB" w:rsidRPr="008F48EB">
        <w:rPr>
          <w:rFonts w:eastAsiaTheme="minorHAnsi"/>
          <w:lang w:val="es-ES"/>
        </w:rPr>
        <w:t>2023 y 2024</w:t>
      </w:r>
      <w:r w:rsidR="00345D75">
        <w:rPr>
          <w:rFonts w:eastAsiaTheme="minorHAnsi"/>
          <w:lang w:val="es-ES"/>
        </w:rPr>
        <w:noBreakHyphen/>
      </w:r>
      <w:r w:rsidR="008F48EB" w:rsidRPr="008F48EB">
        <w:rPr>
          <w:rFonts w:eastAsiaTheme="minorHAnsi"/>
          <w:lang w:val="es-ES"/>
        </w:rPr>
        <w:t>2027).</w:t>
      </w:r>
    </w:p>
    <w:p w14:paraId="20A4E46F" w14:textId="7AEFFB3A" w:rsidR="008F48EB" w:rsidRPr="00EA4951" w:rsidRDefault="00611749" w:rsidP="000249AD">
      <w:pPr>
        <w:pStyle w:val="enumlev1"/>
        <w:jc w:val="both"/>
        <w:rPr>
          <w:rFonts w:eastAsiaTheme="minorHAnsi"/>
          <w:spacing w:val="-2"/>
          <w:lang w:val="es-ES"/>
        </w:rPr>
      </w:pPr>
      <w:r w:rsidRPr="00EA4951">
        <w:rPr>
          <w:spacing w:val="-2"/>
          <w:lang w:val="es-ES" w:eastAsia="en-GB"/>
        </w:rPr>
        <w:t>–</w:t>
      </w:r>
      <w:r w:rsidRPr="00EA4951">
        <w:rPr>
          <w:spacing w:val="-2"/>
          <w:lang w:val="es-ES" w:eastAsia="en-GB"/>
        </w:rPr>
        <w:tab/>
      </w:r>
      <w:r w:rsidR="008F48EB" w:rsidRPr="00EA4951">
        <w:rPr>
          <w:rFonts w:eastAsiaTheme="minorHAnsi"/>
          <w:b/>
          <w:spacing w:val="-2"/>
          <w:lang w:val="es-ES"/>
        </w:rPr>
        <w:t>Financiación estable para las iniciativas de IA:</w:t>
      </w:r>
      <w:r w:rsidR="008F48EB" w:rsidRPr="00EA4951">
        <w:rPr>
          <w:rFonts w:eastAsiaTheme="minorHAnsi"/>
          <w:spacing w:val="-2"/>
          <w:lang w:val="es-ES"/>
        </w:rPr>
        <w:t xml:space="preserve"> Sobre la base del Fondo para la IA, creado en 2025 a raíz de la decisión del Consejo de atribuir los recursos respectivos, habría sido conveniente incluir en el Plan Financiero para 2028</w:t>
      </w:r>
      <w:r w:rsidR="00345D75" w:rsidRPr="00EA4951">
        <w:rPr>
          <w:rFonts w:eastAsiaTheme="minorHAnsi"/>
          <w:spacing w:val="-2"/>
          <w:lang w:val="es-ES"/>
        </w:rPr>
        <w:noBreakHyphen/>
      </w:r>
      <w:r w:rsidR="008F48EB" w:rsidRPr="00EA4951">
        <w:rPr>
          <w:rFonts w:eastAsiaTheme="minorHAnsi"/>
          <w:spacing w:val="-2"/>
          <w:lang w:val="es-ES"/>
        </w:rPr>
        <w:t xml:space="preserve">2031 una partida para la sostenibilidad de la plataforma AI for Good de la UIT y la aplicación de otros mandatos relacionados con la IA, apoyando la ejecución de programas, las asociaciones y el diálogo técnico sobre IA ética e inclusiva. Esta carencia se colma en su mayor parte con contribuciones voluntarias, </w:t>
      </w:r>
      <w:r w:rsidR="008F48EB" w:rsidRPr="00EA4951">
        <w:rPr>
          <w:rFonts w:eastAsiaTheme="minorHAnsi"/>
          <w:spacing w:val="-2"/>
          <w:lang w:val="es-ES"/>
        </w:rPr>
        <w:lastRenderedPageBreak/>
        <w:t xml:space="preserve">así como asignaciones </w:t>
      </w:r>
      <w:r w:rsidR="008F48EB" w:rsidRPr="00EA4951">
        <w:rPr>
          <w:rFonts w:eastAsiaTheme="minorHAnsi"/>
          <w:i/>
          <w:iCs/>
          <w:spacing w:val="-2"/>
          <w:lang w:val="es-ES"/>
        </w:rPr>
        <w:t>ad</w:t>
      </w:r>
      <w:r w:rsidR="00345D75" w:rsidRPr="00EA4951">
        <w:rPr>
          <w:rFonts w:eastAsiaTheme="minorHAnsi"/>
          <w:i/>
          <w:iCs/>
          <w:spacing w:val="-2"/>
          <w:lang w:val="es-ES"/>
        </w:rPr>
        <w:t> </w:t>
      </w:r>
      <w:r w:rsidR="008F48EB" w:rsidRPr="00EA4951">
        <w:rPr>
          <w:rFonts w:eastAsiaTheme="minorHAnsi"/>
          <w:i/>
          <w:iCs/>
          <w:spacing w:val="-2"/>
          <w:lang w:val="es-ES"/>
        </w:rPr>
        <w:t xml:space="preserve">hoc </w:t>
      </w:r>
      <w:r w:rsidR="008F48EB" w:rsidRPr="00EA4951">
        <w:rPr>
          <w:rFonts w:eastAsiaTheme="minorHAnsi"/>
          <w:spacing w:val="-2"/>
          <w:lang w:val="es-ES"/>
        </w:rPr>
        <w:t>procedentes de los ahorros realizados, aunque resultaría más eficaz incluir para ello una asignación en el Plan Financiero.</w:t>
      </w:r>
    </w:p>
    <w:p w14:paraId="70DC4BF7" w14:textId="14C1B46F" w:rsidR="008F48EB" w:rsidRPr="008F48EB" w:rsidRDefault="00611749" w:rsidP="000249AD">
      <w:pPr>
        <w:pStyle w:val="enumlev1"/>
        <w:jc w:val="both"/>
        <w:rPr>
          <w:rFonts w:eastAsiaTheme="minorHAnsi"/>
          <w:lang w:val="es-ES"/>
        </w:rPr>
      </w:pPr>
      <w:r>
        <w:rPr>
          <w:lang w:val="es-ES" w:eastAsia="en-GB"/>
        </w:rPr>
        <w:t>–</w:t>
      </w:r>
      <w:r>
        <w:rPr>
          <w:lang w:val="es-ES" w:eastAsia="en-GB"/>
        </w:rPr>
        <w:tab/>
      </w:r>
      <w:r w:rsidR="008F48EB" w:rsidRPr="008F48EB">
        <w:rPr>
          <w:rFonts w:eastAsiaTheme="minorHAnsi"/>
          <w:b/>
          <w:lang w:val="es-ES"/>
        </w:rPr>
        <w:t xml:space="preserve">Inversión en infraestructura y servicios de TIC: </w:t>
      </w:r>
      <w:r w:rsidR="008F48EB" w:rsidRPr="008F48EB">
        <w:rPr>
          <w:rFonts w:eastAsiaTheme="minorHAnsi"/>
          <w:bCs/>
          <w:lang w:val="es-ES"/>
        </w:rPr>
        <w:t xml:space="preserve">No ha sido posible incluir una asignación para garantizar la implementación plena y coherente de la agenda de transformación digital que está siguiendo la UIT, incluida la financiación íntegra del </w:t>
      </w:r>
      <w:r w:rsidR="008F48EB" w:rsidRPr="00CD29C7">
        <w:rPr>
          <w:rFonts w:eastAsiaTheme="minorHAnsi"/>
          <w:bCs/>
          <w:i/>
          <w:iCs/>
          <w:lang w:val="es-ES"/>
        </w:rPr>
        <w:t>software</w:t>
      </w:r>
      <w:r w:rsidR="008F48EB" w:rsidRPr="008F48EB">
        <w:rPr>
          <w:rFonts w:eastAsiaTheme="minorHAnsi"/>
          <w:bCs/>
          <w:lang w:val="es-ES"/>
        </w:rPr>
        <w:t xml:space="preserve"> de gestión del espectro, los sistemas digitales corporativos modernos, la IA y los fundamentos de datos para permitir la modernización de los sistemas del sector</w:t>
      </w:r>
      <w:r w:rsidR="008F48EB" w:rsidRPr="008F48EB">
        <w:rPr>
          <w:rFonts w:eastAsiaTheme="minorHAnsi"/>
          <w:lang w:val="es-ES"/>
        </w:rPr>
        <w:t>. Estas iniciativas no sólo representan sustituciones de sistemas, sino una oportunidad estructurada para abordar estos desafíos mediante la reingeniería de los procesos institucionales, la modernización arquitectónica y el fortalecimiento de la gobernanza.</w:t>
      </w:r>
    </w:p>
    <w:p w14:paraId="1DE93D6D" w14:textId="6F22E495" w:rsidR="00F92BED" w:rsidRDefault="00611749" w:rsidP="000249AD">
      <w:pPr>
        <w:pStyle w:val="enumlev1"/>
        <w:jc w:val="both"/>
        <w:rPr>
          <w:rFonts w:eastAsiaTheme="minorHAnsi"/>
          <w:szCs w:val="24"/>
          <w:lang w:val="es-ES"/>
        </w:rPr>
      </w:pPr>
      <w:r>
        <w:rPr>
          <w:lang w:val="es-ES" w:eastAsia="en-GB"/>
        </w:rPr>
        <w:t>–</w:t>
      </w:r>
      <w:r>
        <w:rPr>
          <w:lang w:val="es-ES" w:eastAsia="en-GB"/>
        </w:rPr>
        <w:tab/>
      </w:r>
      <w:r w:rsidR="008F48EB" w:rsidRPr="008F48EB">
        <w:rPr>
          <w:rFonts w:eastAsiaTheme="minorHAnsi"/>
          <w:b/>
          <w:szCs w:val="24"/>
          <w:lang w:val="es-ES"/>
        </w:rPr>
        <w:t>Continuidad de las actividades</w:t>
      </w:r>
      <w:r w:rsidR="008F48EB" w:rsidRPr="008F48EB">
        <w:rPr>
          <w:rFonts w:eastAsiaTheme="minorHAnsi"/>
          <w:szCs w:val="24"/>
          <w:lang w:val="es-ES"/>
        </w:rPr>
        <w:t>: Durante el periodo de cuatro años la Secretaría deberá garantizar la continuidad de las actividades y la celebración de reuniones en su Sede. Esto implica trabajos preparatorios para el traslado del personal a los dos edificios restantes. Además, aunque se está haciendo todo lo posible para reducir las perturbaciones causadas por la construcción a las reuniones, será necesario aplicar estrategias paliativas. Se ha preparado un plan de continuidad de las actividades integral con colaboración con las partes interesadas internas pertinentes para garantizar que se contemplan las necesidades de reunión y puestos de trabajo, así como otros servicios auxiliares fundamentales, desde la seguridad y las IT a la salud, el bienestar y la construcción del edificio. De acuerdo con ese plan se necesitaría financiación adicional para minimizar aún más las consecuencias para las actividades cotidianas de la UIT durante la construcción del nuevo edificio de la Sede.</w:t>
      </w:r>
    </w:p>
    <w:p w14:paraId="70E9F1F1" w14:textId="77777777" w:rsidR="000249AD" w:rsidRDefault="000249AD" w:rsidP="000249AD">
      <w:pPr>
        <w:pStyle w:val="enumlev1"/>
        <w:jc w:val="both"/>
        <w:rPr>
          <w:rFonts w:eastAsiaTheme="minorHAnsi"/>
          <w:szCs w:val="24"/>
          <w:lang w:val="es-ES"/>
        </w:rPr>
      </w:pPr>
    </w:p>
    <w:p w14:paraId="748B789D" w14:textId="77777777" w:rsidR="000249AD" w:rsidRPr="008F48EB" w:rsidRDefault="000249AD" w:rsidP="000249AD">
      <w:pPr>
        <w:pStyle w:val="enumlev1"/>
        <w:jc w:val="both"/>
        <w:rPr>
          <w:lang w:val="es-ES"/>
        </w:rPr>
      </w:pPr>
    </w:p>
    <w:p w14:paraId="17E632E6" w14:textId="77777777" w:rsidR="00F92BED" w:rsidRPr="008F48EB" w:rsidRDefault="00F92BED" w:rsidP="000249AD">
      <w:pPr>
        <w:jc w:val="center"/>
        <w:rPr>
          <w:lang w:val="es-ES"/>
        </w:rPr>
      </w:pPr>
      <w:r w:rsidRPr="008F48EB">
        <w:rPr>
          <w:rFonts w:asciiTheme="minorHAnsi" w:hAnsiTheme="minorHAnsi" w:cstheme="minorHAnsi"/>
          <w:lang w:val="es-ES"/>
        </w:rPr>
        <w:t>______________</w:t>
      </w:r>
    </w:p>
    <w:sectPr w:rsidR="00F92BED" w:rsidRPr="008F48EB" w:rsidSect="00C538FC">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5D8A" w14:textId="77777777" w:rsidR="008F48EB" w:rsidRDefault="008F48EB">
      <w:r>
        <w:separator/>
      </w:r>
    </w:p>
  </w:endnote>
  <w:endnote w:type="continuationSeparator" w:id="0">
    <w:p w14:paraId="7841E18E" w14:textId="77777777" w:rsidR="008F48EB" w:rsidRDefault="008F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2C19DB1C" w14:textId="77777777" w:rsidTr="00E31DCE">
      <w:trPr>
        <w:jc w:val="center"/>
      </w:trPr>
      <w:tc>
        <w:tcPr>
          <w:tcW w:w="1803" w:type="dxa"/>
          <w:vAlign w:val="center"/>
        </w:tcPr>
        <w:p w14:paraId="7A503317" w14:textId="6EC2BD57" w:rsidR="003273A4" w:rsidRDefault="002946E2" w:rsidP="003273A4">
          <w:pPr>
            <w:pStyle w:val="Header"/>
            <w:jc w:val="left"/>
            <w:rPr>
              <w:noProof/>
            </w:rPr>
          </w:pPr>
          <w:r>
            <w:rPr>
              <w:noProof/>
            </w:rPr>
            <w:t xml:space="preserve">gDoc </w:t>
          </w:r>
          <w:r w:rsidR="008F48EB">
            <w:rPr>
              <w:noProof/>
            </w:rPr>
            <w:t>2600567</w:t>
          </w:r>
        </w:p>
      </w:tc>
      <w:tc>
        <w:tcPr>
          <w:tcW w:w="8261" w:type="dxa"/>
        </w:tcPr>
        <w:p w14:paraId="71C4F5E2" w14:textId="59C76154"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8F48EB">
            <w:rPr>
              <w:bCs/>
            </w:rPr>
            <w:t>32</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76F78C52"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5E40BE0" w14:textId="77777777" w:rsidTr="00E31DCE">
      <w:trPr>
        <w:jc w:val="center"/>
      </w:trPr>
      <w:tc>
        <w:tcPr>
          <w:tcW w:w="1803" w:type="dxa"/>
          <w:vAlign w:val="center"/>
        </w:tcPr>
        <w:p w14:paraId="5320009B"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0DC4119A" w14:textId="075357FD"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8F48EB">
            <w:rPr>
              <w:bCs/>
            </w:rPr>
            <w:t>32</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08A85C6E"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7198" w14:textId="77777777" w:rsidR="008F48EB" w:rsidRDefault="008F48EB">
      <w:r>
        <w:t>____________________</w:t>
      </w:r>
    </w:p>
  </w:footnote>
  <w:footnote w:type="continuationSeparator" w:id="0">
    <w:p w14:paraId="1E321645" w14:textId="77777777" w:rsidR="008F48EB" w:rsidRDefault="008F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66CF" w14:textId="77777777" w:rsidR="001559F5" w:rsidRPr="00B1560D" w:rsidRDefault="00B1560D" w:rsidP="00B1560D">
    <w:pPr>
      <w:pStyle w:val="Header"/>
    </w:pPr>
    <w:r>
      <w:rPr>
        <w:noProof/>
      </w:rPr>
      <w:drawing>
        <wp:inline distT="0" distB="0" distL="0" distR="0" wp14:anchorId="54EDA15D" wp14:editId="3B545AB5">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C750A"/>
    <w:multiLevelType w:val="hybridMultilevel"/>
    <w:tmpl w:val="9448FB5A"/>
    <w:lvl w:ilvl="0" w:tplc="20000001">
      <w:start w:val="1"/>
      <w:numFmt w:val="bullet"/>
      <w:lvlText w:val=""/>
      <w:lvlJc w:val="left"/>
      <w:pPr>
        <w:ind w:left="1061" w:hanging="360"/>
      </w:pPr>
      <w:rPr>
        <w:rFonts w:ascii="Symbol" w:hAnsi="Symbol" w:hint="default"/>
      </w:rPr>
    </w:lvl>
    <w:lvl w:ilvl="1" w:tplc="20000003" w:tentative="1">
      <w:start w:val="1"/>
      <w:numFmt w:val="bullet"/>
      <w:lvlText w:val="o"/>
      <w:lvlJc w:val="left"/>
      <w:pPr>
        <w:ind w:left="1781" w:hanging="360"/>
      </w:pPr>
      <w:rPr>
        <w:rFonts w:ascii="Courier New" w:hAnsi="Courier New" w:cs="Courier New" w:hint="default"/>
      </w:rPr>
    </w:lvl>
    <w:lvl w:ilvl="2" w:tplc="20000005" w:tentative="1">
      <w:start w:val="1"/>
      <w:numFmt w:val="bullet"/>
      <w:lvlText w:val=""/>
      <w:lvlJc w:val="left"/>
      <w:pPr>
        <w:ind w:left="2501" w:hanging="360"/>
      </w:pPr>
      <w:rPr>
        <w:rFonts w:ascii="Wingdings" w:hAnsi="Wingdings" w:hint="default"/>
      </w:rPr>
    </w:lvl>
    <w:lvl w:ilvl="3" w:tplc="20000001" w:tentative="1">
      <w:start w:val="1"/>
      <w:numFmt w:val="bullet"/>
      <w:lvlText w:val=""/>
      <w:lvlJc w:val="left"/>
      <w:pPr>
        <w:ind w:left="3221" w:hanging="360"/>
      </w:pPr>
      <w:rPr>
        <w:rFonts w:ascii="Symbol" w:hAnsi="Symbol" w:hint="default"/>
      </w:rPr>
    </w:lvl>
    <w:lvl w:ilvl="4" w:tplc="20000003" w:tentative="1">
      <w:start w:val="1"/>
      <w:numFmt w:val="bullet"/>
      <w:lvlText w:val="o"/>
      <w:lvlJc w:val="left"/>
      <w:pPr>
        <w:ind w:left="3941" w:hanging="360"/>
      </w:pPr>
      <w:rPr>
        <w:rFonts w:ascii="Courier New" w:hAnsi="Courier New" w:cs="Courier New" w:hint="default"/>
      </w:rPr>
    </w:lvl>
    <w:lvl w:ilvl="5" w:tplc="20000005" w:tentative="1">
      <w:start w:val="1"/>
      <w:numFmt w:val="bullet"/>
      <w:lvlText w:val=""/>
      <w:lvlJc w:val="left"/>
      <w:pPr>
        <w:ind w:left="4661" w:hanging="360"/>
      </w:pPr>
      <w:rPr>
        <w:rFonts w:ascii="Wingdings" w:hAnsi="Wingdings" w:hint="default"/>
      </w:rPr>
    </w:lvl>
    <w:lvl w:ilvl="6" w:tplc="20000001" w:tentative="1">
      <w:start w:val="1"/>
      <w:numFmt w:val="bullet"/>
      <w:lvlText w:val=""/>
      <w:lvlJc w:val="left"/>
      <w:pPr>
        <w:ind w:left="5381" w:hanging="360"/>
      </w:pPr>
      <w:rPr>
        <w:rFonts w:ascii="Symbol" w:hAnsi="Symbol" w:hint="default"/>
      </w:rPr>
    </w:lvl>
    <w:lvl w:ilvl="7" w:tplc="20000003" w:tentative="1">
      <w:start w:val="1"/>
      <w:numFmt w:val="bullet"/>
      <w:lvlText w:val="o"/>
      <w:lvlJc w:val="left"/>
      <w:pPr>
        <w:ind w:left="6101" w:hanging="360"/>
      </w:pPr>
      <w:rPr>
        <w:rFonts w:ascii="Courier New" w:hAnsi="Courier New" w:cs="Courier New" w:hint="default"/>
      </w:rPr>
    </w:lvl>
    <w:lvl w:ilvl="8" w:tplc="20000005" w:tentative="1">
      <w:start w:val="1"/>
      <w:numFmt w:val="bullet"/>
      <w:lvlText w:val=""/>
      <w:lvlJc w:val="left"/>
      <w:pPr>
        <w:ind w:left="6821" w:hanging="360"/>
      </w:pPr>
      <w:rPr>
        <w:rFonts w:ascii="Wingdings" w:hAnsi="Wingdings" w:hint="default"/>
      </w:rPr>
    </w:lvl>
  </w:abstractNum>
  <w:abstractNum w:abstractNumId="1" w15:restartNumberingAfterBreak="0">
    <w:nsid w:val="3D855083"/>
    <w:multiLevelType w:val="multilevel"/>
    <w:tmpl w:val="D9B8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37742C"/>
    <w:multiLevelType w:val="hybridMultilevel"/>
    <w:tmpl w:val="CBA86B16"/>
    <w:lvl w:ilvl="0" w:tplc="2000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6119139">
    <w:abstractNumId w:val="1"/>
  </w:num>
  <w:num w:numId="2" w16cid:durableId="1710836038">
    <w:abstractNumId w:val="0"/>
  </w:num>
  <w:num w:numId="3" w16cid:durableId="976568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EB"/>
    <w:rsid w:val="000007D1"/>
    <w:rsid w:val="000249AD"/>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A55C0"/>
    <w:rsid w:val="001B6E2B"/>
    <w:rsid w:val="001F14A2"/>
    <w:rsid w:val="00277DEA"/>
    <w:rsid w:val="002801AA"/>
    <w:rsid w:val="002946E2"/>
    <w:rsid w:val="002C3F32"/>
    <w:rsid w:val="002C4676"/>
    <w:rsid w:val="002C70B0"/>
    <w:rsid w:val="002F3CC4"/>
    <w:rsid w:val="003032E2"/>
    <w:rsid w:val="0031300A"/>
    <w:rsid w:val="003273A4"/>
    <w:rsid w:val="00345D75"/>
    <w:rsid w:val="0034796E"/>
    <w:rsid w:val="004571B0"/>
    <w:rsid w:val="00465C35"/>
    <w:rsid w:val="00473962"/>
    <w:rsid w:val="004B5D49"/>
    <w:rsid w:val="004D3A3C"/>
    <w:rsid w:val="00513630"/>
    <w:rsid w:val="0053587D"/>
    <w:rsid w:val="00560125"/>
    <w:rsid w:val="00585553"/>
    <w:rsid w:val="005B34D9"/>
    <w:rsid w:val="005D0CCF"/>
    <w:rsid w:val="005E627B"/>
    <w:rsid w:val="005F0915"/>
    <w:rsid w:val="005F3BCB"/>
    <w:rsid w:val="005F410F"/>
    <w:rsid w:val="0060149A"/>
    <w:rsid w:val="00601924"/>
    <w:rsid w:val="00611749"/>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B7"/>
    <w:rsid w:val="007955DA"/>
    <w:rsid w:val="007E5DD3"/>
    <w:rsid w:val="007F350B"/>
    <w:rsid w:val="00820BE4"/>
    <w:rsid w:val="008451E8"/>
    <w:rsid w:val="0084546D"/>
    <w:rsid w:val="00881CAD"/>
    <w:rsid w:val="008F48EB"/>
    <w:rsid w:val="008F6ABC"/>
    <w:rsid w:val="00913B9C"/>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D29C7"/>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74C8F"/>
    <w:rsid w:val="00E8018B"/>
    <w:rsid w:val="00E92DE8"/>
    <w:rsid w:val="00EA4951"/>
    <w:rsid w:val="00EB1212"/>
    <w:rsid w:val="00ED65AB"/>
    <w:rsid w:val="00F12850"/>
    <w:rsid w:val="00F24B71"/>
    <w:rsid w:val="00F2708A"/>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AFB32"/>
  <w15:docId w15:val="{45227D8E-4305-4564-9D0C-8DC90226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249AD"/>
    <w:pPr>
      <w:keepNext/>
      <w:keepLines/>
      <w:spacing w:before="480" w:after="120"/>
      <w:jc w:val="center"/>
    </w:pPr>
    <w:rPr>
      <w:caps/>
      <w:sz w:val="22"/>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611749"/>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Constitution-E.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tu.int/en/council/Documents/basic-texts-2023/DEC-005-E.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TotalTime>
  <Pages>7</Pages>
  <Words>2770</Words>
  <Characters>15400</Characters>
  <Application>Microsoft Office Word</Application>
  <DocSecurity>0</DocSecurity>
  <Lines>244</Lines>
  <Paragraphs>65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18105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plan financiero para 2028-2031</dc:title>
  <dc:subject>Consejo 2026 de la UIT</dc:subject>
  <cp:keywords>C26; C2026; Council 2026; PP26</cp:keywords>
  <dc:description/>
  <cp:lastPrinted>2006-03-24T09:51:00Z</cp:lastPrinted>
  <dcterms:created xsi:type="dcterms:W3CDTF">2026-04-02T09:51:00Z</dcterms:created>
  <dcterms:modified xsi:type="dcterms:W3CDTF">2026-04-02T09:52:00Z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