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917F29" w14:paraId="5CE66171" w14:textId="77777777" w:rsidTr="00D17718">
        <w:trPr>
          <w:cantSplit/>
          <w:trHeight w:val="23"/>
        </w:trPr>
        <w:tc>
          <w:tcPr>
            <w:tcW w:w="3969" w:type="dxa"/>
            <w:vMerge w:val="restart"/>
            <w:tcMar>
              <w:left w:w="0" w:type="dxa"/>
            </w:tcMar>
          </w:tcPr>
          <w:p w14:paraId="074624A4" w14:textId="21EAA80B" w:rsidR="00796BD3" w:rsidRPr="00917F29"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917F29">
              <w:rPr>
                <w:b/>
                <w:lang w:val="ru-RU"/>
              </w:rPr>
              <w:t>Пункт повестки дня:</w:t>
            </w:r>
            <w:r w:rsidR="007C2BF7" w:rsidRPr="00917F29">
              <w:rPr>
                <w:b/>
                <w:lang w:val="ru-RU"/>
              </w:rPr>
              <w:t xml:space="preserve"> PL 2</w:t>
            </w:r>
          </w:p>
        </w:tc>
        <w:tc>
          <w:tcPr>
            <w:tcW w:w="5245" w:type="dxa"/>
          </w:tcPr>
          <w:p w14:paraId="28F86924" w14:textId="56FDD89B" w:rsidR="00796BD3" w:rsidRPr="00917F29" w:rsidRDefault="0033025A" w:rsidP="00D17718">
            <w:pPr>
              <w:tabs>
                <w:tab w:val="left" w:pos="851"/>
              </w:tabs>
              <w:spacing w:before="0" w:line="240" w:lineRule="atLeast"/>
              <w:jc w:val="right"/>
              <w:rPr>
                <w:b/>
                <w:lang w:val="ru-RU"/>
              </w:rPr>
            </w:pPr>
            <w:r w:rsidRPr="00917F29">
              <w:rPr>
                <w:b/>
                <w:lang w:val="ru-RU"/>
              </w:rPr>
              <w:t xml:space="preserve">Документ </w:t>
            </w:r>
            <w:r w:rsidR="00796BD3" w:rsidRPr="00917F29">
              <w:rPr>
                <w:b/>
                <w:lang w:val="ru-RU"/>
              </w:rPr>
              <w:t>C2</w:t>
            </w:r>
            <w:r w:rsidR="00BE00DD" w:rsidRPr="00917F29">
              <w:rPr>
                <w:b/>
                <w:lang w:val="ru-RU"/>
              </w:rPr>
              <w:t>6</w:t>
            </w:r>
            <w:r w:rsidR="00796BD3" w:rsidRPr="00917F29">
              <w:rPr>
                <w:b/>
                <w:lang w:val="ru-RU"/>
              </w:rPr>
              <w:t>/</w:t>
            </w:r>
            <w:r w:rsidR="007C2BF7" w:rsidRPr="00917F29">
              <w:rPr>
                <w:b/>
                <w:lang w:val="ru-RU"/>
              </w:rPr>
              <w:t>32</w:t>
            </w:r>
            <w:r w:rsidR="00796BD3" w:rsidRPr="00917F29">
              <w:rPr>
                <w:b/>
                <w:lang w:val="ru-RU"/>
              </w:rPr>
              <w:t>-R</w:t>
            </w:r>
          </w:p>
        </w:tc>
      </w:tr>
      <w:tr w:rsidR="00796BD3" w:rsidRPr="00917F29" w14:paraId="16977080" w14:textId="77777777" w:rsidTr="00D17718">
        <w:trPr>
          <w:cantSplit/>
        </w:trPr>
        <w:tc>
          <w:tcPr>
            <w:tcW w:w="3969" w:type="dxa"/>
            <w:vMerge/>
          </w:tcPr>
          <w:p w14:paraId="0D352450" w14:textId="77777777" w:rsidR="00796BD3" w:rsidRPr="00917F29"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4ABED8FE" w14:textId="4A16AA77" w:rsidR="00796BD3" w:rsidRPr="00917F29" w:rsidRDefault="007C2BF7" w:rsidP="00D17718">
            <w:pPr>
              <w:tabs>
                <w:tab w:val="left" w:pos="851"/>
              </w:tabs>
              <w:spacing w:before="0"/>
              <w:jc w:val="right"/>
              <w:rPr>
                <w:b/>
                <w:lang w:val="ru-RU"/>
              </w:rPr>
            </w:pPr>
            <w:r w:rsidRPr="00917F29">
              <w:rPr>
                <w:b/>
                <w:lang w:val="ru-RU"/>
              </w:rPr>
              <w:t>9 марта 2026 года</w:t>
            </w:r>
          </w:p>
        </w:tc>
      </w:tr>
      <w:tr w:rsidR="00796BD3" w:rsidRPr="00917F29" w14:paraId="3EEBF519" w14:textId="77777777" w:rsidTr="00D17718">
        <w:trPr>
          <w:cantSplit/>
          <w:trHeight w:val="23"/>
        </w:trPr>
        <w:tc>
          <w:tcPr>
            <w:tcW w:w="3969" w:type="dxa"/>
            <w:vMerge/>
          </w:tcPr>
          <w:p w14:paraId="4AC3AB60" w14:textId="77777777" w:rsidR="00796BD3" w:rsidRPr="00917F29" w:rsidRDefault="00796BD3" w:rsidP="00D17718">
            <w:pPr>
              <w:tabs>
                <w:tab w:val="left" w:pos="851"/>
              </w:tabs>
              <w:spacing w:line="240" w:lineRule="atLeast"/>
              <w:rPr>
                <w:b/>
                <w:lang w:val="ru-RU"/>
              </w:rPr>
            </w:pPr>
            <w:bookmarkStart w:id="4" w:name="dorlang" w:colFirst="1" w:colLast="1"/>
            <w:bookmarkEnd w:id="3"/>
          </w:p>
        </w:tc>
        <w:tc>
          <w:tcPr>
            <w:tcW w:w="5245" w:type="dxa"/>
          </w:tcPr>
          <w:p w14:paraId="4F9269A6" w14:textId="77777777" w:rsidR="00796BD3" w:rsidRPr="00917F29" w:rsidRDefault="0033025A" w:rsidP="00D17718">
            <w:pPr>
              <w:tabs>
                <w:tab w:val="left" w:pos="851"/>
              </w:tabs>
              <w:spacing w:before="0" w:line="240" w:lineRule="atLeast"/>
              <w:jc w:val="right"/>
              <w:rPr>
                <w:b/>
                <w:lang w:val="ru-RU"/>
              </w:rPr>
            </w:pPr>
            <w:r w:rsidRPr="00917F29">
              <w:rPr>
                <w:b/>
                <w:lang w:val="ru-RU"/>
              </w:rPr>
              <w:t>Оригинал: английский</w:t>
            </w:r>
          </w:p>
        </w:tc>
      </w:tr>
      <w:tr w:rsidR="00796BD3" w:rsidRPr="00917F29" w14:paraId="44F44AE2" w14:textId="77777777" w:rsidTr="00D17718">
        <w:trPr>
          <w:cantSplit/>
          <w:trHeight w:val="23"/>
        </w:trPr>
        <w:tc>
          <w:tcPr>
            <w:tcW w:w="3969" w:type="dxa"/>
          </w:tcPr>
          <w:p w14:paraId="7D269A38" w14:textId="77777777" w:rsidR="00796BD3" w:rsidRPr="00917F29" w:rsidRDefault="00796BD3" w:rsidP="00D17718">
            <w:pPr>
              <w:tabs>
                <w:tab w:val="left" w:pos="851"/>
              </w:tabs>
              <w:spacing w:line="240" w:lineRule="atLeast"/>
              <w:rPr>
                <w:b/>
                <w:lang w:val="ru-RU"/>
              </w:rPr>
            </w:pPr>
          </w:p>
        </w:tc>
        <w:tc>
          <w:tcPr>
            <w:tcW w:w="5245" w:type="dxa"/>
          </w:tcPr>
          <w:p w14:paraId="4CF743E3" w14:textId="77777777" w:rsidR="00796BD3" w:rsidRPr="00917F29" w:rsidRDefault="00796BD3" w:rsidP="00D17718">
            <w:pPr>
              <w:tabs>
                <w:tab w:val="left" w:pos="851"/>
              </w:tabs>
              <w:spacing w:before="0" w:line="240" w:lineRule="atLeast"/>
              <w:jc w:val="right"/>
              <w:rPr>
                <w:b/>
                <w:lang w:val="ru-RU"/>
              </w:rPr>
            </w:pPr>
          </w:p>
        </w:tc>
      </w:tr>
      <w:tr w:rsidR="00796BD3" w:rsidRPr="00917F29" w14:paraId="1F561DA1" w14:textId="77777777" w:rsidTr="00D17718">
        <w:trPr>
          <w:cantSplit/>
        </w:trPr>
        <w:tc>
          <w:tcPr>
            <w:tcW w:w="9214" w:type="dxa"/>
            <w:gridSpan w:val="2"/>
            <w:tcMar>
              <w:left w:w="0" w:type="dxa"/>
            </w:tcMar>
          </w:tcPr>
          <w:p w14:paraId="6AE99DC2" w14:textId="77777777" w:rsidR="00796BD3" w:rsidRPr="00917F29" w:rsidRDefault="0033025A" w:rsidP="00767C66">
            <w:pPr>
              <w:pStyle w:val="Source"/>
              <w:framePr w:hSpace="0" w:wrap="auto" w:vAnchor="margin" w:hAnchor="text" w:xAlign="left" w:yAlign="inline"/>
              <w:spacing w:before="840"/>
              <w:suppressOverlap w:val="0"/>
            </w:pPr>
            <w:bookmarkStart w:id="5" w:name="dsource" w:colFirst="0" w:colLast="0"/>
            <w:bookmarkEnd w:id="4"/>
            <w:r w:rsidRPr="00917F29">
              <w:t>Отчет Генерального секретаря</w:t>
            </w:r>
          </w:p>
        </w:tc>
      </w:tr>
      <w:tr w:rsidR="00796BD3" w:rsidRPr="00AE4324" w14:paraId="42DB5F85" w14:textId="77777777" w:rsidTr="00D17718">
        <w:trPr>
          <w:cantSplit/>
        </w:trPr>
        <w:tc>
          <w:tcPr>
            <w:tcW w:w="9214" w:type="dxa"/>
            <w:gridSpan w:val="2"/>
            <w:tcMar>
              <w:left w:w="0" w:type="dxa"/>
            </w:tcMar>
          </w:tcPr>
          <w:p w14:paraId="45BB7098" w14:textId="4294BD94" w:rsidR="00796BD3" w:rsidRPr="00917F29" w:rsidRDefault="007C2BF7" w:rsidP="00A405F9">
            <w:pPr>
              <w:pStyle w:val="Subtitle"/>
              <w:framePr w:hSpace="0" w:wrap="auto" w:xAlign="left" w:yAlign="inline"/>
              <w:suppressOverlap w:val="0"/>
            </w:pPr>
            <w:bookmarkStart w:id="6" w:name="dtitle1" w:colFirst="0" w:colLast="0"/>
            <w:bookmarkEnd w:id="5"/>
            <w:r w:rsidRPr="00917F29">
              <w:t>ПРОЕКТ ФИНАНСОВОГО ПЛАНА НА 2028−2031 ГОДЫ</w:t>
            </w:r>
          </w:p>
        </w:tc>
      </w:tr>
      <w:tr w:rsidR="00796BD3" w:rsidRPr="00AE4324" w14:paraId="23331B71" w14:textId="77777777" w:rsidTr="00D17718">
        <w:trPr>
          <w:cantSplit/>
        </w:trPr>
        <w:tc>
          <w:tcPr>
            <w:tcW w:w="9214" w:type="dxa"/>
            <w:gridSpan w:val="2"/>
            <w:tcBorders>
              <w:top w:val="single" w:sz="4" w:space="0" w:color="auto"/>
              <w:bottom w:val="single" w:sz="4" w:space="0" w:color="auto"/>
            </w:tcBorders>
            <w:tcMar>
              <w:left w:w="0" w:type="dxa"/>
            </w:tcMar>
          </w:tcPr>
          <w:p w14:paraId="74EC4529" w14:textId="77777777" w:rsidR="00796BD3" w:rsidRPr="00917F29" w:rsidRDefault="0033025A" w:rsidP="00D17718">
            <w:pPr>
              <w:spacing w:before="160"/>
              <w:rPr>
                <w:b/>
                <w:bCs/>
                <w:sz w:val="24"/>
                <w:szCs w:val="24"/>
                <w:lang w:val="ru-RU"/>
              </w:rPr>
            </w:pPr>
            <w:r w:rsidRPr="00917F29">
              <w:rPr>
                <w:b/>
                <w:bCs/>
                <w:sz w:val="24"/>
                <w:szCs w:val="24"/>
                <w:lang w:val="ru-RU"/>
              </w:rPr>
              <w:t>Назначение</w:t>
            </w:r>
          </w:p>
          <w:p w14:paraId="2726198D" w14:textId="640404DB" w:rsidR="00796BD3" w:rsidRPr="00917F29" w:rsidRDefault="007C2BF7" w:rsidP="00D17718">
            <w:pPr>
              <w:rPr>
                <w:lang w:val="ru-RU"/>
              </w:rPr>
            </w:pPr>
            <w:r w:rsidRPr="00917F29">
              <w:rPr>
                <w:color w:val="000000"/>
                <w:lang w:val="ru-RU"/>
              </w:rPr>
              <w:t>В настоящем документе представлен проект Финансового плана на 2028−2031 годы.</w:t>
            </w:r>
          </w:p>
          <w:p w14:paraId="7BAF002C" w14:textId="77777777" w:rsidR="00796BD3" w:rsidRPr="00917F29" w:rsidRDefault="0033025A" w:rsidP="00D17718">
            <w:pPr>
              <w:spacing w:before="160"/>
              <w:rPr>
                <w:b/>
                <w:bCs/>
                <w:sz w:val="24"/>
                <w:szCs w:val="24"/>
                <w:lang w:val="ru-RU"/>
              </w:rPr>
            </w:pPr>
            <w:r w:rsidRPr="00917F29">
              <w:rPr>
                <w:b/>
                <w:bCs/>
                <w:sz w:val="24"/>
                <w:szCs w:val="24"/>
                <w:lang w:val="ru-RU"/>
              </w:rPr>
              <w:t>Необходимые действия Совета</w:t>
            </w:r>
          </w:p>
          <w:p w14:paraId="03A6A2E8" w14:textId="696C89E6" w:rsidR="00796BD3" w:rsidRPr="00917F29" w:rsidRDefault="007C2BF7" w:rsidP="00D17718">
            <w:pPr>
              <w:rPr>
                <w:lang w:val="ru-RU"/>
              </w:rPr>
            </w:pPr>
            <w:r w:rsidRPr="00917F29">
              <w:rPr>
                <w:color w:val="000000"/>
                <w:lang w:val="ru-RU"/>
              </w:rPr>
              <w:t xml:space="preserve">Совету предлагается </w:t>
            </w:r>
            <w:r w:rsidRPr="00917F29">
              <w:rPr>
                <w:b/>
                <w:bCs/>
                <w:color w:val="000000"/>
                <w:lang w:val="ru-RU"/>
              </w:rPr>
              <w:t xml:space="preserve">рассмотреть </w:t>
            </w:r>
            <w:r w:rsidRPr="00917F29">
              <w:rPr>
                <w:color w:val="000000"/>
                <w:lang w:val="ru-RU"/>
              </w:rPr>
              <w:t xml:space="preserve">проект </w:t>
            </w:r>
            <w:r w:rsidR="008237BF">
              <w:rPr>
                <w:color w:val="000000"/>
                <w:lang w:val="ru-RU"/>
              </w:rPr>
              <w:t>Ф</w:t>
            </w:r>
            <w:r w:rsidRPr="00917F29">
              <w:rPr>
                <w:color w:val="000000"/>
                <w:lang w:val="ru-RU"/>
              </w:rPr>
              <w:t xml:space="preserve">инансового плана на 2028−2031 годы и </w:t>
            </w:r>
            <w:r w:rsidRPr="00917F29">
              <w:rPr>
                <w:b/>
                <w:bCs/>
                <w:color w:val="000000"/>
                <w:lang w:val="ru-RU"/>
              </w:rPr>
              <w:t>представить рекомендации</w:t>
            </w:r>
            <w:r w:rsidRPr="00917F29">
              <w:rPr>
                <w:color w:val="000000"/>
                <w:lang w:val="ru-RU"/>
              </w:rPr>
              <w:t xml:space="preserve"> </w:t>
            </w:r>
            <w:r w:rsidRPr="00917F29">
              <w:rPr>
                <w:b/>
                <w:bCs/>
                <w:color w:val="000000"/>
                <w:lang w:val="ru-RU"/>
              </w:rPr>
              <w:t>и руководящие указания</w:t>
            </w:r>
            <w:r w:rsidRPr="00917F29">
              <w:rPr>
                <w:color w:val="000000"/>
                <w:lang w:val="ru-RU"/>
              </w:rPr>
              <w:t xml:space="preserve"> для последующей передачи этого плана Полномочной конференции 2026 года.</w:t>
            </w:r>
          </w:p>
          <w:p w14:paraId="2AC448C4" w14:textId="77777777" w:rsidR="00796BD3" w:rsidRPr="00917F29" w:rsidRDefault="0033025A" w:rsidP="00D17718">
            <w:pPr>
              <w:spacing w:before="160"/>
              <w:rPr>
                <w:b/>
                <w:bCs/>
                <w:sz w:val="24"/>
                <w:szCs w:val="24"/>
                <w:lang w:val="ru-RU"/>
              </w:rPr>
            </w:pPr>
            <w:r w:rsidRPr="00917F29">
              <w:rPr>
                <w:b/>
                <w:bCs/>
                <w:sz w:val="24"/>
                <w:szCs w:val="24"/>
                <w:lang w:val="ru-RU"/>
              </w:rPr>
              <w:t>Соответствующая увязка со Стратегическим планом</w:t>
            </w:r>
          </w:p>
          <w:p w14:paraId="472860AB" w14:textId="24D5D08D" w:rsidR="00796BD3" w:rsidRPr="00917F29" w:rsidRDefault="007C2BF7" w:rsidP="00D17718">
            <w:pPr>
              <w:rPr>
                <w:lang w:val="ru-RU"/>
              </w:rPr>
            </w:pPr>
            <w:r w:rsidRPr="00917F29">
              <w:rPr>
                <w:color w:val="000000"/>
                <w:lang w:val="ru-RU"/>
              </w:rPr>
              <w:t>В настоящем документе представлены пределы финансовых расходов, которые будут применяться при выполнении Стратегического плана на 2028−2031 годы.</w:t>
            </w:r>
          </w:p>
          <w:p w14:paraId="73115550" w14:textId="77777777" w:rsidR="00796BD3" w:rsidRPr="00917F29" w:rsidRDefault="0033025A" w:rsidP="00D17718">
            <w:pPr>
              <w:spacing w:before="160"/>
              <w:rPr>
                <w:b/>
                <w:bCs/>
                <w:sz w:val="24"/>
                <w:szCs w:val="24"/>
                <w:lang w:val="ru-RU"/>
              </w:rPr>
            </w:pPr>
            <w:r w:rsidRPr="00917F29">
              <w:rPr>
                <w:b/>
                <w:bCs/>
                <w:sz w:val="24"/>
                <w:szCs w:val="24"/>
                <w:lang w:val="ru-RU"/>
              </w:rPr>
              <w:t>Финансовые последствия</w:t>
            </w:r>
          </w:p>
          <w:p w14:paraId="7B02CC0E" w14:textId="4FF0347D" w:rsidR="00345D2A" w:rsidRPr="00917F29" w:rsidRDefault="007C2BF7" w:rsidP="00D17718">
            <w:pPr>
              <w:spacing w:before="160"/>
              <w:rPr>
                <w:szCs w:val="22"/>
                <w:lang w:val="ru-RU"/>
              </w:rPr>
            </w:pPr>
            <w:r w:rsidRPr="00917F29">
              <w:rPr>
                <w:color w:val="000000"/>
                <w:lang w:val="ru-RU"/>
              </w:rPr>
              <w:t>В настоящем документе представлены пределы финансовых расходов, которые будут применяться при выполнении Стратегического плана на 2028−2031 годы.</w:t>
            </w:r>
          </w:p>
          <w:p w14:paraId="355B27CD" w14:textId="77777777" w:rsidR="00796BD3" w:rsidRPr="00917F29" w:rsidRDefault="00796BD3" w:rsidP="00D17718">
            <w:pPr>
              <w:spacing w:before="160"/>
              <w:rPr>
                <w:caps/>
                <w:sz w:val="20"/>
                <w:szCs w:val="18"/>
                <w:lang w:val="ru-RU"/>
              </w:rPr>
            </w:pPr>
            <w:r w:rsidRPr="00917F29">
              <w:rPr>
                <w:sz w:val="20"/>
                <w:szCs w:val="18"/>
                <w:lang w:val="ru-RU"/>
              </w:rPr>
              <w:t>__________________</w:t>
            </w:r>
          </w:p>
          <w:p w14:paraId="0512C0EA" w14:textId="77777777" w:rsidR="00796BD3" w:rsidRPr="00917F29" w:rsidRDefault="0033025A" w:rsidP="00D17718">
            <w:pPr>
              <w:spacing w:before="160"/>
              <w:rPr>
                <w:b/>
                <w:bCs/>
                <w:sz w:val="26"/>
                <w:szCs w:val="26"/>
                <w:lang w:val="ru-RU"/>
              </w:rPr>
            </w:pPr>
            <w:r w:rsidRPr="00917F29">
              <w:rPr>
                <w:b/>
                <w:bCs/>
                <w:sz w:val="24"/>
                <w:szCs w:val="24"/>
                <w:lang w:val="ru-RU"/>
              </w:rPr>
              <w:t>Справочные материалы</w:t>
            </w:r>
          </w:p>
          <w:p w14:paraId="3B7F7187" w14:textId="3EC5E64F" w:rsidR="00796BD3" w:rsidRPr="00917F29" w:rsidRDefault="007C2BF7" w:rsidP="00D17718">
            <w:pPr>
              <w:spacing w:after="160"/>
              <w:rPr>
                <w:i/>
                <w:iCs/>
                <w:lang w:val="ru-RU"/>
              </w:rPr>
            </w:pPr>
            <w:hyperlink r:id="rId7" w:history="1">
              <w:hyperlink r:id="rId8" w:history="1">
                <w:r w:rsidRPr="00917F29">
                  <w:rPr>
                    <w:rStyle w:val="Hyperlink"/>
                    <w:i/>
                    <w:iCs/>
                    <w:szCs w:val="22"/>
                    <w:lang w:val="ru-RU"/>
                  </w:rPr>
                  <w:t>Решение 5 (Пересм. Бухарест, 2022 г.)</w:t>
                </w:r>
              </w:hyperlink>
              <w:r w:rsidR="00917F29">
                <w:rPr>
                  <w:lang w:val="ru-RU"/>
                </w:rPr>
                <w:t xml:space="preserve"> </w:t>
              </w:r>
              <w:r w:rsidR="00917F29" w:rsidRPr="00917F29">
                <w:rPr>
                  <w:i/>
                  <w:iCs/>
                  <w:lang w:val="ru-RU"/>
                </w:rPr>
                <w:t>Полномочной конференции</w:t>
              </w:r>
              <w:r w:rsidRPr="00917F29">
                <w:rPr>
                  <w:i/>
                  <w:iCs/>
                  <w:color w:val="000000"/>
                  <w:lang w:val="ru-RU"/>
                </w:rPr>
                <w:t>;</w:t>
              </w:r>
            </w:hyperlink>
            <w:r w:rsidRPr="00917F29">
              <w:rPr>
                <w:lang w:val="ru-RU"/>
              </w:rPr>
              <w:t xml:space="preserve"> </w:t>
            </w:r>
            <w:hyperlink r:id="rId9" w:history="1">
              <w:r w:rsidRPr="00917F29">
                <w:rPr>
                  <w:rStyle w:val="Hyperlink"/>
                  <w:i/>
                  <w:iCs/>
                  <w:lang w:val="ru-RU"/>
                </w:rPr>
                <w:t>пункт 51 Устава</w:t>
              </w:r>
            </w:hyperlink>
          </w:p>
        </w:tc>
      </w:tr>
      <w:bookmarkEnd w:id="2"/>
      <w:bookmarkEnd w:id="6"/>
    </w:tbl>
    <w:p w14:paraId="7AB077E4" w14:textId="77777777" w:rsidR="00796BD3" w:rsidRPr="00917F29" w:rsidRDefault="00796BD3" w:rsidP="00796BD3">
      <w:pPr>
        <w:rPr>
          <w:lang w:val="ru-RU"/>
        </w:rPr>
      </w:pPr>
    </w:p>
    <w:p w14:paraId="624883A6" w14:textId="77777777" w:rsidR="00165D06" w:rsidRPr="00917F29" w:rsidRDefault="00165D06">
      <w:pPr>
        <w:tabs>
          <w:tab w:val="clear" w:pos="794"/>
          <w:tab w:val="clear" w:pos="1191"/>
          <w:tab w:val="clear" w:pos="1588"/>
          <w:tab w:val="clear" w:pos="1985"/>
        </w:tabs>
        <w:overflowPunct/>
        <w:autoSpaceDE/>
        <w:autoSpaceDN/>
        <w:adjustRightInd/>
        <w:spacing w:before="0"/>
        <w:textAlignment w:val="auto"/>
        <w:rPr>
          <w:lang w:val="ru-RU"/>
        </w:rPr>
      </w:pPr>
      <w:r w:rsidRPr="00917F29">
        <w:rPr>
          <w:lang w:val="ru-RU"/>
        </w:rPr>
        <w:br w:type="page"/>
      </w:r>
    </w:p>
    <w:p w14:paraId="1C7BFA10" w14:textId="705AFC43" w:rsidR="007C2BF7" w:rsidRPr="00917F29" w:rsidRDefault="007C2BF7" w:rsidP="007C2BF7">
      <w:pPr>
        <w:pStyle w:val="Heading1"/>
        <w:rPr>
          <w:rFonts w:asciiTheme="minorHAnsi" w:hAnsiTheme="minorHAnsi" w:cstheme="minorHAnsi"/>
          <w:szCs w:val="24"/>
          <w:lang w:val="ru-RU"/>
        </w:rPr>
      </w:pPr>
      <w:r w:rsidRPr="00917F29">
        <w:rPr>
          <w:lang w:val="ru-RU"/>
        </w:rPr>
        <w:lastRenderedPageBreak/>
        <w:t>1</w:t>
      </w:r>
      <w:r w:rsidRPr="00917F29">
        <w:rPr>
          <w:lang w:val="ru-RU"/>
        </w:rPr>
        <w:tab/>
        <w:t>Введение</w:t>
      </w:r>
    </w:p>
    <w:p w14:paraId="5B350031" w14:textId="77777777" w:rsidR="007C2BF7" w:rsidRPr="00917F29" w:rsidRDefault="007C2BF7" w:rsidP="00767C66">
      <w:pPr>
        <w:jc w:val="both"/>
        <w:rPr>
          <w:rFonts w:cs="Calibri"/>
          <w:bCs/>
          <w:szCs w:val="24"/>
          <w:lang w:val="ru-RU"/>
        </w:rPr>
      </w:pPr>
      <w:r w:rsidRPr="00917F29">
        <w:rPr>
          <w:lang w:val="ru-RU"/>
        </w:rPr>
        <w:t>1.1</w:t>
      </w:r>
      <w:r w:rsidRPr="00917F29">
        <w:rPr>
          <w:lang w:val="ru-RU"/>
        </w:rPr>
        <w:tab/>
        <w:t>Цель проекта Финансового плана на 2028−2031 годы состоит в том, чтобы предоставить Полномочной конференции 2026 года инструмент, позволяющий заложить основу для подготовки бюджетов Союза на 2028−2029 и 2030−2031 годы. Документ определяет соответствующие пределы финансовых расходов на период до следующей Полномочной конференции путем установления величины единицы взносов на период 2028−2031 годов и учета всех соответствующих аспектов деятельности Союза в течение рассматриваемого периода (п. 51 Статьи 8 Устава).</w:t>
      </w:r>
    </w:p>
    <w:p w14:paraId="1B55437A" w14:textId="77777777" w:rsidR="007C2BF7" w:rsidRPr="00917F29" w:rsidRDefault="007C2BF7" w:rsidP="00767C66">
      <w:pPr>
        <w:jc w:val="both"/>
        <w:rPr>
          <w:rFonts w:asciiTheme="minorHAnsi" w:hAnsiTheme="minorHAnsi" w:cstheme="minorHAnsi"/>
          <w:bCs/>
          <w:szCs w:val="24"/>
          <w:lang w:val="ru-RU"/>
        </w:rPr>
      </w:pPr>
      <w:r w:rsidRPr="00917F29">
        <w:rPr>
          <w:lang w:val="ru-RU"/>
        </w:rPr>
        <w:t>1.2</w:t>
      </w:r>
      <w:r w:rsidRPr="00917F29">
        <w:rPr>
          <w:lang w:val="ru-RU"/>
        </w:rPr>
        <w:tab/>
        <w:t>Финансовый план задает рамки, которыми определяются финансовые обязательства Государств-Членов перед Союзом на период 2028−2031 годов исходя из утвержденной величины единицы взносов, а также порядок распределения их финансовых взносов в Союз между приоритетными задачами Союза, сформулированными членами в Стратегическом плане.</w:t>
      </w:r>
    </w:p>
    <w:p w14:paraId="310A5379" w14:textId="77777777" w:rsidR="007C2BF7" w:rsidRPr="00917F29" w:rsidRDefault="007C2BF7" w:rsidP="00767C66">
      <w:pPr>
        <w:jc w:val="both"/>
        <w:rPr>
          <w:rFonts w:asciiTheme="minorHAnsi" w:hAnsiTheme="minorHAnsi" w:cstheme="minorHAnsi"/>
          <w:bCs/>
          <w:szCs w:val="24"/>
          <w:lang w:val="ru-RU"/>
        </w:rPr>
      </w:pPr>
      <w:r w:rsidRPr="00917F29">
        <w:rPr>
          <w:lang w:val="ru-RU"/>
        </w:rPr>
        <w:t>1.3</w:t>
      </w:r>
      <w:r w:rsidRPr="00917F29">
        <w:rPr>
          <w:lang w:val="ru-RU"/>
        </w:rPr>
        <w:tab/>
        <w:t>В соответствии с п. 161B Статьи 28 Устава и предложением Генерального секретаря Совет установил предварительную величину единицы взносов в размере 318 000 швейцарских франков.</w:t>
      </w:r>
    </w:p>
    <w:p w14:paraId="74310C9D" w14:textId="77777777" w:rsidR="007C2BF7" w:rsidRPr="00917F29" w:rsidRDefault="007C2BF7" w:rsidP="00767C66">
      <w:pPr>
        <w:jc w:val="both"/>
        <w:rPr>
          <w:rFonts w:asciiTheme="minorHAnsi" w:hAnsiTheme="minorHAnsi" w:cstheme="minorHAnsi"/>
          <w:szCs w:val="24"/>
          <w:lang w:val="ru-RU"/>
        </w:rPr>
      </w:pPr>
      <w:r w:rsidRPr="00917F29">
        <w:rPr>
          <w:lang w:val="ru-RU"/>
        </w:rPr>
        <w:t>1.4</w:t>
      </w:r>
      <w:r w:rsidRPr="00917F29">
        <w:rPr>
          <w:lang w:val="ru-RU"/>
        </w:rPr>
        <w:tab/>
        <w:t>На основании пересмотренного Решения 5 о доходах и расходах Союза на период 2028−2031 годов Полномочная конференция 2026 года при помощи Стратегического и Финансового планов на 2028−2031 годы определит рамки и директивы, в соответствии с которыми будут разрабатываться два двухгодичных бюджета на 2028−2029 и 2030−2031 годы. Финансовый план на 2028–2031 годы, пересмотренный и утвержденный Полномочной конференцией 2026 года, будет приведен в Приложении 1 к Решению 5.</w:t>
      </w:r>
    </w:p>
    <w:p w14:paraId="18BDE410" w14:textId="77254661" w:rsidR="007C2BF7" w:rsidRPr="00917F29" w:rsidRDefault="007C2BF7" w:rsidP="007C2BF7">
      <w:pPr>
        <w:pStyle w:val="Heading1"/>
        <w:rPr>
          <w:rFonts w:asciiTheme="minorHAnsi" w:hAnsiTheme="minorHAnsi" w:cstheme="minorHAnsi"/>
          <w:szCs w:val="24"/>
          <w:lang w:val="ru-RU"/>
        </w:rPr>
      </w:pPr>
      <w:r w:rsidRPr="00917F29">
        <w:rPr>
          <w:lang w:val="ru-RU"/>
        </w:rPr>
        <w:t>2</w:t>
      </w:r>
      <w:r w:rsidRPr="00917F29">
        <w:rPr>
          <w:lang w:val="ru-RU"/>
        </w:rPr>
        <w:tab/>
        <w:t>Стратегический план</w:t>
      </w:r>
    </w:p>
    <w:p w14:paraId="47E30B8F" w14:textId="3E3BDA6D" w:rsidR="007C2BF7" w:rsidRPr="00917F29" w:rsidRDefault="007C2BF7" w:rsidP="00767C66">
      <w:pPr>
        <w:jc w:val="both"/>
        <w:rPr>
          <w:rFonts w:asciiTheme="minorHAnsi" w:hAnsiTheme="minorHAnsi" w:cstheme="minorBidi"/>
          <w:szCs w:val="24"/>
          <w:lang w:val="ru-RU"/>
        </w:rPr>
      </w:pPr>
      <w:r w:rsidRPr="00917F29">
        <w:rPr>
          <w:lang w:val="ru-RU"/>
        </w:rPr>
        <w:t>2.1</w:t>
      </w:r>
      <w:r w:rsidRPr="00917F29">
        <w:rPr>
          <w:lang w:val="ru-RU"/>
        </w:rPr>
        <w:tab/>
        <w:t xml:space="preserve">Настоящий проект Финансового плана на 2028−2031 годы будет представлен и обсужден в апреле 2026 года на совместном собрании Рабочей группы Совета по финансовым и людским ресурсам (РГС-ФЛР) и Рабочей группы Совета по разработке </w:t>
      </w:r>
      <w:r w:rsidR="008237BF">
        <w:rPr>
          <w:lang w:val="ru-RU"/>
        </w:rPr>
        <w:t>с</w:t>
      </w:r>
      <w:r w:rsidRPr="00917F29">
        <w:rPr>
          <w:lang w:val="ru-RU"/>
        </w:rPr>
        <w:t xml:space="preserve">тратегического и </w:t>
      </w:r>
      <w:r w:rsidR="008237BF">
        <w:rPr>
          <w:lang w:val="ru-RU"/>
        </w:rPr>
        <w:t>ф</w:t>
      </w:r>
      <w:r w:rsidRPr="00917F29">
        <w:rPr>
          <w:lang w:val="ru-RU"/>
        </w:rPr>
        <w:t>инансового планов (РГС-СФП). В ходе этих обсуждений Совет рассмотрит проект Финансового плана Союза, а также ресурсы, в рамках которых будет осуществляться Стратегический план на период 2028–2031 годов.</w:t>
      </w:r>
    </w:p>
    <w:p w14:paraId="6C3F4D4E" w14:textId="217575D5" w:rsidR="007C2BF7" w:rsidRPr="00917F29" w:rsidRDefault="007C2BF7" w:rsidP="00767C66">
      <w:pPr>
        <w:jc w:val="both"/>
        <w:rPr>
          <w:rFonts w:asciiTheme="minorHAnsi" w:hAnsiTheme="minorHAnsi" w:cstheme="minorBidi"/>
          <w:szCs w:val="24"/>
          <w:lang w:val="ru-RU"/>
        </w:rPr>
      </w:pPr>
      <w:r w:rsidRPr="00917F29">
        <w:rPr>
          <w:lang w:val="ru-RU"/>
        </w:rPr>
        <w:t>2.2</w:t>
      </w:r>
      <w:r w:rsidRPr="00917F29">
        <w:rPr>
          <w:lang w:val="ru-RU"/>
        </w:rPr>
        <w:tab/>
        <w:t xml:space="preserve">Разработка </w:t>
      </w:r>
      <w:r w:rsidR="008237BF">
        <w:rPr>
          <w:lang w:val="ru-RU"/>
        </w:rPr>
        <w:t>с</w:t>
      </w:r>
      <w:r w:rsidRPr="00917F29">
        <w:rPr>
          <w:lang w:val="ru-RU"/>
        </w:rPr>
        <w:t xml:space="preserve">тратегического плана осуществляется в соответствии с </w:t>
      </w:r>
      <w:r w:rsidRPr="00917F29">
        <w:rPr>
          <w:b/>
          <w:bCs/>
          <w:lang w:val="ru-RU"/>
        </w:rPr>
        <w:t xml:space="preserve">п. 74А Статьи 11 Устава МСЭ </w:t>
      </w:r>
      <w:r w:rsidRPr="008237BF">
        <w:rPr>
          <w:lang w:val="ru-RU"/>
        </w:rPr>
        <w:t>и</w:t>
      </w:r>
      <w:r w:rsidRPr="00917F29">
        <w:rPr>
          <w:b/>
          <w:bCs/>
          <w:lang w:val="ru-RU"/>
        </w:rPr>
        <w:t xml:space="preserve"> п. 62А Статьи 4 Конвенции МСЭ</w:t>
      </w:r>
      <w:r w:rsidRPr="00917F29">
        <w:rPr>
          <w:lang w:val="ru-RU"/>
        </w:rPr>
        <w:t xml:space="preserve">, согласно которым Генеральному секретарю поручается при содействии Координационного комитета предоставлять Государствам – Членам Союза и Членам Секторов информацию, необходимую для разработки политики и стратегического плана Союза, тогда как Совет приступает к подготовке проекта плана до Полномочной конференции. В своей </w:t>
      </w:r>
      <w:r w:rsidRPr="00917F29">
        <w:rPr>
          <w:b/>
          <w:bCs/>
          <w:lang w:val="ru-RU"/>
        </w:rPr>
        <w:t>Резолюции 1428 (C24)</w:t>
      </w:r>
      <w:r w:rsidRPr="00917F29">
        <w:rPr>
          <w:lang w:val="ru-RU"/>
        </w:rPr>
        <w:t xml:space="preserve"> Совет делегировал разработку проектов </w:t>
      </w:r>
      <w:r w:rsidR="008237BF">
        <w:rPr>
          <w:lang w:val="ru-RU"/>
        </w:rPr>
        <w:t>с</w:t>
      </w:r>
      <w:r w:rsidRPr="00917F29">
        <w:rPr>
          <w:lang w:val="ru-RU"/>
        </w:rPr>
        <w:t xml:space="preserve">тратегического и </w:t>
      </w:r>
      <w:r w:rsidR="008237BF">
        <w:rPr>
          <w:lang w:val="ru-RU"/>
        </w:rPr>
        <w:t>ф</w:t>
      </w:r>
      <w:r w:rsidRPr="00917F29">
        <w:rPr>
          <w:lang w:val="ru-RU"/>
        </w:rPr>
        <w:t xml:space="preserve">инансового планов </w:t>
      </w:r>
      <w:r w:rsidRPr="00917F29">
        <w:rPr>
          <w:b/>
          <w:bCs/>
          <w:lang w:val="ru-RU"/>
        </w:rPr>
        <w:t xml:space="preserve">Рабочей группе Совета по разработке </w:t>
      </w:r>
      <w:r w:rsidR="008237BF">
        <w:rPr>
          <w:b/>
          <w:bCs/>
          <w:lang w:val="ru-RU"/>
        </w:rPr>
        <w:t>с</w:t>
      </w:r>
      <w:r w:rsidRPr="00917F29">
        <w:rPr>
          <w:b/>
          <w:bCs/>
          <w:lang w:val="ru-RU"/>
        </w:rPr>
        <w:t xml:space="preserve">тратегического и </w:t>
      </w:r>
      <w:r w:rsidR="008237BF">
        <w:rPr>
          <w:b/>
          <w:bCs/>
          <w:lang w:val="ru-RU"/>
        </w:rPr>
        <w:t>ф</w:t>
      </w:r>
      <w:r w:rsidRPr="00917F29">
        <w:rPr>
          <w:b/>
          <w:bCs/>
          <w:lang w:val="ru-RU"/>
        </w:rPr>
        <w:t>инансового планов (РГС-СФП)</w:t>
      </w:r>
      <w:r w:rsidRPr="00917F29">
        <w:rPr>
          <w:lang w:val="ru-RU"/>
        </w:rPr>
        <w:t xml:space="preserve">, в которой на равной основе принимают участие Государства-Члены и Члены Секторов. Настоящий проект Финансового плана согласуется с приоритетами, изложенными в настоящем проекте </w:t>
      </w:r>
      <w:r w:rsidR="008237BF">
        <w:rPr>
          <w:lang w:val="ru-RU"/>
        </w:rPr>
        <w:t>с</w:t>
      </w:r>
      <w:r w:rsidRPr="00917F29">
        <w:rPr>
          <w:lang w:val="ru-RU"/>
        </w:rPr>
        <w:t>тратегического плана, и при необходимости будет пересматриваться в целях обеспечения полной согласованности с окончательным утвержденным Стратегическим планом на 2028−2031 годы.</w:t>
      </w:r>
    </w:p>
    <w:p w14:paraId="538599CD" w14:textId="77E0F7C7" w:rsidR="007C2BF7" w:rsidRPr="00917F29" w:rsidRDefault="007C2BF7" w:rsidP="00767C66">
      <w:pPr>
        <w:jc w:val="both"/>
        <w:rPr>
          <w:rFonts w:asciiTheme="minorHAnsi" w:hAnsiTheme="minorHAnsi" w:cstheme="minorBidi"/>
          <w:szCs w:val="24"/>
          <w:lang w:val="ru-RU"/>
        </w:rPr>
      </w:pPr>
      <w:r w:rsidRPr="00917F29">
        <w:rPr>
          <w:lang w:val="ru-RU"/>
        </w:rPr>
        <w:t>2.3</w:t>
      </w:r>
      <w:r w:rsidRPr="00917F29">
        <w:rPr>
          <w:lang w:val="ru-RU"/>
        </w:rPr>
        <w:tab/>
        <w:t xml:space="preserve">В </w:t>
      </w:r>
      <w:r w:rsidR="008237BF">
        <w:rPr>
          <w:lang w:val="ru-RU"/>
        </w:rPr>
        <w:t>ф</w:t>
      </w:r>
      <w:r w:rsidRPr="00917F29">
        <w:rPr>
          <w:lang w:val="ru-RU"/>
        </w:rPr>
        <w:t xml:space="preserve">инансовом плане реализуется ориентированный на результаты подход, а также предусматривается распределение средств из ожидаемых доходов регулярного бюджета, доступных секретариату в 2028−2031 годах, между приоритетами, установленными в </w:t>
      </w:r>
      <w:r w:rsidR="008237BF">
        <w:rPr>
          <w:lang w:val="ru-RU"/>
        </w:rPr>
        <w:t>с</w:t>
      </w:r>
      <w:r w:rsidRPr="00917F29">
        <w:rPr>
          <w:lang w:val="ru-RU"/>
        </w:rPr>
        <w:t>тратегическом плане.</w:t>
      </w:r>
    </w:p>
    <w:p w14:paraId="476A400A" w14:textId="7B37A7A7" w:rsidR="007C2BF7" w:rsidRPr="00917F29" w:rsidRDefault="007C2BF7" w:rsidP="00767C66">
      <w:pPr>
        <w:jc w:val="both"/>
        <w:rPr>
          <w:rFonts w:asciiTheme="minorHAnsi" w:hAnsiTheme="minorHAnsi" w:cstheme="minorBidi"/>
          <w:szCs w:val="24"/>
          <w:lang w:val="ru-RU"/>
        </w:rPr>
      </w:pPr>
      <w:r w:rsidRPr="00917F29">
        <w:rPr>
          <w:lang w:val="ru-RU"/>
        </w:rPr>
        <w:t>2.4</w:t>
      </w:r>
      <w:r w:rsidRPr="00917F29">
        <w:rPr>
          <w:lang w:val="ru-RU"/>
        </w:rPr>
        <w:tab/>
        <w:t xml:space="preserve">Финансовый и </w:t>
      </w:r>
      <w:r w:rsidR="008237BF">
        <w:rPr>
          <w:lang w:val="ru-RU"/>
        </w:rPr>
        <w:t>с</w:t>
      </w:r>
      <w:r w:rsidRPr="00917F29">
        <w:rPr>
          <w:lang w:val="ru-RU"/>
        </w:rPr>
        <w:t xml:space="preserve">тратегический планы будут преобразованы в конкретные финансовые ассигнования для Бюро и Генерального секретариата в процессе разработки Оперативного </w:t>
      </w:r>
      <w:r w:rsidRPr="00917F29">
        <w:rPr>
          <w:lang w:val="ru-RU"/>
        </w:rPr>
        <w:lastRenderedPageBreak/>
        <w:t>плана, что обеспечит финансирование их деятельности по достижению ожидаемых конечных результатов исходя из их соответствующих взносов в реализацию каждого приоритета. Таким образом будет обеспечено четкое соответствие между запланированными видами деятельности и ресурсами, необходимыми для их осуществления.</w:t>
      </w:r>
    </w:p>
    <w:p w14:paraId="52278F0E" w14:textId="08222951" w:rsidR="007C2BF7" w:rsidRPr="00917F29" w:rsidRDefault="007C2BF7" w:rsidP="00767C66">
      <w:pPr>
        <w:jc w:val="both"/>
        <w:rPr>
          <w:rFonts w:asciiTheme="minorHAnsi" w:hAnsiTheme="minorHAnsi" w:cstheme="minorHAnsi"/>
          <w:szCs w:val="24"/>
          <w:lang w:val="ru-RU"/>
        </w:rPr>
      </w:pPr>
      <w:r w:rsidRPr="00917F29">
        <w:rPr>
          <w:lang w:val="ru-RU"/>
        </w:rPr>
        <w:t>2.5</w:t>
      </w:r>
      <w:r w:rsidRPr="00917F29">
        <w:rPr>
          <w:lang w:val="ru-RU"/>
        </w:rPr>
        <w:tab/>
        <w:t xml:space="preserve">Так, разработка </w:t>
      </w:r>
      <w:r w:rsidR="008237BF">
        <w:rPr>
          <w:lang w:val="ru-RU"/>
        </w:rPr>
        <w:t>ф</w:t>
      </w:r>
      <w:r w:rsidRPr="00917F29">
        <w:rPr>
          <w:lang w:val="ru-RU"/>
        </w:rPr>
        <w:t>инансового плана осуществляется исходя из ряда ключевых параметров и определяющих показателей, включающих:</w:t>
      </w:r>
    </w:p>
    <w:p w14:paraId="52A7FA9B" w14:textId="5740E55F" w:rsidR="007C2BF7" w:rsidRPr="00917F29" w:rsidRDefault="007C2BF7" w:rsidP="00767C66">
      <w:pPr>
        <w:pStyle w:val="enumlev1"/>
        <w:jc w:val="both"/>
        <w:rPr>
          <w:rFonts w:asciiTheme="minorHAnsi" w:hAnsiTheme="minorHAnsi" w:cstheme="minorBidi"/>
          <w:szCs w:val="24"/>
          <w:lang w:val="ru-RU"/>
        </w:rPr>
      </w:pPr>
      <w:r w:rsidRPr="00917F29">
        <w:rPr>
          <w:lang w:val="ru-RU"/>
        </w:rPr>
        <w:t>•</w:t>
      </w:r>
      <w:r w:rsidRPr="00917F29">
        <w:rPr>
          <w:lang w:val="ru-RU"/>
        </w:rPr>
        <w:tab/>
        <w:t xml:space="preserve">стратегические цели и приоритеты, определенные в </w:t>
      </w:r>
      <w:r w:rsidR="008237BF">
        <w:rPr>
          <w:lang w:val="ru-RU"/>
        </w:rPr>
        <w:t>с</w:t>
      </w:r>
      <w:r w:rsidRPr="00917F29">
        <w:rPr>
          <w:lang w:val="ru-RU"/>
        </w:rPr>
        <w:t>тратегическом плане;</w:t>
      </w:r>
    </w:p>
    <w:p w14:paraId="1145E314" w14:textId="2CB2BD58" w:rsidR="007C2BF7" w:rsidRPr="00917F29" w:rsidRDefault="007C2BF7" w:rsidP="00767C66">
      <w:pPr>
        <w:pStyle w:val="enumlev1"/>
        <w:jc w:val="both"/>
        <w:rPr>
          <w:rFonts w:asciiTheme="minorHAnsi" w:hAnsiTheme="minorHAnsi" w:cstheme="minorHAnsi"/>
          <w:szCs w:val="24"/>
          <w:lang w:val="ru-RU"/>
        </w:rPr>
      </w:pPr>
      <w:r w:rsidRPr="00917F29">
        <w:rPr>
          <w:lang w:val="ru-RU"/>
        </w:rPr>
        <w:t>•</w:t>
      </w:r>
      <w:r w:rsidRPr="00917F29">
        <w:rPr>
          <w:lang w:val="ru-RU"/>
        </w:rPr>
        <w:tab/>
        <w:t>уровень единицы взносов, утвержденный Государствами-Членами;</w:t>
      </w:r>
    </w:p>
    <w:p w14:paraId="412536C7" w14:textId="3F7676A7" w:rsidR="007C2BF7" w:rsidRPr="00917F29" w:rsidRDefault="007C2BF7" w:rsidP="00767C66">
      <w:pPr>
        <w:pStyle w:val="enumlev1"/>
        <w:jc w:val="both"/>
        <w:rPr>
          <w:rFonts w:asciiTheme="minorHAnsi" w:hAnsiTheme="minorHAnsi" w:cstheme="minorHAnsi"/>
          <w:szCs w:val="24"/>
          <w:lang w:val="ru-RU"/>
        </w:rPr>
      </w:pPr>
      <w:r w:rsidRPr="00917F29">
        <w:rPr>
          <w:lang w:val="ru-RU"/>
        </w:rPr>
        <w:t>•</w:t>
      </w:r>
      <w:r w:rsidRPr="00917F29">
        <w:rPr>
          <w:lang w:val="ru-RU"/>
        </w:rPr>
        <w:tab/>
        <w:t>прогнозируемый уровень доходов в распоряжении Союза в течение периода планирования, который устанавливает общий верхний предел планируемых расходов;</w:t>
      </w:r>
      <w:r w:rsidR="008237BF">
        <w:rPr>
          <w:lang w:val="ru-RU"/>
        </w:rPr>
        <w:t> </w:t>
      </w:r>
      <w:r w:rsidRPr="00917F29">
        <w:rPr>
          <w:lang w:val="ru-RU"/>
        </w:rPr>
        <w:t>и</w:t>
      </w:r>
    </w:p>
    <w:p w14:paraId="4BB35931" w14:textId="3B68AE4F" w:rsidR="007C2BF7" w:rsidRPr="00917F29" w:rsidRDefault="007C2BF7" w:rsidP="00767C66">
      <w:pPr>
        <w:pStyle w:val="enumlev1"/>
        <w:jc w:val="both"/>
        <w:rPr>
          <w:rFonts w:asciiTheme="minorHAnsi" w:hAnsiTheme="minorHAnsi" w:cstheme="minorBidi"/>
          <w:szCs w:val="24"/>
          <w:lang w:val="ru-RU"/>
        </w:rPr>
      </w:pPr>
      <w:r w:rsidRPr="00917F29">
        <w:rPr>
          <w:lang w:val="ru-RU"/>
        </w:rPr>
        <w:t>•</w:t>
      </w:r>
      <w:r w:rsidRPr="00917F29">
        <w:rPr>
          <w:lang w:val="ru-RU"/>
        </w:rPr>
        <w:tab/>
        <w:t>предыдущие утвержденные бюджеты и показатели эффективности финансовой деятельности Секторов, Бюро и Генерального секретариата.</w:t>
      </w:r>
    </w:p>
    <w:p w14:paraId="3A719208" w14:textId="111BE891" w:rsidR="007C2BF7" w:rsidRPr="00917F29" w:rsidRDefault="007C2BF7" w:rsidP="00767C66">
      <w:pPr>
        <w:jc w:val="both"/>
        <w:rPr>
          <w:rFonts w:asciiTheme="minorHAnsi" w:hAnsiTheme="minorHAnsi" w:cstheme="minorHAnsi"/>
          <w:szCs w:val="24"/>
          <w:lang w:val="ru-RU"/>
        </w:rPr>
      </w:pPr>
      <w:r w:rsidRPr="00917F29">
        <w:rPr>
          <w:lang w:val="ru-RU"/>
        </w:rPr>
        <w:t>2.7</w:t>
      </w:r>
      <w:r w:rsidRPr="00917F29">
        <w:rPr>
          <w:lang w:val="ru-RU"/>
        </w:rPr>
        <w:tab/>
        <w:t xml:space="preserve">С учетом этих рамок в </w:t>
      </w:r>
      <w:r w:rsidR="008237BF">
        <w:rPr>
          <w:lang w:val="ru-RU"/>
        </w:rPr>
        <w:t>ф</w:t>
      </w:r>
      <w:r w:rsidRPr="00917F29">
        <w:rPr>
          <w:lang w:val="ru-RU"/>
        </w:rPr>
        <w:t xml:space="preserve">инансовом плане устанавливается общий объем ресурсов, имеющихся в распоряжении Союза на период 2028−2031 годов. Следовательно, реализация </w:t>
      </w:r>
      <w:r w:rsidR="008237BF">
        <w:rPr>
          <w:lang w:val="ru-RU"/>
        </w:rPr>
        <w:t>с</w:t>
      </w:r>
      <w:r w:rsidRPr="00917F29">
        <w:rPr>
          <w:lang w:val="ru-RU"/>
        </w:rPr>
        <w:t>тратегического плана должна укладываться в эти финансовые параметры, что потребует определения приоритетов видов деятельности и эффективного использования ресурсов, для того чтобы обеспечить устойчивое в финансовом отношении решение приоритетных задач Союза.</w:t>
      </w:r>
    </w:p>
    <w:p w14:paraId="31FBFF98" w14:textId="77777777" w:rsidR="007C2BF7" w:rsidRPr="00917F29" w:rsidRDefault="007C2BF7" w:rsidP="007C2BF7">
      <w:pPr>
        <w:pStyle w:val="Heading1"/>
        <w:rPr>
          <w:rFonts w:asciiTheme="minorHAnsi" w:hAnsiTheme="minorHAnsi" w:cstheme="minorHAnsi"/>
          <w:szCs w:val="24"/>
          <w:lang w:val="ru-RU"/>
        </w:rPr>
      </w:pPr>
      <w:r w:rsidRPr="00917F29">
        <w:rPr>
          <w:lang w:val="ru-RU"/>
        </w:rPr>
        <w:t>3</w:t>
      </w:r>
      <w:r w:rsidRPr="00917F29">
        <w:rPr>
          <w:lang w:val="ru-RU"/>
        </w:rPr>
        <w:tab/>
        <w:t>Основы и предположения</w:t>
      </w:r>
    </w:p>
    <w:p w14:paraId="2B893706" w14:textId="7820B943" w:rsidR="007C2BF7" w:rsidRPr="00917F29" w:rsidRDefault="007C2BF7" w:rsidP="00767C66">
      <w:pPr>
        <w:jc w:val="both"/>
        <w:rPr>
          <w:rFonts w:asciiTheme="minorHAnsi" w:hAnsiTheme="minorHAnsi" w:cstheme="minorBidi"/>
          <w:szCs w:val="24"/>
          <w:lang w:val="ru-RU"/>
        </w:rPr>
      </w:pPr>
      <w:r w:rsidRPr="00917F29">
        <w:rPr>
          <w:lang w:val="ru-RU"/>
        </w:rPr>
        <w:t>3.1</w:t>
      </w:r>
      <w:r w:rsidRPr="00917F29">
        <w:rPr>
          <w:lang w:val="ru-RU"/>
        </w:rPr>
        <w:tab/>
        <w:t>Что касается начисленных взносов (Государств-Членов, Членов Секторов, Ассоциированных членов и Академических организаций), то уровень доходов определен исходя из данных, имевшихся по состоянию на 1 января 2026 года. Начисленные взносы составляют более трех четвертей доходов Союза. Любое изменение количества единиц взносов, уплачиваемых Государствами-Членами, повлияет на прогноз доходов на 2028−2031</w:t>
      </w:r>
      <w:r w:rsidR="008237BF">
        <w:rPr>
          <w:lang w:val="ru-RU"/>
        </w:rPr>
        <w:t> </w:t>
      </w:r>
      <w:r w:rsidRPr="00917F29">
        <w:rPr>
          <w:lang w:val="ru-RU"/>
        </w:rPr>
        <w:t xml:space="preserve">годы, а следовательно, необходимо будет соответствующим образом скорректировать и прогноз расходов в </w:t>
      </w:r>
      <w:r w:rsidR="008237BF">
        <w:rPr>
          <w:lang w:val="ru-RU"/>
        </w:rPr>
        <w:t>ф</w:t>
      </w:r>
      <w:r w:rsidRPr="00917F29">
        <w:rPr>
          <w:lang w:val="ru-RU"/>
        </w:rPr>
        <w:t>инансовом плане.</w:t>
      </w:r>
    </w:p>
    <w:p w14:paraId="4A109BA0" w14:textId="4FD15B2B" w:rsidR="007C2BF7" w:rsidRPr="00917F29" w:rsidRDefault="007C2BF7" w:rsidP="00767C66">
      <w:pPr>
        <w:jc w:val="both"/>
        <w:rPr>
          <w:rFonts w:asciiTheme="minorHAnsi" w:hAnsiTheme="minorHAnsi" w:cstheme="minorBidi"/>
          <w:szCs w:val="24"/>
          <w:lang w:val="ru-RU"/>
        </w:rPr>
      </w:pPr>
      <w:r w:rsidRPr="00917F29">
        <w:rPr>
          <w:lang w:val="ru-RU"/>
        </w:rPr>
        <w:t>3.2</w:t>
      </w:r>
      <w:r w:rsidRPr="00917F29">
        <w:rPr>
          <w:lang w:val="ru-RU"/>
        </w:rPr>
        <w:tab/>
        <w:t>Величина единицы взносов остается неизменной с 2006 года и составляет 318 тыс.</w:t>
      </w:r>
      <w:r w:rsidR="008237BF">
        <w:rPr>
          <w:lang w:val="ru-RU"/>
        </w:rPr>
        <w:t> </w:t>
      </w:r>
      <w:r w:rsidRPr="00917F29">
        <w:rPr>
          <w:lang w:val="ru-RU"/>
        </w:rPr>
        <w:t>швейцарских франков за единицу, что соответствует нулевому номинальному росту. За</w:t>
      </w:r>
      <w:r w:rsidR="008237BF">
        <w:rPr>
          <w:lang w:val="ru-RU"/>
        </w:rPr>
        <w:t> </w:t>
      </w:r>
      <w:r w:rsidRPr="00917F29">
        <w:rPr>
          <w:lang w:val="ru-RU"/>
        </w:rPr>
        <w:t xml:space="preserve">период с января 2006 года по январь 2026 года индекс потребительских цен (ИПЦ) в Женеве вырос на 10,5%. При индексации единицы взносов в соответствии с ИПЦ для Женевы величина единицы взносов сегодня составляла бы 351,4 тыс. швейцарских франков, то есть увеличилась бы на 33,4 тыс. швейцарских франков (нулевой реальный рост). Так, общее увеличение начисленных взносов составило бы 54,6 млн. швейцарских франков за четырехгодичный период, что позволило бы обеспечить достаточное финансирование стратегических приоритетов. В связи с тем, что было решено сохранить размер единицы взносов на нынешнем уровне, невозможно предусмотреть в рамках проекта </w:t>
      </w:r>
      <w:r w:rsidR="008237BF">
        <w:rPr>
          <w:lang w:val="ru-RU"/>
        </w:rPr>
        <w:t>ф</w:t>
      </w:r>
      <w:r w:rsidRPr="00917F29">
        <w:rPr>
          <w:lang w:val="ru-RU"/>
        </w:rPr>
        <w:t xml:space="preserve">инансового плана полное финансирование на уровнях, предложенных Бюро и Генеральным секретариатом, для реализации стратегических приоритетов. Это необходимо для того, чтобы планируемые расходы не превышали прогнозируемых доходов. Информация о некоторых ограничениях финансирования, с которыми МСЭ столкнется при выполнении настоящего </w:t>
      </w:r>
      <w:r w:rsidR="008237BF">
        <w:rPr>
          <w:lang w:val="ru-RU"/>
        </w:rPr>
        <w:t>ф</w:t>
      </w:r>
      <w:r w:rsidRPr="00917F29">
        <w:rPr>
          <w:lang w:val="ru-RU"/>
        </w:rPr>
        <w:t>инансового плана, представлена в разделе 5.</w:t>
      </w:r>
    </w:p>
    <w:p w14:paraId="7A2F16AC" w14:textId="2AE98062" w:rsidR="007C2BF7" w:rsidRPr="00917F29" w:rsidRDefault="007C2BF7" w:rsidP="00767C66">
      <w:pPr>
        <w:jc w:val="both"/>
        <w:rPr>
          <w:rFonts w:ascii="Times New Roman" w:hAnsi="Times New Roman"/>
          <w:szCs w:val="24"/>
          <w:lang w:val="ru-RU"/>
        </w:rPr>
      </w:pPr>
      <w:r w:rsidRPr="00917F29">
        <w:rPr>
          <w:lang w:val="ru-RU"/>
        </w:rPr>
        <w:t>3.3</w:t>
      </w:r>
      <w:r w:rsidRPr="00917F29">
        <w:rPr>
          <w:lang w:val="ru-RU"/>
        </w:rPr>
        <w:tab/>
        <w:t xml:space="preserve">Что касается доходов по линии возмещения затрат и других доходов, прогнозы в проекте Финансового плана на 2028−2031 годы в целом согласуются с фактическими доходами, полученными МСЭ в течение двухгодичного периода 2024−2025 годов, и заложенными в бюджет прогнозируемыми доходами на двухгодичный период 2026−2027 годов. Следует отметить, что прогнозы предполагают умеренное увеличение доходов от обработки заявок на </w:t>
      </w:r>
      <w:r w:rsidRPr="00917F29">
        <w:rPr>
          <w:lang w:val="ru-RU"/>
        </w:rPr>
        <w:lastRenderedPageBreak/>
        <w:t>регистрацию спутниковых сетей (SNF). Притом что в 2028</w:t>
      </w:r>
      <w:r w:rsidR="008237BF">
        <w:rPr>
          <w:lang w:val="ru-RU"/>
        </w:rPr>
        <w:t>−</w:t>
      </w:r>
      <w:r w:rsidRPr="00917F29">
        <w:rPr>
          <w:lang w:val="ru-RU"/>
        </w:rPr>
        <w:t>2029 годах доходы SNF прогнозируются на несколько более высоком уровне (20 млн. швейцарских франков), чем в 2024</w:t>
      </w:r>
      <w:r w:rsidR="008237BF">
        <w:rPr>
          <w:lang w:val="ru-RU"/>
        </w:rPr>
        <w:t>−</w:t>
      </w:r>
      <w:r w:rsidRPr="00917F29">
        <w:rPr>
          <w:lang w:val="ru-RU"/>
        </w:rPr>
        <w:t>2025 годах (16,2 млн. швейцарских франков), в 2030</w:t>
      </w:r>
      <w:r w:rsidR="008237BF">
        <w:rPr>
          <w:lang w:val="ru-RU"/>
        </w:rPr>
        <w:t>−</w:t>
      </w:r>
      <w:r w:rsidRPr="00917F29">
        <w:rPr>
          <w:lang w:val="ru-RU"/>
        </w:rPr>
        <w:t>2031 годах снова ожидается умеренный рост доходов (25 млн. швейцарских франков), что объясняется более значительными объемами обработки заявок, которые будут достигнуты за счет запланированных системных инвестиций и операционных корректировок. Вместе с тем это возмещение затрат не позволит вернуться к более высоким уровням предусмотренных бюджетом доходов, которые отмечались в предыдущих циклах стратегических планов.</w:t>
      </w:r>
    </w:p>
    <w:p w14:paraId="7B85C49C" w14:textId="1F69A44D" w:rsidR="007C2BF7" w:rsidRPr="00917F29" w:rsidRDefault="007C2BF7" w:rsidP="00767C66">
      <w:pPr>
        <w:jc w:val="both"/>
        <w:rPr>
          <w:rFonts w:asciiTheme="minorHAnsi" w:eastAsiaTheme="minorHAnsi" w:hAnsiTheme="minorHAnsi" w:cstheme="minorHAnsi"/>
          <w:szCs w:val="24"/>
          <w:lang w:val="ru-RU"/>
        </w:rPr>
      </w:pPr>
      <w:r w:rsidRPr="00917F29">
        <w:rPr>
          <w:lang w:val="ru-RU"/>
        </w:rPr>
        <w:t>3.4</w:t>
      </w:r>
      <w:r w:rsidRPr="00917F29">
        <w:rPr>
          <w:lang w:val="ru-RU"/>
        </w:rPr>
        <w:tab/>
        <w:t>Ввиду вышеизложенного прогнозируемые доходы на 2028–2031 годы представляют собой неизменную картину. Как ожидается (как показано в Таблице 1 ниже), доходы МСЭ останутся на уровне, аналогичном уровню в двухгодичный период 2024–2025 годов, при этом рост будет незначительным или нулевым, при наличии риска незначительного или умеренного снижения в определенные годы в зависимости от степени неустойчивости рыночной конъюнктуры по статьям возмещения затрат. В Таблице 1</w:t>
      </w:r>
      <w:r w:rsidR="008237BF">
        <w:rPr>
          <w:lang w:val="ru-RU"/>
        </w:rPr>
        <w:t>,</w:t>
      </w:r>
      <w:r w:rsidRPr="00917F29">
        <w:rPr>
          <w:lang w:val="ru-RU"/>
        </w:rPr>
        <w:t xml:space="preserve"> ниже</w:t>
      </w:r>
      <w:r w:rsidR="008237BF">
        <w:rPr>
          <w:lang w:val="ru-RU"/>
        </w:rPr>
        <w:t>,</w:t>
      </w:r>
      <w:r w:rsidRPr="00917F29">
        <w:rPr>
          <w:lang w:val="ru-RU"/>
        </w:rPr>
        <w:t xml:space="preserve"> представлена разбивка всех доходов в сопоставлении с утвержденным бюджетом на 2026−2027 годы и фактическими результатами в 2024−2025 годах.</w:t>
      </w:r>
    </w:p>
    <w:p w14:paraId="6A3E039F" w14:textId="77777777" w:rsidR="007C2BF7" w:rsidRPr="00917F29" w:rsidRDefault="007C2BF7" w:rsidP="007C2BF7">
      <w:pPr>
        <w:pStyle w:val="TableNo"/>
        <w:rPr>
          <w:lang w:val="ru-RU"/>
        </w:rPr>
      </w:pPr>
      <w:r w:rsidRPr="00917F29">
        <w:rPr>
          <w:lang w:val="ru-RU"/>
        </w:rPr>
        <w:t>Таблица 1</w:t>
      </w:r>
    </w:p>
    <w:p w14:paraId="55D485E3" w14:textId="1A801C57" w:rsidR="007C2BF7" w:rsidRPr="00917F29" w:rsidRDefault="007C2BF7" w:rsidP="007C2BF7">
      <w:pPr>
        <w:pStyle w:val="Tabletitle"/>
        <w:rPr>
          <w:lang w:val="ru-RU"/>
        </w:rPr>
      </w:pPr>
      <w:r w:rsidRPr="00917F29">
        <w:rPr>
          <w:lang w:val="ru-RU"/>
        </w:rPr>
        <w:t>Доходы в разбивке по источникам средств (2024−2031 гг.)</w:t>
      </w:r>
    </w:p>
    <w:p w14:paraId="2382A50B" w14:textId="282D0EC3" w:rsidR="007F45E0" w:rsidRPr="00917F29" w:rsidRDefault="00917F29" w:rsidP="007F45E0">
      <w:pPr>
        <w:pStyle w:val="Tabletext"/>
        <w:rPr>
          <w:lang w:val="ru-RU"/>
        </w:rPr>
      </w:pPr>
      <w:r w:rsidRPr="00917F29">
        <w:rPr>
          <w:noProof/>
          <w:lang w:val="ru-RU"/>
        </w:rPr>
        <w:drawing>
          <wp:inline distT="0" distB="0" distL="0" distR="0" wp14:anchorId="4BB58DD5" wp14:editId="206B61FD">
            <wp:extent cx="5911200" cy="4039200"/>
            <wp:effectExtent l="0" t="0" r="0" b="0"/>
            <wp:docPr id="20177192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1200" cy="4039200"/>
                    </a:xfrm>
                    <a:prstGeom prst="rect">
                      <a:avLst/>
                    </a:prstGeom>
                    <a:noFill/>
                    <a:ln>
                      <a:noFill/>
                    </a:ln>
                  </pic:spPr>
                </pic:pic>
              </a:graphicData>
            </a:graphic>
          </wp:inline>
        </w:drawing>
      </w:r>
    </w:p>
    <w:p w14:paraId="77C6F67C" w14:textId="77777777" w:rsidR="007C2BF7" w:rsidRPr="00917F29" w:rsidRDefault="007C2BF7" w:rsidP="007C2BF7">
      <w:pPr>
        <w:pStyle w:val="Heading1"/>
        <w:rPr>
          <w:rFonts w:asciiTheme="minorHAnsi" w:hAnsiTheme="minorHAnsi" w:cstheme="minorHAnsi"/>
          <w:szCs w:val="24"/>
          <w:lang w:val="ru-RU"/>
        </w:rPr>
      </w:pPr>
      <w:r w:rsidRPr="00917F29">
        <w:rPr>
          <w:lang w:val="ru-RU"/>
        </w:rPr>
        <w:t>4</w:t>
      </w:r>
      <w:r w:rsidRPr="00917F29">
        <w:rPr>
          <w:lang w:val="ru-RU"/>
        </w:rPr>
        <w:tab/>
        <w:t>Использование финансовых ресурсов</w:t>
      </w:r>
    </w:p>
    <w:p w14:paraId="26EAE550" w14:textId="14A3250A" w:rsidR="007C2BF7" w:rsidRPr="00917F29" w:rsidRDefault="007C2BF7" w:rsidP="00767C66">
      <w:pPr>
        <w:jc w:val="both"/>
        <w:rPr>
          <w:rFonts w:asciiTheme="minorHAnsi" w:hAnsiTheme="minorHAnsi" w:cstheme="minorBidi"/>
          <w:szCs w:val="24"/>
          <w:lang w:val="ru-RU"/>
        </w:rPr>
      </w:pPr>
      <w:r w:rsidRPr="00917F29">
        <w:rPr>
          <w:lang w:val="ru-RU"/>
        </w:rPr>
        <w:t>4.1</w:t>
      </w:r>
      <w:r w:rsidRPr="00917F29">
        <w:rPr>
          <w:lang w:val="ru-RU"/>
        </w:rPr>
        <w:tab/>
        <w:t xml:space="preserve">Что касается расходов, ожидается, что затраты на деятельность МСЭ увеличатся в связи с инфляцией, повышением заработной платы, ростом расходов на здравоохранение и другими инфляционными факторами. Соответственно, выполнение </w:t>
      </w:r>
      <w:r w:rsidR="008237BF">
        <w:rPr>
          <w:lang w:val="ru-RU"/>
        </w:rPr>
        <w:t>ф</w:t>
      </w:r>
      <w:r w:rsidRPr="00917F29">
        <w:rPr>
          <w:lang w:val="ru-RU"/>
        </w:rPr>
        <w:t xml:space="preserve">инансового плана в рамках </w:t>
      </w:r>
      <w:r w:rsidRPr="00917F29">
        <w:rPr>
          <w:lang w:val="ru-RU"/>
        </w:rPr>
        <w:lastRenderedPageBreak/>
        <w:t>бюджетов на 2028−2029 и 2030−2031 годы потребует тщательного определения приоритетов, с тем чтобы обеспечить непрерывное выполнение основных задач и уставных функций при растущих затратах и неизменных доходах.</w:t>
      </w:r>
    </w:p>
    <w:p w14:paraId="1C6C080E" w14:textId="77777777" w:rsidR="007C2BF7" w:rsidRPr="00917F29" w:rsidRDefault="007C2BF7" w:rsidP="00767C66">
      <w:pPr>
        <w:jc w:val="both"/>
        <w:rPr>
          <w:rFonts w:ascii="Times New Roman" w:hAnsi="Times New Roman"/>
          <w:szCs w:val="24"/>
          <w:lang w:val="ru-RU"/>
        </w:rPr>
      </w:pPr>
      <w:r w:rsidRPr="00917F29">
        <w:rPr>
          <w:lang w:val="ru-RU"/>
        </w:rPr>
        <w:t>4.2</w:t>
      </w:r>
      <w:r w:rsidRPr="00917F29">
        <w:rPr>
          <w:lang w:val="ru-RU"/>
        </w:rPr>
        <w:tab/>
        <w:t>Для того чтобы добиться сбалансированности двухгодичных бюджетов на 2028−2029 и 2030−2031 годы в рамках общих ограничений, установленных в проекте Финансового плана на 2028−2031 годы, потребуется реализовать меры по повышению эффективности. Для обеспечения бюджетной дисциплины и долгосрочной финансовой устойчивости в период 2028–2031 годов будет необходимо принять комплекс структурных мер по повышению эффективности, включая следующие:</w:t>
      </w:r>
    </w:p>
    <w:p w14:paraId="777DBA54" w14:textId="51D0BC03" w:rsidR="007C2BF7" w:rsidRPr="00917F29" w:rsidRDefault="007C2BF7" w:rsidP="00767C66">
      <w:pPr>
        <w:pStyle w:val="enumlev1"/>
        <w:jc w:val="both"/>
        <w:rPr>
          <w:rFonts w:asciiTheme="minorHAnsi" w:eastAsiaTheme="minorHAnsi" w:hAnsiTheme="minorHAnsi" w:cstheme="minorBidi"/>
          <w:szCs w:val="24"/>
          <w:lang w:val="ru-RU"/>
        </w:rPr>
      </w:pPr>
      <w:r w:rsidRPr="00917F29">
        <w:rPr>
          <w:lang w:val="ru-RU"/>
        </w:rPr>
        <w:t>•</w:t>
      </w:r>
      <w:r w:rsidRPr="00917F29">
        <w:rPr>
          <w:lang w:val="ru-RU"/>
        </w:rPr>
        <w:tab/>
        <w:t>Должна сохраняться увязка затрат по персоналу с имеющимся финансовым пакетом; согласно имеющимся прогнозам, для поддержания расходов в пределах ожидаемых доходов при номинальном нулевом росте доходов и увеличении затрат потребуется умеренное сокращение общей численности персонала. Секретариат задействует различные методы, включая стратегическое управление вакансиями, программы согласованного прекращения службы, фактор естественной убыли и целевые кадровые перемещения.</w:t>
      </w:r>
    </w:p>
    <w:p w14:paraId="2D622007" w14:textId="48EA28A5" w:rsidR="007C2BF7" w:rsidRPr="00917F29" w:rsidRDefault="007C2BF7" w:rsidP="00767C66">
      <w:pPr>
        <w:pStyle w:val="enumlev1"/>
        <w:jc w:val="both"/>
        <w:rPr>
          <w:rFonts w:asciiTheme="minorHAnsi" w:eastAsiaTheme="minorHAnsi" w:hAnsiTheme="minorHAnsi" w:cstheme="minorBidi"/>
          <w:szCs w:val="24"/>
          <w:lang w:val="ru-RU"/>
        </w:rPr>
      </w:pPr>
      <w:r w:rsidRPr="00917F29">
        <w:rPr>
          <w:lang w:val="ru-RU"/>
        </w:rPr>
        <w:t>•</w:t>
      </w:r>
      <w:r w:rsidRPr="00917F29">
        <w:rPr>
          <w:lang w:val="ru-RU"/>
        </w:rPr>
        <w:tab/>
        <w:t>Текущая модернизация основных корпоративных систем, включая S/4HANA SAP, Microsoft Dynamics (CRM), Cvent и связанные с ними цифровые платформы, должна привести к измеримому росту показателей операционной эффективности. Как ожидается, эти инвестиции позволят сократить объем ручных процессов, устранить параллельные системы отслеживания, повысить целостность данных и стандартизировать сквозные рабочие процессы в области финансов, людских ресурсов, закупок и управления проектами. Со временем эта цифровая трансформация позволит оптимизировать административные структуры и улучшить контроль над затратами.</w:t>
      </w:r>
    </w:p>
    <w:p w14:paraId="28737B98" w14:textId="0094D565" w:rsidR="007C2BF7" w:rsidRPr="00917F29" w:rsidRDefault="007C2BF7" w:rsidP="00767C66">
      <w:pPr>
        <w:pStyle w:val="enumlev1"/>
        <w:jc w:val="both"/>
        <w:rPr>
          <w:rFonts w:asciiTheme="minorHAnsi" w:eastAsiaTheme="minorHAnsi" w:hAnsiTheme="minorHAnsi" w:cstheme="minorBidi"/>
          <w:szCs w:val="24"/>
          <w:lang w:val="ru-RU"/>
        </w:rPr>
      </w:pPr>
      <w:r w:rsidRPr="00917F29">
        <w:rPr>
          <w:lang w:val="ru-RU"/>
        </w:rPr>
        <w:t>•</w:t>
      </w:r>
      <w:r w:rsidRPr="00917F29">
        <w:rPr>
          <w:lang w:val="ru-RU"/>
        </w:rPr>
        <w:tab/>
        <w:t>Необходимо продолжать поддерживать дисциплину в отношении расходов на командировки, собрания и другие мероприятия. Для сохранения увязки расходов на командировки со стратегическими задачами потребуется более широкое применение форматов виртуальных и смешанных собраний и мероприятий МСЭ, расширение виртуального участия персонала МСЭ в глобальных собраниях и мероприятиях, более четкое определение приоритетных командировок и ужесточение контроля за дополнительными командировками. Модернизация систем управления мероприятиями и проведения конференций должна также способствовать более эффективному использованию ресурсов и усовершенствованию планирования собраний.</w:t>
      </w:r>
    </w:p>
    <w:p w14:paraId="715941E5" w14:textId="58C80A82" w:rsidR="007C2BF7" w:rsidRPr="00917F29" w:rsidRDefault="007C2BF7" w:rsidP="00767C66">
      <w:pPr>
        <w:pStyle w:val="enumlev1"/>
        <w:jc w:val="both"/>
        <w:rPr>
          <w:rFonts w:asciiTheme="minorHAnsi" w:eastAsiaTheme="minorHAnsi" w:hAnsiTheme="minorHAnsi" w:cstheme="minorHAnsi"/>
          <w:szCs w:val="24"/>
          <w:lang w:val="ru-RU"/>
        </w:rPr>
      </w:pPr>
      <w:r w:rsidRPr="00917F29">
        <w:rPr>
          <w:lang w:val="ru-RU"/>
        </w:rPr>
        <w:t>•</w:t>
      </w:r>
      <w:r w:rsidRPr="00917F29">
        <w:rPr>
          <w:lang w:val="ru-RU"/>
        </w:rPr>
        <w:tab/>
        <w:t>И наконец, будет продолжена работа по рационализации процесса закупок и достижению синергии между секторами, включая унификацию контрактов, уменьшение дублирования услуг и улучшение координации вспомогательных функций в рамках секретариата.</w:t>
      </w:r>
    </w:p>
    <w:p w14:paraId="0841D991" w14:textId="77777777" w:rsidR="007C2BF7" w:rsidRPr="00917F29" w:rsidRDefault="007C2BF7" w:rsidP="00767C66">
      <w:pPr>
        <w:jc w:val="both"/>
        <w:rPr>
          <w:rFonts w:ascii="Times New Roman" w:hAnsi="Times New Roman" w:cstheme="minorHAnsi"/>
          <w:szCs w:val="24"/>
          <w:u w:val="single"/>
          <w:lang w:val="ru-RU"/>
        </w:rPr>
      </w:pPr>
      <w:r w:rsidRPr="00917F29">
        <w:rPr>
          <w:lang w:val="ru-RU"/>
        </w:rPr>
        <w:t>Эти меры не являются временными корректировками, а должны стать частью более масштабной работы по приведению структуры затрат Союза в соответствие с более ограниченной траекторией доходов на 2028−2031 годы. Поддержание финансового баланса в этих условиях потребует твердой управленческой дисциплины и реализации всего комплекса мер по повышению эффективности, связанных с осуществляемыми в настоящее время инициативами по трансформации.</w:t>
      </w:r>
    </w:p>
    <w:p w14:paraId="61444E64" w14:textId="2E7C793F" w:rsidR="007C2BF7" w:rsidRPr="00917F29" w:rsidRDefault="007C2BF7" w:rsidP="00767C66">
      <w:pPr>
        <w:jc w:val="both"/>
        <w:rPr>
          <w:rFonts w:asciiTheme="minorHAnsi" w:eastAsiaTheme="minorEastAsia" w:hAnsiTheme="minorHAnsi" w:cstheme="minorBidi"/>
          <w:color w:val="000000"/>
          <w:szCs w:val="24"/>
          <w:lang w:val="ru-RU"/>
        </w:rPr>
      </w:pPr>
      <w:r w:rsidRPr="00917F29">
        <w:rPr>
          <w:lang w:val="ru-RU"/>
        </w:rPr>
        <w:t>4.3</w:t>
      </w:r>
      <w:r w:rsidRPr="00917F29">
        <w:rPr>
          <w:lang w:val="ru-RU"/>
        </w:rPr>
        <w:tab/>
        <w:t>Как указано в разделе 2.2 выше, настоящий проект Финансового плана на 2028</w:t>
      </w:r>
      <w:r w:rsidR="008237BF">
        <w:rPr>
          <w:lang w:val="ru-RU"/>
        </w:rPr>
        <w:t>−</w:t>
      </w:r>
      <w:r w:rsidRPr="00917F29">
        <w:rPr>
          <w:lang w:val="ru-RU"/>
        </w:rPr>
        <w:t>2031</w:t>
      </w:r>
      <w:r w:rsidR="008237BF">
        <w:rPr>
          <w:lang w:val="ru-RU"/>
        </w:rPr>
        <w:t> </w:t>
      </w:r>
      <w:r w:rsidRPr="00917F29">
        <w:rPr>
          <w:lang w:val="ru-RU"/>
        </w:rPr>
        <w:t xml:space="preserve">годы представлен в увязке с разработкой Стратегического плана на 2028–2031 годы. Совет поручил РГС-СФП разработку проектов </w:t>
      </w:r>
      <w:r w:rsidR="008237BF">
        <w:rPr>
          <w:lang w:val="ru-RU"/>
        </w:rPr>
        <w:t>с</w:t>
      </w:r>
      <w:r w:rsidRPr="00917F29">
        <w:rPr>
          <w:lang w:val="ru-RU"/>
        </w:rPr>
        <w:t xml:space="preserve">тратегического и </w:t>
      </w:r>
      <w:r w:rsidR="008237BF">
        <w:rPr>
          <w:lang w:val="ru-RU"/>
        </w:rPr>
        <w:t>ф</w:t>
      </w:r>
      <w:r w:rsidRPr="00917F29">
        <w:rPr>
          <w:lang w:val="ru-RU"/>
        </w:rPr>
        <w:t xml:space="preserve">инансового планов. Имеющиеся в наличии финансовые ресурсы на период 2028–2031 годов, как указано в настоящем документе, будут задействованы для достижения стратегических целей и </w:t>
      </w:r>
      <w:r w:rsidRPr="00917F29">
        <w:rPr>
          <w:lang w:val="ru-RU"/>
        </w:rPr>
        <w:lastRenderedPageBreak/>
        <w:t xml:space="preserve">приоритетов, определенных в Стратегическом плане на 2028–2031 годы. Этот </w:t>
      </w:r>
      <w:r w:rsidR="008237BF">
        <w:rPr>
          <w:lang w:val="ru-RU"/>
        </w:rPr>
        <w:t>с</w:t>
      </w:r>
      <w:r w:rsidRPr="00917F29">
        <w:rPr>
          <w:lang w:val="ru-RU"/>
        </w:rPr>
        <w:t xml:space="preserve">тратегический план все еще находится в стадии разработки, однако секретариат определил, насколько нынешние продукты и услуги, предоставляемые МСЭ, а также направления его работы соотносятся с новыми приоритетами и конечными результатами, предлагаемыми в проекте </w:t>
      </w:r>
      <w:r w:rsidR="008237BF">
        <w:rPr>
          <w:lang w:val="ru-RU"/>
        </w:rPr>
        <w:t>с</w:t>
      </w:r>
      <w:r w:rsidRPr="00917F29">
        <w:rPr>
          <w:lang w:val="ru-RU"/>
        </w:rPr>
        <w:t>тратегического плана (на основе рабочих планов на 2026 г</w:t>
      </w:r>
      <w:r w:rsidR="008237BF">
        <w:rPr>
          <w:lang w:val="ru-RU"/>
        </w:rPr>
        <w:t>.</w:t>
      </w:r>
      <w:r w:rsidRPr="00917F29">
        <w:rPr>
          <w:lang w:val="ru-RU"/>
        </w:rPr>
        <w:t xml:space="preserve">). Принимая во внимание имеющуюся согласованность, секретариат предложил распределить финансовые ресурсы между этими планируемыми приоритетами. Предлагаемые им ассигнования приводятся в Таблице 2, ниже. Затраты, необходимые для внедрения механизмов, определенных в проекте </w:t>
      </w:r>
      <w:r w:rsidR="008237BF">
        <w:rPr>
          <w:lang w:val="ru-RU"/>
        </w:rPr>
        <w:t>с</w:t>
      </w:r>
      <w:r w:rsidRPr="00917F29">
        <w:rPr>
          <w:lang w:val="ru-RU"/>
        </w:rPr>
        <w:t>тратегического плана, включаются в затраты на реализацию приоритетов.</w:t>
      </w:r>
    </w:p>
    <w:p w14:paraId="14802D72" w14:textId="77777777" w:rsidR="007C2BF7" w:rsidRPr="00917F29" w:rsidRDefault="007C2BF7" w:rsidP="00767C66">
      <w:pPr>
        <w:jc w:val="both"/>
        <w:rPr>
          <w:rFonts w:asciiTheme="minorHAnsi" w:eastAsiaTheme="minorEastAsia" w:hAnsiTheme="minorHAnsi" w:cstheme="minorBidi"/>
          <w:color w:val="000000"/>
          <w:szCs w:val="24"/>
          <w:lang w:val="ru-RU"/>
        </w:rPr>
      </w:pPr>
      <w:r w:rsidRPr="00917F29">
        <w:rPr>
          <w:lang w:val="ru-RU"/>
        </w:rPr>
        <w:t>4.4</w:t>
      </w:r>
      <w:r w:rsidRPr="00917F29">
        <w:rPr>
          <w:lang w:val="ru-RU"/>
        </w:rPr>
        <w:tab/>
        <w:t>Существует понимание, что, хотя секретариат уже предложил ассигнования, приоритеты в нынешнем проекте могут быть изменены Членами. Кроме того, Члены по своему усмотрению могут скорректировать степень важности, которая придается конкретным приоритетам, изменив долю ресурсов, выделяемых МСЭ на каждый приоритет. Таким образом, ассигнования, предложенные в проекте Финансового плана на 2028−2031 годы, могут быть скорректированы по усмотрению Членов в ходе предстоящего собрания РГС-СФП или на Полномочной конференции 2026 года, до завершения работы над документом и его утверждения.</w:t>
      </w:r>
    </w:p>
    <w:p w14:paraId="60A0EC61" w14:textId="77777777" w:rsidR="007C2BF7" w:rsidRPr="00917F29" w:rsidRDefault="007C2BF7" w:rsidP="007C2BF7">
      <w:pPr>
        <w:pStyle w:val="TableNo"/>
        <w:rPr>
          <w:lang w:val="ru-RU"/>
        </w:rPr>
      </w:pPr>
      <w:r w:rsidRPr="00917F29">
        <w:rPr>
          <w:lang w:val="ru-RU"/>
        </w:rPr>
        <w:t>Таблица 2</w:t>
      </w:r>
    </w:p>
    <w:p w14:paraId="145C1D19" w14:textId="54E49DE0" w:rsidR="007C2BF7" w:rsidRPr="00917F29" w:rsidRDefault="007C2BF7" w:rsidP="007C2BF7">
      <w:pPr>
        <w:pStyle w:val="Tabletitle"/>
        <w:rPr>
          <w:lang w:val="ru-RU"/>
        </w:rPr>
      </w:pPr>
      <w:r w:rsidRPr="00917F29">
        <w:rPr>
          <w:lang w:val="ru-RU"/>
        </w:rPr>
        <w:t>Краткий обзор приоритетов по двухгодичным периодам</w:t>
      </w:r>
    </w:p>
    <w:p w14:paraId="1BCCA1B7" w14:textId="34A2386D" w:rsidR="00917F29" w:rsidRPr="00917F29" w:rsidRDefault="00917F29" w:rsidP="007C2BF7">
      <w:pPr>
        <w:pStyle w:val="Tabletext"/>
        <w:rPr>
          <w:rFonts w:eastAsiaTheme="minorEastAsia"/>
          <w:lang w:val="ru-RU"/>
        </w:rPr>
      </w:pPr>
      <w:r w:rsidRPr="00917F29">
        <w:rPr>
          <w:rFonts w:eastAsiaTheme="minorEastAsia"/>
          <w:noProof/>
          <w:lang w:val="ru-RU"/>
        </w:rPr>
        <w:drawing>
          <wp:inline distT="0" distB="0" distL="0" distR="0" wp14:anchorId="0488E846" wp14:editId="556D8C70">
            <wp:extent cx="5914800" cy="1623600"/>
            <wp:effectExtent l="0" t="0" r="0" b="0"/>
            <wp:docPr id="2212208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4800" cy="1623600"/>
                    </a:xfrm>
                    <a:prstGeom prst="rect">
                      <a:avLst/>
                    </a:prstGeom>
                    <a:noFill/>
                    <a:ln>
                      <a:noFill/>
                    </a:ln>
                  </pic:spPr>
                </pic:pic>
              </a:graphicData>
            </a:graphic>
          </wp:inline>
        </w:drawing>
      </w:r>
    </w:p>
    <w:p w14:paraId="02B203E4" w14:textId="77777777" w:rsidR="007C2BF7" w:rsidRPr="00917F29" w:rsidRDefault="007C2BF7" w:rsidP="007C2BF7">
      <w:pPr>
        <w:pStyle w:val="Heading1"/>
        <w:rPr>
          <w:rFonts w:asciiTheme="minorHAnsi" w:eastAsiaTheme="minorHAnsi" w:hAnsiTheme="minorHAnsi" w:cstheme="minorBidi"/>
          <w:szCs w:val="24"/>
          <w:lang w:val="ru-RU"/>
        </w:rPr>
      </w:pPr>
      <w:r w:rsidRPr="00917F29">
        <w:rPr>
          <w:lang w:val="ru-RU"/>
        </w:rPr>
        <w:t>5</w:t>
      </w:r>
      <w:r w:rsidRPr="00917F29">
        <w:rPr>
          <w:lang w:val="ru-RU"/>
        </w:rPr>
        <w:tab/>
        <w:t>Финансовые ограничения</w:t>
      </w:r>
    </w:p>
    <w:p w14:paraId="024BF815" w14:textId="27FC8174" w:rsidR="007C2BF7" w:rsidRPr="00917F29" w:rsidRDefault="007C2BF7" w:rsidP="00767C66">
      <w:pPr>
        <w:jc w:val="both"/>
        <w:rPr>
          <w:rFonts w:asciiTheme="minorHAnsi" w:hAnsiTheme="minorHAnsi" w:cstheme="minorBidi"/>
          <w:szCs w:val="24"/>
          <w:lang w:val="ru-RU"/>
        </w:rPr>
      </w:pPr>
      <w:r w:rsidRPr="00917F29">
        <w:rPr>
          <w:lang w:val="ru-RU"/>
        </w:rPr>
        <w:t>5.1</w:t>
      </w:r>
      <w:r w:rsidRPr="00917F29">
        <w:rPr>
          <w:lang w:val="ru-RU"/>
        </w:rPr>
        <w:tab/>
        <w:t xml:space="preserve">Учитывая отсутствие роста доходов, прогнозируемое на период 2028−2031 годов, и ожидаемое увеличение расходов Союза, в рамках </w:t>
      </w:r>
      <w:r w:rsidR="00643320">
        <w:rPr>
          <w:lang w:val="ru-RU"/>
        </w:rPr>
        <w:t>ф</w:t>
      </w:r>
      <w:r w:rsidRPr="00917F29">
        <w:rPr>
          <w:lang w:val="ru-RU"/>
        </w:rPr>
        <w:t>инансового плана не могут быть профинансированы некоторые инициативы, которые могли бы способствовать повышению эффективности деятельности МСЭ и, возможно, повлиять на достижение стратегических целей. К таким инициативам относятся следующие.</w:t>
      </w:r>
    </w:p>
    <w:p w14:paraId="3778DE3A" w14:textId="42AC4818" w:rsidR="007C2BF7" w:rsidRPr="00226B21" w:rsidRDefault="007C2BF7" w:rsidP="00767C66">
      <w:pPr>
        <w:pStyle w:val="enumlev1"/>
        <w:jc w:val="both"/>
        <w:rPr>
          <w:rFonts w:asciiTheme="minorHAnsi" w:eastAsiaTheme="minorHAnsi" w:hAnsiTheme="minorHAnsi" w:cstheme="minorBidi"/>
          <w:szCs w:val="24"/>
          <w:lang w:val="ru-RU"/>
        </w:rPr>
      </w:pPr>
      <w:r w:rsidRPr="00917F29">
        <w:rPr>
          <w:lang w:val="ru-RU"/>
        </w:rPr>
        <w:t>•</w:t>
      </w:r>
      <w:r w:rsidRPr="00917F29">
        <w:rPr>
          <w:lang w:val="ru-RU"/>
        </w:rPr>
        <w:tab/>
      </w:r>
      <w:r w:rsidRPr="00917F29">
        <w:rPr>
          <w:b/>
          <w:bCs/>
          <w:lang w:val="ru-RU"/>
        </w:rPr>
        <w:t>Обеспечение финансирования в целях покрытия финансовых последствий будущих всемирных конференций</w:t>
      </w:r>
      <w:r w:rsidRPr="00917F29">
        <w:rPr>
          <w:lang w:val="ru-RU"/>
        </w:rPr>
        <w:t>. На трех всемирных конференциях в течение четырехгодичного периода, который предшествовал настоящей сессии Совета, были приняты новые резолюции или поправки к резолюциям, реализация которых, по оценке этих конференций, потребует дополнительных финансовых средств. Совокупно это более 15 млн. швейцарских франков, всецело вне рамок бюджета, установленного в соответствующих финансовых планах (на 2020−2023 и 2024−2027 гг.).</w:t>
      </w:r>
    </w:p>
    <w:p w14:paraId="32F22212" w14:textId="1E6F1371" w:rsidR="007C2BF7" w:rsidRPr="00917F29" w:rsidRDefault="007C2BF7" w:rsidP="00767C66">
      <w:pPr>
        <w:pStyle w:val="enumlev1"/>
        <w:jc w:val="both"/>
        <w:rPr>
          <w:rFonts w:asciiTheme="minorHAnsi" w:eastAsiaTheme="minorHAnsi" w:hAnsiTheme="minorHAnsi" w:cstheme="minorBidi"/>
          <w:szCs w:val="24"/>
          <w:lang w:val="ru-RU"/>
        </w:rPr>
      </w:pPr>
      <w:r w:rsidRPr="00917F29">
        <w:rPr>
          <w:lang w:val="ru-RU"/>
        </w:rPr>
        <w:t>•</w:t>
      </w:r>
      <w:r w:rsidRPr="00917F29">
        <w:rPr>
          <w:lang w:val="ru-RU"/>
        </w:rPr>
        <w:tab/>
      </w:r>
      <w:r w:rsidRPr="00917F29">
        <w:rPr>
          <w:b/>
          <w:bCs/>
          <w:lang w:val="ru-RU"/>
        </w:rPr>
        <w:t>Стабильное финансирование для поддержки инициатив в области ИИ</w:t>
      </w:r>
      <w:r w:rsidRPr="00917F29">
        <w:rPr>
          <w:lang w:val="ru-RU"/>
        </w:rPr>
        <w:t xml:space="preserve">. На основе Фонда ИИ, созданного в 2025 году во исполнение решения Совета о выделении соответствующих ресурсов, было бы целесообразно предусмотреть в Финансовом плане на 2028−2031 годы ассигнования на цели обеспечения устойчивости платформы </w:t>
      </w:r>
      <w:r w:rsidRPr="00917F29">
        <w:rPr>
          <w:lang w:val="ru-RU"/>
        </w:rPr>
        <w:lastRenderedPageBreak/>
        <w:t>МСЭ "ИИ во благо" и выполнения других связанных с ИИ задач, содействия реализации программ, партнерских связей и технического диалога по достижению этичного и инклюзивного характера ИИ. Эта потребность удовлетворяется главным образом за счет добровольного финансирования, дополняемого специальными ассигнованиями из сэкономленных средств, однако наличие в финансовом плане предусмотренных ассигнований способствовало бы повышению эффективности.</w:t>
      </w:r>
    </w:p>
    <w:p w14:paraId="0E11D7EC" w14:textId="7573E0E1" w:rsidR="007C2BF7" w:rsidRPr="00917F29" w:rsidRDefault="007C2BF7" w:rsidP="00767C66">
      <w:pPr>
        <w:pStyle w:val="enumlev1"/>
        <w:jc w:val="both"/>
        <w:rPr>
          <w:rFonts w:asciiTheme="minorHAnsi" w:eastAsiaTheme="minorHAnsi" w:hAnsiTheme="minorHAnsi" w:cstheme="minorBidi"/>
          <w:szCs w:val="24"/>
          <w:lang w:val="ru-RU"/>
        </w:rPr>
      </w:pPr>
      <w:r w:rsidRPr="00917F29">
        <w:rPr>
          <w:lang w:val="ru-RU"/>
        </w:rPr>
        <w:t>•</w:t>
      </w:r>
      <w:r w:rsidRPr="00917F29">
        <w:rPr>
          <w:lang w:val="ru-RU"/>
        </w:rPr>
        <w:tab/>
      </w:r>
      <w:r w:rsidRPr="00917F29">
        <w:rPr>
          <w:b/>
          <w:bCs/>
          <w:lang w:val="ru-RU"/>
        </w:rPr>
        <w:t>Инвестиции в инфраструктуру и услуги ИКТ</w:t>
      </w:r>
      <w:r w:rsidRPr="00917F29">
        <w:rPr>
          <w:lang w:val="ru-RU"/>
        </w:rPr>
        <w:t>. Не представилось возможным предусмотреть в документе ассигнования на цели обеспечения всеобъемлющей слаженной реализации текущей программы цифровой трансформации МСЭ, в том числе полного финансирования программного обеспечения для управления использованием спектра, современных корпоративных цифровых систем, фондов ИИ и данных, без чего невозможна системная модернизация сектора. Эти инициативы представляют собой не просто системные замещения, а структурированную возможность решать эти задачи посредством реорганизации бизнес-процессов, модернизации архитектуры и укрепления системы управления.</w:t>
      </w:r>
    </w:p>
    <w:p w14:paraId="5D9521DE" w14:textId="4B82C2CB" w:rsidR="007C2BF7" w:rsidRPr="00917F29" w:rsidRDefault="007C2BF7" w:rsidP="00767C66">
      <w:pPr>
        <w:pStyle w:val="enumlev1"/>
        <w:jc w:val="both"/>
        <w:rPr>
          <w:rFonts w:asciiTheme="minorHAnsi" w:eastAsiaTheme="minorHAnsi" w:hAnsiTheme="minorHAnsi" w:cstheme="minorBidi"/>
          <w:szCs w:val="24"/>
          <w:lang w:val="ru-RU"/>
        </w:rPr>
      </w:pPr>
      <w:r w:rsidRPr="00917F29">
        <w:rPr>
          <w:lang w:val="ru-RU"/>
        </w:rPr>
        <w:t>•</w:t>
      </w:r>
      <w:r w:rsidRPr="00917F29">
        <w:rPr>
          <w:lang w:val="ru-RU"/>
        </w:rPr>
        <w:tab/>
      </w:r>
      <w:r w:rsidRPr="00917F29">
        <w:rPr>
          <w:b/>
          <w:bCs/>
          <w:lang w:val="ru-RU"/>
        </w:rPr>
        <w:t>Обеспечение непрерывности деятельности</w:t>
      </w:r>
      <w:r w:rsidRPr="00917F29">
        <w:rPr>
          <w:lang w:val="ru-RU"/>
        </w:rPr>
        <w:t>. В течение четырехгодичного периода секретариату необходимо будет обеспечивать непрерывность текущей деятельности и проведение конференций в помещениях своей штаб-квартиры. Это предполагает подготовительную работу по обеспечению перемещения персонала в два оставшихся служебных здания. Кроме того, несмотря на все нынешние усилия по минимизации неудобств, причиняемых строительством процессу проведения конференции, потребуется реализация стратегических мер по смягчению последствий. Совместно с соответствующими внутренними заинтересованными сторонами был разработан комплексный план обеспечения непрерывности деятельности, предусматривающий удовлетворение потребностей с точки зрения проведения конференций и рабочих мест, а также основных вспомогательных услуг, начиная с безопасности и ИТ и заканчивая здравоохранением, благополучием и функционированием зданий. Исходя из плана, потребуется дополнительное финансирование для дальнейшей минимизации воздействия процесса строительства нового здания штаб-квартиры на повседневную деятельность МСЭ.</w:t>
      </w:r>
    </w:p>
    <w:p w14:paraId="0416BA3D" w14:textId="77777777" w:rsidR="00796BD3" w:rsidRPr="00917F29" w:rsidRDefault="00C462C5" w:rsidP="007C2BF7">
      <w:pPr>
        <w:spacing w:before="480"/>
        <w:jc w:val="center"/>
        <w:rPr>
          <w:lang w:val="ru-RU"/>
        </w:rPr>
      </w:pPr>
      <w:r w:rsidRPr="00917F29">
        <w:rPr>
          <w:lang w:val="ru-RU"/>
        </w:rPr>
        <w:t>______________</w:t>
      </w:r>
    </w:p>
    <w:sectPr w:rsidR="00796BD3" w:rsidRPr="00917F29" w:rsidSect="00796BD3">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E799" w14:textId="77777777" w:rsidR="007C2BF7" w:rsidRDefault="007C2BF7">
      <w:r>
        <w:separator/>
      </w:r>
    </w:p>
  </w:endnote>
  <w:endnote w:type="continuationSeparator" w:id="0">
    <w:p w14:paraId="1906446D" w14:textId="77777777" w:rsidR="007C2BF7" w:rsidRDefault="007C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77C43EDE" w14:textId="77777777" w:rsidTr="00E31DCE">
      <w:trPr>
        <w:jc w:val="center"/>
      </w:trPr>
      <w:tc>
        <w:tcPr>
          <w:tcW w:w="1803" w:type="dxa"/>
          <w:vAlign w:val="center"/>
        </w:tcPr>
        <w:p w14:paraId="56D5E282" w14:textId="02C13253" w:rsidR="00672F8A" w:rsidRPr="007C2BF7" w:rsidRDefault="00345D2A" w:rsidP="00672F8A">
          <w:pPr>
            <w:pStyle w:val="Header"/>
            <w:jc w:val="left"/>
            <w:rPr>
              <w:noProof/>
              <w:lang w:val="ru-RU"/>
            </w:rPr>
          </w:pPr>
          <w:r>
            <w:rPr>
              <w:noProof/>
            </w:rPr>
            <w:t>gDoc #</w:t>
          </w:r>
          <w:r w:rsidR="007C2BF7">
            <w:rPr>
              <w:noProof/>
              <w:lang w:val="ru-RU"/>
            </w:rPr>
            <w:t xml:space="preserve"> 2600567</w:t>
          </w:r>
        </w:p>
      </w:tc>
      <w:tc>
        <w:tcPr>
          <w:tcW w:w="8261" w:type="dxa"/>
        </w:tcPr>
        <w:p w14:paraId="665F797B" w14:textId="6A77A592"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7C2BF7">
            <w:rPr>
              <w:bCs/>
              <w:lang w:val="ru-RU"/>
            </w:rPr>
            <w:t>32</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3EACCD06"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3C1FBC04" w14:textId="77777777" w:rsidTr="00E31DCE">
      <w:trPr>
        <w:jc w:val="center"/>
      </w:trPr>
      <w:tc>
        <w:tcPr>
          <w:tcW w:w="1803" w:type="dxa"/>
          <w:vAlign w:val="center"/>
        </w:tcPr>
        <w:p w14:paraId="497C0660" w14:textId="62339893" w:rsidR="00672F8A" w:rsidRPr="007C2BF7" w:rsidRDefault="00D631AA" w:rsidP="00672F8A">
          <w:pPr>
            <w:pStyle w:val="Header"/>
            <w:jc w:val="left"/>
            <w:rPr>
              <w:noProof/>
              <w:lang w:val="ru-RU"/>
            </w:rPr>
          </w:pPr>
          <w:hyperlink r:id="rId1" w:anchor="/ru" w:history="1">
            <w:proofErr w:type="spellStart"/>
            <w:r w:rsidRPr="00BE00DD">
              <w:rPr>
                <w:rStyle w:val="Hyperlink"/>
                <w:szCs w:val="14"/>
              </w:rPr>
              <w:t>council.itu.int</w:t>
            </w:r>
            <w:proofErr w:type="spellEnd"/>
            <w:r w:rsidRPr="00BE00DD">
              <w:rPr>
                <w:rStyle w:val="Hyperlink"/>
                <w:szCs w:val="14"/>
              </w:rPr>
              <w:t>/202</w:t>
            </w:r>
            <w:r w:rsidR="00BE00DD" w:rsidRPr="00BE00DD">
              <w:rPr>
                <w:rStyle w:val="Hyperlink"/>
                <w:szCs w:val="14"/>
              </w:rPr>
              <w:t>6</w:t>
            </w:r>
          </w:hyperlink>
        </w:p>
      </w:tc>
      <w:tc>
        <w:tcPr>
          <w:tcW w:w="8261" w:type="dxa"/>
        </w:tcPr>
        <w:p w14:paraId="360D6D1D" w14:textId="4352FFFE"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7C2BF7">
            <w:rPr>
              <w:bCs/>
              <w:lang w:val="ru-RU"/>
            </w:rPr>
            <w:t>32</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287CAE0F"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CD3D9" w14:textId="77777777" w:rsidR="007C2BF7" w:rsidRDefault="007C2BF7">
      <w:r>
        <w:t>____________________</w:t>
      </w:r>
    </w:p>
  </w:footnote>
  <w:footnote w:type="continuationSeparator" w:id="0">
    <w:p w14:paraId="21CB3CBF" w14:textId="77777777" w:rsidR="007C2BF7" w:rsidRDefault="007C2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C2DE" w14:textId="77777777" w:rsidR="0014229E" w:rsidRPr="007E5FC4" w:rsidRDefault="00244C39" w:rsidP="00A74304">
    <w:pPr>
      <w:pStyle w:val="Header"/>
      <w:spacing w:before="60"/>
      <w:ind w:left="113"/>
      <w:jc w:val="left"/>
    </w:pPr>
    <w:r>
      <w:rPr>
        <w:noProof/>
      </w:rPr>
      <w:drawing>
        <wp:inline distT="0" distB="0" distL="0" distR="0" wp14:anchorId="733FC1F1" wp14:editId="3404D13B">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9C750A"/>
    <w:multiLevelType w:val="hybridMultilevel"/>
    <w:tmpl w:val="9448FB5A"/>
    <w:lvl w:ilvl="0" w:tplc="20000001">
      <w:start w:val="1"/>
      <w:numFmt w:val="bullet"/>
      <w:lvlText w:val=""/>
      <w:lvlJc w:val="left"/>
      <w:pPr>
        <w:ind w:left="1061" w:hanging="360"/>
      </w:pPr>
      <w:rPr>
        <w:rFonts w:ascii="Symbol" w:hAnsi="Symbol" w:hint="default"/>
      </w:rPr>
    </w:lvl>
    <w:lvl w:ilvl="1" w:tplc="20000003" w:tentative="1">
      <w:start w:val="1"/>
      <w:numFmt w:val="bullet"/>
      <w:lvlText w:val="o"/>
      <w:lvlJc w:val="left"/>
      <w:pPr>
        <w:ind w:left="1781" w:hanging="360"/>
      </w:pPr>
      <w:rPr>
        <w:rFonts w:ascii="Courier New" w:hAnsi="Courier New" w:cs="Courier New" w:hint="default"/>
      </w:rPr>
    </w:lvl>
    <w:lvl w:ilvl="2" w:tplc="20000005" w:tentative="1">
      <w:start w:val="1"/>
      <w:numFmt w:val="bullet"/>
      <w:lvlText w:val=""/>
      <w:lvlJc w:val="left"/>
      <w:pPr>
        <w:ind w:left="2501" w:hanging="360"/>
      </w:pPr>
      <w:rPr>
        <w:rFonts w:ascii="Wingdings" w:hAnsi="Wingdings" w:hint="default"/>
      </w:rPr>
    </w:lvl>
    <w:lvl w:ilvl="3" w:tplc="20000001" w:tentative="1">
      <w:start w:val="1"/>
      <w:numFmt w:val="bullet"/>
      <w:lvlText w:val=""/>
      <w:lvlJc w:val="left"/>
      <w:pPr>
        <w:ind w:left="3221" w:hanging="360"/>
      </w:pPr>
      <w:rPr>
        <w:rFonts w:ascii="Symbol" w:hAnsi="Symbol" w:hint="default"/>
      </w:rPr>
    </w:lvl>
    <w:lvl w:ilvl="4" w:tplc="20000003" w:tentative="1">
      <w:start w:val="1"/>
      <w:numFmt w:val="bullet"/>
      <w:lvlText w:val="o"/>
      <w:lvlJc w:val="left"/>
      <w:pPr>
        <w:ind w:left="3941" w:hanging="360"/>
      </w:pPr>
      <w:rPr>
        <w:rFonts w:ascii="Courier New" w:hAnsi="Courier New" w:cs="Courier New" w:hint="default"/>
      </w:rPr>
    </w:lvl>
    <w:lvl w:ilvl="5" w:tplc="20000005" w:tentative="1">
      <w:start w:val="1"/>
      <w:numFmt w:val="bullet"/>
      <w:lvlText w:val=""/>
      <w:lvlJc w:val="left"/>
      <w:pPr>
        <w:ind w:left="4661" w:hanging="360"/>
      </w:pPr>
      <w:rPr>
        <w:rFonts w:ascii="Wingdings" w:hAnsi="Wingdings" w:hint="default"/>
      </w:rPr>
    </w:lvl>
    <w:lvl w:ilvl="6" w:tplc="20000001" w:tentative="1">
      <w:start w:val="1"/>
      <w:numFmt w:val="bullet"/>
      <w:lvlText w:val=""/>
      <w:lvlJc w:val="left"/>
      <w:pPr>
        <w:ind w:left="5381" w:hanging="360"/>
      </w:pPr>
      <w:rPr>
        <w:rFonts w:ascii="Symbol" w:hAnsi="Symbol" w:hint="default"/>
      </w:rPr>
    </w:lvl>
    <w:lvl w:ilvl="7" w:tplc="20000003" w:tentative="1">
      <w:start w:val="1"/>
      <w:numFmt w:val="bullet"/>
      <w:lvlText w:val="o"/>
      <w:lvlJc w:val="left"/>
      <w:pPr>
        <w:ind w:left="6101" w:hanging="360"/>
      </w:pPr>
      <w:rPr>
        <w:rFonts w:ascii="Courier New" w:hAnsi="Courier New" w:cs="Courier New" w:hint="default"/>
      </w:rPr>
    </w:lvl>
    <w:lvl w:ilvl="8" w:tplc="20000005" w:tentative="1">
      <w:start w:val="1"/>
      <w:numFmt w:val="bullet"/>
      <w:lvlText w:val=""/>
      <w:lvlJc w:val="left"/>
      <w:pPr>
        <w:ind w:left="6821" w:hanging="360"/>
      </w:pPr>
      <w:rPr>
        <w:rFonts w:ascii="Wingdings" w:hAnsi="Wingdings" w:hint="default"/>
      </w:rPr>
    </w:lvl>
  </w:abstractNum>
  <w:abstractNum w:abstractNumId="2" w15:restartNumberingAfterBreak="0">
    <w:nsid w:val="3D855083"/>
    <w:multiLevelType w:val="multilevel"/>
    <w:tmpl w:val="D9B8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7742C"/>
    <w:multiLevelType w:val="hybridMultilevel"/>
    <w:tmpl w:val="CBA86B16"/>
    <w:lvl w:ilvl="0" w:tplc="2000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4693786">
    <w:abstractNumId w:val="0"/>
  </w:num>
  <w:num w:numId="2" w16cid:durableId="2084375314">
    <w:abstractNumId w:val="2"/>
  </w:num>
  <w:num w:numId="3" w16cid:durableId="1511217962">
    <w:abstractNumId w:val="1"/>
  </w:num>
  <w:num w:numId="4" w16cid:durableId="535776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F7"/>
    <w:rsid w:val="00005BE0"/>
    <w:rsid w:val="0002183E"/>
    <w:rsid w:val="000424CA"/>
    <w:rsid w:val="000569B4"/>
    <w:rsid w:val="0006007D"/>
    <w:rsid w:val="00080E82"/>
    <w:rsid w:val="000934DD"/>
    <w:rsid w:val="000A10CA"/>
    <w:rsid w:val="000B2DE7"/>
    <w:rsid w:val="000B4E93"/>
    <w:rsid w:val="000E568E"/>
    <w:rsid w:val="0014229E"/>
    <w:rsid w:val="0014734F"/>
    <w:rsid w:val="00156890"/>
    <w:rsid w:val="0015710D"/>
    <w:rsid w:val="00163A32"/>
    <w:rsid w:val="00165D06"/>
    <w:rsid w:val="00192B41"/>
    <w:rsid w:val="001B7B09"/>
    <w:rsid w:val="001E6719"/>
    <w:rsid w:val="001E7F50"/>
    <w:rsid w:val="00225368"/>
    <w:rsid w:val="00226B21"/>
    <w:rsid w:val="00227FF0"/>
    <w:rsid w:val="00244C39"/>
    <w:rsid w:val="00276F05"/>
    <w:rsid w:val="00277DEA"/>
    <w:rsid w:val="00291EB6"/>
    <w:rsid w:val="002C3F32"/>
    <w:rsid w:val="002D2F57"/>
    <w:rsid w:val="002D48C5"/>
    <w:rsid w:val="00317064"/>
    <w:rsid w:val="0033025A"/>
    <w:rsid w:val="00345D2A"/>
    <w:rsid w:val="00381936"/>
    <w:rsid w:val="003935CB"/>
    <w:rsid w:val="003F099E"/>
    <w:rsid w:val="003F235E"/>
    <w:rsid w:val="00401FD7"/>
    <w:rsid w:val="004023E0"/>
    <w:rsid w:val="00403DD8"/>
    <w:rsid w:val="004070A0"/>
    <w:rsid w:val="00425CA7"/>
    <w:rsid w:val="00442515"/>
    <w:rsid w:val="0045686C"/>
    <w:rsid w:val="00465C35"/>
    <w:rsid w:val="004918C4"/>
    <w:rsid w:val="00497703"/>
    <w:rsid w:val="004A0374"/>
    <w:rsid w:val="004A45B5"/>
    <w:rsid w:val="004D0129"/>
    <w:rsid w:val="00515795"/>
    <w:rsid w:val="005A64D5"/>
    <w:rsid w:val="005B3DEC"/>
    <w:rsid w:val="00601994"/>
    <w:rsid w:val="00643320"/>
    <w:rsid w:val="00660449"/>
    <w:rsid w:val="00672F8A"/>
    <w:rsid w:val="006E2D42"/>
    <w:rsid w:val="00703676"/>
    <w:rsid w:val="00707304"/>
    <w:rsid w:val="00732269"/>
    <w:rsid w:val="00762555"/>
    <w:rsid w:val="00767C66"/>
    <w:rsid w:val="0077110E"/>
    <w:rsid w:val="00784980"/>
    <w:rsid w:val="00785ABD"/>
    <w:rsid w:val="00796BD3"/>
    <w:rsid w:val="007A2DD4"/>
    <w:rsid w:val="007C2BF7"/>
    <w:rsid w:val="007D38B5"/>
    <w:rsid w:val="007E5FC4"/>
    <w:rsid w:val="007E7EA0"/>
    <w:rsid w:val="007F45E0"/>
    <w:rsid w:val="00807255"/>
    <w:rsid w:val="0081023E"/>
    <w:rsid w:val="008173AA"/>
    <w:rsid w:val="008237BF"/>
    <w:rsid w:val="00840A14"/>
    <w:rsid w:val="0084546D"/>
    <w:rsid w:val="008B62B4"/>
    <w:rsid w:val="008D2D7B"/>
    <w:rsid w:val="008E0737"/>
    <w:rsid w:val="008F7958"/>
    <w:rsid w:val="008F7C2C"/>
    <w:rsid w:val="00917F29"/>
    <w:rsid w:val="00940E96"/>
    <w:rsid w:val="00950A82"/>
    <w:rsid w:val="009A76A8"/>
    <w:rsid w:val="009B0BAE"/>
    <w:rsid w:val="009C1C89"/>
    <w:rsid w:val="009F3448"/>
    <w:rsid w:val="00A01CF9"/>
    <w:rsid w:val="00A01F4F"/>
    <w:rsid w:val="00A109AF"/>
    <w:rsid w:val="00A20B63"/>
    <w:rsid w:val="00A27750"/>
    <w:rsid w:val="00A3481C"/>
    <w:rsid w:val="00A405F9"/>
    <w:rsid w:val="00A71773"/>
    <w:rsid w:val="00A74304"/>
    <w:rsid w:val="00AE2C85"/>
    <w:rsid w:val="00AE4324"/>
    <w:rsid w:val="00B0107F"/>
    <w:rsid w:val="00B12A37"/>
    <w:rsid w:val="00B41837"/>
    <w:rsid w:val="00B63EF2"/>
    <w:rsid w:val="00BA7D89"/>
    <w:rsid w:val="00BC0D39"/>
    <w:rsid w:val="00BC7BC0"/>
    <w:rsid w:val="00BD57B7"/>
    <w:rsid w:val="00BE00DD"/>
    <w:rsid w:val="00BE63E2"/>
    <w:rsid w:val="00C462C5"/>
    <w:rsid w:val="00CD2009"/>
    <w:rsid w:val="00CF629C"/>
    <w:rsid w:val="00D17718"/>
    <w:rsid w:val="00D631AA"/>
    <w:rsid w:val="00D92EEA"/>
    <w:rsid w:val="00DA5D4E"/>
    <w:rsid w:val="00DA770A"/>
    <w:rsid w:val="00E05752"/>
    <w:rsid w:val="00E176BA"/>
    <w:rsid w:val="00E423EC"/>
    <w:rsid w:val="00E55121"/>
    <w:rsid w:val="00E9332E"/>
    <w:rsid w:val="00EB4FCB"/>
    <w:rsid w:val="00EC6BC5"/>
    <w:rsid w:val="00F348D0"/>
    <w:rsid w:val="00F35898"/>
    <w:rsid w:val="00F5225B"/>
    <w:rsid w:val="00F741A6"/>
    <w:rsid w:val="00F75965"/>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22910"/>
  <w15:docId w15:val="{8F8BB123-8B57-4907-A728-A87B789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BF7"/>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DEC-005-R.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tu.int/en/council/Documents/basic-texts-2023/DEC-005-R.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itu.int/en/council/Documents/basic-texts/Constitution-R.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ipina\AppData\Roaming\Microsoft\Templates\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PR_Council26.dotx</Template>
  <TotalTime>1</TotalTime>
  <Pages>7</Pages>
  <Words>2176</Words>
  <Characters>15806</Characters>
  <Application>Microsoft Office Word</Application>
  <DocSecurity>0</DocSecurity>
  <Lines>263</Lines>
  <Paragraphs>91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17891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financial plan for 2028-2031</dc:title>
  <dc:subject>ITU Council 2026</dc:subject>
  <cp:keywords>C26; C2026; Council 2026; PP26</cp:keywords>
  <dc:description/>
  <cp:lastPrinted>2006-03-28T16:12:00Z</cp:lastPrinted>
  <dcterms:created xsi:type="dcterms:W3CDTF">2026-04-23T07:17:00Z</dcterms:created>
  <dcterms:modified xsi:type="dcterms:W3CDTF">2026-04-23T07:17:00Z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