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D72F49" w:rsidRPr="001F1628" w14:paraId="70539ADE" w14:textId="77777777" w:rsidTr="00796BDB">
        <w:trPr>
          <w:cantSplit/>
          <w:trHeight w:val="23"/>
        </w:trPr>
        <w:tc>
          <w:tcPr>
            <w:tcW w:w="3969" w:type="dxa"/>
            <w:vMerge w:val="restart"/>
            <w:tcMar>
              <w:left w:w="0" w:type="dxa"/>
            </w:tcMar>
          </w:tcPr>
          <w:p w14:paraId="1330B43A" w14:textId="797A932E" w:rsidR="00D72F49" w:rsidRPr="001F1628" w:rsidRDefault="00D72F49" w:rsidP="00796BDB">
            <w:pPr>
              <w:tabs>
                <w:tab w:val="left" w:pos="851"/>
              </w:tabs>
              <w:spacing w:before="0" w:line="240" w:lineRule="atLeast"/>
              <w:rPr>
                <w:b/>
              </w:rPr>
            </w:pPr>
            <w:r w:rsidRPr="001F1628">
              <w:rPr>
                <w:b/>
              </w:rPr>
              <w:t>Point de l'ordre du jour:</w:t>
            </w:r>
            <w:r w:rsidR="008D0C6D" w:rsidRPr="001F1628">
              <w:rPr>
                <w:b/>
              </w:rPr>
              <w:t xml:space="preserve"> </w:t>
            </w:r>
            <w:r w:rsidR="008D0C6D" w:rsidRPr="001F1628">
              <w:rPr>
                <w:b/>
                <w:bCs/>
                <w:color w:val="000000"/>
              </w:rPr>
              <w:t xml:space="preserve">PL </w:t>
            </w:r>
            <w:r w:rsidR="008948EB">
              <w:rPr>
                <w:b/>
                <w:bCs/>
                <w:color w:val="000000"/>
              </w:rPr>
              <w:t>2</w:t>
            </w:r>
          </w:p>
        </w:tc>
        <w:tc>
          <w:tcPr>
            <w:tcW w:w="5245" w:type="dxa"/>
          </w:tcPr>
          <w:p w14:paraId="4E7EC4E0" w14:textId="6F430191" w:rsidR="00D72F49" w:rsidRPr="001F1628" w:rsidRDefault="00D72F49" w:rsidP="00796BDB">
            <w:pPr>
              <w:tabs>
                <w:tab w:val="left" w:pos="851"/>
              </w:tabs>
              <w:spacing w:before="0" w:line="240" w:lineRule="atLeast"/>
              <w:jc w:val="right"/>
              <w:rPr>
                <w:b/>
              </w:rPr>
            </w:pPr>
            <w:r w:rsidRPr="001F1628">
              <w:rPr>
                <w:b/>
              </w:rPr>
              <w:t>Document C2</w:t>
            </w:r>
            <w:r w:rsidR="00E4448E" w:rsidRPr="001F1628">
              <w:rPr>
                <w:b/>
              </w:rPr>
              <w:t>6</w:t>
            </w:r>
            <w:r w:rsidRPr="001F1628">
              <w:rPr>
                <w:b/>
              </w:rPr>
              <w:t>/</w:t>
            </w:r>
            <w:r w:rsidR="008D0C6D" w:rsidRPr="001F1628">
              <w:rPr>
                <w:b/>
              </w:rPr>
              <w:t>3</w:t>
            </w:r>
            <w:r w:rsidR="008948EB">
              <w:rPr>
                <w:b/>
              </w:rPr>
              <w:t>2</w:t>
            </w:r>
            <w:r w:rsidRPr="001F1628">
              <w:rPr>
                <w:b/>
              </w:rPr>
              <w:t>-F</w:t>
            </w:r>
          </w:p>
        </w:tc>
      </w:tr>
      <w:tr w:rsidR="00D72F49" w:rsidRPr="001F1628" w14:paraId="6B3D23E9" w14:textId="77777777" w:rsidTr="00796BDB">
        <w:trPr>
          <w:cantSplit/>
        </w:trPr>
        <w:tc>
          <w:tcPr>
            <w:tcW w:w="3969" w:type="dxa"/>
            <w:vMerge/>
          </w:tcPr>
          <w:p w14:paraId="52691A27" w14:textId="77777777" w:rsidR="00D72F49" w:rsidRPr="001F1628" w:rsidRDefault="00D72F49" w:rsidP="00796BDB">
            <w:pPr>
              <w:tabs>
                <w:tab w:val="left" w:pos="851"/>
              </w:tabs>
              <w:spacing w:line="240" w:lineRule="atLeast"/>
              <w:rPr>
                <w:b/>
              </w:rPr>
            </w:pPr>
          </w:p>
        </w:tc>
        <w:tc>
          <w:tcPr>
            <w:tcW w:w="5245" w:type="dxa"/>
          </w:tcPr>
          <w:p w14:paraId="251D2C67" w14:textId="2E70BF21" w:rsidR="00D72F49" w:rsidRPr="001F1628" w:rsidRDefault="008948EB" w:rsidP="00796BDB">
            <w:pPr>
              <w:tabs>
                <w:tab w:val="left" w:pos="851"/>
              </w:tabs>
              <w:spacing w:before="0"/>
              <w:jc w:val="right"/>
              <w:rPr>
                <w:b/>
              </w:rPr>
            </w:pPr>
            <w:r>
              <w:rPr>
                <w:b/>
                <w:bCs/>
                <w:color w:val="000000"/>
              </w:rPr>
              <w:t>9</w:t>
            </w:r>
            <w:r w:rsidR="008D0C6D" w:rsidRPr="001F1628">
              <w:rPr>
                <w:b/>
                <w:bCs/>
                <w:color w:val="000000"/>
              </w:rPr>
              <w:t xml:space="preserve"> mars 2026</w:t>
            </w:r>
          </w:p>
        </w:tc>
      </w:tr>
      <w:tr w:rsidR="00D72F49" w:rsidRPr="001F1628" w14:paraId="3E3C9B87" w14:textId="77777777" w:rsidTr="00796BDB">
        <w:trPr>
          <w:cantSplit/>
          <w:trHeight w:val="23"/>
        </w:trPr>
        <w:tc>
          <w:tcPr>
            <w:tcW w:w="3969" w:type="dxa"/>
            <w:vMerge/>
          </w:tcPr>
          <w:p w14:paraId="2397A033" w14:textId="77777777" w:rsidR="00D72F49" w:rsidRPr="001F1628" w:rsidRDefault="00D72F49" w:rsidP="00796BDB">
            <w:pPr>
              <w:tabs>
                <w:tab w:val="left" w:pos="851"/>
              </w:tabs>
              <w:spacing w:line="240" w:lineRule="atLeast"/>
              <w:rPr>
                <w:b/>
              </w:rPr>
            </w:pPr>
          </w:p>
        </w:tc>
        <w:tc>
          <w:tcPr>
            <w:tcW w:w="5245" w:type="dxa"/>
          </w:tcPr>
          <w:p w14:paraId="0AE9966D" w14:textId="77777777" w:rsidR="00D72F49" w:rsidRPr="001F1628" w:rsidRDefault="00D72F49" w:rsidP="00796BDB">
            <w:pPr>
              <w:tabs>
                <w:tab w:val="left" w:pos="851"/>
              </w:tabs>
              <w:spacing w:before="0" w:line="240" w:lineRule="atLeast"/>
              <w:jc w:val="right"/>
              <w:rPr>
                <w:b/>
              </w:rPr>
            </w:pPr>
            <w:r w:rsidRPr="001F1628">
              <w:rPr>
                <w:b/>
              </w:rPr>
              <w:t>Original: anglais</w:t>
            </w:r>
          </w:p>
        </w:tc>
      </w:tr>
      <w:tr w:rsidR="00D72F49" w:rsidRPr="001F1628" w14:paraId="13ED3E54" w14:textId="77777777" w:rsidTr="00796BDB">
        <w:trPr>
          <w:cantSplit/>
          <w:trHeight w:val="23"/>
        </w:trPr>
        <w:tc>
          <w:tcPr>
            <w:tcW w:w="3969" w:type="dxa"/>
          </w:tcPr>
          <w:p w14:paraId="36277245" w14:textId="77777777" w:rsidR="00D72F49" w:rsidRPr="001F1628" w:rsidRDefault="00D72F49" w:rsidP="00796BDB">
            <w:pPr>
              <w:tabs>
                <w:tab w:val="left" w:pos="851"/>
              </w:tabs>
              <w:spacing w:line="240" w:lineRule="atLeast"/>
              <w:rPr>
                <w:b/>
              </w:rPr>
            </w:pPr>
          </w:p>
        </w:tc>
        <w:tc>
          <w:tcPr>
            <w:tcW w:w="5245" w:type="dxa"/>
          </w:tcPr>
          <w:p w14:paraId="22578DF2" w14:textId="77777777" w:rsidR="00D72F49" w:rsidRPr="001F1628" w:rsidRDefault="00D72F49" w:rsidP="00796BDB">
            <w:pPr>
              <w:tabs>
                <w:tab w:val="left" w:pos="851"/>
              </w:tabs>
              <w:spacing w:before="0" w:line="240" w:lineRule="atLeast"/>
              <w:jc w:val="right"/>
              <w:rPr>
                <w:b/>
              </w:rPr>
            </w:pPr>
          </w:p>
        </w:tc>
      </w:tr>
      <w:tr w:rsidR="00D72F49" w:rsidRPr="001F1628" w14:paraId="458E4F0E" w14:textId="77777777" w:rsidTr="00796BDB">
        <w:trPr>
          <w:cantSplit/>
        </w:trPr>
        <w:tc>
          <w:tcPr>
            <w:tcW w:w="9214" w:type="dxa"/>
            <w:gridSpan w:val="2"/>
            <w:tcMar>
              <w:left w:w="0" w:type="dxa"/>
            </w:tcMar>
          </w:tcPr>
          <w:p w14:paraId="0F7CE5F3" w14:textId="77777777" w:rsidR="00D72F49" w:rsidRPr="001F1628" w:rsidRDefault="00D72F49" w:rsidP="00796BDB">
            <w:pPr>
              <w:pStyle w:val="Source"/>
              <w:jc w:val="left"/>
              <w:rPr>
                <w:sz w:val="34"/>
                <w:szCs w:val="34"/>
              </w:rPr>
            </w:pPr>
            <w:r w:rsidRPr="001F1628">
              <w:rPr>
                <w:rFonts w:cstheme="minorHAnsi"/>
                <w:color w:val="000000"/>
                <w:sz w:val="34"/>
                <w:szCs w:val="34"/>
              </w:rPr>
              <w:t xml:space="preserve">Rapport </w:t>
            </w:r>
            <w:r w:rsidR="00E95647" w:rsidRPr="001F1628">
              <w:rPr>
                <w:rFonts w:cstheme="minorHAnsi"/>
                <w:color w:val="000000"/>
                <w:sz w:val="34"/>
                <w:szCs w:val="34"/>
              </w:rPr>
              <w:t xml:space="preserve">de la </w:t>
            </w:r>
            <w:r w:rsidRPr="001F1628">
              <w:rPr>
                <w:rFonts w:cstheme="minorHAnsi"/>
                <w:color w:val="000000"/>
                <w:sz w:val="34"/>
                <w:szCs w:val="34"/>
              </w:rPr>
              <w:t>Secrétaire général</w:t>
            </w:r>
            <w:r w:rsidR="00E95647" w:rsidRPr="001F1628">
              <w:rPr>
                <w:rFonts w:cstheme="minorHAnsi"/>
                <w:color w:val="000000"/>
                <w:sz w:val="34"/>
                <w:szCs w:val="34"/>
              </w:rPr>
              <w:t>e</w:t>
            </w:r>
          </w:p>
        </w:tc>
      </w:tr>
      <w:tr w:rsidR="00D72F49" w:rsidRPr="001F1628" w14:paraId="42CD86F9" w14:textId="77777777" w:rsidTr="00796BDB">
        <w:trPr>
          <w:cantSplit/>
        </w:trPr>
        <w:tc>
          <w:tcPr>
            <w:tcW w:w="9214" w:type="dxa"/>
            <w:gridSpan w:val="2"/>
            <w:tcMar>
              <w:left w:w="0" w:type="dxa"/>
            </w:tcMar>
          </w:tcPr>
          <w:p w14:paraId="7F7B9344" w14:textId="4F24D824" w:rsidR="00D72F49" w:rsidRPr="001F1628" w:rsidRDefault="00CE08D4" w:rsidP="00796BDB">
            <w:pPr>
              <w:pStyle w:val="Subtitle"/>
              <w:framePr w:hSpace="0" w:wrap="auto" w:hAnchor="text" w:xAlign="left" w:yAlign="inline"/>
              <w:rPr>
                <w:sz w:val="32"/>
                <w:szCs w:val="32"/>
                <w:lang w:val="fr-FR"/>
              </w:rPr>
            </w:pPr>
            <w:r>
              <w:rPr>
                <w:color w:val="000000"/>
                <w:lang w:val="fr-FR"/>
              </w:rPr>
              <w:t>PROJET DE PLAN FINANCIER POUR LA PÉRIODE 2028-2031</w:t>
            </w:r>
          </w:p>
        </w:tc>
      </w:tr>
      <w:tr w:rsidR="00D72F49" w:rsidRPr="001F1628" w14:paraId="709BE9E5" w14:textId="77777777" w:rsidTr="00796BDB">
        <w:trPr>
          <w:cantSplit/>
        </w:trPr>
        <w:tc>
          <w:tcPr>
            <w:tcW w:w="9214" w:type="dxa"/>
            <w:gridSpan w:val="2"/>
            <w:tcBorders>
              <w:top w:val="single" w:sz="4" w:space="0" w:color="auto"/>
              <w:bottom w:val="single" w:sz="4" w:space="0" w:color="auto"/>
            </w:tcBorders>
            <w:tcMar>
              <w:left w:w="0" w:type="dxa"/>
            </w:tcMar>
          </w:tcPr>
          <w:p w14:paraId="61BFCE41" w14:textId="77777777" w:rsidR="00D72F49" w:rsidRPr="001F1628" w:rsidRDefault="00F37FE5" w:rsidP="00796BDB">
            <w:pPr>
              <w:spacing w:before="160"/>
              <w:rPr>
                <w:b/>
                <w:bCs/>
                <w:sz w:val="26"/>
                <w:szCs w:val="26"/>
              </w:rPr>
            </w:pPr>
            <w:r w:rsidRPr="001F1628">
              <w:rPr>
                <w:b/>
                <w:bCs/>
                <w:sz w:val="26"/>
                <w:szCs w:val="26"/>
              </w:rPr>
              <w:t>Objet</w:t>
            </w:r>
          </w:p>
          <w:p w14:paraId="723B0F7B" w14:textId="46EB2F3E" w:rsidR="008D0C6D" w:rsidRPr="001F1628" w:rsidRDefault="008948EB" w:rsidP="00C95D98">
            <w:r>
              <w:t xml:space="preserve">On trouvera dans le présent document le projet de </w:t>
            </w:r>
            <w:r w:rsidR="00D14834">
              <w:t>p</w:t>
            </w:r>
            <w:r>
              <w:t>lan financier pour la période 2028-2031</w:t>
            </w:r>
            <w:r w:rsidR="008D0C6D" w:rsidRPr="001F1628">
              <w:t>.</w:t>
            </w:r>
          </w:p>
          <w:p w14:paraId="5BFE0F32" w14:textId="77777777" w:rsidR="00D72F49" w:rsidRPr="001F1628" w:rsidRDefault="00D72F49" w:rsidP="00796BDB">
            <w:pPr>
              <w:spacing w:before="160"/>
              <w:rPr>
                <w:b/>
                <w:bCs/>
                <w:sz w:val="26"/>
                <w:szCs w:val="26"/>
              </w:rPr>
            </w:pPr>
            <w:r w:rsidRPr="001F1628">
              <w:rPr>
                <w:b/>
                <w:bCs/>
                <w:sz w:val="26"/>
                <w:szCs w:val="26"/>
              </w:rPr>
              <w:t>Suite à donner par le Conseil</w:t>
            </w:r>
          </w:p>
          <w:p w14:paraId="3C99D9EA" w14:textId="1A9F9611" w:rsidR="00D72F49" w:rsidRPr="001F1628" w:rsidRDefault="008948EB" w:rsidP="00796BDB">
            <w:r w:rsidRPr="00C95D98">
              <w:t>Le</w:t>
            </w:r>
            <w:r>
              <w:rPr>
                <w:color w:val="000000"/>
              </w:rPr>
              <w:t xml:space="preserve"> Conseil est invité à </w:t>
            </w:r>
            <w:r w:rsidRPr="00BA1172">
              <w:rPr>
                <w:b/>
                <w:bCs/>
                <w:color w:val="000000"/>
              </w:rPr>
              <w:t>examiner</w:t>
            </w:r>
            <w:r>
              <w:rPr>
                <w:color w:val="000000"/>
              </w:rPr>
              <w:t xml:space="preserve"> le projet de </w:t>
            </w:r>
            <w:r w:rsidR="00D14834">
              <w:rPr>
                <w:color w:val="000000"/>
              </w:rPr>
              <w:t>p</w:t>
            </w:r>
            <w:r>
              <w:rPr>
                <w:color w:val="000000"/>
              </w:rPr>
              <w:t xml:space="preserve">lan financier pour la période 2028-2031 et à </w:t>
            </w:r>
            <w:r w:rsidRPr="00BA1172">
              <w:rPr>
                <w:b/>
                <w:bCs/>
                <w:color w:val="000000"/>
              </w:rPr>
              <w:t>formuler des avis et des orientations</w:t>
            </w:r>
            <w:r>
              <w:rPr>
                <w:color w:val="000000"/>
              </w:rPr>
              <w:t>, pour transmission ultérieure à la Conférence de plénipotentiaires de 2026</w:t>
            </w:r>
            <w:r w:rsidR="008D0C6D" w:rsidRPr="001F1628">
              <w:t>.</w:t>
            </w:r>
          </w:p>
          <w:p w14:paraId="7549BD4C" w14:textId="76AA994A" w:rsidR="00D72F49" w:rsidRPr="001F1628" w:rsidRDefault="00D72F49" w:rsidP="00796BDB">
            <w:pPr>
              <w:spacing w:before="160"/>
              <w:rPr>
                <w:b/>
                <w:bCs/>
                <w:sz w:val="26"/>
                <w:szCs w:val="26"/>
              </w:rPr>
            </w:pPr>
            <w:r w:rsidRPr="001F1628">
              <w:rPr>
                <w:b/>
                <w:bCs/>
                <w:sz w:val="26"/>
                <w:szCs w:val="26"/>
              </w:rPr>
              <w:t xml:space="preserve">Lien pertinent avec le </w:t>
            </w:r>
            <w:r w:rsidR="00F37FE5" w:rsidRPr="001F1628">
              <w:rPr>
                <w:b/>
                <w:bCs/>
                <w:sz w:val="26"/>
                <w:szCs w:val="26"/>
              </w:rPr>
              <w:t>p</w:t>
            </w:r>
            <w:r w:rsidRPr="001F1628">
              <w:rPr>
                <w:b/>
                <w:bCs/>
                <w:sz w:val="26"/>
                <w:szCs w:val="26"/>
              </w:rPr>
              <w:t>lan stratégique</w:t>
            </w:r>
          </w:p>
          <w:p w14:paraId="21A490C4" w14:textId="77777777" w:rsidR="00D72F49" w:rsidRDefault="008948EB" w:rsidP="008948EB">
            <w:pPr>
              <w:rPr>
                <w:color w:val="000000"/>
              </w:rPr>
            </w:pPr>
            <w:r w:rsidRPr="00C95D98">
              <w:t>Le</w:t>
            </w:r>
            <w:r>
              <w:rPr>
                <w:color w:val="000000"/>
              </w:rPr>
              <w:t xml:space="preserve"> présent document indique les limites financières qui s'appliqueront à la mise en œuvre du Plan stratégique pour la période 2028-2031.</w:t>
            </w:r>
          </w:p>
          <w:p w14:paraId="23EA185A" w14:textId="77777777" w:rsidR="008948EB" w:rsidRDefault="008948EB" w:rsidP="008948EB">
            <w:pPr>
              <w:rPr>
                <w:b/>
                <w:bCs/>
                <w:color w:val="000000"/>
              </w:rPr>
            </w:pPr>
            <w:r>
              <w:rPr>
                <w:b/>
                <w:bCs/>
                <w:color w:val="000000"/>
              </w:rPr>
              <w:t>Incidences financières</w:t>
            </w:r>
          </w:p>
          <w:p w14:paraId="4315DE08" w14:textId="77777777" w:rsidR="008948EB" w:rsidRDefault="008948EB" w:rsidP="008948EB">
            <w:pPr>
              <w:rPr>
                <w:szCs w:val="24"/>
              </w:rPr>
            </w:pPr>
            <w:r w:rsidRPr="008948EB">
              <w:rPr>
                <w:szCs w:val="24"/>
              </w:rPr>
              <w:t>Le présent document indique les limites financières qui s'appliqueront à la mise en œuvre du Plan stratégique pour la période 2028-2031</w:t>
            </w:r>
            <w:r>
              <w:rPr>
                <w:szCs w:val="24"/>
              </w:rPr>
              <w:t>.</w:t>
            </w:r>
          </w:p>
          <w:p w14:paraId="1547D6CC" w14:textId="77777777" w:rsidR="008948EB" w:rsidRDefault="008948EB" w:rsidP="008948EB">
            <w:pPr>
              <w:rPr>
                <w:color w:val="000000"/>
              </w:rPr>
            </w:pPr>
            <w:r>
              <w:rPr>
                <w:color w:val="000000"/>
              </w:rPr>
              <w:t>_______________</w:t>
            </w:r>
          </w:p>
          <w:p w14:paraId="0B81F611" w14:textId="77777777" w:rsidR="008948EB" w:rsidRDefault="008948EB" w:rsidP="008948EB">
            <w:pPr>
              <w:rPr>
                <w:b/>
                <w:bCs/>
                <w:color w:val="000000"/>
              </w:rPr>
            </w:pPr>
            <w:r>
              <w:rPr>
                <w:b/>
                <w:bCs/>
                <w:color w:val="000000"/>
              </w:rPr>
              <w:t>Références</w:t>
            </w:r>
          </w:p>
          <w:p w14:paraId="4AE28F2F" w14:textId="5B8DFDB0" w:rsidR="008948EB" w:rsidRPr="00CE08D4" w:rsidRDefault="008948EB" w:rsidP="00CE08D4">
            <w:pPr>
              <w:spacing w:after="120"/>
              <w:rPr>
                <w:sz w:val="22"/>
                <w:szCs w:val="22"/>
              </w:rPr>
            </w:pPr>
            <w:r w:rsidRPr="00CE08D4">
              <w:rPr>
                <w:rFonts w:eastAsiaTheme="minorHAnsi" w:cstheme="minorBidi"/>
                <w:i/>
                <w:iCs/>
                <w:sz w:val="22"/>
                <w:szCs w:val="22"/>
              </w:rPr>
              <w:t xml:space="preserve">Décision </w:t>
            </w:r>
            <w:hyperlink r:id="rId8" w:history="1">
              <w:r w:rsidRPr="00CE08D4">
                <w:rPr>
                  <w:rStyle w:val="Hyperlink"/>
                  <w:i/>
                  <w:iCs/>
                  <w:sz w:val="22"/>
                </w:rPr>
                <w:t>5 (Rév. Bucarest, 2022</w:t>
              </w:r>
              <w:r w:rsidRPr="00CE08D4">
                <w:rPr>
                  <w:rStyle w:val="Hyperlink"/>
                  <w:rFonts w:eastAsia="Times New Roman" w:cs="Times New Roman"/>
                  <w:i/>
                  <w:iCs/>
                  <w:sz w:val="22"/>
                </w:rPr>
                <w:t>)</w:t>
              </w:r>
            </w:hyperlink>
            <w:r w:rsidRPr="00CE08D4">
              <w:rPr>
                <w:i/>
                <w:iCs/>
                <w:color w:val="000000"/>
                <w:sz w:val="22"/>
                <w:szCs w:val="22"/>
              </w:rPr>
              <w:t xml:space="preserve"> de la Conférence de plénipotentiaires;</w:t>
            </w:r>
            <w:r w:rsidRPr="00CE08D4">
              <w:rPr>
                <w:color w:val="000000"/>
                <w:sz w:val="22"/>
                <w:szCs w:val="22"/>
              </w:rPr>
              <w:t xml:space="preserve"> </w:t>
            </w:r>
            <w:r w:rsidR="00F37A73" w:rsidRPr="00CE08D4">
              <w:rPr>
                <w:rFonts w:eastAsiaTheme="minorHAnsi" w:cstheme="minorBidi"/>
                <w:i/>
                <w:iCs/>
                <w:sz w:val="22"/>
                <w:szCs w:val="22"/>
              </w:rPr>
              <w:t>n</w:t>
            </w:r>
            <w:r w:rsidRPr="00CE08D4">
              <w:rPr>
                <w:rFonts w:eastAsiaTheme="minorHAnsi" w:cstheme="minorBidi"/>
                <w:i/>
                <w:iCs/>
                <w:sz w:val="22"/>
                <w:szCs w:val="22"/>
              </w:rPr>
              <w:t xml:space="preserve">uméro </w:t>
            </w:r>
            <w:hyperlink r:id="rId9" w:history="1">
              <w:r w:rsidRPr="00CE08D4">
                <w:rPr>
                  <w:rStyle w:val="Hyperlink"/>
                  <w:i/>
                  <w:iCs/>
                  <w:sz w:val="22"/>
                </w:rPr>
                <w:t>51</w:t>
              </w:r>
            </w:hyperlink>
            <w:r w:rsidRPr="00CE08D4">
              <w:rPr>
                <w:rFonts w:eastAsiaTheme="minorHAnsi" w:cstheme="minorBidi"/>
                <w:i/>
                <w:iCs/>
                <w:sz w:val="22"/>
                <w:szCs w:val="22"/>
              </w:rPr>
              <w:t xml:space="preserve"> de la Constitution</w:t>
            </w:r>
          </w:p>
        </w:tc>
      </w:tr>
    </w:tbl>
    <w:p w14:paraId="3B7BC6FC" w14:textId="500F1C4A" w:rsidR="00F37A73" w:rsidRDefault="00F37A73" w:rsidP="00F37A73">
      <w:r>
        <w:br w:type="page"/>
      </w:r>
    </w:p>
    <w:p w14:paraId="615DFC82" w14:textId="4A0D3FF6" w:rsidR="001F6F64" w:rsidRDefault="008948EB" w:rsidP="000E68D5">
      <w:pPr>
        <w:pStyle w:val="Heading1"/>
      </w:pPr>
      <w:r w:rsidRPr="008948EB">
        <w:lastRenderedPageBreak/>
        <w:t>1</w:t>
      </w:r>
      <w:r w:rsidRPr="008948EB">
        <w:tab/>
        <w:t>Introduction</w:t>
      </w:r>
    </w:p>
    <w:p w14:paraId="67B0C889" w14:textId="578FF045" w:rsidR="008948EB" w:rsidRDefault="008948EB" w:rsidP="00CE08D4">
      <w:pPr>
        <w:jc w:val="both"/>
      </w:pPr>
      <w:r>
        <w:t>1.1</w:t>
      </w:r>
      <w:r>
        <w:tab/>
        <w:t xml:space="preserve">Le projet de </w:t>
      </w:r>
      <w:r w:rsidR="00D14834">
        <w:t>p</w:t>
      </w:r>
      <w:r>
        <w:t xml:space="preserve">lan financier pour la période 2028-2031 vise à fournir à la Conférence de plénipotentiaires de 2026 un outil servant de base à l'élaboration du budget de l'Union pour les périodes 2028-2029 et 2030-2031. En fixant le montant de l'unité contributive pour la période 2028-2031, après examen de tous les aspects pertinents de l'activité de l'Union durant cette période (numéro 51 de l'article 8 de la Constitution), il établit les limites financières correspondantes, qui s'appliqueront jusqu'à la prochaine </w:t>
      </w:r>
      <w:r w:rsidR="00F37A73">
        <w:t>C</w:t>
      </w:r>
      <w:r>
        <w:t>onférence de plénipotentiaires.</w:t>
      </w:r>
    </w:p>
    <w:p w14:paraId="040A0B1C" w14:textId="0120C9C0" w:rsidR="008948EB" w:rsidRDefault="008948EB" w:rsidP="00CE08D4">
      <w:pPr>
        <w:jc w:val="both"/>
      </w:pPr>
      <w:r>
        <w:t>1.2</w:t>
      </w:r>
      <w:r>
        <w:tab/>
        <w:t>Le plan financier offre un cadre indiquant aux États Membres quels sont leurs engagements financiers vis-à-vis de l'Union pour la période 2028-2031, sur la base du montant approuvé de l'unité contributive, et comment leurs contributions financières à l'Union seront affectées aux différentes priorités des membres de l'Union, qui sont énoncées dans le plan stratégique.</w:t>
      </w:r>
    </w:p>
    <w:p w14:paraId="1058F4C3" w14:textId="697ADE4A" w:rsidR="008948EB" w:rsidRDefault="008948EB" w:rsidP="00CE08D4">
      <w:pPr>
        <w:jc w:val="both"/>
      </w:pPr>
      <w:r>
        <w:t>1.3</w:t>
      </w:r>
      <w:r>
        <w:tab/>
        <w:t>Conformément au numéro 161B (</w:t>
      </w:r>
      <w:r w:rsidR="00F37A73">
        <w:t>a</w:t>
      </w:r>
      <w:r>
        <w:t>rticle 28) de la Constitution et sur proposition de la</w:t>
      </w:r>
      <w:r w:rsidR="00F37A73">
        <w:t> </w:t>
      </w:r>
      <w:r>
        <w:t>Secrétaire</w:t>
      </w:r>
      <w:r w:rsidR="00F37A73">
        <w:t> </w:t>
      </w:r>
      <w:r>
        <w:t>générale, le Conseil a fixé le montant provisoire de l'unité contributive à</w:t>
      </w:r>
      <w:r w:rsidR="00F37A73">
        <w:t> </w:t>
      </w:r>
      <w:r>
        <w:t>318</w:t>
      </w:r>
      <w:r w:rsidR="00D27886">
        <w:t> </w:t>
      </w:r>
      <w:r>
        <w:t>000</w:t>
      </w:r>
      <w:r w:rsidR="00D27886">
        <w:t> </w:t>
      </w:r>
      <w:r>
        <w:t>CHF.</w:t>
      </w:r>
    </w:p>
    <w:p w14:paraId="4B5D095F" w14:textId="53C89107" w:rsidR="008948EB" w:rsidRDefault="008948EB" w:rsidP="00CE08D4">
      <w:pPr>
        <w:jc w:val="both"/>
      </w:pPr>
      <w:r>
        <w:t>1.4</w:t>
      </w:r>
      <w:r>
        <w:tab/>
        <w:t>Par une Décision 5 révisée, sur les produits et charges de l'Union pour la période 2028</w:t>
      </w:r>
      <w:r w:rsidR="00D27886">
        <w:noBreakHyphen/>
      </w:r>
      <w:r>
        <w:t>2031, la Conférence de plénipotentiaires de 2026 établira, au moyen du Plan stratégique et du Plan financier pour la période 2028-2031, le cadre et les directives selon lesquels les deux budgets biennaux pour les exercices 2028-2029 et 2030-2031 seront élaborés. Le Plan financier pour la période 2028-2031, tel que révisé et approuvé par la Conférence de plénipotentiaires de 2026, fera l'objet de l'Annexe 1 de la Décision 5.</w:t>
      </w:r>
    </w:p>
    <w:p w14:paraId="1C74BE71" w14:textId="29AEBAEA" w:rsidR="008948EB" w:rsidRDefault="008948EB" w:rsidP="000E68D5">
      <w:pPr>
        <w:pStyle w:val="Heading1"/>
      </w:pPr>
      <w:r w:rsidRPr="008948EB">
        <w:t>2</w:t>
      </w:r>
      <w:r w:rsidRPr="008948EB">
        <w:tab/>
        <w:t>Plan stratégique</w:t>
      </w:r>
    </w:p>
    <w:p w14:paraId="025ECDD9" w14:textId="76DB825E" w:rsidR="008948EB" w:rsidRDefault="008948EB" w:rsidP="00CE08D4">
      <w:pPr>
        <w:jc w:val="both"/>
      </w:pPr>
      <w:r>
        <w:t>2.1</w:t>
      </w:r>
      <w:r>
        <w:tab/>
        <w:t xml:space="preserve">Le présent projet de </w:t>
      </w:r>
      <w:r w:rsidR="00D14834">
        <w:t>p</w:t>
      </w:r>
      <w:r>
        <w:t xml:space="preserve">lan financier pour la période 2028-2031 sera présenté et examiné lors de la réunion conjointe du Groupe de travail du Conseil sur les ressources financières et les ressources humaines (GTC-FHR) et du Groupe de travail du Conseil chargé d'élaborer le </w:t>
      </w:r>
      <w:r w:rsidR="00BD4C93">
        <w:t>P</w:t>
      </w:r>
      <w:r>
        <w:t xml:space="preserve">lan stratégique et le </w:t>
      </w:r>
      <w:r w:rsidR="00BD4C93">
        <w:t>P</w:t>
      </w:r>
      <w:r>
        <w:t>lan financier (GTC-SFP), en avril 2026. Ces discussions permettront au Conseil d'étudier le projet de plan financier de l'Union et les ressources dans la limite desquelles le Plan stratégique pour la période 2028-2031 devra être mis en œuvre.</w:t>
      </w:r>
    </w:p>
    <w:p w14:paraId="0A0BB50F" w14:textId="5EF7CBAB" w:rsidR="008948EB" w:rsidRDefault="008948EB" w:rsidP="00CE08D4">
      <w:pPr>
        <w:jc w:val="both"/>
      </w:pPr>
      <w:r>
        <w:t>2.2</w:t>
      </w:r>
      <w:r>
        <w:tab/>
        <w:t xml:space="preserve">Le plan stratégique est élaboré conformément au numéro </w:t>
      </w:r>
      <w:r w:rsidRPr="00924017">
        <w:rPr>
          <w:b/>
          <w:bCs/>
        </w:rPr>
        <w:t>74A (</w:t>
      </w:r>
      <w:r w:rsidR="00BD4C93">
        <w:rPr>
          <w:b/>
          <w:bCs/>
        </w:rPr>
        <w:t>a</w:t>
      </w:r>
      <w:r w:rsidRPr="00924017">
        <w:rPr>
          <w:b/>
          <w:bCs/>
        </w:rPr>
        <w:t>rticle 11</w:t>
      </w:r>
      <w:r w:rsidRPr="00BD4C93">
        <w:rPr>
          <w:b/>
          <w:bCs/>
        </w:rPr>
        <w:t>) de la Constitution de l'UIT</w:t>
      </w:r>
      <w:r>
        <w:t xml:space="preserve"> et au </w:t>
      </w:r>
      <w:r w:rsidRPr="00924017">
        <w:rPr>
          <w:b/>
          <w:bCs/>
        </w:rPr>
        <w:t>numéro 62A (</w:t>
      </w:r>
      <w:r w:rsidR="00BD4C93">
        <w:rPr>
          <w:b/>
          <w:bCs/>
        </w:rPr>
        <w:t>a</w:t>
      </w:r>
      <w:r w:rsidRPr="00924017">
        <w:rPr>
          <w:b/>
          <w:bCs/>
        </w:rPr>
        <w:t>rticle 4) de la Convention de l'UIT</w:t>
      </w:r>
      <w:r>
        <w:t>, qui disposent que le Secrétaire général fournit aux États Membres et aux Membres des Secteurs, avec l'assistance du Comité de coordination, les données nécessaires à l'élaboration de la politique et du plan stratégique de l'Union, et que le Conseil commence l'élaboration du</w:t>
      </w:r>
      <w:r w:rsidR="00BD4C93">
        <w:t> </w:t>
      </w:r>
      <w:r>
        <w:t xml:space="preserve">projet de plan stratégique avant la Conférence de plénipotentiaires. Par sa </w:t>
      </w:r>
      <w:r w:rsidRPr="00872981">
        <w:rPr>
          <w:b/>
          <w:bCs/>
        </w:rPr>
        <w:t>Résolution</w:t>
      </w:r>
      <w:r w:rsidR="00BD4C93">
        <w:rPr>
          <w:b/>
          <w:bCs/>
        </w:rPr>
        <w:t> </w:t>
      </w:r>
      <w:r w:rsidRPr="00872981">
        <w:rPr>
          <w:b/>
          <w:bCs/>
        </w:rPr>
        <w:t>1428</w:t>
      </w:r>
      <w:r w:rsidR="00BD4C93">
        <w:rPr>
          <w:b/>
          <w:bCs/>
        </w:rPr>
        <w:t> </w:t>
      </w:r>
      <w:r w:rsidRPr="00872981">
        <w:rPr>
          <w:b/>
          <w:bCs/>
        </w:rPr>
        <w:t>(C24)</w:t>
      </w:r>
      <w:r>
        <w:t>, le Conseil a délégué l'élaboration du projet de plan stratégique et du</w:t>
      </w:r>
      <w:r w:rsidR="00BD4C93">
        <w:t> </w:t>
      </w:r>
      <w:r>
        <w:t xml:space="preserve">projet de plan financier à son </w:t>
      </w:r>
      <w:r w:rsidRPr="00872981">
        <w:rPr>
          <w:b/>
          <w:bCs/>
        </w:rPr>
        <w:t>Groupe de travail chargé d'élaborer le Plan stratégique et le Plan financier (GTC-SFP)</w:t>
      </w:r>
      <w:r>
        <w:t>, auquel les États Membres et les Membres de Secteur participent sur un pied d'égalité. Le présent projet de plan financier est conforme aux priorités énoncées dans la version actuelle du projet de plan stratégique et sera révisé si nécessaire pour le rendre pleinement conforme à la version finale approuvée du Plan stratégique pour la période</w:t>
      </w:r>
      <w:r w:rsidR="002D53B0">
        <w:t> </w:t>
      </w:r>
      <w:r>
        <w:t>2028-2031.</w:t>
      </w:r>
    </w:p>
    <w:p w14:paraId="7E2DAEE7" w14:textId="54834CBD" w:rsidR="008948EB" w:rsidRDefault="008948EB" w:rsidP="00CE08D4">
      <w:pPr>
        <w:jc w:val="both"/>
      </w:pPr>
      <w:r>
        <w:t>2.3</w:t>
      </w:r>
      <w:r>
        <w:tab/>
        <w:t xml:space="preserve">Le plan financier, qui applique une méthode centrée sur les résultats, alloue des fonds aux priorités énoncées dans le plan stratégique en fonction des produits attendus au titre du budget ordinaire dont le </w:t>
      </w:r>
      <w:r w:rsidR="00D14834">
        <w:t>S</w:t>
      </w:r>
      <w:r>
        <w:t>ecrétariat disposera en 2028-2031.</w:t>
      </w:r>
    </w:p>
    <w:p w14:paraId="399BDC6E" w14:textId="1A9C5D05" w:rsidR="008948EB" w:rsidRDefault="008948EB" w:rsidP="00CE08D4">
      <w:pPr>
        <w:jc w:val="both"/>
      </w:pPr>
      <w:r>
        <w:lastRenderedPageBreak/>
        <w:t>2.4</w:t>
      </w:r>
      <w:r>
        <w:tab/>
        <w:t xml:space="preserve">Le plan financier et le plan stratégique serviront à déterminer les crédits budgétaires à allouer aux Bureaux et au Secrétariat général dans le cadre du processus du </w:t>
      </w:r>
      <w:r w:rsidR="00BD4C93">
        <w:t>p</w:t>
      </w:r>
      <w:r>
        <w:t>lan opérationnel, ce qui permettra de financer leurs travaux pour obtenir les résultats escomptés, en fonction de leurs contributions respectives à la réalisation de chaque priorité. Cela permettra d'établir une correspondance claire entre les activités prévues et les ressources nécessaires à leur exécution.</w:t>
      </w:r>
    </w:p>
    <w:p w14:paraId="2B6430B8" w14:textId="77777777" w:rsidR="008948EB" w:rsidRDefault="008948EB" w:rsidP="00CE08D4">
      <w:pPr>
        <w:jc w:val="both"/>
      </w:pPr>
      <w:r>
        <w:t>2.5</w:t>
      </w:r>
      <w:r>
        <w:tab/>
        <w:t xml:space="preserve">Le projet de plan financier est donc élaboré d'après plusieurs paramètres et déterminants fondamentaux, notamment: </w:t>
      </w:r>
    </w:p>
    <w:p w14:paraId="3DADC4A2" w14:textId="748CA2B4" w:rsidR="008948EB" w:rsidRDefault="00AF54EC" w:rsidP="00CE08D4">
      <w:pPr>
        <w:pStyle w:val="enumlev1"/>
        <w:jc w:val="both"/>
      </w:pPr>
      <w:r w:rsidRPr="00AF54EC">
        <w:t>–</w:t>
      </w:r>
      <w:r w:rsidRPr="00AF54EC">
        <w:tab/>
      </w:r>
      <w:r w:rsidR="00BD4C93">
        <w:t>l</w:t>
      </w:r>
      <w:r w:rsidR="008948EB">
        <w:t>es buts et priorités stratégiques définis dans le plan stratégique</w:t>
      </w:r>
      <w:r w:rsidR="00BD4C93">
        <w:t>;</w:t>
      </w:r>
    </w:p>
    <w:p w14:paraId="4E5D40C2" w14:textId="08B88148" w:rsidR="008948EB" w:rsidRDefault="00AF54EC" w:rsidP="00CE08D4">
      <w:pPr>
        <w:pStyle w:val="enumlev1"/>
        <w:jc w:val="both"/>
      </w:pPr>
      <w:r w:rsidRPr="00AF54EC">
        <w:t>–</w:t>
      </w:r>
      <w:r w:rsidRPr="00AF54EC">
        <w:tab/>
      </w:r>
      <w:r w:rsidR="00BD4C93">
        <w:t>l</w:t>
      </w:r>
      <w:r w:rsidR="008948EB">
        <w:t>e montant de l'unité contributive approuvé par les États Membres</w:t>
      </w:r>
      <w:r w:rsidR="00BD4C93">
        <w:t>;</w:t>
      </w:r>
    </w:p>
    <w:p w14:paraId="6A8A3E5F" w14:textId="16303FEF" w:rsidR="008948EB" w:rsidRDefault="00AF54EC" w:rsidP="00CE08D4">
      <w:pPr>
        <w:pStyle w:val="enumlev1"/>
        <w:jc w:val="both"/>
      </w:pPr>
      <w:r w:rsidRPr="00AF54EC">
        <w:t>–</w:t>
      </w:r>
      <w:r w:rsidRPr="00AF54EC">
        <w:tab/>
      </w:r>
      <w:r w:rsidR="00BD4C93">
        <w:t>l</w:t>
      </w:r>
      <w:r w:rsidR="008948EB">
        <w:t>e montant prévisionnel des produits à la disposition de l'Union pour la période de planification, qui détermine le plafond global des charges prévues</w:t>
      </w:r>
      <w:r w:rsidR="00BD4C93">
        <w:t>;</w:t>
      </w:r>
    </w:p>
    <w:p w14:paraId="5487B1EE" w14:textId="0E933018" w:rsidR="008948EB" w:rsidRDefault="00AF54EC" w:rsidP="00CE08D4">
      <w:pPr>
        <w:pStyle w:val="enumlev1"/>
        <w:jc w:val="both"/>
      </w:pPr>
      <w:r w:rsidRPr="00AF54EC">
        <w:t>–</w:t>
      </w:r>
      <w:r w:rsidRPr="00AF54EC">
        <w:tab/>
      </w:r>
      <w:r w:rsidR="00BD4C93">
        <w:t>l</w:t>
      </w:r>
      <w:r w:rsidR="008948EB">
        <w:t>es budgets approuvés précédents et les résultats budgétaires des Secteurs, des Bureaux et du Secrétariat général.</w:t>
      </w:r>
    </w:p>
    <w:p w14:paraId="74C1D51E" w14:textId="183544B1" w:rsidR="008948EB" w:rsidRDefault="008948EB" w:rsidP="00CE08D4">
      <w:pPr>
        <w:jc w:val="both"/>
      </w:pPr>
      <w:r>
        <w:t>2.</w:t>
      </w:r>
      <w:r w:rsidR="00AF54EC">
        <w:t>6</w:t>
      </w:r>
      <w:r>
        <w:tab/>
        <w:t>C'est sur cette base que le plan financier établit l'enveloppe globale des ressources à la disposition de l'Union pour la période 2028-2031. Il est donc nécessaire que plan stratégique puisse être appliqué dans la limite de ces paramètres financiers, ce qui impose de hiérarchiser les activités et d'utiliser efficacement les ressources pour faire en sorte que les priorités de l'Union soient exécutées de manière financièrement viable.</w:t>
      </w:r>
    </w:p>
    <w:p w14:paraId="4B19E20C" w14:textId="77777777" w:rsidR="008948EB" w:rsidRDefault="008948EB" w:rsidP="00B52E99">
      <w:pPr>
        <w:pStyle w:val="Heading1"/>
      </w:pPr>
      <w:r>
        <w:t>3</w:t>
      </w:r>
      <w:r>
        <w:tab/>
        <w:t>Bases/hypothèses</w:t>
      </w:r>
    </w:p>
    <w:p w14:paraId="3B01D3D5" w14:textId="08DC4C82" w:rsidR="008948EB" w:rsidRDefault="008948EB" w:rsidP="00CE08D4">
      <w:pPr>
        <w:jc w:val="both"/>
      </w:pPr>
      <w:r>
        <w:t>3.1</w:t>
      </w:r>
      <w:r>
        <w:tab/>
        <w:t>Pour ce qui est des contributions mises en recouvrement (États Membres, Membres de Secteur, Associés et établissements universitaires), le montant des produits se fonde sur les informations disponibles au 1er janvier 2026. Les contributions mises en recouvrement représentent plus des trois quarts des produits de l'Union. Toute modification du nombre d'unités contributives versées par les États Membres aura une incidence sur les prévisions de produits pour la période 2028-2031, de sorte que les charges inscrites dans le plan financier devront être ajustées en conséquence.</w:t>
      </w:r>
    </w:p>
    <w:p w14:paraId="50285451" w14:textId="7948D3C4" w:rsidR="008948EB" w:rsidRDefault="008948EB" w:rsidP="00CE08D4">
      <w:pPr>
        <w:jc w:val="both"/>
      </w:pPr>
      <w:r>
        <w:t>3.2</w:t>
      </w:r>
      <w:r>
        <w:tab/>
        <w:t>Le montant de l'unité contributive reste inchangé depuis 2006 et s'élève à</w:t>
      </w:r>
      <w:r w:rsidR="00BD4C93">
        <w:t> </w:t>
      </w:r>
      <w:r>
        <w:t>318</w:t>
      </w:r>
      <w:r w:rsidR="004154AD">
        <w:t> </w:t>
      </w:r>
      <w:r>
        <w:t>000</w:t>
      </w:r>
      <w:r w:rsidR="004154AD">
        <w:t> </w:t>
      </w:r>
      <w:r>
        <w:t>CHF, ce qui correspond à une croissance nominale zéro. Entre janvier 2006 et janvier 2026, l'indice des prix à la consommation (IPC) à Genève a augmenté de 10,5%. Si</w:t>
      </w:r>
      <w:r w:rsidR="004154AD">
        <w:t> </w:t>
      </w:r>
      <w:r>
        <w:t>le</w:t>
      </w:r>
      <w:r w:rsidR="004154AD">
        <w:t> </w:t>
      </w:r>
      <w:r>
        <w:t xml:space="preserve">montant de l'unité contributive avait été indexé sur l'Indice IPC à Genève, il s'élèverait à présent à 351 400 CHF, soit une augmentation de 33 400 CHF (croissance réelle zéro). L'augmentation correspondante des contributions mises en recouvrement représenterait, pour la période quadriennale, un montant de 54,6 millions CHF, qui aurait permis de financer adéquatement les priorités stratégiques. Compte tenu de la décision de maintenir le montant de l'unité contributive à son niveau actuel, le projet de plan financier ne permettra pas de dégager tous les fonds nécessaires, selon les niveaux proposés par les Bureaux et le Secrétariat général, pour répondre aux priorités stratégiques. Il est nécessaire de veiller à ce que les dépenses prévues n'excèdent pas les produits escomptés. On trouvera dans la </w:t>
      </w:r>
      <w:r w:rsidR="0034270A">
        <w:t>P</w:t>
      </w:r>
      <w:r>
        <w:t>artie 5 des informations sur certaines contraintes financières auxquelles l'UIT sera soumise dans l'exécution du présent plan financier.</w:t>
      </w:r>
    </w:p>
    <w:p w14:paraId="36377B45" w14:textId="176A5EA9" w:rsidR="008948EB" w:rsidRDefault="008948EB" w:rsidP="00CE08D4">
      <w:pPr>
        <w:jc w:val="both"/>
      </w:pPr>
      <w:r>
        <w:t>3.3</w:t>
      </w:r>
      <w:r>
        <w:tab/>
        <w:t xml:space="preserve">En ce qui concerne le recouvrement des coûts et les autres produits, les estimations figurant dans le projet de </w:t>
      </w:r>
      <w:r w:rsidR="00D14834">
        <w:t>p</w:t>
      </w:r>
      <w:r>
        <w:t xml:space="preserve">lan financier pour la période 2028-2031 sont globalement alignées </w:t>
      </w:r>
      <w:r>
        <w:lastRenderedPageBreak/>
        <w:t>sur les produits effectivement perçus par l'UIT pendant l'exercice biennal 2024</w:t>
      </w:r>
      <w:r w:rsidR="0034270A">
        <w:noBreakHyphen/>
      </w:r>
      <w:r>
        <w:t>2025 et sur les produits escomptés inscrits au budget pour l'exercice biennal 2026-2027. On notera que les prévisions afférentes aux produits du traitement des fiches de notification des réseaux à satellite s'inscrivent en légère augmentation. Si ces produits devraient être un peu plus élevés en 2028-2029 (20 millions CHF) qu'en 2024-2025 (16,2 millions CHF), on s'attend à un léger accroissement supplémentaire pour 2030-2031 (25 millions CHF), en raison d'un volume plus important de fiches traitées, rendu possible par les investissements devant être effectués dans le système et certains ajustements opérationnels. Ce redressement ne devrait pas cependant permettre de revenir au niveau plus élevé des produits inscrits au budget que l'on observait lors des cycles précédents du plan stratégique.</w:t>
      </w:r>
    </w:p>
    <w:p w14:paraId="12C5E20A" w14:textId="370F0424" w:rsidR="008948EB" w:rsidRDefault="008948EB" w:rsidP="00CE08D4">
      <w:pPr>
        <w:jc w:val="both"/>
      </w:pPr>
      <w:r>
        <w:t>3.4</w:t>
      </w:r>
      <w:r>
        <w:tab/>
        <w:t>Compte tenu de ce qui précède, l'estimation des produits pour la période 2028</w:t>
      </w:r>
      <w:r w:rsidR="0034270A">
        <w:noBreakHyphen/>
      </w:r>
      <w:r>
        <w:t xml:space="preserve">2031 se caractérise par une absence d'évolution. Comme il apparaît dans le Tableau 1 ci-dessous, on s'attend </w:t>
      </w:r>
      <w:r w:rsidR="0034270A">
        <w:t xml:space="preserve">à ce </w:t>
      </w:r>
      <w:r>
        <w:t>que les produits de l'UIT restent à des niveaux comparables à ceux observés pendant l'exercice biennal 2024-2025, qui n'augmentent guère ou pas du tout, et pourraient connaître une diminution faible à modérée certaines années, en cas d'instabilité du marché pour les éléments assujettis au recouvrement des coûts. Le Tableau 1 ci-dessous donne la ventilation de l'ensemble des produits en même temps qu'il permet la comparaison avec le budget approuvé pour 2026-2027 et les résultats effectifs pour 2024-2025.</w:t>
      </w:r>
    </w:p>
    <w:p w14:paraId="2F7E2ADF" w14:textId="77777777" w:rsidR="00CE08D4" w:rsidRDefault="008948EB" w:rsidP="00CE08D4">
      <w:pPr>
        <w:pStyle w:val="TableNo"/>
      </w:pPr>
      <w:r w:rsidRPr="00C95D98">
        <w:t>Tableau 1</w:t>
      </w:r>
    </w:p>
    <w:p w14:paraId="51EFA884" w14:textId="03B33F88" w:rsidR="008948EB" w:rsidRPr="00C95D98" w:rsidRDefault="008948EB" w:rsidP="00CE08D4">
      <w:pPr>
        <w:pStyle w:val="Tabletitle"/>
      </w:pPr>
      <w:r w:rsidRPr="00C95D98">
        <w:t xml:space="preserve">Produits par </w:t>
      </w:r>
      <w:r w:rsidRPr="00CE08D4">
        <w:t>source</w:t>
      </w:r>
      <w:r w:rsidRPr="00C95D98">
        <w:t xml:space="preserve"> de financement (2024-2031)</w:t>
      </w:r>
    </w:p>
    <w:p w14:paraId="03C7BC2F" w14:textId="44103F0F" w:rsidR="008948EB" w:rsidRDefault="00D14834" w:rsidP="00505538">
      <w:pPr>
        <w:pStyle w:val="Figure"/>
      </w:pPr>
      <w:r w:rsidRPr="00D14834">
        <w:rPr>
          <w:noProof/>
        </w:rPr>
        <w:drawing>
          <wp:inline distT="0" distB="0" distL="0" distR="0" wp14:anchorId="018CC167" wp14:editId="6F8BCE50">
            <wp:extent cx="5760085" cy="2831465"/>
            <wp:effectExtent l="0" t="0" r="0" b="6985"/>
            <wp:docPr id="16240423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085" cy="2831465"/>
                    </a:xfrm>
                    <a:prstGeom prst="rect">
                      <a:avLst/>
                    </a:prstGeom>
                    <a:noFill/>
                    <a:ln>
                      <a:noFill/>
                    </a:ln>
                  </pic:spPr>
                </pic:pic>
              </a:graphicData>
            </a:graphic>
          </wp:inline>
        </w:drawing>
      </w:r>
    </w:p>
    <w:p w14:paraId="7CDF1245" w14:textId="2E533020" w:rsidR="008948EB" w:rsidRDefault="008948EB" w:rsidP="00B52E99">
      <w:pPr>
        <w:pStyle w:val="Heading1"/>
      </w:pPr>
      <w:r w:rsidRPr="008948EB">
        <w:t>4</w:t>
      </w:r>
      <w:r w:rsidRPr="008948EB">
        <w:tab/>
        <w:t>Utilisation des ressources financières</w:t>
      </w:r>
    </w:p>
    <w:p w14:paraId="20C1A428" w14:textId="5BCBA3EC" w:rsidR="008948EB" w:rsidRDefault="008948EB" w:rsidP="00CE08D4">
      <w:pPr>
        <w:keepLines/>
        <w:jc w:val="both"/>
      </w:pPr>
      <w:r>
        <w:t>4.1</w:t>
      </w:r>
      <w:r>
        <w:tab/>
        <w:t>Pour ce qui est des charges, on s'attend que l'UIT doive faire face à des coûts plus élevés, imputables à l'inflation, à l'augmentation des traitements, à la hausse du coût des soins de santé et à d'autres facteurs d'inflation. En conséquence, l'exécution du plan financier dans le cadre des budgets pour 2028-2029 et 2030-2031 imposera d'établir rigoureusement les priorités afin d'assurer la continuité des missions essentielles et des fonctions officielles, dans un contexte de hausse des coûts et de produits stationnaires.</w:t>
      </w:r>
    </w:p>
    <w:p w14:paraId="3FC3609B" w14:textId="21B5F02D" w:rsidR="008948EB" w:rsidRDefault="008948EB" w:rsidP="00CE08D4">
      <w:pPr>
        <w:jc w:val="both"/>
      </w:pPr>
      <w:r>
        <w:lastRenderedPageBreak/>
        <w:t>4.2</w:t>
      </w:r>
      <w:r>
        <w:tab/>
        <w:t>Il sera nécessaire d'appliquer des mesures d'efficacité pour garantir un budget équilibré pour les exercices biennaux 2028-2029 et 2030-2031, dans la limite générale du projet de Plan financier pour la période 2028-2031. Pour garantir la discipline budgétaire et la viabilité financière à long terme, un ensemble de mesures structurelles d'efficacité sera nécessaire pendant la période 2028-2031, comme suit:</w:t>
      </w:r>
    </w:p>
    <w:p w14:paraId="455DFE7D" w14:textId="0A74B326" w:rsidR="008948EB" w:rsidRDefault="00AF54EC" w:rsidP="00CE08D4">
      <w:pPr>
        <w:pStyle w:val="enumlev1"/>
        <w:jc w:val="both"/>
      </w:pPr>
      <w:r w:rsidRPr="00AF54EC">
        <w:t>–</w:t>
      </w:r>
      <w:r w:rsidRPr="00AF54EC">
        <w:tab/>
      </w:r>
      <w:r w:rsidR="008948EB">
        <w:t xml:space="preserve">Les dépenses de personnel doivent rester cohérentes avec l'enveloppe financière disponible, et les prévisions actuelles indiquent qu'il faudra légèrement réduire le niveau global des effectifs pour contenir les charges dans la limite des produits escomptés eu égard au contexte de croissance nominale zéro des produits et d'augmentation des coûts. Le </w:t>
      </w:r>
      <w:r w:rsidR="00D14834">
        <w:t>S</w:t>
      </w:r>
      <w:r w:rsidR="008948EB">
        <w:t>ecrétariat aura recours à diverses méthodes, consistant notamment dans la gestion stratégique des postes vacants, les plans de départ par accord mutuel, la réduction naturelle des effectifs et le redéploiement ciblé.</w:t>
      </w:r>
    </w:p>
    <w:p w14:paraId="41F8D5A1" w14:textId="2B974F76" w:rsidR="008948EB" w:rsidRDefault="00AF54EC" w:rsidP="00CE08D4">
      <w:pPr>
        <w:pStyle w:val="enumlev1"/>
        <w:jc w:val="both"/>
      </w:pPr>
      <w:r w:rsidRPr="00AF54EC">
        <w:t>–</w:t>
      </w:r>
      <w:r w:rsidRPr="00AF54EC">
        <w:tab/>
      </w:r>
      <w:r w:rsidR="008948EB">
        <w:t>La modernisation en cours des systèmes d'entreprise essentiels – notamment SAP</w:t>
      </w:r>
      <w:r w:rsidR="001A06DE">
        <w:t> </w:t>
      </w:r>
      <w:r w:rsidR="008948EB">
        <w:t>S/4HANA, Microsoft Dynamics (CRM), Cvent et les plates-formes numériques connexes – doit se traduire par des gains d'efficacité mesurables sur le plan opérationnel. Ces investissements devraient permettre de diminuer la fréquence des procédures manuelles, de supprimer les systèmes de suivi parallèles, de renforcer l'intégrité des données et de normaliser les flux de travail de bout en bout dans les domaines des finances, des ressources humaines, des achats et de la gestion de projets. Au fil du temps, cette transformation numérique devrait permettre d'alléger les structures administratives et de mieux maîtriser les coûts.</w:t>
      </w:r>
    </w:p>
    <w:p w14:paraId="022861A0" w14:textId="053FA8CA" w:rsidR="008948EB" w:rsidRDefault="00AF54EC" w:rsidP="00CE08D4">
      <w:pPr>
        <w:pStyle w:val="enumlev1"/>
        <w:jc w:val="both"/>
      </w:pPr>
      <w:r w:rsidRPr="00AF54EC">
        <w:t>–</w:t>
      </w:r>
      <w:r w:rsidRPr="00AF54EC">
        <w:tab/>
      </w:r>
      <w:r w:rsidR="008948EB">
        <w:t>La discipline devra être maintenue en ce qui concerne les dépenses liées aux voyages et aux réunions et autres manifestations. Il sera nécessaire de recourir davantage à des modalités virtuelles ou hybrides pour les réunions et manifestations de l'UIT, d'accroître la participation à distance du personnel de l'UIT aux réunions et manifestations internationales, de mieux définir les missions prioritaires et d'exercer un contrôle plus strict des voyages discrétionnaires pour veiller à ce que les dépenses liées aux missions restent conformes aux objectifs stratégiques. La modernisation des systèmes de gestion des manifestations et des conférences devrait également favoriser une utilisation plus efficace des ressources et une meilleure planification des réunions.</w:t>
      </w:r>
    </w:p>
    <w:p w14:paraId="6235EC53" w14:textId="0FA3C2D3" w:rsidR="008948EB" w:rsidRDefault="00AF54EC" w:rsidP="00CE08D4">
      <w:pPr>
        <w:pStyle w:val="enumlev1"/>
        <w:jc w:val="both"/>
      </w:pPr>
      <w:r w:rsidRPr="00AF54EC">
        <w:t>–</w:t>
      </w:r>
      <w:r w:rsidRPr="00AF54EC">
        <w:tab/>
      </w:r>
      <w:r w:rsidR="008948EB">
        <w:t xml:space="preserve">Enfin, on continuera de chercher à rationaliser les achats et à opérer des synergies intersectorielles, notamment en regroupant les contrats, en supprimant les services redondants et en améliorant la coordination des fonctions d'appui à l'échelle du </w:t>
      </w:r>
      <w:r w:rsidR="00D14834">
        <w:t>S</w:t>
      </w:r>
      <w:r w:rsidR="008948EB">
        <w:t>ecrétariat.</w:t>
      </w:r>
    </w:p>
    <w:p w14:paraId="49B804A5" w14:textId="4F94DEA4" w:rsidR="008948EB" w:rsidRDefault="008948EB" w:rsidP="00CE08D4">
      <w:pPr>
        <w:keepLines/>
        <w:jc w:val="both"/>
      </w:pPr>
      <w:r>
        <w:t>Ces mesures ne sont pas des ajustements temporaires, mais doivent s'inscrire dans un effort plus général visant à aligner la structure des coûts de l'Union sur la contraction des produits à laquelle on s'attend pour la période 2028-2031. Pour maintenir l'équilibre financier dans ces conditions, il faudra faire preuve d'une discipline constante dans la gestion et réaliser pleinement les gains d'efficacité associés aux initiatives de transformation en cours.</w:t>
      </w:r>
    </w:p>
    <w:p w14:paraId="33970C47" w14:textId="3E009432" w:rsidR="008948EB" w:rsidRDefault="008948EB" w:rsidP="00CE08D4">
      <w:pPr>
        <w:jc w:val="both"/>
      </w:pPr>
      <w:r>
        <w:t>4.3</w:t>
      </w:r>
      <w:r>
        <w:tab/>
        <w:t xml:space="preserve">Comme on l'a vu au paragraphe 2.2 ci-dessus, le présent projet de </w:t>
      </w:r>
      <w:r w:rsidR="00D14834">
        <w:t>p</w:t>
      </w:r>
      <w:r>
        <w:t xml:space="preserve">lan financier pour la période 2028-2031 est aligné sur le processus d'élaboration du Plan stratégique pour la période 2028-2031. Le Conseil a délégué l'élaboration du projet de </w:t>
      </w:r>
      <w:r w:rsidR="00505538">
        <w:t>p</w:t>
      </w:r>
      <w:r>
        <w:t xml:space="preserve">lan stratégique et du projet de </w:t>
      </w:r>
      <w:r w:rsidR="00505538">
        <w:t>p</w:t>
      </w:r>
      <w:r>
        <w:t>lan financier au GTC-SFP. Les ressources financières disponibles pour la période</w:t>
      </w:r>
      <w:r w:rsidR="00505538">
        <w:t> </w:t>
      </w:r>
      <w:r>
        <w:t xml:space="preserve">2028-2031, telles que définies dans le présent document, seront utilisées pour atteindre les buts et priorités stratégiques énoncés dans le Plan stratégique pour la </w:t>
      </w:r>
      <w:r>
        <w:lastRenderedPageBreak/>
        <w:t>période</w:t>
      </w:r>
      <w:r w:rsidR="00505538">
        <w:t> </w:t>
      </w:r>
      <w:r>
        <w:t xml:space="preserve">2028-2031. Ce plan stratégique est toujours en cours d'élaboration, mais le </w:t>
      </w:r>
      <w:r w:rsidR="00D14834">
        <w:t>S</w:t>
      </w:r>
      <w:r>
        <w:t>ecrétariat a mis en concordance les produits et services fournis et les axes de travail suivis par l'UIT à l'heure actuelle avec les nouvelles priorités et les nouveaux résultats proposés dans le projet de plan stratégique (sur la base des programmes de travail pour 2026). À</w:t>
      </w:r>
      <w:r w:rsidR="00505538">
        <w:t> </w:t>
      </w:r>
      <w:r>
        <w:t xml:space="preserve">partir de cette concordance, le </w:t>
      </w:r>
      <w:r w:rsidR="00D14834">
        <w:t>S</w:t>
      </w:r>
      <w:r>
        <w:t xml:space="preserve">ecrétariat a proposé une répartition des ressources financières qui seraient allouées à ces priorités provisoires. Les ouvertures de crédit budgétaire proposées sont présentées au Tableau 2 ci-dessous. Les dépenses nécessaires à la réalisation des catalyseurs définis dans le projet de plan stratégique </w:t>
      </w:r>
      <w:r w:rsidRPr="00505538">
        <w:t>sont compris</w:t>
      </w:r>
      <w:r w:rsidR="00505538">
        <w:t>es</w:t>
      </w:r>
      <w:r w:rsidRPr="00505538">
        <w:t xml:space="preserve"> dans</w:t>
      </w:r>
      <w:r>
        <w:t xml:space="preserve"> les coûts de mise en œuvre des priorités.</w:t>
      </w:r>
    </w:p>
    <w:p w14:paraId="486A158A" w14:textId="2FF8C491" w:rsidR="008948EB" w:rsidRDefault="008948EB" w:rsidP="00AF54EC">
      <w:pPr>
        <w:jc w:val="both"/>
      </w:pPr>
      <w:r>
        <w:t>4.4</w:t>
      </w:r>
      <w:r>
        <w:tab/>
        <w:t xml:space="preserve">Au-delà des crédits budgétaires proposés par le </w:t>
      </w:r>
      <w:r w:rsidR="00804E1A">
        <w:t>S</w:t>
      </w:r>
      <w:r>
        <w:t>ecrétariat, il est admis que les priorités figurant dans le projet actuel sont susceptibles de modification par les membres. De</w:t>
      </w:r>
      <w:r w:rsidR="001A06DE">
        <w:t> </w:t>
      </w:r>
      <w:r>
        <w:t>même, il est loisible aux membres d'ajuster le degré d'importance attribué à telle ou telle priorité en ajustant la part des ressources de l'UIT allouée à chacune. Les ouvertures de crédit budgétaire proposées dans le projet de Plan financier pour la période 2028-2031 pourront donc être ajustées en fonction des décisions que les membres prendront à la prochaine réunion du GTC-SFP ou à la Conférence de plénipotentiaires de 2026, avant finalisation et approbation du document.</w:t>
      </w:r>
    </w:p>
    <w:p w14:paraId="2454E238" w14:textId="77777777" w:rsidR="00AF54EC" w:rsidRDefault="008948EB" w:rsidP="00AF54EC">
      <w:pPr>
        <w:pStyle w:val="TableNo"/>
      </w:pPr>
      <w:r w:rsidRPr="00505538">
        <w:t>Tableau 2</w:t>
      </w:r>
    </w:p>
    <w:p w14:paraId="2FAA540C" w14:textId="7766FBBD" w:rsidR="008948EB" w:rsidRPr="00505538" w:rsidRDefault="008948EB" w:rsidP="00AF54EC">
      <w:pPr>
        <w:pStyle w:val="Tabletitle"/>
      </w:pPr>
      <w:r w:rsidRPr="00505538">
        <w:t>Résumé des priorités par exercice biennal</w:t>
      </w:r>
    </w:p>
    <w:p w14:paraId="32388EEC" w14:textId="32FFB26C" w:rsidR="008948EB" w:rsidRDefault="0037395A" w:rsidP="00AF54EC">
      <w:pPr>
        <w:pStyle w:val="Figure"/>
      </w:pPr>
      <w:r>
        <w:rPr>
          <w:noProof/>
        </w:rPr>
        <w:drawing>
          <wp:inline distT="0" distB="0" distL="0" distR="0" wp14:anchorId="166CBA6B" wp14:editId="78C3641B">
            <wp:extent cx="5760085" cy="14954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085" cy="1495425"/>
                    </a:xfrm>
                    <a:prstGeom prst="rect">
                      <a:avLst/>
                    </a:prstGeom>
                  </pic:spPr>
                </pic:pic>
              </a:graphicData>
            </a:graphic>
          </wp:inline>
        </w:drawing>
      </w:r>
    </w:p>
    <w:p w14:paraId="4AE12F61" w14:textId="77777777" w:rsidR="008948EB" w:rsidRDefault="008948EB" w:rsidP="006D7361">
      <w:pPr>
        <w:pStyle w:val="Heading1"/>
      </w:pPr>
      <w:r>
        <w:t>5</w:t>
      </w:r>
      <w:r>
        <w:tab/>
        <w:t>Contraintes financières</w:t>
      </w:r>
    </w:p>
    <w:p w14:paraId="3BE37867" w14:textId="6AB0F0D7" w:rsidR="008948EB" w:rsidRDefault="008948EB" w:rsidP="00AF54EC">
      <w:pPr>
        <w:keepNext/>
        <w:keepLines/>
        <w:jc w:val="both"/>
      </w:pPr>
      <w:r>
        <w:t>5.1</w:t>
      </w:r>
      <w:r>
        <w:tab/>
        <w:t>Étant donné que les produits ne devraient pas croître pour la période 2028-2031 et que les charges de l'Union devraient augmenter, certaines initiatives susceptibles d'améliorer l'efficacité de l'UIT et d'avoir des incidences sur la réalisation des buts stratégiques ne pourront être financées au titre du plan financier. Il s'agit notamment des initiatives suivantes:</w:t>
      </w:r>
    </w:p>
    <w:p w14:paraId="208ECAEE" w14:textId="333544F0" w:rsidR="008948EB" w:rsidRDefault="00AF54EC" w:rsidP="00AF54EC">
      <w:pPr>
        <w:pStyle w:val="enumlev1"/>
        <w:jc w:val="both"/>
      </w:pPr>
      <w:r w:rsidRPr="00AF54EC">
        <w:t>–</w:t>
      </w:r>
      <w:r w:rsidRPr="00AF54EC">
        <w:tab/>
      </w:r>
      <w:r w:rsidR="008948EB" w:rsidRPr="001A06DE">
        <w:rPr>
          <w:b/>
          <w:bCs/>
        </w:rPr>
        <w:t>Affectation de ressources pour couvrir les incidences financières des futures conférences mondiales</w:t>
      </w:r>
      <w:r w:rsidR="008948EB">
        <w:t xml:space="preserve">: pendant la période de quatre ans qui a précédé l'actuelle session du Conseil, trois conférences mondiales ont produit des </w:t>
      </w:r>
      <w:r w:rsidR="00505538">
        <w:t>R</w:t>
      </w:r>
      <w:r w:rsidR="008948EB">
        <w:t>ésolutions nouvelles ou modifiées dont elles estiment que la mise en œuvre nécessite des fonds supplémentaires, desquels le total s'élève à plus de 15 millions CHF, et qui, dans tous les cas, excèdent le montant de l'enveloppe budgétaire prévue dans le plan financier (2020</w:t>
      </w:r>
      <w:r w:rsidR="00505538">
        <w:noBreakHyphen/>
      </w:r>
      <w:r w:rsidR="008948EB">
        <w:t>2023 et 2024-2027).</w:t>
      </w:r>
    </w:p>
    <w:p w14:paraId="210BD931" w14:textId="6269E3F3" w:rsidR="008948EB" w:rsidRDefault="00AF54EC" w:rsidP="00AF54EC">
      <w:pPr>
        <w:pStyle w:val="enumlev1"/>
        <w:jc w:val="both"/>
      </w:pPr>
      <w:r w:rsidRPr="00AF54EC">
        <w:t>–</w:t>
      </w:r>
      <w:r w:rsidRPr="00AF54EC">
        <w:tab/>
      </w:r>
      <w:r w:rsidR="008948EB" w:rsidRPr="001A06DE">
        <w:rPr>
          <w:b/>
          <w:bCs/>
        </w:rPr>
        <w:t>Financement stable à l'appui des initiatives sur l'intelligence artificielle</w:t>
      </w:r>
      <w:r w:rsidR="008948EB">
        <w:t xml:space="preserve">: </w:t>
      </w:r>
      <w:r w:rsidR="00505538">
        <w:t>e</w:t>
      </w:r>
      <w:r w:rsidR="008948EB">
        <w:t xml:space="preserve">u égard au Fonds pour l'IA, créé en 2025 comme suite à la décision du Conseil d'allouer des ressources à cet effet, il aurait été indiqué de prévoir des crédits dans le Plan financier </w:t>
      </w:r>
      <w:r w:rsidR="008948EB">
        <w:lastRenderedPageBreak/>
        <w:t>pour la période 2028-2031 pour tenter de pérenniser la plate-forme de l'UIT sur l'IA au service du bien social et mettre en application d'autres mandats concernant l'IA, en soutenant l'exécution des programmes, les partenariats et le dialogue technique sur une IA éthique et inclusive. Il est répondu à ce besoin essentiellement au moyen de financements volontaires, complétés par des crédits ad hoc provenant d'économies, mais il serait plus efficace d'inscrire des crédits budgétaires à cet effet dans le plan financier.</w:t>
      </w:r>
    </w:p>
    <w:p w14:paraId="5E97E046" w14:textId="234CDFA2" w:rsidR="008948EB" w:rsidRDefault="00AF54EC" w:rsidP="00AF54EC">
      <w:pPr>
        <w:pStyle w:val="enumlev1"/>
        <w:jc w:val="both"/>
      </w:pPr>
      <w:r w:rsidRPr="00AF54EC">
        <w:t>–</w:t>
      </w:r>
      <w:r w:rsidRPr="00AF54EC">
        <w:tab/>
      </w:r>
      <w:r w:rsidR="008948EB" w:rsidRPr="001A06DE">
        <w:rPr>
          <w:b/>
          <w:bCs/>
        </w:rPr>
        <w:t>Investissement dans l'infrastructure et les services TIC</w:t>
      </w:r>
      <w:r w:rsidR="008948EB">
        <w:t>: il n'a pas été possible de prévoir des crédits budgétaires aux fins de garantir l'application cohérente de l'intégralité de l'actuel programme de transformation numérique de l'UIT, notamment d'obtenir un financement complet pour ce qui est des logiciels de gestion du spectre, des systèmes d'entreprise numériques modernes et de l'architecture fondamentale IA et données devant permettre la modernisation des systèmes des Secteurs. Ces initiatives ne visent pas seulement à remplacer des systèmes, mais offrent aussi un cadre structuré pour relever les défis en réorganisant les processus opérationnels, en modernisant l'architecture et en renforçant la gouvernance renforcée.</w:t>
      </w:r>
    </w:p>
    <w:p w14:paraId="04E114FE" w14:textId="1558B9A1" w:rsidR="008948EB" w:rsidRDefault="00AF54EC" w:rsidP="00AF54EC">
      <w:pPr>
        <w:pStyle w:val="enumlev1"/>
        <w:jc w:val="both"/>
      </w:pPr>
      <w:r w:rsidRPr="00AF54EC">
        <w:t>–</w:t>
      </w:r>
      <w:r w:rsidRPr="00AF54EC">
        <w:tab/>
      </w:r>
      <w:r w:rsidR="008948EB" w:rsidRPr="00C46281">
        <w:rPr>
          <w:b/>
          <w:bCs/>
        </w:rPr>
        <w:t>Continuité des activités</w:t>
      </w:r>
      <w:r w:rsidR="008948EB">
        <w:t xml:space="preserve">: </w:t>
      </w:r>
      <w:r w:rsidR="00F0536D">
        <w:t>a</w:t>
      </w:r>
      <w:r w:rsidR="008948EB">
        <w:t xml:space="preserve">u cours de la période quadriennale, le </w:t>
      </w:r>
      <w:r w:rsidR="00DC50EF">
        <w:t>S</w:t>
      </w:r>
      <w:r w:rsidR="008948EB">
        <w:t>ecrétariat devra assurer la continuité des activités ordinaires et des services de conférence dans les locaux du siège. Il s'agit notamment d'engager les préparatifs nécessaires pour permettre la réinstallation du personnel dans les deux bâtiments restants. En outre, si tout est mis en œuvre pour que les travaux de construction perturbent le moins possible le déroulement des conférences, il sera nécessaire de mener des stratégies d'atténuation. Un plan global de continuité des activités a été établi avec les acteurs concernés en interne, afin que les besoins des activités de conférence et du travail quotidien soient satisfaits, tout en assurant les différents services d'appui essentiels (sécurité, informatique, santé, bien-être et exploitation des bâtiments, notamment). D'après ce plan, un financement supplémentaire serait nécessaire pour atténuer encore les incidences de la construction du nouveau bâtiment du siège sur le fonctionnement quotidien de l'UIT pendant les travaux.</w:t>
      </w:r>
    </w:p>
    <w:p w14:paraId="2D915973" w14:textId="77777777" w:rsidR="00AF54EC" w:rsidRDefault="00AF54EC" w:rsidP="00AF54EC">
      <w:pPr>
        <w:pStyle w:val="enumlev1"/>
        <w:jc w:val="both"/>
      </w:pPr>
    </w:p>
    <w:p w14:paraId="581D9464" w14:textId="67C49F2D" w:rsidR="008948EB" w:rsidRPr="001F1628" w:rsidRDefault="008948EB" w:rsidP="00505538">
      <w:pPr>
        <w:spacing w:before="0"/>
        <w:jc w:val="center"/>
      </w:pPr>
      <w:r>
        <w:t>______________</w:t>
      </w:r>
    </w:p>
    <w:sectPr w:rsidR="008948EB" w:rsidRPr="001F1628" w:rsidSect="00D72F49">
      <w:headerReference w:type="even" r:id="rId12"/>
      <w:footerReference w:type="even" r:id="rId13"/>
      <w:footerReference w:type="default" r:id="rId14"/>
      <w:headerReference w:type="first" r:id="rId15"/>
      <w:footerReference w:type="first" r:id="rId16"/>
      <w:pgSz w:w="11907" w:h="16840" w:code="9"/>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D5F62" w14:textId="77777777" w:rsidR="008D0C6D" w:rsidRDefault="008D0C6D">
      <w:r>
        <w:separator/>
      </w:r>
    </w:p>
  </w:endnote>
  <w:endnote w:type="continuationSeparator" w:id="0">
    <w:p w14:paraId="6A54BD7B" w14:textId="77777777" w:rsidR="008D0C6D" w:rsidRDefault="008D0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682BC" w14:textId="7836A3B3" w:rsidR="00732045" w:rsidRPr="001F1628" w:rsidRDefault="008D0C6D">
    <w:pPr>
      <w:pStyle w:val="Footer"/>
      <w:rPr>
        <w:lang w:val="en-US"/>
      </w:rPr>
    </w:pPr>
    <w:r>
      <w:fldChar w:fldCharType="begin"/>
    </w:r>
    <w:r w:rsidRPr="001F1628">
      <w:rPr>
        <w:lang w:val="en-US"/>
      </w:rPr>
      <w:instrText xml:space="preserve"> FILENAME \p \* MERGEFORMAT </w:instrText>
    </w:r>
    <w:r>
      <w:fldChar w:fldCharType="separate"/>
    </w:r>
    <w:r w:rsidR="001F1628" w:rsidRPr="001F1628">
      <w:rPr>
        <w:lang w:val="en-US"/>
      </w:rPr>
      <w:t>P:\FRA\gDoc\SG\C26\2600624F.docx</w:t>
    </w:r>
    <w:r>
      <w:fldChar w:fldCharType="end"/>
    </w:r>
    <w:r w:rsidR="00732045" w:rsidRPr="001F1628">
      <w:rPr>
        <w:lang w:val="en-US"/>
      </w:rPr>
      <w:tab/>
    </w:r>
    <w:r w:rsidR="002F1B76">
      <w:fldChar w:fldCharType="begin"/>
    </w:r>
    <w:r w:rsidR="00732045">
      <w:instrText xml:space="preserve"> savedate \@ dd.MM.yy </w:instrText>
    </w:r>
    <w:r w:rsidR="002F1B76">
      <w:fldChar w:fldCharType="separate"/>
    </w:r>
    <w:r w:rsidR="00711B19">
      <w:t>31.03.26</w:t>
    </w:r>
    <w:r w:rsidR="002F1B76">
      <w:fldChar w:fldCharType="end"/>
    </w:r>
    <w:r w:rsidR="00732045" w:rsidRPr="001F1628">
      <w:rPr>
        <w:lang w:val="en-US"/>
      </w:rPr>
      <w:tab/>
    </w:r>
    <w:r w:rsidR="002F1B76">
      <w:fldChar w:fldCharType="begin"/>
    </w:r>
    <w:r w:rsidR="00732045">
      <w:instrText xml:space="preserve"> printdate \@ dd.MM.yy </w:instrText>
    </w:r>
    <w:r w:rsidR="002F1B76">
      <w:fldChar w:fldCharType="separate"/>
    </w:r>
    <w:r w:rsidR="001F1628">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43FF04BA" w14:textId="77777777" w:rsidTr="00E31DCE">
      <w:trPr>
        <w:jc w:val="center"/>
      </w:trPr>
      <w:tc>
        <w:tcPr>
          <w:tcW w:w="1803" w:type="dxa"/>
          <w:vAlign w:val="center"/>
        </w:tcPr>
        <w:p w14:paraId="54502BF3" w14:textId="6F63086D" w:rsidR="00A51849" w:rsidRDefault="008D0C6D" w:rsidP="00A51849">
          <w:pPr>
            <w:pStyle w:val="Header"/>
            <w:jc w:val="left"/>
            <w:rPr>
              <w:noProof/>
            </w:rPr>
          </w:pPr>
          <w:r>
            <w:rPr>
              <w:noProof/>
            </w:rPr>
            <w:t>2600</w:t>
          </w:r>
          <w:r w:rsidR="008948EB">
            <w:rPr>
              <w:noProof/>
            </w:rPr>
            <w:t>567</w:t>
          </w:r>
        </w:p>
      </w:tc>
      <w:tc>
        <w:tcPr>
          <w:tcW w:w="8261" w:type="dxa"/>
        </w:tcPr>
        <w:p w14:paraId="22B2E4C4" w14:textId="5973CF49"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E4448E">
            <w:rPr>
              <w:bCs/>
            </w:rPr>
            <w:t>6</w:t>
          </w:r>
          <w:r w:rsidRPr="00623AE3">
            <w:rPr>
              <w:bCs/>
            </w:rPr>
            <w:t>/</w:t>
          </w:r>
          <w:r w:rsidR="008D0C6D">
            <w:rPr>
              <w:bCs/>
            </w:rPr>
            <w:t>3</w:t>
          </w:r>
          <w:r w:rsidR="008948EB">
            <w:rPr>
              <w:bCs/>
            </w:rPr>
            <w:t>2</w:t>
          </w:r>
          <w:r w:rsidRPr="00623AE3">
            <w:rPr>
              <w:bCs/>
            </w:rPr>
            <w:t>-</w:t>
          </w:r>
          <w:r w:rsidR="00973F53">
            <w:rPr>
              <w:bCs/>
            </w:rPr>
            <w:t>F</w:t>
          </w:r>
          <w:r>
            <w:rPr>
              <w:bCs/>
            </w:rPr>
            <w:tab/>
          </w:r>
          <w:r>
            <w:fldChar w:fldCharType="begin"/>
          </w:r>
          <w:r>
            <w:instrText>PAGE</w:instrText>
          </w:r>
          <w:r>
            <w:fldChar w:fldCharType="separate"/>
          </w:r>
          <w:r>
            <w:t>1</w:t>
          </w:r>
          <w:r>
            <w:rPr>
              <w:noProof/>
            </w:rPr>
            <w:fldChar w:fldCharType="end"/>
          </w:r>
        </w:p>
      </w:tc>
    </w:tr>
  </w:tbl>
  <w:p w14:paraId="29651F06" w14:textId="77777777" w:rsidR="00732045" w:rsidRPr="00A51849" w:rsidRDefault="00732045" w:rsidP="00FC6D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5F96A9D8" w14:textId="77777777" w:rsidTr="00E31DCE">
      <w:trPr>
        <w:jc w:val="center"/>
      </w:trPr>
      <w:tc>
        <w:tcPr>
          <w:tcW w:w="1803" w:type="dxa"/>
          <w:vAlign w:val="center"/>
        </w:tcPr>
        <w:p w14:paraId="62321992" w14:textId="77777777" w:rsidR="00A51849" w:rsidRPr="00FC6D7D" w:rsidRDefault="00E4448E" w:rsidP="00A51849">
          <w:pPr>
            <w:pStyle w:val="Header"/>
            <w:jc w:val="left"/>
            <w:rPr>
              <w:noProof/>
              <w:color w:val="0563C1"/>
            </w:rPr>
          </w:pPr>
          <w:hyperlink r:id="rId1" w:anchor="/fr" w:history="1">
            <w:r>
              <w:rPr>
                <w:rStyle w:val="Hyperlink"/>
              </w:rPr>
              <w:t>council.itu.int/2026</w:t>
            </w:r>
          </w:hyperlink>
        </w:p>
      </w:tc>
      <w:tc>
        <w:tcPr>
          <w:tcW w:w="8261" w:type="dxa"/>
        </w:tcPr>
        <w:p w14:paraId="370BED2D" w14:textId="21859EA1"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E4448E">
            <w:rPr>
              <w:bCs/>
            </w:rPr>
            <w:t>6</w:t>
          </w:r>
          <w:r w:rsidRPr="00623AE3">
            <w:rPr>
              <w:bCs/>
            </w:rPr>
            <w:t>/</w:t>
          </w:r>
          <w:r w:rsidR="008D0C6D">
            <w:rPr>
              <w:bCs/>
            </w:rPr>
            <w:t>3</w:t>
          </w:r>
          <w:r w:rsidR="00D27886">
            <w:rPr>
              <w:bCs/>
            </w:rPr>
            <w:t>2</w:t>
          </w:r>
          <w:r w:rsidRPr="00623AE3">
            <w:rPr>
              <w:bCs/>
            </w:rPr>
            <w:t>-</w:t>
          </w:r>
          <w:r w:rsidR="00D72F49">
            <w:rPr>
              <w:bCs/>
            </w:rPr>
            <w:t>F</w:t>
          </w:r>
          <w:r>
            <w:rPr>
              <w:bCs/>
            </w:rPr>
            <w:tab/>
          </w:r>
          <w:r>
            <w:fldChar w:fldCharType="begin"/>
          </w:r>
          <w:r>
            <w:instrText>PAGE</w:instrText>
          </w:r>
          <w:r>
            <w:fldChar w:fldCharType="separate"/>
          </w:r>
          <w:r>
            <w:t>1</w:t>
          </w:r>
          <w:r>
            <w:rPr>
              <w:noProof/>
            </w:rPr>
            <w:fldChar w:fldCharType="end"/>
          </w:r>
        </w:p>
      </w:tc>
    </w:tr>
  </w:tbl>
  <w:p w14:paraId="31FE9CC9" w14:textId="77777777" w:rsidR="00732045" w:rsidRPr="00A51849" w:rsidRDefault="00732045" w:rsidP="00FC6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5EE60" w14:textId="77777777" w:rsidR="008D0C6D" w:rsidRDefault="008D0C6D">
      <w:r>
        <w:t>____________________</w:t>
      </w:r>
    </w:p>
  </w:footnote>
  <w:footnote w:type="continuationSeparator" w:id="0">
    <w:p w14:paraId="644F34E2" w14:textId="77777777" w:rsidR="008D0C6D" w:rsidRDefault="008D0C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5D4D5"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2B22BB48" w14:textId="77777777" w:rsidR="00732045" w:rsidRDefault="00732045">
    <w:pPr>
      <w:pStyle w:val="Header"/>
    </w:pPr>
    <w:r>
      <w:t>C2001/#-F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34E4F" w14:textId="77777777" w:rsidR="00A51849" w:rsidRPr="001342E0" w:rsidRDefault="001342E0" w:rsidP="001342E0">
    <w:pPr>
      <w:pStyle w:val="Header"/>
    </w:pPr>
    <w:r>
      <w:rPr>
        <w:noProof/>
      </w:rPr>
      <w:drawing>
        <wp:inline distT="0" distB="0" distL="0" distR="0" wp14:anchorId="5ED8E9FD" wp14:editId="1D4E8F16">
          <wp:extent cx="5760085" cy="840740"/>
          <wp:effectExtent l="0" t="0" r="0" b="0"/>
          <wp:docPr id="322889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89409" name="Picture 322889409"/>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8364A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FC17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52E2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324F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BEA3A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3050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D0D2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22DA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4A9B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22DC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635E9A"/>
    <w:multiLevelType w:val="multilevel"/>
    <w:tmpl w:val="1C7AFD2C"/>
    <w:lvl w:ilvl="0">
      <w:numFmt w:val="bullet"/>
      <w:lvlText w:val="-"/>
      <w:lvlJc w:val="left"/>
      <w:pPr>
        <w:ind w:left="1080" w:hanging="360"/>
      </w:pPr>
      <w:rPr>
        <w:rFonts w:ascii="Calibri" w:eastAsia="MS Mincho" w:hAnsi="Calibri" w:cs="Calibri"/>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1" w15:restartNumberingAfterBreak="0">
    <w:nsid w:val="0797670E"/>
    <w:multiLevelType w:val="multilevel"/>
    <w:tmpl w:val="BBB4860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 w15:restartNumberingAfterBreak="0">
    <w:nsid w:val="0FA26BC0"/>
    <w:multiLevelType w:val="multilevel"/>
    <w:tmpl w:val="E87ECB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1110352C"/>
    <w:multiLevelType w:val="multilevel"/>
    <w:tmpl w:val="2E68D3D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4" w15:restartNumberingAfterBreak="0">
    <w:nsid w:val="1CAF24CE"/>
    <w:multiLevelType w:val="multilevel"/>
    <w:tmpl w:val="49FEEA6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5" w15:restartNumberingAfterBreak="0">
    <w:nsid w:val="1D445D8B"/>
    <w:multiLevelType w:val="multilevel"/>
    <w:tmpl w:val="B7A4A75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6" w15:restartNumberingAfterBreak="0">
    <w:nsid w:val="26D74A0D"/>
    <w:multiLevelType w:val="multilevel"/>
    <w:tmpl w:val="50FC4C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7" w15:restartNumberingAfterBreak="0">
    <w:nsid w:val="28BA3325"/>
    <w:multiLevelType w:val="multilevel"/>
    <w:tmpl w:val="AEF8E59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2B7B3882"/>
    <w:multiLevelType w:val="multilevel"/>
    <w:tmpl w:val="281AF77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9" w15:restartNumberingAfterBreak="0">
    <w:nsid w:val="2C23660D"/>
    <w:multiLevelType w:val="multilevel"/>
    <w:tmpl w:val="9232F9A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0" w15:restartNumberingAfterBreak="0">
    <w:nsid w:val="3F542F9B"/>
    <w:multiLevelType w:val="multilevel"/>
    <w:tmpl w:val="FCE202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1" w15:restartNumberingAfterBreak="0">
    <w:nsid w:val="46C52B06"/>
    <w:multiLevelType w:val="multilevel"/>
    <w:tmpl w:val="96EED012"/>
    <w:lvl w:ilvl="0">
      <w:numFmt w:val="bullet"/>
      <w:lvlText w:val=""/>
      <w:lvlJc w:val="left"/>
      <w:pPr>
        <w:ind w:left="768" w:hanging="360"/>
      </w:pPr>
      <w:rPr>
        <w:rFonts w:ascii="Symbol" w:hAnsi="Symbol"/>
      </w:rPr>
    </w:lvl>
    <w:lvl w:ilvl="1">
      <w:start w:val="1"/>
      <w:numFmt w:val="lowerLetter"/>
      <w:lvlText w:val="%2."/>
      <w:lvlJc w:val="left"/>
      <w:pPr>
        <w:ind w:left="1488" w:hanging="360"/>
      </w:pPr>
    </w:lvl>
    <w:lvl w:ilvl="2">
      <w:start w:val="1"/>
      <w:numFmt w:val="lowerRoman"/>
      <w:lvlText w:val="%3."/>
      <w:lvlJc w:val="right"/>
      <w:pPr>
        <w:ind w:left="2208" w:hanging="180"/>
      </w:pPr>
    </w:lvl>
    <w:lvl w:ilvl="3">
      <w:start w:val="1"/>
      <w:numFmt w:val="decimal"/>
      <w:lvlText w:val="%4."/>
      <w:lvlJc w:val="left"/>
      <w:pPr>
        <w:ind w:left="2928" w:hanging="360"/>
      </w:pPr>
    </w:lvl>
    <w:lvl w:ilvl="4">
      <w:start w:val="1"/>
      <w:numFmt w:val="lowerLetter"/>
      <w:lvlText w:val="%5."/>
      <w:lvlJc w:val="left"/>
      <w:pPr>
        <w:ind w:left="3648" w:hanging="360"/>
      </w:pPr>
    </w:lvl>
    <w:lvl w:ilvl="5">
      <w:start w:val="1"/>
      <w:numFmt w:val="lowerRoman"/>
      <w:lvlText w:val="%6."/>
      <w:lvlJc w:val="right"/>
      <w:pPr>
        <w:ind w:left="4368" w:hanging="180"/>
      </w:pPr>
    </w:lvl>
    <w:lvl w:ilvl="6">
      <w:start w:val="1"/>
      <w:numFmt w:val="decimal"/>
      <w:lvlText w:val="%7."/>
      <w:lvlJc w:val="left"/>
      <w:pPr>
        <w:ind w:left="5088" w:hanging="360"/>
      </w:pPr>
    </w:lvl>
    <w:lvl w:ilvl="7">
      <w:start w:val="1"/>
      <w:numFmt w:val="lowerLetter"/>
      <w:lvlText w:val="%8."/>
      <w:lvlJc w:val="left"/>
      <w:pPr>
        <w:ind w:left="5808" w:hanging="360"/>
      </w:pPr>
    </w:lvl>
    <w:lvl w:ilvl="8">
      <w:start w:val="1"/>
      <w:numFmt w:val="lowerRoman"/>
      <w:lvlText w:val="%9."/>
      <w:lvlJc w:val="right"/>
      <w:pPr>
        <w:ind w:left="6528" w:hanging="180"/>
      </w:pPr>
    </w:lvl>
  </w:abstractNum>
  <w:abstractNum w:abstractNumId="22" w15:restartNumberingAfterBreak="0">
    <w:nsid w:val="4FB46BD2"/>
    <w:multiLevelType w:val="multilevel"/>
    <w:tmpl w:val="43A22CB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5671743F"/>
    <w:multiLevelType w:val="multilevel"/>
    <w:tmpl w:val="E3B66A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5D6F2930"/>
    <w:multiLevelType w:val="multilevel"/>
    <w:tmpl w:val="98AC7E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5" w15:restartNumberingAfterBreak="0">
    <w:nsid w:val="6D6A386E"/>
    <w:multiLevelType w:val="multilevel"/>
    <w:tmpl w:val="0C04331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6" w15:restartNumberingAfterBreak="0">
    <w:nsid w:val="6F3E684C"/>
    <w:multiLevelType w:val="multilevel"/>
    <w:tmpl w:val="D3B2ED1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7" w15:restartNumberingAfterBreak="0">
    <w:nsid w:val="7244701F"/>
    <w:multiLevelType w:val="multilevel"/>
    <w:tmpl w:val="6C2096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8" w15:restartNumberingAfterBreak="0">
    <w:nsid w:val="73E85C3C"/>
    <w:multiLevelType w:val="multilevel"/>
    <w:tmpl w:val="84A6676C"/>
    <w:lvl w:ilvl="0">
      <w:start w:val="1"/>
      <w:numFmt w:val="lowerRoman"/>
      <w:lvlText w:val="%1."/>
      <w:lvlJc w:val="left"/>
      <w:pPr>
        <w:ind w:left="1290" w:hanging="720"/>
      </w:pPr>
      <w:rPr>
        <w:rFonts w:ascii="Calibri" w:eastAsia="Times New Roman" w:hAnsi="Calibri" w:cs="Times New Roman"/>
        <w:b/>
        <w:bCs w:val="0"/>
      </w:rPr>
    </w:lvl>
    <w:lvl w:ilvl="1">
      <w:start w:val="1"/>
      <w:numFmt w:val="lowerLetter"/>
      <w:lvlText w:val="%2."/>
      <w:lvlJc w:val="left"/>
      <w:pPr>
        <w:ind w:left="1650" w:hanging="360"/>
      </w:pPr>
    </w:lvl>
    <w:lvl w:ilvl="2">
      <w:start w:val="1"/>
      <w:numFmt w:val="lowerRoman"/>
      <w:lvlText w:val="%3."/>
      <w:lvlJc w:val="right"/>
      <w:pPr>
        <w:ind w:left="2370" w:hanging="180"/>
      </w:pPr>
    </w:lvl>
    <w:lvl w:ilvl="3">
      <w:start w:val="1"/>
      <w:numFmt w:val="decimal"/>
      <w:lvlText w:val="%4."/>
      <w:lvlJc w:val="left"/>
      <w:pPr>
        <w:ind w:left="3090" w:hanging="360"/>
      </w:pPr>
    </w:lvl>
    <w:lvl w:ilvl="4">
      <w:start w:val="1"/>
      <w:numFmt w:val="lowerLetter"/>
      <w:lvlText w:val="%5."/>
      <w:lvlJc w:val="left"/>
      <w:pPr>
        <w:ind w:left="3810" w:hanging="360"/>
      </w:pPr>
    </w:lvl>
    <w:lvl w:ilvl="5">
      <w:start w:val="1"/>
      <w:numFmt w:val="lowerRoman"/>
      <w:lvlText w:val="%6."/>
      <w:lvlJc w:val="right"/>
      <w:pPr>
        <w:ind w:left="4530" w:hanging="180"/>
      </w:pPr>
    </w:lvl>
    <w:lvl w:ilvl="6">
      <w:start w:val="1"/>
      <w:numFmt w:val="decimal"/>
      <w:lvlText w:val="%7."/>
      <w:lvlJc w:val="left"/>
      <w:pPr>
        <w:ind w:left="5250" w:hanging="360"/>
      </w:pPr>
    </w:lvl>
    <w:lvl w:ilvl="7">
      <w:start w:val="1"/>
      <w:numFmt w:val="lowerLetter"/>
      <w:lvlText w:val="%8."/>
      <w:lvlJc w:val="left"/>
      <w:pPr>
        <w:ind w:left="5970" w:hanging="360"/>
      </w:pPr>
    </w:lvl>
    <w:lvl w:ilvl="8">
      <w:start w:val="1"/>
      <w:numFmt w:val="lowerRoman"/>
      <w:lvlText w:val="%9."/>
      <w:lvlJc w:val="right"/>
      <w:pPr>
        <w:ind w:left="6690" w:hanging="180"/>
      </w:pPr>
    </w:lvl>
  </w:abstractNum>
  <w:abstractNum w:abstractNumId="29" w15:restartNumberingAfterBreak="0">
    <w:nsid w:val="76D05636"/>
    <w:multiLevelType w:val="multilevel"/>
    <w:tmpl w:val="5B18109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16cid:durableId="1679623138">
    <w:abstractNumId w:val="9"/>
  </w:num>
  <w:num w:numId="2" w16cid:durableId="1676809173">
    <w:abstractNumId w:val="7"/>
  </w:num>
  <w:num w:numId="3" w16cid:durableId="647780535">
    <w:abstractNumId w:val="6"/>
  </w:num>
  <w:num w:numId="4" w16cid:durableId="709257190">
    <w:abstractNumId w:val="5"/>
  </w:num>
  <w:num w:numId="5" w16cid:durableId="553199265">
    <w:abstractNumId w:val="4"/>
  </w:num>
  <w:num w:numId="6" w16cid:durableId="1813016303">
    <w:abstractNumId w:val="8"/>
  </w:num>
  <w:num w:numId="7" w16cid:durableId="1398670821">
    <w:abstractNumId w:val="3"/>
  </w:num>
  <w:num w:numId="8" w16cid:durableId="1924366160">
    <w:abstractNumId w:val="2"/>
  </w:num>
  <w:num w:numId="9" w16cid:durableId="943076523">
    <w:abstractNumId w:val="1"/>
  </w:num>
  <w:num w:numId="10" w16cid:durableId="919750028">
    <w:abstractNumId w:val="0"/>
  </w:num>
  <w:num w:numId="11" w16cid:durableId="75246793">
    <w:abstractNumId w:val="8"/>
  </w:num>
  <w:num w:numId="12" w16cid:durableId="877276339">
    <w:abstractNumId w:val="3"/>
  </w:num>
  <w:num w:numId="13" w16cid:durableId="226846398">
    <w:abstractNumId w:val="2"/>
  </w:num>
  <w:num w:numId="14" w16cid:durableId="1451052895">
    <w:abstractNumId w:val="1"/>
  </w:num>
  <w:num w:numId="15" w16cid:durableId="523254761">
    <w:abstractNumId w:val="0"/>
  </w:num>
  <w:num w:numId="16" w16cid:durableId="1309868806">
    <w:abstractNumId w:val="28"/>
  </w:num>
  <w:num w:numId="17" w16cid:durableId="1492983177">
    <w:abstractNumId w:val="25"/>
  </w:num>
  <w:num w:numId="18" w16cid:durableId="2029870083">
    <w:abstractNumId w:val="24"/>
  </w:num>
  <w:num w:numId="19" w16cid:durableId="612248064">
    <w:abstractNumId w:val="19"/>
  </w:num>
  <w:num w:numId="20" w16cid:durableId="1391151875">
    <w:abstractNumId w:val="26"/>
  </w:num>
  <w:num w:numId="21" w16cid:durableId="627316297">
    <w:abstractNumId w:val="16"/>
  </w:num>
  <w:num w:numId="22" w16cid:durableId="1858108086">
    <w:abstractNumId w:val="11"/>
  </w:num>
  <w:num w:numId="23" w16cid:durableId="613824685">
    <w:abstractNumId w:val="18"/>
  </w:num>
  <w:num w:numId="24" w16cid:durableId="67730286">
    <w:abstractNumId w:val="29"/>
  </w:num>
  <w:num w:numId="25" w16cid:durableId="1225603177">
    <w:abstractNumId w:val="13"/>
  </w:num>
  <w:num w:numId="26" w16cid:durableId="1805152027">
    <w:abstractNumId w:val="27"/>
  </w:num>
  <w:num w:numId="27" w16cid:durableId="1589390307">
    <w:abstractNumId w:val="20"/>
  </w:num>
  <w:num w:numId="28" w16cid:durableId="336034815">
    <w:abstractNumId w:val="14"/>
  </w:num>
  <w:num w:numId="29" w16cid:durableId="752897780">
    <w:abstractNumId w:val="17"/>
  </w:num>
  <w:num w:numId="30" w16cid:durableId="587349115">
    <w:abstractNumId w:val="15"/>
  </w:num>
  <w:num w:numId="31" w16cid:durableId="2044817795">
    <w:abstractNumId w:val="23"/>
  </w:num>
  <w:num w:numId="32" w16cid:durableId="1592086327">
    <w:abstractNumId w:val="12"/>
  </w:num>
  <w:num w:numId="33" w16cid:durableId="1225724506">
    <w:abstractNumId w:val="22"/>
  </w:num>
  <w:num w:numId="34" w16cid:durableId="257717073">
    <w:abstractNumId w:val="21"/>
  </w:num>
  <w:num w:numId="35" w16cid:durableId="6577361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C6D"/>
    <w:rsid w:val="00015F90"/>
    <w:rsid w:val="00023ED1"/>
    <w:rsid w:val="000468A8"/>
    <w:rsid w:val="00076A2C"/>
    <w:rsid w:val="000A1CCC"/>
    <w:rsid w:val="000D0D0A"/>
    <w:rsid w:val="000D2510"/>
    <w:rsid w:val="000E68D5"/>
    <w:rsid w:val="00103163"/>
    <w:rsid w:val="00106B19"/>
    <w:rsid w:val="001133EF"/>
    <w:rsid w:val="00115D93"/>
    <w:rsid w:val="001247A8"/>
    <w:rsid w:val="00130FED"/>
    <w:rsid w:val="001342E0"/>
    <w:rsid w:val="001370B2"/>
    <w:rsid w:val="001378C0"/>
    <w:rsid w:val="001658F9"/>
    <w:rsid w:val="0018694A"/>
    <w:rsid w:val="0019129B"/>
    <w:rsid w:val="001A06DE"/>
    <w:rsid w:val="001A3287"/>
    <w:rsid w:val="001A6508"/>
    <w:rsid w:val="001D4C31"/>
    <w:rsid w:val="001E4D21"/>
    <w:rsid w:val="001E53B8"/>
    <w:rsid w:val="001F1628"/>
    <w:rsid w:val="001F6F64"/>
    <w:rsid w:val="00207CD1"/>
    <w:rsid w:val="00226657"/>
    <w:rsid w:val="00237F7B"/>
    <w:rsid w:val="002477A2"/>
    <w:rsid w:val="00263A51"/>
    <w:rsid w:val="00267E02"/>
    <w:rsid w:val="00271321"/>
    <w:rsid w:val="00277DEA"/>
    <w:rsid w:val="00280AE6"/>
    <w:rsid w:val="002A042D"/>
    <w:rsid w:val="002A5D44"/>
    <w:rsid w:val="002C3F32"/>
    <w:rsid w:val="002C4E3D"/>
    <w:rsid w:val="002D2336"/>
    <w:rsid w:val="002D53B0"/>
    <w:rsid w:val="002E0BC4"/>
    <w:rsid w:val="002F1B76"/>
    <w:rsid w:val="002F48E2"/>
    <w:rsid w:val="0033568E"/>
    <w:rsid w:val="0034270A"/>
    <w:rsid w:val="00355FF5"/>
    <w:rsid w:val="00361350"/>
    <w:rsid w:val="00363952"/>
    <w:rsid w:val="0037395A"/>
    <w:rsid w:val="003812AD"/>
    <w:rsid w:val="003C3FAE"/>
    <w:rsid w:val="003F7B0C"/>
    <w:rsid w:val="004038CB"/>
    <w:rsid w:val="0040546F"/>
    <w:rsid w:val="004154AD"/>
    <w:rsid w:val="004177BD"/>
    <w:rsid w:val="0042404A"/>
    <w:rsid w:val="0044618F"/>
    <w:rsid w:val="00465C35"/>
    <w:rsid w:val="0046769A"/>
    <w:rsid w:val="00475FB3"/>
    <w:rsid w:val="004C37A9"/>
    <w:rsid w:val="004D1D50"/>
    <w:rsid w:val="004F259E"/>
    <w:rsid w:val="004F633A"/>
    <w:rsid w:val="00501813"/>
    <w:rsid w:val="00504C7F"/>
    <w:rsid w:val="00505538"/>
    <w:rsid w:val="00511F1D"/>
    <w:rsid w:val="00520F36"/>
    <w:rsid w:val="00524E8D"/>
    <w:rsid w:val="00534E13"/>
    <w:rsid w:val="00540615"/>
    <w:rsid w:val="00540A6D"/>
    <w:rsid w:val="00553536"/>
    <w:rsid w:val="00566679"/>
    <w:rsid w:val="00571EEA"/>
    <w:rsid w:val="00575417"/>
    <w:rsid w:val="005768E1"/>
    <w:rsid w:val="00596B1C"/>
    <w:rsid w:val="005B1938"/>
    <w:rsid w:val="005C3890"/>
    <w:rsid w:val="005E627B"/>
    <w:rsid w:val="005F7BFE"/>
    <w:rsid w:val="00600017"/>
    <w:rsid w:val="00602682"/>
    <w:rsid w:val="006235CA"/>
    <w:rsid w:val="0062366E"/>
    <w:rsid w:val="006643AB"/>
    <w:rsid w:val="006A11AE"/>
    <w:rsid w:val="006A3DDE"/>
    <w:rsid w:val="006B224B"/>
    <w:rsid w:val="006D7361"/>
    <w:rsid w:val="006E679C"/>
    <w:rsid w:val="006F0A53"/>
    <w:rsid w:val="00711B19"/>
    <w:rsid w:val="0071402E"/>
    <w:rsid w:val="007210CD"/>
    <w:rsid w:val="00732045"/>
    <w:rsid w:val="0073275D"/>
    <w:rsid w:val="007369DB"/>
    <w:rsid w:val="0077110E"/>
    <w:rsid w:val="007956C2"/>
    <w:rsid w:val="00796BDB"/>
    <w:rsid w:val="007A0B90"/>
    <w:rsid w:val="007A187E"/>
    <w:rsid w:val="007C72C2"/>
    <w:rsid w:val="007D4436"/>
    <w:rsid w:val="007F257A"/>
    <w:rsid w:val="007F3665"/>
    <w:rsid w:val="007F613C"/>
    <w:rsid w:val="007F7FAA"/>
    <w:rsid w:val="00800037"/>
    <w:rsid w:val="00801087"/>
    <w:rsid w:val="00804E1A"/>
    <w:rsid w:val="0082299A"/>
    <w:rsid w:val="0083391C"/>
    <w:rsid w:val="0084546D"/>
    <w:rsid w:val="00861D73"/>
    <w:rsid w:val="00872981"/>
    <w:rsid w:val="00882919"/>
    <w:rsid w:val="008948EB"/>
    <w:rsid w:val="008952AF"/>
    <w:rsid w:val="00897553"/>
    <w:rsid w:val="008A4E87"/>
    <w:rsid w:val="008D0C6D"/>
    <w:rsid w:val="008D76E6"/>
    <w:rsid w:val="0092392D"/>
    <w:rsid w:val="00924017"/>
    <w:rsid w:val="0093234A"/>
    <w:rsid w:val="00942378"/>
    <w:rsid w:val="00956A78"/>
    <w:rsid w:val="0097363B"/>
    <w:rsid w:val="00973F53"/>
    <w:rsid w:val="0098348E"/>
    <w:rsid w:val="009A6BAA"/>
    <w:rsid w:val="009A76A8"/>
    <w:rsid w:val="009C307F"/>
    <w:rsid w:val="009C353C"/>
    <w:rsid w:val="009D5955"/>
    <w:rsid w:val="009F0FB8"/>
    <w:rsid w:val="00A01F4F"/>
    <w:rsid w:val="00A109AF"/>
    <w:rsid w:val="00A125FB"/>
    <w:rsid w:val="00A2113E"/>
    <w:rsid w:val="00A21719"/>
    <w:rsid w:val="00A23A51"/>
    <w:rsid w:val="00A24607"/>
    <w:rsid w:val="00A25CD3"/>
    <w:rsid w:val="00A51849"/>
    <w:rsid w:val="00A709FE"/>
    <w:rsid w:val="00A73C60"/>
    <w:rsid w:val="00A82767"/>
    <w:rsid w:val="00AA332F"/>
    <w:rsid w:val="00AA7BBB"/>
    <w:rsid w:val="00AB64A8"/>
    <w:rsid w:val="00AC0266"/>
    <w:rsid w:val="00AC0F1D"/>
    <w:rsid w:val="00AD0637"/>
    <w:rsid w:val="00AD24EC"/>
    <w:rsid w:val="00AF0F8F"/>
    <w:rsid w:val="00AF54EC"/>
    <w:rsid w:val="00B22514"/>
    <w:rsid w:val="00B27B00"/>
    <w:rsid w:val="00B309F9"/>
    <w:rsid w:val="00B32B60"/>
    <w:rsid w:val="00B4639A"/>
    <w:rsid w:val="00B51005"/>
    <w:rsid w:val="00B52E99"/>
    <w:rsid w:val="00B561CD"/>
    <w:rsid w:val="00B61619"/>
    <w:rsid w:val="00BB38C1"/>
    <w:rsid w:val="00BB4545"/>
    <w:rsid w:val="00BC378E"/>
    <w:rsid w:val="00BD4C93"/>
    <w:rsid w:val="00BD5873"/>
    <w:rsid w:val="00BF00AF"/>
    <w:rsid w:val="00BF4B60"/>
    <w:rsid w:val="00C049D7"/>
    <w:rsid w:val="00C04BE3"/>
    <w:rsid w:val="00C25D29"/>
    <w:rsid w:val="00C2625E"/>
    <w:rsid w:val="00C27A7C"/>
    <w:rsid w:val="00C42437"/>
    <w:rsid w:val="00C46281"/>
    <w:rsid w:val="00C95D98"/>
    <w:rsid w:val="00CA08ED"/>
    <w:rsid w:val="00CC6EAA"/>
    <w:rsid w:val="00CE08D4"/>
    <w:rsid w:val="00CE5172"/>
    <w:rsid w:val="00CF0534"/>
    <w:rsid w:val="00CF183B"/>
    <w:rsid w:val="00D14834"/>
    <w:rsid w:val="00D211F8"/>
    <w:rsid w:val="00D27886"/>
    <w:rsid w:val="00D375CD"/>
    <w:rsid w:val="00D37B53"/>
    <w:rsid w:val="00D553A2"/>
    <w:rsid w:val="00D72F49"/>
    <w:rsid w:val="00D774D3"/>
    <w:rsid w:val="00D904E8"/>
    <w:rsid w:val="00DA08C3"/>
    <w:rsid w:val="00DB5A3E"/>
    <w:rsid w:val="00DC22AA"/>
    <w:rsid w:val="00DC50EF"/>
    <w:rsid w:val="00DD1A99"/>
    <w:rsid w:val="00DE2C09"/>
    <w:rsid w:val="00DE62C6"/>
    <w:rsid w:val="00DF74DD"/>
    <w:rsid w:val="00E25AD0"/>
    <w:rsid w:val="00E4428F"/>
    <w:rsid w:val="00E4448E"/>
    <w:rsid w:val="00E45EDC"/>
    <w:rsid w:val="00E47427"/>
    <w:rsid w:val="00E649A2"/>
    <w:rsid w:val="00E90647"/>
    <w:rsid w:val="00E93668"/>
    <w:rsid w:val="00E95434"/>
    <w:rsid w:val="00E95647"/>
    <w:rsid w:val="00E971EE"/>
    <w:rsid w:val="00EA1115"/>
    <w:rsid w:val="00EB6350"/>
    <w:rsid w:val="00ED34C2"/>
    <w:rsid w:val="00ED799B"/>
    <w:rsid w:val="00EE06FE"/>
    <w:rsid w:val="00EE73BA"/>
    <w:rsid w:val="00F0536D"/>
    <w:rsid w:val="00F07EB0"/>
    <w:rsid w:val="00F15B57"/>
    <w:rsid w:val="00F35EF4"/>
    <w:rsid w:val="00F37A73"/>
    <w:rsid w:val="00F37FE5"/>
    <w:rsid w:val="00F427DB"/>
    <w:rsid w:val="00F46018"/>
    <w:rsid w:val="00F767ED"/>
    <w:rsid w:val="00FA5EB1"/>
    <w:rsid w:val="00FA7439"/>
    <w:rsid w:val="00FC4EC0"/>
    <w:rsid w:val="00FC6D7D"/>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40CB8F"/>
  <w15:docId w15:val="{73EDBD4B-934A-4ED2-B7C2-45E4D0722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66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ED799B"/>
    <w:pPr>
      <w:keepNext/>
      <w:keepLines/>
      <w:spacing w:before="360"/>
      <w:ind w:left="567" w:hanging="567"/>
      <w:outlineLvl w:val="0"/>
    </w:pPr>
    <w:rPr>
      <w:b/>
      <w:sz w:val="28"/>
    </w:rPr>
  </w:style>
  <w:style w:type="paragraph" w:styleId="Heading2">
    <w:name w:val="heading 2"/>
    <w:basedOn w:val="Heading1"/>
    <w:next w:val="Normal"/>
    <w:qFormat/>
    <w:rsid w:val="00ED799B"/>
    <w:pPr>
      <w:spacing w:before="200"/>
      <w:outlineLvl w:val="1"/>
    </w:pPr>
    <w:rPr>
      <w:sz w:val="24"/>
    </w:rPr>
  </w:style>
  <w:style w:type="paragraph" w:styleId="Heading3">
    <w:name w:val="heading 3"/>
    <w:basedOn w:val="Heading1"/>
    <w:next w:val="Normal"/>
    <w:qFormat/>
    <w:rsid w:val="00ED799B"/>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19129B"/>
  </w:style>
  <w:style w:type="paragraph" w:styleId="TOC3">
    <w:name w:val="toc 3"/>
    <w:basedOn w:val="TOC1"/>
    <w:next w:val="Normal"/>
    <w:rsid w:val="001658F9"/>
  </w:style>
  <w:style w:type="paragraph" w:styleId="TOC2">
    <w:name w:val="toc 2"/>
    <w:basedOn w:val="TOC1"/>
    <w:next w:val="Normal"/>
    <w:rsid w:val="001658F9"/>
    <w:pPr>
      <w:spacing w:before="160"/>
    </w:pPr>
  </w:style>
  <w:style w:type="paragraph" w:styleId="TOC1">
    <w:name w:val="toc 1"/>
    <w:basedOn w:val="Normal"/>
    <w:rsid w:val="001658F9"/>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19129B"/>
  </w:style>
  <w:style w:type="paragraph" w:styleId="TOC6">
    <w:name w:val="toc 6"/>
    <w:basedOn w:val="TOC5"/>
    <w:next w:val="Normal"/>
    <w:rsid w:val="0019129B"/>
  </w:style>
  <w:style w:type="paragraph" w:styleId="TOC5">
    <w:name w:val="toc 5"/>
    <w:basedOn w:val="TOC4"/>
    <w:next w:val="Normal"/>
    <w:rsid w:val="0019129B"/>
    <w:rPr>
      <w:lang w:val="fr-CH"/>
    </w:rPr>
  </w:style>
  <w:style w:type="paragraph" w:styleId="TOC4">
    <w:name w:val="toc 4"/>
    <w:basedOn w:val="TOC1"/>
    <w:next w:val="Normal"/>
    <w:rsid w:val="0019129B"/>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ED799B"/>
    <w:pPr>
      <w:keepLines/>
      <w:tabs>
        <w:tab w:val="left" w:pos="256"/>
      </w:tabs>
      <w:ind w:left="256" w:hanging="256"/>
    </w:pPr>
    <w:rPr>
      <w:sz w:val="22"/>
    </w:rPr>
  </w:style>
  <w:style w:type="paragraph" w:styleId="NormalIndent">
    <w:name w:val="Normal Indent"/>
    <w:basedOn w:val="Normal"/>
    <w:rsid w:val="00732045"/>
    <w:pPr>
      <w:ind w:left="567"/>
    </w:pPr>
  </w:style>
  <w:style w:type="paragraph" w:customStyle="1" w:styleId="enumlev1">
    <w:name w:val="enumlev1"/>
    <w:basedOn w:val="Normal"/>
    <w:qFormat/>
    <w:rsid w:val="009D5955"/>
    <w:pPr>
      <w:spacing w:before="80"/>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9D595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ED799B"/>
    <w:pPr>
      <w:spacing w:before="160"/>
      <w:ind w:left="0" w:firstLine="0"/>
      <w:outlineLvl w:val="0"/>
    </w:pPr>
  </w:style>
  <w:style w:type="paragraph" w:customStyle="1" w:styleId="Title1">
    <w:name w:val="Title 1"/>
    <w:basedOn w:val="Normal"/>
    <w:next w:val="Normalaftertitle"/>
    <w:rsid w:val="0071402E"/>
    <w:pPr>
      <w:spacing w:before="360"/>
      <w:jc w:val="center"/>
    </w:pPr>
    <w:rPr>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71402E"/>
    <w:pPr>
      <w:spacing w:before="80"/>
    </w:pPr>
    <w:rPr>
      <w:sz w:val="22"/>
    </w:r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FC6D7D"/>
    <w:rPr>
      <w:rFonts w:eastAsiaTheme="minorHAnsi" w:cstheme="minorBidi"/>
      <w:color w:val="4F81BD" w:themeColor="accent1"/>
      <w:szCs w:val="22"/>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BB38C1"/>
    <w:pPr>
      <w:keepNext/>
      <w:keepLines/>
      <w:spacing w:before="720"/>
      <w:jc w:val="center"/>
    </w:pPr>
    <w:rPr>
      <w:caps/>
      <w:sz w:val="28"/>
    </w:rPr>
  </w:style>
  <w:style w:type="paragraph" w:customStyle="1" w:styleId="Annexref">
    <w:name w:val="Annex_ref"/>
    <w:basedOn w:val="Normal"/>
    <w:next w:val="Annextitle"/>
    <w:rsid w:val="00BB38C1"/>
    <w:pPr>
      <w:keepNext/>
      <w:keepLines/>
      <w:jc w:val="center"/>
    </w:pPr>
    <w:rPr>
      <w:sz w:val="28"/>
    </w:rPr>
  </w:style>
  <w:style w:type="paragraph" w:customStyle="1" w:styleId="Annextitle">
    <w:name w:val="Annex_title"/>
    <w:basedOn w:val="Normal"/>
    <w:next w:val="Normalaftertitle"/>
    <w:rsid w:val="00BB38C1"/>
    <w:pPr>
      <w:keepNext/>
      <w:keepLines/>
      <w:spacing w:before="240" w:after="240"/>
      <w:jc w:val="center"/>
    </w:pPr>
    <w:rPr>
      <w:b/>
      <w:sz w:val="28"/>
    </w:rPr>
  </w:style>
  <w:style w:type="paragraph" w:customStyle="1" w:styleId="AppendixNo">
    <w:name w:val="Appendix_No"/>
    <w:basedOn w:val="AnnexNo"/>
    <w:next w:val="Appendixref"/>
    <w:rsid w:val="00BB38C1"/>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aftertitle"/>
    <w:rsid w:val="00BB38C1"/>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BB38C1"/>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BB38C1"/>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aftertitle"/>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Normal"/>
    <w:rsid w:val="009D5955"/>
    <w:pPr>
      <w:spacing w:after="240"/>
      <w:jc w:val="center"/>
    </w:pPr>
  </w:style>
  <w:style w:type="paragraph" w:customStyle="1" w:styleId="Figurelegend">
    <w:name w:val="Figure_legend"/>
    <w:basedOn w:val="Normal"/>
    <w:next w:val="Normal"/>
    <w:rsid w:val="009D5955"/>
    <w:pPr>
      <w:spacing w:before="20" w:after="240"/>
    </w:pPr>
    <w:rPr>
      <w:sz w:val="18"/>
    </w:rPr>
  </w:style>
  <w:style w:type="paragraph" w:customStyle="1" w:styleId="TableNo">
    <w:name w:val="Table_No"/>
    <w:basedOn w:val="Normal"/>
    <w:next w:val="Tabletitle"/>
    <w:rsid w:val="00CE08D4"/>
    <w:pPr>
      <w:keepNext/>
      <w:keepLines/>
      <w:spacing w:before="480" w:after="120"/>
      <w:jc w:val="center"/>
    </w:pPr>
    <w:rPr>
      <w:caps/>
      <w:sz w:val="22"/>
    </w:rPr>
  </w:style>
  <w:style w:type="paragraph" w:customStyle="1" w:styleId="Tabletitle">
    <w:name w:val="Table_title"/>
    <w:basedOn w:val="TableNo"/>
    <w:next w:val="Tabletext"/>
    <w:rsid w:val="0071402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9D5955"/>
    <w:pPr>
      <w:spacing w:before="120" w:after="0"/>
    </w:pPr>
  </w:style>
  <w:style w:type="paragraph" w:customStyle="1" w:styleId="Figurewithouttitle">
    <w:name w:val="Figure_without_title"/>
    <w:basedOn w:val="Figure"/>
    <w:next w:val="Normal"/>
    <w:rsid w:val="00ED799B"/>
  </w:style>
  <w:style w:type="paragraph" w:customStyle="1" w:styleId="Headingi">
    <w:name w:val="Heading_i"/>
    <w:basedOn w:val="Heading3"/>
    <w:next w:val="Normal"/>
    <w:rsid w:val="00ED799B"/>
    <w:pPr>
      <w:spacing w:before="160"/>
      <w:ind w:left="0" w:firstLine="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1402E"/>
    <w:pPr>
      <w:keepNext/>
      <w:keepLines/>
      <w:spacing w:before="720"/>
      <w:jc w:val="center"/>
    </w:pPr>
    <w:rPr>
      <w:caps/>
      <w:sz w:val="28"/>
    </w:rPr>
  </w:style>
  <w:style w:type="paragraph" w:customStyle="1" w:styleId="Rectitle">
    <w:name w:val="Rec_title"/>
    <w:basedOn w:val="Normal"/>
    <w:next w:val="Heading1"/>
    <w:rsid w:val="0071402E"/>
    <w:pPr>
      <w:keepNext/>
      <w:keepLines/>
      <w:jc w:val="center"/>
    </w:pPr>
    <w:rPr>
      <w:b/>
      <w:sz w:val="28"/>
    </w:rPr>
  </w:style>
  <w:style w:type="paragraph" w:customStyle="1" w:styleId="Recref">
    <w:name w:val="Rec_ref"/>
    <w:basedOn w:val="Rectitle"/>
    <w:next w:val="Recdate"/>
    <w:rsid w:val="005C3890"/>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71402E"/>
  </w:style>
  <w:style w:type="paragraph" w:customStyle="1" w:styleId="QuestionNo">
    <w:name w:val="Question_No"/>
    <w:basedOn w:val="RecNo"/>
    <w:next w:val="Questiontitle"/>
    <w:rsid w:val="0071402E"/>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71402E"/>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1402E"/>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71402E"/>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1402E"/>
    <w:pPr>
      <w:tabs>
        <w:tab w:val="clear" w:pos="1134"/>
        <w:tab w:val="clear" w:pos="1701"/>
        <w:tab w:val="clear" w:pos="2268"/>
        <w:tab w:val="clear" w:pos="2835"/>
        <w:tab w:val="left" w:pos="284"/>
        <w:tab w:val="left" w:pos="851"/>
      </w:tabs>
      <w:spacing w:before="40" w:after="40"/>
    </w:pPr>
    <w:rPr>
      <w:sz w:val="22"/>
    </w:rPr>
  </w:style>
  <w:style w:type="paragraph" w:customStyle="1" w:styleId="Tablehead">
    <w:name w:val="Table_head"/>
    <w:basedOn w:val="Tabletext"/>
    <w:rsid w:val="0071402E"/>
    <w:pPr>
      <w:keepNext/>
      <w:keepLines/>
      <w:spacing w:before="80" w:after="80"/>
      <w:jc w:val="center"/>
    </w:pPr>
    <w:rPr>
      <w:b/>
    </w:rPr>
  </w:style>
  <w:style w:type="paragraph" w:customStyle="1" w:styleId="Tablelegend">
    <w:name w:val="Table_legend"/>
    <w:basedOn w:val="Tabletext"/>
    <w:rsid w:val="0071402E"/>
    <w:pPr>
      <w:ind w:left="284" w:hanging="284"/>
    </w:pPr>
    <w:rPr>
      <w:sz w:val="20"/>
    </w:rPr>
  </w:style>
  <w:style w:type="paragraph" w:customStyle="1" w:styleId="Tableref">
    <w:name w:val="Table_ref"/>
    <w:basedOn w:val="Normal"/>
    <w:next w:val="Tabletitle"/>
    <w:rsid w:val="0071402E"/>
    <w:pPr>
      <w:keepNext/>
      <w:keepLines/>
      <w:jc w:val="center"/>
    </w:pPr>
    <w:rPr>
      <w:sz w:val="20"/>
    </w:rPr>
  </w:style>
  <w:style w:type="paragraph" w:customStyle="1" w:styleId="Title2">
    <w:name w:val="Title 2"/>
    <w:basedOn w:val="Title1"/>
    <w:next w:val="Normalaftertitle"/>
    <w:rsid w:val="006B224B"/>
    <w:pPr>
      <w:keepNext/>
      <w:keepLines/>
      <w:spacing w:before="240"/>
    </w:pPr>
    <w:rPr>
      <w:b/>
      <w:caps w:val="0"/>
    </w:rPr>
  </w:style>
  <w:style w:type="paragraph" w:customStyle="1" w:styleId="Title3">
    <w:name w:val="Title 3"/>
    <w:basedOn w:val="Title2"/>
    <w:next w:val="Normalaftertitle"/>
    <w:rsid w:val="006B224B"/>
    <w:rPr>
      <w:b w:val="0"/>
      <w:caps/>
    </w:rPr>
  </w:style>
  <w:style w:type="paragraph" w:customStyle="1" w:styleId="Title4">
    <w:name w:val="Title 4"/>
    <w:basedOn w:val="Annextitle"/>
    <w:next w:val="Normal"/>
    <w:rsid w:val="00CE5172"/>
    <w:pPr>
      <w:spacing w:after="120"/>
    </w:pPr>
    <w:rPr>
      <w:b w:val="0"/>
    </w:rPr>
  </w:style>
  <w:style w:type="paragraph" w:customStyle="1" w:styleId="FigureNo">
    <w:name w:val="Figure_No"/>
    <w:basedOn w:val="Normal"/>
    <w:next w:val="Figuretitle"/>
    <w:rsid w:val="009D5955"/>
    <w:pPr>
      <w:keepNext/>
      <w:keepLines/>
      <w:spacing w:before="48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A51849"/>
    <w:rPr>
      <w:rFonts w:ascii="Calibri" w:hAnsi="Calibri"/>
      <w:sz w:val="18"/>
      <w:lang w:val="fr-FR" w:eastAsia="en-US"/>
    </w:rPr>
  </w:style>
  <w:style w:type="table" w:styleId="TableGrid">
    <w:name w:val="Table Grid"/>
    <w:basedOn w:val="TableNormal"/>
    <w:uiPriority w:val="39"/>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 w:type="character" w:styleId="PlaceholderText">
    <w:name w:val="Placeholder Text"/>
    <w:basedOn w:val="DefaultParagraphFont"/>
    <w:uiPriority w:val="99"/>
    <w:semiHidden/>
    <w:rsid w:val="00FC6D7D"/>
    <w:rPr>
      <w:color w:val="666666"/>
    </w:rPr>
  </w:style>
  <w:style w:type="character" w:styleId="UnresolvedMention">
    <w:name w:val="Unresolved Mention"/>
    <w:basedOn w:val="DefaultParagraphFont"/>
    <w:uiPriority w:val="99"/>
    <w:semiHidden/>
    <w:unhideWhenUsed/>
    <w:rsid w:val="00FC6D7D"/>
    <w:rPr>
      <w:color w:val="605E5C"/>
      <w:shd w:val="clear" w:color="auto" w:fill="E1DFDD"/>
    </w:rPr>
  </w:style>
  <w:style w:type="paragraph" w:customStyle="1" w:styleId="Referencetext">
    <w:name w:val="Reference_text"/>
    <w:basedOn w:val="Normal"/>
    <w:rsid w:val="00CE5172"/>
    <w:pPr>
      <w:framePr w:hSpace="181" w:wrap="around" w:vAnchor="page" w:hAnchor="page" w:x="1589" w:y="2314"/>
      <w:spacing w:after="160"/>
    </w:pPr>
    <w:rPr>
      <w:i/>
      <w:iCs/>
      <w:sz w:val="22"/>
      <w:szCs w:val="22"/>
    </w:rPr>
  </w:style>
  <w:style w:type="character" w:styleId="CommentReference">
    <w:name w:val="annotation reference"/>
    <w:rsid w:val="008D0C6D"/>
    <w:rPr>
      <w:sz w:val="16"/>
      <w:szCs w:val="16"/>
    </w:rPr>
  </w:style>
  <w:style w:type="paragraph" w:styleId="CommentText">
    <w:name w:val="annotation text"/>
    <w:basedOn w:val="Normal"/>
    <w:link w:val="CommentTextChar"/>
    <w:rsid w:val="008D0C6D"/>
    <w:pPr>
      <w:tabs>
        <w:tab w:val="clear" w:pos="567"/>
        <w:tab w:val="clear" w:pos="1134"/>
        <w:tab w:val="clear" w:pos="1701"/>
        <w:tab w:val="clear" w:pos="2268"/>
        <w:tab w:val="clear" w:pos="2835"/>
      </w:tabs>
      <w:suppressAutoHyphens/>
      <w:overflowPunct/>
      <w:autoSpaceDE/>
      <w:adjustRightInd/>
      <w:jc w:val="both"/>
      <w:textAlignment w:val="auto"/>
    </w:pPr>
    <w:rPr>
      <w:rFonts w:eastAsia="SimSun"/>
      <w:sz w:val="20"/>
      <w:szCs w:val="22"/>
      <w:lang w:val="en-US" w:eastAsia="fr-FR"/>
    </w:rPr>
  </w:style>
  <w:style w:type="character" w:customStyle="1" w:styleId="CommentTextChar">
    <w:name w:val="Comment Text Char"/>
    <w:basedOn w:val="DefaultParagraphFont"/>
    <w:link w:val="CommentText"/>
    <w:rsid w:val="008D0C6D"/>
    <w:rPr>
      <w:rFonts w:ascii="Calibri" w:eastAsia="SimSun" w:hAnsi="Calibri"/>
      <w:szCs w:val="22"/>
      <w:lang w:eastAsia="fr-FR"/>
    </w:rPr>
  </w:style>
  <w:style w:type="paragraph" w:styleId="CommentSubject">
    <w:name w:val="annotation subject"/>
    <w:basedOn w:val="CommentText"/>
    <w:next w:val="CommentText"/>
    <w:link w:val="CommentSubjectChar"/>
    <w:semiHidden/>
    <w:unhideWhenUsed/>
    <w:rsid w:val="00015F90"/>
    <w:pPr>
      <w:tabs>
        <w:tab w:val="left" w:pos="567"/>
        <w:tab w:val="left" w:pos="1134"/>
        <w:tab w:val="left" w:pos="1701"/>
        <w:tab w:val="left" w:pos="2268"/>
        <w:tab w:val="left" w:pos="2835"/>
      </w:tabs>
      <w:suppressAutoHyphens w:val="0"/>
      <w:overflowPunct w:val="0"/>
      <w:autoSpaceDE w:val="0"/>
      <w:adjustRightInd w:val="0"/>
      <w:jc w:val="left"/>
      <w:textAlignment w:val="baseline"/>
    </w:pPr>
    <w:rPr>
      <w:rFonts w:eastAsia="Times New Roman"/>
      <w:b/>
      <w:bCs/>
      <w:szCs w:val="20"/>
      <w:lang w:val="fr-FR" w:eastAsia="en-US"/>
    </w:rPr>
  </w:style>
  <w:style w:type="character" w:customStyle="1" w:styleId="CommentSubjectChar">
    <w:name w:val="Comment Subject Char"/>
    <w:basedOn w:val="CommentTextChar"/>
    <w:link w:val="CommentSubject"/>
    <w:semiHidden/>
    <w:rsid w:val="00015F90"/>
    <w:rPr>
      <w:rFonts w:ascii="Calibri" w:eastAsia="SimSun" w:hAnsi="Calibri"/>
      <w:b/>
      <w:bCs/>
      <w:szCs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en/council/Documents/basic-texts/Constitution-F.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www.itu.int/en/council/Documents/basic-texts/Constitution-F.pdf"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SG\PF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1B8910-D50A-4AE5-8311-B97F04B4B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PF_Council26.dotx</Template>
  <TotalTime>4</TotalTime>
  <Pages>7</Pages>
  <Words>2827</Words>
  <Characters>16238</Characters>
  <Application>Microsoft Office Word</Application>
  <DocSecurity>0</DocSecurity>
  <Lines>257</Lines>
  <Paragraphs>68</Paragraphs>
  <ScaleCrop>false</ScaleCrop>
  <HeadingPairs>
    <vt:vector size="2" baseType="variant">
      <vt:variant>
        <vt:lpstr>Title</vt:lpstr>
      </vt:variant>
      <vt:variant>
        <vt:i4>1</vt:i4>
      </vt:variant>
    </vt:vector>
  </HeadingPairs>
  <TitlesOfParts>
    <vt:vector size="1" baseType="lpstr">
      <vt:lpstr>Projet de plan financier pour la période 2028-2031</vt:lpstr>
    </vt:vector>
  </TitlesOfParts>
  <Manager>Secrétariat général - Pool</Manager>
  <Company>Union internationale des télécommunications (UIT)</Company>
  <LinksUpToDate>false</LinksUpToDate>
  <CharactersWithSpaces>18997</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de plan financier pour la période 2028-2031</dc:title>
  <dc:subject>Conseil 2026 de l'UIT</dc:subject>
  <cp:keywords>C26; C2026; Council 2026; PP26</cp:keywords>
  <dc:description/>
  <cp:lastPrinted>2000-07-18T08:55:00Z</cp:lastPrinted>
  <dcterms:created xsi:type="dcterms:W3CDTF">2026-04-02T09:41:00Z</dcterms:created>
  <dcterms:modified xsi:type="dcterms:W3CDTF">2026-04-02T09:45:00Z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3b117b70c20e9b2783321a6b7cab6c2f080bb257cb74c6787543e88ec12dc3bd</vt:lpwstr>
  </property>
</Properties>
</file>