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F14077" w14:paraId="605D5810" w14:textId="77777777" w:rsidTr="00C4421B">
        <w:trPr>
          <w:cantSplit/>
          <w:trHeight w:val="23"/>
        </w:trPr>
        <w:tc>
          <w:tcPr>
            <w:tcW w:w="3969" w:type="dxa"/>
            <w:vMerge w:val="restart"/>
            <w:tcMar>
              <w:left w:w="0" w:type="dxa"/>
            </w:tcMar>
          </w:tcPr>
          <w:p w14:paraId="54AC9D42" w14:textId="0F1D6535" w:rsidR="00FE57F6" w:rsidRPr="0063031B" w:rsidRDefault="00CC1FAF" w:rsidP="00C4421B">
            <w:pPr>
              <w:tabs>
                <w:tab w:val="left" w:pos="851"/>
              </w:tabs>
              <w:spacing w:before="0" w:line="240" w:lineRule="atLeast"/>
              <w:rPr>
                <w:b/>
                <w:lang w:val="es-ES"/>
              </w:rPr>
            </w:pPr>
            <w:bookmarkStart w:id="0" w:name="_Hlk133421839"/>
            <w:r w:rsidRPr="0063031B">
              <w:rPr>
                <w:b/>
                <w:lang w:val="es-ES"/>
              </w:rPr>
              <w:t>Punto del o</w:t>
            </w:r>
            <w:r w:rsidR="00BB6FD8" w:rsidRPr="0063031B">
              <w:rPr>
                <w:b/>
                <w:lang w:val="es-ES"/>
              </w:rPr>
              <w:t>rden del día</w:t>
            </w:r>
            <w:r w:rsidR="00FE57F6" w:rsidRPr="0063031B">
              <w:rPr>
                <w:b/>
                <w:lang w:val="es-ES"/>
              </w:rPr>
              <w:t xml:space="preserve">: </w:t>
            </w:r>
            <w:r w:rsidR="00222074" w:rsidRPr="0063031B">
              <w:rPr>
                <w:b/>
                <w:lang w:val="es-ES"/>
              </w:rPr>
              <w:t>PL-2</w:t>
            </w:r>
          </w:p>
        </w:tc>
        <w:tc>
          <w:tcPr>
            <w:tcW w:w="5245" w:type="dxa"/>
          </w:tcPr>
          <w:p w14:paraId="7D19C311" w14:textId="010ACA7C" w:rsidR="00FE57F6" w:rsidRPr="0063031B" w:rsidRDefault="002D3BB2" w:rsidP="00C4421B">
            <w:pPr>
              <w:tabs>
                <w:tab w:val="left" w:pos="851"/>
              </w:tabs>
              <w:spacing w:before="0" w:line="240" w:lineRule="atLeast"/>
              <w:jc w:val="right"/>
              <w:rPr>
                <w:b/>
                <w:lang w:val="es-ES"/>
              </w:rPr>
            </w:pPr>
            <w:r w:rsidRPr="0063031B">
              <w:rPr>
                <w:b/>
                <w:lang w:val="es-ES"/>
              </w:rPr>
              <w:t>Addéndum 2 al</w:t>
            </w:r>
            <w:r w:rsidRPr="0063031B">
              <w:rPr>
                <w:b/>
                <w:lang w:val="es-ES"/>
              </w:rPr>
              <w:br/>
            </w:r>
            <w:r w:rsidR="00FE57F6" w:rsidRPr="0063031B">
              <w:rPr>
                <w:b/>
                <w:lang w:val="es-ES"/>
              </w:rPr>
              <w:t>Document</w:t>
            </w:r>
            <w:r w:rsidR="00F24B71" w:rsidRPr="0063031B">
              <w:rPr>
                <w:b/>
                <w:lang w:val="es-ES"/>
              </w:rPr>
              <w:t>o</w:t>
            </w:r>
            <w:r w:rsidR="00FE57F6" w:rsidRPr="0063031B">
              <w:rPr>
                <w:b/>
                <w:lang w:val="es-ES"/>
              </w:rPr>
              <w:t xml:space="preserve"> C2</w:t>
            </w:r>
            <w:r w:rsidR="00F85E5C" w:rsidRPr="0063031B">
              <w:rPr>
                <w:b/>
                <w:lang w:val="es-ES"/>
              </w:rPr>
              <w:t>6</w:t>
            </w:r>
            <w:r w:rsidR="00FE57F6" w:rsidRPr="0063031B">
              <w:rPr>
                <w:b/>
                <w:lang w:val="es-ES"/>
              </w:rPr>
              <w:t>/</w:t>
            </w:r>
            <w:r w:rsidRPr="0063031B">
              <w:rPr>
                <w:b/>
                <w:lang w:val="es-ES"/>
              </w:rPr>
              <w:t>31</w:t>
            </w:r>
            <w:r w:rsidR="00FE57F6" w:rsidRPr="0063031B">
              <w:rPr>
                <w:b/>
                <w:lang w:val="es-ES"/>
              </w:rPr>
              <w:t>-</w:t>
            </w:r>
            <w:r w:rsidR="00F24B71" w:rsidRPr="0063031B">
              <w:rPr>
                <w:b/>
                <w:lang w:val="es-ES"/>
              </w:rPr>
              <w:t>S</w:t>
            </w:r>
          </w:p>
        </w:tc>
      </w:tr>
      <w:tr w:rsidR="00FE57F6" w:rsidRPr="0063031B" w14:paraId="3093A607" w14:textId="77777777" w:rsidTr="00C4421B">
        <w:trPr>
          <w:cantSplit/>
        </w:trPr>
        <w:tc>
          <w:tcPr>
            <w:tcW w:w="3969" w:type="dxa"/>
            <w:vMerge/>
          </w:tcPr>
          <w:p w14:paraId="7808456F" w14:textId="77777777" w:rsidR="00FE57F6" w:rsidRPr="0063031B" w:rsidRDefault="00FE57F6" w:rsidP="00C4421B">
            <w:pPr>
              <w:tabs>
                <w:tab w:val="left" w:pos="851"/>
              </w:tabs>
              <w:spacing w:line="240" w:lineRule="atLeast"/>
              <w:rPr>
                <w:b/>
                <w:lang w:val="es-ES"/>
              </w:rPr>
            </w:pPr>
          </w:p>
        </w:tc>
        <w:tc>
          <w:tcPr>
            <w:tcW w:w="5245" w:type="dxa"/>
          </w:tcPr>
          <w:p w14:paraId="705CBB8B" w14:textId="040DEC22" w:rsidR="00FE57F6" w:rsidRPr="0063031B" w:rsidRDefault="002D3BB2" w:rsidP="00C4421B">
            <w:pPr>
              <w:tabs>
                <w:tab w:val="left" w:pos="851"/>
              </w:tabs>
              <w:spacing w:before="0"/>
              <w:jc w:val="right"/>
              <w:rPr>
                <w:b/>
                <w:lang w:val="es-ES"/>
              </w:rPr>
            </w:pPr>
            <w:r w:rsidRPr="0063031B">
              <w:rPr>
                <w:b/>
                <w:lang w:val="es-ES"/>
              </w:rPr>
              <w:t>5 de mayo de 2026</w:t>
            </w:r>
          </w:p>
        </w:tc>
      </w:tr>
      <w:tr w:rsidR="00FE57F6" w:rsidRPr="0063031B" w14:paraId="3EB73FB1" w14:textId="77777777" w:rsidTr="00C4421B">
        <w:trPr>
          <w:cantSplit/>
          <w:trHeight w:val="23"/>
        </w:trPr>
        <w:tc>
          <w:tcPr>
            <w:tcW w:w="3969" w:type="dxa"/>
            <w:vMerge/>
          </w:tcPr>
          <w:p w14:paraId="2B552EFD" w14:textId="77777777" w:rsidR="00FE57F6" w:rsidRPr="0063031B" w:rsidRDefault="00FE57F6" w:rsidP="00C4421B">
            <w:pPr>
              <w:tabs>
                <w:tab w:val="left" w:pos="851"/>
              </w:tabs>
              <w:spacing w:line="240" w:lineRule="atLeast"/>
              <w:rPr>
                <w:b/>
                <w:lang w:val="es-ES"/>
              </w:rPr>
            </w:pPr>
          </w:p>
        </w:tc>
        <w:tc>
          <w:tcPr>
            <w:tcW w:w="5245" w:type="dxa"/>
          </w:tcPr>
          <w:p w14:paraId="7DF86E95" w14:textId="77777777" w:rsidR="00FE57F6" w:rsidRPr="0063031B" w:rsidRDefault="00F24B71" w:rsidP="00C4421B">
            <w:pPr>
              <w:tabs>
                <w:tab w:val="left" w:pos="851"/>
              </w:tabs>
              <w:spacing w:before="0" w:line="240" w:lineRule="atLeast"/>
              <w:jc w:val="right"/>
              <w:rPr>
                <w:b/>
                <w:bCs/>
                <w:lang w:val="es-ES"/>
              </w:rPr>
            </w:pPr>
            <w:r w:rsidRPr="0063031B">
              <w:rPr>
                <w:rFonts w:cstheme="minorHAnsi"/>
                <w:b/>
                <w:bCs/>
                <w:lang w:val="es-ES"/>
              </w:rPr>
              <w:t>Original: inglés</w:t>
            </w:r>
          </w:p>
        </w:tc>
      </w:tr>
      <w:tr w:rsidR="00FE57F6" w:rsidRPr="0063031B" w14:paraId="1BD5045C" w14:textId="77777777" w:rsidTr="00C4421B">
        <w:trPr>
          <w:cantSplit/>
          <w:trHeight w:val="23"/>
        </w:trPr>
        <w:tc>
          <w:tcPr>
            <w:tcW w:w="3969" w:type="dxa"/>
          </w:tcPr>
          <w:p w14:paraId="171342FE" w14:textId="77777777" w:rsidR="00FE57F6" w:rsidRPr="0063031B" w:rsidRDefault="00FE57F6" w:rsidP="00C4421B">
            <w:pPr>
              <w:tabs>
                <w:tab w:val="left" w:pos="851"/>
              </w:tabs>
              <w:spacing w:line="240" w:lineRule="atLeast"/>
              <w:rPr>
                <w:b/>
                <w:lang w:val="es-ES"/>
              </w:rPr>
            </w:pPr>
          </w:p>
        </w:tc>
        <w:tc>
          <w:tcPr>
            <w:tcW w:w="5245" w:type="dxa"/>
          </w:tcPr>
          <w:p w14:paraId="58FDCE02" w14:textId="77777777" w:rsidR="00FE57F6" w:rsidRPr="0063031B" w:rsidRDefault="00FE57F6" w:rsidP="00C4421B">
            <w:pPr>
              <w:tabs>
                <w:tab w:val="left" w:pos="851"/>
              </w:tabs>
              <w:spacing w:before="0" w:line="240" w:lineRule="atLeast"/>
              <w:jc w:val="right"/>
              <w:rPr>
                <w:b/>
                <w:lang w:val="es-ES"/>
              </w:rPr>
            </w:pPr>
          </w:p>
        </w:tc>
      </w:tr>
      <w:tr w:rsidR="00FE57F6" w:rsidRPr="0063031B" w14:paraId="004FEC5B" w14:textId="77777777" w:rsidTr="00C4421B">
        <w:trPr>
          <w:cantSplit/>
        </w:trPr>
        <w:tc>
          <w:tcPr>
            <w:tcW w:w="9214" w:type="dxa"/>
            <w:gridSpan w:val="2"/>
            <w:tcMar>
              <w:left w:w="0" w:type="dxa"/>
            </w:tcMar>
          </w:tcPr>
          <w:p w14:paraId="56150AE6" w14:textId="6CC5AE33" w:rsidR="00FE57F6" w:rsidRPr="0063031B" w:rsidRDefault="002D3BB2" w:rsidP="00C4421B">
            <w:pPr>
              <w:pStyle w:val="Source"/>
              <w:jc w:val="left"/>
              <w:rPr>
                <w:sz w:val="34"/>
                <w:szCs w:val="34"/>
                <w:lang w:val="es-ES"/>
              </w:rPr>
            </w:pPr>
            <w:r w:rsidRPr="0063031B">
              <w:rPr>
                <w:rFonts w:cstheme="minorHAnsi"/>
                <w:sz w:val="34"/>
                <w:szCs w:val="34"/>
                <w:lang w:val="es-ES"/>
              </w:rPr>
              <w:t>Informe del Presidente del Grupo de Trabajo del Consejo</w:t>
            </w:r>
            <w:r w:rsidR="00222074" w:rsidRPr="0063031B">
              <w:rPr>
                <w:rFonts w:cstheme="minorHAnsi"/>
                <w:sz w:val="34"/>
                <w:szCs w:val="34"/>
                <w:lang w:val="es-ES"/>
              </w:rPr>
              <w:br/>
            </w:r>
            <w:r w:rsidRPr="0063031B">
              <w:rPr>
                <w:rFonts w:cstheme="minorHAnsi"/>
                <w:sz w:val="34"/>
                <w:szCs w:val="34"/>
                <w:lang w:val="es-ES"/>
              </w:rPr>
              <w:t>sobre los Planes Estratégico y Financiero para 2028-2031</w:t>
            </w:r>
          </w:p>
        </w:tc>
      </w:tr>
      <w:tr w:rsidR="00FE57F6" w:rsidRPr="0063031B" w14:paraId="2ECC5675" w14:textId="77777777" w:rsidTr="00C4421B">
        <w:trPr>
          <w:cantSplit/>
        </w:trPr>
        <w:tc>
          <w:tcPr>
            <w:tcW w:w="9214" w:type="dxa"/>
            <w:gridSpan w:val="2"/>
            <w:tcMar>
              <w:left w:w="0" w:type="dxa"/>
            </w:tcMar>
          </w:tcPr>
          <w:p w14:paraId="152B0786" w14:textId="59658EC7" w:rsidR="00FE57F6" w:rsidRPr="0063031B" w:rsidRDefault="002D3BB2" w:rsidP="00C4421B">
            <w:pPr>
              <w:pStyle w:val="Subtitle"/>
              <w:framePr w:hSpace="0" w:wrap="auto" w:hAnchor="text" w:xAlign="left" w:yAlign="inline"/>
              <w:rPr>
                <w:lang w:val="es-ES"/>
              </w:rPr>
            </w:pPr>
            <w:r w:rsidRPr="0063031B">
              <w:rPr>
                <w:lang w:val="es-ES"/>
              </w:rPr>
              <w:t>INFORME DEL GRUPO DE TRABAJO DEL CONSEJO SOBRE LOS PLANES ESTRATÉGICO Y FINANCIERO PARA 2028-2031 (GTC-PEF)</w:t>
            </w:r>
          </w:p>
        </w:tc>
      </w:tr>
      <w:tr w:rsidR="00FE57F6" w:rsidRPr="00F14077" w14:paraId="777DA269" w14:textId="77777777" w:rsidTr="00C4421B">
        <w:trPr>
          <w:cantSplit/>
        </w:trPr>
        <w:tc>
          <w:tcPr>
            <w:tcW w:w="9214" w:type="dxa"/>
            <w:gridSpan w:val="2"/>
            <w:tcBorders>
              <w:top w:val="single" w:sz="4" w:space="0" w:color="auto"/>
              <w:bottom w:val="single" w:sz="4" w:space="0" w:color="auto"/>
            </w:tcBorders>
            <w:tcMar>
              <w:left w:w="0" w:type="dxa"/>
            </w:tcMar>
          </w:tcPr>
          <w:p w14:paraId="701D7FE1" w14:textId="77777777" w:rsidR="00FE57F6" w:rsidRPr="0063031B" w:rsidRDefault="00F24B71" w:rsidP="00C4421B">
            <w:pPr>
              <w:spacing w:before="160"/>
              <w:rPr>
                <w:b/>
                <w:bCs/>
                <w:sz w:val="26"/>
                <w:szCs w:val="26"/>
                <w:lang w:val="es-ES"/>
              </w:rPr>
            </w:pPr>
            <w:r w:rsidRPr="0063031B">
              <w:rPr>
                <w:b/>
                <w:bCs/>
                <w:sz w:val="26"/>
                <w:szCs w:val="26"/>
                <w:lang w:val="es-ES"/>
              </w:rPr>
              <w:t>Finalidad</w:t>
            </w:r>
          </w:p>
          <w:p w14:paraId="36BFC1B1" w14:textId="15B03C89" w:rsidR="00FE57F6" w:rsidRPr="0063031B" w:rsidRDefault="002D3BB2" w:rsidP="00C4421B">
            <w:pPr>
              <w:rPr>
                <w:lang w:val="es-ES"/>
              </w:rPr>
            </w:pPr>
            <w:r w:rsidRPr="0063031B">
              <w:rPr>
                <w:lang w:val="es-ES"/>
              </w:rPr>
              <w:t xml:space="preserve">El presente documento complementa el informe del </w:t>
            </w:r>
            <w:r w:rsidR="000C36A5" w:rsidRPr="0063031B">
              <w:rPr>
                <w:lang w:val="es-ES"/>
              </w:rPr>
              <w:t xml:space="preserve">Presidente </w:t>
            </w:r>
            <w:r w:rsidRPr="0063031B">
              <w:rPr>
                <w:lang w:val="es-ES"/>
              </w:rPr>
              <w:t>del Grupo de Trabajo del Consejo sobre los Planes estratégico y Financiero para 2028-2031, al presentar los resultados de la reunión celebrada el 5 de mayo de 2026.</w:t>
            </w:r>
          </w:p>
          <w:p w14:paraId="75766CF4" w14:textId="77777777" w:rsidR="00FE57F6" w:rsidRPr="0063031B" w:rsidRDefault="00F24B71" w:rsidP="00C4421B">
            <w:pPr>
              <w:spacing w:before="160"/>
              <w:rPr>
                <w:b/>
                <w:bCs/>
                <w:sz w:val="26"/>
                <w:szCs w:val="26"/>
                <w:lang w:val="es-ES"/>
              </w:rPr>
            </w:pPr>
            <w:r w:rsidRPr="0063031B">
              <w:rPr>
                <w:b/>
                <w:bCs/>
                <w:sz w:val="26"/>
                <w:szCs w:val="26"/>
                <w:lang w:val="es-ES"/>
              </w:rPr>
              <w:t xml:space="preserve">Acción solicitada </w:t>
            </w:r>
            <w:r w:rsidR="00677A97" w:rsidRPr="0063031B">
              <w:rPr>
                <w:b/>
                <w:bCs/>
                <w:sz w:val="26"/>
                <w:szCs w:val="26"/>
                <w:lang w:val="es-ES"/>
              </w:rPr>
              <w:t>al</w:t>
            </w:r>
            <w:r w:rsidRPr="0063031B">
              <w:rPr>
                <w:b/>
                <w:bCs/>
                <w:sz w:val="26"/>
                <w:szCs w:val="26"/>
                <w:lang w:val="es-ES"/>
              </w:rPr>
              <w:t xml:space="preserve"> Consejo</w:t>
            </w:r>
          </w:p>
          <w:p w14:paraId="5B3EBBAF" w14:textId="1DE7FA36" w:rsidR="00F92BED" w:rsidRPr="0063031B" w:rsidRDefault="002D3BB2" w:rsidP="00C4421B">
            <w:pPr>
              <w:spacing w:before="160"/>
              <w:rPr>
                <w:szCs w:val="24"/>
                <w:lang w:val="es-ES"/>
              </w:rPr>
            </w:pPr>
            <w:r w:rsidRPr="0063031B">
              <w:rPr>
                <w:szCs w:val="24"/>
                <w:lang w:val="es-ES"/>
              </w:rPr>
              <w:t xml:space="preserve">Se invita al Consejo a </w:t>
            </w:r>
            <w:r w:rsidRPr="0063031B">
              <w:rPr>
                <w:b/>
                <w:bCs/>
                <w:szCs w:val="24"/>
                <w:lang w:val="es-ES"/>
              </w:rPr>
              <w:t>examinar</w:t>
            </w:r>
            <w:r w:rsidRPr="0063031B">
              <w:rPr>
                <w:szCs w:val="24"/>
                <w:lang w:val="es-ES"/>
              </w:rPr>
              <w:t xml:space="preserve"> y </w:t>
            </w:r>
            <w:r w:rsidRPr="0063031B">
              <w:rPr>
                <w:b/>
                <w:bCs/>
                <w:szCs w:val="24"/>
                <w:lang w:val="es-ES"/>
              </w:rPr>
              <w:t>refrendar</w:t>
            </w:r>
            <w:r w:rsidRPr="0063031B">
              <w:rPr>
                <w:szCs w:val="24"/>
                <w:lang w:val="es-ES"/>
              </w:rPr>
              <w:t xml:space="preserve"> la propuesta de proyecto de Planes Estratégico y Financiero para 2028-2031 y a transmitirlo a la Conferencia de Plenipotenciarios de 2026 (PP 26).</w:t>
            </w:r>
          </w:p>
          <w:p w14:paraId="51860E23" w14:textId="77777777" w:rsidR="00FE57F6" w:rsidRPr="0063031B" w:rsidRDefault="00FE57F6" w:rsidP="00C4421B">
            <w:pPr>
              <w:spacing w:before="160"/>
              <w:rPr>
                <w:caps/>
                <w:sz w:val="22"/>
                <w:lang w:val="es-ES"/>
              </w:rPr>
            </w:pPr>
            <w:r w:rsidRPr="0063031B">
              <w:rPr>
                <w:sz w:val="22"/>
                <w:lang w:val="es-ES"/>
              </w:rPr>
              <w:t>__________________</w:t>
            </w:r>
          </w:p>
          <w:p w14:paraId="1ED92BC9" w14:textId="77777777" w:rsidR="00FE57F6" w:rsidRPr="0063031B" w:rsidRDefault="00F24B71" w:rsidP="00C4421B">
            <w:pPr>
              <w:spacing w:before="160"/>
              <w:rPr>
                <w:b/>
                <w:bCs/>
                <w:sz w:val="26"/>
                <w:szCs w:val="26"/>
                <w:lang w:val="es-ES"/>
              </w:rPr>
            </w:pPr>
            <w:r w:rsidRPr="0063031B">
              <w:rPr>
                <w:b/>
                <w:bCs/>
                <w:sz w:val="26"/>
                <w:szCs w:val="26"/>
                <w:lang w:val="es-ES"/>
              </w:rPr>
              <w:t>Referencia</w:t>
            </w:r>
            <w:r w:rsidR="00F92BED" w:rsidRPr="0063031B">
              <w:rPr>
                <w:b/>
                <w:bCs/>
                <w:sz w:val="26"/>
                <w:szCs w:val="26"/>
                <w:lang w:val="es-ES"/>
              </w:rPr>
              <w:t>s</w:t>
            </w:r>
            <w:r w:rsidR="00D375E0" w:rsidRPr="0063031B">
              <w:rPr>
                <w:sz w:val="26"/>
                <w:szCs w:val="26"/>
                <w:lang w:val="es-ES"/>
              </w:rPr>
              <w:t xml:space="preserve"> </w:t>
            </w:r>
          </w:p>
          <w:p w14:paraId="0C71740C" w14:textId="5D809A48" w:rsidR="00FE57F6" w:rsidRPr="0063031B" w:rsidRDefault="002D3BB2" w:rsidP="00C4421B">
            <w:pPr>
              <w:spacing w:after="160"/>
              <w:rPr>
                <w:i/>
                <w:iCs/>
                <w:sz w:val="22"/>
                <w:szCs w:val="22"/>
                <w:lang w:val="es-ES"/>
              </w:rPr>
            </w:pPr>
            <w:hyperlink r:id="rId6" w:history="1">
              <w:r w:rsidRPr="0063031B">
                <w:rPr>
                  <w:rStyle w:val="Hyperlink"/>
                  <w:rFonts w:eastAsia="Times New Roman" w:cs="Times New Roman"/>
                  <w:i/>
                  <w:iCs/>
                  <w:sz w:val="22"/>
                  <w:lang w:val="es-ES"/>
                </w:rPr>
                <w:t>Resolución 71 (Rev. Bucarest, 2022)</w:t>
              </w:r>
            </w:hyperlink>
            <w:r w:rsidRPr="0063031B">
              <w:rPr>
                <w:i/>
                <w:iCs/>
                <w:sz w:val="22"/>
                <w:szCs w:val="22"/>
                <w:lang w:val="es-ES"/>
              </w:rPr>
              <w:t xml:space="preserve">, </w:t>
            </w:r>
            <w:hyperlink r:id="rId7" w:history="1">
              <w:r w:rsidR="00222074" w:rsidRPr="0063031B">
                <w:rPr>
                  <w:rStyle w:val="Hyperlink"/>
                  <w:rFonts w:eastAsia="Times New Roman" w:cs="Times New Roman"/>
                  <w:i/>
                  <w:iCs/>
                  <w:sz w:val="22"/>
                  <w:lang w:val="es-ES"/>
                </w:rPr>
                <w:t>Resolución 1428 (C24)</w:t>
              </w:r>
            </w:hyperlink>
            <w:r w:rsidR="00222074" w:rsidRPr="0063031B">
              <w:rPr>
                <w:i/>
                <w:iCs/>
                <w:sz w:val="22"/>
                <w:szCs w:val="22"/>
                <w:lang w:val="es-ES"/>
              </w:rPr>
              <w:t xml:space="preserve"> </w:t>
            </w:r>
            <w:r w:rsidRPr="0063031B">
              <w:rPr>
                <w:i/>
                <w:iCs/>
                <w:sz w:val="22"/>
                <w:szCs w:val="22"/>
                <w:lang w:val="es-ES"/>
              </w:rPr>
              <w:t>del Consejo</w:t>
            </w:r>
          </w:p>
        </w:tc>
      </w:tr>
      <w:bookmarkEnd w:id="0"/>
    </w:tbl>
    <w:p w14:paraId="24DF520D" w14:textId="77777777" w:rsidR="001559F5" w:rsidRPr="0063031B"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63031B">
        <w:rPr>
          <w:lang w:val="es-ES"/>
        </w:rPr>
        <w:br w:type="page"/>
      </w:r>
    </w:p>
    <w:p w14:paraId="49427FB7" w14:textId="77777777" w:rsidR="00222074" w:rsidRPr="0063031B" w:rsidRDefault="00222074" w:rsidP="00222074">
      <w:pPr>
        <w:rPr>
          <w:lang w:val="es-ES"/>
        </w:rPr>
      </w:pPr>
      <w:r w:rsidRPr="0063031B">
        <w:rPr>
          <w:lang w:val="es-ES"/>
        </w:rPr>
        <w:lastRenderedPageBreak/>
        <w:t>A raíz de la presentación a la reunión de 2026 del Consejo de los resultados de la labor del Grupo de Trabajo del Consejo sobre los Planes Estratégico y Financiero para 2028-2031 (GTC-PEF) que figuran en el Documento 31 y sus anexos, los delegados formularon observaciones y solicitaron aclaraciones sobre algunos temas. Ello dio lugar a la convocatoria de una reunión en la mañana del 5 de mayo de 2026.</w:t>
      </w:r>
    </w:p>
    <w:p w14:paraId="172A75AF" w14:textId="77777777" w:rsidR="00222074" w:rsidRPr="0063031B" w:rsidRDefault="00222074" w:rsidP="00222074">
      <w:pPr>
        <w:rPr>
          <w:lang w:val="es-ES"/>
        </w:rPr>
      </w:pPr>
      <w:r w:rsidRPr="0063031B">
        <w:rPr>
          <w:lang w:val="es-ES"/>
        </w:rPr>
        <w:t>La reunión hizo hincapié en el examen del proyecto de Anexo 1 de la Resolución 71, habida cuenta de las observaciones formuladas en la plenaria, en particular con respecto al Apéndice A.</w:t>
      </w:r>
    </w:p>
    <w:p w14:paraId="52F18B1F" w14:textId="77777777" w:rsidR="00222074" w:rsidRPr="0063031B" w:rsidRDefault="00222074" w:rsidP="00222074">
      <w:pPr>
        <w:rPr>
          <w:lang w:val="es-ES"/>
        </w:rPr>
      </w:pPr>
      <w:r w:rsidRPr="0063031B">
        <w:rPr>
          <w:lang w:val="es-ES"/>
        </w:rPr>
        <w:t>En la reunión, se acordó la supresión de seis corchetes, y se convino en que las siguientes metas permanecieran entre corchetes para su ulterior examen y mejora por las Oficinas respectivas, y se presentarán a la reunión final del Consejo de 2026, que tendrá lugar antes de la Conferencia de Plenipotenciarios (PP-26):</w:t>
      </w:r>
    </w:p>
    <w:p w14:paraId="17730838" w14:textId="5FBEED1A" w:rsidR="00222074" w:rsidRPr="0063031B" w:rsidRDefault="00222074" w:rsidP="00222074">
      <w:pPr>
        <w:pStyle w:val="enumlev1"/>
        <w:rPr>
          <w:lang w:val="es-ES"/>
        </w:rPr>
      </w:pPr>
      <w:r w:rsidRPr="0063031B">
        <w:rPr>
          <w:lang w:val="es-ES"/>
        </w:rPr>
        <w:t>–</w:t>
      </w:r>
      <w:r w:rsidRPr="0063031B">
        <w:rPr>
          <w:lang w:val="es-ES"/>
        </w:rPr>
        <w:tab/>
        <w:t xml:space="preserve">Meta 1.5 (Redes resilientes): </w:t>
      </w:r>
      <w:r w:rsidR="000C36A5" w:rsidRPr="0063031B">
        <w:rPr>
          <w:lang w:val="es-ES"/>
        </w:rPr>
        <w:t xml:space="preserve">se </w:t>
      </w:r>
      <w:r w:rsidRPr="0063031B">
        <w:rPr>
          <w:lang w:val="es-ES"/>
        </w:rPr>
        <w:t>encomendó a la Secretaría la tarea de coordinar su labor con las de la Secretaría General y las Oficinas pertinentes para seguir estudiando la mejora y la posible inclusión de las actividades de la UIT relacionadas con los cables submarinos, sobre la base de estadísticas pertinentes para justificar esa inclusión.</w:t>
      </w:r>
    </w:p>
    <w:p w14:paraId="330F0BA9" w14:textId="737F01E4" w:rsidR="00222074" w:rsidRPr="0063031B" w:rsidRDefault="00222074" w:rsidP="00222074">
      <w:pPr>
        <w:pStyle w:val="enumlev1"/>
        <w:rPr>
          <w:lang w:val="es-ES"/>
        </w:rPr>
      </w:pPr>
      <w:r w:rsidRPr="0063031B">
        <w:rPr>
          <w:lang w:val="es-ES"/>
        </w:rPr>
        <w:t>–</w:t>
      </w:r>
      <w:r w:rsidRPr="0063031B">
        <w:rPr>
          <w:lang w:val="es-ES"/>
        </w:rPr>
        <w:tab/>
        <w:t xml:space="preserve">Meta 1.6 (Supresión de la interferencia perjudicial): </w:t>
      </w:r>
      <w:r w:rsidR="000C36A5" w:rsidRPr="0063031B">
        <w:rPr>
          <w:lang w:val="es-ES"/>
        </w:rPr>
        <w:t xml:space="preserve">se </w:t>
      </w:r>
      <w:r w:rsidRPr="0063031B">
        <w:rPr>
          <w:lang w:val="es-ES"/>
        </w:rPr>
        <w:t>encomendó a la Secretaría que colaborara estrechamente con el Director de la Oficina de Radiocomunicaciones para identificar mejores indicadores que reflejen con mayor precisión la forma en que la UIT aborda las cuestiones relacionadas con la interferencia perjudicial.</w:t>
      </w:r>
    </w:p>
    <w:p w14:paraId="633F1887" w14:textId="3EA11271" w:rsidR="00222074" w:rsidRPr="0063031B" w:rsidRDefault="00222074" w:rsidP="00222074">
      <w:pPr>
        <w:pStyle w:val="enumlev1"/>
        <w:rPr>
          <w:lang w:val="es-ES"/>
        </w:rPr>
      </w:pPr>
      <w:r w:rsidRPr="0063031B">
        <w:rPr>
          <w:lang w:val="es-ES"/>
        </w:rPr>
        <w:t>–</w:t>
      </w:r>
      <w:r w:rsidRPr="0063031B">
        <w:rPr>
          <w:lang w:val="es-ES"/>
        </w:rPr>
        <w:tab/>
        <w:t xml:space="preserve">Meta 1.7 (Repercusión de las normas de interoperabilidad): </w:t>
      </w:r>
      <w:r w:rsidR="000C36A5" w:rsidRPr="0063031B">
        <w:rPr>
          <w:lang w:val="es-ES"/>
        </w:rPr>
        <w:t xml:space="preserve">se </w:t>
      </w:r>
      <w:r w:rsidRPr="0063031B">
        <w:rPr>
          <w:lang w:val="es-ES"/>
        </w:rPr>
        <w:t>encomendó a la Secretaría que colaborara estrechamente con el Director de la Oficina de Normalización de las Telecomunicaciones para identificar indicadores más adecuados a tal efecto.</w:t>
      </w:r>
    </w:p>
    <w:p w14:paraId="069CCD7C" w14:textId="13C00B82" w:rsidR="00222074" w:rsidRPr="0063031B" w:rsidRDefault="00222074" w:rsidP="00222074">
      <w:pPr>
        <w:pStyle w:val="enumlev1"/>
        <w:rPr>
          <w:lang w:val="es-ES"/>
        </w:rPr>
      </w:pPr>
      <w:r w:rsidRPr="0063031B">
        <w:rPr>
          <w:lang w:val="es-ES"/>
        </w:rPr>
        <w:t>–</w:t>
      </w:r>
      <w:r w:rsidRPr="0063031B">
        <w:rPr>
          <w:lang w:val="es-ES"/>
        </w:rPr>
        <w:tab/>
        <w:t xml:space="preserve">Apéndice B: </w:t>
      </w:r>
      <w:r w:rsidR="000C36A5" w:rsidRPr="0063031B">
        <w:rPr>
          <w:lang w:val="es-ES"/>
        </w:rPr>
        <w:t xml:space="preserve">el </w:t>
      </w:r>
      <w:r w:rsidRPr="0063031B">
        <w:rPr>
          <w:lang w:val="es-ES"/>
        </w:rPr>
        <w:t>cuadro se actualizará una vez que se haya aprobado el Plan Financiero para 2028</w:t>
      </w:r>
      <w:r w:rsidR="000C36A5" w:rsidRPr="0063031B">
        <w:rPr>
          <w:lang w:val="es-ES"/>
        </w:rPr>
        <w:t>-</w:t>
      </w:r>
      <w:r w:rsidRPr="0063031B">
        <w:rPr>
          <w:lang w:val="es-ES"/>
        </w:rPr>
        <w:t>2031 (Decisión 5).</w:t>
      </w:r>
    </w:p>
    <w:p w14:paraId="4883CABD" w14:textId="77777777" w:rsidR="00222074" w:rsidRPr="0063031B" w:rsidRDefault="00222074" w:rsidP="00222074">
      <w:pPr>
        <w:rPr>
          <w:lang w:val="es-ES"/>
        </w:rPr>
      </w:pPr>
      <w:r w:rsidRPr="0063031B">
        <w:rPr>
          <w:lang w:val="es-ES"/>
        </w:rPr>
        <w:t>En consecuencia, la reunión acordó que el Consejo pueda remitir a la PP-26 los siguientes resultados del GTC-PEF:</w:t>
      </w:r>
    </w:p>
    <w:p w14:paraId="03059373" w14:textId="77777777" w:rsidR="00222074" w:rsidRPr="0063031B" w:rsidRDefault="00222074" w:rsidP="00222074">
      <w:pPr>
        <w:pStyle w:val="enumlev1"/>
        <w:rPr>
          <w:lang w:val="es-ES"/>
        </w:rPr>
      </w:pPr>
      <w:r w:rsidRPr="0063031B">
        <w:rPr>
          <w:lang w:val="es-ES"/>
        </w:rPr>
        <w:t>1)</w:t>
      </w:r>
      <w:r w:rsidRPr="0063031B">
        <w:rPr>
          <w:lang w:val="es-ES"/>
        </w:rPr>
        <w:tab/>
        <w:t>el proyecto de Anexo 1 de la Resolución 71, que contiene los Planes Estratégico y Financiero para 2028-2031, incluidos varios textos entre corchetes (véase la revisión 1 del Anexo 1);</w:t>
      </w:r>
    </w:p>
    <w:p w14:paraId="07F64DA4" w14:textId="3E1AE6F7" w:rsidR="00222074" w:rsidRPr="0063031B" w:rsidRDefault="00222074" w:rsidP="00222074">
      <w:pPr>
        <w:pStyle w:val="enumlev1"/>
        <w:rPr>
          <w:lang w:val="es-ES"/>
        </w:rPr>
      </w:pPr>
      <w:r w:rsidRPr="0063031B">
        <w:rPr>
          <w:lang w:val="es-ES"/>
        </w:rPr>
        <w:t>2)</w:t>
      </w:r>
      <w:r w:rsidRPr="0063031B">
        <w:rPr>
          <w:lang w:val="es-ES"/>
        </w:rPr>
        <w:tab/>
        <w:t>el proyecto de Anexo 2 de la Resolución 71, que contiene el análisis de situación, presentado entre corchetes (véase el Anexo 2)</w:t>
      </w:r>
      <w:r w:rsidR="000C36A5" w:rsidRPr="0063031B">
        <w:rPr>
          <w:lang w:val="es-ES"/>
        </w:rPr>
        <w:t>,</w:t>
      </w:r>
      <w:r w:rsidRPr="0063031B">
        <w:rPr>
          <w:lang w:val="es-ES"/>
        </w:rPr>
        <w:t xml:space="preserve"> y</w:t>
      </w:r>
    </w:p>
    <w:p w14:paraId="0F0D3C2A" w14:textId="77777777" w:rsidR="00222074" w:rsidRPr="0063031B" w:rsidRDefault="00222074" w:rsidP="00222074">
      <w:pPr>
        <w:pStyle w:val="enumlev1"/>
        <w:rPr>
          <w:lang w:val="es-ES"/>
        </w:rPr>
      </w:pPr>
      <w:r w:rsidRPr="0063031B">
        <w:rPr>
          <w:lang w:val="es-ES"/>
        </w:rPr>
        <w:t>3)</w:t>
      </w:r>
      <w:r w:rsidRPr="0063031B">
        <w:rPr>
          <w:lang w:val="es-ES"/>
        </w:rPr>
        <w:tab/>
        <w:t>el proyecto de Anexo 3 de la Resolución 71, que contiene el glosario de términos (véase el Anexo 3).</w:t>
      </w:r>
    </w:p>
    <w:p w14:paraId="09C9C87B" w14:textId="5050229F" w:rsidR="00222074" w:rsidRPr="0063031B" w:rsidRDefault="00222074" w:rsidP="00222074">
      <w:pPr>
        <w:rPr>
          <w:lang w:val="es-ES"/>
        </w:rPr>
      </w:pPr>
      <w:r w:rsidRPr="0063031B">
        <w:rPr>
          <w:lang w:val="es-ES"/>
        </w:rPr>
        <w:t xml:space="preserve">Cabe señalar que el </w:t>
      </w:r>
      <w:r w:rsidR="000C36A5" w:rsidRPr="0063031B">
        <w:rPr>
          <w:lang w:val="es-ES"/>
        </w:rPr>
        <w:t xml:space="preserve">Presidente </w:t>
      </w:r>
      <w:r w:rsidRPr="0063031B">
        <w:rPr>
          <w:lang w:val="es-ES"/>
        </w:rPr>
        <w:t>del GTC-PEF proseguirá su colaboración con las regiones para seguir consultando, explicando y comprendiendo las necesidades y opiniones de las regiones, con el fin de facilitar la labor durante la PP-26.</w:t>
      </w:r>
    </w:p>
    <w:p w14:paraId="1D1CC7E0" w14:textId="77777777" w:rsidR="00222074" w:rsidRPr="0063031B" w:rsidRDefault="00222074" w:rsidP="00222074">
      <w:pPr>
        <w:rPr>
          <w:lang w:val="es-ES"/>
        </w:rPr>
      </w:pPr>
      <w:r w:rsidRPr="0063031B">
        <w:rPr>
          <w:lang w:val="es-ES"/>
        </w:rPr>
        <w:t>Los Estados Miembros solicitaron asimismo a la Secretaría que preparara una presentación que ilustrara los vínculos entre los Planes estratégico, Financiero y Operacional, a fin de proporcionarla en todas las reuniones preparatorias regionales, al tiempo que se favorece un entendimiento común y se fortalece aún más el enfoque de gestión basada en resultados.</w:t>
      </w:r>
    </w:p>
    <w:p w14:paraId="742CAC82" w14:textId="53C13478" w:rsidR="00222074" w:rsidRPr="0063031B" w:rsidRDefault="00222074" w:rsidP="00222074">
      <w:pPr>
        <w:rPr>
          <w:lang w:val="es-ES"/>
        </w:rPr>
      </w:pPr>
      <w:r w:rsidRPr="0063031B">
        <w:rPr>
          <w:lang w:val="es-ES"/>
        </w:rPr>
        <w:lastRenderedPageBreak/>
        <w:t xml:space="preserve">Puesto que los documentos presentados a la Conferencia de Plenipotenciarios no pueden incluir observaciones, el </w:t>
      </w:r>
      <w:r w:rsidR="000C36A5" w:rsidRPr="0063031B">
        <w:rPr>
          <w:lang w:val="es-ES"/>
        </w:rPr>
        <w:t xml:space="preserve">Presidente </w:t>
      </w:r>
      <w:r w:rsidRPr="0063031B">
        <w:rPr>
          <w:lang w:val="es-ES"/>
        </w:rPr>
        <w:t xml:space="preserve">invitó a los autores de las propuestas a que estudiaran la posibilidad de presentar las opiniones reflejadas en los anteriores proyectos de anexo en el marco de contribuciones oficiales a la PP-26. A tal efecto, se ha incluido una declaración como </w:t>
      </w:r>
      <w:hyperlink w:anchor="Annex" w:history="1">
        <w:r w:rsidRPr="0063031B">
          <w:rPr>
            <w:rStyle w:val="Hyperlink"/>
            <w:rFonts w:asciiTheme="minorHAnsi" w:eastAsia="Times New Roman" w:hAnsiTheme="minorHAnsi" w:cstheme="minorHAnsi"/>
            <w:szCs w:val="24"/>
            <w:lang w:val="es-ES"/>
          </w:rPr>
          <w:t>Anexo</w:t>
        </w:r>
      </w:hyperlink>
      <w:r w:rsidRPr="0063031B">
        <w:rPr>
          <w:lang w:val="es-ES"/>
        </w:rPr>
        <w:t xml:space="preserve"> al presente </w:t>
      </w:r>
      <w:proofErr w:type="spellStart"/>
      <w:r w:rsidRPr="0063031B">
        <w:rPr>
          <w:lang w:val="es-ES"/>
        </w:rPr>
        <w:t>Addéndum</w:t>
      </w:r>
      <w:proofErr w:type="spellEnd"/>
      <w:r w:rsidRPr="0063031B">
        <w:rPr>
          <w:lang w:val="es-ES"/>
        </w:rPr>
        <w:t xml:space="preserve"> 2.</w:t>
      </w:r>
    </w:p>
    <w:p w14:paraId="70E2EE66" w14:textId="75ACB37F" w:rsidR="00222074" w:rsidRPr="0063031B" w:rsidRDefault="00222074" w:rsidP="00222074">
      <w:pPr>
        <w:rPr>
          <w:lang w:val="es-ES"/>
        </w:rPr>
      </w:pPr>
      <w:r w:rsidRPr="0063031B">
        <w:rPr>
          <w:lang w:val="es-ES"/>
        </w:rPr>
        <w:t xml:space="preserve">El </w:t>
      </w:r>
      <w:r w:rsidR="000C36A5" w:rsidRPr="0063031B">
        <w:rPr>
          <w:lang w:val="es-ES"/>
        </w:rPr>
        <w:t xml:space="preserve">Presidente </w:t>
      </w:r>
      <w:r w:rsidRPr="0063031B">
        <w:rPr>
          <w:lang w:val="es-ES"/>
        </w:rPr>
        <w:t>del GTC-PEF manifestó su agradecimiento a la Secretaría de la UIT y a todas las delegaciones por su activa participación en la reunión y por sus útiles contribuciones. También agradeció a todas las partes interesadas que contribuyeron a esa labor, en particular a los grupos asesores de los Sectores, por su compromiso y apoyo ininterrumpidos.</w:t>
      </w:r>
    </w:p>
    <w:p w14:paraId="4CE0A854" w14:textId="77777777" w:rsidR="00222074" w:rsidRPr="00F14077" w:rsidRDefault="00222074" w:rsidP="00F14077">
      <w:pPr>
        <w:spacing w:before="1920"/>
        <w:rPr>
          <w:b/>
          <w:bCs/>
          <w:i/>
          <w:iCs/>
          <w:lang w:val="es-ES"/>
        </w:rPr>
      </w:pPr>
      <w:r w:rsidRPr="00F14077">
        <w:rPr>
          <w:i/>
          <w:iCs/>
          <w:lang w:val="es-ES"/>
        </w:rPr>
        <w:t xml:space="preserve">Anexo: </w:t>
      </w:r>
      <w:r w:rsidRPr="00F14077">
        <w:rPr>
          <w:b/>
          <w:bCs/>
          <w:i/>
          <w:iCs/>
          <w:lang w:val="es-ES"/>
        </w:rPr>
        <w:t>1</w:t>
      </w:r>
    </w:p>
    <w:p w14:paraId="61A6804C" w14:textId="77777777" w:rsidR="00222074" w:rsidRPr="0063031B" w:rsidRDefault="00222074" w:rsidP="00F14077">
      <w:pPr>
        <w:pStyle w:val="AnnexNo"/>
        <w:spacing w:before="360"/>
        <w:rPr>
          <w:lang w:val="es-ES"/>
        </w:rPr>
      </w:pPr>
      <w:r w:rsidRPr="0063031B">
        <w:rPr>
          <w:lang w:val="es-ES"/>
        </w:rPr>
        <w:br w:type="page"/>
      </w:r>
      <w:bookmarkStart w:id="1" w:name="Annex"/>
      <w:r w:rsidRPr="0063031B">
        <w:rPr>
          <w:lang w:val="es-ES"/>
        </w:rPr>
        <w:lastRenderedPageBreak/>
        <w:t>ANEXO</w:t>
      </w:r>
      <w:bookmarkEnd w:id="1"/>
    </w:p>
    <w:p w14:paraId="4B94BF06" w14:textId="77777777" w:rsidR="00222074" w:rsidRPr="0063031B" w:rsidRDefault="00222074" w:rsidP="00222074">
      <w:pPr>
        <w:pStyle w:val="Annextitle"/>
        <w:rPr>
          <w:lang w:val="es-ES"/>
        </w:rPr>
      </w:pPr>
      <w:r w:rsidRPr="0063031B">
        <w:rPr>
          <w:lang w:val="es-ES"/>
        </w:rPr>
        <w:t>Declaración recibida de Estados Unidos de América</w:t>
      </w:r>
    </w:p>
    <w:p w14:paraId="247113BC" w14:textId="3606D4DC" w:rsidR="00222074" w:rsidRPr="0063031B" w:rsidRDefault="00222074" w:rsidP="00222074">
      <w:pPr>
        <w:rPr>
          <w:lang w:val="es-ES"/>
        </w:rPr>
      </w:pPr>
      <w:r w:rsidRPr="0063031B">
        <w:rPr>
          <w:lang w:val="es-ES"/>
        </w:rPr>
        <w:t>"A lo largo de la elaboración del proyecto de Plan Estratégico, Estados Unidos ha manifestado su inquietud y ha reservado su opinión con respecto a determinadas observaciones, lo que hasta ahora se ha reflejado como comentarios en el proyecto de documento.</w:t>
      </w:r>
    </w:p>
    <w:p w14:paraId="210EE2DF" w14:textId="77777777" w:rsidR="00222074" w:rsidRPr="0063031B" w:rsidRDefault="00222074" w:rsidP="00222074">
      <w:pPr>
        <w:rPr>
          <w:lang w:val="es-ES"/>
        </w:rPr>
      </w:pPr>
      <w:r w:rsidRPr="0063031B">
        <w:rPr>
          <w:lang w:val="es-ES"/>
        </w:rPr>
        <w:t>Puesto que dichos comentarios no pueden transmitirse a la Conferencia de Plenipotenciarios en el propio proyecto de texto, deseamos formular la siguiente declaración, y solicitamos que se adjunte al proyecto de informe del Plan Estratégico que se remita:</w:t>
      </w:r>
    </w:p>
    <w:p w14:paraId="53225B1A" w14:textId="77777777" w:rsidR="00222074" w:rsidRPr="0063031B" w:rsidRDefault="00222074" w:rsidP="00222074">
      <w:pPr>
        <w:rPr>
          <w:lang w:val="es-ES"/>
        </w:rPr>
      </w:pPr>
      <w:r w:rsidRPr="0063031B">
        <w:rPr>
          <w:lang w:val="es-ES"/>
        </w:rPr>
        <w:t>Estados Unidos considera que el Plan Estratégico y Financiero debe seguir siendo conciso, con visión de futuro y firmemente basado en el mandato técnico de la UIT de promover la conectividad. Si bien acogemos con satisfacción los avances realizados para simplificar el proyecto de texto, su ulterior mejora en la Conferencia de Plenipotenciarios de la UIT de 2026 (PP-26) contribuiría a garantizar su claridad y pertinencia.</w:t>
      </w:r>
    </w:p>
    <w:p w14:paraId="680DE955" w14:textId="77777777" w:rsidR="00222074" w:rsidRPr="0063031B" w:rsidRDefault="00222074" w:rsidP="00222074">
      <w:pPr>
        <w:rPr>
          <w:lang w:val="es-ES"/>
        </w:rPr>
      </w:pPr>
      <w:r w:rsidRPr="0063031B">
        <w:rPr>
          <w:lang w:val="es-ES"/>
        </w:rPr>
        <w:t xml:space="preserve">En consonancia con nuestro enfoque más amplio para todo el sistema de las Naciones Unidas, Estados Unidos aboga por un enfoque práctico y centrado en lo esencial. La UIT debe seguir haciendo hincapié en sus responsabilidades fundamentales, a fin de obtener resultados tangibles que marquen una diferencia real. Habida cuenta de ello: </w:t>
      </w:r>
    </w:p>
    <w:p w14:paraId="78BD4980" w14:textId="77777777" w:rsidR="00222074" w:rsidRPr="0063031B" w:rsidRDefault="00222074" w:rsidP="00222074">
      <w:pPr>
        <w:pStyle w:val="enumlev1"/>
        <w:rPr>
          <w:lang w:val="es-ES"/>
        </w:rPr>
      </w:pPr>
      <w:r w:rsidRPr="0063031B">
        <w:rPr>
          <w:lang w:val="es-ES"/>
        </w:rPr>
        <w:t>–</w:t>
      </w:r>
      <w:r w:rsidRPr="0063031B">
        <w:rPr>
          <w:lang w:val="es-ES"/>
        </w:rPr>
        <w:tab/>
        <w:t>Nos oponemos a la incorporación de marcos de desarrollo amplios, en particular la Agenda 2030 para el Desarrollo Sostenible, puesto que ello promueve una gobernanza mundial tácita incompatible con la soberanía de los países.</w:t>
      </w:r>
    </w:p>
    <w:p w14:paraId="10B9BBB9" w14:textId="3F20B9AA" w:rsidR="00222074" w:rsidRPr="0063031B" w:rsidRDefault="00222074" w:rsidP="00222074">
      <w:pPr>
        <w:pStyle w:val="enumlev1"/>
        <w:rPr>
          <w:lang w:val="es-ES"/>
        </w:rPr>
      </w:pPr>
      <w:r w:rsidRPr="0063031B">
        <w:rPr>
          <w:lang w:val="es-ES"/>
        </w:rPr>
        <w:t>–</w:t>
      </w:r>
      <w:r w:rsidRPr="0063031B">
        <w:rPr>
          <w:lang w:val="es-ES"/>
        </w:rPr>
        <w:tab/>
        <w:t>No respaldamos la inclusión de referencias al cambio climático, por menoscabar al mandato fundamental de la UIT.</w:t>
      </w:r>
    </w:p>
    <w:p w14:paraId="40636460" w14:textId="77777777" w:rsidR="00222074" w:rsidRPr="0063031B" w:rsidRDefault="00222074" w:rsidP="00222074">
      <w:pPr>
        <w:pStyle w:val="enumlev1"/>
        <w:rPr>
          <w:lang w:val="es-ES"/>
        </w:rPr>
      </w:pPr>
      <w:r w:rsidRPr="0063031B">
        <w:rPr>
          <w:lang w:val="es-ES"/>
        </w:rPr>
        <w:t>–</w:t>
      </w:r>
      <w:r w:rsidRPr="0063031B">
        <w:rPr>
          <w:lang w:val="es-ES"/>
        </w:rPr>
        <w:tab/>
        <w:t>Nos reservamos nuestra opinión con respecto a descriptores como "inclusivo", "equitativo" y "sostenible", así como en relación con el énfasis en la "asequibilidad", por dar lugar a ambigüedad y a implicaciones políticas fuera del ámbito técnico de la Unión.</w:t>
      </w:r>
    </w:p>
    <w:p w14:paraId="400E8B3F" w14:textId="77777777" w:rsidR="00222074" w:rsidRPr="0063031B" w:rsidRDefault="00222074" w:rsidP="00222074">
      <w:pPr>
        <w:pStyle w:val="enumlev1"/>
        <w:rPr>
          <w:lang w:val="es-ES"/>
        </w:rPr>
      </w:pPr>
      <w:r w:rsidRPr="0063031B">
        <w:rPr>
          <w:lang w:val="es-ES"/>
        </w:rPr>
        <w:t>–</w:t>
      </w:r>
      <w:r w:rsidRPr="0063031B">
        <w:rPr>
          <w:lang w:val="es-ES"/>
        </w:rPr>
        <w:tab/>
        <w:t>Estados Unidos también apoya firmemente el uso de un lenguaje claro y preciso que reconozca que las mujeres son biológicamente mujeres y los hombres son biológicamente hombres. No apoyamos las iniciativas sobre diversidad, equidad o inclusión, ni las prácticas que den preferencia a grupos específicos por encima del mérito.</w:t>
      </w:r>
    </w:p>
    <w:p w14:paraId="0900B799" w14:textId="77777777" w:rsidR="00222074" w:rsidRPr="0063031B" w:rsidRDefault="00222074" w:rsidP="00222074">
      <w:pPr>
        <w:jc w:val="both"/>
        <w:rPr>
          <w:lang w:val="es-ES"/>
        </w:rPr>
      </w:pPr>
      <w:r w:rsidRPr="0063031B">
        <w:rPr>
          <w:lang w:val="es-ES"/>
        </w:rPr>
        <w:t>Nuestra prioridad es mantener el Plan centrado en estrategias prácticas y orientadas a los resultados que fortalezcan la capacidad de la UIT para facilitar la conectividad universal, crear capacidad y fomentar la innovación por medio de políticas flexibles y con visión de futuro.</w:t>
      </w:r>
    </w:p>
    <w:p w14:paraId="7B901589" w14:textId="77777777" w:rsidR="00222074" w:rsidRPr="0063031B" w:rsidRDefault="00222074" w:rsidP="00222074">
      <w:pPr>
        <w:jc w:val="both"/>
        <w:rPr>
          <w:lang w:val="es-ES"/>
        </w:rPr>
      </w:pPr>
      <w:r w:rsidRPr="0063031B">
        <w:rPr>
          <w:lang w:val="es-ES"/>
        </w:rPr>
        <w:t>Estados Unidos espera mantener una colaboración activa con todos los Miembros de la UIT en la PP-26 en lo concerniente a la actualización de la Resolución 71, con objeto de garantizar que nuestros esfuerzos colectivos sigan siendo eficientes, eficaces y acordes con la misión de la Unión".</w:t>
      </w:r>
    </w:p>
    <w:p w14:paraId="767A7C93" w14:textId="77777777" w:rsidR="00F92BED" w:rsidRPr="0063031B" w:rsidRDefault="00F92BED" w:rsidP="00F92BED">
      <w:pPr>
        <w:jc w:val="center"/>
        <w:rPr>
          <w:lang w:val="es-ES"/>
        </w:rPr>
      </w:pPr>
      <w:r w:rsidRPr="0063031B">
        <w:rPr>
          <w:lang w:val="es-ES"/>
        </w:rPr>
        <w:t>______________</w:t>
      </w:r>
    </w:p>
    <w:sectPr w:rsidR="00F92BED" w:rsidRPr="0063031B" w:rsidSect="00C538FC">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A722" w14:textId="77777777" w:rsidR="002D3BB2" w:rsidRDefault="002D3BB2">
      <w:r>
        <w:separator/>
      </w:r>
    </w:p>
  </w:endnote>
  <w:endnote w:type="continuationSeparator" w:id="0">
    <w:p w14:paraId="63EDABBF" w14:textId="77777777" w:rsidR="002D3BB2" w:rsidRDefault="002D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3BE0E81" w14:textId="77777777" w:rsidTr="00E31DCE">
      <w:trPr>
        <w:jc w:val="center"/>
      </w:trPr>
      <w:tc>
        <w:tcPr>
          <w:tcW w:w="1803" w:type="dxa"/>
          <w:vAlign w:val="center"/>
        </w:tcPr>
        <w:p w14:paraId="2546E01A" w14:textId="3816D9E2" w:rsidR="003273A4" w:rsidRDefault="002946E2" w:rsidP="003273A4">
          <w:pPr>
            <w:pStyle w:val="Header"/>
            <w:jc w:val="left"/>
            <w:rPr>
              <w:noProof/>
            </w:rPr>
          </w:pPr>
          <w:r>
            <w:rPr>
              <w:noProof/>
            </w:rPr>
            <w:t xml:space="preserve">gDoc </w:t>
          </w:r>
          <w:r w:rsidR="002D3BB2" w:rsidRPr="002D3BB2">
            <w:rPr>
              <w:noProof/>
            </w:rPr>
            <w:t>2601173</w:t>
          </w:r>
        </w:p>
      </w:tc>
      <w:tc>
        <w:tcPr>
          <w:tcW w:w="8261" w:type="dxa"/>
        </w:tcPr>
        <w:p w14:paraId="2B1019E4" w14:textId="54093280"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2D3BB2">
            <w:rPr>
              <w:bCs/>
            </w:rPr>
            <w:t>31(Add.2)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D3F3A10"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AD47EE4" w14:textId="77777777" w:rsidTr="00E31DCE">
      <w:trPr>
        <w:jc w:val="center"/>
      </w:trPr>
      <w:tc>
        <w:tcPr>
          <w:tcW w:w="1803" w:type="dxa"/>
          <w:vAlign w:val="center"/>
        </w:tcPr>
        <w:p w14:paraId="48E85B41"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501A2F0" w14:textId="6D338B2C" w:rsidR="00F24B71" w:rsidRPr="00E06FD5" w:rsidRDefault="00F24B71" w:rsidP="002D3BB2">
          <w:pPr>
            <w:pStyle w:val="Header"/>
            <w:tabs>
              <w:tab w:val="left" w:pos="6594"/>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2D3BB2">
            <w:rPr>
              <w:bCs/>
            </w:rPr>
            <w:t>31(Add.2)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4514E963"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1554" w14:textId="77777777" w:rsidR="002D3BB2" w:rsidRDefault="002D3BB2">
      <w:r>
        <w:t>____________________</w:t>
      </w:r>
    </w:p>
  </w:footnote>
  <w:footnote w:type="continuationSeparator" w:id="0">
    <w:p w14:paraId="5235A3CD" w14:textId="77777777" w:rsidR="002D3BB2" w:rsidRDefault="002D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A5BA" w14:textId="77777777" w:rsidR="001559F5" w:rsidRPr="00B1560D" w:rsidRDefault="00B1560D" w:rsidP="00B1560D">
    <w:pPr>
      <w:pStyle w:val="Header"/>
    </w:pPr>
    <w:r>
      <w:rPr>
        <w:noProof/>
      </w:rPr>
      <w:drawing>
        <wp:inline distT="0" distB="0" distL="0" distR="0" wp14:anchorId="335AA5F7" wp14:editId="379DCECC">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B2"/>
    <w:rsid w:val="000007D1"/>
    <w:rsid w:val="0006007D"/>
    <w:rsid w:val="00093EEB"/>
    <w:rsid w:val="000B0D00"/>
    <w:rsid w:val="000B7C15"/>
    <w:rsid w:val="000C36A5"/>
    <w:rsid w:val="000D1D0F"/>
    <w:rsid w:val="000E3F07"/>
    <w:rsid w:val="000F5290"/>
    <w:rsid w:val="000F5A95"/>
    <w:rsid w:val="0010165C"/>
    <w:rsid w:val="00146BFB"/>
    <w:rsid w:val="001559F5"/>
    <w:rsid w:val="00157AC4"/>
    <w:rsid w:val="0016169C"/>
    <w:rsid w:val="001958F5"/>
    <w:rsid w:val="001B6E2B"/>
    <w:rsid w:val="001F14A2"/>
    <w:rsid w:val="00222074"/>
    <w:rsid w:val="00277DEA"/>
    <w:rsid w:val="002801AA"/>
    <w:rsid w:val="002946E2"/>
    <w:rsid w:val="002C3F32"/>
    <w:rsid w:val="002C4676"/>
    <w:rsid w:val="002C70B0"/>
    <w:rsid w:val="002D3BB2"/>
    <w:rsid w:val="002F3CC4"/>
    <w:rsid w:val="003032E2"/>
    <w:rsid w:val="0031300A"/>
    <w:rsid w:val="003273A4"/>
    <w:rsid w:val="0034796E"/>
    <w:rsid w:val="004108FB"/>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3031B"/>
    <w:rsid w:val="006447EA"/>
    <w:rsid w:val="0064481D"/>
    <w:rsid w:val="0064731F"/>
    <w:rsid w:val="00664572"/>
    <w:rsid w:val="00666D09"/>
    <w:rsid w:val="00670579"/>
    <w:rsid w:val="006710F6"/>
    <w:rsid w:val="00673D7E"/>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B1B5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14077"/>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FEC52E"/>
  <w15:docId w15:val="{7FFFC63A-9C77-4722-9DBA-B382AA92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tu.int/md/S24-CL-C-0139/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Documents/basic-texts-2023/RES-071-S.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1</TotalTime>
  <Pages>4</Pages>
  <Words>1149</Words>
  <Characters>6610</Characters>
  <Application>Microsoft Office Word</Application>
  <DocSecurity>0</DocSecurity>
  <Lines>143</Lines>
  <Paragraphs>83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7676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Grupo de Trabajo del Consejo sobre los planes estratégico y financiero para 2028-2031 (GTC-PEF)</dc:title>
  <dc:subject>Consejo 2026 de la UIT</dc:subject>
  <dc:creator>GBS</dc:creator>
  <cp:keywords>C26; C2026; Council 2026; PP26</cp:keywords>
  <dc:description/>
  <cp:lastModifiedBy>GBS</cp:lastModifiedBy>
  <cp:revision>2</cp:revision>
  <cp:lastPrinted>2006-03-24T09:51:00Z</cp:lastPrinted>
  <dcterms:created xsi:type="dcterms:W3CDTF">2026-05-06T06:42:00Z</dcterms:created>
  <dcterms:modified xsi:type="dcterms:W3CDTF">2026-05-06T06:42:00Z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