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413627" w14:paraId="74465A59" w14:textId="77777777" w:rsidTr="00796BDB">
        <w:trPr>
          <w:cantSplit/>
          <w:trHeight w:val="23"/>
        </w:trPr>
        <w:tc>
          <w:tcPr>
            <w:tcW w:w="3969" w:type="dxa"/>
            <w:vMerge w:val="restart"/>
            <w:tcMar>
              <w:left w:w="0" w:type="dxa"/>
            </w:tcMar>
          </w:tcPr>
          <w:p w14:paraId="14EF87A2" w14:textId="43706543" w:rsidR="00D72F49" w:rsidRPr="00413627" w:rsidRDefault="00D72F49" w:rsidP="00796BDB">
            <w:pPr>
              <w:tabs>
                <w:tab w:val="left" w:pos="851"/>
              </w:tabs>
              <w:spacing w:before="0" w:line="240" w:lineRule="atLeast"/>
              <w:rPr>
                <w:b/>
              </w:rPr>
            </w:pPr>
            <w:r w:rsidRPr="00413627">
              <w:rPr>
                <w:b/>
              </w:rPr>
              <w:t>Point de l'ordre du jour:</w:t>
            </w:r>
            <w:r w:rsidR="00CB157C" w:rsidRPr="00413627">
              <w:rPr>
                <w:b/>
              </w:rPr>
              <w:t xml:space="preserve"> PL</w:t>
            </w:r>
            <w:r w:rsidR="005E28A6" w:rsidRPr="00413627">
              <w:rPr>
                <w:b/>
              </w:rPr>
              <w:t xml:space="preserve"> </w:t>
            </w:r>
            <w:r w:rsidR="00CB157C" w:rsidRPr="00413627">
              <w:rPr>
                <w:b/>
              </w:rPr>
              <w:t>2</w:t>
            </w:r>
          </w:p>
        </w:tc>
        <w:tc>
          <w:tcPr>
            <w:tcW w:w="5245" w:type="dxa"/>
          </w:tcPr>
          <w:p w14:paraId="443304A7" w14:textId="5053156A" w:rsidR="00D72F49" w:rsidRPr="00413627" w:rsidRDefault="00413627" w:rsidP="00796BDB">
            <w:pPr>
              <w:tabs>
                <w:tab w:val="left" w:pos="851"/>
              </w:tabs>
              <w:spacing w:before="0" w:line="240" w:lineRule="atLeast"/>
              <w:jc w:val="right"/>
              <w:rPr>
                <w:b/>
              </w:rPr>
            </w:pPr>
            <w:r w:rsidRPr="00413627">
              <w:rPr>
                <w:b/>
              </w:rPr>
              <w:t>Addendum 2</w:t>
            </w:r>
            <w:r w:rsidR="00A27A12">
              <w:rPr>
                <w:b/>
              </w:rPr>
              <w:t xml:space="preserve"> </w:t>
            </w:r>
            <w:r w:rsidRPr="00413627">
              <w:rPr>
                <w:b/>
              </w:rPr>
              <w:t>au</w:t>
            </w:r>
            <w:r w:rsidRPr="00413627">
              <w:rPr>
                <w:b/>
              </w:rPr>
              <w:br/>
            </w:r>
            <w:r w:rsidR="00D72F49" w:rsidRPr="00413627">
              <w:rPr>
                <w:b/>
              </w:rPr>
              <w:t>Document C2</w:t>
            </w:r>
            <w:r w:rsidR="00E4448E" w:rsidRPr="00413627">
              <w:rPr>
                <w:b/>
              </w:rPr>
              <w:t>6</w:t>
            </w:r>
            <w:r w:rsidR="00D72F49" w:rsidRPr="00413627">
              <w:rPr>
                <w:b/>
              </w:rPr>
              <w:t>/</w:t>
            </w:r>
            <w:r w:rsidR="009A2EBE" w:rsidRPr="00413627">
              <w:rPr>
                <w:b/>
              </w:rPr>
              <w:t>31</w:t>
            </w:r>
            <w:r w:rsidR="00D72F49" w:rsidRPr="00413627">
              <w:rPr>
                <w:b/>
              </w:rPr>
              <w:t>-F</w:t>
            </w:r>
          </w:p>
        </w:tc>
      </w:tr>
      <w:tr w:rsidR="00D72F49" w:rsidRPr="00413627" w14:paraId="4DF8E1F4" w14:textId="77777777" w:rsidTr="00796BDB">
        <w:trPr>
          <w:cantSplit/>
        </w:trPr>
        <w:tc>
          <w:tcPr>
            <w:tcW w:w="3969" w:type="dxa"/>
            <w:vMerge/>
          </w:tcPr>
          <w:p w14:paraId="4A0506D0" w14:textId="77777777" w:rsidR="00D72F49" w:rsidRPr="00413627" w:rsidRDefault="00D72F49" w:rsidP="00796BDB">
            <w:pPr>
              <w:tabs>
                <w:tab w:val="left" w:pos="851"/>
              </w:tabs>
              <w:spacing w:line="240" w:lineRule="atLeast"/>
              <w:rPr>
                <w:b/>
              </w:rPr>
            </w:pPr>
          </w:p>
        </w:tc>
        <w:tc>
          <w:tcPr>
            <w:tcW w:w="5245" w:type="dxa"/>
          </w:tcPr>
          <w:p w14:paraId="3DE3246B" w14:textId="2A8D4850" w:rsidR="00D72F49" w:rsidRPr="00413627" w:rsidRDefault="009A2EBE" w:rsidP="00796BDB">
            <w:pPr>
              <w:tabs>
                <w:tab w:val="left" w:pos="851"/>
              </w:tabs>
              <w:spacing w:before="0"/>
              <w:jc w:val="right"/>
              <w:rPr>
                <w:b/>
              </w:rPr>
            </w:pPr>
            <w:r w:rsidRPr="00413627">
              <w:rPr>
                <w:b/>
              </w:rPr>
              <w:t>5 mai</w:t>
            </w:r>
            <w:r w:rsidR="00CB157C" w:rsidRPr="00413627">
              <w:rPr>
                <w:b/>
              </w:rPr>
              <w:t xml:space="preserve"> 2026</w:t>
            </w:r>
          </w:p>
        </w:tc>
      </w:tr>
      <w:tr w:rsidR="00D72F49" w:rsidRPr="00413627" w14:paraId="2B3774FD" w14:textId="77777777" w:rsidTr="00796BDB">
        <w:trPr>
          <w:cantSplit/>
          <w:trHeight w:val="23"/>
        </w:trPr>
        <w:tc>
          <w:tcPr>
            <w:tcW w:w="3969" w:type="dxa"/>
            <w:vMerge/>
          </w:tcPr>
          <w:p w14:paraId="6001399C" w14:textId="77777777" w:rsidR="00D72F49" w:rsidRPr="00413627" w:rsidRDefault="00D72F49" w:rsidP="00796BDB">
            <w:pPr>
              <w:tabs>
                <w:tab w:val="left" w:pos="851"/>
              </w:tabs>
              <w:spacing w:line="240" w:lineRule="atLeast"/>
              <w:rPr>
                <w:b/>
              </w:rPr>
            </w:pPr>
          </w:p>
        </w:tc>
        <w:tc>
          <w:tcPr>
            <w:tcW w:w="5245" w:type="dxa"/>
          </w:tcPr>
          <w:p w14:paraId="2A0C0C0F" w14:textId="77777777" w:rsidR="00D72F49" w:rsidRPr="00413627" w:rsidRDefault="00D72F49" w:rsidP="00796BDB">
            <w:pPr>
              <w:tabs>
                <w:tab w:val="left" w:pos="851"/>
              </w:tabs>
              <w:spacing w:before="0" w:line="240" w:lineRule="atLeast"/>
              <w:jc w:val="right"/>
              <w:rPr>
                <w:b/>
              </w:rPr>
            </w:pPr>
            <w:r w:rsidRPr="00413627">
              <w:rPr>
                <w:b/>
              </w:rPr>
              <w:t>Original: anglais</w:t>
            </w:r>
          </w:p>
        </w:tc>
      </w:tr>
      <w:tr w:rsidR="00D72F49" w:rsidRPr="00413627" w14:paraId="18B1153D" w14:textId="77777777" w:rsidTr="00796BDB">
        <w:trPr>
          <w:cantSplit/>
          <w:trHeight w:val="23"/>
        </w:trPr>
        <w:tc>
          <w:tcPr>
            <w:tcW w:w="3969" w:type="dxa"/>
          </w:tcPr>
          <w:p w14:paraId="098FEA13" w14:textId="77777777" w:rsidR="00D72F49" w:rsidRPr="00413627" w:rsidRDefault="00D72F49" w:rsidP="00796BDB">
            <w:pPr>
              <w:tabs>
                <w:tab w:val="left" w:pos="851"/>
              </w:tabs>
              <w:spacing w:line="240" w:lineRule="atLeast"/>
              <w:rPr>
                <w:b/>
              </w:rPr>
            </w:pPr>
          </w:p>
        </w:tc>
        <w:tc>
          <w:tcPr>
            <w:tcW w:w="5245" w:type="dxa"/>
          </w:tcPr>
          <w:p w14:paraId="71139E69" w14:textId="77777777" w:rsidR="00D72F49" w:rsidRPr="00413627" w:rsidRDefault="00D72F49" w:rsidP="00796BDB">
            <w:pPr>
              <w:tabs>
                <w:tab w:val="left" w:pos="851"/>
              </w:tabs>
              <w:spacing w:before="0" w:line="240" w:lineRule="atLeast"/>
              <w:jc w:val="right"/>
              <w:rPr>
                <w:b/>
              </w:rPr>
            </w:pPr>
          </w:p>
        </w:tc>
      </w:tr>
      <w:tr w:rsidR="00D72F49" w:rsidRPr="00413627" w14:paraId="7A88D6E2" w14:textId="77777777" w:rsidTr="00796BDB">
        <w:trPr>
          <w:cantSplit/>
        </w:trPr>
        <w:tc>
          <w:tcPr>
            <w:tcW w:w="9214" w:type="dxa"/>
            <w:gridSpan w:val="2"/>
            <w:tcMar>
              <w:left w:w="0" w:type="dxa"/>
            </w:tcMar>
          </w:tcPr>
          <w:p w14:paraId="5C8878A2" w14:textId="1F418178" w:rsidR="00D72F49" w:rsidRPr="00413627" w:rsidRDefault="00413627" w:rsidP="00796BDB">
            <w:pPr>
              <w:pStyle w:val="Source"/>
              <w:jc w:val="left"/>
              <w:rPr>
                <w:sz w:val="34"/>
                <w:szCs w:val="34"/>
              </w:rPr>
            </w:pPr>
            <w:r w:rsidRPr="00413627">
              <w:rPr>
                <w:sz w:val="34"/>
                <w:szCs w:val="34"/>
              </w:rPr>
              <w:t>Rapport du Président du Groupe de travail du Conseil chargé d'élaborer le Plan stratégique et le Plan financier pour la période 2028-2031</w:t>
            </w:r>
          </w:p>
        </w:tc>
      </w:tr>
      <w:tr w:rsidR="00D72F49" w:rsidRPr="00413627" w14:paraId="556FEEDC" w14:textId="77777777" w:rsidTr="00796BDB">
        <w:trPr>
          <w:cantSplit/>
        </w:trPr>
        <w:tc>
          <w:tcPr>
            <w:tcW w:w="9214" w:type="dxa"/>
            <w:gridSpan w:val="2"/>
            <w:tcMar>
              <w:left w:w="0" w:type="dxa"/>
            </w:tcMar>
          </w:tcPr>
          <w:p w14:paraId="6EA89BDA" w14:textId="7C09E6A5" w:rsidR="00D72F49" w:rsidRPr="00413627" w:rsidRDefault="00413627" w:rsidP="00796BDB">
            <w:pPr>
              <w:pStyle w:val="Subtitle"/>
              <w:framePr w:hSpace="0" w:wrap="auto" w:hAnchor="text" w:xAlign="left" w:yAlign="inline"/>
              <w:rPr>
                <w:sz w:val="32"/>
                <w:szCs w:val="32"/>
                <w:lang w:val="fr-FR"/>
              </w:rPr>
            </w:pPr>
            <w:r w:rsidRPr="00413627">
              <w:rPr>
                <w:sz w:val="32"/>
                <w:szCs w:val="32"/>
                <w:lang w:val="fr-FR"/>
              </w:rPr>
              <w:t>RAPPORT DU GROUPE DE TRAVAIL DU CONSEIL CHARGÉ D'ÉLABORER LE PLAN STRATÉGIQUE ET LE PLAN FINANCIER POUR LA PÉRIODE 2028-2031 (GTC-SFP)</w:t>
            </w:r>
          </w:p>
        </w:tc>
      </w:tr>
      <w:tr w:rsidR="00D72F49" w:rsidRPr="00413627" w14:paraId="0FCE1FB7" w14:textId="77777777" w:rsidTr="00796BDB">
        <w:trPr>
          <w:cantSplit/>
        </w:trPr>
        <w:tc>
          <w:tcPr>
            <w:tcW w:w="9214" w:type="dxa"/>
            <w:gridSpan w:val="2"/>
            <w:tcBorders>
              <w:top w:val="single" w:sz="4" w:space="0" w:color="auto"/>
              <w:bottom w:val="single" w:sz="4" w:space="0" w:color="auto"/>
            </w:tcBorders>
            <w:tcMar>
              <w:left w:w="0" w:type="dxa"/>
            </w:tcMar>
          </w:tcPr>
          <w:p w14:paraId="422B40B8" w14:textId="77777777" w:rsidR="00D72F49" w:rsidRPr="00413627" w:rsidRDefault="00F37FE5" w:rsidP="00796BDB">
            <w:pPr>
              <w:spacing w:before="160"/>
              <w:rPr>
                <w:b/>
                <w:bCs/>
                <w:sz w:val="26"/>
                <w:szCs w:val="26"/>
              </w:rPr>
            </w:pPr>
            <w:r w:rsidRPr="00413627">
              <w:rPr>
                <w:b/>
                <w:bCs/>
                <w:sz w:val="26"/>
                <w:szCs w:val="26"/>
              </w:rPr>
              <w:t>Objet</w:t>
            </w:r>
          </w:p>
          <w:p w14:paraId="105EA1AC" w14:textId="725E479F" w:rsidR="00D72F49" w:rsidRPr="00413627" w:rsidRDefault="00413627" w:rsidP="00796BDB">
            <w:r w:rsidRPr="00413627">
              <w:t>Le présent document vient compléter le rapport du Président du Groupe de travail du Conseil chargé d'élaborer le Plan stratégique et le Plan financier pour la période 2028-2031 en présentant les résultats de la réunion tenue le 5 mai 2026.</w:t>
            </w:r>
          </w:p>
          <w:p w14:paraId="196CFA42" w14:textId="77777777" w:rsidR="00D72F49" w:rsidRPr="00413627" w:rsidRDefault="00D72F49" w:rsidP="00796BDB">
            <w:pPr>
              <w:spacing w:before="160"/>
              <w:rPr>
                <w:b/>
                <w:bCs/>
                <w:sz w:val="26"/>
                <w:szCs w:val="26"/>
              </w:rPr>
            </w:pPr>
            <w:r w:rsidRPr="00413627">
              <w:rPr>
                <w:b/>
                <w:bCs/>
                <w:sz w:val="26"/>
                <w:szCs w:val="26"/>
              </w:rPr>
              <w:t>Suite à donner par le Conseil</w:t>
            </w:r>
          </w:p>
          <w:p w14:paraId="04C9875A" w14:textId="06B8A4B3" w:rsidR="00D72F49" w:rsidRPr="00413627" w:rsidRDefault="00413627" w:rsidP="00796BDB">
            <w:r w:rsidRPr="00413627">
              <w:t xml:space="preserve">Le Conseil est invité à </w:t>
            </w:r>
            <w:r w:rsidRPr="00413627">
              <w:rPr>
                <w:b/>
                <w:bCs/>
              </w:rPr>
              <w:t>examiner</w:t>
            </w:r>
            <w:r w:rsidRPr="00413627">
              <w:t xml:space="preserve"> et à </w:t>
            </w:r>
            <w:r w:rsidRPr="00413627">
              <w:rPr>
                <w:b/>
                <w:bCs/>
              </w:rPr>
              <w:t>approuver</w:t>
            </w:r>
            <w:r w:rsidRPr="00413627">
              <w:t xml:space="preserve"> les projets de plan stratégique et de plan financier pour la période 2028-2031 et à les transmettre à la Conférence de plénipotentiaires de 2026 (PP-26).</w:t>
            </w:r>
          </w:p>
          <w:p w14:paraId="2D7E0D11" w14:textId="77777777" w:rsidR="00D72F49" w:rsidRPr="00413627" w:rsidRDefault="00D72F49" w:rsidP="00796BDB">
            <w:pPr>
              <w:spacing w:before="160"/>
              <w:rPr>
                <w:caps/>
                <w:sz w:val="22"/>
              </w:rPr>
            </w:pPr>
            <w:r w:rsidRPr="00413627">
              <w:rPr>
                <w:sz w:val="22"/>
              </w:rPr>
              <w:t>__________________</w:t>
            </w:r>
          </w:p>
          <w:p w14:paraId="57C81233" w14:textId="77777777" w:rsidR="00D72F49" w:rsidRPr="00413627" w:rsidRDefault="00D72F49" w:rsidP="00796BDB">
            <w:pPr>
              <w:spacing w:before="160"/>
              <w:rPr>
                <w:b/>
                <w:bCs/>
                <w:sz w:val="26"/>
                <w:szCs w:val="26"/>
              </w:rPr>
            </w:pPr>
            <w:r w:rsidRPr="00413627">
              <w:rPr>
                <w:b/>
                <w:bCs/>
                <w:sz w:val="26"/>
                <w:szCs w:val="26"/>
              </w:rPr>
              <w:t>Références</w:t>
            </w:r>
          </w:p>
          <w:p w14:paraId="316F243E" w14:textId="49ED4BA0" w:rsidR="00D72F49" w:rsidRPr="00413627" w:rsidRDefault="009A2EBE" w:rsidP="00CE5172">
            <w:pPr>
              <w:pStyle w:val="Referencetext"/>
              <w:framePr w:hSpace="0" w:wrap="auto" w:vAnchor="margin" w:hAnchor="text" w:xAlign="left" w:yAlign="inline"/>
            </w:pPr>
            <w:hyperlink r:id="rId7" w:history="1">
              <w:r w:rsidRPr="00413627">
                <w:rPr>
                  <w:rStyle w:val="Hyperlink"/>
                  <w:rFonts w:eastAsia="Times New Roman" w:cs="Times New Roman"/>
                  <w:sz w:val="24"/>
                  <w:szCs w:val="24"/>
                </w:rPr>
                <w:t>R</w:t>
              </w:r>
              <w:r w:rsidR="00826FE0" w:rsidRPr="00413627">
                <w:rPr>
                  <w:rStyle w:val="Hyperlink"/>
                  <w:rFonts w:eastAsia="Times New Roman" w:cs="Times New Roman"/>
                  <w:sz w:val="24"/>
                  <w:szCs w:val="24"/>
                </w:rPr>
                <w:t>é</w:t>
              </w:r>
              <w:r w:rsidRPr="00413627">
                <w:rPr>
                  <w:rStyle w:val="Hyperlink"/>
                  <w:rFonts w:eastAsia="Times New Roman" w:cs="Times New Roman"/>
                  <w:sz w:val="24"/>
                  <w:szCs w:val="24"/>
                </w:rPr>
                <w:t>solution 71</w:t>
              </w:r>
            </w:hyperlink>
            <w:r w:rsidRPr="00413627">
              <w:rPr>
                <w:sz w:val="24"/>
                <w:szCs w:val="24"/>
              </w:rPr>
              <w:t xml:space="preserve"> (R</w:t>
            </w:r>
            <w:r w:rsidR="00826FE0" w:rsidRPr="00413627">
              <w:rPr>
                <w:sz w:val="24"/>
                <w:szCs w:val="24"/>
              </w:rPr>
              <w:t>é</w:t>
            </w:r>
            <w:r w:rsidRPr="00413627">
              <w:rPr>
                <w:sz w:val="24"/>
                <w:szCs w:val="24"/>
              </w:rPr>
              <w:t>v. Bucarest, 2022)</w:t>
            </w:r>
            <w:r w:rsidR="00413627" w:rsidRPr="00413627">
              <w:t xml:space="preserve"> </w:t>
            </w:r>
            <w:r w:rsidR="00413627" w:rsidRPr="00413627">
              <w:rPr>
                <w:sz w:val="24"/>
                <w:szCs w:val="24"/>
              </w:rPr>
              <w:t>de la Conférence de plénipotentiaires</w:t>
            </w:r>
            <w:r w:rsidRPr="00413627">
              <w:rPr>
                <w:sz w:val="24"/>
                <w:szCs w:val="24"/>
              </w:rPr>
              <w:t xml:space="preserve">, </w:t>
            </w:r>
            <w:hyperlink r:id="rId8" w:history="1">
              <w:r w:rsidRPr="00413627">
                <w:rPr>
                  <w:rStyle w:val="Hyperlink"/>
                  <w:rFonts w:eastAsia="Times New Roman" w:cs="Times New Roman"/>
                  <w:sz w:val="24"/>
                  <w:szCs w:val="24"/>
                </w:rPr>
                <w:t>R</w:t>
              </w:r>
              <w:r w:rsidR="00826FE0" w:rsidRPr="00413627">
                <w:rPr>
                  <w:rStyle w:val="Hyperlink"/>
                  <w:rFonts w:eastAsia="Times New Roman" w:cs="Times New Roman"/>
                  <w:sz w:val="24"/>
                  <w:szCs w:val="24"/>
                </w:rPr>
                <w:t>é</w:t>
              </w:r>
              <w:r w:rsidRPr="00413627">
                <w:rPr>
                  <w:rStyle w:val="Hyperlink"/>
                  <w:rFonts w:eastAsia="Times New Roman" w:cs="Times New Roman"/>
                  <w:sz w:val="24"/>
                  <w:szCs w:val="24"/>
                </w:rPr>
                <w:t>solution 1428</w:t>
              </w:r>
            </w:hyperlink>
            <w:r w:rsidRPr="00413627">
              <w:rPr>
                <w:sz w:val="24"/>
                <w:szCs w:val="24"/>
              </w:rPr>
              <w:t xml:space="preserve"> (C24)</w:t>
            </w:r>
            <w:r w:rsidR="00826FE0" w:rsidRPr="00413627">
              <w:rPr>
                <w:sz w:val="24"/>
                <w:szCs w:val="24"/>
              </w:rPr>
              <w:t xml:space="preserve"> du Conseil</w:t>
            </w:r>
          </w:p>
        </w:tc>
      </w:tr>
    </w:tbl>
    <w:p w14:paraId="244060DE" w14:textId="77777777" w:rsidR="00A51849" w:rsidRPr="00413627" w:rsidRDefault="00A51849">
      <w:pPr>
        <w:tabs>
          <w:tab w:val="clear" w:pos="567"/>
          <w:tab w:val="clear" w:pos="1134"/>
          <w:tab w:val="clear" w:pos="1701"/>
          <w:tab w:val="clear" w:pos="2268"/>
          <w:tab w:val="clear" w:pos="2835"/>
        </w:tabs>
        <w:overflowPunct/>
        <w:autoSpaceDE/>
        <w:autoSpaceDN/>
        <w:adjustRightInd/>
        <w:spacing w:before="0"/>
        <w:textAlignment w:val="auto"/>
      </w:pPr>
      <w:r w:rsidRPr="00413627">
        <w:br w:type="page"/>
      </w:r>
    </w:p>
    <w:p w14:paraId="193CDFAE" w14:textId="77777777" w:rsidR="00413627" w:rsidRPr="00413627" w:rsidRDefault="00413627" w:rsidP="00413627">
      <w:r w:rsidRPr="00413627">
        <w:lastRenderedPageBreak/>
        <w:t>À la suite de la présentation, à la session de 2026 du Conseil, des résultats des travaux du Groupe de travail du Conseil chargé d'élaborer le Plan stratégique et le Plan financier pour la période 2028-2031 (GTC-SFP), tels qu'ils figurent dans le Document 31 et ses annexes, des délégués ont formulé des observations et demandé des précisions sur certains sujets. Une réunion a été convoquée en conséquence le 5 mai 2026 au matin.</w:t>
      </w:r>
    </w:p>
    <w:p w14:paraId="4F5DE423" w14:textId="77777777" w:rsidR="00413627" w:rsidRPr="00413627" w:rsidRDefault="00413627" w:rsidP="00413627">
      <w:r w:rsidRPr="00413627">
        <w:t>Les participants se sont concentrés sur l'examen du projet d'Annexe 1 de la Résolution 71, à la lumière des observations formulées en séance plénière, en particulier concernant l'Appendice A.</w:t>
      </w:r>
    </w:p>
    <w:p w14:paraId="6005E8F5" w14:textId="77777777" w:rsidR="00413627" w:rsidRPr="00413627" w:rsidRDefault="00413627" w:rsidP="00413627">
      <w:r w:rsidRPr="00413627">
        <w:t>Au cours de la réunion, six parties entre crochets ont été supprimées avec succès. Il a été en outre convenu que les cibles ci-après resteraient entre crochets pour que les Bureaux concernés les examinent plus avant et apportent des améliorations en conséquence, en vue de les soumettre à la session extraordinaire du Conseil qui se tiendra avant la Conférence de plénipotentiaires de 2026 (PP-26):</w:t>
      </w:r>
    </w:p>
    <w:p w14:paraId="5DC6DB77" w14:textId="19F47E8A" w:rsidR="00413627" w:rsidRPr="00413627" w:rsidRDefault="00413627" w:rsidP="00413627">
      <w:pPr>
        <w:pStyle w:val="enumlev1"/>
      </w:pPr>
      <w:r w:rsidRPr="00413627">
        <w:t>–</w:t>
      </w:r>
      <w:r w:rsidRPr="00413627">
        <w:tab/>
        <w:t>Cible 1.5 (Réseaux résilients): le secrétariat a été chargé d'assurer la coordination avec le Secrétariat général et les Bureaux concernés afin d'étudier plus avant le renforcement et l'inclusion éventuelle des activités de l'UIT relatives aux câbles sous</w:t>
      </w:r>
      <w:r w:rsidRPr="00413627">
        <w:noBreakHyphen/>
        <w:t>marins, en s'appuyant sur des statistiques pertinentes pour justifier l'inclusion de ces activités.</w:t>
      </w:r>
    </w:p>
    <w:p w14:paraId="30DE439E" w14:textId="37EDFEDE" w:rsidR="00413627" w:rsidRPr="00413627" w:rsidRDefault="00413627" w:rsidP="00413627">
      <w:pPr>
        <w:pStyle w:val="enumlev1"/>
      </w:pPr>
      <w:r w:rsidRPr="00413627">
        <w:t>–</w:t>
      </w:r>
      <w:r w:rsidRPr="00413627">
        <w:tab/>
        <w:t>Cible 1.6 (Éviter de causer des brouillages préjudiciables): le secrétariat a été chargé de travailler en étroite collaboration avec le Directeur du Bureau des radiocommunications pour définir des indicateurs améliorés à même de refléter plus précisément la manière dont l'UIT traite les questions liées aux brouillages préjudiciables.</w:t>
      </w:r>
    </w:p>
    <w:p w14:paraId="59D4C0A4" w14:textId="72862ECA" w:rsidR="00413627" w:rsidRPr="00413627" w:rsidRDefault="00413627" w:rsidP="00413627">
      <w:pPr>
        <w:pStyle w:val="enumlev1"/>
      </w:pPr>
      <w:r w:rsidRPr="00413627">
        <w:t>–</w:t>
      </w:r>
      <w:r w:rsidRPr="00413627">
        <w:tab/>
        <w:t>Cible 1.7 (Incidences des normes en matière d'interopérabilité): le secrétariat a été chargé de travailler en étroite collaboration avec le Directeur du Bureau de la normalisation des télécommunications afin de définir des indicateurs plus appropriés pour cette cible.</w:t>
      </w:r>
    </w:p>
    <w:p w14:paraId="51EF2EEA" w14:textId="4EC13C2E" w:rsidR="00413627" w:rsidRPr="00413627" w:rsidRDefault="00413627" w:rsidP="00413627">
      <w:pPr>
        <w:pStyle w:val="enumlev1"/>
      </w:pPr>
      <w:r w:rsidRPr="00413627">
        <w:t>–</w:t>
      </w:r>
      <w:r w:rsidRPr="00413627">
        <w:tab/>
        <w:t>Appendice B: le tableau sera actualisé une fois que le Plan financier pour la période 2028-2031 aura été approuvé (Décision 5).</w:t>
      </w:r>
    </w:p>
    <w:p w14:paraId="5FE7B0F4" w14:textId="77777777" w:rsidR="00413627" w:rsidRPr="00413627" w:rsidRDefault="00413627" w:rsidP="00413627">
      <w:r w:rsidRPr="00413627">
        <w:t>Par conséquent, les participants sont convenus que le Conseil pouvait transmettre les résultats ci-après des travaux du GTC-SFP à la PP-26:</w:t>
      </w:r>
    </w:p>
    <w:p w14:paraId="567C7AB3" w14:textId="23D28A96" w:rsidR="00413627" w:rsidRPr="00413627" w:rsidRDefault="00413627" w:rsidP="00413627">
      <w:pPr>
        <w:pStyle w:val="enumlev1"/>
      </w:pPr>
      <w:r w:rsidRPr="00413627">
        <w:t>1)</w:t>
      </w:r>
      <w:r w:rsidRPr="00413627">
        <w:tab/>
        <w:t>le projet d'Annexe 1 de la Résolution 71 contenant le Plan stratégique et le Plan financier pour la période 2028-2031, y compris du texte entre crochets (voir la Révision 1 de l'Annexe 1);</w:t>
      </w:r>
    </w:p>
    <w:p w14:paraId="007BFAC0" w14:textId="77777777" w:rsidR="00413627" w:rsidRPr="00413627" w:rsidRDefault="00413627" w:rsidP="00413627">
      <w:pPr>
        <w:pStyle w:val="enumlev1"/>
      </w:pPr>
      <w:r w:rsidRPr="00413627">
        <w:t>2)</w:t>
      </w:r>
      <w:r w:rsidRPr="00413627">
        <w:tab/>
        <w:t>le projet d'Annexe 2 de la Résolution 71 contenant l'analyse de la situation, présentée entre crochets (voir l'Annexe 2); et</w:t>
      </w:r>
    </w:p>
    <w:p w14:paraId="2F4F436F" w14:textId="77777777" w:rsidR="00413627" w:rsidRPr="00413627" w:rsidRDefault="00413627" w:rsidP="00413627">
      <w:pPr>
        <w:pStyle w:val="enumlev1"/>
      </w:pPr>
      <w:r w:rsidRPr="00413627">
        <w:t>3)</w:t>
      </w:r>
      <w:r w:rsidRPr="00413627">
        <w:tab/>
        <w:t>le projet d'Annexe 3 de la Résolution 71 contenant le glossaire de termes (voir l'Annexe 3).</w:t>
      </w:r>
    </w:p>
    <w:p w14:paraId="0EDACF32" w14:textId="77777777" w:rsidR="00413627" w:rsidRPr="00413627" w:rsidRDefault="00413627" w:rsidP="00413627">
      <w:r w:rsidRPr="00413627">
        <w:t>Dans le même temps, les participants ont noté que le Président du GTC-SFP continuerait de collaborer avec les régions afin de les consulter davantage, de leur fournir des explications et de mieux cerner leurs besoins et leurs points de vue, en vue de faciliter les travaux qui seront menés lors de la PP-26.</w:t>
      </w:r>
    </w:p>
    <w:p w14:paraId="7B4B7648" w14:textId="77777777" w:rsidR="00413627" w:rsidRPr="00413627" w:rsidRDefault="00413627" w:rsidP="00413627">
      <w:r w:rsidRPr="00413627">
        <w:lastRenderedPageBreak/>
        <w:t>Les États Membres ont également demandé au secrétariat de préparer un exposé illustrant les liens entre le plan stratégique, le plan financier et le plan opérationnel, qui sera présenté à chacune des réunions préparatoires régionales, afin de favoriser une compréhension commune et de renforcer encore la méthode de gestion axée sur les résultats.</w:t>
      </w:r>
    </w:p>
    <w:p w14:paraId="1905AACC" w14:textId="266C64F3" w:rsidR="00413627" w:rsidRPr="00413627" w:rsidRDefault="00413627" w:rsidP="00413627">
      <w:r w:rsidRPr="00413627">
        <w:t xml:space="preserve">Étant donné que les documents soumis à la Conférence de plénipotentiaires ne peuvent contenir de commentaires, le Président a invité les auteurs des propositions à envisager de soumettre les points de vue exposés dans les projets d'annexe précédents sous la forme de contributions officielles à la PP-26. À cette fin, une déclaration a été jointe en </w:t>
      </w:r>
      <w:hyperlink w:anchor="Annexe" w:history="1">
        <w:r w:rsidRPr="00413627">
          <w:rPr>
            <w:rStyle w:val="Hyperlink"/>
            <w:rFonts w:eastAsia="Times New Roman" w:cs="Times New Roman"/>
            <w:szCs w:val="20"/>
          </w:rPr>
          <w:t>annexe</w:t>
        </w:r>
      </w:hyperlink>
      <w:r w:rsidRPr="00413627">
        <w:t xml:space="preserve"> au présent Addendum 2.</w:t>
      </w:r>
    </w:p>
    <w:p w14:paraId="1855067B" w14:textId="6A32B529" w:rsidR="00413627" w:rsidRPr="00413627" w:rsidRDefault="00413627" w:rsidP="00413627">
      <w:r w:rsidRPr="00413627">
        <w:t>Le Président du GTC-SFP a remercié le secrétariat de l'UIT et l'ensemble des délégations pour leur participation active à la réunion et pour leurs contributions constructives. Le Président a également remercié toutes les parties prenantes qui ont contribué à ces travaux, en particulier les groupes consultatifs des Secteurs, pour leur mobilisation et leur appui sans faille.</w:t>
      </w:r>
    </w:p>
    <w:p w14:paraId="64F60598" w14:textId="5DEE4189" w:rsidR="009A2EBE" w:rsidRPr="00413627" w:rsidRDefault="009A2EBE" w:rsidP="00413627">
      <w:pPr>
        <w:tabs>
          <w:tab w:val="clear" w:pos="567"/>
          <w:tab w:val="clear" w:pos="1134"/>
          <w:tab w:val="clear" w:pos="1701"/>
          <w:tab w:val="clear" w:pos="2268"/>
          <w:tab w:val="clear" w:pos="2835"/>
        </w:tabs>
        <w:overflowPunct/>
        <w:autoSpaceDE/>
        <w:autoSpaceDN/>
        <w:adjustRightInd/>
        <w:spacing w:before="840"/>
        <w:textAlignment w:val="auto"/>
        <w:rPr>
          <w:i/>
          <w:iCs/>
        </w:rPr>
      </w:pPr>
      <w:r w:rsidRPr="00413627">
        <w:rPr>
          <w:i/>
          <w:iCs/>
        </w:rPr>
        <w:t xml:space="preserve">Annexe: </w:t>
      </w:r>
      <w:r w:rsidRPr="00413627">
        <w:rPr>
          <w:b/>
          <w:bCs/>
          <w:i/>
          <w:iCs/>
        </w:rPr>
        <w:t>1</w:t>
      </w:r>
    </w:p>
    <w:p w14:paraId="7F021C1B" w14:textId="01B702E0" w:rsidR="009A2EBE" w:rsidRPr="00413627" w:rsidRDefault="009A2EBE">
      <w:pPr>
        <w:tabs>
          <w:tab w:val="clear" w:pos="567"/>
          <w:tab w:val="clear" w:pos="1134"/>
          <w:tab w:val="clear" w:pos="1701"/>
          <w:tab w:val="clear" w:pos="2268"/>
          <w:tab w:val="clear" w:pos="2835"/>
        </w:tabs>
        <w:overflowPunct/>
        <w:autoSpaceDE/>
        <w:autoSpaceDN/>
        <w:adjustRightInd/>
        <w:spacing w:before="0"/>
        <w:textAlignment w:val="auto"/>
      </w:pPr>
      <w:r w:rsidRPr="00413627">
        <w:br w:type="page"/>
      </w:r>
    </w:p>
    <w:p w14:paraId="58C9AFF1" w14:textId="77777777" w:rsidR="009A2EBE" w:rsidRPr="00413627" w:rsidRDefault="009A2EBE" w:rsidP="009A2EBE">
      <w:pPr>
        <w:pStyle w:val="AnnexNo"/>
      </w:pPr>
      <w:bookmarkStart w:id="0" w:name="Annexe"/>
      <w:r w:rsidRPr="00413627">
        <w:lastRenderedPageBreak/>
        <w:t>ANNEXE</w:t>
      </w:r>
      <w:bookmarkEnd w:id="0"/>
    </w:p>
    <w:p w14:paraId="4C6FA284" w14:textId="77777777" w:rsidR="009A2EBE" w:rsidRPr="00413627" w:rsidRDefault="009A2EBE" w:rsidP="009A2EBE">
      <w:pPr>
        <w:pStyle w:val="Annextitle"/>
      </w:pPr>
      <w:r w:rsidRPr="00413627">
        <w:t>Déclaration telle que reçue des États-Unis d'Amérique</w:t>
      </w:r>
    </w:p>
    <w:p w14:paraId="71BA865B" w14:textId="65E5467F" w:rsidR="009A2EBE" w:rsidRPr="00413627" w:rsidRDefault="009A2EBE" w:rsidP="009A2EBE">
      <w:pPr>
        <w:pStyle w:val="Normalaftertitle"/>
      </w:pPr>
      <w:r w:rsidRPr="00413627">
        <w:t>"Tout au long de l'élaboration du projet de Plan stratégique, les États-Unis ont exprimé des préoccupations et réservé leur position concernant certaines formulations. Jusqu'à présent, ces éléments étaient pris en considération en tant qu'observations dans le projet de document.</w:t>
      </w:r>
    </w:p>
    <w:p w14:paraId="1BC13A2F" w14:textId="362E9E52" w:rsidR="009A2EBE" w:rsidRPr="00413627" w:rsidRDefault="009A2EBE" w:rsidP="009A2EBE">
      <w:r w:rsidRPr="00413627">
        <w:t>Dans la mesure où ces observations ne peuvent pas être transmises sous cette forme à la Conférence de plénipotentiaires dans le projet de document lui-même, nous souhaitons formuler la déclaration ci-après, dont nous demandons également qu'elle soit jointe au projet de rapport sur le Plan stratégique qui sera transmis à la Conférence:</w:t>
      </w:r>
    </w:p>
    <w:p w14:paraId="5EE1F0EB" w14:textId="6F430257" w:rsidR="009A2EBE" w:rsidRPr="00413627" w:rsidRDefault="009A2EBE" w:rsidP="009A2EBE">
      <w:r w:rsidRPr="00413627">
        <w:t>Les États-Unis estiment que le Plan stratégique et le Plan financier devraient demeurer concis, tournés vers l'avenir et solidement ancrés dans le mandat technique de l'UIT visant à promouvoir la connectivité. Bien que nous nous félicitions des progrès accomplis en vue de rationaliser du projet de document, l'apport de modifications supplémentaires à la Conférence de plénipotentiaires de l'UIT de 2026 (PP-26) contribueraient à garantir la clarté et la pertinence du texte.</w:t>
      </w:r>
    </w:p>
    <w:p w14:paraId="1CE44B07" w14:textId="06BE4B65" w:rsidR="009A2EBE" w:rsidRPr="00413627" w:rsidRDefault="009A2EBE" w:rsidP="009A2EBE">
      <w:r w:rsidRPr="00413627">
        <w:t>Conformément à l'approche plus globale que nous adoptons à l'échelle du système des Nations Unies, les États-Unis préconisent une approche pragmatique consistant à revenir à l'essentiel. L'UIT doit rester centrée sur ses responsabilités fondamentales et produire des résultats concrets qui ont des retombées réelles. Par conséquent:</w:t>
      </w:r>
    </w:p>
    <w:p w14:paraId="7D1F1558" w14:textId="54F53632" w:rsidR="009A2EBE" w:rsidRPr="00413627" w:rsidRDefault="009A2EBE" w:rsidP="009A2EBE">
      <w:pPr>
        <w:pStyle w:val="enumlev1"/>
      </w:pPr>
      <w:r w:rsidRPr="00413627">
        <w:t>–</w:t>
      </w:r>
      <w:r w:rsidRPr="00413627">
        <w:tab/>
        <w:t>Nous nous opposons à l'intégration de cadres de développement généraux tels que le Programme de développement durable à l'horizon 2030, qui promeuvent ce qui pourrait s'apparenter à une gouvernance mondiale, incompatible avec la souveraineté des États.</w:t>
      </w:r>
    </w:p>
    <w:p w14:paraId="2C82CDF3" w14:textId="21D49707" w:rsidR="009A2EBE" w:rsidRPr="00413627" w:rsidRDefault="009A2EBE" w:rsidP="009A2EBE">
      <w:pPr>
        <w:pStyle w:val="enumlev1"/>
      </w:pPr>
      <w:r w:rsidRPr="00413627">
        <w:t>–</w:t>
      </w:r>
      <w:r w:rsidRPr="00413627">
        <w:tab/>
        <w:t>Nous ne sommes pas favorables à l'inclusion de formulations relatives au changement climatique, qui s'écartent du mandat fondamental de l'UIT.</w:t>
      </w:r>
    </w:p>
    <w:p w14:paraId="3123BC38" w14:textId="7BB58FD1" w:rsidR="009A2EBE" w:rsidRPr="00413627" w:rsidRDefault="009A2EBE" w:rsidP="009A2EBE">
      <w:pPr>
        <w:pStyle w:val="enumlev1"/>
      </w:pPr>
      <w:r w:rsidRPr="00413627">
        <w:t>–</w:t>
      </w:r>
      <w:r w:rsidRPr="00413627">
        <w:tab/>
        <w:t>Nous réservons notre position quant aux qualificatifs tels qu'"inclusif", "équitable" et "durable" et à l'accent placé sur l'"accessibilité financière", ces termes étant porteurs d'ambiguïtés et d'implications politiques qui sortent du cadre technique de l'Union.</w:t>
      </w:r>
    </w:p>
    <w:p w14:paraId="42F87B1F" w14:textId="7A069ED4" w:rsidR="009A2EBE" w:rsidRPr="00413627" w:rsidRDefault="009A2EBE" w:rsidP="009A2EBE">
      <w:pPr>
        <w:pStyle w:val="enumlev1"/>
      </w:pPr>
      <w:r w:rsidRPr="00413627">
        <w:t>–</w:t>
      </w:r>
      <w:r w:rsidRPr="00413627">
        <w:tab/>
        <w:t>Par ailleurs, les États-Unis sont résolument favorables à l'adoption d'un langage clair et précis qui reconnaît que sur le plan biologique, les femmes sont des femmes et les hommes sont des hommes. Nous ne soutenons pas les initiatives de diversité, d'équité ou d'inclusion ni les pratiques qui favorisent des groupes particuliers plutôt que le mérite.</w:t>
      </w:r>
    </w:p>
    <w:p w14:paraId="519838BD" w14:textId="1983C5AB" w:rsidR="009A2EBE" w:rsidRPr="00413627" w:rsidRDefault="009A2EBE" w:rsidP="009A2EBE">
      <w:r w:rsidRPr="00413627">
        <w:t>Notre priorité est de faire en sorte que le Plan demeure fondé sur des stratégies concrètes et axées sur les résultats, propres à renforcer la capacité de l'UIT à assurer la connectivité universelle, à renforcer les capacités et à encourager l'innovation grâce à des politiques souples et tournées vers l'avenir.</w:t>
      </w:r>
    </w:p>
    <w:p w14:paraId="6387E933" w14:textId="1C706E69" w:rsidR="009A2EBE" w:rsidRPr="00413627" w:rsidRDefault="009A2EBE" w:rsidP="009A2EBE">
      <w:r w:rsidRPr="00413627">
        <w:t>Les États-Unis attendent avec intérêt de collaborer de manière constructive avec tous les Membres de l'UIT à la PP-26 concernant la mise à jour de la Résolution 71, afin de veiller à ce que nos efforts collectifs restent efficients, efficaces et conformes à la mission de l'Union</w:t>
      </w:r>
      <w:r w:rsidR="00A27A12" w:rsidRPr="00413627">
        <w:t>.</w:t>
      </w:r>
      <w:r w:rsidRPr="00413627">
        <w:t>"</w:t>
      </w:r>
    </w:p>
    <w:p w14:paraId="517472E2" w14:textId="4D41773B" w:rsidR="00897553" w:rsidRPr="00413627" w:rsidRDefault="006A11AE" w:rsidP="002D2336">
      <w:pPr>
        <w:jc w:val="center"/>
      </w:pPr>
      <w:r w:rsidRPr="00413627">
        <w:t>______________</w:t>
      </w:r>
    </w:p>
    <w:sectPr w:rsidR="00897553" w:rsidRPr="00413627" w:rsidSect="00D72F49">
      <w:headerReference w:type="even" r:id="rId9"/>
      <w:footerReference w:type="even" r:id="rId10"/>
      <w:footerReference w:type="default" r:id="rId11"/>
      <w:headerReference w:type="first" r:id="rId12"/>
      <w:footerReference w:type="first" r:id="rId13"/>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4B8AA" w14:textId="77777777" w:rsidR="006B6CB7" w:rsidRDefault="006B6CB7">
      <w:r>
        <w:separator/>
      </w:r>
    </w:p>
  </w:endnote>
  <w:endnote w:type="continuationSeparator" w:id="0">
    <w:p w14:paraId="4C4D1AC7" w14:textId="77777777" w:rsidR="006B6CB7" w:rsidRDefault="006B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2B5C" w14:textId="49A9034C" w:rsidR="00732045" w:rsidRDefault="00CB157C">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EC182B">
      <w:t>05.05.26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749A545" w14:textId="77777777" w:rsidTr="00E31DCE">
      <w:trPr>
        <w:jc w:val="center"/>
      </w:trPr>
      <w:tc>
        <w:tcPr>
          <w:tcW w:w="1803" w:type="dxa"/>
          <w:vAlign w:val="center"/>
        </w:tcPr>
        <w:p w14:paraId="60A63964" w14:textId="49BFF548" w:rsidR="00A51849" w:rsidRDefault="00BE794F" w:rsidP="00A51849">
          <w:pPr>
            <w:pStyle w:val="Header"/>
            <w:jc w:val="left"/>
            <w:rPr>
              <w:noProof/>
            </w:rPr>
          </w:pPr>
          <w:r>
            <w:rPr>
              <w:noProof/>
            </w:rPr>
            <w:t>260</w:t>
          </w:r>
          <w:r w:rsidR="00826FE0">
            <w:rPr>
              <w:noProof/>
            </w:rPr>
            <w:t>1173</w:t>
          </w:r>
        </w:p>
      </w:tc>
      <w:tc>
        <w:tcPr>
          <w:tcW w:w="8261" w:type="dxa"/>
        </w:tcPr>
        <w:p w14:paraId="63F48971" w14:textId="40C1A759" w:rsidR="00A51849" w:rsidRPr="00E06FD5" w:rsidRDefault="00A51849" w:rsidP="00826FE0">
          <w:pPr>
            <w:pStyle w:val="Header"/>
            <w:tabs>
              <w:tab w:val="left" w:pos="6310"/>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826FE0">
            <w:rPr>
              <w:bCs/>
            </w:rPr>
            <w:t>31(Add.2)</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1F560D27"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6E2ACDD" w14:textId="77777777" w:rsidTr="00E31DCE">
      <w:trPr>
        <w:jc w:val="center"/>
      </w:trPr>
      <w:tc>
        <w:tcPr>
          <w:tcW w:w="1803" w:type="dxa"/>
          <w:vAlign w:val="center"/>
        </w:tcPr>
        <w:p w14:paraId="22414BE5"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3E0953DA" w14:textId="281CD5E2" w:rsidR="00A51849" w:rsidRPr="00E06FD5" w:rsidRDefault="00A51849" w:rsidP="009A2EBE">
          <w:pPr>
            <w:pStyle w:val="Header"/>
            <w:tabs>
              <w:tab w:val="left" w:pos="6306"/>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9A2EBE">
            <w:rPr>
              <w:bCs/>
            </w:rPr>
            <w:t>31(Add.2)</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410E4585"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119E7" w14:textId="77777777" w:rsidR="006B6CB7" w:rsidRDefault="006B6CB7">
      <w:r>
        <w:t>____________________</w:t>
      </w:r>
    </w:p>
  </w:footnote>
  <w:footnote w:type="continuationSeparator" w:id="0">
    <w:p w14:paraId="4F8EF4EA" w14:textId="77777777" w:rsidR="006B6CB7" w:rsidRDefault="006B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84D5"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3F188811"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E052" w14:textId="77777777" w:rsidR="00A51849" w:rsidRPr="001342E0" w:rsidRDefault="001342E0" w:rsidP="001342E0">
    <w:pPr>
      <w:pStyle w:val="Header"/>
    </w:pPr>
    <w:r>
      <w:rPr>
        <w:noProof/>
      </w:rPr>
      <w:drawing>
        <wp:inline distT="0" distB="0" distL="0" distR="0" wp14:anchorId="1923A21B" wp14:editId="070EB550">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7C"/>
    <w:rsid w:val="00076A2C"/>
    <w:rsid w:val="000B0124"/>
    <w:rsid w:val="000C28E1"/>
    <w:rsid w:val="000D0D0A"/>
    <w:rsid w:val="00102A05"/>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26657"/>
    <w:rsid w:val="002477A2"/>
    <w:rsid w:val="00263A51"/>
    <w:rsid w:val="00267E02"/>
    <w:rsid w:val="00271321"/>
    <w:rsid w:val="00277DEA"/>
    <w:rsid w:val="0029157D"/>
    <w:rsid w:val="002A5D44"/>
    <w:rsid w:val="002C3F32"/>
    <w:rsid w:val="002C4E3D"/>
    <w:rsid w:val="002D2336"/>
    <w:rsid w:val="002E0BC4"/>
    <w:rsid w:val="002F1B76"/>
    <w:rsid w:val="0033568E"/>
    <w:rsid w:val="00355FF5"/>
    <w:rsid w:val="00361350"/>
    <w:rsid w:val="003C3FAE"/>
    <w:rsid w:val="003D74F6"/>
    <w:rsid w:val="004038CB"/>
    <w:rsid w:val="0040546F"/>
    <w:rsid w:val="00413627"/>
    <w:rsid w:val="004177BD"/>
    <w:rsid w:val="0042404A"/>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A2B7A"/>
    <w:rsid w:val="005B1938"/>
    <w:rsid w:val="005C3890"/>
    <w:rsid w:val="005E28A6"/>
    <w:rsid w:val="005F7BFE"/>
    <w:rsid w:val="00600017"/>
    <w:rsid w:val="00602682"/>
    <w:rsid w:val="006235CA"/>
    <w:rsid w:val="0062366E"/>
    <w:rsid w:val="00640CC4"/>
    <w:rsid w:val="006643AB"/>
    <w:rsid w:val="006A11AE"/>
    <w:rsid w:val="006B224B"/>
    <w:rsid w:val="006B6CB7"/>
    <w:rsid w:val="006D5115"/>
    <w:rsid w:val="006F0A53"/>
    <w:rsid w:val="0071402E"/>
    <w:rsid w:val="007210CD"/>
    <w:rsid w:val="00732045"/>
    <w:rsid w:val="0073275D"/>
    <w:rsid w:val="007369DB"/>
    <w:rsid w:val="0077110E"/>
    <w:rsid w:val="007956C2"/>
    <w:rsid w:val="00796BDB"/>
    <w:rsid w:val="007A187E"/>
    <w:rsid w:val="007A3F85"/>
    <w:rsid w:val="007C72C2"/>
    <w:rsid w:val="007D4436"/>
    <w:rsid w:val="007F257A"/>
    <w:rsid w:val="007F3665"/>
    <w:rsid w:val="00800037"/>
    <w:rsid w:val="0081332F"/>
    <w:rsid w:val="0082299A"/>
    <w:rsid w:val="00826FE0"/>
    <w:rsid w:val="0083391C"/>
    <w:rsid w:val="0084546D"/>
    <w:rsid w:val="00861D73"/>
    <w:rsid w:val="00882919"/>
    <w:rsid w:val="00897553"/>
    <w:rsid w:val="008A4E87"/>
    <w:rsid w:val="008D76E6"/>
    <w:rsid w:val="0092392D"/>
    <w:rsid w:val="0093234A"/>
    <w:rsid w:val="00956A78"/>
    <w:rsid w:val="00962A62"/>
    <w:rsid w:val="0097363B"/>
    <w:rsid w:val="00973F53"/>
    <w:rsid w:val="0098348E"/>
    <w:rsid w:val="009A2EBE"/>
    <w:rsid w:val="009A6BAA"/>
    <w:rsid w:val="009A76A8"/>
    <w:rsid w:val="009C307F"/>
    <w:rsid w:val="009C353C"/>
    <w:rsid w:val="009C639F"/>
    <w:rsid w:val="009D5955"/>
    <w:rsid w:val="009F0FB8"/>
    <w:rsid w:val="00A01F4F"/>
    <w:rsid w:val="00A109AF"/>
    <w:rsid w:val="00A125FB"/>
    <w:rsid w:val="00A2113E"/>
    <w:rsid w:val="00A23A51"/>
    <w:rsid w:val="00A24607"/>
    <w:rsid w:val="00A25CD3"/>
    <w:rsid w:val="00A27A12"/>
    <w:rsid w:val="00A51849"/>
    <w:rsid w:val="00A709FE"/>
    <w:rsid w:val="00A73C60"/>
    <w:rsid w:val="00A82767"/>
    <w:rsid w:val="00AA332F"/>
    <w:rsid w:val="00AA7BBB"/>
    <w:rsid w:val="00AB64A8"/>
    <w:rsid w:val="00AC0266"/>
    <w:rsid w:val="00AC0F1D"/>
    <w:rsid w:val="00AD24EC"/>
    <w:rsid w:val="00B10F65"/>
    <w:rsid w:val="00B27B00"/>
    <w:rsid w:val="00B309F9"/>
    <w:rsid w:val="00B32B60"/>
    <w:rsid w:val="00B51005"/>
    <w:rsid w:val="00B61619"/>
    <w:rsid w:val="00BA3A76"/>
    <w:rsid w:val="00BB143B"/>
    <w:rsid w:val="00BB38C1"/>
    <w:rsid w:val="00BB4545"/>
    <w:rsid w:val="00BD5873"/>
    <w:rsid w:val="00BE794F"/>
    <w:rsid w:val="00BF4B60"/>
    <w:rsid w:val="00C049D7"/>
    <w:rsid w:val="00C04BE3"/>
    <w:rsid w:val="00C25D29"/>
    <w:rsid w:val="00C2625E"/>
    <w:rsid w:val="00C27A7C"/>
    <w:rsid w:val="00C42437"/>
    <w:rsid w:val="00CA08ED"/>
    <w:rsid w:val="00CB157C"/>
    <w:rsid w:val="00CB4244"/>
    <w:rsid w:val="00CC6EAA"/>
    <w:rsid w:val="00CE5172"/>
    <w:rsid w:val="00CF0534"/>
    <w:rsid w:val="00CF0AEE"/>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93668"/>
    <w:rsid w:val="00E95647"/>
    <w:rsid w:val="00EB6350"/>
    <w:rsid w:val="00EC182B"/>
    <w:rsid w:val="00ED799B"/>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B7F4D"/>
  <w15:docId w15:val="{FA4BF1B9-D28E-43A1-8744-DF0D2378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qFormat/>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4-CL-C-0139/fr"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tu.int/en/council/Documents/basic-texts-2023/RES-071-F.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Template>
  <TotalTime>0</TotalTime>
  <Pages>4</Pages>
  <Words>1303</Words>
  <Characters>7076</Characters>
  <Application>Microsoft Office Word</Application>
  <DocSecurity>0</DocSecurity>
  <Lines>126</Lines>
  <Paragraphs>72</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8307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du Groupe de Travail du Conseil chargé d'élaborer le plan stratégique et le plan financier pour la période 2028-2031 (GTC-SFP)</dc:title>
  <dc:subject>Conseil 2026 de l'UIT</dc:subject>
  <dc:creator>GBS</dc:creator>
  <cp:keywords>C26; C2026; Council 2026; PP26</cp:keywords>
  <dc:description/>
  <cp:lastModifiedBy>GBS</cp:lastModifiedBy>
  <cp:revision>2</cp:revision>
  <cp:lastPrinted>2000-07-18T08:55:00Z</cp:lastPrinted>
  <dcterms:created xsi:type="dcterms:W3CDTF">2026-05-06T06:43:00Z</dcterms:created>
  <dcterms:modified xsi:type="dcterms:W3CDTF">2026-05-06T06:43:00Z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