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525D5D84" w14:textId="77777777" w:rsidTr="00F363FE">
        <w:tc>
          <w:tcPr>
            <w:tcW w:w="6512" w:type="dxa"/>
          </w:tcPr>
          <w:p w14:paraId="67B79CB6" w14:textId="34425BB6"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09431B">
              <w:rPr>
                <w:rFonts w:hint="cs"/>
                <w:b/>
                <w:bCs/>
                <w:rtl/>
                <w:lang w:bidi="ar-EG"/>
              </w:rPr>
              <w:t xml:space="preserve"> </w:t>
            </w:r>
            <w:r w:rsidR="0009431B">
              <w:rPr>
                <w:b/>
                <w:bCs/>
                <w:lang w:bidi="ar-EG"/>
              </w:rPr>
              <w:t>PL-2</w:t>
            </w:r>
          </w:p>
        </w:tc>
        <w:tc>
          <w:tcPr>
            <w:tcW w:w="3117" w:type="dxa"/>
          </w:tcPr>
          <w:p w14:paraId="0A03E463" w14:textId="1876DE18" w:rsidR="007B0AA0" w:rsidRPr="007B0AA0" w:rsidRDefault="0009431B" w:rsidP="0009431B">
            <w:pPr>
              <w:spacing w:before="60" w:after="60" w:line="260" w:lineRule="exact"/>
              <w:jc w:val="left"/>
              <w:rPr>
                <w:b/>
                <w:bCs/>
                <w:lang w:bidi="ar-EG"/>
              </w:rPr>
            </w:pPr>
            <w:r>
              <w:rPr>
                <w:rFonts w:hint="cs"/>
                <w:b/>
                <w:bCs/>
                <w:rtl/>
                <w:lang w:bidi="ar-EG"/>
              </w:rPr>
              <w:t>الإضافة 2</w:t>
            </w:r>
            <w:r>
              <w:rPr>
                <w:b/>
                <w:bCs/>
                <w:rtl/>
                <w:lang w:bidi="ar-EG"/>
              </w:rPr>
              <w:br/>
            </w:r>
            <w:r>
              <w:rPr>
                <w:rFonts w:hint="cs"/>
                <w:b/>
                <w:bCs/>
                <w:rtl/>
                <w:lang w:bidi="ar-EG"/>
              </w:rPr>
              <w:t>ل</w:t>
            </w:r>
            <w:r w:rsidR="007B0AA0" w:rsidRPr="007B0AA0">
              <w:rPr>
                <w:rFonts w:hint="cs"/>
                <w:b/>
                <w:bCs/>
                <w:rtl/>
                <w:lang w:bidi="ar-EG"/>
              </w:rPr>
              <w:t xml:space="preserve">لوثيقة </w:t>
            </w:r>
            <w:r w:rsidR="007B0AA0" w:rsidRPr="007B0AA0">
              <w:rPr>
                <w:b/>
                <w:bCs/>
                <w:lang w:bidi="ar-EG"/>
              </w:rPr>
              <w:t>C2</w:t>
            </w:r>
            <w:r w:rsidR="000116AF">
              <w:rPr>
                <w:b/>
                <w:bCs/>
                <w:lang w:bidi="ar-EG"/>
              </w:rPr>
              <w:t>6</w:t>
            </w:r>
            <w:r w:rsidR="007B0AA0" w:rsidRPr="007B0AA0">
              <w:rPr>
                <w:b/>
                <w:bCs/>
                <w:lang w:bidi="ar-EG"/>
              </w:rPr>
              <w:t>/</w:t>
            </w:r>
            <w:r>
              <w:rPr>
                <w:b/>
                <w:bCs/>
                <w:lang w:bidi="ar-EG"/>
              </w:rPr>
              <w:t>31</w:t>
            </w:r>
            <w:r w:rsidR="007B0AA0" w:rsidRPr="007B0AA0">
              <w:rPr>
                <w:b/>
                <w:bCs/>
                <w:lang w:bidi="ar-EG"/>
              </w:rPr>
              <w:t>-A</w:t>
            </w:r>
          </w:p>
        </w:tc>
      </w:tr>
      <w:tr w:rsidR="007B0AA0" w14:paraId="366FA703" w14:textId="77777777" w:rsidTr="00F363FE">
        <w:tc>
          <w:tcPr>
            <w:tcW w:w="6512" w:type="dxa"/>
          </w:tcPr>
          <w:p w14:paraId="62D96997" w14:textId="77777777" w:rsidR="007B0AA0" w:rsidRPr="007B0AA0" w:rsidRDefault="007B0AA0" w:rsidP="00F363FE">
            <w:pPr>
              <w:spacing w:before="60" w:after="60" w:line="260" w:lineRule="exact"/>
              <w:rPr>
                <w:b/>
                <w:bCs/>
                <w:rtl/>
                <w:lang w:bidi="ar-EG"/>
              </w:rPr>
            </w:pPr>
          </w:p>
        </w:tc>
        <w:tc>
          <w:tcPr>
            <w:tcW w:w="3117" w:type="dxa"/>
          </w:tcPr>
          <w:p w14:paraId="49B4C17D" w14:textId="2E489BC7" w:rsidR="007B0AA0" w:rsidRPr="007B0AA0" w:rsidRDefault="0009431B" w:rsidP="00F363FE">
            <w:pPr>
              <w:spacing w:before="60" w:after="60" w:line="260" w:lineRule="exact"/>
              <w:rPr>
                <w:b/>
                <w:bCs/>
                <w:rtl/>
                <w:lang w:bidi="ar-EG"/>
              </w:rPr>
            </w:pPr>
            <w:r>
              <w:rPr>
                <w:rFonts w:hint="cs"/>
                <w:b/>
                <w:bCs/>
                <w:rtl/>
                <w:lang w:bidi="ar-EG"/>
              </w:rPr>
              <w:t>5 مايو 2026</w:t>
            </w:r>
          </w:p>
        </w:tc>
      </w:tr>
      <w:tr w:rsidR="007B0AA0" w14:paraId="25A6B883" w14:textId="77777777" w:rsidTr="00F363FE">
        <w:tc>
          <w:tcPr>
            <w:tcW w:w="6512" w:type="dxa"/>
          </w:tcPr>
          <w:p w14:paraId="7466E651" w14:textId="77777777" w:rsidR="007B0AA0" w:rsidRPr="007B0AA0" w:rsidRDefault="007B0AA0" w:rsidP="00F363FE">
            <w:pPr>
              <w:spacing w:before="60" w:after="60" w:line="260" w:lineRule="exact"/>
              <w:rPr>
                <w:b/>
                <w:bCs/>
                <w:rtl/>
                <w:lang w:bidi="ar-EG"/>
              </w:rPr>
            </w:pPr>
          </w:p>
        </w:tc>
        <w:tc>
          <w:tcPr>
            <w:tcW w:w="3117" w:type="dxa"/>
          </w:tcPr>
          <w:p w14:paraId="2A9EB587"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DF32988" w14:textId="77777777" w:rsidTr="00F363FE">
        <w:tc>
          <w:tcPr>
            <w:tcW w:w="6512" w:type="dxa"/>
          </w:tcPr>
          <w:p w14:paraId="08014379" w14:textId="77777777" w:rsidR="007B0AA0" w:rsidRDefault="007B0AA0" w:rsidP="00F363FE">
            <w:pPr>
              <w:spacing w:before="60" w:after="60" w:line="260" w:lineRule="exact"/>
              <w:rPr>
                <w:lang w:bidi="ar-EG"/>
              </w:rPr>
            </w:pPr>
          </w:p>
        </w:tc>
        <w:tc>
          <w:tcPr>
            <w:tcW w:w="3117" w:type="dxa"/>
          </w:tcPr>
          <w:p w14:paraId="3386302E" w14:textId="77777777" w:rsidR="007B0AA0" w:rsidRDefault="007B0AA0" w:rsidP="00F363FE">
            <w:pPr>
              <w:spacing w:before="60" w:after="60" w:line="260" w:lineRule="exact"/>
              <w:rPr>
                <w:rtl/>
                <w:lang w:bidi="ar-EG"/>
              </w:rPr>
            </w:pPr>
          </w:p>
        </w:tc>
      </w:tr>
      <w:tr w:rsidR="007B0AA0" w14:paraId="22E77BE9" w14:textId="77777777" w:rsidTr="00EE7446">
        <w:tc>
          <w:tcPr>
            <w:tcW w:w="9629" w:type="dxa"/>
            <w:gridSpan w:val="2"/>
          </w:tcPr>
          <w:p w14:paraId="348D118F" w14:textId="1C5FBD6B" w:rsidR="007B0AA0" w:rsidRDefault="0009431B" w:rsidP="0009431B">
            <w:pPr>
              <w:pStyle w:val="Source"/>
              <w:jc w:val="left"/>
              <w:rPr>
                <w:lang w:bidi="ar-EG"/>
              </w:rPr>
            </w:pPr>
            <w:r w:rsidRPr="0009431B">
              <w:rPr>
                <w:rtl/>
              </w:rPr>
              <w:t>تقرير من رئيس فريق العمل التابع للمجلس والمعني بالخطتين الاستراتيجية والمالية للفترة 2028-2031</w:t>
            </w:r>
          </w:p>
        </w:tc>
      </w:tr>
      <w:tr w:rsidR="007B0AA0" w14:paraId="1F9FAD17" w14:textId="77777777" w:rsidTr="007B0AA0">
        <w:tc>
          <w:tcPr>
            <w:tcW w:w="9629" w:type="dxa"/>
            <w:gridSpan w:val="2"/>
            <w:tcBorders>
              <w:bottom w:val="single" w:sz="4" w:space="0" w:color="auto"/>
            </w:tcBorders>
          </w:tcPr>
          <w:p w14:paraId="25894EC5" w14:textId="14802210" w:rsidR="007B0AA0" w:rsidRPr="005546CF" w:rsidRDefault="0009431B" w:rsidP="007B0AA0">
            <w:pPr>
              <w:pStyle w:val="Subtitle0"/>
              <w:rPr>
                <w:sz w:val="32"/>
                <w:szCs w:val="32"/>
              </w:rPr>
            </w:pPr>
            <w:r w:rsidRPr="0009431B">
              <w:rPr>
                <w:sz w:val="32"/>
                <w:szCs w:val="32"/>
                <w:rtl/>
              </w:rPr>
              <w:t>تقرير فريق العمل التابع للمجلس والمعني بالخطتين الاستراتيجية والمالية للفترة 2028-2031 ‏‏(</w:t>
            </w:r>
            <w:r w:rsidRPr="0009431B">
              <w:rPr>
                <w:sz w:val="32"/>
                <w:szCs w:val="32"/>
              </w:rPr>
              <w:t>CWG-SFP</w:t>
            </w:r>
            <w:r w:rsidRPr="0009431B">
              <w:rPr>
                <w:sz w:val="32"/>
                <w:szCs w:val="32"/>
                <w:rtl/>
              </w:rPr>
              <w:t>)‏</w:t>
            </w:r>
          </w:p>
        </w:tc>
      </w:tr>
      <w:tr w:rsidR="007B0AA0" w14:paraId="505E6CB0" w14:textId="77777777" w:rsidTr="007B0AA0">
        <w:tc>
          <w:tcPr>
            <w:tcW w:w="9629" w:type="dxa"/>
            <w:gridSpan w:val="2"/>
            <w:tcBorders>
              <w:top w:val="single" w:sz="4" w:space="0" w:color="auto"/>
              <w:bottom w:val="single" w:sz="4" w:space="0" w:color="auto"/>
            </w:tcBorders>
          </w:tcPr>
          <w:p w14:paraId="4BC016CF" w14:textId="77777777" w:rsidR="007B0AA0" w:rsidRPr="007B0AA0" w:rsidRDefault="007B0AA0" w:rsidP="007B0AA0">
            <w:pPr>
              <w:rPr>
                <w:b/>
                <w:bCs/>
                <w:rtl/>
              </w:rPr>
            </w:pPr>
            <w:r w:rsidRPr="00494119">
              <w:rPr>
                <w:rFonts w:hint="cs"/>
                <w:b/>
                <w:bCs/>
                <w:rtl/>
              </w:rPr>
              <w:t>الغرض</w:t>
            </w:r>
          </w:p>
          <w:p w14:paraId="27639E8E" w14:textId="7CE93838" w:rsidR="0009431B" w:rsidRPr="0009431B" w:rsidRDefault="0009431B" w:rsidP="0009431B">
            <w:r w:rsidRPr="0009431B">
              <w:rPr>
                <w:rtl/>
              </w:rPr>
              <w:t>تكمل هذه الوثيقة تقرير رئيس فريق العمل التابع للمجلس والمعني بالخطتين الاستراتيجية والمالية للفترة</w:t>
            </w:r>
            <w:r>
              <w:rPr>
                <w:rFonts w:hint="cs"/>
                <w:rtl/>
              </w:rPr>
              <w:t> </w:t>
            </w:r>
            <w:r w:rsidRPr="0009431B">
              <w:rPr>
                <w:rtl/>
              </w:rPr>
              <w:t>2028</w:t>
            </w:r>
            <w:r>
              <w:rPr>
                <w:rtl/>
              </w:rPr>
              <w:noBreakHyphen/>
            </w:r>
            <w:r w:rsidRPr="0009431B">
              <w:rPr>
                <w:rtl/>
              </w:rPr>
              <w:t>2031، من خلال عرض نواتج الاجتماع الذي عُقد في 5 مايو 2026.</w:t>
            </w:r>
          </w:p>
          <w:p w14:paraId="30A64020" w14:textId="77777777" w:rsidR="007B0AA0" w:rsidRPr="007B0AA0" w:rsidRDefault="007B0AA0" w:rsidP="007B0AA0">
            <w:pPr>
              <w:rPr>
                <w:b/>
                <w:bCs/>
                <w:rtl/>
              </w:rPr>
            </w:pPr>
            <w:r w:rsidRPr="007B0AA0">
              <w:rPr>
                <w:rFonts w:hint="cs"/>
                <w:b/>
                <w:bCs/>
                <w:rtl/>
              </w:rPr>
              <w:t>الإجراء المطلوب من المجلس</w:t>
            </w:r>
          </w:p>
          <w:p w14:paraId="15DFEFB1" w14:textId="77777777" w:rsidR="0009431B" w:rsidRPr="0009431B" w:rsidRDefault="0009431B" w:rsidP="0009431B">
            <w:r w:rsidRPr="0009431B">
              <w:rPr>
                <w:rtl/>
              </w:rPr>
              <w:t xml:space="preserve">يُدعى المجلس إلى </w:t>
            </w:r>
            <w:r w:rsidRPr="0009431B">
              <w:rPr>
                <w:b/>
                <w:bCs/>
                <w:rtl/>
              </w:rPr>
              <w:t xml:space="preserve">استعراض </w:t>
            </w:r>
            <w:r w:rsidRPr="0009431B">
              <w:rPr>
                <w:rtl/>
              </w:rPr>
              <w:t>مشروعي الخطتين الاستراتيجية والمالية المقترحتين للفترة 2028-2031 و</w:t>
            </w:r>
            <w:r w:rsidRPr="0009431B">
              <w:rPr>
                <w:b/>
                <w:bCs/>
                <w:rtl/>
              </w:rPr>
              <w:t>إقرارهما</w:t>
            </w:r>
            <w:r w:rsidRPr="0009431B">
              <w:rPr>
                <w:rtl/>
              </w:rPr>
              <w:t xml:space="preserve"> وإحالتهما إلى مؤتمر المندوبين المفوضين لعام 2026 (PP-26).</w:t>
            </w:r>
          </w:p>
          <w:p w14:paraId="6B464FE3"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373AA2F" w14:textId="77777777" w:rsidR="007B0AA0" w:rsidRPr="007B0AA0" w:rsidRDefault="007B0AA0" w:rsidP="007B0AA0">
            <w:pPr>
              <w:rPr>
                <w:b/>
                <w:bCs/>
                <w:rtl/>
              </w:rPr>
            </w:pPr>
            <w:r w:rsidRPr="007B0AA0">
              <w:rPr>
                <w:rFonts w:hint="cs"/>
                <w:b/>
                <w:bCs/>
                <w:rtl/>
              </w:rPr>
              <w:t>المراجع</w:t>
            </w:r>
          </w:p>
          <w:p w14:paraId="07548426" w14:textId="0966D2FC" w:rsidR="007B0AA0" w:rsidRPr="005546CF" w:rsidRDefault="0009431B" w:rsidP="0009431B">
            <w:pPr>
              <w:rPr>
                <w:i/>
                <w:iCs/>
                <w:rtl/>
              </w:rPr>
            </w:pPr>
            <w:hyperlink r:id="rId8" w:history="1">
              <w:r w:rsidRPr="0009431B">
                <w:rPr>
                  <w:rStyle w:val="Hyperlink"/>
                  <w:rFonts w:hint="cs"/>
                  <w:i/>
                  <w:iCs/>
                  <w:noProof w:val="0"/>
                  <w:rtl/>
                  <w:lang w:val="en-US" w:eastAsia="zh-CN"/>
                </w:rPr>
                <w:t>ا</w:t>
              </w:r>
              <w:r w:rsidRPr="0009431B">
                <w:rPr>
                  <w:rStyle w:val="Hyperlink"/>
                  <w:rFonts w:hint="cs"/>
                  <w:i/>
                  <w:iCs/>
                  <w:rtl/>
                </w:rPr>
                <w:t>لقرار</w:t>
              </w:r>
              <w:r w:rsidRPr="0009431B">
                <w:rPr>
                  <w:rStyle w:val="Hyperlink"/>
                  <w:rFonts w:hint="cs"/>
                  <w:i/>
                  <w:iCs/>
                  <w:noProof w:val="0"/>
                  <w:rtl/>
                  <w:lang w:val="en-US" w:eastAsia="zh-CN"/>
                </w:rPr>
                <w:t xml:space="preserve"> 71 (المراجَع في بوخارست، 2022)</w:t>
              </w:r>
            </w:hyperlink>
            <w:r>
              <w:rPr>
                <w:rFonts w:hint="cs"/>
                <w:i/>
                <w:iCs/>
                <w:rtl/>
              </w:rPr>
              <w:t xml:space="preserve">، </w:t>
            </w:r>
            <w:hyperlink r:id="rId9" w:history="1">
              <w:r w:rsidRPr="0009431B">
                <w:rPr>
                  <w:rStyle w:val="Hyperlink"/>
                  <w:rFonts w:hint="cs"/>
                  <w:i/>
                  <w:iCs/>
                  <w:noProof w:val="0"/>
                  <w:rtl/>
                  <w:lang w:val="en-US" w:eastAsia="zh-CN"/>
                </w:rPr>
                <w:t>قرار المجلس 1428 (الصادر في دورته لعام 2024)</w:t>
              </w:r>
            </w:hyperlink>
          </w:p>
        </w:tc>
      </w:tr>
    </w:tbl>
    <w:p w14:paraId="517C6F55" w14:textId="77777777" w:rsidR="00E61BE8" w:rsidRDefault="00E61BE8" w:rsidP="00E61BE8">
      <w:pPr>
        <w:rPr>
          <w:rtl/>
          <w:lang w:bidi="ar-EG"/>
        </w:rPr>
      </w:pPr>
    </w:p>
    <w:p w14:paraId="2DC7F017" w14:textId="77777777" w:rsidR="00F50E3F" w:rsidRDefault="00F50E3F" w:rsidP="0043260A">
      <w:pPr>
        <w:rPr>
          <w:rtl/>
          <w:lang w:bidi="ar-EG"/>
        </w:rPr>
      </w:pPr>
      <w:r>
        <w:rPr>
          <w:rtl/>
          <w:lang w:bidi="ar-EG"/>
        </w:rPr>
        <w:br w:type="page"/>
      </w:r>
    </w:p>
    <w:p w14:paraId="05B37F04" w14:textId="77777777" w:rsidR="0009431B" w:rsidRPr="0009431B" w:rsidRDefault="0009431B" w:rsidP="0009431B">
      <w:pPr>
        <w:rPr>
          <w:lang w:val="ar-SA" w:bidi="ar-EG"/>
        </w:rPr>
      </w:pPr>
      <w:r w:rsidRPr="0009431B">
        <w:rPr>
          <w:rtl/>
        </w:rPr>
        <w:lastRenderedPageBreak/>
        <w:t>بعد عرض نواتج عمل فريق العمل التابع للمجلس والمعني بالخطتين الاستراتيجية والمالية للفترة 2028-2031 (CWG-SFP) على المجلس في دورته لعام 2026، على النحو الوارد في الوثيقة 31 وملحقاتها، أدلى المندوبون بتعليقات وطلبوا توضيحات بشأن بعض الموضوعات. وأفضى ذلك إلى عقد اجتماع صباح يوم 5 مايو 2026.</w:t>
      </w:r>
    </w:p>
    <w:p w14:paraId="521C6CC8" w14:textId="77777777" w:rsidR="0009431B" w:rsidRPr="0009431B" w:rsidRDefault="0009431B" w:rsidP="0009431B">
      <w:pPr>
        <w:rPr>
          <w:lang w:val="ar-SA" w:bidi="ar-EG"/>
        </w:rPr>
      </w:pPr>
      <w:r w:rsidRPr="0009431B">
        <w:rPr>
          <w:rtl/>
        </w:rPr>
        <w:t xml:space="preserve">ركز الاجتماع على استعراض مشروع الملحق 1 للقرار 71، في ضوء التعليقات التي أُدلي بها في الجلسة العامة، ولا سيما بشأن التذييل </w:t>
      </w:r>
      <w:r w:rsidRPr="0009431B">
        <w:rPr>
          <w:lang w:bidi="ar-EG"/>
        </w:rPr>
        <w:t>A</w:t>
      </w:r>
      <w:r w:rsidRPr="0009431B">
        <w:rPr>
          <w:rtl/>
        </w:rPr>
        <w:t>.</w:t>
      </w:r>
    </w:p>
    <w:p w14:paraId="27861491" w14:textId="18EF2CD5" w:rsidR="0009431B" w:rsidRPr="0009431B" w:rsidRDefault="0009431B" w:rsidP="0009431B">
      <w:pPr>
        <w:rPr>
          <w:lang w:val="ar-SA" w:bidi="ar-EG"/>
        </w:rPr>
      </w:pPr>
      <w:r w:rsidRPr="0009431B">
        <w:rPr>
          <w:rtl/>
        </w:rPr>
        <w:t xml:space="preserve">ونجح الاجتماع في إزالة ستة أقواس معقوفة؛ واتُفق على أن تظل المقاصد التالية بين أقواس </w:t>
      </w:r>
      <w:r>
        <w:rPr>
          <w:rFonts w:hint="cs"/>
          <w:rtl/>
        </w:rPr>
        <w:t>معقوفة</w:t>
      </w:r>
      <w:r w:rsidRPr="0009431B">
        <w:rPr>
          <w:rtl/>
        </w:rPr>
        <w:t xml:space="preserve"> لكي تواصل المكاتب المعنية النظر فيها وتحسينها، وأن تُقدم إلى الدورة النهائية للمجلس في عام 2026، التي ستُعقد قبيل مؤتمر المندوبين المفوضين لعام 2026 (PP-26):</w:t>
      </w:r>
    </w:p>
    <w:p w14:paraId="5DCFC555" w14:textId="77777777" w:rsidR="0009431B" w:rsidRPr="0009431B" w:rsidRDefault="0009431B" w:rsidP="0009431B">
      <w:pPr>
        <w:numPr>
          <w:ilvl w:val="0"/>
          <w:numId w:val="12"/>
        </w:numPr>
        <w:rPr>
          <w:lang w:val="ar-SA" w:bidi="ar-EG"/>
        </w:rPr>
      </w:pPr>
      <w:r w:rsidRPr="0009431B">
        <w:rPr>
          <w:rtl/>
        </w:rPr>
        <w:t xml:space="preserve">المقصد 1.5 (الشبكات القادرة على الصمود): كُلفت الأمانة بالتنسيق مع الأمانة العامة والمكاتب المعنية لمواصلة استكشاف سبل تعزيز أنشطة الاتحاد المتعلقة </w:t>
      </w:r>
      <w:proofErr w:type="spellStart"/>
      <w:r w:rsidRPr="0009431B">
        <w:rPr>
          <w:rtl/>
        </w:rPr>
        <w:t>بالكبلات</w:t>
      </w:r>
      <w:proofErr w:type="spellEnd"/>
      <w:r w:rsidRPr="0009431B">
        <w:rPr>
          <w:rtl/>
        </w:rPr>
        <w:t xml:space="preserve"> البحرية وإمكانية إدراجها، مدعومةً بالإحصاءات ذات الصلة لإثبات الحاجة إلى إدراجها.</w:t>
      </w:r>
    </w:p>
    <w:p w14:paraId="06D232BC" w14:textId="77777777" w:rsidR="0009431B" w:rsidRPr="0009431B" w:rsidRDefault="0009431B" w:rsidP="0009431B">
      <w:pPr>
        <w:numPr>
          <w:ilvl w:val="0"/>
          <w:numId w:val="12"/>
        </w:numPr>
        <w:rPr>
          <w:lang w:val="ar-SA" w:bidi="ar-EG"/>
        </w:rPr>
      </w:pPr>
      <w:r w:rsidRPr="0009431B">
        <w:rPr>
          <w:rtl/>
        </w:rPr>
        <w:t>المقصد 1.6 (تجنب التداخل الضار): كُلفت الأمانة بالعمل عن كثب مع مدير مكتب الاتصالات الراديوية لتحديد مؤشرات محسَّنة تعبر بدقة أكبر عن الكيفية التي يعالج الاتحاد بها المسائل المتعلقة بالتداخل الضار.</w:t>
      </w:r>
    </w:p>
    <w:p w14:paraId="48F11C81" w14:textId="77777777" w:rsidR="0009431B" w:rsidRPr="0009431B" w:rsidRDefault="0009431B" w:rsidP="0009431B">
      <w:pPr>
        <w:numPr>
          <w:ilvl w:val="0"/>
          <w:numId w:val="12"/>
        </w:numPr>
        <w:rPr>
          <w:lang w:val="ar-SA" w:bidi="ar-EG"/>
        </w:rPr>
      </w:pPr>
      <w:r w:rsidRPr="0009431B">
        <w:rPr>
          <w:rtl/>
        </w:rPr>
        <w:t>المقصد 1.7 (تأثير معايير قابلية التشغيل البيني): كُلفت الأمانة بالعمل عن كثب مع مدير مكتب تقييس الاتصالات لتحديد مؤشرات أكثر ملاءمة لهذا المقصد.</w:t>
      </w:r>
    </w:p>
    <w:p w14:paraId="64DF6245" w14:textId="77777777" w:rsidR="0009431B" w:rsidRPr="0009431B" w:rsidRDefault="0009431B" w:rsidP="0009431B">
      <w:pPr>
        <w:numPr>
          <w:ilvl w:val="0"/>
          <w:numId w:val="12"/>
        </w:numPr>
        <w:rPr>
          <w:lang w:val="ar-SA" w:bidi="ar-EG"/>
        </w:rPr>
      </w:pPr>
      <w:r w:rsidRPr="0009431B">
        <w:rPr>
          <w:rtl/>
        </w:rPr>
        <w:t xml:space="preserve">التذييل </w:t>
      </w:r>
      <w:r w:rsidRPr="0009431B">
        <w:rPr>
          <w:lang w:bidi="ar-EG"/>
        </w:rPr>
        <w:t>B:</w:t>
      </w:r>
      <w:r w:rsidRPr="0009431B">
        <w:rPr>
          <w:rtl/>
        </w:rPr>
        <w:t xml:space="preserve"> سيُجرى تحديث الجدول بمجرد الموافقة على الخطة المالية للفترة 2028-2031 (المقرر 5).</w:t>
      </w:r>
    </w:p>
    <w:p w14:paraId="68C9D000" w14:textId="77777777" w:rsidR="0009431B" w:rsidRPr="0009431B" w:rsidRDefault="0009431B" w:rsidP="0009431B">
      <w:pPr>
        <w:rPr>
          <w:lang w:val="ar-SA" w:bidi="ar-EG"/>
        </w:rPr>
      </w:pPr>
      <w:r w:rsidRPr="0009431B">
        <w:rPr>
          <w:rtl/>
        </w:rPr>
        <w:t xml:space="preserve">وبناءً عليه، وافق الاجتماع على أن يرسل المجلس النواتج التالية لفريق العمل </w:t>
      </w:r>
      <w:r w:rsidRPr="0009431B">
        <w:rPr>
          <w:lang w:bidi="ar-EG"/>
        </w:rPr>
        <w:t>CWG-SFP</w:t>
      </w:r>
      <w:r w:rsidRPr="0009431B">
        <w:rPr>
          <w:rtl/>
        </w:rPr>
        <w:t xml:space="preserve"> إلى مؤتمر المندوبين المفوضين لعام 2026:</w:t>
      </w:r>
    </w:p>
    <w:p w14:paraId="213D6F29" w14:textId="77777777" w:rsidR="0009431B" w:rsidRPr="0009431B" w:rsidRDefault="0009431B" w:rsidP="0009431B">
      <w:pPr>
        <w:numPr>
          <w:ilvl w:val="0"/>
          <w:numId w:val="13"/>
        </w:numPr>
        <w:rPr>
          <w:lang w:val="ar-SA" w:bidi="ar-EG"/>
        </w:rPr>
      </w:pPr>
      <w:r w:rsidRPr="0009431B">
        <w:rPr>
          <w:rtl/>
        </w:rPr>
        <w:t>مشروع الملحق 1 للقرار 71، الذي يتضمن الخطتين الاستراتيجية والمالية للفترة 2028-2031، بما في ذلك بعض النصوص الموضوعة بين أقواس معقوفة (انظر المراجعة 1 للملحق 1)؛</w:t>
      </w:r>
    </w:p>
    <w:p w14:paraId="4CDE4598" w14:textId="77777777" w:rsidR="0009431B" w:rsidRPr="0009431B" w:rsidRDefault="0009431B" w:rsidP="0009431B">
      <w:pPr>
        <w:numPr>
          <w:ilvl w:val="0"/>
          <w:numId w:val="13"/>
        </w:numPr>
        <w:rPr>
          <w:lang w:val="ar-SA" w:bidi="ar-EG"/>
        </w:rPr>
      </w:pPr>
      <w:r w:rsidRPr="0009431B">
        <w:rPr>
          <w:rtl/>
        </w:rPr>
        <w:t>مشروع الملحق 2 للقرار 71 الذي يتضمن تحليل الحالة، الوارد بين أقواس معقوفة (انظر الملحق 2)؛ ‎و</w:t>
      </w:r>
    </w:p>
    <w:p w14:paraId="0620BFEC" w14:textId="77777777" w:rsidR="0009431B" w:rsidRPr="0009431B" w:rsidRDefault="0009431B" w:rsidP="0009431B">
      <w:pPr>
        <w:numPr>
          <w:ilvl w:val="0"/>
          <w:numId w:val="13"/>
        </w:numPr>
        <w:rPr>
          <w:lang w:val="ar-SA" w:bidi="ar-EG"/>
        </w:rPr>
      </w:pPr>
      <w:r w:rsidRPr="0009431B">
        <w:rPr>
          <w:rtl/>
        </w:rPr>
        <w:t>مشروع الملحق 3 للقرار 71، الذي يتضمن مسرد المصطلحات (انظر الملحق 3).</w:t>
      </w:r>
    </w:p>
    <w:p w14:paraId="316F8332" w14:textId="77777777" w:rsidR="0009431B" w:rsidRPr="0009431B" w:rsidRDefault="0009431B" w:rsidP="0009431B">
      <w:pPr>
        <w:rPr>
          <w:lang w:val="ar-SA" w:bidi="ar-EG"/>
        </w:rPr>
      </w:pPr>
      <w:r w:rsidRPr="0009431B">
        <w:rPr>
          <w:rtl/>
        </w:rPr>
        <w:t xml:space="preserve">مع الإشارة إلى أن رئيس الفريق </w:t>
      </w:r>
      <w:r w:rsidRPr="0009431B">
        <w:rPr>
          <w:lang w:bidi="ar-EG"/>
        </w:rPr>
        <w:t>CWG-SFP</w:t>
      </w:r>
      <w:r w:rsidRPr="0009431B">
        <w:rPr>
          <w:rtl/>
        </w:rPr>
        <w:t xml:space="preserve"> سيواصل تعاونه مع المناطق لإجراء مزيد من المشاورات بشأن احتياجات المناطق وآرائها، وإيضاحها وفهمها بغرض تيسير العمل في أثناء مؤتمر المندوبين المفوضين لعام 2026.</w:t>
      </w:r>
    </w:p>
    <w:p w14:paraId="1E08F36D" w14:textId="77777777" w:rsidR="0009431B" w:rsidRPr="0009431B" w:rsidRDefault="0009431B" w:rsidP="0009431B">
      <w:pPr>
        <w:rPr>
          <w:lang w:val="ar-SA" w:bidi="ar-EG"/>
        </w:rPr>
      </w:pPr>
      <w:r w:rsidRPr="0009431B">
        <w:rPr>
          <w:rtl/>
        </w:rPr>
        <w:t>وطلبت الدول الأعضاء كذلك من الأمانة إعداد عرض تقديمي يوضح الروابط القائمة بين الخطط الاستراتيجية والمالية والتشغيلية، لطرحه في كل اجتماع من الاجتماعات التحضيرية الإقليمية، بغرض دعم بلورة فهم مشترك ومواصلة تعزيز نهج الإدارة القائمة على النتائج.</w:t>
      </w:r>
    </w:p>
    <w:p w14:paraId="586F6367" w14:textId="78300F3B" w:rsidR="0009431B" w:rsidRPr="0009431B" w:rsidRDefault="0009431B" w:rsidP="0009431B">
      <w:pPr>
        <w:rPr>
          <w:lang w:val="ar-SA" w:bidi="ar-EG"/>
        </w:rPr>
      </w:pPr>
      <w:r w:rsidRPr="0009431B">
        <w:rPr>
          <w:rtl/>
        </w:rPr>
        <w:t>ونظراً لأن الوثائق المقدمة إلى مؤتمر المندوبين المفوضين لا يمكن أن تتضمن تعليقات، دعا الرئيس مقدمي الاقتراحات إلى النظر في تقديم الآراء المذكورة في مشاريع الملحقات السابقة على هيئة مساهمات رسمية إلى مؤتمر المندوبين المفوضين لعام 2026. وتحقيقاً لهذه الغاية، أ</w:t>
      </w:r>
      <w:r w:rsidR="006529D3">
        <w:rPr>
          <w:rFonts w:hint="cs"/>
          <w:rtl/>
        </w:rPr>
        <w:t>ُ</w:t>
      </w:r>
      <w:r w:rsidRPr="0009431B">
        <w:rPr>
          <w:rtl/>
        </w:rPr>
        <w:t>درج بيان على شكل ملحق لهذه الإضافة 2.</w:t>
      </w:r>
      <w:hyperlink w:anchor="Annex" w:history="1"/>
    </w:p>
    <w:p w14:paraId="44455935" w14:textId="77777777" w:rsidR="0009431B" w:rsidRPr="0009431B" w:rsidRDefault="0009431B" w:rsidP="0009431B">
      <w:pPr>
        <w:rPr>
          <w:lang w:val="ar-SA" w:bidi="ar-EG"/>
        </w:rPr>
      </w:pPr>
      <w:r w:rsidRPr="0009431B">
        <w:rPr>
          <w:rtl/>
        </w:rPr>
        <w:t xml:space="preserve">وقد أعرب رئيس الفريق </w:t>
      </w:r>
      <w:r w:rsidRPr="0009431B">
        <w:rPr>
          <w:lang w:bidi="ar-EG"/>
        </w:rPr>
        <w:t>CWG-SFP</w:t>
      </w:r>
      <w:r w:rsidRPr="0009431B">
        <w:rPr>
          <w:rtl/>
        </w:rPr>
        <w:t xml:space="preserve"> عن تقديره لأمانة الاتحاد وجميع الوفود على مشاركتها النشطة في الاجتماع، ومساهماتها البناءة. ووجَّه الرئيس الشكر كذلك إلى جميع أصحاب المصلحة الذين ساهموا في هذا العمل، ولا سيما الأفرقة الاستشارية للقطاعات، على مشاركتهم ودعمهم المتواصلين.</w:t>
      </w:r>
    </w:p>
    <w:p w14:paraId="3D7A7849" w14:textId="37F5548B" w:rsidR="0009431B" w:rsidRPr="0009431B" w:rsidRDefault="0009431B" w:rsidP="0009431B">
      <w:pPr>
        <w:spacing w:before="480"/>
        <w:rPr>
          <w:i/>
          <w:iCs/>
          <w:lang w:val="ar-SA" w:bidi="ar-EG"/>
        </w:rPr>
      </w:pPr>
      <w:r w:rsidRPr="0009431B">
        <w:rPr>
          <w:i/>
          <w:iCs/>
          <w:rtl/>
        </w:rPr>
        <w:t>الملحق</w:t>
      </w:r>
      <w:r>
        <w:rPr>
          <w:rFonts w:hint="cs"/>
          <w:i/>
          <w:iCs/>
          <w:rtl/>
        </w:rPr>
        <w:t>ات</w:t>
      </w:r>
      <w:r w:rsidRPr="0009431B">
        <w:rPr>
          <w:i/>
          <w:iCs/>
          <w:lang w:bidi="ar-EG"/>
        </w:rPr>
        <w:t>:</w:t>
      </w:r>
      <w:r w:rsidRPr="0009431B">
        <w:rPr>
          <w:i/>
          <w:iCs/>
          <w:rtl/>
        </w:rPr>
        <w:t xml:space="preserve"> </w:t>
      </w:r>
      <w:r w:rsidRPr="0009431B">
        <w:rPr>
          <w:b/>
          <w:bCs/>
          <w:i/>
          <w:iCs/>
          <w:rtl/>
        </w:rPr>
        <w:t>1</w:t>
      </w:r>
    </w:p>
    <w:p w14:paraId="1E65606A" w14:textId="77777777" w:rsidR="0009431B" w:rsidRPr="0009431B" w:rsidRDefault="0009431B" w:rsidP="0009431B">
      <w:pPr>
        <w:rPr>
          <w:lang w:bidi="ar-EG"/>
        </w:rPr>
      </w:pPr>
      <w:r w:rsidRPr="0009431B">
        <w:rPr>
          <w:lang w:bidi="ar-EG"/>
        </w:rPr>
        <w:br w:type="page"/>
      </w:r>
    </w:p>
    <w:p w14:paraId="32307875" w14:textId="77777777" w:rsidR="0009431B" w:rsidRPr="0009431B" w:rsidRDefault="0009431B" w:rsidP="0009431B">
      <w:pPr>
        <w:pStyle w:val="AnnexNo"/>
        <w:rPr>
          <w:lang w:val="ar-SA" w:bidi="ar-EG"/>
        </w:rPr>
      </w:pPr>
      <w:bookmarkStart w:id="0" w:name="Annex"/>
      <w:r w:rsidRPr="0009431B">
        <w:rPr>
          <w:rtl/>
        </w:rPr>
        <w:lastRenderedPageBreak/>
        <w:t>الملحق</w:t>
      </w:r>
      <w:bookmarkEnd w:id="0"/>
    </w:p>
    <w:p w14:paraId="0889F1F4" w14:textId="77777777" w:rsidR="0009431B" w:rsidRPr="0009431B" w:rsidRDefault="0009431B" w:rsidP="0009431B">
      <w:pPr>
        <w:pStyle w:val="Annextitle"/>
        <w:rPr>
          <w:lang w:val="ar-SA" w:bidi="ar-EG"/>
        </w:rPr>
      </w:pPr>
      <w:r w:rsidRPr="0009431B">
        <w:rPr>
          <w:rtl/>
        </w:rPr>
        <w:t>البيان كما ورد من الولايات المتحدة الأمريكية</w:t>
      </w:r>
    </w:p>
    <w:p w14:paraId="2F13E220" w14:textId="77777777" w:rsidR="0009431B" w:rsidRPr="0009431B" w:rsidRDefault="0009431B" w:rsidP="0009431B">
      <w:pPr>
        <w:rPr>
          <w:lang w:val="ar-SA" w:bidi="ar-EG"/>
        </w:rPr>
      </w:pPr>
      <w:r w:rsidRPr="0009431B">
        <w:rPr>
          <w:rtl/>
        </w:rPr>
        <w:t xml:space="preserve">"طوال إعداد مشروع الخطة الاستراتيجية، أعربت الولايات المتحدة عما يراودها من شواغل، وأعربت من موقف متحفظ من بعض العبارات التي ظهرت حتى الآن في شكل تعليقات في مشروع الوثيقة. </w:t>
      </w:r>
    </w:p>
    <w:p w14:paraId="28D6C037" w14:textId="77777777" w:rsidR="0009431B" w:rsidRPr="0009431B" w:rsidRDefault="0009431B" w:rsidP="0009431B">
      <w:pPr>
        <w:rPr>
          <w:lang w:val="ar-SA" w:bidi="ar-EG"/>
        </w:rPr>
      </w:pPr>
      <w:r w:rsidRPr="0009431B">
        <w:rPr>
          <w:rtl/>
        </w:rPr>
        <w:t>ونظراً لتعذر إحالة هذه التعليقات إلى مؤتمر المندوبين المفوضين في إطار المشروع ذاته، نود أن نطرح البيان التالي، الذي نطلب كذلك إرفاقه بمشروع تقرير الخطة الاستراتيجية الذي سيتم إرساله</w:t>
      </w:r>
      <w:r w:rsidRPr="0009431B">
        <w:rPr>
          <w:lang w:bidi="ar-EG"/>
        </w:rPr>
        <w:t>:</w:t>
      </w:r>
      <w:r w:rsidRPr="0009431B">
        <w:rPr>
          <w:rtl/>
        </w:rPr>
        <w:t xml:space="preserve"> </w:t>
      </w:r>
    </w:p>
    <w:p w14:paraId="5198C89C" w14:textId="2D6F51DD" w:rsidR="0009431B" w:rsidRPr="0009431B" w:rsidRDefault="0009431B" w:rsidP="0009431B">
      <w:pPr>
        <w:rPr>
          <w:lang w:val="ar-SA" w:bidi="ar-EG"/>
        </w:rPr>
      </w:pPr>
      <w:r w:rsidRPr="0009431B">
        <w:rPr>
          <w:rtl/>
        </w:rPr>
        <w:t>وترى الولايات المتحدة أن الخطتين الاستراتيجية والمالية ينبغي أن تظلا موجزتين، وأن تطرحا رؤية استشرافية، وأن ترتكزا بقوة على الولاية التقنية التي يضطلع بها الاتحاد في مسألة النهوض بالتوصيلية‎.</w:t>
      </w:r>
      <w:r>
        <w:rPr>
          <w:rFonts w:hint="cs"/>
          <w:rtl/>
        </w:rPr>
        <w:t xml:space="preserve"> </w:t>
      </w:r>
      <w:r w:rsidRPr="0009431B">
        <w:rPr>
          <w:rtl/>
        </w:rPr>
        <w:t>ورغم أننا نرحب بالتقدم المحرز في تبسيط المشروع، سيساعد إدخال المزيد من التحسينات في مؤتمر المندوبين المفوضين للاتحاد لعام 2026 (</w:t>
      </w:r>
      <w:r>
        <w:t>PP</w:t>
      </w:r>
      <w:r>
        <w:noBreakHyphen/>
        <w:t>26</w:t>
      </w:r>
      <w:r w:rsidRPr="0009431B">
        <w:rPr>
          <w:rtl/>
        </w:rPr>
        <w:t xml:space="preserve">) على ضمان وضوحهما وبيان </w:t>
      </w:r>
      <w:r w:rsidR="006529D3">
        <w:rPr>
          <w:rFonts w:hint="cs"/>
          <w:rtl/>
        </w:rPr>
        <w:t>ملاءمتهما</w:t>
      </w:r>
      <w:r w:rsidRPr="0009431B">
        <w:rPr>
          <w:rtl/>
        </w:rPr>
        <w:t>.</w:t>
      </w:r>
    </w:p>
    <w:p w14:paraId="6D54DF36" w14:textId="45C782C5" w:rsidR="0009431B" w:rsidRPr="0009431B" w:rsidRDefault="0009431B" w:rsidP="0009431B">
      <w:pPr>
        <w:rPr>
          <w:lang w:val="ar-SA" w:bidi="ar-EG"/>
        </w:rPr>
      </w:pPr>
      <w:r w:rsidRPr="0009431B">
        <w:rPr>
          <w:rtl/>
        </w:rPr>
        <w:t>وتماشياً مع نهجنا الأوسع نطاقاً على مستوى منظومة الأمم المتحدة، تدعو الولايات المتحدة إلى اتباع نهج عملي يركز على العودة إلى الأساسيات. إذ يجب أن يستمر الاتحاد في التركيز على مسؤولياته الأساسية، وتحقيق نتائج ملموسة تصنع فارقاً حقيقياً. ولذلك</w:t>
      </w:r>
      <w:r>
        <w:rPr>
          <w:rFonts w:hint="cs"/>
          <w:rtl/>
          <w:lang w:bidi="ar-EG"/>
        </w:rPr>
        <w:t>:</w:t>
      </w:r>
    </w:p>
    <w:p w14:paraId="6C0412F3" w14:textId="13597B65" w:rsidR="0009431B" w:rsidRPr="0009431B" w:rsidRDefault="0009431B" w:rsidP="0009431B">
      <w:pPr>
        <w:pStyle w:val="enumlev1"/>
        <w:rPr>
          <w:lang w:val="ar-SA" w:bidi="ar-EG"/>
        </w:rPr>
      </w:pPr>
      <w:r>
        <w:rPr>
          <w:rFonts w:hint="cs"/>
          <w:rtl/>
          <w:lang w:bidi="ar-EG"/>
        </w:rPr>
        <w:t>-</w:t>
      </w:r>
      <w:r>
        <w:rPr>
          <w:rtl/>
          <w:lang w:bidi="ar-EG"/>
        </w:rPr>
        <w:tab/>
      </w:r>
      <w:r w:rsidRPr="0009431B">
        <w:rPr>
          <w:rtl/>
        </w:rPr>
        <w:t xml:space="preserve">نعارض إدماج أطر تنموية واسعة النطاق، مثل خطة التنمية المستدامة لعام 2030، لأنها تدفع نحو إقامة حوكمة عالمية </w:t>
      </w:r>
      <w:r w:rsidR="006529D3">
        <w:rPr>
          <w:rFonts w:hint="cs"/>
          <w:rtl/>
        </w:rPr>
        <w:t>مرنة</w:t>
      </w:r>
      <w:r w:rsidRPr="0009431B">
        <w:rPr>
          <w:rtl/>
        </w:rPr>
        <w:t xml:space="preserve"> تتعارض مع سيادة الدول.</w:t>
      </w:r>
    </w:p>
    <w:p w14:paraId="7357E9B0" w14:textId="4F3D12C6" w:rsidR="0009431B" w:rsidRPr="0009431B" w:rsidRDefault="0009431B" w:rsidP="0009431B">
      <w:pPr>
        <w:pStyle w:val="enumlev1"/>
        <w:rPr>
          <w:lang w:val="ar-SA" w:bidi="ar-EG"/>
        </w:rPr>
      </w:pPr>
      <w:r>
        <w:rPr>
          <w:rFonts w:hint="cs"/>
          <w:rtl/>
        </w:rPr>
        <w:t>-</w:t>
      </w:r>
      <w:r>
        <w:rPr>
          <w:rtl/>
        </w:rPr>
        <w:tab/>
      </w:r>
      <w:r w:rsidRPr="0009431B">
        <w:rPr>
          <w:rtl/>
        </w:rPr>
        <w:t>لا نؤيد إدراج نصوص تتعلق بتغير المناخ، إذ يصرف ذلك الانتباه عن الولاية الأساسية للاتحاد.</w:t>
      </w:r>
    </w:p>
    <w:p w14:paraId="0EACF70E" w14:textId="56201D9E" w:rsidR="0009431B" w:rsidRPr="0009431B" w:rsidRDefault="0009431B" w:rsidP="0009431B">
      <w:pPr>
        <w:pStyle w:val="enumlev1"/>
        <w:rPr>
          <w:lang w:val="ar-SA" w:bidi="ar-EG"/>
        </w:rPr>
      </w:pPr>
      <w:r>
        <w:rPr>
          <w:rFonts w:hint="cs"/>
          <w:rtl/>
        </w:rPr>
        <w:t>-</w:t>
      </w:r>
      <w:r>
        <w:rPr>
          <w:rtl/>
        </w:rPr>
        <w:tab/>
      </w:r>
      <w:r w:rsidRPr="0009431B">
        <w:rPr>
          <w:rtl/>
        </w:rPr>
        <w:t xml:space="preserve">نعرب عن موقف متحفظ إزاء توصيفات مثل "شامل" و"منصف" و"مستدام"، فضلاً عن التركيز على "القدرة على تحمل التكاليف"، لما تنطوي عليه من غموض وآثار </w:t>
      </w:r>
      <w:proofErr w:type="spellStart"/>
      <w:r w:rsidRPr="0009431B">
        <w:rPr>
          <w:rtl/>
        </w:rPr>
        <w:t>سياساتية</w:t>
      </w:r>
      <w:proofErr w:type="spellEnd"/>
      <w:r w:rsidRPr="0009431B">
        <w:rPr>
          <w:rtl/>
        </w:rPr>
        <w:t xml:space="preserve"> تخرج عن نطاق الاختصاص التقني للاتحاد.</w:t>
      </w:r>
    </w:p>
    <w:p w14:paraId="1C8EA024" w14:textId="291D0E84" w:rsidR="0009431B" w:rsidRPr="0009431B" w:rsidRDefault="0009431B" w:rsidP="0009431B">
      <w:pPr>
        <w:pStyle w:val="enumlev1"/>
        <w:rPr>
          <w:lang w:val="ar-SA" w:bidi="ar-EG"/>
        </w:rPr>
      </w:pPr>
      <w:r>
        <w:rPr>
          <w:rFonts w:hint="cs"/>
          <w:rtl/>
        </w:rPr>
        <w:t>-</w:t>
      </w:r>
      <w:r>
        <w:rPr>
          <w:rtl/>
        </w:rPr>
        <w:tab/>
      </w:r>
      <w:r w:rsidRPr="0009431B">
        <w:rPr>
          <w:rtl/>
        </w:rPr>
        <w:t xml:space="preserve">تؤيد الولايات المتحدة بشدة كذلك استخدام عبارات واضحة ودقيقة تعترف بأن النساء إناث بيولوجياً والرجال ذكور بيولوجياً. فنحن لا ندعم مبادرات </w:t>
      </w:r>
      <w:proofErr w:type="gramStart"/>
      <w:r w:rsidRPr="0009431B">
        <w:rPr>
          <w:rtl/>
        </w:rPr>
        <w:t>التنوع</w:t>
      </w:r>
      <w:proofErr w:type="gramEnd"/>
      <w:r w:rsidRPr="0009431B">
        <w:rPr>
          <w:rtl/>
        </w:rPr>
        <w:t xml:space="preserve"> أو الإنصاف أو الشمول، أو الممارسات التي تمنح أفضلية لفئات معينة على حساب الجدارة.</w:t>
      </w:r>
    </w:p>
    <w:p w14:paraId="26A24691" w14:textId="78D2D248" w:rsidR="0009431B" w:rsidRPr="0009431B" w:rsidRDefault="0009431B" w:rsidP="0009431B">
      <w:pPr>
        <w:rPr>
          <w:lang w:val="ar-SA" w:bidi="ar-EG"/>
        </w:rPr>
      </w:pPr>
      <w:r w:rsidRPr="0009431B">
        <w:rPr>
          <w:rtl/>
        </w:rPr>
        <w:t>وتتمثل أولويتنا في إبقاء تركيز الخطة على استراتيجيات عملية موجهة نحو تحقيق النتائج، بما يعزز قدرة الاتحاد على توفير التوصيلية الشاملة، وبناء القدرات، وتعزيز الابتكار من خلال سياسات تتسم بالمرونة واستشراف المستقبل.</w:t>
      </w:r>
    </w:p>
    <w:p w14:paraId="3A79F913" w14:textId="77777777" w:rsidR="0009431B" w:rsidRPr="0009431B" w:rsidRDefault="0009431B" w:rsidP="0009431B">
      <w:pPr>
        <w:rPr>
          <w:lang w:val="ar-SA" w:bidi="ar-EG"/>
        </w:rPr>
      </w:pPr>
      <w:r w:rsidRPr="0009431B">
        <w:rPr>
          <w:rtl/>
        </w:rPr>
        <w:t>وتتطلع الولايات المتحدة إلى المشاركة البناءة مع أعضاء الاتحاد كافة في مؤتمر المندوبين المفوضين لعام 2026 لتحديث القرار 71، بما يكفل أن تظل جهودنا الجماعية تتسم بالكفاءة والفعالية والاتساق مع رسالة الاتحاد".</w:t>
      </w:r>
    </w:p>
    <w:p w14:paraId="75FAA85A"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9A94" w14:textId="77777777" w:rsidR="0009431B" w:rsidRDefault="0009431B" w:rsidP="006C3242">
      <w:pPr>
        <w:spacing w:before="0" w:line="240" w:lineRule="auto"/>
      </w:pPr>
      <w:r>
        <w:separator/>
      </w:r>
    </w:p>
  </w:endnote>
  <w:endnote w:type="continuationSeparator" w:id="0">
    <w:p w14:paraId="6E46503D" w14:textId="77777777" w:rsidR="0009431B" w:rsidRDefault="0009431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13D165C" w14:textId="77777777" w:rsidTr="00A67F05">
      <w:trPr>
        <w:jc w:val="center"/>
      </w:trPr>
      <w:tc>
        <w:tcPr>
          <w:tcW w:w="868" w:type="pct"/>
          <w:vAlign w:val="center"/>
        </w:tcPr>
        <w:p w14:paraId="67D43BC6" w14:textId="5DD4F134" w:rsidR="00F50E3F" w:rsidRPr="007B0AA0" w:rsidRDefault="0009431B"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9431B">
            <w:rPr>
              <w:rFonts w:ascii="Calibri" w:hAnsi="Calibri" w:cs="Arial"/>
              <w:sz w:val="18"/>
              <w:szCs w:val="14"/>
            </w:rPr>
            <w:t>2601173</w:t>
          </w:r>
        </w:p>
      </w:tc>
      <w:tc>
        <w:tcPr>
          <w:tcW w:w="3912" w:type="pct"/>
        </w:tcPr>
        <w:p w14:paraId="54060D92" w14:textId="705B4A8F"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09431B">
            <w:rPr>
              <w:rFonts w:ascii="Calibri" w:hAnsi="Calibri" w:cs="Arial"/>
              <w:bCs/>
              <w:color w:val="7F7F7F"/>
              <w:sz w:val="18"/>
            </w:rPr>
            <w:t>31(Add.2)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743706F"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F8F9E90"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380FFDB" w14:textId="77777777" w:rsidTr="00A67F05">
      <w:trPr>
        <w:jc w:val="center"/>
      </w:trPr>
      <w:tc>
        <w:tcPr>
          <w:tcW w:w="1013" w:type="pct"/>
          <w:vAlign w:val="center"/>
        </w:tcPr>
        <w:p w14:paraId="11BAA21E"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3FEA0B67" w14:textId="0B91DB75"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09431B">
            <w:rPr>
              <w:rFonts w:ascii="Calibri" w:hAnsi="Calibri" w:cs="Arial"/>
              <w:bCs/>
              <w:color w:val="7F7F7F"/>
              <w:sz w:val="18"/>
            </w:rPr>
            <w:t>31(Add.2)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0C43DBC"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6E454FE"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98B45" w14:textId="77777777" w:rsidR="0009431B" w:rsidRDefault="0009431B" w:rsidP="006C3242">
      <w:pPr>
        <w:spacing w:before="0" w:line="240" w:lineRule="auto"/>
      </w:pPr>
      <w:r>
        <w:separator/>
      </w:r>
    </w:p>
  </w:footnote>
  <w:footnote w:type="continuationSeparator" w:id="0">
    <w:p w14:paraId="0FF6DC2B" w14:textId="77777777" w:rsidR="0009431B" w:rsidRDefault="0009431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BD6B" w14:textId="77777777" w:rsidR="001A3E13" w:rsidRPr="00057769" w:rsidRDefault="001A3E13" w:rsidP="001A3E13">
    <w:pPr>
      <w:pStyle w:val="Header"/>
    </w:pPr>
    <w:r>
      <w:rPr>
        <w:noProof/>
      </w:rPr>
      <w:drawing>
        <wp:inline distT="0" distB="0" distL="0" distR="0" wp14:anchorId="2E300570" wp14:editId="034D6272">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F2C1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2A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92C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1CE4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02B1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AA6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4491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EF5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ED9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E4A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376DA2"/>
    <w:multiLevelType w:val="hybridMultilevel"/>
    <w:tmpl w:val="DE0E3940"/>
    <w:lvl w:ilvl="0" w:tplc="B9C4400E">
      <w:start w:val="292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03616"/>
    <w:multiLevelType w:val="hybridMultilevel"/>
    <w:tmpl w:val="5706DCF6"/>
    <w:lvl w:ilvl="0" w:tplc="E5FA2C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1919485647">
    <w:abstractNumId w:val="11"/>
  </w:num>
  <w:num w:numId="13" w16cid:durableId="1727530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1B"/>
    <w:rsid w:val="000116AF"/>
    <w:rsid w:val="0006468A"/>
    <w:rsid w:val="00077A58"/>
    <w:rsid w:val="00090574"/>
    <w:rsid w:val="0009431B"/>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021FA"/>
    <w:rsid w:val="006529D3"/>
    <w:rsid w:val="00657019"/>
    <w:rsid w:val="00660DEA"/>
    <w:rsid w:val="00677396"/>
    <w:rsid w:val="00683F16"/>
    <w:rsid w:val="0069200F"/>
    <w:rsid w:val="006A65CB"/>
    <w:rsid w:val="006B12E5"/>
    <w:rsid w:val="006C3242"/>
    <w:rsid w:val="006C7CC0"/>
    <w:rsid w:val="006D5115"/>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19DCD"/>
  <w15:chartTrackingRefBased/>
  <w15:docId w15:val="{5A5C04F8-08AA-4DD9-B49B-2814C42A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1-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4-CL-C-0139/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4976</Characters>
  <Application>Microsoft Office Word</Application>
  <DocSecurity>0</DocSecurity>
  <Lines>88</Lines>
  <Paragraphs>50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Council Working Group for strategic and financial plans 2028-2031 (CWG-SFP)</dc:title>
  <dc:subject>ITU Council 2026</dc:subject>
  <dc:creator>GBS</dc:creator>
  <cp:keywords>C26; C2026; Council 2026; PP26</cp:keywords>
  <dc:description/>
  <cp:lastModifiedBy>GBS</cp:lastModifiedBy>
  <cp:revision>2</cp:revision>
  <dcterms:created xsi:type="dcterms:W3CDTF">2026-05-06T06:47:00Z</dcterms:created>
  <dcterms:modified xsi:type="dcterms:W3CDTF">2026-05-06T06:47:00Z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