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5D1D5A" w14:paraId="063CA688" w14:textId="77777777" w:rsidTr="00C4421B">
        <w:trPr>
          <w:cantSplit/>
          <w:trHeight w:val="23"/>
        </w:trPr>
        <w:tc>
          <w:tcPr>
            <w:tcW w:w="3969" w:type="dxa"/>
            <w:vMerge w:val="restart"/>
            <w:tcMar>
              <w:left w:w="0" w:type="dxa"/>
            </w:tcMar>
          </w:tcPr>
          <w:p w14:paraId="77C24A42" w14:textId="660A021D" w:rsidR="00FE57F6" w:rsidRPr="005D1D5A" w:rsidRDefault="00CC1FAF" w:rsidP="00C4421B">
            <w:pPr>
              <w:tabs>
                <w:tab w:val="left" w:pos="851"/>
              </w:tabs>
              <w:spacing w:before="0" w:line="240" w:lineRule="atLeast"/>
              <w:rPr>
                <w:b/>
                <w:lang w:val="es-ES_tradnl"/>
              </w:rPr>
            </w:pPr>
            <w:bookmarkStart w:id="0" w:name="_Hlk133421839"/>
            <w:r w:rsidRPr="005D1D5A">
              <w:rPr>
                <w:b/>
                <w:lang w:val="es-ES_tradnl"/>
              </w:rPr>
              <w:t>Punto del o</w:t>
            </w:r>
            <w:r w:rsidR="00BB6FD8" w:rsidRPr="005D1D5A">
              <w:rPr>
                <w:b/>
                <w:lang w:val="es-ES_tradnl"/>
              </w:rPr>
              <w:t>rden del día</w:t>
            </w:r>
            <w:r w:rsidR="00FE57F6" w:rsidRPr="005D1D5A">
              <w:rPr>
                <w:b/>
                <w:lang w:val="es-ES_tradnl"/>
              </w:rPr>
              <w:t xml:space="preserve">: </w:t>
            </w:r>
            <w:r w:rsidR="00931FC7" w:rsidRPr="005D1D5A">
              <w:rPr>
                <w:b/>
                <w:lang w:val="es-ES_tradnl"/>
              </w:rPr>
              <w:t>PL-2</w:t>
            </w:r>
          </w:p>
        </w:tc>
        <w:tc>
          <w:tcPr>
            <w:tcW w:w="5245" w:type="dxa"/>
          </w:tcPr>
          <w:p w14:paraId="73A7C4FA" w14:textId="2F215344" w:rsidR="00FE57F6" w:rsidRPr="005D1D5A" w:rsidRDefault="00FE57F6" w:rsidP="00C4421B">
            <w:pPr>
              <w:tabs>
                <w:tab w:val="left" w:pos="851"/>
              </w:tabs>
              <w:spacing w:before="0" w:line="240" w:lineRule="atLeast"/>
              <w:jc w:val="right"/>
              <w:rPr>
                <w:b/>
                <w:lang w:val="es-ES_tradnl"/>
              </w:rPr>
            </w:pPr>
            <w:r w:rsidRPr="005D1D5A">
              <w:rPr>
                <w:b/>
                <w:lang w:val="es-ES_tradnl"/>
              </w:rPr>
              <w:t>Document</w:t>
            </w:r>
            <w:r w:rsidR="00F24B71" w:rsidRPr="005D1D5A">
              <w:rPr>
                <w:b/>
                <w:lang w:val="es-ES_tradnl"/>
              </w:rPr>
              <w:t>o</w:t>
            </w:r>
            <w:r w:rsidRPr="005D1D5A">
              <w:rPr>
                <w:b/>
                <w:lang w:val="es-ES_tradnl"/>
              </w:rPr>
              <w:t xml:space="preserve"> </w:t>
            </w:r>
            <w:proofErr w:type="spellStart"/>
            <w:r w:rsidRPr="005D1D5A">
              <w:rPr>
                <w:b/>
                <w:lang w:val="es-ES_tradnl"/>
              </w:rPr>
              <w:t>C2</w:t>
            </w:r>
            <w:r w:rsidR="00F85E5C" w:rsidRPr="005D1D5A">
              <w:rPr>
                <w:b/>
                <w:lang w:val="es-ES_tradnl"/>
              </w:rPr>
              <w:t>6</w:t>
            </w:r>
            <w:proofErr w:type="spellEnd"/>
            <w:r w:rsidRPr="005D1D5A">
              <w:rPr>
                <w:b/>
                <w:lang w:val="es-ES_tradnl"/>
              </w:rPr>
              <w:t>/</w:t>
            </w:r>
            <w:r w:rsidR="00931FC7" w:rsidRPr="005D1D5A">
              <w:rPr>
                <w:b/>
                <w:lang w:val="es-ES_tradnl"/>
              </w:rPr>
              <w:t>31</w:t>
            </w:r>
            <w:r w:rsidRPr="005D1D5A">
              <w:rPr>
                <w:b/>
                <w:lang w:val="es-ES_tradnl"/>
              </w:rPr>
              <w:t>-</w:t>
            </w:r>
            <w:r w:rsidR="00F24B71" w:rsidRPr="005D1D5A">
              <w:rPr>
                <w:b/>
                <w:lang w:val="es-ES_tradnl"/>
              </w:rPr>
              <w:t>S</w:t>
            </w:r>
          </w:p>
        </w:tc>
      </w:tr>
      <w:tr w:rsidR="00FE57F6" w:rsidRPr="005D1D5A" w14:paraId="414EE071" w14:textId="77777777" w:rsidTr="00C4421B">
        <w:trPr>
          <w:cantSplit/>
        </w:trPr>
        <w:tc>
          <w:tcPr>
            <w:tcW w:w="3969" w:type="dxa"/>
            <w:vMerge/>
          </w:tcPr>
          <w:p w14:paraId="5FCD5EAF" w14:textId="77777777" w:rsidR="00FE57F6" w:rsidRPr="005D1D5A" w:rsidRDefault="00FE57F6" w:rsidP="00C4421B">
            <w:pPr>
              <w:tabs>
                <w:tab w:val="left" w:pos="851"/>
              </w:tabs>
              <w:spacing w:line="240" w:lineRule="atLeast"/>
              <w:rPr>
                <w:b/>
                <w:lang w:val="es-ES_tradnl"/>
              </w:rPr>
            </w:pPr>
          </w:p>
        </w:tc>
        <w:tc>
          <w:tcPr>
            <w:tcW w:w="5245" w:type="dxa"/>
          </w:tcPr>
          <w:p w14:paraId="64B65104" w14:textId="395A525A" w:rsidR="00FE57F6" w:rsidRPr="005D1D5A" w:rsidRDefault="00931FC7" w:rsidP="00C4421B">
            <w:pPr>
              <w:tabs>
                <w:tab w:val="left" w:pos="851"/>
              </w:tabs>
              <w:spacing w:before="0"/>
              <w:jc w:val="right"/>
              <w:rPr>
                <w:b/>
                <w:lang w:val="es-ES_tradnl"/>
              </w:rPr>
            </w:pPr>
            <w:r w:rsidRPr="005D1D5A">
              <w:rPr>
                <w:b/>
                <w:lang w:val="es-ES_tradnl"/>
              </w:rPr>
              <w:t>30 de marzo de 2026</w:t>
            </w:r>
          </w:p>
        </w:tc>
      </w:tr>
      <w:tr w:rsidR="00FE57F6" w:rsidRPr="005D1D5A" w14:paraId="245BD579" w14:textId="77777777" w:rsidTr="00C4421B">
        <w:trPr>
          <w:cantSplit/>
          <w:trHeight w:val="23"/>
        </w:trPr>
        <w:tc>
          <w:tcPr>
            <w:tcW w:w="3969" w:type="dxa"/>
            <w:vMerge/>
          </w:tcPr>
          <w:p w14:paraId="0A052EAA" w14:textId="77777777" w:rsidR="00FE57F6" w:rsidRPr="005D1D5A" w:rsidRDefault="00FE57F6" w:rsidP="00C4421B">
            <w:pPr>
              <w:tabs>
                <w:tab w:val="left" w:pos="851"/>
              </w:tabs>
              <w:spacing w:line="240" w:lineRule="atLeast"/>
              <w:rPr>
                <w:b/>
                <w:lang w:val="es-ES_tradnl"/>
              </w:rPr>
            </w:pPr>
          </w:p>
        </w:tc>
        <w:tc>
          <w:tcPr>
            <w:tcW w:w="5245" w:type="dxa"/>
          </w:tcPr>
          <w:p w14:paraId="03DBDA8C" w14:textId="77777777" w:rsidR="00FE57F6" w:rsidRPr="005D1D5A" w:rsidRDefault="00F24B71" w:rsidP="00C4421B">
            <w:pPr>
              <w:tabs>
                <w:tab w:val="left" w:pos="851"/>
              </w:tabs>
              <w:spacing w:before="0" w:line="240" w:lineRule="atLeast"/>
              <w:jc w:val="right"/>
              <w:rPr>
                <w:b/>
                <w:bCs/>
                <w:lang w:val="es-ES_tradnl"/>
              </w:rPr>
            </w:pPr>
            <w:r w:rsidRPr="005D1D5A">
              <w:rPr>
                <w:rFonts w:cstheme="minorHAnsi"/>
                <w:b/>
                <w:bCs/>
                <w:lang w:val="es-ES_tradnl"/>
              </w:rPr>
              <w:t>Original: inglés</w:t>
            </w:r>
          </w:p>
        </w:tc>
      </w:tr>
      <w:tr w:rsidR="00FE57F6" w:rsidRPr="005D1D5A" w14:paraId="63E45FE0" w14:textId="77777777" w:rsidTr="00C4421B">
        <w:trPr>
          <w:cantSplit/>
          <w:trHeight w:val="23"/>
        </w:trPr>
        <w:tc>
          <w:tcPr>
            <w:tcW w:w="3969" w:type="dxa"/>
          </w:tcPr>
          <w:p w14:paraId="721947AA" w14:textId="77777777" w:rsidR="00FE57F6" w:rsidRPr="005D1D5A" w:rsidRDefault="00FE57F6" w:rsidP="00C4421B">
            <w:pPr>
              <w:tabs>
                <w:tab w:val="left" w:pos="851"/>
              </w:tabs>
              <w:spacing w:line="240" w:lineRule="atLeast"/>
              <w:rPr>
                <w:b/>
                <w:lang w:val="es-ES_tradnl"/>
              </w:rPr>
            </w:pPr>
          </w:p>
        </w:tc>
        <w:tc>
          <w:tcPr>
            <w:tcW w:w="5245" w:type="dxa"/>
          </w:tcPr>
          <w:p w14:paraId="4EDF3440" w14:textId="77777777" w:rsidR="00FE57F6" w:rsidRPr="005D1D5A" w:rsidRDefault="00FE57F6" w:rsidP="00C4421B">
            <w:pPr>
              <w:tabs>
                <w:tab w:val="left" w:pos="851"/>
              </w:tabs>
              <w:spacing w:before="0" w:line="240" w:lineRule="atLeast"/>
              <w:jc w:val="right"/>
              <w:rPr>
                <w:b/>
                <w:lang w:val="es-ES_tradnl"/>
              </w:rPr>
            </w:pPr>
          </w:p>
        </w:tc>
      </w:tr>
      <w:tr w:rsidR="00FE57F6" w:rsidRPr="005D1D5A" w14:paraId="4DB1E730" w14:textId="77777777" w:rsidTr="00C4421B">
        <w:trPr>
          <w:cantSplit/>
        </w:trPr>
        <w:tc>
          <w:tcPr>
            <w:tcW w:w="9214" w:type="dxa"/>
            <w:gridSpan w:val="2"/>
            <w:tcMar>
              <w:left w:w="0" w:type="dxa"/>
            </w:tcMar>
          </w:tcPr>
          <w:p w14:paraId="4B3F1267" w14:textId="77777777" w:rsidR="00FE57F6" w:rsidRPr="005D1D5A" w:rsidRDefault="00157AC4" w:rsidP="005D1D5A">
            <w:pPr>
              <w:pStyle w:val="Source"/>
              <w:framePr w:hSpace="0" w:wrap="auto" w:vAnchor="margin" w:hAnchor="text" w:xAlign="left" w:yAlign="inline"/>
              <w:rPr>
                <w:lang w:val="es-ES_tradnl"/>
              </w:rPr>
            </w:pPr>
            <w:r w:rsidRPr="005D1D5A">
              <w:rPr>
                <w:lang w:val="es-ES_tradnl"/>
              </w:rPr>
              <w:t>Informe de la Secretaria General</w:t>
            </w:r>
          </w:p>
        </w:tc>
      </w:tr>
      <w:tr w:rsidR="00FE57F6" w:rsidRPr="005D1D5A" w14:paraId="1CD32C9D" w14:textId="77777777" w:rsidTr="00C4421B">
        <w:trPr>
          <w:cantSplit/>
        </w:trPr>
        <w:tc>
          <w:tcPr>
            <w:tcW w:w="9214" w:type="dxa"/>
            <w:gridSpan w:val="2"/>
            <w:tcMar>
              <w:left w:w="0" w:type="dxa"/>
            </w:tcMar>
          </w:tcPr>
          <w:p w14:paraId="3CFEFA40" w14:textId="65A1D158" w:rsidR="00FE57F6" w:rsidRPr="005D1D5A" w:rsidRDefault="005D1D5A" w:rsidP="005D1D5A">
            <w:pPr>
              <w:pStyle w:val="Subtitle"/>
              <w:framePr w:hSpace="0" w:wrap="auto" w:vAnchor="margin" w:hAnchor="text" w:xAlign="left" w:yAlign="inline"/>
              <w:rPr>
                <w:lang w:val="es-ES_tradnl"/>
              </w:rPr>
            </w:pPr>
            <w:r w:rsidRPr="005D1D5A">
              <w:rPr>
                <w:lang w:val="es-ES_tradnl"/>
              </w:rPr>
              <w:t>INFORME DEL GRUPO DE TRABAJO DEL CONSEJO SOBRE LOS PLANES ESTRATÉGICO Y FINANCIERO PARA 2028-2031 (</w:t>
            </w:r>
            <w:proofErr w:type="spellStart"/>
            <w:r w:rsidRPr="005D1D5A">
              <w:rPr>
                <w:lang w:val="es-ES_tradnl"/>
              </w:rPr>
              <w:t>GTC-PEF</w:t>
            </w:r>
            <w:proofErr w:type="spellEnd"/>
            <w:r w:rsidRPr="005D1D5A">
              <w:rPr>
                <w:lang w:val="es-ES_tradnl"/>
              </w:rPr>
              <w:t>)</w:t>
            </w:r>
          </w:p>
        </w:tc>
      </w:tr>
      <w:tr w:rsidR="00FE57F6" w:rsidRPr="005D1D5A" w14:paraId="522F60B1" w14:textId="77777777" w:rsidTr="00C4421B">
        <w:trPr>
          <w:cantSplit/>
        </w:trPr>
        <w:tc>
          <w:tcPr>
            <w:tcW w:w="9214" w:type="dxa"/>
            <w:gridSpan w:val="2"/>
            <w:tcBorders>
              <w:top w:val="single" w:sz="4" w:space="0" w:color="auto"/>
              <w:bottom w:val="single" w:sz="4" w:space="0" w:color="auto"/>
            </w:tcBorders>
            <w:tcMar>
              <w:left w:w="0" w:type="dxa"/>
            </w:tcMar>
          </w:tcPr>
          <w:p w14:paraId="6C6341D3" w14:textId="77777777" w:rsidR="00FE57F6" w:rsidRPr="005D1D5A" w:rsidRDefault="00F24B71" w:rsidP="00C4421B">
            <w:pPr>
              <w:spacing w:before="160"/>
              <w:rPr>
                <w:b/>
                <w:bCs/>
                <w:sz w:val="26"/>
                <w:szCs w:val="26"/>
                <w:lang w:val="es-ES_tradnl"/>
              </w:rPr>
            </w:pPr>
            <w:r w:rsidRPr="005D1D5A">
              <w:rPr>
                <w:b/>
                <w:bCs/>
                <w:sz w:val="26"/>
                <w:szCs w:val="26"/>
                <w:lang w:val="es-ES_tradnl"/>
              </w:rPr>
              <w:t>Finalidad</w:t>
            </w:r>
          </w:p>
          <w:p w14:paraId="36E11DBC" w14:textId="5755F98B" w:rsidR="00FE57F6" w:rsidRPr="005D1D5A" w:rsidRDefault="00931FC7" w:rsidP="008C37D9">
            <w:pPr>
              <w:jc w:val="both"/>
              <w:rPr>
                <w:lang w:val="es-ES_tradnl"/>
              </w:rPr>
            </w:pPr>
            <w:r w:rsidRPr="005D1D5A">
              <w:rPr>
                <w:color w:val="000000"/>
                <w:lang w:val="es-ES_tradnl"/>
              </w:rPr>
              <w:t>En el presente documento se resume la labor del Grupo de Trabajo del Consejo sobre los Planes Estratégico y Financiero para 2028-2031 (</w:t>
            </w:r>
            <w:proofErr w:type="spellStart"/>
            <w:r w:rsidRPr="005D1D5A">
              <w:rPr>
                <w:color w:val="000000"/>
                <w:lang w:val="es-ES_tradnl"/>
              </w:rPr>
              <w:t>GTC-PEF</w:t>
            </w:r>
            <w:proofErr w:type="spellEnd"/>
            <w:r w:rsidRPr="005D1D5A">
              <w:rPr>
                <w:color w:val="000000"/>
                <w:lang w:val="es-ES_tradnl"/>
              </w:rPr>
              <w:t>) desde su creación por el Consejo en 2024 y se presenta la propuesta de proyecto de Plan Estratégico y Financiero de la UIT para el periodo 2028-2031.</w:t>
            </w:r>
          </w:p>
          <w:p w14:paraId="753E864B" w14:textId="77777777" w:rsidR="00FE57F6" w:rsidRPr="005D1D5A" w:rsidRDefault="00F24B71" w:rsidP="00C4421B">
            <w:pPr>
              <w:spacing w:before="160"/>
              <w:rPr>
                <w:b/>
                <w:bCs/>
                <w:sz w:val="26"/>
                <w:szCs w:val="26"/>
                <w:lang w:val="es-ES_tradnl"/>
              </w:rPr>
            </w:pPr>
            <w:r w:rsidRPr="005D1D5A">
              <w:rPr>
                <w:b/>
                <w:bCs/>
                <w:sz w:val="26"/>
                <w:szCs w:val="26"/>
                <w:lang w:val="es-ES_tradnl"/>
              </w:rPr>
              <w:t xml:space="preserve">Acción solicitada </w:t>
            </w:r>
            <w:r w:rsidR="00677A97" w:rsidRPr="005D1D5A">
              <w:rPr>
                <w:b/>
                <w:bCs/>
                <w:sz w:val="26"/>
                <w:szCs w:val="26"/>
                <w:lang w:val="es-ES_tradnl"/>
              </w:rPr>
              <w:t>al</w:t>
            </w:r>
            <w:r w:rsidRPr="005D1D5A">
              <w:rPr>
                <w:b/>
                <w:bCs/>
                <w:sz w:val="26"/>
                <w:szCs w:val="26"/>
                <w:lang w:val="es-ES_tradnl"/>
              </w:rPr>
              <w:t xml:space="preserve"> Consejo</w:t>
            </w:r>
          </w:p>
          <w:p w14:paraId="7AB2D2A5" w14:textId="13C21ADA" w:rsidR="00F92BED" w:rsidRPr="005D1D5A" w:rsidRDefault="00931FC7" w:rsidP="008C37D9">
            <w:pPr>
              <w:tabs>
                <w:tab w:val="clear" w:pos="567"/>
                <w:tab w:val="clear" w:pos="1134"/>
                <w:tab w:val="clear" w:pos="1701"/>
                <w:tab w:val="clear" w:pos="2268"/>
                <w:tab w:val="clear" w:pos="2835"/>
              </w:tabs>
              <w:overflowPunct/>
              <w:autoSpaceDE/>
              <w:autoSpaceDN/>
              <w:adjustRightInd/>
              <w:spacing w:before="0"/>
              <w:jc w:val="both"/>
              <w:textAlignment w:val="auto"/>
              <w:rPr>
                <w:rFonts w:ascii="Times New Roman" w:hAnsi="Times New Roman"/>
                <w:szCs w:val="24"/>
                <w:lang w:val="es-ES_tradnl" w:eastAsia="zh-CN"/>
              </w:rPr>
            </w:pPr>
            <w:r w:rsidRPr="005D1D5A">
              <w:rPr>
                <w:color w:val="000000"/>
                <w:lang w:val="es-ES_tradnl"/>
              </w:rPr>
              <w:t xml:space="preserve">Se invita al Consejo a </w:t>
            </w:r>
            <w:r w:rsidRPr="005D1D5A">
              <w:rPr>
                <w:b/>
                <w:bCs/>
                <w:color w:val="000000"/>
                <w:lang w:val="es-ES_tradnl"/>
              </w:rPr>
              <w:t>examinar</w:t>
            </w:r>
            <w:r w:rsidRPr="005D1D5A">
              <w:rPr>
                <w:color w:val="000000"/>
                <w:lang w:val="es-ES_tradnl"/>
              </w:rPr>
              <w:t xml:space="preserve"> y </w:t>
            </w:r>
            <w:r w:rsidRPr="005D1D5A">
              <w:rPr>
                <w:b/>
                <w:bCs/>
                <w:color w:val="000000"/>
                <w:lang w:val="es-ES_tradnl"/>
              </w:rPr>
              <w:t>refrendar</w:t>
            </w:r>
            <w:r w:rsidRPr="005D1D5A">
              <w:rPr>
                <w:color w:val="000000"/>
                <w:lang w:val="es-ES_tradnl"/>
              </w:rPr>
              <w:t xml:space="preserve"> el proyecto de Planes Estratégico y Financiero propuesto para 2028-2031 y a transmitirlo a la Conferencia de Plenipotenciarios de 2026 (PP</w:t>
            </w:r>
            <w:r w:rsidRPr="005D1D5A">
              <w:rPr>
                <w:color w:val="000000"/>
                <w:lang w:val="es-ES_tradnl"/>
              </w:rPr>
              <w:noBreakHyphen/>
              <w:t>26)</w:t>
            </w:r>
            <w:r w:rsidR="000E341D" w:rsidRPr="005D1D5A">
              <w:rPr>
                <w:rStyle w:val="FootnoteReference"/>
                <w:color w:val="000000"/>
                <w:lang w:val="es-ES_tradnl"/>
              </w:rPr>
              <w:footnoteReference w:id="1"/>
            </w:r>
            <w:r w:rsidR="008C37D9" w:rsidRPr="005D1D5A">
              <w:rPr>
                <w:color w:val="000000"/>
                <w:lang w:val="es-ES_tradnl"/>
              </w:rPr>
              <w:t>.</w:t>
            </w:r>
          </w:p>
          <w:p w14:paraId="3947F742" w14:textId="77777777" w:rsidR="00F92BED" w:rsidRPr="005D1D5A" w:rsidRDefault="00F92BED" w:rsidP="00C4421B">
            <w:pPr>
              <w:spacing w:before="160"/>
              <w:rPr>
                <w:b/>
                <w:bCs/>
                <w:sz w:val="26"/>
                <w:szCs w:val="26"/>
                <w:lang w:val="es-ES_tradnl"/>
              </w:rPr>
            </w:pPr>
            <w:r w:rsidRPr="005D1D5A">
              <w:rPr>
                <w:b/>
                <w:bCs/>
                <w:sz w:val="26"/>
                <w:szCs w:val="26"/>
                <w:lang w:val="es-ES_tradnl"/>
              </w:rPr>
              <w:t>Vínculo(s) pertinente(s) con el Plan Estratégico</w:t>
            </w:r>
          </w:p>
          <w:p w14:paraId="00DBA9F9" w14:textId="77777777" w:rsidR="00931FC7" w:rsidRPr="005D1D5A" w:rsidRDefault="00931FC7" w:rsidP="00931FC7">
            <w:pPr>
              <w:rPr>
                <w:lang w:val="es-ES_tradnl"/>
              </w:rPr>
            </w:pPr>
            <w:r w:rsidRPr="005D1D5A">
              <w:rPr>
                <w:color w:val="000000"/>
                <w:lang w:val="es-ES_tradnl"/>
              </w:rPr>
              <w:t>Planes Estratégico y Financiero para 2028-2031</w:t>
            </w:r>
          </w:p>
          <w:p w14:paraId="33BDD99A" w14:textId="77777777" w:rsidR="00F92BED" w:rsidRPr="005D1D5A" w:rsidRDefault="00F92BED" w:rsidP="00C4421B">
            <w:pPr>
              <w:spacing w:before="160"/>
              <w:rPr>
                <w:b/>
                <w:bCs/>
                <w:sz w:val="26"/>
                <w:szCs w:val="26"/>
                <w:lang w:val="es-ES_tradnl"/>
              </w:rPr>
            </w:pPr>
            <w:r w:rsidRPr="005D1D5A">
              <w:rPr>
                <w:b/>
                <w:bCs/>
                <w:sz w:val="26"/>
                <w:szCs w:val="26"/>
                <w:lang w:val="es-ES_tradnl"/>
              </w:rPr>
              <w:t>Repercusiones financieras</w:t>
            </w:r>
          </w:p>
          <w:p w14:paraId="1551BF57" w14:textId="2EE5C129" w:rsidR="00F92BED" w:rsidRPr="005D1D5A" w:rsidRDefault="00931FC7" w:rsidP="00C4421B">
            <w:pPr>
              <w:rPr>
                <w:lang w:val="es-ES_tradnl"/>
              </w:rPr>
            </w:pPr>
            <w:r w:rsidRPr="005D1D5A">
              <w:rPr>
                <w:color w:val="000000"/>
                <w:lang w:val="es-ES_tradnl"/>
              </w:rPr>
              <w:t xml:space="preserve">Véase el proyecto de Plan Financiero en el Documento </w:t>
            </w:r>
            <w:hyperlink r:id="rId8" w:history="1">
              <w:proofErr w:type="spellStart"/>
              <w:r w:rsidRPr="005D1D5A">
                <w:rPr>
                  <w:rStyle w:val="Hyperlink"/>
                  <w:lang w:val="es-ES_tradnl"/>
                </w:rPr>
                <w:t>C26</w:t>
              </w:r>
              <w:proofErr w:type="spellEnd"/>
              <w:r w:rsidRPr="005D1D5A">
                <w:rPr>
                  <w:rStyle w:val="Hyperlink"/>
                  <w:lang w:val="es-ES_tradnl"/>
                </w:rPr>
                <w:t>/32</w:t>
              </w:r>
            </w:hyperlink>
            <w:r w:rsidRPr="005D1D5A">
              <w:rPr>
                <w:color w:val="000000"/>
                <w:lang w:val="es-ES_tradnl"/>
              </w:rPr>
              <w:t>.</w:t>
            </w:r>
          </w:p>
          <w:p w14:paraId="7C2630A3" w14:textId="77777777" w:rsidR="00FE57F6" w:rsidRPr="005D1D5A" w:rsidRDefault="00FE57F6" w:rsidP="00C4421B">
            <w:pPr>
              <w:spacing w:before="160"/>
              <w:rPr>
                <w:caps/>
                <w:sz w:val="22"/>
                <w:lang w:val="es-ES_tradnl"/>
              </w:rPr>
            </w:pPr>
            <w:r w:rsidRPr="005D1D5A">
              <w:rPr>
                <w:sz w:val="22"/>
                <w:lang w:val="es-ES_tradnl"/>
              </w:rPr>
              <w:t>__________________</w:t>
            </w:r>
          </w:p>
          <w:p w14:paraId="6024DAB8" w14:textId="58AF0ECF" w:rsidR="00FE57F6" w:rsidRPr="005D1D5A" w:rsidRDefault="00F24B71" w:rsidP="00C4421B">
            <w:pPr>
              <w:spacing w:before="160"/>
              <w:rPr>
                <w:b/>
                <w:bCs/>
                <w:sz w:val="26"/>
                <w:szCs w:val="26"/>
                <w:lang w:val="es-ES_tradnl"/>
              </w:rPr>
            </w:pPr>
            <w:r w:rsidRPr="005D1D5A">
              <w:rPr>
                <w:b/>
                <w:bCs/>
                <w:sz w:val="26"/>
                <w:szCs w:val="26"/>
                <w:lang w:val="es-ES_tradnl"/>
              </w:rPr>
              <w:t>Referencia</w:t>
            </w:r>
            <w:r w:rsidR="00F92BED" w:rsidRPr="005D1D5A">
              <w:rPr>
                <w:b/>
                <w:bCs/>
                <w:sz w:val="26"/>
                <w:szCs w:val="26"/>
                <w:lang w:val="es-ES_tradnl"/>
              </w:rPr>
              <w:t>s</w:t>
            </w:r>
          </w:p>
          <w:p w14:paraId="00E7A847" w14:textId="3E147C47" w:rsidR="00FE57F6" w:rsidRPr="005D1D5A" w:rsidRDefault="00931FC7" w:rsidP="00C4421B">
            <w:pPr>
              <w:spacing w:after="160"/>
              <w:rPr>
                <w:i/>
                <w:iCs/>
                <w:sz w:val="22"/>
                <w:szCs w:val="22"/>
                <w:lang w:val="es-ES_tradnl"/>
              </w:rPr>
            </w:pPr>
            <w:hyperlink r:id="rId9" w:history="1">
              <w:r w:rsidRPr="005D1D5A">
                <w:rPr>
                  <w:rStyle w:val="Hyperlink"/>
                  <w:i/>
                  <w:iCs/>
                  <w:sz w:val="22"/>
                  <w:lang w:val="es-ES_tradnl"/>
                </w:rPr>
                <w:t>Resolución 71 (Rev. Bucarest, 2022)</w:t>
              </w:r>
            </w:hyperlink>
            <w:r w:rsidR="005D1D5A" w:rsidRPr="005D1D5A">
              <w:rPr>
                <w:i/>
                <w:iCs/>
                <w:sz w:val="22"/>
                <w:szCs w:val="22"/>
                <w:lang w:val="es-ES_tradnl"/>
              </w:rPr>
              <w:t xml:space="preserve"> de la Conferencia de Plenipotenciarios</w:t>
            </w:r>
            <w:r w:rsidRPr="005D1D5A">
              <w:rPr>
                <w:i/>
                <w:iCs/>
                <w:color w:val="000000"/>
                <w:sz w:val="22"/>
                <w:szCs w:val="22"/>
                <w:lang w:val="es-ES_tradnl"/>
              </w:rPr>
              <w:t xml:space="preserve">, </w:t>
            </w:r>
            <w:hyperlink r:id="rId10" w:history="1">
              <w:r w:rsidRPr="005D1D5A">
                <w:rPr>
                  <w:rStyle w:val="Hyperlink"/>
                  <w:i/>
                  <w:iCs/>
                  <w:sz w:val="22"/>
                  <w:lang w:val="es-ES_tradnl"/>
                </w:rPr>
                <w:t>Resolución 1428 (</w:t>
              </w:r>
              <w:proofErr w:type="spellStart"/>
              <w:r w:rsidRPr="005D1D5A">
                <w:rPr>
                  <w:rStyle w:val="Hyperlink"/>
                  <w:i/>
                  <w:iCs/>
                  <w:sz w:val="22"/>
                  <w:lang w:val="es-ES_tradnl"/>
                </w:rPr>
                <w:t>C24</w:t>
              </w:r>
              <w:proofErr w:type="spellEnd"/>
              <w:r w:rsidRPr="005D1D5A">
                <w:rPr>
                  <w:rStyle w:val="Hyperlink"/>
                  <w:i/>
                  <w:iCs/>
                  <w:sz w:val="22"/>
                  <w:lang w:val="es-ES_tradnl"/>
                </w:rPr>
                <w:t>)</w:t>
              </w:r>
            </w:hyperlink>
            <w:r w:rsidRPr="005D1D5A">
              <w:rPr>
                <w:i/>
                <w:iCs/>
                <w:color w:val="000000"/>
                <w:sz w:val="22"/>
                <w:szCs w:val="22"/>
                <w:lang w:val="es-ES_tradnl"/>
              </w:rPr>
              <w:t xml:space="preserve"> del Consejo</w:t>
            </w:r>
          </w:p>
        </w:tc>
      </w:tr>
      <w:bookmarkEnd w:id="0"/>
    </w:tbl>
    <w:p w14:paraId="7E9D4947" w14:textId="77777777" w:rsidR="00093EEB" w:rsidRPr="005D1D5A" w:rsidRDefault="00093EEB">
      <w:pPr>
        <w:rPr>
          <w:lang w:val="es-ES_tradnl"/>
        </w:rPr>
      </w:pPr>
    </w:p>
    <w:p w14:paraId="7311326F" w14:textId="77777777" w:rsidR="001559F5" w:rsidRPr="005D1D5A"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5D1D5A">
        <w:rPr>
          <w:lang w:val="es-ES_tradnl"/>
        </w:rPr>
        <w:br w:type="page"/>
      </w:r>
    </w:p>
    <w:p w14:paraId="1FBB37F8" w14:textId="77777777" w:rsidR="00931FC7" w:rsidRPr="005D1D5A" w:rsidRDefault="00931FC7" w:rsidP="00FF31E7">
      <w:pPr>
        <w:pStyle w:val="Headingb"/>
        <w:rPr>
          <w:rStyle w:val="Strong"/>
          <w:rFonts w:asciiTheme="minorHAnsi" w:hAnsiTheme="minorHAnsi" w:cstheme="minorBidi"/>
          <w:b/>
          <w:lang w:val="es-ES_tradnl"/>
        </w:rPr>
      </w:pPr>
      <w:r w:rsidRPr="005D1D5A">
        <w:rPr>
          <w:lang w:val="es-ES_tradnl"/>
        </w:rPr>
        <w:lastRenderedPageBreak/>
        <w:t>Introducción</w:t>
      </w:r>
    </w:p>
    <w:p w14:paraId="6C5ED5CC" w14:textId="77777777" w:rsidR="00931FC7" w:rsidRPr="005D1D5A" w:rsidRDefault="00931FC7" w:rsidP="005D1D5A">
      <w:pPr>
        <w:jc w:val="both"/>
        <w:rPr>
          <w:rFonts w:cstheme="minorHAnsi"/>
          <w:szCs w:val="24"/>
          <w:lang w:val="es-ES_tradnl"/>
        </w:rPr>
      </w:pPr>
      <w:r w:rsidRPr="005D1D5A">
        <w:rPr>
          <w:lang w:val="es-ES_tradnl"/>
        </w:rPr>
        <w:t>En su reunión de 2024, el Consejo adoptó la Resolución 1428 (</w:t>
      </w:r>
      <w:proofErr w:type="spellStart"/>
      <w:r w:rsidRPr="005D1D5A">
        <w:rPr>
          <w:lang w:val="es-ES_tradnl"/>
        </w:rPr>
        <w:t>C24</w:t>
      </w:r>
      <w:proofErr w:type="spellEnd"/>
      <w:r w:rsidRPr="005D1D5A">
        <w:rPr>
          <w:lang w:val="es-ES_tradnl"/>
        </w:rPr>
        <w:t>) por la que se crea el Grupo de Trabajo del Consejo sobre los Planes Estratégico y Financiero para 2028-2031 (</w:t>
      </w:r>
      <w:proofErr w:type="spellStart"/>
      <w:r w:rsidRPr="005D1D5A">
        <w:rPr>
          <w:lang w:val="es-ES_tradnl"/>
        </w:rPr>
        <w:t>GTC-PEF</w:t>
      </w:r>
      <w:proofErr w:type="spellEnd"/>
      <w:r w:rsidRPr="005D1D5A">
        <w:rPr>
          <w:lang w:val="es-ES_tradnl"/>
        </w:rPr>
        <w:t xml:space="preserve">). La Resolución incluye el mandato del </w:t>
      </w:r>
      <w:proofErr w:type="spellStart"/>
      <w:r w:rsidRPr="005D1D5A">
        <w:rPr>
          <w:lang w:val="es-ES_tradnl"/>
        </w:rPr>
        <w:t>GTC-PEF</w:t>
      </w:r>
      <w:proofErr w:type="spellEnd"/>
      <w:r w:rsidRPr="005D1D5A">
        <w:rPr>
          <w:lang w:val="es-ES_tradnl"/>
        </w:rPr>
        <w:t>.</w:t>
      </w:r>
    </w:p>
    <w:p w14:paraId="0D3CDD23" w14:textId="77F963E6" w:rsidR="00931FC7" w:rsidRPr="005D1D5A" w:rsidRDefault="00931FC7" w:rsidP="005D1D5A">
      <w:pPr>
        <w:jc w:val="both"/>
        <w:rPr>
          <w:rFonts w:asciiTheme="minorHAnsi" w:hAnsiTheme="minorHAnsi" w:cstheme="minorHAnsi"/>
          <w:szCs w:val="24"/>
          <w:lang w:val="es-ES_tradnl"/>
        </w:rPr>
      </w:pPr>
      <w:r w:rsidRPr="005D1D5A">
        <w:rPr>
          <w:lang w:val="es-ES_tradnl"/>
        </w:rPr>
        <w:t xml:space="preserve">El Grupo está presidido por el Sr. Mansour Al-Qurashi (Arabia Saudita) y compuesto por los siguientes Vicepresidentes: Sr. </w:t>
      </w:r>
      <w:proofErr w:type="spellStart"/>
      <w:r w:rsidRPr="005D1D5A">
        <w:rPr>
          <w:lang w:val="es-ES_tradnl"/>
        </w:rPr>
        <w:t>Mulembwa</w:t>
      </w:r>
      <w:proofErr w:type="spellEnd"/>
      <w:r w:rsidRPr="005D1D5A">
        <w:rPr>
          <w:lang w:val="es-ES_tradnl"/>
        </w:rPr>
        <w:t xml:space="preserve"> Denis Munaku (Tanzanía), Sr. Kenji Kuramochi (Paraguay), Sra. Maitha Al Jamri (Emiratos Árabes Unidos), Sr. Yi Lun (China), Sr. </w:t>
      </w:r>
      <w:proofErr w:type="spellStart"/>
      <w:r w:rsidRPr="005D1D5A">
        <w:rPr>
          <w:lang w:val="es-ES_tradnl"/>
        </w:rPr>
        <w:t>Bakhtjan</w:t>
      </w:r>
      <w:proofErr w:type="spellEnd"/>
      <w:r w:rsidRPr="005D1D5A">
        <w:rPr>
          <w:lang w:val="es-ES_tradnl"/>
        </w:rPr>
        <w:t xml:space="preserve"> Smanov (Uzbekistán) y Sr. Rafał Bartoszewski (Polonia).</w:t>
      </w:r>
    </w:p>
    <w:p w14:paraId="72FC3C16" w14:textId="55355187" w:rsidR="00931FC7" w:rsidRPr="005D1D5A" w:rsidRDefault="00931FC7" w:rsidP="005D1D5A">
      <w:pPr>
        <w:jc w:val="both"/>
        <w:rPr>
          <w:rFonts w:asciiTheme="minorHAnsi" w:hAnsiTheme="minorHAnsi" w:cstheme="minorBidi"/>
          <w:lang w:val="es-ES_tradnl"/>
        </w:rPr>
      </w:pPr>
      <w:r w:rsidRPr="005D1D5A">
        <w:rPr>
          <w:lang w:val="es-ES_tradnl"/>
        </w:rPr>
        <w:t>La División de Estrategia y Planificación del Departamento de Planificación Estratégica y Relaciones con los Miembros (GS/SPM/</w:t>
      </w:r>
      <w:proofErr w:type="spellStart"/>
      <w:r w:rsidRPr="005D1D5A">
        <w:rPr>
          <w:lang w:val="es-ES_tradnl"/>
        </w:rPr>
        <w:t>SPD</w:t>
      </w:r>
      <w:proofErr w:type="spellEnd"/>
      <w:r w:rsidRPr="005D1D5A">
        <w:rPr>
          <w:lang w:val="es-ES_tradnl"/>
        </w:rPr>
        <w:t>) proporciona apoyo de secretaría para los trabajos del Grupo. Las contribuciones de la Secretaría al proceso se han elaborado en coordinación con las tres Oficinas y la Secretaría General a través del GT-</w:t>
      </w:r>
      <w:proofErr w:type="spellStart"/>
      <w:r w:rsidRPr="005D1D5A">
        <w:rPr>
          <w:lang w:val="es-ES_tradnl"/>
        </w:rPr>
        <w:t>PEF</w:t>
      </w:r>
      <w:proofErr w:type="spellEnd"/>
      <w:r w:rsidRPr="005D1D5A">
        <w:rPr>
          <w:lang w:val="es-ES_tradnl"/>
        </w:rPr>
        <w:t>, bajo la dirección del Vicesecretario General, Sr. Tomas Lamanauskas.</w:t>
      </w:r>
    </w:p>
    <w:p w14:paraId="519A16EC" w14:textId="77777777" w:rsidR="00931FC7" w:rsidRPr="005D1D5A" w:rsidRDefault="00931FC7" w:rsidP="005D1D5A">
      <w:pPr>
        <w:jc w:val="both"/>
        <w:rPr>
          <w:rFonts w:asciiTheme="minorHAnsi" w:hAnsiTheme="minorHAnsi" w:cstheme="minorHAnsi"/>
          <w:szCs w:val="24"/>
          <w:lang w:val="es-ES_tradnl"/>
        </w:rPr>
      </w:pPr>
      <w:r w:rsidRPr="005D1D5A">
        <w:rPr>
          <w:lang w:val="es-ES_tradnl"/>
        </w:rPr>
        <w:t>Abierto a la participación de todos los Estados Miembros y Miembros de Sector desde su creación, el Grupo se ha reunido cuatro veces, y una quinta se ha celebrado consecutivamente a la reunión de 2026 del Consejo, el 27 de abril de 2026.</w:t>
      </w:r>
    </w:p>
    <w:p w14:paraId="1F6E2A30" w14:textId="77777777" w:rsidR="00931FC7" w:rsidRPr="005D1D5A" w:rsidRDefault="00931FC7" w:rsidP="009272B9">
      <w:pPr>
        <w:pStyle w:val="Headingb"/>
        <w:rPr>
          <w:lang w:val="es-ES_tradnl"/>
        </w:rPr>
      </w:pPr>
      <w:r w:rsidRPr="005D1D5A">
        <w:rPr>
          <w:lang w:val="es-ES_tradnl"/>
        </w:rPr>
        <w:t>Primera reunión (10-11 de octubre de 2024)</w:t>
      </w:r>
    </w:p>
    <w:p w14:paraId="60552DBB" w14:textId="2D084A80" w:rsidR="00931FC7" w:rsidRPr="005D1D5A" w:rsidRDefault="00931FC7" w:rsidP="005D1D5A">
      <w:pPr>
        <w:jc w:val="both"/>
        <w:rPr>
          <w:rFonts w:asciiTheme="minorHAnsi" w:hAnsiTheme="minorHAnsi" w:cstheme="minorHAnsi"/>
          <w:szCs w:val="24"/>
          <w:lang w:val="es-ES_tradnl"/>
        </w:rPr>
      </w:pPr>
      <w:r w:rsidRPr="005D1D5A">
        <w:rPr>
          <w:lang w:val="es-ES_tradnl"/>
        </w:rPr>
        <w:t xml:space="preserve">Durante la primera reunión, el </w:t>
      </w:r>
      <w:proofErr w:type="spellStart"/>
      <w:r w:rsidRPr="005D1D5A">
        <w:rPr>
          <w:lang w:val="es-ES_tradnl"/>
        </w:rPr>
        <w:t>GTC-PEF</w:t>
      </w:r>
      <w:proofErr w:type="spellEnd"/>
      <w:r w:rsidRPr="005D1D5A">
        <w:rPr>
          <w:lang w:val="es-ES_tradnl"/>
        </w:rPr>
        <w:t xml:space="preserve"> examinó el proceso formal establecido para la elaboración de los Planes Estratégico y Financiero de la Unión y acordó el calendario para la ejecución de los trabajos, de conformidad con el mandato (</w:t>
      </w:r>
      <w:r w:rsidRPr="005D1D5A">
        <w:rPr>
          <w:rFonts w:eastAsiaTheme="minorHAnsi" w:cstheme="minorBidi"/>
          <w:szCs w:val="22"/>
          <w:lang w:val="es-ES_tradnl"/>
        </w:rPr>
        <w:t xml:space="preserve">véase la presentación </w:t>
      </w:r>
      <w:hyperlink r:id="rId11" w:history="1">
        <w:r w:rsidRPr="005D1D5A">
          <w:rPr>
            <w:rStyle w:val="Hyperlink"/>
            <w:lang w:val="es-ES_tradnl"/>
          </w:rPr>
          <w:t>aquí</w:t>
        </w:r>
      </w:hyperlink>
      <w:r w:rsidRPr="005D1D5A">
        <w:rPr>
          <w:lang w:val="es-ES_tradnl"/>
        </w:rPr>
        <w:t>).</w:t>
      </w:r>
    </w:p>
    <w:p w14:paraId="3EC844E9" w14:textId="6CFAE61C" w:rsidR="00931FC7" w:rsidRPr="005D1D5A" w:rsidRDefault="00931FC7" w:rsidP="005D1D5A">
      <w:pPr>
        <w:jc w:val="both"/>
        <w:rPr>
          <w:rFonts w:asciiTheme="minorHAnsi" w:hAnsiTheme="minorHAnsi" w:cstheme="minorBidi"/>
          <w:lang w:val="es-ES_tradnl"/>
        </w:rPr>
      </w:pPr>
      <w:r w:rsidRPr="005D1D5A">
        <w:rPr>
          <w:lang w:val="es-ES_tradnl"/>
        </w:rPr>
        <w:t xml:space="preserve">El </w:t>
      </w:r>
      <w:proofErr w:type="spellStart"/>
      <w:r w:rsidRPr="005D1D5A">
        <w:rPr>
          <w:lang w:val="es-ES_tradnl"/>
        </w:rPr>
        <w:t>GTC-PEF</w:t>
      </w:r>
      <w:proofErr w:type="spellEnd"/>
      <w:r w:rsidRPr="005D1D5A">
        <w:rPr>
          <w:lang w:val="es-ES_tradnl"/>
        </w:rPr>
        <w:t xml:space="preserve"> acordó llevar a cabo una consulta en línea para recabar la opinión de los Estados Miembros, los Miembros de Sector, la Junta de Jóvenes Asesores y los miembros del personal, y destacó la importancia de obtener contribuciones de los Grupos Asesores de los Sectores. Además, se invitó a representantes de la UNESCO y la ONUDI a compartir su experiencia en materia de planificación estratégica, centrándose en la mejora de los procesos de gestión basada en los resultados (</w:t>
      </w:r>
      <w:proofErr w:type="spellStart"/>
      <w:r w:rsidRPr="005D1D5A">
        <w:rPr>
          <w:lang w:val="es-ES_tradnl"/>
        </w:rPr>
        <w:t>GBR</w:t>
      </w:r>
      <w:proofErr w:type="spellEnd"/>
      <w:r w:rsidRPr="005D1D5A">
        <w:rPr>
          <w:lang w:val="es-ES_tradnl"/>
        </w:rPr>
        <w:t>) (</w:t>
      </w:r>
      <w:r w:rsidRPr="005D1D5A">
        <w:rPr>
          <w:rFonts w:eastAsiaTheme="minorHAnsi" w:cstheme="minorBidi"/>
          <w:szCs w:val="22"/>
          <w:lang w:val="es-ES_tradnl"/>
        </w:rPr>
        <w:t xml:space="preserve">véase la presentación </w:t>
      </w:r>
      <w:hyperlink r:id="rId12" w:history="1">
        <w:r w:rsidRPr="005D1D5A">
          <w:rPr>
            <w:rStyle w:val="Hyperlink"/>
            <w:lang w:val="es-ES_tradnl"/>
          </w:rPr>
          <w:t>aquí</w:t>
        </w:r>
      </w:hyperlink>
      <w:r w:rsidRPr="005D1D5A">
        <w:rPr>
          <w:lang w:val="es-ES_tradnl"/>
        </w:rPr>
        <w:t>).</w:t>
      </w:r>
    </w:p>
    <w:p w14:paraId="240880A7" w14:textId="4DE33DE0" w:rsidR="00931FC7" w:rsidRPr="005D1D5A" w:rsidRDefault="00931FC7" w:rsidP="005D1D5A">
      <w:pPr>
        <w:jc w:val="both"/>
        <w:rPr>
          <w:rFonts w:asciiTheme="minorHAnsi" w:hAnsiTheme="minorHAnsi" w:cstheme="minorHAnsi"/>
          <w:spacing w:val="-2"/>
          <w:szCs w:val="24"/>
          <w:lang w:val="es-ES_tradnl"/>
        </w:rPr>
      </w:pPr>
      <w:r w:rsidRPr="005D1D5A">
        <w:rPr>
          <w:spacing w:val="-2"/>
          <w:lang w:val="es-ES_tradnl"/>
        </w:rPr>
        <w:t xml:space="preserve">En lo que respecta a la evaluación del importe provisional de la unidad contributiva, el </w:t>
      </w:r>
      <w:proofErr w:type="spellStart"/>
      <w:r w:rsidRPr="005D1D5A">
        <w:rPr>
          <w:spacing w:val="-2"/>
          <w:lang w:val="es-ES_tradnl"/>
        </w:rPr>
        <w:t>GTC</w:t>
      </w:r>
      <w:r w:rsidR="004D6C14" w:rsidRPr="005D1D5A">
        <w:rPr>
          <w:spacing w:val="-2"/>
          <w:lang w:val="es-ES_tradnl"/>
        </w:rPr>
        <w:noBreakHyphen/>
      </w:r>
      <w:r w:rsidRPr="005D1D5A">
        <w:rPr>
          <w:spacing w:val="-2"/>
          <w:lang w:val="es-ES_tradnl"/>
        </w:rPr>
        <w:t>PEF</w:t>
      </w:r>
      <w:proofErr w:type="spellEnd"/>
      <w:r w:rsidRPr="005D1D5A">
        <w:rPr>
          <w:spacing w:val="-2"/>
          <w:lang w:val="es-ES_tradnl"/>
        </w:rPr>
        <w:t xml:space="preserve"> propuso una sesión virtual de seguimiento tras debatir una contribución inicial de la Secretaría en la que se presentaba la situación financiera de la Unión (véase el Documento </w:t>
      </w:r>
      <w:hyperlink r:id="rId13" w:history="1">
        <w:proofErr w:type="spellStart"/>
        <w:r w:rsidRPr="005D1D5A">
          <w:rPr>
            <w:rStyle w:val="Hyperlink"/>
            <w:spacing w:val="-2"/>
            <w:lang w:val="es-ES_tradnl"/>
          </w:rPr>
          <w:t>CWG</w:t>
        </w:r>
        <w:proofErr w:type="spellEnd"/>
        <w:r w:rsidRPr="005D1D5A">
          <w:rPr>
            <w:rStyle w:val="Hyperlink"/>
            <w:spacing w:val="-2"/>
            <w:lang w:val="es-ES_tradnl"/>
          </w:rPr>
          <w:t>-</w:t>
        </w:r>
        <w:proofErr w:type="spellStart"/>
        <w:r w:rsidRPr="005D1D5A">
          <w:rPr>
            <w:rStyle w:val="Hyperlink"/>
            <w:spacing w:val="-2"/>
            <w:lang w:val="es-ES_tradnl"/>
          </w:rPr>
          <w:t>SFP</w:t>
        </w:r>
        <w:proofErr w:type="spellEnd"/>
        <w:r w:rsidRPr="005D1D5A">
          <w:rPr>
            <w:rStyle w:val="Hyperlink"/>
            <w:spacing w:val="-2"/>
            <w:lang w:val="es-ES_tradnl"/>
          </w:rPr>
          <w:t>-1/5</w:t>
        </w:r>
      </w:hyperlink>
      <w:r w:rsidRPr="005D1D5A">
        <w:rPr>
          <w:spacing w:val="-2"/>
          <w:lang w:val="es-ES_tradnl"/>
        </w:rPr>
        <w:t>).</w:t>
      </w:r>
    </w:p>
    <w:p w14:paraId="753C509F" w14:textId="11B1BFD4" w:rsidR="00931FC7" w:rsidRPr="005D1D5A" w:rsidRDefault="00931FC7" w:rsidP="005D1D5A">
      <w:pPr>
        <w:jc w:val="both"/>
        <w:rPr>
          <w:rFonts w:asciiTheme="minorHAnsi" w:hAnsiTheme="minorHAnsi" w:cstheme="minorHAnsi"/>
          <w:szCs w:val="24"/>
          <w:lang w:val="es-ES_tradnl"/>
        </w:rPr>
      </w:pPr>
      <w:r w:rsidRPr="005D1D5A">
        <w:rPr>
          <w:lang w:val="es-ES_tradnl"/>
        </w:rPr>
        <w:t xml:space="preserve">En total se recibieron y examinaron tres contribuciones en esta reunión, a saber, </w:t>
      </w:r>
      <w:r w:rsidR="005D1D5A">
        <w:rPr>
          <w:lang w:val="es-ES_tradnl"/>
        </w:rPr>
        <w:t>Documentos </w:t>
      </w:r>
      <w:proofErr w:type="spellStart"/>
      <w:r w:rsidRPr="005D1D5A">
        <w:rPr>
          <w:lang w:val="es-ES_tradnl"/>
        </w:rPr>
        <w:fldChar w:fldCharType="begin"/>
      </w:r>
      <w:r w:rsidRPr="005D1D5A">
        <w:rPr>
          <w:lang w:val="es-ES_tradnl"/>
        </w:rPr>
        <w:instrText>HYPERLINK "https://www.itu.int/md/S24-CWGSFP1-C-0006/es"</w:instrText>
      </w:r>
      <w:r w:rsidRPr="005D1D5A">
        <w:rPr>
          <w:lang w:val="es-ES_tradnl"/>
        </w:rPr>
      </w:r>
      <w:r w:rsidRPr="005D1D5A">
        <w:rPr>
          <w:lang w:val="es-ES_tradnl"/>
        </w:rPr>
        <w:fldChar w:fldCharType="separate"/>
      </w:r>
      <w:r w:rsidRPr="005D1D5A">
        <w:rPr>
          <w:rStyle w:val="Hyperlink"/>
          <w:lang w:val="es-ES_tradnl"/>
        </w:rPr>
        <w:t>CWG</w:t>
      </w:r>
      <w:proofErr w:type="spellEnd"/>
      <w:r w:rsidR="004D6C14" w:rsidRPr="005D1D5A">
        <w:rPr>
          <w:rStyle w:val="Hyperlink"/>
          <w:lang w:val="es-ES_tradnl"/>
        </w:rPr>
        <w:noBreakHyphen/>
      </w:r>
      <w:proofErr w:type="spellStart"/>
      <w:r w:rsidRPr="005D1D5A">
        <w:rPr>
          <w:rStyle w:val="Hyperlink"/>
          <w:lang w:val="es-ES_tradnl"/>
        </w:rPr>
        <w:t>SFP</w:t>
      </w:r>
      <w:proofErr w:type="spellEnd"/>
      <w:r w:rsidR="004D6C14" w:rsidRPr="005D1D5A">
        <w:rPr>
          <w:rStyle w:val="Hyperlink"/>
          <w:lang w:val="es-ES_tradnl"/>
        </w:rPr>
        <w:noBreakHyphen/>
      </w:r>
      <w:r w:rsidRPr="005D1D5A">
        <w:rPr>
          <w:rStyle w:val="Hyperlink"/>
          <w:lang w:val="es-ES_tradnl"/>
        </w:rPr>
        <w:t>1/6</w:t>
      </w:r>
      <w:r w:rsidRPr="005D1D5A">
        <w:rPr>
          <w:lang w:val="es-ES_tradnl"/>
        </w:rPr>
        <w:fldChar w:fldCharType="end"/>
      </w:r>
      <w:r w:rsidRPr="005D1D5A">
        <w:rPr>
          <w:lang w:val="es-ES_tradnl"/>
        </w:rPr>
        <w:t xml:space="preserve">, </w:t>
      </w:r>
      <w:hyperlink r:id="rId14"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-1/7</w:t>
        </w:r>
      </w:hyperlink>
      <w:r w:rsidRPr="005D1D5A">
        <w:rPr>
          <w:lang w:val="es-ES_tradnl"/>
        </w:rPr>
        <w:t xml:space="preserve"> y </w:t>
      </w:r>
      <w:hyperlink r:id="rId15"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-1/8</w:t>
        </w:r>
      </w:hyperlink>
      <w:r w:rsidRPr="005D1D5A">
        <w:rPr>
          <w:lang w:val="es-ES_tradnl"/>
        </w:rPr>
        <w:t>.</w:t>
      </w:r>
      <w:bookmarkStart w:id="1" w:name="_Hlk221702015"/>
      <w:bookmarkEnd w:id="1"/>
    </w:p>
    <w:p w14:paraId="25EDC851" w14:textId="77777777" w:rsidR="00931FC7" w:rsidRPr="005D1D5A" w:rsidRDefault="00931FC7" w:rsidP="009272B9">
      <w:pPr>
        <w:pStyle w:val="Headingb"/>
        <w:rPr>
          <w:lang w:val="es-ES_tradnl"/>
        </w:rPr>
      </w:pPr>
      <w:r w:rsidRPr="005D1D5A">
        <w:rPr>
          <w:lang w:val="es-ES_tradnl"/>
        </w:rPr>
        <w:t>Consulta virtual (15 de enero de 2025)</w:t>
      </w:r>
    </w:p>
    <w:p w14:paraId="2E2A9C46" w14:textId="77777777" w:rsidR="00931FC7" w:rsidRPr="005D1D5A" w:rsidRDefault="00931FC7" w:rsidP="005D1D5A">
      <w:pPr>
        <w:jc w:val="both"/>
        <w:rPr>
          <w:rFonts w:asciiTheme="minorHAnsi" w:hAnsiTheme="minorHAnsi" w:cstheme="minorHAnsi"/>
          <w:szCs w:val="24"/>
          <w:lang w:val="es-ES_tradnl"/>
        </w:rPr>
      </w:pPr>
      <w:r w:rsidRPr="005D1D5A">
        <w:rPr>
          <w:lang w:val="es-ES_tradnl"/>
        </w:rPr>
        <w:t xml:space="preserve">A petición del </w:t>
      </w:r>
      <w:proofErr w:type="spellStart"/>
      <w:r w:rsidRPr="005D1D5A">
        <w:rPr>
          <w:lang w:val="es-ES_tradnl"/>
        </w:rPr>
        <w:t>GTC-PEF</w:t>
      </w:r>
      <w:proofErr w:type="spellEnd"/>
      <w:r w:rsidRPr="005D1D5A">
        <w:rPr>
          <w:lang w:val="es-ES_tradnl"/>
        </w:rPr>
        <w:t xml:space="preserve">, el 15 de enero de 2025 el Departamento de Administración y Finanzas organizó una reunión virtual para seguir debatiendo la evaluación del importe provisional de la unidad contributiva. La presentación está disponible </w:t>
      </w:r>
      <w:hyperlink r:id="rId16" w:history="1">
        <w:r w:rsidRPr="005D1D5A">
          <w:rPr>
            <w:rStyle w:val="Hyperlink"/>
            <w:lang w:val="es-ES_tradnl"/>
          </w:rPr>
          <w:t>aquí</w:t>
        </w:r>
      </w:hyperlink>
      <w:r w:rsidRPr="005D1D5A">
        <w:rPr>
          <w:lang w:val="es-ES_tradnl"/>
        </w:rPr>
        <w:t>.</w:t>
      </w:r>
    </w:p>
    <w:p w14:paraId="33BA02E5" w14:textId="705AB9DA" w:rsidR="00931FC7" w:rsidRPr="005D1D5A" w:rsidRDefault="00931FC7" w:rsidP="009272B9">
      <w:pPr>
        <w:pStyle w:val="Headingb"/>
        <w:rPr>
          <w:lang w:val="es-ES_tradnl"/>
        </w:rPr>
      </w:pPr>
      <w:r w:rsidRPr="005D1D5A">
        <w:rPr>
          <w:lang w:val="es-ES_tradnl"/>
        </w:rPr>
        <w:t>Segunda reunión (20-21 de febrero de 2025)</w:t>
      </w:r>
    </w:p>
    <w:p w14:paraId="020DE064" w14:textId="0B64654A" w:rsidR="00931FC7" w:rsidRPr="005D1D5A" w:rsidRDefault="00931FC7" w:rsidP="005D1D5A">
      <w:pPr>
        <w:jc w:val="both"/>
        <w:rPr>
          <w:rFonts w:asciiTheme="minorHAnsi" w:hAnsiTheme="minorHAnsi" w:cstheme="minorHAnsi"/>
          <w:szCs w:val="24"/>
          <w:lang w:val="es-ES_tradnl"/>
        </w:rPr>
      </w:pPr>
      <w:r w:rsidRPr="005D1D5A">
        <w:rPr>
          <w:lang w:val="es-ES_tradnl"/>
        </w:rPr>
        <w:t xml:space="preserve">En su segunda reunión, el </w:t>
      </w:r>
      <w:proofErr w:type="spellStart"/>
      <w:r w:rsidRPr="005D1D5A">
        <w:rPr>
          <w:lang w:val="es-ES_tradnl"/>
        </w:rPr>
        <w:t>GTC-PEF</w:t>
      </w:r>
      <w:proofErr w:type="spellEnd"/>
      <w:r w:rsidRPr="005D1D5A">
        <w:rPr>
          <w:lang w:val="es-ES_tradnl"/>
        </w:rPr>
        <w:t xml:space="preserve"> examinó los resultados de la consulta en línea realizada del</w:t>
      </w:r>
      <w:r w:rsidR="00810E60">
        <w:rPr>
          <w:lang w:val="es-ES_tradnl"/>
        </w:rPr>
        <w:t> </w:t>
      </w:r>
      <w:r w:rsidRPr="005D1D5A">
        <w:rPr>
          <w:lang w:val="es-ES_tradnl"/>
        </w:rPr>
        <w:t xml:space="preserve">25 de octubre al 4 de diciembre de 2024 (véanse los Documentos </w:t>
      </w:r>
      <w:hyperlink r:id="rId17"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-2/2</w:t>
        </w:r>
      </w:hyperlink>
      <w:r w:rsidRPr="005D1D5A">
        <w:rPr>
          <w:lang w:val="es-ES_tradnl"/>
        </w:rPr>
        <w:t xml:space="preserve"> y </w:t>
      </w:r>
      <w:hyperlink r:id="rId18" w:history="1">
        <w:proofErr w:type="spellStart"/>
        <w:r w:rsidRPr="005D1D5A">
          <w:rPr>
            <w:rStyle w:val="Hyperlink"/>
            <w:lang w:val="es-ES_tradnl"/>
          </w:rPr>
          <w:t>CWG</w:t>
        </w:r>
        <w:proofErr w:type="spellEnd"/>
        <w:r w:rsidR="004D6C14" w:rsidRPr="005D1D5A">
          <w:rPr>
            <w:rStyle w:val="Hyperlink"/>
            <w:lang w:val="es-ES_tradnl"/>
          </w:rPr>
          <w:noBreakHyphen/>
        </w:r>
        <w:proofErr w:type="spellStart"/>
        <w:r w:rsidRPr="005D1D5A">
          <w:rPr>
            <w:rStyle w:val="Hyperlink"/>
            <w:lang w:val="es-ES_tradnl"/>
          </w:rPr>
          <w:t>SFP</w:t>
        </w:r>
        <w:proofErr w:type="spellEnd"/>
        <w:r w:rsidRPr="005D1D5A">
          <w:rPr>
            <w:rStyle w:val="Hyperlink"/>
            <w:lang w:val="es-ES_tradnl"/>
          </w:rPr>
          <w:t>-2/INF/2</w:t>
        </w:r>
      </w:hyperlink>
      <w:r w:rsidRPr="005D1D5A">
        <w:rPr>
          <w:lang w:val="es-ES_tradnl"/>
        </w:rPr>
        <w:t>) y convino en la importancia de mejorar los vínculos y la armonización entre los Planes Estratégico y Financiero, en particular mediante la aplicación de un enfoque de gestión basada en los resultados.</w:t>
      </w:r>
    </w:p>
    <w:p w14:paraId="6965FD98" w14:textId="77777777" w:rsidR="00931FC7" w:rsidRPr="005D1D5A" w:rsidRDefault="00931FC7" w:rsidP="00810E60">
      <w:pPr>
        <w:jc w:val="both"/>
        <w:rPr>
          <w:rFonts w:asciiTheme="minorHAnsi" w:hAnsiTheme="minorHAnsi" w:cstheme="minorHAnsi"/>
          <w:szCs w:val="24"/>
          <w:lang w:val="es-ES_tradnl"/>
        </w:rPr>
      </w:pPr>
      <w:r w:rsidRPr="005D1D5A">
        <w:rPr>
          <w:lang w:val="es-ES_tradnl"/>
        </w:rPr>
        <w:lastRenderedPageBreak/>
        <w:t xml:space="preserve">Una sesión interactiva recopiló información para la elaboración del proyecto de análisis de situación (Anexo 2 a la Resolución 71). Los resultados de la sesión de preguntas y respuestas se publicaron en el Documento </w:t>
      </w:r>
      <w:hyperlink r:id="rId19"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-2/INF/5</w:t>
        </w:r>
      </w:hyperlink>
      <w:r w:rsidRPr="005D1D5A">
        <w:rPr>
          <w:lang w:val="es-ES_tradnl"/>
        </w:rPr>
        <w:t>.</w:t>
      </w:r>
    </w:p>
    <w:p w14:paraId="08BEA2F1" w14:textId="77777777" w:rsidR="00931FC7" w:rsidRPr="005D1D5A" w:rsidRDefault="00931FC7" w:rsidP="00810E60">
      <w:pPr>
        <w:jc w:val="both"/>
        <w:rPr>
          <w:rFonts w:asciiTheme="minorHAnsi" w:hAnsiTheme="minorHAnsi" w:cstheme="minorHAnsi"/>
          <w:szCs w:val="24"/>
          <w:lang w:val="es-ES_tradnl"/>
        </w:rPr>
      </w:pPr>
      <w:r w:rsidRPr="005D1D5A">
        <w:rPr>
          <w:lang w:val="es-ES_tradnl"/>
        </w:rPr>
        <w:t xml:space="preserve">En lo que respecta a la evaluación del importe provisional de la unidad contributiva, la Secretaría presentó el Documento </w:t>
      </w:r>
      <w:hyperlink r:id="rId20"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-2/7</w:t>
        </w:r>
      </w:hyperlink>
      <w:r w:rsidRPr="005D1D5A">
        <w:rPr>
          <w:lang w:val="es-ES_tradnl"/>
        </w:rPr>
        <w:t xml:space="preserve">, y el </w:t>
      </w:r>
      <w:proofErr w:type="spellStart"/>
      <w:r w:rsidRPr="005D1D5A">
        <w:rPr>
          <w:lang w:val="es-ES_tradnl"/>
        </w:rPr>
        <w:t>GTC-PEF</w:t>
      </w:r>
      <w:proofErr w:type="spellEnd"/>
      <w:r w:rsidRPr="005D1D5A">
        <w:rPr>
          <w:lang w:val="es-ES_tradnl"/>
        </w:rPr>
        <w:t xml:space="preserve"> acordó que se presentara más información sobre la situación financiera de la Unión y su relación con el importe de la unidad contributiva en la reunión de 2025 del Consejo. Sin embargo, los miembros expresaron su preocupación por el aumento de la unidad contributiva, citando la inestabilidad económica mundial y las limitaciones financieras de sus países. El </w:t>
      </w:r>
      <w:proofErr w:type="spellStart"/>
      <w:r w:rsidRPr="005D1D5A">
        <w:rPr>
          <w:lang w:val="es-ES_tradnl"/>
        </w:rPr>
        <w:t>GTC-PEF</w:t>
      </w:r>
      <w:proofErr w:type="spellEnd"/>
      <w:r w:rsidRPr="005D1D5A">
        <w:rPr>
          <w:lang w:val="es-ES_tradnl"/>
        </w:rPr>
        <w:t xml:space="preserve"> también acordó transmitir las directrices propuestas para la armonización de los resultados de la Conferencia de Plenipotenciarios a la reunión de 2025 del Consejo, subrayando que esas directrices no eran obligatorias (véase el Documento </w:t>
      </w:r>
      <w:hyperlink r:id="rId21"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-2/4</w:t>
        </w:r>
      </w:hyperlink>
      <w:r w:rsidRPr="005D1D5A">
        <w:rPr>
          <w:lang w:val="es-ES_tradnl"/>
        </w:rPr>
        <w:t xml:space="preserve">). A este respecto, el </w:t>
      </w:r>
      <w:proofErr w:type="spellStart"/>
      <w:r w:rsidRPr="005D1D5A">
        <w:rPr>
          <w:lang w:val="es-ES_tradnl"/>
        </w:rPr>
        <w:t>GTC-PEF</w:t>
      </w:r>
      <w:proofErr w:type="spellEnd"/>
      <w:r w:rsidRPr="005D1D5A">
        <w:rPr>
          <w:lang w:val="es-ES_tradnl"/>
        </w:rPr>
        <w:t xml:space="preserve"> también destacó la importancia de supervisar y presentar periódicamente la aplicación de las Resoluciones y Decisiones de la Conferencia de Plenipotenciarios para facilitar la adopción de decisiones fundamentadas sobre armonización.</w:t>
      </w:r>
    </w:p>
    <w:p w14:paraId="147D9F31" w14:textId="1C754641" w:rsidR="00931FC7" w:rsidRPr="005D1D5A" w:rsidRDefault="00931FC7" w:rsidP="00810E60">
      <w:pPr>
        <w:jc w:val="both"/>
        <w:rPr>
          <w:rFonts w:asciiTheme="minorHAnsi" w:hAnsiTheme="minorHAnsi" w:cstheme="minorHAnsi"/>
          <w:szCs w:val="24"/>
          <w:lang w:val="es-ES_tradnl"/>
        </w:rPr>
      </w:pPr>
      <w:r w:rsidRPr="005D1D5A">
        <w:rPr>
          <w:lang w:val="es-ES_tradnl"/>
        </w:rPr>
        <w:t>Además, se organizó un taller de tres horas sobre planificación estratégica, centrado en la</w:t>
      </w:r>
      <w:r w:rsidR="00810E60">
        <w:rPr>
          <w:lang w:val="es-ES_tradnl"/>
        </w:rPr>
        <w:t> </w:t>
      </w:r>
      <w:r w:rsidRPr="005D1D5A">
        <w:rPr>
          <w:lang w:val="es-ES_tradnl"/>
        </w:rPr>
        <w:t xml:space="preserve">aplicación de la gestión basada en resultados al marco del Plan Estratégico de la UIT, facilitado por la UNESCO y la ONUDI (véanse los Documentos </w:t>
      </w:r>
      <w:hyperlink r:id="rId22"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-2/INF/3(</w:t>
        </w:r>
        <w:proofErr w:type="spellStart"/>
        <w:r w:rsidRPr="005D1D5A">
          <w:rPr>
            <w:rStyle w:val="Hyperlink"/>
            <w:lang w:val="es-ES_tradnl"/>
          </w:rPr>
          <w:t>Rev.1</w:t>
        </w:r>
        <w:proofErr w:type="spellEnd"/>
        <w:r w:rsidRPr="005D1D5A">
          <w:rPr>
            <w:rStyle w:val="Hyperlink"/>
            <w:lang w:val="es-ES_tradnl"/>
          </w:rPr>
          <w:t>)</w:t>
        </w:r>
      </w:hyperlink>
      <w:r w:rsidRPr="005D1D5A">
        <w:rPr>
          <w:lang w:val="es-ES_tradnl"/>
        </w:rPr>
        <w:t xml:space="preserve"> y </w:t>
      </w:r>
      <w:hyperlink r:id="rId23" w:history="1">
        <w:proofErr w:type="spellStart"/>
        <w:r w:rsidRPr="005D1D5A">
          <w:rPr>
            <w:rStyle w:val="Hyperlink"/>
            <w:lang w:val="es-ES_tradnl"/>
          </w:rPr>
          <w:t>CWG</w:t>
        </w:r>
        <w:proofErr w:type="spellEnd"/>
        <w:r w:rsidR="00810E60">
          <w:rPr>
            <w:rStyle w:val="Hyperlink"/>
            <w:lang w:val="es-ES_tradnl"/>
          </w:rPr>
          <w:noBreakHyphen/>
        </w:r>
        <w:proofErr w:type="spellStart"/>
        <w:r w:rsidRPr="005D1D5A">
          <w:rPr>
            <w:rStyle w:val="Hyperlink"/>
            <w:lang w:val="es-ES_tradnl"/>
          </w:rPr>
          <w:t>SFP</w:t>
        </w:r>
        <w:proofErr w:type="spellEnd"/>
        <w:r w:rsidRPr="005D1D5A">
          <w:rPr>
            <w:rStyle w:val="Hyperlink"/>
            <w:lang w:val="es-ES_tradnl"/>
          </w:rPr>
          <w:t>-2/INF/4</w:t>
        </w:r>
      </w:hyperlink>
      <w:r w:rsidRPr="005D1D5A">
        <w:rPr>
          <w:lang w:val="es-ES_tradnl"/>
        </w:rPr>
        <w:t>).</w:t>
      </w:r>
    </w:p>
    <w:p w14:paraId="3250D1A6" w14:textId="026B3686" w:rsidR="00931FC7" w:rsidRPr="005D1D5A" w:rsidRDefault="00931FC7" w:rsidP="00810E60">
      <w:pPr>
        <w:jc w:val="both"/>
        <w:rPr>
          <w:rFonts w:asciiTheme="minorHAnsi" w:hAnsiTheme="minorHAnsi" w:cstheme="minorHAnsi"/>
          <w:szCs w:val="24"/>
          <w:lang w:val="es-ES_tradnl"/>
        </w:rPr>
      </w:pPr>
      <w:r w:rsidRPr="005D1D5A">
        <w:rPr>
          <w:lang w:val="es-ES_tradnl"/>
        </w:rPr>
        <w:t xml:space="preserve">En esta reunión se recibieron y examinaron seis contribuciones en total, a saber, </w:t>
      </w:r>
      <w:r w:rsidR="00810E60">
        <w:rPr>
          <w:lang w:val="es-ES_tradnl"/>
        </w:rPr>
        <w:t>Documentos </w:t>
      </w:r>
      <w:proofErr w:type="spellStart"/>
      <w:r w:rsidRPr="005D1D5A">
        <w:rPr>
          <w:lang w:val="es-ES_tradnl"/>
        </w:rPr>
        <w:fldChar w:fldCharType="begin"/>
      </w:r>
      <w:r w:rsidRPr="005D1D5A">
        <w:rPr>
          <w:lang w:val="es-ES_tradnl"/>
        </w:rPr>
        <w:instrText>HYPERLINK "https://www.itu.int/md/S25-CWGSFP2-C-0003/es"</w:instrText>
      </w:r>
      <w:r w:rsidRPr="005D1D5A">
        <w:rPr>
          <w:lang w:val="es-ES_tradnl"/>
        </w:rPr>
      </w:r>
      <w:r w:rsidRPr="005D1D5A">
        <w:rPr>
          <w:lang w:val="es-ES_tradnl"/>
        </w:rPr>
        <w:fldChar w:fldCharType="separate"/>
      </w:r>
      <w:r w:rsidRPr="005D1D5A">
        <w:rPr>
          <w:rStyle w:val="Hyperlink"/>
          <w:lang w:val="es-ES_tradnl"/>
        </w:rPr>
        <w:t>CWG</w:t>
      </w:r>
      <w:proofErr w:type="spellEnd"/>
      <w:r w:rsidR="004D6C14" w:rsidRPr="005D1D5A">
        <w:rPr>
          <w:rStyle w:val="Hyperlink"/>
          <w:lang w:val="es-ES_tradnl"/>
        </w:rPr>
        <w:noBreakHyphen/>
      </w:r>
      <w:proofErr w:type="spellStart"/>
      <w:r w:rsidRPr="005D1D5A">
        <w:rPr>
          <w:rStyle w:val="Hyperlink"/>
          <w:lang w:val="es-ES_tradnl"/>
        </w:rPr>
        <w:t>SFP</w:t>
      </w:r>
      <w:proofErr w:type="spellEnd"/>
      <w:r w:rsidR="004D6C14" w:rsidRPr="005D1D5A">
        <w:rPr>
          <w:rStyle w:val="Hyperlink"/>
          <w:lang w:val="es-ES_tradnl"/>
        </w:rPr>
        <w:noBreakHyphen/>
      </w:r>
      <w:r w:rsidRPr="005D1D5A">
        <w:rPr>
          <w:rStyle w:val="Hyperlink"/>
          <w:lang w:val="es-ES_tradnl"/>
        </w:rPr>
        <w:t>2/3</w:t>
      </w:r>
      <w:r w:rsidRPr="005D1D5A">
        <w:rPr>
          <w:lang w:val="es-ES_tradnl"/>
        </w:rPr>
        <w:fldChar w:fldCharType="end"/>
      </w:r>
      <w:r w:rsidRPr="005D1D5A">
        <w:rPr>
          <w:lang w:val="es-ES_tradnl"/>
        </w:rPr>
        <w:t xml:space="preserve">, </w:t>
      </w:r>
      <w:hyperlink r:id="rId24"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-2/5</w:t>
        </w:r>
      </w:hyperlink>
      <w:r w:rsidRPr="005D1D5A">
        <w:rPr>
          <w:lang w:val="es-ES_tradnl"/>
        </w:rPr>
        <w:t xml:space="preserve">, </w:t>
      </w:r>
      <w:hyperlink r:id="rId25"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-1/8</w:t>
        </w:r>
      </w:hyperlink>
      <w:r w:rsidRPr="005D1D5A">
        <w:rPr>
          <w:lang w:val="es-ES_tradnl"/>
        </w:rPr>
        <w:t xml:space="preserve">, </w:t>
      </w:r>
      <w:hyperlink r:id="rId26"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-2/9</w:t>
        </w:r>
      </w:hyperlink>
      <w:r w:rsidRPr="005D1D5A">
        <w:rPr>
          <w:lang w:val="es-ES_tradnl"/>
        </w:rPr>
        <w:t xml:space="preserve">, </w:t>
      </w:r>
      <w:hyperlink r:id="rId27"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-2/10</w:t>
        </w:r>
      </w:hyperlink>
      <w:r w:rsidRPr="005D1D5A">
        <w:rPr>
          <w:lang w:val="es-ES_tradnl"/>
        </w:rPr>
        <w:t xml:space="preserve"> y </w:t>
      </w:r>
      <w:hyperlink r:id="rId28"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-2/11</w:t>
        </w:r>
      </w:hyperlink>
      <w:r w:rsidRPr="005D1D5A">
        <w:rPr>
          <w:lang w:val="es-ES_tradnl"/>
        </w:rPr>
        <w:t>.</w:t>
      </w:r>
    </w:p>
    <w:p w14:paraId="6187A5A5" w14:textId="77777777" w:rsidR="00931FC7" w:rsidRPr="005D1D5A" w:rsidRDefault="00931FC7" w:rsidP="009272B9">
      <w:pPr>
        <w:pStyle w:val="Headingb"/>
        <w:rPr>
          <w:lang w:val="es-ES_tradnl"/>
        </w:rPr>
      </w:pPr>
      <w:r w:rsidRPr="005D1D5A">
        <w:rPr>
          <w:lang w:val="es-ES_tradnl"/>
        </w:rPr>
        <w:t>Sesión informativa (23 de junio de 2025)</w:t>
      </w:r>
    </w:p>
    <w:p w14:paraId="2BEA8AB4" w14:textId="77777777" w:rsidR="00931FC7" w:rsidRPr="005D1D5A" w:rsidRDefault="00931FC7" w:rsidP="00810E60">
      <w:pPr>
        <w:jc w:val="both"/>
        <w:rPr>
          <w:rFonts w:asciiTheme="minorHAnsi" w:hAnsiTheme="minorHAnsi" w:cstheme="minorBidi"/>
          <w:lang w:val="es-ES_tradnl"/>
        </w:rPr>
      </w:pPr>
      <w:r w:rsidRPr="005D1D5A">
        <w:rPr>
          <w:lang w:val="es-ES_tradnl"/>
        </w:rPr>
        <w:t xml:space="preserve">Durante la reunión de 2025 del Consejo, se celebró una sesión informativa para informar a los consejeros sobre el calendario acordado por el </w:t>
      </w:r>
      <w:proofErr w:type="spellStart"/>
      <w:r w:rsidRPr="005D1D5A">
        <w:rPr>
          <w:lang w:val="es-ES_tradnl"/>
        </w:rPr>
        <w:t>GTC-PEF</w:t>
      </w:r>
      <w:proofErr w:type="spellEnd"/>
      <w:r w:rsidRPr="005D1D5A">
        <w:rPr>
          <w:lang w:val="es-ES_tradnl"/>
        </w:rPr>
        <w:t xml:space="preserve"> y sobre el enfoque que debe seguirse en la elaboración de los nuevos proyectos de Planes Estratégico y Financiero para el periodo 2028-2031. La presentación está disponible </w:t>
      </w:r>
      <w:hyperlink r:id="rId29" w:history="1">
        <w:r w:rsidRPr="005D1D5A">
          <w:rPr>
            <w:rStyle w:val="Hyperlink"/>
            <w:lang w:val="es-ES_tradnl"/>
          </w:rPr>
          <w:t>aquí</w:t>
        </w:r>
      </w:hyperlink>
      <w:r w:rsidRPr="005D1D5A">
        <w:rPr>
          <w:lang w:val="es-ES_tradnl"/>
        </w:rPr>
        <w:t>.</w:t>
      </w:r>
    </w:p>
    <w:p w14:paraId="5FD7D41C" w14:textId="77777777" w:rsidR="00931FC7" w:rsidRPr="005D1D5A" w:rsidRDefault="00931FC7" w:rsidP="009272B9">
      <w:pPr>
        <w:pStyle w:val="Headingb"/>
        <w:rPr>
          <w:lang w:val="es-ES_tradnl"/>
        </w:rPr>
      </w:pPr>
      <w:r w:rsidRPr="005D1D5A">
        <w:rPr>
          <w:lang w:val="es-ES_tradnl"/>
        </w:rPr>
        <w:t>Tercera reunión (8-9 de septiembre de 2025)</w:t>
      </w:r>
    </w:p>
    <w:p w14:paraId="75F12344" w14:textId="77777777" w:rsidR="00931FC7" w:rsidRPr="005D1D5A" w:rsidRDefault="00931FC7" w:rsidP="00810E60">
      <w:pPr>
        <w:jc w:val="both"/>
        <w:rPr>
          <w:rFonts w:asciiTheme="minorHAnsi" w:hAnsiTheme="minorHAnsi" w:cstheme="minorBidi"/>
          <w:lang w:val="es-ES_tradnl"/>
        </w:rPr>
      </w:pPr>
      <w:r w:rsidRPr="005D1D5A">
        <w:rPr>
          <w:lang w:val="es-ES_tradnl"/>
        </w:rPr>
        <w:t xml:space="preserve">Durante la tercera reunión, el </w:t>
      </w:r>
      <w:proofErr w:type="spellStart"/>
      <w:r w:rsidRPr="005D1D5A">
        <w:rPr>
          <w:lang w:val="es-ES_tradnl"/>
        </w:rPr>
        <w:t>GTC-PEF</w:t>
      </w:r>
      <w:proofErr w:type="spellEnd"/>
      <w:r w:rsidRPr="005D1D5A">
        <w:rPr>
          <w:lang w:val="es-ES_tradnl"/>
        </w:rPr>
        <w:t xml:space="preserve"> examinó las "Directrices para armonizar los resultados de las Resoluciones y Decisiones de la PP" propuestas, conforme a las instrucciones del Consejo. Se acordó someter el resultado de una consulta informal a la reunión del Consejo de 2026 para su examen (véase el Documento </w:t>
      </w:r>
      <w:hyperlink r:id="rId30" w:history="1">
        <w:proofErr w:type="spellStart"/>
        <w:r w:rsidRPr="005D1D5A">
          <w:rPr>
            <w:rStyle w:val="Hyperlink"/>
            <w:lang w:val="es-ES_tradnl"/>
          </w:rPr>
          <w:t>C26</w:t>
        </w:r>
        <w:proofErr w:type="spellEnd"/>
        <w:r w:rsidRPr="005D1D5A">
          <w:rPr>
            <w:rStyle w:val="Hyperlink"/>
            <w:lang w:val="es-ES_tradnl"/>
          </w:rPr>
          <w:t>/INF/1</w:t>
        </w:r>
      </w:hyperlink>
      <w:r w:rsidRPr="005D1D5A">
        <w:rPr>
          <w:lang w:val="es-ES_tradnl"/>
        </w:rPr>
        <w:t>).</w:t>
      </w:r>
    </w:p>
    <w:p w14:paraId="3EE2D386" w14:textId="77777777" w:rsidR="00931FC7" w:rsidRPr="005D1D5A" w:rsidRDefault="00931FC7" w:rsidP="00810E60">
      <w:pPr>
        <w:jc w:val="both"/>
        <w:rPr>
          <w:rFonts w:asciiTheme="minorHAnsi" w:hAnsiTheme="minorHAnsi" w:cstheme="minorBidi"/>
          <w:lang w:val="es-ES_tradnl"/>
        </w:rPr>
      </w:pPr>
      <w:r w:rsidRPr="005D1D5A">
        <w:rPr>
          <w:lang w:val="es-ES_tradnl"/>
        </w:rPr>
        <w:t xml:space="preserve">El </w:t>
      </w:r>
      <w:proofErr w:type="spellStart"/>
      <w:r w:rsidRPr="005D1D5A">
        <w:rPr>
          <w:lang w:val="es-ES_tradnl"/>
        </w:rPr>
        <w:t>GTC-PEF</w:t>
      </w:r>
      <w:proofErr w:type="spellEnd"/>
      <w:r w:rsidRPr="005D1D5A">
        <w:rPr>
          <w:lang w:val="es-ES_tradnl"/>
        </w:rPr>
        <w:t xml:space="preserve"> también examinó la propuesta de proyecto de Anexo 2 a la Resolución 71, que contiene el análisis de situación, y el proyecto de Anexo 3 a la Resolución 71, que contiene el glosario de términos, armonizado con el Manual de las Naciones Unidas sobre Gestión Basada en los Resultados (</w:t>
      </w:r>
      <w:proofErr w:type="spellStart"/>
      <w:r w:rsidRPr="005D1D5A">
        <w:rPr>
          <w:lang w:val="es-ES_tradnl"/>
        </w:rPr>
        <w:t>GBR</w:t>
      </w:r>
      <w:proofErr w:type="spellEnd"/>
      <w:r w:rsidRPr="005D1D5A">
        <w:rPr>
          <w:lang w:val="es-ES_tradnl"/>
        </w:rPr>
        <w:t xml:space="preserve">) (véanse los Documentos </w:t>
      </w:r>
      <w:hyperlink r:id="rId31"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-3/3</w:t>
        </w:r>
      </w:hyperlink>
      <w:r w:rsidRPr="005D1D5A">
        <w:rPr>
          <w:lang w:val="es-ES_tradnl"/>
        </w:rPr>
        <w:t xml:space="preserve"> y </w:t>
      </w:r>
      <w:hyperlink r:id="rId32"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-3/4</w:t>
        </w:r>
      </w:hyperlink>
      <w:r w:rsidRPr="005D1D5A">
        <w:rPr>
          <w:lang w:val="es-ES_tradnl"/>
        </w:rPr>
        <w:t xml:space="preserve">). Se acordó que era necesario seguir debatiendo el análisis de situación y que el glosario de términos, teniendo en cuenta todos los comentarios recibidos, debía seguir siendo un documento vivo hasta que se acordara el proyecto final de los Planes Estratégico y Financiero. La Secretaría también presentó los vínculos entre los Planes Estratégico, Financiero y Operacional de la UIT (véase el Documento </w:t>
      </w:r>
      <w:hyperlink r:id="rId33"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-3/6</w:t>
        </w:r>
      </w:hyperlink>
      <w:r w:rsidRPr="005D1D5A">
        <w:rPr>
          <w:lang w:val="es-ES_tradnl"/>
        </w:rPr>
        <w:t>), destacando el planteamiento de gestión basada en resultados y esbozando un planteamiento en cascada para reforzar la armonización entre los niveles de planificación y operacional.</w:t>
      </w:r>
    </w:p>
    <w:p w14:paraId="1ED9A435" w14:textId="77777777" w:rsidR="00931FC7" w:rsidRPr="005D1D5A" w:rsidRDefault="00931FC7" w:rsidP="00810E60">
      <w:pPr>
        <w:jc w:val="both"/>
        <w:rPr>
          <w:rFonts w:asciiTheme="minorHAnsi" w:hAnsiTheme="minorHAnsi" w:cstheme="minorHAnsi"/>
          <w:szCs w:val="24"/>
          <w:lang w:val="es-ES_tradnl"/>
        </w:rPr>
      </w:pPr>
      <w:r w:rsidRPr="005D1D5A">
        <w:rPr>
          <w:lang w:val="es-ES_tradnl"/>
        </w:rPr>
        <w:lastRenderedPageBreak/>
        <w:t xml:space="preserve">Además, se presentó el Centro de Datos de la UIT (véase la </w:t>
      </w:r>
      <w:hyperlink r:id="rId34" w:history="1">
        <w:r w:rsidRPr="005D1D5A">
          <w:rPr>
            <w:rStyle w:val="Hyperlink"/>
            <w:lang w:val="es-ES_tradnl"/>
          </w:rPr>
          <w:t>presentación</w:t>
        </w:r>
      </w:hyperlink>
      <w:r w:rsidRPr="005D1D5A">
        <w:rPr>
          <w:lang w:val="es-ES_tradnl"/>
        </w:rPr>
        <w:t xml:space="preserve">) como parte de los esfuerzos para identificar objetivos y resultados SMART, y los correspondientes indicadores, para construir el marco de resultados del Plan Estratégico siguiendo el enfoque de </w:t>
      </w:r>
      <w:proofErr w:type="spellStart"/>
      <w:r w:rsidRPr="005D1D5A">
        <w:rPr>
          <w:lang w:val="es-ES_tradnl"/>
        </w:rPr>
        <w:t>GBR</w:t>
      </w:r>
      <w:proofErr w:type="spellEnd"/>
      <w:r w:rsidRPr="005D1D5A">
        <w:rPr>
          <w:lang w:val="es-ES_tradnl"/>
        </w:rPr>
        <w:t xml:space="preserve">. Se presentó un primer proyecto preparado por la Secretaría como Documento </w:t>
      </w:r>
      <w:hyperlink r:id="rId35"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-3/7</w:t>
        </w:r>
      </w:hyperlink>
      <w:r w:rsidRPr="005D1D5A">
        <w:rPr>
          <w:lang w:val="es-ES_tradnl"/>
        </w:rPr>
        <w:t>.</w:t>
      </w:r>
    </w:p>
    <w:p w14:paraId="1E7D47A5" w14:textId="27E16A36" w:rsidR="00931FC7" w:rsidRPr="005D1D5A" w:rsidRDefault="00931FC7" w:rsidP="00810E60">
      <w:pPr>
        <w:jc w:val="both"/>
        <w:rPr>
          <w:rFonts w:asciiTheme="minorHAnsi" w:hAnsiTheme="minorHAnsi" w:cstheme="minorHAnsi"/>
          <w:szCs w:val="24"/>
          <w:lang w:val="es-ES_tradnl"/>
        </w:rPr>
      </w:pPr>
      <w:r w:rsidRPr="005D1D5A">
        <w:rPr>
          <w:lang w:val="es-ES_tradnl"/>
        </w:rPr>
        <w:t xml:space="preserve">Durante la reunión se recibieron y examinaron un total de nueve contribuciones, a saber, </w:t>
      </w:r>
      <w:r w:rsidR="00810E60">
        <w:rPr>
          <w:lang w:val="es-ES_tradnl"/>
        </w:rPr>
        <w:t xml:space="preserve">Documentos </w:t>
      </w:r>
      <w:hyperlink r:id="rId36"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-3/8</w:t>
        </w:r>
      </w:hyperlink>
      <w:r w:rsidRPr="005D1D5A">
        <w:rPr>
          <w:lang w:val="es-ES_tradnl"/>
        </w:rPr>
        <w:t xml:space="preserve">, </w:t>
      </w:r>
      <w:hyperlink r:id="rId37"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-3/9</w:t>
        </w:r>
      </w:hyperlink>
      <w:r w:rsidRPr="005D1D5A">
        <w:rPr>
          <w:lang w:val="es-ES_tradnl"/>
        </w:rPr>
        <w:t xml:space="preserve">, </w:t>
      </w:r>
      <w:hyperlink r:id="rId38"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-3/10</w:t>
        </w:r>
      </w:hyperlink>
      <w:r w:rsidRPr="005D1D5A">
        <w:rPr>
          <w:lang w:val="es-ES_tradnl"/>
        </w:rPr>
        <w:t xml:space="preserve">, </w:t>
      </w:r>
      <w:hyperlink r:id="rId39"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-3/11</w:t>
        </w:r>
      </w:hyperlink>
      <w:r w:rsidRPr="005D1D5A">
        <w:rPr>
          <w:lang w:val="es-ES_tradnl"/>
        </w:rPr>
        <w:t xml:space="preserve">, </w:t>
      </w:r>
      <w:hyperlink r:id="rId40"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-3/12</w:t>
        </w:r>
      </w:hyperlink>
      <w:r w:rsidRPr="005D1D5A">
        <w:rPr>
          <w:lang w:val="es-ES_tradnl"/>
        </w:rPr>
        <w:t xml:space="preserve">, </w:t>
      </w:r>
      <w:hyperlink r:id="rId41"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-3/13</w:t>
        </w:r>
      </w:hyperlink>
      <w:r w:rsidRPr="005D1D5A">
        <w:rPr>
          <w:lang w:val="es-ES_tradnl"/>
        </w:rPr>
        <w:t xml:space="preserve">, </w:t>
      </w:r>
      <w:hyperlink r:id="rId42"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-3/14</w:t>
        </w:r>
      </w:hyperlink>
      <w:r w:rsidRPr="005D1D5A">
        <w:rPr>
          <w:lang w:val="es-ES_tradnl"/>
        </w:rPr>
        <w:t xml:space="preserve">, </w:t>
      </w:r>
      <w:hyperlink r:id="rId43"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-3/15</w:t>
        </w:r>
      </w:hyperlink>
      <w:r w:rsidRPr="005D1D5A">
        <w:rPr>
          <w:lang w:val="es-ES_tradnl"/>
        </w:rPr>
        <w:t xml:space="preserve"> y </w:t>
      </w:r>
      <w:hyperlink r:id="rId44"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-3/16</w:t>
        </w:r>
      </w:hyperlink>
      <w:r w:rsidRPr="005D1D5A">
        <w:rPr>
          <w:lang w:val="es-ES_tradnl"/>
        </w:rPr>
        <w:t>.</w:t>
      </w:r>
      <w:bookmarkStart w:id="2" w:name="_Hlk221702229"/>
      <w:bookmarkEnd w:id="2"/>
    </w:p>
    <w:p w14:paraId="473235DF" w14:textId="086F741A" w:rsidR="00931FC7" w:rsidRPr="005D1D5A" w:rsidRDefault="00931FC7" w:rsidP="00810E60">
      <w:pPr>
        <w:jc w:val="both"/>
        <w:rPr>
          <w:rFonts w:asciiTheme="minorHAnsi" w:hAnsiTheme="minorHAnsi" w:cstheme="minorHAnsi"/>
          <w:szCs w:val="24"/>
          <w:lang w:val="es-ES_tradnl"/>
        </w:rPr>
      </w:pPr>
      <w:r w:rsidRPr="005D1D5A">
        <w:rPr>
          <w:lang w:val="es-ES_tradnl"/>
        </w:rPr>
        <w:t xml:space="preserve">En el marco de la tercera reunión del </w:t>
      </w:r>
      <w:proofErr w:type="spellStart"/>
      <w:r w:rsidRPr="005D1D5A">
        <w:rPr>
          <w:lang w:val="es-ES_tradnl"/>
        </w:rPr>
        <w:t>GTC-PEF</w:t>
      </w:r>
      <w:proofErr w:type="spellEnd"/>
      <w:r w:rsidRPr="005D1D5A">
        <w:rPr>
          <w:lang w:val="es-ES_tradnl"/>
        </w:rPr>
        <w:t xml:space="preserve">, el 8 de septiembre de 2025 por la tarde se celebró un taller de previsión estratégica, organizado en colaboración con UN Futures Labs. El resumen del taller sobre perspectivas estratégicas figura en el Documento </w:t>
      </w:r>
      <w:hyperlink r:id="rId45" w:history="1">
        <w:proofErr w:type="spellStart"/>
        <w:r w:rsidRPr="005D1D5A">
          <w:rPr>
            <w:rStyle w:val="Hyperlink"/>
            <w:lang w:val="es-ES_tradnl"/>
          </w:rPr>
          <w:t>CWG</w:t>
        </w:r>
        <w:proofErr w:type="spellEnd"/>
        <w:r w:rsidR="004D6C14" w:rsidRPr="005D1D5A">
          <w:rPr>
            <w:rStyle w:val="Hyperlink"/>
            <w:lang w:val="es-ES_tradnl"/>
          </w:rPr>
          <w:noBreakHyphen/>
        </w:r>
        <w:proofErr w:type="spellStart"/>
        <w:r w:rsidRPr="005D1D5A">
          <w:rPr>
            <w:rStyle w:val="Hyperlink"/>
            <w:lang w:val="es-ES_tradnl"/>
          </w:rPr>
          <w:t>SFP</w:t>
        </w:r>
        <w:proofErr w:type="spellEnd"/>
        <w:r w:rsidR="004D6C14" w:rsidRPr="005D1D5A">
          <w:rPr>
            <w:rStyle w:val="Hyperlink"/>
            <w:lang w:val="es-ES_tradnl"/>
          </w:rPr>
          <w:noBreakHyphen/>
        </w:r>
        <w:r w:rsidRPr="005D1D5A">
          <w:rPr>
            <w:rStyle w:val="Hyperlink"/>
            <w:lang w:val="es-ES_tradnl"/>
          </w:rPr>
          <w:t>4/INF/5</w:t>
        </w:r>
      </w:hyperlink>
      <w:r w:rsidRPr="005D1D5A">
        <w:rPr>
          <w:lang w:val="es-ES_tradnl"/>
        </w:rPr>
        <w:t>.</w:t>
      </w:r>
    </w:p>
    <w:p w14:paraId="6C4976F0" w14:textId="77777777" w:rsidR="00931FC7" w:rsidRPr="005D1D5A" w:rsidRDefault="00931FC7" w:rsidP="009272B9">
      <w:pPr>
        <w:pStyle w:val="Headingb"/>
        <w:rPr>
          <w:lang w:val="es-ES_tradnl"/>
        </w:rPr>
      </w:pPr>
      <w:r w:rsidRPr="005D1D5A">
        <w:rPr>
          <w:lang w:val="es-ES_tradnl"/>
        </w:rPr>
        <w:t>Cuarta reunión (12-14 de enero de 2026)</w:t>
      </w:r>
    </w:p>
    <w:p w14:paraId="5964C79A" w14:textId="1EBA7AE7" w:rsidR="00931FC7" w:rsidRPr="005D1D5A" w:rsidRDefault="00931FC7" w:rsidP="00810E60">
      <w:pPr>
        <w:jc w:val="both"/>
        <w:rPr>
          <w:rFonts w:asciiTheme="minorHAnsi" w:hAnsiTheme="minorHAnsi" w:cstheme="minorHAnsi"/>
          <w:szCs w:val="24"/>
          <w:lang w:val="es-ES_tradnl"/>
        </w:rPr>
      </w:pPr>
      <w:r w:rsidRPr="005D1D5A">
        <w:rPr>
          <w:lang w:val="es-ES_tradnl"/>
        </w:rPr>
        <w:t xml:space="preserve">En su cuarta reunión, el </w:t>
      </w:r>
      <w:proofErr w:type="spellStart"/>
      <w:r w:rsidRPr="005D1D5A">
        <w:rPr>
          <w:lang w:val="es-ES_tradnl"/>
        </w:rPr>
        <w:t>GTC-PEF</w:t>
      </w:r>
      <w:proofErr w:type="spellEnd"/>
      <w:r w:rsidRPr="005D1D5A">
        <w:rPr>
          <w:lang w:val="es-ES_tradnl"/>
        </w:rPr>
        <w:t xml:space="preserve"> examinó el proyecto de Anexo 1 a la Resolución 71, que contiene el Plan Estratégico para el periodo 2028-2031 (véase el Documento </w:t>
      </w:r>
      <w:hyperlink r:id="rId46" w:history="1">
        <w:proofErr w:type="spellStart"/>
        <w:r w:rsidRPr="005D1D5A">
          <w:rPr>
            <w:rStyle w:val="Hyperlink"/>
            <w:lang w:val="es-ES_tradnl"/>
          </w:rPr>
          <w:t>CWG</w:t>
        </w:r>
        <w:proofErr w:type="spellEnd"/>
        <w:r w:rsidR="0086085F" w:rsidRPr="005D1D5A">
          <w:rPr>
            <w:rStyle w:val="Hyperlink"/>
            <w:lang w:val="es-ES_tradnl"/>
          </w:rPr>
          <w:noBreakHyphen/>
        </w:r>
        <w:proofErr w:type="spellStart"/>
        <w:r w:rsidRPr="005D1D5A">
          <w:rPr>
            <w:rStyle w:val="Hyperlink"/>
            <w:lang w:val="es-ES_tradnl"/>
          </w:rPr>
          <w:t>SFP</w:t>
        </w:r>
        <w:proofErr w:type="spellEnd"/>
        <w:r w:rsidR="0086085F" w:rsidRPr="005D1D5A">
          <w:rPr>
            <w:rStyle w:val="Hyperlink"/>
            <w:lang w:val="es-ES_tradnl"/>
          </w:rPr>
          <w:noBreakHyphen/>
        </w:r>
        <w:r w:rsidRPr="005D1D5A">
          <w:rPr>
            <w:rStyle w:val="Hyperlink"/>
            <w:lang w:val="es-ES_tradnl"/>
          </w:rPr>
          <w:t>4/DT/2</w:t>
        </w:r>
      </w:hyperlink>
      <w:r w:rsidRPr="005D1D5A">
        <w:rPr>
          <w:lang w:val="es-ES_tradnl"/>
        </w:rPr>
        <w:t xml:space="preserve">). Dado que el </w:t>
      </w:r>
      <w:proofErr w:type="spellStart"/>
      <w:r w:rsidRPr="005D1D5A">
        <w:rPr>
          <w:lang w:val="es-ES_tradnl"/>
        </w:rPr>
        <w:t>GTC-PEF</w:t>
      </w:r>
      <w:proofErr w:type="spellEnd"/>
      <w:r w:rsidRPr="005D1D5A">
        <w:rPr>
          <w:lang w:val="es-ES_tradnl"/>
        </w:rPr>
        <w:t xml:space="preserve"> acordó dos objetivos estratégicos, conectividad universal y transformación digital sostenible, se pidió a la Secretaría que perfeccionase los objetivos propuestos para reflejar plenamente el alcance de ambos objetivos. Los nuevos objetivos se reflejan en la revisión 3 del Documento </w:t>
      </w:r>
      <w:proofErr w:type="spellStart"/>
      <w:r w:rsidRPr="005D1D5A">
        <w:rPr>
          <w:lang w:val="es-ES_tradnl"/>
        </w:rPr>
        <w:t>CWG</w:t>
      </w:r>
      <w:proofErr w:type="spellEnd"/>
      <w:r w:rsidRPr="005D1D5A">
        <w:rPr>
          <w:lang w:val="es-ES_tradnl"/>
        </w:rPr>
        <w:t>-</w:t>
      </w:r>
      <w:proofErr w:type="spellStart"/>
      <w:r w:rsidRPr="005D1D5A">
        <w:rPr>
          <w:lang w:val="es-ES_tradnl"/>
        </w:rPr>
        <w:t>SFP</w:t>
      </w:r>
      <w:proofErr w:type="spellEnd"/>
      <w:r w:rsidRPr="005D1D5A">
        <w:rPr>
          <w:lang w:val="es-ES_tradnl"/>
        </w:rPr>
        <w:t>-4/DT/2. También se acordó cambiar el nombre de la Prioridad 2 por "Interoperabilidad e innovación de las telecomunicaciones/TIC mundiales" para reflejar mejor el alcance de la labor del Sector de Normalización de las Telecomunicaciones (UIT-T).</w:t>
      </w:r>
    </w:p>
    <w:p w14:paraId="0A4A46E0" w14:textId="77777777" w:rsidR="00931FC7" w:rsidRPr="005D1D5A" w:rsidRDefault="00931FC7" w:rsidP="00810E60">
      <w:pPr>
        <w:jc w:val="both"/>
        <w:rPr>
          <w:lang w:val="es-ES_tradnl"/>
        </w:rPr>
      </w:pPr>
      <w:r w:rsidRPr="005D1D5A">
        <w:rPr>
          <w:lang w:val="es-ES_tradnl"/>
        </w:rPr>
        <w:t xml:space="preserve">En lo que respecta al Anexo 2 a la Resolución 71, el </w:t>
      </w:r>
      <w:proofErr w:type="spellStart"/>
      <w:r w:rsidRPr="005D1D5A">
        <w:rPr>
          <w:lang w:val="es-ES_tradnl"/>
        </w:rPr>
        <w:t>GTC-PEF</w:t>
      </w:r>
      <w:proofErr w:type="spellEnd"/>
      <w:r w:rsidRPr="005D1D5A">
        <w:rPr>
          <w:lang w:val="es-ES_tradnl"/>
        </w:rPr>
        <w:t xml:space="preserve"> recibió comentarios de ocho Estados Miembros sobre el proyecto de texto propuesto elaborado por la Secretaría (Documento </w:t>
      </w:r>
      <w:hyperlink r:id="rId47"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-4/DT/1</w:t>
        </w:r>
      </w:hyperlink>
      <w:r w:rsidRPr="005D1D5A">
        <w:rPr>
          <w:lang w:val="es-ES_tradnl"/>
        </w:rPr>
        <w:t xml:space="preserve">), que refleja diferentes perspectivas. Para facilitar la convergencia, el Presidente propuso adoptar un enfoque neutro y conciso, limitando el análisis de situación a una sola página que consiste únicamente en el diagrama DAFO acordado en la página 21 del proyecto de propuesta presentado por la secretaría. El </w:t>
      </w:r>
      <w:proofErr w:type="spellStart"/>
      <w:r w:rsidRPr="005D1D5A">
        <w:rPr>
          <w:lang w:val="es-ES_tradnl"/>
        </w:rPr>
        <w:t>GTC-PEF</w:t>
      </w:r>
      <w:proofErr w:type="spellEnd"/>
      <w:r w:rsidRPr="005D1D5A">
        <w:rPr>
          <w:lang w:val="es-ES_tradnl"/>
        </w:rPr>
        <w:t xml:space="preserve"> también acordó la versión revisada del glosario de términos (Anexo 3 a la Resolución 71), que figura en el Documento </w:t>
      </w:r>
      <w:hyperlink r:id="rId48"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-4/3</w:t>
        </w:r>
      </w:hyperlink>
      <w:r w:rsidRPr="005D1D5A">
        <w:rPr>
          <w:lang w:val="es-ES_tradnl"/>
        </w:rPr>
        <w:t>.</w:t>
      </w:r>
    </w:p>
    <w:p w14:paraId="5E8DB060" w14:textId="632101DE" w:rsidR="00931FC7" w:rsidRPr="005D1D5A" w:rsidRDefault="00931FC7" w:rsidP="00D842E1">
      <w:pPr>
        <w:jc w:val="both"/>
        <w:rPr>
          <w:rFonts w:asciiTheme="minorHAnsi" w:hAnsiTheme="minorHAnsi" w:cstheme="minorHAnsi"/>
          <w:szCs w:val="24"/>
          <w:lang w:val="es-ES_tradnl"/>
        </w:rPr>
      </w:pPr>
      <w:r w:rsidRPr="005D1D5A">
        <w:rPr>
          <w:lang w:val="es-ES_tradnl"/>
        </w:rPr>
        <w:t xml:space="preserve">En esa reunión se recibieron y examinaron un total de diez contribuciones, a saber, </w:t>
      </w:r>
      <w:r w:rsidR="00810E60">
        <w:rPr>
          <w:lang w:val="es-ES_tradnl"/>
        </w:rPr>
        <w:t xml:space="preserve">Documentos </w:t>
      </w:r>
      <w:hyperlink r:id="rId49" w:history="1">
        <w:proofErr w:type="spellStart"/>
        <w:r w:rsidRPr="005D1D5A">
          <w:rPr>
            <w:rStyle w:val="Hyperlink"/>
            <w:lang w:val="es-ES_tradnl"/>
          </w:rPr>
          <w:t>CWG</w:t>
        </w:r>
        <w:proofErr w:type="spellEnd"/>
        <w:r w:rsidR="0086085F" w:rsidRPr="005D1D5A">
          <w:rPr>
            <w:rStyle w:val="Hyperlink"/>
            <w:lang w:val="es-ES_tradnl"/>
          </w:rPr>
          <w:noBreakHyphen/>
        </w:r>
        <w:proofErr w:type="spellStart"/>
        <w:r w:rsidRPr="005D1D5A">
          <w:rPr>
            <w:rStyle w:val="Hyperlink"/>
            <w:lang w:val="es-ES_tradnl"/>
          </w:rPr>
          <w:t>SFP</w:t>
        </w:r>
        <w:proofErr w:type="spellEnd"/>
        <w:r w:rsidRPr="005D1D5A">
          <w:rPr>
            <w:rStyle w:val="Hyperlink"/>
            <w:lang w:val="es-ES_tradnl"/>
          </w:rPr>
          <w:t>-4/5</w:t>
        </w:r>
      </w:hyperlink>
      <w:r w:rsidRPr="005D1D5A">
        <w:rPr>
          <w:lang w:val="es-ES_tradnl"/>
        </w:rPr>
        <w:t xml:space="preserve">, </w:t>
      </w:r>
      <w:hyperlink r:id="rId50"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-4/6</w:t>
        </w:r>
      </w:hyperlink>
      <w:r w:rsidRPr="005D1D5A">
        <w:rPr>
          <w:lang w:val="es-ES_tradnl"/>
        </w:rPr>
        <w:t xml:space="preserve">, </w:t>
      </w:r>
      <w:hyperlink r:id="rId51"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-4/7</w:t>
        </w:r>
      </w:hyperlink>
      <w:r w:rsidRPr="005D1D5A">
        <w:rPr>
          <w:lang w:val="es-ES_tradnl"/>
        </w:rPr>
        <w:t xml:space="preserve">, </w:t>
      </w:r>
      <w:hyperlink r:id="rId52"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-4/8</w:t>
        </w:r>
      </w:hyperlink>
      <w:r w:rsidRPr="005D1D5A">
        <w:rPr>
          <w:lang w:val="es-ES_tradnl"/>
        </w:rPr>
        <w:t xml:space="preserve">, </w:t>
      </w:r>
      <w:hyperlink r:id="rId53"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-4/9</w:t>
        </w:r>
      </w:hyperlink>
      <w:r w:rsidRPr="005D1D5A">
        <w:rPr>
          <w:lang w:val="es-ES_tradnl"/>
        </w:rPr>
        <w:t xml:space="preserve">, </w:t>
      </w:r>
      <w:hyperlink r:id="rId54" w:history="1">
        <w:proofErr w:type="spellStart"/>
        <w:r w:rsidRPr="005D1D5A">
          <w:rPr>
            <w:rStyle w:val="Hyperlink"/>
            <w:lang w:val="es-ES_tradnl"/>
          </w:rPr>
          <w:t>CWG</w:t>
        </w:r>
        <w:proofErr w:type="spellEnd"/>
        <w:r w:rsidR="00D842E1">
          <w:rPr>
            <w:rStyle w:val="Hyperlink"/>
            <w:lang w:val="es-ES_tradnl"/>
          </w:rPr>
          <w:noBreakHyphen/>
        </w:r>
        <w:proofErr w:type="spellStart"/>
        <w:r w:rsidRPr="005D1D5A">
          <w:rPr>
            <w:rStyle w:val="Hyperlink"/>
            <w:lang w:val="es-ES_tradnl"/>
          </w:rPr>
          <w:t>SFP</w:t>
        </w:r>
        <w:proofErr w:type="spellEnd"/>
        <w:r w:rsidRPr="005D1D5A">
          <w:rPr>
            <w:rStyle w:val="Hyperlink"/>
            <w:lang w:val="es-ES_tradnl"/>
          </w:rPr>
          <w:t>-4/10</w:t>
        </w:r>
      </w:hyperlink>
      <w:r w:rsidRPr="005D1D5A">
        <w:rPr>
          <w:lang w:val="es-ES_tradnl"/>
        </w:rPr>
        <w:t xml:space="preserve">, </w:t>
      </w:r>
      <w:hyperlink r:id="rId55"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-4/11</w:t>
        </w:r>
      </w:hyperlink>
      <w:r w:rsidRPr="005D1D5A">
        <w:rPr>
          <w:lang w:val="es-ES_tradnl"/>
        </w:rPr>
        <w:t xml:space="preserve">, </w:t>
      </w:r>
      <w:hyperlink r:id="rId56"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-4/12</w:t>
        </w:r>
      </w:hyperlink>
      <w:r w:rsidRPr="005D1D5A">
        <w:rPr>
          <w:lang w:val="es-ES_tradnl"/>
        </w:rPr>
        <w:t xml:space="preserve">, </w:t>
      </w:r>
      <w:hyperlink r:id="rId57"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-4/13</w:t>
        </w:r>
      </w:hyperlink>
      <w:r w:rsidRPr="005D1D5A">
        <w:rPr>
          <w:lang w:val="es-ES_tradnl"/>
        </w:rPr>
        <w:t xml:space="preserve"> y </w:t>
      </w:r>
      <w:hyperlink r:id="rId58" w:history="1">
        <w:proofErr w:type="spellStart"/>
        <w:r w:rsidRPr="005D1D5A">
          <w:rPr>
            <w:rStyle w:val="Hyperlink"/>
            <w:lang w:val="es-ES_tradnl"/>
          </w:rPr>
          <w:t>CWG</w:t>
        </w:r>
        <w:proofErr w:type="spellEnd"/>
        <w:r w:rsidRPr="005D1D5A">
          <w:rPr>
            <w:rStyle w:val="Hyperlink"/>
            <w:lang w:val="es-ES_tradnl"/>
          </w:rPr>
          <w:t>-</w:t>
        </w:r>
        <w:proofErr w:type="spellStart"/>
        <w:r w:rsidRPr="005D1D5A">
          <w:rPr>
            <w:rStyle w:val="Hyperlink"/>
            <w:lang w:val="es-ES_tradnl"/>
          </w:rPr>
          <w:t>SFP</w:t>
        </w:r>
        <w:proofErr w:type="spellEnd"/>
        <w:r w:rsidRPr="005D1D5A">
          <w:rPr>
            <w:rStyle w:val="Hyperlink"/>
            <w:lang w:val="es-ES_tradnl"/>
          </w:rPr>
          <w:t>-4/14</w:t>
        </w:r>
      </w:hyperlink>
      <w:r w:rsidRPr="005D1D5A">
        <w:rPr>
          <w:lang w:val="es-ES_tradnl"/>
        </w:rPr>
        <w:t>.</w:t>
      </w:r>
    </w:p>
    <w:p w14:paraId="7CB44B22" w14:textId="77777777" w:rsidR="00931FC7" w:rsidRPr="005D1D5A" w:rsidRDefault="00931FC7" w:rsidP="00D842E1">
      <w:pPr>
        <w:jc w:val="both"/>
        <w:rPr>
          <w:rFonts w:asciiTheme="minorHAnsi" w:hAnsiTheme="minorHAnsi" w:cstheme="minorHAnsi"/>
          <w:szCs w:val="24"/>
          <w:lang w:val="es-ES_tradnl"/>
        </w:rPr>
      </w:pPr>
      <w:r w:rsidRPr="005D1D5A">
        <w:rPr>
          <w:lang w:val="es-ES_tradnl"/>
        </w:rPr>
        <w:t xml:space="preserve">En su cuarta reunión, el </w:t>
      </w:r>
      <w:proofErr w:type="spellStart"/>
      <w:r w:rsidRPr="005D1D5A">
        <w:rPr>
          <w:lang w:val="es-ES_tradnl"/>
        </w:rPr>
        <w:t>GTC-PEF</w:t>
      </w:r>
      <w:proofErr w:type="spellEnd"/>
      <w:r w:rsidRPr="005D1D5A">
        <w:rPr>
          <w:lang w:val="es-ES_tradnl"/>
        </w:rPr>
        <w:t xml:space="preserve"> acordó celebrar una reunión adicional el día anterior a la reunión de 2026 del Consejo, así como una reunión conjunta con el Grupo de Trabajo del Consejo sobre Recursos Humanos y Financieros (</w:t>
      </w:r>
      <w:proofErr w:type="spellStart"/>
      <w:r w:rsidRPr="005D1D5A">
        <w:rPr>
          <w:lang w:val="es-ES_tradnl"/>
        </w:rPr>
        <w:t>GTC-RHF</w:t>
      </w:r>
      <w:proofErr w:type="spellEnd"/>
      <w:r w:rsidRPr="005D1D5A">
        <w:rPr>
          <w:lang w:val="es-ES_tradnl"/>
        </w:rPr>
        <w:t>) el mismo día, para revisar y finalizar el plan financiero que se presentará a la reunión de 2026 del Consejo para su aprobación.</w:t>
      </w:r>
    </w:p>
    <w:p w14:paraId="2BB345A6" w14:textId="77777777" w:rsidR="00931FC7" w:rsidRPr="005D1D5A" w:rsidRDefault="00931FC7" w:rsidP="009272B9">
      <w:pPr>
        <w:pStyle w:val="Headingb"/>
        <w:rPr>
          <w:lang w:val="es-ES_tradnl"/>
        </w:rPr>
      </w:pPr>
      <w:r w:rsidRPr="005D1D5A">
        <w:rPr>
          <w:lang w:val="es-ES_tradnl"/>
        </w:rPr>
        <w:t xml:space="preserve">Resultados de los trabajos del </w:t>
      </w:r>
      <w:proofErr w:type="spellStart"/>
      <w:r w:rsidRPr="005D1D5A">
        <w:rPr>
          <w:lang w:val="es-ES_tradnl"/>
        </w:rPr>
        <w:t>GTC-PEF</w:t>
      </w:r>
      <w:proofErr w:type="spellEnd"/>
    </w:p>
    <w:p w14:paraId="1783B32B" w14:textId="77777777" w:rsidR="00931FC7" w:rsidRPr="005D1D5A" w:rsidRDefault="00931FC7" w:rsidP="00D842E1">
      <w:pPr>
        <w:jc w:val="both"/>
        <w:rPr>
          <w:rFonts w:asciiTheme="minorHAnsi" w:hAnsiTheme="minorHAnsi" w:cstheme="minorHAnsi"/>
          <w:szCs w:val="24"/>
          <w:lang w:val="es-ES_tradnl"/>
        </w:rPr>
      </w:pPr>
      <w:r w:rsidRPr="005D1D5A">
        <w:rPr>
          <w:lang w:val="es-ES_tradnl"/>
        </w:rPr>
        <w:t xml:space="preserve">El </w:t>
      </w:r>
      <w:proofErr w:type="spellStart"/>
      <w:r w:rsidRPr="005D1D5A">
        <w:rPr>
          <w:lang w:val="es-ES_tradnl"/>
        </w:rPr>
        <w:t>GTC-PEF</w:t>
      </w:r>
      <w:proofErr w:type="spellEnd"/>
      <w:r w:rsidRPr="005D1D5A">
        <w:rPr>
          <w:lang w:val="es-ES_tradnl"/>
        </w:rPr>
        <w:t xml:space="preserve"> presentará a la reunión de 2026 del Consejo, para su aprobación y presentación a la Conferencia de Plenipotenciarios de 2026, los siguientes documentos, según lo acordado en su cuarta reunión:</w:t>
      </w:r>
    </w:p>
    <w:p w14:paraId="327D4580" w14:textId="6BA9D1EC" w:rsidR="00931FC7" w:rsidRPr="005D1D5A" w:rsidRDefault="009272B9" w:rsidP="00D842E1">
      <w:pPr>
        <w:pStyle w:val="enumlev1"/>
        <w:jc w:val="both"/>
        <w:rPr>
          <w:rFonts w:asciiTheme="minorHAnsi" w:hAnsiTheme="minorHAnsi" w:cstheme="minorHAnsi"/>
          <w:szCs w:val="24"/>
          <w:lang w:val="es-ES_tradnl"/>
        </w:rPr>
      </w:pPr>
      <w:r w:rsidRPr="005D1D5A">
        <w:rPr>
          <w:lang w:val="es-ES_tradnl"/>
        </w:rPr>
        <w:t>–</w:t>
      </w:r>
      <w:r w:rsidRPr="005D1D5A">
        <w:rPr>
          <w:lang w:val="es-ES_tradnl"/>
        </w:rPr>
        <w:tab/>
      </w:r>
      <w:r w:rsidR="00931FC7" w:rsidRPr="005D1D5A">
        <w:rPr>
          <w:lang w:val="es-ES_tradnl"/>
        </w:rPr>
        <w:t xml:space="preserve">una propuesta de proyecto de Anexo 3 a la Resolución 71, que contenga el glosario de términos; y </w:t>
      </w:r>
    </w:p>
    <w:p w14:paraId="0AE000EA" w14:textId="7C10DA86" w:rsidR="00931FC7" w:rsidRPr="005D1D5A" w:rsidRDefault="009272B9" w:rsidP="00D842E1">
      <w:pPr>
        <w:pStyle w:val="enumlev1"/>
        <w:jc w:val="both"/>
        <w:rPr>
          <w:rFonts w:asciiTheme="minorHAnsi" w:hAnsiTheme="minorHAnsi" w:cstheme="minorHAnsi"/>
          <w:szCs w:val="24"/>
          <w:lang w:val="es-ES_tradnl"/>
        </w:rPr>
      </w:pPr>
      <w:r w:rsidRPr="005D1D5A">
        <w:rPr>
          <w:lang w:val="es-ES_tradnl"/>
        </w:rPr>
        <w:t>–</w:t>
      </w:r>
      <w:r w:rsidRPr="005D1D5A">
        <w:rPr>
          <w:lang w:val="es-ES_tradnl"/>
        </w:rPr>
        <w:tab/>
      </w:r>
      <w:r w:rsidR="00931FC7" w:rsidRPr="005D1D5A">
        <w:rPr>
          <w:lang w:val="es-ES_tradnl"/>
        </w:rPr>
        <w:t xml:space="preserve">las "Directrices para armonizar los resultados de las Resoluciones y Decisiones de la PP" propuestas (véase el Documento </w:t>
      </w:r>
      <w:hyperlink r:id="rId59" w:history="1">
        <w:proofErr w:type="spellStart"/>
        <w:r w:rsidR="00931FC7" w:rsidRPr="005D1D5A">
          <w:rPr>
            <w:rStyle w:val="Hyperlink"/>
            <w:lang w:val="es-ES_tradnl"/>
          </w:rPr>
          <w:t>C26</w:t>
        </w:r>
        <w:proofErr w:type="spellEnd"/>
        <w:r w:rsidR="00931FC7" w:rsidRPr="005D1D5A">
          <w:rPr>
            <w:rStyle w:val="Hyperlink"/>
            <w:lang w:val="es-ES_tradnl"/>
          </w:rPr>
          <w:t>/INF/1</w:t>
        </w:r>
      </w:hyperlink>
      <w:r w:rsidR="00931FC7" w:rsidRPr="005D1D5A">
        <w:rPr>
          <w:lang w:val="es-ES_tradnl"/>
        </w:rPr>
        <w:t>).</w:t>
      </w:r>
    </w:p>
    <w:p w14:paraId="4E8FDA70" w14:textId="77777777" w:rsidR="00931FC7" w:rsidRPr="005D1D5A" w:rsidRDefault="00931FC7" w:rsidP="00D842E1">
      <w:pPr>
        <w:jc w:val="both"/>
        <w:rPr>
          <w:rFonts w:asciiTheme="minorHAnsi" w:hAnsiTheme="minorHAnsi" w:cstheme="minorBidi"/>
          <w:lang w:val="es-ES_tradnl"/>
        </w:rPr>
      </w:pPr>
      <w:r w:rsidRPr="005D1D5A">
        <w:rPr>
          <w:lang w:val="es-ES_tradnl"/>
        </w:rPr>
        <w:lastRenderedPageBreak/>
        <w:t xml:space="preserve">El </w:t>
      </w:r>
      <w:proofErr w:type="spellStart"/>
      <w:r w:rsidRPr="005D1D5A">
        <w:rPr>
          <w:lang w:val="es-ES_tradnl"/>
        </w:rPr>
        <w:t>GTC-PEF</w:t>
      </w:r>
      <w:proofErr w:type="spellEnd"/>
      <w:r w:rsidRPr="005D1D5A">
        <w:rPr>
          <w:lang w:val="es-ES_tradnl"/>
        </w:rPr>
        <w:t xml:space="preserve"> presentará un </w:t>
      </w:r>
      <w:proofErr w:type="spellStart"/>
      <w:r w:rsidRPr="005D1D5A">
        <w:rPr>
          <w:lang w:val="es-ES_tradnl"/>
        </w:rPr>
        <w:t>Addéndum</w:t>
      </w:r>
      <w:proofErr w:type="spellEnd"/>
      <w:r w:rsidRPr="005D1D5A">
        <w:rPr>
          <w:lang w:val="es-ES_tradnl"/>
        </w:rPr>
        <w:t xml:space="preserve"> al presente Informe con el resultado de su quinta reunión, prevista para el 27 de abril de 2026. Los documentos, disponibles en el </w:t>
      </w:r>
      <w:hyperlink r:id="rId60" w:history="1">
        <w:r w:rsidRPr="005D1D5A">
          <w:rPr>
            <w:rStyle w:val="Hyperlink"/>
            <w:lang w:val="es-ES_tradnl"/>
          </w:rPr>
          <w:t xml:space="preserve">sitio web del </w:t>
        </w:r>
        <w:proofErr w:type="spellStart"/>
        <w:r w:rsidRPr="005D1D5A">
          <w:rPr>
            <w:rStyle w:val="Hyperlink"/>
            <w:lang w:val="es-ES_tradnl"/>
          </w:rPr>
          <w:t>GTC-PEF</w:t>
        </w:r>
        <w:proofErr w:type="spellEnd"/>
      </w:hyperlink>
      <w:r w:rsidRPr="005D1D5A">
        <w:rPr>
          <w:lang w:val="es-ES_tradnl"/>
        </w:rPr>
        <w:t>, comprenden:</w:t>
      </w:r>
    </w:p>
    <w:p w14:paraId="7FBBD4D3" w14:textId="2D9C3B7F" w:rsidR="00931FC7" w:rsidRPr="005D1D5A" w:rsidRDefault="009272B9" w:rsidP="00D842E1">
      <w:pPr>
        <w:pStyle w:val="enumlev1"/>
        <w:jc w:val="both"/>
        <w:rPr>
          <w:rFonts w:asciiTheme="minorHAnsi" w:hAnsiTheme="minorHAnsi" w:cstheme="minorBidi"/>
          <w:lang w:val="es-ES_tradnl"/>
        </w:rPr>
      </w:pPr>
      <w:r w:rsidRPr="005D1D5A">
        <w:rPr>
          <w:lang w:val="es-ES_tradnl"/>
        </w:rPr>
        <w:t>–</w:t>
      </w:r>
      <w:r w:rsidRPr="005D1D5A">
        <w:rPr>
          <w:lang w:val="es-ES_tradnl"/>
        </w:rPr>
        <w:tab/>
      </w:r>
      <w:r w:rsidR="00931FC7" w:rsidRPr="005D1D5A">
        <w:rPr>
          <w:lang w:val="es-ES_tradnl"/>
        </w:rPr>
        <w:t>una propuesta de proyecto de Anexo 1 a la Resolución 71, que contenga los Planes Estratégico y Financiero para 2028-2031; y</w:t>
      </w:r>
    </w:p>
    <w:p w14:paraId="63E09032" w14:textId="5DA33181" w:rsidR="00931FC7" w:rsidRPr="005D1D5A" w:rsidRDefault="009272B9" w:rsidP="00D842E1">
      <w:pPr>
        <w:pStyle w:val="enumlev1"/>
        <w:jc w:val="both"/>
        <w:rPr>
          <w:rFonts w:asciiTheme="minorHAnsi" w:hAnsiTheme="minorHAnsi" w:cstheme="minorBidi"/>
          <w:lang w:val="es-ES_tradnl"/>
        </w:rPr>
      </w:pPr>
      <w:r w:rsidRPr="005D1D5A">
        <w:rPr>
          <w:lang w:val="es-ES_tradnl"/>
        </w:rPr>
        <w:t>–</w:t>
      </w:r>
      <w:r w:rsidRPr="005D1D5A">
        <w:rPr>
          <w:lang w:val="es-ES_tradnl"/>
        </w:rPr>
        <w:tab/>
      </w:r>
      <w:r w:rsidR="00931FC7" w:rsidRPr="005D1D5A">
        <w:rPr>
          <w:lang w:val="es-ES_tradnl"/>
        </w:rPr>
        <w:t>una propuesta de proyecto de Anexo 2 a la Resolución 71, que contenga el análisis de situación.</w:t>
      </w:r>
    </w:p>
    <w:p w14:paraId="1F5DDACB" w14:textId="0D651B09" w:rsidR="00931FC7" w:rsidRPr="005D1D5A" w:rsidRDefault="00931FC7" w:rsidP="00D842E1">
      <w:pPr>
        <w:jc w:val="both"/>
        <w:rPr>
          <w:rFonts w:asciiTheme="minorHAnsi" w:hAnsiTheme="minorHAnsi" w:cstheme="minorHAnsi"/>
          <w:szCs w:val="24"/>
          <w:lang w:val="es-ES_tradnl"/>
        </w:rPr>
      </w:pPr>
      <w:r w:rsidRPr="005D1D5A">
        <w:rPr>
          <w:lang w:val="es-ES_tradnl"/>
        </w:rPr>
        <w:t xml:space="preserve">El Presidente del </w:t>
      </w:r>
      <w:proofErr w:type="spellStart"/>
      <w:r w:rsidRPr="005D1D5A">
        <w:rPr>
          <w:lang w:val="es-ES_tradnl"/>
        </w:rPr>
        <w:t>GTC-PEF</w:t>
      </w:r>
      <w:proofErr w:type="spellEnd"/>
      <w:r w:rsidRPr="005D1D5A">
        <w:rPr>
          <w:lang w:val="es-ES_tradnl"/>
        </w:rPr>
        <w:t xml:space="preserve"> agradeció a la Secretaría de la UIT y a todas las delegaciones su activa participación en las reuniones y sus constructivas contribuciones. El Presidente también dio las gracias a todas las partes interesadas que contribuyeron a la labor de este grupo mediante sus aportaciones a la consulta virtual y, en particular, a los Grupos Asesores de los Sectores por su activa participación e implicación.</w:t>
      </w:r>
    </w:p>
    <w:p w14:paraId="35392D0A" w14:textId="77777777" w:rsidR="00931FC7" w:rsidRPr="005D1D5A" w:rsidRDefault="00931FC7" w:rsidP="00411C49">
      <w:pPr>
        <w:pStyle w:val="Reasons"/>
        <w:rPr>
          <w:lang w:val="es-ES_tradnl"/>
        </w:rPr>
      </w:pPr>
    </w:p>
    <w:p w14:paraId="6D81B76B" w14:textId="77777777" w:rsidR="00931FC7" w:rsidRPr="005D1D5A" w:rsidRDefault="00931FC7">
      <w:pPr>
        <w:jc w:val="center"/>
        <w:rPr>
          <w:lang w:val="es-ES_tradnl"/>
        </w:rPr>
      </w:pPr>
      <w:r w:rsidRPr="005D1D5A">
        <w:rPr>
          <w:lang w:val="es-ES_tradnl"/>
        </w:rPr>
        <w:t>______________</w:t>
      </w:r>
    </w:p>
    <w:sectPr w:rsidR="00931FC7" w:rsidRPr="005D1D5A" w:rsidSect="00C538FC">
      <w:footerReference w:type="default" r:id="rId61"/>
      <w:headerReference w:type="first" r:id="rId62"/>
      <w:footerReference w:type="first" r:id="rId6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B7F7" w14:textId="77777777" w:rsidR="00786859" w:rsidRDefault="00786859">
      <w:r>
        <w:separator/>
      </w:r>
    </w:p>
  </w:endnote>
  <w:endnote w:type="continuationSeparator" w:id="0">
    <w:p w14:paraId="083B2E56" w14:textId="77777777" w:rsidR="00786859" w:rsidRDefault="0078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64EDAC9" w14:textId="77777777" w:rsidTr="00E31DCE">
      <w:trPr>
        <w:jc w:val="center"/>
      </w:trPr>
      <w:tc>
        <w:tcPr>
          <w:tcW w:w="1803" w:type="dxa"/>
          <w:vAlign w:val="center"/>
        </w:tcPr>
        <w:p w14:paraId="391F40C6" w14:textId="1A4CEAEB" w:rsidR="003273A4" w:rsidRDefault="00931FC7" w:rsidP="003273A4">
          <w:pPr>
            <w:pStyle w:val="Header"/>
            <w:jc w:val="left"/>
            <w:rPr>
              <w:noProof/>
            </w:rPr>
          </w:pPr>
          <w:r>
            <w:rPr>
              <w:noProof/>
            </w:rPr>
            <w:t>2600757</w:t>
          </w:r>
        </w:p>
      </w:tc>
      <w:tc>
        <w:tcPr>
          <w:tcW w:w="8261" w:type="dxa"/>
        </w:tcPr>
        <w:p w14:paraId="7F04CD8F" w14:textId="2BAF6A96"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931FC7">
            <w:rPr>
              <w:bCs/>
            </w:rPr>
            <w:t>31</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A2C4A54"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7B37B83" w14:textId="77777777" w:rsidTr="00E31DCE">
      <w:trPr>
        <w:jc w:val="center"/>
      </w:trPr>
      <w:tc>
        <w:tcPr>
          <w:tcW w:w="1803" w:type="dxa"/>
          <w:vAlign w:val="center"/>
        </w:tcPr>
        <w:p w14:paraId="404F777D"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43A7CEC0" w14:textId="3643ED73"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931FC7">
            <w:rPr>
              <w:bCs/>
            </w:rPr>
            <w:t>31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5B96094F"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ACC1" w14:textId="77777777" w:rsidR="00786859" w:rsidRDefault="00786859">
      <w:r>
        <w:t>____________________</w:t>
      </w:r>
    </w:p>
  </w:footnote>
  <w:footnote w:type="continuationSeparator" w:id="0">
    <w:p w14:paraId="28523211" w14:textId="77777777" w:rsidR="00786859" w:rsidRDefault="00786859">
      <w:r>
        <w:continuationSeparator/>
      </w:r>
    </w:p>
  </w:footnote>
  <w:footnote w:id="1">
    <w:p w14:paraId="3764D709" w14:textId="6E5F5B1C" w:rsidR="000E341D" w:rsidRPr="005C2E19" w:rsidRDefault="000E341D" w:rsidP="008C37D9">
      <w:pPr>
        <w:pStyle w:val="FootnoteText"/>
        <w:jc w:val="both"/>
        <w:rPr>
          <w:lang w:val="es-ES"/>
        </w:rPr>
      </w:pPr>
      <w:r w:rsidRPr="00845ACE">
        <w:rPr>
          <w:rStyle w:val="FootnoteReference"/>
        </w:rPr>
        <w:footnoteRef/>
      </w:r>
      <w:r w:rsidRPr="005C2E19">
        <w:rPr>
          <w:lang w:val="es-ES"/>
        </w:rPr>
        <w:tab/>
      </w:r>
      <w:r w:rsidRPr="00845ACE">
        <w:rPr>
          <w:lang w:val="es-ES"/>
        </w:rPr>
        <w:t>Los proyectos de Planes Estratégico y Financiero para 2028-2031 aún deben debatirse en la reunión del Grupo de Trabajo del Consejo sobre los Planes Estratégico y Financiero (GTC-PEF), que se celebrará el 27 de abril de 2026. Los resultados de esta reunión se publicarán como anexos o addéndum al presente documento.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398E" w14:textId="77777777" w:rsidR="001559F5" w:rsidRPr="00B1560D" w:rsidRDefault="00B1560D" w:rsidP="00B1560D">
    <w:pPr>
      <w:pStyle w:val="Header"/>
    </w:pPr>
    <w:r>
      <w:rPr>
        <w:noProof/>
      </w:rPr>
      <w:drawing>
        <wp:inline distT="0" distB="0" distL="0" distR="0" wp14:anchorId="60298620" wp14:editId="340B5B68">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151F"/>
    <w:multiLevelType w:val="hybridMultilevel"/>
    <w:tmpl w:val="0F28F3EC"/>
    <w:lvl w:ilvl="0" w:tplc="413E3D02">
      <w:start w:val="7"/>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841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9"/>
    <w:rsid w:val="000007D1"/>
    <w:rsid w:val="000509E1"/>
    <w:rsid w:val="0006007D"/>
    <w:rsid w:val="00093EEB"/>
    <w:rsid w:val="000B0D00"/>
    <w:rsid w:val="000B7C15"/>
    <w:rsid w:val="000D1D0F"/>
    <w:rsid w:val="000E341D"/>
    <w:rsid w:val="000E3F07"/>
    <w:rsid w:val="000F5290"/>
    <w:rsid w:val="000F5A95"/>
    <w:rsid w:val="0010165C"/>
    <w:rsid w:val="00146BFB"/>
    <w:rsid w:val="001559F5"/>
    <w:rsid w:val="00157AC4"/>
    <w:rsid w:val="0016169C"/>
    <w:rsid w:val="00167F5C"/>
    <w:rsid w:val="001958F5"/>
    <w:rsid w:val="001B6E2B"/>
    <w:rsid w:val="001F14A2"/>
    <w:rsid w:val="00277DEA"/>
    <w:rsid w:val="002801AA"/>
    <w:rsid w:val="002946E2"/>
    <w:rsid w:val="002C3F32"/>
    <w:rsid w:val="002C4676"/>
    <w:rsid w:val="002C70B0"/>
    <w:rsid w:val="002F3CC4"/>
    <w:rsid w:val="003032E2"/>
    <w:rsid w:val="00303982"/>
    <w:rsid w:val="0031300A"/>
    <w:rsid w:val="003273A4"/>
    <w:rsid w:val="0034796E"/>
    <w:rsid w:val="004571B0"/>
    <w:rsid w:val="00465C35"/>
    <w:rsid w:val="00473962"/>
    <w:rsid w:val="004B5D49"/>
    <w:rsid w:val="004D3A3C"/>
    <w:rsid w:val="004D6C14"/>
    <w:rsid w:val="00513630"/>
    <w:rsid w:val="00560125"/>
    <w:rsid w:val="00585553"/>
    <w:rsid w:val="005B34D9"/>
    <w:rsid w:val="005C2E19"/>
    <w:rsid w:val="005D0CCF"/>
    <w:rsid w:val="005D1D5A"/>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16DEC"/>
    <w:rsid w:val="00726872"/>
    <w:rsid w:val="00760F1C"/>
    <w:rsid w:val="007657F0"/>
    <w:rsid w:val="0077110E"/>
    <w:rsid w:val="0077252D"/>
    <w:rsid w:val="00786859"/>
    <w:rsid w:val="007955DA"/>
    <w:rsid w:val="007E5DD3"/>
    <w:rsid w:val="007F350B"/>
    <w:rsid w:val="00810E60"/>
    <w:rsid w:val="00820BE4"/>
    <w:rsid w:val="008451E8"/>
    <w:rsid w:val="0084546D"/>
    <w:rsid w:val="00845ACE"/>
    <w:rsid w:val="0086085F"/>
    <w:rsid w:val="008C37D9"/>
    <w:rsid w:val="008F6ABC"/>
    <w:rsid w:val="00913B9C"/>
    <w:rsid w:val="009272B9"/>
    <w:rsid w:val="00927F93"/>
    <w:rsid w:val="00931FC7"/>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03A"/>
    <w:rsid w:val="00C20C59"/>
    <w:rsid w:val="00C2727F"/>
    <w:rsid w:val="00C4421B"/>
    <w:rsid w:val="00C538FC"/>
    <w:rsid w:val="00C55B1F"/>
    <w:rsid w:val="00CC1FAF"/>
    <w:rsid w:val="00CF1A67"/>
    <w:rsid w:val="00D2750E"/>
    <w:rsid w:val="00D375E0"/>
    <w:rsid w:val="00D50A36"/>
    <w:rsid w:val="00D62446"/>
    <w:rsid w:val="00D842E1"/>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 w:val="00FF3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48C8B8"/>
  <w15:docId w15:val="{D04C2E72-D9D9-477D-95C3-A6FFB37F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link w:val="FootnoteTextChar"/>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5D1D5A"/>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uiPriority w:val="99"/>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5D1D5A"/>
    <w:pPr>
      <w:framePr w:hSpace="181" w:wrap="around" w:vAnchor="page" w:hAnchor="page" w:x="1589" w:y="2314"/>
      <w:spacing w:after="160"/>
    </w:pPr>
    <w:rPr>
      <w:color w:val="000000"/>
      <w:sz w:val="32"/>
      <w:szCs w:val="32"/>
      <w:lang w:val="es-ES"/>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FootnoteTextChar">
    <w:name w:val="Footnote Text Char"/>
    <w:basedOn w:val="DefaultParagraphFont"/>
    <w:link w:val="FootnoteText"/>
    <w:rsid w:val="00931FC7"/>
    <w:rPr>
      <w:rFonts w:ascii="Calibri" w:hAnsi="Calibri"/>
      <w:sz w:val="22"/>
      <w:lang w:val="fr-FR" w:eastAsia="en-US"/>
    </w:rPr>
  </w:style>
  <w:style w:type="paragraph" w:styleId="ListParagraph">
    <w:name w:val="List Paragraph"/>
    <w:basedOn w:val="Normal"/>
    <w:uiPriority w:val="34"/>
    <w:qFormat/>
    <w:rsid w:val="00931FC7"/>
    <w:pPr>
      <w:ind w:left="720"/>
      <w:contextualSpacing/>
      <w:textAlignment w:val="auto"/>
    </w:pPr>
    <w:rPr>
      <w:lang w:val="en-GB"/>
    </w:rPr>
  </w:style>
  <w:style w:type="character" w:styleId="Strong">
    <w:name w:val="Strong"/>
    <w:basedOn w:val="DefaultParagraphFont"/>
    <w:uiPriority w:val="22"/>
    <w:qFormat/>
    <w:rsid w:val="00931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17138">
      <w:bodyDiv w:val="1"/>
      <w:marLeft w:val="0"/>
      <w:marRight w:val="0"/>
      <w:marTop w:val="0"/>
      <w:marBottom w:val="0"/>
      <w:divBdr>
        <w:top w:val="none" w:sz="0" w:space="0" w:color="auto"/>
        <w:left w:val="none" w:sz="0" w:space="0" w:color="auto"/>
        <w:bottom w:val="none" w:sz="0" w:space="0" w:color="auto"/>
        <w:right w:val="none" w:sz="0" w:space="0" w:color="auto"/>
      </w:divBdr>
    </w:div>
    <w:div w:id="326902184">
      <w:bodyDiv w:val="1"/>
      <w:marLeft w:val="0"/>
      <w:marRight w:val="0"/>
      <w:marTop w:val="0"/>
      <w:marBottom w:val="0"/>
      <w:divBdr>
        <w:top w:val="none" w:sz="0" w:space="0" w:color="auto"/>
        <w:left w:val="none" w:sz="0" w:space="0" w:color="auto"/>
        <w:bottom w:val="none" w:sz="0" w:space="0" w:color="auto"/>
        <w:right w:val="none" w:sz="0" w:space="0" w:color="auto"/>
      </w:divBdr>
    </w:div>
    <w:div w:id="162669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WGSFP2-C-0009/es" TargetMode="External"/><Relationship Id="rId21" Type="http://schemas.openxmlformats.org/officeDocument/2006/relationships/hyperlink" Target="https://www.itu.int/md/S25-CWGSFP2-C-0004/es" TargetMode="External"/><Relationship Id="rId34" Type="http://schemas.openxmlformats.org/officeDocument/2006/relationships/hyperlink" Target="https://staging.itu.int/en/council/ties/Documents/2025/CWG-SFP-presentation-Sept-2025.pdf" TargetMode="External"/><Relationship Id="rId42" Type="http://schemas.openxmlformats.org/officeDocument/2006/relationships/hyperlink" Target="https://www.itu.int/md/S25-CWGSFP3-C-0014/es" TargetMode="External"/><Relationship Id="rId47" Type="http://schemas.openxmlformats.org/officeDocument/2006/relationships/hyperlink" Target="https://www.itu.int/md/S26-CWGSFP4-260112-TD-0001/es" TargetMode="External"/><Relationship Id="rId50" Type="http://schemas.openxmlformats.org/officeDocument/2006/relationships/hyperlink" Target="https://www.itu.int/md/S26-CWGSFP4-C-0006/es" TargetMode="External"/><Relationship Id="rId55" Type="http://schemas.openxmlformats.org/officeDocument/2006/relationships/hyperlink" Target="https://www.itu.int/md/S26-CWGSFP4-C-0011/es"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5-CWGSFP2-INF-0001/es" TargetMode="External"/><Relationship Id="rId29" Type="http://schemas.openxmlformats.org/officeDocument/2006/relationships/hyperlink" Target="https://council.itu.int/2025/wp-content/uploads/sites/5/2025/06/C25-CWG-SFP-Information-Session-23Jun2025.pdf" TargetMode="External"/><Relationship Id="rId11" Type="http://schemas.openxmlformats.org/officeDocument/2006/relationships/hyperlink" Target="https://view.officeapps.live.com/op/view.aspx?src=https%3A%2F%2Fwww.itu.int%2Fnet%2Fevents%2Fcl%2Fcwg-sfp-oct24-presentation-process-background-r1.pptx&amp;wdOrigin=BROWSELINK" TargetMode="External"/><Relationship Id="rId24" Type="http://schemas.openxmlformats.org/officeDocument/2006/relationships/hyperlink" Target="https://www.itu.int/md/S25-CWGSFP2-C-0005/es" TargetMode="External"/><Relationship Id="rId32" Type="http://schemas.openxmlformats.org/officeDocument/2006/relationships/hyperlink" Target="https://www.itu.int/md/S25-CWGSFP3-C-0004/es" TargetMode="External"/><Relationship Id="rId37" Type="http://schemas.openxmlformats.org/officeDocument/2006/relationships/hyperlink" Target="https://www.itu.int/md/S25-CWGSFP3-C-0009/es" TargetMode="External"/><Relationship Id="rId40" Type="http://schemas.openxmlformats.org/officeDocument/2006/relationships/hyperlink" Target="https://www.itu.int/md/S25-CWGSFP3-C-0012/es" TargetMode="External"/><Relationship Id="rId45" Type="http://schemas.openxmlformats.org/officeDocument/2006/relationships/hyperlink" Target="https://www.itu.int/md/S26-CWGSFP4-INF-0005/es" TargetMode="External"/><Relationship Id="rId53" Type="http://schemas.openxmlformats.org/officeDocument/2006/relationships/hyperlink" Target="https://www.itu.int/md/S26-CWGSFP4-C-0009/es" TargetMode="External"/><Relationship Id="rId58" Type="http://schemas.openxmlformats.org/officeDocument/2006/relationships/hyperlink" Target="https://www.itu.int/md/S26-CWGSFP4-C-0014/es"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itu.int/md/S25-CWGSFP2-INF-0005/es" TargetMode="External"/><Relationship Id="rId14" Type="http://schemas.openxmlformats.org/officeDocument/2006/relationships/hyperlink" Target="https://www.itu.int/md/S24-CWGSFP1-C-0007/es" TargetMode="External"/><Relationship Id="rId22" Type="http://schemas.openxmlformats.org/officeDocument/2006/relationships/hyperlink" Target="https://www.itu.int/md/S25-CWGSFP2-INF-0003/es" TargetMode="External"/><Relationship Id="rId27" Type="http://schemas.openxmlformats.org/officeDocument/2006/relationships/hyperlink" Target="https://www.itu.int/md/S25-CWGSFP2-C-0010/es" TargetMode="External"/><Relationship Id="rId30" Type="http://schemas.openxmlformats.org/officeDocument/2006/relationships/hyperlink" Target="https://www.itu.int/md/S26-CL-INF-0001/es" TargetMode="External"/><Relationship Id="rId35" Type="http://schemas.openxmlformats.org/officeDocument/2006/relationships/hyperlink" Target="https://www.itu.int/md/S25-CWGSFP3-C-0007/es" TargetMode="External"/><Relationship Id="rId43" Type="http://schemas.openxmlformats.org/officeDocument/2006/relationships/hyperlink" Target="https://www.itu.int/md/S25-CWGSFP3-C-0015/es" TargetMode="External"/><Relationship Id="rId48" Type="http://schemas.openxmlformats.org/officeDocument/2006/relationships/hyperlink" Target="https://www.itu.int/md/S26-CWGSFP4-C-0003/es" TargetMode="External"/><Relationship Id="rId56" Type="http://schemas.openxmlformats.org/officeDocument/2006/relationships/hyperlink" Target="https://www.itu.int/md/S26-CWGSFP4-C-0012/es" TargetMode="External"/><Relationship Id="rId64" Type="http://schemas.openxmlformats.org/officeDocument/2006/relationships/fontTable" Target="fontTable.xml"/><Relationship Id="rId8" Type="http://schemas.openxmlformats.org/officeDocument/2006/relationships/hyperlink" Target="https://www.itu.int/md/S26-CL-C-0032/es" TargetMode="External"/><Relationship Id="rId51" Type="http://schemas.openxmlformats.org/officeDocument/2006/relationships/hyperlink" Target="https://www.itu.int/md/S26-CWGSFP4-C-0007/es" TargetMode="External"/><Relationship Id="rId3" Type="http://schemas.openxmlformats.org/officeDocument/2006/relationships/styles" Target="styles.xml"/><Relationship Id="rId12" Type="http://schemas.openxmlformats.org/officeDocument/2006/relationships/hyperlink" Target="https://www.itu.int/md/S24-CWGSFP1-INF-0003/es" TargetMode="External"/><Relationship Id="rId17" Type="http://schemas.openxmlformats.org/officeDocument/2006/relationships/hyperlink" Target="https://www.itu.int/md/S25-CWGSFP2-C-0002/es" TargetMode="External"/><Relationship Id="rId25" Type="http://schemas.openxmlformats.org/officeDocument/2006/relationships/hyperlink" Target="https://www.itu.int/md/S25-CWGSFP2-C-0008/es" TargetMode="External"/><Relationship Id="rId33" Type="http://schemas.openxmlformats.org/officeDocument/2006/relationships/hyperlink" Target="https://www.itu.int/md/S25-CWGSFP3-C-0006/es" TargetMode="External"/><Relationship Id="rId38" Type="http://schemas.openxmlformats.org/officeDocument/2006/relationships/hyperlink" Target="https://www.itu.int/md/S25-CWGSFP3-C-0010/es" TargetMode="External"/><Relationship Id="rId46" Type="http://schemas.openxmlformats.org/officeDocument/2006/relationships/hyperlink" Target="https://www.itu.int/md/S26-CWGSFP4-260112-TD-0002/es" TargetMode="External"/><Relationship Id="rId59" Type="http://schemas.openxmlformats.org/officeDocument/2006/relationships/hyperlink" Target="https://www.itu.int/md/S26-CL-INF-0001/es" TargetMode="External"/><Relationship Id="rId20" Type="http://schemas.openxmlformats.org/officeDocument/2006/relationships/hyperlink" Target="https://www.itu.int/md/S25-CWGSFP2-C-0007/es" TargetMode="External"/><Relationship Id="rId41" Type="http://schemas.openxmlformats.org/officeDocument/2006/relationships/hyperlink" Target="https://www.itu.int/md/S25-CWGSFP3-C-0013/es" TargetMode="External"/><Relationship Id="rId54" Type="http://schemas.openxmlformats.org/officeDocument/2006/relationships/hyperlink" Target="https://www.itu.int/md/S26-CWGSFP4-C-0010/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4-CWGSFP1-C-0008/es" TargetMode="External"/><Relationship Id="rId23" Type="http://schemas.openxmlformats.org/officeDocument/2006/relationships/hyperlink" Target="https://www.itu.int/md/S25-CWGSFP2-INF-0004/es" TargetMode="External"/><Relationship Id="rId28" Type="http://schemas.openxmlformats.org/officeDocument/2006/relationships/hyperlink" Target="https://www.itu.int/md/S25-CWGSFP2-C-0011/es" TargetMode="External"/><Relationship Id="rId36" Type="http://schemas.openxmlformats.org/officeDocument/2006/relationships/hyperlink" Target="https://www.itu.int/md/S25-CWGSFP3-C-0008/es" TargetMode="External"/><Relationship Id="rId49" Type="http://schemas.openxmlformats.org/officeDocument/2006/relationships/hyperlink" Target="https://www.itu.int/md/S26-CWGSFP4-C-0005/es" TargetMode="External"/><Relationship Id="rId57" Type="http://schemas.openxmlformats.org/officeDocument/2006/relationships/hyperlink" Target="https://www.itu.int/md/S26-CWGSFP4-C-0013/es" TargetMode="External"/><Relationship Id="rId10" Type="http://schemas.openxmlformats.org/officeDocument/2006/relationships/hyperlink" Target="https://www.itu.int/md/S24-CL-C-0139/es" TargetMode="External"/><Relationship Id="rId31" Type="http://schemas.openxmlformats.org/officeDocument/2006/relationships/hyperlink" Target="https://www.itu.int/md/S25-CWGSFP3-C-0003/es" TargetMode="External"/><Relationship Id="rId44" Type="http://schemas.openxmlformats.org/officeDocument/2006/relationships/hyperlink" Target="https://www.itu.int/md/S25-CWGSFP3-C-0016/es" TargetMode="External"/><Relationship Id="rId52" Type="http://schemas.openxmlformats.org/officeDocument/2006/relationships/hyperlink" Target="https://www.itu.int/md/S26-CWGSFP4-C-0008/es" TargetMode="External"/><Relationship Id="rId60" Type="http://schemas.openxmlformats.org/officeDocument/2006/relationships/hyperlink" Target="https://www.itu.int/en/council/CWG-SFP-2028-2031/Pages/default.aspx"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council/Documents/basic-texts-2023/RES-071-S.pdf" TargetMode="External"/><Relationship Id="rId13" Type="http://schemas.openxmlformats.org/officeDocument/2006/relationships/hyperlink" Target="https://www.itu.int/md/S24-CWGSFP1-C-0005/es" TargetMode="External"/><Relationship Id="rId18" Type="http://schemas.openxmlformats.org/officeDocument/2006/relationships/hyperlink" Target="https://www.itu.int/md/S25-CWGSFP2-INF-0002/es" TargetMode="External"/><Relationship Id="rId39" Type="http://schemas.openxmlformats.org/officeDocument/2006/relationships/hyperlink" Target="https://www.itu.int/md/S25-CWGSFP3-C-0011/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65E9-2F11-4FE0-8986-8CCA7D37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28</TotalTime>
  <Pages>5</Pages>
  <Words>1812</Words>
  <Characters>13676</Characters>
  <Application>Microsoft Office Word</Application>
  <DocSecurity>0</DocSecurity>
  <Lines>594</Lines>
  <Paragraphs>329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15159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Grupo de Trabajo del Consejo sobre los planes estratégico y financiero para 2028-2031 (GTC-PEF)</dc:title>
  <dc:subject>Consejo 2026 de la UIT</dc:subject>
  <cp:keywords>C26; C2026; Council 2026; PP26</cp:keywords>
  <dc:description/>
  <cp:lastPrinted>2006-03-24T09:51:00Z</cp:lastPrinted>
  <dcterms:created xsi:type="dcterms:W3CDTF">2026-04-13T14:53:00Z</dcterms:created>
  <dcterms:modified xsi:type="dcterms:W3CDTF">2026-04-13T16:09:00Z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